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footer40.xml" ContentType="application/vnd.openxmlformats-officedocument.wordprocessingml.footer+xml"/>
  <Override PartName="/word/header41.xml" ContentType="application/vnd.openxmlformats-officedocument.wordprocessingml.head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footer43.xml" ContentType="application/vnd.openxmlformats-officedocument.wordprocessingml.footer+xml"/>
  <Override PartName="/word/header44.xml" ContentType="application/vnd.openxmlformats-officedocument.wordprocessingml.head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footer49.xml" ContentType="application/vnd.openxmlformats-officedocument.wordprocessingml.footer+xml"/>
  <Override PartName="/word/header50.xml" ContentType="application/vnd.openxmlformats-officedocument.wordprocessingml.head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footer52.xml" ContentType="application/vnd.openxmlformats-officedocument.wordprocessingml.footer+xml"/>
  <Override PartName="/word/header53.xml" ContentType="application/vnd.openxmlformats-officedocument.wordprocessingml.header+xml"/>
  <Override PartName="/word/footer5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240" w:lineRule="auto"/>
        <w:ind w:left="36" w:right="0" w:firstLine="0"/>
        <w:rPr>
          <w:rFonts w:ascii="Times New Roman"/>
          <w:sz w:val="20"/>
        </w:rPr>
      </w:pPr>
      <w:r>
        <w:rPr>
          <w:rFonts w:ascii="Times New Roman"/>
          <w:sz w:val="20"/>
        </w:rPr>
        <mc:AlternateContent>
          <mc:Choice Requires="wps">
            <w:drawing>
              <wp:inline distT="0" distB="0" distL="0" distR="0">
                <wp:extent cx="6002020" cy="1237615"/>
                <wp:effectExtent l="0" t="0" r="0" b="634"/>
                <wp:docPr id="1" name="Group 1"/>
                <wp:cNvGraphicFramePr>
                  <a:graphicFrameLocks/>
                </wp:cNvGraphicFramePr>
                <a:graphic>
                  <a:graphicData uri="http://schemas.microsoft.com/office/word/2010/wordprocessingGroup">
                    <wpg:wgp>
                      <wpg:cNvPr id="1" name="Group 1"/>
                      <wpg:cNvGrpSpPr/>
                      <wpg:grpSpPr>
                        <a:xfrm>
                          <a:off x="0" y="0"/>
                          <a:ext cx="6002020" cy="1237615"/>
                          <a:chExt cx="6002020" cy="1237615"/>
                        </a:xfrm>
                      </wpg:grpSpPr>
                      <pic:pic>
                        <pic:nvPicPr>
                          <pic:cNvPr id="2" name="Image 2"/>
                          <pic:cNvPicPr/>
                        </pic:nvPicPr>
                        <pic:blipFill>
                          <a:blip r:embed="rId5" cstate="print"/>
                          <a:stretch>
                            <a:fillRect/>
                          </a:stretch>
                        </pic:blipFill>
                        <pic:spPr>
                          <a:xfrm>
                            <a:off x="0" y="0"/>
                            <a:ext cx="6001909" cy="1237210"/>
                          </a:xfrm>
                          <a:prstGeom prst="rect">
                            <a:avLst/>
                          </a:prstGeom>
                        </pic:spPr>
                      </pic:pic>
                      <wps:wsp>
                        <wps:cNvPr id="3" name="Textbox 3"/>
                        <wps:cNvSpPr txBox="1"/>
                        <wps:spPr>
                          <a:xfrm>
                            <a:off x="0" y="0"/>
                            <a:ext cx="6002020" cy="1237615"/>
                          </a:xfrm>
                          <a:prstGeom prst="rect">
                            <a:avLst/>
                          </a:prstGeom>
                        </wps:spPr>
                        <wps:txbx>
                          <w:txbxContent>
                            <w:p>
                              <w:pPr>
                                <w:spacing w:line="240" w:lineRule="auto" w:before="0"/>
                                <w:rPr>
                                  <w:rFonts w:ascii="Times New Roman"/>
                                  <w:sz w:val="24"/>
                                </w:rPr>
                              </w:pPr>
                            </w:p>
                            <w:p>
                              <w:pPr>
                                <w:spacing w:line="240" w:lineRule="auto" w:before="156"/>
                                <w:rPr>
                                  <w:rFonts w:ascii="Times New Roman"/>
                                  <w:sz w:val="24"/>
                                </w:rPr>
                              </w:pPr>
                            </w:p>
                            <w:p>
                              <w:pPr>
                                <w:spacing w:line="550" w:lineRule="atLeast" w:before="1"/>
                                <w:ind w:left="250" w:right="5834" w:firstLine="0"/>
                                <w:jc w:val="left"/>
                                <w:rPr>
                                  <w:rFonts w:ascii="Arial" w:hAnsi="Arial"/>
                                  <w:b/>
                                  <w:sz w:val="24"/>
                                </w:rPr>
                              </w:pPr>
                              <w:r>
                                <w:rPr>
                                  <w:rFonts w:ascii="Arial" w:hAnsi="Arial"/>
                                  <w:b/>
                                  <w:sz w:val="24"/>
                                </w:rPr>
                                <w:t>Año XLIII - Número 5755 Lima,</w:t>
                              </w:r>
                              <w:r>
                                <w:rPr>
                                  <w:rFonts w:ascii="Arial" w:hAnsi="Arial"/>
                                  <w:b/>
                                  <w:spacing w:val="-6"/>
                                  <w:sz w:val="24"/>
                                </w:rPr>
                                <w:t> </w:t>
                              </w:r>
                              <w:r>
                                <w:rPr>
                                  <w:rFonts w:ascii="Arial" w:hAnsi="Arial"/>
                                  <w:b/>
                                  <w:sz w:val="24"/>
                                </w:rPr>
                                <w:t>07</w:t>
                              </w:r>
                              <w:r>
                                <w:rPr>
                                  <w:rFonts w:ascii="Arial" w:hAnsi="Arial"/>
                                  <w:b/>
                                  <w:spacing w:val="-6"/>
                                  <w:sz w:val="24"/>
                                </w:rPr>
                                <w:t> </w:t>
                              </w:r>
                              <w:r>
                                <w:rPr>
                                  <w:rFonts w:ascii="Arial" w:hAnsi="Arial"/>
                                  <w:b/>
                                  <w:sz w:val="24"/>
                                </w:rPr>
                                <w:t>de</w:t>
                              </w:r>
                              <w:r>
                                <w:rPr>
                                  <w:rFonts w:ascii="Arial" w:hAnsi="Arial"/>
                                  <w:b/>
                                  <w:spacing w:val="-9"/>
                                  <w:sz w:val="24"/>
                                </w:rPr>
                                <w:t> </w:t>
                              </w:r>
                              <w:r>
                                <w:rPr>
                                  <w:rFonts w:ascii="Arial" w:hAnsi="Arial"/>
                                  <w:b/>
                                  <w:sz w:val="24"/>
                                </w:rPr>
                                <w:t>mayo</w:t>
                              </w:r>
                              <w:r>
                                <w:rPr>
                                  <w:rFonts w:ascii="Arial" w:hAnsi="Arial"/>
                                  <w:b/>
                                  <w:spacing w:val="-7"/>
                                  <w:sz w:val="24"/>
                                </w:rPr>
                                <w:t> </w:t>
                              </w:r>
                              <w:r>
                                <w:rPr>
                                  <w:rFonts w:ascii="Arial" w:hAnsi="Arial"/>
                                  <w:b/>
                                  <w:sz w:val="24"/>
                                </w:rPr>
                                <w:t>de</w:t>
                              </w:r>
                              <w:r>
                                <w:rPr>
                                  <w:rFonts w:ascii="Arial" w:hAnsi="Arial"/>
                                  <w:b/>
                                  <w:spacing w:val="-9"/>
                                  <w:sz w:val="24"/>
                                </w:rPr>
                                <w:t> </w:t>
                              </w:r>
                              <w:r>
                                <w:rPr>
                                  <w:rFonts w:ascii="Arial" w:hAnsi="Arial"/>
                                  <w:b/>
                                  <w:sz w:val="24"/>
                                </w:rPr>
                                <w:t>2026</w:t>
                              </w:r>
                            </w:p>
                          </w:txbxContent>
                        </wps:txbx>
                        <wps:bodyPr wrap="square" lIns="0" tIns="0" rIns="0" bIns="0" rtlCol="0">
                          <a:noAutofit/>
                        </wps:bodyPr>
                      </wps:wsp>
                    </wpg:wgp>
                  </a:graphicData>
                </a:graphic>
              </wp:inline>
            </w:drawing>
          </mc:Choice>
          <mc:Fallback>
            <w:pict>
              <v:group style="width:472.6pt;height:97.45pt;mso-position-horizontal-relative:char;mso-position-vertical-relative:line" id="docshapegroup1" coordorigin="0,0" coordsize="9452,1949">
                <v:shape style="position:absolute;left:0;top:0;width:9452;height:1949" type="#_x0000_t75" id="docshape2" stroked="false">
                  <v:imagedata r:id="rId5" o:title=""/>
                </v:shape>
                <v:shapetype id="_x0000_t202" o:spt="202" coordsize="21600,21600" path="m,l,21600r21600,l21600,xe">
                  <v:stroke joinstyle="miter"/>
                  <v:path gradientshapeok="t" o:connecttype="rect"/>
                </v:shapetype>
                <v:shape style="position:absolute;left:0;top:0;width:9452;height:1949" type="#_x0000_t202" id="docshape3" filled="false" stroked="false">
                  <v:textbox inset="0,0,0,0">
                    <w:txbxContent>
                      <w:p>
                        <w:pPr>
                          <w:spacing w:line="240" w:lineRule="auto" w:before="0"/>
                          <w:rPr>
                            <w:rFonts w:ascii="Times New Roman"/>
                            <w:sz w:val="24"/>
                          </w:rPr>
                        </w:pPr>
                      </w:p>
                      <w:p>
                        <w:pPr>
                          <w:spacing w:line="240" w:lineRule="auto" w:before="156"/>
                          <w:rPr>
                            <w:rFonts w:ascii="Times New Roman"/>
                            <w:sz w:val="24"/>
                          </w:rPr>
                        </w:pPr>
                      </w:p>
                      <w:p>
                        <w:pPr>
                          <w:spacing w:line="550" w:lineRule="atLeast" w:before="1"/>
                          <w:ind w:left="250" w:right="5834" w:firstLine="0"/>
                          <w:jc w:val="left"/>
                          <w:rPr>
                            <w:rFonts w:ascii="Arial" w:hAnsi="Arial"/>
                            <w:b/>
                            <w:sz w:val="24"/>
                          </w:rPr>
                        </w:pPr>
                        <w:r>
                          <w:rPr>
                            <w:rFonts w:ascii="Arial" w:hAnsi="Arial"/>
                            <w:b/>
                            <w:sz w:val="24"/>
                          </w:rPr>
                          <w:t>Año XLIII - Número 5755 Lima,</w:t>
                        </w:r>
                        <w:r>
                          <w:rPr>
                            <w:rFonts w:ascii="Arial" w:hAnsi="Arial"/>
                            <w:b/>
                            <w:spacing w:val="-6"/>
                            <w:sz w:val="24"/>
                          </w:rPr>
                          <w:t> </w:t>
                        </w:r>
                        <w:r>
                          <w:rPr>
                            <w:rFonts w:ascii="Arial" w:hAnsi="Arial"/>
                            <w:b/>
                            <w:sz w:val="24"/>
                          </w:rPr>
                          <w:t>07</w:t>
                        </w:r>
                        <w:r>
                          <w:rPr>
                            <w:rFonts w:ascii="Arial" w:hAnsi="Arial"/>
                            <w:b/>
                            <w:spacing w:val="-6"/>
                            <w:sz w:val="24"/>
                          </w:rPr>
                          <w:t> </w:t>
                        </w:r>
                        <w:r>
                          <w:rPr>
                            <w:rFonts w:ascii="Arial" w:hAnsi="Arial"/>
                            <w:b/>
                            <w:sz w:val="24"/>
                          </w:rPr>
                          <w:t>de</w:t>
                        </w:r>
                        <w:r>
                          <w:rPr>
                            <w:rFonts w:ascii="Arial" w:hAnsi="Arial"/>
                            <w:b/>
                            <w:spacing w:val="-9"/>
                            <w:sz w:val="24"/>
                          </w:rPr>
                          <w:t> </w:t>
                        </w:r>
                        <w:r>
                          <w:rPr>
                            <w:rFonts w:ascii="Arial" w:hAnsi="Arial"/>
                            <w:b/>
                            <w:sz w:val="24"/>
                          </w:rPr>
                          <w:t>mayo</w:t>
                        </w:r>
                        <w:r>
                          <w:rPr>
                            <w:rFonts w:ascii="Arial" w:hAnsi="Arial"/>
                            <w:b/>
                            <w:spacing w:val="-7"/>
                            <w:sz w:val="24"/>
                          </w:rPr>
                          <w:t> </w:t>
                        </w:r>
                        <w:r>
                          <w:rPr>
                            <w:rFonts w:ascii="Arial" w:hAnsi="Arial"/>
                            <w:b/>
                            <w:sz w:val="24"/>
                          </w:rPr>
                          <w:t>de</w:t>
                        </w:r>
                        <w:r>
                          <w:rPr>
                            <w:rFonts w:ascii="Arial" w:hAnsi="Arial"/>
                            <w:b/>
                            <w:spacing w:val="-9"/>
                            <w:sz w:val="24"/>
                          </w:rPr>
                          <w:t> </w:t>
                        </w:r>
                        <w:r>
                          <w:rPr>
                            <w:rFonts w:ascii="Arial" w:hAnsi="Arial"/>
                            <w:b/>
                            <w:sz w:val="24"/>
                          </w:rPr>
                          <w:t>2026</w:t>
                        </w:r>
                      </w:p>
                    </w:txbxContent>
                  </v:textbox>
                  <w10:wrap type="none"/>
                </v:shape>
              </v:group>
            </w:pict>
          </mc:Fallback>
        </mc:AlternateContent>
      </w:r>
      <w:r>
        <w:rPr>
          <w:rFonts w:ascii="Times New Roman"/>
          <w:sz w:val="20"/>
        </w:rPr>
      </w:r>
    </w:p>
    <w:p>
      <w:pPr>
        <w:pStyle w:val="BodyText"/>
        <w:spacing w:before="6"/>
        <w:rPr>
          <w:rFonts w:ascii="Times New Roman"/>
          <w:sz w:val="3"/>
        </w:rPr>
      </w:pPr>
      <w:r>
        <w:rPr>
          <w:rFonts w:ascii="Times New Roman"/>
          <w:sz w:val="3"/>
        </w:rPr>
        <mc:AlternateContent>
          <mc:Choice Requires="wps">
            <w:drawing>
              <wp:anchor distT="0" distB="0" distL="0" distR="0" allowOverlap="1" layoutInCell="1" locked="0" behindDoc="1" simplePos="0" relativeHeight="487588352">
                <wp:simplePos x="0" y="0"/>
                <wp:positionH relativeFrom="page">
                  <wp:posOffset>738505</wp:posOffset>
                </wp:positionH>
                <wp:positionV relativeFrom="paragraph">
                  <wp:posOffset>46482</wp:posOffset>
                </wp:positionV>
                <wp:extent cx="5991225" cy="4572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5991225" cy="45720"/>
                        </a:xfrm>
                        <a:custGeom>
                          <a:avLst/>
                          <a:gdLst/>
                          <a:ahLst/>
                          <a:cxnLst/>
                          <a:rect l="l" t="t" r="r" b="b"/>
                          <a:pathLst>
                            <a:path w="5991225" h="45720">
                              <a:moveTo>
                                <a:pt x="0" y="0"/>
                              </a:moveTo>
                              <a:lnTo>
                                <a:pt x="5991225" y="0"/>
                              </a:lnTo>
                            </a:path>
                            <a:path w="5991225" h="45720">
                              <a:moveTo>
                                <a:pt x="0" y="45720"/>
                              </a:moveTo>
                              <a:lnTo>
                                <a:pt x="5991225" y="4572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8.150002pt;margin-top:3.66pt;width:471.75pt;height:3.6pt;mso-position-horizontal-relative:page;mso-position-vertical-relative:paragraph;z-index:-15728128;mso-wrap-distance-left:0;mso-wrap-distance-right:0" id="docshape4" coordorigin="1163,73" coordsize="9435,72" path="m1163,73l10598,73m1163,145l10598,145e" filled="false" stroked="true" strokeweight=".75pt" strokecolor="#000000">
                <v:path arrowok="t"/>
                <v:stroke dashstyle="solid"/>
                <w10:wrap type="topAndBottom"/>
              </v:shape>
            </w:pict>
          </mc:Fallback>
        </mc:AlternateContent>
      </w:r>
    </w:p>
    <w:p>
      <w:pPr>
        <w:pStyle w:val="BodyText"/>
        <w:spacing w:before="10"/>
        <w:rPr>
          <w:rFonts w:ascii="Times New Roman"/>
          <w:sz w:val="8"/>
        </w:rPr>
      </w:pPr>
    </w:p>
    <w:p>
      <w:pPr>
        <w:pStyle w:val="BodyText"/>
        <w:spacing w:after="0"/>
        <w:rPr>
          <w:rFonts w:ascii="Times New Roman"/>
          <w:sz w:val="8"/>
        </w:rPr>
        <w:sectPr>
          <w:type w:val="continuous"/>
          <w:pgSz w:w="11900" w:h="16850"/>
          <w:pgMar w:top="380" w:bottom="280" w:left="992" w:right="283"/>
        </w:sectPr>
      </w:pPr>
    </w:p>
    <w:p>
      <w:pPr>
        <w:pStyle w:val="Heading5"/>
        <w:spacing w:line="252" w:lineRule="exact" w:before="94"/>
        <w:ind w:left="1415"/>
        <w:jc w:val="center"/>
      </w:pPr>
      <w:r>
        <w:rPr>
          <w:spacing w:val="-2"/>
        </w:rPr>
        <w:t>SUMARIO</w:t>
      </w:r>
    </w:p>
    <w:p>
      <w:pPr>
        <w:spacing w:line="252" w:lineRule="exact" w:before="0"/>
        <w:ind w:left="1415" w:right="1" w:firstLine="0"/>
        <w:jc w:val="center"/>
        <w:rPr>
          <w:rFonts w:ascii="Arial" w:hAnsi="Arial"/>
          <w:b/>
          <w:sz w:val="22"/>
        </w:rPr>
      </w:pPr>
      <w:r>
        <w:rPr>
          <w:rFonts w:ascii="Arial" w:hAnsi="Arial"/>
          <w:b/>
          <w:sz w:val="22"/>
        </w:rPr>
        <w:t>SECRETARÍA</w:t>
      </w:r>
      <w:r>
        <w:rPr>
          <w:rFonts w:ascii="Arial" w:hAnsi="Arial"/>
          <w:b/>
          <w:spacing w:val="-7"/>
          <w:sz w:val="22"/>
        </w:rPr>
        <w:t> </w:t>
      </w:r>
      <w:r>
        <w:rPr>
          <w:rFonts w:ascii="Arial" w:hAnsi="Arial"/>
          <w:b/>
          <w:sz w:val="22"/>
        </w:rPr>
        <w:t>GENERAL</w:t>
      </w:r>
      <w:r>
        <w:rPr>
          <w:rFonts w:ascii="Arial" w:hAnsi="Arial"/>
          <w:b/>
          <w:spacing w:val="-6"/>
          <w:sz w:val="22"/>
        </w:rPr>
        <w:t> </w:t>
      </w:r>
      <w:r>
        <w:rPr>
          <w:rFonts w:ascii="Arial" w:hAnsi="Arial"/>
          <w:b/>
          <w:sz w:val="22"/>
        </w:rPr>
        <w:t>DE</w:t>
      </w:r>
      <w:r>
        <w:rPr>
          <w:rFonts w:ascii="Arial" w:hAnsi="Arial"/>
          <w:b/>
          <w:spacing w:val="-7"/>
          <w:sz w:val="22"/>
        </w:rPr>
        <w:t> </w:t>
      </w:r>
      <w:r>
        <w:rPr>
          <w:rFonts w:ascii="Arial" w:hAnsi="Arial"/>
          <w:b/>
          <w:sz w:val="22"/>
        </w:rPr>
        <w:t>LA</w:t>
      </w:r>
      <w:r>
        <w:rPr>
          <w:rFonts w:ascii="Arial" w:hAnsi="Arial"/>
          <w:b/>
          <w:spacing w:val="-5"/>
          <w:sz w:val="22"/>
        </w:rPr>
        <w:t> </w:t>
      </w:r>
      <w:r>
        <w:rPr>
          <w:rFonts w:ascii="Arial" w:hAnsi="Arial"/>
          <w:b/>
          <w:sz w:val="22"/>
        </w:rPr>
        <w:t>COMUNIDAD</w:t>
      </w:r>
      <w:r>
        <w:rPr>
          <w:rFonts w:ascii="Arial" w:hAnsi="Arial"/>
          <w:b/>
          <w:spacing w:val="-8"/>
          <w:sz w:val="22"/>
        </w:rPr>
        <w:t> </w:t>
      </w:r>
      <w:r>
        <w:rPr>
          <w:rFonts w:ascii="Arial" w:hAnsi="Arial"/>
          <w:b/>
          <w:spacing w:val="-2"/>
          <w:sz w:val="22"/>
        </w:rPr>
        <w:t>ANDINA</w:t>
      </w:r>
    </w:p>
    <w:p>
      <w:pPr>
        <w:pStyle w:val="BodyText"/>
        <w:rPr>
          <w:rFonts w:ascii="Arial"/>
          <w:b/>
        </w:rPr>
      </w:pPr>
    </w:p>
    <w:p>
      <w:pPr>
        <w:pStyle w:val="BodyText"/>
        <w:spacing w:before="93"/>
        <w:rPr>
          <w:rFonts w:ascii="Arial"/>
          <w:b/>
        </w:rPr>
      </w:pPr>
    </w:p>
    <w:p>
      <w:pPr>
        <w:tabs>
          <w:tab w:pos="3830" w:val="left" w:leader="none"/>
        </w:tabs>
        <w:spacing w:line="252" w:lineRule="exact" w:before="0"/>
        <w:ind w:left="851" w:right="0" w:firstLine="0"/>
        <w:jc w:val="both"/>
        <w:rPr>
          <w:sz w:val="22"/>
        </w:rPr>
      </w:pPr>
      <w:r>
        <w:rPr>
          <w:rFonts w:ascii="Arial" w:hAnsi="Arial"/>
          <w:b/>
          <w:spacing w:val="-4"/>
          <w:sz w:val="22"/>
        </w:rPr>
        <w:t>RESOLUCIÓN</w:t>
      </w:r>
      <w:r>
        <w:rPr>
          <w:rFonts w:ascii="Arial" w:hAnsi="Arial"/>
          <w:b/>
          <w:spacing w:val="-3"/>
          <w:sz w:val="22"/>
        </w:rPr>
        <w:t> </w:t>
      </w:r>
      <w:r>
        <w:rPr>
          <w:rFonts w:ascii="Arial" w:hAnsi="Arial"/>
          <w:b/>
          <w:spacing w:val="-4"/>
          <w:sz w:val="22"/>
        </w:rPr>
        <w:t>N°</w:t>
      </w:r>
      <w:r>
        <w:rPr>
          <w:rFonts w:ascii="Arial" w:hAnsi="Arial"/>
          <w:b/>
          <w:spacing w:val="-1"/>
          <w:sz w:val="22"/>
        </w:rPr>
        <w:t> </w:t>
      </w:r>
      <w:r>
        <w:rPr>
          <w:rFonts w:ascii="Arial" w:hAnsi="Arial"/>
          <w:b/>
          <w:spacing w:val="-4"/>
          <w:sz w:val="22"/>
        </w:rPr>
        <w:t>2581</w:t>
      </w:r>
      <w:r>
        <w:rPr>
          <w:rFonts w:ascii="Arial" w:hAnsi="Arial"/>
          <w:b/>
          <w:sz w:val="22"/>
        </w:rPr>
        <w:tab/>
      </w:r>
      <w:r>
        <w:rPr>
          <w:sz w:val="22"/>
        </w:rPr>
        <w:t>Resuelve</w:t>
      </w:r>
      <w:r>
        <w:rPr>
          <w:spacing w:val="4"/>
          <w:sz w:val="22"/>
        </w:rPr>
        <w:t> </w:t>
      </w:r>
      <w:r>
        <w:rPr>
          <w:sz w:val="22"/>
        </w:rPr>
        <w:t>la</w:t>
      </w:r>
      <w:r>
        <w:rPr>
          <w:spacing w:val="7"/>
          <w:sz w:val="22"/>
        </w:rPr>
        <w:t> </w:t>
      </w:r>
      <w:r>
        <w:rPr>
          <w:sz w:val="22"/>
        </w:rPr>
        <w:t>solicitud</w:t>
      </w:r>
      <w:r>
        <w:rPr>
          <w:spacing w:val="7"/>
          <w:sz w:val="22"/>
        </w:rPr>
        <w:t> </w:t>
      </w:r>
      <w:r>
        <w:rPr>
          <w:sz w:val="22"/>
        </w:rPr>
        <w:t>de</w:t>
      </w:r>
      <w:r>
        <w:rPr>
          <w:spacing w:val="2"/>
          <w:sz w:val="22"/>
        </w:rPr>
        <w:t> </w:t>
      </w:r>
      <w:r>
        <w:rPr>
          <w:sz w:val="22"/>
        </w:rPr>
        <w:t>la</w:t>
      </w:r>
      <w:r>
        <w:rPr>
          <w:spacing w:val="7"/>
          <w:sz w:val="22"/>
        </w:rPr>
        <w:t> </w:t>
      </w:r>
      <w:r>
        <w:rPr>
          <w:sz w:val="22"/>
        </w:rPr>
        <w:t>República</w:t>
      </w:r>
      <w:r>
        <w:rPr>
          <w:spacing w:val="7"/>
          <w:sz w:val="22"/>
        </w:rPr>
        <w:t> </w:t>
      </w:r>
      <w:r>
        <w:rPr>
          <w:sz w:val="22"/>
        </w:rPr>
        <w:t>de</w:t>
      </w:r>
      <w:r>
        <w:rPr>
          <w:spacing w:val="7"/>
          <w:sz w:val="22"/>
        </w:rPr>
        <w:t> </w:t>
      </w:r>
      <w:r>
        <w:rPr>
          <w:spacing w:val="-2"/>
          <w:sz w:val="22"/>
        </w:rPr>
        <w:t>Colombia</w:t>
      </w:r>
    </w:p>
    <w:p>
      <w:pPr>
        <w:pStyle w:val="BodyText"/>
        <w:ind w:left="3830"/>
        <w:jc w:val="both"/>
      </w:pPr>
      <w:r>
        <w:rPr/>
        <w:t>contra</w:t>
      </w:r>
      <w:r>
        <w:rPr>
          <w:spacing w:val="-1"/>
        </w:rPr>
        <w:t> </w:t>
      </w:r>
      <w:r>
        <w:rPr/>
        <w:t>la</w:t>
      </w:r>
      <w:r>
        <w:rPr>
          <w:spacing w:val="-1"/>
        </w:rPr>
        <w:t> </w:t>
      </w:r>
      <w:r>
        <w:rPr/>
        <w:t>República</w:t>
      </w:r>
      <w:r>
        <w:rPr>
          <w:spacing w:val="-1"/>
        </w:rPr>
        <w:t> </w:t>
      </w:r>
      <w:r>
        <w:rPr/>
        <w:t>del</w:t>
      </w:r>
      <w:r>
        <w:rPr>
          <w:spacing w:val="-4"/>
        </w:rPr>
        <w:t> </w:t>
      </w:r>
      <w:r>
        <w:rPr/>
        <w:t>Ecuador,</w:t>
      </w:r>
      <w:r>
        <w:rPr>
          <w:spacing w:val="-2"/>
        </w:rPr>
        <w:t> </w:t>
      </w:r>
      <w:r>
        <w:rPr/>
        <w:t>sobre</w:t>
      </w:r>
      <w:r>
        <w:rPr>
          <w:spacing w:val="-1"/>
        </w:rPr>
        <w:t> </w:t>
      </w:r>
      <w:r>
        <w:rPr/>
        <w:t>calificación como restricción al comercio subregional andino respecto de la habilitación exclusiva del paso internacional</w:t>
      </w:r>
      <w:r>
        <w:rPr>
          <w:spacing w:val="-6"/>
        </w:rPr>
        <w:t> </w:t>
      </w:r>
      <w:r>
        <w:rPr/>
        <w:t>de</w:t>
      </w:r>
      <w:r>
        <w:rPr>
          <w:spacing w:val="-7"/>
        </w:rPr>
        <w:t> </w:t>
      </w:r>
      <w:r>
        <w:rPr/>
        <w:t>Rumichaca</w:t>
      </w:r>
      <w:r>
        <w:rPr>
          <w:spacing w:val="-5"/>
        </w:rPr>
        <w:t> </w:t>
      </w:r>
      <w:r>
        <w:rPr/>
        <w:t>para</w:t>
      </w:r>
      <w:r>
        <w:rPr>
          <w:spacing w:val="-6"/>
        </w:rPr>
        <w:t> </w:t>
      </w:r>
      <w:r>
        <w:rPr/>
        <w:t>la</w:t>
      </w:r>
      <w:r>
        <w:rPr>
          <w:spacing w:val="-5"/>
        </w:rPr>
        <w:t> </w:t>
      </w:r>
      <w:r>
        <w:rPr/>
        <w:t>importación</w:t>
      </w:r>
      <w:r>
        <w:rPr>
          <w:spacing w:val="-6"/>
        </w:rPr>
        <w:t> </w:t>
      </w:r>
      <w:r>
        <w:rPr>
          <w:spacing w:val="-5"/>
        </w:rPr>
        <w:t>de</w:t>
      </w:r>
    </w:p>
    <w:p>
      <w:pPr>
        <w:pStyle w:val="BodyText"/>
      </w:pPr>
      <w:r>
        <w:rPr/>
        <w:br w:type="column"/>
      </w:r>
      <w:r>
        <w:rPr/>
      </w:r>
    </w:p>
    <w:p>
      <w:pPr>
        <w:pStyle w:val="BodyText"/>
        <w:spacing w:before="209"/>
      </w:pPr>
    </w:p>
    <w:p>
      <w:pPr>
        <w:pStyle w:val="Heading6"/>
        <w:ind w:left="343"/>
      </w:pPr>
      <w:r>
        <w:rPr>
          <w:spacing w:val="-4"/>
        </w:rPr>
        <w:t>Pág.</w:t>
      </w:r>
    </w:p>
    <w:p>
      <w:pPr>
        <w:pStyle w:val="Heading6"/>
        <w:spacing w:after="0"/>
        <w:sectPr>
          <w:type w:val="continuous"/>
          <w:pgSz w:w="11900" w:h="16850"/>
          <w:pgMar w:top="380" w:bottom="280" w:left="992" w:right="283"/>
          <w:cols w:num="2" w:equalWidth="0">
            <w:col w:w="8793" w:space="40"/>
            <w:col w:w="1792"/>
          </w:cols>
        </w:sectPr>
      </w:pPr>
    </w:p>
    <w:p>
      <w:pPr>
        <w:pStyle w:val="BodyText"/>
        <w:spacing w:before="1"/>
        <w:ind w:left="3830"/>
        <w:jc w:val="both"/>
      </w:pPr>
      <w:r>
        <w:rPr/>
        <w:t>mercancías</w:t>
      </w:r>
      <w:r>
        <w:rPr>
          <w:spacing w:val="-5"/>
        </w:rPr>
        <w:t> </w:t>
      </w:r>
      <w:r>
        <w:rPr/>
        <w:t>de</w:t>
      </w:r>
      <w:r>
        <w:rPr>
          <w:spacing w:val="-2"/>
        </w:rPr>
        <w:t> </w:t>
      </w:r>
      <w:r>
        <w:rPr/>
        <w:t>procedencia</w:t>
      </w:r>
      <w:r>
        <w:rPr>
          <w:spacing w:val="-2"/>
        </w:rPr>
        <w:t> </w:t>
      </w:r>
      <w:r>
        <w:rPr/>
        <w:t>u</w:t>
      </w:r>
      <w:r>
        <w:rPr>
          <w:spacing w:val="-1"/>
        </w:rPr>
        <w:t> </w:t>
      </w:r>
      <w:r>
        <w:rPr/>
        <w:t>origen</w:t>
      </w:r>
      <w:r>
        <w:rPr>
          <w:spacing w:val="-4"/>
        </w:rPr>
        <w:t> </w:t>
      </w:r>
      <w:r>
        <w:rPr/>
        <w:t>colombiana</w:t>
      </w:r>
      <w:r>
        <w:rPr>
          <w:spacing w:val="62"/>
          <w:w w:val="150"/>
        </w:rPr>
        <w:t>    </w:t>
      </w:r>
      <w:r>
        <w:rPr>
          <w:spacing w:val="-10"/>
        </w:rPr>
        <w:t>1</w:t>
      </w:r>
    </w:p>
    <w:p>
      <w:pPr>
        <w:tabs>
          <w:tab w:pos="3830" w:val="left" w:leader="none"/>
        </w:tabs>
        <w:spacing w:line="252" w:lineRule="exact" w:before="253"/>
        <w:ind w:left="851" w:right="0" w:firstLine="0"/>
        <w:jc w:val="both"/>
        <w:rPr>
          <w:sz w:val="22"/>
        </w:rPr>
      </w:pPr>
      <w:r>
        <w:rPr>
          <w:rFonts w:ascii="Arial" w:hAnsi="Arial"/>
          <w:b/>
          <w:spacing w:val="-4"/>
          <w:sz w:val="22"/>
        </w:rPr>
        <w:t>RESOLUCIÓN</w:t>
      </w:r>
      <w:r>
        <w:rPr>
          <w:rFonts w:ascii="Arial" w:hAnsi="Arial"/>
          <w:b/>
          <w:spacing w:val="-3"/>
          <w:sz w:val="22"/>
        </w:rPr>
        <w:t> </w:t>
      </w:r>
      <w:r>
        <w:rPr>
          <w:rFonts w:ascii="Arial" w:hAnsi="Arial"/>
          <w:b/>
          <w:spacing w:val="-4"/>
          <w:sz w:val="22"/>
        </w:rPr>
        <w:t>N°</w:t>
      </w:r>
      <w:r>
        <w:rPr>
          <w:rFonts w:ascii="Arial" w:hAnsi="Arial"/>
          <w:b/>
          <w:spacing w:val="-1"/>
          <w:sz w:val="22"/>
        </w:rPr>
        <w:t> </w:t>
      </w:r>
      <w:r>
        <w:rPr>
          <w:rFonts w:ascii="Arial" w:hAnsi="Arial"/>
          <w:b/>
          <w:spacing w:val="-4"/>
          <w:sz w:val="22"/>
        </w:rPr>
        <w:t>2582</w:t>
      </w:r>
      <w:r>
        <w:rPr>
          <w:rFonts w:ascii="Arial" w:hAnsi="Arial"/>
          <w:b/>
          <w:sz w:val="22"/>
        </w:rPr>
        <w:tab/>
      </w:r>
      <w:r>
        <w:rPr>
          <w:sz w:val="22"/>
        </w:rPr>
        <w:t>Resuelve</w:t>
      </w:r>
      <w:r>
        <w:rPr>
          <w:spacing w:val="4"/>
          <w:sz w:val="22"/>
        </w:rPr>
        <w:t> </w:t>
      </w:r>
      <w:r>
        <w:rPr>
          <w:sz w:val="22"/>
        </w:rPr>
        <w:t>la</w:t>
      </w:r>
      <w:r>
        <w:rPr>
          <w:spacing w:val="7"/>
          <w:sz w:val="22"/>
        </w:rPr>
        <w:t> </w:t>
      </w:r>
      <w:r>
        <w:rPr>
          <w:sz w:val="22"/>
        </w:rPr>
        <w:t>solicitud</w:t>
      </w:r>
      <w:r>
        <w:rPr>
          <w:spacing w:val="7"/>
          <w:sz w:val="22"/>
        </w:rPr>
        <w:t> </w:t>
      </w:r>
      <w:r>
        <w:rPr>
          <w:sz w:val="22"/>
        </w:rPr>
        <w:t>de</w:t>
      </w:r>
      <w:r>
        <w:rPr>
          <w:spacing w:val="2"/>
          <w:sz w:val="22"/>
        </w:rPr>
        <w:t> </w:t>
      </w:r>
      <w:r>
        <w:rPr>
          <w:sz w:val="22"/>
        </w:rPr>
        <w:t>la</w:t>
      </w:r>
      <w:r>
        <w:rPr>
          <w:spacing w:val="7"/>
          <w:sz w:val="22"/>
        </w:rPr>
        <w:t> </w:t>
      </w:r>
      <w:r>
        <w:rPr>
          <w:sz w:val="22"/>
        </w:rPr>
        <w:t>República</w:t>
      </w:r>
      <w:r>
        <w:rPr>
          <w:spacing w:val="7"/>
          <w:sz w:val="22"/>
        </w:rPr>
        <w:t> </w:t>
      </w:r>
      <w:r>
        <w:rPr>
          <w:sz w:val="22"/>
        </w:rPr>
        <w:t>de</w:t>
      </w:r>
      <w:r>
        <w:rPr>
          <w:spacing w:val="7"/>
          <w:sz w:val="22"/>
        </w:rPr>
        <w:t> </w:t>
      </w:r>
      <w:r>
        <w:rPr>
          <w:spacing w:val="-2"/>
          <w:sz w:val="22"/>
        </w:rPr>
        <w:t>Colombia</w:t>
      </w:r>
    </w:p>
    <w:p>
      <w:pPr>
        <w:pStyle w:val="BodyText"/>
        <w:ind w:left="3830" w:right="1830"/>
        <w:jc w:val="both"/>
      </w:pPr>
      <w:r>
        <w:rPr/>
        <w:t>sobre calificación como gravamen de la tasa por servicio aduanero por concepto de control aduanero</w:t>
      </w:r>
      <w:r>
        <w:rPr>
          <w:spacing w:val="-5"/>
        </w:rPr>
        <w:t> </w:t>
      </w:r>
      <w:r>
        <w:rPr/>
        <w:t>impuesta</w:t>
      </w:r>
      <w:r>
        <w:rPr>
          <w:spacing w:val="-5"/>
        </w:rPr>
        <w:t> </w:t>
      </w:r>
      <w:r>
        <w:rPr/>
        <w:t>por</w:t>
      </w:r>
      <w:r>
        <w:rPr>
          <w:spacing w:val="-4"/>
        </w:rPr>
        <w:t> </w:t>
      </w:r>
      <w:r>
        <w:rPr/>
        <w:t>la</w:t>
      </w:r>
      <w:r>
        <w:rPr>
          <w:spacing w:val="-5"/>
        </w:rPr>
        <w:t> </w:t>
      </w:r>
      <w:r>
        <w:rPr/>
        <w:t>República</w:t>
      </w:r>
      <w:r>
        <w:rPr>
          <w:spacing w:val="-5"/>
        </w:rPr>
        <w:t> </w:t>
      </w:r>
      <w:r>
        <w:rPr/>
        <w:t>del</w:t>
      </w:r>
      <w:r>
        <w:rPr>
          <w:spacing w:val="-5"/>
        </w:rPr>
        <w:t> </w:t>
      </w:r>
      <w:r>
        <w:rPr/>
        <w:t>Ecuador</w:t>
      </w:r>
      <w:r>
        <w:rPr>
          <w:spacing w:val="-4"/>
        </w:rPr>
        <w:t> </w:t>
      </w:r>
      <w:r>
        <w:rPr/>
        <w:t>a las</w:t>
      </w:r>
      <w:r>
        <w:rPr>
          <w:spacing w:val="22"/>
        </w:rPr>
        <w:t> </w:t>
      </w:r>
      <w:r>
        <w:rPr/>
        <w:t>mercancías</w:t>
      </w:r>
      <w:r>
        <w:rPr>
          <w:spacing w:val="20"/>
        </w:rPr>
        <w:t> </w:t>
      </w:r>
      <w:r>
        <w:rPr/>
        <w:t>que</w:t>
      </w:r>
      <w:r>
        <w:rPr>
          <w:spacing w:val="22"/>
        </w:rPr>
        <w:t> </w:t>
      </w:r>
      <w:r>
        <w:rPr/>
        <w:t>provengan</w:t>
      </w:r>
      <w:r>
        <w:rPr>
          <w:spacing w:val="22"/>
        </w:rPr>
        <w:t> </w:t>
      </w:r>
      <w:r>
        <w:rPr/>
        <w:t>o</w:t>
      </w:r>
      <w:r>
        <w:rPr>
          <w:spacing w:val="20"/>
        </w:rPr>
        <w:t> </w:t>
      </w:r>
      <w:r>
        <w:rPr/>
        <w:t>sean</w:t>
      </w:r>
      <w:r>
        <w:rPr>
          <w:spacing w:val="20"/>
        </w:rPr>
        <w:t> </w:t>
      </w:r>
      <w:r>
        <w:rPr>
          <w:spacing w:val="-2"/>
        </w:rPr>
        <w:t>originarias</w:t>
      </w:r>
    </w:p>
    <w:p>
      <w:pPr>
        <w:pStyle w:val="BodyText"/>
        <w:tabs>
          <w:tab w:pos="9217" w:val="left" w:leader="dot"/>
        </w:tabs>
        <w:spacing w:before="1"/>
        <w:ind w:left="3830"/>
        <w:jc w:val="both"/>
      </w:pPr>
      <w:r>
        <w:rPr/>
        <w:t>de</w:t>
      </w:r>
      <w:r>
        <w:rPr>
          <w:spacing w:val="-4"/>
        </w:rPr>
        <w:t> </w:t>
      </w:r>
      <w:r>
        <w:rPr/>
        <w:t>la</w:t>
      </w:r>
      <w:r>
        <w:rPr>
          <w:spacing w:val="-3"/>
        </w:rPr>
        <w:t> </w:t>
      </w:r>
      <w:r>
        <w:rPr/>
        <w:t>República</w:t>
      </w:r>
      <w:r>
        <w:rPr>
          <w:spacing w:val="-4"/>
        </w:rPr>
        <w:t> </w:t>
      </w:r>
      <w:r>
        <w:rPr/>
        <w:t>de</w:t>
      </w:r>
      <w:r>
        <w:rPr>
          <w:spacing w:val="-2"/>
        </w:rPr>
        <w:t> Colombia</w:t>
      </w:r>
      <w:r>
        <w:rPr/>
        <w:tab/>
      </w:r>
      <w:r>
        <w:rPr>
          <w:spacing w:val="-5"/>
        </w:rPr>
        <w:t>34</w:t>
      </w:r>
    </w:p>
    <w:p>
      <w:pPr>
        <w:tabs>
          <w:tab w:pos="3830" w:val="left" w:leader="none"/>
        </w:tabs>
        <w:spacing w:line="252" w:lineRule="exact" w:before="253"/>
        <w:ind w:left="851" w:right="0" w:firstLine="0"/>
        <w:jc w:val="left"/>
        <w:rPr>
          <w:sz w:val="22"/>
        </w:rPr>
      </w:pPr>
      <w:r>
        <w:rPr>
          <w:rFonts w:ascii="Arial" w:hAnsi="Arial"/>
          <w:b/>
          <w:spacing w:val="-4"/>
          <w:sz w:val="22"/>
        </w:rPr>
        <w:t>RESOLUCIÓN</w:t>
      </w:r>
      <w:r>
        <w:rPr>
          <w:rFonts w:ascii="Arial" w:hAnsi="Arial"/>
          <w:b/>
          <w:spacing w:val="-3"/>
          <w:sz w:val="22"/>
        </w:rPr>
        <w:t> </w:t>
      </w:r>
      <w:r>
        <w:rPr>
          <w:rFonts w:ascii="Arial" w:hAnsi="Arial"/>
          <w:b/>
          <w:spacing w:val="-4"/>
          <w:sz w:val="22"/>
        </w:rPr>
        <w:t>N°</w:t>
      </w:r>
      <w:r>
        <w:rPr>
          <w:rFonts w:ascii="Arial" w:hAnsi="Arial"/>
          <w:b/>
          <w:spacing w:val="-1"/>
          <w:sz w:val="22"/>
        </w:rPr>
        <w:t> </w:t>
      </w:r>
      <w:r>
        <w:rPr>
          <w:rFonts w:ascii="Arial" w:hAnsi="Arial"/>
          <w:b/>
          <w:spacing w:val="-4"/>
          <w:sz w:val="22"/>
        </w:rPr>
        <w:t>2583</w:t>
      </w:r>
      <w:r>
        <w:rPr>
          <w:rFonts w:ascii="Arial" w:hAnsi="Arial"/>
          <w:b/>
          <w:sz w:val="22"/>
        </w:rPr>
        <w:tab/>
      </w:r>
      <w:r>
        <w:rPr>
          <w:sz w:val="22"/>
        </w:rPr>
        <w:t>Resuelve</w:t>
      </w:r>
      <w:r>
        <w:rPr>
          <w:spacing w:val="6"/>
          <w:sz w:val="22"/>
        </w:rPr>
        <w:t> </w:t>
      </w:r>
      <w:r>
        <w:rPr>
          <w:sz w:val="22"/>
        </w:rPr>
        <w:t>la</w:t>
      </w:r>
      <w:r>
        <w:rPr>
          <w:spacing w:val="7"/>
          <w:sz w:val="22"/>
        </w:rPr>
        <w:t> </w:t>
      </w:r>
      <w:r>
        <w:rPr>
          <w:sz w:val="22"/>
        </w:rPr>
        <w:t>solicitud</w:t>
      </w:r>
      <w:r>
        <w:rPr>
          <w:spacing w:val="6"/>
          <w:sz w:val="22"/>
        </w:rPr>
        <w:t> </w:t>
      </w:r>
      <w:r>
        <w:rPr>
          <w:sz w:val="22"/>
        </w:rPr>
        <w:t>de</w:t>
      </w:r>
      <w:r>
        <w:rPr>
          <w:spacing w:val="2"/>
          <w:sz w:val="22"/>
        </w:rPr>
        <w:t> </w:t>
      </w:r>
      <w:r>
        <w:rPr>
          <w:sz w:val="22"/>
        </w:rPr>
        <w:t>la</w:t>
      </w:r>
      <w:r>
        <w:rPr>
          <w:spacing w:val="7"/>
          <w:sz w:val="22"/>
        </w:rPr>
        <w:t> </w:t>
      </w:r>
      <w:r>
        <w:rPr>
          <w:sz w:val="22"/>
        </w:rPr>
        <w:t>República</w:t>
      </w:r>
      <w:r>
        <w:rPr>
          <w:spacing w:val="7"/>
          <w:sz w:val="22"/>
        </w:rPr>
        <w:t> </w:t>
      </w:r>
      <w:r>
        <w:rPr>
          <w:sz w:val="22"/>
        </w:rPr>
        <w:t>del</w:t>
      </w:r>
      <w:r>
        <w:rPr>
          <w:spacing w:val="6"/>
          <w:sz w:val="22"/>
        </w:rPr>
        <w:t> </w:t>
      </w:r>
      <w:r>
        <w:rPr>
          <w:spacing w:val="-2"/>
          <w:sz w:val="22"/>
        </w:rPr>
        <w:t>Ecuador,</w:t>
      </w:r>
    </w:p>
    <w:p>
      <w:pPr>
        <w:pStyle w:val="BodyText"/>
        <w:tabs>
          <w:tab w:pos="9217" w:val="left" w:leader="dot"/>
        </w:tabs>
        <w:ind w:left="3830" w:right="1166"/>
      </w:pPr>
      <w:r>
        <w:rPr/>
        <w:t>sobre la calificación como gravamen y restricciones impuestas</w:t>
      </w:r>
      <w:r>
        <w:rPr>
          <w:spacing w:val="40"/>
        </w:rPr>
        <w:t> </w:t>
      </w:r>
      <w:r>
        <w:rPr/>
        <w:t>por</w:t>
      </w:r>
      <w:r>
        <w:rPr>
          <w:spacing w:val="40"/>
        </w:rPr>
        <w:t> </w:t>
      </w:r>
      <w:r>
        <w:rPr/>
        <w:t>la</w:t>
      </w:r>
      <w:r>
        <w:rPr>
          <w:spacing w:val="40"/>
        </w:rPr>
        <w:t> </w:t>
      </w:r>
      <w:r>
        <w:rPr/>
        <w:t>República</w:t>
      </w:r>
      <w:r>
        <w:rPr>
          <w:spacing w:val="40"/>
        </w:rPr>
        <w:t> </w:t>
      </w:r>
      <w:r>
        <w:rPr/>
        <w:t>de</w:t>
      </w:r>
      <w:r>
        <w:rPr>
          <w:spacing w:val="40"/>
        </w:rPr>
        <w:t> </w:t>
      </w:r>
      <w:r>
        <w:rPr/>
        <w:t>Colombia</w:t>
      </w:r>
      <w:r>
        <w:rPr>
          <w:spacing w:val="40"/>
        </w:rPr>
        <w:t> </w:t>
      </w:r>
      <w:r>
        <w:rPr/>
        <w:t>a</w:t>
      </w:r>
      <w:r>
        <w:rPr>
          <w:spacing w:val="40"/>
        </w:rPr>
        <w:t> </w:t>
      </w:r>
      <w:r>
        <w:rPr/>
        <w:t>las mercancías que provengan y sean originarias de la República del Ecuador</w:t>
        <w:tab/>
      </w:r>
      <w:r>
        <w:rPr>
          <w:spacing w:val="-8"/>
        </w:rPr>
        <w:t>73</w:t>
      </w:r>
    </w:p>
    <w:p>
      <w:pPr>
        <w:tabs>
          <w:tab w:pos="3830" w:val="left" w:leader="none"/>
        </w:tabs>
        <w:spacing w:before="253"/>
        <w:ind w:left="851" w:right="0" w:firstLine="0"/>
        <w:jc w:val="left"/>
        <w:rPr>
          <w:sz w:val="22"/>
        </w:rPr>
      </w:pPr>
      <w:r>
        <w:rPr>
          <w:rFonts w:ascii="Arial" w:hAnsi="Arial"/>
          <w:b/>
          <w:spacing w:val="-4"/>
          <w:sz w:val="22"/>
        </w:rPr>
        <w:t>RESOLUCIÓN</w:t>
      </w:r>
      <w:r>
        <w:rPr>
          <w:rFonts w:ascii="Arial" w:hAnsi="Arial"/>
          <w:b/>
          <w:spacing w:val="-3"/>
          <w:sz w:val="22"/>
        </w:rPr>
        <w:t> </w:t>
      </w:r>
      <w:r>
        <w:rPr>
          <w:rFonts w:ascii="Arial" w:hAnsi="Arial"/>
          <w:b/>
          <w:spacing w:val="-4"/>
          <w:sz w:val="22"/>
        </w:rPr>
        <w:t>N°</w:t>
      </w:r>
      <w:r>
        <w:rPr>
          <w:rFonts w:ascii="Arial" w:hAnsi="Arial"/>
          <w:b/>
          <w:spacing w:val="-1"/>
          <w:sz w:val="22"/>
        </w:rPr>
        <w:t> </w:t>
      </w:r>
      <w:r>
        <w:rPr>
          <w:rFonts w:ascii="Arial" w:hAnsi="Arial"/>
          <w:b/>
          <w:spacing w:val="-4"/>
          <w:sz w:val="22"/>
        </w:rPr>
        <w:t>2584</w:t>
      </w:r>
      <w:r>
        <w:rPr>
          <w:rFonts w:ascii="Arial" w:hAnsi="Arial"/>
          <w:b/>
          <w:sz w:val="22"/>
        </w:rPr>
        <w:tab/>
      </w:r>
      <w:r>
        <w:rPr>
          <w:sz w:val="22"/>
        </w:rPr>
        <w:t>Precios</w:t>
      </w:r>
      <w:r>
        <w:rPr>
          <w:spacing w:val="53"/>
          <w:w w:val="150"/>
          <w:sz w:val="22"/>
        </w:rPr>
        <w:t> </w:t>
      </w:r>
      <w:r>
        <w:rPr>
          <w:sz w:val="22"/>
        </w:rPr>
        <w:t>de</w:t>
      </w:r>
      <w:r>
        <w:rPr>
          <w:spacing w:val="53"/>
          <w:w w:val="150"/>
          <w:sz w:val="22"/>
        </w:rPr>
        <w:t> </w:t>
      </w:r>
      <w:r>
        <w:rPr>
          <w:sz w:val="22"/>
        </w:rPr>
        <w:t>Referencia</w:t>
      </w:r>
      <w:r>
        <w:rPr>
          <w:spacing w:val="50"/>
          <w:w w:val="150"/>
          <w:sz w:val="22"/>
        </w:rPr>
        <w:t> </w:t>
      </w:r>
      <w:r>
        <w:rPr>
          <w:sz w:val="22"/>
        </w:rPr>
        <w:t>del</w:t>
      </w:r>
      <w:r>
        <w:rPr>
          <w:spacing w:val="53"/>
          <w:w w:val="150"/>
          <w:sz w:val="22"/>
        </w:rPr>
        <w:t> </w:t>
      </w:r>
      <w:r>
        <w:rPr>
          <w:sz w:val="22"/>
        </w:rPr>
        <w:t>Sistema</w:t>
      </w:r>
      <w:r>
        <w:rPr>
          <w:spacing w:val="51"/>
          <w:w w:val="150"/>
          <w:sz w:val="22"/>
        </w:rPr>
        <w:t> </w:t>
      </w:r>
      <w:r>
        <w:rPr>
          <w:sz w:val="22"/>
        </w:rPr>
        <w:t>Andino</w:t>
      </w:r>
      <w:r>
        <w:rPr>
          <w:spacing w:val="50"/>
          <w:w w:val="150"/>
          <w:sz w:val="22"/>
        </w:rPr>
        <w:t> </w:t>
      </w:r>
      <w:r>
        <w:rPr>
          <w:spacing w:val="-5"/>
          <w:sz w:val="22"/>
        </w:rPr>
        <w:t>de</w:t>
      </w:r>
    </w:p>
    <w:p>
      <w:pPr>
        <w:pStyle w:val="BodyText"/>
        <w:spacing w:line="252" w:lineRule="exact" w:before="1"/>
        <w:ind w:left="3830"/>
      </w:pPr>
      <w:r>
        <w:rPr/>
        <w:t>Franjas</w:t>
      </w:r>
      <w:r>
        <w:rPr>
          <w:spacing w:val="14"/>
        </w:rPr>
        <w:t> </w:t>
      </w:r>
      <w:r>
        <w:rPr/>
        <w:t>de</w:t>
      </w:r>
      <w:r>
        <w:rPr>
          <w:spacing w:val="15"/>
        </w:rPr>
        <w:t> </w:t>
      </w:r>
      <w:r>
        <w:rPr/>
        <w:t>Precios</w:t>
      </w:r>
      <w:r>
        <w:rPr>
          <w:spacing w:val="18"/>
        </w:rPr>
        <w:t> </w:t>
      </w:r>
      <w:r>
        <w:rPr/>
        <w:t>para</w:t>
      </w:r>
      <w:r>
        <w:rPr>
          <w:spacing w:val="15"/>
        </w:rPr>
        <w:t> </w:t>
      </w:r>
      <w:r>
        <w:rPr/>
        <w:t>la</w:t>
      </w:r>
      <w:r>
        <w:rPr>
          <w:spacing w:val="67"/>
          <w:w w:val="150"/>
        </w:rPr>
        <w:t> </w:t>
      </w:r>
      <w:r>
        <w:rPr/>
        <w:t>segunda</w:t>
      </w:r>
      <w:r>
        <w:rPr>
          <w:spacing w:val="16"/>
        </w:rPr>
        <w:t> </w:t>
      </w:r>
      <w:r>
        <w:rPr/>
        <w:t>quincena</w:t>
      </w:r>
      <w:r>
        <w:rPr>
          <w:spacing w:val="15"/>
        </w:rPr>
        <w:t> </w:t>
      </w:r>
      <w:r>
        <w:rPr>
          <w:spacing w:val="-5"/>
        </w:rPr>
        <w:t>de</w:t>
      </w:r>
    </w:p>
    <w:p>
      <w:pPr>
        <w:pStyle w:val="BodyText"/>
        <w:tabs>
          <w:tab w:pos="9217" w:val="left" w:leader="dot"/>
        </w:tabs>
        <w:spacing w:line="252" w:lineRule="exact"/>
        <w:ind w:left="3830"/>
      </w:pPr>
      <w:r>
        <w:rPr/>
        <mc:AlternateContent>
          <mc:Choice Requires="wps">
            <w:drawing>
              <wp:anchor distT="0" distB="0" distL="0" distR="0" allowOverlap="1" layoutInCell="1" locked="0" behindDoc="0" simplePos="0" relativeHeight="15730688">
                <wp:simplePos x="0" y="0"/>
                <wp:positionH relativeFrom="page">
                  <wp:posOffset>966469</wp:posOffset>
                </wp:positionH>
                <wp:positionV relativeFrom="paragraph">
                  <wp:posOffset>275804</wp:posOffset>
                </wp:positionV>
                <wp:extent cx="5788025" cy="1270"/>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5788025" cy="1270"/>
                        </a:xfrm>
                        <a:custGeom>
                          <a:avLst/>
                          <a:gdLst/>
                          <a:ahLst/>
                          <a:cxnLst/>
                          <a:rect l="l" t="t" r="r" b="b"/>
                          <a:pathLst>
                            <a:path w="5788025" h="0">
                              <a:moveTo>
                                <a:pt x="0" y="0"/>
                              </a:moveTo>
                              <a:lnTo>
                                <a:pt x="5788025"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0688" from="76.099998pt,21.716887pt" to="531.849998pt,21.716887pt" stroked="true" strokeweight=".5pt" strokecolor="#000000">
                <v:stroke dashstyle="solid"/>
                <w10:wrap type="none"/>
              </v:line>
            </w:pict>
          </mc:Fallback>
        </mc:AlternateContent>
      </w:r>
      <w:r>
        <w:rPr/>
        <w:t>mayo</w:t>
      </w:r>
      <w:r>
        <w:rPr>
          <w:spacing w:val="-2"/>
        </w:rPr>
        <w:t> </w:t>
      </w:r>
      <w:r>
        <w:rPr/>
        <w:t>de</w:t>
      </w:r>
      <w:r>
        <w:rPr>
          <w:spacing w:val="-3"/>
        </w:rPr>
        <w:t> </w:t>
      </w:r>
      <w:r>
        <w:rPr>
          <w:spacing w:val="-4"/>
        </w:rPr>
        <w:t>2026</w:t>
      </w:r>
      <w:r>
        <w:rPr/>
        <w:tab/>
      </w:r>
      <w:r>
        <w:rPr>
          <w:spacing w:val="-5"/>
        </w:rPr>
        <w:t>146</w:t>
      </w:r>
    </w:p>
    <w:p>
      <w:pPr>
        <w:spacing w:before="484"/>
        <w:ind w:left="-1" w:right="411" w:firstLine="0"/>
        <w:jc w:val="center"/>
        <w:rPr>
          <w:rFonts w:ascii="Arial" w:hAnsi="Arial"/>
          <w:b/>
          <w:sz w:val="22"/>
        </w:rPr>
      </w:pPr>
      <w:r>
        <w:rPr>
          <w:rFonts w:ascii="Arial" w:hAnsi="Arial"/>
          <w:b/>
          <w:sz w:val="22"/>
        </w:rPr>
        <w:t>RESOLUCIÓN</w:t>
      </w:r>
      <w:r>
        <w:rPr>
          <w:rFonts w:ascii="Arial" w:hAnsi="Arial"/>
          <w:b/>
          <w:spacing w:val="-8"/>
          <w:sz w:val="22"/>
        </w:rPr>
        <w:t> </w:t>
      </w:r>
      <w:r>
        <w:rPr>
          <w:rFonts w:ascii="Arial" w:hAnsi="Arial"/>
          <w:b/>
          <w:sz w:val="22"/>
        </w:rPr>
        <w:t>N°</w:t>
      </w:r>
      <w:r>
        <w:rPr>
          <w:rFonts w:ascii="Arial" w:hAnsi="Arial"/>
          <w:b/>
          <w:spacing w:val="-6"/>
          <w:sz w:val="22"/>
        </w:rPr>
        <w:t> </w:t>
      </w:r>
      <w:r>
        <w:rPr>
          <w:rFonts w:ascii="Arial" w:hAnsi="Arial"/>
          <w:b/>
          <w:spacing w:val="-4"/>
          <w:sz w:val="22"/>
        </w:rPr>
        <w:t>2581</w:t>
      </w:r>
    </w:p>
    <w:p>
      <w:pPr>
        <w:pStyle w:val="Heading6"/>
        <w:spacing w:before="114"/>
        <w:ind w:left="750" w:right="1168"/>
        <w:jc w:val="center"/>
      </w:pPr>
      <w:r>
        <w:rPr/>
        <w:t>Resuelve</w:t>
      </w:r>
      <w:r>
        <w:rPr>
          <w:spacing w:val="-2"/>
        </w:rPr>
        <w:t> </w:t>
      </w:r>
      <w:r>
        <w:rPr/>
        <w:t>la</w:t>
      </w:r>
      <w:r>
        <w:rPr>
          <w:spacing w:val="-4"/>
        </w:rPr>
        <w:t> </w:t>
      </w:r>
      <w:r>
        <w:rPr/>
        <w:t>solicitud</w:t>
      </w:r>
      <w:r>
        <w:rPr>
          <w:spacing w:val="-5"/>
        </w:rPr>
        <w:t> </w:t>
      </w:r>
      <w:r>
        <w:rPr/>
        <w:t>de</w:t>
      </w:r>
      <w:r>
        <w:rPr>
          <w:spacing w:val="-2"/>
        </w:rPr>
        <w:t> </w:t>
      </w:r>
      <w:r>
        <w:rPr/>
        <w:t>la</w:t>
      </w:r>
      <w:r>
        <w:rPr>
          <w:spacing w:val="-4"/>
        </w:rPr>
        <w:t> </w:t>
      </w:r>
      <w:r>
        <w:rPr/>
        <w:t>República</w:t>
      </w:r>
      <w:r>
        <w:rPr>
          <w:spacing w:val="-2"/>
        </w:rPr>
        <w:t> </w:t>
      </w:r>
      <w:r>
        <w:rPr/>
        <w:t>de</w:t>
      </w:r>
      <w:r>
        <w:rPr>
          <w:spacing w:val="-5"/>
        </w:rPr>
        <w:t> </w:t>
      </w:r>
      <w:r>
        <w:rPr/>
        <w:t>Colombia</w:t>
      </w:r>
      <w:r>
        <w:rPr>
          <w:spacing w:val="-4"/>
        </w:rPr>
        <w:t> </w:t>
      </w:r>
      <w:r>
        <w:rPr/>
        <w:t>contra</w:t>
      </w:r>
      <w:r>
        <w:rPr>
          <w:spacing w:val="-4"/>
        </w:rPr>
        <w:t> </w:t>
      </w:r>
      <w:r>
        <w:rPr/>
        <w:t>la</w:t>
      </w:r>
      <w:r>
        <w:rPr>
          <w:spacing w:val="-4"/>
        </w:rPr>
        <w:t> </w:t>
      </w:r>
      <w:r>
        <w:rPr/>
        <w:t>República</w:t>
      </w:r>
      <w:r>
        <w:rPr>
          <w:spacing w:val="-2"/>
        </w:rPr>
        <w:t> </w:t>
      </w:r>
      <w:r>
        <w:rPr/>
        <w:t>del</w:t>
      </w:r>
      <w:r>
        <w:rPr>
          <w:spacing w:val="-3"/>
        </w:rPr>
        <w:t> </w:t>
      </w:r>
      <w:r>
        <w:rPr/>
        <w:t>Ecuador, sobre calificación como restricción al comercio subregional andino respecto de la habilitación exclusiva del paso internacional de Rumichaca para la importación de mercancías de procedencia u origen colombiana.</w:t>
      </w:r>
    </w:p>
    <w:p>
      <w:pPr>
        <w:pStyle w:val="BodyText"/>
        <w:spacing w:before="2"/>
        <w:rPr>
          <w:rFonts w:ascii="Arial"/>
          <w:b/>
          <w:sz w:val="20"/>
        </w:rPr>
      </w:pPr>
      <w:r>
        <w:rPr>
          <w:rFonts w:ascii="Arial"/>
          <w:b/>
          <w:sz w:val="20"/>
        </w:rPr>
        <mc:AlternateContent>
          <mc:Choice Requires="wps">
            <w:drawing>
              <wp:anchor distT="0" distB="0" distL="0" distR="0" allowOverlap="1" layoutInCell="1" locked="0" behindDoc="1" simplePos="0" relativeHeight="487588864">
                <wp:simplePos x="0" y="0"/>
                <wp:positionH relativeFrom="page">
                  <wp:posOffset>972616</wp:posOffset>
                </wp:positionH>
                <wp:positionV relativeFrom="paragraph">
                  <wp:posOffset>162786</wp:posOffset>
                </wp:positionV>
                <wp:extent cx="5798820" cy="635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5798820" cy="6350"/>
                        </a:xfrm>
                        <a:custGeom>
                          <a:avLst/>
                          <a:gdLst/>
                          <a:ahLst/>
                          <a:cxnLst/>
                          <a:rect l="l" t="t" r="r" b="b"/>
                          <a:pathLst>
                            <a:path w="5798820" h="6350">
                              <a:moveTo>
                                <a:pt x="5798566" y="0"/>
                              </a:moveTo>
                              <a:lnTo>
                                <a:pt x="0" y="0"/>
                              </a:lnTo>
                              <a:lnTo>
                                <a:pt x="0" y="6095"/>
                              </a:lnTo>
                              <a:lnTo>
                                <a:pt x="5798566" y="6095"/>
                              </a:lnTo>
                              <a:lnTo>
                                <a:pt x="579856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6.584pt;margin-top:12.817812pt;width:456.58pt;height:.47998pt;mso-position-horizontal-relative:page;mso-position-vertical-relative:paragraph;z-index:-15727616;mso-wrap-distance-left:0;mso-wrap-distance-right:0" id="docshape5" filled="true" fillcolor="#000000" stroked="false">
                <v:fill type="solid"/>
                <w10:wrap type="topAndBottom"/>
              </v:rect>
            </w:pict>
          </mc:Fallback>
        </mc:AlternateContent>
      </w:r>
    </w:p>
    <w:p>
      <w:pPr>
        <w:pStyle w:val="Heading5"/>
        <w:spacing w:before="247"/>
        <w:ind w:left="568"/>
      </w:pPr>
      <w:r>
        <w:rPr/>
        <w:t>LA</w:t>
      </w:r>
      <w:r>
        <w:rPr>
          <w:spacing w:val="-7"/>
        </w:rPr>
        <w:t> </w:t>
      </w:r>
      <w:r>
        <w:rPr/>
        <w:t>SECRETARÍA</w:t>
      </w:r>
      <w:r>
        <w:rPr>
          <w:spacing w:val="-9"/>
        </w:rPr>
        <w:t> </w:t>
      </w:r>
      <w:r>
        <w:rPr/>
        <w:t>GENERAL</w:t>
      </w:r>
      <w:r>
        <w:rPr>
          <w:spacing w:val="-5"/>
        </w:rPr>
        <w:t> </w:t>
      </w:r>
      <w:r>
        <w:rPr/>
        <w:t>DE</w:t>
      </w:r>
      <w:r>
        <w:rPr>
          <w:spacing w:val="-7"/>
        </w:rPr>
        <w:t> </w:t>
      </w:r>
      <w:r>
        <w:rPr/>
        <w:t>LA</w:t>
      </w:r>
      <w:r>
        <w:rPr>
          <w:spacing w:val="-4"/>
        </w:rPr>
        <w:t> </w:t>
      </w:r>
      <w:r>
        <w:rPr/>
        <w:t>COMUNIDAD</w:t>
      </w:r>
      <w:r>
        <w:rPr>
          <w:spacing w:val="-8"/>
        </w:rPr>
        <w:t> </w:t>
      </w:r>
      <w:r>
        <w:rPr>
          <w:spacing w:val="-2"/>
        </w:rPr>
        <w:t>ANDINA;</w:t>
      </w:r>
    </w:p>
    <w:p>
      <w:pPr>
        <w:pStyle w:val="BodyText"/>
        <w:spacing w:before="193"/>
        <w:ind w:left="568" w:right="982" w:firstLine="283"/>
        <w:jc w:val="both"/>
      </w:pPr>
      <w:r>
        <w:rPr>
          <w:rFonts w:ascii="Arial" w:hAnsi="Arial"/>
          <w:b/>
        </w:rPr>
        <w:t>VISTOS: </w:t>
      </w:r>
      <w:r>
        <w:rPr/>
        <w:t>Los artículos 72, 73, 74 y 77 del Acuerdo de Cartagena; la Decisión 425, Reglamento de Procedimientos Administrativos de la Secretaría General de la Comunidad Andina; y,</w:t>
      </w:r>
    </w:p>
    <w:p>
      <w:pPr>
        <w:pStyle w:val="Heading5"/>
        <w:spacing w:before="185"/>
        <w:ind w:left="851"/>
      </w:pPr>
      <w:r>
        <w:rPr>
          <w:spacing w:val="-2"/>
        </w:rPr>
        <w:t>CONSIDERANDO:</w:t>
      </w:r>
    </w:p>
    <w:p>
      <w:pPr>
        <w:pStyle w:val="BodyText"/>
        <w:rPr>
          <w:rFonts w:ascii="Arial"/>
          <w:b/>
        </w:rPr>
      </w:pPr>
    </w:p>
    <w:p>
      <w:pPr>
        <w:pStyle w:val="ListParagraph"/>
        <w:numPr>
          <w:ilvl w:val="0"/>
          <w:numId w:val="1"/>
        </w:numPr>
        <w:tabs>
          <w:tab w:pos="1137" w:val="left" w:leader="none"/>
        </w:tabs>
        <w:spacing w:line="240" w:lineRule="auto" w:before="0" w:after="0"/>
        <w:ind w:left="1137" w:right="0" w:hanging="358"/>
        <w:jc w:val="left"/>
        <w:rPr>
          <w:rFonts w:ascii="Arial"/>
          <w:b/>
          <w:sz w:val="22"/>
        </w:rPr>
      </w:pPr>
      <w:r>
        <w:rPr>
          <w:rFonts w:ascii="Arial"/>
          <w:b/>
          <w:spacing w:val="-2"/>
          <w:sz w:val="22"/>
        </w:rPr>
        <w:t>ANTECEDENTES</w:t>
      </w:r>
    </w:p>
    <w:p>
      <w:pPr>
        <w:pStyle w:val="BodyText"/>
        <w:rPr>
          <w:rFonts w:ascii="Arial"/>
          <w:b/>
        </w:rPr>
      </w:pPr>
    </w:p>
    <w:p>
      <w:pPr>
        <w:pStyle w:val="ListParagraph"/>
        <w:numPr>
          <w:ilvl w:val="0"/>
          <w:numId w:val="2"/>
        </w:numPr>
        <w:tabs>
          <w:tab w:pos="1420" w:val="left" w:leader="none"/>
        </w:tabs>
        <w:spacing w:line="240" w:lineRule="auto" w:before="1" w:after="0"/>
        <w:ind w:left="1420" w:right="975" w:hanging="852"/>
        <w:jc w:val="both"/>
        <w:rPr>
          <w:sz w:val="22"/>
        </w:rPr>
      </w:pPr>
      <w:r>
        <w:rPr>
          <w:sz w:val="22"/>
        </w:rPr>
        <w:t>Que, la República de Colombia mediante Radicado N.º 2-2026-003208 de fecha 06 de febrero de 2026, recibido en la Secretaría General de la Comunidad Andina (en adelante,</w:t>
      </w:r>
      <w:r>
        <w:rPr>
          <w:spacing w:val="-3"/>
          <w:sz w:val="22"/>
        </w:rPr>
        <w:t> </w:t>
      </w:r>
      <w:r>
        <w:rPr>
          <w:rFonts w:ascii="Arial" w:hAnsi="Arial"/>
          <w:b/>
          <w:sz w:val="22"/>
        </w:rPr>
        <w:t>SGCAN</w:t>
      </w:r>
      <w:r>
        <w:rPr>
          <w:sz w:val="22"/>
        </w:rPr>
        <w:t>)</w:t>
      </w:r>
      <w:r>
        <w:rPr>
          <w:spacing w:val="-5"/>
          <w:sz w:val="22"/>
        </w:rPr>
        <w:t> </w:t>
      </w:r>
      <w:r>
        <w:rPr>
          <w:sz w:val="22"/>
        </w:rPr>
        <w:t>el</w:t>
      </w:r>
      <w:r>
        <w:rPr>
          <w:spacing w:val="-5"/>
          <w:sz w:val="22"/>
        </w:rPr>
        <w:t> </w:t>
      </w:r>
      <w:r>
        <w:rPr>
          <w:sz w:val="22"/>
        </w:rPr>
        <w:t>09</w:t>
      </w:r>
      <w:r>
        <w:rPr>
          <w:spacing w:val="-7"/>
          <w:sz w:val="22"/>
        </w:rPr>
        <w:t> </w:t>
      </w:r>
      <w:r>
        <w:rPr>
          <w:sz w:val="22"/>
        </w:rPr>
        <w:t>de</w:t>
      </w:r>
      <w:r>
        <w:rPr>
          <w:spacing w:val="-4"/>
          <w:sz w:val="22"/>
        </w:rPr>
        <w:t> </w:t>
      </w:r>
      <w:r>
        <w:rPr>
          <w:sz w:val="22"/>
        </w:rPr>
        <w:t>febrero</w:t>
      </w:r>
      <w:r>
        <w:rPr>
          <w:spacing w:val="-4"/>
          <w:sz w:val="22"/>
        </w:rPr>
        <w:t> </w:t>
      </w:r>
      <w:r>
        <w:rPr>
          <w:sz w:val="22"/>
        </w:rPr>
        <w:t>de</w:t>
      </w:r>
      <w:r>
        <w:rPr>
          <w:spacing w:val="-4"/>
          <w:sz w:val="22"/>
        </w:rPr>
        <w:t> </w:t>
      </w:r>
      <w:r>
        <w:rPr>
          <w:sz w:val="22"/>
        </w:rPr>
        <w:t>2026,</w:t>
      </w:r>
      <w:r>
        <w:rPr>
          <w:spacing w:val="-3"/>
          <w:sz w:val="22"/>
        </w:rPr>
        <w:t> </w:t>
      </w:r>
      <w:r>
        <w:rPr>
          <w:sz w:val="22"/>
        </w:rPr>
        <w:t>solicitó</w:t>
      </w:r>
      <w:r>
        <w:rPr>
          <w:spacing w:val="-4"/>
          <w:sz w:val="22"/>
        </w:rPr>
        <w:t> </w:t>
      </w:r>
      <w:r>
        <w:rPr>
          <w:sz w:val="22"/>
        </w:rPr>
        <w:t>el</w:t>
      </w:r>
      <w:r>
        <w:rPr>
          <w:spacing w:val="-5"/>
          <w:sz w:val="22"/>
        </w:rPr>
        <w:t> </w:t>
      </w:r>
      <w:r>
        <w:rPr>
          <w:sz w:val="22"/>
        </w:rPr>
        <w:t>inicio</w:t>
      </w:r>
      <w:r>
        <w:rPr>
          <w:spacing w:val="-4"/>
          <w:sz w:val="22"/>
        </w:rPr>
        <w:t> </w:t>
      </w:r>
      <w:r>
        <w:rPr>
          <w:sz w:val="22"/>
        </w:rPr>
        <w:t>de</w:t>
      </w:r>
      <w:r>
        <w:rPr>
          <w:spacing w:val="-4"/>
          <w:sz w:val="22"/>
        </w:rPr>
        <w:t> </w:t>
      </w:r>
      <w:r>
        <w:rPr>
          <w:sz w:val="22"/>
        </w:rPr>
        <w:t>un</w:t>
      </w:r>
      <w:r>
        <w:rPr>
          <w:spacing w:val="-4"/>
          <w:sz w:val="22"/>
        </w:rPr>
        <w:t> </w:t>
      </w:r>
      <w:r>
        <w:rPr>
          <w:sz w:val="22"/>
        </w:rPr>
        <w:t>procedimiento</w:t>
      </w:r>
      <w:r>
        <w:rPr>
          <w:spacing w:val="-4"/>
          <w:sz w:val="22"/>
        </w:rPr>
        <w:t> </w:t>
      </w:r>
      <w:r>
        <w:rPr>
          <w:sz w:val="22"/>
        </w:rPr>
        <w:t>de investigación a fin de calificar como restricción la medida adoptada por la República del Ecuador contra las exportaciones colombianas (en adelante, </w:t>
      </w:r>
      <w:r>
        <w:rPr>
          <w:rFonts w:ascii="Arial" w:hAnsi="Arial"/>
          <w:b/>
          <w:sz w:val="22"/>
        </w:rPr>
        <w:t>la solicitud</w:t>
      </w:r>
      <w:r>
        <w:rPr>
          <w:sz w:val="22"/>
        </w:rPr>
        <w:t>), que</w:t>
      </w:r>
    </w:p>
    <w:p>
      <w:pPr>
        <w:pStyle w:val="BodyText"/>
        <w:spacing w:before="2"/>
        <w:rPr>
          <w:sz w:val="15"/>
        </w:rPr>
      </w:pPr>
      <w:r>
        <w:rPr>
          <w:sz w:val="15"/>
        </w:rPr>
        <mc:AlternateContent>
          <mc:Choice Requires="wps">
            <w:drawing>
              <wp:anchor distT="0" distB="0" distL="0" distR="0" allowOverlap="1" layoutInCell="1" locked="0" behindDoc="1" simplePos="0" relativeHeight="487589376">
                <wp:simplePos x="0" y="0"/>
                <wp:positionH relativeFrom="page">
                  <wp:posOffset>732155</wp:posOffset>
                </wp:positionH>
                <wp:positionV relativeFrom="paragraph">
                  <wp:posOffset>131520</wp:posOffset>
                </wp:positionV>
                <wp:extent cx="5991225" cy="34290"/>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5991225" cy="34290"/>
                        </a:xfrm>
                        <a:custGeom>
                          <a:avLst/>
                          <a:gdLst/>
                          <a:ahLst/>
                          <a:cxnLst/>
                          <a:rect l="l" t="t" r="r" b="b"/>
                          <a:pathLst>
                            <a:path w="5991225" h="34290">
                              <a:moveTo>
                                <a:pt x="0" y="0"/>
                              </a:moveTo>
                              <a:lnTo>
                                <a:pt x="5991225" y="0"/>
                              </a:lnTo>
                            </a:path>
                            <a:path w="5991225" h="34290">
                              <a:moveTo>
                                <a:pt x="0" y="34289"/>
                              </a:moveTo>
                              <a:lnTo>
                                <a:pt x="5991225" y="34289"/>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7.650002pt;margin-top:10.355965pt;width:471.75pt;height:2.7pt;mso-position-horizontal-relative:page;mso-position-vertical-relative:paragraph;z-index:-15727104;mso-wrap-distance-left:0;mso-wrap-distance-right:0" id="docshape6" coordorigin="1153,207" coordsize="9435,54" path="m1153,207l10588,207m1153,261l10588,261e" filled="false" stroked="true" strokeweight=".75pt" strokecolor="#000000">
                <v:path arrowok="t"/>
                <v:stroke dashstyle="solid"/>
                <w10:wrap type="topAndBottom"/>
              </v:shape>
            </w:pict>
          </mc:Fallback>
        </mc:AlternateContent>
      </w:r>
    </w:p>
    <w:p>
      <w:pPr>
        <w:spacing w:before="191"/>
        <w:ind w:left="-1" w:right="412" w:firstLine="0"/>
        <w:jc w:val="center"/>
        <w:rPr>
          <w:rFonts w:ascii="Arial" w:hAnsi="Arial"/>
          <w:b/>
          <w:sz w:val="18"/>
        </w:rPr>
      </w:pPr>
      <w:r>
        <w:rPr>
          <w:rFonts w:ascii="Arial" w:hAnsi="Arial"/>
          <w:b/>
          <w:sz w:val="18"/>
        </w:rPr>
        <w:t>Para</w:t>
      </w:r>
      <w:r>
        <w:rPr>
          <w:rFonts w:ascii="Arial" w:hAnsi="Arial"/>
          <w:b/>
          <w:spacing w:val="-3"/>
          <w:sz w:val="18"/>
        </w:rPr>
        <w:t> </w:t>
      </w:r>
      <w:r>
        <w:rPr>
          <w:rFonts w:ascii="Arial" w:hAnsi="Arial"/>
          <w:b/>
          <w:sz w:val="18"/>
        </w:rPr>
        <w:t>nosotros</w:t>
      </w:r>
      <w:r>
        <w:rPr>
          <w:rFonts w:ascii="Arial" w:hAnsi="Arial"/>
          <w:b/>
          <w:spacing w:val="-2"/>
          <w:sz w:val="18"/>
        </w:rPr>
        <w:t> </w:t>
      </w:r>
      <w:r>
        <w:rPr>
          <w:rFonts w:ascii="Arial" w:hAnsi="Arial"/>
          <w:b/>
          <w:sz w:val="18"/>
        </w:rPr>
        <w:t>la</w:t>
      </w:r>
      <w:r>
        <w:rPr>
          <w:rFonts w:ascii="Arial" w:hAnsi="Arial"/>
          <w:b/>
          <w:spacing w:val="-3"/>
          <w:sz w:val="18"/>
        </w:rPr>
        <w:t> </w:t>
      </w:r>
      <w:r>
        <w:rPr>
          <w:rFonts w:ascii="Arial" w:hAnsi="Arial"/>
          <w:b/>
          <w:sz w:val="18"/>
        </w:rPr>
        <w:t>Patria</w:t>
      </w:r>
      <w:r>
        <w:rPr>
          <w:rFonts w:ascii="Arial" w:hAnsi="Arial"/>
          <w:b/>
          <w:spacing w:val="-2"/>
          <w:sz w:val="18"/>
        </w:rPr>
        <w:t> </w:t>
      </w:r>
      <w:r>
        <w:rPr>
          <w:rFonts w:ascii="Arial" w:hAnsi="Arial"/>
          <w:b/>
          <w:sz w:val="18"/>
        </w:rPr>
        <w:t>es</w:t>
      </w:r>
      <w:r>
        <w:rPr>
          <w:rFonts w:ascii="Arial" w:hAnsi="Arial"/>
          <w:b/>
          <w:spacing w:val="-2"/>
          <w:sz w:val="18"/>
        </w:rPr>
        <w:t> América</w:t>
      </w:r>
    </w:p>
    <w:p>
      <w:pPr>
        <w:spacing w:after="0"/>
        <w:jc w:val="center"/>
        <w:rPr>
          <w:rFonts w:ascii="Arial" w:hAnsi="Arial"/>
          <w:b/>
          <w:sz w:val="18"/>
        </w:rPr>
        <w:sectPr>
          <w:type w:val="continuous"/>
          <w:pgSz w:w="11900" w:h="16850"/>
          <w:pgMar w:top="380" w:bottom="280" w:left="992" w:right="283"/>
        </w:sectPr>
      </w:pPr>
    </w:p>
    <w:p>
      <w:pPr>
        <w:pStyle w:val="BodyText"/>
        <w:spacing w:before="176"/>
        <w:rPr>
          <w:rFonts w:ascii="Arial"/>
          <w:b/>
        </w:rPr>
      </w:pPr>
    </w:p>
    <w:p>
      <w:pPr>
        <w:pStyle w:val="BodyText"/>
        <w:ind w:left="1420" w:right="977"/>
        <w:jc w:val="both"/>
      </w:pPr>
      <w:r>
        <w:rPr/>
        <w:t>consiste en habilitar el paso internacional de Rumichaca como la única vía para la importación de mercancías de procedencia u origen colombiana (en adelante, </w:t>
      </w:r>
      <w:r>
        <w:rPr>
          <w:rFonts w:ascii="Arial" w:hAnsi="Arial"/>
          <w:b/>
        </w:rPr>
        <w:t>la medida</w:t>
      </w:r>
      <w:r>
        <w:rPr/>
        <w:t>). A juicio de la República de Colombia esta medida sería contraria a los artículos 1, 2, 72, 73, 76, 77 y 139 del Acuerdo de Cartagena.</w:t>
      </w:r>
    </w:p>
    <w:p>
      <w:pPr>
        <w:pStyle w:val="BodyText"/>
      </w:pPr>
    </w:p>
    <w:p>
      <w:pPr>
        <w:pStyle w:val="ListParagraph"/>
        <w:numPr>
          <w:ilvl w:val="0"/>
          <w:numId w:val="2"/>
        </w:numPr>
        <w:tabs>
          <w:tab w:pos="1420" w:val="left" w:leader="none"/>
        </w:tabs>
        <w:spacing w:line="240" w:lineRule="auto" w:before="0" w:after="0"/>
        <w:ind w:left="1420" w:right="981" w:hanging="852"/>
        <w:jc w:val="both"/>
        <w:rPr>
          <w:sz w:val="22"/>
        </w:rPr>
      </w:pPr>
      <w:r>
        <w:rPr>
          <w:sz w:val="22"/>
        </w:rPr>
        <w:t>Que, el 16 de febrero de 2026 mediante comunicación N.° SG/E/DS/267/2026, la SGCAN con fundamento en lo previsto en el Capítulo VI “Programa de Liberación” del Acuerdo de Cartagena y en lo dispuesto en la Decisión 425 “Reglamento de Procedimientos Administrativos de la Secretaría General de la Comunidad Andina” (en adelante, la </w:t>
      </w:r>
      <w:r>
        <w:rPr>
          <w:rFonts w:ascii="Arial" w:hAnsi="Arial"/>
          <w:b/>
          <w:sz w:val="22"/>
        </w:rPr>
        <w:t>Decisión 425</w:t>
      </w:r>
      <w:r>
        <w:rPr>
          <w:sz w:val="22"/>
        </w:rPr>
        <w:t>), admitió a trámite la solicitud presentada por la República de Colombia y, en consecuencia, dispuso el inicio del procedimiento de investigación correspondiente.</w:t>
      </w:r>
    </w:p>
    <w:p>
      <w:pPr>
        <w:pStyle w:val="BodyText"/>
        <w:spacing w:before="2"/>
      </w:pPr>
    </w:p>
    <w:p>
      <w:pPr>
        <w:pStyle w:val="ListParagraph"/>
        <w:numPr>
          <w:ilvl w:val="0"/>
          <w:numId w:val="2"/>
        </w:numPr>
        <w:tabs>
          <w:tab w:pos="1420" w:val="left" w:leader="none"/>
        </w:tabs>
        <w:spacing w:line="240" w:lineRule="auto" w:before="1" w:after="0"/>
        <w:ind w:left="1420" w:right="980" w:hanging="852"/>
        <w:jc w:val="both"/>
        <w:rPr>
          <w:sz w:val="22"/>
        </w:rPr>
      </w:pPr>
      <w:r>
        <w:rPr>
          <w:sz w:val="22"/>
        </w:rPr>
        <w:t>Que, el 17 de febrero de 2026, mediante comunicación N.° SG/E/DS/288/2026, la SGCAN notificó la solicitud a la República del Ecuador, informando el inicio de la investigación.</w:t>
      </w:r>
      <w:r>
        <w:rPr>
          <w:spacing w:val="-10"/>
          <w:sz w:val="22"/>
        </w:rPr>
        <w:t> </w:t>
      </w:r>
      <w:r>
        <w:rPr>
          <w:sz w:val="22"/>
        </w:rPr>
        <w:t>Asimismo,</w:t>
      </w:r>
      <w:r>
        <w:rPr>
          <w:spacing w:val="-16"/>
          <w:sz w:val="22"/>
        </w:rPr>
        <w:t> </w:t>
      </w:r>
      <w:r>
        <w:rPr>
          <w:sz w:val="22"/>
        </w:rPr>
        <w:t>se</w:t>
      </w:r>
      <w:r>
        <w:rPr>
          <w:spacing w:val="-11"/>
          <w:sz w:val="22"/>
        </w:rPr>
        <w:t> </w:t>
      </w:r>
      <w:r>
        <w:rPr>
          <w:sz w:val="22"/>
        </w:rPr>
        <w:t>le</w:t>
      </w:r>
      <w:r>
        <w:rPr>
          <w:spacing w:val="-12"/>
          <w:sz w:val="22"/>
        </w:rPr>
        <w:t> </w:t>
      </w:r>
      <w:r>
        <w:rPr>
          <w:sz w:val="22"/>
        </w:rPr>
        <w:t>concedió</w:t>
      </w:r>
      <w:r>
        <w:rPr>
          <w:spacing w:val="-12"/>
          <w:sz w:val="22"/>
        </w:rPr>
        <w:t> </w:t>
      </w:r>
      <w:r>
        <w:rPr>
          <w:sz w:val="22"/>
        </w:rPr>
        <w:t>un</w:t>
      </w:r>
      <w:r>
        <w:rPr>
          <w:spacing w:val="-13"/>
          <w:sz w:val="22"/>
        </w:rPr>
        <w:t> </w:t>
      </w:r>
      <w:r>
        <w:rPr>
          <w:sz w:val="22"/>
        </w:rPr>
        <w:t>plazo</w:t>
      </w:r>
      <w:r>
        <w:rPr>
          <w:spacing w:val="-15"/>
          <w:sz w:val="22"/>
        </w:rPr>
        <w:t> </w:t>
      </w:r>
      <w:r>
        <w:rPr>
          <w:sz w:val="22"/>
        </w:rPr>
        <w:t>de</w:t>
      </w:r>
      <w:r>
        <w:rPr>
          <w:spacing w:val="-12"/>
          <w:sz w:val="22"/>
        </w:rPr>
        <w:t> </w:t>
      </w:r>
      <w:r>
        <w:rPr>
          <w:sz w:val="22"/>
        </w:rPr>
        <w:t>veinte</w:t>
      </w:r>
      <w:r>
        <w:rPr>
          <w:spacing w:val="-14"/>
          <w:sz w:val="22"/>
        </w:rPr>
        <w:t> </w:t>
      </w:r>
      <w:r>
        <w:rPr>
          <w:sz w:val="22"/>
        </w:rPr>
        <w:t>(20)</w:t>
      </w:r>
      <w:r>
        <w:rPr>
          <w:spacing w:val="-11"/>
          <w:sz w:val="22"/>
        </w:rPr>
        <w:t> </w:t>
      </w:r>
      <w:r>
        <w:rPr>
          <w:sz w:val="22"/>
        </w:rPr>
        <w:t>días</w:t>
      </w:r>
      <w:r>
        <w:rPr>
          <w:spacing w:val="-15"/>
          <w:sz w:val="22"/>
        </w:rPr>
        <w:t> </w:t>
      </w:r>
      <w:r>
        <w:rPr>
          <w:sz w:val="22"/>
        </w:rPr>
        <w:t>hábiles</w:t>
      </w:r>
      <w:r>
        <w:rPr>
          <w:spacing w:val="-12"/>
          <w:sz w:val="22"/>
        </w:rPr>
        <w:t> </w:t>
      </w:r>
      <w:r>
        <w:rPr>
          <w:sz w:val="22"/>
        </w:rPr>
        <w:t>para</w:t>
      </w:r>
      <w:r>
        <w:rPr>
          <w:spacing w:val="-12"/>
          <w:sz w:val="22"/>
        </w:rPr>
        <w:t> </w:t>
      </w:r>
      <w:r>
        <w:rPr>
          <w:sz w:val="22"/>
        </w:rPr>
        <w:t>que presente información complementaria sobre la medida aplicada. El mismo día, mediante comunicación N.° SG/E/DS/289/2026, se puso en conocimiento de los demás</w:t>
      </w:r>
      <w:r>
        <w:rPr>
          <w:spacing w:val="-11"/>
          <w:sz w:val="22"/>
        </w:rPr>
        <w:t> </w:t>
      </w:r>
      <w:r>
        <w:rPr>
          <w:sz w:val="22"/>
        </w:rPr>
        <w:t>Países</w:t>
      </w:r>
      <w:r>
        <w:rPr>
          <w:spacing w:val="-10"/>
          <w:sz w:val="22"/>
        </w:rPr>
        <w:t> </w:t>
      </w:r>
      <w:r>
        <w:rPr>
          <w:sz w:val="22"/>
        </w:rPr>
        <w:t>Miembros</w:t>
      </w:r>
      <w:r>
        <w:rPr>
          <w:spacing w:val="-11"/>
          <w:sz w:val="22"/>
        </w:rPr>
        <w:t> </w:t>
      </w:r>
      <w:r>
        <w:rPr>
          <w:sz w:val="22"/>
        </w:rPr>
        <w:t>el</w:t>
      </w:r>
      <w:r>
        <w:rPr>
          <w:spacing w:val="-12"/>
          <w:sz w:val="22"/>
        </w:rPr>
        <w:t> </w:t>
      </w:r>
      <w:r>
        <w:rPr>
          <w:sz w:val="22"/>
        </w:rPr>
        <w:t>inicio</w:t>
      </w:r>
      <w:r>
        <w:rPr>
          <w:spacing w:val="-8"/>
          <w:sz w:val="22"/>
        </w:rPr>
        <w:t> </w:t>
      </w:r>
      <w:r>
        <w:rPr>
          <w:sz w:val="22"/>
        </w:rPr>
        <w:t>del</w:t>
      </w:r>
      <w:r>
        <w:rPr>
          <w:spacing w:val="-9"/>
          <w:sz w:val="22"/>
        </w:rPr>
        <w:t> </w:t>
      </w:r>
      <w:r>
        <w:rPr>
          <w:sz w:val="22"/>
        </w:rPr>
        <w:t>procedimiento</w:t>
      </w:r>
      <w:r>
        <w:rPr>
          <w:spacing w:val="-8"/>
          <w:sz w:val="22"/>
        </w:rPr>
        <w:t> </w:t>
      </w:r>
      <w:r>
        <w:rPr>
          <w:sz w:val="22"/>
        </w:rPr>
        <w:t>de</w:t>
      </w:r>
      <w:r>
        <w:rPr>
          <w:spacing w:val="-11"/>
          <w:sz w:val="22"/>
        </w:rPr>
        <w:t> </w:t>
      </w:r>
      <w:r>
        <w:rPr>
          <w:sz w:val="22"/>
        </w:rPr>
        <w:t>investigación,</w:t>
      </w:r>
      <w:r>
        <w:rPr>
          <w:spacing w:val="-9"/>
          <w:sz w:val="22"/>
        </w:rPr>
        <w:t> </w:t>
      </w:r>
      <w:r>
        <w:rPr>
          <w:sz w:val="22"/>
        </w:rPr>
        <w:t>otorgándoles</w:t>
      </w:r>
      <w:r>
        <w:rPr>
          <w:spacing w:val="-8"/>
          <w:sz w:val="22"/>
        </w:rPr>
        <w:t> </w:t>
      </w:r>
      <w:r>
        <w:rPr>
          <w:sz w:val="22"/>
        </w:rPr>
        <w:t>el mismo plazo para que presenten la información que consideren pertinente.</w:t>
      </w:r>
    </w:p>
    <w:p>
      <w:pPr>
        <w:pStyle w:val="ListParagraph"/>
        <w:numPr>
          <w:ilvl w:val="0"/>
          <w:numId w:val="2"/>
        </w:numPr>
        <w:tabs>
          <w:tab w:pos="1420" w:val="left" w:leader="none"/>
        </w:tabs>
        <w:spacing w:line="240" w:lineRule="auto" w:before="252" w:after="0"/>
        <w:ind w:left="1420" w:right="977" w:hanging="852"/>
        <w:jc w:val="both"/>
        <w:rPr>
          <w:sz w:val="22"/>
        </w:rPr>
      </w:pPr>
      <w:r>
        <w:rPr>
          <w:sz w:val="22"/>
        </w:rPr>
        <w:t>Que, el 02 de marzo de 2026, mediante Oficio N.° MPCEI-VCE-2026-0011-O de fecha</w:t>
      </w:r>
      <w:r>
        <w:rPr>
          <w:spacing w:val="-4"/>
          <w:sz w:val="22"/>
        </w:rPr>
        <w:t> </w:t>
      </w:r>
      <w:r>
        <w:rPr>
          <w:sz w:val="22"/>
        </w:rPr>
        <w:t>24</w:t>
      </w:r>
      <w:r>
        <w:rPr>
          <w:spacing w:val="-2"/>
          <w:sz w:val="22"/>
        </w:rPr>
        <w:t> </w:t>
      </w:r>
      <w:r>
        <w:rPr>
          <w:sz w:val="22"/>
        </w:rPr>
        <w:t>de</w:t>
      </w:r>
      <w:r>
        <w:rPr>
          <w:spacing w:val="-7"/>
          <w:sz w:val="22"/>
        </w:rPr>
        <w:t> </w:t>
      </w:r>
      <w:r>
        <w:rPr>
          <w:sz w:val="22"/>
        </w:rPr>
        <w:t>febrero,</w:t>
      </w:r>
      <w:r>
        <w:rPr>
          <w:spacing w:val="-3"/>
          <w:sz w:val="22"/>
        </w:rPr>
        <w:t> </w:t>
      </w:r>
      <w:r>
        <w:rPr>
          <w:sz w:val="22"/>
        </w:rPr>
        <w:t>la</w:t>
      </w:r>
      <w:r>
        <w:rPr>
          <w:spacing w:val="-4"/>
          <w:sz w:val="22"/>
        </w:rPr>
        <w:t> </w:t>
      </w:r>
      <w:r>
        <w:rPr>
          <w:sz w:val="22"/>
        </w:rPr>
        <w:t>República</w:t>
      </w:r>
      <w:r>
        <w:rPr>
          <w:spacing w:val="-2"/>
          <w:sz w:val="22"/>
        </w:rPr>
        <w:t> </w:t>
      </w:r>
      <w:r>
        <w:rPr>
          <w:sz w:val="22"/>
        </w:rPr>
        <w:t>del</w:t>
      </w:r>
      <w:r>
        <w:rPr>
          <w:spacing w:val="-2"/>
          <w:sz w:val="22"/>
        </w:rPr>
        <w:t> </w:t>
      </w:r>
      <w:r>
        <w:rPr>
          <w:sz w:val="22"/>
        </w:rPr>
        <w:t>Ecuador</w:t>
      </w:r>
      <w:r>
        <w:rPr>
          <w:spacing w:val="-3"/>
          <w:sz w:val="22"/>
        </w:rPr>
        <w:t> </w:t>
      </w:r>
      <w:r>
        <w:rPr>
          <w:sz w:val="22"/>
        </w:rPr>
        <w:t>solicitó</w:t>
      </w:r>
      <w:r>
        <w:rPr>
          <w:spacing w:val="-2"/>
          <w:sz w:val="22"/>
        </w:rPr>
        <w:t> </w:t>
      </w:r>
      <w:r>
        <w:rPr>
          <w:sz w:val="22"/>
        </w:rPr>
        <w:t>una</w:t>
      </w:r>
      <w:r>
        <w:rPr>
          <w:spacing w:val="-4"/>
          <w:sz w:val="22"/>
        </w:rPr>
        <w:t> </w:t>
      </w:r>
      <w:r>
        <w:rPr>
          <w:sz w:val="22"/>
        </w:rPr>
        <w:t>prórroga</w:t>
      </w:r>
      <w:r>
        <w:rPr>
          <w:spacing w:val="-2"/>
          <w:sz w:val="22"/>
        </w:rPr>
        <w:t> </w:t>
      </w:r>
      <w:r>
        <w:rPr>
          <w:sz w:val="22"/>
        </w:rPr>
        <w:t>de</w:t>
      </w:r>
      <w:r>
        <w:rPr>
          <w:spacing w:val="-4"/>
          <w:sz w:val="22"/>
        </w:rPr>
        <w:t> </w:t>
      </w:r>
      <w:r>
        <w:rPr>
          <w:sz w:val="22"/>
        </w:rPr>
        <w:t>diez</w:t>
      </w:r>
      <w:r>
        <w:rPr>
          <w:spacing w:val="-4"/>
          <w:sz w:val="22"/>
        </w:rPr>
        <w:t> </w:t>
      </w:r>
      <w:r>
        <w:rPr>
          <w:sz w:val="22"/>
        </w:rPr>
        <w:t>(10)</w:t>
      </w:r>
      <w:r>
        <w:rPr>
          <w:spacing w:val="-3"/>
          <w:sz w:val="22"/>
        </w:rPr>
        <w:t> </w:t>
      </w:r>
      <w:r>
        <w:rPr>
          <w:sz w:val="22"/>
        </w:rPr>
        <w:t>días hábiles para brindar su respuesta, al amparo de lo previsto en el artículo 52 de la Decisión 425.</w:t>
      </w:r>
    </w:p>
    <w:p>
      <w:pPr>
        <w:pStyle w:val="BodyText"/>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Que, el</w:t>
      </w:r>
      <w:r>
        <w:rPr>
          <w:spacing w:val="-1"/>
          <w:sz w:val="22"/>
        </w:rPr>
        <w:t> </w:t>
      </w:r>
      <w:r>
        <w:rPr>
          <w:sz w:val="22"/>
        </w:rPr>
        <w:t>09 de marzo de</w:t>
      </w:r>
      <w:r>
        <w:rPr>
          <w:spacing w:val="-2"/>
          <w:sz w:val="22"/>
        </w:rPr>
        <w:t> </w:t>
      </w:r>
      <w:r>
        <w:rPr>
          <w:sz w:val="22"/>
        </w:rPr>
        <w:t>2026, mediante</w:t>
      </w:r>
      <w:r>
        <w:rPr>
          <w:spacing w:val="-2"/>
          <w:sz w:val="22"/>
        </w:rPr>
        <w:t> </w:t>
      </w:r>
      <w:r>
        <w:rPr>
          <w:sz w:val="22"/>
        </w:rPr>
        <w:t>comunicación N.° SG/E/DGCOM/441/2026, la SGCAN</w:t>
      </w:r>
      <w:r>
        <w:rPr>
          <w:spacing w:val="-3"/>
          <w:sz w:val="22"/>
        </w:rPr>
        <w:t> </w:t>
      </w:r>
      <w:r>
        <w:rPr>
          <w:sz w:val="22"/>
        </w:rPr>
        <w:t>atendió</w:t>
      </w:r>
      <w:r>
        <w:rPr>
          <w:spacing w:val="-3"/>
          <w:sz w:val="22"/>
        </w:rPr>
        <w:t> </w:t>
      </w:r>
      <w:r>
        <w:rPr>
          <w:sz w:val="22"/>
        </w:rPr>
        <w:t>la</w:t>
      </w:r>
      <w:r>
        <w:rPr>
          <w:spacing w:val="-3"/>
          <w:sz w:val="22"/>
        </w:rPr>
        <w:t> </w:t>
      </w:r>
      <w:r>
        <w:rPr>
          <w:sz w:val="22"/>
        </w:rPr>
        <w:t>solicitud</w:t>
      </w:r>
      <w:r>
        <w:rPr>
          <w:spacing w:val="-1"/>
          <w:sz w:val="22"/>
        </w:rPr>
        <w:t> </w:t>
      </w:r>
      <w:r>
        <w:rPr>
          <w:sz w:val="22"/>
        </w:rPr>
        <w:t>de</w:t>
      </w:r>
      <w:r>
        <w:rPr>
          <w:spacing w:val="-3"/>
          <w:sz w:val="22"/>
        </w:rPr>
        <w:t> </w:t>
      </w:r>
      <w:r>
        <w:rPr>
          <w:sz w:val="22"/>
        </w:rPr>
        <w:t>prórroga</w:t>
      </w:r>
      <w:r>
        <w:rPr>
          <w:spacing w:val="-3"/>
          <w:sz w:val="22"/>
        </w:rPr>
        <w:t> </w:t>
      </w:r>
      <w:r>
        <w:rPr>
          <w:sz w:val="22"/>
        </w:rPr>
        <w:t>de</w:t>
      </w:r>
      <w:r>
        <w:rPr>
          <w:spacing w:val="-3"/>
          <w:sz w:val="22"/>
        </w:rPr>
        <w:t> </w:t>
      </w:r>
      <w:r>
        <w:rPr>
          <w:sz w:val="22"/>
        </w:rPr>
        <w:t>la</w:t>
      </w:r>
      <w:r>
        <w:rPr>
          <w:spacing w:val="-3"/>
          <w:sz w:val="22"/>
        </w:rPr>
        <w:t> </w:t>
      </w:r>
      <w:r>
        <w:rPr>
          <w:sz w:val="22"/>
        </w:rPr>
        <w:t>República del</w:t>
      </w:r>
      <w:r>
        <w:rPr>
          <w:spacing w:val="-1"/>
          <w:sz w:val="22"/>
        </w:rPr>
        <w:t> </w:t>
      </w:r>
      <w:r>
        <w:rPr>
          <w:sz w:val="22"/>
        </w:rPr>
        <w:t>Ecuador</w:t>
      </w:r>
      <w:r>
        <w:rPr>
          <w:spacing w:val="-2"/>
          <w:sz w:val="22"/>
        </w:rPr>
        <w:t> </w:t>
      </w:r>
      <w:r>
        <w:rPr>
          <w:sz w:val="22"/>
        </w:rPr>
        <w:t>concediendo el</w:t>
      </w:r>
      <w:r>
        <w:rPr>
          <w:spacing w:val="-12"/>
          <w:sz w:val="22"/>
        </w:rPr>
        <w:t> </w:t>
      </w:r>
      <w:r>
        <w:rPr>
          <w:sz w:val="22"/>
        </w:rPr>
        <w:t>plazo</w:t>
      </w:r>
      <w:r>
        <w:rPr>
          <w:spacing w:val="-12"/>
          <w:sz w:val="22"/>
        </w:rPr>
        <w:t> </w:t>
      </w:r>
      <w:r>
        <w:rPr>
          <w:sz w:val="22"/>
        </w:rPr>
        <w:t>adicional</w:t>
      </w:r>
      <w:r>
        <w:rPr>
          <w:spacing w:val="-12"/>
          <w:sz w:val="22"/>
        </w:rPr>
        <w:t> </w:t>
      </w:r>
      <w:r>
        <w:rPr>
          <w:sz w:val="22"/>
        </w:rPr>
        <w:t>de</w:t>
      </w:r>
      <w:r>
        <w:rPr>
          <w:spacing w:val="-12"/>
          <w:sz w:val="22"/>
        </w:rPr>
        <w:t> </w:t>
      </w:r>
      <w:r>
        <w:rPr>
          <w:sz w:val="22"/>
        </w:rPr>
        <w:t>diez</w:t>
      </w:r>
      <w:r>
        <w:rPr>
          <w:spacing w:val="-9"/>
          <w:sz w:val="22"/>
        </w:rPr>
        <w:t> </w:t>
      </w:r>
      <w:r>
        <w:rPr>
          <w:sz w:val="22"/>
        </w:rPr>
        <w:t>(10)</w:t>
      </w:r>
      <w:r>
        <w:rPr>
          <w:spacing w:val="-10"/>
          <w:sz w:val="22"/>
        </w:rPr>
        <w:t> </w:t>
      </w:r>
      <w:r>
        <w:rPr>
          <w:sz w:val="22"/>
        </w:rPr>
        <w:t>días</w:t>
      </w:r>
      <w:r>
        <w:rPr>
          <w:spacing w:val="-11"/>
          <w:sz w:val="22"/>
        </w:rPr>
        <w:t> </w:t>
      </w:r>
      <w:r>
        <w:rPr>
          <w:sz w:val="22"/>
        </w:rPr>
        <w:t>hábiles</w:t>
      </w:r>
      <w:r>
        <w:rPr>
          <w:spacing w:val="-11"/>
          <w:sz w:val="22"/>
        </w:rPr>
        <w:t> </w:t>
      </w:r>
      <w:r>
        <w:rPr>
          <w:sz w:val="22"/>
        </w:rPr>
        <w:t>para</w:t>
      </w:r>
      <w:r>
        <w:rPr>
          <w:spacing w:val="-14"/>
          <w:sz w:val="22"/>
        </w:rPr>
        <w:t> </w:t>
      </w:r>
      <w:r>
        <w:rPr>
          <w:sz w:val="22"/>
        </w:rPr>
        <w:t>que</w:t>
      </w:r>
      <w:r>
        <w:rPr>
          <w:spacing w:val="-11"/>
          <w:sz w:val="22"/>
        </w:rPr>
        <w:t> </w:t>
      </w:r>
      <w:r>
        <w:rPr>
          <w:sz w:val="22"/>
        </w:rPr>
        <w:t>brinde</w:t>
      </w:r>
      <w:r>
        <w:rPr>
          <w:spacing w:val="-12"/>
          <w:sz w:val="22"/>
        </w:rPr>
        <w:t> </w:t>
      </w:r>
      <w:r>
        <w:rPr>
          <w:sz w:val="22"/>
        </w:rPr>
        <w:t>su</w:t>
      </w:r>
      <w:r>
        <w:rPr>
          <w:spacing w:val="-11"/>
          <w:sz w:val="22"/>
        </w:rPr>
        <w:t> </w:t>
      </w:r>
      <w:r>
        <w:rPr>
          <w:sz w:val="22"/>
        </w:rPr>
        <w:t>respuesta.</w:t>
      </w:r>
      <w:r>
        <w:rPr>
          <w:spacing w:val="-10"/>
          <w:sz w:val="22"/>
        </w:rPr>
        <w:t> </w:t>
      </w:r>
      <w:r>
        <w:rPr>
          <w:sz w:val="22"/>
        </w:rPr>
        <w:t>A</w:t>
      </w:r>
      <w:r>
        <w:rPr>
          <w:spacing w:val="-14"/>
          <w:sz w:val="22"/>
        </w:rPr>
        <w:t> </w:t>
      </w:r>
      <w:r>
        <w:rPr>
          <w:sz w:val="22"/>
        </w:rPr>
        <w:t>tal</w:t>
      </w:r>
      <w:r>
        <w:rPr>
          <w:spacing w:val="-12"/>
          <w:sz w:val="22"/>
        </w:rPr>
        <w:t> </w:t>
      </w:r>
      <w:r>
        <w:rPr>
          <w:sz w:val="22"/>
        </w:rPr>
        <w:t>efecto, en el marco de lo dispuesto en los artículos 29 y 52 de la Decisión 425, se señaló como plazo máximo para entregar información complementaria el 31 de marzo de 2026. En la misma fecha, mediante comunicación N.° SG/E/DGCOM/442/2026, la SGCAN</w:t>
      </w:r>
      <w:r>
        <w:rPr>
          <w:spacing w:val="-16"/>
          <w:sz w:val="22"/>
        </w:rPr>
        <w:t> </w:t>
      </w:r>
      <w:r>
        <w:rPr>
          <w:sz w:val="22"/>
        </w:rPr>
        <w:t>puso</w:t>
      </w:r>
      <w:r>
        <w:rPr>
          <w:spacing w:val="-15"/>
          <w:sz w:val="22"/>
        </w:rPr>
        <w:t> </w:t>
      </w:r>
      <w:r>
        <w:rPr>
          <w:sz w:val="22"/>
        </w:rPr>
        <w:t>en</w:t>
      </w:r>
      <w:r>
        <w:rPr>
          <w:spacing w:val="-15"/>
          <w:sz w:val="22"/>
        </w:rPr>
        <w:t> </w:t>
      </w:r>
      <w:r>
        <w:rPr>
          <w:sz w:val="22"/>
        </w:rPr>
        <w:t>conocimiento</w:t>
      </w:r>
      <w:r>
        <w:rPr>
          <w:spacing w:val="-16"/>
          <w:sz w:val="22"/>
        </w:rPr>
        <w:t> </w:t>
      </w:r>
      <w:r>
        <w:rPr>
          <w:sz w:val="22"/>
        </w:rPr>
        <w:t>de</w:t>
      </w:r>
      <w:r>
        <w:rPr>
          <w:spacing w:val="-15"/>
          <w:sz w:val="22"/>
        </w:rPr>
        <w:t> </w:t>
      </w:r>
      <w:r>
        <w:rPr>
          <w:sz w:val="22"/>
        </w:rPr>
        <w:t>los</w:t>
      </w:r>
      <w:r>
        <w:rPr>
          <w:spacing w:val="-15"/>
          <w:sz w:val="22"/>
        </w:rPr>
        <w:t> </w:t>
      </w:r>
      <w:r>
        <w:rPr>
          <w:sz w:val="22"/>
        </w:rPr>
        <w:t>demás</w:t>
      </w:r>
      <w:r>
        <w:rPr>
          <w:spacing w:val="-15"/>
          <w:sz w:val="22"/>
        </w:rPr>
        <w:t> </w:t>
      </w:r>
      <w:r>
        <w:rPr>
          <w:sz w:val="22"/>
        </w:rPr>
        <w:t>Países</w:t>
      </w:r>
      <w:r>
        <w:rPr>
          <w:spacing w:val="-16"/>
          <w:sz w:val="22"/>
        </w:rPr>
        <w:t> </w:t>
      </w:r>
      <w:r>
        <w:rPr>
          <w:sz w:val="22"/>
        </w:rPr>
        <w:t>Miembros</w:t>
      </w:r>
      <w:r>
        <w:rPr>
          <w:spacing w:val="-15"/>
          <w:sz w:val="22"/>
        </w:rPr>
        <w:t> </w:t>
      </w:r>
      <w:r>
        <w:rPr>
          <w:sz w:val="22"/>
        </w:rPr>
        <w:t>la</w:t>
      </w:r>
      <w:r>
        <w:rPr>
          <w:spacing w:val="-15"/>
          <w:sz w:val="22"/>
        </w:rPr>
        <w:t> </w:t>
      </w:r>
      <w:r>
        <w:rPr>
          <w:sz w:val="22"/>
        </w:rPr>
        <w:t>prórroga</w:t>
      </w:r>
      <w:r>
        <w:rPr>
          <w:spacing w:val="-16"/>
          <w:sz w:val="22"/>
        </w:rPr>
        <w:t> </w:t>
      </w:r>
      <w:r>
        <w:rPr>
          <w:sz w:val="22"/>
        </w:rPr>
        <w:t>concedida.</w:t>
      </w:r>
    </w:p>
    <w:p>
      <w:pPr>
        <w:pStyle w:val="ListParagraph"/>
        <w:numPr>
          <w:ilvl w:val="0"/>
          <w:numId w:val="2"/>
        </w:numPr>
        <w:tabs>
          <w:tab w:pos="1420" w:val="left" w:leader="none"/>
        </w:tabs>
        <w:spacing w:line="240" w:lineRule="auto" w:before="253" w:after="0"/>
        <w:ind w:left="1420" w:right="977" w:hanging="852"/>
        <w:jc w:val="both"/>
        <w:rPr>
          <w:sz w:val="22"/>
        </w:rPr>
      </w:pPr>
      <w:r>
        <w:rPr>
          <w:sz w:val="22"/>
        </w:rPr>
        <w:t>Que, el</w:t>
      </w:r>
      <w:r>
        <w:rPr>
          <w:spacing w:val="-1"/>
          <w:sz w:val="22"/>
        </w:rPr>
        <w:t> </w:t>
      </w:r>
      <w:r>
        <w:rPr>
          <w:sz w:val="22"/>
        </w:rPr>
        <w:t>13 de marzo de</w:t>
      </w:r>
      <w:r>
        <w:rPr>
          <w:spacing w:val="-2"/>
          <w:sz w:val="22"/>
        </w:rPr>
        <w:t> </w:t>
      </w:r>
      <w:r>
        <w:rPr>
          <w:sz w:val="22"/>
        </w:rPr>
        <w:t>2026, mediante</w:t>
      </w:r>
      <w:r>
        <w:rPr>
          <w:spacing w:val="-2"/>
          <w:sz w:val="22"/>
        </w:rPr>
        <w:t> </w:t>
      </w:r>
      <w:r>
        <w:rPr>
          <w:sz w:val="22"/>
        </w:rPr>
        <w:t>comunicación N.° SG/E/DGCOM/489/2026, en virtud del artículo 27 de la Decisión 425, la SGCAN solicitó a la República del Ecuador</w:t>
      </w:r>
      <w:r>
        <w:rPr>
          <w:spacing w:val="-8"/>
          <w:sz w:val="22"/>
        </w:rPr>
        <w:t> </w:t>
      </w:r>
      <w:r>
        <w:rPr>
          <w:sz w:val="22"/>
        </w:rPr>
        <w:t>su</w:t>
      </w:r>
      <w:r>
        <w:rPr>
          <w:spacing w:val="-11"/>
          <w:sz w:val="22"/>
        </w:rPr>
        <w:t> </w:t>
      </w:r>
      <w:r>
        <w:rPr>
          <w:sz w:val="22"/>
        </w:rPr>
        <w:t>colaboración</w:t>
      </w:r>
      <w:r>
        <w:rPr>
          <w:spacing w:val="-12"/>
          <w:sz w:val="22"/>
        </w:rPr>
        <w:t> </w:t>
      </w:r>
      <w:r>
        <w:rPr>
          <w:sz w:val="22"/>
        </w:rPr>
        <w:t>para</w:t>
      </w:r>
      <w:r>
        <w:rPr>
          <w:spacing w:val="-11"/>
          <w:sz w:val="22"/>
        </w:rPr>
        <w:t> </w:t>
      </w:r>
      <w:r>
        <w:rPr>
          <w:sz w:val="22"/>
        </w:rPr>
        <w:t>poder</w:t>
      </w:r>
      <w:r>
        <w:rPr>
          <w:spacing w:val="-10"/>
          <w:sz w:val="22"/>
        </w:rPr>
        <w:t> </w:t>
      </w:r>
      <w:r>
        <w:rPr>
          <w:sz w:val="22"/>
        </w:rPr>
        <w:t>realizar</w:t>
      </w:r>
      <w:r>
        <w:rPr>
          <w:spacing w:val="-10"/>
          <w:sz w:val="22"/>
        </w:rPr>
        <w:t> </w:t>
      </w:r>
      <w:r>
        <w:rPr>
          <w:sz w:val="22"/>
        </w:rPr>
        <w:t>visitas</w:t>
      </w:r>
      <w:r>
        <w:rPr>
          <w:spacing w:val="-8"/>
          <w:sz w:val="22"/>
        </w:rPr>
        <w:t> </w:t>
      </w:r>
      <w:r>
        <w:rPr>
          <w:sz w:val="22"/>
        </w:rPr>
        <w:t>de</w:t>
      </w:r>
      <w:r>
        <w:rPr>
          <w:spacing w:val="-9"/>
          <w:sz w:val="22"/>
        </w:rPr>
        <w:t> </w:t>
      </w:r>
      <w:r>
        <w:rPr>
          <w:sz w:val="22"/>
        </w:rPr>
        <w:t>verificación</w:t>
      </w:r>
      <w:r>
        <w:rPr>
          <w:spacing w:val="-9"/>
          <w:sz w:val="22"/>
        </w:rPr>
        <w:t> </w:t>
      </w:r>
      <w:r>
        <w:rPr>
          <w:sz w:val="22"/>
        </w:rPr>
        <w:t>en</w:t>
      </w:r>
      <w:r>
        <w:rPr>
          <w:spacing w:val="-12"/>
          <w:sz w:val="22"/>
        </w:rPr>
        <w:t> </w:t>
      </w:r>
      <w:r>
        <w:rPr>
          <w:sz w:val="22"/>
        </w:rPr>
        <w:t>dicho</w:t>
      </w:r>
      <w:r>
        <w:rPr>
          <w:spacing w:val="-12"/>
          <w:sz w:val="22"/>
        </w:rPr>
        <w:t> </w:t>
      </w:r>
      <w:r>
        <w:rPr>
          <w:sz w:val="22"/>
        </w:rPr>
        <w:t>país</w:t>
      </w:r>
      <w:r>
        <w:rPr>
          <w:spacing w:val="-11"/>
          <w:sz w:val="22"/>
        </w:rPr>
        <w:t> </w:t>
      </w:r>
      <w:r>
        <w:rPr>
          <w:sz w:val="22"/>
        </w:rPr>
        <w:t>a</w:t>
      </w:r>
      <w:r>
        <w:rPr>
          <w:spacing w:val="-11"/>
          <w:sz w:val="22"/>
        </w:rPr>
        <w:t> </w:t>
      </w:r>
      <w:r>
        <w:rPr>
          <w:sz w:val="22"/>
        </w:rPr>
        <w:t>fin de</w:t>
      </w:r>
      <w:r>
        <w:rPr>
          <w:spacing w:val="-1"/>
          <w:sz w:val="22"/>
        </w:rPr>
        <w:t> </w:t>
      </w:r>
      <w:r>
        <w:rPr>
          <w:sz w:val="22"/>
        </w:rPr>
        <w:t>recopilar</w:t>
      </w:r>
      <w:r>
        <w:rPr>
          <w:spacing w:val="-2"/>
          <w:sz w:val="22"/>
        </w:rPr>
        <w:t> </w:t>
      </w:r>
      <w:r>
        <w:rPr>
          <w:sz w:val="22"/>
        </w:rPr>
        <w:t>información</w:t>
      </w:r>
      <w:r>
        <w:rPr>
          <w:spacing w:val="-3"/>
          <w:sz w:val="22"/>
        </w:rPr>
        <w:t> </w:t>
      </w:r>
      <w:r>
        <w:rPr>
          <w:rFonts w:ascii="Arial" w:hAnsi="Arial"/>
          <w:i/>
          <w:sz w:val="22"/>
        </w:rPr>
        <w:t>in situ </w:t>
      </w:r>
      <w:r>
        <w:rPr>
          <w:sz w:val="22"/>
        </w:rPr>
        <w:t>del</w:t>
      </w:r>
      <w:r>
        <w:rPr>
          <w:spacing w:val="-2"/>
          <w:sz w:val="22"/>
        </w:rPr>
        <w:t> </w:t>
      </w:r>
      <w:r>
        <w:rPr>
          <w:sz w:val="22"/>
        </w:rPr>
        <w:t>paso</w:t>
      </w:r>
      <w:r>
        <w:rPr>
          <w:spacing w:val="-2"/>
          <w:sz w:val="22"/>
        </w:rPr>
        <w:t> </w:t>
      </w:r>
      <w:r>
        <w:rPr>
          <w:sz w:val="22"/>
        </w:rPr>
        <w:t>fronterizo</w:t>
      </w:r>
      <w:r>
        <w:rPr>
          <w:spacing w:val="-2"/>
          <w:sz w:val="22"/>
        </w:rPr>
        <w:t> </w:t>
      </w:r>
      <w:r>
        <w:rPr>
          <w:sz w:val="22"/>
        </w:rPr>
        <w:t>de</w:t>
      </w:r>
      <w:r>
        <w:rPr>
          <w:spacing w:val="-1"/>
          <w:sz w:val="22"/>
        </w:rPr>
        <w:t> </w:t>
      </w:r>
      <w:r>
        <w:rPr>
          <w:sz w:val="22"/>
        </w:rPr>
        <w:t>Rumichaca</w:t>
      </w:r>
      <w:r>
        <w:rPr>
          <w:spacing w:val="-2"/>
          <w:sz w:val="22"/>
        </w:rPr>
        <w:t> </w:t>
      </w:r>
      <w:r>
        <w:rPr>
          <w:sz w:val="22"/>
        </w:rPr>
        <w:t>y de la</w:t>
      </w:r>
      <w:r>
        <w:rPr>
          <w:spacing w:val="-2"/>
          <w:sz w:val="22"/>
        </w:rPr>
        <w:t> </w:t>
      </w:r>
      <w:r>
        <w:rPr>
          <w:sz w:val="22"/>
        </w:rPr>
        <w:t>Agencia de Aduanas SAS Nivel 3 ubicada en la frontera norte de la República del Ecuador, proponiendo como fechas para las visitas de verificación del 20 al 24 de marzo de </w:t>
      </w:r>
      <w:r>
        <w:rPr>
          <w:spacing w:val="-2"/>
          <w:sz w:val="22"/>
        </w:rPr>
        <w:t>2026.</w:t>
      </w:r>
    </w:p>
    <w:p>
      <w:pPr>
        <w:pStyle w:val="ListParagraph"/>
        <w:numPr>
          <w:ilvl w:val="0"/>
          <w:numId w:val="2"/>
        </w:numPr>
        <w:tabs>
          <w:tab w:pos="1420" w:val="left" w:leader="none"/>
        </w:tabs>
        <w:spacing w:line="240" w:lineRule="auto" w:before="253" w:after="0"/>
        <w:ind w:left="1420" w:right="982" w:hanging="852"/>
        <w:jc w:val="both"/>
        <w:rPr>
          <w:sz w:val="22"/>
        </w:rPr>
      </w:pPr>
      <w:r>
        <w:rPr>
          <w:sz w:val="22"/>
        </w:rPr>
        <w:t>Que, el 19</w:t>
      </w:r>
      <w:r>
        <w:rPr>
          <w:spacing w:val="-1"/>
          <w:sz w:val="22"/>
        </w:rPr>
        <w:t> </w:t>
      </w:r>
      <w:r>
        <w:rPr>
          <w:sz w:val="22"/>
        </w:rPr>
        <w:t>de</w:t>
      </w:r>
      <w:r>
        <w:rPr>
          <w:spacing w:val="-1"/>
          <w:sz w:val="22"/>
        </w:rPr>
        <w:t> </w:t>
      </w:r>
      <w:r>
        <w:rPr>
          <w:sz w:val="22"/>
        </w:rPr>
        <w:t>marzo de</w:t>
      </w:r>
      <w:r>
        <w:rPr>
          <w:spacing w:val="-1"/>
          <w:sz w:val="22"/>
        </w:rPr>
        <w:t> </w:t>
      </w:r>
      <w:r>
        <w:rPr>
          <w:sz w:val="22"/>
        </w:rPr>
        <w:t>2026, mediante</w:t>
      </w:r>
      <w:r>
        <w:rPr>
          <w:spacing w:val="-1"/>
          <w:sz w:val="22"/>
        </w:rPr>
        <w:t> </w:t>
      </w:r>
      <w:r>
        <w:rPr>
          <w:sz w:val="22"/>
        </w:rPr>
        <w:t>comunicación N.º SG/E/DGCOM/513/2026, la SGCAN solicitó a la República de Colombia su colaboración para realizar visitas de verificación en dicho País Miembro, en concordancia con la solicitud realizada a la República del Ecuador mediante comunicación N.° SG/E/DGCOM/489/2026.</w:t>
      </w:r>
    </w:p>
    <w:p>
      <w:pPr>
        <w:pStyle w:val="ListParagraph"/>
        <w:numPr>
          <w:ilvl w:val="0"/>
          <w:numId w:val="2"/>
        </w:numPr>
        <w:tabs>
          <w:tab w:pos="1420" w:val="left" w:leader="none"/>
        </w:tabs>
        <w:spacing w:line="240" w:lineRule="auto" w:before="252" w:after="0"/>
        <w:ind w:left="1420" w:right="974" w:hanging="852"/>
        <w:jc w:val="both"/>
        <w:rPr>
          <w:sz w:val="22"/>
        </w:rPr>
      </w:pPr>
      <w:r>
        <w:rPr>
          <w:sz w:val="22"/>
        </w:rPr>
        <w:t>Que, el 20 de marzo de 2026, mediante Oficio Nro. MPCEI-VCE-2026-0029-O de fecha 19 de marzo de 2026, la República del Ecuador comunicó a la SGCAN su disposición para brindar las facilidades necesarias para cumplir con la agenda de trabajo programada.</w:t>
      </w:r>
    </w:p>
    <w:p>
      <w:pPr>
        <w:pStyle w:val="BodyText"/>
        <w:spacing w:before="1"/>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Que, el</w:t>
      </w:r>
      <w:r>
        <w:rPr>
          <w:spacing w:val="-2"/>
          <w:sz w:val="22"/>
        </w:rPr>
        <w:t> </w:t>
      </w:r>
      <w:r>
        <w:rPr>
          <w:sz w:val="22"/>
        </w:rPr>
        <w:t>20</w:t>
      </w:r>
      <w:r>
        <w:rPr>
          <w:spacing w:val="-1"/>
          <w:sz w:val="22"/>
        </w:rPr>
        <w:t> </w:t>
      </w:r>
      <w:r>
        <w:rPr>
          <w:sz w:val="22"/>
        </w:rPr>
        <w:t>de</w:t>
      </w:r>
      <w:r>
        <w:rPr>
          <w:spacing w:val="-1"/>
          <w:sz w:val="22"/>
        </w:rPr>
        <w:t> </w:t>
      </w:r>
      <w:r>
        <w:rPr>
          <w:sz w:val="22"/>
        </w:rPr>
        <w:t>marzo</w:t>
      </w:r>
      <w:r>
        <w:rPr>
          <w:spacing w:val="-1"/>
          <w:sz w:val="22"/>
        </w:rPr>
        <w:t> </w:t>
      </w:r>
      <w:r>
        <w:rPr>
          <w:sz w:val="22"/>
        </w:rPr>
        <w:t>de</w:t>
      </w:r>
      <w:r>
        <w:rPr>
          <w:spacing w:val="-3"/>
          <w:sz w:val="22"/>
        </w:rPr>
        <w:t> </w:t>
      </w:r>
      <w:r>
        <w:rPr>
          <w:sz w:val="22"/>
        </w:rPr>
        <w:t>2026, mediante</w:t>
      </w:r>
      <w:r>
        <w:rPr>
          <w:spacing w:val="-3"/>
          <w:sz w:val="22"/>
        </w:rPr>
        <w:t> </w:t>
      </w:r>
      <w:r>
        <w:rPr>
          <w:sz w:val="22"/>
        </w:rPr>
        <w:t>comunicación N.° SG/E/DGCOM/552/2026, la</w:t>
      </w:r>
      <w:r>
        <w:rPr>
          <w:spacing w:val="-5"/>
          <w:sz w:val="22"/>
        </w:rPr>
        <w:t> </w:t>
      </w:r>
      <w:r>
        <w:rPr>
          <w:sz w:val="22"/>
        </w:rPr>
        <w:t>SGCAN</w:t>
      </w:r>
      <w:r>
        <w:rPr>
          <w:spacing w:val="-6"/>
          <w:sz w:val="22"/>
        </w:rPr>
        <w:t> </w:t>
      </w:r>
      <w:r>
        <w:rPr>
          <w:sz w:val="22"/>
        </w:rPr>
        <w:t>acusó</w:t>
      </w:r>
      <w:r>
        <w:rPr>
          <w:spacing w:val="-5"/>
          <w:sz w:val="22"/>
        </w:rPr>
        <w:t> </w:t>
      </w:r>
      <w:r>
        <w:rPr>
          <w:sz w:val="22"/>
        </w:rPr>
        <w:t>recibo</w:t>
      </w:r>
      <w:r>
        <w:rPr>
          <w:spacing w:val="-8"/>
          <w:sz w:val="22"/>
        </w:rPr>
        <w:t> </w:t>
      </w:r>
      <w:r>
        <w:rPr>
          <w:sz w:val="22"/>
        </w:rPr>
        <w:t>del</w:t>
      </w:r>
      <w:r>
        <w:rPr>
          <w:spacing w:val="-6"/>
          <w:sz w:val="22"/>
        </w:rPr>
        <w:t> </w:t>
      </w:r>
      <w:r>
        <w:rPr>
          <w:sz w:val="22"/>
        </w:rPr>
        <w:t>Oficio</w:t>
      </w:r>
      <w:r>
        <w:rPr>
          <w:spacing w:val="-5"/>
          <w:sz w:val="22"/>
        </w:rPr>
        <w:t> </w:t>
      </w:r>
      <w:r>
        <w:rPr>
          <w:sz w:val="22"/>
        </w:rPr>
        <w:t>Nro.</w:t>
      </w:r>
      <w:r>
        <w:rPr>
          <w:spacing w:val="-6"/>
          <w:sz w:val="22"/>
        </w:rPr>
        <w:t> </w:t>
      </w:r>
      <w:r>
        <w:rPr>
          <w:sz w:val="22"/>
        </w:rPr>
        <w:t>MPCEI-VCE-2026-0029-O</w:t>
      </w:r>
      <w:r>
        <w:rPr>
          <w:spacing w:val="-4"/>
          <w:sz w:val="22"/>
        </w:rPr>
        <w:t> </w:t>
      </w:r>
      <w:r>
        <w:rPr>
          <w:sz w:val="22"/>
        </w:rPr>
        <w:t>a</w:t>
      </w:r>
      <w:r>
        <w:rPr>
          <w:spacing w:val="-7"/>
          <w:sz w:val="22"/>
        </w:rPr>
        <w:t> </w:t>
      </w:r>
      <w:r>
        <w:rPr>
          <w:sz w:val="22"/>
        </w:rPr>
        <w:t>la</w:t>
      </w:r>
      <w:r>
        <w:rPr>
          <w:spacing w:val="-5"/>
          <w:sz w:val="22"/>
        </w:rPr>
        <w:t> </w:t>
      </w:r>
      <w:r>
        <w:rPr>
          <w:sz w:val="22"/>
        </w:rPr>
        <w:t>República</w:t>
      </w:r>
      <w:r>
        <w:rPr>
          <w:spacing w:val="-5"/>
          <w:sz w:val="22"/>
        </w:rPr>
        <w:t> </w:t>
      </w:r>
      <w:r>
        <w:rPr>
          <w:sz w:val="22"/>
        </w:rPr>
        <w:t>del</w:t>
      </w:r>
    </w:p>
    <w:p>
      <w:pPr>
        <w:pStyle w:val="BodyText"/>
        <w:spacing w:before="191"/>
        <w:rPr>
          <w:sz w:val="20"/>
        </w:rPr>
      </w:pPr>
      <w:r>
        <w:rPr>
          <w:sz w:val="20"/>
        </w:rPr>
        <mc:AlternateContent>
          <mc:Choice Requires="wps">
            <w:drawing>
              <wp:anchor distT="0" distB="0" distL="0" distR="0" allowOverlap="1" layoutInCell="1" locked="0" behindDoc="1" simplePos="0" relativeHeight="487590400">
                <wp:simplePos x="0" y="0"/>
                <wp:positionH relativeFrom="page">
                  <wp:posOffset>732155</wp:posOffset>
                </wp:positionH>
                <wp:positionV relativeFrom="paragraph">
                  <wp:posOffset>282597</wp:posOffset>
                </wp:positionV>
                <wp:extent cx="6131560" cy="1270"/>
                <wp:effectExtent l="0" t="0" r="0" b="0"/>
                <wp:wrapTopAndBottom/>
                <wp:docPr id="15" name="Graphic 15"/>
                <wp:cNvGraphicFramePr>
                  <a:graphicFrameLocks/>
                </wp:cNvGraphicFramePr>
                <a:graphic>
                  <a:graphicData uri="http://schemas.microsoft.com/office/word/2010/wordprocessingShape">
                    <wps:wsp>
                      <wps:cNvPr id="15" name="Graphic 15"/>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7.650002pt;margin-top:22.251785pt;width:482.8pt;height:.1pt;mso-position-horizontal-relative:page;mso-position-vertical-relative:paragraph;z-index:-15726080;mso-wrap-distance-left:0;mso-wrap-distance-right:0" id="docshape11" coordorigin="1153,445" coordsize="9656,0" path="m1153,445l10809,445e" filled="false" stroked="true" strokeweight=".75pt" strokecolor="#000000">
                <v:path arrowok="t"/>
                <v:stroke dashstyle="solid"/>
                <w10:wrap type="topAndBottom"/>
              </v:shape>
            </w:pict>
          </mc:Fallback>
        </mc:AlternateContent>
      </w:r>
    </w:p>
    <w:p>
      <w:pPr>
        <w:pStyle w:val="BodyText"/>
        <w:spacing w:after="0"/>
        <w:rPr>
          <w:sz w:val="20"/>
        </w:rPr>
        <w:sectPr>
          <w:headerReference w:type="default" r:id="rId6"/>
          <w:footerReference w:type="default" r:id="rId7"/>
          <w:pgSz w:w="11900" w:h="16850"/>
          <w:pgMar w:header="370" w:footer="597" w:top="1380" w:bottom="780" w:left="992" w:right="283"/>
          <w:pgNumType w:start="2"/>
        </w:sectPr>
      </w:pPr>
    </w:p>
    <w:p>
      <w:pPr>
        <w:pStyle w:val="BodyText"/>
        <w:spacing w:before="176"/>
      </w:pPr>
    </w:p>
    <w:p>
      <w:pPr>
        <w:pStyle w:val="BodyText"/>
        <w:ind w:left="1420" w:right="955"/>
      </w:pPr>
      <w:r>
        <w:rPr/>
        <w:t>Ecuador,</w:t>
      </w:r>
      <w:r>
        <w:rPr>
          <w:spacing w:val="-16"/>
        </w:rPr>
        <w:t> </w:t>
      </w:r>
      <w:r>
        <w:rPr/>
        <w:t>y</w:t>
      </w:r>
      <w:r>
        <w:rPr>
          <w:spacing w:val="-15"/>
        </w:rPr>
        <w:t> </w:t>
      </w:r>
      <w:r>
        <w:rPr/>
        <w:t>confirmó</w:t>
      </w:r>
      <w:r>
        <w:rPr>
          <w:spacing w:val="-17"/>
        </w:rPr>
        <w:t> </w:t>
      </w:r>
      <w:r>
        <w:rPr/>
        <w:t>la</w:t>
      </w:r>
      <w:r>
        <w:rPr>
          <w:spacing w:val="-15"/>
        </w:rPr>
        <w:t> </w:t>
      </w:r>
      <w:r>
        <w:rPr/>
        <w:t>realización</w:t>
      </w:r>
      <w:r>
        <w:rPr>
          <w:spacing w:val="-16"/>
        </w:rPr>
        <w:t> </w:t>
      </w:r>
      <w:r>
        <w:rPr/>
        <w:t>de</w:t>
      </w:r>
      <w:r>
        <w:rPr>
          <w:spacing w:val="-15"/>
        </w:rPr>
        <w:t> </w:t>
      </w:r>
      <w:r>
        <w:rPr/>
        <w:t>las</w:t>
      </w:r>
      <w:r>
        <w:rPr>
          <w:spacing w:val="-15"/>
        </w:rPr>
        <w:t> </w:t>
      </w:r>
      <w:r>
        <w:rPr/>
        <w:t>actividades</w:t>
      </w:r>
      <w:r>
        <w:rPr>
          <w:spacing w:val="-15"/>
        </w:rPr>
        <w:t> </w:t>
      </w:r>
      <w:r>
        <w:rPr/>
        <w:t>en</w:t>
      </w:r>
      <w:r>
        <w:rPr>
          <w:spacing w:val="-16"/>
        </w:rPr>
        <w:t> </w:t>
      </w:r>
      <w:r>
        <w:rPr/>
        <w:t>las</w:t>
      </w:r>
      <w:r>
        <w:rPr>
          <w:spacing w:val="-16"/>
        </w:rPr>
        <w:t> </w:t>
      </w:r>
      <w:r>
        <w:rPr/>
        <w:t>fechas</w:t>
      </w:r>
      <w:r>
        <w:rPr>
          <w:spacing w:val="-15"/>
        </w:rPr>
        <w:t> </w:t>
      </w:r>
      <w:r>
        <w:rPr/>
        <w:t>previstas</w:t>
      </w:r>
      <w:r>
        <w:rPr>
          <w:spacing w:val="-15"/>
        </w:rPr>
        <w:t> </w:t>
      </w:r>
      <w:r>
        <w:rPr/>
        <w:t>conforme el cronograma compartido.</w:t>
      </w:r>
    </w:p>
    <w:p>
      <w:pPr>
        <w:pStyle w:val="BodyText"/>
      </w:pPr>
    </w:p>
    <w:p>
      <w:pPr>
        <w:pStyle w:val="ListParagraph"/>
        <w:numPr>
          <w:ilvl w:val="0"/>
          <w:numId w:val="2"/>
        </w:numPr>
        <w:tabs>
          <w:tab w:pos="1420" w:val="left" w:leader="none"/>
        </w:tabs>
        <w:spacing w:line="240" w:lineRule="auto" w:before="0" w:after="0"/>
        <w:ind w:left="1420" w:right="979" w:hanging="852"/>
        <w:jc w:val="both"/>
        <w:rPr>
          <w:sz w:val="22"/>
        </w:rPr>
      </w:pPr>
      <w:r>
        <w:rPr>
          <w:sz w:val="22"/>
        </w:rPr>
        <w:t>Que, el 20 de marzo de 2026, mediante Radicado No. 2-2026-008261, la República de Colombia solicitó que se aplacen las visitas de verificación a una fecha posterior a la del 13 de abril del año en curso.</w:t>
      </w:r>
    </w:p>
    <w:p>
      <w:pPr>
        <w:pStyle w:val="BodyText"/>
      </w:pPr>
    </w:p>
    <w:p>
      <w:pPr>
        <w:pStyle w:val="ListParagraph"/>
        <w:numPr>
          <w:ilvl w:val="0"/>
          <w:numId w:val="2"/>
        </w:numPr>
        <w:tabs>
          <w:tab w:pos="1420" w:val="left" w:leader="none"/>
        </w:tabs>
        <w:spacing w:line="240" w:lineRule="auto" w:before="1" w:after="0"/>
        <w:ind w:left="1420" w:right="975" w:hanging="852"/>
        <w:jc w:val="both"/>
        <w:rPr>
          <w:sz w:val="22"/>
        </w:rPr>
      </w:pPr>
      <w:r>
        <w:rPr>
          <w:sz w:val="22"/>
        </w:rPr>
        <w:t>Que, el 20 de marzo de 2026, mediante comunicación N.° SG/E/DS/660/2026, la SGCAN</w:t>
      </w:r>
      <w:r>
        <w:rPr>
          <w:spacing w:val="-16"/>
          <w:sz w:val="22"/>
        </w:rPr>
        <w:t> </w:t>
      </w:r>
      <w:r>
        <w:rPr>
          <w:sz w:val="22"/>
        </w:rPr>
        <w:t>informó</w:t>
      </w:r>
      <w:r>
        <w:rPr>
          <w:spacing w:val="-15"/>
          <w:sz w:val="22"/>
        </w:rPr>
        <w:t> </w:t>
      </w:r>
      <w:r>
        <w:rPr>
          <w:sz w:val="22"/>
        </w:rPr>
        <w:t>a</w:t>
      </w:r>
      <w:r>
        <w:rPr>
          <w:spacing w:val="-15"/>
          <w:sz w:val="22"/>
        </w:rPr>
        <w:t> </w:t>
      </w:r>
      <w:r>
        <w:rPr>
          <w:sz w:val="22"/>
        </w:rPr>
        <w:t>la</w:t>
      </w:r>
      <w:r>
        <w:rPr>
          <w:spacing w:val="-16"/>
          <w:sz w:val="22"/>
        </w:rPr>
        <w:t> </w:t>
      </w:r>
      <w:r>
        <w:rPr>
          <w:sz w:val="22"/>
        </w:rPr>
        <w:t>República</w:t>
      </w:r>
      <w:r>
        <w:rPr>
          <w:spacing w:val="-15"/>
          <w:sz w:val="22"/>
        </w:rPr>
        <w:t> </w:t>
      </w:r>
      <w:r>
        <w:rPr>
          <w:sz w:val="22"/>
        </w:rPr>
        <w:t>de</w:t>
      </w:r>
      <w:r>
        <w:rPr>
          <w:spacing w:val="-15"/>
          <w:sz w:val="22"/>
        </w:rPr>
        <w:t> </w:t>
      </w:r>
      <w:r>
        <w:rPr>
          <w:sz w:val="22"/>
        </w:rPr>
        <w:t>Colombia</w:t>
      </w:r>
      <w:r>
        <w:rPr>
          <w:spacing w:val="-15"/>
          <w:sz w:val="22"/>
        </w:rPr>
        <w:t> </w:t>
      </w:r>
      <w:r>
        <w:rPr>
          <w:sz w:val="22"/>
        </w:rPr>
        <w:t>que,</w:t>
      </w:r>
      <w:r>
        <w:rPr>
          <w:spacing w:val="-16"/>
          <w:sz w:val="22"/>
        </w:rPr>
        <w:t> </w:t>
      </w:r>
      <w:r>
        <w:rPr>
          <w:sz w:val="22"/>
        </w:rPr>
        <w:t>en</w:t>
      </w:r>
      <w:r>
        <w:rPr>
          <w:spacing w:val="-15"/>
          <w:sz w:val="22"/>
        </w:rPr>
        <w:t> </w:t>
      </w:r>
      <w:r>
        <w:rPr>
          <w:sz w:val="22"/>
        </w:rPr>
        <w:t>atención</w:t>
      </w:r>
      <w:r>
        <w:rPr>
          <w:spacing w:val="-15"/>
          <w:sz w:val="22"/>
        </w:rPr>
        <w:t> </w:t>
      </w:r>
      <w:r>
        <w:rPr>
          <w:sz w:val="22"/>
        </w:rPr>
        <w:t>a</w:t>
      </w:r>
      <w:r>
        <w:rPr>
          <w:spacing w:val="-16"/>
          <w:sz w:val="22"/>
        </w:rPr>
        <w:t> </w:t>
      </w:r>
      <w:r>
        <w:rPr>
          <w:sz w:val="22"/>
        </w:rPr>
        <w:t>los</w:t>
      </w:r>
      <w:r>
        <w:rPr>
          <w:spacing w:val="-15"/>
          <w:sz w:val="22"/>
        </w:rPr>
        <w:t> </w:t>
      </w:r>
      <w:r>
        <w:rPr>
          <w:sz w:val="22"/>
        </w:rPr>
        <w:t>plazos</w:t>
      </w:r>
      <w:r>
        <w:rPr>
          <w:spacing w:val="-15"/>
          <w:sz w:val="22"/>
        </w:rPr>
        <w:t> </w:t>
      </w:r>
      <w:r>
        <w:rPr>
          <w:sz w:val="22"/>
        </w:rPr>
        <w:t>perentorios del procedimiento de investigación en curso, era esencial cumplir con las fechas previstas</w:t>
      </w:r>
      <w:r>
        <w:rPr>
          <w:spacing w:val="-16"/>
          <w:sz w:val="22"/>
        </w:rPr>
        <w:t> </w:t>
      </w:r>
      <w:r>
        <w:rPr>
          <w:sz w:val="22"/>
        </w:rPr>
        <w:t>dentro</w:t>
      </w:r>
      <w:r>
        <w:rPr>
          <w:spacing w:val="-15"/>
          <w:sz w:val="22"/>
        </w:rPr>
        <w:t> </w:t>
      </w:r>
      <w:r>
        <w:rPr>
          <w:sz w:val="22"/>
        </w:rPr>
        <w:t>del</w:t>
      </w:r>
      <w:r>
        <w:rPr>
          <w:spacing w:val="-15"/>
          <w:sz w:val="22"/>
        </w:rPr>
        <w:t> </w:t>
      </w:r>
      <w:r>
        <w:rPr>
          <w:sz w:val="22"/>
        </w:rPr>
        <w:t>cronograma.</w:t>
      </w:r>
      <w:r>
        <w:rPr>
          <w:spacing w:val="-16"/>
          <w:sz w:val="22"/>
        </w:rPr>
        <w:t> </w:t>
      </w:r>
      <w:r>
        <w:rPr>
          <w:sz w:val="22"/>
        </w:rPr>
        <w:t>En</w:t>
      </w:r>
      <w:r>
        <w:rPr>
          <w:spacing w:val="-15"/>
          <w:sz w:val="22"/>
        </w:rPr>
        <w:t> </w:t>
      </w:r>
      <w:r>
        <w:rPr>
          <w:sz w:val="22"/>
        </w:rPr>
        <w:t>ese</w:t>
      </w:r>
      <w:r>
        <w:rPr>
          <w:spacing w:val="-15"/>
          <w:sz w:val="22"/>
        </w:rPr>
        <w:t> </w:t>
      </w:r>
      <w:r>
        <w:rPr>
          <w:sz w:val="22"/>
        </w:rPr>
        <w:t>sentido</w:t>
      </w:r>
      <w:r>
        <w:rPr>
          <w:spacing w:val="-15"/>
          <w:sz w:val="22"/>
        </w:rPr>
        <w:t> </w:t>
      </w:r>
      <w:r>
        <w:rPr>
          <w:sz w:val="22"/>
        </w:rPr>
        <w:t>solicitó</w:t>
      </w:r>
      <w:r>
        <w:rPr>
          <w:spacing w:val="-16"/>
          <w:sz w:val="22"/>
        </w:rPr>
        <w:t> </w:t>
      </w:r>
      <w:r>
        <w:rPr>
          <w:sz w:val="22"/>
        </w:rPr>
        <w:t>reconsiderar</w:t>
      </w:r>
      <w:r>
        <w:rPr>
          <w:spacing w:val="-15"/>
          <w:sz w:val="22"/>
        </w:rPr>
        <w:t> </w:t>
      </w:r>
      <w:r>
        <w:rPr>
          <w:sz w:val="22"/>
        </w:rPr>
        <w:t>el</w:t>
      </w:r>
      <w:r>
        <w:rPr>
          <w:spacing w:val="-15"/>
          <w:sz w:val="22"/>
        </w:rPr>
        <w:t> </w:t>
      </w:r>
      <w:r>
        <w:rPr>
          <w:sz w:val="22"/>
        </w:rPr>
        <w:t>aplazamiento </w:t>
      </w:r>
      <w:r>
        <w:rPr>
          <w:spacing w:val="-2"/>
          <w:sz w:val="22"/>
        </w:rPr>
        <w:t>requerido.</w:t>
      </w:r>
    </w:p>
    <w:p>
      <w:pPr>
        <w:pStyle w:val="BodyText"/>
        <w:spacing w:before="1"/>
      </w:pPr>
    </w:p>
    <w:p>
      <w:pPr>
        <w:pStyle w:val="ListParagraph"/>
        <w:numPr>
          <w:ilvl w:val="0"/>
          <w:numId w:val="2"/>
        </w:numPr>
        <w:tabs>
          <w:tab w:pos="1420" w:val="left" w:leader="none"/>
        </w:tabs>
        <w:spacing w:line="240" w:lineRule="auto" w:before="1" w:after="0"/>
        <w:ind w:left="1420" w:right="974" w:hanging="852"/>
        <w:jc w:val="both"/>
        <w:rPr>
          <w:sz w:val="22"/>
        </w:rPr>
      </w:pPr>
      <w:r>
        <w:rPr>
          <w:sz w:val="22"/>
        </w:rPr>
        <w:t>Que, el 21 de marzo de 2026, en el marco de las actividades programadas por el Viceministerio de Comercio Exterior de la República del Ecuador, funcionarios de la SGCAN</w:t>
      </w:r>
      <w:r>
        <w:rPr>
          <w:spacing w:val="-3"/>
          <w:sz w:val="22"/>
        </w:rPr>
        <w:t> </w:t>
      </w:r>
      <w:r>
        <w:rPr>
          <w:sz w:val="22"/>
        </w:rPr>
        <w:t>realizaron</w:t>
      </w:r>
      <w:r>
        <w:rPr>
          <w:spacing w:val="-5"/>
          <w:sz w:val="22"/>
        </w:rPr>
        <w:t> </w:t>
      </w:r>
      <w:r>
        <w:rPr>
          <w:sz w:val="22"/>
        </w:rPr>
        <w:t>la</w:t>
      </w:r>
      <w:r>
        <w:rPr>
          <w:spacing w:val="-5"/>
          <w:sz w:val="22"/>
        </w:rPr>
        <w:t> </w:t>
      </w:r>
      <w:r>
        <w:rPr>
          <w:sz w:val="22"/>
        </w:rPr>
        <w:t>visita</w:t>
      </w:r>
      <w:r>
        <w:rPr>
          <w:spacing w:val="-3"/>
          <w:sz w:val="22"/>
        </w:rPr>
        <w:t> </w:t>
      </w:r>
      <w:r>
        <w:rPr>
          <w:sz w:val="22"/>
        </w:rPr>
        <w:t>de</w:t>
      </w:r>
      <w:r>
        <w:rPr>
          <w:spacing w:val="-5"/>
          <w:sz w:val="22"/>
        </w:rPr>
        <w:t> </w:t>
      </w:r>
      <w:r>
        <w:rPr>
          <w:sz w:val="22"/>
        </w:rPr>
        <w:t>inspección</w:t>
      </w:r>
      <w:r>
        <w:rPr>
          <w:spacing w:val="-5"/>
          <w:sz w:val="22"/>
        </w:rPr>
        <w:t> </w:t>
      </w:r>
      <w:r>
        <w:rPr>
          <w:sz w:val="22"/>
        </w:rPr>
        <w:t>y</w:t>
      </w:r>
      <w:r>
        <w:rPr>
          <w:spacing w:val="-5"/>
          <w:sz w:val="22"/>
        </w:rPr>
        <w:t> </w:t>
      </w:r>
      <w:r>
        <w:rPr>
          <w:sz w:val="22"/>
        </w:rPr>
        <w:t>verificación</w:t>
      </w:r>
      <w:r>
        <w:rPr>
          <w:spacing w:val="-3"/>
          <w:sz w:val="22"/>
        </w:rPr>
        <w:t> </w:t>
      </w:r>
      <w:r>
        <w:rPr>
          <w:sz w:val="22"/>
        </w:rPr>
        <w:t>en</w:t>
      </w:r>
      <w:r>
        <w:rPr>
          <w:spacing w:val="-5"/>
          <w:sz w:val="22"/>
        </w:rPr>
        <w:t> </w:t>
      </w:r>
      <w:r>
        <w:rPr>
          <w:sz w:val="22"/>
        </w:rPr>
        <w:t>el</w:t>
      </w:r>
      <w:r>
        <w:rPr>
          <w:spacing w:val="-4"/>
          <w:sz w:val="22"/>
        </w:rPr>
        <w:t> </w:t>
      </w:r>
      <w:r>
        <w:rPr>
          <w:sz w:val="22"/>
        </w:rPr>
        <w:t>puente internacional</w:t>
      </w:r>
      <w:r>
        <w:rPr>
          <w:spacing w:val="-4"/>
          <w:sz w:val="22"/>
        </w:rPr>
        <w:t> </w:t>
      </w:r>
      <w:r>
        <w:rPr>
          <w:sz w:val="22"/>
        </w:rPr>
        <w:t>de Rumichaca, ubicado en la provincia de Carchi, República del Ecuador. El encuentro estuvo presidido por autoridades del Servicio Nacional de Aduana del Ecuador </w:t>
      </w:r>
      <w:r>
        <w:rPr>
          <w:rFonts w:ascii="Arial" w:hAnsi="Arial"/>
          <w:b/>
          <w:sz w:val="22"/>
        </w:rPr>
        <w:t>(en adelante, SENAE</w:t>
      </w:r>
      <w:r>
        <w:rPr>
          <w:sz w:val="22"/>
        </w:rPr>
        <w:t>) y representantes de los Ministerios de Relaciones Exteriores y Producción, Comercio Exterior e Inversiones de dicho País Miembro. Asimismo, durante</w:t>
      </w:r>
      <w:r>
        <w:rPr>
          <w:spacing w:val="-7"/>
          <w:sz w:val="22"/>
        </w:rPr>
        <w:t> </w:t>
      </w:r>
      <w:r>
        <w:rPr>
          <w:sz w:val="22"/>
        </w:rPr>
        <w:t>la</w:t>
      </w:r>
      <w:r>
        <w:rPr>
          <w:spacing w:val="-7"/>
          <w:sz w:val="22"/>
        </w:rPr>
        <w:t> </w:t>
      </w:r>
      <w:r>
        <w:rPr>
          <w:sz w:val="22"/>
        </w:rPr>
        <w:t>jornada,</w:t>
      </w:r>
      <w:r>
        <w:rPr>
          <w:spacing w:val="-6"/>
          <w:sz w:val="22"/>
        </w:rPr>
        <w:t> </w:t>
      </w:r>
      <w:r>
        <w:rPr>
          <w:sz w:val="22"/>
        </w:rPr>
        <w:t>los</w:t>
      </w:r>
      <w:r>
        <w:rPr>
          <w:spacing w:val="-10"/>
          <w:sz w:val="22"/>
        </w:rPr>
        <w:t> </w:t>
      </w:r>
      <w:r>
        <w:rPr>
          <w:sz w:val="22"/>
        </w:rPr>
        <w:t>funcionarios</w:t>
      </w:r>
      <w:r>
        <w:rPr>
          <w:spacing w:val="-5"/>
          <w:sz w:val="22"/>
        </w:rPr>
        <w:t> </w:t>
      </w:r>
      <w:r>
        <w:rPr>
          <w:sz w:val="22"/>
        </w:rPr>
        <w:t>sostuvieron</w:t>
      </w:r>
      <w:r>
        <w:rPr>
          <w:spacing w:val="-7"/>
          <w:sz w:val="22"/>
        </w:rPr>
        <w:t> </w:t>
      </w:r>
      <w:r>
        <w:rPr>
          <w:sz w:val="22"/>
        </w:rPr>
        <w:t>un</w:t>
      </w:r>
      <w:r>
        <w:rPr>
          <w:spacing w:val="-5"/>
          <w:sz w:val="22"/>
        </w:rPr>
        <w:t> </w:t>
      </w:r>
      <w:r>
        <w:rPr>
          <w:sz w:val="22"/>
        </w:rPr>
        <w:t>encuentro</w:t>
      </w:r>
      <w:r>
        <w:rPr>
          <w:spacing w:val="-7"/>
          <w:sz w:val="22"/>
        </w:rPr>
        <w:t> </w:t>
      </w:r>
      <w:r>
        <w:rPr>
          <w:sz w:val="22"/>
        </w:rPr>
        <w:t>con</w:t>
      </w:r>
      <w:r>
        <w:rPr>
          <w:spacing w:val="-10"/>
          <w:sz w:val="22"/>
        </w:rPr>
        <w:t> </w:t>
      </w:r>
      <w:r>
        <w:rPr>
          <w:sz w:val="22"/>
        </w:rPr>
        <w:t>representantes</w:t>
      </w:r>
      <w:r>
        <w:rPr>
          <w:spacing w:val="-7"/>
          <w:sz w:val="22"/>
        </w:rPr>
        <w:t> </w:t>
      </w:r>
      <w:r>
        <w:rPr>
          <w:sz w:val="22"/>
        </w:rPr>
        <w:t>del sector de transporte y gremios</w:t>
      </w:r>
      <w:hyperlink w:history="true" w:anchor="_bookmark0">
        <w:r>
          <w:rPr>
            <w:sz w:val="22"/>
            <w:vertAlign w:val="superscript"/>
          </w:rPr>
          <w:t>1</w:t>
        </w:r>
      </w:hyperlink>
      <w:r>
        <w:rPr>
          <w:sz w:val="22"/>
          <w:vertAlign w:val="baseline"/>
        </w:rPr>
        <w:t> de comercio fronterizo de ambos países.</w:t>
      </w:r>
    </w:p>
    <w:p>
      <w:pPr>
        <w:pStyle w:val="ListParagraph"/>
        <w:numPr>
          <w:ilvl w:val="0"/>
          <w:numId w:val="2"/>
        </w:numPr>
        <w:tabs>
          <w:tab w:pos="1420" w:val="left" w:leader="none"/>
        </w:tabs>
        <w:spacing w:line="240" w:lineRule="auto" w:before="252" w:after="0"/>
        <w:ind w:left="1420" w:right="978" w:hanging="852"/>
        <w:jc w:val="both"/>
        <w:rPr>
          <w:sz w:val="22"/>
        </w:rPr>
      </w:pPr>
      <w:r>
        <w:rPr>
          <w:sz w:val="22"/>
        </w:rPr>
        <w:t>Que, el 24 de marzo de 2026, los funcionarios de la SGCAN asistieron en la ciudad de Quito, República del Ecuador, a la reunión programada con autoridades del Viceministerio</w:t>
      </w:r>
      <w:r>
        <w:rPr>
          <w:spacing w:val="-9"/>
          <w:sz w:val="22"/>
        </w:rPr>
        <w:t> </w:t>
      </w:r>
      <w:r>
        <w:rPr>
          <w:sz w:val="22"/>
        </w:rPr>
        <w:t>de</w:t>
      </w:r>
      <w:r>
        <w:rPr>
          <w:spacing w:val="-11"/>
          <w:sz w:val="22"/>
        </w:rPr>
        <w:t> </w:t>
      </w:r>
      <w:r>
        <w:rPr>
          <w:sz w:val="22"/>
        </w:rPr>
        <w:t>Comercio</w:t>
      </w:r>
      <w:r>
        <w:rPr>
          <w:spacing w:val="-8"/>
          <w:sz w:val="22"/>
        </w:rPr>
        <w:t> </w:t>
      </w:r>
      <w:r>
        <w:rPr>
          <w:sz w:val="22"/>
        </w:rPr>
        <w:t>Exterior,</w:t>
      </w:r>
      <w:r>
        <w:rPr>
          <w:spacing w:val="-9"/>
          <w:sz w:val="22"/>
        </w:rPr>
        <w:t> </w:t>
      </w:r>
      <w:r>
        <w:rPr>
          <w:sz w:val="22"/>
        </w:rPr>
        <w:t>Ministerio</w:t>
      </w:r>
      <w:r>
        <w:rPr>
          <w:spacing w:val="-8"/>
          <w:sz w:val="22"/>
        </w:rPr>
        <w:t> </w:t>
      </w:r>
      <w:r>
        <w:rPr>
          <w:sz w:val="22"/>
        </w:rPr>
        <w:t>de</w:t>
      </w:r>
      <w:r>
        <w:rPr>
          <w:spacing w:val="-11"/>
          <w:sz w:val="22"/>
        </w:rPr>
        <w:t> </w:t>
      </w:r>
      <w:r>
        <w:rPr>
          <w:sz w:val="22"/>
        </w:rPr>
        <w:t>Defensa,</w:t>
      </w:r>
      <w:r>
        <w:rPr>
          <w:spacing w:val="-9"/>
          <w:sz w:val="22"/>
        </w:rPr>
        <w:t> </w:t>
      </w:r>
      <w:r>
        <w:rPr>
          <w:sz w:val="22"/>
        </w:rPr>
        <w:t>Ministerio</w:t>
      </w:r>
      <w:r>
        <w:rPr>
          <w:spacing w:val="-11"/>
          <w:sz w:val="22"/>
        </w:rPr>
        <w:t> </w:t>
      </w:r>
      <w:r>
        <w:rPr>
          <w:sz w:val="22"/>
        </w:rPr>
        <w:t>de</w:t>
      </w:r>
      <w:r>
        <w:rPr>
          <w:spacing w:val="-9"/>
          <w:sz w:val="22"/>
        </w:rPr>
        <w:t> </w:t>
      </w:r>
      <w:r>
        <w:rPr>
          <w:sz w:val="22"/>
        </w:rPr>
        <w:t>Relaciones Exteriores</w:t>
      </w:r>
      <w:r>
        <w:rPr>
          <w:spacing w:val="-14"/>
          <w:sz w:val="22"/>
        </w:rPr>
        <w:t> </w:t>
      </w:r>
      <w:r>
        <w:rPr>
          <w:sz w:val="22"/>
        </w:rPr>
        <w:t>y</w:t>
      </w:r>
      <w:r>
        <w:rPr>
          <w:spacing w:val="-14"/>
          <w:sz w:val="22"/>
        </w:rPr>
        <w:t> </w:t>
      </w:r>
      <w:r>
        <w:rPr>
          <w:sz w:val="22"/>
        </w:rPr>
        <w:t>el</w:t>
      </w:r>
      <w:r>
        <w:rPr>
          <w:spacing w:val="-16"/>
          <w:sz w:val="22"/>
        </w:rPr>
        <w:t> </w:t>
      </w:r>
      <w:r>
        <w:rPr>
          <w:sz w:val="22"/>
        </w:rPr>
        <w:t>SENAE.</w:t>
      </w:r>
      <w:r>
        <w:rPr>
          <w:spacing w:val="-10"/>
          <w:sz w:val="22"/>
        </w:rPr>
        <w:t> </w:t>
      </w:r>
      <w:r>
        <w:rPr>
          <w:sz w:val="22"/>
        </w:rPr>
        <w:t>En</w:t>
      </w:r>
      <w:r>
        <w:rPr>
          <w:spacing w:val="-12"/>
          <w:sz w:val="22"/>
        </w:rPr>
        <w:t> </w:t>
      </w:r>
      <w:r>
        <w:rPr>
          <w:sz w:val="22"/>
        </w:rPr>
        <w:t>dicha</w:t>
      </w:r>
      <w:r>
        <w:rPr>
          <w:spacing w:val="-15"/>
          <w:sz w:val="22"/>
        </w:rPr>
        <w:t> </w:t>
      </w:r>
      <w:r>
        <w:rPr>
          <w:sz w:val="22"/>
        </w:rPr>
        <w:t>reunión</w:t>
      </w:r>
      <w:r>
        <w:rPr>
          <w:spacing w:val="-15"/>
          <w:sz w:val="22"/>
        </w:rPr>
        <w:t> </w:t>
      </w:r>
      <w:r>
        <w:rPr>
          <w:sz w:val="22"/>
        </w:rPr>
        <w:t>se</w:t>
      </w:r>
      <w:r>
        <w:rPr>
          <w:spacing w:val="-12"/>
          <w:sz w:val="22"/>
        </w:rPr>
        <w:t> </w:t>
      </w:r>
      <w:r>
        <w:rPr>
          <w:sz w:val="22"/>
        </w:rPr>
        <w:t>informó</w:t>
      </w:r>
      <w:r>
        <w:rPr>
          <w:spacing w:val="-10"/>
          <w:sz w:val="22"/>
        </w:rPr>
        <w:t> </w:t>
      </w:r>
      <w:r>
        <w:rPr>
          <w:sz w:val="22"/>
        </w:rPr>
        <w:t>a</w:t>
      </w:r>
      <w:r>
        <w:rPr>
          <w:spacing w:val="-15"/>
          <w:sz w:val="22"/>
        </w:rPr>
        <w:t> </w:t>
      </w:r>
      <w:r>
        <w:rPr>
          <w:sz w:val="22"/>
        </w:rPr>
        <w:t>la</w:t>
      </w:r>
      <w:r>
        <w:rPr>
          <w:spacing w:val="-12"/>
          <w:sz w:val="22"/>
        </w:rPr>
        <w:t> </w:t>
      </w:r>
      <w:r>
        <w:rPr>
          <w:sz w:val="22"/>
        </w:rPr>
        <w:t>República</w:t>
      </w:r>
      <w:r>
        <w:rPr>
          <w:spacing w:val="-12"/>
          <w:sz w:val="22"/>
        </w:rPr>
        <w:t> </w:t>
      </w:r>
      <w:r>
        <w:rPr>
          <w:sz w:val="22"/>
        </w:rPr>
        <w:t>del</w:t>
      </w:r>
      <w:r>
        <w:rPr>
          <w:spacing w:val="-15"/>
          <w:sz w:val="22"/>
        </w:rPr>
        <w:t> </w:t>
      </w:r>
      <w:r>
        <w:rPr>
          <w:sz w:val="22"/>
        </w:rPr>
        <w:t>Ecuador</w:t>
      </w:r>
      <w:r>
        <w:rPr>
          <w:spacing w:val="-11"/>
          <w:sz w:val="22"/>
        </w:rPr>
        <w:t> </w:t>
      </w:r>
      <w:r>
        <w:rPr>
          <w:sz w:val="22"/>
        </w:rPr>
        <w:t>sobre las</w:t>
      </w:r>
      <w:r>
        <w:rPr>
          <w:spacing w:val="-7"/>
          <w:sz w:val="22"/>
        </w:rPr>
        <w:t> </w:t>
      </w:r>
      <w:r>
        <w:rPr>
          <w:sz w:val="22"/>
        </w:rPr>
        <w:t>actuaciones</w:t>
      </w:r>
      <w:r>
        <w:rPr>
          <w:spacing w:val="-10"/>
          <w:sz w:val="22"/>
        </w:rPr>
        <w:t> </w:t>
      </w:r>
      <w:r>
        <w:rPr>
          <w:sz w:val="22"/>
        </w:rPr>
        <w:t>y</w:t>
      </w:r>
      <w:r>
        <w:rPr>
          <w:spacing w:val="-9"/>
          <w:sz w:val="22"/>
        </w:rPr>
        <w:t> </w:t>
      </w:r>
      <w:r>
        <w:rPr>
          <w:sz w:val="22"/>
        </w:rPr>
        <w:t>actividades</w:t>
      </w:r>
      <w:r>
        <w:rPr>
          <w:spacing w:val="-7"/>
          <w:sz w:val="22"/>
        </w:rPr>
        <w:t> </w:t>
      </w:r>
      <w:r>
        <w:rPr>
          <w:sz w:val="22"/>
        </w:rPr>
        <w:t>desarrolladas</w:t>
      </w:r>
      <w:r>
        <w:rPr>
          <w:spacing w:val="-10"/>
          <w:sz w:val="22"/>
        </w:rPr>
        <w:t> </w:t>
      </w:r>
      <w:r>
        <w:rPr>
          <w:sz w:val="22"/>
        </w:rPr>
        <w:t>en</w:t>
      </w:r>
      <w:r>
        <w:rPr>
          <w:spacing w:val="-10"/>
          <w:sz w:val="22"/>
        </w:rPr>
        <w:t> </w:t>
      </w:r>
      <w:r>
        <w:rPr>
          <w:sz w:val="22"/>
        </w:rPr>
        <w:t>el</w:t>
      </w:r>
      <w:r>
        <w:rPr>
          <w:spacing w:val="-11"/>
          <w:sz w:val="22"/>
        </w:rPr>
        <w:t> </w:t>
      </w:r>
      <w:r>
        <w:rPr>
          <w:sz w:val="22"/>
        </w:rPr>
        <w:t>marco</w:t>
      </w:r>
      <w:r>
        <w:rPr>
          <w:spacing w:val="-9"/>
          <w:sz w:val="22"/>
        </w:rPr>
        <w:t> </w:t>
      </w:r>
      <w:r>
        <w:rPr>
          <w:sz w:val="22"/>
        </w:rPr>
        <w:t>de</w:t>
      </w:r>
      <w:r>
        <w:rPr>
          <w:spacing w:val="-10"/>
          <w:sz w:val="22"/>
        </w:rPr>
        <w:t> </w:t>
      </w:r>
      <w:r>
        <w:rPr>
          <w:sz w:val="22"/>
        </w:rPr>
        <w:t>las</w:t>
      </w:r>
      <w:r>
        <w:rPr>
          <w:spacing w:val="-10"/>
          <w:sz w:val="22"/>
        </w:rPr>
        <w:t> </w:t>
      </w:r>
      <w:r>
        <w:rPr>
          <w:sz w:val="22"/>
        </w:rPr>
        <w:t>visitas</w:t>
      </w:r>
      <w:r>
        <w:rPr>
          <w:spacing w:val="-10"/>
          <w:sz w:val="22"/>
        </w:rPr>
        <w:t> </w:t>
      </w:r>
      <w:r>
        <w:rPr>
          <w:sz w:val="22"/>
        </w:rPr>
        <w:t>de</w:t>
      </w:r>
      <w:r>
        <w:rPr>
          <w:spacing w:val="-10"/>
          <w:sz w:val="22"/>
        </w:rPr>
        <w:t> </w:t>
      </w:r>
      <w:r>
        <w:rPr>
          <w:sz w:val="22"/>
        </w:rPr>
        <w:t>verificación.</w:t>
      </w:r>
    </w:p>
    <w:p>
      <w:pPr>
        <w:pStyle w:val="BodyText"/>
        <w:spacing w:before="16"/>
      </w:pPr>
    </w:p>
    <w:p>
      <w:pPr>
        <w:pStyle w:val="ListParagraph"/>
        <w:numPr>
          <w:ilvl w:val="0"/>
          <w:numId w:val="2"/>
        </w:numPr>
        <w:tabs>
          <w:tab w:pos="1420" w:val="left" w:leader="none"/>
        </w:tabs>
        <w:spacing w:line="240" w:lineRule="auto" w:before="0" w:after="0"/>
        <w:ind w:left="1420" w:right="976" w:hanging="852"/>
        <w:jc w:val="both"/>
        <w:rPr>
          <w:sz w:val="22"/>
        </w:rPr>
      </w:pPr>
      <w:r>
        <w:rPr>
          <w:sz w:val="22"/>
        </w:rPr>
        <w:t>Que, el 24 de marzo de 2026, la Cámara de Comercio de Ipiales remitió por correo electrónico a la SGCAN</w:t>
      </w:r>
      <w:hyperlink w:history="true" w:anchor="_bookmark1">
        <w:r>
          <w:rPr>
            <w:sz w:val="22"/>
            <w:vertAlign w:val="superscript"/>
          </w:rPr>
          <w:t>2</w:t>
        </w:r>
      </w:hyperlink>
      <w:r>
        <w:rPr>
          <w:sz w:val="22"/>
          <w:vertAlign w:val="baseline"/>
        </w:rPr>
        <w:t> los siguientes documentos:</w:t>
      </w:r>
    </w:p>
    <w:p>
      <w:pPr>
        <w:pStyle w:val="BodyText"/>
      </w:pPr>
    </w:p>
    <w:p>
      <w:pPr>
        <w:pStyle w:val="ListParagraph"/>
        <w:numPr>
          <w:ilvl w:val="1"/>
          <w:numId w:val="2"/>
        </w:numPr>
        <w:tabs>
          <w:tab w:pos="2008" w:val="left" w:leader="none"/>
        </w:tabs>
        <w:spacing w:line="240" w:lineRule="auto" w:before="0" w:after="0"/>
        <w:ind w:left="2008" w:right="983" w:hanging="360"/>
        <w:jc w:val="both"/>
        <w:rPr>
          <w:rFonts w:ascii="Times New Roman" w:hAnsi="Times New Roman"/>
          <w:sz w:val="22"/>
        </w:rPr>
      </w:pPr>
      <w:r>
        <w:rPr>
          <w:sz w:val="22"/>
        </w:rPr>
        <w:t>Informe Técnico: Afectaciones socioeconómicas por el cierre del puente internacional San Miguel, de la Secretaría de Productividad y Competitividad de la Gobernación de Putumayo, de fecha 12 de marzo de 2026.</w:t>
      </w:r>
      <w:hyperlink w:history="true" w:anchor="_bookmark2">
        <w:r>
          <w:rPr>
            <w:sz w:val="22"/>
            <w:vertAlign w:val="superscript"/>
          </w:rPr>
          <w:t>3</w:t>
        </w:r>
      </w:hyperlink>
    </w:p>
    <w:p>
      <w:pPr>
        <w:pStyle w:val="ListParagraph"/>
        <w:numPr>
          <w:ilvl w:val="1"/>
          <w:numId w:val="2"/>
        </w:numPr>
        <w:tabs>
          <w:tab w:pos="2008" w:val="left" w:leader="none"/>
        </w:tabs>
        <w:spacing w:line="240" w:lineRule="auto" w:before="250" w:after="0"/>
        <w:ind w:left="2008" w:right="978" w:hanging="360"/>
        <w:jc w:val="both"/>
        <w:rPr>
          <w:rFonts w:ascii="Times New Roman" w:hAnsi="Times New Roman"/>
          <w:sz w:val="22"/>
        </w:rPr>
      </w:pPr>
      <w:r>
        <w:rPr>
          <w:sz w:val="22"/>
        </w:rPr>
        <w:t>Diagnóstico estadístico y económico del comercio exterior ante la medida arancelaria del 30% en la frontera colombo-ecuatoriana, de la Cámara de Comercio de Ipiales, de febrero de 2026.</w:t>
      </w:r>
      <w:hyperlink w:history="true" w:anchor="_bookmark3">
        <w:r>
          <w:rPr>
            <w:sz w:val="22"/>
            <w:vertAlign w:val="superscript"/>
          </w:rPr>
          <w:t>4</w:t>
        </w:r>
      </w:hyperlink>
    </w:p>
    <w:p>
      <w:pPr>
        <w:pStyle w:val="BodyText"/>
        <w:spacing w:before="1"/>
      </w:pPr>
    </w:p>
    <w:p>
      <w:pPr>
        <w:pStyle w:val="ListParagraph"/>
        <w:numPr>
          <w:ilvl w:val="1"/>
          <w:numId w:val="2"/>
        </w:numPr>
        <w:tabs>
          <w:tab w:pos="2008" w:val="left" w:leader="none"/>
        </w:tabs>
        <w:spacing w:line="240" w:lineRule="auto" w:before="0" w:after="0"/>
        <w:ind w:left="2008" w:right="979" w:hanging="360"/>
        <w:jc w:val="both"/>
        <w:rPr>
          <w:rFonts w:ascii="Times New Roman" w:hAnsi="Times New Roman"/>
          <w:sz w:val="22"/>
        </w:rPr>
      </w:pPr>
      <w:r>
        <w:rPr>
          <w:sz w:val="22"/>
        </w:rPr>
        <w:t>Diagnóstico</w:t>
      </w:r>
      <w:r>
        <w:rPr>
          <w:spacing w:val="-14"/>
          <w:sz w:val="22"/>
        </w:rPr>
        <w:t> </w:t>
      </w:r>
      <w:r>
        <w:rPr>
          <w:sz w:val="22"/>
        </w:rPr>
        <w:t>estadístico</w:t>
      </w:r>
      <w:r>
        <w:rPr>
          <w:spacing w:val="-14"/>
          <w:sz w:val="22"/>
        </w:rPr>
        <w:t> </w:t>
      </w:r>
      <w:r>
        <w:rPr>
          <w:sz w:val="22"/>
        </w:rPr>
        <w:t>de</w:t>
      </w:r>
      <w:r>
        <w:rPr>
          <w:spacing w:val="-13"/>
          <w:sz w:val="22"/>
        </w:rPr>
        <w:t> </w:t>
      </w:r>
      <w:r>
        <w:rPr>
          <w:sz w:val="22"/>
        </w:rPr>
        <w:t>los</w:t>
      </w:r>
      <w:r>
        <w:rPr>
          <w:spacing w:val="-13"/>
          <w:sz w:val="22"/>
        </w:rPr>
        <w:t> </w:t>
      </w:r>
      <w:r>
        <w:rPr>
          <w:sz w:val="22"/>
        </w:rPr>
        <w:t>diferentes</w:t>
      </w:r>
      <w:r>
        <w:rPr>
          <w:spacing w:val="-15"/>
          <w:sz w:val="22"/>
        </w:rPr>
        <w:t> </w:t>
      </w:r>
      <w:r>
        <w:rPr>
          <w:sz w:val="22"/>
        </w:rPr>
        <w:t>sectores</w:t>
      </w:r>
      <w:r>
        <w:rPr>
          <w:spacing w:val="-16"/>
          <w:sz w:val="22"/>
        </w:rPr>
        <w:t> </w:t>
      </w:r>
      <w:r>
        <w:rPr>
          <w:sz w:val="22"/>
        </w:rPr>
        <w:t>económicos</w:t>
      </w:r>
      <w:r>
        <w:rPr>
          <w:spacing w:val="-12"/>
          <w:sz w:val="22"/>
        </w:rPr>
        <w:t> </w:t>
      </w:r>
      <w:r>
        <w:rPr>
          <w:sz w:val="22"/>
        </w:rPr>
        <w:t>del</w:t>
      </w:r>
      <w:r>
        <w:rPr>
          <w:spacing w:val="-14"/>
          <w:sz w:val="22"/>
        </w:rPr>
        <w:t> </w:t>
      </w:r>
      <w:r>
        <w:rPr>
          <w:sz w:val="22"/>
        </w:rPr>
        <w:t>Municipio</w:t>
      </w:r>
      <w:r>
        <w:rPr>
          <w:spacing w:val="-13"/>
          <w:sz w:val="22"/>
        </w:rPr>
        <w:t> </w:t>
      </w:r>
      <w:r>
        <w:rPr>
          <w:sz w:val="22"/>
        </w:rPr>
        <w:t>de Ipiales ante la medida arancelaria del 30% a las exportaciones colombianas por parte del Ecuador, de la Cooperación Intercamaral Cámara de Comercio de Pasto – Cámara de Comercio de Ipiales de febrero de 2026</w:t>
      </w:r>
      <w:hyperlink w:history="true" w:anchor="_bookmark4">
        <w:r>
          <w:rPr>
            <w:sz w:val="22"/>
          </w:rPr>
          <w:t>.</w:t>
        </w:r>
        <w:r>
          <w:rPr>
            <w:sz w:val="22"/>
            <w:vertAlign w:val="superscript"/>
          </w:rPr>
          <w:t>5</w:t>
        </w:r>
      </w:hyperlink>
    </w:p>
    <w:p>
      <w:pPr>
        <w:pStyle w:val="BodyText"/>
        <w:rPr>
          <w:sz w:val="20"/>
        </w:rPr>
      </w:pPr>
    </w:p>
    <w:p>
      <w:pPr>
        <w:pStyle w:val="BodyText"/>
        <w:spacing w:before="53"/>
        <w:rPr>
          <w:sz w:val="20"/>
        </w:rPr>
      </w:pPr>
      <w:r>
        <w:rPr>
          <w:sz w:val="20"/>
        </w:rPr>
        <mc:AlternateContent>
          <mc:Choice Requires="wps">
            <w:drawing>
              <wp:anchor distT="0" distB="0" distL="0" distR="0" allowOverlap="1" layoutInCell="1" locked="0" behindDoc="1" simplePos="0" relativeHeight="487590912">
                <wp:simplePos x="0" y="0"/>
                <wp:positionH relativeFrom="page">
                  <wp:posOffset>990904</wp:posOffset>
                </wp:positionH>
                <wp:positionV relativeFrom="paragraph">
                  <wp:posOffset>195417</wp:posOffset>
                </wp:positionV>
                <wp:extent cx="1829435" cy="7620"/>
                <wp:effectExtent l="0" t="0" r="0" b="0"/>
                <wp:wrapTopAndBottom/>
                <wp:docPr id="16" name="Graphic 16"/>
                <wp:cNvGraphicFramePr>
                  <a:graphicFrameLocks/>
                </wp:cNvGraphicFramePr>
                <a:graphic>
                  <a:graphicData uri="http://schemas.microsoft.com/office/word/2010/wordprocessingShape">
                    <wps:wsp>
                      <wps:cNvPr id="16" name="Graphic 16"/>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5.387169pt;width:144.020pt;height:.599980pt;mso-position-horizontal-relative:page;mso-position-vertical-relative:paragraph;z-index:-15725568;mso-wrap-distance-left:0;mso-wrap-distance-right:0" id="docshape12" filled="true" fillcolor="#000000" stroked="false">
                <v:fill type="solid"/>
                <w10:wrap type="topAndBottom"/>
              </v:rect>
            </w:pict>
          </mc:Fallback>
        </mc:AlternateContent>
      </w:r>
    </w:p>
    <w:p>
      <w:pPr>
        <w:spacing w:before="86"/>
        <w:ind w:left="568" w:right="0" w:firstLine="0"/>
        <w:jc w:val="left"/>
        <w:rPr>
          <w:sz w:val="18"/>
        </w:rPr>
      </w:pPr>
      <w:bookmarkStart w:name="_bookmark0" w:id="1"/>
      <w:bookmarkEnd w:id="1"/>
      <w:r>
        <w:rPr/>
      </w:r>
      <w:r>
        <w:rPr>
          <w:position w:val="8"/>
          <w:sz w:val="14"/>
        </w:rPr>
        <w:t>1</w:t>
      </w:r>
      <w:r>
        <w:rPr>
          <w:spacing w:val="-4"/>
          <w:position w:val="8"/>
          <w:sz w:val="14"/>
        </w:rPr>
        <w:t> </w:t>
      </w:r>
      <w:r>
        <w:rPr>
          <w:sz w:val="18"/>
        </w:rPr>
        <w:t>Véase</w:t>
      </w:r>
      <w:r>
        <w:rPr>
          <w:spacing w:val="-3"/>
          <w:sz w:val="18"/>
        </w:rPr>
        <w:t> </w:t>
      </w:r>
      <w:r>
        <w:rPr>
          <w:sz w:val="18"/>
        </w:rPr>
        <w:t>Folio</w:t>
      </w:r>
      <w:r>
        <w:rPr>
          <w:spacing w:val="-1"/>
          <w:sz w:val="18"/>
        </w:rPr>
        <w:t> </w:t>
      </w:r>
      <w:r>
        <w:rPr>
          <w:sz w:val="18"/>
        </w:rPr>
        <w:t>805</w:t>
      </w:r>
      <w:r>
        <w:rPr>
          <w:spacing w:val="-1"/>
          <w:sz w:val="18"/>
        </w:rPr>
        <w:t> </w:t>
      </w:r>
      <w:r>
        <w:rPr>
          <w:sz w:val="18"/>
        </w:rPr>
        <w:t>del</w:t>
      </w:r>
      <w:r>
        <w:rPr>
          <w:spacing w:val="-3"/>
          <w:sz w:val="18"/>
        </w:rPr>
        <w:t> </w:t>
      </w:r>
      <w:r>
        <w:rPr>
          <w:sz w:val="18"/>
        </w:rPr>
        <w:t>expediente</w:t>
      </w:r>
      <w:r>
        <w:rPr>
          <w:spacing w:val="-2"/>
          <w:sz w:val="18"/>
        </w:rPr>
        <w:t> DGCOM/REST/001/2026.</w:t>
      </w:r>
    </w:p>
    <w:p>
      <w:pPr>
        <w:spacing w:before="5"/>
        <w:ind w:left="568" w:right="955" w:firstLine="0"/>
        <w:jc w:val="left"/>
        <w:rPr>
          <w:sz w:val="18"/>
        </w:rPr>
      </w:pPr>
      <w:bookmarkStart w:name="_bookmark1" w:id="2"/>
      <w:bookmarkEnd w:id="2"/>
      <w:r>
        <w:rPr/>
      </w:r>
      <w:r>
        <w:rPr>
          <w:position w:val="6"/>
          <w:sz w:val="12"/>
        </w:rPr>
        <w:t>2</w:t>
      </w:r>
      <w:r>
        <w:rPr>
          <w:spacing w:val="1"/>
          <w:position w:val="6"/>
          <w:sz w:val="12"/>
        </w:rPr>
        <w:t> </w:t>
      </w:r>
      <w:r>
        <w:rPr>
          <w:sz w:val="18"/>
        </w:rPr>
        <w:t>Al</w:t>
      </w:r>
      <w:r>
        <w:rPr>
          <w:spacing w:val="-11"/>
          <w:sz w:val="18"/>
        </w:rPr>
        <w:t> </w:t>
      </w:r>
      <w:r>
        <w:rPr>
          <w:sz w:val="18"/>
        </w:rPr>
        <w:t>correo</w:t>
      </w:r>
      <w:r>
        <w:rPr>
          <w:spacing w:val="-13"/>
          <w:sz w:val="18"/>
        </w:rPr>
        <w:t> </w:t>
      </w:r>
      <w:r>
        <w:rPr>
          <w:sz w:val="18"/>
        </w:rPr>
        <w:t>electrónico</w:t>
      </w:r>
      <w:r>
        <w:rPr>
          <w:spacing w:val="-11"/>
          <w:sz w:val="18"/>
        </w:rPr>
        <w:t> </w:t>
      </w:r>
      <w:r>
        <w:rPr>
          <w:sz w:val="18"/>
        </w:rPr>
        <w:t>se</w:t>
      </w:r>
      <w:r>
        <w:rPr>
          <w:spacing w:val="-13"/>
          <w:sz w:val="18"/>
        </w:rPr>
        <w:t> </w:t>
      </w:r>
      <w:r>
        <w:rPr>
          <w:sz w:val="18"/>
        </w:rPr>
        <w:t>le</w:t>
      </w:r>
      <w:r>
        <w:rPr>
          <w:spacing w:val="-11"/>
          <w:sz w:val="18"/>
        </w:rPr>
        <w:t> </w:t>
      </w:r>
      <w:r>
        <w:rPr>
          <w:sz w:val="18"/>
        </w:rPr>
        <w:t>asignó</w:t>
      </w:r>
      <w:r>
        <w:rPr>
          <w:spacing w:val="-11"/>
          <w:sz w:val="18"/>
        </w:rPr>
        <w:t> </w:t>
      </w:r>
      <w:r>
        <w:rPr>
          <w:sz w:val="18"/>
        </w:rPr>
        <w:t>el</w:t>
      </w:r>
      <w:r>
        <w:rPr>
          <w:spacing w:val="-11"/>
          <w:sz w:val="18"/>
        </w:rPr>
        <w:t> </w:t>
      </w:r>
      <w:r>
        <w:rPr>
          <w:sz w:val="18"/>
        </w:rPr>
        <w:t>número</w:t>
      </w:r>
      <w:r>
        <w:rPr>
          <w:spacing w:val="-11"/>
          <w:sz w:val="18"/>
        </w:rPr>
        <w:t> </w:t>
      </w:r>
      <w:r>
        <w:rPr>
          <w:sz w:val="18"/>
        </w:rPr>
        <w:t>de</w:t>
      </w:r>
      <w:r>
        <w:rPr>
          <w:spacing w:val="-11"/>
          <w:sz w:val="18"/>
        </w:rPr>
        <w:t> </w:t>
      </w:r>
      <w:r>
        <w:rPr>
          <w:sz w:val="18"/>
        </w:rPr>
        <w:t>registro</w:t>
      </w:r>
      <w:r>
        <w:rPr>
          <w:spacing w:val="-11"/>
          <w:sz w:val="18"/>
        </w:rPr>
        <w:t> </w:t>
      </w:r>
      <w:r>
        <w:rPr>
          <w:sz w:val="18"/>
        </w:rPr>
        <w:t>913</w:t>
      </w:r>
      <w:r>
        <w:rPr>
          <w:spacing w:val="-11"/>
          <w:sz w:val="18"/>
        </w:rPr>
        <w:t> </w:t>
      </w:r>
      <w:r>
        <w:rPr>
          <w:sz w:val="18"/>
        </w:rPr>
        <w:t>del</w:t>
      </w:r>
      <w:r>
        <w:rPr>
          <w:spacing w:val="-11"/>
          <w:sz w:val="18"/>
        </w:rPr>
        <w:t> </w:t>
      </w:r>
      <w:r>
        <w:rPr>
          <w:sz w:val="18"/>
        </w:rPr>
        <w:t>sistema</w:t>
      </w:r>
      <w:r>
        <w:rPr>
          <w:spacing w:val="-11"/>
          <w:sz w:val="18"/>
        </w:rPr>
        <w:t> </w:t>
      </w:r>
      <w:r>
        <w:rPr>
          <w:sz w:val="18"/>
        </w:rPr>
        <w:t>de</w:t>
      </w:r>
      <w:r>
        <w:rPr>
          <w:spacing w:val="-11"/>
          <w:sz w:val="18"/>
        </w:rPr>
        <w:t> </w:t>
      </w:r>
      <w:r>
        <w:rPr>
          <w:sz w:val="18"/>
        </w:rPr>
        <w:t>correspondencia</w:t>
      </w:r>
      <w:r>
        <w:rPr>
          <w:spacing w:val="-13"/>
          <w:sz w:val="18"/>
        </w:rPr>
        <w:t> </w:t>
      </w:r>
      <w:r>
        <w:rPr>
          <w:sz w:val="18"/>
        </w:rPr>
        <w:t>interno</w:t>
      </w:r>
      <w:r>
        <w:rPr>
          <w:spacing w:val="-11"/>
          <w:sz w:val="18"/>
        </w:rPr>
        <w:t> </w:t>
      </w:r>
      <w:r>
        <w:rPr>
          <w:sz w:val="18"/>
        </w:rPr>
        <w:t>de</w:t>
      </w:r>
      <w:r>
        <w:rPr>
          <w:spacing w:val="-11"/>
          <w:sz w:val="18"/>
        </w:rPr>
        <w:t> </w:t>
      </w:r>
      <w:r>
        <w:rPr>
          <w:sz w:val="18"/>
        </w:rPr>
        <w:t>la</w:t>
      </w:r>
      <w:r>
        <w:rPr>
          <w:spacing w:val="-11"/>
          <w:sz w:val="18"/>
        </w:rPr>
        <w:t> </w:t>
      </w:r>
      <w:r>
        <w:rPr>
          <w:sz w:val="18"/>
        </w:rPr>
        <w:t>SGCAN, ver Folio 681 y siguientes del expediente DGCOM/REST/001/2026.</w:t>
      </w:r>
    </w:p>
    <w:p>
      <w:pPr>
        <w:spacing w:line="240" w:lineRule="auto" w:before="0"/>
        <w:ind w:left="568" w:right="955" w:firstLine="0"/>
        <w:jc w:val="left"/>
        <w:rPr>
          <w:sz w:val="18"/>
        </w:rPr>
      </w:pPr>
      <w:bookmarkStart w:name="_bookmark2" w:id="3"/>
      <w:bookmarkEnd w:id="3"/>
      <w:r>
        <w:rPr/>
      </w:r>
      <w:r>
        <w:rPr>
          <w:position w:val="6"/>
          <w:sz w:val="12"/>
        </w:rPr>
        <w:t>3</w:t>
      </w:r>
      <w:r>
        <w:rPr>
          <w:spacing w:val="30"/>
          <w:position w:val="6"/>
          <w:sz w:val="12"/>
        </w:rPr>
        <w:t> </w:t>
      </w:r>
      <w:r>
        <w:rPr>
          <w:sz w:val="18"/>
        </w:rPr>
        <w:t>Ver Folios 682 a 696 del expediente DGCOM/REST/001/2026, bajo archivo denominado Anexo 1. INFORME EJECUTIVO CIERRE FRONTERIZO PUENTE INTERNACIONAL 15-MARZO-2026.</w:t>
      </w:r>
    </w:p>
    <w:p>
      <w:pPr>
        <w:spacing w:line="206" w:lineRule="exact" w:before="0"/>
        <w:ind w:left="568" w:right="0" w:firstLine="0"/>
        <w:jc w:val="left"/>
        <w:rPr>
          <w:sz w:val="18"/>
        </w:rPr>
      </w:pPr>
      <w:bookmarkStart w:name="_bookmark3" w:id="4"/>
      <w:bookmarkEnd w:id="4"/>
      <w:r>
        <w:rPr/>
      </w:r>
      <w:r>
        <w:rPr>
          <w:position w:val="6"/>
          <w:sz w:val="12"/>
        </w:rPr>
        <w:t>4</w:t>
      </w:r>
      <w:r>
        <w:rPr>
          <w:spacing w:val="12"/>
          <w:position w:val="6"/>
          <w:sz w:val="12"/>
        </w:rPr>
        <w:t> </w:t>
      </w:r>
      <w:r>
        <w:rPr>
          <w:sz w:val="18"/>
        </w:rPr>
        <w:t>Ver</w:t>
      </w:r>
      <w:r>
        <w:rPr>
          <w:spacing w:val="-2"/>
          <w:sz w:val="18"/>
        </w:rPr>
        <w:t> </w:t>
      </w:r>
      <w:r>
        <w:rPr>
          <w:sz w:val="18"/>
        </w:rPr>
        <w:t>Folios</w:t>
      </w:r>
      <w:r>
        <w:rPr>
          <w:spacing w:val="-2"/>
          <w:sz w:val="18"/>
        </w:rPr>
        <w:t> </w:t>
      </w:r>
      <w:r>
        <w:rPr>
          <w:sz w:val="18"/>
        </w:rPr>
        <w:t>697</w:t>
      </w:r>
      <w:r>
        <w:rPr>
          <w:spacing w:val="-2"/>
          <w:sz w:val="18"/>
        </w:rPr>
        <w:t> </w:t>
      </w:r>
      <w:r>
        <w:rPr>
          <w:sz w:val="18"/>
        </w:rPr>
        <w:t>a</w:t>
      </w:r>
      <w:r>
        <w:rPr>
          <w:spacing w:val="-3"/>
          <w:sz w:val="18"/>
        </w:rPr>
        <w:t> </w:t>
      </w:r>
      <w:r>
        <w:rPr>
          <w:sz w:val="18"/>
        </w:rPr>
        <w:t>731</w:t>
      </w:r>
      <w:r>
        <w:rPr>
          <w:spacing w:val="-2"/>
          <w:sz w:val="18"/>
        </w:rPr>
        <w:t> </w:t>
      </w:r>
      <w:r>
        <w:rPr>
          <w:sz w:val="18"/>
        </w:rPr>
        <w:t>del</w:t>
      </w:r>
      <w:r>
        <w:rPr>
          <w:spacing w:val="-5"/>
          <w:sz w:val="18"/>
        </w:rPr>
        <w:t> </w:t>
      </w:r>
      <w:r>
        <w:rPr>
          <w:sz w:val="18"/>
        </w:rPr>
        <w:t>expediente</w:t>
      </w:r>
      <w:r>
        <w:rPr>
          <w:spacing w:val="2"/>
          <w:sz w:val="18"/>
        </w:rPr>
        <w:t> </w:t>
      </w:r>
      <w:r>
        <w:rPr>
          <w:sz w:val="18"/>
        </w:rPr>
        <w:t>DGCOM/REST/001/2026,</w:t>
      </w:r>
      <w:r>
        <w:rPr>
          <w:spacing w:val="-3"/>
          <w:sz w:val="18"/>
        </w:rPr>
        <w:t> </w:t>
      </w:r>
      <w:r>
        <w:rPr>
          <w:sz w:val="18"/>
        </w:rPr>
        <w:t>bajo</w:t>
      </w:r>
      <w:r>
        <w:rPr>
          <w:spacing w:val="-4"/>
          <w:sz w:val="18"/>
        </w:rPr>
        <w:t> </w:t>
      </w:r>
      <w:r>
        <w:rPr>
          <w:sz w:val="18"/>
        </w:rPr>
        <w:t>archivo</w:t>
      </w:r>
      <w:r>
        <w:rPr>
          <w:spacing w:val="-5"/>
          <w:sz w:val="18"/>
        </w:rPr>
        <w:t> </w:t>
      </w:r>
      <w:r>
        <w:rPr>
          <w:sz w:val="18"/>
        </w:rPr>
        <w:t>denominado</w:t>
      </w:r>
      <w:r>
        <w:rPr>
          <w:spacing w:val="-4"/>
          <w:sz w:val="18"/>
        </w:rPr>
        <w:t> </w:t>
      </w:r>
      <w:r>
        <w:rPr>
          <w:sz w:val="18"/>
        </w:rPr>
        <w:t>Anexo</w:t>
      </w:r>
      <w:r>
        <w:rPr>
          <w:spacing w:val="-4"/>
          <w:sz w:val="18"/>
        </w:rPr>
        <w:t> </w:t>
      </w:r>
      <w:r>
        <w:rPr>
          <w:spacing w:val="-5"/>
          <w:sz w:val="18"/>
        </w:rPr>
        <w:t>3.</w:t>
      </w:r>
    </w:p>
    <w:p>
      <w:pPr>
        <w:spacing w:before="0"/>
        <w:ind w:left="568" w:right="955" w:firstLine="0"/>
        <w:jc w:val="left"/>
        <w:rPr>
          <w:sz w:val="18"/>
        </w:rPr>
      </w:pPr>
      <w:r>
        <w:rPr>
          <w:sz w:val="18"/>
        </w:rPr>
        <w:t>Diagnostico</w:t>
      </w:r>
      <w:r>
        <w:rPr>
          <w:spacing w:val="-5"/>
          <w:sz w:val="18"/>
        </w:rPr>
        <w:t> </w:t>
      </w:r>
      <w:r>
        <w:rPr>
          <w:sz w:val="18"/>
        </w:rPr>
        <w:t>Estadístico</w:t>
      </w:r>
      <w:r>
        <w:rPr>
          <w:spacing w:val="-5"/>
          <w:sz w:val="18"/>
        </w:rPr>
        <w:t> </w:t>
      </w:r>
      <w:r>
        <w:rPr>
          <w:sz w:val="18"/>
        </w:rPr>
        <w:t>de</w:t>
      </w:r>
      <w:r>
        <w:rPr>
          <w:spacing w:val="-7"/>
          <w:sz w:val="18"/>
        </w:rPr>
        <w:t> </w:t>
      </w:r>
      <w:r>
        <w:rPr>
          <w:sz w:val="18"/>
        </w:rPr>
        <w:t>los</w:t>
      </w:r>
      <w:r>
        <w:rPr>
          <w:spacing w:val="-7"/>
          <w:sz w:val="18"/>
        </w:rPr>
        <w:t> </w:t>
      </w:r>
      <w:r>
        <w:rPr>
          <w:sz w:val="18"/>
        </w:rPr>
        <w:t>diferentes</w:t>
      </w:r>
      <w:r>
        <w:rPr>
          <w:spacing w:val="-4"/>
          <w:sz w:val="18"/>
        </w:rPr>
        <w:t> </w:t>
      </w:r>
      <w:r>
        <w:rPr>
          <w:sz w:val="18"/>
        </w:rPr>
        <w:t>sectores</w:t>
      </w:r>
      <w:r>
        <w:rPr>
          <w:spacing w:val="-4"/>
          <w:sz w:val="18"/>
        </w:rPr>
        <w:t> </w:t>
      </w:r>
      <w:r>
        <w:rPr>
          <w:sz w:val="18"/>
        </w:rPr>
        <w:t>económicos</w:t>
      </w:r>
      <w:r>
        <w:rPr>
          <w:spacing w:val="-4"/>
          <w:sz w:val="18"/>
        </w:rPr>
        <w:t> </w:t>
      </w:r>
      <w:r>
        <w:rPr>
          <w:sz w:val="18"/>
        </w:rPr>
        <w:t>del</w:t>
      </w:r>
      <w:r>
        <w:rPr>
          <w:spacing w:val="-7"/>
          <w:sz w:val="18"/>
        </w:rPr>
        <w:t> </w:t>
      </w:r>
      <w:r>
        <w:rPr>
          <w:sz w:val="18"/>
        </w:rPr>
        <w:t>municipio</w:t>
      </w:r>
      <w:r>
        <w:rPr>
          <w:spacing w:val="-5"/>
          <w:sz w:val="18"/>
        </w:rPr>
        <w:t> </w:t>
      </w:r>
      <w:r>
        <w:rPr>
          <w:sz w:val="18"/>
        </w:rPr>
        <w:t>de</w:t>
      </w:r>
      <w:r>
        <w:rPr>
          <w:spacing w:val="-5"/>
          <w:sz w:val="18"/>
        </w:rPr>
        <w:t> </w:t>
      </w:r>
      <w:r>
        <w:rPr>
          <w:sz w:val="18"/>
        </w:rPr>
        <w:t>Ipiales</w:t>
      </w:r>
      <w:r>
        <w:rPr>
          <w:spacing w:val="-4"/>
          <w:sz w:val="18"/>
        </w:rPr>
        <w:t> </w:t>
      </w:r>
      <w:r>
        <w:rPr>
          <w:sz w:val="18"/>
        </w:rPr>
        <w:t>ante</w:t>
      </w:r>
      <w:r>
        <w:rPr>
          <w:spacing w:val="-5"/>
          <w:sz w:val="18"/>
        </w:rPr>
        <w:t> </w:t>
      </w:r>
      <w:r>
        <w:rPr>
          <w:sz w:val="18"/>
        </w:rPr>
        <w:t>la</w:t>
      </w:r>
      <w:r>
        <w:rPr>
          <w:spacing w:val="-5"/>
          <w:sz w:val="18"/>
        </w:rPr>
        <w:t> </w:t>
      </w:r>
      <w:r>
        <w:rPr>
          <w:sz w:val="18"/>
        </w:rPr>
        <w:t>Medida</w:t>
      </w:r>
      <w:r>
        <w:rPr>
          <w:spacing w:val="-5"/>
          <w:sz w:val="18"/>
        </w:rPr>
        <w:t> </w:t>
      </w:r>
      <w:r>
        <w:rPr>
          <w:sz w:val="18"/>
        </w:rPr>
        <w:t>Arancelaria del 30% a las Exportaciones colombianas por parte de Ecuador.pdf.</w:t>
      </w:r>
    </w:p>
    <w:p>
      <w:pPr>
        <w:spacing w:line="240" w:lineRule="auto" w:before="0"/>
        <w:ind w:left="568" w:right="955" w:firstLine="0"/>
        <w:jc w:val="left"/>
        <w:rPr>
          <w:sz w:val="18"/>
        </w:rPr>
      </w:pPr>
      <w:bookmarkStart w:name="_bookmark4" w:id="5"/>
      <w:bookmarkEnd w:id="5"/>
      <w:r>
        <w:rPr/>
      </w:r>
      <w:r>
        <w:rPr>
          <w:position w:val="6"/>
          <w:sz w:val="12"/>
        </w:rPr>
        <w:t>5</w:t>
      </w:r>
      <w:r>
        <w:rPr>
          <w:spacing w:val="24"/>
          <w:position w:val="6"/>
          <w:sz w:val="12"/>
        </w:rPr>
        <w:t> </w:t>
      </w:r>
      <w:r>
        <w:rPr>
          <w:sz w:val="18"/>
        </w:rPr>
        <w:t>Ver Folios 732 a 757 del expediente DGCOM/REST/001/2026, bajo archivo denominado Anexo 2. Diagnostico Estadístico</w:t>
      </w:r>
      <w:r>
        <w:rPr>
          <w:spacing w:val="22"/>
          <w:sz w:val="18"/>
        </w:rPr>
        <w:t> </w:t>
      </w:r>
      <w:r>
        <w:rPr>
          <w:sz w:val="18"/>
        </w:rPr>
        <w:t>y</w:t>
      </w:r>
      <w:r>
        <w:rPr>
          <w:spacing w:val="27"/>
          <w:sz w:val="18"/>
        </w:rPr>
        <w:t> </w:t>
      </w:r>
      <w:r>
        <w:rPr>
          <w:sz w:val="18"/>
        </w:rPr>
        <w:t>Económico</w:t>
      </w:r>
      <w:r>
        <w:rPr>
          <w:spacing w:val="27"/>
          <w:sz w:val="18"/>
        </w:rPr>
        <w:t> </w:t>
      </w:r>
      <w:r>
        <w:rPr>
          <w:sz w:val="18"/>
        </w:rPr>
        <w:t>del</w:t>
      </w:r>
      <w:r>
        <w:rPr>
          <w:spacing w:val="24"/>
          <w:sz w:val="18"/>
        </w:rPr>
        <w:t> </w:t>
      </w:r>
      <w:r>
        <w:rPr>
          <w:sz w:val="18"/>
        </w:rPr>
        <w:t>Comercio</w:t>
      </w:r>
      <w:r>
        <w:rPr>
          <w:spacing w:val="27"/>
          <w:sz w:val="18"/>
        </w:rPr>
        <w:t> </w:t>
      </w:r>
      <w:r>
        <w:rPr>
          <w:sz w:val="18"/>
        </w:rPr>
        <w:t>Exterior</w:t>
      </w:r>
      <w:r>
        <w:rPr>
          <w:spacing w:val="26"/>
          <w:sz w:val="18"/>
        </w:rPr>
        <w:t> </w:t>
      </w:r>
      <w:r>
        <w:rPr>
          <w:sz w:val="18"/>
        </w:rPr>
        <w:t>ante</w:t>
      </w:r>
      <w:r>
        <w:rPr>
          <w:spacing w:val="27"/>
          <w:sz w:val="18"/>
        </w:rPr>
        <w:t> </w:t>
      </w:r>
      <w:r>
        <w:rPr>
          <w:sz w:val="18"/>
        </w:rPr>
        <w:t>la</w:t>
      </w:r>
      <w:r>
        <w:rPr>
          <w:spacing w:val="24"/>
          <w:sz w:val="18"/>
        </w:rPr>
        <w:t> </w:t>
      </w:r>
      <w:r>
        <w:rPr>
          <w:sz w:val="18"/>
        </w:rPr>
        <w:t>Medida</w:t>
      </w:r>
      <w:r>
        <w:rPr>
          <w:spacing w:val="27"/>
          <w:sz w:val="18"/>
        </w:rPr>
        <w:t> </w:t>
      </w:r>
      <w:r>
        <w:rPr>
          <w:sz w:val="18"/>
        </w:rPr>
        <w:t>Arancelaria</w:t>
      </w:r>
      <w:r>
        <w:rPr>
          <w:spacing w:val="26"/>
          <w:sz w:val="18"/>
        </w:rPr>
        <w:t> </w:t>
      </w:r>
      <w:r>
        <w:rPr>
          <w:sz w:val="18"/>
        </w:rPr>
        <w:t>del</w:t>
      </w:r>
      <w:r>
        <w:rPr>
          <w:spacing w:val="27"/>
          <w:sz w:val="18"/>
        </w:rPr>
        <w:t> </w:t>
      </w:r>
      <w:r>
        <w:rPr>
          <w:sz w:val="18"/>
        </w:rPr>
        <w:t>30%</w:t>
      </w:r>
      <w:r>
        <w:rPr>
          <w:spacing w:val="26"/>
          <w:sz w:val="18"/>
        </w:rPr>
        <w:t> </w:t>
      </w:r>
      <w:r>
        <w:rPr>
          <w:sz w:val="18"/>
        </w:rPr>
        <w:t>en</w:t>
      </w:r>
      <w:r>
        <w:rPr>
          <w:spacing w:val="25"/>
          <w:sz w:val="18"/>
        </w:rPr>
        <w:t> </w:t>
      </w:r>
      <w:r>
        <w:rPr>
          <w:sz w:val="18"/>
        </w:rPr>
        <w:t>la</w:t>
      </w:r>
      <w:r>
        <w:rPr>
          <w:spacing w:val="26"/>
          <w:sz w:val="18"/>
        </w:rPr>
        <w:t> </w:t>
      </w:r>
      <w:r>
        <w:rPr>
          <w:sz w:val="18"/>
        </w:rPr>
        <w:t>Frontera</w:t>
      </w:r>
      <w:r>
        <w:rPr>
          <w:spacing w:val="27"/>
          <w:sz w:val="18"/>
        </w:rPr>
        <w:t> </w:t>
      </w:r>
      <w:r>
        <w:rPr>
          <w:spacing w:val="-2"/>
          <w:sz w:val="18"/>
        </w:rPr>
        <w:t>Colombo-</w:t>
      </w:r>
    </w:p>
    <w:p>
      <w:pPr>
        <w:tabs>
          <w:tab w:pos="568" w:val="left" w:leader="none"/>
          <w:tab w:pos="9816" w:val="left" w:leader="none"/>
        </w:tabs>
        <w:spacing w:before="0"/>
        <w:ind w:left="160" w:right="0" w:firstLine="0"/>
        <w:jc w:val="left"/>
        <w:rPr>
          <w:sz w:val="18"/>
        </w:rPr>
      </w:pPr>
      <w:r>
        <w:rPr>
          <w:sz w:val="18"/>
          <w:u w:val="single"/>
        </w:rPr>
        <w:tab/>
        <w:t>Ecuatoriana</w:t>
      </w:r>
      <w:r>
        <w:rPr>
          <w:spacing w:val="-6"/>
          <w:sz w:val="18"/>
          <w:u w:val="single"/>
        </w:rPr>
        <w:t> </w:t>
      </w:r>
      <w:r>
        <w:rPr>
          <w:spacing w:val="-2"/>
          <w:sz w:val="18"/>
          <w:u w:val="single"/>
        </w:rPr>
        <w:t>(1).pdf.</w:t>
      </w:r>
      <w:r>
        <w:rPr>
          <w:sz w:val="18"/>
          <w:u w:val="single"/>
        </w:rPr>
        <w:tab/>
      </w:r>
    </w:p>
    <w:p>
      <w:pPr>
        <w:spacing w:after="0"/>
        <w:jc w:val="left"/>
        <w:rPr>
          <w:sz w:val="18"/>
        </w:rPr>
        <w:sectPr>
          <w:pgSz w:w="11900" w:h="16850"/>
          <w:pgMar w:header="370" w:footer="597" w:top="1380" w:bottom="780" w:left="992" w:right="283"/>
        </w:sectPr>
      </w:pPr>
    </w:p>
    <w:p>
      <w:pPr>
        <w:pStyle w:val="BodyText"/>
        <w:spacing w:before="176"/>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Que, el 31 de marzo de 2026, mediante Oficio Nro. MPCEI-VCE-2026-0040-O, la República</w:t>
      </w:r>
      <w:r>
        <w:rPr>
          <w:spacing w:val="-13"/>
          <w:sz w:val="22"/>
        </w:rPr>
        <w:t> </w:t>
      </w:r>
      <w:r>
        <w:rPr>
          <w:sz w:val="22"/>
        </w:rPr>
        <w:t>del</w:t>
      </w:r>
      <w:r>
        <w:rPr>
          <w:spacing w:val="-13"/>
          <w:sz w:val="22"/>
        </w:rPr>
        <w:t> </w:t>
      </w:r>
      <w:r>
        <w:rPr>
          <w:sz w:val="22"/>
        </w:rPr>
        <w:t>Ecuador</w:t>
      </w:r>
      <w:r>
        <w:rPr>
          <w:spacing w:val="-13"/>
          <w:sz w:val="22"/>
        </w:rPr>
        <w:t> </w:t>
      </w:r>
      <w:r>
        <w:rPr>
          <w:sz w:val="22"/>
        </w:rPr>
        <w:t>remitió</w:t>
      </w:r>
      <w:r>
        <w:rPr>
          <w:spacing w:val="-12"/>
          <w:sz w:val="22"/>
        </w:rPr>
        <w:t> </w:t>
      </w:r>
      <w:r>
        <w:rPr>
          <w:sz w:val="22"/>
        </w:rPr>
        <w:t>su</w:t>
      </w:r>
      <w:r>
        <w:rPr>
          <w:spacing w:val="-13"/>
          <w:sz w:val="22"/>
        </w:rPr>
        <w:t> </w:t>
      </w:r>
      <w:r>
        <w:rPr>
          <w:sz w:val="22"/>
        </w:rPr>
        <w:t>respuesta</w:t>
      </w:r>
      <w:r>
        <w:rPr>
          <w:spacing w:val="-13"/>
          <w:sz w:val="22"/>
        </w:rPr>
        <w:t> </w:t>
      </w:r>
      <w:r>
        <w:rPr>
          <w:sz w:val="22"/>
        </w:rPr>
        <w:t>a</w:t>
      </w:r>
      <w:r>
        <w:rPr>
          <w:spacing w:val="-15"/>
          <w:sz w:val="22"/>
        </w:rPr>
        <w:t> </w:t>
      </w:r>
      <w:r>
        <w:rPr>
          <w:sz w:val="22"/>
        </w:rPr>
        <w:t>la</w:t>
      </w:r>
      <w:r>
        <w:rPr>
          <w:spacing w:val="-12"/>
          <w:sz w:val="22"/>
        </w:rPr>
        <w:t> </w:t>
      </w:r>
      <w:r>
        <w:rPr>
          <w:sz w:val="22"/>
        </w:rPr>
        <w:t>solicitud</w:t>
      </w:r>
      <w:r>
        <w:rPr>
          <w:spacing w:val="-13"/>
          <w:sz w:val="22"/>
        </w:rPr>
        <w:t> </w:t>
      </w:r>
      <w:r>
        <w:rPr>
          <w:sz w:val="22"/>
        </w:rPr>
        <w:t>presentada</w:t>
      </w:r>
      <w:r>
        <w:rPr>
          <w:spacing w:val="-12"/>
          <w:sz w:val="22"/>
        </w:rPr>
        <w:t> </w:t>
      </w:r>
      <w:r>
        <w:rPr>
          <w:sz w:val="22"/>
        </w:rPr>
        <w:t>por</w:t>
      </w:r>
      <w:r>
        <w:rPr>
          <w:spacing w:val="-11"/>
          <w:sz w:val="22"/>
        </w:rPr>
        <w:t> </w:t>
      </w:r>
      <w:r>
        <w:rPr>
          <w:sz w:val="22"/>
        </w:rPr>
        <w:t>la</w:t>
      </w:r>
      <w:r>
        <w:rPr>
          <w:spacing w:val="-16"/>
          <w:sz w:val="22"/>
        </w:rPr>
        <w:t> </w:t>
      </w:r>
      <w:r>
        <w:rPr>
          <w:sz w:val="22"/>
        </w:rPr>
        <w:t>República de Colombia, junto con la información correspondiente. Asimismo, solicitó que se otorgue</w:t>
      </w:r>
      <w:r>
        <w:rPr>
          <w:spacing w:val="-14"/>
          <w:sz w:val="22"/>
        </w:rPr>
        <w:t> </w:t>
      </w:r>
      <w:r>
        <w:rPr>
          <w:sz w:val="22"/>
        </w:rPr>
        <w:t>tratamiento</w:t>
      </w:r>
      <w:r>
        <w:rPr>
          <w:spacing w:val="-14"/>
          <w:sz w:val="22"/>
        </w:rPr>
        <w:t> </w:t>
      </w:r>
      <w:r>
        <w:rPr>
          <w:sz w:val="22"/>
        </w:rPr>
        <w:t>confidencial</w:t>
      </w:r>
      <w:r>
        <w:rPr>
          <w:spacing w:val="-12"/>
          <w:sz w:val="22"/>
        </w:rPr>
        <w:t> </w:t>
      </w:r>
      <w:r>
        <w:rPr>
          <w:sz w:val="22"/>
        </w:rPr>
        <w:t>a</w:t>
      </w:r>
      <w:r>
        <w:rPr>
          <w:spacing w:val="-11"/>
          <w:sz w:val="22"/>
        </w:rPr>
        <w:t> </w:t>
      </w:r>
      <w:r>
        <w:rPr>
          <w:sz w:val="22"/>
        </w:rPr>
        <w:t>la</w:t>
      </w:r>
      <w:r>
        <w:rPr>
          <w:spacing w:val="-11"/>
          <w:sz w:val="22"/>
        </w:rPr>
        <w:t> </w:t>
      </w:r>
      <w:r>
        <w:rPr>
          <w:sz w:val="22"/>
        </w:rPr>
        <w:t>información</w:t>
      </w:r>
      <w:r>
        <w:rPr>
          <w:spacing w:val="-14"/>
          <w:sz w:val="22"/>
        </w:rPr>
        <w:t> </w:t>
      </w:r>
      <w:r>
        <w:rPr>
          <w:sz w:val="22"/>
        </w:rPr>
        <w:t>identificada</w:t>
      </w:r>
      <w:r>
        <w:rPr>
          <w:spacing w:val="-12"/>
          <w:sz w:val="22"/>
        </w:rPr>
        <w:t> </w:t>
      </w:r>
      <w:r>
        <w:rPr>
          <w:sz w:val="22"/>
        </w:rPr>
        <w:t>dentro</w:t>
      </w:r>
      <w:r>
        <w:rPr>
          <w:spacing w:val="-14"/>
          <w:sz w:val="22"/>
        </w:rPr>
        <w:t> </w:t>
      </w:r>
      <w:r>
        <w:rPr>
          <w:sz w:val="22"/>
        </w:rPr>
        <w:t>del</w:t>
      </w:r>
      <w:r>
        <w:rPr>
          <w:spacing w:val="-12"/>
          <w:sz w:val="22"/>
        </w:rPr>
        <w:t> </w:t>
      </w:r>
      <w:r>
        <w:rPr>
          <w:sz w:val="22"/>
        </w:rPr>
        <w:t>informe</w:t>
      </w:r>
      <w:r>
        <w:rPr>
          <w:spacing w:val="-14"/>
          <w:sz w:val="22"/>
        </w:rPr>
        <w:t> </w:t>
      </w:r>
      <w:r>
        <w:rPr>
          <w:sz w:val="22"/>
        </w:rPr>
        <w:t>y</w:t>
      </w:r>
      <w:r>
        <w:rPr>
          <w:spacing w:val="-13"/>
          <w:sz w:val="22"/>
        </w:rPr>
        <w:t> </w:t>
      </w:r>
      <w:r>
        <w:rPr>
          <w:sz w:val="22"/>
        </w:rPr>
        <w:t>sus anexos, conforme los artículos 19 y 20 de la Decisión 425.</w:t>
      </w:r>
    </w:p>
    <w:p>
      <w:pPr>
        <w:pStyle w:val="BodyText"/>
        <w:spacing w:before="1"/>
      </w:pPr>
    </w:p>
    <w:p>
      <w:pPr>
        <w:pStyle w:val="ListParagraph"/>
        <w:numPr>
          <w:ilvl w:val="0"/>
          <w:numId w:val="2"/>
        </w:numPr>
        <w:tabs>
          <w:tab w:pos="1420" w:val="left" w:leader="none"/>
        </w:tabs>
        <w:spacing w:line="240" w:lineRule="auto" w:before="1" w:after="0"/>
        <w:ind w:left="1420" w:right="978" w:hanging="852"/>
        <w:jc w:val="both"/>
        <w:rPr>
          <w:sz w:val="22"/>
        </w:rPr>
      </w:pPr>
      <w:r>
        <w:rPr>
          <w:sz w:val="22"/>
        </w:rPr>
        <w:t>Que,</w:t>
      </w:r>
      <w:r>
        <w:rPr>
          <w:spacing w:val="-4"/>
          <w:sz w:val="22"/>
        </w:rPr>
        <w:t> </w:t>
      </w:r>
      <w:r>
        <w:rPr>
          <w:sz w:val="22"/>
        </w:rPr>
        <w:t>el</w:t>
      </w:r>
      <w:r>
        <w:rPr>
          <w:spacing w:val="-3"/>
          <w:sz w:val="22"/>
        </w:rPr>
        <w:t> </w:t>
      </w:r>
      <w:r>
        <w:rPr>
          <w:sz w:val="22"/>
        </w:rPr>
        <w:t>01</w:t>
      </w:r>
      <w:r>
        <w:rPr>
          <w:spacing w:val="-3"/>
          <w:sz w:val="22"/>
        </w:rPr>
        <w:t> </w:t>
      </w:r>
      <w:r>
        <w:rPr>
          <w:sz w:val="22"/>
        </w:rPr>
        <w:t>de</w:t>
      </w:r>
      <w:r>
        <w:rPr>
          <w:spacing w:val="-5"/>
          <w:sz w:val="22"/>
        </w:rPr>
        <w:t> </w:t>
      </w:r>
      <w:r>
        <w:rPr>
          <w:sz w:val="22"/>
        </w:rPr>
        <w:t>abril</w:t>
      </w:r>
      <w:r>
        <w:rPr>
          <w:spacing w:val="-3"/>
          <w:sz w:val="22"/>
        </w:rPr>
        <w:t> </w:t>
      </w:r>
      <w:r>
        <w:rPr>
          <w:sz w:val="22"/>
        </w:rPr>
        <w:t>de</w:t>
      </w:r>
      <w:r>
        <w:rPr>
          <w:spacing w:val="-5"/>
          <w:sz w:val="22"/>
        </w:rPr>
        <w:t> </w:t>
      </w:r>
      <w:r>
        <w:rPr>
          <w:sz w:val="22"/>
        </w:rPr>
        <w:t>2026,</w:t>
      </w:r>
      <w:r>
        <w:rPr>
          <w:spacing w:val="-4"/>
          <w:sz w:val="22"/>
        </w:rPr>
        <w:t> </w:t>
      </w:r>
      <w:r>
        <w:rPr>
          <w:sz w:val="22"/>
        </w:rPr>
        <w:t>mediante</w:t>
      </w:r>
      <w:r>
        <w:rPr>
          <w:spacing w:val="-5"/>
          <w:sz w:val="22"/>
        </w:rPr>
        <w:t> </w:t>
      </w:r>
      <w:r>
        <w:rPr>
          <w:sz w:val="22"/>
        </w:rPr>
        <w:t>comunicación</w:t>
      </w:r>
      <w:r>
        <w:rPr>
          <w:spacing w:val="-3"/>
          <w:sz w:val="22"/>
        </w:rPr>
        <w:t> </w:t>
      </w:r>
      <w:r>
        <w:rPr>
          <w:sz w:val="22"/>
        </w:rPr>
        <w:t>N.°</w:t>
      </w:r>
      <w:r>
        <w:rPr>
          <w:spacing w:val="-2"/>
          <w:sz w:val="22"/>
        </w:rPr>
        <w:t> </w:t>
      </w:r>
      <w:r>
        <w:rPr>
          <w:sz w:val="22"/>
        </w:rPr>
        <w:t>SG/E/DGCOM/620/2026,</w:t>
      </w:r>
      <w:r>
        <w:rPr>
          <w:spacing w:val="-4"/>
          <w:sz w:val="22"/>
        </w:rPr>
        <w:t> </w:t>
      </w:r>
      <w:r>
        <w:rPr>
          <w:sz w:val="22"/>
        </w:rPr>
        <w:t>la SGCAN solicitó a la República del Ecuador que, en cuanto a la solicitud de tratamiento</w:t>
      </w:r>
      <w:r>
        <w:rPr>
          <w:spacing w:val="-1"/>
          <w:sz w:val="22"/>
        </w:rPr>
        <w:t> </w:t>
      </w:r>
      <w:r>
        <w:rPr>
          <w:sz w:val="22"/>
        </w:rPr>
        <w:t>de confidencialidad, se autorice el</w:t>
      </w:r>
      <w:r>
        <w:rPr>
          <w:spacing w:val="-1"/>
          <w:sz w:val="22"/>
        </w:rPr>
        <w:t> </w:t>
      </w:r>
      <w:r>
        <w:rPr>
          <w:sz w:val="22"/>
        </w:rPr>
        <w:t>uso de la información contenida en el Informe No. PN-SCG-CEO-2026-082-INF o, de ser el caso, que se remita dicha información reformulada conforme a las recomendaciones señaladas, a fin de asegurar el tratamiento de confidencialidad pertinente.</w:t>
      </w:r>
    </w:p>
    <w:p>
      <w:pPr>
        <w:pStyle w:val="BodyText"/>
        <w:spacing w:before="3"/>
      </w:pPr>
    </w:p>
    <w:p>
      <w:pPr>
        <w:pStyle w:val="ListParagraph"/>
        <w:numPr>
          <w:ilvl w:val="0"/>
          <w:numId w:val="2"/>
        </w:numPr>
        <w:tabs>
          <w:tab w:pos="1420" w:val="left" w:leader="none"/>
        </w:tabs>
        <w:spacing w:line="259" w:lineRule="auto" w:before="0" w:after="0"/>
        <w:ind w:left="1420" w:right="977" w:hanging="852"/>
        <w:jc w:val="both"/>
        <w:rPr>
          <w:sz w:val="22"/>
        </w:rPr>
      </w:pPr>
      <w:r>
        <w:rPr>
          <w:sz w:val="22"/>
        </w:rPr>
        <w:t>Que, el 02 de abril de 2026 mediante Oficio N.° MPCEI-VCE-2026-0042-O, recibido en la SGCAN el 06 de abril de 2026, la República del Ecuador, en atención a la comunicación N.° SG/E/DGCOM/620/2026 de la SGCAN, dio respuesta sobre la información confidencial contenida en el Informe No. PN-SCG-CEO-2026-081-INF.</w:t>
      </w:r>
    </w:p>
    <w:p>
      <w:pPr>
        <w:pStyle w:val="ListParagraph"/>
        <w:numPr>
          <w:ilvl w:val="0"/>
          <w:numId w:val="2"/>
        </w:numPr>
        <w:tabs>
          <w:tab w:pos="1420" w:val="left" w:leader="none"/>
        </w:tabs>
        <w:spacing w:line="240" w:lineRule="auto" w:before="249" w:after="0"/>
        <w:ind w:left="1420" w:right="976" w:hanging="852"/>
        <w:jc w:val="both"/>
        <w:rPr>
          <w:sz w:val="22"/>
        </w:rPr>
      </w:pPr>
      <w:r>
        <w:rPr>
          <w:sz w:val="22"/>
        </w:rPr>
        <w:t>Que,</w:t>
      </w:r>
      <w:r>
        <w:rPr>
          <w:spacing w:val="-3"/>
          <w:sz w:val="22"/>
        </w:rPr>
        <w:t> </w:t>
      </w:r>
      <w:r>
        <w:rPr>
          <w:sz w:val="22"/>
        </w:rPr>
        <w:t>el</w:t>
      </w:r>
      <w:r>
        <w:rPr>
          <w:spacing w:val="-3"/>
          <w:sz w:val="22"/>
        </w:rPr>
        <w:t> </w:t>
      </w:r>
      <w:r>
        <w:rPr>
          <w:sz w:val="22"/>
        </w:rPr>
        <w:t>07</w:t>
      </w:r>
      <w:r>
        <w:rPr>
          <w:spacing w:val="-2"/>
          <w:sz w:val="22"/>
        </w:rPr>
        <w:t> </w:t>
      </w:r>
      <w:r>
        <w:rPr>
          <w:sz w:val="22"/>
        </w:rPr>
        <w:t>de</w:t>
      </w:r>
      <w:r>
        <w:rPr>
          <w:spacing w:val="-4"/>
          <w:sz w:val="22"/>
        </w:rPr>
        <w:t> </w:t>
      </w:r>
      <w:r>
        <w:rPr>
          <w:sz w:val="22"/>
        </w:rPr>
        <w:t>abril</w:t>
      </w:r>
      <w:r>
        <w:rPr>
          <w:spacing w:val="-2"/>
          <w:sz w:val="22"/>
        </w:rPr>
        <w:t> </w:t>
      </w:r>
      <w:r>
        <w:rPr>
          <w:sz w:val="22"/>
        </w:rPr>
        <w:t>de</w:t>
      </w:r>
      <w:r>
        <w:rPr>
          <w:spacing w:val="-4"/>
          <w:sz w:val="22"/>
        </w:rPr>
        <w:t> </w:t>
      </w:r>
      <w:r>
        <w:rPr>
          <w:sz w:val="22"/>
        </w:rPr>
        <w:t>2026,</w:t>
      </w:r>
      <w:r>
        <w:rPr>
          <w:spacing w:val="-3"/>
          <w:sz w:val="22"/>
        </w:rPr>
        <w:t> </w:t>
      </w:r>
      <w:r>
        <w:rPr>
          <w:sz w:val="22"/>
        </w:rPr>
        <w:t>mediante</w:t>
      </w:r>
      <w:r>
        <w:rPr>
          <w:spacing w:val="-4"/>
          <w:sz w:val="22"/>
        </w:rPr>
        <w:t> </w:t>
      </w:r>
      <w:r>
        <w:rPr>
          <w:sz w:val="22"/>
        </w:rPr>
        <w:t>comunicación</w:t>
      </w:r>
      <w:r>
        <w:rPr>
          <w:spacing w:val="-2"/>
          <w:sz w:val="22"/>
        </w:rPr>
        <w:t> </w:t>
      </w:r>
      <w:r>
        <w:rPr>
          <w:sz w:val="22"/>
        </w:rPr>
        <w:t>N.°</w:t>
      </w:r>
      <w:r>
        <w:rPr>
          <w:spacing w:val="-3"/>
          <w:sz w:val="22"/>
        </w:rPr>
        <w:t> </w:t>
      </w:r>
      <w:r>
        <w:rPr>
          <w:sz w:val="22"/>
        </w:rPr>
        <w:t>SG/E/DGCOM/642/2026,</w:t>
      </w:r>
      <w:r>
        <w:rPr>
          <w:spacing w:val="-3"/>
          <w:sz w:val="22"/>
        </w:rPr>
        <w:t> </w:t>
      </w:r>
      <w:r>
        <w:rPr>
          <w:sz w:val="22"/>
        </w:rPr>
        <w:t>la SGCAN</w:t>
      </w:r>
      <w:r>
        <w:rPr>
          <w:spacing w:val="-3"/>
          <w:sz w:val="22"/>
        </w:rPr>
        <w:t> </w:t>
      </w:r>
      <w:r>
        <w:rPr>
          <w:sz w:val="22"/>
        </w:rPr>
        <w:t>solicitó</w:t>
      </w:r>
      <w:r>
        <w:rPr>
          <w:spacing w:val="-3"/>
          <w:sz w:val="22"/>
        </w:rPr>
        <w:t> </w:t>
      </w:r>
      <w:r>
        <w:rPr>
          <w:sz w:val="22"/>
        </w:rPr>
        <w:t>a</w:t>
      </w:r>
      <w:r>
        <w:rPr>
          <w:spacing w:val="-2"/>
          <w:sz w:val="22"/>
        </w:rPr>
        <w:t> </w:t>
      </w:r>
      <w:r>
        <w:rPr>
          <w:sz w:val="22"/>
        </w:rPr>
        <w:t>la</w:t>
      </w:r>
      <w:r>
        <w:rPr>
          <w:spacing w:val="-3"/>
          <w:sz w:val="22"/>
        </w:rPr>
        <w:t> </w:t>
      </w:r>
      <w:r>
        <w:rPr>
          <w:sz w:val="22"/>
        </w:rPr>
        <w:t>República</w:t>
      </w:r>
      <w:r>
        <w:rPr>
          <w:spacing w:val="-3"/>
          <w:sz w:val="22"/>
        </w:rPr>
        <w:t> </w:t>
      </w:r>
      <w:r>
        <w:rPr>
          <w:sz w:val="22"/>
        </w:rPr>
        <w:t>del</w:t>
      </w:r>
      <w:r>
        <w:rPr>
          <w:spacing w:val="-3"/>
          <w:sz w:val="22"/>
        </w:rPr>
        <w:t> </w:t>
      </w:r>
      <w:r>
        <w:rPr>
          <w:sz w:val="22"/>
        </w:rPr>
        <w:t>Ecuador</w:t>
      </w:r>
      <w:r>
        <w:rPr>
          <w:spacing w:val="-2"/>
          <w:sz w:val="22"/>
        </w:rPr>
        <w:t> </w:t>
      </w:r>
      <w:r>
        <w:rPr>
          <w:sz w:val="22"/>
        </w:rPr>
        <w:t>que,</w:t>
      </w:r>
      <w:r>
        <w:rPr>
          <w:spacing w:val="-3"/>
          <w:sz w:val="22"/>
        </w:rPr>
        <w:t> </w:t>
      </w:r>
      <w:r>
        <w:rPr>
          <w:sz w:val="22"/>
        </w:rPr>
        <w:t>de</w:t>
      </w:r>
      <w:r>
        <w:rPr>
          <w:spacing w:val="-3"/>
          <w:sz w:val="22"/>
        </w:rPr>
        <w:t> </w:t>
      </w:r>
      <w:r>
        <w:rPr>
          <w:sz w:val="22"/>
        </w:rPr>
        <w:t>acuerdo</w:t>
      </w:r>
      <w:r>
        <w:rPr>
          <w:spacing w:val="-4"/>
          <w:sz w:val="22"/>
        </w:rPr>
        <w:t> </w:t>
      </w:r>
      <w:r>
        <w:rPr>
          <w:sz w:val="22"/>
        </w:rPr>
        <w:t>con</w:t>
      </w:r>
      <w:r>
        <w:rPr>
          <w:spacing w:val="-3"/>
          <w:sz w:val="22"/>
        </w:rPr>
        <w:t> </w:t>
      </w:r>
      <w:r>
        <w:rPr>
          <w:sz w:val="22"/>
        </w:rPr>
        <w:t>lo</w:t>
      </w:r>
      <w:r>
        <w:rPr>
          <w:spacing w:val="-3"/>
          <w:sz w:val="22"/>
        </w:rPr>
        <w:t> </w:t>
      </w:r>
      <w:r>
        <w:rPr>
          <w:sz w:val="22"/>
        </w:rPr>
        <w:t>establecido</w:t>
      </w:r>
      <w:r>
        <w:rPr>
          <w:spacing w:val="-3"/>
          <w:sz w:val="22"/>
        </w:rPr>
        <w:t> </w:t>
      </w:r>
      <w:r>
        <w:rPr>
          <w:sz w:val="22"/>
        </w:rPr>
        <w:t>en</w:t>
      </w:r>
      <w:r>
        <w:rPr>
          <w:spacing w:val="-3"/>
          <w:sz w:val="22"/>
        </w:rPr>
        <w:t> </w:t>
      </w:r>
      <w:r>
        <w:rPr>
          <w:sz w:val="22"/>
        </w:rPr>
        <w:t>el artículo 20 de la Decisión 425, especifique cuáles documentos o anexos de la información remitida en el Oficio Nro. MPCEI-VCE-2026-0040-O debían ser objeto de</w:t>
      </w:r>
      <w:r>
        <w:rPr>
          <w:spacing w:val="-9"/>
          <w:sz w:val="22"/>
        </w:rPr>
        <w:t> </w:t>
      </w:r>
      <w:r>
        <w:rPr>
          <w:sz w:val="22"/>
        </w:rPr>
        <w:t>evaluación</w:t>
      </w:r>
      <w:r>
        <w:rPr>
          <w:spacing w:val="-9"/>
          <w:sz w:val="22"/>
        </w:rPr>
        <w:t> </w:t>
      </w:r>
      <w:r>
        <w:rPr>
          <w:sz w:val="22"/>
        </w:rPr>
        <w:t>para</w:t>
      </w:r>
      <w:r>
        <w:rPr>
          <w:spacing w:val="-11"/>
          <w:sz w:val="22"/>
        </w:rPr>
        <w:t> </w:t>
      </w:r>
      <w:r>
        <w:rPr>
          <w:sz w:val="22"/>
        </w:rPr>
        <w:t>conferir</w:t>
      </w:r>
      <w:r>
        <w:rPr>
          <w:spacing w:val="-7"/>
          <w:sz w:val="22"/>
        </w:rPr>
        <w:t> </w:t>
      </w:r>
      <w:r>
        <w:rPr>
          <w:sz w:val="22"/>
        </w:rPr>
        <w:t>el</w:t>
      </w:r>
      <w:r>
        <w:rPr>
          <w:spacing w:val="-12"/>
          <w:sz w:val="22"/>
        </w:rPr>
        <w:t> </w:t>
      </w:r>
      <w:r>
        <w:rPr>
          <w:sz w:val="22"/>
        </w:rPr>
        <w:t>carácter</w:t>
      </w:r>
      <w:r>
        <w:rPr>
          <w:spacing w:val="-7"/>
          <w:sz w:val="22"/>
        </w:rPr>
        <w:t> </w:t>
      </w:r>
      <w:r>
        <w:rPr>
          <w:sz w:val="22"/>
        </w:rPr>
        <w:t>de</w:t>
      </w:r>
      <w:r>
        <w:rPr>
          <w:spacing w:val="-11"/>
          <w:sz w:val="22"/>
        </w:rPr>
        <w:t> </w:t>
      </w:r>
      <w:r>
        <w:rPr>
          <w:sz w:val="22"/>
        </w:rPr>
        <w:t>confidencialidad.</w:t>
      </w:r>
      <w:r>
        <w:rPr>
          <w:spacing w:val="-7"/>
          <w:sz w:val="22"/>
        </w:rPr>
        <w:t> </w:t>
      </w:r>
      <w:r>
        <w:rPr>
          <w:sz w:val="22"/>
        </w:rPr>
        <w:t>Asimismo,</w:t>
      </w:r>
      <w:r>
        <w:rPr>
          <w:spacing w:val="-9"/>
          <w:sz w:val="22"/>
        </w:rPr>
        <w:t> </w:t>
      </w:r>
      <w:r>
        <w:rPr>
          <w:sz w:val="22"/>
        </w:rPr>
        <w:t>se</w:t>
      </w:r>
      <w:r>
        <w:rPr>
          <w:spacing w:val="-8"/>
          <w:sz w:val="22"/>
        </w:rPr>
        <w:t> </w:t>
      </w:r>
      <w:r>
        <w:rPr>
          <w:sz w:val="22"/>
        </w:rPr>
        <w:t>solicitó</w:t>
      </w:r>
      <w:r>
        <w:rPr>
          <w:spacing w:val="-8"/>
          <w:sz w:val="22"/>
        </w:rPr>
        <w:t> </w:t>
      </w:r>
      <w:r>
        <w:rPr>
          <w:sz w:val="22"/>
        </w:rPr>
        <w:t>que se</w:t>
      </w:r>
      <w:r>
        <w:rPr>
          <w:spacing w:val="-5"/>
          <w:sz w:val="22"/>
        </w:rPr>
        <w:t> </w:t>
      </w:r>
      <w:r>
        <w:rPr>
          <w:sz w:val="22"/>
        </w:rPr>
        <w:t>proporcione</w:t>
      </w:r>
      <w:r>
        <w:rPr>
          <w:spacing w:val="-5"/>
          <w:sz w:val="22"/>
        </w:rPr>
        <w:t> </w:t>
      </w:r>
      <w:r>
        <w:rPr>
          <w:sz w:val="22"/>
        </w:rPr>
        <w:t>un</w:t>
      </w:r>
      <w:r>
        <w:rPr>
          <w:spacing w:val="-5"/>
          <w:sz w:val="22"/>
        </w:rPr>
        <w:t> </w:t>
      </w:r>
      <w:r>
        <w:rPr>
          <w:sz w:val="22"/>
        </w:rPr>
        <w:t>resumen</w:t>
      </w:r>
      <w:r>
        <w:rPr>
          <w:spacing w:val="-5"/>
          <w:sz w:val="22"/>
        </w:rPr>
        <w:t> </w:t>
      </w:r>
      <w:r>
        <w:rPr>
          <w:sz w:val="22"/>
        </w:rPr>
        <w:t>no</w:t>
      </w:r>
      <w:r>
        <w:rPr>
          <w:spacing w:val="-5"/>
          <w:sz w:val="22"/>
        </w:rPr>
        <w:t> </w:t>
      </w:r>
      <w:r>
        <w:rPr>
          <w:sz w:val="22"/>
        </w:rPr>
        <w:t>confidencial</w:t>
      </w:r>
      <w:r>
        <w:rPr>
          <w:spacing w:val="-6"/>
          <w:sz w:val="22"/>
        </w:rPr>
        <w:t> </w:t>
      </w:r>
      <w:r>
        <w:rPr>
          <w:sz w:val="22"/>
        </w:rPr>
        <w:t>o</w:t>
      </w:r>
      <w:r>
        <w:rPr>
          <w:spacing w:val="-5"/>
          <w:sz w:val="22"/>
        </w:rPr>
        <w:t> </w:t>
      </w:r>
      <w:r>
        <w:rPr>
          <w:sz w:val="22"/>
        </w:rPr>
        <w:t>versión</w:t>
      </w:r>
      <w:r>
        <w:rPr>
          <w:spacing w:val="-5"/>
          <w:sz w:val="22"/>
        </w:rPr>
        <w:t> </w:t>
      </w:r>
      <w:r>
        <w:rPr>
          <w:sz w:val="22"/>
        </w:rPr>
        <w:t>pública</w:t>
      </w:r>
      <w:r>
        <w:rPr>
          <w:spacing w:val="-5"/>
          <w:sz w:val="22"/>
        </w:rPr>
        <w:t> </w:t>
      </w:r>
      <w:r>
        <w:rPr>
          <w:sz w:val="22"/>
        </w:rPr>
        <w:t>de</w:t>
      </w:r>
      <w:r>
        <w:rPr>
          <w:spacing w:val="-5"/>
          <w:sz w:val="22"/>
        </w:rPr>
        <w:t> </w:t>
      </w:r>
      <w:r>
        <w:rPr>
          <w:sz w:val="22"/>
        </w:rPr>
        <w:t>todos</w:t>
      </w:r>
      <w:r>
        <w:rPr>
          <w:spacing w:val="-5"/>
          <w:sz w:val="22"/>
        </w:rPr>
        <w:t> </w:t>
      </w:r>
      <w:r>
        <w:rPr>
          <w:sz w:val="22"/>
        </w:rPr>
        <w:t>los</w:t>
      </w:r>
      <w:r>
        <w:rPr>
          <w:spacing w:val="-7"/>
          <w:sz w:val="22"/>
        </w:rPr>
        <w:t> </w:t>
      </w:r>
      <w:r>
        <w:rPr>
          <w:sz w:val="22"/>
        </w:rPr>
        <w:t>elementos a ser sometidos para su consideración.</w:t>
      </w:r>
    </w:p>
    <w:p>
      <w:pPr>
        <w:pStyle w:val="ListParagraph"/>
        <w:numPr>
          <w:ilvl w:val="0"/>
          <w:numId w:val="2"/>
        </w:numPr>
        <w:tabs>
          <w:tab w:pos="1420" w:val="left" w:leader="none"/>
        </w:tabs>
        <w:spacing w:line="240" w:lineRule="auto" w:before="252" w:after="0"/>
        <w:ind w:left="1420" w:right="977" w:hanging="852"/>
        <w:jc w:val="both"/>
        <w:rPr>
          <w:sz w:val="22"/>
        </w:rPr>
      </w:pPr>
      <w:r>
        <w:rPr>
          <w:sz w:val="22"/>
        </w:rPr>
        <w:t>Que, el 07 de abril de 2026 mediante Oficio N.° MPCEI-VCE-2026-0044-O, recibido en la SGCAN el 08 de abril de 2026, la República del Ecuador, en atención a la comunicación N.° SG/E/DGCOM/620/2026 de la SGCAN, remitió su versión no confidencial</w:t>
      </w:r>
      <w:r>
        <w:rPr>
          <w:spacing w:val="-7"/>
          <w:sz w:val="22"/>
        </w:rPr>
        <w:t> </w:t>
      </w:r>
      <w:r>
        <w:rPr>
          <w:sz w:val="22"/>
        </w:rPr>
        <w:t>de</w:t>
      </w:r>
      <w:r>
        <w:rPr>
          <w:spacing w:val="-6"/>
          <w:sz w:val="22"/>
        </w:rPr>
        <w:t> </w:t>
      </w:r>
      <w:r>
        <w:rPr>
          <w:sz w:val="22"/>
        </w:rPr>
        <w:t>la</w:t>
      </w:r>
      <w:r>
        <w:rPr>
          <w:spacing w:val="-8"/>
          <w:sz w:val="22"/>
        </w:rPr>
        <w:t> </w:t>
      </w:r>
      <w:r>
        <w:rPr>
          <w:sz w:val="22"/>
        </w:rPr>
        <w:t>información</w:t>
      </w:r>
      <w:r>
        <w:rPr>
          <w:spacing w:val="-6"/>
          <w:sz w:val="22"/>
        </w:rPr>
        <w:t> </w:t>
      </w:r>
      <w:r>
        <w:rPr>
          <w:sz w:val="22"/>
        </w:rPr>
        <w:t>proporcionada</w:t>
      </w:r>
      <w:r>
        <w:rPr>
          <w:spacing w:val="-8"/>
          <w:sz w:val="22"/>
        </w:rPr>
        <w:t> </w:t>
      </w:r>
      <w:r>
        <w:rPr>
          <w:sz w:val="22"/>
        </w:rPr>
        <w:t>mediante</w:t>
      </w:r>
      <w:r>
        <w:rPr>
          <w:spacing w:val="-8"/>
          <w:sz w:val="22"/>
        </w:rPr>
        <w:t> </w:t>
      </w:r>
      <w:r>
        <w:rPr>
          <w:sz w:val="22"/>
        </w:rPr>
        <w:t>Oficio</w:t>
      </w:r>
      <w:r>
        <w:rPr>
          <w:spacing w:val="-6"/>
          <w:sz w:val="22"/>
        </w:rPr>
        <w:t> </w:t>
      </w:r>
      <w:r>
        <w:rPr>
          <w:sz w:val="22"/>
        </w:rPr>
        <w:t>N.°</w:t>
      </w:r>
      <w:r>
        <w:rPr>
          <w:spacing w:val="-8"/>
          <w:sz w:val="22"/>
        </w:rPr>
        <w:t> </w:t>
      </w:r>
      <w:r>
        <w:rPr>
          <w:sz w:val="22"/>
        </w:rPr>
        <w:t>MPCEI-VCE-2026-</w:t>
      </w:r>
      <w:r>
        <w:rPr>
          <w:spacing w:val="-2"/>
          <w:sz w:val="22"/>
        </w:rPr>
        <w:t>0040-O.</w:t>
      </w:r>
    </w:p>
    <w:p>
      <w:pPr>
        <w:pStyle w:val="BodyText"/>
        <w:spacing w:before="2"/>
      </w:pPr>
    </w:p>
    <w:p>
      <w:pPr>
        <w:pStyle w:val="ListParagraph"/>
        <w:numPr>
          <w:ilvl w:val="0"/>
          <w:numId w:val="2"/>
        </w:numPr>
        <w:tabs>
          <w:tab w:pos="1420" w:val="left" w:leader="none"/>
        </w:tabs>
        <w:spacing w:line="240" w:lineRule="auto" w:before="0" w:after="0"/>
        <w:ind w:left="1420" w:right="976" w:hanging="852"/>
        <w:jc w:val="both"/>
        <w:rPr>
          <w:sz w:val="22"/>
        </w:rPr>
      </w:pPr>
      <w:r>
        <w:rPr>
          <w:sz w:val="22"/>
        </w:rPr>
        <w:t>Que,</w:t>
      </w:r>
      <w:r>
        <w:rPr>
          <w:spacing w:val="-3"/>
          <w:sz w:val="22"/>
        </w:rPr>
        <w:t> </w:t>
      </w:r>
      <w:r>
        <w:rPr>
          <w:sz w:val="22"/>
        </w:rPr>
        <w:t>el</w:t>
      </w:r>
      <w:r>
        <w:rPr>
          <w:spacing w:val="-3"/>
          <w:sz w:val="22"/>
        </w:rPr>
        <w:t> </w:t>
      </w:r>
      <w:r>
        <w:rPr>
          <w:sz w:val="22"/>
        </w:rPr>
        <w:t>13</w:t>
      </w:r>
      <w:r>
        <w:rPr>
          <w:spacing w:val="-2"/>
          <w:sz w:val="22"/>
        </w:rPr>
        <w:t> </w:t>
      </w:r>
      <w:r>
        <w:rPr>
          <w:sz w:val="22"/>
        </w:rPr>
        <w:t>de</w:t>
      </w:r>
      <w:r>
        <w:rPr>
          <w:spacing w:val="-4"/>
          <w:sz w:val="22"/>
        </w:rPr>
        <w:t> </w:t>
      </w:r>
      <w:r>
        <w:rPr>
          <w:sz w:val="22"/>
        </w:rPr>
        <w:t>abril</w:t>
      </w:r>
      <w:r>
        <w:rPr>
          <w:spacing w:val="-2"/>
          <w:sz w:val="22"/>
        </w:rPr>
        <w:t> </w:t>
      </w:r>
      <w:r>
        <w:rPr>
          <w:sz w:val="22"/>
        </w:rPr>
        <w:t>de</w:t>
      </w:r>
      <w:r>
        <w:rPr>
          <w:spacing w:val="-4"/>
          <w:sz w:val="22"/>
        </w:rPr>
        <w:t> </w:t>
      </w:r>
      <w:r>
        <w:rPr>
          <w:sz w:val="22"/>
        </w:rPr>
        <w:t>2026,</w:t>
      </w:r>
      <w:r>
        <w:rPr>
          <w:spacing w:val="-3"/>
          <w:sz w:val="22"/>
        </w:rPr>
        <w:t> </w:t>
      </w:r>
      <w:r>
        <w:rPr>
          <w:sz w:val="22"/>
        </w:rPr>
        <w:t>mediante</w:t>
      </w:r>
      <w:r>
        <w:rPr>
          <w:spacing w:val="-4"/>
          <w:sz w:val="22"/>
        </w:rPr>
        <w:t> </w:t>
      </w:r>
      <w:r>
        <w:rPr>
          <w:sz w:val="22"/>
        </w:rPr>
        <w:t>comunicación</w:t>
      </w:r>
      <w:r>
        <w:rPr>
          <w:spacing w:val="-2"/>
          <w:sz w:val="22"/>
        </w:rPr>
        <w:t> </w:t>
      </w:r>
      <w:r>
        <w:rPr>
          <w:sz w:val="22"/>
        </w:rPr>
        <w:t>N.°</w:t>
      </w:r>
      <w:r>
        <w:rPr>
          <w:spacing w:val="-3"/>
          <w:sz w:val="22"/>
        </w:rPr>
        <w:t> </w:t>
      </w:r>
      <w:r>
        <w:rPr>
          <w:sz w:val="22"/>
        </w:rPr>
        <w:t>SG/E/DGCOM/692/2026,</w:t>
      </w:r>
      <w:r>
        <w:rPr>
          <w:spacing w:val="-3"/>
          <w:sz w:val="22"/>
        </w:rPr>
        <w:t> </w:t>
      </w:r>
      <w:r>
        <w:rPr>
          <w:sz w:val="22"/>
        </w:rPr>
        <w:t>la SGCAN informó a la República del Ecuador, en atención a los Oficios Nro. MPCEI-VCE-2026-0042-O y Nro. MPCEI-VCE-2026-0044-O, que no se acreditó la presentación de un resumen no confidencial del Informe No. PN-SCG-CEO-2026-081-INF, por lo que, conforme a lo dispuesto en los artículos 20 y 27 de la Decisión</w:t>
      </w:r>
    </w:p>
    <w:p>
      <w:pPr>
        <w:pStyle w:val="BodyText"/>
        <w:ind w:left="1420" w:right="976"/>
        <w:jc w:val="both"/>
      </w:pPr>
      <w:r>
        <w:rPr/>
        <w:t>425 dicho documento no sería considerado en el análisis del presente caso. Asimismo,</w:t>
      </w:r>
      <w:r>
        <w:rPr>
          <w:spacing w:val="-2"/>
        </w:rPr>
        <w:t> </w:t>
      </w:r>
      <w:r>
        <w:rPr/>
        <w:t>en</w:t>
      </w:r>
      <w:r>
        <w:rPr>
          <w:spacing w:val="-3"/>
        </w:rPr>
        <w:t> </w:t>
      </w:r>
      <w:r>
        <w:rPr/>
        <w:t>dicha</w:t>
      </w:r>
      <w:r>
        <w:rPr>
          <w:spacing w:val="-3"/>
        </w:rPr>
        <w:t> </w:t>
      </w:r>
      <w:r>
        <w:rPr/>
        <w:t>comunicación</w:t>
      </w:r>
      <w:r>
        <w:rPr>
          <w:spacing w:val="-1"/>
        </w:rPr>
        <w:t> </w:t>
      </w:r>
      <w:r>
        <w:rPr/>
        <w:t>se</w:t>
      </w:r>
      <w:r>
        <w:rPr>
          <w:spacing w:val="-3"/>
        </w:rPr>
        <w:t> </w:t>
      </w:r>
      <w:r>
        <w:rPr/>
        <w:t>notificó la</w:t>
      </w:r>
      <w:r>
        <w:rPr>
          <w:spacing w:val="-3"/>
        </w:rPr>
        <w:t> </w:t>
      </w:r>
      <w:r>
        <w:rPr/>
        <w:t>apertura</w:t>
      </w:r>
      <w:r>
        <w:rPr>
          <w:spacing w:val="-2"/>
        </w:rPr>
        <w:t> </w:t>
      </w:r>
      <w:r>
        <w:rPr/>
        <w:t>de</w:t>
      </w:r>
      <w:r>
        <w:rPr>
          <w:spacing w:val="-3"/>
        </w:rPr>
        <w:t> </w:t>
      </w:r>
      <w:r>
        <w:rPr/>
        <w:t>un</w:t>
      </w:r>
      <w:r>
        <w:rPr>
          <w:spacing w:val="-3"/>
        </w:rPr>
        <w:t> </w:t>
      </w:r>
      <w:r>
        <w:rPr/>
        <w:t>anexo</w:t>
      </w:r>
      <w:r>
        <w:rPr>
          <w:spacing w:val="-3"/>
        </w:rPr>
        <w:t> </w:t>
      </w:r>
      <w:r>
        <w:rPr/>
        <w:t>confidencial</w:t>
      </w:r>
      <w:r>
        <w:rPr>
          <w:spacing w:val="-2"/>
        </w:rPr>
        <w:t> </w:t>
      </w:r>
      <w:r>
        <w:rPr/>
        <w:t>al expediente,</w:t>
      </w:r>
      <w:r>
        <w:rPr>
          <w:spacing w:val="-9"/>
        </w:rPr>
        <w:t> </w:t>
      </w:r>
      <w:r>
        <w:rPr/>
        <w:t>de</w:t>
      </w:r>
      <w:r>
        <w:rPr>
          <w:spacing w:val="-13"/>
        </w:rPr>
        <w:t> </w:t>
      </w:r>
      <w:r>
        <w:rPr/>
        <w:t>conformidad</w:t>
      </w:r>
      <w:r>
        <w:rPr>
          <w:spacing w:val="-10"/>
        </w:rPr>
        <w:t> </w:t>
      </w:r>
      <w:r>
        <w:rPr/>
        <w:t>con</w:t>
      </w:r>
      <w:r>
        <w:rPr>
          <w:spacing w:val="-9"/>
        </w:rPr>
        <w:t> </w:t>
      </w:r>
      <w:r>
        <w:rPr/>
        <w:t>el</w:t>
      </w:r>
      <w:r>
        <w:rPr>
          <w:spacing w:val="-11"/>
        </w:rPr>
        <w:t> </w:t>
      </w:r>
      <w:r>
        <w:rPr/>
        <w:t>artículo</w:t>
      </w:r>
      <w:r>
        <w:rPr>
          <w:spacing w:val="-10"/>
        </w:rPr>
        <w:t> </w:t>
      </w:r>
      <w:r>
        <w:rPr/>
        <w:t>20</w:t>
      </w:r>
      <w:r>
        <w:rPr>
          <w:spacing w:val="-10"/>
        </w:rPr>
        <w:t> </w:t>
      </w:r>
      <w:r>
        <w:rPr/>
        <w:t>antes</w:t>
      </w:r>
      <w:r>
        <w:rPr>
          <w:spacing w:val="-10"/>
        </w:rPr>
        <w:t> </w:t>
      </w:r>
      <w:r>
        <w:rPr/>
        <w:t>mencionado.</w:t>
      </w:r>
      <w:r>
        <w:rPr>
          <w:spacing w:val="-8"/>
        </w:rPr>
        <w:t> </w:t>
      </w:r>
      <w:r>
        <w:rPr/>
        <w:t>En</w:t>
      </w:r>
      <w:r>
        <w:rPr>
          <w:spacing w:val="-10"/>
        </w:rPr>
        <w:t> </w:t>
      </w:r>
      <w:r>
        <w:rPr/>
        <w:t>la</w:t>
      </w:r>
      <w:r>
        <w:rPr>
          <w:spacing w:val="-12"/>
        </w:rPr>
        <w:t> </w:t>
      </w:r>
      <w:r>
        <w:rPr/>
        <w:t>misma</w:t>
      </w:r>
      <w:r>
        <w:rPr>
          <w:spacing w:val="-12"/>
        </w:rPr>
        <w:t> </w:t>
      </w:r>
      <w:r>
        <w:rPr/>
        <w:t>fecha, mediante comunicaciones N.° SG/E/DGCOM/693/2026 y N.° SG/E/DGCOM/694/2026, la SGCAN corrió traslado a los Países Miembros de la respuesta brindada a la República del Ecuador.</w:t>
      </w:r>
    </w:p>
    <w:p>
      <w:pPr>
        <w:pStyle w:val="BodyText"/>
      </w:pPr>
    </w:p>
    <w:p>
      <w:pPr>
        <w:pStyle w:val="ListParagraph"/>
        <w:numPr>
          <w:ilvl w:val="0"/>
          <w:numId w:val="2"/>
        </w:numPr>
        <w:tabs>
          <w:tab w:pos="1351" w:val="left" w:leader="none"/>
          <w:tab w:pos="1355" w:val="left" w:leader="none"/>
        </w:tabs>
        <w:spacing w:line="240" w:lineRule="auto" w:before="1" w:after="0"/>
        <w:ind w:left="1355" w:right="977" w:hanging="788"/>
        <w:jc w:val="both"/>
        <w:rPr>
          <w:sz w:val="22"/>
        </w:rPr>
      </w:pPr>
      <w:r>
        <w:rPr>
          <w:sz w:val="22"/>
        </w:rPr>
        <w:t>Que, el 15 de abril de 2026, mediante comunicaciones N.° SG/E/DGCOM/729/2026, N.°</w:t>
      </w:r>
      <w:r>
        <w:rPr>
          <w:spacing w:val="80"/>
          <w:w w:val="150"/>
          <w:sz w:val="22"/>
        </w:rPr>
        <w:t> </w:t>
      </w:r>
      <w:r>
        <w:rPr>
          <w:sz w:val="22"/>
        </w:rPr>
        <w:t>SG/E/DGCOM/730/2026,</w:t>
      </w:r>
      <w:r>
        <w:rPr>
          <w:spacing w:val="80"/>
          <w:w w:val="150"/>
          <w:sz w:val="22"/>
        </w:rPr>
        <w:t> </w:t>
      </w:r>
      <w:r>
        <w:rPr>
          <w:sz w:val="22"/>
        </w:rPr>
        <w:t>y</w:t>
      </w:r>
      <w:r>
        <w:rPr>
          <w:spacing w:val="79"/>
          <w:w w:val="150"/>
          <w:sz w:val="22"/>
        </w:rPr>
        <w:t> </w:t>
      </w:r>
      <w:r>
        <w:rPr>
          <w:sz w:val="22"/>
        </w:rPr>
        <w:t>SG/E/DGCOM/731/2026,</w:t>
      </w:r>
      <w:r>
        <w:rPr>
          <w:spacing w:val="80"/>
          <w:w w:val="150"/>
          <w:sz w:val="22"/>
        </w:rPr>
        <w:t> </w:t>
      </w:r>
      <w:r>
        <w:rPr>
          <w:sz w:val="22"/>
        </w:rPr>
        <w:t>la</w:t>
      </w:r>
      <w:r>
        <w:rPr>
          <w:spacing w:val="80"/>
          <w:w w:val="150"/>
          <w:sz w:val="22"/>
        </w:rPr>
        <w:t> </w:t>
      </w:r>
      <w:r>
        <w:rPr>
          <w:sz w:val="22"/>
        </w:rPr>
        <w:t>SGCAN</w:t>
      </w:r>
      <w:r>
        <w:rPr>
          <w:spacing w:val="80"/>
          <w:w w:val="150"/>
          <w:sz w:val="22"/>
        </w:rPr>
        <w:t> </w:t>
      </w:r>
      <w:r>
        <w:rPr>
          <w:sz w:val="22"/>
        </w:rPr>
        <w:t>puso</w:t>
      </w:r>
      <w:r>
        <w:rPr>
          <w:spacing w:val="80"/>
          <w:w w:val="150"/>
          <w:sz w:val="22"/>
        </w:rPr>
        <w:t> </w:t>
      </w:r>
      <w:r>
        <w:rPr>
          <w:sz w:val="22"/>
        </w:rPr>
        <w:t>en</w:t>
      </w:r>
    </w:p>
    <w:p>
      <w:pPr>
        <w:pStyle w:val="BodyText"/>
        <w:ind w:left="1355" w:right="976"/>
        <w:jc w:val="both"/>
      </w:pPr>
      <w:r>
        <w:rPr/>
        <w:t>conocimiento</w:t>
      </w:r>
      <w:r>
        <w:rPr>
          <w:spacing w:val="-7"/>
        </w:rPr>
        <w:t> </w:t>
      </w:r>
      <w:r>
        <w:rPr/>
        <w:t>de</w:t>
      </w:r>
      <w:r>
        <w:rPr>
          <w:spacing w:val="-8"/>
        </w:rPr>
        <w:t> </w:t>
      </w:r>
      <w:r>
        <w:rPr/>
        <w:t>la</w:t>
      </w:r>
      <w:r>
        <w:rPr>
          <w:spacing w:val="-7"/>
        </w:rPr>
        <w:t> </w:t>
      </w:r>
      <w:r>
        <w:rPr/>
        <w:t>República</w:t>
      </w:r>
      <w:r>
        <w:rPr>
          <w:spacing w:val="-7"/>
        </w:rPr>
        <w:t> </w:t>
      </w:r>
      <w:r>
        <w:rPr/>
        <w:t>de</w:t>
      </w:r>
      <w:r>
        <w:rPr>
          <w:spacing w:val="-8"/>
        </w:rPr>
        <w:t> </w:t>
      </w:r>
      <w:r>
        <w:rPr/>
        <w:t>Colombia,</w:t>
      </w:r>
      <w:r>
        <w:rPr>
          <w:spacing w:val="-6"/>
        </w:rPr>
        <w:t> </w:t>
      </w:r>
      <w:r>
        <w:rPr/>
        <w:t>la</w:t>
      </w:r>
      <w:r>
        <w:rPr>
          <w:spacing w:val="-7"/>
        </w:rPr>
        <w:t> </w:t>
      </w:r>
      <w:r>
        <w:rPr/>
        <w:t>República</w:t>
      </w:r>
      <w:r>
        <w:rPr>
          <w:spacing w:val="-7"/>
        </w:rPr>
        <w:t> </w:t>
      </w:r>
      <w:r>
        <w:rPr/>
        <w:t>del</w:t>
      </w:r>
      <w:r>
        <w:rPr>
          <w:spacing w:val="-8"/>
        </w:rPr>
        <w:t> </w:t>
      </w:r>
      <w:r>
        <w:rPr/>
        <w:t>Ecuador,</w:t>
      </w:r>
      <w:r>
        <w:rPr>
          <w:spacing w:val="-6"/>
        </w:rPr>
        <w:t> </w:t>
      </w:r>
      <w:r>
        <w:rPr/>
        <w:t>y</w:t>
      </w:r>
      <w:r>
        <w:rPr>
          <w:spacing w:val="-9"/>
        </w:rPr>
        <w:t> </w:t>
      </w:r>
      <w:r>
        <w:rPr/>
        <w:t>de</w:t>
      </w:r>
      <w:r>
        <w:rPr>
          <w:spacing w:val="-10"/>
        </w:rPr>
        <w:t> </w:t>
      </w:r>
      <w:r>
        <w:rPr/>
        <w:t>los</w:t>
      </w:r>
      <w:r>
        <w:rPr>
          <w:spacing w:val="-7"/>
        </w:rPr>
        <w:t> </w:t>
      </w:r>
      <w:r>
        <w:rPr/>
        <w:t>demás Países</w:t>
      </w:r>
      <w:r>
        <w:rPr>
          <w:spacing w:val="-6"/>
        </w:rPr>
        <w:t> </w:t>
      </w:r>
      <w:r>
        <w:rPr/>
        <w:t>Miembros,</w:t>
      </w:r>
      <w:r>
        <w:rPr>
          <w:spacing w:val="-3"/>
        </w:rPr>
        <w:t> </w:t>
      </w:r>
      <w:r>
        <w:rPr/>
        <w:t>que,</w:t>
      </w:r>
      <w:r>
        <w:rPr>
          <w:spacing w:val="-3"/>
        </w:rPr>
        <w:t> </w:t>
      </w:r>
      <w:r>
        <w:rPr/>
        <w:t>en</w:t>
      </w:r>
      <w:r>
        <w:rPr>
          <w:spacing w:val="-4"/>
        </w:rPr>
        <w:t> </w:t>
      </w:r>
      <w:r>
        <w:rPr/>
        <w:t>virtud</w:t>
      </w:r>
      <w:r>
        <w:rPr>
          <w:spacing w:val="-4"/>
        </w:rPr>
        <w:t> </w:t>
      </w:r>
      <w:r>
        <w:rPr/>
        <w:t>a</w:t>
      </w:r>
      <w:r>
        <w:rPr>
          <w:spacing w:val="-4"/>
        </w:rPr>
        <w:t> </w:t>
      </w:r>
      <w:r>
        <w:rPr/>
        <w:t>la</w:t>
      </w:r>
      <w:r>
        <w:rPr>
          <w:spacing w:val="-4"/>
        </w:rPr>
        <w:t> </w:t>
      </w:r>
      <w:r>
        <w:rPr/>
        <w:t>excepcional</w:t>
      </w:r>
      <w:r>
        <w:rPr>
          <w:spacing w:val="-5"/>
        </w:rPr>
        <w:t> </w:t>
      </w:r>
      <w:r>
        <w:rPr/>
        <w:t>complejidad</w:t>
      </w:r>
      <w:r>
        <w:rPr>
          <w:spacing w:val="-4"/>
        </w:rPr>
        <w:t> </w:t>
      </w:r>
      <w:r>
        <w:rPr/>
        <w:t>del</w:t>
      </w:r>
      <w:r>
        <w:rPr>
          <w:spacing w:val="-5"/>
        </w:rPr>
        <w:t> </w:t>
      </w:r>
      <w:r>
        <w:rPr/>
        <w:t>caso,</w:t>
      </w:r>
      <w:r>
        <w:rPr>
          <w:spacing w:val="-3"/>
        </w:rPr>
        <w:t> </w:t>
      </w:r>
      <w:r>
        <w:rPr/>
        <w:t>la</w:t>
      </w:r>
      <w:r>
        <w:rPr>
          <w:spacing w:val="-6"/>
        </w:rPr>
        <w:t> </w:t>
      </w:r>
      <w:r>
        <w:rPr/>
        <w:t>abundante información recopilada durante la investigación y los escritos presentados, de conformidad con lo dispuesto en el artículo 29 de la Decisión 425, decidió ampliar el plazo para resolver el expediente en diez (10) días hábiles adicionales.</w:t>
      </w:r>
    </w:p>
    <w:p>
      <w:pPr>
        <w:pStyle w:val="BodyText"/>
        <w:spacing w:after="0"/>
        <w:jc w:val="both"/>
        <w:sectPr>
          <w:headerReference w:type="default" r:id="rId8"/>
          <w:footerReference w:type="default" r:id="rId9"/>
          <w:pgSz w:w="11900" w:h="16850"/>
          <w:pgMar w:header="370" w:footer="651" w:top="1380" w:bottom="840" w:left="992" w:right="283"/>
        </w:sectPr>
      </w:pPr>
    </w:p>
    <w:p>
      <w:pPr>
        <w:pStyle w:val="BodyText"/>
        <w:spacing w:before="176"/>
      </w:pPr>
    </w:p>
    <w:p>
      <w:pPr>
        <w:pStyle w:val="ListParagraph"/>
        <w:numPr>
          <w:ilvl w:val="0"/>
          <w:numId w:val="2"/>
        </w:numPr>
        <w:tabs>
          <w:tab w:pos="1420" w:val="left" w:leader="none"/>
        </w:tabs>
        <w:spacing w:line="240" w:lineRule="auto" w:before="0" w:after="0"/>
        <w:ind w:left="1420" w:right="978" w:hanging="852"/>
        <w:jc w:val="both"/>
        <w:rPr>
          <w:sz w:val="22"/>
        </w:rPr>
      </w:pPr>
      <w:r>
        <w:rPr>
          <w:sz w:val="22"/>
        </w:rPr>
        <w:t>Que, mediante correo electrónico de fecha 17 de abril de 2026</w:t>
      </w:r>
      <w:hyperlink w:history="true" w:anchor="_bookmark5">
        <w:r>
          <w:rPr>
            <w:sz w:val="22"/>
            <w:vertAlign w:val="superscript"/>
          </w:rPr>
          <w:t>6</w:t>
        </w:r>
      </w:hyperlink>
      <w:r>
        <w:rPr>
          <w:sz w:val="22"/>
          <w:vertAlign w:val="baseline"/>
        </w:rPr>
        <w:t>, la República de Colombia</w:t>
      </w:r>
      <w:r>
        <w:rPr>
          <w:spacing w:val="-3"/>
          <w:sz w:val="22"/>
          <w:vertAlign w:val="baseline"/>
        </w:rPr>
        <w:t> </w:t>
      </w:r>
      <w:r>
        <w:rPr>
          <w:sz w:val="22"/>
          <w:vertAlign w:val="baseline"/>
        </w:rPr>
        <w:t>solicitó</w:t>
      </w:r>
      <w:r>
        <w:rPr>
          <w:spacing w:val="-3"/>
          <w:sz w:val="22"/>
          <w:vertAlign w:val="baseline"/>
        </w:rPr>
        <w:t> </w:t>
      </w:r>
      <w:r>
        <w:rPr>
          <w:sz w:val="22"/>
          <w:vertAlign w:val="baseline"/>
        </w:rPr>
        <w:t>a</w:t>
      </w:r>
      <w:r>
        <w:rPr>
          <w:spacing w:val="-5"/>
          <w:sz w:val="22"/>
          <w:vertAlign w:val="baseline"/>
        </w:rPr>
        <w:t> </w:t>
      </w:r>
      <w:r>
        <w:rPr>
          <w:sz w:val="22"/>
          <w:vertAlign w:val="baseline"/>
        </w:rPr>
        <w:t>la</w:t>
      </w:r>
      <w:r>
        <w:rPr>
          <w:spacing w:val="-3"/>
          <w:sz w:val="22"/>
          <w:vertAlign w:val="baseline"/>
        </w:rPr>
        <w:t> </w:t>
      </w:r>
      <w:r>
        <w:rPr>
          <w:sz w:val="22"/>
          <w:vertAlign w:val="baseline"/>
        </w:rPr>
        <w:t>SGCAN</w:t>
      </w:r>
      <w:r>
        <w:rPr>
          <w:spacing w:val="-3"/>
          <w:sz w:val="22"/>
          <w:vertAlign w:val="baseline"/>
        </w:rPr>
        <w:t> </w:t>
      </w:r>
      <w:r>
        <w:rPr>
          <w:sz w:val="22"/>
          <w:vertAlign w:val="baseline"/>
        </w:rPr>
        <w:t>la</w:t>
      </w:r>
      <w:r>
        <w:rPr>
          <w:spacing w:val="-3"/>
          <w:sz w:val="22"/>
          <w:vertAlign w:val="baseline"/>
        </w:rPr>
        <w:t> </w:t>
      </w:r>
      <w:r>
        <w:rPr>
          <w:sz w:val="22"/>
          <w:vertAlign w:val="baseline"/>
        </w:rPr>
        <w:t>remisión</w:t>
      </w:r>
      <w:r>
        <w:rPr>
          <w:spacing w:val="-3"/>
          <w:sz w:val="22"/>
          <w:vertAlign w:val="baseline"/>
        </w:rPr>
        <w:t> </w:t>
      </w:r>
      <w:r>
        <w:rPr>
          <w:sz w:val="22"/>
          <w:vertAlign w:val="baseline"/>
        </w:rPr>
        <w:t>de</w:t>
      </w:r>
      <w:r>
        <w:rPr>
          <w:spacing w:val="-5"/>
          <w:sz w:val="22"/>
          <w:vertAlign w:val="baseline"/>
        </w:rPr>
        <w:t> </w:t>
      </w:r>
      <w:r>
        <w:rPr>
          <w:sz w:val="22"/>
          <w:vertAlign w:val="baseline"/>
        </w:rPr>
        <w:t>las</w:t>
      </w:r>
      <w:r>
        <w:rPr>
          <w:spacing w:val="-3"/>
          <w:sz w:val="22"/>
          <w:vertAlign w:val="baseline"/>
        </w:rPr>
        <w:t> </w:t>
      </w:r>
      <w:r>
        <w:rPr>
          <w:sz w:val="22"/>
          <w:vertAlign w:val="baseline"/>
        </w:rPr>
        <w:t>actas</w:t>
      </w:r>
      <w:r>
        <w:rPr>
          <w:spacing w:val="-5"/>
          <w:sz w:val="22"/>
          <w:vertAlign w:val="baseline"/>
        </w:rPr>
        <w:t> </w:t>
      </w:r>
      <w:r>
        <w:rPr>
          <w:sz w:val="22"/>
          <w:vertAlign w:val="baseline"/>
        </w:rPr>
        <w:t>correspondientes</w:t>
      </w:r>
      <w:r>
        <w:rPr>
          <w:spacing w:val="-5"/>
          <w:sz w:val="22"/>
          <w:vertAlign w:val="baseline"/>
        </w:rPr>
        <w:t> </w:t>
      </w:r>
      <w:r>
        <w:rPr>
          <w:sz w:val="22"/>
          <w:vertAlign w:val="baseline"/>
        </w:rPr>
        <w:t>a</w:t>
      </w:r>
      <w:r>
        <w:rPr>
          <w:spacing w:val="-5"/>
          <w:sz w:val="22"/>
          <w:vertAlign w:val="baseline"/>
        </w:rPr>
        <w:t> </w:t>
      </w:r>
      <w:r>
        <w:rPr>
          <w:sz w:val="22"/>
          <w:vertAlign w:val="baseline"/>
        </w:rPr>
        <w:t>las</w:t>
      </w:r>
      <w:r>
        <w:rPr>
          <w:spacing w:val="-3"/>
          <w:sz w:val="22"/>
          <w:vertAlign w:val="baseline"/>
        </w:rPr>
        <w:t> </w:t>
      </w:r>
      <w:r>
        <w:rPr>
          <w:sz w:val="22"/>
          <w:vertAlign w:val="baseline"/>
        </w:rPr>
        <w:t>visitas de verificación realizadas por la SGCAN.</w:t>
      </w:r>
    </w:p>
    <w:p>
      <w:pPr>
        <w:pStyle w:val="BodyText"/>
        <w:spacing w:before="1"/>
      </w:pPr>
    </w:p>
    <w:p>
      <w:pPr>
        <w:pStyle w:val="ListParagraph"/>
        <w:numPr>
          <w:ilvl w:val="0"/>
          <w:numId w:val="2"/>
        </w:numPr>
        <w:tabs>
          <w:tab w:pos="1420" w:val="left" w:leader="none"/>
        </w:tabs>
        <w:spacing w:line="240" w:lineRule="auto" w:before="0" w:after="0"/>
        <w:ind w:left="1420" w:right="980" w:hanging="852"/>
        <w:jc w:val="both"/>
        <w:rPr>
          <w:sz w:val="22"/>
        </w:rPr>
      </w:pPr>
      <w:r>
        <w:rPr>
          <w:sz w:val="22"/>
        </w:rPr>
        <w:t>Que, el 22 de abril de 2026, mediante comunicaciones N.º SG/E/DGCOM/780/2026 y</w:t>
      </w:r>
      <w:r>
        <w:rPr>
          <w:spacing w:val="-5"/>
          <w:sz w:val="22"/>
        </w:rPr>
        <w:t> </w:t>
      </w:r>
      <w:r>
        <w:rPr>
          <w:sz w:val="22"/>
        </w:rPr>
        <w:t>N.º</w:t>
      </w:r>
      <w:r>
        <w:rPr>
          <w:spacing w:val="-4"/>
          <w:sz w:val="22"/>
        </w:rPr>
        <w:t> </w:t>
      </w:r>
      <w:r>
        <w:rPr>
          <w:sz w:val="22"/>
        </w:rPr>
        <w:t>SG/E/DGCOM/781/2026,</w:t>
      </w:r>
      <w:r>
        <w:rPr>
          <w:spacing w:val="-4"/>
          <w:sz w:val="22"/>
        </w:rPr>
        <w:t> </w:t>
      </w:r>
      <w:r>
        <w:rPr>
          <w:sz w:val="22"/>
        </w:rPr>
        <w:t>la</w:t>
      </w:r>
      <w:r>
        <w:rPr>
          <w:spacing w:val="-5"/>
          <w:sz w:val="22"/>
        </w:rPr>
        <w:t> </w:t>
      </w:r>
      <w:r>
        <w:rPr>
          <w:sz w:val="22"/>
        </w:rPr>
        <w:t>SGCAN</w:t>
      </w:r>
      <w:r>
        <w:rPr>
          <w:spacing w:val="-6"/>
          <w:sz w:val="22"/>
        </w:rPr>
        <w:t> </w:t>
      </w:r>
      <w:r>
        <w:rPr>
          <w:sz w:val="22"/>
        </w:rPr>
        <w:t>corrió</w:t>
      </w:r>
      <w:r>
        <w:rPr>
          <w:spacing w:val="-5"/>
          <w:sz w:val="22"/>
        </w:rPr>
        <w:t> </w:t>
      </w:r>
      <w:r>
        <w:rPr>
          <w:sz w:val="22"/>
        </w:rPr>
        <w:t>traslado</w:t>
      </w:r>
      <w:r>
        <w:rPr>
          <w:spacing w:val="-5"/>
          <w:sz w:val="22"/>
        </w:rPr>
        <w:t> </w:t>
      </w:r>
      <w:r>
        <w:rPr>
          <w:sz w:val="22"/>
        </w:rPr>
        <w:t>de</w:t>
      </w:r>
      <w:r>
        <w:rPr>
          <w:spacing w:val="-5"/>
          <w:sz w:val="22"/>
        </w:rPr>
        <w:t> </w:t>
      </w:r>
      <w:r>
        <w:rPr>
          <w:sz w:val="22"/>
        </w:rPr>
        <w:t>las</w:t>
      </w:r>
      <w:r>
        <w:rPr>
          <w:spacing w:val="-5"/>
          <w:sz w:val="22"/>
        </w:rPr>
        <w:t> </w:t>
      </w:r>
      <w:r>
        <w:rPr>
          <w:sz w:val="22"/>
        </w:rPr>
        <w:t>actas</w:t>
      </w:r>
      <w:r>
        <w:rPr>
          <w:spacing w:val="-4"/>
          <w:sz w:val="22"/>
        </w:rPr>
        <w:t> </w:t>
      </w:r>
      <w:r>
        <w:rPr>
          <w:sz w:val="22"/>
        </w:rPr>
        <w:t>de</w:t>
      </w:r>
      <w:r>
        <w:rPr>
          <w:spacing w:val="-5"/>
          <w:sz w:val="22"/>
        </w:rPr>
        <w:t> </w:t>
      </w:r>
      <w:r>
        <w:rPr>
          <w:sz w:val="22"/>
        </w:rPr>
        <w:t>verificación y de los reportes de visita a la República de Colombia y a los demás Países </w:t>
      </w:r>
      <w:r>
        <w:rPr>
          <w:spacing w:val="-2"/>
          <w:sz w:val="22"/>
        </w:rPr>
        <w:t>Miembros.</w:t>
      </w:r>
    </w:p>
    <w:p>
      <w:pPr>
        <w:pStyle w:val="BodyText"/>
      </w:pPr>
    </w:p>
    <w:p>
      <w:pPr>
        <w:pStyle w:val="ListParagraph"/>
        <w:numPr>
          <w:ilvl w:val="0"/>
          <w:numId w:val="2"/>
        </w:numPr>
        <w:tabs>
          <w:tab w:pos="1420" w:val="left" w:leader="none"/>
        </w:tabs>
        <w:spacing w:line="240" w:lineRule="auto" w:before="0" w:after="0"/>
        <w:ind w:left="1420" w:right="975" w:hanging="852"/>
        <w:jc w:val="both"/>
        <w:rPr>
          <w:sz w:val="22"/>
        </w:rPr>
      </w:pPr>
      <w:r>
        <w:rPr>
          <w:sz w:val="22"/>
        </w:rPr>
        <w:t>Que, el 28 de abril de 2026, mediante el Radicado N.° 2-2026-012119, la República de</w:t>
      </w:r>
      <w:r>
        <w:rPr>
          <w:spacing w:val="-16"/>
          <w:sz w:val="22"/>
        </w:rPr>
        <w:t> </w:t>
      </w:r>
      <w:r>
        <w:rPr>
          <w:sz w:val="22"/>
        </w:rPr>
        <w:t>Colombia</w:t>
      </w:r>
      <w:r>
        <w:rPr>
          <w:spacing w:val="-15"/>
          <w:sz w:val="22"/>
        </w:rPr>
        <w:t> </w:t>
      </w:r>
      <w:r>
        <w:rPr>
          <w:sz w:val="22"/>
        </w:rPr>
        <w:t>remitió</w:t>
      </w:r>
      <w:r>
        <w:rPr>
          <w:spacing w:val="-15"/>
          <w:sz w:val="22"/>
        </w:rPr>
        <w:t> </w:t>
      </w:r>
      <w:r>
        <w:rPr>
          <w:sz w:val="22"/>
        </w:rPr>
        <w:t>a</w:t>
      </w:r>
      <w:r>
        <w:rPr>
          <w:spacing w:val="-16"/>
          <w:sz w:val="22"/>
        </w:rPr>
        <w:t> </w:t>
      </w:r>
      <w:r>
        <w:rPr>
          <w:sz w:val="22"/>
        </w:rPr>
        <w:t>la</w:t>
      </w:r>
      <w:r>
        <w:rPr>
          <w:spacing w:val="-15"/>
          <w:sz w:val="22"/>
        </w:rPr>
        <w:t> </w:t>
      </w:r>
      <w:r>
        <w:rPr>
          <w:sz w:val="22"/>
        </w:rPr>
        <w:t>SGCAN</w:t>
      </w:r>
      <w:r>
        <w:rPr>
          <w:spacing w:val="-15"/>
          <w:sz w:val="22"/>
        </w:rPr>
        <w:t> </w:t>
      </w:r>
      <w:r>
        <w:rPr>
          <w:sz w:val="22"/>
        </w:rPr>
        <w:t>su</w:t>
      </w:r>
      <w:r>
        <w:rPr>
          <w:spacing w:val="-15"/>
          <w:sz w:val="22"/>
        </w:rPr>
        <w:t> </w:t>
      </w:r>
      <w:r>
        <w:rPr>
          <w:sz w:val="22"/>
        </w:rPr>
        <w:t>pronunciamiento</w:t>
      </w:r>
      <w:r>
        <w:rPr>
          <w:spacing w:val="-16"/>
          <w:sz w:val="22"/>
        </w:rPr>
        <w:t> </w:t>
      </w:r>
      <w:r>
        <w:rPr>
          <w:sz w:val="22"/>
        </w:rPr>
        <w:t>sobre</w:t>
      </w:r>
      <w:r>
        <w:rPr>
          <w:spacing w:val="-15"/>
          <w:sz w:val="22"/>
        </w:rPr>
        <w:t> </w:t>
      </w:r>
      <w:r>
        <w:rPr>
          <w:sz w:val="22"/>
        </w:rPr>
        <w:t>el</w:t>
      </w:r>
      <w:r>
        <w:rPr>
          <w:spacing w:val="-15"/>
          <w:sz w:val="22"/>
        </w:rPr>
        <w:t> </w:t>
      </w:r>
      <w:r>
        <w:rPr>
          <w:sz w:val="22"/>
        </w:rPr>
        <w:t>informe</w:t>
      </w:r>
      <w:r>
        <w:rPr>
          <w:spacing w:val="-16"/>
          <w:sz w:val="22"/>
        </w:rPr>
        <w:t> </w:t>
      </w:r>
      <w:r>
        <w:rPr>
          <w:sz w:val="22"/>
        </w:rPr>
        <w:t>técnico-jurídico presentado por la República del Ecuador en el marco del expediente DGCOM/REST/001/2026, en respuesta a la solicitud de calificación de restricción formulada por dicho país.</w:t>
      </w:r>
    </w:p>
    <w:p>
      <w:pPr>
        <w:pStyle w:val="ListParagraph"/>
        <w:numPr>
          <w:ilvl w:val="0"/>
          <w:numId w:val="2"/>
        </w:numPr>
        <w:tabs>
          <w:tab w:pos="1420" w:val="left" w:leader="none"/>
        </w:tabs>
        <w:spacing w:line="240" w:lineRule="auto" w:before="253" w:after="0"/>
        <w:ind w:left="1420" w:right="977" w:hanging="852"/>
        <w:jc w:val="both"/>
        <w:rPr>
          <w:sz w:val="22"/>
        </w:rPr>
      </w:pPr>
      <w:r>
        <w:rPr>
          <w:sz w:val="22"/>
        </w:rPr>
        <w:t>Que, el 29 de abril de 2026, mediante comunicaciones N.º SG/E/DGCOM/884/2026 N.º</w:t>
      </w:r>
      <w:r>
        <w:rPr>
          <w:spacing w:val="-4"/>
          <w:sz w:val="22"/>
        </w:rPr>
        <w:t> </w:t>
      </w:r>
      <w:r>
        <w:rPr>
          <w:sz w:val="22"/>
        </w:rPr>
        <w:t>SG/E/DGCOM/885/2026</w:t>
      </w:r>
      <w:r>
        <w:rPr>
          <w:spacing w:val="-5"/>
          <w:sz w:val="22"/>
        </w:rPr>
        <w:t> </w:t>
      </w:r>
      <w:r>
        <w:rPr>
          <w:sz w:val="22"/>
        </w:rPr>
        <w:t>y</w:t>
      </w:r>
      <w:r>
        <w:rPr>
          <w:spacing w:val="-4"/>
          <w:sz w:val="22"/>
        </w:rPr>
        <w:t> </w:t>
      </w:r>
      <w:r>
        <w:rPr>
          <w:sz w:val="22"/>
        </w:rPr>
        <w:t>N.º</w:t>
      </w:r>
      <w:r>
        <w:rPr>
          <w:spacing w:val="-4"/>
          <w:sz w:val="22"/>
        </w:rPr>
        <w:t> </w:t>
      </w:r>
      <w:r>
        <w:rPr>
          <w:sz w:val="22"/>
        </w:rPr>
        <w:t>SG/E/DGCOM/886/2026,</w:t>
      </w:r>
      <w:r>
        <w:rPr>
          <w:spacing w:val="-6"/>
          <w:sz w:val="22"/>
        </w:rPr>
        <w:t> </w:t>
      </w:r>
      <w:r>
        <w:rPr>
          <w:sz w:val="22"/>
        </w:rPr>
        <w:t>la</w:t>
      </w:r>
      <w:r>
        <w:rPr>
          <w:spacing w:val="-5"/>
          <w:sz w:val="22"/>
        </w:rPr>
        <w:t> </w:t>
      </w:r>
      <w:r>
        <w:rPr>
          <w:sz w:val="22"/>
        </w:rPr>
        <w:t>SGCAN</w:t>
      </w:r>
      <w:r>
        <w:rPr>
          <w:spacing w:val="-4"/>
          <w:sz w:val="22"/>
        </w:rPr>
        <w:t> </w:t>
      </w:r>
      <w:r>
        <w:rPr>
          <w:sz w:val="22"/>
        </w:rPr>
        <w:t>acusó</w:t>
      </w:r>
      <w:r>
        <w:rPr>
          <w:spacing w:val="-5"/>
          <w:sz w:val="22"/>
        </w:rPr>
        <w:t> </w:t>
      </w:r>
      <w:r>
        <w:rPr>
          <w:sz w:val="22"/>
        </w:rPr>
        <w:t>recibo y corrió traslado del pronunciamiento de la República de Colombia a los Países </w:t>
      </w:r>
      <w:r>
        <w:rPr>
          <w:spacing w:val="-2"/>
          <w:sz w:val="22"/>
        </w:rPr>
        <w:t>Miembros.</w:t>
      </w:r>
    </w:p>
    <w:p>
      <w:pPr>
        <w:pStyle w:val="Heading5"/>
        <w:numPr>
          <w:ilvl w:val="0"/>
          <w:numId w:val="1"/>
        </w:numPr>
        <w:tabs>
          <w:tab w:pos="1137" w:val="left" w:leader="none"/>
        </w:tabs>
        <w:spacing w:line="240" w:lineRule="auto" w:before="252" w:after="0"/>
        <w:ind w:left="1137" w:right="0" w:hanging="358"/>
        <w:jc w:val="left"/>
      </w:pPr>
      <w:r>
        <w:rPr/>
        <w:t>SOBRE</w:t>
      </w:r>
      <w:r>
        <w:rPr>
          <w:spacing w:val="-8"/>
        </w:rPr>
        <w:t> </w:t>
      </w:r>
      <w:r>
        <w:rPr/>
        <w:t>LA</w:t>
      </w:r>
      <w:r>
        <w:rPr>
          <w:spacing w:val="-6"/>
        </w:rPr>
        <w:t> </w:t>
      </w:r>
      <w:r>
        <w:rPr/>
        <w:t>SOLICITUD</w:t>
      </w:r>
      <w:r>
        <w:rPr>
          <w:spacing w:val="-7"/>
        </w:rPr>
        <w:t> </w:t>
      </w:r>
      <w:r>
        <w:rPr/>
        <w:t>PRESENTADA</w:t>
      </w:r>
      <w:r>
        <w:rPr>
          <w:spacing w:val="-5"/>
        </w:rPr>
        <w:t> </w:t>
      </w:r>
      <w:r>
        <w:rPr/>
        <w:t>POR</w:t>
      </w:r>
      <w:r>
        <w:rPr>
          <w:spacing w:val="-8"/>
        </w:rPr>
        <w:t> </w:t>
      </w:r>
      <w:r>
        <w:rPr/>
        <w:t>LA</w:t>
      </w:r>
      <w:r>
        <w:rPr>
          <w:spacing w:val="-5"/>
        </w:rPr>
        <w:t> </w:t>
      </w:r>
      <w:r>
        <w:rPr/>
        <w:t>REPÚBLICA</w:t>
      </w:r>
      <w:r>
        <w:rPr>
          <w:spacing w:val="-4"/>
        </w:rPr>
        <w:t> </w:t>
      </w:r>
      <w:r>
        <w:rPr/>
        <w:t>DE</w:t>
      </w:r>
      <w:r>
        <w:rPr>
          <w:spacing w:val="-5"/>
        </w:rPr>
        <w:t> </w:t>
      </w:r>
      <w:r>
        <w:rPr>
          <w:spacing w:val="-2"/>
        </w:rPr>
        <w:t>COLOMBIA</w:t>
      </w:r>
    </w:p>
    <w:p>
      <w:pPr>
        <w:pStyle w:val="BodyText"/>
        <w:spacing w:before="1"/>
        <w:rPr>
          <w:rFonts w:ascii="Arial"/>
          <w:b/>
        </w:rPr>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La República de Colombia, mediante Radicado N.° 2-2026-003208, recibido por la SGCAN el 09 de febrero del 2026, solicitó a este órgano comunitario calificar como restricción, la medida adoptada por la República del Ecuador mediante Nota Verbal N.° MREMH/MREMH/2025/0020/N, de fecha 24 de diciembre de 2025, consistente en la habilitación del paso internacional ubicado en Rumichaca, como único paso internacional entre ambos países.</w:t>
      </w:r>
    </w:p>
    <w:p>
      <w:pPr>
        <w:pStyle w:val="BodyText"/>
      </w:pPr>
    </w:p>
    <w:p>
      <w:pPr>
        <w:pStyle w:val="ListParagraph"/>
        <w:numPr>
          <w:ilvl w:val="0"/>
          <w:numId w:val="2"/>
        </w:numPr>
        <w:tabs>
          <w:tab w:pos="1420" w:val="left" w:leader="none"/>
        </w:tabs>
        <w:spacing w:line="240" w:lineRule="auto" w:before="1" w:after="0"/>
        <w:ind w:left="1420" w:right="979" w:hanging="852"/>
        <w:jc w:val="both"/>
        <w:rPr>
          <w:sz w:val="22"/>
        </w:rPr>
      </w:pPr>
      <w:r>
        <w:rPr>
          <w:sz w:val="22"/>
        </w:rPr>
        <w:t>De</w:t>
      </w:r>
      <w:r>
        <w:rPr>
          <w:spacing w:val="-7"/>
          <w:sz w:val="22"/>
        </w:rPr>
        <w:t> </w:t>
      </w:r>
      <w:r>
        <w:rPr>
          <w:sz w:val="22"/>
        </w:rPr>
        <w:t>acuerdo</w:t>
      </w:r>
      <w:r>
        <w:rPr>
          <w:spacing w:val="-10"/>
          <w:sz w:val="22"/>
        </w:rPr>
        <w:t> </w:t>
      </w:r>
      <w:r>
        <w:rPr>
          <w:sz w:val="22"/>
        </w:rPr>
        <w:t>con</w:t>
      </w:r>
      <w:r>
        <w:rPr>
          <w:spacing w:val="-8"/>
          <w:sz w:val="22"/>
        </w:rPr>
        <w:t> </w:t>
      </w:r>
      <w:r>
        <w:rPr>
          <w:sz w:val="22"/>
        </w:rPr>
        <w:t>la</w:t>
      </w:r>
      <w:r>
        <w:rPr>
          <w:spacing w:val="-7"/>
          <w:sz w:val="22"/>
        </w:rPr>
        <w:t> </w:t>
      </w:r>
      <w:r>
        <w:rPr>
          <w:sz w:val="22"/>
        </w:rPr>
        <w:t>República</w:t>
      </w:r>
      <w:r>
        <w:rPr>
          <w:spacing w:val="-7"/>
          <w:sz w:val="22"/>
        </w:rPr>
        <w:t> </w:t>
      </w:r>
      <w:r>
        <w:rPr>
          <w:sz w:val="22"/>
        </w:rPr>
        <w:t>de</w:t>
      </w:r>
      <w:r>
        <w:rPr>
          <w:spacing w:val="-8"/>
          <w:sz w:val="22"/>
        </w:rPr>
        <w:t> </w:t>
      </w:r>
      <w:r>
        <w:rPr>
          <w:sz w:val="22"/>
        </w:rPr>
        <w:t>Colombia,</w:t>
      </w:r>
      <w:r>
        <w:rPr>
          <w:spacing w:val="-6"/>
          <w:sz w:val="22"/>
        </w:rPr>
        <w:t> </w:t>
      </w:r>
      <w:r>
        <w:rPr>
          <w:sz w:val="22"/>
        </w:rPr>
        <w:t>la</w:t>
      </w:r>
      <w:r>
        <w:rPr>
          <w:spacing w:val="-10"/>
          <w:sz w:val="22"/>
        </w:rPr>
        <w:t> </w:t>
      </w:r>
      <w:r>
        <w:rPr>
          <w:sz w:val="22"/>
        </w:rPr>
        <w:t>medida</w:t>
      </w:r>
      <w:r>
        <w:rPr>
          <w:spacing w:val="-6"/>
          <w:sz w:val="22"/>
        </w:rPr>
        <w:t> </w:t>
      </w:r>
      <w:r>
        <w:rPr>
          <w:sz w:val="22"/>
        </w:rPr>
        <w:t>calificaría</w:t>
      </w:r>
      <w:r>
        <w:rPr>
          <w:spacing w:val="-10"/>
          <w:sz w:val="22"/>
        </w:rPr>
        <w:t> </w:t>
      </w:r>
      <w:r>
        <w:rPr>
          <w:sz w:val="22"/>
        </w:rPr>
        <w:t>como</w:t>
      </w:r>
      <w:r>
        <w:rPr>
          <w:spacing w:val="-9"/>
          <w:sz w:val="22"/>
        </w:rPr>
        <w:t> </w:t>
      </w:r>
      <w:r>
        <w:rPr>
          <w:sz w:val="22"/>
        </w:rPr>
        <w:t>una</w:t>
      </w:r>
      <w:r>
        <w:rPr>
          <w:spacing w:val="-10"/>
          <w:sz w:val="22"/>
        </w:rPr>
        <w:t> </w:t>
      </w:r>
      <w:r>
        <w:rPr>
          <w:sz w:val="22"/>
        </w:rPr>
        <w:t>restricción en los términos del artículo 73, siendo contraria a lo estipulado en los artículos 72 y 77 del Acuerdo de Cartagena.</w:t>
      </w:r>
    </w:p>
    <w:p>
      <w:pPr>
        <w:pStyle w:val="BodyText"/>
      </w:pPr>
    </w:p>
    <w:p>
      <w:pPr>
        <w:pStyle w:val="ListParagraph"/>
        <w:numPr>
          <w:ilvl w:val="0"/>
          <w:numId w:val="2"/>
        </w:numPr>
        <w:tabs>
          <w:tab w:pos="1420" w:val="left" w:leader="none"/>
        </w:tabs>
        <w:spacing w:line="240" w:lineRule="auto" w:before="1" w:after="0"/>
        <w:ind w:left="1420" w:right="979" w:hanging="852"/>
        <w:jc w:val="both"/>
        <w:rPr>
          <w:sz w:val="22"/>
        </w:rPr>
      </w:pPr>
      <w:r>
        <w:rPr>
          <w:spacing w:val="-2"/>
          <w:sz w:val="22"/>
        </w:rPr>
        <w:t>Conforme</w:t>
      </w:r>
      <w:r>
        <w:rPr>
          <w:spacing w:val="-7"/>
          <w:sz w:val="22"/>
        </w:rPr>
        <w:t> </w:t>
      </w:r>
      <w:r>
        <w:rPr>
          <w:spacing w:val="-2"/>
          <w:sz w:val="22"/>
        </w:rPr>
        <w:t>a</w:t>
      </w:r>
      <w:r>
        <w:rPr>
          <w:spacing w:val="-8"/>
          <w:sz w:val="22"/>
        </w:rPr>
        <w:t> </w:t>
      </w:r>
      <w:r>
        <w:rPr>
          <w:spacing w:val="-2"/>
          <w:sz w:val="22"/>
        </w:rPr>
        <w:t>la</w:t>
      </w:r>
      <w:r>
        <w:rPr>
          <w:spacing w:val="-7"/>
          <w:sz w:val="22"/>
        </w:rPr>
        <w:t> </w:t>
      </w:r>
      <w:r>
        <w:rPr>
          <w:spacing w:val="-2"/>
          <w:sz w:val="22"/>
        </w:rPr>
        <w:t>solicitud</w:t>
      </w:r>
      <w:r>
        <w:rPr>
          <w:spacing w:val="-5"/>
          <w:sz w:val="22"/>
        </w:rPr>
        <w:t> </w:t>
      </w:r>
      <w:r>
        <w:rPr>
          <w:spacing w:val="-2"/>
          <w:sz w:val="22"/>
        </w:rPr>
        <w:t>presentada</w:t>
      </w:r>
      <w:r>
        <w:rPr>
          <w:spacing w:val="-8"/>
          <w:sz w:val="22"/>
        </w:rPr>
        <w:t> </w:t>
      </w:r>
      <w:r>
        <w:rPr>
          <w:spacing w:val="-2"/>
          <w:sz w:val="22"/>
        </w:rPr>
        <w:t>por</w:t>
      </w:r>
      <w:r>
        <w:rPr>
          <w:spacing w:val="-6"/>
          <w:sz w:val="22"/>
        </w:rPr>
        <w:t> </w:t>
      </w:r>
      <w:r>
        <w:rPr>
          <w:spacing w:val="-2"/>
          <w:sz w:val="22"/>
        </w:rPr>
        <w:t>la</w:t>
      </w:r>
      <w:r>
        <w:rPr>
          <w:spacing w:val="-5"/>
          <w:sz w:val="22"/>
        </w:rPr>
        <w:t> </w:t>
      </w:r>
      <w:r>
        <w:rPr>
          <w:spacing w:val="-2"/>
          <w:sz w:val="22"/>
        </w:rPr>
        <w:t>República</w:t>
      </w:r>
      <w:r>
        <w:rPr>
          <w:spacing w:val="-5"/>
          <w:sz w:val="22"/>
        </w:rPr>
        <w:t> </w:t>
      </w:r>
      <w:r>
        <w:rPr>
          <w:spacing w:val="-2"/>
          <w:sz w:val="22"/>
        </w:rPr>
        <w:t>de</w:t>
      </w:r>
      <w:r>
        <w:rPr>
          <w:spacing w:val="-8"/>
          <w:sz w:val="22"/>
        </w:rPr>
        <w:t> </w:t>
      </w:r>
      <w:r>
        <w:rPr>
          <w:spacing w:val="-2"/>
          <w:sz w:val="22"/>
        </w:rPr>
        <w:t>Colombia,</w:t>
      </w:r>
      <w:r>
        <w:rPr>
          <w:spacing w:val="-6"/>
          <w:sz w:val="22"/>
        </w:rPr>
        <w:t> </w:t>
      </w:r>
      <w:r>
        <w:rPr>
          <w:spacing w:val="-2"/>
          <w:sz w:val="22"/>
        </w:rPr>
        <w:t>la</w:t>
      </w:r>
      <w:r>
        <w:rPr>
          <w:spacing w:val="-7"/>
          <w:sz w:val="22"/>
        </w:rPr>
        <w:t> </w:t>
      </w:r>
      <w:r>
        <w:rPr>
          <w:spacing w:val="-2"/>
          <w:sz w:val="22"/>
        </w:rPr>
        <w:t>medida</w:t>
      </w:r>
      <w:r>
        <w:rPr>
          <w:spacing w:val="-8"/>
          <w:sz w:val="22"/>
        </w:rPr>
        <w:t> </w:t>
      </w:r>
      <w:r>
        <w:rPr>
          <w:spacing w:val="-2"/>
          <w:sz w:val="22"/>
        </w:rPr>
        <w:t>adoptada </w:t>
      </w:r>
      <w:r>
        <w:rPr>
          <w:sz w:val="22"/>
        </w:rPr>
        <w:t>por la República del Ecuador:</w:t>
      </w:r>
    </w:p>
    <w:p>
      <w:pPr>
        <w:spacing w:before="252"/>
        <w:ind w:left="2128" w:right="977" w:firstLine="0"/>
        <w:jc w:val="both"/>
        <w:rPr>
          <w:sz w:val="22"/>
        </w:rPr>
      </w:pPr>
      <w:r>
        <w:rPr>
          <w:sz w:val="22"/>
        </w:rPr>
        <mc:AlternateContent>
          <mc:Choice Requires="wps">
            <w:drawing>
              <wp:anchor distT="0" distB="0" distL="0" distR="0" allowOverlap="1" layoutInCell="1" locked="0" behindDoc="1" simplePos="0" relativeHeight="487591424">
                <wp:simplePos x="0" y="0"/>
                <wp:positionH relativeFrom="page">
                  <wp:posOffset>1963166</wp:posOffset>
                </wp:positionH>
                <wp:positionV relativeFrom="paragraph">
                  <wp:posOffset>1135907</wp:posOffset>
                </wp:positionV>
                <wp:extent cx="4808220" cy="18415"/>
                <wp:effectExtent l="0" t="0" r="0" b="0"/>
                <wp:wrapTopAndBottom/>
                <wp:docPr id="32" name="Graphic 32"/>
                <wp:cNvGraphicFramePr>
                  <a:graphicFrameLocks/>
                </wp:cNvGraphicFramePr>
                <a:graphic>
                  <a:graphicData uri="http://schemas.microsoft.com/office/word/2010/wordprocessingShape">
                    <wps:wsp>
                      <wps:cNvPr id="32" name="Graphic 32"/>
                      <wps:cNvSpPr/>
                      <wps:spPr>
                        <a:xfrm>
                          <a:off x="0" y="0"/>
                          <a:ext cx="4808220" cy="18415"/>
                        </a:xfrm>
                        <a:custGeom>
                          <a:avLst/>
                          <a:gdLst/>
                          <a:ahLst/>
                          <a:cxnLst/>
                          <a:rect l="l" t="t" r="r" b="b"/>
                          <a:pathLst>
                            <a:path w="4808220" h="18415">
                              <a:moveTo>
                                <a:pt x="4807965" y="0"/>
                              </a:moveTo>
                              <a:lnTo>
                                <a:pt x="0" y="0"/>
                              </a:lnTo>
                              <a:lnTo>
                                <a:pt x="0" y="18287"/>
                              </a:lnTo>
                              <a:lnTo>
                                <a:pt x="4807965" y="18287"/>
                              </a:lnTo>
                              <a:lnTo>
                                <a:pt x="48079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4.580002pt;margin-top:89.441521pt;width:378.58pt;height:1.44pt;mso-position-horizontal-relative:page;mso-position-vertical-relative:paragraph;z-index:-15725056;mso-wrap-distance-left:0;mso-wrap-distance-right:0" id="docshape21" filled="true" fillcolor="#000000" stroked="false">
                <v:fill type="solid"/>
                <w10:wrap type="topAndBottom"/>
              </v:rect>
            </w:pict>
          </mc:Fallback>
        </mc:AlternateContent>
      </w:r>
      <w:r>
        <w:rPr>
          <w:rFonts w:ascii="Arial" w:hAnsi="Arial"/>
          <w:i/>
          <w:sz w:val="22"/>
        </w:rPr>
        <w:t>“(…) impide de manera tajante y absoluta la importación en Ecuador de las mercancías provenientes de Colombia a través de cualquier paso fronterizo, al</w:t>
      </w:r>
      <w:r>
        <w:rPr>
          <w:rFonts w:ascii="Arial" w:hAnsi="Arial"/>
          <w:i/>
          <w:spacing w:val="-9"/>
          <w:sz w:val="22"/>
        </w:rPr>
        <w:t> </w:t>
      </w:r>
      <w:r>
        <w:rPr>
          <w:rFonts w:ascii="Arial" w:hAnsi="Arial"/>
          <w:i/>
          <w:sz w:val="22"/>
        </w:rPr>
        <w:t>habilitar</w:t>
      </w:r>
      <w:r>
        <w:rPr>
          <w:rFonts w:ascii="Arial" w:hAnsi="Arial"/>
          <w:i/>
          <w:spacing w:val="-10"/>
          <w:sz w:val="22"/>
        </w:rPr>
        <w:t> </w:t>
      </w:r>
      <w:r>
        <w:rPr>
          <w:rFonts w:ascii="Arial" w:hAnsi="Arial"/>
          <w:i/>
          <w:sz w:val="22"/>
        </w:rPr>
        <w:t>únicamente</w:t>
      </w:r>
      <w:r>
        <w:rPr>
          <w:rFonts w:ascii="Arial" w:hAnsi="Arial"/>
          <w:i/>
          <w:spacing w:val="-11"/>
          <w:sz w:val="22"/>
        </w:rPr>
        <w:t> </w:t>
      </w:r>
      <w:r>
        <w:rPr>
          <w:rFonts w:ascii="Arial" w:hAnsi="Arial"/>
          <w:i/>
          <w:sz w:val="22"/>
        </w:rPr>
        <w:t>el</w:t>
      </w:r>
      <w:r>
        <w:rPr>
          <w:rFonts w:ascii="Arial" w:hAnsi="Arial"/>
          <w:i/>
          <w:spacing w:val="-9"/>
          <w:sz w:val="22"/>
        </w:rPr>
        <w:t> </w:t>
      </w:r>
      <w:r>
        <w:rPr>
          <w:rFonts w:ascii="Arial" w:hAnsi="Arial"/>
          <w:i/>
          <w:sz w:val="22"/>
        </w:rPr>
        <w:t>tránsito</w:t>
      </w:r>
      <w:r>
        <w:rPr>
          <w:rFonts w:ascii="Arial" w:hAnsi="Arial"/>
          <w:i/>
          <w:spacing w:val="-11"/>
          <w:sz w:val="22"/>
        </w:rPr>
        <w:t> </w:t>
      </w:r>
      <w:r>
        <w:rPr>
          <w:rFonts w:ascii="Arial" w:hAnsi="Arial"/>
          <w:i/>
          <w:sz w:val="22"/>
        </w:rPr>
        <w:t>internacional</w:t>
      </w:r>
      <w:r>
        <w:rPr>
          <w:rFonts w:ascii="Arial" w:hAnsi="Arial"/>
          <w:i/>
          <w:spacing w:val="-9"/>
          <w:sz w:val="22"/>
        </w:rPr>
        <w:t> </w:t>
      </w:r>
      <w:r>
        <w:rPr>
          <w:rFonts w:ascii="Arial" w:hAnsi="Arial"/>
          <w:i/>
          <w:sz w:val="22"/>
        </w:rPr>
        <w:t>a</w:t>
      </w:r>
      <w:r>
        <w:rPr>
          <w:rFonts w:ascii="Arial" w:hAnsi="Arial"/>
          <w:i/>
          <w:spacing w:val="-12"/>
          <w:sz w:val="22"/>
        </w:rPr>
        <w:t> </w:t>
      </w:r>
      <w:r>
        <w:rPr>
          <w:rFonts w:ascii="Arial" w:hAnsi="Arial"/>
          <w:i/>
          <w:sz w:val="22"/>
        </w:rPr>
        <w:t>través</w:t>
      </w:r>
      <w:r>
        <w:rPr>
          <w:rFonts w:ascii="Arial" w:hAnsi="Arial"/>
          <w:i/>
          <w:spacing w:val="-8"/>
          <w:sz w:val="22"/>
        </w:rPr>
        <w:t> </w:t>
      </w:r>
      <w:r>
        <w:rPr>
          <w:rFonts w:ascii="Arial" w:hAnsi="Arial"/>
          <w:i/>
          <w:sz w:val="22"/>
        </w:rPr>
        <w:t>del</w:t>
      </w:r>
      <w:r>
        <w:rPr>
          <w:rFonts w:ascii="Arial" w:hAnsi="Arial"/>
          <w:i/>
          <w:spacing w:val="-11"/>
          <w:sz w:val="22"/>
        </w:rPr>
        <w:t> </w:t>
      </w:r>
      <w:r>
        <w:rPr>
          <w:rFonts w:ascii="Arial" w:hAnsi="Arial"/>
          <w:i/>
          <w:sz w:val="22"/>
        </w:rPr>
        <w:t>paso</w:t>
      </w:r>
      <w:r>
        <w:rPr>
          <w:rFonts w:ascii="Arial" w:hAnsi="Arial"/>
          <w:i/>
          <w:spacing w:val="-8"/>
          <w:sz w:val="22"/>
        </w:rPr>
        <w:t> </w:t>
      </w:r>
      <w:r>
        <w:rPr>
          <w:rFonts w:ascii="Arial" w:hAnsi="Arial"/>
          <w:i/>
          <w:sz w:val="22"/>
        </w:rPr>
        <w:t>internacional Rumichaca (…), lo que constituyen restricciones en contravención con el propósito del </w:t>
      </w:r>
      <w:r>
        <w:rPr>
          <w:sz w:val="22"/>
        </w:rPr>
        <w:t>Programa de Liberación en el artículo 72 del AC</w:t>
      </w:r>
      <w:r>
        <w:rPr>
          <w:sz w:val="22"/>
          <w:vertAlign w:val="superscript"/>
        </w:rPr>
        <w:t>4</w:t>
      </w:r>
      <w:r>
        <w:rPr>
          <w:sz w:val="22"/>
          <w:vertAlign w:val="baseline"/>
        </w:rPr>
        <w:t>, y del compromiso asumido por los Países Miembros en el artículo 77.</w:t>
      </w:r>
    </w:p>
    <w:p>
      <w:pPr>
        <w:spacing w:before="0"/>
        <w:ind w:left="2128" w:right="0" w:firstLine="0"/>
        <w:jc w:val="both"/>
        <w:rPr>
          <w:rFonts w:ascii="Arial" w:hAnsi="Arial"/>
          <w:i/>
          <w:position w:val="6"/>
          <w:sz w:val="12"/>
        </w:rPr>
      </w:pPr>
      <w:r>
        <w:rPr>
          <w:position w:val="6"/>
          <w:sz w:val="12"/>
        </w:rPr>
        <w:t>4</w:t>
      </w:r>
      <w:r>
        <w:rPr>
          <w:spacing w:val="14"/>
          <w:position w:val="6"/>
          <w:sz w:val="12"/>
        </w:rPr>
        <w:t> </w:t>
      </w:r>
      <w:r>
        <w:rPr>
          <w:sz w:val="18"/>
        </w:rPr>
        <w:t>Ver</w:t>
      </w:r>
      <w:r>
        <w:rPr>
          <w:spacing w:val="-1"/>
          <w:sz w:val="18"/>
        </w:rPr>
        <w:t> </w:t>
      </w:r>
      <w:r>
        <w:rPr>
          <w:sz w:val="18"/>
        </w:rPr>
        <w:t>TJCA,</w:t>
      </w:r>
      <w:r>
        <w:rPr>
          <w:spacing w:val="-4"/>
          <w:sz w:val="18"/>
        </w:rPr>
        <w:t> </w:t>
      </w:r>
      <w:r>
        <w:rPr>
          <w:sz w:val="18"/>
        </w:rPr>
        <w:t>Proceso</w:t>
      </w:r>
      <w:r>
        <w:rPr>
          <w:spacing w:val="-4"/>
          <w:sz w:val="18"/>
        </w:rPr>
        <w:t> </w:t>
      </w:r>
      <w:r>
        <w:rPr>
          <w:sz w:val="18"/>
        </w:rPr>
        <w:t>3-AI-96,</w:t>
      </w:r>
      <w:r>
        <w:rPr>
          <w:spacing w:val="-3"/>
          <w:sz w:val="18"/>
        </w:rPr>
        <w:t> </w:t>
      </w:r>
      <w:r>
        <w:rPr>
          <w:sz w:val="18"/>
        </w:rPr>
        <w:t>pág.</w:t>
      </w:r>
      <w:r>
        <w:rPr>
          <w:spacing w:val="-2"/>
          <w:sz w:val="18"/>
        </w:rPr>
        <w:t> </w:t>
      </w:r>
      <w:r>
        <w:rPr>
          <w:sz w:val="18"/>
        </w:rPr>
        <w:t>16,</w:t>
      </w:r>
      <w:r>
        <w:rPr>
          <w:spacing w:val="-3"/>
          <w:sz w:val="18"/>
        </w:rPr>
        <w:t> </w:t>
      </w:r>
      <w:r>
        <w:rPr>
          <w:sz w:val="18"/>
        </w:rPr>
        <w:t>y Proceso</w:t>
      </w:r>
      <w:r>
        <w:rPr>
          <w:spacing w:val="-2"/>
          <w:sz w:val="18"/>
        </w:rPr>
        <w:t> </w:t>
      </w:r>
      <w:r>
        <w:rPr>
          <w:sz w:val="18"/>
        </w:rPr>
        <w:t>5-IP-90,</w:t>
      </w:r>
      <w:r>
        <w:rPr>
          <w:spacing w:val="-1"/>
          <w:sz w:val="18"/>
        </w:rPr>
        <w:t> </w:t>
      </w:r>
      <w:r>
        <w:rPr>
          <w:sz w:val="18"/>
        </w:rPr>
        <w:t>pág.</w:t>
      </w:r>
      <w:r>
        <w:rPr>
          <w:spacing w:val="-1"/>
          <w:sz w:val="18"/>
        </w:rPr>
        <w:t> </w:t>
      </w:r>
      <w:r>
        <w:rPr>
          <w:sz w:val="18"/>
        </w:rPr>
        <w:t>11”</w:t>
      </w:r>
      <w:r>
        <w:rPr>
          <w:spacing w:val="-18"/>
          <w:sz w:val="18"/>
        </w:rPr>
        <w:t> </w:t>
      </w:r>
      <w:hyperlink w:history="true" w:anchor="_bookmark6">
        <w:r>
          <w:rPr>
            <w:rFonts w:ascii="Arial" w:hAnsi="Arial"/>
            <w:i/>
            <w:spacing w:val="-10"/>
            <w:position w:val="6"/>
            <w:sz w:val="12"/>
          </w:rPr>
          <w:t>7</w:t>
        </w:r>
      </w:hyperlink>
    </w:p>
    <w:p>
      <w:pPr>
        <w:pStyle w:val="BodyText"/>
        <w:spacing w:before="45"/>
        <w:rPr>
          <w:rFonts w:ascii="Arial"/>
          <w:i/>
          <w:sz w:val="18"/>
        </w:rPr>
      </w:pPr>
    </w:p>
    <w:p>
      <w:pPr>
        <w:pStyle w:val="ListParagraph"/>
        <w:numPr>
          <w:ilvl w:val="0"/>
          <w:numId w:val="2"/>
        </w:numPr>
        <w:tabs>
          <w:tab w:pos="1420" w:val="left" w:leader="none"/>
        </w:tabs>
        <w:spacing w:line="240" w:lineRule="auto" w:before="0" w:after="0"/>
        <w:ind w:left="1420" w:right="981" w:hanging="852"/>
        <w:jc w:val="both"/>
        <w:rPr>
          <w:sz w:val="22"/>
        </w:rPr>
      </w:pPr>
      <w:r>
        <w:rPr>
          <w:sz w:val="22"/>
        </w:rPr>
        <w:t>Asimismo, la República de Colombia argumenta que la Nota Verbal N.º MREMH/MREMH/2025/0020/N remitida por la República del Ecuador, se limita a señalar que la medida fue impuesta:</w:t>
      </w:r>
    </w:p>
    <w:p>
      <w:pPr>
        <w:spacing w:before="252"/>
        <w:ind w:left="2128" w:right="981" w:firstLine="0"/>
        <w:jc w:val="both"/>
        <w:rPr>
          <w:rFonts w:ascii="Arial" w:hAnsi="Arial"/>
          <w:i/>
          <w:sz w:val="22"/>
        </w:rPr>
      </w:pPr>
      <w:r>
        <w:rPr>
          <w:sz w:val="22"/>
        </w:rPr>
        <w:t>“</w:t>
      </w:r>
      <w:r>
        <w:rPr>
          <w:rFonts w:ascii="Arial" w:hAnsi="Arial"/>
          <w:i/>
          <w:sz w:val="22"/>
        </w:rPr>
        <w:t>(…) en atención a decisiones adoptadas por autoridades competentes del Estado ecuatoriano y considerando razones de seguridad”, sin brindar justificación alguna, ni remitir a otro documento o fuente que explique las razones</w:t>
      </w:r>
      <w:r>
        <w:rPr>
          <w:rFonts w:ascii="Arial" w:hAnsi="Arial"/>
          <w:i/>
          <w:spacing w:val="32"/>
          <w:sz w:val="22"/>
        </w:rPr>
        <w:t> </w:t>
      </w:r>
      <w:r>
        <w:rPr>
          <w:rFonts w:ascii="Arial" w:hAnsi="Arial"/>
          <w:i/>
          <w:sz w:val="22"/>
        </w:rPr>
        <w:t>que</w:t>
      </w:r>
      <w:r>
        <w:rPr>
          <w:rFonts w:ascii="Arial" w:hAnsi="Arial"/>
          <w:i/>
          <w:spacing w:val="32"/>
          <w:sz w:val="22"/>
        </w:rPr>
        <w:t> </w:t>
      </w:r>
      <w:r>
        <w:rPr>
          <w:rFonts w:ascii="Arial" w:hAnsi="Arial"/>
          <w:i/>
          <w:sz w:val="22"/>
        </w:rPr>
        <w:t>motivaron</w:t>
      </w:r>
      <w:r>
        <w:rPr>
          <w:rFonts w:ascii="Arial" w:hAnsi="Arial"/>
          <w:i/>
          <w:spacing w:val="32"/>
          <w:sz w:val="22"/>
        </w:rPr>
        <w:t> </w:t>
      </w:r>
      <w:r>
        <w:rPr>
          <w:rFonts w:ascii="Arial" w:hAnsi="Arial"/>
          <w:i/>
          <w:sz w:val="22"/>
        </w:rPr>
        <w:t>la</w:t>
      </w:r>
      <w:r>
        <w:rPr>
          <w:rFonts w:ascii="Arial" w:hAnsi="Arial"/>
          <w:i/>
          <w:spacing w:val="33"/>
          <w:sz w:val="22"/>
        </w:rPr>
        <w:t> </w:t>
      </w:r>
      <w:r>
        <w:rPr>
          <w:rFonts w:ascii="Arial" w:hAnsi="Arial"/>
          <w:i/>
          <w:sz w:val="22"/>
        </w:rPr>
        <w:t>medida,</w:t>
      </w:r>
      <w:r>
        <w:rPr>
          <w:rFonts w:ascii="Arial" w:hAnsi="Arial"/>
          <w:i/>
          <w:spacing w:val="36"/>
          <w:sz w:val="22"/>
        </w:rPr>
        <w:t> </w:t>
      </w:r>
      <w:r>
        <w:rPr>
          <w:rFonts w:ascii="Arial" w:hAnsi="Arial"/>
          <w:i/>
          <w:sz w:val="22"/>
        </w:rPr>
        <w:t>y</w:t>
      </w:r>
      <w:r>
        <w:rPr>
          <w:rFonts w:ascii="Arial" w:hAnsi="Arial"/>
          <w:i/>
          <w:spacing w:val="35"/>
          <w:sz w:val="22"/>
        </w:rPr>
        <w:t> </w:t>
      </w:r>
      <w:r>
        <w:rPr>
          <w:rFonts w:ascii="Arial" w:hAnsi="Arial"/>
          <w:i/>
          <w:sz w:val="22"/>
        </w:rPr>
        <w:t>que</w:t>
      </w:r>
      <w:r>
        <w:rPr>
          <w:rFonts w:ascii="Arial" w:hAnsi="Arial"/>
          <w:i/>
          <w:spacing w:val="33"/>
          <w:sz w:val="22"/>
        </w:rPr>
        <w:t> </w:t>
      </w:r>
      <w:r>
        <w:rPr>
          <w:rFonts w:ascii="Arial" w:hAnsi="Arial"/>
          <w:i/>
          <w:sz w:val="22"/>
        </w:rPr>
        <w:t>puedan</w:t>
      </w:r>
      <w:r>
        <w:rPr>
          <w:rFonts w:ascii="Arial" w:hAnsi="Arial"/>
          <w:i/>
          <w:spacing w:val="34"/>
          <w:sz w:val="22"/>
        </w:rPr>
        <w:t> </w:t>
      </w:r>
      <w:r>
        <w:rPr>
          <w:rFonts w:ascii="Arial" w:hAnsi="Arial"/>
          <w:i/>
          <w:sz w:val="22"/>
        </w:rPr>
        <w:t>evidenciar</w:t>
      </w:r>
      <w:r>
        <w:rPr>
          <w:rFonts w:ascii="Arial" w:hAnsi="Arial"/>
          <w:i/>
          <w:spacing w:val="35"/>
          <w:sz w:val="22"/>
        </w:rPr>
        <w:t> </w:t>
      </w:r>
      <w:r>
        <w:rPr>
          <w:rFonts w:ascii="Arial" w:hAnsi="Arial"/>
          <w:i/>
          <w:sz w:val="22"/>
        </w:rPr>
        <w:t>los</w:t>
      </w:r>
      <w:r>
        <w:rPr>
          <w:rFonts w:ascii="Arial" w:hAnsi="Arial"/>
          <w:i/>
          <w:spacing w:val="35"/>
          <w:sz w:val="22"/>
        </w:rPr>
        <w:t> </w:t>
      </w:r>
      <w:r>
        <w:rPr>
          <w:rFonts w:ascii="Arial" w:hAnsi="Arial"/>
          <w:i/>
          <w:spacing w:val="-2"/>
          <w:sz w:val="22"/>
        </w:rPr>
        <w:t>requisitos</w:t>
      </w:r>
    </w:p>
    <w:p>
      <w:pPr>
        <w:pStyle w:val="BodyText"/>
        <w:spacing w:before="9"/>
        <w:rPr>
          <w:rFonts w:ascii="Arial"/>
          <w:i/>
          <w:sz w:val="17"/>
        </w:rPr>
      </w:pPr>
      <w:r>
        <w:rPr>
          <w:rFonts w:ascii="Arial"/>
          <w:i/>
          <w:sz w:val="17"/>
        </w:rPr>
        <mc:AlternateContent>
          <mc:Choice Requires="wps">
            <w:drawing>
              <wp:anchor distT="0" distB="0" distL="0" distR="0" allowOverlap="1" layoutInCell="1" locked="0" behindDoc="1" simplePos="0" relativeHeight="487591936">
                <wp:simplePos x="0" y="0"/>
                <wp:positionH relativeFrom="page">
                  <wp:posOffset>990904</wp:posOffset>
                </wp:positionH>
                <wp:positionV relativeFrom="paragraph">
                  <wp:posOffset>145583</wp:posOffset>
                </wp:positionV>
                <wp:extent cx="1829435" cy="7620"/>
                <wp:effectExtent l="0" t="0" r="0" b="0"/>
                <wp:wrapTopAndBottom/>
                <wp:docPr id="33" name="Graphic 33"/>
                <wp:cNvGraphicFramePr>
                  <a:graphicFrameLocks/>
                </wp:cNvGraphicFramePr>
                <a:graphic>
                  <a:graphicData uri="http://schemas.microsoft.com/office/word/2010/wordprocessingShape">
                    <wps:wsp>
                      <wps:cNvPr id="33" name="Graphic 33"/>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1.463263pt;width:144.020pt;height:.599980pt;mso-position-horizontal-relative:page;mso-position-vertical-relative:paragraph;z-index:-15724544;mso-wrap-distance-left:0;mso-wrap-distance-right:0" id="docshape22" filled="true" fillcolor="#000000" stroked="false">
                <v:fill type="solid"/>
                <w10:wrap type="topAndBottom"/>
              </v:rect>
            </w:pict>
          </mc:Fallback>
        </mc:AlternateContent>
      </w:r>
    </w:p>
    <w:p>
      <w:pPr>
        <w:spacing w:before="86"/>
        <w:ind w:left="568" w:right="955" w:firstLine="0"/>
        <w:jc w:val="left"/>
        <w:rPr>
          <w:sz w:val="18"/>
        </w:rPr>
      </w:pPr>
      <w:bookmarkStart w:name="_bookmark5" w:id="6"/>
      <w:bookmarkEnd w:id="6"/>
      <w:r>
        <w:rPr/>
      </w:r>
      <w:r>
        <w:rPr>
          <w:position w:val="6"/>
          <w:sz w:val="12"/>
        </w:rPr>
        <w:t>6</w:t>
      </w:r>
      <w:r>
        <w:rPr>
          <w:spacing w:val="40"/>
          <w:position w:val="6"/>
          <w:sz w:val="12"/>
        </w:rPr>
        <w:t> </w:t>
      </w:r>
      <w:r>
        <w:rPr>
          <w:sz w:val="18"/>
        </w:rPr>
        <w:t>Al</w:t>
      </w:r>
      <w:r>
        <w:rPr>
          <w:spacing w:val="24"/>
          <w:sz w:val="18"/>
        </w:rPr>
        <w:t> </w:t>
      </w:r>
      <w:r>
        <w:rPr>
          <w:sz w:val="18"/>
        </w:rPr>
        <w:t>correo</w:t>
      </w:r>
      <w:r>
        <w:rPr>
          <w:spacing w:val="23"/>
          <w:sz w:val="18"/>
        </w:rPr>
        <w:t> </w:t>
      </w:r>
      <w:r>
        <w:rPr>
          <w:sz w:val="18"/>
        </w:rPr>
        <w:t>electrónico</w:t>
      </w:r>
      <w:r>
        <w:rPr>
          <w:spacing w:val="22"/>
          <w:sz w:val="18"/>
        </w:rPr>
        <w:t> </w:t>
      </w:r>
      <w:r>
        <w:rPr>
          <w:sz w:val="18"/>
        </w:rPr>
        <w:t>se</w:t>
      </w:r>
      <w:r>
        <w:rPr>
          <w:spacing w:val="24"/>
          <w:sz w:val="18"/>
        </w:rPr>
        <w:t> </w:t>
      </w:r>
      <w:r>
        <w:rPr>
          <w:sz w:val="18"/>
        </w:rPr>
        <w:t>le</w:t>
      </w:r>
      <w:r>
        <w:rPr>
          <w:spacing w:val="24"/>
          <w:sz w:val="18"/>
        </w:rPr>
        <w:t> </w:t>
      </w:r>
      <w:r>
        <w:rPr>
          <w:sz w:val="18"/>
        </w:rPr>
        <w:t>asignó</w:t>
      </w:r>
      <w:r>
        <w:rPr>
          <w:spacing w:val="24"/>
          <w:sz w:val="18"/>
        </w:rPr>
        <w:t> </w:t>
      </w:r>
      <w:r>
        <w:rPr>
          <w:sz w:val="18"/>
        </w:rPr>
        <w:t>el</w:t>
      </w:r>
      <w:r>
        <w:rPr>
          <w:spacing w:val="24"/>
          <w:sz w:val="18"/>
        </w:rPr>
        <w:t> </w:t>
      </w:r>
      <w:r>
        <w:rPr>
          <w:sz w:val="18"/>
        </w:rPr>
        <w:t>número</w:t>
      </w:r>
      <w:r>
        <w:rPr>
          <w:spacing w:val="24"/>
          <w:sz w:val="18"/>
        </w:rPr>
        <w:t> </w:t>
      </w:r>
      <w:r>
        <w:rPr>
          <w:sz w:val="18"/>
        </w:rPr>
        <w:t>de</w:t>
      </w:r>
      <w:r>
        <w:rPr>
          <w:spacing w:val="23"/>
          <w:sz w:val="18"/>
        </w:rPr>
        <w:t> </w:t>
      </w:r>
      <w:r>
        <w:rPr>
          <w:sz w:val="18"/>
        </w:rPr>
        <w:t>registro</w:t>
      </w:r>
      <w:r>
        <w:rPr>
          <w:spacing w:val="22"/>
          <w:sz w:val="18"/>
        </w:rPr>
        <w:t> </w:t>
      </w:r>
      <w:r>
        <w:rPr>
          <w:sz w:val="18"/>
        </w:rPr>
        <w:t>1132</w:t>
      </w:r>
      <w:r>
        <w:rPr>
          <w:spacing w:val="22"/>
          <w:sz w:val="18"/>
        </w:rPr>
        <w:t> </w:t>
      </w:r>
      <w:r>
        <w:rPr>
          <w:sz w:val="18"/>
        </w:rPr>
        <w:t>del</w:t>
      </w:r>
      <w:r>
        <w:rPr>
          <w:spacing w:val="23"/>
          <w:sz w:val="18"/>
        </w:rPr>
        <w:t> </w:t>
      </w:r>
      <w:r>
        <w:rPr>
          <w:sz w:val="18"/>
        </w:rPr>
        <w:t>sistema</w:t>
      </w:r>
      <w:r>
        <w:rPr>
          <w:spacing w:val="22"/>
          <w:sz w:val="18"/>
        </w:rPr>
        <w:t> </w:t>
      </w:r>
      <w:r>
        <w:rPr>
          <w:sz w:val="18"/>
        </w:rPr>
        <w:t>de</w:t>
      </w:r>
      <w:r>
        <w:rPr>
          <w:spacing w:val="22"/>
          <w:sz w:val="18"/>
        </w:rPr>
        <w:t> </w:t>
      </w:r>
      <w:r>
        <w:rPr>
          <w:sz w:val="18"/>
        </w:rPr>
        <w:t>correspondencia</w:t>
      </w:r>
      <w:r>
        <w:rPr>
          <w:spacing w:val="24"/>
          <w:sz w:val="18"/>
        </w:rPr>
        <w:t> </w:t>
      </w:r>
      <w:r>
        <w:rPr>
          <w:sz w:val="18"/>
        </w:rPr>
        <w:t>interno</w:t>
      </w:r>
      <w:r>
        <w:rPr>
          <w:spacing w:val="23"/>
          <w:sz w:val="18"/>
        </w:rPr>
        <w:t> </w:t>
      </w:r>
      <w:r>
        <w:rPr>
          <w:sz w:val="18"/>
        </w:rPr>
        <w:t>de</w:t>
      </w:r>
      <w:r>
        <w:rPr>
          <w:spacing w:val="23"/>
          <w:sz w:val="18"/>
        </w:rPr>
        <w:t> </w:t>
      </w:r>
      <w:r>
        <w:rPr>
          <w:sz w:val="18"/>
        </w:rPr>
        <w:t>la </w:t>
      </w:r>
      <w:r>
        <w:rPr>
          <w:spacing w:val="-2"/>
          <w:sz w:val="18"/>
        </w:rPr>
        <w:t>SGCAN.</w:t>
      </w:r>
    </w:p>
    <w:p>
      <w:pPr>
        <w:spacing w:line="208" w:lineRule="exact" w:before="0"/>
        <w:ind w:left="568" w:right="0" w:firstLine="0"/>
        <w:jc w:val="left"/>
        <w:rPr>
          <w:sz w:val="18"/>
        </w:rPr>
      </w:pPr>
      <w:bookmarkStart w:name="_bookmark6" w:id="7"/>
      <w:bookmarkEnd w:id="7"/>
      <w:r>
        <w:rPr/>
      </w:r>
      <w:r>
        <w:rPr>
          <w:position w:val="6"/>
          <w:sz w:val="12"/>
        </w:rPr>
        <w:t>7</w:t>
      </w:r>
      <w:r>
        <w:rPr>
          <w:spacing w:val="15"/>
          <w:position w:val="6"/>
          <w:sz w:val="12"/>
        </w:rPr>
        <w:t> </w:t>
      </w:r>
      <w:r>
        <w:rPr>
          <w:sz w:val="18"/>
        </w:rPr>
        <w:t>Véase</w:t>
      </w:r>
      <w:r>
        <w:rPr>
          <w:spacing w:val="-4"/>
          <w:sz w:val="18"/>
        </w:rPr>
        <w:t> </w:t>
      </w:r>
      <w:r>
        <w:rPr>
          <w:sz w:val="18"/>
        </w:rPr>
        <w:t>Folio</w:t>
      </w:r>
      <w:r>
        <w:rPr>
          <w:spacing w:val="-4"/>
          <w:sz w:val="18"/>
        </w:rPr>
        <w:t> </w:t>
      </w:r>
      <w:r>
        <w:rPr>
          <w:sz w:val="18"/>
        </w:rPr>
        <w:t>17</w:t>
      </w:r>
      <w:r>
        <w:rPr>
          <w:spacing w:val="-2"/>
          <w:sz w:val="18"/>
        </w:rPr>
        <w:t> </w:t>
      </w:r>
      <w:r>
        <w:rPr>
          <w:sz w:val="18"/>
        </w:rPr>
        <w:t>del</w:t>
      </w:r>
      <w:r>
        <w:rPr>
          <w:spacing w:val="-2"/>
          <w:sz w:val="18"/>
        </w:rPr>
        <w:t> </w:t>
      </w:r>
      <w:r>
        <w:rPr>
          <w:sz w:val="18"/>
        </w:rPr>
        <w:t>expediente</w:t>
      </w:r>
      <w:r>
        <w:rPr>
          <w:spacing w:val="-1"/>
          <w:sz w:val="18"/>
        </w:rPr>
        <w:t> </w:t>
      </w:r>
      <w:r>
        <w:rPr>
          <w:spacing w:val="-2"/>
          <w:sz w:val="18"/>
        </w:rPr>
        <w:t>DGCOM/REST/001/2026.</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34" name="Group 34"/>
                <wp:cNvGraphicFramePr>
                  <a:graphicFrameLocks/>
                </wp:cNvGraphicFramePr>
                <a:graphic>
                  <a:graphicData uri="http://schemas.microsoft.com/office/word/2010/wordprocessingGroup">
                    <wpg:wgp>
                      <wpg:cNvPr id="34" name="Group 34"/>
                      <wpg:cNvGrpSpPr/>
                      <wpg:grpSpPr>
                        <a:xfrm>
                          <a:off x="0" y="0"/>
                          <a:ext cx="6131560" cy="9525"/>
                          <a:chExt cx="6131560" cy="9525"/>
                        </a:xfrm>
                      </wpg:grpSpPr>
                      <wps:wsp>
                        <wps:cNvPr id="35" name="Graphic 35"/>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3"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10"/>
          <w:footerReference w:type="default" r:id="rId11"/>
          <w:pgSz w:w="11900" w:h="16850"/>
          <w:pgMar w:header="370" w:footer="637" w:top="1380" w:bottom="820" w:left="992" w:right="283"/>
        </w:sectPr>
      </w:pPr>
    </w:p>
    <w:p>
      <w:pPr>
        <w:pStyle w:val="BodyText"/>
        <w:spacing w:before="176"/>
      </w:pPr>
    </w:p>
    <w:p>
      <w:pPr>
        <w:spacing w:before="0"/>
        <w:ind w:left="2128" w:right="979" w:firstLine="0"/>
        <w:jc w:val="both"/>
        <w:rPr>
          <w:rFonts w:ascii="Arial" w:hAnsi="Arial"/>
          <w:i/>
          <w:sz w:val="22"/>
        </w:rPr>
      </w:pPr>
      <w:r>
        <w:rPr>
          <w:rFonts w:ascii="Arial" w:hAnsi="Arial"/>
          <w:i/>
          <w:sz w:val="22"/>
        </w:rPr>
        <w:t>concurrentes identificados por el TJCA para que la medida sea viable en el marco comunitario, a saber, que esté motivada por una de las causales taxativas del artículo 73, que sea idónea para atender esa causal, que sea además proporcional y no sea discriminatoria.”</w:t>
      </w:r>
      <w:hyperlink w:history="true" w:anchor="_bookmark7">
        <w:r>
          <w:rPr>
            <w:rFonts w:ascii="Arial" w:hAnsi="Arial"/>
            <w:i/>
            <w:sz w:val="22"/>
            <w:vertAlign w:val="superscript"/>
          </w:rPr>
          <w:t>8</w:t>
        </w:r>
      </w:hyperlink>
    </w:p>
    <w:p>
      <w:pPr>
        <w:pStyle w:val="BodyText"/>
        <w:spacing w:before="17"/>
        <w:rPr>
          <w:rFonts w:ascii="Arial"/>
          <w:i/>
        </w:rPr>
      </w:pPr>
    </w:p>
    <w:p>
      <w:pPr>
        <w:pStyle w:val="ListParagraph"/>
        <w:numPr>
          <w:ilvl w:val="0"/>
          <w:numId w:val="2"/>
        </w:numPr>
        <w:tabs>
          <w:tab w:pos="1420" w:val="left" w:leader="none"/>
        </w:tabs>
        <w:spacing w:line="240" w:lineRule="auto" w:before="0" w:after="0"/>
        <w:ind w:left="1420" w:right="976" w:hanging="852"/>
        <w:jc w:val="both"/>
        <w:rPr>
          <w:sz w:val="22"/>
        </w:rPr>
      </w:pPr>
      <w:r>
        <w:rPr>
          <w:sz w:val="22"/>
        </w:rPr>
        <w:t>Asimismo,</w:t>
      </w:r>
      <w:r>
        <w:rPr>
          <w:spacing w:val="-16"/>
          <w:sz w:val="22"/>
        </w:rPr>
        <w:t> </w:t>
      </w:r>
      <w:r>
        <w:rPr>
          <w:sz w:val="22"/>
        </w:rPr>
        <w:t>la</w:t>
      </w:r>
      <w:r>
        <w:rPr>
          <w:spacing w:val="-15"/>
          <w:sz w:val="22"/>
        </w:rPr>
        <w:t> </w:t>
      </w:r>
      <w:r>
        <w:rPr>
          <w:sz w:val="22"/>
        </w:rPr>
        <w:t>República</w:t>
      </w:r>
      <w:r>
        <w:rPr>
          <w:spacing w:val="-15"/>
          <w:sz w:val="22"/>
        </w:rPr>
        <w:t> </w:t>
      </w:r>
      <w:r>
        <w:rPr>
          <w:sz w:val="22"/>
        </w:rPr>
        <w:t>de</w:t>
      </w:r>
      <w:r>
        <w:rPr>
          <w:spacing w:val="-15"/>
          <w:sz w:val="22"/>
        </w:rPr>
        <w:t> </w:t>
      </w:r>
      <w:r>
        <w:rPr>
          <w:sz w:val="22"/>
        </w:rPr>
        <w:t>Colombia</w:t>
      </w:r>
      <w:r>
        <w:rPr>
          <w:spacing w:val="-12"/>
          <w:sz w:val="22"/>
        </w:rPr>
        <w:t> </w:t>
      </w:r>
      <w:r>
        <w:rPr>
          <w:sz w:val="22"/>
        </w:rPr>
        <w:t>señala</w:t>
      </w:r>
      <w:r>
        <w:rPr>
          <w:spacing w:val="-15"/>
          <w:sz w:val="22"/>
        </w:rPr>
        <w:t> </w:t>
      </w:r>
      <w:r>
        <w:rPr>
          <w:sz w:val="22"/>
        </w:rPr>
        <w:t>que</w:t>
      </w:r>
      <w:r>
        <w:rPr>
          <w:spacing w:val="-16"/>
          <w:sz w:val="22"/>
        </w:rPr>
        <w:t> </w:t>
      </w:r>
      <w:r>
        <w:rPr>
          <w:sz w:val="22"/>
        </w:rPr>
        <w:t>la</w:t>
      </w:r>
      <w:r>
        <w:rPr>
          <w:spacing w:val="-14"/>
          <w:sz w:val="22"/>
        </w:rPr>
        <w:t> </w:t>
      </w:r>
      <w:r>
        <w:rPr>
          <w:sz w:val="22"/>
        </w:rPr>
        <w:t>medida</w:t>
      </w:r>
      <w:r>
        <w:rPr>
          <w:spacing w:val="-15"/>
          <w:sz w:val="22"/>
        </w:rPr>
        <w:t> </w:t>
      </w:r>
      <w:r>
        <w:rPr>
          <w:sz w:val="22"/>
        </w:rPr>
        <w:t>adoptada</w:t>
      </w:r>
      <w:r>
        <w:rPr>
          <w:spacing w:val="-15"/>
          <w:sz w:val="22"/>
        </w:rPr>
        <w:t> </w:t>
      </w:r>
      <w:r>
        <w:rPr>
          <w:sz w:val="22"/>
        </w:rPr>
        <w:t>por</w:t>
      </w:r>
      <w:r>
        <w:rPr>
          <w:spacing w:val="-16"/>
          <w:sz w:val="22"/>
        </w:rPr>
        <w:t> </w:t>
      </w:r>
      <w:r>
        <w:rPr>
          <w:sz w:val="22"/>
        </w:rPr>
        <w:t>la</w:t>
      </w:r>
      <w:r>
        <w:rPr>
          <w:spacing w:val="-15"/>
          <w:sz w:val="22"/>
        </w:rPr>
        <w:t> </w:t>
      </w:r>
      <w:r>
        <w:rPr>
          <w:sz w:val="22"/>
        </w:rPr>
        <w:t>República del</w:t>
      </w:r>
      <w:r>
        <w:rPr>
          <w:spacing w:val="-2"/>
          <w:sz w:val="22"/>
        </w:rPr>
        <w:t> </w:t>
      </w:r>
      <w:r>
        <w:rPr>
          <w:sz w:val="22"/>
        </w:rPr>
        <w:t>Ecuador</w:t>
      </w:r>
      <w:r>
        <w:rPr>
          <w:spacing w:val="-1"/>
          <w:sz w:val="22"/>
        </w:rPr>
        <w:t> </w:t>
      </w:r>
      <w:r>
        <w:rPr>
          <w:sz w:val="22"/>
        </w:rPr>
        <w:t>estaría</w:t>
      </w:r>
      <w:r>
        <w:rPr>
          <w:spacing w:val="-2"/>
          <w:sz w:val="22"/>
        </w:rPr>
        <w:t> </w:t>
      </w:r>
      <w:r>
        <w:rPr>
          <w:sz w:val="22"/>
        </w:rPr>
        <w:t>incumpliendo</w:t>
      </w:r>
      <w:r>
        <w:rPr>
          <w:spacing w:val="-2"/>
          <w:sz w:val="22"/>
        </w:rPr>
        <w:t> </w:t>
      </w:r>
      <w:r>
        <w:rPr>
          <w:sz w:val="22"/>
        </w:rPr>
        <w:t>los</w:t>
      </w:r>
      <w:r>
        <w:rPr>
          <w:spacing w:val="-2"/>
          <w:sz w:val="22"/>
        </w:rPr>
        <w:t> </w:t>
      </w:r>
      <w:r>
        <w:rPr>
          <w:sz w:val="22"/>
        </w:rPr>
        <w:t>artículos</w:t>
      </w:r>
      <w:r>
        <w:rPr>
          <w:spacing w:val="-2"/>
          <w:sz w:val="22"/>
        </w:rPr>
        <w:t> </w:t>
      </w:r>
      <w:r>
        <w:rPr>
          <w:sz w:val="22"/>
        </w:rPr>
        <w:t>72</w:t>
      </w:r>
      <w:r>
        <w:rPr>
          <w:spacing w:val="-4"/>
          <w:sz w:val="22"/>
        </w:rPr>
        <w:t> </w:t>
      </w:r>
      <w:r>
        <w:rPr>
          <w:sz w:val="22"/>
        </w:rPr>
        <w:t>y</w:t>
      </w:r>
      <w:r>
        <w:rPr>
          <w:spacing w:val="-1"/>
          <w:sz w:val="22"/>
        </w:rPr>
        <w:t> </w:t>
      </w:r>
      <w:r>
        <w:rPr>
          <w:sz w:val="22"/>
        </w:rPr>
        <w:t>76</w:t>
      </w:r>
      <w:r>
        <w:rPr>
          <w:spacing w:val="-2"/>
          <w:sz w:val="22"/>
        </w:rPr>
        <w:t> </w:t>
      </w:r>
      <w:r>
        <w:rPr>
          <w:sz w:val="22"/>
        </w:rPr>
        <w:t>del</w:t>
      </w:r>
      <w:r>
        <w:rPr>
          <w:spacing w:val="-2"/>
          <w:sz w:val="22"/>
        </w:rPr>
        <w:t> </w:t>
      </w:r>
      <w:r>
        <w:rPr>
          <w:sz w:val="22"/>
        </w:rPr>
        <w:t>Acuerdo</w:t>
      </w:r>
      <w:r>
        <w:rPr>
          <w:spacing w:val="-2"/>
          <w:sz w:val="22"/>
        </w:rPr>
        <w:t> </w:t>
      </w:r>
      <w:r>
        <w:rPr>
          <w:sz w:val="22"/>
        </w:rPr>
        <w:t>de</w:t>
      </w:r>
      <w:r>
        <w:rPr>
          <w:spacing w:val="-2"/>
          <w:sz w:val="22"/>
        </w:rPr>
        <w:t> </w:t>
      </w:r>
      <w:r>
        <w:rPr>
          <w:sz w:val="22"/>
        </w:rPr>
        <w:t>Cartagena, al imponer unilateralmente restricciones injustificadas a la importación de mercancías colombianas a través de la frontera.</w:t>
      </w:r>
    </w:p>
    <w:p>
      <w:pPr>
        <w:pStyle w:val="BodyText"/>
      </w:pPr>
    </w:p>
    <w:p>
      <w:pPr>
        <w:pStyle w:val="ListParagraph"/>
        <w:numPr>
          <w:ilvl w:val="0"/>
          <w:numId w:val="2"/>
        </w:numPr>
        <w:tabs>
          <w:tab w:pos="1420" w:val="left" w:leader="none"/>
        </w:tabs>
        <w:spacing w:line="240" w:lineRule="auto" w:before="0" w:after="0"/>
        <w:ind w:left="1420" w:right="979" w:hanging="852"/>
        <w:jc w:val="both"/>
        <w:rPr>
          <w:sz w:val="22"/>
        </w:rPr>
      </w:pPr>
      <w:r>
        <w:rPr>
          <w:sz w:val="22"/>
        </w:rPr>
        <w:t>En complemento, la República de Colombia manifiesta que las medidas adoptadas por la República del Ecuador constituyen una vulneración de los artículos 1 y 2 del Acuerdo</w:t>
      </w:r>
      <w:r>
        <w:rPr>
          <w:spacing w:val="-5"/>
          <w:sz w:val="22"/>
        </w:rPr>
        <w:t> </w:t>
      </w:r>
      <w:r>
        <w:rPr>
          <w:sz w:val="22"/>
        </w:rPr>
        <w:t>de</w:t>
      </w:r>
      <w:r>
        <w:rPr>
          <w:spacing w:val="-8"/>
          <w:sz w:val="22"/>
        </w:rPr>
        <w:t> </w:t>
      </w:r>
      <w:r>
        <w:rPr>
          <w:sz w:val="22"/>
        </w:rPr>
        <w:t>Cartagena,</w:t>
      </w:r>
      <w:r>
        <w:rPr>
          <w:spacing w:val="-6"/>
          <w:sz w:val="22"/>
        </w:rPr>
        <w:t> </w:t>
      </w:r>
      <w:r>
        <w:rPr>
          <w:sz w:val="22"/>
        </w:rPr>
        <w:t>ya</w:t>
      </w:r>
      <w:r>
        <w:rPr>
          <w:spacing w:val="-5"/>
          <w:sz w:val="22"/>
        </w:rPr>
        <w:t> </w:t>
      </w:r>
      <w:r>
        <w:rPr>
          <w:sz w:val="22"/>
        </w:rPr>
        <w:t>que</w:t>
      </w:r>
      <w:r>
        <w:rPr>
          <w:spacing w:val="-7"/>
          <w:sz w:val="22"/>
        </w:rPr>
        <w:t> </w:t>
      </w:r>
      <w:r>
        <w:rPr>
          <w:sz w:val="22"/>
        </w:rPr>
        <w:t>dicho</w:t>
      </w:r>
      <w:r>
        <w:rPr>
          <w:spacing w:val="-5"/>
          <w:sz w:val="22"/>
        </w:rPr>
        <w:t> </w:t>
      </w:r>
      <w:r>
        <w:rPr>
          <w:sz w:val="22"/>
        </w:rPr>
        <w:t>país</w:t>
      </w:r>
      <w:r>
        <w:rPr>
          <w:spacing w:val="-7"/>
          <w:sz w:val="22"/>
        </w:rPr>
        <w:t> </w:t>
      </w:r>
      <w:r>
        <w:rPr>
          <w:sz w:val="22"/>
        </w:rPr>
        <w:t>no</w:t>
      </w:r>
      <w:r>
        <w:rPr>
          <w:spacing w:val="-5"/>
          <w:sz w:val="22"/>
        </w:rPr>
        <w:t> </w:t>
      </w:r>
      <w:r>
        <w:rPr>
          <w:sz w:val="22"/>
        </w:rPr>
        <w:t>estaría</w:t>
      </w:r>
      <w:r>
        <w:rPr>
          <w:spacing w:val="-7"/>
          <w:sz w:val="22"/>
        </w:rPr>
        <w:t> </w:t>
      </w:r>
      <w:r>
        <w:rPr>
          <w:sz w:val="22"/>
        </w:rPr>
        <w:t>comerciando</w:t>
      </w:r>
      <w:r>
        <w:rPr>
          <w:spacing w:val="-7"/>
          <w:sz w:val="22"/>
        </w:rPr>
        <w:t> </w:t>
      </w:r>
      <w:r>
        <w:rPr>
          <w:sz w:val="22"/>
        </w:rPr>
        <w:t>en</w:t>
      </w:r>
      <w:r>
        <w:rPr>
          <w:spacing w:val="-8"/>
          <w:sz w:val="22"/>
        </w:rPr>
        <w:t> </w:t>
      </w:r>
      <w:r>
        <w:rPr>
          <w:sz w:val="22"/>
        </w:rPr>
        <w:t>condiciones</w:t>
      </w:r>
      <w:r>
        <w:rPr>
          <w:spacing w:val="-5"/>
          <w:sz w:val="22"/>
        </w:rPr>
        <w:t> </w:t>
      </w:r>
      <w:r>
        <w:rPr>
          <w:sz w:val="22"/>
        </w:rPr>
        <w:t>de equidad y solidaridad frente a los demás Países Miembros, lo que implicaría una afectación a los principios de reciprocidad y solidaridad consagrados en dicho </w:t>
      </w:r>
      <w:r>
        <w:rPr>
          <w:spacing w:val="-2"/>
          <w:sz w:val="22"/>
        </w:rPr>
        <w:t>Acuerdo.</w:t>
      </w:r>
    </w:p>
    <w:p>
      <w:pPr>
        <w:pStyle w:val="BodyText"/>
        <w:spacing w:before="1"/>
      </w:pPr>
    </w:p>
    <w:p>
      <w:pPr>
        <w:pStyle w:val="ListParagraph"/>
        <w:numPr>
          <w:ilvl w:val="0"/>
          <w:numId w:val="2"/>
        </w:numPr>
        <w:tabs>
          <w:tab w:pos="1420" w:val="left" w:leader="none"/>
        </w:tabs>
        <w:spacing w:line="240" w:lineRule="auto" w:before="0" w:after="0"/>
        <w:ind w:left="1420" w:right="976" w:hanging="852"/>
        <w:jc w:val="both"/>
        <w:rPr>
          <w:sz w:val="22"/>
        </w:rPr>
      </w:pPr>
      <w:r>
        <w:rPr>
          <w:sz w:val="22"/>
        </w:rPr>
        <w:t>Por último, la República de Colombia señala que la medida aplicada incumple el artículo</w:t>
      </w:r>
      <w:r>
        <w:rPr>
          <w:spacing w:val="-10"/>
          <w:sz w:val="22"/>
        </w:rPr>
        <w:t> </w:t>
      </w:r>
      <w:r>
        <w:rPr>
          <w:sz w:val="22"/>
        </w:rPr>
        <w:t>139</w:t>
      </w:r>
      <w:r>
        <w:rPr>
          <w:spacing w:val="-10"/>
          <w:sz w:val="22"/>
        </w:rPr>
        <w:t> </w:t>
      </w:r>
      <w:r>
        <w:rPr>
          <w:sz w:val="22"/>
        </w:rPr>
        <w:t>del</w:t>
      </w:r>
      <w:r>
        <w:rPr>
          <w:spacing w:val="-11"/>
          <w:sz w:val="22"/>
        </w:rPr>
        <w:t> </w:t>
      </w:r>
      <w:r>
        <w:rPr>
          <w:sz w:val="22"/>
        </w:rPr>
        <w:t>Acuerdo</w:t>
      </w:r>
      <w:r>
        <w:rPr>
          <w:spacing w:val="-13"/>
          <w:sz w:val="22"/>
        </w:rPr>
        <w:t> </w:t>
      </w:r>
      <w:r>
        <w:rPr>
          <w:sz w:val="22"/>
        </w:rPr>
        <w:t>de</w:t>
      </w:r>
      <w:r>
        <w:rPr>
          <w:spacing w:val="-10"/>
          <w:sz w:val="22"/>
        </w:rPr>
        <w:t> </w:t>
      </w:r>
      <w:r>
        <w:rPr>
          <w:sz w:val="22"/>
        </w:rPr>
        <w:t>Cartagena,</w:t>
      </w:r>
      <w:r>
        <w:rPr>
          <w:spacing w:val="-8"/>
          <w:sz w:val="22"/>
        </w:rPr>
        <w:t> </w:t>
      </w:r>
      <w:r>
        <w:rPr>
          <w:sz w:val="22"/>
        </w:rPr>
        <w:t>sobre</w:t>
      </w:r>
      <w:r>
        <w:rPr>
          <w:spacing w:val="-10"/>
          <w:sz w:val="22"/>
        </w:rPr>
        <w:t> </w:t>
      </w:r>
      <w:r>
        <w:rPr>
          <w:sz w:val="22"/>
        </w:rPr>
        <w:t>el</w:t>
      </w:r>
      <w:r>
        <w:rPr>
          <w:spacing w:val="-11"/>
          <w:sz w:val="22"/>
        </w:rPr>
        <w:t> </w:t>
      </w:r>
      <w:r>
        <w:rPr>
          <w:sz w:val="22"/>
        </w:rPr>
        <w:t>principio</w:t>
      </w:r>
      <w:r>
        <w:rPr>
          <w:spacing w:val="-10"/>
          <w:sz w:val="22"/>
        </w:rPr>
        <w:t> </w:t>
      </w:r>
      <w:r>
        <w:rPr>
          <w:sz w:val="22"/>
        </w:rPr>
        <w:t>de</w:t>
      </w:r>
      <w:r>
        <w:rPr>
          <w:spacing w:val="-10"/>
          <w:sz w:val="22"/>
        </w:rPr>
        <w:t> </w:t>
      </w:r>
      <w:r>
        <w:rPr>
          <w:sz w:val="22"/>
        </w:rPr>
        <w:t>Nación</w:t>
      </w:r>
      <w:r>
        <w:rPr>
          <w:spacing w:val="-10"/>
          <w:sz w:val="22"/>
        </w:rPr>
        <w:t> </w:t>
      </w:r>
      <w:r>
        <w:rPr>
          <w:sz w:val="22"/>
        </w:rPr>
        <w:t>Más</w:t>
      </w:r>
      <w:r>
        <w:rPr>
          <w:spacing w:val="-12"/>
          <w:sz w:val="22"/>
        </w:rPr>
        <w:t> </w:t>
      </w:r>
      <w:r>
        <w:rPr>
          <w:sz w:val="22"/>
        </w:rPr>
        <w:t>Favorecida.</w:t>
      </w:r>
    </w:p>
    <w:p>
      <w:pPr>
        <w:pStyle w:val="ListParagraph"/>
        <w:numPr>
          <w:ilvl w:val="0"/>
          <w:numId w:val="2"/>
        </w:numPr>
        <w:tabs>
          <w:tab w:pos="1420" w:val="left" w:leader="none"/>
        </w:tabs>
        <w:spacing w:line="240" w:lineRule="auto" w:before="252" w:after="0"/>
        <w:ind w:left="1420" w:right="980" w:hanging="852"/>
        <w:jc w:val="both"/>
        <w:rPr>
          <w:sz w:val="22"/>
        </w:rPr>
      </w:pPr>
      <w:r>
        <w:rPr>
          <w:sz w:val="22"/>
        </w:rPr>
        <w:t>Adjunto</w:t>
      </w:r>
      <w:r>
        <w:rPr>
          <w:spacing w:val="-5"/>
          <w:sz w:val="22"/>
        </w:rPr>
        <w:t> </w:t>
      </w:r>
      <w:r>
        <w:rPr>
          <w:sz w:val="22"/>
        </w:rPr>
        <w:t>a</w:t>
      </w:r>
      <w:r>
        <w:rPr>
          <w:spacing w:val="-3"/>
          <w:sz w:val="22"/>
        </w:rPr>
        <w:t> </w:t>
      </w:r>
      <w:r>
        <w:rPr>
          <w:sz w:val="22"/>
        </w:rPr>
        <w:t>la</w:t>
      </w:r>
      <w:r>
        <w:rPr>
          <w:spacing w:val="-3"/>
          <w:sz w:val="22"/>
        </w:rPr>
        <w:t> </w:t>
      </w:r>
      <w:r>
        <w:rPr>
          <w:sz w:val="22"/>
        </w:rPr>
        <w:t>solicitud,</w:t>
      </w:r>
      <w:r>
        <w:rPr>
          <w:spacing w:val="-4"/>
          <w:sz w:val="22"/>
        </w:rPr>
        <w:t> </w:t>
      </w:r>
      <w:r>
        <w:rPr>
          <w:sz w:val="22"/>
        </w:rPr>
        <w:t>la</w:t>
      </w:r>
      <w:r>
        <w:rPr>
          <w:spacing w:val="-5"/>
          <w:sz w:val="22"/>
        </w:rPr>
        <w:t> </w:t>
      </w:r>
      <w:r>
        <w:rPr>
          <w:sz w:val="22"/>
        </w:rPr>
        <w:t>República</w:t>
      </w:r>
      <w:r>
        <w:rPr>
          <w:spacing w:val="-3"/>
          <w:sz w:val="22"/>
        </w:rPr>
        <w:t> </w:t>
      </w:r>
      <w:r>
        <w:rPr>
          <w:sz w:val="22"/>
        </w:rPr>
        <w:t>de</w:t>
      </w:r>
      <w:r>
        <w:rPr>
          <w:spacing w:val="-3"/>
          <w:sz w:val="22"/>
        </w:rPr>
        <w:t> </w:t>
      </w:r>
      <w:r>
        <w:rPr>
          <w:sz w:val="22"/>
        </w:rPr>
        <w:t>Colombia</w:t>
      </w:r>
      <w:r>
        <w:rPr>
          <w:spacing w:val="-3"/>
          <w:sz w:val="22"/>
        </w:rPr>
        <w:t> </w:t>
      </w:r>
      <w:r>
        <w:rPr>
          <w:sz w:val="22"/>
        </w:rPr>
        <w:t>presenta</w:t>
      </w:r>
      <w:r>
        <w:rPr>
          <w:spacing w:val="-5"/>
          <w:sz w:val="22"/>
        </w:rPr>
        <w:t> </w:t>
      </w:r>
      <w:r>
        <w:rPr>
          <w:sz w:val="22"/>
        </w:rPr>
        <w:t>los</w:t>
      </w:r>
      <w:r>
        <w:rPr>
          <w:spacing w:val="-3"/>
          <w:sz w:val="22"/>
        </w:rPr>
        <w:t> </w:t>
      </w:r>
      <w:r>
        <w:rPr>
          <w:sz w:val="22"/>
        </w:rPr>
        <w:t>siguientes</w:t>
      </w:r>
      <w:r>
        <w:rPr>
          <w:spacing w:val="-5"/>
          <w:sz w:val="22"/>
        </w:rPr>
        <w:t> </w:t>
      </w:r>
      <w:r>
        <w:rPr>
          <w:sz w:val="22"/>
        </w:rPr>
        <w:t>documentos </w:t>
      </w:r>
      <w:r>
        <w:rPr>
          <w:spacing w:val="-2"/>
          <w:sz w:val="22"/>
        </w:rPr>
        <w:t>anexos:</w:t>
      </w:r>
    </w:p>
    <w:p>
      <w:pPr>
        <w:pStyle w:val="BodyText"/>
      </w:pPr>
    </w:p>
    <w:p>
      <w:pPr>
        <w:pStyle w:val="ListParagraph"/>
        <w:numPr>
          <w:ilvl w:val="1"/>
          <w:numId w:val="2"/>
        </w:numPr>
        <w:tabs>
          <w:tab w:pos="2837" w:val="left" w:leader="none"/>
        </w:tabs>
        <w:spacing w:line="240" w:lineRule="auto" w:before="0" w:after="0"/>
        <w:ind w:left="2837" w:right="979" w:hanging="361"/>
        <w:jc w:val="both"/>
        <w:rPr>
          <w:rFonts w:ascii="Times New Roman" w:hAnsi="Times New Roman"/>
          <w:sz w:val="22"/>
        </w:rPr>
      </w:pPr>
      <w:r>
        <w:rPr>
          <w:sz w:val="22"/>
        </w:rPr>
        <w:t>Nota Verbal Nro. MREH/MREH/2025/0020/N. del 24 de diciembre de </w:t>
      </w:r>
      <w:r>
        <w:rPr>
          <w:spacing w:val="-2"/>
          <w:sz w:val="22"/>
        </w:rPr>
        <w:t>2025.</w:t>
      </w:r>
    </w:p>
    <w:p>
      <w:pPr>
        <w:pStyle w:val="ListParagraph"/>
        <w:numPr>
          <w:ilvl w:val="1"/>
          <w:numId w:val="2"/>
        </w:numPr>
        <w:tabs>
          <w:tab w:pos="2837" w:val="left" w:leader="none"/>
        </w:tabs>
        <w:spacing w:line="240" w:lineRule="auto" w:before="252" w:after="0"/>
        <w:ind w:left="2837" w:right="979" w:hanging="361"/>
        <w:jc w:val="both"/>
        <w:rPr>
          <w:rFonts w:ascii="Times New Roman" w:hAnsi="Times New Roman"/>
          <w:sz w:val="22"/>
        </w:rPr>
      </w:pPr>
      <w:r>
        <w:rPr>
          <w:sz w:val="22"/>
        </w:rPr>
        <w:t>Nota Verbal número MREMH-SSRV-2026-0001 N del 1º de enero de </w:t>
      </w:r>
      <w:r>
        <w:rPr>
          <w:spacing w:val="-4"/>
          <w:sz w:val="22"/>
        </w:rPr>
        <w:t>2026</w:t>
      </w:r>
    </w:p>
    <w:p>
      <w:pPr>
        <w:pStyle w:val="BodyText"/>
      </w:pPr>
    </w:p>
    <w:p>
      <w:pPr>
        <w:pStyle w:val="ListParagraph"/>
        <w:numPr>
          <w:ilvl w:val="1"/>
          <w:numId w:val="2"/>
        </w:numPr>
        <w:tabs>
          <w:tab w:pos="2837" w:val="left" w:leader="none"/>
        </w:tabs>
        <w:spacing w:line="240" w:lineRule="auto" w:before="1" w:after="0"/>
        <w:ind w:left="2837" w:right="979" w:hanging="361"/>
        <w:jc w:val="both"/>
        <w:rPr>
          <w:rFonts w:ascii="Times New Roman" w:hAnsi="Times New Roman"/>
          <w:sz w:val="22"/>
        </w:rPr>
      </w:pPr>
      <w:r>
        <w:rPr>
          <w:sz w:val="22"/>
        </w:rPr>
        <w:t>Nomenclatura</w:t>
      </w:r>
      <w:r>
        <w:rPr>
          <w:spacing w:val="-8"/>
          <w:sz w:val="22"/>
        </w:rPr>
        <w:t> </w:t>
      </w:r>
      <w:r>
        <w:rPr>
          <w:sz w:val="22"/>
        </w:rPr>
        <w:t>común</w:t>
      </w:r>
      <w:r>
        <w:rPr>
          <w:spacing w:val="-6"/>
          <w:sz w:val="22"/>
        </w:rPr>
        <w:t> </w:t>
      </w:r>
      <w:r>
        <w:rPr>
          <w:sz w:val="22"/>
        </w:rPr>
        <w:t>de</w:t>
      </w:r>
      <w:r>
        <w:rPr>
          <w:spacing w:val="-11"/>
          <w:sz w:val="22"/>
        </w:rPr>
        <w:t> </w:t>
      </w:r>
      <w:r>
        <w:rPr>
          <w:sz w:val="22"/>
        </w:rPr>
        <w:t>designación</w:t>
      </w:r>
      <w:r>
        <w:rPr>
          <w:spacing w:val="-6"/>
          <w:sz w:val="22"/>
        </w:rPr>
        <w:t> </w:t>
      </w:r>
      <w:r>
        <w:rPr>
          <w:sz w:val="22"/>
        </w:rPr>
        <w:t>y</w:t>
      </w:r>
      <w:r>
        <w:rPr>
          <w:spacing w:val="-6"/>
          <w:sz w:val="22"/>
        </w:rPr>
        <w:t> </w:t>
      </w:r>
      <w:r>
        <w:rPr>
          <w:sz w:val="22"/>
        </w:rPr>
        <w:t>codificación</w:t>
      </w:r>
      <w:r>
        <w:rPr>
          <w:spacing w:val="-6"/>
          <w:sz w:val="22"/>
        </w:rPr>
        <w:t> </w:t>
      </w:r>
      <w:r>
        <w:rPr>
          <w:sz w:val="22"/>
        </w:rPr>
        <w:t>de</w:t>
      </w:r>
      <w:r>
        <w:rPr>
          <w:spacing w:val="-9"/>
          <w:sz w:val="22"/>
        </w:rPr>
        <w:t> </w:t>
      </w:r>
      <w:r>
        <w:rPr>
          <w:sz w:val="22"/>
        </w:rPr>
        <w:t>mercancías</w:t>
      </w:r>
      <w:r>
        <w:rPr>
          <w:spacing w:val="-8"/>
          <w:sz w:val="22"/>
        </w:rPr>
        <w:t> </w:t>
      </w:r>
      <w:r>
        <w:rPr>
          <w:sz w:val="22"/>
        </w:rPr>
        <w:t>de los Países Miembros de la Comunidad Andina denominada “NANDINA” (Decisión 885)</w:t>
      </w:r>
    </w:p>
    <w:p>
      <w:pPr>
        <w:pStyle w:val="BodyText"/>
        <w:spacing w:before="38"/>
      </w:pPr>
    </w:p>
    <w:p>
      <w:pPr>
        <w:pStyle w:val="Heading5"/>
        <w:numPr>
          <w:ilvl w:val="0"/>
          <w:numId w:val="1"/>
        </w:numPr>
        <w:tabs>
          <w:tab w:pos="1137" w:val="left" w:leader="none"/>
        </w:tabs>
        <w:spacing w:line="240" w:lineRule="auto" w:before="0" w:after="0"/>
        <w:ind w:left="1137" w:right="0" w:hanging="358"/>
        <w:jc w:val="left"/>
      </w:pPr>
      <w:r>
        <w:rPr/>
        <w:t>RESPUESTA</w:t>
      </w:r>
      <w:r>
        <w:rPr>
          <w:spacing w:val="-4"/>
        </w:rPr>
        <w:t> </w:t>
      </w:r>
      <w:r>
        <w:rPr/>
        <w:t>DE</w:t>
      </w:r>
      <w:r>
        <w:rPr>
          <w:spacing w:val="-5"/>
        </w:rPr>
        <w:t> </w:t>
      </w:r>
      <w:r>
        <w:rPr/>
        <w:t>LA</w:t>
      </w:r>
      <w:r>
        <w:rPr>
          <w:spacing w:val="-7"/>
        </w:rPr>
        <w:t> </w:t>
      </w:r>
      <w:r>
        <w:rPr/>
        <w:t>REPÚBLICA</w:t>
      </w:r>
      <w:r>
        <w:rPr>
          <w:spacing w:val="-3"/>
        </w:rPr>
        <w:t> </w:t>
      </w:r>
      <w:r>
        <w:rPr/>
        <w:t>DEL</w:t>
      </w:r>
      <w:r>
        <w:rPr>
          <w:spacing w:val="-5"/>
        </w:rPr>
        <w:t> </w:t>
      </w:r>
      <w:r>
        <w:rPr>
          <w:spacing w:val="-2"/>
        </w:rPr>
        <w:t>ECUADOR</w:t>
      </w:r>
    </w:p>
    <w:p>
      <w:pPr>
        <w:pStyle w:val="BodyText"/>
        <w:rPr>
          <w:rFonts w:ascii="Arial"/>
          <w:b/>
        </w:rPr>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La</w:t>
      </w:r>
      <w:r>
        <w:rPr>
          <w:spacing w:val="-1"/>
          <w:sz w:val="22"/>
        </w:rPr>
        <w:t> </w:t>
      </w:r>
      <w:r>
        <w:rPr>
          <w:sz w:val="22"/>
        </w:rPr>
        <w:t>República</w:t>
      </w:r>
      <w:r>
        <w:rPr>
          <w:spacing w:val="-1"/>
          <w:sz w:val="22"/>
        </w:rPr>
        <w:t> </w:t>
      </w:r>
      <w:r>
        <w:rPr>
          <w:sz w:val="22"/>
        </w:rPr>
        <w:t>del</w:t>
      </w:r>
      <w:r>
        <w:rPr>
          <w:spacing w:val="-1"/>
          <w:sz w:val="22"/>
        </w:rPr>
        <w:t> </w:t>
      </w:r>
      <w:r>
        <w:rPr>
          <w:sz w:val="22"/>
        </w:rPr>
        <w:t>Ecuador,</w:t>
      </w:r>
      <w:r>
        <w:rPr>
          <w:spacing w:val="-1"/>
          <w:sz w:val="22"/>
        </w:rPr>
        <w:t> </w:t>
      </w:r>
      <w:r>
        <w:rPr>
          <w:sz w:val="22"/>
        </w:rPr>
        <w:t>mediante</w:t>
      </w:r>
      <w:r>
        <w:rPr>
          <w:spacing w:val="-1"/>
          <w:sz w:val="22"/>
        </w:rPr>
        <w:t> </w:t>
      </w:r>
      <w:r>
        <w:rPr>
          <w:sz w:val="22"/>
        </w:rPr>
        <w:t>Oficio</w:t>
      </w:r>
      <w:r>
        <w:rPr>
          <w:spacing w:val="-1"/>
          <w:sz w:val="22"/>
        </w:rPr>
        <w:t> </w:t>
      </w:r>
      <w:r>
        <w:rPr>
          <w:sz w:val="22"/>
        </w:rPr>
        <w:t>Nro.</w:t>
      </w:r>
      <w:r>
        <w:rPr>
          <w:spacing w:val="-1"/>
          <w:sz w:val="22"/>
        </w:rPr>
        <w:t> </w:t>
      </w:r>
      <w:r>
        <w:rPr>
          <w:sz w:val="22"/>
        </w:rPr>
        <w:t>MPCEI-VCE-2026-0040-O,</w:t>
      </w:r>
      <w:r>
        <w:rPr>
          <w:spacing w:val="-1"/>
          <w:sz w:val="22"/>
        </w:rPr>
        <w:t> </w:t>
      </w:r>
      <w:r>
        <w:rPr>
          <w:sz w:val="22"/>
        </w:rPr>
        <w:t>recibido en</w:t>
      </w:r>
      <w:r>
        <w:rPr>
          <w:spacing w:val="-12"/>
          <w:sz w:val="22"/>
        </w:rPr>
        <w:t> </w:t>
      </w:r>
      <w:r>
        <w:rPr>
          <w:sz w:val="22"/>
        </w:rPr>
        <w:t>la</w:t>
      </w:r>
      <w:r>
        <w:rPr>
          <w:spacing w:val="-11"/>
          <w:sz w:val="22"/>
        </w:rPr>
        <w:t> </w:t>
      </w:r>
      <w:r>
        <w:rPr>
          <w:sz w:val="22"/>
        </w:rPr>
        <w:t>SGCAN</w:t>
      </w:r>
      <w:r>
        <w:rPr>
          <w:spacing w:val="-12"/>
          <w:sz w:val="22"/>
        </w:rPr>
        <w:t> </w:t>
      </w:r>
      <w:r>
        <w:rPr>
          <w:sz w:val="22"/>
        </w:rPr>
        <w:t>el</w:t>
      </w:r>
      <w:r>
        <w:rPr>
          <w:spacing w:val="-12"/>
          <w:sz w:val="22"/>
        </w:rPr>
        <w:t> </w:t>
      </w:r>
      <w:r>
        <w:rPr>
          <w:sz w:val="22"/>
        </w:rPr>
        <w:t>31</w:t>
      </w:r>
      <w:r>
        <w:rPr>
          <w:spacing w:val="-12"/>
          <w:sz w:val="22"/>
        </w:rPr>
        <w:t> </w:t>
      </w:r>
      <w:r>
        <w:rPr>
          <w:sz w:val="22"/>
        </w:rPr>
        <w:t>de</w:t>
      </w:r>
      <w:r>
        <w:rPr>
          <w:spacing w:val="-14"/>
          <w:sz w:val="22"/>
        </w:rPr>
        <w:t> </w:t>
      </w:r>
      <w:r>
        <w:rPr>
          <w:sz w:val="22"/>
        </w:rPr>
        <w:t>marzo</w:t>
      </w:r>
      <w:r>
        <w:rPr>
          <w:spacing w:val="-11"/>
          <w:sz w:val="22"/>
        </w:rPr>
        <w:t> </w:t>
      </w:r>
      <w:r>
        <w:rPr>
          <w:sz w:val="22"/>
        </w:rPr>
        <w:t>del</w:t>
      </w:r>
      <w:r>
        <w:rPr>
          <w:spacing w:val="-12"/>
          <w:sz w:val="22"/>
        </w:rPr>
        <w:t> </w:t>
      </w:r>
      <w:r>
        <w:rPr>
          <w:sz w:val="22"/>
        </w:rPr>
        <w:t>2026,</w:t>
      </w:r>
      <w:r>
        <w:rPr>
          <w:spacing w:val="-8"/>
          <w:sz w:val="22"/>
        </w:rPr>
        <w:t> </w:t>
      </w:r>
      <w:r>
        <w:rPr>
          <w:sz w:val="22"/>
        </w:rPr>
        <w:t>remitió</w:t>
      </w:r>
      <w:r>
        <w:rPr>
          <w:spacing w:val="-11"/>
          <w:sz w:val="22"/>
        </w:rPr>
        <w:t> </w:t>
      </w:r>
      <w:r>
        <w:rPr>
          <w:sz w:val="22"/>
        </w:rPr>
        <w:t>su</w:t>
      </w:r>
      <w:r>
        <w:rPr>
          <w:spacing w:val="-15"/>
          <w:sz w:val="22"/>
        </w:rPr>
        <w:t> </w:t>
      </w:r>
      <w:r>
        <w:rPr>
          <w:sz w:val="22"/>
        </w:rPr>
        <w:t>respuesta</w:t>
      </w:r>
      <w:hyperlink w:history="true" w:anchor="_bookmark8">
        <w:r>
          <w:rPr>
            <w:sz w:val="22"/>
            <w:vertAlign w:val="superscript"/>
          </w:rPr>
          <w:t>9</w:t>
        </w:r>
      </w:hyperlink>
      <w:r>
        <w:rPr>
          <w:spacing w:val="-11"/>
          <w:sz w:val="22"/>
          <w:vertAlign w:val="baseline"/>
        </w:rPr>
        <w:t> </w:t>
      </w:r>
      <w:r>
        <w:rPr>
          <w:sz w:val="22"/>
          <w:vertAlign w:val="baseline"/>
        </w:rPr>
        <w:t>a</w:t>
      </w:r>
      <w:r>
        <w:rPr>
          <w:spacing w:val="-11"/>
          <w:sz w:val="22"/>
          <w:vertAlign w:val="baseline"/>
        </w:rPr>
        <w:t> </w:t>
      </w:r>
      <w:r>
        <w:rPr>
          <w:sz w:val="22"/>
          <w:vertAlign w:val="baseline"/>
        </w:rPr>
        <w:t>la</w:t>
      </w:r>
      <w:r>
        <w:rPr>
          <w:spacing w:val="-11"/>
          <w:sz w:val="22"/>
          <w:vertAlign w:val="baseline"/>
        </w:rPr>
        <w:t> </w:t>
      </w:r>
      <w:r>
        <w:rPr>
          <w:sz w:val="22"/>
          <w:vertAlign w:val="baseline"/>
        </w:rPr>
        <w:t>solicitud</w:t>
      </w:r>
      <w:r>
        <w:rPr>
          <w:spacing w:val="-12"/>
          <w:sz w:val="22"/>
          <w:vertAlign w:val="baseline"/>
        </w:rPr>
        <w:t> </w:t>
      </w:r>
      <w:r>
        <w:rPr>
          <w:sz w:val="22"/>
          <w:vertAlign w:val="baseline"/>
        </w:rPr>
        <w:t>presentada por la República de Colombia.</w:t>
      </w:r>
    </w:p>
    <w:p>
      <w:pPr>
        <w:pStyle w:val="ListParagraph"/>
        <w:numPr>
          <w:ilvl w:val="0"/>
          <w:numId w:val="2"/>
        </w:numPr>
        <w:tabs>
          <w:tab w:pos="1420" w:val="left" w:leader="none"/>
        </w:tabs>
        <w:spacing w:line="240" w:lineRule="auto" w:before="252" w:after="0"/>
        <w:ind w:left="1420" w:right="0" w:hanging="852"/>
        <w:jc w:val="left"/>
        <w:rPr>
          <w:sz w:val="22"/>
        </w:rPr>
      </w:pPr>
      <w:r>
        <w:rPr>
          <w:sz w:val="22"/>
        </w:rPr>
        <w:t>La</w:t>
      </w:r>
      <w:r>
        <w:rPr>
          <w:spacing w:val="-7"/>
          <w:sz w:val="22"/>
        </w:rPr>
        <w:t> </w:t>
      </w:r>
      <w:r>
        <w:rPr>
          <w:sz w:val="22"/>
        </w:rPr>
        <w:t>respuesta</w:t>
      </w:r>
      <w:r>
        <w:rPr>
          <w:spacing w:val="-6"/>
          <w:sz w:val="22"/>
        </w:rPr>
        <w:t> </w:t>
      </w:r>
      <w:r>
        <w:rPr>
          <w:sz w:val="22"/>
        </w:rPr>
        <w:t>presentada</w:t>
      </w:r>
      <w:r>
        <w:rPr>
          <w:spacing w:val="-7"/>
          <w:sz w:val="22"/>
        </w:rPr>
        <w:t> </w:t>
      </w:r>
      <w:r>
        <w:rPr>
          <w:sz w:val="22"/>
        </w:rPr>
        <w:t>por</w:t>
      </w:r>
      <w:r>
        <w:rPr>
          <w:spacing w:val="-5"/>
          <w:sz w:val="22"/>
        </w:rPr>
        <w:t> </w:t>
      </w:r>
      <w:r>
        <w:rPr>
          <w:sz w:val="22"/>
        </w:rPr>
        <w:t>la</w:t>
      </w:r>
      <w:r>
        <w:rPr>
          <w:spacing w:val="-5"/>
          <w:sz w:val="22"/>
        </w:rPr>
        <w:t> </w:t>
      </w:r>
      <w:r>
        <w:rPr>
          <w:sz w:val="22"/>
        </w:rPr>
        <w:t>República</w:t>
      </w:r>
      <w:r>
        <w:rPr>
          <w:spacing w:val="-4"/>
          <w:sz w:val="22"/>
        </w:rPr>
        <w:t> </w:t>
      </w:r>
      <w:r>
        <w:rPr>
          <w:sz w:val="22"/>
        </w:rPr>
        <w:t>del</w:t>
      </w:r>
      <w:r>
        <w:rPr>
          <w:spacing w:val="-4"/>
          <w:sz w:val="22"/>
        </w:rPr>
        <w:t> </w:t>
      </w:r>
      <w:r>
        <w:rPr>
          <w:sz w:val="22"/>
        </w:rPr>
        <w:t>Ecuador</w:t>
      </w:r>
      <w:r>
        <w:rPr>
          <w:spacing w:val="-4"/>
          <w:sz w:val="22"/>
        </w:rPr>
        <w:t> </w:t>
      </w:r>
      <w:r>
        <w:rPr>
          <w:sz w:val="22"/>
        </w:rPr>
        <w:t>se</w:t>
      </w:r>
      <w:r>
        <w:rPr>
          <w:spacing w:val="-6"/>
          <w:sz w:val="22"/>
        </w:rPr>
        <w:t> </w:t>
      </w:r>
      <w:r>
        <w:rPr>
          <w:sz w:val="22"/>
        </w:rPr>
        <w:t>resume</w:t>
      </w:r>
      <w:r>
        <w:rPr>
          <w:spacing w:val="-7"/>
          <w:sz w:val="22"/>
        </w:rPr>
        <w:t> </w:t>
      </w:r>
      <w:r>
        <w:rPr>
          <w:sz w:val="22"/>
        </w:rPr>
        <w:t>en</w:t>
      </w:r>
      <w:r>
        <w:rPr>
          <w:spacing w:val="-4"/>
          <w:sz w:val="22"/>
        </w:rPr>
        <w:t> </w:t>
      </w:r>
      <w:r>
        <w:rPr>
          <w:sz w:val="22"/>
        </w:rPr>
        <w:t>lo</w:t>
      </w:r>
      <w:r>
        <w:rPr>
          <w:spacing w:val="-6"/>
          <w:sz w:val="22"/>
        </w:rPr>
        <w:t> </w:t>
      </w:r>
      <w:r>
        <w:rPr>
          <w:spacing w:val="-2"/>
          <w:sz w:val="22"/>
        </w:rPr>
        <w:t>siguiente:</w:t>
      </w:r>
    </w:p>
    <w:p>
      <w:pPr>
        <w:pStyle w:val="BodyText"/>
        <w:spacing w:before="1"/>
      </w:pPr>
    </w:p>
    <w:p>
      <w:pPr>
        <w:pStyle w:val="ListParagraph"/>
        <w:numPr>
          <w:ilvl w:val="0"/>
          <w:numId w:val="2"/>
        </w:numPr>
        <w:tabs>
          <w:tab w:pos="1420" w:val="left" w:leader="none"/>
        </w:tabs>
        <w:spacing w:line="240" w:lineRule="auto" w:before="0" w:after="0"/>
        <w:ind w:left="1420" w:right="978" w:hanging="852"/>
        <w:jc w:val="both"/>
        <w:rPr>
          <w:sz w:val="22"/>
        </w:rPr>
      </w:pPr>
      <w:r>
        <w:rPr>
          <w:sz w:val="22"/>
        </w:rPr>
        <w:t>La</w:t>
      </w:r>
      <w:r>
        <w:rPr>
          <w:spacing w:val="-1"/>
          <w:sz w:val="22"/>
        </w:rPr>
        <w:t> </w:t>
      </w:r>
      <w:r>
        <w:rPr>
          <w:sz w:val="22"/>
        </w:rPr>
        <w:t>medida</w:t>
      </w:r>
      <w:r>
        <w:rPr>
          <w:spacing w:val="-1"/>
          <w:sz w:val="22"/>
        </w:rPr>
        <w:t> </w:t>
      </w:r>
      <w:r>
        <w:rPr>
          <w:sz w:val="22"/>
        </w:rPr>
        <w:t>adoptada no</w:t>
      </w:r>
      <w:r>
        <w:rPr>
          <w:spacing w:val="-5"/>
          <w:sz w:val="22"/>
        </w:rPr>
        <w:t> </w:t>
      </w:r>
      <w:r>
        <w:rPr>
          <w:sz w:val="22"/>
        </w:rPr>
        <w:t>constituye</w:t>
      </w:r>
      <w:r>
        <w:rPr>
          <w:spacing w:val="-3"/>
          <w:sz w:val="22"/>
        </w:rPr>
        <w:t> </w:t>
      </w:r>
      <w:r>
        <w:rPr>
          <w:sz w:val="22"/>
        </w:rPr>
        <w:t>una</w:t>
      </w:r>
      <w:r>
        <w:rPr>
          <w:spacing w:val="-3"/>
          <w:sz w:val="22"/>
        </w:rPr>
        <w:t> </w:t>
      </w:r>
      <w:r>
        <w:rPr>
          <w:sz w:val="22"/>
        </w:rPr>
        <w:t>restricción</w:t>
      </w:r>
      <w:r>
        <w:rPr>
          <w:spacing w:val="-1"/>
          <w:sz w:val="22"/>
        </w:rPr>
        <w:t> </w:t>
      </w:r>
      <w:r>
        <w:rPr>
          <w:sz w:val="22"/>
        </w:rPr>
        <w:t>al</w:t>
      </w:r>
      <w:r>
        <w:rPr>
          <w:spacing w:val="-2"/>
          <w:sz w:val="22"/>
        </w:rPr>
        <w:t> </w:t>
      </w:r>
      <w:r>
        <w:rPr>
          <w:sz w:val="22"/>
        </w:rPr>
        <w:t>comercio intracomunitario, sino una</w:t>
      </w:r>
      <w:r>
        <w:rPr>
          <w:spacing w:val="-3"/>
          <w:sz w:val="22"/>
        </w:rPr>
        <w:t> </w:t>
      </w:r>
      <w:r>
        <w:rPr>
          <w:sz w:val="22"/>
        </w:rPr>
        <w:t>canalización</w:t>
      </w:r>
      <w:r>
        <w:rPr>
          <w:spacing w:val="-3"/>
          <w:sz w:val="22"/>
        </w:rPr>
        <w:t> </w:t>
      </w:r>
      <w:r>
        <w:rPr>
          <w:sz w:val="22"/>
        </w:rPr>
        <w:t>operativa</w:t>
      </w:r>
      <w:r>
        <w:rPr>
          <w:spacing w:val="-3"/>
          <w:sz w:val="22"/>
        </w:rPr>
        <w:t> </w:t>
      </w:r>
      <w:r>
        <w:rPr>
          <w:sz w:val="22"/>
        </w:rPr>
        <w:t>del</w:t>
      </w:r>
      <w:r>
        <w:rPr>
          <w:spacing w:val="-3"/>
          <w:sz w:val="22"/>
        </w:rPr>
        <w:t> </w:t>
      </w:r>
      <w:r>
        <w:rPr>
          <w:sz w:val="22"/>
        </w:rPr>
        <w:t>ingreso</w:t>
      </w:r>
      <w:r>
        <w:rPr>
          <w:spacing w:val="-3"/>
          <w:sz w:val="22"/>
        </w:rPr>
        <w:t> </w:t>
      </w:r>
      <w:r>
        <w:rPr>
          <w:sz w:val="22"/>
        </w:rPr>
        <w:t>de</w:t>
      </w:r>
      <w:r>
        <w:rPr>
          <w:spacing w:val="-4"/>
          <w:sz w:val="22"/>
        </w:rPr>
        <w:t> </w:t>
      </w:r>
      <w:r>
        <w:rPr>
          <w:sz w:val="22"/>
        </w:rPr>
        <w:t>mercancías</w:t>
      </w:r>
      <w:r>
        <w:rPr>
          <w:spacing w:val="-2"/>
          <w:sz w:val="22"/>
        </w:rPr>
        <w:t> </w:t>
      </w:r>
      <w:r>
        <w:rPr>
          <w:sz w:val="22"/>
        </w:rPr>
        <w:t>a</w:t>
      </w:r>
      <w:r>
        <w:rPr>
          <w:spacing w:val="-4"/>
          <w:sz w:val="22"/>
        </w:rPr>
        <w:t> </w:t>
      </w:r>
      <w:r>
        <w:rPr>
          <w:sz w:val="22"/>
        </w:rPr>
        <w:t>través</w:t>
      </w:r>
      <w:r>
        <w:rPr>
          <w:spacing w:val="-4"/>
          <w:sz w:val="22"/>
        </w:rPr>
        <w:t> </w:t>
      </w:r>
      <w:r>
        <w:rPr>
          <w:sz w:val="22"/>
        </w:rPr>
        <w:t>de</w:t>
      </w:r>
      <w:r>
        <w:rPr>
          <w:spacing w:val="-3"/>
          <w:sz w:val="22"/>
        </w:rPr>
        <w:t> </w:t>
      </w:r>
      <w:r>
        <w:rPr>
          <w:sz w:val="22"/>
        </w:rPr>
        <w:t>un</w:t>
      </w:r>
      <w:r>
        <w:rPr>
          <w:spacing w:val="-4"/>
          <w:sz w:val="22"/>
        </w:rPr>
        <w:t> </w:t>
      </w:r>
      <w:r>
        <w:rPr>
          <w:sz w:val="22"/>
        </w:rPr>
        <w:t>paso</w:t>
      </w:r>
      <w:r>
        <w:rPr>
          <w:spacing w:val="-3"/>
          <w:sz w:val="22"/>
        </w:rPr>
        <w:t> </w:t>
      </w:r>
      <w:r>
        <w:rPr>
          <w:sz w:val="22"/>
        </w:rPr>
        <w:t>fronterizo habilitado (Rumichaca), manteniéndose abierto el comercio con la República de </w:t>
      </w:r>
      <w:r>
        <w:rPr>
          <w:spacing w:val="-2"/>
          <w:sz w:val="22"/>
        </w:rPr>
        <w:t>Colombia:</w:t>
      </w:r>
    </w:p>
    <w:p>
      <w:pPr>
        <w:spacing w:before="253"/>
        <w:ind w:left="2128" w:right="978" w:firstLine="0"/>
        <w:jc w:val="both"/>
        <w:rPr>
          <w:rFonts w:ascii="Arial" w:hAnsi="Arial"/>
          <w:i/>
          <w:sz w:val="22"/>
        </w:rPr>
      </w:pPr>
      <w:r>
        <w:rPr>
          <w:rFonts w:ascii="Arial" w:hAnsi="Arial"/>
          <w:i/>
          <w:sz w:val="22"/>
        </w:rPr>
        <w:t>(…)</w:t>
      </w:r>
      <w:r>
        <w:rPr>
          <w:rFonts w:ascii="Arial" w:hAnsi="Arial"/>
          <w:i/>
          <w:spacing w:val="-5"/>
          <w:sz w:val="22"/>
        </w:rPr>
        <w:t> </w:t>
      </w:r>
      <w:r>
        <w:rPr>
          <w:rFonts w:ascii="Arial" w:hAnsi="Arial"/>
          <w:i/>
          <w:sz w:val="22"/>
        </w:rPr>
        <w:t>Lo</w:t>
      </w:r>
      <w:r>
        <w:rPr>
          <w:rFonts w:ascii="Arial" w:hAnsi="Arial"/>
          <w:i/>
          <w:spacing w:val="-5"/>
          <w:sz w:val="22"/>
        </w:rPr>
        <w:t> </w:t>
      </w:r>
      <w:r>
        <w:rPr>
          <w:rFonts w:ascii="Arial" w:hAnsi="Arial"/>
          <w:i/>
          <w:sz w:val="22"/>
        </w:rPr>
        <w:t>que</w:t>
      </w:r>
      <w:r>
        <w:rPr>
          <w:rFonts w:ascii="Arial" w:hAnsi="Arial"/>
          <w:i/>
          <w:spacing w:val="-5"/>
          <w:sz w:val="22"/>
        </w:rPr>
        <w:t> </w:t>
      </w:r>
      <w:r>
        <w:rPr>
          <w:rFonts w:ascii="Arial" w:hAnsi="Arial"/>
          <w:i/>
          <w:sz w:val="22"/>
        </w:rPr>
        <w:t>Ecuador</w:t>
      </w:r>
      <w:r>
        <w:rPr>
          <w:rFonts w:ascii="Arial" w:hAnsi="Arial"/>
          <w:i/>
          <w:spacing w:val="-4"/>
          <w:sz w:val="22"/>
        </w:rPr>
        <w:t> </w:t>
      </w:r>
      <w:r>
        <w:rPr>
          <w:rFonts w:ascii="Arial" w:hAnsi="Arial"/>
          <w:i/>
          <w:sz w:val="22"/>
        </w:rPr>
        <w:t>realizó</w:t>
      </w:r>
      <w:r>
        <w:rPr>
          <w:rFonts w:ascii="Arial" w:hAnsi="Arial"/>
          <w:i/>
          <w:spacing w:val="-5"/>
          <w:sz w:val="22"/>
        </w:rPr>
        <w:t> </w:t>
      </w:r>
      <w:r>
        <w:rPr>
          <w:rFonts w:ascii="Arial" w:hAnsi="Arial"/>
          <w:i/>
          <w:sz w:val="22"/>
        </w:rPr>
        <w:t>no</w:t>
      </w:r>
      <w:r>
        <w:rPr>
          <w:rFonts w:ascii="Arial" w:hAnsi="Arial"/>
          <w:i/>
          <w:spacing w:val="-5"/>
          <w:sz w:val="22"/>
        </w:rPr>
        <w:t> </w:t>
      </w:r>
      <w:r>
        <w:rPr>
          <w:rFonts w:ascii="Arial" w:hAnsi="Arial"/>
          <w:i/>
          <w:sz w:val="22"/>
        </w:rPr>
        <w:t>fue</w:t>
      </w:r>
      <w:r>
        <w:rPr>
          <w:rFonts w:ascii="Arial" w:hAnsi="Arial"/>
          <w:i/>
          <w:spacing w:val="-8"/>
          <w:sz w:val="22"/>
        </w:rPr>
        <w:t> </w:t>
      </w:r>
      <w:r>
        <w:rPr>
          <w:rFonts w:ascii="Arial" w:hAnsi="Arial"/>
          <w:i/>
          <w:sz w:val="22"/>
        </w:rPr>
        <w:t>prohibir</w:t>
      </w:r>
      <w:r>
        <w:rPr>
          <w:rFonts w:ascii="Arial" w:hAnsi="Arial"/>
          <w:i/>
          <w:spacing w:val="-4"/>
          <w:sz w:val="22"/>
        </w:rPr>
        <w:t> </w:t>
      </w:r>
      <w:r>
        <w:rPr>
          <w:rFonts w:ascii="Arial" w:hAnsi="Arial"/>
          <w:i/>
          <w:sz w:val="22"/>
        </w:rPr>
        <w:t>el</w:t>
      </w:r>
      <w:r>
        <w:rPr>
          <w:rFonts w:ascii="Arial" w:hAnsi="Arial"/>
          <w:i/>
          <w:spacing w:val="-6"/>
          <w:sz w:val="22"/>
        </w:rPr>
        <w:t> </w:t>
      </w:r>
      <w:r>
        <w:rPr>
          <w:rFonts w:ascii="Arial" w:hAnsi="Arial"/>
          <w:i/>
          <w:sz w:val="22"/>
        </w:rPr>
        <w:t>comercio</w:t>
      </w:r>
      <w:r>
        <w:rPr>
          <w:rFonts w:ascii="Arial" w:hAnsi="Arial"/>
          <w:i/>
          <w:spacing w:val="-5"/>
          <w:sz w:val="22"/>
        </w:rPr>
        <w:t> </w:t>
      </w:r>
      <w:r>
        <w:rPr>
          <w:rFonts w:ascii="Arial" w:hAnsi="Arial"/>
          <w:i/>
          <w:sz w:val="22"/>
        </w:rPr>
        <w:t>andino</w:t>
      </w:r>
      <w:r>
        <w:rPr>
          <w:rFonts w:ascii="Arial" w:hAnsi="Arial"/>
          <w:i/>
          <w:spacing w:val="-5"/>
          <w:sz w:val="22"/>
        </w:rPr>
        <w:t> </w:t>
      </w:r>
      <w:r>
        <w:rPr>
          <w:rFonts w:ascii="Arial" w:hAnsi="Arial"/>
          <w:i/>
          <w:sz w:val="22"/>
        </w:rPr>
        <w:t>con</w:t>
      </w:r>
      <w:r>
        <w:rPr>
          <w:rFonts w:ascii="Arial" w:hAnsi="Arial"/>
          <w:i/>
          <w:spacing w:val="-5"/>
          <w:sz w:val="22"/>
        </w:rPr>
        <w:t> </w:t>
      </w:r>
      <w:r>
        <w:rPr>
          <w:rFonts w:ascii="Arial" w:hAnsi="Arial"/>
          <w:i/>
          <w:sz w:val="22"/>
        </w:rPr>
        <w:t>Colombia, ni suspender la importación de mercancías colombianas, ni imponer una cuota o contingente; lo que hizo fue canalizar el ingreso formal por un paso internacional habilitado —Rumichaca— manteniendo así operativa la circulación comercial por el corredor institucionalmente controlado.</w:t>
      </w:r>
      <w:hyperlink w:history="true" w:anchor="_bookmark9">
        <w:r>
          <w:rPr>
            <w:rFonts w:ascii="Arial" w:hAnsi="Arial"/>
            <w:i/>
            <w:sz w:val="22"/>
            <w:vertAlign w:val="superscript"/>
          </w:rPr>
          <w:t>10</w:t>
        </w:r>
      </w:hyperlink>
    </w:p>
    <w:p>
      <w:pPr>
        <w:pStyle w:val="BodyText"/>
        <w:spacing w:before="175"/>
        <w:rPr>
          <w:rFonts w:ascii="Arial"/>
          <w:i/>
          <w:sz w:val="20"/>
        </w:rPr>
      </w:pPr>
      <w:r>
        <w:rPr>
          <w:rFonts w:ascii="Arial"/>
          <w:i/>
          <w:sz w:val="20"/>
        </w:rPr>
        <mc:AlternateContent>
          <mc:Choice Requires="wps">
            <w:drawing>
              <wp:anchor distT="0" distB="0" distL="0" distR="0" allowOverlap="1" layoutInCell="1" locked="0" behindDoc="1" simplePos="0" relativeHeight="487592960">
                <wp:simplePos x="0" y="0"/>
                <wp:positionH relativeFrom="page">
                  <wp:posOffset>990904</wp:posOffset>
                </wp:positionH>
                <wp:positionV relativeFrom="paragraph">
                  <wp:posOffset>272942</wp:posOffset>
                </wp:positionV>
                <wp:extent cx="1829435" cy="7620"/>
                <wp:effectExtent l="0" t="0" r="0" b="0"/>
                <wp:wrapTopAndBottom/>
                <wp:docPr id="36" name="Graphic 36"/>
                <wp:cNvGraphicFramePr>
                  <a:graphicFrameLocks/>
                </wp:cNvGraphicFramePr>
                <a:graphic>
                  <a:graphicData uri="http://schemas.microsoft.com/office/word/2010/wordprocessingShape">
                    <wps:wsp>
                      <wps:cNvPr id="36" name="Graphic 36"/>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1.491564pt;width:144.020pt;height:.599980pt;mso-position-horizontal-relative:page;mso-position-vertical-relative:paragraph;z-index:-15723520;mso-wrap-distance-left:0;mso-wrap-distance-right:0" id="docshape24" filled="true" fillcolor="#000000" stroked="false">
                <v:fill type="solid"/>
                <w10:wrap type="topAndBottom"/>
              </v:rect>
            </w:pict>
          </mc:Fallback>
        </mc:AlternateContent>
      </w:r>
    </w:p>
    <w:p>
      <w:pPr>
        <w:spacing w:line="209" w:lineRule="exact" w:before="86"/>
        <w:ind w:left="568" w:right="0" w:firstLine="0"/>
        <w:jc w:val="left"/>
        <w:rPr>
          <w:sz w:val="18"/>
        </w:rPr>
      </w:pPr>
      <w:bookmarkStart w:name="_bookmark7" w:id="8"/>
      <w:bookmarkEnd w:id="8"/>
      <w:r>
        <w:rPr/>
      </w:r>
      <w:r>
        <w:rPr>
          <w:position w:val="6"/>
          <w:sz w:val="12"/>
        </w:rPr>
        <w:t>8</w:t>
      </w:r>
      <w:r>
        <w:rPr>
          <w:spacing w:val="15"/>
          <w:position w:val="6"/>
          <w:sz w:val="12"/>
        </w:rPr>
        <w:t> </w:t>
      </w:r>
      <w:r>
        <w:rPr>
          <w:sz w:val="18"/>
        </w:rPr>
        <w:t>Véase</w:t>
      </w:r>
      <w:r>
        <w:rPr>
          <w:spacing w:val="-4"/>
          <w:sz w:val="18"/>
        </w:rPr>
        <w:t> </w:t>
      </w:r>
      <w:r>
        <w:rPr>
          <w:sz w:val="18"/>
        </w:rPr>
        <w:t>Folios</w:t>
      </w:r>
      <w:r>
        <w:rPr>
          <w:spacing w:val="-1"/>
          <w:sz w:val="18"/>
        </w:rPr>
        <w:t> </w:t>
      </w:r>
      <w:r>
        <w:rPr>
          <w:sz w:val="18"/>
        </w:rPr>
        <w:t>17</w:t>
      </w:r>
      <w:r>
        <w:rPr>
          <w:spacing w:val="-3"/>
          <w:sz w:val="18"/>
        </w:rPr>
        <w:t> </w:t>
      </w:r>
      <w:r>
        <w:rPr>
          <w:sz w:val="18"/>
        </w:rPr>
        <w:t>y</w:t>
      </w:r>
      <w:r>
        <w:rPr>
          <w:spacing w:val="-1"/>
          <w:sz w:val="18"/>
        </w:rPr>
        <w:t> </w:t>
      </w:r>
      <w:r>
        <w:rPr>
          <w:sz w:val="18"/>
        </w:rPr>
        <w:t>18</w:t>
      </w:r>
      <w:r>
        <w:rPr>
          <w:spacing w:val="-2"/>
          <w:sz w:val="18"/>
        </w:rPr>
        <w:t> </w:t>
      </w:r>
      <w:r>
        <w:rPr>
          <w:sz w:val="18"/>
        </w:rPr>
        <w:t>del</w:t>
      </w:r>
      <w:r>
        <w:rPr>
          <w:spacing w:val="-2"/>
          <w:sz w:val="18"/>
        </w:rPr>
        <w:t> </w:t>
      </w:r>
      <w:r>
        <w:rPr>
          <w:sz w:val="18"/>
        </w:rPr>
        <w:t>expediente</w:t>
      </w:r>
      <w:r>
        <w:rPr>
          <w:spacing w:val="-1"/>
          <w:sz w:val="18"/>
        </w:rPr>
        <w:t> </w:t>
      </w:r>
      <w:r>
        <w:rPr>
          <w:spacing w:val="-2"/>
          <w:sz w:val="18"/>
        </w:rPr>
        <w:t>DGCOM/REST/001/2026.</w:t>
      </w:r>
    </w:p>
    <w:p>
      <w:pPr>
        <w:spacing w:line="208" w:lineRule="exact" w:before="0"/>
        <w:ind w:left="568" w:right="0" w:firstLine="0"/>
        <w:jc w:val="left"/>
        <w:rPr>
          <w:sz w:val="18"/>
        </w:rPr>
      </w:pPr>
      <w:bookmarkStart w:name="_bookmark8" w:id="9"/>
      <w:bookmarkEnd w:id="9"/>
      <w:r>
        <w:rPr/>
      </w:r>
      <w:r>
        <w:rPr>
          <w:position w:val="6"/>
          <w:sz w:val="12"/>
        </w:rPr>
        <w:t>9</w:t>
      </w:r>
      <w:r>
        <w:rPr>
          <w:spacing w:val="15"/>
          <w:position w:val="6"/>
          <w:sz w:val="12"/>
        </w:rPr>
        <w:t> </w:t>
      </w:r>
      <w:r>
        <w:rPr>
          <w:sz w:val="18"/>
        </w:rPr>
        <w:t>Véanse</w:t>
      </w:r>
      <w:r>
        <w:rPr>
          <w:spacing w:val="-2"/>
          <w:sz w:val="18"/>
        </w:rPr>
        <w:t> </w:t>
      </w:r>
      <w:r>
        <w:rPr>
          <w:sz w:val="18"/>
        </w:rPr>
        <w:t>Folios</w:t>
      </w:r>
      <w:r>
        <w:rPr>
          <w:spacing w:val="-1"/>
          <w:sz w:val="18"/>
        </w:rPr>
        <w:t> </w:t>
      </w:r>
      <w:r>
        <w:rPr>
          <w:sz w:val="18"/>
        </w:rPr>
        <w:t>519</w:t>
      </w:r>
      <w:r>
        <w:rPr>
          <w:spacing w:val="-1"/>
          <w:sz w:val="18"/>
        </w:rPr>
        <w:t> </w:t>
      </w:r>
      <w:r>
        <w:rPr>
          <w:sz w:val="18"/>
        </w:rPr>
        <w:t>-</w:t>
      </w:r>
      <w:r>
        <w:rPr>
          <w:spacing w:val="-3"/>
          <w:sz w:val="18"/>
        </w:rPr>
        <w:t> </w:t>
      </w:r>
      <w:r>
        <w:rPr>
          <w:sz w:val="18"/>
        </w:rPr>
        <w:t>552</w:t>
      </w:r>
      <w:r>
        <w:rPr>
          <w:spacing w:val="-4"/>
          <w:sz w:val="18"/>
        </w:rPr>
        <w:t> </w:t>
      </w:r>
      <w:r>
        <w:rPr>
          <w:sz w:val="18"/>
        </w:rPr>
        <w:t>del</w:t>
      </w:r>
      <w:r>
        <w:rPr>
          <w:spacing w:val="-4"/>
          <w:sz w:val="18"/>
        </w:rPr>
        <w:t> </w:t>
      </w:r>
      <w:r>
        <w:rPr>
          <w:sz w:val="18"/>
        </w:rPr>
        <w:t>expediente</w:t>
      </w:r>
      <w:r>
        <w:rPr>
          <w:spacing w:val="-1"/>
          <w:sz w:val="18"/>
        </w:rPr>
        <w:t> </w:t>
      </w:r>
      <w:r>
        <w:rPr>
          <w:spacing w:val="-2"/>
          <w:sz w:val="18"/>
        </w:rPr>
        <w:t>DGCOM/REST/001/2026.</w:t>
      </w:r>
    </w:p>
    <w:p>
      <w:pPr>
        <w:spacing w:line="210" w:lineRule="exact" w:before="0"/>
        <w:ind w:left="568" w:right="0" w:firstLine="0"/>
        <w:jc w:val="left"/>
        <w:rPr>
          <w:sz w:val="18"/>
        </w:rPr>
      </w:pPr>
      <w:bookmarkStart w:name="_bookmark9" w:id="10"/>
      <w:bookmarkEnd w:id="10"/>
      <w:r>
        <w:rPr/>
      </w:r>
      <w:r>
        <w:rPr>
          <w:position w:val="6"/>
          <w:sz w:val="12"/>
        </w:rPr>
        <w:t>10</w:t>
      </w:r>
      <w:r>
        <w:rPr>
          <w:spacing w:val="15"/>
          <w:position w:val="6"/>
          <w:sz w:val="12"/>
        </w:rPr>
        <w:t> </w:t>
      </w:r>
      <w:r>
        <w:rPr>
          <w:sz w:val="18"/>
        </w:rPr>
        <w:t>Véase</w:t>
      </w:r>
      <w:r>
        <w:rPr>
          <w:spacing w:val="-3"/>
          <w:sz w:val="18"/>
        </w:rPr>
        <w:t> </w:t>
      </w:r>
      <w:r>
        <w:rPr>
          <w:sz w:val="18"/>
        </w:rPr>
        <w:t>Folio</w:t>
      </w:r>
      <w:r>
        <w:rPr>
          <w:spacing w:val="-3"/>
          <w:sz w:val="18"/>
        </w:rPr>
        <w:t> </w:t>
      </w:r>
      <w:r>
        <w:rPr>
          <w:sz w:val="18"/>
        </w:rPr>
        <w:t>529</w:t>
      </w:r>
      <w:r>
        <w:rPr>
          <w:spacing w:val="-4"/>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37" name="Group 37"/>
                <wp:cNvGraphicFramePr>
                  <a:graphicFrameLocks/>
                </wp:cNvGraphicFramePr>
                <a:graphic>
                  <a:graphicData uri="http://schemas.microsoft.com/office/word/2010/wordprocessingGroup">
                    <wpg:wgp>
                      <wpg:cNvPr id="37" name="Group 37"/>
                      <wpg:cNvGrpSpPr/>
                      <wpg:grpSpPr>
                        <a:xfrm>
                          <a:off x="0" y="0"/>
                          <a:ext cx="6131560" cy="9525"/>
                          <a:chExt cx="6131560" cy="9525"/>
                        </a:xfrm>
                      </wpg:grpSpPr>
                      <wps:wsp>
                        <wps:cNvPr id="38" name="Graphic 38"/>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5"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637" w:top="1380" w:bottom="820" w:left="992" w:right="283"/>
        </w:sectPr>
      </w:pPr>
    </w:p>
    <w:p>
      <w:pPr>
        <w:pStyle w:val="BodyText"/>
        <w:spacing w:before="176"/>
      </w:pPr>
    </w:p>
    <w:p>
      <w:pPr>
        <w:pStyle w:val="ListParagraph"/>
        <w:numPr>
          <w:ilvl w:val="0"/>
          <w:numId w:val="2"/>
        </w:numPr>
        <w:tabs>
          <w:tab w:pos="1420" w:val="left" w:leader="none"/>
        </w:tabs>
        <w:spacing w:line="240" w:lineRule="auto" w:before="0" w:after="0"/>
        <w:ind w:left="1420" w:right="980" w:hanging="852"/>
        <w:jc w:val="both"/>
        <w:rPr>
          <w:sz w:val="22"/>
        </w:rPr>
      </w:pPr>
      <w:r>
        <w:rPr>
          <w:sz w:val="22"/>
        </w:rPr>
        <w:t>La actuación de la República del Ecuador se encuentra amparada en el artículo 73 del Acuerdo de Cartagena, al responder a razones de seguridad, la cual constituye una excepción válida dentro del ordenamiento andino.</w:t>
      </w:r>
    </w:p>
    <w:p>
      <w:pPr>
        <w:pStyle w:val="BodyText"/>
        <w:spacing w:before="1"/>
      </w:pPr>
    </w:p>
    <w:p>
      <w:pPr>
        <w:spacing w:before="0"/>
        <w:ind w:left="2128" w:right="982" w:firstLine="0"/>
        <w:jc w:val="both"/>
        <w:rPr>
          <w:rFonts w:ascii="Arial" w:hAnsi="Arial"/>
          <w:i/>
          <w:sz w:val="22"/>
        </w:rPr>
      </w:pPr>
      <w:r>
        <w:rPr>
          <w:rFonts w:ascii="Arial" w:hAnsi="Arial"/>
          <w:i/>
          <w:sz w:val="22"/>
        </w:rPr>
        <w:t>(…) pero ese razonamiento se lee conjuntamente con el artículo 73 del Acuerdo de Cartagena, cuyo segundo párrafo establece que no serán consideradas restricciones, entre otras, las medidas destinadas a la “aplicación de leyes y reglamentos de seguridad” (literal b) y a la “protección de la vida y salud de las personas, los animales y los vegetales (literal d)”.</w:t>
      </w:r>
      <w:hyperlink w:history="true" w:anchor="_bookmark10">
        <w:r>
          <w:rPr>
            <w:rFonts w:ascii="Arial" w:hAnsi="Arial"/>
            <w:i/>
            <w:sz w:val="22"/>
            <w:vertAlign w:val="superscript"/>
          </w:rPr>
          <w:t>11</w:t>
        </w:r>
      </w:hyperlink>
    </w:p>
    <w:p>
      <w:pPr>
        <w:pStyle w:val="ListParagraph"/>
        <w:numPr>
          <w:ilvl w:val="0"/>
          <w:numId w:val="2"/>
        </w:numPr>
        <w:tabs>
          <w:tab w:pos="1420" w:val="left" w:leader="none"/>
        </w:tabs>
        <w:spacing w:line="240" w:lineRule="auto" w:before="252" w:after="0"/>
        <w:ind w:left="1420" w:right="979" w:hanging="852"/>
        <w:jc w:val="both"/>
        <w:rPr>
          <w:sz w:val="22"/>
        </w:rPr>
      </w:pPr>
      <w:r>
        <w:rPr>
          <w:sz w:val="22"/>
        </w:rPr>
        <w:t>La</w:t>
      </w:r>
      <w:r>
        <w:rPr>
          <w:spacing w:val="-13"/>
          <w:sz w:val="22"/>
        </w:rPr>
        <w:t> </w:t>
      </w:r>
      <w:r>
        <w:rPr>
          <w:sz w:val="22"/>
        </w:rPr>
        <w:t>medida</w:t>
      </w:r>
      <w:r>
        <w:rPr>
          <w:spacing w:val="-15"/>
          <w:sz w:val="22"/>
        </w:rPr>
        <w:t> </w:t>
      </w:r>
      <w:r>
        <w:rPr>
          <w:sz w:val="22"/>
        </w:rPr>
        <w:t>se</w:t>
      </w:r>
      <w:r>
        <w:rPr>
          <w:spacing w:val="-15"/>
          <w:sz w:val="22"/>
        </w:rPr>
        <w:t> </w:t>
      </w:r>
      <w:r>
        <w:rPr>
          <w:sz w:val="22"/>
        </w:rPr>
        <w:t>sustenta</w:t>
      </w:r>
      <w:r>
        <w:rPr>
          <w:spacing w:val="-15"/>
          <w:sz w:val="22"/>
        </w:rPr>
        <w:t> </w:t>
      </w:r>
      <w:r>
        <w:rPr>
          <w:sz w:val="22"/>
        </w:rPr>
        <w:t>en</w:t>
      </w:r>
      <w:r>
        <w:rPr>
          <w:spacing w:val="-12"/>
          <w:sz w:val="22"/>
        </w:rPr>
        <w:t> </w:t>
      </w:r>
      <w:r>
        <w:rPr>
          <w:sz w:val="22"/>
        </w:rPr>
        <w:t>evidencia</w:t>
      </w:r>
      <w:r>
        <w:rPr>
          <w:spacing w:val="-12"/>
          <w:sz w:val="22"/>
        </w:rPr>
        <w:t> </w:t>
      </w:r>
      <w:r>
        <w:rPr>
          <w:sz w:val="22"/>
        </w:rPr>
        <w:t>objetiva</w:t>
      </w:r>
      <w:r>
        <w:rPr>
          <w:spacing w:val="-15"/>
          <w:sz w:val="22"/>
        </w:rPr>
        <w:t> </w:t>
      </w:r>
      <w:r>
        <w:rPr>
          <w:sz w:val="22"/>
        </w:rPr>
        <w:t>y</w:t>
      </w:r>
      <w:r>
        <w:rPr>
          <w:spacing w:val="-14"/>
          <w:sz w:val="22"/>
        </w:rPr>
        <w:t> </w:t>
      </w:r>
      <w:r>
        <w:rPr>
          <w:sz w:val="22"/>
        </w:rPr>
        <w:t>verificable,</w:t>
      </w:r>
      <w:r>
        <w:rPr>
          <w:spacing w:val="-11"/>
          <w:sz w:val="22"/>
        </w:rPr>
        <w:t> </w:t>
      </w:r>
      <w:r>
        <w:rPr>
          <w:sz w:val="22"/>
        </w:rPr>
        <w:t>que</w:t>
      </w:r>
      <w:r>
        <w:rPr>
          <w:spacing w:val="-15"/>
          <w:sz w:val="22"/>
        </w:rPr>
        <w:t> </w:t>
      </w:r>
      <w:r>
        <w:rPr>
          <w:sz w:val="22"/>
        </w:rPr>
        <w:t>demuestra</w:t>
      </w:r>
      <w:r>
        <w:rPr>
          <w:spacing w:val="-15"/>
          <w:sz w:val="22"/>
        </w:rPr>
        <w:t> </w:t>
      </w:r>
      <w:r>
        <w:rPr>
          <w:sz w:val="22"/>
        </w:rPr>
        <w:t>un</w:t>
      </w:r>
      <w:r>
        <w:rPr>
          <w:spacing w:val="-12"/>
          <w:sz w:val="22"/>
        </w:rPr>
        <w:t> </w:t>
      </w:r>
      <w:r>
        <w:rPr>
          <w:sz w:val="22"/>
        </w:rPr>
        <w:t>contexto crítico en la frontera norte caracterizado por</w:t>
      </w:r>
      <w:hyperlink w:history="true" w:anchor="_bookmark11">
        <w:r>
          <w:rPr>
            <w:sz w:val="22"/>
            <w:vertAlign w:val="superscript"/>
          </w:rPr>
          <w:t>12</w:t>
        </w:r>
      </w:hyperlink>
      <w:r>
        <w:rPr>
          <w:sz w:val="22"/>
          <w:vertAlign w:val="baseline"/>
        </w:rPr>
        <w:t>:</w:t>
      </w:r>
    </w:p>
    <w:p>
      <w:pPr>
        <w:pStyle w:val="BodyText"/>
        <w:spacing w:before="2"/>
      </w:pPr>
    </w:p>
    <w:p>
      <w:pPr>
        <w:pStyle w:val="ListParagraph"/>
        <w:numPr>
          <w:ilvl w:val="0"/>
          <w:numId w:val="3"/>
        </w:numPr>
        <w:tabs>
          <w:tab w:pos="2834" w:val="left" w:leader="none"/>
        </w:tabs>
        <w:spacing w:line="252" w:lineRule="exact" w:before="1" w:after="0"/>
        <w:ind w:left="2834" w:right="0" w:hanging="358"/>
        <w:jc w:val="left"/>
        <w:rPr>
          <w:sz w:val="22"/>
        </w:rPr>
      </w:pPr>
      <w:r>
        <w:rPr>
          <w:sz w:val="22"/>
        </w:rPr>
        <w:t>La</w:t>
      </w:r>
      <w:r>
        <w:rPr>
          <w:spacing w:val="-6"/>
          <w:sz w:val="22"/>
        </w:rPr>
        <w:t> </w:t>
      </w:r>
      <w:r>
        <w:rPr>
          <w:sz w:val="22"/>
        </w:rPr>
        <w:t>alta</w:t>
      </w:r>
      <w:r>
        <w:rPr>
          <w:spacing w:val="-5"/>
          <w:sz w:val="22"/>
        </w:rPr>
        <w:t> </w:t>
      </w:r>
      <w:r>
        <w:rPr>
          <w:sz w:val="22"/>
        </w:rPr>
        <w:t>porosidad</w:t>
      </w:r>
      <w:r>
        <w:rPr>
          <w:spacing w:val="-6"/>
          <w:sz w:val="22"/>
        </w:rPr>
        <w:t> </w:t>
      </w:r>
      <w:r>
        <w:rPr>
          <w:sz w:val="22"/>
        </w:rPr>
        <w:t>fronteriza</w:t>
      </w:r>
      <w:r>
        <w:rPr>
          <w:spacing w:val="-6"/>
          <w:sz w:val="22"/>
        </w:rPr>
        <w:t> </w:t>
      </w:r>
      <w:r>
        <w:rPr>
          <w:sz w:val="22"/>
        </w:rPr>
        <w:t>(múltiples</w:t>
      </w:r>
      <w:r>
        <w:rPr>
          <w:spacing w:val="-5"/>
          <w:sz w:val="22"/>
        </w:rPr>
        <w:t> </w:t>
      </w:r>
      <w:r>
        <w:rPr>
          <w:sz w:val="22"/>
        </w:rPr>
        <w:t>pasos</w:t>
      </w:r>
      <w:r>
        <w:rPr>
          <w:spacing w:val="-6"/>
          <w:sz w:val="22"/>
        </w:rPr>
        <w:t> </w:t>
      </w:r>
      <w:r>
        <w:rPr>
          <w:sz w:val="22"/>
        </w:rPr>
        <w:t>no</w:t>
      </w:r>
      <w:r>
        <w:rPr>
          <w:spacing w:val="-5"/>
          <w:sz w:val="22"/>
        </w:rPr>
        <w:t> </w:t>
      </w:r>
      <w:r>
        <w:rPr>
          <w:spacing w:val="-2"/>
          <w:sz w:val="22"/>
        </w:rPr>
        <w:t>habilitados);</w:t>
      </w:r>
    </w:p>
    <w:p>
      <w:pPr>
        <w:pStyle w:val="ListParagraph"/>
        <w:numPr>
          <w:ilvl w:val="0"/>
          <w:numId w:val="3"/>
        </w:numPr>
        <w:tabs>
          <w:tab w:pos="2833" w:val="left" w:leader="none"/>
        </w:tabs>
        <w:spacing w:line="252" w:lineRule="exact" w:before="0" w:after="0"/>
        <w:ind w:left="2833" w:right="0" w:hanging="357"/>
        <w:jc w:val="left"/>
        <w:rPr>
          <w:sz w:val="22"/>
        </w:rPr>
      </w:pPr>
      <w:r>
        <w:rPr>
          <w:sz w:val="22"/>
        </w:rPr>
        <w:t>El</w:t>
      </w:r>
      <w:r>
        <w:rPr>
          <w:spacing w:val="-3"/>
          <w:sz w:val="22"/>
        </w:rPr>
        <w:t> </w:t>
      </w:r>
      <w:r>
        <w:rPr>
          <w:sz w:val="22"/>
        </w:rPr>
        <w:t>incremento</w:t>
      </w:r>
      <w:r>
        <w:rPr>
          <w:spacing w:val="-3"/>
          <w:sz w:val="22"/>
        </w:rPr>
        <w:t> </w:t>
      </w:r>
      <w:r>
        <w:rPr>
          <w:sz w:val="22"/>
        </w:rPr>
        <w:t>del</w:t>
      </w:r>
      <w:r>
        <w:rPr>
          <w:spacing w:val="-3"/>
          <w:sz w:val="22"/>
        </w:rPr>
        <w:t> </w:t>
      </w:r>
      <w:r>
        <w:rPr>
          <w:spacing w:val="-2"/>
          <w:sz w:val="22"/>
        </w:rPr>
        <w:t>contrabando;</w:t>
      </w:r>
    </w:p>
    <w:p>
      <w:pPr>
        <w:pStyle w:val="ListParagraph"/>
        <w:numPr>
          <w:ilvl w:val="0"/>
          <w:numId w:val="3"/>
        </w:numPr>
        <w:tabs>
          <w:tab w:pos="2833" w:val="left" w:leader="none"/>
        </w:tabs>
        <w:spacing w:line="252" w:lineRule="exact" w:before="0" w:after="0"/>
        <w:ind w:left="2833" w:right="0" w:hanging="357"/>
        <w:jc w:val="left"/>
        <w:rPr>
          <w:sz w:val="22"/>
        </w:rPr>
      </w:pPr>
      <w:r>
        <w:rPr>
          <w:sz w:val="22"/>
        </w:rPr>
        <w:t>La</w:t>
      </w:r>
      <w:r>
        <w:rPr>
          <w:spacing w:val="-7"/>
          <w:sz w:val="22"/>
        </w:rPr>
        <w:t> </w:t>
      </w:r>
      <w:r>
        <w:rPr>
          <w:sz w:val="22"/>
        </w:rPr>
        <w:t>presencia</w:t>
      </w:r>
      <w:r>
        <w:rPr>
          <w:spacing w:val="-8"/>
          <w:sz w:val="22"/>
        </w:rPr>
        <w:t> </w:t>
      </w:r>
      <w:r>
        <w:rPr>
          <w:sz w:val="22"/>
        </w:rPr>
        <w:t>de</w:t>
      </w:r>
      <w:r>
        <w:rPr>
          <w:spacing w:val="-6"/>
          <w:sz w:val="22"/>
        </w:rPr>
        <w:t> </w:t>
      </w:r>
      <w:r>
        <w:rPr>
          <w:sz w:val="22"/>
        </w:rPr>
        <w:t>organizaciones</w:t>
      </w:r>
      <w:r>
        <w:rPr>
          <w:spacing w:val="-6"/>
          <w:sz w:val="22"/>
        </w:rPr>
        <w:t> </w:t>
      </w:r>
      <w:r>
        <w:rPr>
          <w:sz w:val="22"/>
        </w:rPr>
        <w:t>criminales;</w:t>
      </w:r>
      <w:r>
        <w:rPr>
          <w:spacing w:val="-7"/>
          <w:sz w:val="22"/>
        </w:rPr>
        <w:t> </w:t>
      </w:r>
      <w:r>
        <w:rPr>
          <w:spacing w:val="-10"/>
          <w:sz w:val="22"/>
        </w:rPr>
        <w:t>y</w:t>
      </w:r>
    </w:p>
    <w:p>
      <w:pPr>
        <w:pStyle w:val="ListParagraph"/>
        <w:numPr>
          <w:ilvl w:val="0"/>
          <w:numId w:val="3"/>
        </w:numPr>
        <w:tabs>
          <w:tab w:pos="2834" w:val="left" w:leader="none"/>
        </w:tabs>
        <w:spacing w:line="240" w:lineRule="auto" w:before="1" w:after="0"/>
        <w:ind w:left="2834" w:right="0" w:hanging="358"/>
        <w:jc w:val="left"/>
        <w:rPr>
          <w:sz w:val="22"/>
        </w:rPr>
      </w:pPr>
      <w:r>
        <w:rPr>
          <w:sz w:val="22"/>
        </w:rPr>
        <w:t>El</w:t>
      </w:r>
      <w:r>
        <w:rPr>
          <w:spacing w:val="-4"/>
          <w:sz w:val="22"/>
        </w:rPr>
        <w:t> </w:t>
      </w:r>
      <w:r>
        <w:rPr>
          <w:sz w:val="22"/>
        </w:rPr>
        <w:t>tráfico</w:t>
      </w:r>
      <w:r>
        <w:rPr>
          <w:spacing w:val="-3"/>
          <w:sz w:val="22"/>
        </w:rPr>
        <w:t> </w:t>
      </w:r>
      <w:r>
        <w:rPr>
          <w:sz w:val="22"/>
        </w:rPr>
        <w:t>ilícito</w:t>
      </w:r>
      <w:r>
        <w:rPr>
          <w:spacing w:val="-5"/>
          <w:sz w:val="22"/>
        </w:rPr>
        <w:t> </w:t>
      </w:r>
      <w:r>
        <w:rPr>
          <w:sz w:val="22"/>
        </w:rPr>
        <w:t>de</w:t>
      </w:r>
      <w:r>
        <w:rPr>
          <w:spacing w:val="-5"/>
          <w:sz w:val="22"/>
        </w:rPr>
        <w:t> </w:t>
      </w:r>
      <w:r>
        <w:rPr>
          <w:sz w:val="22"/>
        </w:rPr>
        <w:t>mercancías</w:t>
      </w:r>
      <w:r>
        <w:rPr>
          <w:spacing w:val="-4"/>
          <w:sz w:val="22"/>
        </w:rPr>
        <w:t> </w:t>
      </w:r>
      <w:r>
        <w:rPr>
          <w:sz w:val="22"/>
        </w:rPr>
        <w:t>y</w:t>
      </w:r>
      <w:r>
        <w:rPr>
          <w:spacing w:val="-2"/>
          <w:sz w:val="22"/>
        </w:rPr>
        <w:t> drogas.</w:t>
      </w:r>
    </w:p>
    <w:p>
      <w:pPr>
        <w:pStyle w:val="BodyText"/>
      </w:pPr>
    </w:p>
    <w:p>
      <w:pPr>
        <w:pStyle w:val="ListParagraph"/>
        <w:numPr>
          <w:ilvl w:val="0"/>
          <w:numId w:val="2"/>
        </w:numPr>
        <w:tabs>
          <w:tab w:pos="1420" w:val="left" w:leader="none"/>
        </w:tabs>
        <w:spacing w:line="240" w:lineRule="auto" w:before="0" w:after="0"/>
        <w:ind w:left="1420" w:right="979" w:hanging="852"/>
        <w:jc w:val="both"/>
        <w:rPr>
          <w:sz w:val="22"/>
        </w:rPr>
      </w:pPr>
      <w:r>
        <w:rPr>
          <w:sz w:val="22"/>
        </w:rPr>
        <w:t>La</w:t>
      </w:r>
      <w:r>
        <w:rPr>
          <w:spacing w:val="-4"/>
          <w:sz w:val="22"/>
        </w:rPr>
        <w:t> </w:t>
      </w:r>
      <w:r>
        <w:rPr>
          <w:sz w:val="22"/>
        </w:rPr>
        <w:t>medida</w:t>
      </w:r>
      <w:r>
        <w:rPr>
          <w:spacing w:val="-7"/>
          <w:sz w:val="22"/>
        </w:rPr>
        <w:t> </w:t>
      </w:r>
      <w:r>
        <w:rPr>
          <w:sz w:val="22"/>
        </w:rPr>
        <w:t>cumple</w:t>
      </w:r>
      <w:r>
        <w:rPr>
          <w:spacing w:val="-6"/>
          <w:sz w:val="22"/>
        </w:rPr>
        <w:t> </w:t>
      </w:r>
      <w:r>
        <w:rPr>
          <w:sz w:val="22"/>
        </w:rPr>
        <w:t>con</w:t>
      </w:r>
      <w:r>
        <w:rPr>
          <w:spacing w:val="-4"/>
          <w:sz w:val="22"/>
        </w:rPr>
        <w:t> </w:t>
      </w:r>
      <w:r>
        <w:rPr>
          <w:sz w:val="22"/>
        </w:rPr>
        <w:t>el</w:t>
      </w:r>
      <w:r>
        <w:rPr>
          <w:spacing w:val="-7"/>
          <w:sz w:val="22"/>
        </w:rPr>
        <w:t> </w:t>
      </w:r>
      <w:r>
        <w:rPr>
          <w:sz w:val="22"/>
        </w:rPr>
        <w:t>test</w:t>
      </w:r>
      <w:r>
        <w:rPr>
          <w:spacing w:val="-3"/>
          <w:sz w:val="22"/>
        </w:rPr>
        <w:t> </w:t>
      </w:r>
      <w:r>
        <w:rPr>
          <w:sz w:val="22"/>
        </w:rPr>
        <w:t>de</w:t>
      </w:r>
      <w:r>
        <w:rPr>
          <w:spacing w:val="-7"/>
          <w:sz w:val="22"/>
        </w:rPr>
        <w:t> </w:t>
      </w:r>
      <w:r>
        <w:rPr>
          <w:sz w:val="22"/>
        </w:rPr>
        <w:t>legalidad</w:t>
      </w:r>
      <w:r>
        <w:rPr>
          <w:spacing w:val="-4"/>
          <w:sz w:val="22"/>
        </w:rPr>
        <w:t> </w:t>
      </w:r>
      <w:r>
        <w:rPr>
          <w:sz w:val="22"/>
        </w:rPr>
        <w:t>desarrollado</w:t>
      </w:r>
      <w:r>
        <w:rPr>
          <w:spacing w:val="-4"/>
          <w:sz w:val="22"/>
        </w:rPr>
        <w:t> </w:t>
      </w:r>
      <w:r>
        <w:rPr>
          <w:sz w:val="22"/>
        </w:rPr>
        <w:t>por</w:t>
      </w:r>
      <w:r>
        <w:rPr>
          <w:spacing w:val="-3"/>
          <w:sz w:val="22"/>
        </w:rPr>
        <w:t> </w:t>
      </w:r>
      <w:r>
        <w:rPr>
          <w:sz w:val="22"/>
        </w:rPr>
        <w:t>el</w:t>
      </w:r>
      <w:r>
        <w:rPr>
          <w:spacing w:val="-5"/>
          <w:sz w:val="22"/>
        </w:rPr>
        <w:t> </w:t>
      </w:r>
      <w:r>
        <w:rPr>
          <w:sz w:val="22"/>
        </w:rPr>
        <w:t>Tribunal</w:t>
      </w:r>
      <w:r>
        <w:rPr>
          <w:spacing w:val="-5"/>
          <w:sz w:val="22"/>
        </w:rPr>
        <w:t> </w:t>
      </w:r>
      <w:r>
        <w:rPr>
          <w:sz w:val="22"/>
        </w:rPr>
        <w:t>de</w:t>
      </w:r>
      <w:r>
        <w:rPr>
          <w:spacing w:val="-7"/>
          <w:sz w:val="22"/>
        </w:rPr>
        <w:t> </w:t>
      </w:r>
      <w:r>
        <w:rPr>
          <w:sz w:val="22"/>
        </w:rPr>
        <w:t>Justicia</w:t>
      </w:r>
      <w:r>
        <w:rPr>
          <w:spacing w:val="-4"/>
          <w:sz w:val="22"/>
        </w:rPr>
        <w:t> </w:t>
      </w:r>
      <w:r>
        <w:rPr>
          <w:sz w:val="22"/>
        </w:rPr>
        <w:t>de la Comunidad Andina, al satisfacer de manera concurrente los criterios</w:t>
      </w:r>
      <w:hyperlink w:history="true" w:anchor="_bookmark12">
        <w:r>
          <w:rPr>
            <w:sz w:val="22"/>
            <w:vertAlign w:val="superscript"/>
          </w:rPr>
          <w:t>13</w:t>
        </w:r>
      </w:hyperlink>
      <w:r>
        <w:rPr>
          <w:sz w:val="22"/>
          <w:vertAlign w:val="baseline"/>
        </w:rPr>
        <w:t> de:</w:t>
      </w:r>
    </w:p>
    <w:p>
      <w:pPr>
        <w:pStyle w:val="BodyText"/>
      </w:pPr>
    </w:p>
    <w:p>
      <w:pPr>
        <w:pStyle w:val="ListParagraph"/>
        <w:numPr>
          <w:ilvl w:val="0"/>
          <w:numId w:val="4"/>
        </w:numPr>
        <w:tabs>
          <w:tab w:pos="2834" w:val="left" w:leader="none"/>
        </w:tabs>
        <w:spacing w:line="252" w:lineRule="exact" w:before="0" w:after="0"/>
        <w:ind w:left="2834" w:right="0" w:hanging="358"/>
        <w:jc w:val="left"/>
        <w:rPr>
          <w:sz w:val="22"/>
        </w:rPr>
      </w:pPr>
      <w:r>
        <w:rPr>
          <w:spacing w:val="-2"/>
          <w:sz w:val="22"/>
        </w:rPr>
        <w:t>Finalidad.</w:t>
      </w:r>
    </w:p>
    <w:p>
      <w:pPr>
        <w:pStyle w:val="ListParagraph"/>
        <w:numPr>
          <w:ilvl w:val="0"/>
          <w:numId w:val="4"/>
        </w:numPr>
        <w:tabs>
          <w:tab w:pos="2833" w:val="left" w:leader="none"/>
        </w:tabs>
        <w:spacing w:line="252" w:lineRule="exact" w:before="0" w:after="0"/>
        <w:ind w:left="2833" w:right="0" w:hanging="357"/>
        <w:jc w:val="left"/>
        <w:rPr>
          <w:sz w:val="22"/>
        </w:rPr>
      </w:pPr>
      <w:r>
        <w:rPr>
          <w:spacing w:val="-2"/>
          <w:sz w:val="22"/>
        </w:rPr>
        <w:t>Idoneidad.</w:t>
      </w:r>
    </w:p>
    <w:p>
      <w:pPr>
        <w:pStyle w:val="ListParagraph"/>
        <w:numPr>
          <w:ilvl w:val="0"/>
          <w:numId w:val="4"/>
        </w:numPr>
        <w:tabs>
          <w:tab w:pos="2833" w:val="left" w:leader="none"/>
        </w:tabs>
        <w:spacing w:line="252" w:lineRule="exact" w:before="1" w:after="0"/>
        <w:ind w:left="2833" w:right="0" w:hanging="357"/>
        <w:jc w:val="left"/>
        <w:rPr>
          <w:sz w:val="22"/>
        </w:rPr>
      </w:pPr>
      <w:r>
        <w:rPr>
          <w:spacing w:val="-2"/>
          <w:sz w:val="22"/>
        </w:rPr>
        <w:t>Necesidad.</w:t>
      </w:r>
    </w:p>
    <w:p>
      <w:pPr>
        <w:pStyle w:val="ListParagraph"/>
        <w:numPr>
          <w:ilvl w:val="0"/>
          <w:numId w:val="4"/>
        </w:numPr>
        <w:tabs>
          <w:tab w:pos="2834" w:val="left" w:leader="none"/>
        </w:tabs>
        <w:spacing w:line="252" w:lineRule="exact" w:before="0" w:after="0"/>
        <w:ind w:left="2834" w:right="0" w:hanging="358"/>
        <w:jc w:val="left"/>
        <w:rPr>
          <w:sz w:val="22"/>
        </w:rPr>
      </w:pPr>
      <w:r>
        <w:rPr>
          <w:spacing w:val="-2"/>
          <w:sz w:val="22"/>
        </w:rPr>
        <w:t>Proporcionalidad.</w:t>
      </w:r>
    </w:p>
    <w:p>
      <w:pPr>
        <w:pStyle w:val="ListParagraph"/>
        <w:numPr>
          <w:ilvl w:val="0"/>
          <w:numId w:val="4"/>
        </w:numPr>
        <w:tabs>
          <w:tab w:pos="2835" w:val="left" w:leader="none"/>
        </w:tabs>
        <w:spacing w:line="253" w:lineRule="exact" w:before="0" w:after="0"/>
        <w:ind w:left="2835" w:right="0" w:hanging="359"/>
        <w:jc w:val="left"/>
        <w:rPr>
          <w:sz w:val="22"/>
        </w:rPr>
      </w:pPr>
      <w:r>
        <w:rPr>
          <w:sz w:val="22"/>
        </w:rPr>
        <w:t>No</w:t>
      </w:r>
      <w:r>
        <w:rPr>
          <w:spacing w:val="-2"/>
          <w:sz w:val="22"/>
        </w:rPr>
        <w:t> discriminación.</w:t>
      </w:r>
    </w:p>
    <w:p>
      <w:pPr>
        <w:pStyle w:val="BodyText"/>
        <w:spacing w:before="1"/>
      </w:pPr>
    </w:p>
    <w:p>
      <w:pPr>
        <w:pStyle w:val="ListParagraph"/>
        <w:numPr>
          <w:ilvl w:val="0"/>
          <w:numId w:val="2"/>
        </w:numPr>
        <w:tabs>
          <w:tab w:pos="1420" w:val="left" w:leader="none"/>
        </w:tabs>
        <w:spacing w:line="240" w:lineRule="auto" w:before="0" w:after="0"/>
        <w:ind w:left="1420" w:right="979" w:hanging="852"/>
        <w:jc w:val="both"/>
        <w:rPr>
          <w:sz w:val="22"/>
        </w:rPr>
      </w:pPr>
      <w:r>
        <w:rPr>
          <w:sz w:val="22"/>
        </w:rPr>
        <w:t>La concentración del tránsito en un único corredor internacional incrementa la trazabilidad del</w:t>
      </w:r>
      <w:r>
        <w:rPr>
          <w:spacing w:val="-3"/>
          <w:sz w:val="22"/>
        </w:rPr>
        <w:t> </w:t>
      </w:r>
      <w:r>
        <w:rPr>
          <w:sz w:val="22"/>
        </w:rPr>
        <w:t>flujo</w:t>
      </w:r>
      <w:r>
        <w:rPr>
          <w:spacing w:val="-3"/>
          <w:sz w:val="22"/>
        </w:rPr>
        <w:t> </w:t>
      </w:r>
      <w:r>
        <w:rPr>
          <w:sz w:val="22"/>
        </w:rPr>
        <w:t>comercial</w:t>
      </w:r>
      <w:r>
        <w:rPr>
          <w:spacing w:val="-1"/>
          <w:sz w:val="22"/>
        </w:rPr>
        <w:t> </w:t>
      </w:r>
      <w:r>
        <w:rPr>
          <w:sz w:val="22"/>
        </w:rPr>
        <w:t>en</w:t>
      </w:r>
      <w:r>
        <w:rPr>
          <w:spacing w:val="-3"/>
          <w:sz w:val="22"/>
        </w:rPr>
        <w:t> </w:t>
      </w:r>
      <w:r>
        <w:rPr>
          <w:sz w:val="22"/>
        </w:rPr>
        <w:t>un</w:t>
      </w:r>
      <w:r>
        <w:rPr>
          <w:spacing w:val="-3"/>
          <w:sz w:val="22"/>
        </w:rPr>
        <w:t> </w:t>
      </w:r>
      <w:r>
        <w:rPr>
          <w:sz w:val="22"/>
        </w:rPr>
        <w:t>escenario</w:t>
      </w:r>
      <w:r>
        <w:rPr>
          <w:spacing w:val="-3"/>
          <w:sz w:val="22"/>
        </w:rPr>
        <w:t> </w:t>
      </w:r>
      <w:r>
        <w:rPr>
          <w:sz w:val="22"/>
        </w:rPr>
        <w:t>de alta</w:t>
      </w:r>
      <w:r>
        <w:rPr>
          <w:spacing w:val="-3"/>
          <w:sz w:val="22"/>
        </w:rPr>
        <w:t> </w:t>
      </w:r>
      <w:r>
        <w:rPr>
          <w:sz w:val="22"/>
        </w:rPr>
        <w:t>porosidad</w:t>
      </w:r>
      <w:r>
        <w:rPr>
          <w:spacing w:val="-3"/>
          <w:sz w:val="22"/>
        </w:rPr>
        <w:t> </w:t>
      </w:r>
      <w:r>
        <w:rPr>
          <w:sz w:val="22"/>
        </w:rPr>
        <w:t>fronteriza,</w:t>
      </w:r>
      <w:r>
        <w:rPr>
          <w:spacing w:val="-2"/>
          <w:sz w:val="22"/>
        </w:rPr>
        <w:t> </w:t>
      </w:r>
      <w:r>
        <w:rPr>
          <w:sz w:val="22"/>
        </w:rPr>
        <w:t>en</w:t>
      </w:r>
      <w:r>
        <w:rPr>
          <w:spacing w:val="-3"/>
          <w:sz w:val="22"/>
        </w:rPr>
        <w:t> </w:t>
      </w:r>
      <w:r>
        <w:rPr>
          <w:sz w:val="22"/>
        </w:rPr>
        <w:t>línea con la Decisión 502</w:t>
      </w:r>
      <w:hyperlink w:history="true" w:anchor="_bookmark13">
        <w:r>
          <w:rPr>
            <w:sz w:val="22"/>
            <w:vertAlign w:val="superscript"/>
          </w:rPr>
          <w:t>14</w:t>
        </w:r>
      </w:hyperlink>
      <w:r>
        <w:rPr>
          <w:sz w:val="22"/>
          <w:vertAlign w:val="baseline"/>
        </w:rPr>
        <w:t>:</w:t>
      </w:r>
    </w:p>
    <w:p>
      <w:pPr>
        <w:pStyle w:val="BodyText"/>
      </w:pPr>
    </w:p>
    <w:p>
      <w:pPr>
        <w:spacing w:before="1"/>
        <w:ind w:left="2128" w:right="979" w:firstLine="0"/>
        <w:jc w:val="both"/>
        <w:rPr>
          <w:rFonts w:ascii="Arial" w:hAnsi="Arial"/>
          <w:i/>
          <w:sz w:val="22"/>
        </w:rPr>
      </w:pPr>
      <w:r>
        <w:rPr>
          <w:rFonts w:ascii="Arial" w:hAnsi="Arial"/>
          <w:i/>
          <w:sz w:val="22"/>
        </w:rPr>
        <w:t>“(…) concentrar el ingreso formal en el paso internacional institucionalmente habilitado incrementa la capacidad de control integrado, tanto en su modalidad secuencial como simultánea, por parte de los funcionarios nacionales competentes designados por los países de salida y de entrada. Ello resulta consistente</w:t>
      </w:r>
      <w:r>
        <w:rPr>
          <w:rFonts w:ascii="Arial" w:hAnsi="Arial"/>
          <w:i/>
          <w:spacing w:val="-3"/>
          <w:sz w:val="22"/>
        </w:rPr>
        <w:t> </w:t>
      </w:r>
      <w:r>
        <w:rPr>
          <w:rFonts w:ascii="Arial" w:hAnsi="Arial"/>
          <w:i/>
          <w:sz w:val="22"/>
        </w:rPr>
        <w:t>con</w:t>
      </w:r>
      <w:r>
        <w:rPr>
          <w:rFonts w:ascii="Arial" w:hAnsi="Arial"/>
          <w:i/>
          <w:spacing w:val="-1"/>
          <w:sz w:val="22"/>
        </w:rPr>
        <w:t> </w:t>
      </w:r>
      <w:r>
        <w:rPr>
          <w:rFonts w:ascii="Arial" w:hAnsi="Arial"/>
          <w:i/>
          <w:sz w:val="22"/>
        </w:rPr>
        <w:t>la Decisión</w:t>
      </w:r>
      <w:r>
        <w:rPr>
          <w:rFonts w:ascii="Arial" w:hAnsi="Arial"/>
          <w:i/>
          <w:spacing w:val="-1"/>
          <w:sz w:val="22"/>
        </w:rPr>
        <w:t> </w:t>
      </w:r>
      <w:r>
        <w:rPr>
          <w:rFonts w:ascii="Arial" w:hAnsi="Arial"/>
          <w:i/>
          <w:sz w:val="22"/>
        </w:rPr>
        <w:t>502,</w:t>
      </w:r>
      <w:r>
        <w:rPr>
          <w:rFonts w:ascii="Arial" w:hAnsi="Arial"/>
          <w:i/>
          <w:spacing w:val="-2"/>
          <w:sz w:val="22"/>
        </w:rPr>
        <w:t> </w:t>
      </w:r>
      <w:r>
        <w:rPr>
          <w:rFonts w:ascii="Arial" w:hAnsi="Arial"/>
          <w:i/>
          <w:sz w:val="22"/>
        </w:rPr>
        <w:t>cuyo</w:t>
      </w:r>
      <w:r>
        <w:rPr>
          <w:rFonts w:ascii="Arial" w:hAnsi="Arial"/>
          <w:i/>
          <w:spacing w:val="-3"/>
          <w:sz w:val="22"/>
        </w:rPr>
        <w:t> </w:t>
      </w:r>
      <w:r>
        <w:rPr>
          <w:rFonts w:ascii="Arial" w:hAnsi="Arial"/>
          <w:i/>
          <w:sz w:val="22"/>
        </w:rPr>
        <w:t>artículo</w:t>
      </w:r>
      <w:r>
        <w:rPr>
          <w:rFonts w:ascii="Arial" w:hAnsi="Arial"/>
          <w:i/>
          <w:spacing w:val="-3"/>
          <w:sz w:val="22"/>
        </w:rPr>
        <w:t> </w:t>
      </w:r>
      <w:r>
        <w:rPr>
          <w:rFonts w:ascii="Arial" w:hAnsi="Arial"/>
          <w:i/>
          <w:sz w:val="22"/>
        </w:rPr>
        <w:t>1 define</w:t>
      </w:r>
      <w:r>
        <w:rPr>
          <w:rFonts w:ascii="Arial" w:hAnsi="Arial"/>
          <w:i/>
          <w:spacing w:val="-1"/>
          <w:sz w:val="22"/>
        </w:rPr>
        <w:t> </w:t>
      </w:r>
      <w:r>
        <w:rPr>
          <w:rFonts w:ascii="Arial" w:hAnsi="Arial"/>
          <w:i/>
          <w:sz w:val="22"/>
        </w:rPr>
        <w:t>al</w:t>
      </w:r>
      <w:r>
        <w:rPr>
          <w:rFonts w:ascii="Arial" w:hAnsi="Arial"/>
          <w:i/>
          <w:spacing w:val="-2"/>
          <w:sz w:val="22"/>
        </w:rPr>
        <w:t> </w:t>
      </w:r>
      <w:r>
        <w:rPr>
          <w:rFonts w:ascii="Arial" w:hAnsi="Arial"/>
          <w:i/>
          <w:sz w:val="22"/>
        </w:rPr>
        <w:t>CEBAF como el conjunto de instalaciones destinadas a la prestación del servicio de control integrado del flujo de personas, equipajes, mercancías y vehículos, y entiende por control integrado la verificación y supervisión conjunta de las condiciones legales de entrada y salida; cuyo artículo 4 faculta a los Países Miembros a establecer los CEBAF que consideren necesarios, en concordancia con las características y peculiaridades de sus pasos de frontera; y cuyo artículo 8 dispone que dicho control se realizará mediante procedimientos armonizados o compatibles, primero de forma secuencial y, progresivamente, de manera simultánea.”</w:t>
      </w:r>
    </w:p>
    <w:p>
      <w:pPr>
        <w:pStyle w:val="BodyText"/>
        <w:rPr>
          <w:rFonts w:ascii="Arial"/>
          <w:i/>
        </w:rPr>
      </w:pPr>
    </w:p>
    <w:p>
      <w:pPr>
        <w:pStyle w:val="ListParagraph"/>
        <w:numPr>
          <w:ilvl w:val="0"/>
          <w:numId w:val="2"/>
        </w:numPr>
        <w:tabs>
          <w:tab w:pos="1420" w:val="left" w:leader="none"/>
        </w:tabs>
        <w:spacing w:line="240" w:lineRule="auto" w:before="0" w:after="0"/>
        <w:ind w:left="1420" w:right="981" w:hanging="852"/>
        <w:jc w:val="both"/>
        <w:rPr>
          <w:sz w:val="22"/>
        </w:rPr>
      </w:pPr>
      <w:r>
        <w:rPr>
          <w:sz w:val="22"/>
        </w:rPr>
        <w:t>La habilitación controlada del paso San Miguel para el transporte de crudo colombiano constituye una excepción favorable, que flexibiliza la medida general, garantizando la continuidad de un flujo específico de interés económico</w:t>
      </w:r>
      <w:hyperlink w:history="true" w:anchor="_bookmark14">
        <w:r>
          <w:rPr>
            <w:sz w:val="22"/>
            <w:vertAlign w:val="superscript"/>
          </w:rPr>
          <w:t>15</w:t>
        </w:r>
      </w:hyperlink>
      <w:r>
        <w:rPr>
          <w:sz w:val="22"/>
          <w:vertAlign w:val="baseline"/>
        </w:rPr>
        <w:t>.</w:t>
      </w:r>
    </w:p>
    <w:p>
      <w:pPr>
        <w:pStyle w:val="BodyText"/>
        <w:rPr>
          <w:sz w:val="20"/>
        </w:rPr>
      </w:pPr>
    </w:p>
    <w:p>
      <w:pPr>
        <w:pStyle w:val="BodyText"/>
        <w:spacing w:before="91"/>
        <w:rPr>
          <w:sz w:val="20"/>
        </w:rPr>
      </w:pPr>
      <w:r>
        <w:rPr>
          <w:sz w:val="20"/>
        </w:rPr>
        <mc:AlternateContent>
          <mc:Choice Requires="wps">
            <w:drawing>
              <wp:anchor distT="0" distB="0" distL="0" distR="0" allowOverlap="1" layoutInCell="1" locked="0" behindDoc="1" simplePos="0" relativeHeight="487593984">
                <wp:simplePos x="0" y="0"/>
                <wp:positionH relativeFrom="page">
                  <wp:posOffset>990904</wp:posOffset>
                </wp:positionH>
                <wp:positionV relativeFrom="paragraph">
                  <wp:posOffset>219497</wp:posOffset>
                </wp:positionV>
                <wp:extent cx="1829435" cy="7620"/>
                <wp:effectExtent l="0" t="0" r="0" b="0"/>
                <wp:wrapTopAndBottom/>
                <wp:docPr id="39" name="Graphic 39"/>
                <wp:cNvGraphicFramePr>
                  <a:graphicFrameLocks/>
                </wp:cNvGraphicFramePr>
                <a:graphic>
                  <a:graphicData uri="http://schemas.microsoft.com/office/word/2010/wordprocessingShape">
                    <wps:wsp>
                      <wps:cNvPr id="39" name="Graphic 39"/>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7.283243pt;width:144.020pt;height:.599980pt;mso-position-horizontal-relative:page;mso-position-vertical-relative:paragraph;z-index:-15722496;mso-wrap-distance-left:0;mso-wrap-distance-right:0" id="docshape26" filled="true" fillcolor="#000000" stroked="false">
                <v:fill type="solid"/>
                <w10:wrap type="topAndBottom"/>
              </v:rect>
            </w:pict>
          </mc:Fallback>
        </mc:AlternateContent>
      </w:r>
    </w:p>
    <w:p>
      <w:pPr>
        <w:spacing w:line="209" w:lineRule="exact" w:before="89"/>
        <w:ind w:left="568" w:right="0" w:firstLine="0"/>
        <w:jc w:val="left"/>
        <w:rPr>
          <w:sz w:val="18"/>
        </w:rPr>
      </w:pPr>
      <w:bookmarkStart w:name="_bookmark10" w:id="11"/>
      <w:bookmarkEnd w:id="11"/>
      <w:r>
        <w:rPr/>
      </w:r>
      <w:r>
        <w:rPr>
          <w:position w:val="6"/>
          <w:sz w:val="12"/>
        </w:rPr>
        <w:t>11</w:t>
      </w:r>
      <w:r>
        <w:rPr>
          <w:spacing w:val="15"/>
          <w:position w:val="6"/>
          <w:sz w:val="12"/>
        </w:rPr>
        <w:t> </w:t>
      </w:r>
      <w:r>
        <w:rPr>
          <w:sz w:val="18"/>
        </w:rPr>
        <w:t>Véase</w:t>
      </w:r>
      <w:r>
        <w:rPr>
          <w:spacing w:val="-3"/>
          <w:sz w:val="18"/>
        </w:rPr>
        <w:t> </w:t>
      </w:r>
      <w:r>
        <w:rPr>
          <w:sz w:val="18"/>
        </w:rPr>
        <w:t>Folio</w:t>
      </w:r>
      <w:r>
        <w:rPr>
          <w:spacing w:val="-3"/>
          <w:sz w:val="18"/>
        </w:rPr>
        <w:t> </w:t>
      </w:r>
      <w:r>
        <w:rPr>
          <w:sz w:val="18"/>
        </w:rPr>
        <w:t>530</w:t>
      </w:r>
      <w:r>
        <w:rPr>
          <w:spacing w:val="-4"/>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line="206" w:lineRule="exact" w:before="0"/>
        <w:ind w:left="568" w:right="0" w:firstLine="0"/>
        <w:jc w:val="left"/>
        <w:rPr>
          <w:sz w:val="18"/>
        </w:rPr>
      </w:pPr>
      <w:bookmarkStart w:name="_bookmark11" w:id="12"/>
      <w:bookmarkEnd w:id="12"/>
      <w:r>
        <w:rPr/>
      </w:r>
      <w:r>
        <w:rPr>
          <w:position w:val="6"/>
          <w:sz w:val="12"/>
        </w:rPr>
        <w:t>12</w:t>
      </w:r>
      <w:r>
        <w:rPr>
          <w:spacing w:val="15"/>
          <w:position w:val="6"/>
          <w:sz w:val="12"/>
        </w:rPr>
        <w:t> </w:t>
      </w:r>
      <w:r>
        <w:rPr>
          <w:sz w:val="18"/>
        </w:rPr>
        <w:t>Véase</w:t>
      </w:r>
      <w:r>
        <w:rPr>
          <w:spacing w:val="-3"/>
          <w:sz w:val="18"/>
        </w:rPr>
        <w:t> </w:t>
      </w:r>
      <w:r>
        <w:rPr>
          <w:sz w:val="18"/>
        </w:rPr>
        <w:t>Folio</w:t>
      </w:r>
      <w:r>
        <w:rPr>
          <w:spacing w:val="-3"/>
          <w:sz w:val="18"/>
        </w:rPr>
        <w:t> </w:t>
      </w:r>
      <w:r>
        <w:rPr>
          <w:sz w:val="18"/>
        </w:rPr>
        <w:t>530</w:t>
      </w:r>
      <w:r>
        <w:rPr>
          <w:spacing w:val="-4"/>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line="206" w:lineRule="exact" w:before="0"/>
        <w:ind w:left="568" w:right="0" w:firstLine="0"/>
        <w:jc w:val="left"/>
        <w:rPr>
          <w:sz w:val="18"/>
        </w:rPr>
      </w:pPr>
      <w:bookmarkStart w:name="_bookmark12" w:id="13"/>
      <w:bookmarkEnd w:id="13"/>
      <w:r>
        <w:rPr/>
      </w:r>
      <w:r>
        <w:rPr>
          <w:position w:val="6"/>
          <w:sz w:val="12"/>
        </w:rPr>
        <w:t>13</w:t>
      </w:r>
      <w:r>
        <w:rPr>
          <w:spacing w:val="13"/>
          <w:position w:val="6"/>
          <w:sz w:val="12"/>
        </w:rPr>
        <w:t> </w:t>
      </w:r>
      <w:r>
        <w:rPr>
          <w:sz w:val="18"/>
        </w:rPr>
        <w:t>Véase</w:t>
      </w:r>
      <w:r>
        <w:rPr>
          <w:spacing w:val="-3"/>
          <w:sz w:val="18"/>
        </w:rPr>
        <w:t> </w:t>
      </w:r>
      <w:r>
        <w:rPr>
          <w:sz w:val="18"/>
        </w:rPr>
        <w:t>Folios</w:t>
      </w:r>
      <w:r>
        <w:rPr>
          <w:spacing w:val="-1"/>
          <w:sz w:val="18"/>
        </w:rPr>
        <w:t> </w:t>
      </w:r>
      <w:r>
        <w:rPr>
          <w:sz w:val="18"/>
        </w:rPr>
        <w:t>531</w:t>
      </w:r>
      <w:r>
        <w:rPr>
          <w:spacing w:val="1"/>
          <w:sz w:val="18"/>
        </w:rPr>
        <w:t> </w:t>
      </w:r>
      <w:r>
        <w:rPr>
          <w:sz w:val="18"/>
        </w:rPr>
        <w:t>–</w:t>
      </w:r>
      <w:r>
        <w:rPr>
          <w:spacing w:val="-1"/>
          <w:sz w:val="18"/>
        </w:rPr>
        <w:t> </w:t>
      </w:r>
      <w:r>
        <w:rPr>
          <w:sz w:val="18"/>
        </w:rPr>
        <w:t>532</w:t>
      </w:r>
      <w:r>
        <w:rPr>
          <w:spacing w:val="-3"/>
          <w:sz w:val="18"/>
        </w:rPr>
        <w:t> </w:t>
      </w:r>
      <w:r>
        <w:rPr>
          <w:sz w:val="18"/>
        </w:rPr>
        <w:t>y 536</w:t>
      </w:r>
      <w:r>
        <w:rPr>
          <w:spacing w:val="-4"/>
          <w:sz w:val="18"/>
        </w:rPr>
        <w:t> </w:t>
      </w:r>
      <w:r>
        <w:rPr>
          <w:sz w:val="18"/>
        </w:rPr>
        <w:t>del</w:t>
      </w:r>
      <w:r>
        <w:rPr>
          <w:spacing w:val="-3"/>
          <w:sz w:val="18"/>
        </w:rPr>
        <w:t> </w:t>
      </w:r>
      <w:r>
        <w:rPr>
          <w:sz w:val="18"/>
        </w:rPr>
        <w:t>expediente</w:t>
      </w:r>
      <w:r>
        <w:rPr>
          <w:spacing w:val="2"/>
          <w:sz w:val="18"/>
        </w:rPr>
        <w:t> </w:t>
      </w:r>
      <w:r>
        <w:rPr>
          <w:spacing w:val="-2"/>
          <w:sz w:val="18"/>
        </w:rPr>
        <w:t>DGCOM/REST/001/2026.</w:t>
      </w:r>
    </w:p>
    <w:p>
      <w:pPr>
        <w:spacing w:line="208" w:lineRule="exact" w:before="0"/>
        <w:ind w:left="568" w:right="0" w:firstLine="0"/>
        <w:jc w:val="left"/>
        <w:rPr>
          <w:sz w:val="18"/>
        </w:rPr>
      </w:pPr>
      <w:bookmarkStart w:name="_bookmark13" w:id="14"/>
      <w:bookmarkEnd w:id="14"/>
      <w:r>
        <w:rPr/>
      </w:r>
      <w:r>
        <w:rPr>
          <w:position w:val="6"/>
          <w:sz w:val="12"/>
        </w:rPr>
        <w:t>14</w:t>
      </w:r>
      <w:r>
        <w:rPr>
          <w:spacing w:val="15"/>
          <w:position w:val="6"/>
          <w:sz w:val="12"/>
        </w:rPr>
        <w:t> </w:t>
      </w:r>
      <w:r>
        <w:rPr>
          <w:sz w:val="18"/>
        </w:rPr>
        <w:t>Véase</w:t>
      </w:r>
      <w:r>
        <w:rPr>
          <w:spacing w:val="-3"/>
          <w:sz w:val="18"/>
        </w:rPr>
        <w:t> </w:t>
      </w:r>
      <w:r>
        <w:rPr>
          <w:sz w:val="18"/>
        </w:rPr>
        <w:t>Folio</w:t>
      </w:r>
      <w:r>
        <w:rPr>
          <w:spacing w:val="-3"/>
          <w:sz w:val="18"/>
        </w:rPr>
        <w:t> </w:t>
      </w:r>
      <w:r>
        <w:rPr>
          <w:sz w:val="18"/>
        </w:rPr>
        <w:t>531</w:t>
      </w:r>
      <w:r>
        <w:rPr>
          <w:spacing w:val="-4"/>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line="210" w:lineRule="exact" w:before="0"/>
        <w:ind w:left="568" w:right="0" w:firstLine="0"/>
        <w:jc w:val="left"/>
        <w:rPr>
          <w:sz w:val="18"/>
        </w:rPr>
      </w:pPr>
      <w:bookmarkStart w:name="_bookmark14" w:id="15"/>
      <w:bookmarkEnd w:id="15"/>
      <w:r>
        <w:rPr/>
      </w:r>
      <w:r>
        <w:rPr>
          <w:position w:val="6"/>
          <w:sz w:val="12"/>
        </w:rPr>
        <w:t>15</w:t>
      </w:r>
      <w:r>
        <w:rPr>
          <w:spacing w:val="15"/>
          <w:position w:val="6"/>
          <w:sz w:val="12"/>
        </w:rPr>
        <w:t> </w:t>
      </w:r>
      <w:r>
        <w:rPr>
          <w:sz w:val="18"/>
        </w:rPr>
        <w:t>Véase</w:t>
      </w:r>
      <w:r>
        <w:rPr>
          <w:spacing w:val="-3"/>
          <w:sz w:val="18"/>
        </w:rPr>
        <w:t> </w:t>
      </w:r>
      <w:r>
        <w:rPr>
          <w:sz w:val="18"/>
        </w:rPr>
        <w:t>Folio</w:t>
      </w:r>
      <w:r>
        <w:rPr>
          <w:spacing w:val="-3"/>
          <w:sz w:val="18"/>
        </w:rPr>
        <w:t> </w:t>
      </w:r>
      <w:r>
        <w:rPr>
          <w:sz w:val="18"/>
        </w:rPr>
        <w:t>532</w:t>
      </w:r>
      <w:r>
        <w:rPr>
          <w:spacing w:val="-4"/>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0" name="Group 40"/>
                <wp:cNvGraphicFramePr>
                  <a:graphicFrameLocks/>
                </wp:cNvGraphicFramePr>
                <a:graphic>
                  <a:graphicData uri="http://schemas.microsoft.com/office/word/2010/wordprocessingGroup">
                    <wpg:wgp>
                      <wpg:cNvPr id="40" name="Group 40"/>
                      <wpg:cNvGrpSpPr/>
                      <wpg:grpSpPr>
                        <a:xfrm>
                          <a:off x="0" y="0"/>
                          <a:ext cx="6131560" cy="9525"/>
                          <a:chExt cx="6131560" cy="9525"/>
                        </a:xfrm>
                      </wpg:grpSpPr>
                      <wps:wsp>
                        <wps:cNvPr id="41" name="Graphic 41"/>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7"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637" w:top="1380" w:bottom="820" w:left="992" w:right="283"/>
        </w:sectPr>
      </w:pPr>
    </w:p>
    <w:p>
      <w:pPr>
        <w:pStyle w:val="BodyText"/>
        <w:spacing w:before="176"/>
      </w:pPr>
    </w:p>
    <w:p>
      <w:pPr>
        <w:spacing w:before="0"/>
        <w:ind w:left="2128" w:right="979" w:firstLine="0"/>
        <w:jc w:val="both"/>
        <w:rPr>
          <w:rFonts w:ascii="Arial" w:hAnsi="Arial"/>
          <w:i/>
          <w:sz w:val="22"/>
        </w:rPr>
      </w:pPr>
      <w:r>
        <w:rPr>
          <w:rFonts w:ascii="Arial" w:hAnsi="Arial"/>
          <w:i/>
          <w:sz w:val="22"/>
        </w:rPr>
        <w:t>“La propia solicitud colombiana transcribe que las autoridades ecuatorianas “han autorizado de manera excepcional la habilitación controlada del paso fronterizo CEBAF San Miguel, con el objetivo exclusivo de garantizar la continuidad</w:t>
      </w:r>
      <w:r>
        <w:rPr>
          <w:rFonts w:ascii="Arial" w:hAnsi="Arial"/>
          <w:i/>
          <w:spacing w:val="-6"/>
          <w:sz w:val="22"/>
        </w:rPr>
        <w:t> </w:t>
      </w:r>
      <w:r>
        <w:rPr>
          <w:rFonts w:ascii="Arial" w:hAnsi="Arial"/>
          <w:i/>
          <w:sz w:val="22"/>
        </w:rPr>
        <w:t>del</w:t>
      </w:r>
      <w:r>
        <w:rPr>
          <w:rFonts w:ascii="Arial" w:hAnsi="Arial"/>
          <w:i/>
          <w:spacing w:val="-9"/>
          <w:sz w:val="22"/>
        </w:rPr>
        <w:t> </w:t>
      </w:r>
      <w:r>
        <w:rPr>
          <w:rFonts w:ascii="Arial" w:hAnsi="Arial"/>
          <w:i/>
          <w:sz w:val="22"/>
        </w:rPr>
        <w:t>transporte</w:t>
      </w:r>
      <w:r>
        <w:rPr>
          <w:rFonts w:ascii="Arial" w:hAnsi="Arial"/>
          <w:i/>
          <w:spacing w:val="-6"/>
          <w:sz w:val="22"/>
        </w:rPr>
        <w:t> </w:t>
      </w:r>
      <w:r>
        <w:rPr>
          <w:rFonts w:ascii="Arial" w:hAnsi="Arial"/>
          <w:i/>
          <w:sz w:val="22"/>
        </w:rPr>
        <w:t>de</w:t>
      </w:r>
      <w:r>
        <w:rPr>
          <w:rFonts w:ascii="Arial" w:hAnsi="Arial"/>
          <w:i/>
          <w:spacing w:val="-9"/>
          <w:sz w:val="22"/>
        </w:rPr>
        <w:t> </w:t>
      </w:r>
      <w:r>
        <w:rPr>
          <w:rFonts w:ascii="Arial" w:hAnsi="Arial"/>
          <w:i/>
          <w:sz w:val="22"/>
        </w:rPr>
        <w:t>crudo</w:t>
      </w:r>
      <w:r>
        <w:rPr>
          <w:rFonts w:ascii="Arial" w:hAnsi="Arial"/>
          <w:i/>
          <w:spacing w:val="-7"/>
          <w:sz w:val="22"/>
        </w:rPr>
        <w:t> </w:t>
      </w:r>
      <w:r>
        <w:rPr>
          <w:rFonts w:ascii="Arial" w:hAnsi="Arial"/>
          <w:i/>
          <w:sz w:val="22"/>
        </w:rPr>
        <w:t>colombiano</w:t>
      </w:r>
      <w:r>
        <w:rPr>
          <w:rFonts w:ascii="Arial" w:hAnsi="Arial"/>
          <w:i/>
          <w:spacing w:val="-8"/>
          <w:sz w:val="22"/>
        </w:rPr>
        <w:t> </w:t>
      </w:r>
      <w:r>
        <w:rPr>
          <w:rFonts w:ascii="Arial" w:hAnsi="Arial"/>
          <w:i/>
          <w:sz w:val="22"/>
        </w:rPr>
        <w:t>hacia</w:t>
      </w:r>
      <w:r>
        <w:rPr>
          <w:rFonts w:ascii="Arial" w:hAnsi="Arial"/>
          <w:i/>
          <w:spacing w:val="-6"/>
          <w:sz w:val="22"/>
        </w:rPr>
        <w:t> </w:t>
      </w:r>
      <w:r>
        <w:rPr>
          <w:rFonts w:ascii="Arial" w:hAnsi="Arial"/>
          <w:i/>
          <w:sz w:val="22"/>
        </w:rPr>
        <w:t>la</w:t>
      </w:r>
      <w:r>
        <w:rPr>
          <w:rFonts w:ascii="Arial" w:hAnsi="Arial"/>
          <w:i/>
          <w:spacing w:val="-6"/>
          <w:sz w:val="22"/>
        </w:rPr>
        <w:t> </w:t>
      </w:r>
      <w:r>
        <w:rPr>
          <w:rFonts w:ascii="Arial" w:hAnsi="Arial"/>
          <w:i/>
          <w:sz w:val="22"/>
        </w:rPr>
        <w:t>Estación</w:t>
      </w:r>
      <w:r>
        <w:rPr>
          <w:rFonts w:ascii="Arial" w:hAnsi="Arial"/>
          <w:i/>
          <w:spacing w:val="-9"/>
          <w:sz w:val="22"/>
        </w:rPr>
        <w:t> </w:t>
      </w:r>
      <w:r>
        <w:rPr>
          <w:rFonts w:ascii="Arial" w:hAnsi="Arial"/>
          <w:i/>
          <w:sz w:val="22"/>
        </w:rPr>
        <w:t>de</w:t>
      </w:r>
      <w:r>
        <w:rPr>
          <w:rFonts w:ascii="Arial" w:hAnsi="Arial"/>
          <w:i/>
          <w:spacing w:val="-9"/>
          <w:sz w:val="22"/>
        </w:rPr>
        <w:t> </w:t>
      </w:r>
      <w:r>
        <w:rPr>
          <w:rFonts w:ascii="Arial" w:hAnsi="Arial"/>
          <w:i/>
          <w:sz w:val="22"/>
        </w:rPr>
        <w:t>Bombeo Amazonas”, adjuntando un listado de personas y vehículos autorizados. Es decir, nos encontramos ante una apertura excepcional y controlada en favor de una operación específica de interés para Colombia, no ante un nuevo cierre”. [sic]</w:t>
      </w:r>
    </w:p>
    <w:p>
      <w:pPr>
        <w:pStyle w:val="BodyText"/>
        <w:spacing w:before="1"/>
        <w:rPr>
          <w:rFonts w:ascii="Arial"/>
          <w:i/>
        </w:rPr>
      </w:pPr>
    </w:p>
    <w:p>
      <w:pPr>
        <w:pStyle w:val="ListParagraph"/>
        <w:numPr>
          <w:ilvl w:val="0"/>
          <w:numId w:val="2"/>
        </w:numPr>
        <w:tabs>
          <w:tab w:pos="1420" w:val="left" w:leader="none"/>
        </w:tabs>
        <w:spacing w:line="240" w:lineRule="auto" w:before="0" w:after="0"/>
        <w:ind w:left="1420" w:right="979" w:hanging="852"/>
        <w:jc w:val="both"/>
        <w:rPr>
          <w:sz w:val="22"/>
        </w:rPr>
      </w:pPr>
      <w:r>
        <w:rPr>
          <w:sz w:val="22"/>
        </w:rPr>
        <w:t>La</w:t>
      </w:r>
      <w:r>
        <w:rPr>
          <w:spacing w:val="-10"/>
          <w:sz w:val="22"/>
        </w:rPr>
        <w:t> </w:t>
      </w:r>
      <w:r>
        <w:rPr>
          <w:sz w:val="22"/>
        </w:rPr>
        <w:t>exigencia</w:t>
      </w:r>
      <w:r>
        <w:rPr>
          <w:spacing w:val="-10"/>
          <w:sz w:val="22"/>
        </w:rPr>
        <w:t> </w:t>
      </w:r>
      <w:r>
        <w:rPr>
          <w:sz w:val="22"/>
        </w:rPr>
        <w:t>de</w:t>
      </w:r>
      <w:r>
        <w:rPr>
          <w:spacing w:val="-10"/>
          <w:sz w:val="22"/>
        </w:rPr>
        <w:t> </w:t>
      </w:r>
      <w:r>
        <w:rPr>
          <w:sz w:val="22"/>
        </w:rPr>
        <w:t>identificación</w:t>
      </w:r>
      <w:r>
        <w:rPr>
          <w:spacing w:val="-10"/>
          <w:sz w:val="22"/>
        </w:rPr>
        <w:t> </w:t>
      </w:r>
      <w:r>
        <w:rPr>
          <w:sz w:val="22"/>
        </w:rPr>
        <w:t>previa</w:t>
      </w:r>
      <w:r>
        <w:rPr>
          <w:spacing w:val="-10"/>
          <w:sz w:val="22"/>
        </w:rPr>
        <w:t> </w:t>
      </w:r>
      <w:r>
        <w:rPr>
          <w:sz w:val="22"/>
        </w:rPr>
        <w:t>de</w:t>
      </w:r>
      <w:r>
        <w:rPr>
          <w:spacing w:val="-10"/>
          <w:sz w:val="22"/>
        </w:rPr>
        <w:t> </w:t>
      </w:r>
      <w:r>
        <w:rPr>
          <w:sz w:val="22"/>
        </w:rPr>
        <w:t>personas</w:t>
      </w:r>
      <w:r>
        <w:rPr>
          <w:spacing w:val="-15"/>
          <w:sz w:val="22"/>
        </w:rPr>
        <w:t> </w:t>
      </w:r>
      <w:r>
        <w:rPr>
          <w:sz w:val="22"/>
        </w:rPr>
        <w:t>y</w:t>
      </w:r>
      <w:r>
        <w:rPr>
          <w:spacing w:val="-9"/>
          <w:sz w:val="22"/>
        </w:rPr>
        <w:t> </w:t>
      </w:r>
      <w:r>
        <w:rPr>
          <w:sz w:val="22"/>
        </w:rPr>
        <w:t>vehículos</w:t>
      </w:r>
      <w:r>
        <w:rPr>
          <w:spacing w:val="-12"/>
          <w:sz w:val="22"/>
        </w:rPr>
        <w:t> </w:t>
      </w:r>
      <w:r>
        <w:rPr>
          <w:sz w:val="22"/>
        </w:rPr>
        <w:t>en</w:t>
      </w:r>
      <w:r>
        <w:rPr>
          <w:spacing w:val="-10"/>
          <w:sz w:val="22"/>
        </w:rPr>
        <w:t> </w:t>
      </w:r>
      <w:r>
        <w:rPr>
          <w:sz w:val="22"/>
        </w:rPr>
        <w:t>el</w:t>
      </w:r>
      <w:r>
        <w:rPr>
          <w:spacing w:val="-9"/>
          <w:sz w:val="22"/>
        </w:rPr>
        <w:t> </w:t>
      </w:r>
      <w:r>
        <w:rPr>
          <w:sz w:val="22"/>
        </w:rPr>
        <w:t>Centro</w:t>
      </w:r>
      <w:r>
        <w:rPr>
          <w:spacing w:val="-12"/>
          <w:sz w:val="22"/>
        </w:rPr>
        <w:t> </w:t>
      </w:r>
      <w:r>
        <w:rPr>
          <w:sz w:val="22"/>
        </w:rPr>
        <w:t>Binacional de Atención en Frontera - CEBAF San Miguel responde a criterios de seguridad y control, y es consistente con los mecanismos de control integrado previstos en la normativa andina</w:t>
      </w:r>
      <w:hyperlink w:history="true" w:anchor="_bookmark15">
        <w:r>
          <w:rPr>
            <w:sz w:val="22"/>
          </w:rPr>
          <w:t>.</w:t>
        </w:r>
        <w:r>
          <w:rPr>
            <w:sz w:val="22"/>
            <w:vertAlign w:val="superscript"/>
          </w:rPr>
          <w:t>16</w:t>
        </w:r>
      </w:hyperlink>
    </w:p>
    <w:p>
      <w:pPr>
        <w:pStyle w:val="BodyText"/>
      </w:pPr>
    </w:p>
    <w:p>
      <w:pPr>
        <w:spacing w:before="1"/>
        <w:ind w:left="2128" w:right="980" w:firstLine="0"/>
        <w:jc w:val="both"/>
        <w:rPr>
          <w:rFonts w:ascii="Arial" w:hAnsi="Arial"/>
          <w:i/>
          <w:sz w:val="22"/>
        </w:rPr>
      </w:pPr>
      <w:r>
        <w:rPr>
          <w:rFonts w:ascii="Arial" w:hAnsi="Arial"/>
          <w:i/>
          <w:sz w:val="22"/>
        </w:rPr>
        <w:t>“La exigencia de individualizar previamente a las personas y vehículos autorizados resulta, además, totalmente compatible con la lógica del control integrado prevista por la Decisión 502. Los artículos 8, 9, 11 y 15 de esa Decisión suponen precisamente que el tránsito de mercancías, personas y vehículos por un CEBAF puede quedar sometido a procedimientos operacionales armonizados, servicios de seguridad y contingencia, y comunicación oficial de los funcionarios competentes.”</w:t>
      </w:r>
    </w:p>
    <w:p>
      <w:pPr>
        <w:pStyle w:val="ListParagraph"/>
        <w:numPr>
          <w:ilvl w:val="0"/>
          <w:numId w:val="2"/>
        </w:numPr>
        <w:tabs>
          <w:tab w:pos="1420" w:val="left" w:leader="none"/>
        </w:tabs>
        <w:spacing w:line="240" w:lineRule="auto" w:before="252" w:after="0"/>
        <w:ind w:left="1420" w:right="0" w:hanging="852"/>
        <w:jc w:val="left"/>
        <w:rPr>
          <w:sz w:val="22"/>
        </w:rPr>
      </w:pPr>
      <w:r>
        <w:rPr>
          <w:sz w:val="22"/>
        </w:rPr>
        <w:t>No</w:t>
      </w:r>
      <w:r>
        <w:rPr>
          <w:spacing w:val="-4"/>
          <w:sz w:val="22"/>
        </w:rPr>
        <w:t> </w:t>
      </w:r>
      <w:r>
        <w:rPr>
          <w:sz w:val="22"/>
        </w:rPr>
        <w:t>existe</w:t>
      </w:r>
      <w:r>
        <w:rPr>
          <w:spacing w:val="-6"/>
          <w:sz w:val="22"/>
        </w:rPr>
        <w:t> </w:t>
      </w:r>
      <w:r>
        <w:rPr>
          <w:sz w:val="22"/>
        </w:rPr>
        <w:t>falta</w:t>
      </w:r>
      <w:r>
        <w:rPr>
          <w:spacing w:val="-6"/>
          <w:sz w:val="22"/>
        </w:rPr>
        <w:t> </w:t>
      </w:r>
      <w:r>
        <w:rPr>
          <w:sz w:val="22"/>
        </w:rPr>
        <w:t>de</w:t>
      </w:r>
      <w:r>
        <w:rPr>
          <w:spacing w:val="-5"/>
          <w:sz w:val="22"/>
        </w:rPr>
        <w:t> </w:t>
      </w:r>
      <w:r>
        <w:rPr>
          <w:sz w:val="22"/>
        </w:rPr>
        <w:t>motivación</w:t>
      </w:r>
      <w:r>
        <w:rPr>
          <w:spacing w:val="-4"/>
          <w:sz w:val="22"/>
        </w:rPr>
        <w:t> </w:t>
      </w:r>
      <w:r>
        <w:rPr>
          <w:sz w:val="22"/>
        </w:rPr>
        <w:t>de</w:t>
      </w:r>
      <w:r>
        <w:rPr>
          <w:spacing w:val="-4"/>
          <w:sz w:val="22"/>
        </w:rPr>
        <w:t> </w:t>
      </w:r>
      <w:r>
        <w:rPr>
          <w:sz w:val="22"/>
        </w:rPr>
        <w:t>las</w:t>
      </w:r>
      <w:r>
        <w:rPr>
          <w:spacing w:val="-5"/>
          <w:sz w:val="22"/>
        </w:rPr>
        <w:t> </w:t>
      </w:r>
      <w:r>
        <w:rPr>
          <w:sz w:val="22"/>
        </w:rPr>
        <w:t>medidas</w:t>
      </w:r>
      <w:r>
        <w:rPr>
          <w:spacing w:val="-3"/>
          <w:sz w:val="22"/>
        </w:rPr>
        <w:t> </w:t>
      </w:r>
      <w:r>
        <w:rPr>
          <w:sz w:val="22"/>
        </w:rPr>
        <w:t>adoptadas,</w:t>
      </w:r>
      <w:r>
        <w:rPr>
          <w:spacing w:val="-5"/>
          <w:sz w:val="22"/>
        </w:rPr>
        <w:t> </w:t>
      </w:r>
      <w:r>
        <w:rPr>
          <w:sz w:val="22"/>
        </w:rPr>
        <w:t>debido</w:t>
      </w:r>
      <w:r>
        <w:rPr>
          <w:spacing w:val="-4"/>
          <w:sz w:val="22"/>
        </w:rPr>
        <w:t> </w:t>
      </w:r>
      <w:r>
        <w:rPr>
          <w:sz w:val="22"/>
        </w:rPr>
        <w:t>a</w:t>
      </w:r>
      <w:r>
        <w:rPr>
          <w:spacing w:val="-5"/>
          <w:sz w:val="22"/>
        </w:rPr>
        <w:t> </w:t>
      </w:r>
      <w:r>
        <w:rPr>
          <w:spacing w:val="-4"/>
          <w:sz w:val="22"/>
        </w:rPr>
        <w:t>que:</w:t>
      </w:r>
    </w:p>
    <w:p>
      <w:pPr>
        <w:pStyle w:val="BodyText"/>
        <w:spacing w:before="6"/>
      </w:pPr>
    </w:p>
    <w:p>
      <w:pPr>
        <w:pStyle w:val="ListParagraph"/>
        <w:numPr>
          <w:ilvl w:val="1"/>
          <w:numId w:val="2"/>
        </w:numPr>
        <w:tabs>
          <w:tab w:pos="2837" w:val="left" w:leader="none"/>
        </w:tabs>
        <w:spacing w:line="232" w:lineRule="auto" w:before="1" w:after="0"/>
        <w:ind w:left="2837" w:right="976" w:hanging="361"/>
        <w:jc w:val="both"/>
        <w:rPr>
          <w:rFonts w:ascii="Times New Roman" w:hAnsi="Times New Roman"/>
          <w:sz w:val="14"/>
        </w:rPr>
      </w:pPr>
      <w:r>
        <w:rPr>
          <w:sz w:val="22"/>
          <w:vertAlign w:val="baseline"/>
        </w:rPr>
        <w:t>Las notas verbales cumplen una función de notificación diplomática; </w:t>
      </w:r>
      <w:r>
        <w:rPr>
          <w:spacing w:val="-4"/>
          <w:position w:val="-7"/>
          <w:sz w:val="22"/>
          <w:vertAlign w:val="baseline"/>
        </w:rPr>
        <w:t>y</w:t>
      </w:r>
      <w:hyperlink w:history="true" w:anchor="_bookmark16">
        <w:r>
          <w:rPr>
            <w:spacing w:val="-4"/>
            <w:sz w:val="14"/>
            <w:vertAlign w:val="baseline"/>
          </w:rPr>
          <w:t>17</w:t>
        </w:r>
      </w:hyperlink>
    </w:p>
    <w:p>
      <w:pPr>
        <w:pStyle w:val="ListParagraph"/>
        <w:numPr>
          <w:ilvl w:val="1"/>
          <w:numId w:val="2"/>
        </w:numPr>
        <w:tabs>
          <w:tab w:pos="2837" w:val="left" w:leader="none"/>
        </w:tabs>
        <w:spacing w:line="240" w:lineRule="auto" w:before="3" w:after="0"/>
        <w:ind w:left="2837" w:right="985" w:hanging="361"/>
        <w:jc w:val="both"/>
        <w:rPr>
          <w:rFonts w:ascii="Times New Roman" w:hAnsi="Times New Roman"/>
          <w:sz w:val="22"/>
        </w:rPr>
      </w:pPr>
      <w:r>
        <w:rPr>
          <w:sz w:val="22"/>
        </w:rPr>
        <w:t>La justificación técnica se desarrolla dentro del procedimiento ante la SGCAN, conforme a la Decisión 425</w:t>
      </w:r>
      <w:hyperlink w:history="true" w:anchor="_bookmark17">
        <w:r>
          <w:rPr>
            <w:sz w:val="22"/>
            <w:vertAlign w:val="superscript"/>
          </w:rPr>
          <w:t>18.</w:t>
        </w:r>
      </w:hyperlink>
    </w:p>
    <w:p>
      <w:pPr>
        <w:pStyle w:val="ListParagraph"/>
        <w:numPr>
          <w:ilvl w:val="0"/>
          <w:numId w:val="2"/>
        </w:numPr>
        <w:tabs>
          <w:tab w:pos="1420" w:val="left" w:leader="none"/>
        </w:tabs>
        <w:spacing w:line="240" w:lineRule="auto" w:before="252" w:after="0"/>
        <w:ind w:left="1420" w:right="979" w:hanging="852"/>
        <w:jc w:val="both"/>
        <w:rPr>
          <w:sz w:val="22"/>
        </w:rPr>
      </w:pPr>
      <w:r>
        <w:rPr>
          <w:sz w:val="22"/>
        </w:rPr>
        <w:t>El Programa de Liberación del Acuerdo de Cartagena no tiene carácter absoluto, debiendo interpretarse sistemáticamente con sus excepciones, particularmente aquellas relativas a seguridad y protección de bienes jurídicos superiores</w:t>
      </w:r>
      <w:hyperlink w:history="true" w:anchor="_bookmark18">
        <w:r>
          <w:rPr>
            <w:sz w:val="22"/>
            <w:vertAlign w:val="superscript"/>
          </w:rPr>
          <w:t>19</w:t>
        </w:r>
      </w:hyperlink>
      <w:r>
        <w:rPr>
          <w:sz w:val="22"/>
          <w:vertAlign w:val="baseline"/>
        </w:rPr>
        <w:t>.</w:t>
      </w:r>
    </w:p>
    <w:p>
      <w:pPr>
        <w:pStyle w:val="BodyText"/>
        <w:spacing w:before="1"/>
      </w:pPr>
    </w:p>
    <w:p>
      <w:pPr>
        <w:pStyle w:val="ListParagraph"/>
        <w:numPr>
          <w:ilvl w:val="1"/>
          <w:numId w:val="2"/>
        </w:numPr>
        <w:tabs>
          <w:tab w:pos="2837" w:val="left" w:leader="none"/>
        </w:tabs>
        <w:spacing w:line="240" w:lineRule="auto" w:before="0" w:after="0"/>
        <w:ind w:left="2837" w:right="979" w:hanging="361"/>
        <w:jc w:val="both"/>
        <w:rPr>
          <w:rFonts w:ascii="Times New Roman" w:hAnsi="Times New Roman"/>
          <w:sz w:val="22"/>
        </w:rPr>
      </w:pPr>
      <w:r>
        <w:rPr>
          <w:sz w:val="22"/>
        </w:rPr>
        <w:t>La medida no constituye una restricción encubierta ni un mecanismo proteccionista, sino una respuesta estatal legítima frente a riesgos reales que afectan la seguridad nacional y el control aduanero.</w:t>
      </w:r>
    </w:p>
    <w:p>
      <w:pPr>
        <w:pStyle w:val="ListParagraph"/>
        <w:numPr>
          <w:ilvl w:val="1"/>
          <w:numId w:val="2"/>
        </w:numPr>
        <w:tabs>
          <w:tab w:pos="2837" w:val="left" w:leader="none"/>
        </w:tabs>
        <w:spacing w:line="240" w:lineRule="auto" w:before="250" w:after="0"/>
        <w:ind w:left="2837" w:right="978" w:hanging="361"/>
        <w:jc w:val="both"/>
        <w:rPr>
          <w:rFonts w:ascii="Times New Roman" w:hAnsi="Times New Roman"/>
          <w:sz w:val="22"/>
        </w:rPr>
      </w:pPr>
      <w:r>
        <w:rPr>
          <w:sz w:val="22"/>
        </w:rPr>
        <w:t>La controversia debe analizarse en un contexto integral, donde la facilitación</w:t>
      </w:r>
      <w:r>
        <w:rPr>
          <w:spacing w:val="-4"/>
          <w:sz w:val="22"/>
        </w:rPr>
        <w:t> </w:t>
      </w:r>
      <w:r>
        <w:rPr>
          <w:sz w:val="22"/>
        </w:rPr>
        <w:t>del</w:t>
      </w:r>
      <w:r>
        <w:rPr>
          <w:spacing w:val="-7"/>
          <w:sz w:val="22"/>
        </w:rPr>
        <w:t> </w:t>
      </w:r>
      <w:r>
        <w:rPr>
          <w:sz w:val="22"/>
        </w:rPr>
        <w:t>comercio</w:t>
      </w:r>
      <w:r>
        <w:rPr>
          <w:spacing w:val="-6"/>
          <w:sz w:val="22"/>
        </w:rPr>
        <w:t> </w:t>
      </w:r>
      <w:r>
        <w:rPr>
          <w:sz w:val="22"/>
        </w:rPr>
        <w:t>es</w:t>
      </w:r>
      <w:r>
        <w:rPr>
          <w:spacing w:val="-4"/>
          <w:sz w:val="22"/>
        </w:rPr>
        <w:t> </w:t>
      </w:r>
      <w:r>
        <w:rPr>
          <w:sz w:val="22"/>
        </w:rPr>
        <w:t>compatible</w:t>
      </w:r>
      <w:r>
        <w:rPr>
          <w:spacing w:val="-6"/>
          <w:sz w:val="22"/>
        </w:rPr>
        <w:t> </w:t>
      </w:r>
      <w:r>
        <w:rPr>
          <w:sz w:val="22"/>
        </w:rPr>
        <w:t>con</w:t>
      </w:r>
      <w:r>
        <w:rPr>
          <w:spacing w:val="-6"/>
          <w:sz w:val="22"/>
        </w:rPr>
        <w:t> </w:t>
      </w:r>
      <w:r>
        <w:rPr>
          <w:sz w:val="22"/>
        </w:rPr>
        <w:t>la</w:t>
      </w:r>
      <w:r>
        <w:rPr>
          <w:spacing w:val="-4"/>
          <w:sz w:val="22"/>
        </w:rPr>
        <w:t> </w:t>
      </w:r>
      <w:r>
        <w:rPr>
          <w:sz w:val="22"/>
        </w:rPr>
        <w:t>necesidad</w:t>
      </w:r>
      <w:r>
        <w:rPr>
          <w:spacing w:val="-4"/>
          <w:sz w:val="22"/>
        </w:rPr>
        <w:t> </w:t>
      </w:r>
      <w:r>
        <w:rPr>
          <w:sz w:val="22"/>
        </w:rPr>
        <w:t>de</w:t>
      </w:r>
      <w:r>
        <w:rPr>
          <w:spacing w:val="-6"/>
          <w:sz w:val="22"/>
        </w:rPr>
        <w:t> </w:t>
      </w:r>
      <w:r>
        <w:rPr>
          <w:sz w:val="22"/>
        </w:rPr>
        <w:t>garantizar condiciones mínimas de seguridad, orden y control en zonas fronterizas de alta vulnerabilidad.</w:t>
      </w:r>
    </w:p>
    <w:p>
      <w:pPr>
        <w:pStyle w:val="BodyText"/>
      </w:pPr>
    </w:p>
    <w:p>
      <w:pPr>
        <w:pStyle w:val="ListParagraph"/>
        <w:numPr>
          <w:ilvl w:val="1"/>
          <w:numId w:val="2"/>
        </w:numPr>
        <w:tabs>
          <w:tab w:pos="2837" w:val="left" w:leader="none"/>
        </w:tabs>
        <w:spacing w:line="240" w:lineRule="auto" w:before="0" w:after="0"/>
        <w:ind w:left="2837" w:right="978" w:hanging="361"/>
        <w:jc w:val="both"/>
        <w:rPr>
          <w:rFonts w:ascii="Times New Roman" w:hAnsi="Times New Roman"/>
          <w:sz w:val="22"/>
        </w:rPr>
      </w:pPr>
      <w:r>
        <w:rPr>
          <w:sz w:val="22"/>
        </w:rPr>
        <w:t>La República del Ecuador manifiesta que la República de Colombia describe</w:t>
      </w:r>
      <w:r>
        <w:rPr>
          <w:spacing w:val="-1"/>
          <w:sz w:val="22"/>
        </w:rPr>
        <w:t> </w:t>
      </w:r>
      <w:r>
        <w:rPr>
          <w:sz w:val="22"/>
        </w:rPr>
        <w:t>una</w:t>
      </w:r>
      <w:r>
        <w:rPr>
          <w:spacing w:val="-3"/>
          <w:sz w:val="22"/>
        </w:rPr>
        <w:t> </w:t>
      </w:r>
      <w:r>
        <w:rPr>
          <w:sz w:val="22"/>
        </w:rPr>
        <w:t>reordenación</w:t>
      </w:r>
      <w:r>
        <w:rPr>
          <w:spacing w:val="-1"/>
          <w:sz w:val="22"/>
        </w:rPr>
        <w:t> </w:t>
      </w:r>
      <w:r>
        <w:rPr>
          <w:sz w:val="22"/>
        </w:rPr>
        <w:t>del</w:t>
      </w:r>
      <w:r>
        <w:rPr>
          <w:spacing w:val="-1"/>
          <w:sz w:val="22"/>
        </w:rPr>
        <w:t> </w:t>
      </w:r>
      <w:r>
        <w:rPr>
          <w:sz w:val="22"/>
        </w:rPr>
        <w:t>canal</w:t>
      </w:r>
      <w:r>
        <w:rPr>
          <w:spacing w:val="-2"/>
          <w:sz w:val="22"/>
        </w:rPr>
        <w:t> </w:t>
      </w:r>
      <w:r>
        <w:rPr>
          <w:sz w:val="22"/>
        </w:rPr>
        <w:t>de</w:t>
      </w:r>
      <w:r>
        <w:rPr>
          <w:spacing w:val="-1"/>
          <w:sz w:val="22"/>
        </w:rPr>
        <w:t> </w:t>
      </w:r>
      <w:r>
        <w:rPr>
          <w:sz w:val="22"/>
        </w:rPr>
        <w:t>ingreso,</w:t>
      </w:r>
      <w:r>
        <w:rPr>
          <w:spacing w:val="-1"/>
          <w:sz w:val="22"/>
        </w:rPr>
        <w:t> </w:t>
      </w:r>
      <w:r>
        <w:rPr>
          <w:sz w:val="22"/>
        </w:rPr>
        <w:t>en</w:t>
      </w:r>
      <w:r>
        <w:rPr>
          <w:spacing w:val="-1"/>
          <w:sz w:val="22"/>
        </w:rPr>
        <w:t> </w:t>
      </w:r>
      <w:r>
        <w:rPr>
          <w:sz w:val="22"/>
        </w:rPr>
        <w:t>lugar de</w:t>
      </w:r>
      <w:r>
        <w:rPr>
          <w:spacing w:val="-1"/>
          <w:sz w:val="22"/>
        </w:rPr>
        <w:t> </w:t>
      </w:r>
      <w:r>
        <w:rPr>
          <w:sz w:val="22"/>
        </w:rPr>
        <w:t>acreditar una restricción comercial sustantiva en sentido comunitario, ello porque este país identificó como afectadas, prácticamente todas las mercancías de la NANDINA, sin desarrollar una demostración concreta, producto por producto, de impedimento real de acceso al mercado ecuatoriano.</w:t>
      </w:r>
    </w:p>
    <w:p>
      <w:pPr>
        <w:pStyle w:val="BodyText"/>
        <w:rPr>
          <w:sz w:val="20"/>
        </w:rPr>
      </w:pPr>
    </w:p>
    <w:p>
      <w:pPr>
        <w:pStyle w:val="BodyText"/>
        <w:rPr>
          <w:sz w:val="20"/>
        </w:rPr>
      </w:pPr>
    </w:p>
    <w:p>
      <w:pPr>
        <w:pStyle w:val="BodyText"/>
        <w:spacing w:before="70"/>
        <w:rPr>
          <w:sz w:val="20"/>
        </w:rPr>
      </w:pPr>
      <w:r>
        <w:rPr>
          <w:sz w:val="20"/>
        </w:rPr>
        <mc:AlternateContent>
          <mc:Choice Requires="wps">
            <w:drawing>
              <wp:anchor distT="0" distB="0" distL="0" distR="0" allowOverlap="1" layoutInCell="1" locked="0" behindDoc="1" simplePos="0" relativeHeight="487595008">
                <wp:simplePos x="0" y="0"/>
                <wp:positionH relativeFrom="page">
                  <wp:posOffset>990904</wp:posOffset>
                </wp:positionH>
                <wp:positionV relativeFrom="paragraph">
                  <wp:posOffset>205900</wp:posOffset>
                </wp:positionV>
                <wp:extent cx="1829435" cy="7620"/>
                <wp:effectExtent l="0" t="0" r="0" b="0"/>
                <wp:wrapTopAndBottom/>
                <wp:docPr id="42" name="Graphic 42"/>
                <wp:cNvGraphicFramePr>
                  <a:graphicFrameLocks/>
                </wp:cNvGraphicFramePr>
                <a:graphic>
                  <a:graphicData uri="http://schemas.microsoft.com/office/word/2010/wordprocessingShape">
                    <wps:wsp>
                      <wps:cNvPr id="42" name="Graphic 42"/>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6.21265pt;width:144.020pt;height:.599980pt;mso-position-horizontal-relative:page;mso-position-vertical-relative:paragraph;z-index:-15721472;mso-wrap-distance-left:0;mso-wrap-distance-right:0" id="docshape28" filled="true" fillcolor="#000000" stroked="false">
                <v:fill type="solid"/>
                <w10:wrap type="topAndBottom"/>
              </v:rect>
            </w:pict>
          </mc:Fallback>
        </mc:AlternateContent>
      </w:r>
    </w:p>
    <w:p>
      <w:pPr>
        <w:spacing w:line="209" w:lineRule="exact" w:before="87"/>
        <w:ind w:left="568" w:right="0" w:firstLine="0"/>
        <w:jc w:val="left"/>
        <w:rPr>
          <w:sz w:val="18"/>
        </w:rPr>
      </w:pPr>
      <w:bookmarkStart w:name="_bookmark15" w:id="16"/>
      <w:bookmarkEnd w:id="16"/>
      <w:r>
        <w:rPr/>
      </w:r>
      <w:r>
        <w:rPr>
          <w:position w:val="6"/>
          <w:sz w:val="12"/>
        </w:rPr>
        <w:t>16</w:t>
      </w:r>
      <w:r>
        <w:rPr>
          <w:spacing w:val="15"/>
          <w:position w:val="6"/>
          <w:sz w:val="12"/>
        </w:rPr>
        <w:t> </w:t>
      </w:r>
      <w:r>
        <w:rPr>
          <w:sz w:val="18"/>
        </w:rPr>
        <w:t>Véase</w:t>
      </w:r>
      <w:r>
        <w:rPr>
          <w:spacing w:val="-3"/>
          <w:sz w:val="18"/>
        </w:rPr>
        <w:t> </w:t>
      </w:r>
      <w:r>
        <w:rPr>
          <w:sz w:val="18"/>
        </w:rPr>
        <w:t>Folio</w:t>
      </w:r>
      <w:r>
        <w:rPr>
          <w:spacing w:val="-3"/>
          <w:sz w:val="18"/>
        </w:rPr>
        <w:t> </w:t>
      </w:r>
      <w:r>
        <w:rPr>
          <w:sz w:val="18"/>
        </w:rPr>
        <w:t>533</w:t>
      </w:r>
      <w:r>
        <w:rPr>
          <w:spacing w:val="-4"/>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line="206" w:lineRule="exact" w:before="0"/>
        <w:ind w:left="568" w:right="0" w:firstLine="0"/>
        <w:jc w:val="left"/>
        <w:rPr>
          <w:sz w:val="18"/>
        </w:rPr>
      </w:pPr>
      <w:bookmarkStart w:name="_bookmark16" w:id="17"/>
      <w:bookmarkEnd w:id="17"/>
      <w:r>
        <w:rPr/>
      </w:r>
      <w:r>
        <w:rPr>
          <w:position w:val="6"/>
          <w:sz w:val="12"/>
        </w:rPr>
        <w:t>17</w:t>
      </w:r>
      <w:r>
        <w:rPr>
          <w:spacing w:val="15"/>
          <w:position w:val="6"/>
          <w:sz w:val="12"/>
        </w:rPr>
        <w:t> </w:t>
      </w:r>
      <w:r>
        <w:rPr>
          <w:sz w:val="18"/>
        </w:rPr>
        <w:t>Véase</w:t>
      </w:r>
      <w:r>
        <w:rPr>
          <w:spacing w:val="-3"/>
          <w:sz w:val="18"/>
        </w:rPr>
        <w:t> </w:t>
      </w:r>
      <w:r>
        <w:rPr>
          <w:sz w:val="18"/>
        </w:rPr>
        <w:t>Folio</w:t>
      </w:r>
      <w:r>
        <w:rPr>
          <w:spacing w:val="-3"/>
          <w:sz w:val="18"/>
        </w:rPr>
        <w:t> </w:t>
      </w:r>
      <w:r>
        <w:rPr>
          <w:sz w:val="18"/>
        </w:rPr>
        <w:t>534</w:t>
      </w:r>
      <w:r>
        <w:rPr>
          <w:spacing w:val="-4"/>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line="208" w:lineRule="exact" w:before="0"/>
        <w:ind w:left="568" w:right="0" w:firstLine="0"/>
        <w:jc w:val="left"/>
        <w:rPr>
          <w:sz w:val="18"/>
        </w:rPr>
      </w:pPr>
      <w:bookmarkStart w:name="_bookmark17" w:id="18"/>
      <w:bookmarkEnd w:id="18"/>
      <w:r>
        <w:rPr/>
      </w:r>
      <w:r>
        <w:rPr>
          <w:position w:val="6"/>
          <w:sz w:val="12"/>
        </w:rPr>
        <w:t>18</w:t>
      </w:r>
      <w:r>
        <w:rPr>
          <w:spacing w:val="15"/>
          <w:position w:val="6"/>
          <w:sz w:val="12"/>
        </w:rPr>
        <w:t> </w:t>
      </w:r>
      <w:r>
        <w:rPr>
          <w:sz w:val="18"/>
        </w:rPr>
        <w:t>Véase</w:t>
      </w:r>
      <w:r>
        <w:rPr>
          <w:spacing w:val="-3"/>
          <w:sz w:val="18"/>
        </w:rPr>
        <w:t> </w:t>
      </w:r>
      <w:r>
        <w:rPr>
          <w:sz w:val="18"/>
        </w:rPr>
        <w:t>Folio</w:t>
      </w:r>
      <w:r>
        <w:rPr>
          <w:spacing w:val="-3"/>
          <w:sz w:val="18"/>
        </w:rPr>
        <w:t> </w:t>
      </w:r>
      <w:r>
        <w:rPr>
          <w:sz w:val="18"/>
        </w:rPr>
        <w:t>534</w:t>
      </w:r>
      <w:r>
        <w:rPr>
          <w:spacing w:val="-4"/>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line="210" w:lineRule="exact" w:before="0"/>
        <w:ind w:left="568" w:right="0" w:firstLine="0"/>
        <w:jc w:val="left"/>
        <w:rPr>
          <w:sz w:val="18"/>
        </w:rPr>
      </w:pPr>
      <w:bookmarkStart w:name="_bookmark18" w:id="19"/>
      <w:bookmarkEnd w:id="19"/>
      <w:r>
        <w:rPr/>
      </w:r>
      <w:r>
        <w:rPr>
          <w:position w:val="6"/>
          <w:sz w:val="12"/>
        </w:rPr>
        <w:t>19</w:t>
      </w:r>
      <w:r>
        <w:rPr>
          <w:spacing w:val="15"/>
          <w:position w:val="6"/>
          <w:sz w:val="12"/>
        </w:rPr>
        <w:t> </w:t>
      </w:r>
      <w:r>
        <w:rPr>
          <w:sz w:val="18"/>
        </w:rPr>
        <w:t>Véase</w:t>
      </w:r>
      <w:r>
        <w:rPr>
          <w:spacing w:val="-3"/>
          <w:sz w:val="18"/>
        </w:rPr>
        <w:t> </w:t>
      </w:r>
      <w:r>
        <w:rPr>
          <w:sz w:val="18"/>
        </w:rPr>
        <w:t>Folio</w:t>
      </w:r>
      <w:r>
        <w:rPr>
          <w:spacing w:val="-3"/>
          <w:sz w:val="18"/>
        </w:rPr>
        <w:t> </w:t>
      </w:r>
      <w:r>
        <w:rPr>
          <w:sz w:val="18"/>
        </w:rPr>
        <w:t>527</w:t>
      </w:r>
      <w:r>
        <w:rPr>
          <w:spacing w:val="-4"/>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3" name="Group 43"/>
                <wp:cNvGraphicFramePr>
                  <a:graphicFrameLocks/>
                </wp:cNvGraphicFramePr>
                <a:graphic>
                  <a:graphicData uri="http://schemas.microsoft.com/office/word/2010/wordprocessingGroup">
                    <wpg:wgp>
                      <wpg:cNvPr id="43" name="Group 43"/>
                      <wpg:cNvGrpSpPr/>
                      <wpg:grpSpPr>
                        <a:xfrm>
                          <a:off x="0" y="0"/>
                          <a:ext cx="6131560" cy="9525"/>
                          <a:chExt cx="6131560" cy="9525"/>
                        </a:xfrm>
                      </wpg:grpSpPr>
                      <wps:wsp>
                        <wps:cNvPr id="44" name="Graphic 44"/>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9"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637" w:top="1380" w:bottom="820" w:left="992" w:right="283"/>
        </w:sectPr>
      </w:pPr>
    </w:p>
    <w:p>
      <w:pPr>
        <w:pStyle w:val="BodyText"/>
        <w:spacing w:before="176"/>
      </w:pPr>
    </w:p>
    <w:p>
      <w:pPr>
        <w:pStyle w:val="ListParagraph"/>
        <w:numPr>
          <w:ilvl w:val="0"/>
          <w:numId w:val="2"/>
        </w:numPr>
        <w:tabs>
          <w:tab w:pos="1420" w:val="left" w:leader="none"/>
        </w:tabs>
        <w:spacing w:line="240" w:lineRule="auto" w:before="0" w:after="0"/>
        <w:ind w:left="1420" w:right="976" w:hanging="852"/>
        <w:jc w:val="both"/>
        <w:rPr>
          <w:sz w:val="22"/>
        </w:rPr>
      </w:pPr>
      <w:r>
        <w:rPr>
          <w:sz w:val="22"/>
        </w:rPr>
        <w:t>Con</w:t>
      </w:r>
      <w:r>
        <w:rPr>
          <w:spacing w:val="-8"/>
          <w:sz w:val="22"/>
        </w:rPr>
        <w:t> </w:t>
      </w:r>
      <w:r>
        <w:rPr>
          <w:sz w:val="22"/>
        </w:rPr>
        <w:t>base</w:t>
      </w:r>
      <w:r>
        <w:rPr>
          <w:spacing w:val="-10"/>
          <w:sz w:val="22"/>
        </w:rPr>
        <w:t> </w:t>
      </w:r>
      <w:r>
        <w:rPr>
          <w:sz w:val="22"/>
        </w:rPr>
        <w:t>en</w:t>
      </w:r>
      <w:r>
        <w:rPr>
          <w:spacing w:val="-8"/>
          <w:sz w:val="22"/>
        </w:rPr>
        <w:t> </w:t>
      </w:r>
      <w:r>
        <w:rPr>
          <w:sz w:val="22"/>
        </w:rPr>
        <w:t>los</w:t>
      </w:r>
      <w:r>
        <w:rPr>
          <w:spacing w:val="-9"/>
          <w:sz w:val="22"/>
        </w:rPr>
        <w:t> </w:t>
      </w:r>
      <w:r>
        <w:rPr>
          <w:sz w:val="22"/>
        </w:rPr>
        <w:t>elementos</w:t>
      </w:r>
      <w:r>
        <w:rPr>
          <w:spacing w:val="-7"/>
          <w:sz w:val="22"/>
        </w:rPr>
        <w:t> </w:t>
      </w:r>
      <w:r>
        <w:rPr>
          <w:sz w:val="22"/>
        </w:rPr>
        <w:t>expuestos,</w:t>
      </w:r>
      <w:r>
        <w:rPr>
          <w:spacing w:val="-6"/>
          <w:sz w:val="22"/>
        </w:rPr>
        <w:t> </w:t>
      </w:r>
      <w:r>
        <w:rPr>
          <w:sz w:val="22"/>
        </w:rPr>
        <w:t>la</w:t>
      </w:r>
      <w:r>
        <w:rPr>
          <w:spacing w:val="-10"/>
          <w:sz w:val="22"/>
        </w:rPr>
        <w:t> </w:t>
      </w:r>
      <w:r>
        <w:rPr>
          <w:sz w:val="22"/>
        </w:rPr>
        <w:t>República</w:t>
      </w:r>
      <w:r>
        <w:rPr>
          <w:spacing w:val="-7"/>
          <w:sz w:val="22"/>
        </w:rPr>
        <w:t> </w:t>
      </w:r>
      <w:r>
        <w:rPr>
          <w:sz w:val="22"/>
        </w:rPr>
        <w:t>del</w:t>
      </w:r>
      <w:r>
        <w:rPr>
          <w:spacing w:val="-8"/>
          <w:sz w:val="22"/>
        </w:rPr>
        <w:t> </w:t>
      </w:r>
      <w:r>
        <w:rPr>
          <w:sz w:val="22"/>
        </w:rPr>
        <w:t>Ecuador</w:t>
      </w:r>
      <w:r>
        <w:rPr>
          <w:spacing w:val="-9"/>
          <w:sz w:val="22"/>
        </w:rPr>
        <w:t> </w:t>
      </w:r>
      <w:r>
        <w:rPr>
          <w:sz w:val="22"/>
        </w:rPr>
        <w:t>solicitó</w:t>
      </w:r>
      <w:r>
        <w:rPr>
          <w:spacing w:val="-7"/>
          <w:sz w:val="22"/>
        </w:rPr>
        <w:t> </w:t>
      </w:r>
      <w:r>
        <w:rPr>
          <w:sz w:val="22"/>
        </w:rPr>
        <w:t>a</w:t>
      </w:r>
      <w:r>
        <w:rPr>
          <w:spacing w:val="-12"/>
          <w:sz w:val="22"/>
        </w:rPr>
        <w:t> </w:t>
      </w:r>
      <w:r>
        <w:rPr>
          <w:sz w:val="22"/>
        </w:rPr>
        <w:t>la</w:t>
      </w:r>
      <w:r>
        <w:rPr>
          <w:spacing w:val="-7"/>
          <w:sz w:val="22"/>
        </w:rPr>
        <w:t> </w:t>
      </w:r>
      <w:r>
        <w:rPr>
          <w:sz w:val="22"/>
        </w:rPr>
        <w:t>SGCAN que la medida comunicada mediante Nota Verbal Nro. MREMH/MREMH/2025/0020/N</w:t>
      </w:r>
      <w:r>
        <w:rPr>
          <w:spacing w:val="-1"/>
          <w:sz w:val="22"/>
        </w:rPr>
        <w:t> </w:t>
      </w:r>
      <w:r>
        <w:rPr>
          <w:sz w:val="22"/>
        </w:rPr>
        <w:t>de</w:t>
      </w:r>
      <w:r>
        <w:rPr>
          <w:spacing w:val="-1"/>
          <w:sz w:val="22"/>
        </w:rPr>
        <w:t> </w:t>
      </w:r>
      <w:r>
        <w:rPr>
          <w:sz w:val="22"/>
        </w:rPr>
        <w:t>24</w:t>
      </w:r>
      <w:r>
        <w:rPr>
          <w:spacing w:val="-3"/>
          <w:sz w:val="22"/>
        </w:rPr>
        <w:t> </w:t>
      </w:r>
      <w:r>
        <w:rPr>
          <w:sz w:val="22"/>
        </w:rPr>
        <w:t>de</w:t>
      </w:r>
      <w:r>
        <w:rPr>
          <w:spacing w:val="-1"/>
          <w:sz w:val="22"/>
        </w:rPr>
        <w:t> </w:t>
      </w:r>
      <w:r>
        <w:rPr>
          <w:sz w:val="22"/>
        </w:rPr>
        <w:t>diciembre de</w:t>
      </w:r>
      <w:r>
        <w:rPr>
          <w:spacing w:val="-1"/>
          <w:sz w:val="22"/>
        </w:rPr>
        <w:t> </w:t>
      </w:r>
      <w:r>
        <w:rPr>
          <w:sz w:val="22"/>
        </w:rPr>
        <w:t>2025, no</w:t>
      </w:r>
      <w:r>
        <w:rPr>
          <w:spacing w:val="-3"/>
          <w:sz w:val="22"/>
        </w:rPr>
        <w:t> </w:t>
      </w:r>
      <w:r>
        <w:rPr>
          <w:sz w:val="22"/>
        </w:rPr>
        <w:t>sea</w:t>
      </w:r>
      <w:r>
        <w:rPr>
          <w:spacing w:val="-1"/>
          <w:sz w:val="22"/>
        </w:rPr>
        <w:t> </w:t>
      </w:r>
      <w:r>
        <w:rPr>
          <w:sz w:val="22"/>
        </w:rPr>
        <w:t>calificada como una restricción al comercio intrasubregional, en los términos del artículo 73 del Acuerdo de Cartagena.</w:t>
      </w:r>
    </w:p>
    <w:p>
      <w:pPr>
        <w:pStyle w:val="BodyText"/>
        <w:spacing w:before="1"/>
      </w:pPr>
    </w:p>
    <w:p>
      <w:pPr>
        <w:pStyle w:val="ListParagraph"/>
        <w:numPr>
          <w:ilvl w:val="0"/>
          <w:numId w:val="2"/>
        </w:numPr>
        <w:tabs>
          <w:tab w:pos="1420" w:val="left" w:leader="none"/>
        </w:tabs>
        <w:spacing w:line="240" w:lineRule="auto" w:before="1" w:after="0"/>
        <w:ind w:left="1420" w:right="983" w:hanging="852"/>
        <w:jc w:val="both"/>
        <w:rPr>
          <w:sz w:val="22"/>
        </w:rPr>
      </w:pPr>
      <w:r>
        <w:rPr>
          <w:sz w:val="22"/>
        </w:rPr>
        <w:t>Entre la documentación</w:t>
      </w:r>
      <w:r>
        <w:rPr>
          <w:spacing w:val="-1"/>
          <w:sz w:val="22"/>
        </w:rPr>
        <w:t> </w:t>
      </w:r>
      <w:r>
        <w:rPr>
          <w:sz w:val="22"/>
        </w:rPr>
        <w:t>presentada por la República del Ecuador se encuentran los siguientes documentos:</w:t>
      </w:r>
    </w:p>
    <w:p>
      <w:pPr>
        <w:pStyle w:val="ListParagraph"/>
        <w:numPr>
          <w:ilvl w:val="1"/>
          <w:numId w:val="2"/>
        </w:numPr>
        <w:tabs>
          <w:tab w:pos="2837" w:val="left" w:leader="none"/>
        </w:tabs>
        <w:spacing w:line="240" w:lineRule="auto" w:before="252" w:after="0"/>
        <w:ind w:left="2837" w:right="977" w:hanging="361"/>
        <w:jc w:val="both"/>
        <w:rPr>
          <w:rFonts w:ascii="Times New Roman" w:hAnsi="Times New Roman"/>
          <w:sz w:val="22"/>
        </w:rPr>
      </w:pPr>
      <w:r>
        <w:rPr>
          <w:sz w:val="22"/>
        </w:rPr>
        <w:t>Informe técnico justificativo de la República del Ecuador dentro del expediente EXP.DGCOM/REST/001/2026,</w:t>
      </w:r>
      <w:r>
        <w:rPr>
          <w:spacing w:val="-1"/>
          <w:sz w:val="22"/>
        </w:rPr>
        <w:t> </w:t>
      </w:r>
      <w:r>
        <w:rPr>
          <w:sz w:val="22"/>
        </w:rPr>
        <w:t>en</w:t>
      </w:r>
      <w:r>
        <w:rPr>
          <w:spacing w:val="-3"/>
          <w:sz w:val="22"/>
        </w:rPr>
        <w:t> </w:t>
      </w:r>
      <w:r>
        <w:rPr>
          <w:sz w:val="22"/>
        </w:rPr>
        <w:t>respuesta a</w:t>
      </w:r>
      <w:r>
        <w:rPr>
          <w:spacing w:val="-3"/>
          <w:sz w:val="22"/>
        </w:rPr>
        <w:t> </w:t>
      </w:r>
      <w:r>
        <w:rPr>
          <w:sz w:val="22"/>
        </w:rPr>
        <w:t>la solicitud de</w:t>
      </w:r>
      <w:r>
        <w:rPr>
          <w:spacing w:val="-11"/>
          <w:sz w:val="22"/>
        </w:rPr>
        <w:t> </w:t>
      </w:r>
      <w:r>
        <w:rPr>
          <w:sz w:val="22"/>
        </w:rPr>
        <w:t>calificación</w:t>
      </w:r>
      <w:r>
        <w:rPr>
          <w:spacing w:val="-11"/>
          <w:sz w:val="22"/>
        </w:rPr>
        <w:t> </w:t>
      </w:r>
      <w:r>
        <w:rPr>
          <w:sz w:val="22"/>
        </w:rPr>
        <w:t>de</w:t>
      </w:r>
      <w:r>
        <w:rPr>
          <w:spacing w:val="-11"/>
          <w:sz w:val="22"/>
        </w:rPr>
        <w:t> </w:t>
      </w:r>
      <w:r>
        <w:rPr>
          <w:sz w:val="22"/>
        </w:rPr>
        <w:t>restricción</w:t>
      </w:r>
      <w:r>
        <w:rPr>
          <w:spacing w:val="-11"/>
          <w:sz w:val="22"/>
        </w:rPr>
        <w:t> </w:t>
      </w:r>
      <w:r>
        <w:rPr>
          <w:sz w:val="22"/>
        </w:rPr>
        <w:t>presentada</w:t>
      </w:r>
      <w:r>
        <w:rPr>
          <w:spacing w:val="-11"/>
          <w:sz w:val="22"/>
        </w:rPr>
        <w:t> </w:t>
      </w:r>
      <w:r>
        <w:rPr>
          <w:sz w:val="22"/>
        </w:rPr>
        <w:t>por</w:t>
      </w:r>
      <w:r>
        <w:rPr>
          <w:spacing w:val="-10"/>
          <w:sz w:val="22"/>
        </w:rPr>
        <w:t> </w:t>
      </w:r>
      <w:r>
        <w:rPr>
          <w:sz w:val="22"/>
        </w:rPr>
        <w:t>la</w:t>
      </w:r>
      <w:r>
        <w:rPr>
          <w:spacing w:val="-11"/>
          <w:sz w:val="22"/>
        </w:rPr>
        <w:t> </w:t>
      </w:r>
      <w:r>
        <w:rPr>
          <w:sz w:val="22"/>
        </w:rPr>
        <w:t>República</w:t>
      </w:r>
      <w:r>
        <w:rPr>
          <w:spacing w:val="-11"/>
          <w:sz w:val="22"/>
        </w:rPr>
        <w:t> </w:t>
      </w:r>
      <w:r>
        <w:rPr>
          <w:sz w:val="22"/>
        </w:rPr>
        <w:t>de</w:t>
      </w:r>
      <w:r>
        <w:rPr>
          <w:spacing w:val="-11"/>
          <w:sz w:val="22"/>
        </w:rPr>
        <w:t> </w:t>
      </w:r>
      <w:r>
        <w:rPr>
          <w:sz w:val="22"/>
        </w:rPr>
        <w:t>Colombia y</w:t>
      </w:r>
      <w:r>
        <w:rPr>
          <w:spacing w:val="-6"/>
          <w:sz w:val="22"/>
        </w:rPr>
        <w:t> </w:t>
      </w:r>
      <w:r>
        <w:rPr>
          <w:sz w:val="22"/>
        </w:rPr>
        <w:t>al</w:t>
      </w:r>
      <w:r>
        <w:rPr>
          <w:spacing w:val="-7"/>
          <w:sz w:val="22"/>
        </w:rPr>
        <w:t> </w:t>
      </w:r>
      <w:r>
        <w:rPr>
          <w:sz w:val="22"/>
        </w:rPr>
        <w:t>requerimiento</w:t>
      </w:r>
      <w:r>
        <w:rPr>
          <w:spacing w:val="-7"/>
          <w:sz w:val="22"/>
        </w:rPr>
        <w:t> </w:t>
      </w:r>
      <w:r>
        <w:rPr>
          <w:sz w:val="22"/>
        </w:rPr>
        <w:t>de</w:t>
      </w:r>
      <w:r>
        <w:rPr>
          <w:spacing w:val="-6"/>
          <w:sz w:val="22"/>
        </w:rPr>
        <w:t> </w:t>
      </w:r>
      <w:r>
        <w:rPr>
          <w:sz w:val="22"/>
        </w:rPr>
        <w:t>información</w:t>
      </w:r>
      <w:r>
        <w:rPr>
          <w:spacing w:val="-8"/>
          <w:sz w:val="22"/>
        </w:rPr>
        <w:t> </w:t>
      </w:r>
      <w:r>
        <w:rPr>
          <w:sz w:val="22"/>
        </w:rPr>
        <w:t>formulado</w:t>
      </w:r>
      <w:r>
        <w:rPr>
          <w:spacing w:val="-6"/>
          <w:sz w:val="22"/>
        </w:rPr>
        <w:t> </w:t>
      </w:r>
      <w:r>
        <w:rPr>
          <w:sz w:val="22"/>
        </w:rPr>
        <w:t>por</w:t>
      </w:r>
      <w:r>
        <w:rPr>
          <w:spacing w:val="-5"/>
          <w:sz w:val="22"/>
        </w:rPr>
        <w:t> </w:t>
      </w:r>
      <w:r>
        <w:rPr>
          <w:sz w:val="22"/>
        </w:rPr>
        <w:t>la</w:t>
      </w:r>
      <w:r>
        <w:rPr>
          <w:spacing w:val="-6"/>
          <w:sz w:val="22"/>
        </w:rPr>
        <w:t> </w:t>
      </w:r>
      <w:r>
        <w:rPr>
          <w:sz w:val="22"/>
        </w:rPr>
        <w:t>Secretaría</w:t>
      </w:r>
      <w:r>
        <w:rPr>
          <w:spacing w:val="-7"/>
          <w:sz w:val="22"/>
        </w:rPr>
        <w:t> </w:t>
      </w:r>
      <w:r>
        <w:rPr>
          <w:sz w:val="22"/>
        </w:rPr>
        <w:t>General de la Comunidad Andina.</w:t>
      </w:r>
    </w:p>
    <w:p>
      <w:pPr>
        <w:pStyle w:val="ListParagraph"/>
        <w:numPr>
          <w:ilvl w:val="1"/>
          <w:numId w:val="2"/>
        </w:numPr>
        <w:tabs>
          <w:tab w:pos="2837" w:val="left" w:leader="none"/>
        </w:tabs>
        <w:spacing w:line="240" w:lineRule="auto" w:before="252" w:after="0"/>
        <w:ind w:left="2837" w:right="977" w:hanging="361"/>
        <w:jc w:val="both"/>
        <w:rPr>
          <w:rFonts w:ascii="Times New Roman" w:hAnsi="Times New Roman"/>
          <w:sz w:val="22"/>
        </w:rPr>
      </w:pPr>
      <w:r>
        <w:rPr>
          <w:sz w:val="22"/>
        </w:rPr>
        <w:t>Oficio Nro. MPCEI-VCE-2026-0014-O, de fecha 28 de febrero de 2026, mediante el cual el Viceministerio de Comercio Exterior del Ecuador solicita al Ministerio de Relaciones Exteriores y Movilidad Humana la remisión de información y documentación de sustento, a fin de atender la solicitud de información formulada por la SGCAN en el marco del Expediente EXP.DGCOM/REST/001/2026.</w:t>
      </w:r>
    </w:p>
    <w:p>
      <w:pPr>
        <w:pStyle w:val="ListParagraph"/>
        <w:numPr>
          <w:ilvl w:val="1"/>
          <w:numId w:val="2"/>
        </w:numPr>
        <w:tabs>
          <w:tab w:pos="2837" w:val="left" w:leader="none"/>
        </w:tabs>
        <w:spacing w:line="240" w:lineRule="auto" w:before="252" w:after="0"/>
        <w:ind w:left="2837" w:right="977" w:hanging="361"/>
        <w:jc w:val="both"/>
        <w:rPr>
          <w:rFonts w:ascii="Times New Roman" w:hAnsi="Times New Roman"/>
          <w:sz w:val="22"/>
        </w:rPr>
      </w:pPr>
      <w:r>
        <w:rPr>
          <w:sz w:val="22"/>
        </w:rPr>
        <w:t>Oficio Nro. MREMH-VRE-2026-0032-O, de fecha 04 de marzo de 2026, mediante el cual el Ministerio de Relaciones Exteriores y Movilidad Humana de la República del Ecuador remite al Viceministerio de Comercio Exterior documentación e información de sustento —incluyendo notas verbales, oficios interinstitucionales y documentos</w:t>
      </w:r>
      <w:r>
        <w:rPr>
          <w:spacing w:val="-9"/>
          <w:sz w:val="22"/>
        </w:rPr>
        <w:t> </w:t>
      </w:r>
      <w:r>
        <w:rPr>
          <w:sz w:val="22"/>
        </w:rPr>
        <w:t>de</w:t>
      </w:r>
      <w:r>
        <w:rPr>
          <w:spacing w:val="-12"/>
          <w:sz w:val="22"/>
        </w:rPr>
        <w:t> </w:t>
      </w:r>
      <w:r>
        <w:rPr>
          <w:sz w:val="22"/>
        </w:rPr>
        <w:t>coordinación</w:t>
      </w:r>
      <w:r>
        <w:rPr>
          <w:spacing w:val="-10"/>
          <w:sz w:val="22"/>
        </w:rPr>
        <w:t> </w:t>
      </w:r>
      <w:r>
        <w:rPr>
          <w:sz w:val="22"/>
        </w:rPr>
        <w:t>bilateral</w:t>
      </w:r>
      <w:r>
        <w:rPr>
          <w:spacing w:val="-13"/>
          <w:sz w:val="22"/>
        </w:rPr>
        <w:t> </w:t>
      </w:r>
      <w:r>
        <w:rPr>
          <w:sz w:val="22"/>
        </w:rPr>
        <w:t>con</w:t>
      </w:r>
      <w:r>
        <w:rPr>
          <w:spacing w:val="-12"/>
          <w:sz w:val="22"/>
        </w:rPr>
        <w:t> </w:t>
      </w:r>
      <w:r>
        <w:rPr>
          <w:sz w:val="22"/>
        </w:rPr>
        <w:t>la</w:t>
      </w:r>
      <w:r>
        <w:rPr>
          <w:spacing w:val="-9"/>
          <w:sz w:val="22"/>
        </w:rPr>
        <w:t> </w:t>
      </w:r>
      <w:r>
        <w:rPr>
          <w:sz w:val="22"/>
        </w:rPr>
        <w:t>República</w:t>
      </w:r>
      <w:r>
        <w:rPr>
          <w:spacing w:val="-9"/>
          <w:sz w:val="22"/>
        </w:rPr>
        <w:t> </w:t>
      </w:r>
      <w:r>
        <w:rPr>
          <w:sz w:val="22"/>
        </w:rPr>
        <w:t>de</w:t>
      </w:r>
      <w:r>
        <w:rPr>
          <w:spacing w:val="-10"/>
          <w:sz w:val="22"/>
        </w:rPr>
        <w:t> </w:t>
      </w:r>
      <w:r>
        <w:rPr>
          <w:sz w:val="22"/>
        </w:rPr>
        <w:t>Colombia—a</w:t>
      </w:r>
      <w:r>
        <w:rPr>
          <w:spacing w:val="-6"/>
          <w:sz w:val="22"/>
        </w:rPr>
        <w:t> </w:t>
      </w:r>
      <w:r>
        <w:rPr>
          <w:sz w:val="22"/>
        </w:rPr>
        <w:t>fin</w:t>
      </w:r>
      <w:r>
        <w:rPr>
          <w:spacing w:val="-9"/>
          <w:sz w:val="22"/>
        </w:rPr>
        <w:t> </w:t>
      </w:r>
      <w:r>
        <w:rPr>
          <w:sz w:val="22"/>
        </w:rPr>
        <w:t>de</w:t>
      </w:r>
      <w:r>
        <w:rPr>
          <w:spacing w:val="-9"/>
          <w:sz w:val="22"/>
        </w:rPr>
        <w:t> </w:t>
      </w:r>
      <w:r>
        <w:rPr>
          <w:sz w:val="22"/>
        </w:rPr>
        <w:t>atender</w:t>
      </w:r>
      <w:r>
        <w:rPr>
          <w:spacing w:val="-8"/>
          <w:sz w:val="22"/>
        </w:rPr>
        <w:t> </w:t>
      </w:r>
      <w:r>
        <w:rPr>
          <w:sz w:val="22"/>
        </w:rPr>
        <w:t>el</w:t>
      </w:r>
      <w:r>
        <w:rPr>
          <w:spacing w:val="-10"/>
          <w:sz w:val="22"/>
        </w:rPr>
        <w:t> </w:t>
      </w:r>
      <w:r>
        <w:rPr>
          <w:sz w:val="22"/>
        </w:rPr>
        <w:t>requerimiento</w:t>
      </w:r>
      <w:r>
        <w:rPr>
          <w:spacing w:val="-9"/>
          <w:sz w:val="22"/>
        </w:rPr>
        <w:t> </w:t>
      </w:r>
      <w:r>
        <w:rPr>
          <w:sz w:val="22"/>
        </w:rPr>
        <w:t>formulado</w:t>
      </w:r>
      <w:r>
        <w:rPr>
          <w:spacing w:val="-9"/>
          <w:sz w:val="22"/>
        </w:rPr>
        <w:t> </w:t>
      </w:r>
      <w:r>
        <w:rPr>
          <w:sz w:val="22"/>
        </w:rPr>
        <w:t>por</w:t>
      </w:r>
      <w:r>
        <w:rPr>
          <w:spacing w:val="-8"/>
          <w:sz w:val="22"/>
        </w:rPr>
        <w:t> </w:t>
      </w:r>
      <w:r>
        <w:rPr>
          <w:sz w:val="22"/>
        </w:rPr>
        <w:t>la</w:t>
      </w:r>
      <w:r>
        <w:rPr>
          <w:spacing w:val="-11"/>
          <w:sz w:val="22"/>
        </w:rPr>
        <w:t> </w:t>
      </w:r>
      <w:r>
        <w:rPr>
          <w:sz w:val="22"/>
        </w:rPr>
        <w:t>SGCAN</w:t>
      </w:r>
      <w:r>
        <w:rPr>
          <w:spacing w:val="-7"/>
          <w:sz w:val="22"/>
        </w:rPr>
        <w:t> </w:t>
      </w:r>
      <w:r>
        <w:rPr>
          <w:sz w:val="22"/>
        </w:rPr>
        <w:t>en</w:t>
      </w:r>
      <w:r>
        <w:rPr>
          <w:spacing w:val="-9"/>
          <w:sz w:val="22"/>
        </w:rPr>
        <w:t> </w:t>
      </w:r>
      <w:r>
        <w:rPr>
          <w:sz w:val="22"/>
        </w:rPr>
        <w:t>el</w:t>
      </w:r>
      <w:r>
        <w:rPr>
          <w:spacing w:val="-10"/>
          <w:sz w:val="22"/>
        </w:rPr>
        <w:t> </w:t>
      </w:r>
      <w:r>
        <w:rPr>
          <w:sz w:val="22"/>
        </w:rPr>
        <w:t>marco del Expediente EXP.DGCOM/REST/001/2026.</w:t>
      </w:r>
    </w:p>
    <w:p>
      <w:pPr>
        <w:pStyle w:val="BodyText"/>
      </w:pPr>
    </w:p>
    <w:p>
      <w:pPr>
        <w:pStyle w:val="ListParagraph"/>
        <w:numPr>
          <w:ilvl w:val="1"/>
          <w:numId w:val="2"/>
        </w:numPr>
        <w:tabs>
          <w:tab w:pos="2837" w:val="left" w:leader="none"/>
        </w:tabs>
        <w:spacing w:line="240" w:lineRule="auto" w:before="0" w:after="0"/>
        <w:ind w:left="2837" w:right="977" w:hanging="361"/>
        <w:jc w:val="both"/>
        <w:rPr>
          <w:rFonts w:ascii="Times New Roman" w:hAnsi="Times New Roman"/>
          <w:sz w:val="22"/>
        </w:rPr>
      </w:pPr>
      <w:r>
        <w:rPr>
          <w:sz w:val="22"/>
        </w:rPr>
        <w:t>Nota Verbal Nro. MREMH/MREMH/2025/0020/N, de fecha 24 de diciembre de 2025, mediante la cual el Ministerio de Relaciones Exteriores</w:t>
      </w:r>
      <w:r>
        <w:rPr>
          <w:spacing w:val="-12"/>
          <w:sz w:val="22"/>
        </w:rPr>
        <w:t> </w:t>
      </w:r>
      <w:r>
        <w:rPr>
          <w:sz w:val="22"/>
        </w:rPr>
        <w:t>y</w:t>
      </w:r>
      <w:r>
        <w:rPr>
          <w:spacing w:val="-9"/>
          <w:sz w:val="22"/>
        </w:rPr>
        <w:t> </w:t>
      </w:r>
      <w:r>
        <w:rPr>
          <w:sz w:val="22"/>
        </w:rPr>
        <w:t>Movilidad</w:t>
      </w:r>
      <w:r>
        <w:rPr>
          <w:spacing w:val="-10"/>
          <w:sz w:val="22"/>
        </w:rPr>
        <w:t> </w:t>
      </w:r>
      <w:r>
        <w:rPr>
          <w:sz w:val="22"/>
        </w:rPr>
        <w:t>Humana</w:t>
      </w:r>
      <w:r>
        <w:rPr>
          <w:spacing w:val="-10"/>
          <w:sz w:val="22"/>
        </w:rPr>
        <w:t> </w:t>
      </w:r>
      <w:r>
        <w:rPr>
          <w:sz w:val="22"/>
        </w:rPr>
        <w:t>de</w:t>
      </w:r>
      <w:r>
        <w:rPr>
          <w:spacing w:val="-10"/>
          <w:sz w:val="22"/>
        </w:rPr>
        <w:t> </w:t>
      </w:r>
      <w:r>
        <w:rPr>
          <w:sz w:val="22"/>
        </w:rPr>
        <w:t>la</w:t>
      </w:r>
      <w:r>
        <w:rPr>
          <w:spacing w:val="-10"/>
          <w:sz w:val="22"/>
        </w:rPr>
        <w:t> </w:t>
      </w:r>
      <w:r>
        <w:rPr>
          <w:sz w:val="22"/>
        </w:rPr>
        <w:t>República</w:t>
      </w:r>
      <w:r>
        <w:rPr>
          <w:spacing w:val="-10"/>
          <w:sz w:val="22"/>
        </w:rPr>
        <w:t> </w:t>
      </w:r>
      <w:r>
        <w:rPr>
          <w:sz w:val="22"/>
        </w:rPr>
        <w:t>del</w:t>
      </w:r>
      <w:r>
        <w:rPr>
          <w:spacing w:val="-11"/>
          <w:sz w:val="22"/>
        </w:rPr>
        <w:t> </w:t>
      </w:r>
      <w:r>
        <w:rPr>
          <w:sz w:val="22"/>
        </w:rPr>
        <w:t>Ecuador</w:t>
      </w:r>
      <w:r>
        <w:rPr>
          <w:spacing w:val="-9"/>
          <w:sz w:val="22"/>
        </w:rPr>
        <w:t> </w:t>
      </w:r>
      <w:r>
        <w:rPr>
          <w:sz w:val="22"/>
        </w:rPr>
        <w:t>comunica a</w:t>
      </w:r>
      <w:r>
        <w:rPr>
          <w:spacing w:val="-7"/>
          <w:sz w:val="22"/>
        </w:rPr>
        <w:t> </w:t>
      </w:r>
      <w:r>
        <w:rPr>
          <w:sz w:val="22"/>
        </w:rPr>
        <w:t>la</w:t>
      </w:r>
      <w:r>
        <w:rPr>
          <w:spacing w:val="-7"/>
          <w:sz w:val="22"/>
        </w:rPr>
        <w:t> </w:t>
      </w:r>
      <w:r>
        <w:rPr>
          <w:sz w:val="22"/>
        </w:rPr>
        <w:t>Embajada</w:t>
      </w:r>
      <w:r>
        <w:rPr>
          <w:spacing w:val="-7"/>
          <w:sz w:val="22"/>
        </w:rPr>
        <w:t> </w:t>
      </w:r>
      <w:r>
        <w:rPr>
          <w:sz w:val="22"/>
        </w:rPr>
        <w:t>de</w:t>
      </w:r>
      <w:r>
        <w:rPr>
          <w:spacing w:val="-8"/>
          <w:sz w:val="22"/>
        </w:rPr>
        <w:t> </w:t>
      </w:r>
      <w:r>
        <w:rPr>
          <w:sz w:val="22"/>
        </w:rPr>
        <w:t>la</w:t>
      </w:r>
      <w:r>
        <w:rPr>
          <w:spacing w:val="-7"/>
          <w:sz w:val="22"/>
        </w:rPr>
        <w:t> </w:t>
      </w:r>
      <w:r>
        <w:rPr>
          <w:sz w:val="22"/>
        </w:rPr>
        <w:t>República</w:t>
      </w:r>
      <w:r>
        <w:rPr>
          <w:spacing w:val="-7"/>
          <w:sz w:val="22"/>
        </w:rPr>
        <w:t> </w:t>
      </w:r>
      <w:r>
        <w:rPr>
          <w:sz w:val="22"/>
        </w:rPr>
        <w:t>de</w:t>
      </w:r>
      <w:r>
        <w:rPr>
          <w:spacing w:val="-8"/>
          <w:sz w:val="22"/>
        </w:rPr>
        <w:t> </w:t>
      </w:r>
      <w:r>
        <w:rPr>
          <w:sz w:val="22"/>
        </w:rPr>
        <w:t>Colombia,</w:t>
      </w:r>
      <w:r>
        <w:rPr>
          <w:spacing w:val="-6"/>
          <w:sz w:val="22"/>
        </w:rPr>
        <w:t> </w:t>
      </w:r>
      <w:r>
        <w:rPr>
          <w:sz w:val="22"/>
        </w:rPr>
        <w:t>la</w:t>
      </w:r>
      <w:r>
        <w:rPr>
          <w:spacing w:val="-7"/>
          <w:sz w:val="22"/>
        </w:rPr>
        <w:t> </w:t>
      </w:r>
      <w:r>
        <w:rPr>
          <w:sz w:val="22"/>
        </w:rPr>
        <w:t>adopción</w:t>
      </w:r>
      <w:r>
        <w:rPr>
          <w:spacing w:val="-8"/>
          <w:sz w:val="22"/>
        </w:rPr>
        <w:t> </w:t>
      </w:r>
      <w:r>
        <w:rPr>
          <w:sz w:val="22"/>
        </w:rPr>
        <w:t>de</w:t>
      </w:r>
      <w:r>
        <w:rPr>
          <w:spacing w:val="-8"/>
          <w:sz w:val="22"/>
        </w:rPr>
        <w:t> </w:t>
      </w:r>
      <w:r>
        <w:rPr>
          <w:sz w:val="22"/>
        </w:rPr>
        <w:t>la</w:t>
      </w:r>
      <w:r>
        <w:rPr>
          <w:spacing w:val="-7"/>
          <w:sz w:val="22"/>
        </w:rPr>
        <w:t> </w:t>
      </w:r>
      <w:r>
        <w:rPr>
          <w:sz w:val="22"/>
        </w:rPr>
        <w:t>medida que habilita el</w:t>
      </w:r>
      <w:r>
        <w:rPr>
          <w:spacing w:val="-1"/>
          <w:sz w:val="22"/>
        </w:rPr>
        <w:t> </w:t>
      </w:r>
      <w:r>
        <w:rPr>
          <w:sz w:val="22"/>
        </w:rPr>
        <w:t>paso internacional</w:t>
      </w:r>
      <w:r>
        <w:rPr>
          <w:spacing w:val="-2"/>
          <w:sz w:val="22"/>
        </w:rPr>
        <w:t> </w:t>
      </w:r>
      <w:r>
        <w:rPr>
          <w:sz w:val="22"/>
        </w:rPr>
        <w:t>de</w:t>
      </w:r>
      <w:r>
        <w:rPr>
          <w:spacing w:val="-1"/>
          <w:sz w:val="22"/>
        </w:rPr>
        <w:t> </w:t>
      </w:r>
      <w:r>
        <w:rPr>
          <w:sz w:val="22"/>
        </w:rPr>
        <w:t>Rumichaca</w:t>
      </w:r>
      <w:r>
        <w:rPr>
          <w:spacing w:val="-3"/>
          <w:sz w:val="22"/>
        </w:rPr>
        <w:t> </w:t>
      </w:r>
      <w:r>
        <w:rPr>
          <w:sz w:val="22"/>
        </w:rPr>
        <w:t>como único punto de ingreso para el comercio bilateral.</w:t>
      </w:r>
    </w:p>
    <w:p>
      <w:pPr>
        <w:pStyle w:val="ListParagraph"/>
        <w:numPr>
          <w:ilvl w:val="1"/>
          <w:numId w:val="2"/>
        </w:numPr>
        <w:tabs>
          <w:tab w:pos="2837" w:val="left" w:leader="none"/>
        </w:tabs>
        <w:spacing w:line="240" w:lineRule="auto" w:before="253" w:after="0"/>
        <w:ind w:left="2837" w:right="978" w:hanging="361"/>
        <w:jc w:val="both"/>
        <w:rPr>
          <w:rFonts w:ascii="Times New Roman" w:hAnsi="Times New Roman"/>
          <w:sz w:val="22"/>
        </w:rPr>
      </w:pPr>
      <w:r>
        <w:rPr>
          <w:sz w:val="22"/>
        </w:rPr>
        <w:t>Base de Datos Operación Ecuador.xlsx - Listados de conductores y vehículos autorizados para las operaciones OCP</w:t>
      </w:r>
    </w:p>
    <w:p>
      <w:pPr>
        <w:pStyle w:val="ListParagraph"/>
        <w:numPr>
          <w:ilvl w:val="1"/>
          <w:numId w:val="2"/>
        </w:numPr>
        <w:tabs>
          <w:tab w:pos="2837" w:val="left" w:leader="none"/>
        </w:tabs>
        <w:spacing w:line="240" w:lineRule="auto" w:before="252" w:after="0"/>
        <w:ind w:left="2837" w:right="978" w:hanging="361"/>
        <w:jc w:val="both"/>
        <w:rPr>
          <w:rFonts w:ascii="Times New Roman" w:hAnsi="Times New Roman"/>
          <w:sz w:val="22"/>
        </w:rPr>
      </w:pPr>
      <w:r>
        <w:rPr>
          <w:sz w:val="22"/>
        </w:rPr>
        <w:t>Nota</w:t>
      </w:r>
      <w:r>
        <w:rPr>
          <w:spacing w:val="-8"/>
          <w:sz w:val="22"/>
        </w:rPr>
        <w:t> </w:t>
      </w:r>
      <w:r>
        <w:rPr>
          <w:sz w:val="22"/>
        </w:rPr>
        <w:t>Verbal</w:t>
      </w:r>
      <w:r>
        <w:rPr>
          <w:spacing w:val="-8"/>
          <w:sz w:val="22"/>
        </w:rPr>
        <w:t> </w:t>
      </w:r>
      <w:r>
        <w:rPr>
          <w:sz w:val="22"/>
        </w:rPr>
        <w:t>N.°</w:t>
      </w:r>
      <w:r>
        <w:rPr>
          <w:spacing w:val="-8"/>
          <w:sz w:val="22"/>
        </w:rPr>
        <w:t> </w:t>
      </w:r>
      <w:r>
        <w:rPr>
          <w:sz w:val="22"/>
        </w:rPr>
        <w:t>MREMH-SSRV-2026-0001-N,</w:t>
      </w:r>
      <w:r>
        <w:rPr>
          <w:spacing w:val="-7"/>
          <w:sz w:val="22"/>
        </w:rPr>
        <w:t> </w:t>
      </w:r>
      <w:r>
        <w:rPr>
          <w:sz w:val="22"/>
        </w:rPr>
        <w:t>de</w:t>
      </w:r>
      <w:r>
        <w:rPr>
          <w:spacing w:val="-10"/>
          <w:sz w:val="22"/>
        </w:rPr>
        <w:t> </w:t>
      </w:r>
      <w:r>
        <w:rPr>
          <w:sz w:val="22"/>
        </w:rPr>
        <w:t>fecha</w:t>
      </w:r>
      <w:r>
        <w:rPr>
          <w:spacing w:val="-8"/>
          <w:sz w:val="22"/>
        </w:rPr>
        <w:t> </w:t>
      </w:r>
      <w:r>
        <w:rPr>
          <w:sz w:val="22"/>
        </w:rPr>
        <w:t>1</w:t>
      </w:r>
      <w:r>
        <w:rPr>
          <w:spacing w:val="-8"/>
          <w:sz w:val="22"/>
        </w:rPr>
        <w:t> </w:t>
      </w:r>
      <w:r>
        <w:rPr>
          <w:sz w:val="22"/>
        </w:rPr>
        <w:t>de</w:t>
      </w:r>
      <w:r>
        <w:rPr>
          <w:spacing w:val="-8"/>
          <w:sz w:val="22"/>
        </w:rPr>
        <w:t> </w:t>
      </w:r>
      <w:r>
        <w:rPr>
          <w:sz w:val="22"/>
        </w:rPr>
        <w:t>enero</w:t>
      </w:r>
      <w:r>
        <w:rPr>
          <w:spacing w:val="-8"/>
          <w:sz w:val="22"/>
        </w:rPr>
        <w:t> </w:t>
      </w:r>
      <w:r>
        <w:rPr>
          <w:sz w:val="22"/>
        </w:rPr>
        <w:t>de 2026, mediante la cual el Ministerio de Relaciones Exteriores y Movilidad</w:t>
      </w:r>
      <w:r>
        <w:rPr>
          <w:spacing w:val="-12"/>
          <w:sz w:val="22"/>
        </w:rPr>
        <w:t> </w:t>
      </w:r>
      <w:r>
        <w:rPr>
          <w:sz w:val="22"/>
        </w:rPr>
        <w:t>Humana</w:t>
      </w:r>
      <w:r>
        <w:rPr>
          <w:spacing w:val="-13"/>
          <w:sz w:val="22"/>
        </w:rPr>
        <w:t> </w:t>
      </w:r>
      <w:r>
        <w:rPr>
          <w:sz w:val="22"/>
        </w:rPr>
        <w:t>de</w:t>
      </w:r>
      <w:r>
        <w:rPr>
          <w:spacing w:val="-15"/>
          <w:sz w:val="22"/>
        </w:rPr>
        <w:t> </w:t>
      </w:r>
      <w:r>
        <w:rPr>
          <w:sz w:val="22"/>
        </w:rPr>
        <w:t>la</w:t>
      </w:r>
      <w:r>
        <w:rPr>
          <w:spacing w:val="-15"/>
          <w:sz w:val="22"/>
        </w:rPr>
        <w:t> </w:t>
      </w:r>
      <w:r>
        <w:rPr>
          <w:sz w:val="22"/>
        </w:rPr>
        <w:t>República</w:t>
      </w:r>
      <w:r>
        <w:rPr>
          <w:spacing w:val="-12"/>
          <w:sz w:val="22"/>
        </w:rPr>
        <w:t> </w:t>
      </w:r>
      <w:r>
        <w:rPr>
          <w:sz w:val="22"/>
        </w:rPr>
        <w:t>del</w:t>
      </w:r>
      <w:r>
        <w:rPr>
          <w:spacing w:val="-13"/>
          <w:sz w:val="22"/>
        </w:rPr>
        <w:t> </w:t>
      </w:r>
      <w:r>
        <w:rPr>
          <w:sz w:val="22"/>
        </w:rPr>
        <w:t>Ecuador</w:t>
      </w:r>
      <w:r>
        <w:rPr>
          <w:spacing w:val="-11"/>
          <w:sz w:val="22"/>
        </w:rPr>
        <w:t> </w:t>
      </w:r>
      <w:r>
        <w:rPr>
          <w:sz w:val="22"/>
        </w:rPr>
        <w:t>informa</w:t>
      </w:r>
      <w:r>
        <w:rPr>
          <w:spacing w:val="-12"/>
          <w:sz w:val="22"/>
        </w:rPr>
        <w:t> </w:t>
      </w:r>
      <w:r>
        <w:rPr>
          <w:sz w:val="22"/>
        </w:rPr>
        <w:t>a</w:t>
      </w:r>
      <w:r>
        <w:rPr>
          <w:spacing w:val="-15"/>
          <w:sz w:val="22"/>
        </w:rPr>
        <w:t> </w:t>
      </w:r>
      <w:r>
        <w:rPr>
          <w:sz w:val="22"/>
        </w:rPr>
        <w:t>la</w:t>
      </w:r>
      <w:r>
        <w:rPr>
          <w:spacing w:val="-12"/>
          <w:sz w:val="22"/>
        </w:rPr>
        <w:t> </w:t>
      </w:r>
      <w:r>
        <w:rPr>
          <w:sz w:val="22"/>
        </w:rPr>
        <w:t>Embajada de la República de Colombia sobre la habilitación de condiciones específicas de tránsito en el paso fronterizo CEBAF San Miguel.</w:t>
      </w:r>
    </w:p>
    <w:p>
      <w:pPr>
        <w:pStyle w:val="ListParagraph"/>
        <w:numPr>
          <w:ilvl w:val="1"/>
          <w:numId w:val="2"/>
        </w:numPr>
        <w:tabs>
          <w:tab w:pos="2837" w:val="left" w:leader="none"/>
        </w:tabs>
        <w:spacing w:line="240" w:lineRule="auto" w:before="251" w:after="0"/>
        <w:ind w:left="2837" w:right="979" w:hanging="361"/>
        <w:jc w:val="both"/>
        <w:rPr>
          <w:rFonts w:ascii="Times New Roman" w:hAnsi="Times New Roman"/>
          <w:sz w:val="22"/>
        </w:rPr>
      </w:pPr>
      <w:r>
        <w:rPr>
          <w:sz w:val="22"/>
        </w:rPr>
        <w:t>Boletín de prensa de fecha 6 de febrero de 2026, emitido por el Ministerio de Relaciones Exteriores y Movilidad Humana de la República del Ecuador, relativo a la reunión de Cancilleres y autoridades de los dos países.</w:t>
      </w:r>
    </w:p>
    <w:p>
      <w:pPr>
        <w:pStyle w:val="ListParagraph"/>
        <w:numPr>
          <w:ilvl w:val="1"/>
          <w:numId w:val="2"/>
        </w:numPr>
        <w:tabs>
          <w:tab w:pos="2837" w:val="left" w:leader="none"/>
        </w:tabs>
        <w:spacing w:line="240" w:lineRule="auto" w:before="252" w:after="0"/>
        <w:ind w:left="2837" w:right="978" w:hanging="361"/>
        <w:jc w:val="both"/>
        <w:rPr>
          <w:rFonts w:ascii="Times New Roman" w:hAnsi="Times New Roman"/>
          <w:sz w:val="22"/>
        </w:rPr>
      </w:pPr>
      <w:r>
        <w:rPr>
          <w:sz w:val="22"/>
        </w:rPr>
        <w:t>Boletín de</w:t>
      </w:r>
      <w:r>
        <w:rPr>
          <w:spacing w:val="-3"/>
          <w:sz w:val="22"/>
        </w:rPr>
        <w:t> </w:t>
      </w:r>
      <w:r>
        <w:rPr>
          <w:sz w:val="22"/>
        </w:rPr>
        <w:t>prensa</w:t>
      </w:r>
      <w:r>
        <w:rPr>
          <w:spacing w:val="-3"/>
          <w:sz w:val="22"/>
        </w:rPr>
        <w:t> </w:t>
      </w:r>
      <w:r>
        <w:rPr>
          <w:sz w:val="22"/>
        </w:rPr>
        <w:t>emitido</w:t>
      </w:r>
      <w:r>
        <w:rPr>
          <w:spacing w:val="-1"/>
          <w:sz w:val="22"/>
        </w:rPr>
        <w:t> </w:t>
      </w:r>
      <w:r>
        <w:rPr>
          <w:sz w:val="22"/>
        </w:rPr>
        <w:t>por</w:t>
      </w:r>
      <w:r>
        <w:rPr>
          <w:spacing w:val="-2"/>
          <w:sz w:val="22"/>
        </w:rPr>
        <w:t> </w:t>
      </w:r>
      <w:r>
        <w:rPr>
          <w:sz w:val="22"/>
        </w:rPr>
        <w:t>el</w:t>
      </w:r>
      <w:r>
        <w:rPr>
          <w:spacing w:val="-4"/>
          <w:sz w:val="22"/>
        </w:rPr>
        <w:t> </w:t>
      </w:r>
      <w:r>
        <w:rPr>
          <w:sz w:val="22"/>
        </w:rPr>
        <w:t>Ministerio de</w:t>
      </w:r>
      <w:r>
        <w:rPr>
          <w:spacing w:val="-3"/>
          <w:sz w:val="22"/>
        </w:rPr>
        <w:t> </w:t>
      </w:r>
      <w:r>
        <w:rPr>
          <w:sz w:val="22"/>
        </w:rPr>
        <w:t>Relaciones Exteriores</w:t>
      </w:r>
      <w:r>
        <w:rPr>
          <w:spacing w:val="-2"/>
          <w:sz w:val="22"/>
        </w:rPr>
        <w:t> </w:t>
      </w:r>
      <w:r>
        <w:rPr>
          <w:sz w:val="22"/>
        </w:rPr>
        <w:t>y Movilidad Humana de la República del Ecuador, relativo a la reunión ministerial ecuatoriano–colombiana, en el que se expone la posición</w:t>
      </w:r>
    </w:p>
    <w:p>
      <w:pPr>
        <w:pStyle w:val="ListParagraph"/>
        <w:spacing w:after="0" w:line="240" w:lineRule="auto"/>
        <w:jc w:val="both"/>
        <w:rPr>
          <w:rFonts w:ascii="Times New Roman" w:hAnsi="Times New Roman"/>
          <w:sz w:val="22"/>
        </w:rPr>
        <w:sectPr>
          <w:headerReference w:type="default" r:id="rId12"/>
          <w:footerReference w:type="default" r:id="rId13"/>
          <w:pgSz w:w="11900" w:h="16850"/>
          <w:pgMar w:header="370" w:footer="651" w:top="1380" w:bottom="840" w:left="992" w:right="283"/>
        </w:sectPr>
      </w:pPr>
    </w:p>
    <w:p>
      <w:pPr>
        <w:pStyle w:val="BodyText"/>
        <w:spacing w:before="176"/>
      </w:pPr>
    </w:p>
    <w:p>
      <w:pPr>
        <w:pStyle w:val="BodyText"/>
        <w:ind w:left="2837" w:right="955"/>
      </w:pPr>
      <w:r>
        <w:rPr/>
        <w:t>de</w:t>
      </w:r>
      <w:r>
        <w:rPr>
          <w:spacing w:val="-16"/>
        </w:rPr>
        <w:t> </w:t>
      </w:r>
      <w:r>
        <w:rPr/>
        <w:t>la</w:t>
      </w:r>
      <w:r>
        <w:rPr>
          <w:spacing w:val="-15"/>
        </w:rPr>
        <w:t> </w:t>
      </w:r>
      <w:r>
        <w:rPr/>
        <w:t>República</w:t>
      </w:r>
      <w:r>
        <w:rPr>
          <w:spacing w:val="-15"/>
        </w:rPr>
        <w:t> </w:t>
      </w:r>
      <w:r>
        <w:rPr/>
        <w:t>del</w:t>
      </w:r>
      <w:r>
        <w:rPr>
          <w:spacing w:val="-16"/>
        </w:rPr>
        <w:t> </w:t>
      </w:r>
      <w:r>
        <w:rPr/>
        <w:t>Ecuador</w:t>
      </w:r>
      <w:r>
        <w:rPr>
          <w:spacing w:val="-15"/>
        </w:rPr>
        <w:t> </w:t>
      </w:r>
      <w:r>
        <w:rPr/>
        <w:t>respecto</w:t>
      </w:r>
      <w:r>
        <w:rPr>
          <w:spacing w:val="-17"/>
        </w:rPr>
        <w:t> </w:t>
      </w:r>
      <w:r>
        <w:rPr/>
        <w:t>de</w:t>
      </w:r>
      <w:r>
        <w:rPr>
          <w:spacing w:val="-15"/>
        </w:rPr>
        <w:t> </w:t>
      </w:r>
      <w:r>
        <w:rPr/>
        <w:t>los</w:t>
      </w:r>
      <w:r>
        <w:rPr>
          <w:spacing w:val="-16"/>
        </w:rPr>
        <w:t> </w:t>
      </w:r>
      <w:r>
        <w:rPr/>
        <w:t>temas</w:t>
      </w:r>
      <w:r>
        <w:rPr>
          <w:spacing w:val="-15"/>
        </w:rPr>
        <w:t> </w:t>
      </w:r>
      <w:r>
        <w:rPr/>
        <w:t>abordados</w:t>
      </w:r>
      <w:r>
        <w:rPr>
          <w:spacing w:val="-16"/>
        </w:rPr>
        <w:t> </w:t>
      </w:r>
      <w:r>
        <w:rPr/>
        <w:t>en</w:t>
      </w:r>
      <w:r>
        <w:rPr>
          <w:spacing w:val="-16"/>
        </w:rPr>
        <w:t> </w:t>
      </w:r>
      <w:r>
        <w:rPr/>
        <w:t>dicho </w:t>
      </w:r>
      <w:r>
        <w:rPr>
          <w:spacing w:val="-2"/>
        </w:rPr>
        <w:t>encuentro.</w:t>
      </w:r>
    </w:p>
    <w:p>
      <w:pPr>
        <w:pStyle w:val="BodyText"/>
      </w:pPr>
    </w:p>
    <w:p>
      <w:pPr>
        <w:pStyle w:val="ListParagraph"/>
        <w:numPr>
          <w:ilvl w:val="1"/>
          <w:numId w:val="2"/>
        </w:numPr>
        <w:tabs>
          <w:tab w:pos="2837" w:val="left" w:leader="none"/>
        </w:tabs>
        <w:spacing w:line="240" w:lineRule="auto" w:before="0" w:after="0"/>
        <w:ind w:left="2837" w:right="980" w:hanging="361"/>
        <w:jc w:val="both"/>
        <w:rPr>
          <w:rFonts w:ascii="Times New Roman" w:hAnsi="Times New Roman"/>
          <w:sz w:val="22"/>
        </w:rPr>
      </w:pPr>
      <w:r>
        <w:rPr>
          <w:sz w:val="22"/>
        </w:rPr>
        <w:t>Certificación documental</w:t>
      </w:r>
      <w:r>
        <w:rPr>
          <w:spacing w:val="-3"/>
          <w:sz w:val="22"/>
        </w:rPr>
        <w:t> </w:t>
      </w:r>
      <w:r>
        <w:rPr>
          <w:sz w:val="22"/>
        </w:rPr>
        <w:t>de fecha 4</w:t>
      </w:r>
      <w:r>
        <w:rPr>
          <w:spacing w:val="-2"/>
          <w:sz w:val="22"/>
        </w:rPr>
        <w:t> </w:t>
      </w:r>
      <w:r>
        <w:rPr>
          <w:sz w:val="22"/>
        </w:rPr>
        <w:t>de</w:t>
      </w:r>
      <w:r>
        <w:rPr>
          <w:spacing w:val="-2"/>
          <w:sz w:val="22"/>
        </w:rPr>
        <w:t> </w:t>
      </w:r>
      <w:r>
        <w:rPr>
          <w:sz w:val="22"/>
        </w:rPr>
        <w:t>marzo</w:t>
      </w:r>
      <w:r>
        <w:rPr>
          <w:spacing w:val="-1"/>
          <w:sz w:val="22"/>
        </w:rPr>
        <w:t> </w:t>
      </w:r>
      <w:r>
        <w:rPr>
          <w:sz w:val="22"/>
        </w:rPr>
        <w:t>de</w:t>
      </w:r>
      <w:r>
        <w:rPr>
          <w:spacing w:val="-2"/>
          <w:sz w:val="22"/>
        </w:rPr>
        <w:t> </w:t>
      </w:r>
      <w:r>
        <w:rPr>
          <w:sz w:val="22"/>
        </w:rPr>
        <w:t>2026, emitida por</w:t>
      </w:r>
      <w:r>
        <w:rPr>
          <w:spacing w:val="-1"/>
          <w:sz w:val="22"/>
        </w:rPr>
        <w:t> </w:t>
      </w:r>
      <w:r>
        <w:rPr>
          <w:sz w:val="22"/>
        </w:rPr>
        <w:t>la Dirección de Gestión Documental y Archivo del Ministerio de Relaciones Exteriores y Movilidad Humana de la República del Ecuador, de la digitalización y resguardo del expediente denominado “Situación Ecuador–Colombia” en el archivo institucional </w:t>
      </w:r>
      <w:r>
        <w:rPr>
          <w:spacing w:val="-2"/>
          <w:sz w:val="22"/>
        </w:rPr>
        <w:t>correspondiente.</w:t>
      </w:r>
    </w:p>
    <w:p>
      <w:pPr>
        <w:pStyle w:val="ListParagraph"/>
        <w:numPr>
          <w:ilvl w:val="1"/>
          <w:numId w:val="2"/>
        </w:numPr>
        <w:tabs>
          <w:tab w:pos="2837" w:val="left" w:leader="none"/>
        </w:tabs>
        <w:spacing w:line="240" w:lineRule="auto" w:before="252" w:after="0"/>
        <w:ind w:left="2837" w:right="975" w:hanging="361"/>
        <w:jc w:val="both"/>
        <w:rPr>
          <w:rFonts w:ascii="Times New Roman" w:hAnsi="Times New Roman"/>
          <w:sz w:val="22"/>
        </w:rPr>
      </w:pPr>
      <w:r>
        <w:rPr>
          <w:sz w:val="22"/>
        </w:rPr>
        <w:t>Oficio N.° MREMH-MREMH-2026-0501-OF, de fecha 6 de marzo de 2026, mediante el cual el Ministerio de Relaciones Exteriores y Movilidad</w:t>
      </w:r>
      <w:r>
        <w:rPr>
          <w:spacing w:val="-7"/>
          <w:sz w:val="22"/>
        </w:rPr>
        <w:t> </w:t>
      </w:r>
      <w:r>
        <w:rPr>
          <w:sz w:val="22"/>
        </w:rPr>
        <w:t>Humana</w:t>
      </w:r>
      <w:r>
        <w:rPr>
          <w:spacing w:val="-8"/>
          <w:sz w:val="22"/>
        </w:rPr>
        <w:t> </w:t>
      </w:r>
      <w:r>
        <w:rPr>
          <w:sz w:val="22"/>
        </w:rPr>
        <w:t>de</w:t>
      </w:r>
      <w:r>
        <w:rPr>
          <w:spacing w:val="-8"/>
          <w:sz w:val="22"/>
        </w:rPr>
        <w:t> </w:t>
      </w:r>
      <w:r>
        <w:rPr>
          <w:sz w:val="22"/>
        </w:rPr>
        <w:t>la</w:t>
      </w:r>
      <w:r>
        <w:rPr>
          <w:spacing w:val="-10"/>
          <w:sz w:val="22"/>
        </w:rPr>
        <w:t> </w:t>
      </w:r>
      <w:r>
        <w:rPr>
          <w:sz w:val="22"/>
        </w:rPr>
        <w:t>República</w:t>
      </w:r>
      <w:r>
        <w:rPr>
          <w:spacing w:val="-7"/>
          <w:sz w:val="22"/>
        </w:rPr>
        <w:t> </w:t>
      </w:r>
      <w:r>
        <w:rPr>
          <w:sz w:val="22"/>
        </w:rPr>
        <w:t>del</w:t>
      </w:r>
      <w:r>
        <w:rPr>
          <w:spacing w:val="-7"/>
          <w:sz w:val="22"/>
        </w:rPr>
        <w:t> </w:t>
      </w:r>
      <w:r>
        <w:rPr>
          <w:sz w:val="22"/>
        </w:rPr>
        <w:t>Ecuador</w:t>
      </w:r>
      <w:r>
        <w:rPr>
          <w:spacing w:val="-6"/>
          <w:sz w:val="22"/>
        </w:rPr>
        <w:t> </w:t>
      </w:r>
      <w:r>
        <w:rPr>
          <w:sz w:val="22"/>
        </w:rPr>
        <w:t>remite</w:t>
      </w:r>
      <w:r>
        <w:rPr>
          <w:spacing w:val="-7"/>
          <w:sz w:val="22"/>
        </w:rPr>
        <w:t> </w:t>
      </w:r>
      <w:r>
        <w:rPr>
          <w:sz w:val="22"/>
        </w:rPr>
        <w:t>al</w:t>
      </w:r>
      <w:r>
        <w:rPr>
          <w:spacing w:val="-11"/>
          <w:sz w:val="22"/>
        </w:rPr>
        <w:t> </w:t>
      </w:r>
      <w:r>
        <w:rPr>
          <w:sz w:val="22"/>
        </w:rPr>
        <w:t>Ministerio</w:t>
      </w:r>
      <w:r>
        <w:rPr>
          <w:spacing w:val="-8"/>
          <w:sz w:val="22"/>
        </w:rPr>
        <w:t> </w:t>
      </w:r>
      <w:r>
        <w:rPr>
          <w:sz w:val="22"/>
        </w:rPr>
        <w:t>de Producción, Comercio</w:t>
      </w:r>
      <w:r>
        <w:rPr>
          <w:spacing w:val="-4"/>
          <w:sz w:val="22"/>
        </w:rPr>
        <w:t> </w:t>
      </w:r>
      <w:r>
        <w:rPr>
          <w:sz w:val="22"/>
        </w:rPr>
        <w:t>Exterior</w:t>
      </w:r>
      <w:r>
        <w:rPr>
          <w:spacing w:val="-3"/>
          <w:sz w:val="22"/>
        </w:rPr>
        <w:t> </w:t>
      </w:r>
      <w:r>
        <w:rPr>
          <w:sz w:val="22"/>
        </w:rPr>
        <w:t>e</w:t>
      </w:r>
      <w:r>
        <w:rPr>
          <w:spacing w:val="-4"/>
          <w:sz w:val="22"/>
        </w:rPr>
        <w:t> </w:t>
      </w:r>
      <w:r>
        <w:rPr>
          <w:sz w:val="22"/>
        </w:rPr>
        <w:t>Inversiones</w:t>
      </w:r>
      <w:r>
        <w:rPr>
          <w:spacing w:val="-1"/>
          <w:sz w:val="22"/>
        </w:rPr>
        <w:t> </w:t>
      </w:r>
      <w:r>
        <w:rPr>
          <w:sz w:val="22"/>
        </w:rPr>
        <w:t>información</w:t>
      </w:r>
      <w:r>
        <w:rPr>
          <w:spacing w:val="-2"/>
          <w:sz w:val="22"/>
        </w:rPr>
        <w:t> </w:t>
      </w:r>
      <w:r>
        <w:rPr>
          <w:sz w:val="22"/>
        </w:rPr>
        <w:t>adicional</w:t>
      </w:r>
      <w:r>
        <w:rPr>
          <w:spacing w:val="-3"/>
          <w:sz w:val="22"/>
        </w:rPr>
        <w:t> </w:t>
      </w:r>
      <w:r>
        <w:rPr>
          <w:sz w:val="22"/>
        </w:rPr>
        <w:t>en atención</w:t>
      </w:r>
      <w:r>
        <w:rPr>
          <w:spacing w:val="80"/>
          <w:w w:val="150"/>
          <w:sz w:val="22"/>
        </w:rPr>
        <w:t>  </w:t>
      </w:r>
      <w:r>
        <w:rPr>
          <w:sz w:val="22"/>
        </w:rPr>
        <w:t>a</w:t>
      </w:r>
      <w:r>
        <w:rPr>
          <w:spacing w:val="80"/>
          <w:w w:val="150"/>
          <w:sz w:val="22"/>
        </w:rPr>
        <w:t>  </w:t>
      </w:r>
      <w:r>
        <w:rPr>
          <w:sz w:val="22"/>
        </w:rPr>
        <w:t>los</w:t>
      </w:r>
      <w:r>
        <w:rPr>
          <w:spacing w:val="80"/>
          <w:w w:val="150"/>
          <w:sz w:val="22"/>
        </w:rPr>
        <w:t>  </w:t>
      </w:r>
      <w:r>
        <w:rPr>
          <w:sz w:val="22"/>
        </w:rPr>
        <w:t>requerimientos</w:t>
      </w:r>
      <w:r>
        <w:rPr>
          <w:spacing w:val="80"/>
          <w:w w:val="150"/>
          <w:sz w:val="22"/>
        </w:rPr>
        <w:t>  </w:t>
      </w:r>
      <w:r>
        <w:rPr>
          <w:sz w:val="22"/>
        </w:rPr>
        <w:t>formulados</w:t>
      </w:r>
      <w:r>
        <w:rPr>
          <w:spacing w:val="80"/>
          <w:w w:val="150"/>
          <w:sz w:val="22"/>
        </w:rPr>
        <w:t>  </w:t>
      </w:r>
      <w:r>
        <w:rPr>
          <w:sz w:val="22"/>
        </w:rPr>
        <w:t>en</w:t>
      </w:r>
      <w:r>
        <w:rPr>
          <w:spacing w:val="80"/>
          <w:w w:val="150"/>
          <w:sz w:val="22"/>
        </w:rPr>
        <w:t>  </w:t>
      </w:r>
      <w:r>
        <w:rPr>
          <w:sz w:val="22"/>
        </w:rPr>
        <w:t>el marco de los expedientes EXP.DGCOM/REST/001/2026 y </w:t>
      </w:r>
      <w:r>
        <w:rPr>
          <w:spacing w:val="-2"/>
          <w:sz w:val="22"/>
        </w:rPr>
        <w:t>EXP.DGCOM/REST/002/2026</w:t>
      </w:r>
      <w:hyperlink w:history="true" w:anchor="_bookmark19">
        <w:r>
          <w:rPr>
            <w:spacing w:val="-2"/>
            <w:sz w:val="22"/>
            <w:vertAlign w:val="superscript"/>
          </w:rPr>
          <w:t>20</w:t>
        </w:r>
      </w:hyperlink>
      <w:r>
        <w:rPr>
          <w:spacing w:val="-2"/>
          <w:sz w:val="22"/>
          <w:vertAlign w:val="baseline"/>
        </w:rPr>
        <w:t>.</w:t>
      </w:r>
    </w:p>
    <w:p>
      <w:pPr>
        <w:pStyle w:val="BodyText"/>
        <w:spacing w:before="1"/>
      </w:pPr>
    </w:p>
    <w:p>
      <w:pPr>
        <w:pStyle w:val="ListParagraph"/>
        <w:numPr>
          <w:ilvl w:val="1"/>
          <w:numId w:val="2"/>
        </w:numPr>
        <w:tabs>
          <w:tab w:pos="2837" w:val="left" w:leader="none"/>
        </w:tabs>
        <w:spacing w:line="240" w:lineRule="auto" w:before="0" w:after="0"/>
        <w:ind w:left="2837" w:right="978" w:hanging="361"/>
        <w:jc w:val="both"/>
        <w:rPr>
          <w:rFonts w:ascii="Times New Roman" w:hAnsi="Times New Roman"/>
          <w:sz w:val="22"/>
        </w:rPr>
      </w:pPr>
      <w:r>
        <w:rPr>
          <w:sz w:val="22"/>
        </w:rPr>
        <w:t>Certificación documental</w:t>
      </w:r>
      <w:r>
        <w:rPr>
          <w:spacing w:val="-3"/>
          <w:sz w:val="22"/>
        </w:rPr>
        <w:t> </w:t>
      </w:r>
      <w:r>
        <w:rPr>
          <w:sz w:val="22"/>
        </w:rPr>
        <w:t>de fecha 5</w:t>
      </w:r>
      <w:r>
        <w:rPr>
          <w:spacing w:val="-2"/>
          <w:sz w:val="22"/>
        </w:rPr>
        <w:t> </w:t>
      </w:r>
      <w:r>
        <w:rPr>
          <w:sz w:val="22"/>
        </w:rPr>
        <w:t>de</w:t>
      </w:r>
      <w:r>
        <w:rPr>
          <w:spacing w:val="-2"/>
          <w:sz w:val="22"/>
        </w:rPr>
        <w:t> </w:t>
      </w:r>
      <w:r>
        <w:rPr>
          <w:sz w:val="22"/>
        </w:rPr>
        <w:t>marzo</w:t>
      </w:r>
      <w:r>
        <w:rPr>
          <w:spacing w:val="-1"/>
          <w:sz w:val="22"/>
        </w:rPr>
        <w:t> </w:t>
      </w:r>
      <w:r>
        <w:rPr>
          <w:sz w:val="22"/>
        </w:rPr>
        <w:t>de</w:t>
      </w:r>
      <w:r>
        <w:rPr>
          <w:spacing w:val="-2"/>
          <w:sz w:val="22"/>
        </w:rPr>
        <w:t> </w:t>
      </w:r>
      <w:r>
        <w:rPr>
          <w:sz w:val="22"/>
        </w:rPr>
        <w:t>2026, emitida por</w:t>
      </w:r>
      <w:r>
        <w:rPr>
          <w:spacing w:val="-1"/>
          <w:sz w:val="22"/>
        </w:rPr>
        <w:t> </w:t>
      </w:r>
      <w:r>
        <w:rPr>
          <w:sz w:val="22"/>
        </w:rPr>
        <w:t>la Dirección de Gestión Documental y Archivo del Ministerio de Relaciones Exteriores y Movilidad Humana de la República del Ecuador, de la digitalización de documentos correspondientes al expediente “Situación Ecuador–Colombia” y su resguardo en el archivo institucional.</w:t>
      </w:r>
    </w:p>
    <w:p>
      <w:pPr>
        <w:pStyle w:val="ListParagraph"/>
        <w:numPr>
          <w:ilvl w:val="1"/>
          <w:numId w:val="2"/>
        </w:numPr>
        <w:tabs>
          <w:tab w:pos="2837" w:val="left" w:leader="none"/>
        </w:tabs>
        <w:spacing w:line="240" w:lineRule="auto" w:before="251" w:after="0"/>
        <w:ind w:left="2837" w:right="977" w:hanging="361"/>
        <w:jc w:val="both"/>
        <w:rPr>
          <w:rFonts w:ascii="Times New Roman" w:hAnsi="Times New Roman"/>
          <w:sz w:val="22"/>
        </w:rPr>
      </w:pPr>
      <w:r>
        <w:rPr>
          <w:sz w:val="22"/>
        </w:rPr>
        <w:t>Documento denominado “Resumen integral de los documentos certificados por el Ministerio de Relaciones Exteriores y Movilidad Humana de la República del Ecuador”, elaborado por el Ministerio de Producción, Comercio Exterior e Inversiones, mediante el cual se sistematiza la documentación certificada correspondiente al </w:t>
      </w:r>
      <w:r>
        <w:rPr>
          <w:spacing w:val="-2"/>
          <w:sz w:val="22"/>
        </w:rPr>
        <w:t>expediente</w:t>
      </w:r>
      <w:r>
        <w:rPr>
          <w:spacing w:val="-3"/>
          <w:sz w:val="22"/>
        </w:rPr>
        <w:t> </w:t>
      </w:r>
      <w:r>
        <w:rPr>
          <w:spacing w:val="-2"/>
          <w:sz w:val="22"/>
        </w:rPr>
        <w:t>“Situación Ecuador–Colombia”, en</w:t>
      </w:r>
      <w:r>
        <w:rPr>
          <w:spacing w:val="-4"/>
          <w:sz w:val="22"/>
        </w:rPr>
        <w:t> </w:t>
      </w:r>
      <w:r>
        <w:rPr>
          <w:spacing w:val="-2"/>
          <w:sz w:val="22"/>
        </w:rPr>
        <w:t>el</w:t>
      </w:r>
      <w:r>
        <w:rPr>
          <w:spacing w:val="-4"/>
          <w:sz w:val="22"/>
        </w:rPr>
        <w:t> </w:t>
      </w:r>
      <w:r>
        <w:rPr>
          <w:spacing w:val="-2"/>
          <w:sz w:val="22"/>
        </w:rPr>
        <w:t>marco</w:t>
      </w:r>
      <w:r>
        <w:rPr>
          <w:spacing w:val="-3"/>
          <w:sz w:val="22"/>
        </w:rPr>
        <w:t> </w:t>
      </w:r>
      <w:r>
        <w:rPr>
          <w:spacing w:val="-2"/>
          <w:sz w:val="22"/>
        </w:rPr>
        <w:t>del</w:t>
      </w:r>
      <w:r>
        <w:rPr>
          <w:spacing w:val="-4"/>
          <w:sz w:val="22"/>
        </w:rPr>
        <w:t> </w:t>
      </w:r>
      <w:r>
        <w:rPr>
          <w:spacing w:val="-2"/>
          <w:sz w:val="22"/>
        </w:rPr>
        <w:t>Expediente </w:t>
      </w:r>
      <w:r>
        <w:rPr>
          <w:sz w:val="22"/>
        </w:rPr>
        <w:t>N.° EXP.DGCOM/REST/001/2026.</w:t>
      </w:r>
    </w:p>
    <w:p>
      <w:pPr>
        <w:pStyle w:val="BodyText"/>
      </w:pPr>
    </w:p>
    <w:p>
      <w:pPr>
        <w:pStyle w:val="ListParagraph"/>
        <w:numPr>
          <w:ilvl w:val="1"/>
          <w:numId w:val="2"/>
        </w:numPr>
        <w:tabs>
          <w:tab w:pos="2837" w:val="left" w:leader="none"/>
        </w:tabs>
        <w:spacing w:line="240" w:lineRule="auto" w:before="1" w:after="0"/>
        <w:ind w:left="2837" w:right="978" w:hanging="361"/>
        <w:jc w:val="both"/>
        <w:rPr>
          <w:rFonts w:ascii="Times New Roman" w:hAnsi="Times New Roman"/>
          <w:sz w:val="22"/>
        </w:rPr>
      </w:pPr>
      <w:r>
        <w:rPr>
          <w:sz w:val="22"/>
        </w:rPr>
        <w:t>Información estadística de las importaciones ecuatorianas procedentes</w:t>
      </w:r>
      <w:r>
        <w:rPr>
          <w:spacing w:val="-12"/>
          <w:sz w:val="22"/>
        </w:rPr>
        <w:t> </w:t>
      </w:r>
      <w:r>
        <w:rPr>
          <w:sz w:val="22"/>
        </w:rPr>
        <w:t>u</w:t>
      </w:r>
      <w:r>
        <w:rPr>
          <w:spacing w:val="-10"/>
          <w:sz w:val="22"/>
        </w:rPr>
        <w:t> </w:t>
      </w:r>
      <w:r>
        <w:rPr>
          <w:sz w:val="22"/>
        </w:rPr>
        <w:t>originarias</w:t>
      </w:r>
      <w:r>
        <w:rPr>
          <w:spacing w:val="-10"/>
          <w:sz w:val="22"/>
        </w:rPr>
        <w:t> </w:t>
      </w:r>
      <w:r>
        <w:rPr>
          <w:sz w:val="22"/>
        </w:rPr>
        <w:t>de</w:t>
      </w:r>
      <w:r>
        <w:rPr>
          <w:spacing w:val="-10"/>
          <w:sz w:val="22"/>
        </w:rPr>
        <w:t> </w:t>
      </w:r>
      <w:r>
        <w:rPr>
          <w:sz w:val="22"/>
        </w:rPr>
        <w:t>la</w:t>
      </w:r>
      <w:r>
        <w:rPr>
          <w:spacing w:val="-10"/>
          <w:sz w:val="22"/>
        </w:rPr>
        <w:t> </w:t>
      </w:r>
      <w:r>
        <w:rPr>
          <w:sz w:val="22"/>
        </w:rPr>
        <w:t>República</w:t>
      </w:r>
      <w:r>
        <w:rPr>
          <w:spacing w:val="-10"/>
          <w:sz w:val="22"/>
        </w:rPr>
        <w:t> </w:t>
      </w:r>
      <w:r>
        <w:rPr>
          <w:sz w:val="22"/>
        </w:rPr>
        <w:t>de</w:t>
      </w:r>
      <w:r>
        <w:rPr>
          <w:spacing w:val="-10"/>
          <w:sz w:val="22"/>
        </w:rPr>
        <w:t> </w:t>
      </w:r>
      <w:r>
        <w:rPr>
          <w:sz w:val="22"/>
        </w:rPr>
        <w:t>Colombia</w:t>
      </w:r>
      <w:r>
        <w:rPr>
          <w:spacing w:val="-10"/>
          <w:sz w:val="22"/>
        </w:rPr>
        <w:t> </w:t>
      </w:r>
      <w:r>
        <w:rPr>
          <w:sz w:val="22"/>
        </w:rPr>
        <w:t>para</w:t>
      </w:r>
      <w:r>
        <w:rPr>
          <w:spacing w:val="-12"/>
          <w:sz w:val="22"/>
        </w:rPr>
        <w:t> </w:t>
      </w:r>
      <w:r>
        <w:rPr>
          <w:sz w:val="22"/>
        </w:rPr>
        <w:t>el</w:t>
      </w:r>
      <w:r>
        <w:rPr>
          <w:spacing w:val="-11"/>
          <w:sz w:val="22"/>
        </w:rPr>
        <w:t> </w:t>
      </w:r>
      <w:r>
        <w:rPr>
          <w:sz w:val="22"/>
        </w:rPr>
        <w:t>periodo comprendido entre 2024</w:t>
      </w:r>
      <w:r>
        <w:rPr>
          <w:spacing w:val="-1"/>
          <w:sz w:val="22"/>
        </w:rPr>
        <w:t> </w:t>
      </w:r>
      <w:r>
        <w:rPr>
          <w:sz w:val="22"/>
        </w:rPr>
        <w:t>y febrero de 2026, desagregada por aduana de</w:t>
      </w:r>
      <w:r>
        <w:rPr>
          <w:spacing w:val="-16"/>
          <w:sz w:val="22"/>
        </w:rPr>
        <w:t> </w:t>
      </w:r>
      <w:r>
        <w:rPr>
          <w:sz w:val="22"/>
        </w:rPr>
        <w:t>ingreso,</w:t>
      </w:r>
      <w:r>
        <w:rPr>
          <w:spacing w:val="-15"/>
          <w:sz w:val="22"/>
        </w:rPr>
        <w:t> </w:t>
      </w:r>
      <w:r>
        <w:rPr>
          <w:sz w:val="22"/>
        </w:rPr>
        <w:t>partida</w:t>
      </w:r>
      <w:r>
        <w:rPr>
          <w:spacing w:val="-15"/>
          <w:sz w:val="22"/>
        </w:rPr>
        <w:t> </w:t>
      </w:r>
      <w:r>
        <w:rPr>
          <w:sz w:val="22"/>
        </w:rPr>
        <w:t>y</w:t>
      </w:r>
      <w:r>
        <w:rPr>
          <w:spacing w:val="-16"/>
          <w:sz w:val="22"/>
        </w:rPr>
        <w:t> </w:t>
      </w:r>
      <w:r>
        <w:rPr>
          <w:sz w:val="22"/>
        </w:rPr>
        <w:t>subpartida</w:t>
      </w:r>
      <w:r>
        <w:rPr>
          <w:spacing w:val="-15"/>
          <w:sz w:val="22"/>
        </w:rPr>
        <w:t> </w:t>
      </w:r>
      <w:r>
        <w:rPr>
          <w:sz w:val="22"/>
        </w:rPr>
        <w:t>arancelaria,</w:t>
      </w:r>
      <w:r>
        <w:rPr>
          <w:spacing w:val="-15"/>
          <w:sz w:val="22"/>
        </w:rPr>
        <w:t> </w:t>
      </w:r>
      <w:r>
        <w:rPr>
          <w:sz w:val="22"/>
        </w:rPr>
        <w:t>valor</w:t>
      </w:r>
      <w:r>
        <w:rPr>
          <w:spacing w:val="-15"/>
          <w:sz w:val="22"/>
        </w:rPr>
        <w:t> </w:t>
      </w:r>
      <w:r>
        <w:rPr>
          <w:sz w:val="22"/>
        </w:rPr>
        <w:t>CIF,</w:t>
      </w:r>
      <w:r>
        <w:rPr>
          <w:spacing w:val="-16"/>
          <w:sz w:val="22"/>
        </w:rPr>
        <w:t> </w:t>
      </w:r>
      <w:r>
        <w:rPr>
          <w:sz w:val="22"/>
        </w:rPr>
        <w:t>peso</w:t>
      </w:r>
      <w:r>
        <w:rPr>
          <w:spacing w:val="-15"/>
          <w:sz w:val="22"/>
        </w:rPr>
        <w:t> </w:t>
      </w:r>
      <w:r>
        <w:rPr>
          <w:sz w:val="22"/>
        </w:rPr>
        <w:t>neto,</w:t>
      </w:r>
      <w:r>
        <w:rPr>
          <w:spacing w:val="-15"/>
          <w:sz w:val="22"/>
        </w:rPr>
        <w:t> </w:t>
      </w:r>
      <w:r>
        <w:rPr>
          <w:sz w:val="22"/>
        </w:rPr>
        <w:t>valor del flete y valor del seguro.</w:t>
      </w:r>
    </w:p>
    <w:p>
      <w:pPr>
        <w:pStyle w:val="ListParagraph"/>
        <w:numPr>
          <w:ilvl w:val="1"/>
          <w:numId w:val="2"/>
        </w:numPr>
        <w:tabs>
          <w:tab w:pos="2837" w:val="left" w:leader="none"/>
          <w:tab w:pos="4178" w:val="left" w:leader="none"/>
          <w:tab w:pos="5445" w:val="left" w:leader="none"/>
          <w:tab w:pos="7151" w:val="left" w:leader="none"/>
          <w:tab w:pos="8541" w:val="left" w:leader="none"/>
        </w:tabs>
        <w:spacing w:line="240" w:lineRule="auto" w:before="251" w:after="0"/>
        <w:ind w:left="2837" w:right="978" w:hanging="361"/>
        <w:jc w:val="both"/>
        <w:rPr>
          <w:rFonts w:ascii="Times New Roman" w:hAnsi="Times New Roman"/>
          <w:sz w:val="22"/>
        </w:rPr>
      </w:pPr>
      <w:r>
        <w:rPr>
          <w:sz w:val="22"/>
        </w:rPr>
        <w:t>Oficio N.º MPCEI-VCE-2026-0044-O, de fecha 7 de abril de 2026, mediante el cual el Ministerio de Producción, Comercio Exterior e Inversiones de la República del Ecuador remite a la SGCAN el resumen</w:t>
      </w:r>
      <w:r>
        <w:rPr>
          <w:spacing w:val="-14"/>
          <w:sz w:val="22"/>
        </w:rPr>
        <w:t> </w:t>
      </w:r>
      <w:r>
        <w:rPr>
          <w:sz w:val="22"/>
        </w:rPr>
        <w:t>no</w:t>
      </w:r>
      <w:r>
        <w:rPr>
          <w:spacing w:val="-14"/>
          <w:sz w:val="22"/>
        </w:rPr>
        <w:t> </w:t>
      </w:r>
      <w:r>
        <w:rPr>
          <w:sz w:val="22"/>
        </w:rPr>
        <w:t>confidencial</w:t>
      </w:r>
      <w:r>
        <w:rPr>
          <w:spacing w:val="-14"/>
          <w:sz w:val="22"/>
        </w:rPr>
        <w:t> </w:t>
      </w:r>
      <w:r>
        <w:rPr>
          <w:sz w:val="22"/>
        </w:rPr>
        <w:t>de</w:t>
      </w:r>
      <w:r>
        <w:rPr>
          <w:spacing w:val="-12"/>
          <w:sz w:val="22"/>
        </w:rPr>
        <w:t> </w:t>
      </w:r>
      <w:r>
        <w:rPr>
          <w:sz w:val="22"/>
        </w:rPr>
        <w:t>la</w:t>
      </w:r>
      <w:r>
        <w:rPr>
          <w:spacing w:val="-12"/>
          <w:sz w:val="22"/>
        </w:rPr>
        <w:t> </w:t>
      </w:r>
      <w:r>
        <w:rPr>
          <w:sz w:val="22"/>
        </w:rPr>
        <w:t>información</w:t>
      </w:r>
      <w:r>
        <w:rPr>
          <w:spacing w:val="-14"/>
          <w:sz w:val="22"/>
        </w:rPr>
        <w:t> </w:t>
      </w:r>
      <w:r>
        <w:rPr>
          <w:sz w:val="22"/>
        </w:rPr>
        <w:t>previamente</w:t>
      </w:r>
      <w:r>
        <w:rPr>
          <w:spacing w:val="-13"/>
          <w:sz w:val="22"/>
        </w:rPr>
        <w:t> </w:t>
      </w:r>
      <w:r>
        <w:rPr>
          <w:sz w:val="22"/>
        </w:rPr>
        <w:t>proporcionada </w:t>
      </w:r>
      <w:r>
        <w:rPr>
          <w:spacing w:val="-6"/>
          <w:sz w:val="22"/>
        </w:rPr>
        <w:t>en</w:t>
      </w:r>
      <w:r>
        <w:rPr>
          <w:sz w:val="22"/>
        </w:rPr>
        <w:tab/>
      </w:r>
      <w:r>
        <w:rPr>
          <w:spacing w:val="-6"/>
          <w:sz w:val="22"/>
        </w:rPr>
        <w:t>el</w:t>
      </w:r>
      <w:r>
        <w:rPr>
          <w:sz w:val="22"/>
        </w:rPr>
        <w:tab/>
      </w:r>
      <w:r>
        <w:rPr>
          <w:spacing w:val="-4"/>
          <w:sz w:val="22"/>
        </w:rPr>
        <w:t>marco</w:t>
      </w:r>
      <w:r>
        <w:rPr>
          <w:sz w:val="22"/>
        </w:rPr>
        <w:tab/>
      </w:r>
      <w:r>
        <w:rPr>
          <w:spacing w:val="-4"/>
          <w:sz w:val="22"/>
        </w:rPr>
        <w:t>del</w:t>
      </w:r>
      <w:r>
        <w:rPr>
          <w:sz w:val="22"/>
        </w:rPr>
        <w:tab/>
      </w:r>
      <w:r>
        <w:rPr>
          <w:spacing w:val="-2"/>
          <w:sz w:val="22"/>
        </w:rPr>
        <w:t>Expediente </w:t>
      </w:r>
      <w:r>
        <w:rPr>
          <w:sz w:val="22"/>
        </w:rPr>
        <w:t>N.° EXP.DGCOM/REST/001/2026.</w:t>
      </w:r>
    </w:p>
    <w:p>
      <w:pPr>
        <w:pStyle w:val="Heading5"/>
        <w:numPr>
          <w:ilvl w:val="0"/>
          <w:numId w:val="1"/>
        </w:numPr>
        <w:tabs>
          <w:tab w:pos="1137" w:val="left" w:leader="none"/>
        </w:tabs>
        <w:spacing w:line="240" w:lineRule="auto" w:before="253" w:after="0"/>
        <w:ind w:left="1137" w:right="0" w:hanging="358"/>
        <w:jc w:val="left"/>
      </w:pPr>
      <w:r>
        <w:rPr/>
        <w:t>INFORMACIÓN</w:t>
      </w:r>
      <w:r>
        <w:rPr>
          <w:spacing w:val="-7"/>
        </w:rPr>
        <w:t> </w:t>
      </w:r>
      <w:r>
        <w:rPr/>
        <w:t>DE</w:t>
      </w:r>
      <w:r>
        <w:rPr>
          <w:spacing w:val="-4"/>
        </w:rPr>
        <w:t> </w:t>
      </w:r>
      <w:r>
        <w:rPr/>
        <w:t>LOS</w:t>
      </w:r>
      <w:r>
        <w:rPr>
          <w:spacing w:val="-4"/>
        </w:rPr>
        <w:t> </w:t>
      </w:r>
      <w:r>
        <w:rPr/>
        <w:t>PAÍSES</w:t>
      </w:r>
      <w:r>
        <w:rPr>
          <w:spacing w:val="-4"/>
        </w:rPr>
        <w:t> </w:t>
      </w:r>
      <w:r>
        <w:rPr>
          <w:spacing w:val="-2"/>
        </w:rPr>
        <w:t>MIEMBROS</w:t>
      </w:r>
    </w:p>
    <w:p>
      <w:pPr>
        <w:pStyle w:val="BodyText"/>
        <w:rPr>
          <w:rFonts w:ascii="Arial"/>
          <w:b/>
        </w:rPr>
      </w:pPr>
    </w:p>
    <w:p>
      <w:pPr>
        <w:pStyle w:val="ListParagraph"/>
        <w:numPr>
          <w:ilvl w:val="0"/>
          <w:numId w:val="2"/>
        </w:numPr>
        <w:tabs>
          <w:tab w:pos="1420" w:val="left" w:leader="none"/>
        </w:tabs>
        <w:spacing w:line="240" w:lineRule="auto" w:before="0" w:after="0"/>
        <w:ind w:left="1420" w:right="978" w:hanging="852"/>
        <w:jc w:val="both"/>
        <w:rPr>
          <w:sz w:val="22"/>
        </w:rPr>
      </w:pPr>
      <w:r>
        <w:rPr>
          <w:sz w:val="22"/>
        </w:rPr>
        <w:t>Con</w:t>
      </w:r>
      <w:r>
        <w:rPr>
          <w:spacing w:val="-2"/>
          <w:sz w:val="22"/>
        </w:rPr>
        <w:t> </w:t>
      </w:r>
      <w:r>
        <w:rPr>
          <w:sz w:val="22"/>
        </w:rPr>
        <w:t>relación</w:t>
      </w:r>
      <w:r>
        <w:rPr>
          <w:spacing w:val="-2"/>
          <w:sz w:val="22"/>
        </w:rPr>
        <w:t> </w:t>
      </w:r>
      <w:r>
        <w:rPr>
          <w:sz w:val="22"/>
        </w:rPr>
        <w:t>a</w:t>
      </w:r>
      <w:r>
        <w:rPr>
          <w:spacing w:val="-1"/>
          <w:sz w:val="22"/>
        </w:rPr>
        <w:t> </w:t>
      </w:r>
      <w:r>
        <w:rPr>
          <w:sz w:val="22"/>
        </w:rPr>
        <w:t>la</w:t>
      </w:r>
      <w:r>
        <w:rPr>
          <w:spacing w:val="-1"/>
          <w:sz w:val="22"/>
        </w:rPr>
        <w:t> </w:t>
      </w:r>
      <w:r>
        <w:rPr>
          <w:sz w:val="22"/>
        </w:rPr>
        <w:t>presentación</w:t>
      </w:r>
      <w:r>
        <w:rPr>
          <w:spacing w:val="-2"/>
          <w:sz w:val="22"/>
        </w:rPr>
        <w:t> </w:t>
      </w:r>
      <w:r>
        <w:rPr>
          <w:sz w:val="22"/>
        </w:rPr>
        <w:t>de la</w:t>
      </w:r>
      <w:r>
        <w:rPr>
          <w:spacing w:val="-1"/>
          <w:sz w:val="22"/>
        </w:rPr>
        <w:t> </w:t>
      </w:r>
      <w:r>
        <w:rPr>
          <w:sz w:val="22"/>
        </w:rPr>
        <w:t>información</w:t>
      </w:r>
      <w:r>
        <w:rPr>
          <w:spacing w:val="-2"/>
          <w:sz w:val="22"/>
        </w:rPr>
        <w:t> </w:t>
      </w:r>
      <w:r>
        <w:rPr>
          <w:sz w:val="22"/>
        </w:rPr>
        <w:t>adicional, corresponde</w:t>
      </w:r>
      <w:r>
        <w:rPr>
          <w:spacing w:val="-1"/>
          <w:sz w:val="22"/>
        </w:rPr>
        <w:t> </w:t>
      </w:r>
      <w:r>
        <w:rPr>
          <w:sz w:val="22"/>
        </w:rPr>
        <w:t>señalar que el</w:t>
      </w:r>
      <w:r>
        <w:rPr>
          <w:spacing w:val="-16"/>
          <w:sz w:val="22"/>
        </w:rPr>
        <w:t> </w:t>
      </w:r>
      <w:r>
        <w:rPr>
          <w:sz w:val="22"/>
        </w:rPr>
        <w:t>Estado</w:t>
      </w:r>
      <w:r>
        <w:rPr>
          <w:spacing w:val="-15"/>
          <w:sz w:val="22"/>
        </w:rPr>
        <w:t> </w:t>
      </w:r>
      <w:r>
        <w:rPr>
          <w:sz w:val="22"/>
        </w:rPr>
        <w:t>Plurinacional</w:t>
      </w:r>
      <w:r>
        <w:rPr>
          <w:spacing w:val="-15"/>
          <w:sz w:val="22"/>
        </w:rPr>
        <w:t> </w:t>
      </w:r>
      <w:r>
        <w:rPr>
          <w:sz w:val="22"/>
        </w:rPr>
        <w:t>de</w:t>
      </w:r>
      <w:r>
        <w:rPr>
          <w:spacing w:val="-16"/>
          <w:sz w:val="22"/>
        </w:rPr>
        <w:t> </w:t>
      </w:r>
      <w:r>
        <w:rPr>
          <w:sz w:val="22"/>
        </w:rPr>
        <w:t>Bolivia</w:t>
      </w:r>
      <w:r>
        <w:rPr>
          <w:spacing w:val="-15"/>
          <w:sz w:val="22"/>
        </w:rPr>
        <w:t> </w:t>
      </w:r>
      <w:r>
        <w:rPr>
          <w:sz w:val="22"/>
        </w:rPr>
        <w:t>y</w:t>
      </w:r>
      <w:r>
        <w:rPr>
          <w:spacing w:val="-15"/>
          <w:sz w:val="22"/>
        </w:rPr>
        <w:t> </w:t>
      </w:r>
      <w:r>
        <w:rPr>
          <w:sz w:val="22"/>
        </w:rPr>
        <w:t>la</w:t>
      </w:r>
      <w:r>
        <w:rPr>
          <w:spacing w:val="-15"/>
          <w:sz w:val="22"/>
        </w:rPr>
        <w:t> </w:t>
      </w:r>
      <w:r>
        <w:rPr>
          <w:sz w:val="22"/>
        </w:rPr>
        <w:t>República</w:t>
      </w:r>
      <w:r>
        <w:rPr>
          <w:spacing w:val="-16"/>
          <w:sz w:val="22"/>
        </w:rPr>
        <w:t> </w:t>
      </w:r>
      <w:r>
        <w:rPr>
          <w:sz w:val="22"/>
        </w:rPr>
        <w:t>del</w:t>
      </w:r>
      <w:r>
        <w:rPr>
          <w:spacing w:val="-15"/>
          <w:sz w:val="22"/>
        </w:rPr>
        <w:t> </w:t>
      </w:r>
      <w:r>
        <w:rPr>
          <w:sz w:val="22"/>
        </w:rPr>
        <w:t>Perú</w:t>
      </w:r>
      <w:r>
        <w:rPr>
          <w:spacing w:val="-15"/>
          <w:sz w:val="22"/>
        </w:rPr>
        <w:t> </w:t>
      </w:r>
      <w:r>
        <w:rPr>
          <w:sz w:val="22"/>
        </w:rPr>
        <w:t>no</w:t>
      </w:r>
      <w:r>
        <w:rPr>
          <w:spacing w:val="-16"/>
          <w:sz w:val="22"/>
        </w:rPr>
        <w:t> </w:t>
      </w:r>
      <w:r>
        <w:rPr>
          <w:sz w:val="22"/>
        </w:rPr>
        <w:t>presentaron</w:t>
      </w:r>
      <w:r>
        <w:rPr>
          <w:spacing w:val="-15"/>
          <w:sz w:val="22"/>
        </w:rPr>
        <w:t> </w:t>
      </w:r>
      <w:r>
        <w:rPr>
          <w:sz w:val="22"/>
        </w:rPr>
        <w:t>comentarios o información en el marco del presente procedimiento.</w:t>
      </w:r>
    </w:p>
    <w:p>
      <w:pPr>
        <w:pStyle w:val="BodyText"/>
        <w:rPr>
          <w:sz w:val="20"/>
        </w:rPr>
      </w:pPr>
    </w:p>
    <w:p>
      <w:pPr>
        <w:pStyle w:val="BodyText"/>
        <w:spacing w:before="207"/>
        <w:rPr>
          <w:sz w:val="20"/>
        </w:rPr>
      </w:pPr>
      <w:r>
        <w:rPr>
          <w:sz w:val="20"/>
        </w:rPr>
        <mc:AlternateContent>
          <mc:Choice Requires="wps">
            <w:drawing>
              <wp:anchor distT="0" distB="0" distL="0" distR="0" allowOverlap="1" layoutInCell="1" locked="0" behindDoc="1" simplePos="0" relativeHeight="487596032">
                <wp:simplePos x="0" y="0"/>
                <wp:positionH relativeFrom="page">
                  <wp:posOffset>990904</wp:posOffset>
                </wp:positionH>
                <wp:positionV relativeFrom="paragraph">
                  <wp:posOffset>292957</wp:posOffset>
                </wp:positionV>
                <wp:extent cx="1829435" cy="7620"/>
                <wp:effectExtent l="0" t="0" r="0" b="0"/>
                <wp:wrapTopAndBottom/>
                <wp:docPr id="60" name="Graphic 60"/>
                <wp:cNvGraphicFramePr>
                  <a:graphicFrameLocks/>
                </wp:cNvGraphicFramePr>
                <a:graphic>
                  <a:graphicData uri="http://schemas.microsoft.com/office/word/2010/wordprocessingShape">
                    <wps:wsp>
                      <wps:cNvPr id="60" name="Graphic 60"/>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3.06752pt;width:144.020pt;height:.599980pt;mso-position-horizontal-relative:page;mso-position-vertical-relative:paragraph;z-index:-15720448;mso-wrap-distance-left:0;mso-wrap-distance-right:0" id="docshape38" filled="true" fillcolor="#000000" stroked="false">
                <v:fill type="solid"/>
                <w10:wrap type="topAndBottom"/>
              </v:rect>
            </w:pict>
          </mc:Fallback>
        </mc:AlternateContent>
      </w:r>
    </w:p>
    <w:p>
      <w:pPr>
        <w:spacing w:before="86"/>
        <w:ind w:left="568" w:right="0" w:firstLine="0"/>
        <w:jc w:val="left"/>
        <w:rPr>
          <w:sz w:val="18"/>
        </w:rPr>
      </w:pPr>
      <w:bookmarkStart w:name="_bookmark19" w:id="20"/>
      <w:bookmarkEnd w:id="20"/>
      <w:r>
        <w:rPr/>
      </w:r>
      <w:r>
        <w:rPr>
          <w:position w:val="6"/>
          <w:sz w:val="12"/>
        </w:rPr>
        <w:t>20</w:t>
      </w:r>
      <w:r>
        <w:rPr>
          <w:spacing w:val="12"/>
          <w:position w:val="6"/>
          <w:sz w:val="12"/>
        </w:rPr>
        <w:t> </w:t>
      </w:r>
      <w:r>
        <w:rPr>
          <w:sz w:val="18"/>
        </w:rPr>
        <w:t>El</w:t>
      </w:r>
      <w:r>
        <w:rPr>
          <w:spacing w:val="-2"/>
          <w:sz w:val="18"/>
        </w:rPr>
        <w:t> </w:t>
      </w:r>
      <w:r>
        <w:rPr>
          <w:sz w:val="18"/>
        </w:rPr>
        <w:t>EXP.DGCOM/REST/002/2026 es</w:t>
      </w:r>
      <w:r>
        <w:rPr>
          <w:spacing w:val="-2"/>
          <w:sz w:val="18"/>
        </w:rPr>
        <w:t> </w:t>
      </w:r>
      <w:r>
        <w:rPr>
          <w:sz w:val="18"/>
        </w:rPr>
        <w:t>materia</w:t>
      </w:r>
      <w:r>
        <w:rPr>
          <w:spacing w:val="-2"/>
          <w:sz w:val="18"/>
        </w:rPr>
        <w:t> </w:t>
      </w:r>
      <w:r>
        <w:rPr>
          <w:sz w:val="18"/>
        </w:rPr>
        <w:t>de</w:t>
      </w:r>
      <w:r>
        <w:rPr>
          <w:spacing w:val="-5"/>
          <w:sz w:val="18"/>
        </w:rPr>
        <w:t> </w:t>
      </w:r>
      <w:r>
        <w:rPr>
          <w:sz w:val="18"/>
        </w:rPr>
        <w:t>otro</w:t>
      </w:r>
      <w:r>
        <w:rPr>
          <w:spacing w:val="-2"/>
          <w:sz w:val="18"/>
        </w:rPr>
        <w:t> </w:t>
      </w:r>
      <w:r>
        <w:rPr>
          <w:sz w:val="18"/>
        </w:rPr>
        <w:t>procedimiento</w:t>
      </w:r>
      <w:r>
        <w:rPr>
          <w:spacing w:val="-3"/>
          <w:sz w:val="18"/>
        </w:rPr>
        <w:t> </w:t>
      </w:r>
      <w:r>
        <w:rPr>
          <w:sz w:val="18"/>
        </w:rPr>
        <w:t>a</w:t>
      </w:r>
      <w:r>
        <w:rPr>
          <w:spacing w:val="-4"/>
          <w:sz w:val="18"/>
        </w:rPr>
        <w:t> </w:t>
      </w:r>
      <w:r>
        <w:rPr>
          <w:sz w:val="18"/>
        </w:rPr>
        <w:t>cargo</w:t>
      </w:r>
      <w:r>
        <w:rPr>
          <w:spacing w:val="-3"/>
          <w:sz w:val="18"/>
        </w:rPr>
        <w:t> </w:t>
      </w:r>
      <w:r>
        <w:rPr>
          <w:sz w:val="18"/>
        </w:rPr>
        <w:t>de</w:t>
      </w:r>
      <w:r>
        <w:rPr>
          <w:spacing w:val="-4"/>
          <w:sz w:val="18"/>
        </w:rPr>
        <w:t> </w:t>
      </w:r>
      <w:r>
        <w:rPr>
          <w:sz w:val="18"/>
        </w:rPr>
        <w:t>la</w:t>
      </w:r>
      <w:r>
        <w:rPr>
          <w:spacing w:val="-3"/>
          <w:sz w:val="18"/>
        </w:rPr>
        <w:t> </w:t>
      </w:r>
      <w:r>
        <w:rPr>
          <w:sz w:val="18"/>
        </w:rPr>
        <w:t>Secretaría</w:t>
      </w:r>
      <w:r>
        <w:rPr>
          <w:spacing w:val="-2"/>
          <w:sz w:val="18"/>
        </w:rPr>
        <w:t> </w:t>
      </w:r>
      <w:r>
        <w:rPr>
          <w:sz w:val="18"/>
        </w:rPr>
        <w:t>General</w:t>
      </w:r>
      <w:r>
        <w:rPr>
          <w:spacing w:val="-4"/>
          <w:sz w:val="18"/>
        </w:rPr>
        <w:t> </w:t>
      </w:r>
      <w:r>
        <w:rPr>
          <w:sz w:val="18"/>
        </w:rPr>
        <w:t>y</w:t>
      </w:r>
      <w:r>
        <w:rPr>
          <w:spacing w:val="-2"/>
          <w:sz w:val="18"/>
        </w:rPr>
        <w:t> </w:t>
      </w:r>
      <w:r>
        <w:rPr>
          <w:sz w:val="18"/>
        </w:rPr>
        <w:t>no</w:t>
      </w:r>
      <w:r>
        <w:rPr>
          <w:spacing w:val="-2"/>
          <w:sz w:val="18"/>
        </w:rPr>
        <w:t> forma</w:t>
      </w:r>
    </w:p>
    <w:p>
      <w:pPr>
        <w:tabs>
          <w:tab w:pos="568" w:val="left" w:leader="none"/>
          <w:tab w:pos="9816" w:val="left" w:leader="none"/>
        </w:tabs>
        <w:spacing w:before="2"/>
        <w:ind w:left="160" w:right="0" w:firstLine="0"/>
        <w:jc w:val="left"/>
        <w:rPr>
          <w:sz w:val="18"/>
        </w:rPr>
      </w:pPr>
      <w:r>
        <w:rPr>
          <w:sz w:val="18"/>
          <w:u w:val="single"/>
        </w:rPr>
        <w:tab/>
        <w:t>parte</w:t>
      </w:r>
      <w:r>
        <w:rPr>
          <w:spacing w:val="-3"/>
          <w:sz w:val="18"/>
          <w:u w:val="single"/>
        </w:rPr>
        <w:t> </w:t>
      </w:r>
      <w:r>
        <w:rPr>
          <w:sz w:val="18"/>
          <w:u w:val="single"/>
        </w:rPr>
        <w:t>del</w:t>
      </w:r>
      <w:r>
        <w:rPr>
          <w:spacing w:val="-5"/>
          <w:sz w:val="18"/>
          <w:u w:val="single"/>
        </w:rPr>
        <w:t> </w:t>
      </w:r>
      <w:r>
        <w:rPr>
          <w:sz w:val="18"/>
          <w:u w:val="single"/>
        </w:rPr>
        <w:t>presente</w:t>
      </w:r>
      <w:r>
        <w:rPr>
          <w:spacing w:val="-4"/>
          <w:sz w:val="18"/>
          <w:u w:val="single"/>
        </w:rPr>
        <w:t> </w:t>
      </w:r>
      <w:r>
        <w:rPr>
          <w:spacing w:val="-2"/>
          <w:sz w:val="18"/>
          <w:u w:val="single"/>
        </w:rPr>
        <w:t>procedimiento.</w:t>
      </w:r>
      <w:r>
        <w:rPr>
          <w:sz w:val="18"/>
          <w:u w:val="single"/>
        </w:rPr>
        <w:tab/>
      </w:r>
    </w:p>
    <w:p>
      <w:pPr>
        <w:spacing w:after="0"/>
        <w:jc w:val="left"/>
        <w:rPr>
          <w:sz w:val="18"/>
        </w:rPr>
        <w:sectPr>
          <w:headerReference w:type="default" r:id="rId14"/>
          <w:footerReference w:type="default" r:id="rId15"/>
          <w:pgSz w:w="11900" w:h="16850"/>
          <w:pgMar w:header="370" w:footer="597" w:top="1380" w:bottom="780" w:left="992" w:right="283"/>
        </w:sectPr>
      </w:pPr>
    </w:p>
    <w:p>
      <w:pPr>
        <w:pStyle w:val="BodyText"/>
        <w:spacing w:before="176"/>
      </w:pPr>
    </w:p>
    <w:p>
      <w:pPr>
        <w:pStyle w:val="Heading5"/>
        <w:numPr>
          <w:ilvl w:val="0"/>
          <w:numId w:val="1"/>
        </w:numPr>
        <w:tabs>
          <w:tab w:pos="1137" w:val="left" w:leader="none"/>
        </w:tabs>
        <w:spacing w:line="240" w:lineRule="auto" w:before="0" w:after="0"/>
        <w:ind w:left="1137" w:right="0" w:hanging="358"/>
        <w:jc w:val="left"/>
      </w:pPr>
      <w:r>
        <w:rPr/>
        <w:t>MEDIDA</w:t>
      </w:r>
      <w:r>
        <w:rPr>
          <w:spacing w:val="-7"/>
        </w:rPr>
        <w:t> </w:t>
      </w:r>
      <w:r>
        <w:rPr/>
        <w:t>OBJETO</w:t>
      </w:r>
      <w:r>
        <w:rPr>
          <w:spacing w:val="-5"/>
        </w:rPr>
        <w:t> </w:t>
      </w:r>
      <w:r>
        <w:rPr/>
        <w:t>DE</w:t>
      </w:r>
      <w:r>
        <w:rPr>
          <w:spacing w:val="-3"/>
        </w:rPr>
        <w:t> </w:t>
      </w:r>
      <w:r>
        <w:rPr>
          <w:spacing w:val="-2"/>
        </w:rPr>
        <w:t>ANÁLISIS</w:t>
      </w:r>
    </w:p>
    <w:p>
      <w:pPr>
        <w:pStyle w:val="BodyText"/>
        <w:spacing w:before="1"/>
        <w:rPr>
          <w:rFonts w:ascii="Arial"/>
          <w:b/>
        </w:rPr>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La</w:t>
      </w:r>
      <w:r>
        <w:rPr>
          <w:spacing w:val="-1"/>
          <w:sz w:val="22"/>
        </w:rPr>
        <w:t> </w:t>
      </w:r>
      <w:r>
        <w:rPr>
          <w:sz w:val="22"/>
        </w:rPr>
        <w:t>medida</w:t>
      </w:r>
      <w:r>
        <w:rPr>
          <w:spacing w:val="-3"/>
          <w:sz w:val="22"/>
        </w:rPr>
        <w:t> </w:t>
      </w:r>
      <w:r>
        <w:rPr>
          <w:sz w:val="22"/>
        </w:rPr>
        <w:t>denunciada por la República de</w:t>
      </w:r>
      <w:r>
        <w:rPr>
          <w:spacing w:val="-3"/>
          <w:sz w:val="22"/>
        </w:rPr>
        <w:t> </w:t>
      </w:r>
      <w:r>
        <w:rPr>
          <w:sz w:val="22"/>
        </w:rPr>
        <w:t>Colombia corresponde</w:t>
      </w:r>
      <w:r>
        <w:rPr>
          <w:spacing w:val="-3"/>
          <w:sz w:val="22"/>
        </w:rPr>
        <w:t> </w:t>
      </w:r>
      <w:r>
        <w:rPr>
          <w:sz w:val="22"/>
        </w:rPr>
        <w:t>a</w:t>
      </w:r>
      <w:r>
        <w:rPr>
          <w:spacing w:val="-3"/>
          <w:sz w:val="22"/>
        </w:rPr>
        <w:t> </w:t>
      </w:r>
      <w:r>
        <w:rPr>
          <w:sz w:val="22"/>
        </w:rPr>
        <w:t>la contenida</w:t>
      </w:r>
      <w:r>
        <w:rPr>
          <w:spacing w:val="-1"/>
          <w:sz w:val="22"/>
        </w:rPr>
        <w:t> </w:t>
      </w:r>
      <w:r>
        <w:rPr>
          <w:sz w:val="22"/>
        </w:rPr>
        <w:t>en la Nota Verbal N.º MREMH/MREMH/2025/0020/N</w:t>
      </w:r>
      <w:hyperlink w:history="true" w:anchor="_bookmark20">
        <w:r>
          <w:rPr>
            <w:sz w:val="22"/>
            <w:vertAlign w:val="superscript"/>
          </w:rPr>
          <w:t>21</w:t>
        </w:r>
      </w:hyperlink>
      <w:r>
        <w:rPr>
          <w:sz w:val="22"/>
          <w:vertAlign w:val="baseline"/>
        </w:rPr>
        <w:t>, de fecha 24 de diciembre de 2025,</w:t>
      </w:r>
      <w:r>
        <w:rPr>
          <w:spacing w:val="-10"/>
          <w:sz w:val="22"/>
          <w:vertAlign w:val="baseline"/>
        </w:rPr>
        <w:t> </w:t>
      </w:r>
      <w:r>
        <w:rPr>
          <w:sz w:val="22"/>
          <w:vertAlign w:val="baseline"/>
        </w:rPr>
        <w:t>mediante</w:t>
      </w:r>
      <w:r>
        <w:rPr>
          <w:spacing w:val="-11"/>
          <w:sz w:val="22"/>
          <w:vertAlign w:val="baseline"/>
        </w:rPr>
        <w:t> </w:t>
      </w:r>
      <w:r>
        <w:rPr>
          <w:sz w:val="22"/>
          <w:vertAlign w:val="baseline"/>
        </w:rPr>
        <w:t>la</w:t>
      </w:r>
      <w:r>
        <w:rPr>
          <w:spacing w:val="-11"/>
          <w:sz w:val="22"/>
          <w:vertAlign w:val="baseline"/>
        </w:rPr>
        <w:t> </w:t>
      </w:r>
      <w:r>
        <w:rPr>
          <w:sz w:val="22"/>
          <w:vertAlign w:val="baseline"/>
        </w:rPr>
        <w:t>cual</w:t>
      </w:r>
      <w:r>
        <w:rPr>
          <w:spacing w:val="-10"/>
          <w:sz w:val="22"/>
          <w:vertAlign w:val="baseline"/>
        </w:rPr>
        <w:t> </w:t>
      </w:r>
      <w:r>
        <w:rPr>
          <w:sz w:val="22"/>
          <w:vertAlign w:val="baseline"/>
        </w:rPr>
        <w:t>el</w:t>
      </w:r>
      <w:r>
        <w:rPr>
          <w:spacing w:val="-12"/>
          <w:sz w:val="22"/>
          <w:vertAlign w:val="baseline"/>
        </w:rPr>
        <w:t> </w:t>
      </w:r>
      <w:r>
        <w:rPr>
          <w:sz w:val="22"/>
          <w:vertAlign w:val="baseline"/>
        </w:rPr>
        <w:t>Ministerio</w:t>
      </w:r>
      <w:r>
        <w:rPr>
          <w:spacing w:val="-9"/>
          <w:sz w:val="22"/>
          <w:vertAlign w:val="baseline"/>
        </w:rPr>
        <w:t> </w:t>
      </w:r>
      <w:r>
        <w:rPr>
          <w:sz w:val="22"/>
          <w:vertAlign w:val="baseline"/>
        </w:rPr>
        <w:t>de</w:t>
      </w:r>
      <w:r>
        <w:rPr>
          <w:spacing w:val="-12"/>
          <w:sz w:val="22"/>
          <w:vertAlign w:val="baseline"/>
        </w:rPr>
        <w:t> </w:t>
      </w:r>
      <w:r>
        <w:rPr>
          <w:sz w:val="22"/>
          <w:vertAlign w:val="baseline"/>
        </w:rPr>
        <w:t>Relaciones</w:t>
      </w:r>
      <w:r>
        <w:rPr>
          <w:spacing w:val="-11"/>
          <w:sz w:val="22"/>
          <w:vertAlign w:val="baseline"/>
        </w:rPr>
        <w:t> </w:t>
      </w:r>
      <w:r>
        <w:rPr>
          <w:sz w:val="22"/>
          <w:vertAlign w:val="baseline"/>
        </w:rPr>
        <w:t>Exteriores</w:t>
      </w:r>
      <w:r>
        <w:rPr>
          <w:spacing w:val="-11"/>
          <w:sz w:val="22"/>
          <w:vertAlign w:val="baseline"/>
        </w:rPr>
        <w:t> </w:t>
      </w:r>
      <w:r>
        <w:rPr>
          <w:sz w:val="22"/>
          <w:vertAlign w:val="baseline"/>
        </w:rPr>
        <w:t>y</w:t>
      </w:r>
      <w:r>
        <w:rPr>
          <w:spacing w:val="-13"/>
          <w:sz w:val="22"/>
          <w:vertAlign w:val="baseline"/>
        </w:rPr>
        <w:t> </w:t>
      </w:r>
      <w:r>
        <w:rPr>
          <w:sz w:val="22"/>
          <w:vertAlign w:val="baseline"/>
        </w:rPr>
        <w:t>Movilidad</w:t>
      </w:r>
      <w:r>
        <w:rPr>
          <w:spacing w:val="-9"/>
          <w:sz w:val="22"/>
          <w:vertAlign w:val="baseline"/>
        </w:rPr>
        <w:t> </w:t>
      </w:r>
      <w:r>
        <w:rPr>
          <w:sz w:val="22"/>
          <w:vertAlign w:val="baseline"/>
        </w:rPr>
        <w:t>Humana</w:t>
      </w:r>
      <w:r>
        <w:rPr>
          <w:spacing w:val="-12"/>
          <w:sz w:val="22"/>
          <w:vertAlign w:val="baseline"/>
        </w:rPr>
        <w:t> </w:t>
      </w:r>
      <w:r>
        <w:rPr>
          <w:sz w:val="22"/>
          <w:vertAlign w:val="baseline"/>
        </w:rPr>
        <w:t>de la República del Ecuador comunicó a la Embajada de la República de Colombia, la decisión</w:t>
      </w:r>
      <w:r>
        <w:rPr>
          <w:spacing w:val="-16"/>
          <w:sz w:val="22"/>
          <w:vertAlign w:val="baseline"/>
        </w:rPr>
        <w:t> </w:t>
      </w:r>
      <w:r>
        <w:rPr>
          <w:sz w:val="22"/>
          <w:vertAlign w:val="baseline"/>
        </w:rPr>
        <w:t>de</w:t>
      </w:r>
      <w:r>
        <w:rPr>
          <w:spacing w:val="-15"/>
          <w:sz w:val="22"/>
          <w:vertAlign w:val="baseline"/>
        </w:rPr>
        <w:t> </w:t>
      </w:r>
      <w:r>
        <w:rPr>
          <w:sz w:val="22"/>
          <w:vertAlign w:val="baseline"/>
        </w:rPr>
        <w:t>habilitar</w:t>
      </w:r>
      <w:r>
        <w:rPr>
          <w:spacing w:val="-15"/>
          <w:sz w:val="22"/>
          <w:vertAlign w:val="baseline"/>
        </w:rPr>
        <w:t> </w:t>
      </w:r>
      <w:r>
        <w:rPr>
          <w:sz w:val="22"/>
          <w:vertAlign w:val="baseline"/>
        </w:rPr>
        <w:t>el</w:t>
      </w:r>
      <w:r>
        <w:rPr>
          <w:spacing w:val="-16"/>
          <w:sz w:val="22"/>
          <w:vertAlign w:val="baseline"/>
        </w:rPr>
        <w:t> </w:t>
      </w:r>
      <w:r>
        <w:rPr>
          <w:sz w:val="22"/>
          <w:vertAlign w:val="baseline"/>
        </w:rPr>
        <w:t>paso</w:t>
      </w:r>
      <w:r>
        <w:rPr>
          <w:spacing w:val="-15"/>
          <w:sz w:val="22"/>
          <w:vertAlign w:val="baseline"/>
        </w:rPr>
        <w:t> </w:t>
      </w:r>
      <w:r>
        <w:rPr>
          <w:sz w:val="22"/>
          <w:vertAlign w:val="baseline"/>
        </w:rPr>
        <w:t>internacional</w:t>
      </w:r>
      <w:r>
        <w:rPr>
          <w:spacing w:val="-15"/>
          <w:sz w:val="22"/>
          <w:vertAlign w:val="baseline"/>
        </w:rPr>
        <w:t> </w:t>
      </w:r>
      <w:r>
        <w:rPr>
          <w:sz w:val="22"/>
          <w:vertAlign w:val="baseline"/>
        </w:rPr>
        <w:t>de</w:t>
      </w:r>
      <w:r>
        <w:rPr>
          <w:spacing w:val="-15"/>
          <w:sz w:val="22"/>
          <w:vertAlign w:val="baseline"/>
        </w:rPr>
        <w:t> </w:t>
      </w:r>
      <w:r>
        <w:rPr>
          <w:sz w:val="22"/>
          <w:vertAlign w:val="baseline"/>
        </w:rPr>
        <w:t>Rumichaca</w:t>
      </w:r>
      <w:r>
        <w:rPr>
          <w:spacing w:val="-16"/>
          <w:sz w:val="22"/>
          <w:vertAlign w:val="baseline"/>
        </w:rPr>
        <w:t> </w:t>
      </w:r>
      <w:r>
        <w:rPr>
          <w:sz w:val="22"/>
          <w:vertAlign w:val="baseline"/>
        </w:rPr>
        <w:t>como</w:t>
      </w:r>
      <w:r>
        <w:rPr>
          <w:spacing w:val="-15"/>
          <w:sz w:val="22"/>
          <w:vertAlign w:val="baseline"/>
        </w:rPr>
        <w:t> </w:t>
      </w:r>
      <w:r>
        <w:rPr>
          <w:sz w:val="22"/>
          <w:vertAlign w:val="baseline"/>
        </w:rPr>
        <w:t>único</w:t>
      </w:r>
      <w:r>
        <w:rPr>
          <w:spacing w:val="-15"/>
          <w:sz w:val="22"/>
          <w:vertAlign w:val="baseline"/>
        </w:rPr>
        <w:t> </w:t>
      </w:r>
      <w:r>
        <w:rPr>
          <w:sz w:val="22"/>
          <w:vertAlign w:val="baseline"/>
        </w:rPr>
        <w:t>punto</w:t>
      </w:r>
      <w:r>
        <w:rPr>
          <w:spacing w:val="-16"/>
          <w:sz w:val="22"/>
          <w:vertAlign w:val="baseline"/>
        </w:rPr>
        <w:t> </w:t>
      </w:r>
      <w:r>
        <w:rPr>
          <w:sz w:val="22"/>
          <w:vertAlign w:val="baseline"/>
        </w:rPr>
        <w:t>autorizado para el ingreso de mercancías entre ambos países. En dicha comunicación se establece lo siguiente:</w:t>
      </w:r>
    </w:p>
    <w:p>
      <w:pPr>
        <w:spacing w:before="252"/>
        <w:ind w:left="2128" w:right="976" w:firstLine="0"/>
        <w:jc w:val="both"/>
        <w:rPr>
          <w:sz w:val="22"/>
        </w:rPr>
      </w:pPr>
      <w:r>
        <w:rPr>
          <w:rFonts w:ascii="Arial" w:hAnsi="Arial"/>
          <w:i/>
          <w:sz w:val="22"/>
        </w:rPr>
        <w:t>“El Ministerio de Relaciones Exteriores y Movilidad Humana – Despacho Ministerial</w:t>
      </w:r>
      <w:r>
        <w:rPr>
          <w:rFonts w:ascii="Arial" w:hAnsi="Arial"/>
          <w:i/>
          <w:spacing w:val="-10"/>
          <w:sz w:val="22"/>
        </w:rPr>
        <w:t> </w:t>
      </w:r>
      <w:r>
        <w:rPr>
          <w:rFonts w:ascii="Arial" w:hAnsi="Arial"/>
          <w:i/>
          <w:sz w:val="22"/>
        </w:rPr>
        <w:t>–</w:t>
      </w:r>
      <w:r>
        <w:rPr>
          <w:rFonts w:ascii="Arial" w:hAnsi="Arial"/>
          <w:i/>
          <w:spacing w:val="-10"/>
          <w:sz w:val="22"/>
        </w:rPr>
        <w:t> </w:t>
      </w:r>
      <w:r>
        <w:rPr>
          <w:rFonts w:ascii="Arial" w:hAnsi="Arial"/>
          <w:i/>
          <w:sz w:val="22"/>
        </w:rPr>
        <w:t>saluda</w:t>
      </w:r>
      <w:r>
        <w:rPr>
          <w:rFonts w:ascii="Arial" w:hAnsi="Arial"/>
          <w:i/>
          <w:spacing w:val="-10"/>
          <w:sz w:val="22"/>
        </w:rPr>
        <w:t> </w:t>
      </w:r>
      <w:r>
        <w:rPr>
          <w:rFonts w:ascii="Arial" w:hAnsi="Arial"/>
          <w:i/>
          <w:sz w:val="22"/>
        </w:rPr>
        <w:t>atentamente</w:t>
      </w:r>
      <w:r>
        <w:rPr>
          <w:rFonts w:ascii="Arial" w:hAnsi="Arial"/>
          <w:i/>
          <w:spacing w:val="-12"/>
          <w:sz w:val="22"/>
        </w:rPr>
        <w:t> </w:t>
      </w:r>
      <w:r>
        <w:rPr>
          <w:rFonts w:ascii="Arial" w:hAnsi="Arial"/>
          <w:i/>
          <w:sz w:val="22"/>
        </w:rPr>
        <w:t>a</w:t>
      </w:r>
      <w:r>
        <w:rPr>
          <w:rFonts w:ascii="Arial" w:hAnsi="Arial"/>
          <w:i/>
          <w:spacing w:val="-12"/>
          <w:sz w:val="22"/>
        </w:rPr>
        <w:t> </w:t>
      </w:r>
      <w:r>
        <w:rPr>
          <w:rFonts w:ascii="Arial" w:hAnsi="Arial"/>
          <w:i/>
          <w:sz w:val="22"/>
        </w:rPr>
        <w:t>la</w:t>
      </w:r>
      <w:r>
        <w:rPr>
          <w:rFonts w:ascii="Arial" w:hAnsi="Arial"/>
          <w:i/>
          <w:spacing w:val="-10"/>
          <w:sz w:val="22"/>
        </w:rPr>
        <w:t> </w:t>
      </w:r>
      <w:r>
        <w:rPr>
          <w:rFonts w:ascii="Arial" w:hAnsi="Arial"/>
          <w:i/>
          <w:sz w:val="22"/>
        </w:rPr>
        <w:t>Honorable</w:t>
      </w:r>
      <w:r>
        <w:rPr>
          <w:rFonts w:ascii="Arial" w:hAnsi="Arial"/>
          <w:i/>
          <w:spacing w:val="-12"/>
          <w:sz w:val="22"/>
        </w:rPr>
        <w:t> </w:t>
      </w:r>
      <w:r>
        <w:rPr>
          <w:rFonts w:ascii="Arial" w:hAnsi="Arial"/>
          <w:i/>
          <w:sz w:val="22"/>
        </w:rPr>
        <w:t>Embajada</w:t>
      </w:r>
      <w:r>
        <w:rPr>
          <w:rFonts w:ascii="Arial" w:hAnsi="Arial"/>
          <w:i/>
          <w:spacing w:val="-10"/>
          <w:sz w:val="22"/>
        </w:rPr>
        <w:t> </w:t>
      </w:r>
      <w:r>
        <w:rPr>
          <w:rFonts w:ascii="Arial" w:hAnsi="Arial"/>
          <w:i/>
          <w:sz w:val="22"/>
        </w:rPr>
        <w:t>de</w:t>
      </w:r>
      <w:r>
        <w:rPr>
          <w:rFonts w:ascii="Arial" w:hAnsi="Arial"/>
          <w:i/>
          <w:spacing w:val="-13"/>
          <w:sz w:val="22"/>
        </w:rPr>
        <w:t> </w:t>
      </w:r>
      <w:r>
        <w:rPr>
          <w:rFonts w:ascii="Arial" w:hAnsi="Arial"/>
          <w:i/>
          <w:sz w:val="22"/>
        </w:rPr>
        <w:t>la</w:t>
      </w:r>
      <w:r>
        <w:rPr>
          <w:rFonts w:ascii="Arial" w:hAnsi="Arial"/>
          <w:i/>
          <w:spacing w:val="-10"/>
          <w:sz w:val="22"/>
        </w:rPr>
        <w:t> </w:t>
      </w:r>
      <w:r>
        <w:rPr>
          <w:rFonts w:ascii="Arial" w:hAnsi="Arial"/>
          <w:i/>
          <w:sz w:val="22"/>
        </w:rPr>
        <w:t>República</w:t>
      </w:r>
      <w:r>
        <w:rPr>
          <w:rFonts w:ascii="Arial" w:hAnsi="Arial"/>
          <w:i/>
          <w:spacing w:val="-12"/>
          <w:sz w:val="22"/>
        </w:rPr>
        <w:t> </w:t>
      </w:r>
      <w:r>
        <w:rPr>
          <w:rFonts w:ascii="Arial" w:hAnsi="Arial"/>
          <w:i/>
          <w:sz w:val="22"/>
        </w:rPr>
        <w:t>de Colombia y tiene a honra de poner en su conocimiento que, en atención a decisiones adoptadas por las autoridades competentes del Estado ecuatoriano y considerando razones de seguridad, a partir del </w:t>
      </w:r>
      <w:r>
        <w:rPr>
          <w:rFonts w:ascii="Arial" w:hAnsi="Arial"/>
          <w:b/>
          <w:i/>
          <w:sz w:val="22"/>
        </w:rPr>
        <w:t>24 de diciembre</w:t>
      </w:r>
      <w:r>
        <w:rPr>
          <w:rFonts w:ascii="Arial" w:hAnsi="Arial"/>
          <w:b/>
          <w:i/>
          <w:spacing w:val="-12"/>
          <w:sz w:val="22"/>
        </w:rPr>
        <w:t> </w:t>
      </w:r>
      <w:r>
        <w:rPr>
          <w:rFonts w:ascii="Arial" w:hAnsi="Arial"/>
          <w:b/>
          <w:i/>
          <w:sz w:val="22"/>
        </w:rPr>
        <w:t>de</w:t>
      </w:r>
      <w:r>
        <w:rPr>
          <w:rFonts w:ascii="Arial" w:hAnsi="Arial"/>
          <w:b/>
          <w:i/>
          <w:spacing w:val="-15"/>
          <w:sz w:val="22"/>
        </w:rPr>
        <w:t> </w:t>
      </w:r>
      <w:r>
        <w:rPr>
          <w:rFonts w:ascii="Arial" w:hAnsi="Arial"/>
          <w:b/>
          <w:i/>
          <w:sz w:val="22"/>
        </w:rPr>
        <w:t>2025</w:t>
      </w:r>
      <w:r>
        <w:rPr>
          <w:rFonts w:ascii="Arial" w:hAnsi="Arial"/>
          <w:b/>
          <w:i/>
          <w:spacing w:val="-12"/>
          <w:sz w:val="22"/>
        </w:rPr>
        <w:t> </w:t>
      </w:r>
      <w:r>
        <w:rPr>
          <w:rFonts w:ascii="Arial" w:hAnsi="Arial"/>
          <w:i/>
          <w:sz w:val="22"/>
        </w:rPr>
        <w:t>se</w:t>
      </w:r>
      <w:r>
        <w:rPr>
          <w:rFonts w:ascii="Arial" w:hAnsi="Arial"/>
          <w:i/>
          <w:spacing w:val="-15"/>
          <w:sz w:val="22"/>
        </w:rPr>
        <w:t> </w:t>
      </w:r>
      <w:r>
        <w:rPr>
          <w:rFonts w:ascii="Arial" w:hAnsi="Arial"/>
          <w:i/>
          <w:sz w:val="22"/>
        </w:rPr>
        <w:t>mantendrá</w:t>
      </w:r>
      <w:r>
        <w:rPr>
          <w:rFonts w:ascii="Arial" w:hAnsi="Arial"/>
          <w:i/>
          <w:spacing w:val="-12"/>
          <w:sz w:val="22"/>
        </w:rPr>
        <w:t> </w:t>
      </w:r>
      <w:r>
        <w:rPr>
          <w:rFonts w:ascii="Arial" w:hAnsi="Arial"/>
          <w:i/>
          <w:sz w:val="22"/>
        </w:rPr>
        <w:t>habilitado</w:t>
      </w:r>
      <w:r>
        <w:rPr>
          <w:rFonts w:ascii="Arial" w:hAnsi="Arial"/>
          <w:i/>
          <w:spacing w:val="-12"/>
          <w:sz w:val="22"/>
        </w:rPr>
        <w:t> </w:t>
      </w:r>
      <w:r>
        <w:rPr>
          <w:rFonts w:ascii="Arial" w:hAnsi="Arial"/>
          <w:i/>
          <w:sz w:val="22"/>
        </w:rPr>
        <w:t>únicamente</w:t>
      </w:r>
      <w:r>
        <w:rPr>
          <w:rFonts w:ascii="Arial" w:hAnsi="Arial"/>
          <w:i/>
          <w:spacing w:val="-15"/>
          <w:sz w:val="22"/>
        </w:rPr>
        <w:t> </w:t>
      </w:r>
      <w:r>
        <w:rPr>
          <w:rFonts w:ascii="Arial" w:hAnsi="Arial"/>
          <w:i/>
          <w:sz w:val="22"/>
        </w:rPr>
        <w:t>el</w:t>
      </w:r>
      <w:r>
        <w:rPr>
          <w:rFonts w:ascii="Arial" w:hAnsi="Arial"/>
          <w:i/>
          <w:spacing w:val="-13"/>
          <w:sz w:val="22"/>
        </w:rPr>
        <w:t> </w:t>
      </w:r>
      <w:r>
        <w:rPr>
          <w:rFonts w:ascii="Arial" w:hAnsi="Arial"/>
          <w:i/>
          <w:sz w:val="22"/>
        </w:rPr>
        <w:t>paso</w:t>
      </w:r>
      <w:r>
        <w:rPr>
          <w:rFonts w:ascii="Arial" w:hAnsi="Arial"/>
          <w:i/>
          <w:spacing w:val="-12"/>
          <w:sz w:val="22"/>
        </w:rPr>
        <w:t> </w:t>
      </w:r>
      <w:r>
        <w:rPr>
          <w:rFonts w:ascii="Arial" w:hAnsi="Arial"/>
          <w:i/>
          <w:sz w:val="22"/>
        </w:rPr>
        <w:t>internacional ubicado en </w:t>
      </w:r>
      <w:r>
        <w:rPr>
          <w:rFonts w:ascii="Arial" w:hAnsi="Arial"/>
          <w:b/>
          <w:i/>
          <w:sz w:val="22"/>
        </w:rPr>
        <w:t>Rumichaca</w:t>
      </w:r>
      <w:r>
        <w:rPr>
          <w:rFonts w:ascii="Arial" w:hAnsi="Arial"/>
          <w:i/>
          <w:sz w:val="22"/>
        </w:rPr>
        <w:t>, en la frontera ecuatoriano-colombiana, como </w:t>
      </w:r>
      <w:r>
        <w:rPr>
          <w:rFonts w:ascii="Arial" w:hAnsi="Arial"/>
          <w:b/>
          <w:i/>
          <w:sz w:val="22"/>
        </w:rPr>
        <w:t>único paso internacional </w:t>
      </w:r>
      <w:r>
        <w:rPr>
          <w:rFonts w:ascii="Arial" w:hAnsi="Arial"/>
          <w:i/>
          <w:sz w:val="22"/>
        </w:rPr>
        <w:t>entre ambos países.” </w:t>
      </w:r>
      <w:r>
        <w:rPr>
          <w:sz w:val="22"/>
        </w:rPr>
        <w:t>(Resaltado fuera del texto).</w:t>
      </w:r>
    </w:p>
    <w:p>
      <w:pPr>
        <w:pStyle w:val="BodyText"/>
        <w:spacing w:before="1"/>
      </w:pPr>
    </w:p>
    <w:p>
      <w:pPr>
        <w:pStyle w:val="ListParagraph"/>
        <w:numPr>
          <w:ilvl w:val="0"/>
          <w:numId w:val="2"/>
        </w:numPr>
        <w:tabs>
          <w:tab w:pos="1420" w:val="left" w:leader="none"/>
        </w:tabs>
        <w:spacing w:line="240" w:lineRule="auto" w:before="0" w:after="0"/>
        <w:ind w:left="1420" w:right="974" w:hanging="852"/>
        <w:jc w:val="both"/>
        <w:rPr>
          <w:sz w:val="22"/>
        </w:rPr>
      </w:pPr>
      <w:r>
        <w:rPr>
          <w:sz w:val="22"/>
        </w:rPr>
        <w:t>Es importante señalar que, si bien la República del Ecuador en la Nota Verbal N.º MREMH/MREMH/2025/0020/N no alude a algún criterio de procedencia u origen específico</w:t>
      </w:r>
      <w:r>
        <w:rPr>
          <w:spacing w:val="-16"/>
          <w:sz w:val="22"/>
        </w:rPr>
        <w:t> </w:t>
      </w:r>
      <w:r>
        <w:rPr>
          <w:sz w:val="22"/>
        </w:rPr>
        <w:t>de</w:t>
      </w:r>
      <w:r>
        <w:rPr>
          <w:spacing w:val="-14"/>
          <w:sz w:val="22"/>
        </w:rPr>
        <w:t> </w:t>
      </w:r>
      <w:r>
        <w:rPr>
          <w:sz w:val="22"/>
        </w:rPr>
        <w:t>las</w:t>
      </w:r>
      <w:r>
        <w:rPr>
          <w:spacing w:val="-16"/>
          <w:sz w:val="22"/>
        </w:rPr>
        <w:t> </w:t>
      </w:r>
      <w:r>
        <w:rPr>
          <w:sz w:val="22"/>
        </w:rPr>
        <w:t>mercancías</w:t>
      </w:r>
      <w:r>
        <w:rPr>
          <w:spacing w:val="-12"/>
          <w:sz w:val="22"/>
        </w:rPr>
        <w:t> </w:t>
      </w:r>
      <w:r>
        <w:rPr>
          <w:sz w:val="22"/>
        </w:rPr>
        <w:t>que</w:t>
      </w:r>
      <w:r>
        <w:rPr>
          <w:spacing w:val="-12"/>
          <w:sz w:val="22"/>
        </w:rPr>
        <w:t> </w:t>
      </w:r>
      <w:r>
        <w:rPr>
          <w:sz w:val="22"/>
        </w:rPr>
        <w:t>utilizarán</w:t>
      </w:r>
      <w:r>
        <w:rPr>
          <w:spacing w:val="-12"/>
          <w:sz w:val="22"/>
        </w:rPr>
        <w:t> </w:t>
      </w:r>
      <w:r>
        <w:rPr>
          <w:sz w:val="22"/>
        </w:rPr>
        <w:t>el</w:t>
      </w:r>
      <w:r>
        <w:rPr>
          <w:spacing w:val="-13"/>
          <w:sz w:val="22"/>
        </w:rPr>
        <w:t> </w:t>
      </w:r>
      <w:r>
        <w:rPr>
          <w:sz w:val="22"/>
        </w:rPr>
        <w:t>único</w:t>
      </w:r>
      <w:r>
        <w:rPr>
          <w:spacing w:val="-12"/>
          <w:sz w:val="22"/>
        </w:rPr>
        <w:t> </w:t>
      </w:r>
      <w:r>
        <w:rPr>
          <w:sz w:val="22"/>
        </w:rPr>
        <w:t>paso</w:t>
      </w:r>
      <w:r>
        <w:rPr>
          <w:spacing w:val="-12"/>
          <w:sz w:val="22"/>
        </w:rPr>
        <w:t> </w:t>
      </w:r>
      <w:r>
        <w:rPr>
          <w:sz w:val="22"/>
        </w:rPr>
        <w:t>internacional</w:t>
      </w:r>
      <w:r>
        <w:rPr>
          <w:spacing w:val="-13"/>
          <w:sz w:val="22"/>
        </w:rPr>
        <w:t> </w:t>
      </w:r>
      <w:r>
        <w:rPr>
          <w:sz w:val="22"/>
        </w:rPr>
        <w:t>autorizado,</w:t>
      </w:r>
      <w:r>
        <w:rPr>
          <w:spacing w:val="-8"/>
          <w:sz w:val="22"/>
        </w:rPr>
        <w:t> </w:t>
      </w:r>
      <w:r>
        <w:rPr>
          <w:sz w:val="22"/>
        </w:rPr>
        <w:t>en su respuesta a la solicitud presentada por la República de Colombia</w:t>
      </w:r>
      <w:hyperlink w:history="true" w:anchor="_bookmark21">
        <w:r>
          <w:rPr>
            <w:rFonts w:ascii="Arial" w:hAnsi="Arial"/>
            <w:i/>
            <w:sz w:val="22"/>
            <w:vertAlign w:val="superscript"/>
          </w:rPr>
          <w:t>22</w:t>
        </w:r>
      </w:hyperlink>
      <w:r>
        <w:rPr>
          <w:rFonts w:ascii="Arial" w:hAnsi="Arial"/>
          <w:i/>
          <w:sz w:val="22"/>
          <w:vertAlign w:val="baseline"/>
        </w:rPr>
        <w:t> </w:t>
      </w:r>
      <w:r>
        <w:rPr>
          <w:sz w:val="22"/>
          <w:vertAlign w:val="baseline"/>
        </w:rPr>
        <w:t>se señaló lo </w:t>
      </w:r>
      <w:r>
        <w:rPr>
          <w:spacing w:val="-2"/>
          <w:sz w:val="22"/>
          <w:vertAlign w:val="baseline"/>
        </w:rPr>
        <w:t>siguiente:</w:t>
      </w:r>
    </w:p>
    <w:p>
      <w:pPr>
        <w:pStyle w:val="BodyText"/>
      </w:pPr>
    </w:p>
    <w:p>
      <w:pPr>
        <w:spacing w:before="0"/>
        <w:ind w:left="2128" w:right="978" w:firstLine="0"/>
        <w:jc w:val="both"/>
        <w:rPr>
          <w:sz w:val="22"/>
        </w:rPr>
      </w:pPr>
      <w:r>
        <w:rPr>
          <w:rFonts w:ascii="Arial" w:hAnsi="Arial"/>
          <w:i/>
          <w:sz w:val="22"/>
        </w:rPr>
        <w:t>“(…) Dicha solicitud persigue que se califique como restricción al comercio intrasubregional la decisión adoptada por la República del Ecuador consistente</w:t>
      </w:r>
      <w:r>
        <w:rPr>
          <w:rFonts w:ascii="Arial" w:hAnsi="Arial"/>
          <w:i/>
          <w:spacing w:val="-7"/>
          <w:sz w:val="22"/>
        </w:rPr>
        <w:t> </w:t>
      </w:r>
      <w:r>
        <w:rPr>
          <w:rFonts w:ascii="Arial" w:hAnsi="Arial"/>
          <w:i/>
          <w:sz w:val="22"/>
        </w:rPr>
        <w:t>en</w:t>
      </w:r>
      <w:r>
        <w:rPr>
          <w:rFonts w:ascii="Arial" w:hAnsi="Arial"/>
          <w:i/>
          <w:spacing w:val="-8"/>
          <w:sz w:val="22"/>
        </w:rPr>
        <w:t> </w:t>
      </w:r>
      <w:r>
        <w:rPr>
          <w:rFonts w:ascii="Arial" w:hAnsi="Arial"/>
          <w:i/>
          <w:sz w:val="22"/>
        </w:rPr>
        <w:t>habilitar</w:t>
      </w:r>
      <w:r>
        <w:rPr>
          <w:rFonts w:ascii="Arial" w:hAnsi="Arial"/>
          <w:i/>
          <w:spacing w:val="-7"/>
          <w:sz w:val="22"/>
        </w:rPr>
        <w:t> </w:t>
      </w:r>
      <w:r>
        <w:rPr>
          <w:rFonts w:ascii="Arial" w:hAnsi="Arial"/>
          <w:i/>
          <w:sz w:val="22"/>
        </w:rPr>
        <w:t>de</w:t>
      </w:r>
      <w:r>
        <w:rPr>
          <w:rFonts w:ascii="Arial" w:hAnsi="Arial"/>
          <w:i/>
          <w:spacing w:val="-7"/>
          <w:sz w:val="22"/>
        </w:rPr>
        <w:t> </w:t>
      </w:r>
      <w:r>
        <w:rPr>
          <w:rFonts w:ascii="Arial" w:hAnsi="Arial"/>
          <w:i/>
          <w:sz w:val="22"/>
        </w:rPr>
        <w:t>manera</w:t>
      </w:r>
      <w:r>
        <w:rPr>
          <w:rFonts w:ascii="Arial" w:hAnsi="Arial"/>
          <w:i/>
          <w:spacing w:val="-7"/>
          <w:sz w:val="22"/>
        </w:rPr>
        <w:t> </w:t>
      </w:r>
      <w:r>
        <w:rPr>
          <w:rFonts w:ascii="Arial" w:hAnsi="Arial"/>
          <w:i/>
          <w:sz w:val="22"/>
        </w:rPr>
        <w:t>exclusiva</w:t>
      </w:r>
      <w:r>
        <w:rPr>
          <w:rFonts w:ascii="Arial" w:hAnsi="Arial"/>
          <w:i/>
          <w:spacing w:val="-7"/>
          <w:sz w:val="22"/>
        </w:rPr>
        <w:t> </w:t>
      </w:r>
      <w:r>
        <w:rPr>
          <w:rFonts w:ascii="Arial" w:hAnsi="Arial"/>
          <w:i/>
          <w:sz w:val="22"/>
        </w:rPr>
        <w:t>el</w:t>
      </w:r>
      <w:r>
        <w:rPr>
          <w:rFonts w:ascii="Arial" w:hAnsi="Arial"/>
          <w:i/>
          <w:spacing w:val="-6"/>
          <w:sz w:val="22"/>
        </w:rPr>
        <w:t> </w:t>
      </w:r>
      <w:r>
        <w:rPr>
          <w:rFonts w:ascii="Arial" w:hAnsi="Arial"/>
          <w:i/>
          <w:sz w:val="22"/>
        </w:rPr>
        <w:t>paso</w:t>
      </w:r>
      <w:r>
        <w:rPr>
          <w:rFonts w:ascii="Arial" w:hAnsi="Arial"/>
          <w:i/>
          <w:spacing w:val="-7"/>
          <w:sz w:val="22"/>
        </w:rPr>
        <w:t> </w:t>
      </w:r>
      <w:r>
        <w:rPr>
          <w:rFonts w:ascii="Arial" w:hAnsi="Arial"/>
          <w:i/>
          <w:sz w:val="22"/>
        </w:rPr>
        <w:t>fronterizo</w:t>
      </w:r>
      <w:r>
        <w:rPr>
          <w:rFonts w:ascii="Arial" w:hAnsi="Arial"/>
          <w:i/>
          <w:spacing w:val="-8"/>
          <w:sz w:val="22"/>
        </w:rPr>
        <w:t> </w:t>
      </w:r>
      <w:r>
        <w:rPr>
          <w:rFonts w:ascii="Arial" w:hAnsi="Arial"/>
          <w:i/>
          <w:sz w:val="22"/>
        </w:rPr>
        <w:t>de</w:t>
      </w:r>
      <w:r>
        <w:rPr>
          <w:rFonts w:ascii="Arial" w:hAnsi="Arial"/>
          <w:i/>
          <w:spacing w:val="-8"/>
          <w:sz w:val="22"/>
        </w:rPr>
        <w:t> </w:t>
      </w:r>
      <w:r>
        <w:rPr>
          <w:rFonts w:ascii="Arial" w:hAnsi="Arial"/>
          <w:i/>
          <w:sz w:val="22"/>
        </w:rPr>
        <w:t>Rumichaca para el ingreso de mercancías </w:t>
      </w:r>
      <w:r>
        <w:rPr>
          <w:rFonts w:ascii="Arial" w:hAnsi="Arial"/>
          <w:b/>
          <w:i/>
          <w:sz w:val="22"/>
        </w:rPr>
        <w:t>procedentes u originarias </w:t>
      </w:r>
      <w:r>
        <w:rPr>
          <w:rFonts w:ascii="Arial" w:hAnsi="Arial"/>
          <w:i/>
          <w:sz w:val="22"/>
        </w:rPr>
        <w:t>de Colombia, así como la habilitación controlada y excepcional del Centro Binacional de Atención en Frontera (CEBAF) San Miguel para el transporte de crudo colombiano hacia la Estación de Bombeo Amazonas.”</w:t>
      </w:r>
      <w:r>
        <w:rPr>
          <w:sz w:val="22"/>
        </w:rPr>
        <w:t>(Resaltado fuera de </w:t>
      </w:r>
      <w:r>
        <w:rPr>
          <w:spacing w:val="-2"/>
          <w:sz w:val="22"/>
        </w:rPr>
        <w:t>texto)</w:t>
      </w:r>
    </w:p>
    <w:p>
      <w:pPr>
        <w:pStyle w:val="BodyText"/>
      </w:pPr>
    </w:p>
    <w:p>
      <w:pPr>
        <w:pStyle w:val="ListParagraph"/>
        <w:numPr>
          <w:ilvl w:val="0"/>
          <w:numId w:val="2"/>
        </w:numPr>
        <w:tabs>
          <w:tab w:pos="1420" w:val="left" w:leader="none"/>
        </w:tabs>
        <w:spacing w:line="240" w:lineRule="auto" w:before="1" w:after="0"/>
        <w:ind w:left="1420" w:right="982" w:hanging="852"/>
        <w:jc w:val="both"/>
        <w:rPr>
          <w:sz w:val="22"/>
        </w:rPr>
      </w:pPr>
      <w:r>
        <w:rPr>
          <w:sz w:val="22"/>
        </w:rPr>
        <w:t>En consecuencia, se observa que la medida objeto de la solicitud se encuentra dirigida al ingreso de mercancías procedentes u originarias de la República de </w:t>
      </w:r>
      <w:r>
        <w:rPr>
          <w:spacing w:val="-2"/>
          <w:sz w:val="22"/>
        </w:rPr>
        <w:t>Colombia.</w:t>
      </w:r>
    </w:p>
    <w:p>
      <w:pPr>
        <w:pStyle w:val="BodyText"/>
      </w:pPr>
    </w:p>
    <w:p>
      <w:pPr>
        <w:pStyle w:val="ListParagraph"/>
        <w:numPr>
          <w:ilvl w:val="0"/>
          <w:numId w:val="2"/>
        </w:numPr>
        <w:tabs>
          <w:tab w:pos="1420" w:val="left" w:leader="none"/>
        </w:tabs>
        <w:spacing w:line="240" w:lineRule="auto" w:before="0" w:after="0"/>
        <w:ind w:left="1420" w:right="975" w:hanging="852"/>
        <w:jc w:val="both"/>
        <w:rPr>
          <w:sz w:val="22"/>
        </w:rPr>
      </w:pPr>
      <w:r>
        <w:rPr>
          <w:sz w:val="22"/>
        </w:rPr>
        <w:t>Asimismo,</w:t>
      </w:r>
      <w:r>
        <w:rPr>
          <w:spacing w:val="-16"/>
          <w:sz w:val="22"/>
        </w:rPr>
        <w:t> </w:t>
      </w:r>
      <w:r>
        <w:rPr>
          <w:sz w:val="22"/>
        </w:rPr>
        <w:t>corresponde</w:t>
      </w:r>
      <w:r>
        <w:rPr>
          <w:spacing w:val="-15"/>
          <w:sz w:val="22"/>
        </w:rPr>
        <w:t> </w:t>
      </w:r>
      <w:r>
        <w:rPr>
          <w:sz w:val="22"/>
        </w:rPr>
        <w:t>señalar</w:t>
      </w:r>
      <w:r>
        <w:rPr>
          <w:spacing w:val="-15"/>
          <w:sz w:val="22"/>
        </w:rPr>
        <w:t> </w:t>
      </w:r>
      <w:r>
        <w:rPr>
          <w:sz w:val="22"/>
        </w:rPr>
        <w:t>que,</w:t>
      </w:r>
      <w:r>
        <w:rPr>
          <w:spacing w:val="-16"/>
          <w:sz w:val="22"/>
        </w:rPr>
        <w:t> </w:t>
      </w:r>
      <w:r>
        <w:rPr>
          <w:sz w:val="22"/>
        </w:rPr>
        <w:t>como</w:t>
      </w:r>
      <w:r>
        <w:rPr>
          <w:spacing w:val="-15"/>
          <w:sz w:val="22"/>
        </w:rPr>
        <w:t> </w:t>
      </w:r>
      <w:r>
        <w:rPr>
          <w:sz w:val="22"/>
        </w:rPr>
        <w:t>complemento</w:t>
      </w:r>
      <w:r>
        <w:rPr>
          <w:spacing w:val="-15"/>
          <w:sz w:val="22"/>
        </w:rPr>
        <w:t> </w:t>
      </w:r>
      <w:r>
        <w:rPr>
          <w:sz w:val="22"/>
        </w:rPr>
        <w:t>a</w:t>
      </w:r>
      <w:r>
        <w:rPr>
          <w:spacing w:val="-15"/>
          <w:sz w:val="22"/>
        </w:rPr>
        <w:t> </w:t>
      </w:r>
      <w:r>
        <w:rPr>
          <w:sz w:val="22"/>
        </w:rPr>
        <w:t>la</w:t>
      </w:r>
      <w:r>
        <w:rPr>
          <w:spacing w:val="-16"/>
          <w:sz w:val="22"/>
        </w:rPr>
        <w:t> </w:t>
      </w:r>
      <w:r>
        <w:rPr>
          <w:sz w:val="22"/>
        </w:rPr>
        <w:t>habilitación</w:t>
      </w:r>
      <w:r>
        <w:rPr>
          <w:spacing w:val="-15"/>
          <w:sz w:val="22"/>
        </w:rPr>
        <w:t> </w:t>
      </w:r>
      <w:r>
        <w:rPr>
          <w:sz w:val="22"/>
        </w:rPr>
        <w:t>únicamente del paso internacional de Rumichaca, se autorizó de manera excepcional la habilitación del paso fronterizo CEBAF San Miguel, con el objeto exclusivo de garantizar la continuidad del transporte de crudo colombiano hacia la Estación de Bombeo Amazonas en territorio ecuatoriano.</w:t>
      </w:r>
    </w:p>
    <w:p>
      <w:pPr>
        <w:pStyle w:val="BodyText"/>
      </w:pPr>
    </w:p>
    <w:p>
      <w:pPr>
        <w:pStyle w:val="ListParagraph"/>
        <w:numPr>
          <w:ilvl w:val="0"/>
          <w:numId w:val="2"/>
        </w:numPr>
        <w:tabs>
          <w:tab w:pos="1420" w:val="left" w:leader="none"/>
        </w:tabs>
        <w:spacing w:line="240" w:lineRule="auto" w:before="0" w:after="0"/>
        <w:ind w:left="1420" w:right="976" w:hanging="852"/>
        <w:jc w:val="both"/>
        <w:rPr>
          <w:sz w:val="22"/>
        </w:rPr>
      </w:pPr>
      <w:r>
        <w:rPr>
          <w:sz w:val="22"/>
        </w:rPr>
        <w:t>Lo</w:t>
      </w:r>
      <w:r>
        <w:rPr>
          <w:spacing w:val="-16"/>
          <w:sz w:val="22"/>
        </w:rPr>
        <w:t> </w:t>
      </w:r>
      <w:r>
        <w:rPr>
          <w:sz w:val="22"/>
        </w:rPr>
        <w:t>anterior</w:t>
      </w:r>
      <w:r>
        <w:rPr>
          <w:spacing w:val="-15"/>
          <w:sz w:val="22"/>
        </w:rPr>
        <w:t> </w:t>
      </w:r>
      <w:r>
        <w:rPr>
          <w:sz w:val="22"/>
        </w:rPr>
        <w:t>se</w:t>
      </w:r>
      <w:r>
        <w:rPr>
          <w:spacing w:val="-15"/>
          <w:sz w:val="22"/>
        </w:rPr>
        <w:t> </w:t>
      </w:r>
      <w:r>
        <w:rPr>
          <w:sz w:val="22"/>
        </w:rPr>
        <w:t>verifica</w:t>
      </w:r>
      <w:r>
        <w:rPr>
          <w:spacing w:val="-16"/>
          <w:sz w:val="22"/>
        </w:rPr>
        <w:t> </w:t>
      </w:r>
      <w:r>
        <w:rPr>
          <w:sz w:val="22"/>
        </w:rPr>
        <w:t>en</w:t>
      </w:r>
      <w:r>
        <w:rPr>
          <w:spacing w:val="-15"/>
          <w:sz w:val="22"/>
        </w:rPr>
        <w:t> </w:t>
      </w:r>
      <w:r>
        <w:rPr>
          <w:sz w:val="22"/>
        </w:rPr>
        <w:t>la</w:t>
      </w:r>
      <w:r>
        <w:rPr>
          <w:spacing w:val="-15"/>
          <w:sz w:val="22"/>
        </w:rPr>
        <w:t> </w:t>
      </w:r>
      <w:r>
        <w:rPr>
          <w:sz w:val="22"/>
        </w:rPr>
        <w:t>Nota</w:t>
      </w:r>
      <w:r>
        <w:rPr>
          <w:spacing w:val="-15"/>
          <w:sz w:val="22"/>
        </w:rPr>
        <w:t> </w:t>
      </w:r>
      <w:r>
        <w:rPr>
          <w:sz w:val="22"/>
        </w:rPr>
        <w:t>Verbal</w:t>
      </w:r>
      <w:r>
        <w:rPr>
          <w:spacing w:val="-15"/>
          <w:sz w:val="22"/>
        </w:rPr>
        <w:t> </w:t>
      </w:r>
      <w:r>
        <w:rPr>
          <w:sz w:val="22"/>
        </w:rPr>
        <w:t>N.º</w:t>
      </w:r>
      <w:r>
        <w:rPr>
          <w:spacing w:val="-15"/>
          <w:sz w:val="22"/>
        </w:rPr>
        <w:t> </w:t>
      </w:r>
      <w:r>
        <w:rPr>
          <w:sz w:val="22"/>
        </w:rPr>
        <w:t>MREMH-SSRV-2026-0001-N</w:t>
      </w:r>
      <w:hyperlink w:history="true" w:anchor="_bookmark22">
        <w:r>
          <w:rPr>
            <w:sz w:val="22"/>
            <w:vertAlign w:val="superscript"/>
          </w:rPr>
          <w:t>23</w:t>
        </w:r>
      </w:hyperlink>
      <w:r>
        <w:rPr>
          <w:sz w:val="22"/>
          <w:vertAlign w:val="baseline"/>
        </w:rPr>
        <w:t>,</w:t>
      </w:r>
      <w:r>
        <w:rPr>
          <w:spacing w:val="-13"/>
          <w:sz w:val="22"/>
          <w:vertAlign w:val="baseline"/>
        </w:rPr>
        <w:t> </w:t>
      </w:r>
      <w:r>
        <w:rPr>
          <w:sz w:val="22"/>
          <w:vertAlign w:val="baseline"/>
        </w:rPr>
        <w:t>en</w:t>
      </w:r>
      <w:r>
        <w:rPr>
          <w:spacing w:val="-15"/>
          <w:sz w:val="22"/>
          <w:vertAlign w:val="baseline"/>
        </w:rPr>
        <w:t> </w:t>
      </w:r>
      <w:r>
        <w:rPr>
          <w:sz w:val="22"/>
          <w:vertAlign w:val="baseline"/>
        </w:rPr>
        <w:t>la</w:t>
      </w:r>
      <w:r>
        <w:rPr>
          <w:spacing w:val="-15"/>
          <w:sz w:val="22"/>
          <w:vertAlign w:val="baseline"/>
        </w:rPr>
        <w:t> </w:t>
      </w:r>
      <w:r>
        <w:rPr>
          <w:sz w:val="22"/>
          <w:vertAlign w:val="baseline"/>
        </w:rPr>
        <w:t>cual se establece lo siguiente:</w:t>
      </w:r>
    </w:p>
    <w:p>
      <w:pPr>
        <w:spacing w:before="252"/>
        <w:ind w:left="2128" w:right="978" w:firstLine="0"/>
        <w:jc w:val="both"/>
        <w:rPr>
          <w:rFonts w:ascii="Arial" w:hAnsi="Arial"/>
          <w:i/>
          <w:sz w:val="22"/>
        </w:rPr>
      </w:pPr>
      <w:r>
        <w:rPr>
          <w:rFonts w:ascii="Arial" w:hAnsi="Arial"/>
          <w:i/>
          <w:sz w:val="22"/>
        </w:rPr>
        <w:t>“Al respecto, el Ministerio de Relaciones Exteriores y Movilidad Humana – Subsecretaría</w:t>
      </w:r>
      <w:r>
        <w:rPr>
          <w:rFonts w:ascii="Arial" w:hAnsi="Arial"/>
          <w:i/>
          <w:spacing w:val="-3"/>
          <w:sz w:val="22"/>
        </w:rPr>
        <w:t> </w:t>
      </w:r>
      <w:r>
        <w:rPr>
          <w:rFonts w:ascii="Arial" w:hAnsi="Arial"/>
          <w:i/>
          <w:sz w:val="22"/>
        </w:rPr>
        <w:t>de</w:t>
      </w:r>
      <w:r>
        <w:rPr>
          <w:rFonts w:ascii="Arial" w:hAnsi="Arial"/>
          <w:i/>
          <w:spacing w:val="-1"/>
          <w:sz w:val="22"/>
        </w:rPr>
        <w:t> </w:t>
      </w:r>
      <w:r>
        <w:rPr>
          <w:rFonts w:ascii="Arial" w:hAnsi="Arial"/>
          <w:i/>
          <w:sz w:val="22"/>
        </w:rPr>
        <w:t>Soberanía y Relaciones Vecinales – tiene</w:t>
      </w:r>
      <w:r>
        <w:rPr>
          <w:rFonts w:ascii="Arial" w:hAnsi="Arial"/>
          <w:i/>
          <w:spacing w:val="-3"/>
          <w:sz w:val="22"/>
        </w:rPr>
        <w:t> </w:t>
      </w:r>
      <w:r>
        <w:rPr>
          <w:rFonts w:ascii="Arial" w:hAnsi="Arial"/>
          <w:i/>
          <w:sz w:val="22"/>
        </w:rPr>
        <w:t>a honra</w:t>
      </w:r>
      <w:r>
        <w:rPr>
          <w:rFonts w:ascii="Arial" w:hAnsi="Arial"/>
          <w:i/>
          <w:spacing w:val="-2"/>
          <w:sz w:val="22"/>
        </w:rPr>
        <w:t> </w:t>
      </w:r>
      <w:r>
        <w:rPr>
          <w:rFonts w:ascii="Arial" w:hAnsi="Arial"/>
          <w:i/>
          <w:sz w:val="22"/>
        </w:rPr>
        <w:t>informar que las autoridades competentes del Estado ecuatoriano han autorizado de manera</w:t>
      </w:r>
      <w:r>
        <w:rPr>
          <w:rFonts w:ascii="Arial" w:hAnsi="Arial"/>
          <w:i/>
          <w:spacing w:val="-10"/>
          <w:sz w:val="22"/>
        </w:rPr>
        <w:t> </w:t>
      </w:r>
      <w:r>
        <w:rPr>
          <w:rFonts w:ascii="Arial" w:hAnsi="Arial"/>
          <w:i/>
          <w:sz w:val="22"/>
        </w:rPr>
        <w:t>excepcional</w:t>
      </w:r>
      <w:r>
        <w:rPr>
          <w:rFonts w:ascii="Arial" w:hAnsi="Arial"/>
          <w:i/>
          <w:spacing w:val="-12"/>
          <w:sz w:val="22"/>
        </w:rPr>
        <w:t> </w:t>
      </w:r>
      <w:r>
        <w:rPr>
          <w:rFonts w:ascii="Arial" w:hAnsi="Arial"/>
          <w:i/>
          <w:sz w:val="22"/>
        </w:rPr>
        <w:t>la</w:t>
      </w:r>
      <w:r>
        <w:rPr>
          <w:rFonts w:ascii="Arial" w:hAnsi="Arial"/>
          <w:i/>
          <w:spacing w:val="-11"/>
          <w:sz w:val="22"/>
        </w:rPr>
        <w:t> </w:t>
      </w:r>
      <w:r>
        <w:rPr>
          <w:rFonts w:ascii="Arial" w:hAnsi="Arial"/>
          <w:i/>
          <w:sz w:val="22"/>
        </w:rPr>
        <w:t>habilitación</w:t>
      </w:r>
      <w:r>
        <w:rPr>
          <w:rFonts w:ascii="Arial" w:hAnsi="Arial"/>
          <w:i/>
          <w:spacing w:val="-10"/>
          <w:sz w:val="22"/>
        </w:rPr>
        <w:t> </w:t>
      </w:r>
      <w:r>
        <w:rPr>
          <w:rFonts w:ascii="Arial" w:hAnsi="Arial"/>
          <w:i/>
          <w:sz w:val="22"/>
        </w:rPr>
        <w:t>controlada</w:t>
      </w:r>
      <w:r>
        <w:rPr>
          <w:rFonts w:ascii="Arial" w:hAnsi="Arial"/>
          <w:i/>
          <w:spacing w:val="-11"/>
          <w:sz w:val="22"/>
        </w:rPr>
        <w:t> </w:t>
      </w:r>
      <w:r>
        <w:rPr>
          <w:rFonts w:ascii="Arial" w:hAnsi="Arial"/>
          <w:i/>
          <w:sz w:val="22"/>
        </w:rPr>
        <w:t>del</w:t>
      </w:r>
      <w:r>
        <w:rPr>
          <w:rFonts w:ascii="Arial" w:hAnsi="Arial"/>
          <w:i/>
          <w:spacing w:val="-12"/>
          <w:sz w:val="22"/>
        </w:rPr>
        <w:t> </w:t>
      </w:r>
      <w:r>
        <w:rPr>
          <w:rFonts w:ascii="Arial" w:hAnsi="Arial"/>
          <w:i/>
          <w:sz w:val="22"/>
        </w:rPr>
        <w:t>paso</w:t>
      </w:r>
      <w:r>
        <w:rPr>
          <w:rFonts w:ascii="Arial" w:hAnsi="Arial"/>
          <w:i/>
          <w:spacing w:val="-11"/>
          <w:sz w:val="22"/>
        </w:rPr>
        <w:t> </w:t>
      </w:r>
      <w:r>
        <w:rPr>
          <w:rFonts w:ascii="Arial" w:hAnsi="Arial"/>
          <w:i/>
          <w:sz w:val="22"/>
        </w:rPr>
        <w:t>fronterizo</w:t>
      </w:r>
      <w:r>
        <w:rPr>
          <w:rFonts w:ascii="Arial" w:hAnsi="Arial"/>
          <w:i/>
          <w:spacing w:val="-11"/>
          <w:sz w:val="22"/>
        </w:rPr>
        <w:t> </w:t>
      </w:r>
      <w:r>
        <w:rPr>
          <w:rFonts w:ascii="Arial" w:hAnsi="Arial"/>
          <w:i/>
          <w:sz w:val="22"/>
        </w:rPr>
        <w:t>CEBAF</w:t>
      </w:r>
      <w:r>
        <w:rPr>
          <w:rFonts w:ascii="Arial" w:hAnsi="Arial"/>
          <w:i/>
          <w:spacing w:val="-11"/>
          <w:sz w:val="22"/>
        </w:rPr>
        <w:t> </w:t>
      </w:r>
      <w:r>
        <w:rPr>
          <w:rFonts w:ascii="Arial" w:hAnsi="Arial"/>
          <w:i/>
          <w:sz w:val="22"/>
        </w:rPr>
        <w:t>San</w:t>
      </w:r>
    </w:p>
    <w:p>
      <w:pPr>
        <w:pStyle w:val="BodyText"/>
        <w:rPr>
          <w:rFonts w:ascii="Arial"/>
          <w:i/>
          <w:sz w:val="18"/>
        </w:rPr>
      </w:pPr>
      <w:r>
        <w:rPr>
          <w:rFonts w:ascii="Arial"/>
          <w:i/>
          <w:sz w:val="18"/>
        </w:rPr>
        <mc:AlternateContent>
          <mc:Choice Requires="wps">
            <w:drawing>
              <wp:anchor distT="0" distB="0" distL="0" distR="0" allowOverlap="1" layoutInCell="1" locked="0" behindDoc="1" simplePos="0" relativeHeight="487596544">
                <wp:simplePos x="0" y="0"/>
                <wp:positionH relativeFrom="page">
                  <wp:posOffset>990904</wp:posOffset>
                </wp:positionH>
                <wp:positionV relativeFrom="paragraph">
                  <wp:posOffset>147253</wp:posOffset>
                </wp:positionV>
                <wp:extent cx="1829435" cy="7620"/>
                <wp:effectExtent l="0" t="0" r="0" b="0"/>
                <wp:wrapTopAndBottom/>
                <wp:docPr id="69" name="Graphic 69"/>
                <wp:cNvGraphicFramePr>
                  <a:graphicFrameLocks/>
                </wp:cNvGraphicFramePr>
                <a:graphic>
                  <a:graphicData uri="http://schemas.microsoft.com/office/word/2010/wordprocessingShape">
                    <wps:wsp>
                      <wps:cNvPr id="69" name="Graphic 69"/>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1.594731pt;width:144.020pt;height:.599980pt;mso-position-horizontal-relative:page;mso-position-vertical-relative:paragraph;z-index:-15719936;mso-wrap-distance-left:0;mso-wrap-distance-right:0" id="docshape43" filled="true" fillcolor="#000000" stroked="false">
                <v:fill type="solid"/>
                <w10:wrap type="topAndBottom"/>
              </v:rect>
            </w:pict>
          </mc:Fallback>
        </mc:AlternateContent>
      </w:r>
    </w:p>
    <w:p>
      <w:pPr>
        <w:spacing w:line="208" w:lineRule="exact" w:before="89"/>
        <w:ind w:left="568" w:right="0" w:firstLine="0"/>
        <w:jc w:val="left"/>
        <w:rPr>
          <w:sz w:val="18"/>
        </w:rPr>
      </w:pPr>
      <w:bookmarkStart w:name="_bookmark20" w:id="21"/>
      <w:bookmarkEnd w:id="21"/>
      <w:r>
        <w:rPr/>
      </w:r>
      <w:r>
        <w:rPr>
          <w:position w:val="6"/>
          <w:sz w:val="12"/>
        </w:rPr>
        <w:t>21</w:t>
      </w:r>
      <w:r>
        <w:rPr>
          <w:spacing w:val="15"/>
          <w:position w:val="6"/>
          <w:sz w:val="12"/>
        </w:rPr>
        <w:t> </w:t>
      </w:r>
      <w:r>
        <w:rPr>
          <w:sz w:val="18"/>
        </w:rPr>
        <w:t>Véase</w:t>
      </w:r>
      <w:r>
        <w:rPr>
          <w:spacing w:val="-4"/>
          <w:sz w:val="18"/>
        </w:rPr>
        <w:t> </w:t>
      </w:r>
      <w:r>
        <w:rPr>
          <w:sz w:val="18"/>
        </w:rPr>
        <w:t>Folio</w:t>
      </w:r>
      <w:r>
        <w:rPr>
          <w:spacing w:val="-4"/>
          <w:sz w:val="18"/>
        </w:rPr>
        <w:t> </w:t>
      </w:r>
      <w:r>
        <w:rPr>
          <w:sz w:val="18"/>
        </w:rPr>
        <w:t>36</w:t>
      </w:r>
      <w:r>
        <w:rPr>
          <w:spacing w:val="-2"/>
          <w:sz w:val="18"/>
        </w:rPr>
        <w:t> </w:t>
      </w:r>
      <w:r>
        <w:rPr>
          <w:sz w:val="18"/>
        </w:rPr>
        <w:t>del</w:t>
      </w:r>
      <w:r>
        <w:rPr>
          <w:spacing w:val="-2"/>
          <w:sz w:val="18"/>
        </w:rPr>
        <w:t> </w:t>
      </w:r>
      <w:r>
        <w:rPr>
          <w:sz w:val="18"/>
        </w:rPr>
        <w:t>expediente</w:t>
      </w:r>
      <w:r>
        <w:rPr>
          <w:spacing w:val="-1"/>
          <w:sz w:val="18"/>
        </w:rPr>
        <w:t> </w:t>
      </w:r>
      <w:r>
        <w:rPr>
          <w:spacing w:val="-2"/>
          <w:sz w:val="18"/>
        </w:rPr>
        <w:t>DGCOM/REST/001/2026.</w:t>
      </w:r>
    </w:p>
    <w:p>
      <w:pPr>
        <w:spacing w:line="247" w:lineRule="exact" w:before="0"/>
        <w:ind w:left="568" w:right="0" w:firstLine="0"/>
        <w:jc w:val="left"/>
        <w:rPr>
          <w:sz w:val="18"/>
        </w:rPr>
      </w:pPr>
      <w:bookmarkStart w:name="_bookmark21" w:id="22"/>
      <w:bookmarkEnd w:id="22"/>
      <w:r>
        <w:rPr/>
      </w:r>
      <w:r>
        <w:rPr>
          <w:position w:val="8"/>
          <w:sz w:val="14"/>
        </w:rPr>
        <w:t>22</w:t>
      </w:r>
      <w:r>
        <w:rPr>
          <w:spacing w:val="-5"/>
          <w:position w:val="8"/>
          <w:sz w:val="14"/>
        </w:rPr>
        <w:t> </w:t>
      </w:r>
      <w:r>
        <w:rPr>
          <w:sz w:val="18"/>
        </w:rPr>
        <w:t>Véase</w:t>
      </w:r>
      <w:r>
        <w:rPr>
          <w:spacing w:val="-3"/>
          <w:sz w:val="18"/>
        </w:rPr>
        <w:t> </w:t>
      </w:r>
      <w:r>
        <w:rPr>
          <w:sz w:val="18"/>
        </w:rPr>
        <w:t>Folio</w:t>
      </w:r>
      <w:r>
        <w:rPr>
          <w:spacing w:val="-2"/>
          <w:sz w:val="18"/>
        </w:rPr>
        <w:t> </w:t>
      </w:r>
      <w:r>
        <w:rPr>
          <w:sz w:val="18"/>
        </w:rPr>
        <w:t>521</w:t>
      </w:r>
      <w:r>
        <w:rPr>
          <w:spacing w:val="-3"/>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before="3"/>
        <w:ind w:left="568" w:right="0" w:firstLine="0"/>
        <w:jc w:val="left"/>
        <w:rPr>
          <w:sz w:val="18"/>
        </w:rPr>
      </w:pPr>
      <w:bookmarkStart w:name="_bookmark22" w:id="23"/>
      <w:bookmarkEnd w:id="23"/>
      <w:r>
        <w:rPr/>
      </w:r>
      <w:r>
        <w:rPr>
          <w:position w:val="6"/>
          <w:sz w:val="12"/>
        </w:rPr>
        <w:t>23</w:t>
      </w:r>
      <w:r>
        <w:rPr>
          <w:spacing w:val="15"/>
          <w:position w:val="6"/>
          <w:sz w:val="12"/>
        </w:rPr>
        <w:t> </w:t>
      </w:r>
      <w:r>
        <w:rPr>
          <w:sz w:val="18"/>
        </w:rPr>
        <w:t>Véase</w:t>
      </w:r>
      <w:r>
        <w:rPr>
          <w:spacing w:val="-4"/>
          <w:sz w:val="18"/>
        </w:rPr>
        <w:t> </w:t>
      </w:r>
      <w:r>
        <w:rPr>
          <w:sz w:val="18"/>
        </w:rPr>
        <w:t>Folio</w:t>
      </w:r>
      <w:r>
        <w:rPr>
          <w:spacing w:val="-4"/>
          <w:sz w:val="18"/>
        </w:rPr>
        <w:t> </w:t>
      </w:r>
      <w:r>
        <w:rPr>
          <w:sz w:val="18"/>
        </w:rPr>
        <w:t>37</w:t>
      </w:r>
      <w:r>
        <w:rPr>
          <w:spacing w:val="-2"/>
          <w:sz w:val="18"/>
        </w:rPr>
        <w:t> </w:t>
      </w:r>
      <w:r>
        <w:rPr>
          <w:sz w:val="18"/>
        </w:rPr>
        <w:t>del</w:t>
      </w:r>
      <w:r>
        <w:rPr>
          <w:spacing w:val="-2"/>
          <w:sz w:val="18"/>
        </w:rPr>
        <w:t> </w:t>
      </w:r>
      <w:r>
        <w:rPr>
          <w:sz w:val="18"/>
        </w:rPr>
        <w:t>expediente</w:t>
      </w:r>
      <w:r>
        <w:rPr>
          <w:spacing w:val="-1"/>
          <w:sz w:val="18"/>
        </w:rPr>
        <w:t> </w:t>
      </w:r>
      <w:r>
        <w:rPr>
          <w:spacing w:val="-2"/>
          <w:sz w:val="18"/>
        </w:rPr>
        <w:t>DGCOM/REST/001/2026.</w:t>
      </w:r>
    </w:p>
    <w:p>
      <w:pPr>
        <w:spacing w:after="0"/>
        <w:jc w:val="left"/>
        <w:rPr>
          <w:sz w:val="18"/>
        </w:rPr>
        <w:sectPr>
          <w:headerReference w:type="default" r:id="rId16"/>
          <w:footerReference w:type="default" r:id="rId17"/>
          <w:pgSz w:w="11900" w:h="16850"/>
          <w:pgMar w:header="370" w:footer="651" w:top="1380" w:bottom="840" w:left="992" w:right="283"/>
        </w:sectPr>
      </w:pPr>
    </w:p>
    <w:p>
      <w:pPr>
        <w:pStyle w:val="BodyText"/>
        <w:spacing w:before="176"/>
      </w:pPr>
    </w:p>
    <w:p>
      <w:pPr>
        <w:spacing w:before="0"/>
        <w:ind w:left="2128" w:right="980" w:firstLine="0"/>
        <w:jc w:val="both"/>
        <w:rPr>
          <w:rFonts w:ascii="Arial" w:hAnsi="Arial"/>
          <w:i/>
          <w:sz w:val="22"/>
        </w:rPr>
      </w:pPr>
      <w:r>
        <w:rPr>
          <w:rFonts w:ascii="Arial" w:hAnsi="Arial"/>
          <w:i/>
          <w:sz w:val="22"/>
        </w:rPr>
        <w:t>Miguel,</w:t>
      </w:r>
      <w:r>
        <w:rPr>
          <w:rFonts w:ascii="Arial" w:hAnsi="Arial"/>
          <w:i/>
          <w:spacing w:val="-13"/>
          <w:sz w:val="22"/>
        </w:rPr>
        <w:t> </w:t>
      </w:r>
      <w:r>
        <w:rPr>
          <w:rFonts w:ascii="Arial" w:hAnsi="Arial"/>
          <w:i/>
          <w:sz w:val="22"/>
        </w:rPr>
        <w:t>con</w:t>
      </w:r>
      <w:r>
        <w:rPr>
          <w:rFonts w:ascii="Arial" w:hAnsi="Arial"/>
          <w:i/>
          <w:spacing w:val="-13"/>
          <w:sz w:val="22"/>
        </w:rPr>
        <w:t> </w:t>
      </w:r>
      <w:r>
        <w:rPr>
          <w:rFonts w:ascii="Arial" w:hAnsi="Arial"/>
          <w:i/>
          <w:sz w:val="22"/>
        </w:rPr>
        <w:t>el</w:t>
      </w:r>
      <w:r>
        <w:rPr>
          <w:rFonts w:ascii="Arial" w:hAnsi="Arial"/>
          <w:i/>
          <w:spacing w:val="-13"/>
          <w:sz w:val="22"/>
        </w:rPr>
        <w:t> </w:t>
      </w:r>
      <w:r>
        <w:rPr>
          <w:rFonts w:ascii="Arial" w:hAnsi="Arial"/>
          <w:i/>
          <w:sz w:val="22"/>
        </w:rPr>
        <w:t>objetivo</w:t>
      </w:r>
      <w:r>
        <w:rPr>
          <w:rFonts w:ascii="Arial" w:hAnsi="Arial"/>
          <w:i/>
          <w:spacing w:val="-15"/>
          <w:sz w:val="22"/>
        </w:rPr>
        <w:t> </w:t>
      </w:r>
      <w:r>
        <w:rPr>
          <w:rFonts w:ascii="Arial" w:hAnsi="Arial"/>
          <w:i/>
          <w:sz w:val="22"/>
        </w:rPr>
        <w:t>exclusivo</w:t>
      </w:r>
      <w:r>
        <w:rPr>
          <w:rFonts w:ascii="Arial" w:hAnsi="Arial"/>
          <w:i/>
          <w:spacing w:val="-12"/>
          <w:sz w:val="22"/>
        </w:rPr>
        <w:t> </w:t>
      </w:r>
      <w:r>
        <w:rPr>
          <w:rFonts w:ascii="Arial" w:hAnsi="Arial"/>
          <w:i/>
          <w:sz w:val="22"/>
        </w:rPr>
        <w:t>de</w:t>
      </w:r>
      <w:r>
        <w:rPr>
          <w:rFonts w:ascii="Arial" w:hAnsi="Arial"/>
          <w:i/>
          <w:spacing w:val="-13"/>
          <w:sz w:val="22"/>
        </w:rPr>
        <w:t> </w:t>
      </w:r>
      <w:r>
        <w:rPr>
          <w:rFonts w:ascii="Arial" w:hAnsi="Arial"/>
          <w:i/>
          <w:sz w:val="22"/>
        </w:rPr>
        <w:t>garantizar</w:t>
      </w:r>
      <w:r>
        <w:rPr>
          <w:rFonts w:ascii="Arial" w:hAnsi="Arial"/>
          <w:i/>
          <w:spacing w:val="-14"/>
          <w:sz w:val="22"/>
        </w:rPr>
        <w:t> </w:t>
      </w:r>
      <w:r>
        <w:rPr>
          <w:rFonts w:ascii="Arial" w:hAnsi="Arial"/>
          <w:i/>
          <w:sz w:val="22"/>
        </w:rPr>
        <w:t>la</w:t>
      </w:r>
      <w:r>
        <w:rPr>
          <w:rFonts w:ascii="Arial" w:hAnsi="Arial"/>
          <w:i/>
          <w:spacing w:val="-12"/>
          <w:sz w:val="22"/>
        </w:rPr>
        <w:t> </w:t>
      </w:r>
      <w:r>
        <w:rPr>
          <w:rFonts w:ascii="Arial" w:hAnsi="Arial"/>
          <w:i/>
          <w:sz w:val="22"/>
        </w:rPr>
        <w:t>continuidad</w:t>
      </w:r>
      <w:r>
        <w:rPr>
          <w:rFonts w:ascii="Arial" w:hAnsi="Arial"/>
          <w:i/>
          <w:spacing w:val="-12"/>
          <w:sz w:val="22"/>
        </w:rPr>
        <w:t> </w:t>
      </w:r>
      <w:r>
        <w:rPr>
          <w:rFonts w:ascii="Arial" w:hAnsi="Arial"/>
          <w:i/>
          <w:sz w:val="22"/>
        </w:rPr>
        <w:t>del</w:t>
      </w:r>
      <w:r>
        <w:rPr>
          <w:rFonts w:ascii="Arial" w:hAnsi="Arial"/>
          <w:i/>
          <w:spacing w:val="-13"/>
          <w:sz w:val="22"/>
        </w:rPr>
        <w:t> </w:t>
      </w:r>
      <w:r>
        <w:rPr>
          <w:rFonts w:ascii="Arial" w:hAnsi="Arial"/>
          <w:i/>
          <w:sz w:val="22"/>
        </w:rPr>
        <w:t>transporte</w:t>
      </w:r>
      <w:r>
        <w:rPr>
          <w:rFonts w:ascii="Arial" w:hAnsi="Arial"/>
          <w:i/>
          <w:spacing w:val="-16"/>
          <w:sz w:val="22"/>
        </w:rPr>
        <w:t> </w:t>
      </w:r>
      <w:r>
        <w:rPr>
          <w:rFonts w:ascii="Arial" w:hAnsi="Arial"/>
          <w:i/>
          <w:sz w:val="22"/>
        </w:rPr>
        <w:t>de crudo colombiano hacia la Estación de Bombeo Amazonas, ubicada en la ciudad de Lago Agrio. Se adjunta el listado de personas y vehículos debidamente autorizados para el ingreso y posterior salida de territorio </w:t>
      </w:r>
      <w:r>
        <w:rPr>
          <w:rFonts w:ascii="Arial" w:hAnsi="Arial"/>
          <w:i/>
          <w:spacing w:val="-2"/>
          <w:sz w:val="22"/>
        </w:rPr>
        <w:t>ecuatoriano.”</w:t>
      </w:r>
    </w:p>
    <w:p>
      <w:pPr>
        <w:pStyle w:val="BodyText"/>
        <w:spacing w:before="23"/>
        <w:rPr>
          <w:rFonts w:ascii="Arial"/>
          <w:i/>
        </w:rPr>
      </w:pPr>
    </w:p>
    <w:p>
      <w:pPr>
        <w:pStyle w:val="ListParagraph"/>
        <w:numPr>
          <w:ilvl w:val="0"/>
          <w:numId w:val="2"/>
        </w:numPr>
        <w:tabs>
          <w:tab w:pos="1420" w:val="left" w:leader="none"/>
        </w:tabs>
        <w:spacing w:line="259" w:lineRule="auto" w:before="0" w:after="0"/>
        <w:ind w:left="1420" w:right="977" w:hanging="852"/>
        <w:jc w:val="both"/>
        <w:rPr>
          <w:sz w:val="22"/>
        </w:rPr>
      </w:pPr>
      <w:r>
        <w:rPr>
          <w:sz w:val="22"/>
        </w:rPr>
        <w:t>De lo expuesto en el acápite anterior se desprende que la medida adoptada por la República del Ecuador se aplica al ingreso de mercancías por vía terrestre procedentes u originarias de la República de Colombia, canalizando dicho tránsito exclusivamente a través del paso internacional de Rumichaca. No obstante, se establece una excepción específica para el transporte de crudo colombiano, cuya circulación ha sido autorizada de manera excepcional a través del paso fronterizo CEBAF San Miguel, bajo condiciones de control previamente definidas.</w:t>
      </w:r>
    </w:p>
    <w:p>
      <w:pPr>
        <w:pStyle w:val="BodyText"/>
        <w:spacing w:before="17"/>
      </w:pPr>
    </w:p>
    <w:p>
      <w:pPr>
        <w:pStyle w:val="Heading5"/>
        <w:numPr>
          <w:ilvl w:val="0"/>
          <w:numId w:val="1"/>
        </w:numPr>
        <w:tabs>
          <w:tab w:pos="1137" w:val="left" w:leader="none"/>
        </w:tabs>
        <w:spacing w:line="240" w:lineRule="auto" w:before="0" w:after="0"/>
        <w:ind w:left="1137" w:right="0" w:hanging="358"/>
        <w:jc w:val="left"/>
      </w:pPr>
      <w:r>
        <w:rPr>
          <w:spacing w:val="-2"/>
        </w:rPr>
        <w:t>CONSIDERACIONES</w:t>
      </w:r>
      <w:r>
        <w:rPr>
          <w:spacing w:val="14"/>
        </w:rPr>
        <w:t> </w:t>
      </w:r>
      <w:r>
        <w:rPr>
          <w:spacing w:val="-2"/>
        </w:rPr>
        <w:t>PRELIMINARES</w:t>
      </w:r>
    </w:p>
    <w:p>
      <w:pPr>
        <w:pStyle w:val="BodyText"/>
        <w:spacing w:before="120"/>
        <w:rPr>
          <w:rFonts w:ascii="Arial"/>
          <w:b/>
        </w:rPr>
      </w:pPr>
    </w:p>
    <w:p>
      <w:pPr>
        <w:pStyle w:val="ListParagraph"/>
        <w:numPr>
          <w:ilvl w:val="1"/>
          <w:numId w:val="1"/>
        </w:numPr>
        <w:tabs>
          <w:tab w:pos="1276" w:val="left" w:leader="none"/>
        </w:tabs>
        <w:spacing w:line="240" w:lineRule="auto" w:before="0" w:after="0"/>
        <w:ind w:left="1276" w:right="0" w:hanging="708"/>
        <w:jc w:val="left"/>
        <w:rPr>
          <w:rFonts w:ascii="Arial" w:hAnsi="Arial"/>
          <w:b/>
          <w:sz w:val="22"/>
        </w:rPr>
      </w:pPr>
      <w:r>
        <w:rPr>
          <w:rFonts w:ascii="Arial" w:hAnsi="Arial"/>
          <w:b/>
          <w:sz w:val="22"/>
        </w:rPr>
        <w:t>SOBRE</w:t>
      </w:r>
      <w:r>
        <w:rPr>
          <w:rFonts w:ascii="Arial" w:hAnsi="Arial"/>
          <w:b/>
          <w:spacing w:val="-7"/>
          <w:sz w:val="22"/>
        </w:rPr>
        <w:t> </w:t>
      </w:r>
      <w:r>
        <w:rPr>
          <w:rFonts w:ascii="Arial" w:hAnsi="Arial"/>
          <w:b/>
          <w:sz w:val="22"/>
        </w:rPr>
        <w:t>EL</w:t>
      </w:r>
      <w:r>
        <w:rPr>
          <w:rFonts w:ascii="Arial" w:hAnsi="Arial"/>
          <w:b/>
          <w:spacing w:val="-5"/>
          <w:sz w:val="22"/>
        </w:rPr>
        <w:t> </w:t>
      </w:r>
      <w:r>
        <w:rPr>
          <w:rFonts w:ascii="Arial" w:hAnsi="Arial"/>
          <w:b/>
          <w:sz w:val="22"/>
        </w:rPr>
        <w:t>PROGRAMA</w:t>
      </w:r>
      <w:r>
        <w:rPr>
          <w:rFonts w:ascii="Arial" w:hAnsi="Arial"/>
          <w:b/>
          <w:spacing w:val="-2"/>
          <w:sz w:val="22"/>
        </w:rPr>
        <w:t> </w:t>
      </w:r>
      <w:r>
        <w:rPr>
          <w:rFonts w:ascii="Arial" w:hAnsi="Arial"/>
          <w:b/>
          <w:sz w:val="22"/>
        </w:rPr>
        <w:t>DE</w:t>
      </w:r>
      <w:r>
        <w:rPr>
          <w:rFonts w:ascii="Arial" w:hAnsi="Arial"/>
          <w:b/>
          <w:spacing w:val="-7"/>
          <w:sz w:val="22"/>
        </w:rPr>
        <w:t> </w:t>
      </w:r>
      <w:r>
        <w:rPr>
          <w:rFonts w:ascii="Arial" w:hAnsi="Arial"/>
          <w:b/>
          <w:spacing w:val="-2"/>
          <w:sz w:val="22"/>
        </w:rPr>
        <w:t>LIBERACIÓN</w:t>
      </w:r>
    </w:p>
    <w:p>
      <w:pPr>
        <w:pStyle w:val="BodyText"/>
        <w:spacing w:before="241"/>
        <w:rPr>
          <w:rFonts w:ascii="Arial"/>
          <w:b/>
        </w:rPr>
      </w:pPr>
    </w:p>
    <w:p>
      <w:pPr>
        <w:pStyle w:val="ListParagraph"/>
        <w:numPr>
          <w:ilvl w:val="0"/>
          <w:numId w:val="2"/>
        </w:numPr>
        <w:tabs>
          <w:tab w:pos="1420" w:val="left" w:leader="none"/>
        </w:tabs>
        <w:spacing w:line="240" w:lineRule="auto" w:before="0" w:after="0"/>
        <w:ind w:left="1420" w:right="975" w:hanging="852"/>
        <w:jc w:val="both"/>
        <w:rPr>
          <w:sz w:val="22"/>
        </w:rPr>
      </w:pPr>
      <w:r>
        <w:rPr>
          <w:sz w:val="22"/>
        </w:rPr>
        <w:t>La</w:t>
      </w:r>
      <w:r>
        <w:rPr>
          <w:spacing w:val="-5"/>
          <w:sz w:val="22"/>
        </w:rPr>
        <w:t> </w:t>
      </w:r>
      <w:r>
        <w:rPr>
          <w:sz w:val="22"/>
        </w:rPr>
        <w:t>Comunidad</w:t>
      </w:r>
      <w:r>
        <w:rPr>
          <w:spacing w:val="-5"/>
          <w:sz w:val="22"/>
        </w:rPr>
        <w:t> </w:t>
      </w:r>
      <w:r>
        <w:rPr>
          <w:sz w:val="22"/>
        </w:rPr>
        <w:t>Andina,</w:t>
      </w:r>
      <w:r>
        <w:rPr>
          <w:spacing w:val="-4"/>
          <w:sz w:val="22"/>
        </w:rPr>
        <w:t> </w:t>
      </w:r>
      <w:r>
        <w:rPr>
          <w:sz w:val="22"/>
        </w:rPr>
        <w:t>integrada</w:t>
      </w:r>
      <w:r>
        <w:rPr>
          <w:spacing w:val="-5"/>
          <w:sz w:val="22"/>
        </w:rPr>
        <w:t> </w:t>
      </w:r>
      <w:r>
        <w:rPr>
          <w:sz w:val="22"/>
        </w:rPr>
        <w:t>por</w:t>
      </w:r>
      <w:r>
        <w:rPr>
          <w:spacing w:val="-4"/>
          <w:sz w:val="22"/>
        </w:rPr>
        <w:t> </w:t>
      </w:r>
      <w:r>
        <w:rPr>
          <w:sz w:val="22"/>
        </w:rPr>
        <w:t>el</w:t>
      </w:r>
      <w:r>
        <w:rPr>
          <w:spacing w:val="-6"/>
          <w:sz w:val="22"/>
        </w:rPr>
        <w:t> </w:t>
      </w:r>
      <w:r>
        <w:rPr>
          <w:sz w:val="22"/>
        </w:rPr>
        <w:t>Estado</w:t>
      </w:r>
      <w:r>
        <w:rPr>
          <w:spacing w:val="-5"/>
          <w:sz w:val="22"/>
        </w:rPr>
        <w:t> </w:t>
      </w:r>
      <w:r>
        <w:rPr>
          <w:sz w:val="22"/>
        </w:rPr>
        <w:t>Plurinacional</w:t>
      </w:r>
      <w:r>
        <w:rPr>
          <w:spacing w:val="-6"/>
          <w:sz w:val="22"/>
        </w:rPr>
        <w:t> </w:t>
      </w:r>
      <w:r>
        <w:rPr>
          <w:sz w:val="22"/>
        </w:rPr>
        <w:t>de</w:t>
      </w:r>
      <w:r>
        <w:rPr>
          <w:spacing w:val="-5"/>
          <w:sz w:val="22"/>
        </w:rPr>
        <w:t> </w:t>
      </w:r>
      <w:r>
        <w:rPr>
          <w:sz w:val="22"/>
        </w:rPr>
        <w:t>Bolivia,</w:t>
      </w:r>
      <w:r>
        <w:rPr>
          <w:spacing w:val="-4"/>
          <w:sz w:val="22"/>
        </w:rPr>
        <w:t> </w:t>
      </w:r>
      <w:r>
        <w:rPr>
          <w:sz w:val="22"/>
        </w:rPr>
        <w:t>la</w:t>
      </w:r>
      <w:r>
        <w:rPr>
          <w:spacing w:val="-5"/>
          <w:sz w:val="22"/>
        </w:rPr>
        <w:t> </w:t>
      </w:r>
      <w:r>
        <w:rPr>
          <w:sz w:val="22"/>
        </w:rPr>
        <w:t>República de Colombia, la República del Ecuador y la República del Perú, es un acuerdo de integración</w:t>
      </w:r>
      <w:r>
        <w:rPr>
          <w:spacing w:val="-12"/>
          <w:sz w:val="22"/>
        </w:rPr>
        <w:t> </w:t>
      </w:r>
      <w:r>
        <w:rPr>
          <w:sz w:val="22"/>
        </w:rPr>
        <w:t>subregional</w:t>
      </w:r>
      <w:r>
        <w:rPr>
          <w:spacing w:val="-12"/>
          <w:sz w:val="22"/>
        </w:rPr>
        <w:t> </w:t>
      </w:r>
      <w:r>
        <w:rPr>
          <w:sz w:val="22"/>
        </w:rPr>
        <w:t>con</w:t>
      </w:r>
      <w:r>
        <w:rPr>
          <w:spacing w:val="-12"/>
          <w:sz w:val="22"/>
        </w:rPr>
        <w:t> </w:t>
      </w:r>
      <w:r>
        <w:rPr>
          <w:sz w:val="22"/>
        </w:rPr>
        <w:t>más</w:t>
      </w:r>
      <w:r>
        <w:rPr>
          <w:spacing w:val="-11"/>
          <w:sz w:val="22"/>
        </w:rPr>
        <w:t> </w:t>
      </w:r>
      <w:r>
        <w:rPr>
          <w:sz w:val="22"/>
        </w:rPr>
        <w:t>de</w:t>
      </w:r>
      <w:r>
        <w:rPr>
          <w:spacing w:val="-14"/>
          <w:sz w:val="22"/>
        </w:rPr>
        <w:t> </w:t>
      </w:r>
      <w:r>
        <w:rPr>
          <w:sz w:val="22"/>
        </w:rPr>
        <w:t>56</w:t>
      </w:r>
      <w:r>
        <w:rPr>
          <w:spacing w:val="-12"/>
          <w:sz w:val="22"/>
        </w:rPr>
        <w:t> </w:t>
      </w:r>
      <w:r>
        <w:rPr>
          <w:sz w:val="22"/>
        </w:rPr>
        <w:t>años</w:t>
      </w:r>
      <w:r>
        <w:rPr>
          <w:spacing w:val="-11"/>
          <w:sz w:val="22"/>
        </w:rPr>
        <w:t> </w:t>
      </w:r>
      <w:r>
        <w:rPr>
          <w:sz w:val="22"/>
        </w:rPr>
        <w:t>de</w:t>
      </w:r>
      <w:r>
        <w:rPr>
          <w:spacing w:val="-14"/>
          <w:sz w:val="22"/>
        </w:rPr>
        <w:t> </w:t>
      </w:r>
      <w:r>
        <w:rPr>
          <w:sz w:val="22"/>
        </w:rPr>
        <w:t>existencia,</w:t>
      </w:r>
      <w:r>
        <w:rPr>
          <w:spacing w:val="-8"/>
          <w:sz w:val="22"/>
        </w:rPr>
        <w:t> </w:t>
      </w:r>
      <w:r>
        <w:rPr>
          <w:sz w:val="22"/>
        </w:rPr>
        <w:t>cuyos</w:t>
      </w:r>
      <w:r>
        <w:rPr>
          <w:spacing w:val="-13"/>
          <w:sz w:val="22"/>
        </w:rPr>
        <w:t> </w:t>
      </w:r>
      <w:r>
        <w:rPr>
          <w:sz w:val="22"/>
        </w:rPr>
        <w:t>objetivos</w:t>
      </w:r>
      <w:r>
        <w:rPr>
          <w:spacing w:val="-13"/>
          <w:sz w:val="22"/>
        </w:rPr>
        <w:t> </w:t>
      </w:r>
      <w:r>
        <w:rPr>
          <w:sz w:val="22"/>
        </w:rPr>
        <w:t>tienen</w:t>
      </w:r>
      <w:r>
        <w:rPr>
          <w:spacing w:val="-12"/>
          <w:sz w:val="22"/>
        </w:rPr>
        <w:t> </w:t>
      </w:r>
      <w:r>
        <w:rPr>
          <w:sz w:val="22"/>
        </w:rPr>
        <w:t>por finalidad</w:t>
      </w:r>
      <w:r>
        <w:rPr>
          <w:spacing w:val="-11"/>
          <w:sz w:val="22"/>
        </w:rPr>
        <w:t> </w:t>
      </w:r>
      <w:r>
        <w:rPr>
          <w:sz w:val="22"/>
        </w:rPr>
        <w:t>procurar</w:t>
      </w:r>
      <w:r>
        <w:rPr>
          <w:spacing w:val="-12"/>
          <w:sz w:val="22"/>
        </w:rPr>
        <w:t> </w:t>
      </w:r>
      <w:r>
        <w:rPr>
          <w:sz w:val="22"/>
        </w:rPr>
        <w:t>el</w:t>
      </w:r>
      <w:r>
        <w:rPr>
          <w:spacing w:val="-15"/>
          <w:sz w:val="22"/>
        </w:rPr>
        <w:t> </w:t>
      </w:r>
      <w:r>
        <w:rPr>
          <w:sz w:val="22"/>
        </w:rPr>
        <w:t>mejoramiento</w:t>
      </w:r>
      <w:r>
        <w:rPr>
          <w:spacing w:val="-11"/>
          <w:sz w:val="22"/>
        </w:rPr>
        <w:t> </w:t>
      </w:r>
      <w:r>
        <w:rPr>
          <w:sz w:val="22"/>
        </w:rPr>
        <w:t>de</w:t>
      </w:r>
      <w:r>
        <w:rPr>
          <w:spacing w:val="-14"/>
          <w:sz w:val="22"/>
        </w:rPr>
        <w:t> </w:t>
      </w:r>
      <w:r>
        <w:rPr>
          <w:sz w:val="22"/>
        </w:rPr>
        <w:t>la</w:t>
      </w:r>
      <w:r>
        <w:rPr>
          <w:spacing w:val="-11"/>
          <w:sz w:val="22"/>
        </w:rPr>
        <w:t> </w:t>
      </w:r>
      <w:r>
        <w:rPr>
          <w:sz w:val="22"/>
        </w:rPr>
        <w:t>calidad</w:t>
      </w:r>
      <w:r>
        <w:rPr>
          <w:spacing w:val="-14"/>
          <w:sz w:val="22"/>
        </w:rPr>
        <w:t> </w:t>
      </w:r>
      <w:r>
        <w:rPr>
          <w:sz w:val="22"/>
        </w:rPr>
        <w:t>de</w:t>
      </w:r>
      <w:r>
        <w:rPr>
          <w:spacing w:val="-14"/>
          <w:sz w:val="22"/>
        </w:rPr>
        <w:t> </w:t>
      </w:r>
      <w:r>
        <w:rPr>
          <w:sz w:val="22"/>
        </w:rPr>
        <w:t>vida</w:t>
      </w:r>
      <w:r>
        <w:rPr>
          <w:spacing w:val="-12"/>
          <w:sz w:val="22"/>
        </w:rPr>
        <w:t> </w:t>
      </w:r>
      <w:r>
        <w:rPr>
          <w:sz w:val="22"/>
        </w:rPr>
        <w:t>de</w:t>
      </w:r>
      <w:r>
        <w:rPr>
          <w:spacing w:val="-14"/>
          <w:sz w:val="22"/>
        </w:rPr>
        <w:t> </w:t>
      </w:r>
      <w:r>
        <w:rPr>
          <w:sz w:val="22"/>
        </w:rPr>
        <w:t>la</w:t>
      </w:r>
      <w:r>
        <w:rPr>
          <w:spacing w:val="-14"/>
          <w:sz w:val="22"/>
        </w:rPr>
        <w:t> </w:t>
      </w:r>
      <w:r>
        <w:rPr>
          <w:sz w:val="22"/>
        </w:rPr>
        <w:t>población</w:t>
      </w:r>
      <w:r>
        <w:rPr>
          <w:spacing w:val="-12"/>
          <w:sz w:val="22"/>
        </w:rPr>
        <w:t> </w:t>
      </w:r>
      <w:r>
        <w:rPr>
          <w:sz w:val="22"/>
        </w:rPr>
        <w:t>andina</w:t>
      </w:r>
      <w:r>
        <w:rPr>
          <w:spacing w:val="-12"/>
          <w:sz w:val="22"/>
        </w:rPr>
        <w:t> </w:t>
      </w:r>
      <w:r>
        <w:rPr>
          <w:sz w:val="22"/>
        </w:rPr>
        <w:t>(inciso 3 del artículo 1 del Acuerdo de Cartagena).</w:t>
      </w:r>
    </w:p>
    <w:p>
      <w:pPr>
        <w:pStyle w:val="ListParagraph"/>
        <w:numPr>
          <w:ilvl w:val="0"/>
          <w:numId w:val="2"/>
        </w:numPr>
        <w:tabs>
          <w:tab w:pos="1420" w:val="left" w:leader="none"/>
        </w:tabs>
        <w:spacing w:line="240" w:lineRule="auto" w:before="252" w:after="0"/>
        <w:ind w:left="1420" w:right="978" w:hanging="852"/>
        <w:jc w:val="both"/>
        <w:rPr>
          <w:sz w:val="22"/>
        </w:rPr>
      </w:pPr>
      <w:r>
        <w:rPr>
          <w:sz w:val="22"/>
        </w:rPr>
        <w:t>Para el logro de sus objetivos, el artículo 3 del Tratado Fundacional dispone que se emplearán</w:t>
      </w:r>
      <w:r>
        <w:rPr>
          <w:spacing w:val="-13"/>
          <w:sz w:val="22"/>
        </w:rPr>
        <w:t> </w:t>
      </w:r>
      <w:r>
        <w:rPr>
          <w:sz w:val="22"/>
        </w:rPr>
        <w:t>como</w:t>
      </w:r>
      <w:r>
        <w:rPr>
          <w:spacing w:val="-14"/>
          <w:sz w:val="22"/>
        </w:rPr>
        <w:t> </w:t>
      </w:r>
      <w:r>
        <w:rPr>
          <w:sz w:val="22"/>
        </w:rPr>
        <w:t>mecanismos</w:t>
      </w:r>
      <w:r>
        <w:rPr>
          <w:spacing w:val="-12"/>
          <w:sz w:val="22"/>
        </w:rPr>
        <w:t> </w:t>
      </w:r>
      <w:r>
        <w:rPr>
          <w:sz w:val="22"/>
        </w:rPr>
        <w:t>y</w:t>
      </w:r>
      <w:r>
        <w:rPr>
          <w:spacing w:val="-12"/>
          <w:sz w:val="22"/>
        </w:rPr>
        <w:t> </w:t>
      </w:r>
      <w:r>
        <w:rPr>
          <w:sz w:val="22"/>
        </w:rPr>
        <w:t>medidas,</w:t>
      </w:r>
      <w:r>
        <w:rPr>
          <w:spacing w:val="-11"/>
          <w:sz w:val="22"/>
        </w:rPr>
        <w:t> </w:t>
      </w:r>
      <w:r>
        <w:rPr>
          <w:sz w:val="22"/>
        </w:rPr>
        <w:t>entre</w:t>
      </w:r>
      <w:r>
        <w:rPr>
          <w:spacing w:val="-12"/>
          <w:sz w:val="22"/>
        </w:rPr>
        <w:t> </w:t>
      </w:r>
      <w:r>
        <w:rPr>
          <w:sz w:val="22"/>
        </w:rPr>
        <w:t>otros,</w:t>
      </w:r>
      <w:r>
        <w:rPr>
          <w:spacing w:val="-11"/>
          <w:sz w:val="22"/>
        </w:rPr>
        <w:t> </w:t>
      </w:r>
      <w:r>
        <w:rPr>
          <w:sz w:val="22"/>
        </w:rPr>
        <w:t>un</w:t>
      </w:r>
      <w:r>
        <w:rPr>
          <w:spacing w:val="-8"/>
          <w:sz w:val="22"/>
        </w:rPr>
        <w:t> </w:t>
      </w:r>
      <w:r>
        <w:rPr>
          <w:sz w:val="22"/>
        </w:rPr>
        <w:t>Programa</w:t>
      </w:r>
      <w:r>
        <w:rPr>
          <w:spacing w:val="-12"/>
          <w:sz w:val="22"/>
        </w:rPr>
        <w:t> </w:t>
      </w:r>
      <w:r>
        <w:rPr>
          <w:sz w:val="22"/>
        </w:rPr>
        <w:t>de</w:t>
      </w:r>
      <w:r>
        <w:rPr>
          <w:spacing w:val="-10"/>
          <w:sz w:val="22"/>
        </w:rPr>
        <w:t> </w:t>
      </w:r>
      <w:r>
        <w:rPr>
          <w:sz w:val="22"/>
        </w:rPr>
        <w:t>Liberación</w:t>
      </w:r>
      <w:r>
        <w:rPr>
          <w:spacing w:val="-10"/>
          <w:sz w:val="22"/>
        </w:rPr>
        <w:t> </w:t>
      </w:r>
      <w:r>
        <w:rPr>
          <w:sz w:val="22"/>
        </w:rPr>
        <w:t>del intercambio comercial.</w:t>
      </w:r>
    </w:p>
    <w:p>
      <w:pPr>
        <w:pStyle w:val="BodyText"/>
        <w:spacing w:before="1"/>
      </w:pPr>
    </w:p>
    <w:p>
      <w:pPr>
        <w:pStyle w:val="ListParagraph"/>
        <w:numPr>
          <w:ilvl w:val="0"/>
          <w:numId w:val="2"/>
        </w:numPr>
        <w:tabs>
          <w:tab w:pos="1420" w:val="left" w:leader="none"/>
        </w:tabs>
        <w:spacing w:line="240" w:lineRule="auto" w:before="0" w:after="0"/>
        <w:ind w:left="1420" w:right="980" w:hanging="852"/>
        <w:jc w:val="both"/>
        <w:rPr>
          <w:sz w:val="22"/>
        </w:rPr>
      </w:pPr>
      <w:r>
        <w:rPr>
          <w:sz w:val="22"/>
        </w:rPr>
        <w:t>Sobre el particular, es importante traer a colación lo señalado por el Tribunal de Justicia de</w:t>
      </w:r>
      <w:r>
        <w:rPr>
          <w:spacing w:val="-1"/>
          <w:sz w:val="22"/>
        </w:rPr>
        <w:t> </w:t>
      </w:r>
      <w:r>
        <w:rPr>
          <w:sz w:val="22"/>
        </w:rPr>
        <w:t>la Comunidad Andina</w:t>
      </w:r>
      <w:r>
        <w:rPr>
          <w:spacing w:val="-1"/>
          <w:sz w:val="22"/>
        </w:rPr>
        <w:t> </w:t>
      </w:r>
      <w:r>
        <w:rPr>
          <w:sz w:val="22"/>
        </w:rPr>
        <w:t>(en</w:t>
      </w:r>
      <w:r>
        <w:rPr>
          <w:spacing w:val="-1"/>
          <w:sz w:val="22"/>
        </w:rPr>
        <w:t> </w:t>
      </w:r>
      <w:r>
        <w:rPr>
          <w:sz w:val="22"/>
        </w:rPr>
        <w:t>adelante, </w:t>
      </w:r>
      <w:r>
        <w:rPr>
          <w:rFonts w:ascii="Arial" w:hAnsi="Arial"/>
          <w:b/>
          <w:sz w:val="22"/>
        </w:rPr>
        <w:t>TJCAN</w:t>
      </w:r>
      <w:r>
        <w:rPr>
          <w:sz w:val="22"/>
        </w:rPr>
        <w:t>) en</w:t>
      </w:r>
      <w:r>
        <w:rPr>
          <w:spacing w:val="-1"/>
          <w:sz w:val="22"/>
        </w:rPr>
        <w:t> </w:t>
      </w:r>
      <w:r>
        <w:rPr>
          <w:sz w:val="22"/>
        </w:rPr>
        <w:t>la sentencia del</w:t>
      </w:r>
      <w:r>
        <w:rPr>
          <w:spacing w:val="-2"/>
          <w:sz w:val="22"/>
        </w:rPr>
        <w:t> </w:t>
      </w:r>
      <w:r>
        <w:rPr>
          <w:sz w:val="22"/>
        </w:rPr>
        <w:t>Proceso 02-AI-2020, publicado en la Gaceta Oficial del Acuerdo de Cartagena N.° 5250, cuando resalta la importancia del Programa de Liberación:</w:t>
      </w:r>
    </w:p>
    <w:p>
      <w:pPr>
        <w:pStyle w:val="BodyText"/>
      </w:pPr>
    </w:p>
    <w:p>
      <w:pPr>
        <w:spacing w:before="0"/>
        <w:ind w:left="2128" w:right="978" w:firstLine="0"/>
        <w:jc w:val="both"/>
        <w:rPr>
          <w:rFonts w:ascii="Arial" w:hAnsi="Arial"/>
          <w:i/>
          <w:sz w:val="22"/>
        </w:rPr>
      </w:pPr>
      <w:r>
        <w:rPr>
          <w:rFonts w:ascii="Arial" w:hAnsi="Arial"/>
          <w:i/>
          <w:sz w:val="22"/>
        </w:rPr>
        <w:t>“3.3.4.</w:t>
      </w:r>
      <w:r>
        <w:rPr>
          <w:rFonts w:ascii="Arial" w:hAnsi="Arial"/>
          <w:i/>
          <w:spacing w:val="-9"/>
          <w:sz w:val="22"/>
        </w:rPr>
        <w:t> </w:t>
      </w:r>
      <w:r>
        <w:rPr>
          <w:rFonts w:ascii="Arial" w:hAnsi="Arial"/>
          <w:i/>
          <w:sz w:val="22"/>
        </w:rPr>
        <w:t>El</w:t>
      </w:r>
      <w:r>
        <w:rPr>
          <w:rFonts w:ascii="Arial" w:hAnsi="Arial"/>
          <w:i/>
          <w:spacing w:val="-10"/>
          <w:sz w:val="22"/>
        </w:rPr>
        <w:t> </w:t>
      </w:r>
      <w:r>
        <w:rPr>
          <w:rFonts w:ascii="Arial" w:hAnsi="Arial"/>
          <w:i/>
          <w:sz w:val="22"/>
        </w:rPr>
        <w:t>Programa</w:t>
      </w:r>
      <w:r>
        <w:rPr>
          <w:rFonts w:ascii="Arial" w:hAnsi="Arial"/>
          <w:i/>
          <w:spacing w:val="-10"/>
          <w:sz w:val="22"/>
        </w:rPr>
        <w:t> </w:t>
      </w:r>
      <w:r>
        <w:rPr>
          <w:rFonts w:ascii="Arial" w:hAnsi="Arial"/>
          <w:i/>
          <w:sz w:val="22"/>
        </w:rPr>
        <w:t>de</w:t>
      </w:r>
      <w:r>
        <w:rPr>
          <w:rFonts w:ascii="Arial" w:hAnsi="Arial"/>
          <w:i/>
          <w:spacing w:val="-10"/>
          <w:sz w:val="22"/>
        </w:rPr>
        <w:t> </w:t>
      </w:r>
      <w:r>
        <w:rPr>
          <w:rFonts w:ascii="Arial" w:hAnsi="Arial"/>
          <w:i/>
          <w:sz w:val="22"/>
        </w:rPr>
        <w:t>Liberación</w:t>
      </w:r>
      <w:r>
        <w:rPr>
          <w:rFonts w:ascii="Arial" w:hAnsi="Arial"/>
          <w:i/>
          <w:spacing w:val="-8"/>
          <w:sz w:val="22"/>
        </w:rPr>
        <w:t> </w:t>
      </w:r>
      <w:r>
        <w:rPr>
          <w:rFonts w:ascii="Arial" w:hAnsi="Arial"/>
          <w:i/>
          <w:sz w:val="22"/>
        </w:rPr>
        <w:t>de</w:t>
      </w:r>
      <w:r>
        <w:rPr>
          <w:rFonts w:ascii="Arial" w:hAnsi="Arial"/>
          <w:i/>
          <w:spacing w:val="-10"/>
          <w:sz w:val="22"/>
        </w:rPr>
        <w:t> </w:t>
      </w:r>
      <w:r>
        <w:rPr>
          <w:rFonts w:ascii="Arial" w:hAnsi="Arial"/>
          <w:i/>
          <w:sz w:val="22"/>
        </w:rPr>
        <w:t>bienes</w:t>
      </w:r>
      <w:r>
        <w:rPr>
          <w:rFonts w:ascii="Arial" w:hAnsi="Arial"/>
          <w:i/>
          <w:spacing w:val="-9"/>
          <w:sz w:val="22"/>
        </w:rPr>
        <w:t> </w:t>
      </w:r>
      <w:r>
        <w:rPr>
          <w:rFonts w:ascii="Arial" w:hAnsi="Arial"/>
          <w:i/>
          <w:sz w:val="22"/>
        </w:rPr>
        <w:t>sustenta</w:t>
      </w:r>
      <w:r>
        <w:rPr>
          <w:rFonts w:ascii="Arial" w:hAnsi="Arial"/>
          <w:i/>
          <w:spacing w:val="-9"/>
          <w:sz w:val="22"/>
        </w:rPr>
        <w:t> </w:t>
      </w:r>
      <w:r>
        <w:rPr>
          <w:rFonts w:ascii="Arial" w:hAnsi="Arial"/>
          <w:i/>
          <w:sz w:val="22"/>
        </w:rPr>
        <w:t>la</w:t>
      </w:r>
      <w:r>
        <w:rPr>
          <w:rFonts w:ascii="Arial" w:hAnsi="Arial"/>
          <w:i/>
          <w:spacing w:val="-7"/>
          <w:sz w:val="22"/>
        </w:rPr>
        <w:t> </w:t>
      </w:r>
      <w:r>
        <w:rPr>
          <w:rFonts w:ascii="Arial" w:hAnsi="Arial"/>
          <w:i/>
          <w:sz w:val="22"/>
        </w:rPr>
        <w:t>existencia</w:t>
      </w:r>
      <w:r>
        <w:rPr>
          <w:rFonts w:ascii="Arial" w:hAnsi="Arial"/>
          <w:i/>
          <w:spacing w:val="-10"/>
          <w:sz w:val="22"/>
        </w:rPr>
        <w:t> </w:t>
      </w:r>
      <w:r>
        <w:rPr>
          <w:rFonts w:ascii="Arial" w:hAnsi="Arial"/>
          <w:i/>
          <w:sz w:val="22"/>
        </w:rPr>
        <w:t>de</w:t>
      </w:r>
      <w:r>
        <w:rPr>
          <w:rFonts w:ascii="Arial" w:hAnsi="Arial"/>
          <w:i/>
          <w:spacing w:val="-10"/>
          <w:sz w:val="22"/>
        </w:rPr>
        <w:t> </w:t>
      </w:r>
      <w:r>
        <w:rPr>
          <w:rFonts w:ascii="Arial" w:hAnsi="Arial"/>
          <w:i/>
          <w:sz w:val="22"/>
        </w:rPr>
        <w:t>un</w:t>
      </w:r>
      <w:r>
        <w:rPr>
          <w:rFonts w:ascii="Arial" w:hAnsi="Arial"/>
          <w:i/>
          <w:spacing w:val="-10"/>
          <w:sz w:val="22"/>
        </w:rPr>
        <w:t> </w:t>
      </w:r>
      <w:r>
        <w:rPr>
          <w:rFonts w:ascii="Arial" w:hAnsi="Arial"/>
          <w:i/>
          <w:sz w:val="22"/>
        </w:rPr>
        <w:t>área de libre comercio en el</w:t>
      </w:r>
      <w:r>
        <w:rPr>
          <w:rFonts w:ascii="Arial" w:hAnsi="Arial"/>
          <w:i/>
          <w:spacing w:val="-1"/>
          <w:sz w:val="22"/>
        </w:rPr>
        <w:t> </w:t>
      </w:r>
      <w:r>
        <w:rPr>
          <w:rFonts w:ascii="Arial" w:hAnsi="Arial"/>
          <w:i/>
          <w:sz w:val="22"/>
        </w:rPr>
        <w:t>mercado subregional andino, en el que los productos originarios</w:t>
      </w:r>
      <w:r>
        <w:rPr>
          <w:rFonts w:ascii="Arial" w:hAnsi="Arial"/>
          <w:i/>
          <w:spacing w:val="-13"/>
          <w:sz w:val="22"/>
        </w:rPr>
        <w:t> </w:t>
      </w:r>
      <w:r>
        <w:rPr>
          <w:rFonts w:ascii="Arial" w:hAnsi="Arial"/>
          <w:i/>
          <w:sz w:val="22"/>
        </w:rPr>
        <w:t>de</w:t>
      </w:r>
      <w:r>
        <w:rPr>
          <w:rFonts w:ascii="Arial" w:hAnsi="Arial"/>
          <w:i/>
          <w:spacing w:val="-15"/>
          <w:sz w:val="22"/>
        </w:rPr>
        <w:t> </w:t>
      </w:r>
      <w:r>
        <w:rPr>
          <w:rFonts w:ascii="Arial" w:hAnsi="Arial"/>
          <w:i/>
          <w:sz w:val="22"/>
        </w:rPr>
        <w:t>los</w:t>
      </w:r>
      <w:r>
        <w:rPr>
          <w:rFonts w:ascii="Arial" w:hAnsi="Arial"/>
          <w:i/>
          <w:spacing w:val="-15"/>
          <w:sz w:val="22"/>
        </w:rPr>
        <w:t> </w:t>
      </w:r>
      <w:r>
        <w:rPr>
          <w:rFonts w:ascii="Arial" w:hAnsi="Arial"/>
          <w:i/>
          <w:sz w:val="22"/>
        </w:rPr>
        <w:t>Países</w:t>
      </w:r>
      <w:r>
        <w:rPr>
          <w:rFonts w:ascii="Arial" w:hAnsi="Arial"/>
          <w:i/>
          <w:spacing w:val="-14"/>
          <w:sz w:val="22"/>
        </w:rPr>
        <w:t> </w:t>
      </w:r>
      <w:r>
        <w:rPr>
          <w:rFonts w:ascii="Arial" w:hAnsi="Arial"/>
          <w:i/>
          <w:sz w:val="22"/>
        </w:rPr>
        <w:t>Miembros</w:t>
      </w:r>
      <w:r>
        <w:rPr>
          <w:rFonts w:ascii="Arial" w:hAnsi="Arial"/>
          <w:i/>
          <w:spacing w:val="-15"/>
          <w:sz w:val="22"/>
        </w:rPr>
        <w:t> </w:t>
      </w:r>
      <w:r>
        <w:rPr>
          <w:rFonts w:ascii="Arial" w:hAnsi="Arial"/>
          <w:i/>
          <w:sz w:val="22"/>
        </w:rPr>
        <w:t>circulan</w:t>
      </w:r>
      <w:r>
        <w:rPr>
          <w:rFonts w:ascii="Arial" w:hAnsi="Arial"/>
          <w:i/>
          <w:spacing w:val="-15"/>
          <w:sz w:val="22"/>
        </w:rPr>
        <w:t> </w:t>
      </w:r>
      <w:r>
        <w:rPr>
          <w:rFonts w:ascii="Arial" w:hAnsi="Arial"/>
          <w:i/>
          <w:sz w:val="22"/>
        </w:rPr>
        <w:t>libremente</w:t>
      </w:r>
      <w:r>
        <w:rPr>
          <w:rFonts w:ascii="Arial" w:hAnsi="Arial"/>
          <w:i/>
          <w:spacing w:val="-15"/>
          <w:sz w:val="22"/>
        </w:rPr>
        <w:t> </w:t>
      </w:r>
      <w:r>
        <w:rPr>
          <w:rFonts w:ascii="Arial" w:hAnsi="Arial"/>
          <w:i/>
          <w:sz w:val="22"/>
        </w:rPr>
        <w:t>sin</w:t>
      </w:r>
      <w:r>
        <w:rPr>
          <w:rFonts w:ascii="Arial" w:hAnsi="Arial"/>
          <w:i/>
          <w:spacing w:val="-12"/>
          <w:sz w:val="22"/>
        </w:rPr>
        <w:t> </w:t>
      </w:r>
      <w:r>
        <w:rPr>
          <w:rFonts w:ascii="Arial" w:hAnsi="Arial"/>
          <w:i/>
          <w:sz w:val="22"/>
        </w:rPr>
        <w:t>pagar</w:t>
      </w:r>
      <w:r>
        <w:rPr>
          <w:rFonts w:ascii="Arial" w:hAnsi="Arial"/>
          <w:i/>
          <w:spacing w:val="-13"/>
          <w:sz w:val="22"/>
        </w:rPr>
        <w:t> </w:t>
      </w:r>
      <w:r>
        <w:rPr>
          <w:rFonts w:ascii="Arial" w:hAnsi="Arial"/>
          <w:i/>
          <w:sz w:val="22"/>
        </w:rPr>
        <w:t>aranceles</w:t>
      </w:r>
      <w:r>
        <w:rPr>
          <w:rFonts w:ascii="Arial" w:hAnsi="Arial"/>
          <w:i/>
          <w:spacing w:val="-16"/>
          <w:sz w:val="22"/>
        </w:rPr>
        <w:t> </w:t>
      </w:r>
      <w:r>
        <w:rPr>
          <w:rFonts w:ascii="Arial" w:hAnsi="Arial"/>
          <w:i/>
          <w:sz w:val="22"/>
        </w:rPr>
        <w:t>en un mercado ampliado, lo que incrementa el poder de elección de los consumidores</w:t>
      </w:r>
      <w:r>
        <w:rPr>
          <w:rFonts w:ascii="Arial" w:hAnsi="Arial"/>
          <w:i/>
          <w:spacing w:val="-10"/>
          <w:sz w:val="22"/>
        </w:rPr>
        <w:t> </w:t>
      </w:r>
      <w:r>
        <w:rPr>
          <w:rFonts w:ascii="Arial" w:hAnsi="Arial"/>
          <w:i/>
          <w:sz w:val="22"/>
        </w:rPr>
        <w:t>andinos,</w:t>
      </w:r>
      <w:r>
        <w:rPr>
          <w:rFonts w:ascii="Arial" w:hAnsi="Arial"/>
          <w:i/>
          <w:spacing w:val="-9"/>
          <w:sz w:val="22"/>
        </w:rPr>
        <w:t> </w:t>
      </w:r>
      <w:r>
        <w:rPr>
          <w:rFonts w:ascii="Arial" w:hAnsi="Arial"/>
          <w:i/>
          <w:sz w:val="22"/>
        </w:rPr>
        <w:t>pues</w:t>
      </w:r>
      <w:r>
        <w:rPr>
          <w:rFonts w:ascii="Arial" w:hAnsi="Arial"/>
          <w:i/>
          <w:spacing w:val="-8"/>
          <w:sz w:val="22"/>
        </w:rPr>
        <w:t> </w:t>
      </w:r>
      <w:r>
        <w:rPr>
          <w:rFonts w:ascii="Arial" w:hAnsi="Arial"/>
          <w:i/>
          <w:sz w:val="22"/>
        </w:rPr>
        <w:t>al</w:t>
      </w:r>
      <w:r>
        <w:rPr>
          <w:rFonts w:ascii="Arial" w:hAnsi="Arial"/>
          <w:i/>
          <w:spacing w:val="-11"/>
          <w:sz w:val="22"/>
        </w:rPr>
        <w:t> </w:t>
      </w:r>
      <w:r>
        <w:rPr>
          <w:rFonts w:ascii="Arial" w:hAnsi="Arial"/>
          <w:i/>
          <w:sz w:val="22"/>
        </w:rPr>
        <w:t>interior</w:t>
      </w:r>
      <w:r>
        <w:rPr>
          <w:rFonts w:ascii="Arial" w:hAnsi="Arial"/>
          <w:i/>
          <w:spacing w:val="-10"/>
          <w:sz w:val="22"/>
        </w:rPr>
        <w:t> </w:t>
      </w:r>
      <w:r>
        <w:rPr>
          <w:rFonts w:ascii="Arial" w:hAnsi="Arial"/>
          <w:i/>
          <w:sz w:val="22"/>
        </w:rPr>
        <w:t>de</w:t>
      </w:r>
      <w:r>
        <w:rPr>
          <w:rFonts w:ascii="Arial" w:hAnsi="Arial"/>
          <w:i/>
          <w:spacing w:val="-10"/>
          <w:sz w:val="22"/>
        </w:rPr>
        <w:t> </w:t>
      </w:r>
      <w:r>
        <w:rPr>
          <w:rFonts w:ascii="Arial" w:hAnsi="Arial"/>
          <w:i/>
          <w:sz w:val="22"/>
        </w:rPr>
        <w:t>dicho</w:t>
      </w:r>
      <w:r>
        <w:rPr>
          <w:rFonts w:ascii="Arial" w:hAnsi="Arial"/>
          <w:i/>
          <w:spacing w:val="-10"/>
          <w:sz w:val="22"/>
        </w:rPr>
        <w:t> </w:t>
      </w:r>
      <w:r>
        <w:rPr>
          <w:rFonts w:ascii="Arial" w:hAnsi="Arial"/>
          <w:i/>
          <w:sz w:val="22"/>
        </w:rPr>
        <w:t>mercado</w:t>
      </w:r>
      <w:r>
        <w:rPr>
          <w:rFonts w:ascii="Arial" w:hAnsi="Arial"/>
          <w:i/>
          <w:spacing w:val="-10"/>
          <w:sz w:val="22"/>
        </w:rPr>
        <w:t> </w:t>
      </w:r>
      <w:r>
        <w:rPr>
          <w:rFonts w:ascii="Arial" w:hAnsi="Arial"/>
          <w:i/>
          <w:sz w:val="22"/>
        </w:rPr>
        <w:t>tiene</w:t>
      </w:r>
      <w:r>
        <w:rPr>
          <w:rFonts w:ascii="Arial" w:hAnsi="Arial"/>
          <w:i/>
          <w:spacing w:val="-10"/>
          <w:sz w:val="22"/>
        </w:rPr>
        <w:t> </w:t>
      </w:r>
      <w:r>
        <w:rPr>
          <w:rFonts w:ascii="Arial" w:hAnsi="Arial"/>
          <w:i/>
          <w:sz w:val="22"/>
        </w:rPr>
        <w:t>la</w:t>
      </w:r>
      <w:r>
        <w:rPr>
          <w:rFonts w:ascii="Arial" w:hAnsi="Arial"/>
          <w:i/>
          <w:spacing w:val="-8"/>
          <w:sz w:val="22"/>
        </w:rPr>
        <w:t> </w:t>
      </w:r>
      <w:r>
        <w:rPr>
          <w:rFonts w:ascii="Arial" w:hAnsi="Arial"/>
          <w:i/>
          <w:sz w:val="22"/>
        </w:rPr>
        <w:t>oportunidad de elegir entre una mayor variedad de bienes provenientes de los diferentes rincones de Bolivia, Colombia, Ecuador y Perú, lo que a vez incrementa la competencia y el bienestar de los mencionados consumidores, quienes pueden tener a su alcance productos a menores precios y de mejor calidad.</w:t>
      </w:r>
    </w:p>
    <w:p>
      <w:pPr>
        <w:pStyle w:val="BodyText"/>
        <w:rPr>
          <w:rFonts w:ascii="Arial"/>
          <w:i/>
        </w:rPr>
      </w:pPr>
    </w:p>
    <w:p>
      <w:pPr>
        <w:spacing w:before="0"/>
        <w:ind w:left="2128" w:right="981" w:firstLine="0"/>
        <w:jc w:val="both"/>
        <w:rPr>
          <w:rFonts w:ascii="Arial" w:hAnsi="Arial"/>
          <w:i/>
          <w:sz w:val="22"/>
        </w:rPr>
      </w:pPr>
      <w:r>
        <w:rPr>
          <w:rFonts w:ascii="Arial" w:hAnsi="Arial"/>
          <w:i/>
          <w:sz w:val="22"/>
        </w:rPr>
        <w:t>3.3.5 El aprovechamiento de un área de libre comercio requiere optimizar la integración física, especialmente a través de la facilitación del transporte de mercancías entre los Países Miembros. (…)</w:t>
      </w:r>
    </w:p>
    <w:p>
      <w:pPr>
        <w:spacing w:before="252"/>
        <w:ind w:left="2128" w:right="981" w:firstLine="0"/>
        <w:jc w:val="both"/>
        <w:rPr>
          <w:rFonts w:ascii="Arial" w:hAnsi="Arial"/>
          <w:i/>
          <w:sz w:val="22"/>
        </w:rPr>
      </w:pPr>
      <w:r>
        <w:rPr>
          <w:rFonts w:ascii="Arial" w:hAnsi="Arial"/>
          <w:i/>
          <w:sz w:val="22"/>
        </w:rPr>
        <w:t>3.3.10 Si bien son muchas las formas en las cuales los ciudadanos andinos pueden</w:t>
      </w:r>
      <w:r>
        <w:rPr>
          <w:rFonts w:ascii="Arial" w:hAnsi="Arial"/>
          <w:i/>
          <w:spacing w:val="-16"/>
          <w:sz w:val="22"/>
        </w:rPr>
        <w:t> </w:t>
      </w:r>
      <w:r>
        <w:rPr>
          <w:rFonts w:ascii="Arial" w:hAnsi="Arial"/>
          <w:i/>
          <w:sz w:val="22"/>
        </w:rPr>
        <w:t>ser</w:t>
      </w:r>
      <w:r>
        <w:rPr>
          <w:rFonts w:ascii="Arial" w:hAnsi="Arial"/>
          <w:i/>
          <w:spacing w:val="-15"/>
          <w:sz w:val="22"/>
        </w:rPr>
        <w:t> </w:t>
      </w:r>
      <w:r>
        <w:rPr>
          <w:rFonts w:ascii="Arial" w:hAnsi="Arial"/>
          <w:i/>
          <w:sz w:val="22"/>
        </w:rPr>
        <w:t>partícipes</w:t>
      </w:r>
      <w:r>
        <w:rPr>
          <w:rFonts w:ascii="Arial" w:hAnsi="Arial"/>
          <w:i/>
          <w:spacing w:val="-15"/>
          <w:sz w:val="22"/>
        </w:rPr>
        <w:t> </w:t>
      </w:r>
      <w:r>
        <w:rPr>
          <w:rFonts w:ascii="Arial" w:hAnsi="Arial"/>
          <w:i/>
          <w:sz w:val="22"/>
        </w:rPr>
        <w:t>directos</w:t>
      </w:r>
      <w:r>
        <w:rPr>
          <w:rFonts w:ascii="Arial" w:hAnsi="Arial"/>
          <w:i/>
          <w:spacing w:val="-16"/>
          <w:sz w:val="22"/>
        </w:rPr>
        <w:t> </w:t>
      </w:r>
      <w:r>
        <w:rPr>
          <w:rFonts w:ascii="Arial" w:hAnsi="Arial"/>
          <w:i/>
          <w:sz w:val="22"/>
        </w:rPr>
        <w:t>del</w:t>
      </w:r>
      <w:r>
        <w:rPr>
          <w:rFonts w:ascii="Arial" w:hAnsi="Arial"/>
          <w:i/>
          <w:spacing w:val="-15"/>
          <w:sz w:val="22"/>
        </w:rPr>
        <w:t> </w:t>
      </w:r>
      <w:r>
        <w:rPr>
          <w:rFonts w:ascii="Arial" w:hAnsi="Arial"/>
          <w:i/>
          <w:sz w:val="22"/>
        </w:rPr>
        <w:t>proceso</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integración</w:t>
      </w:r>
      <w:r>
        <w:rPr>
          <w:rFonts w:ascii="Arial" w:hAnsi="Arial"/>
          <w:i/>
          <w:spacing w:val="-16"/>
          <w:sz w:val="22"/>
        </w:rPr>
        <w:t> </w:t>
      </w:r>
      <w:r>
        <w:rPr>
          <w:rFonts w:ascii="Arial" w:hAnsi="Arial"/>
          <w:i/>
          <w:sz w:val="22"/>
        </w:rPr>
        <w:t>y</w:t>
      </w:r>
      <w:r>
        <w:rPr>
          <w:rFonts w:ascii="Arial" w:hAnsi="Arial"/>
          <w:i/>
          <w:spacing w:val="-15"/>
          <w:sz w:val="22"/>
        </w:rPr>
        <w:t> </w:t>
      </w:r>
      <w:r>
        <w:rPr>
          <w:rFonts w:ascii="Arial" w:hAnsi="Arial"/>
          <w:i/>
          <w:sz w:val="22"/>
        </w:rPr>
        <w:t>percibir</w:t>
      </w:r>
      <w:r>
        <w:rPr>
          <w:rFonts w:ascii="Arial" w:hAnsi="Arial"/>
          <w:i/>
          <w:spacing w:val="-15"/>
          <w:sz w:val="22"/>
        </w:rPr>
        <w:t> </w:t>
      </w:r>
      <w:r>
        <w:rPr>
          <w:rFonts w:ascii="Arial" w:hAnsi="Arial"/>
          <w:i/>
          <w:sz w:val="22"/>
        </w:rPr>
        <w:t>de</w:t>
      </w:r>
      <w:r>
        <w:rPr>
          <w:rFonts w:ascii="Arial" w:hAnsi="Arial"/>
          <w:i/>
          <w:spacing w:val="-16"/>
          <w:sz w:val="22"/>
        </w:rPr>
        <w:t> </w:t>
      </w:r>
      <w:r>
        <w:rPr>
          <w:rFonts w:ascii="Arial" w:hAnsi="Arial"/>
          <w:i/>
          <w:sz w:val="22"/>
        </w:rPr>
        <w:t>manera inmediata sus beneficios, no cabe duda de que la posibilidad de circular libremente en el territorio comunitario es una de las más emblemáticas y constituye uno de los principales logros del proceso integrador.”</w:t>
      </w:r>
    </w:p>
    <w:p>
      <w:pPr>
        <w:spacing w:after="0"/>
        <w:jc w:val="both"/>
        <w:rPr>
          <w:rFonts w:ascii="Arial" w:hAnsi="Arial"/>
          <w:i/>
          <w:sz w:val="22"/>
        </w:rPr>
        <w:sectPr>
          <w:pgSz w:w="11900" w:h="16850"/>
          <w:pgMar w:header="370" w:footer="651" w:top="1380" w:bottom="840" w:left="992" w:right="283"/>
        </w:sectPr>
      </w:pPr>
    </w:p>
    <w:p>
      <w:pPr>
        <w:pStyle w:val="BodyText"/>
        <w:spacing w:before="176"/>
        <w:rPr>
          <w:rFonts w:ascii="Arial"/>
          <w:i/>
        </w:rPr>
      </w:pPr>
    </w:p>
    <w:p>
      <w:pPr>
        <w:pStyle w:val="ListParagraph"/>
        <w:numPr>
          <w:ilvl w:val="0"/>
          <w:numId w:val="2"/>
        </w:numPr>
        <w:tabs>
          <w:tab w:pos="1420" w:val="left" w:leader="none"/>
        </w:tabs>
        <w:spacing w:line="240" w:lineRule="auto" w:before="0" w:after="0"/>
        <w:ind w:left="1420" w:right="980" w:hanging="852"/>
        <w:jc w:val="both"/>
        <w:rPr>
          <w:sz w:val="22"/>
        </w:rPr>
      </w:pPr>
      <w:r>
        <w:rPr>
          <w:sz w:val="22"/>
        </w:rPr>
        <w:t>Asimismo, en su sentencia del Proceso 01-AN-2014</w:t>
      </w:r>
      <w:hyperlink w:history="true" w:anchor="_bookmark23">
        <w:r>
          <w:rPr>
            <w:sz w:val="22"/>
            <w:vertAlign w:val="superscript"/>
          </w:rPr>
          <w:t>24</w:t>
        </w:r>
      </w:hyperlink>
      <w:r>
        <w:rPr>
          <w:sz w:val="22"/>
          <w:vertAlign w:val="baseline"/>
        </w:rPr>
        <w:t>, ese Honorable Tribunal </w:t>
      </w:r>
      <w:r>
        <w:rPr>
          <w:spacing w:val="-2"/>
          <w:sz w:val="22"/>
          <w:vertAlign w:val="baseline"/>
        </w:rPr>
        <w:t>añadió:</w:t>
      </w:r>
    </w:p>
    <w:p>
      <w:pPr>
        <w:pStyle w:val="BodyText"/>
      </w:pPr>
    </w:p>
    <w:p>
      <w:pPr>
        <w:spacing w:before="0"/>
        <w:ind w:left="2128" w:right="980" w:firstLine="0"/>
        <w:jc w:val="both"/>
        <w:rPr>
          <w:sz w:val="22"/>
        </w:rPr>
      </w:pPr>
      <w:r>
        <w:rPr>
          <w:sz w:val="22"/>
        </w:rPr>
        <w:t>“</w:t>
      </w:r>
      <w:r>
        <w:rPr>
          <w:rFonts w:ascii="Arial" w:hAnsi="Arial"/>
          <w:i/>
          <w:sz w:val="22"/>
        </w:rPr>
        <w:t>3.2.5. Conforme al Artículo 72 del Acuerdo de Cartagena, el Programa de Liberación tiene por objeto eliminar los gravámenes y restricciones de todo orden que incidan sobre la importación de productos originarios del territorio de</w:t>
      </w:r>
      <w:r>
        <w:rPr>
          <w:rFonts w:ascii="Arial" w:hAnsi="Arial"/>
          <w:i/>
          <w:spacing w:val="-3"/>
          <w:sz w:val="22"/>
        </w:rPr>
        <w:t> </w:t>
      </w:r>
      <w:r>
        <w:rPr>
          <w:rFonts w:ascii="Arial" w:hAnsi="Arial"/>
          <w:i/>
          <w:sz w:val="22"/>
        </w:rPr>
        <w:t>cualquier</w:t>
      </w:r>
      <w:r>
        <w:rPr>
          <w:rFonts w:ascii="Arial" w:hAnsi="Arial"/>
          <w:i/>
          <w:spacing w:val="-2"/>
          <w:sz w:val="22"/>
        </w:rPr>
        <w:t> </w:t>
      </w:r>
      <w:r>
        <w:rPr>
          <w:rFonts w:ascii="Arial" w:hAnsi="Arial"/>
          <w:i/>
          <w:sz w:val="22"/>
        </w:rPr>
        <w:t>país</w:t>
      </w:r>
      <w:r>
        <w:rPr>
          <w:rFonts w:ascii="Arial" w:hAnsi="Arial"/>
          <w:i/>
          <w:spacing w:val="-5"/>
          <w:sz w:val="22"/>
        </w:rPr>
        <w:t> </w:t>
      </w:r>
      <w:r>
        <w:rPr>
          <w:rFonts w:ascii="Arial" w:hAnsi="Arial"/>
          <w:i/>
          <w:sz w:val="22"/>
        </w:rPr>
        <w:t>miembro.</w:t>
      </w:r>
      <w:r>
        <w:rPr>
          <w:rFonts w:ascii="Arial" w:hAnsi="Arial"/>
          <w:i/>
          <w:spacing w:val="-2"/>
          <w:sz w:val="22"/>
        </w:rPr>
        <w:t> </w:t>
      </w:r>
      <w:r>
        <w:rPr>
          <w:rFonts w:ascii="Arial" w:hAnsi="Arial"/>
          <w:i/>
          <w:sz w:val="22"/>
        </w:rPr>
        <w:t>En</w:t>
      </w:r>
      <w:r>
        <w:rPr>
          <w:rFonts w:ascii="Arial" w:hAnsi="Arial"/>
          <w:i/>
          <w:spacing w:val="-5"/>
          <w:sz w:val="22"/>
        </w:rPr>
        <w:t> </w:t>
      </w:r>
      <w:r>
        <w:rPr>
          <w:rFonts w:ascii="Arial" w:hAnsi="Arial"/>
          <w:i/>
          <w:sz w:val="22"/>
        </w:rPr>
        <w:t>ese</w:t>
      </w:r>
      <w:r>
        <w:rPr>
          <w:rFonts w:ascii="Arial" w:hAnsi="Arial"/>
          <w:i/>
          <w:spacing w:val="-1"/>
          <w:sz w:val="22"/>
        </w:rPr>
        <w:t> </w:t>
      </w:r>
      <w:r>
        <w:rPr>
          <w:rFonts w:ascii="Arial" w:hAnsi="Arial"/>
          <w:i/>
          <w:sz w:val="22"/>
        </w:rPr>
        <w:t>sentido,</w:t>
      </w:r>
      <w:r>
        <w:rPr>
          <w:rFonts w:ascii="Arial" w:hAnsi="Arial"/>
          <w:i/>
          <w:spacing w:val="-4"/>
          <w:sz w:val="22"/>
        </w:rPr>
        <w:t> </w:t>
      </w:r>
      <w:r>
        <w:rPr>
          <w:rFonts w:ascii="Arial" w:hAnsi="Arial"/>
          <w:i/>
          <w:sz w:val="22"/>
        </w:rPr>
        <w:t>el</w:t>
      </w:r>
      <w:r>
        <w:rPr>
          <w:rFonts w:ascii="Arial" w:hAnsi="Arial"/>
          <w:i/>
          <w:spacing w:val="-4"/>
          <w:sz w:val="22"/>
        </w:rPr>
        <w:t> </w:t>
      </w:r>
      <w:r>
        <w:rPr>
          <w:rFonts w:ascii="Arial" w:hAnsi="Arial"/>
          <w:i/>
          <w:sz w:val="22"/>
        </w:rPr>
        <w:t>Artículo</w:t>
      </w:r>
      <w:r>
        <w:rPr>
          <w:rFonts w:ascii="Arial" w:hAnsi="Arial"/>
          <w:i/>
          <w:spacing w:val="-3"/>
          <w:sz w:val="22"/>
        </w:rPr>
        <w:t> </w:t>
      </w:r>
      <w:r>
        <w:rPr>
          <w:rFonts w:ascii="Arial" w:hAnsi="Arial"/>
          <w:i/>
          <w:sz w:val="22"/>
        </w:rPr>
        <w:t>73</w:t>
      </w:r>
      <w:r>
        <w:rPr>
          <w:rFonts w:ascii="Arial" w:hAnsi="Arial"/>
          <w:i/>
          <w:spacing w:val="-3"/>
          <w:sz w:val="22"/>
        </w:rPr>
        <w:t> </w:t>
      </w:r>
      <w:r>
        <w:rPr>
          <w:rFonts w:ascii="Arial" w:hAnsi="Arial"/>
          <w:i/>
          <w:sz w:val="22"/>
        </w:rPr>
        <w:t>de</w:t>
      </w:r>
      <w:r>
        <w:rPr>
          <w:rFonts w:ascii="Arial" w:hAnsi="Arial"/>
          <w:i/>
          <w:spacing w:val="-5"/>
          <w:sz w:val="22"/>
        </w:rPr>
        <w:t> </w:t>
      </w:r>
      <w:r>
        <w:rPr>
          <w:rFonts w:ascii="Arial" w:hAnsi="Arial"/>
          <w:i/>
          <w:sz w:val="22"/>
        </w:rPr>
        <w:t>la</w:t>
      </w:r>
      <w:r>
        <w:rPr>
          <w:rFonts w:ascii="Arial" w:hAnsi="Arial"/>
          <w:i/>
          <w:spacing w:val="-3"/>
          <w:sz w:val="22"/>
        </w:rPr>
        <w:t> </w:t>
      </w:r>
      <w:r>
        <w:rPr>
          <w:rFonts w:ascii="Arial" w:hAnsi="Arial"/>
          <w:i/>
          <w:sz w:val="22"/>
        </w:rPr>
        <w:t>misma</w:t>
      </w:r>
      <w:r>
        <w:rPr>
          <w:rFonts w:ascii="Arial" w:hAnsi="Arial"/>
          <w:i/>
          <w:spacing w:val="-3"/>
          <w:sz w:val="22"/>
        </w:rPr>
        <w:t> </w:t>
      </w:r>
      <w:r>
        <w:rPr>
          <w:rFonts w:ascii="Arial" w:hAnsi="Arial"/>
          <w:i/>
          <w:sz w:val="22"/>
        </w:rPr>
        <w:t>norma le otorga carácter automático e irrevocable, precisando que comprende la universalidad de los productos, salvo las disposiciones de excepción que se establezca, a fin de llegar a su liberación total en los plazos y modalidades estipuladas.” </w:t>
      </w:r>
      <w:r>
        <w:rPr>
          <w:sz w:val="22"/>
        </w:rPr>
        <w:t>(Énfasis fuera del texto)</w:t>
      </w:r>
    </w:p>
    <w:p>
      <w:pPr>
        <w:pStyle w:val="BodyText"/>
        <w:spacing w:before="1"/>
      </w:pPr>
    </w:p>
    <w:p>
      <w:pPr>
        <w:pStyle w:val="ListParagraph"/>
        <w:numPr>
          <w:ilvl w:val="0"/>
          <w:numId w:val="2"/>
        </w:numPr>
        <w:tabs>
          <w:tab w:pos="1420" w:val="left" w:leader="none"/>
        </w:tabs>
        <w:spacing w:line="240" w:lineRule="auto" w:before="0" w:after="0"/>
        <w:ind w:left="1420" w:right="981" w:hanging="852"/>
        <w:jc w:val="both"/>
        <w:rPr>
          <w:sz w:val="22"/>
        </w:rPr>
      </w:pPr>
      <w:r>
        <w:rPr>
          <w:sz w:val="22"/>
        </w:rPr>
        <w:t>En este marco, el análisis de la SGCAN tendrá presente a lo largo del análisis de este</w:t>
      </w:r>
      <w:r>
        <w:rPr>
          <w:spacing w:val="-2"/>
          <w:sz w:val="22"/>
        </w:rPr>
        <w:t> </w:t>
      </w:r>
      <w:r>
        <w:rPr>
          <w:sz w:val="22"/>
        </w:rPr>
        <w:t>caso,</w:t>
      </w:r>
      <w:r>
        <w:rPr>
          <w:spacing w:val="-1"/>
          <w:sz w:val="22"/>
        </w:rPr>
        <w:t> </w:t>
      </w:r>
      <w:r>
        <w:rPr>
          <w:sz w:val="22"/>
        </w:rPr>
        <w:t>fundamentalmente</w:t>
      </w:r>
      <w:r>
        <w:rPr>
          <w:spacing w:val="-3"/>
          <w:sz w:val="22"/>
        </w:rPr>
        <w:t> </w:t>
      </w:r>
      <w:r>
        <w:rPr>
          <w:sz w:val="22"/>
        </w:rPr>
        <w:t>lo</w:t>
      </w:r>
      <w:r>
        <w:rPr>
          <w:spacing w:val="-3"/>
          <w:sz w:val="22"/>
        </w:rPr>
        <w:t> </w:t>
      </w:r>
      <w:r>
        <w:rPr>
          <w:sz w:val="22"/>
        </w:rPr>
        <w:t>señalado</w:t>
      </w:r>
      <w:r>
        <w:rPr>
          <w:spacing w:val="-3"/>
          <w:sz w:val="22"/>
        </w:rPr>
        <w:t> </w:t>
      </w:r>
      <w:r>
        <w:rPr>
          <w:sz w:val="22"/>
        </w:rPr>
        <w:t>en</w:t>
      </w:r>
      <w:r>
        <w:rPr>
          <w:spacing w:val="-3"/>
          <w:sz w:val="22"/>
        </w:rPr>
        <w:t> </w:t>
      </w:r>
      <w:r>
        <w:rPr>
          <w:sz w:val="22"/>
        </w:rPr>
        <w:t>la</w:t>
      </w:r>
      <w:r>
        <w:rPr>
          <w:spacing w:val="-3"/>
          <w:sz w:val="22"/>
        </w:rPr>
        <w:t> </w:t>
      </w:r>
      <w:r>
        <w:rPr>
          <w:sz w:val="22"/>
        </w:rPr>
        <w:t>norma</w:t>
      </w:r>
      <w:r>
        <w:rPr>
          <w:spacing w:val="-4"/>
          <w:sz w:val="22"/>
        </w:rPr>
        <w:t> </w:t>
      </w:r>
      <w:r>
        <w:rPr>
          <w:sz w:val="22"/>
        </w:rPr>
        <w:t>fundacional</w:t>
      </w:r>
      <w:r>
        <w:rPr>
          <w:spacing w:val="-2"/>
          <w:sz w:val="22"/>
        </w:rPr>
        <w:t> </w:t>
      </w:r>
      <w:r>
        <w:rPr>
          <w:sz w:val="22"/>
        </w:rPr>
        <w:t>de</w:t>
      </w:r>
      <w:r>
        <w:rPr>
          <w:spacing w:val="-3"/>
          <w:sz w:val="22"/>
        </w:rPr>
        <w:t> </w:t>
      </w:r>
      <w:r>
        <w:rPr>
          <w:sz w:val="22"/>
        </w:rPr>
        <w:t>la</w:t>
      </w:r>
      <w:r>
        <w:rPr>
          <w:spacing w:val="-4"/>
          <w:sz w:val="22"/>
        </w:rPr>
        <w:t> </w:t>
      </w:r>
      <w:r>
        <w:rPr>
          <w:sz w:val="22"/>
        </w:rPr>
        <w:t>Comunidad Andina, el Programa de Liberación en ella consagrada, así como lo señalado por el TJCAN a este respecto.</w:t>
      </w:r>
    </w:p>
    <w:p>
      <w:pPr>
        <w:pStyle w:val="BodyText"/>
      </w:pPr>
    </w:p>
    <w:p>
      <w:pPr>
        <w:pStyle w:val="ListParagraph"/>
        <w:numPr>
          <w:ilvl w:val="0"/>
          <w:numId w:val="2"/>
        </w:numPr>
        <w:tabs>
          <w:tab w:pos="1420" w:val="left" w:leader="none"/>
        </w:tabs>
        <w:spacing w:line="240" w:lineRule="auto" w:before="0" w:after="0"/>
        <w:ind w:left="1420" w:right="974" w:hanging="852"/>
        <w:jc w:val="both"/>
        <w:rPr>
          <w:sz w:val="22"/>
        </w:rPr>
      </w:pPr>
      <w:r>
        <w:rPr>
          <w:sz w:val="22"/>
        </w:rPr>
        <w:t>De</w:t>
      </w:r>
      <w:r>
        <w:rPr>
          <w:spacing w:val="-6"/>
          <w:sz w:val="22"/>
        </w:rPr>
        <w:t> </w:t>
      </w:r>
      <w:r>
        <w:rPr>
          <w:sz w:val="22"/>
        </w:rPr>
        <w:t>otro</w:t>
      </w:r>
      <w:r>
        <w:rPr>
          <w:spacing w:val="-9"/>
          <w:sz w:val="22"/>
        </w:rPr>
        <w:t> </w:t>
      </w:r>
      <w:r>
        <w:rPr>
          <w:sz w:val="22"/>
        </w:rPr>
        <w:t>lado,</w:t>
      </w:r>
      <w:r>
        <w:rPr>
          <w:spacing w:val="-10"/>
          <w:sz w:val="22"/>
        </w:rPr>
        <w:t> </w:t>
      </w:r>
      <w:r>
        <w:rPr>
          <w:sz w:val="22"/>
        </w:rPr>
        <w:t>teniendo</w:t>
      </w:r>
      <w:r>
        <w:rPr>
          <w:spacing w:val="-7"/>
          <w:sz w:val="22"/>
        </w:rPr>
        <w:t> </w:t>
      </w:r>
      <w:r>
        <w:rPr>
          <w:sz w:val="22"/>
        </w:rPr>
        <w:t>presente</w:t>
      </w:r>
      <w:r>
        <w:rPr>
          <w:spacing w:val="-6"/>
          <w:sz w:val="22"/>
        </w:rPr>
        <w:t> </w:t>
      </w:r>
      <w:r>
        <w:rPr>
          <w:sz w:val="22"/>
        </w:rPr>
        <w:t>lo</w:t>
      </w:r>
      <w:r>
        <w:rPr>
          <w:spacing w:val="-9"/>
          <w:sz w:val="22"/>
        </w:rPr>
        <w:t> </w:t>
      </w:r>
      <w:r>
        <w:rPr>
          <w:sz w:val="22"/>
        </w:rPr>
        <w:t>expuesto,</w:t>
      </w:r>
      <w:r>
        <w:rPr>
          <w:spacing w:val="-8"/>
          <w:sz w:val="22"/>
        </w:rPr>
        <w:t> </w:t>
      </w:r>
      <w:r>
        <w:rPr>
          <w:sz w:val="22"/>
        </w:rPr>
        <w:t>de</w:t>
      </w:r>
      <w:r>
        <w:rPr>
          <w:spacing w:val="-6"/>
          <w:sz w:val="22"/>
        </w:rPr>
        <w:t> </w:t>
      </w:r>
      <w:r>
        <w:rPr>
          <w:sz w:val="22"/>
        </w:rPr>
        <w:t>acuerdo</w:t>
      </w:r>
      <w:r>
        <w:rPr>
          <w:spacing w:val="-9"/>
          <w:sz w:val="22"/>
        </w:rPr>
        <w:t> </w:t>
      </w:r>
      <w:r>
        <w:rPr>
          <w:sz w:val="22"/>
        </w:rPr>
        <w:t>con</w:t>
      </w:r>
      <w:r>
        <w:rPr>
          <w:spacing w:val="-7"/>
          <w:sz w:val="22"/>
        </w:rPr>
        <w:t> </w:t>
      </w:r>
      <w:r>
        <w:rPr>
          <w:sz w:val="22"/>
        </w:rPr>
        <w:t>la</w:t>
      </w:r>
      <w:r>
        <w:rPr>
          <w:spacing w:val="-6"/>
          <w:sz w:val="22"/>
        </w:rPr>
        <w:t> </w:t>
      </w:r>
      <w:r>
        <w:rPr>
          <w:sz w:val="22"/>
        </w:rPr>
        <w:t>normativa</w:t>
      </w:r>
      <w:r>
        <w:rPr>
          <w:spacing w:val="-12"/>
          <w:sz w:val="22"/>
        </w:rPr>
        <w:t> </w:t>
      </w:r>
      <w:r>
        <w:rPr>
          <w:sz w:val="22"/>
        </w:rPr>
        <w:t>andina</w:t>
      </w:r>
      <w:r>
        <w:rPr>
          <w:spacing w:val="-7"/>
          <w:sz w:val="22"/>
        </w:rPr>
        <w:t> </w:t>
      </w:r>
      <w:r>
        <w:rPr>
          <w:sz w:val="22"/>
        </w:rPr>
        <w:t>y</w:t>
      </w:r>
      <w:r>
        <w:rPr>
          <w:spacing w:val="-6"/>
          <w:sz w:val="22"/>
        </w:rPr>
        <w:t> </w:t>
      </w:r>
      <w:r>
        <w:rPr>
          <w:sz w:val="22"/>
        </w:rPr>
        <w:t>la jurisprudencia del</w:t>
      </w:r>
      <w:r>
        <w:rPr>
          <w:spacing w:val="-1"/>
          <w:sz w:val="22"/>
        </w:rPr>
        <w:t> </w:t>
      </w:r>
      <w:r>
        <w:rPr>
          <w:sz w:val="22"/>
        </w:rPr>
        <w:t>TJCAN, se identifican</w:t>
      </w:r>
      <w:r>
        <w:rPr>
          <w:spacing w:val="-1"/>
          <w:sz w:val="22"/>
        </w:rPr>
        <w:t> </w:t>
      </w:r>
      <w:r>
        <w:rPr>
          <w:sz w:val="22"/>
        </w:rPr>
        <w:t>dos</w:t>
      </w:r>
      <w:r>
        <w:rPr>
          <w:spacing w:val="-3"/>
          <w:sz w:val="22"/>
        </w:rPr>
        <w:t> </w:t>
      </w:r>
      <w:r>
        <w:rPr>
          <w:sz w:val="22"/>
        </w:rPr>
        <w:t>criterios para</w:t>
      </w:r>
      <w:r>
        <w:rPr>
          <w:spacing w:val="-3"/>
          <w:sz w:val="22"/>
        </w:rPr>
        <w:t> </w:t>
      </w:r>
      <w:r>
        <w:rPr>
          <w:sz w:val="22"/>
        </w:rPr>
        <w:t>determinar si</w:t>
      </w:r>
      <w:r>
        <w:rPr>
          <w:spacing w:val="-3"/>
          <w:sz w:val="22"/>
        </w:rPr>
        <w:t> </w:t>
      </w:r>
      <w:r>
        <w:rPr>
          <w:sz w:val="22"/>
        </w:rPr>
        <w:t>una medida puede ser calificada como restricción al comercio intracomunitario y por ende contraria al Programa de Liberación.</w:t>
      </w:r>
    </w:p>
    <w:p>
      <w:pPr>
        <w:pStyle w:val="BodyText"/>
      </w:pPr>
    </w:p>
    <w:p>
      <w:pPr>
        <w:pStyle w:val="ListParagraph"/>
        <w:numPr>
          <w:ilvl w:val="0"/>
          <w:numId w:val="2"/>
        </w:numPr>
        <w:tabs>
          <w:tab w:pos="1420" w:val="left" w:leader="none"/>
        </w:tabs>
        <w:spacing w:line="240" w:lineRule="auto" w:before="0" w:after="0"/>
        <w:ind w:left="1420" w:right="976" w:hanging="852"/>
        <w:jc w:val="both"/>
        <w:rPr>
          <w:sz w:val="22"/>
        </w:rPr>
      </w:pPr>
      <w:r>
        <w:rPr>
          <w:sz w:val="22"/>
        </w:rPr>
        <w:t>En</w:t>
      </w:r>
      <w:r>
        <w:rPr>
          <w:spacing w:val="-16"/>
          <w:sz w:val="22"/>
        </w:rPr>
        <w:t> </w:t>
      </w:r>
      <w:r>
        <w:rPr>
          <w:sz w:val="22"/>
        </w:rPr>
        <w:t>primer</w:t>
      </w:r>
      <w:r>
        <w:rPr>
          <w:spacing w:val="-15"/>
          <w:sz w:val="22"/>
        </w:rPr>
        <w:t> </w:t>
      </w:r>
      <w:r>
        <w:rPr>
          <w:sz w:val="22"/>
        </w:rPr>
        <w:t>lugar,</w:t>
      </w:r>
      <w:r>
        <w:rPr>
          <w:spacing w:val="-15"/>
          <w:sz w:val="22"/>
        </w:rPr>
        <w:t> </w:t>
      </w:r>
      <w:r>
        <w:rPr>
          <w:sz w:val="22"/>
        </w:rPr>
        <w:t>corresponde</w:t>
      </w:r>
      <w:r>
        <w:rPr>
          <w:spacing w:val="-16"/>
          <w:sz w:val="22"/>
        </w:rPr>
        <w:t> </w:t>
      </w:r>
      <w:r>
        <w:rPr>
          <w:sz w:val="22"/>
        </w:rPr>
        <w:t>analizar</w:t>
      </w:r>
      <w:r>
        <w:rPr>
          <w:spacing w:val="-15"/>
          <w:sz w:val="22"/>
        </w:rPr>
        <w:t> </w:t>
      </w:r>
      <w:r>
        <w:rPr>
          <w:sz w:val="22"/>
        </w:rPr>
        <w:t>si</w:t>
      </w:r>
      <w:r>
        <w:rPr>
          <w:spacing w:val="-15"/>
          <w:sz w:val="22"/>
        </w:rPr>
        <w:t> </w:t>
      </w:r>
      <w:r>
        <w:rPr>
          <w:sz w:val="22"/>
        </w:rPr>
        <w:t>los</w:t>
      </w:r>
      <w:r>
        <w:rPr>
          <w:spacing w:val="-15"/>
          <w:sz w:val="22"/>
        </w:rPr>
        <w:t> </w:t>
      </w:r>
      <w:r>
        <w:rPr>
          <w:sz w:val="22"/>
        </w:rPr>
        <w:t>efectos</w:t>
      </w:r>
      <w:r>
        <w:rPr>
          <w:spacing w:val="-16"/>
          <w:sz w:val="22"/>
        </w:rPr>
        <w:t> </w:t>
      </w:r>
      <w:r>
        <w:rPr>
          <w:sz w:val="22"/>
        </w:rPr>
        <w:t>de</w:t>
      </w:r>
      <w:r>
        <w:rPr>
          <w:spacing w:val="-15"/>
          <w:sz w:val="22"/>
        </w:rPr>
        <w:t> </w:t>
      </w:r>
      <w:r>
        <w:rPr>
          <w:sz w:val="22"/>
        </w:rPr>
        <w:t>la</w:t>
      </w:r>
      <w:r>
        <w:rPr>
          <w:spacing w:val="-15"/>
          <w:sz w:val="22"/>
        </w:rPr>
        <w:t> </w:t>
      </w:r>
      <w:r>
        <w:rPr>
          <w:sz w:val="22"/>
        </w:rPr>
        <w:t>medida</w:t>
      </w:r>
      <w:r>
        <w:rPr>
          <w:spacing w:val="-16"/>
          <w:sz w:val="22"/>
        </w:rPr>
        <w:t> </w:t>
      </w:r>
      <w:r>
        <w:rPr>
          <w:sz w:val="22"/>
        </w:rPr>
        <w:t>en</w:t>
      </w:r>
      <w:r>
        <w:rPr>
          <w:spacing w:val="-15"/>
          <w:sz w:val="22"/>
        </w:rPr>
        <w:t> </w:t>
      </w:r>
      <w:r>
        <w:rPr>
          <w:sz w:val="22"/>
        </w:rPr>
        <w:t>cuestión</w:t>
      </w:r>
      <w:r>
        <w:rPr>
          <w:spacing w:val="-15"/>
          <w:sz w:val="22"/>
        </w:rPr>
        <w:t> </w:t>
      </w:r>
      <w:r>
        <w:rPr>
          <w:sz w:val="22"/>
        </w:rPr>
        <w:t>impiden, suspenden o prohíben el acceso de las importaciones procedentes u originarias de un País Miembro. En segundo lugar, debe evaluarse si la medida, aun cuando no prohíba dichas importaciones, las dificulta, encarece o hace más onerosa la operación de importación de productos de procedencia u origen andina.</w:t>
      </w:r>
    </w:p>
    <w:p>
      <w:pPr>
        <w:pStyle w:val="BodyText"/>
        <w:spacing w:before="1"/>
      </w:pPr>
    </w:p>
    <w:p>
      <w:pPr>
        <w:pStyle w:val="ListParagraph"/>
        <w:numPr>
          <w:ilvl w:val="0"/>
          <w:numId w:val="2"/>
        </w:numPr>
        <w:tabs>
          <w:tab w:pos="1420" w:val="left" w:leader="none"/>
        </w:tabs>
        <w:spacing w:line="240" w:lineRule="auto" w:before="1" w:after="0"/>
        <w:ind w:left="1420" w:right="978" w:hanging="852"/>
        <w:jc w:val="both"/>
        <w:rPr>
          <w:sz w:val="22"/>
        </w:rPr>
      </w:pPr>
      <w:r>
        <w:rPr>
          <w:sz w:val="22"/>
        </w:rPr>
        <w:t>Este entendimiento ha sido desarrollado por el TJCAN, en el Proceso 118-AI-2003, en los siguientes términos:</w:t>
      </w:r>
    </w:p>
    <w:p>
      <w:pPr>
        <w:spacing w:before="252"/>
        <w:ind w:left="2128" w:right="838" w:firstLine="0"/>
        <w:jc w:val="both"/>
        <w:rPr>
          <w:sz w:val="22"/>
        </w:rPr>
      </w:pPr>
      <w:r>
        <w:rPr>
          <w:sz w:val="22"/>
        </w:rPr>
        <w:t>“</w:t>
      </w:r>
      <w:r>
        <w:rPr>
          <w:rFonts w:ascii="Arial" w:hAnsi="Arial"/>
          <w:i/>
          <w:sz w:val="22"/>
        </w:rPr>
        <w:t>Por medida restrictiva se entiende cualquier acto imputable a una autoridad pública que limite las importaciones. </w:t>
      </w:r>
      <w:r>
        <w:rPr>
          <w:rFonts w:ascii="Arial" w:hAnsi="Arial"/>
          <w:i/>
          <w:sz w:val="22"/>
          <w:u w:val="single"/>
        </w:rPr>
        <w:t>Dicho efecto puede consistir en prohibir</w:t>
      </w:r>
      <w:r>
        <w:rPr>
          <w:rFonts w:ascii="Arial" w:hAnsi="Arial"/>
          <w:i/>
          <w:sz w:val="22"/>
        </w:rPr>
        <w:t> </w:t>
      </w:r>
      <w:r>
        <w:rPr>
          <w:rFonts w:ascii="Arial" w:hAnsi="Arial"/>
          <w:i/>
          <w:sz w:val="22"/>
          <w:u w:val="single"/>
        </w:rPr>
        <w:t>las importaciones o en hacerlas más onerosas que los bienes de producción</w:t>
      </w:r>
      <w:r>
        <w:rPr>
          <w:rFonts w:ascii="Arial" w:hAnsi="Arial"/>
          <w:i/>
          <w:sz w:val="22"/>
        </w:rPr>
        <w:t> </w:t>
      </w:r>
      <w:r>
        <w:rPr>
          <w:rFonts w:ascii="Arial" w:hAnsi="Arial"/>
          <w:i/>
          <w:sz w:val="22"/>
          <w:u w:val="single"/>
        </w:rPr>
        <w:t>nacional</w:t>
      </w:r>
      <w:r>
        <w:rPr>
          <w:rFonts w:ascii="Arial" w:hAnsi="Arial"/>
          <w:i/>
          <w:sz w:val="22"/>
        </w:rPr>
        <w:t>. Las medidas administrativas pueden incluir desde la imposición de precios fijos mínimos o máximos menos favorables para los productos importados, hasta limitaciones directas a las importaciones (…)”</w:t>
      </w:r>
      <w:hyperlink w:history="true" w:anchor="_bookmark24">
        <w:r>
          <w:rPr>
            <w:sz w:val="22"/>
            <w:vertAlign w:val="superscript"/>
          </w:rPr>
          <w:t>25</w:t>
        </w:r>
      </w:hyperlink>
      <w:r>
        <w:rPr>
          <w:sz w:val="22"/>
          <w:vertAlign w:val="baseline"/>
        </w:rPr>
        <w:t> (Subrayado fuera del texto.)</w:t>
      </w:r>
    </w:p>
    <w:p>
      <w:pPr>
        <w:pStyle w:val="BodyText"/>
      </w:pPr>
    </w:p>
    <w:p>
      <w:pPr>
        <w:pStyle w:val="ListParagraph"/>
        <w:numPr>
          <w:ilvl w:val="0"/>
          <w:numId w:val="2"/>
        </w:numPr>
        <w:tabs>
          <w:tab w:pos="1420" w:val="left" w:leader="none"/>
          <w:tab w:pos="2128" w:val="left" w:leader="none"/>
        </w:tabs>
        <w:spacing w:line="240" w:lineRule="auto" w:before="0" w:after="0"/>
        <w:ind w:left="1420" w:right="0" w:hanging="852"/>
        <w:jc w:val="left"/>
        <w:rPr>
          <w:sz w:val="22"/>
        </w:rPr>
      </w:pPr>
      <w:r>
        <w:rPr>
          <w:sz w:val="22"/>
        </w:rPr>
        <w:t>En</w:t>
      </w:r>
      <w:r>
        <w:rPr>
          <w:spacing w:val="-7"/>
          <w:sz w:val="22"/>
        </w:rPr>
        <w:t> </w:t>
      </w:r>
      <w:r>
        <w:rPr>
          <w:sz w:val="22"/>
        </w:rPr>
        <w:t>esa</w:t>
      </w:r>
      <w:r>
        <w:rPr>
          <w:spacing w:val="-9"/>
          <w:sz w:val="22"/>
        </w:rPr>
        <w:t> </w:t>
      </w:r>
      <w:r>
        <w:rPr>
          <w:sz w:val="22"/>
        </w:rPr>
        <w:t>línea,</w:t>
      </w:r>
      <w:r>
        <w:rPr>
          <w:spacing w:val="-7"/>
          <w:sz w:val="22"/>
        </w:rPr>
        <w:t> </w:t>
      </w:r>
      <w:r>
        <w:rPr>
          <w:sz w:val="22"/>
        </w:rPr>
        <w:t>el</w:t>
      </w:r>
      <w:r>
        <w:rPr>
          <w:spacing w:val="-7"/>
          <w:sz w:val="22"/>
        </w:rPr>
        <w:t> </w:t>
      </w:r>
      <w:r>
        <w:rPr>
          <w:sz w:val="22"/>
        </w:rPr>
        <w:t>TJCAN</w:t>
      </w:r>
      <w:r>
        <w:rPr>
          <w:spacing w:val="-9"/>
          <w:sz w:val="22"/>
        </w:rPr>
        <w:t> </w:t>
      </w:r>
      <w:r>
        <w:rPr>
          <w:sz w:val="22"/>
        </w:rPr>
        <w:t>ha</w:t>
      </w:r>
      <w:r>
        <w:rPr>
          <w:spacing w:val="-6"/>
          <w:sz w:val="22"/>
        </w:rPr>
        <w:t> </w:t>
      </w:r>
      <w:r>
        <w:rPr>
          <w:sz w:val="22"/>
        </w:rPr>
        <w:t>señalado,</w:t>
      </w:r>
      <w:r>
        <w:rPr>
          <w:spacing w:val="-7"/>
          <w:sz w:val="22"/>
        </w:rPr>
        <w:t> </w:t>
      </w:r>
      <w:r>
        <w:rPr>
          <w:sz w:val="22"/>
        </w:rPr>
        <w:t>entre</w:t>
      </w:r>
      <w:r>
        <w:rPr>
          <w:spacing w:val="-8"/>
          <w:sz w:val="22"/>
        </w:rPr>
        <w:t> </w:t>
      </w:r>
      <w:r>
        <w:rPr>
          <w:sz w:val="22"/>
        </w:rPr>
        <w:t>otros,</w:t>
      </w:r>
      <w:r>
        <w:rPr>
          <w:spacing w:val="-9"/>
          <w:sz w:val="22"/>
        </w:rPr>
        <w:t> </w:t>
      </w:r>
      <w:r>
        <w:rPr>
          <w:sz w:val="22"/>
        </w:rPr>
        <w:t>en</w:t>
      </w:r>
      <w:r>
        <w:rPr>
          <w:spacing w:val="-6"/>
          <w:sz w:val="22"/>
        </w:rPr>
        <w:t> </w:t>
      </w:r>
      <w:r>
        <w:rPr>
          <w:sz w:val="22"/>
        </w:rPr>
        <w:t>el</w:t>
      </w:r>
      <w:r>
        <w:rPr>
          <w:spacing w:val="-7"/>
          <w:sz w:val="22"/>
        </w:rPr>
        <w:t> </w:t>
      </w:r>
      <w:r>
        <w:rPr>
          <w:sz w:val="22"/>
        </w:rPr>
        <w:t>Proceso</w:t>
      </w:r>
      <w:r>
        <w:rPr>
          <w:spacing w:val="-7"/>
          <w:sz w:val="22"/>
        </w:rPr>
        <w:t> </w:t>
      </w:r>
      <w:r>
        <w:rPr>
          <w:sz w:val="22"/>
        </w:rPr>
        <w:t>3-AI-97,</w:t>
      </w:r>
      <w:r>
        <w:rPr>
          <w:spacing w:val="-7"/>
          <w:sz w:val="22"/>
        </w:rPr>
        <w:t> </w:t>
      </w:r>
      <w:r>
        <w:rPr>
          <w:sz w:val="22"/>
        </w:rPr>
        <w:t>lo</w:t>
      </w:r>
      <w:r>
        <w:rPr>
          <w:spacing w:val="-8"/>
          <w:sz w:val="22"/>
        </w:rPr>
        <w:t> </w:t>
      </w:r>
      <w:r>
        <w:rPr>
          <w:spacing w:val="-2"/>
          <w:sz w:val="22"/>
        </w:rPr>
        <w:t>siguiente:</w:t>
      </w:r>
    </w:p>
    <w:p>
      <w:pPr>
        <w:pStyle w:val="BodyText"/>
      </w:pPr>
    </w:p>
    <w:p>
      <w:pPr>
        <w:spacing w:before="1"/>
        <w:ind w:left="2128" w:right="976" w:firstLine="0"/>
        <w:jc w:val="both"/>
        <w:rPr>
          <w:sz w:val="22"/>
        </w:rPr>
      </w:pPr>
      <w:r>
        <w:rPr>
          <w:rFonts w:ascii="Arial" w:hAnsi="Arial"/>
          <w:i/>
          <w:spacing w:val="-2"/>
          <w:sz w:val="22"/>
        </w:rPr>
        <w:t>“Un</w:t>
      </w:r>
      <w:r>
        <w:rPr>
          <w:rFonts w:ascii="Arial" w:hAnsi="Arial"/>
          <w:i/>
          <w:spacing w:val="-14"/>
          <w:sz w:val="22"/>
        </w:rPr>
        <w:t> </w:t>
      </w:r>
      <w:r>
        <w:rPr>
          <w:rFonts w:ascii="Arial" w:hAnsi="Arial"/>
          <w:i/>
          <w:spacing w:val="-2"/>
          <w:sz w:val="22"/>
        </w:rPr>
        <w:t>obstáculo</w:t>
      </w:r>
      <w:r>
        <w:rPr>
          <w:rFonts w:ascii="Arial" w:hAnsi="Arial"/>
          <w:i/>
          <w:spacing w:val="-13"/>
          <w:sz w:val="22"/>
        </w:rPr>
        <w:t> </w:t>
      </w:r>
      <w:r>
        <w:rPr>
          <w:rFonts w:ascii="Arial" w:hAnsi="Arial"/>
          <w:i/>
          <w:spacing w:val="-2"/>
          <w:sz w:val="22"/>
        </w:rPr>
        <w:t>o</w:t>
      </w:r>
      <w:r>
        <w:rPr>
          <w:rFonts w:ascii="Arial" w:hAnsi="Arial"/>
          <w:i/>
          <w:spacing w:val="-13"/>
          <w:sz w:val="22"/>
        </w:rPr>
        <w:t> </w:t>
      </w:r>
      <w:r>
        <w:rPr>
          <w:rFonts w:ascii="Arial" w:hAnsi="Arial"/>
          <w:i/>
          <w:spacing w:val="-2"/>
          <w:sz w:val="22"/>
        </w:rPr>
        <w:t>impedimento</w:t>
      </w:r>
      <w:r>
        <w:rPr>
          <w:rFonts w:ascii="Arial" w:hAnsi="Arial"/>
          <w:i/>
          <w:spacing w:val="-14"/>
          <w:sz w:val="22"/>
        </w:rPr>
        <w:t> </w:t>
      </w:r>
      <w:r>
        <w:rPr>
          <w:rFonts w:ascii="Arial" w:hAnsi="Arial"/>
          <w:i/>
          <w:spacing w:val="-2"/>
          <w:sz w:val="22"/>
        </w:rPr>
        <w:t>a</w:t>
      </w:r>
      <w:r>
        <w:rPr>
          <w:rFonts w:ascii="Arial" w:hAnsi="Arial"/>
          <w:i/>
          <w:spacing w:val="-13"/>
          <w:sz w:val="22"/>
        </w:rPr>
        <w:t> </w:t>
      </w:r>
      <w:r>
        <w:rPr>
          <w:rFonts w:ascii="Arial" w:hAnsi="Arial"/>
          <w:i/>
          <w:spacing w:val="-2"/>
          <w:sz w:val="22"/>
        </w:rPr>
        <w:t>la</w:t>
      </w:r>
      <w:r>
        <w:rPr>
          <w:rFonts w:ascii="Arial" w:hAnsi="Arial"/>
          <w:i/>
          <w:spacing w:val="-12"/>
          <w:sz w:val="22"/>
        </w:rPr>
        <w:t> </w:t>
      </w:r>
      <w:r>
        <w:rPr>
          <w:rFonts w:ascii="Arial" w:hAnsi="Arial"/>
          <w:i/>
          <w:spacing w:val="-2"/>
          <w:sz w:val="22"/>
        </w:rPr>
        <w:t>importación</w:t>
      </w:r>
      <w:r>
        <w:rPr>
          <w:rFonts w:ascii="Arial" w:hAnsi="Arial"/>
          <w:i/>
          <w:spacing w:val="-11"/>
          <w:sz w:val="22"/>
        </w:rPr>
        <w:t> </w:t>
      </w:r>
      <w:r>
        <w:rPr>
          <w:rFonts w:ascii="Arial" w:hAnsi="Arial"/>
          <w:i/>
          <w:spacing w:val="-2"/>
          <w:sz w:val="22"/>
        </w:rPr>
        <w:t>libre</w:t>
      </w:r>
      <w:r>
        <w:rPr>
          <w:rFonts w:ascii="Arial" w:hAnsi="Arial"/>
          <w:i/>
          <w:spacing w:val="-12"/>
          <w:sz w:val="22"/>
        </w:rPr>
        <w:t> </w:t>
      </w:r>
      <w:r>
        <w:rPr>
          <w:rFonts w:ascii="Arial" w:hAnsi="Arial"/>
          <w:i/>
          <w:spacing w:val="-2"/>
          <w:sz w:val="22"/>
        </w:rPr>
        <w:t>de</w:t>
      </w:r>
      <w:r>
        <w:rPr>
          <w:rFonts w:ascii="Arial" w:hAnsi="Arial"/>
          <w:i/>
          <w:spacing w:val="-14"/>
          <w:sz w:val="22"/>
        </w:rPr>
        <w:t> </w:t>
      </w:r>
      <w:r>
        <w:rPr>
          <w:rFonts w:ascii="Arial" w:hAnsi="Arial"/>
          <w:i/>
          <w:spacing w:val="-2"/>
          <w:sz w:val="22"/>
        </w:rPr>
        <w:t>mercancías</w:t>
      </w:r>
      <w:r>
        <w:rPr>
          <w:rFonts w:ascii="Arial" w:hAnsi="Arial"/>
          <w:i/>
          <w:spacing w:val="-13"/>
          <w:sz w:val="22"/>
        </w:rPr>
        <w:t> </w:t>
      </w:r>
      <w:r>
        <w:rPr>
          <w:rFonts w:ascii="Arial" w:hAnsi="Arial"/>
          <w:i/>
          <w:spacing w:val="-2"/>
          <w:sz w:val="22"/>
        </w:rPr>
        <w:t>que</w:t>
      </w:r>
      <w:r>
        <w:rPr>
          <w:rFonts w:ascii="Arial" w:hAnsi="Arial"/>
          <w:i/>
          <w:spacing w:val="-13"/>
          <w:sz w:val="22"/>
        </w:rPr>
        <w:t> </w:t>
      </w:r>
      <w:r>
        <w:rPr>
          <w:rFonts w:ascii="Arial" w:hAnsi="Arial"/>
          <w:i/>
          <w:spacing w:val="-2"/>
          <w:sz w:val="22"/>
        </w:rPr>
        <w:t>se</w:t>
      </w:r>
      <w:r>
        <w:rPr>
          <w:rFonts w:ascii="Arial" w:hAnsi="Arial"/>
          <w:i/>
          <w:spacing w:val="-14"/>
          <w:sz w:val="22"/>
        </w:rPr>
        <w:t> </w:t>
      </w:r>
      <w:r>
        <w:rPr>
          <w:rFonts w:ascii="Arial" w:hAnsi="Arial"/>
          <w:i/>
          <w:spacing w:val="-2"/>
          <w:sz w:val="22"/>
        </w:rPr>
        <w:t>salga </w:t>
      </w:r>
      <w:r>
        <w:rPr>
          <w:rFonts w:ascii="Arial" w:hAnsi="Arial"/>
          <w:i/>
          <w:sz w:val="22"/>
        </w:rPr>
        <w:t>del</w:t>
      </w:r>
      <w:r>
        <w:rPr>
          <w:rFonts w:ascii="Arial" w:hAnsi="Arial"/>
          <w:i/>
          <w:spacing w:val="-15"/>
          <w:sz w:val="22"/>
        </w:rPr>
        <w:t> </w:t>
      </w:r>
      <w:r>
        <w:rPr>
          <w:rFonts w:ascii="Arial" w:hAnsi="Arial"/>
          <w:i/>
          <w:sz w:val="22"/>
        </w:rPr>
        <w:t>objeto</w:t>
      </w:r>
      <w:r>
        <w:rPr>
          <w:rFonts w:ascii="Arial" w:hAnsi="Arial"/>
          <w:i/>
          <w:spacing w:val="-15"/>
          <w:sz w:val="22"/>
        </w:rPr>
        <w:t> </w:t>
      </w:r>
      <w:r>
        <w:rPr>
          <w:rFonts w:ascii="Arial" w:hAnsi="Arial"/>
          <w:i/>
          <w:sz w:val="22"/>
        </w:rPr>
        <w:t>específico</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las</w:t>
      </w:r>
      <w:r>
        <w:rPr>
          <w:rFonts w:ascii="Arial" w:hAnsi="Arial"/>
          <w:i/>
          <w:spacing w:val="-15"/>
          <w:sz w:val="22"/>
        </w:rPr>
        <w:t> </w:t>
      </w:r>
      <w:r>
        <w:rPr>
          <w:rFonts w:ascii="Arial" w:hAnsi="Arial"/>
          <w:i/>
          <w:sz w:val="22"/>
        </w:rPr>
        <w:t>medidas</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excepción,</w:t>
      </w:r>
      <w:r>
        <w:rPr>
          <w:rFonts w:ascii="Arial" w:hAnsi="Arial"/>
          <w:i/>
          <w:spacing w:val="-14"/>
          <w:sz w:val="22"/>
        </w:rPr>
        <w:t> </w:t>
      </w:r>
      <w:r>
        <w:rPr>
          <w:rFonts w:ascii="Arial" w:hAnsi="Arial"/>
          <w:i/>
          <w:sz w:val="22"/>
        </w:rPr>
        <w:t>dirigiéndose</w:t>
      </w:r>
      <w:r>
        <w:rPr>
          <w:rFonts w:ascii="Arial" w:hAnsi="Arial"/>
          <w:i/>
          <w:spacing w:val="-15"/>
          <w:sz w:val="22"/>
        </w:rPr>
        <w:t> </w:t>
      </w:r>
      <w:r>
        <w:rPr>
          <w:rFonts w:ascii="Arial" w:hAnsi="Arial"/>
          <w:i/>
          <w:sz w:val="22"/>
        </w:rPr>
        <w:t>a</w:t>
      </w:r>
      <w:r>
        <w:rPr>
          <w:rFonts w:ascii="Arial" w:hAnsi="Arial"/>
          <w:i/>
          <w:spacing w:val="-9"/>
          <w:sz w:val="22"/>
        </w:rPr>
        <w:t> </w:t>
      </w:r>
      <w:r>
        <w:rPr>
          <w:rFonts w:ascii="Arial" w:hAnsi="Arial"/>
          <w:i/>
          <w:sz w:val="22"/>
          <w:u w:val="single"/>
        </w:rPr>
        <w:t>imposibilitar</w:t>
      </w:r>
      <w:r>
        <w:rPr>
          <w:rFonts w:ascii="Arial" w:hAnsi="Arial"/>
          <w:i/>
          <w:sz w:val="22"/>
        </w:rPr>
        <w:t> </w:t>
      </w:r>
      <w:r>
        <w:rPr>
          <w:rFonts w:ascii="Arial" w:hAnsi="Arial"/>
          <w:i/>
          <w:sz w:val="22"/>
          <w:u w:val="single"/>
        </w:rPr>
        <w:t>injustificadamente la importación de un determinado producto o de hacer la</w:t>
      </w:r>
      <w:r>
        <w:rPr>
          <w:rFonts w:ascii="Arial" w:hAnsi="Arial"/>
          <w:i/>
          <w:sz w:val="22"/>
        </w:rPr>
        <w:t> </w:t>
      </w:r>
      <w:r>
        <w:rPr>
          <w:rFonts w:ascii="Arial" w:hAnsi="Arial"/>
          <w:i/>
          <w:sz w:val="22"/>
          <w:u w:val="single"/>
        </w:rPr>
        <w:t>importación más difícil o más costosa, puede reunir las características de</w:t>
      </w:r>
      <w:r>
        <w:rPr>
          <w:rFonts w:ascii="Arial" w:hAnsi="Arial"/>
          <w:i/>
          <w:sz w:val="22"/>
        </w:rPr>
        <w:t> </w:t>
      </w:r>
      <w:r>
        <w:rPr>
          <w:rFonts w:ascii="Arial" w:hAnsi="Arial"/>
          <w:i/>
          <w:sz w:val="22"/>
          <w:u w:val="single"/>
        </w:rPr>
        <w:t>restricción al comercio</w:t>
      </w:r>
      <w:r>
        <w:rPr>
          <w:rFonts w:ascii="Arial" w:hAnsi="Arial"/>
          <w:i/>
          <w:sz w:val="22"/>
        </w:rPr>
        <w:t>, y más aún cuando una medida tiene carácter discriminatorio (…)</w:t>
      </w:r>
      <w:r>
        <w:rPr>
          <w:sz w:val="22"/>
        </w:rPr>
        <w:t>”. (Subrayado fuera del texto.)</w:t>
      </w:r>
    </w:p>
    <w:p>
      <w:pPr>
        <w:pStyle w:val="BodyText"/>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Adicionalmente,</w:t>
      </w:r>
      <w:r>
        <w:rPr>
          <w:spacing w:val="-3"/>
          <w:sz w:val="22"/>
        </w:rPr>
        <w:t> </w:t>
      </w:r>
      <w:r>
        <w:rPr>
          <w:sz w:val="22"/>
        </w:rPr>
        <w:t>el</w:t>
      </w:r>
      <w:r>
        <w:rPr>
          <w:spacing w:val="-1"/>
          <w:sz w:val="22"/>
        </w:rPr>
        <w:t> </w:t>
      </w:r>
      <w:r>
        <w:rPr>
          <w:sz w:val="22"/>
        </w:rPr>
        <w:t>TJCAN</w:t>
      </w:r>
      <w:r>
        <w:rPr>
          <w:spacing w:val="-2"/>
          <w:sz w:val="22"/>
        </w:rPr>
        <w:t> </w:t>
      </w:r>
      <w:r>
        <w:rPr>
          <w:sz w:val="22"/>
        </w:rPr>
        <w:t>en</w:t>
      </w:r>
      <w:r>
        <w:rPr>
          <w:spacing w:val="-4"/>
          <w:sz w:val="22"/>
        </w:rPr>
        <w:t> </w:t>
      </w:r>
      <w:r>
        <w:rPr>
          <w:sz w:val="22"/>
        </w:rPr>
        <w:t>su</w:t>
      </w:r>
      <w:r>
        <w:rPr>
          <w:spacing w:val="-4"/>
          <w:sz w:val="22"/>
        </w:rPr>
        <w:t> </w:t>
      </w:r>
      <w:r>
        <w:rPr>
          <w:sz w:val="22"/>
        </w:rPr>
        <w:t>sentencia del</w:t>
      </w:r>
      <w:r>
        <w:rPr>
          <w:spacing w:val="-5"/>
          <w:sz w:val="22"/>
        </w:rPr>
        <w:t> </w:t>
      </w:r>
      <w:r>
        <w:rPr>
          <w:sz w:val="22"/>
        </w:rPr>
        <w:t>Proceso</w:t>
      </w:r>
      <w:r>
        <w:rPr>
          <w:spacing w:val="-1"/>
          <w:sz w:val="22"/>
        </w:rPr>
        <w:t> </w:t>
      </w:r>
      <w:r>
        <w:rPr>
          <w:sz w:val="22"/>
        </w:rPr>
        <w:t>02-AN-98, ha</w:t>
      </w:r>
      <w:r>
        <w:rPr>
          <w:spacing w:val="-4"/>
          <w:sz w:val="22"/>
        </w:rPr>
        <w:t> </w:t>
      </w:r>
      <w:r>
        <w:rPr>
          <w:sz w:val="22"/>
        </w:rPr>
        <w:t>precisado</w:t>
      </w:r>
      <w:r>
        <w:rPr>
          <w:spacing w:val="-1"/>
          <w:sz w:val="22"/>
        </w:rPr>
        <w:t> </w:t>
      </w:r>
      <w:r>
        <w:rPr>
          <w:sz w:val="22"/>
        </w:rPr>
        <w:t>que la</w:t>
      </w:r>
      <w:r>
        <w:rPr>
          <w:spacing w:val="-6"/>
          <w:sz w:val="22"/>
        </w:rPr>
        <w:t> </w:t>
      </w:r>
      <w:r>
        <w:rPr>
          <w:sz w:val="22"/>
        </w:rPr>
        <w:t>calificación</w:t>
      </w:r>
      <w:r>
        <w:rPr>
          <w:spacing w:val="-7"/>
          <w:sz w:val="22"/>
        </w:rPr>
        <w:t> </w:t>
      </w:r>
      <w:r>
        <w:rPr>
          <w:sz w:val="22"/>
        </w:rPr>
        <w:t>de</w:t>
      </w:r>
      <w:r>
        <w:rPr>
          <w:spacing w:val="-9"/>
          <w:sz w:val="22"/>
        </w:rPr>
        <w:t> </w:t>
      </w:r>
      <w:r>
        <w:rPr>
          <w:sz w:val="22"/>
        </w:rPr>
        <w:t>una</w:t>
      </w:r>
      <w:r>
        <w:rPr>
          <w:spacing w:val="-9"/>
          <w:sz w:val="22"/>
        </w:rPr>
        <w:t> </w:t>
      </w:r>
      <w:r>
        <w:rPr>
          <w:sz w:val="22"/>
        </w:rPr>
        <w:t>medida</w:t>
      </w:r>
      <w:r>
        <w:rPr>
          <w:spacing w:val="-7"/>
          <w:sz w:val="22"/>
        </w:rPr>
        <w:t> </w:t>
      </w:r>
      <w:r>
        <w:rPr>
          <w:sz w:val="22"/>
        </w:rPr>
        <w:t>como</w:t>
      </w:r>
      <w:r>
        <w:rPr>
          <w:spacing w:val="-11"/>
          <w:sz w:val="22"/>
        </w:rPr>
        <w:t> </w:t>
      </w:r>
      <w:r>
        <w:rPr>
          <w:sz w:val="22"/>
        </w:rPr>
        <w:t>restrictiva</w:t>
      </w:r>
      <w:r>
        <w:rPr>
          <w:spacing w:val="-9"/>
          <w:sz w:val="22"/>
        </w:rPr>
        <w:t> </w:t>
      </w:r>
      <w:r>
        <w:rPr>
          <w:sz w:val="22"/>
        </w:rPr>
        <w:t>no</w:t>
      </w:r>
      <w:r>
        <w:rPr>
          <w:spacing w:val="-12"/>
          <w:sz w:val="22"/>
        </w:rPr>
        <w:t> </w:t>
      </w:r>
      <w:r>
        <w:rPr>
          <w:sz w:val="22"/>
        </w:rPr>
        <w:t>depende</w:t>
      </w:r>
      <w:r>
        <w:rPr>
          <w:spacing w:val="-6"/>
          <w:sz w:val="22"/>
        </w:rPr>
        <w:t> </w:t>
      </w:r>
      <w:r>
        <w:rPr>
          <w:sz w:val="22"/>
        </w:rPr>
        <w:t>de</w:t>
      </w:r>
      <w:r>
        <w:rPr>
          <w:spacing w:val="-9"/>
          <w:sz w:val="22"/>
        </w:rPr>
        <w:t> </w:t>
      </w:r>
      <w:r>
        <w:rPr>
          <w:sz w:val="22"/>
        </w:rPr>
        <w:t>su</w:t>
      </w:r>
      <w:r>
        <w:rPr>
          <w:spacing w:val="-9"/>
          <w:sz w:val="22"/>
        </w:rPr>
        <w:t> </w:t>
      </w:r>
      <w:r>
        <w:rPr>
          <w:sz w:val="22"/>
        </w:rPr>
        <w:t>naturaleza,</w:t>
      </w:r>
      <w:r>
        <w:rPr>
          <w:spacing w:val="-7"/>
          <w:sz w:val="22"/>
        </w:rPr>
        <w:t> </w:t>
      </w:r>
      <w:r>
        <w:rPr>
          <w:sz w:val="22"/>
        </w:rPr>
        <w:t>sea</w:t>
      </w:r>
      <w:r>
        <w:rPr>
          <w:spacing w:val="-7"/>
          <w:sz w:val="22"/>
        </w:rPr>
        <w:t> </w:t>
      </w:r>
      <w:r>
        <w:rPr>
          <w:sz w:val="22"/>
        </w:rPr>
        <w:t>esta definitiva o preparatoria, sino de los efectos que pueda generar sobre las importaciones, reales o potenciales, en los siguientes términos:</w:t>
      </w:r>
    </w:p>
    <w:p>
      <w:pPr>
        <w:pStyle w:val="BodyText"/>
        <w:spacing w:before="93"/>
        <w:rPr>
          <w:sz w:val="20"/>
        </w:rPr>
      </w:pPr>
      <w:r>
        <w:rPr>
          <w:sz w:val="20"/>
        </w:rPr>
        <mc:AlternateContent>
          <mc:Choice Requires="wps">
            <w:drawing>
              <wp:anchor distT="0" distB="0" distL="0" distR="0" allowOverlap="1" layoutInCell="1" locked="0" behindDoc="1" simplePos="0" relativeHeight="487597056">
                <wp:simplePos x="0" y="0"/>
                <wp:positionH relativeFrom="page">
                  <wp:posOffset>990904</wp:posOffset>
                </wp:positionH>
                <wp:positionV relativeFrom="paragraph">
                  <wp:posOffset>220356</wp:posOffset>
                </wp:positionV>
                <wp:extent cx="1829435" cy="7620"/>
                <wp:effectExtent l="0" t="0" r="0" b="0"/>
                <wp:wrapTopAndBottom/>
                <wp:docPr id="77" name="Graphic 77"/>
                <wp:cNvGraphicFramePr>
                  <a:graphicFrameLocks/>
                </wp:cNvGraphicFramePr>
                <a:graphic>
                  <a:graphicData uri="http://schemas.microsoft.com/office/word/2010/wordprocessingShape">
                    <wps:wsp>
                      <wps:cNvPr id="77" name="Graphic 77"/>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7.35088pt;width:144.020pt;height:.599980pt;mso-position-horizontal-relative:page;mso-position-vertical-relative:paragraph;z-index:-15719424;mso-wrap-distance-left:0;mso-wrap-distance-right:0" id="docshape48" filled="true" fillcolor="#000000" stroked="false">
                <v:fill type="solid"/>
                <w10:wrap type="topAndBottom"/>
              </v:rect>
            </w:pict>
          </mc:Fallback>
        </mc:AlternateContent>
      </w:r>
    </w:p>
    <w:p>
      <w:pPr>
        <w:spacing w:before="86"/>
        <w:ind w:left="568" w:right="0" w:firstLine="0"/>
        <w:jc w:val="left"/>
        <w:rPr>
          <w:position w:val="8"/>
          <w:sz w:val="14"/>
        </w:rPr>
      </w:pPr>
      <w:bookmarkStart w:name="_bookmark23" w:id="24"/>
      <w:bookmarkEnd w:id="24"/>
      <w:r>
        <w:rPr/>
      </w:r>
      <w:r>
        <w:rPr>
          <w:position w:val="8"/>
          <w:sz w:val="14"/>
        </w:rPr>
        <w:t>24</w:t>
      </w:r>
      <w:r>
        <w:rPr>
          <w:spacing w:val="-5"/>
          <w:position w:val="8"/>
          <w:sz w:val="14"/>
        </w:rPr>
        <w:t> </w:t>
      </w:r>
      <w:r>
        <w:rPr>
          <w:sz w:val="18"/>
        </w:rPr>
        <w:t>Respecto</w:t>
      </w:r>
      <w:r>
        <w:rPr>
          <w:spacing w:val="-4"/>
          <w:sz w:val="18"/>
        </w:rPr>
        <w:t> </w:t>
      </w:r>
      <w:r>
        <w:rPr>
          <w:sz w:val="18"/>
        </w:rPr>
        <w:t>del</w:t>
      </w:r>
      <w:r>
        <w:rPr>
          <w:spacing w:val="-3"/>
          <w:sz w:val="18"/>
        </w:rPr>
        <w:t> </w:t>
      </w:r>
      <w:r>
        <w:rPr>
          <w:sz w:val="18"/>
        </w:rPr>
        <w:t>Programa</w:t>
      </w:r>
      <w:r>
        <w:rPr>
          <w:spacing w:val="-3"/>
          <w:sz w:val="18"/>
        </w:rPr>
        <w:t> </w:t>
      </w:r>
      <w:r>
        <w:rPr>
          <w:sz w:val="18"/>
        </w:rPr>
        <w:t>de</w:t>
      </w:r>
      <w:r>
        <w:rPr>
          <w:spacing w:val="-4"/>
          <w:sz w:val="18"/>
        </w:rPr>
        <w:t> </w:t>
      </w:r>
      <w:r>
        <w:rPr>
          <w:sz w:val="18"/>
        </w:rPr>
        <w:t>Liberación</w:t>
      </w:r>
      <w:r>
        <w:rPr>
          <w:spacing w:val="-5"/>
          <w:sz w:val="18"/>
        </w:rPr>
        <w:t> </w:t>
      </w:r>
      <w:r>
        <w:rPr>
          <w:sz w:val="18"/>
        </w:rPr>
        <w:t>y</w:t>
      </w:r>
      <w:r>
        <w:rPr>
          <w:spacing w:val="-3"/>
          <w:sz w:val="18"/>
        </w:rPr>
        <w:t> </w:t>
      </w:r>
      <w:r>
        <w:rPr>
          <w:sz w:val="18"/>
        </w:rPr>
        <w:t>el</w:t>
      </w:r>
      <w:r>
        <w:rPr>
          <w:spacing w:val="-3"/>
          <w:sz w:val="18"/>
        </w:rPr>
        <w:t> </w:t>
      </w:r>
      <w:r>
        <w:rPr>
          <w:sz w:val="18"/>
        </w:rPr>
        <w:t>Proceso</w:t>
      </w:r>
      <w:r>
        <w:rPr>
          <w:spacing w:val="-4"/>
          <w:sz w:val="18"/>
        </w:rPr>
        <w:t> </w:t>
      </w:r>
      <w:r>
        <w:rPr>
          <w:sz w:val="18"/>
        </w:rPr>
        <w:t>de</w:t>
      </w:r>
      <w:r>
        <w:rPr>
          <w:spacing w:val="-5"/>
          <w:sz w:val="18"/>
        </w:rPr>
        <w:t> </w:t>
      </w:r>
      <w:r>
        <w:rPr>
          <w:sz w:val="18"/>
        </w:rPr>
        <w:t>Integración</w:t>
      </w:r>
      <w:r>
        <w:rPr>
          <w:spacing w:val="-4"/>
          <w:sz w:val="18"/>
        </w:rPr>
        <w:t> </w:t>
      </w:r>
      <w:r>
        <w:rPr>
          <w:sz w:val="18"/>
        </w:rPr>
        <w:t>Subregional</w:t>
      </w:r>
      <w:r>
        <w:rPr>
          <w:spacing w:val="-3"/>
          <w:sz w:val="18"/>
        </w:rPr>
        <w:t> </w:t>
      </w:r>
      <w:r>
        <w:rPr>
          <w:spacing w:val="-2"/>
          <w:sz w:val="18"/>
        </w:rPr>
        <w:t>Andino</w:t>
      </w:r>
      <w:r>
        <w:rPr>
          <w:spacing w:val="-2"/>
          <w:position w:val="8"/>
          <w:sz w:val="14"/>
        </w:rPr>
        <w:t>.</w:t>
      </w:r>
    </w:p>
    <w:p>
      <w:pPr>
        <w:spacing w:before="5"/>
        <w:ind w:left="568" w:right="0" w:firstLine="0"/>
        <w:jc w:val="left"/>
        <w:rPr>
          <w:sz w:val="18"/>
        </w:rPr>
      </w:pPr>
      <w:bookmarkStart w:name="_bookmark24" w:id="25"/>
      <w:bookmarkEnd w:id="25"/>
      <w:r>
        <w:rPr/>
      </w:r>
      <w:r>
        <w:rPr>
          <w:position w:val="8"/>
          <w:sz w:val="14"/>
        </w:rPr>
        <w:t>25</w:t>
      </w:r>
      <w:r>
        <w:rPr>
          <w:spacing w:val="-10"/>
          <w:position w:val="8"/>
          <w:sz w:val="14"/>
        </w:rPr>
        <w:t> </w:t>
      </w:r>
      <w:r>
        <w:rPr>
          <w:sz w:val="18"/>
        </w:rPr>
        <w:t>Proceso</w:t>
      </w:r>
      <w:r>
        <w:rPr>
          <w:spacing w:val="-13"/>
          <w:sz w:val="18"/>
        </w:rPr>
        <w:t> </w:t>
      </w:r>
      <w:r>
        <w:rPr>
          <w:sz w:val="18"/>
        </w:rPr>
        <w:t>118-AI-2003,</w:t>
      </w:r>
      <w:r>
        <w:rPr>
          <w:spacing w:val="-11"/>
          <w:sz w:val="18"/>
        </w:rPr>
        <w:t> </w:t>
      </w:r>
      <w:r>
        <w:rPr>
          <w:sz w:val="18"/>
        </w:rPr>
        <w:t>publicada</w:t>
      </w:r>
      <w:r>
        <w:rPr>
          <w:spacing w:val="-9"/>
          <w:sz w:val="18"/>
        </w:rPr>
        <w:t> </w:t>
      </w:r>
      <w:r>
        <w:rPr>
          <w:sz w:val="18"/>
        </w:rPr>
        <w:t>en</w:t>
      </w:r>
      <w:r>
        <w:rPr>
          <w:spacing w:val="-10"/>
          <w:sz w:val="18"/>
        </w:rPr>
        <w:t> </w:t>
      </w:r>
      <w:r>
        <w:rPr>
          <w:sz w:val="18"/>
        </w:rPr>
        <w:t>la</w:t>
      </w:r>
      <w:r>
        <w:rPr>
          <w:spacing w:val="-9"/>
          <w:sz w:val="18"/>
        </w:rPr>
        <w:t> </w:t>
      </w:r>
      <w:r>
        <w:rPr>
          <w:sz w:val="18"/>
        </w:rPr>
        <w:t>Gaceta</w:t>
      </w:r>
      <w:r>
        <w:rPr>
          <w:spacing w:val="-12"/>
          <w:sz w:val="18"/>
        </w:rPr>
        <w:t> </w:t>
      </w:r>
      <w:r>
        <w:rPr>
          <w:sz w:val="18"/>
        </w:rPr>
        <w:t>Oficial</w:t>
      </w:r>
      <w:r>
        <w:rPr>
          <w:spacing w:val="-9"/>
          <w:sz w:val="18"/>
        </w:rPr>
        <w:t> </w:t>
      </w:r>
      <w:r>
        <w:rPr>
          <w:sz w:val="18"/>
        </w:rPr>
        <w:t>del</w:t>
      </w:r>
      <w:r>
        <w:rPr>
          <w:spacing w:val="-10"/>
          <w:sz w:val="18"/>
        </w:rPr>
        <w:t> </w:t>
      </w:r>
      <w:r>
        <w:rPr>
          <w:sz w:val="18"/>
        </w:rPr>
        <w:t>Acuerdo</w:t>
      </w:r>
      <w:r>
        <w:rPr>
          <w:spacing w:val="-11"/>
          <w:sz w:val="18"/>
        </w:rPr>
        <w:t> </w:t>
      </w:r>
      <w:r>
        <w:rPr>
          <w:sz w:val="18"/>
        </w:rPr>
        <w:t>de</w:t>
      </w:r>
      <w:r>
        <w:rPr>
          <w:spacing w:val="-10"/>
          <w:sz w:val="18"/>
        </w:rPr>
        <w:t> </w:t>
      </w:r>
      <w:r>
        <w:rPr>
          <w:sz w:val="18"/>
        </w:rPr>
        <w:t>Cartagena</w:t>
      </w:r>
      <w:r>
        <w:rPr>
          <w:spacing w:val="-11"/>
          <w:sz w:val="18"/>
        </w:rPr>
        <w:t> </w:t>
      </w:r>
      <w:r>
        <w:rPr>
          <w:sz w:val="18"/>
        </w:rPr>
        <w:t>N°</w:t>
      </w:r>
      <w:r>
        <w:rPr>
          <w:spacing w:val="-11"/>
          <w:sz w:val="18"/>
        </w:rPr>
        <w:t> </w:t>
      </w:r>
      <w:r>
        <w:rPr>
          <w:sz w:val="18"/>
        </w:rPr>
        <w:t>1206,</w:t>
      </w:r>
      <w:r>
        <w:rPr>
          <w:spacing w:val="-11"/>
          <w:sz w:val="18"/>
        </w:rPr>
        <w:t> </w:t>
      </w:r>
      <w:r>
        <w:rPr>
          <w:sz w:val="18"/>
        </w:rPr>
        <w:t>de</w:t>
      </w:r>
      <w:r>
        <w:rPr>
          <w:spacing w:val="-9"/>
          <w:sz w:val="18"/>
        </w:rPr>
        <w:t> </w:t>
      </w:r>
      <w:r>
        <w:rPr>
          <w:sz w:val="18"/>
        </w:rPr>
        <w:t>13</w:t>
      </w:r>
      <w:r>
        <w:rPr>
          <w:spacing w:val="-12"/>
          <w:sz w:val="18"/>
        </w:rPr>
        <w:t> </w:t>
      </w:r>
      <w:r>
        <w:rPr>
          <w:sz w:val="18"/>
        </w:rPr>
        <w:t>de</w:t>
      </w:r>
      <w:r>
        <w:rPr>
          <w:spacing w:val="-11"/>
          <w:sz w:val="18"/>
        </w:rPr>
        <w:t> </w:t>
      </w:r>
      <w:r>
        <w:rPr>
          <w:sz w:val="18"/>
        </w:rPr>
        <w:t>junio</w:t>
      </w:r>
      <w:r>
        <w:rPr>
          <w:spacing w:val="-12"/>
          <w:sz w:val="18"/>
        </w:rPr>
        <w:t> </w:t>
      </w:r>
      <w:r>
        <w:rPr>
          <w:sz w:val="18"/>
        </w:rPr>
        <w:t>de</w:t>
      </w:r>
      <w:r>
        <w:rPr>
          <w:spacing w:val="-9"/>
          <w:sz w:val="18"/>
        </w:rPr>
        <w:t> </w:t>
      </w:r>
      <w:r>
        <w:rPr>
          <w:spacing w:val="-2"/>
          <w:sz w:val="18"/>
        </w:rPr>
        <w:t>2005.</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78" name="Group 78"/>
                <wp:cNvGraphicFramePr>
                  <a:graphicFrameLocks/>
                </wp:cNvGraphicFramePr>
                <a:graphic>
                  <a:graphicData uri="http://schemas.microsoft.com/office/word/2010/wordprocessingGroup">
                    <wpg:wgp>
                      <wpg:cNvPr id="78" name="Group 78"/>
                      <wpg:cNvGrpSpPr/>
                      <wpg:grpSpPr>
                        <a:xfrm>
                          <a:off x="0" y="0"/>
                          <a:ext cx="6131560" cy="9525"/>
                          <a:chExt cx="6131560" cy="9525"/>
                        </a:xfrm>
                      </wpg:grpSpPr>
                      <wps:wsp>
                        <wps:cNvPr id="79" name="Graphic 79"/>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49"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18"/>
          <w:footerReference w:type="default" r:id="rId19"/>
          <w:pgSz w:w="11900" w:h="16850"/>
          <w:pgMar w:header="370" w:footer="644" w:top="1380" w:bottom="840" w:left="992" w:right="283"/>
        </w:sectPr>
      </w:pPr>
    </w:p>
    <w:p>
      <w:pPr>
        <w:pStyle w:val="BodyText"/>
        <w:spacing w:before="176"/>
      </w:pPr>
    </w:p>
    <w:p>
      <w:pPr>
        <w:spacing w:before="0"/>
        <w:ind w:left="2128" w:right="983" w:firstLine="0"/>
        <w:jc w:val="both"/>
        <w:rPr>
          <w:rFonts w:ascii="Arial" w:hAnsi="Arial"/>
          <w:i/>
          <w:sz w:val="22"/>
        </w:rPr>
      </w:pPr>
      <w:r>
        <w:rPr>
          <w:rFonts w:ascii="Arial" w:hAnsi="Arial"/>
          <w:i/>
          <w:sz w:val="22"/>
        </w:rPr>
        <w:t>“…el carácter definitivo o preparatorio de un acto</w:t>
      </w:r>
      <w:r>
        <w:rPr>
          <w:rFonts w:ascii="Arial" w:hAnsi="Arial"/>
          <w:i/>
          <w:spacing w:val="-1"/>
          <w:sz w:val="22"/>
        </w:rPr>
        <w:t> </w:t>
      </w:r>
      <w:r>
        <w:rPr>
          <w:rFonts w:ascii="Arial" w:hAnsi="Arial"/>
          <w:i/>
          <w:sz w:val="22"/>
        </w:rPr>
        <w:t>interno no es decisivo para calificar una medida como restricción al comercio, sino más bien el efecto restrictivo que eventualmente pudiere producir, en las importaciones presentes o futuras”.</w:t>
      </w:r>
    </w:p>
    <w:p>
      <w:pPr>
        <w:pStyle w:val="BodyText"/>
        <w:rPr>
          <w:rFonts w:ascii="Arial"/>
          <w:i/>
        </w:rPr>
      </w:pPr>
    </w:p>
    <w:p>
      <w:pPr>
        <w:pStyle w:val="ListParagraph"/>
        <w:numPr>
          <w:ilvl w:val="0"/>
          <w:numId w:val="2"/>
        </w:numPr>
        <w:tabs>
          <w:tab w:pos="1420" w:val="left" w:leader="none"/>
        </w:tabs>
        <w:spacing w:line="240" w:lineRule="auto" w:before="0" w:after="0"/>
        <w:ind w:left="1420" w:right="975" w:hanging="852"/>
        <w:jc w:val="both"/>
        <w:rPr>
          <w:sz w:val="22"/>
        </w:rPr>
      </w:pPr>
      <w:r>
        <w:rPr>
          <w:sz w:val="22"/>
        </w:rPr>
        <w:t>De la jurisprudencia citada se desprende que, para que una medida califique como restricción en los términos del artículo 73 del Acuerdo de Cartagena, esta debe producir, como efecto: (i) impedir, suspender o prohibir las importaciones de origen andino; o (ii) dificultar, encarecer o hacer más onerosa la operación de importación de dichos productos.</w:t>
      </w:r>
    </w:p>
    <w:p>
      <w:pPr>
        <w:pStyle w:val="BodyText"/>
        <w:spacing w:before="1"/>
      </w:pPr>
    </w:p>
    <w:p>
      <w:pPr>
        <w:pStyle w:val="ListParagraph"/>
        <w:numPr>
          <w:ilvl w:val="0"/>
          <w:numId w:val="2"/>
        </w:numPr>
        <w:tabs>
          <w:tab w:pos="1420" w:val="left" w:leader="none"/>
        </w:tabs>
        <w:spacing w:line="240" w:lineRule="auto" w:before="1" w:after="0"/>
        <w:ind w:left="1420" w:right="980" w:hanging="852"/>
        <w:jc w:val="both"/>
        <w:rPr>
          <w:sz w:val="22"/>
        </w:rPr>
      </w:pPr>
      <w:r>
        <w:rPr>
          <w:sz w:val="22"/>
        </w:rPr>
        <w:t>En cuanto a las excepciones del artículo 73 del Acuerdo de Cartagena, el TJCAN dentro del Proceso 01-AN-2014, desarrolló las consideraciones para justificar la excepcionalidad de una medida. En ese sentido, señaló lo siguiente:</w:t>
      </w:r>
    </w:p>
    <w:p>
      <w:pPr>
        <w:spacing w:before="252"/>
        <w:ind w:left="2128" w:right="982" w:firstLine="0"/>
        <w:jc w:val="both"/>
        <w:rPr>
          <w:rFonts w:ascii="Arial" w:hAnsi="Arial"/>
          <w:i/>
          <w:sz w:val="22"/>
        </w:rPr>
      </w:pPr>
      <w:r>
        <w:rPr>
          <w:rFonts w:ascii="Arial" w:hAnsi="Arial"/>
          <w:i/>
          <w:sz w:val="22"/>
        </w:rPr>
        <w:t>“En ese orden de ideas, este Tribunal considera que para que una medida adoptada por un país miembro</w:t>
      </w:r>
      <w:r>
        <w:rPr>
          <w:sz w:val="22"/>
        </w:rPr>
        <w:t>[sic] </w:t>
      </w:r>
      <w:r>
        <w:rPr>
          <w:rFonts w:ascii="Arial" w:hAnsi="Arial"/>
          <w:i/>
          <w:sz w:val="22"/>
        </w:rPr>
        <w:t>se justifique como una excepción de las previstas en el segundo párrafo del Artículo 73 del Acuerdo de Cartagena, debe cumplir, </w:t>
      </w:r>
      <w:r>
        <w:rPr>
          <w:rFonts w:ascii="Arial" w:hAnsi="Arial"/>
          <w:b/>
          <w:i/>
          <w:sz w:val="22"/>
        </w:rPr>
        <w:t>de manera concurrente</w:t>
      </w:r>
      <w:r>
        <w:rPr>
          <w:rFonts w:ascii="Arial" w:hAnsi="Arial"/>
          <w:i/>
          <w:sz w:val="22"/>
        </w:rPr>
        <w:t>, con los siguientes requisitos:</w:t>
      </w:r>
    </w:p>
    <w:p>
      <w:pPr>
        <w:pStyle w:val="ListParagraph"/>
        <w:numPr>
          <w:ilvl w:val="0"/>
          <w:numId w:val="5"/>
        </w:numPr>
        <w:tabs>
          <w:tab w:pos="3401" w:val="left" w:leader="none"/>
          <w:tab w:pos="3403" w:val="left" w:leader="none"/>
        </w:tabs>
        <w:spacing w:line="240" w:lineRule="auto" w:before="252" w:after="0"/>
        <w:ind w:left="3403" w:right="982" w:hanging="360"/>
        <w:jc w:val="both"/>
        <w:rPr>
          <w:rFonts w:ascii="Arial" w:hAnsi="Arial"/>
          <w:i/>
          <w:sz w:val="22"/>
        </w:rPr>
      </w:pPr>
      <w:r>
        <w:rPr>
          <w:rFonts w:ascii="Arial" w:hAnsi="Arial"/>
          <w:i/>
          <w:sz w:val="22"/>
        </w:rPr>
        <w:t>La</w:t>
      </w:r>
      <w:r>
        <w:rPr>
          <w:rFonts w:ascii="Arial" w:hAnsi="Arial"/>
          <w:i/>
          <w:spacing w:val="-1"/>
          <w:sz w:val="22"/>
        </w:rPr>
        <w:t> </w:t>
      </w:r>
      <w:r>
        <w:rPr>
          <w:rFonts w:ascii="Arial" w:hAnsi="Arial"/>
          <w:i/>
          <w:sz w:val="22"/>
        </w:rPr>
        <w:t>finalidad de</w:t>
      </w:r>
      <w:r>
        <w:rPr>
          <w:rFonts w:ascii="Arial" w:hAnsi="Arial"/>
          <w:i/>
          <w:spacing w:val="-1"/>
          <w:sz w:val="22"/>
        </w:rPr>
        <w:t> </w:t>
      </w:r>
      <w:r>
        <w:rPr>
          <w:rFonts w:ascii="Arial" w:hAnsi="Arial"/>
          <w:i/>
          <w:sz w:val="22"/>
        </w:rPr>
        <w:t>la medida</w:t>
      </w:r>
      <w:r>
        <w:rPr>
          <w:rFonts w:ascii="Arial" w:hAnsi="Arial"/>
          <w:i/>
          <w:spacing w:val="-1"/>
          <w:sz w:val="22"/>
        </w:rPr>
        <w:t> </w:t>
      </w:r>
      <w:r>
        <w:rPr>
          <w:rFonts w:ascii="Arial" w:hAnsi="Arial"/>
          <w:i/>
          <w:sz w:val="22"/>
        </w:rPr>
        <w:t>debe</w:t>
      </w:r>
      <w:r>
        <w:rPr>
          <w:rFonts w:ascii="Arial" w:hAnsi="Arial"/>
          <w:i/>
          <w:spacing w:val="-1"/>
          <w:sz w:val="22"/>
        </w:rPr>
        <w:t> </w:t>
      </w:r>
      <w:r>
        <w:rPr>
          <w:rFonts w:ascii="Arial" w:hAnsi="Arial"/>
          <w:i/>
          <w:sz w:val="22"/>
        </w:rPr>
        <w:t>fundamentarse en alguna</w:t>
      </w:r>
      <w:r>
        <w:rPr>
          <w:rFonts w:ascii="Arial" w:hAnsi="Arial"/>
          <w:i/>
          <w:spacing w:val="-1"/>
          <w:sz w:val="22"/>
        </w:rPr>
        <w:t> </w:t>
      </w:r>
      <w:r>
        <w:rPr>
          <w:rFonts w:ascii="Arial" w:hAnsi="Arial"/>
          <w:i/>
          <w:sz w:val="22"/>
        </w:rPr>
        <w:t>de</w:t>
      </w:r>
      <w:r>
        <w:rPr>
          <w:rFonts w:ascii="Arial" w:hAnsi="Arial"/>
          <w:i/>
          <w:spacing w:val="-1"/>
          <w:sz w:val="22"/>
        </w:rPr>
        <w:t> </w:t>
      </w:r>
      <w:r>
        <w:rPr>
          <w:rFonts w:ascii="Arial" w:hAnsi="Arial"/>
          <w:i/>
          <w:sz w:val="22"/>
        </w:rPr>
        <w:t>las excepciones</w:t>
      </w:r>
      <w:r>
        <w:rPr>
          <w:rFonts w:ascii="Arial" w:hAnsi="Arial"/>
          <w:i/>
          <w:spacing w:val="-15"/>
          <w:sz w:val="22"/>
        </w:rPr>
        <w:t> </w:t>
      </w:r>
      <w:r>
        <w:rPr>
          <w:rFonts w:ascii="Arial" w:hAnsi="Arial"/>
          <w:i/>
          <w:sz w:val="22"/>
        </w:rPr>
        <w:t>(taxativamente)</w:t>
      </w:r>
      <w:r>
        <w:rPr>
          <w:rFonts w:ascii="Arial" w:hAnsi="Arial"/>
          <w:i/>
          <w:spacing w:val="-13"/>
          <w:sz w:val="22"/>
        </w:rPr>
        <w:t> </w:t>
      </w:r>
      <w:r>
        <w:rPr>
          <w:rFonts w:ascii="Arial" w:hAnsi="Arial"/>
          <w:i/>
          <w:sz w:val="22"/>
        </w:rPr>
        <w:t>previstas</w:t>
      </w:r>
      <w:r>
        <w:rPr>
          <w:rFonts w:ascii="Arial" w:hAnsi="Arial"/>
          <w:i/>
          <w:spacing w:val="-16"/>
          <w:sz w:val="22"/>
        </w:rPr>
        <w:t> </w:t>
      </w:r>
      <w:r>
        <w:rPr>
          <w:rFonts w:ascii="Arial" w:hAnsi="Arial"/>
          <w:i/>
          <w:sz w:val="22"/>
        </w:rPr>
        <w:t>en</w:t>
      </w:r>
      <w:r>
        <w:rPr>
          <w:rFonts w:ascii="Arial" w:hAnsi="Arial"/>
          <w:i/>
          <w:spacing w:val="-14"/>
          <w:sz w:val="22"/>
        </w:rPr>
        <w:t> </w:t>
      </w:r>
      <w:r>
        <w:rPr>
          <w:rFonts w:ascii="Arial" w:hAnsi="Arial"/>
          <w:i/>
          <w:sz w:val="22"/>
        </w:rPr>
        <w:t>el</w:t>
      </w:r>
      <w:r>
        <w:rPr>
          <w:rFonts w:ascii="Arial" w:hAnsi="Arial"/>
          <w:i/>
          <w:spacing w:val="-15"/>
          <w:sz w:val="22"/>
        </w:rPr>
        <w:t> </w:t>
      </w:r>
      <w:r>
        <w:rPr>
          <w:rFonts w:ascii="Arial" w:hAnsi="Arial"/>
          <w:i/>
          <w:sz w:val="22"/>
        </w:rPr>
        <w:t>segundo</w:t>
      </w:r>
      <w:r>
        <w:rPr>
          <w:rFonts w:ascii="Arial" w:hAnsi="Arial"/>
          <w:i/>
          <w:spacing w:val="-14"/>
          <w:sz w:val="22"/>
        </w:rPr>
        <w:t> </w:t>
      </w:r>
      <w:r>
        <w:rPr>
          <w:rFonts w:ascii="Arial" w:hAnsi="Arial"/>
          <w:i/>
          <w:sz w:val="22"/>
        </w:rPr>
        <w:t>párrafo</w:t>
      </w:r>
      <w:r>
        <w:rPr>
          <w:rFonts w:ascii="Arial" w:hAnsi="Arial"/>
          <w:i/>
          <w:spacing w:val="-14"/>
          <w:sz w:val="22"/>
        </w:rPr>
        <w:t> </w:t>
      </w:r>
      <w:r>
        <w:rPr>
          <w:rFonts w:ascii="Arial" w:hAnsi="Arial"/>
          <w:i/>
          <w:sz w:val="22"/>
        </w:rPr>
        <w:t>del Artículo 73 del Acuerdo de Cartagena, las que deben ser interpretadas de manera restrictiva.</w:t>
      </w:r>
    </w:p>
    <w:p>
      <w:pPr>
        <w:pStyle w:val="ListParagraph"/>
        <w:numPr>
          <w:ilvl w:val="0"/>
          <w:numId w:val="5"/>
        </w:numPr>
        <w:tabs>
          <w:tab w:pos="3401" w:val="left" w:leader="none"/>
        </w:tabs>
        <w:spacing w:line="253" w:lineRule="exact" w:before="1" w:after="0"/>
        <w:ind w:left="3401" w:right="0" w:hanging="358"/>
        <w:jc w:val="both"/>
        <w:rPr>
          <w:rFonts w:ascii="Arial" w:hAnsi="Arial"/>
          <w:i/>
          <w:sz w:val="22"/>
        </w:rPr>
      </w:pPr>
      <w:r>
        <w:rPr>
          <w:rFonts w:ascii="Arial" w:hAnsi="Arial"/>
          <w:i/>
          <w:spacing w:val="-2"/>
          <w:sz w:val="22"/>
        </w:rPr>
        <w:t>La</w:t>
      </w:r>
      <w:r>
        <w:rPr>
          <w:rFonts w:ascii="Arial" w:hAnsi="Arial"/>
          <w:i/>
          <w:spacing w:val="-9"/>
          <w:sz w:val="22"/>
        </w:rPr>
        <w:t> </w:t>
      </w:r>
      <w:r>
        <w:rPr>
          <w:rFonts w:ascii="Arial" w:hAnsi="Arial"/>
          <w:i/>
          <w:spacing w:val="-2"/>
          <w:sz w:val="22"/>
        </w:rPr>
        <w:t>medida</w:t>
      </w:r>
      <w:r>
        <w:rPr>
          <w:rFonts w:ascii="Arial" w:hAnsi="Arial"/>
          <w:i/>
          <w:spacing w:val="-12"/>
          <w:sz w:val="22"/>
        </w:rPr>
        <w:t> </w:t>
      </w:r>
      <w:r>
        <w:rPr>
          <w:rFonts w:ascii="Arial" w:hAnsi="Arial"/>
          <w:i/>
          <w:spacing w:val="-2"/>
          <w:sz w:val="22"/>
        </w:rPr>
        <w:t>debe</w:t>
      </w:r>
      <w:r>
        <w:rPr>
          <w:rFonts w:ascii="Arial" w:hAnsi="Arial"/>
          <w:i/>
          <w:spacing w:val="-12"/>
          <w:sz w:val="22"/>
        </w:rPr>
        <w:t> </w:t>
      </w:r>
      <w:r>
        <w:rPr>
          <w:rFonts w:ascii="Arial" w:hAnsi="Arial"/>
          <w:i/>
          <w:spacing w:val="-2"/>
          <w:sz w:val="22"/>
        </w:rPr>
        <w:t>ser</w:t>
      </w:r>
      <w:r>
        <w:rPr>
          <w:rFonts w:ascii="Arial" w:hAnsi="Arial"/>
          <w:i/>
          <w:spacing w:val="-11"/>
          <w:sz w:val="22"/>
        </w:rPr>
        <w:t> </w:t>
      </w:r>
      <w:r>
        <w:rPr>
          <w:rFonts w:ascii="Arial" w:hAnsi="Arial"/>
          <w:i/>
          <w:spacing w:val="-2"/>
          <w:sz w:val="22"/>
        </w:rPr>
        <w:t>idónea</w:t>
      </w:r>
      <w:r>
        <w:rPr>
          <w:rFonts w:ascii="Arial" w:hAnsi="Arial"/>
          <w:i/>
          <w:spacing w:val="-8"/>
          <w:sz w:val="22"/>
        </w:rPr>
        <w:t> </w:t>
      </w:r>
      <w:r>
        <w:rPr>
          <w:rFonts w:ascii="Arial" w:hAnsi="Arial"/>
          <w:i/>
          <w:spacing w:val="-2"/>
          <w:sz w:val="22"/>
        </w:rPr>
        <w:t>para</w:t>
      </w:r>
      <w:r>
        <w:rPr>
          <w:rFonts w:ascii="Arial" w:hAnsi="Arial"/>
          <w:i/>
          <w:spacing w:val="-12"/>
          <w:sz w:val="22"/>
        </w:rPr>
        <w:t> </w:t>
      </w:r>
      <w:r>
        <w:rPr>
          <w:rFonts w:ascii="Arial" w:hAnsi="Arial"/>
          <w:i/>
          <w:spacing w:val="-2"/>
          <w:sz w:val="22"/>
        </w:rPr>
        <w:t>cumplir</w:t>
      </w:r>
      <w:r>
        <w:rPr>
          <w:rFonts w:ascii="Arial" w:hAnsi="Arial"/>
          <w:i/>
          <w:spacing w:val="-8"/>
          <w:sz w:val="22"/>
        </w:rPr>
        <w:t> </w:t>
      </w:r>
      <w:r>
        <w:rPr>
          <w:rFonts w:ascii="Arial" w:hAnsi="Arial"/>
          <w:i/>
          <w:spacing w:val="-2"/>
          <w:sz w:val="22"/>
        </w:rPr>
        <w:t>la</w:t>
      </w:r>
      <w:r>
        <w:rPr>
          <w:rFonts w:ascii="Arial" w:hAnsi="Arial"/>
          <w:i/>
          <w:spacing w:val="-12"/>
          <w:sz w:val="22"/>
        </w:rPr>
        <w:t> </w:t>
      </w:r>
      <w:r>
        <w:rPr>
          <w:rFonts w:ascii="Arial" w:hAnsi="Arial"/>
          <w:i/>
          <w:spacing w:val="-2"/>
          <w:sz w:val="22"/>
        </w:rPr>
        <w:t>mencionada</w:t>
      </w:r>
      <w:r>
        <w:rPr>
          <w:rFonts w:ascii="Arial" w:hAnsi="Arial"/>
          <w:i/>
          <w:spacing w:val="-8"/>
          <w:sz w:val="22"/>
        </w:rPr>
        <w:t> </w:t>
      </w:r>
      <w:r>
        <w:rPr>
          <w:rFonts w:ascii="Arial" w:hAnsi="Arial"/>
          <w:i/>
          <w:spacing w:val="-2"/>
          <w:sz w:val="22"/>
        </w:rPr>
        <w:t>finalidad.</w:t>
      </w:r>
    </w:p>
    <w:p>
      <w:pPr>
        <w:pStyle w:val="ListParagraph"/>
        <w:numPr>
          <w:ilvl w:val="0"/>
          <w:numId w:val="5"/>
        </w:numPr>
        <w:tabs>
          <w:tab w:pos="3403" w:val="left" w:leader="none"/>
        </w:tabs>
        <w:spacing w:line="240" w:lineRule="auto" w:before="0" w:after="0"/>
        <w:ind w:left="3403" w:right="980" w:hanging="360"/>
        <w:jc w:val="both"/>
        <w:rPr>
          <w:rFonts w:ascii="Arial" w:hAnsi="Arial"/>
          <w:i/>
          <w:sz w:val="22"/>
        </w:rPr>
      </w:pPr>
      <w:r>
        <w:rPr>
          <w:rFonts w:ascii="Arial" w:hAnsi="Arial"/>
          <w:i/>
          <w:sz w:val="22"/>
        </w:rPr>
        <w:t>La medida debe ser necesaria (o insustituible); es decir, no debería haber otra medida menos lesiva o gravosa al comercio subregional andino que podría cumplir con la mencionada </w:t>
      </w:r>
      <w:r>
        <w:rPr>
          <w:rFonts w:ascii="Arial" w:hAnsi="Arial"/>
          <w:i/>
          <w:spacing w:val="-2"/>
          <w:sz w:val="22"/>
        </w:rPr>
        <w:t>finalidad.</w:t>
      </w:r>
    </w:p>
    <w:p>
      <w:pPr>
        <w:pStyle w:val="ListParagraph"/>
        <w:numPr>
          <w:ilvl w:val="0"/>
          <w:numId w:val="5"/>
        </w:numPr>
        <w:tabs>
          <w:tab w:pos="3401" w:val="left" w:leader="none"/>
          <w:tab w:pos="3403" w:val="left" w:leader="none"/>
        </w:tabs>
        <w:spacing w:line="240" w:lineRule="auto" w:before="1" w:after="0"/>
        <w:ind w:left="3403" w:right="980" w:hanging="360"/>
        <w:jc w:val="both"/>
        <w:rPr>
          <w:rFonts w:ascii="Arial"/>
          <w:i/>
          <w:sz w:val="22"/>
        </w:rPr>
      </w:pPr>
      <w:r>
        <w:rPr>
          <w:rFonts w:ascii="Arial"/>
          <w:i/>
          <w:sz w:val="22"/>
        </w:rPr>
        <w:t>La medida deber ser proporcional; esto es, que sus beneficios son superiores a sus costos, tanto a nivel cuantitativo como </w:t>
      </w:r>
      <w:r>
        <w:rPr>
          <w:rFonts w:ascii="Arial"/>
          <w:i/>
          <w:spacing w:val="-2"/>
          <w:sz w:val="22"/>
        </w:rPr>
        <w:t>cualitativo.</w:t>
      </w:r>
    </w:p>
    <w:p>
      <w:pPr>
        <w:pStyle w:val="ListParagraph"/>
        <w:numPr>
          <w:ilvl w:val="0"/>
          <w:numId w:val="5"/>
        </w:numPr>
        <w:tabs>
          <w:tab w:pos="3401" w:val="left" w:leader="none"/>
          <w:tab w:pos="3403" w:val="left" w:leader="none"/>
        </w:tabs>
        <w:spacing w:line="240" w:lineRule="auto" w:before="0" w:after="0"/>
        <w:ind w:left="3403" w:right="977" w:hanging="360"/>
        <w:jc w:val="both"/>
        <w:rPr>
          <w:sz w:val="22"/>
        </w:rPr>
      </w:pPr>
      <w:r>
        <w:rPr>
          <w:rFonts w:ascii="Arial" w:hAnsi="Arial"/>
          <w:i/>
          <w:sz w:val="22"/>
        </w:rPr>
        <w:t>La medida no debe de ser discriminatoria.” </w:t>
      </w:r>
      <w:r>
        <w:rPr>
          <w:sz w:val="22"/>
        </w:rPr>
        <w:t>(Énfasis fuera del </w:t>
      </w:r>
      <w:r>
        <w:rPr>
          <w:spacing w:val="-2"/>
          <w:sz w:val="22"/>
        </w:rPr>
        <w:t>texto)</w:t>
      </w:r>
    </w:p>
    <w:p>
      <w:pPr>
        <w:pStyle w:val="ListParagraph"/>
        <w:numPr>
          <w:ilvl w:val="0"/>
          <w:numId w:val="2"/>
        </w:numPr>
        <w:tabs>
          <w:tab w:pos="1420" w:val="left" w:leader="none"/>
        </w:tabs>
        <w:spacing w:line="240" w:lineRule="auto" w:before="252" w:after="0"/>
        <w:ind w:left="1420" w:right="977" w:hanging="852"/>
        <w:jc w:val="both"/>
        <w:rPr>
          <w:sz w:val="22"/>
        </w:rPr>
      </w:pPr>
      <w:r>
        <w:rPr>
          <w:sz w:val="22"/>
        </w:rPr>
        <w:t>En atención a los criterios desarrollados por el TJCAN y a la información que cursa en el expediente de</w:t>
      </w:r>
      <w:r>
        <w:rPr>
          <w:spacing w:val="-1"/>
          <w:sz w:val="22"/>
        </w:rPr>
        <w:t> </w:t>
      </w:r>
      <w:r>
        <w:rPr>
          <w:sz w:val="22"/>
        </w:rPr>
        <w:t>este procedimiento, corresponde evaluar si la</w:t>
      </w:r>
      <w:r>
        <w:rPr>
          <w:spacing w:val="-1"/>
          <w:sz w:val="22"/>
        </w:rPr>
        <w:t> </w:t>
      </w:r>
      <w:r>
        <w:rPr>
          <w:sz w:val="22"/>
        </w:rPr>
        <w:t>medida</w:t>
      </w:r>
      <w:r>
        <w:rPr>
          <w:spacing w:val="-1"/>
          <w:sz w:val="22"/>
        </w:rPr>
        <w:t> </w:t>
      </w:r>
      <w:r>
        <w:rPr>
          <w:sz w:val="22"/>
        </w:rPr>
        <w:t>objeto</w:t>
      </w:r>
      <w:r>
        <w:rPr>
          <w:spacing w:val="-1"/>
          <w:sz w:val="22"/>
        </w:rPr>
        <w:t> </w:t>
      </w:r>
      <w:r>
        <w:rPr>
          <w:sz w:val="22"/>
        </w:rPr>
        <w:t>de investigación</w:t>
      </w:r>
      <w:r>
        <w:rPr>
          <w:spacing w:val="-15"/>
          <w:sz w:val="22"/>
        </w:rPr>
        <w:t> </w:t>
      </w:r>
      <w:r>
        <w:rPr>
          <w:sz w:val="22"/>
        </w:rPr>
        <w:t>ha</w:t>
      </w:r>
      <w:r>
        <w:rPr>
          <w:spacing w:val="-14"/>
          <w:sz w:val="22"/>
        </w:rPr>
        <w:t> </w:t>
      </w:r>
      <w:r>
        <w:rPr>
          <w:sz w:val="22"/>
        </w:rPr>
        <w:t>generado</w:t>
      </w:r>
      <w:r>
        <w:rPr>
          <w:spacing w:val="-14"/>
          <w:sz w:val="22"/>
        </w:rPr>
        <w:t> </w:t>
      </w:r>
      <w:r>
        <w:rPr>
          <w:sz w:val="22"/>
        </w:rPr>
        <w:t>alguno</w:t>
      </w:r>
      <w:r>
        <w:rPr>
          <w:spacing w:val="-14"/>
          <w:sz w:val="22"/>
        </w:rPr>
        <w:t> </w:t>
      </w:r>
      <w:r>
        <w:rPr>
          <w:sz w:val="22"/>
        </w:rPr>
        <w:t>de</w:t>
      </w:r>
      <w:r>
        <w:rPr>
          <w:spacing w:val="-14"/>
          <w:sz w:val="22"/>
        </w:rPr>
        <w:t> </w:t>
      </w:r>
      <w:r>
        <w:rPr>
          <w:sz w:val="22"/>
        </w:rPr>
        <w:t>los</w:t>
      </w:r>
      <w:r>
        <w:rPr>
          <w:spacing w:val="-13"/>
          <w:sz w:val="22"/>
        </w:rPr>
        <w:t> </w:t>
      </w:r>
      <w:r>
        <w:rPr>
          <w:sz w:val="22"/>
        </w:rPr>
        <w:t>siguientes</w:t>
      </w:r>
      <w:r>
        <w:rPr>
          <w:spacing w:val="-13"/>
          <w:sz w:val="22"/>
        </w:rPr>
        <w:t> </w:t>
      </w:r>
      <w:r>
        <w:rPr>
          <w:sz w:val="22"/>
        </w:rPr>
        <w:t>efectos</w:t>
      </w:r>
      <w:r>
        <w:rPr>
          <w:spacing w:val="-13"/>
          <w:sz w:val="22"/>
        </w:rPr>
        <w:t> </w:t>
      </w:r>
      <w:r>
        <w:rPr>
          <w:sz w:val="22"/>
        </w:rPr>
        <w:t>en</w:t>
      </w:r>
      <w:r>
        <w:rPr>
          <w:spacing w:val="-14"/>
          <w:sz w:val="22"/>
        </w:rPr>
        <w:t> </w:t>
      </w:r>
      <w:r>
        <w:rPr>
          <w:sz w:val="22"/>
        </w:rPr>
        <w:t>el</w:t>
      </w:r>
      <w:r>
        <w:rPr>
          <w:spacing w:val="-15"/>
          <w:sz w:val="22"/>
        </w:rPr>
        <w:t> </w:t>
      </w:r>
      <w:r>
        <w:rPr>
          <w:sz w:val="22"/>
        </w:rPr>
        <w:t>marco</w:t>
      </w:r>
      <w:r>
        <w:rPr>
          <w:spacing w:val="-14"/>
          <w:sz w:val="22"/>
        </w:rPr>
        <w:t> </w:t>
      </w:r>
      <w:r>
        <w:rPr>
          <w:sz w:val="22"/>
        </w:rPr>
        <w:t>del</w:t>
      </w:r>
      <w:r>
        <w:rPr>
          <w:spacing w:val="-16"/>
          <w:sz w:val="22"/>
        </w:rPr>
        <w:t> </w:t>
      </w:r>
      <w:r>
        <w:rPr>
          <w:sz w:val="22"/>
        </w:rPr>
        <w:t>Programa de Liberación previsto en el Acuerdo de Cartagena, en cuyo caso tendría que continuarse el análisis, para determinar si podría considerarse como una de las causales de excepción previstas en el artículo 73. En tal sentido, deberá analizarse si la medida causa uno de los siguientes efectos:</w:t>
      </w:r>
    </w:p>
    <w:p>
      <w:pPr>
        <w:pStyle w:val="BodyText"/>
        <w:spacing w:before="2"/>
      </w:pPr>
    </w:p>
    <w:p>
      <w:pPr>
        <w:pStyle w:val="ListParagraph"/>
        <w:numPr>
          <w:ilvl w:val="0"/>
          <w:numId w:val="6"/>
        </w:numPr>
        <w:tabs>
          <w:tab w:pos="2836" w:val="left" w:leader="none"/>
        </w:tabs>
        <w:spacing w:line="252" w:lineRule="exact" w:before="0" w:after="0"/>
        <w:ind w:left="2836" w:right="0" w:hanging="425"/>
        <w:jc w:val="left"/>
        <w:rPr>
          <w:sz w:val="22"/>
        </w:rPr>
      </w:pPr>
      <w:r>
        <w:rPr>
          <w:sz w:val="22"/>
        </w:rPr>
        <w:t>Impedir,</w:t>
      </w:r>
      <w:r>
        <w:rPr>
          <w:spacing w:val="-9"/>
          <w:sz w:val="22"/>
        </w:rPr>
        <w:t> </w:t>
      </w:r>
      <w:r>
        <w:rPr>
          <w:sz w:val="22"/>
        </w:rPr>
        <w:t>suspender</w:t>
      </w:r>
      <w:r>
        <w:rPr>
          <w:spacing w:val="-7"/>
          <w:sz w:val="22"/>
        </w:rPr>
        <w:t> </w:t>
      </w:r>
      <w:r>
        <w:rPr>
          <w:sz w:val="22"/>
        </w:rPr>
        <w:t>o</w:t>
      </w:r>
      <w:r>
        <w:rPr>
          <w:spacing w:val="-5"/>
          <w:sz w:val="22"/>
        </w:rPr>
        <w:t> </w:t>
      </w:r>
      <w:r>
        <w:rPr>
          <w:sz w:val="22"/>
        </w:rPr>
        <w:t>prohibir</w:t>
      </w:r>
      <w:r>
        <w:rPr>
          <w:spacing w:val="-5"/>
          <w:sz w:val="22"/>
        </w:rPr>
        <w:t> </w:t>
      </w:r>
      <w:r>
        <w:rPr>
          <w:sz w:val="22"/>
        </w:rPr>
        <w:t>las</w:t>
      </w:r>
      <w:r>
        <w:rPr>
          <w:spacing w:val="-6"/>
          <w:sz w:val="22"/>
        </w:rPr>
        <w:t> </w:t>
      </w:r>
      <w:r>
        <w:rPr>
          <w:sz w:val="22"/>
        </w:rPr>
        <w:t>importaciones</w:t>
      </w:r>
      <w:r>
        <w:rPr>
          <w:spacing w:val="-7"/>
          <w:sz w:val="22"/>
        </w:rPr>
        <w:t> </w:t>
      </w:r>
      <w:r>
        <w:rPr>
          <w:sz w:val="22"/>
        </w:rPr>
        <w:t>de</w:t>
      </w:r>
      <w:r>
        <w:rPr>
          <w:spacing w:val="-6"/>
          <w:sz w:val="22"/>
        </w:rPr>
        <w:t> </w:t>
      </w:r>
      <w:r>
        <w:rPr>
          <w:sz w:val="22"/>
        </w:rPr>
        <w:t>origen</w:t>
      </w:r>
      <w:r>
        <w:rPr>
          <w:spacing w:val="-6"/>
          <w:sz w:val="22"/>
        </w:rPr>
        <w:t> </w:t>
      </w:r>
      <w:r>
        <w:rPr>
          <w:sz w:val="22"/>
        </w:rPr>
        <w:t>andino;</w:t>
      </w:r>
      <w:r>
        <w:rPr>
          <w:spacing w:val="-3"/>
          <w:sz w:val="22"/>
        </w:rPr>
        <w:t> </w:t>
      </w:r>
      <w:r>
        <w:rPr>
          <w:spacing w:val="-10"/>
          <w:sz w:val="22"/>
        </w:rPr>
        <w:t>o</w:t>
      </w:r>
    </w:p>
    <w:p>
      <w:pPr>
        <w:pStyle w:val="ListParagraph"/>
        <w:numPr>
          <w:ilvl w:val="0"/>
          <w:numId w:val="6"/>
        </w:numPr>
        <w:tabs>
          <w:tab w:pos="2833" w:val="left" w:leader="none"/>
          <w:tab w:pos="2837" w:val="left" w:leader="none"/>
        </w:tabs>
        <w:spacing w:line="240" w:lineRule="auto" w:before="0" w:after="0"/>
        <w:ind w:left="2837" w:right="979" w:hanging="426"/>
        <w:jc w:val="left"/>
        <w:rPr>
          <w:sz w:val="22"/>
        </w:rPr>
      </w:pPr>
      <w:r>
        <w:rPr>
          <w:sz w:val="22"/>
        </w:rPr>
        <w:t>Dificultar,</w:t>
      </w:r>
      <w:r>
        <w:rPr>
          <w:spacing w:val="-8"/>
          <w:sz w:val="22"/>
        </w:rPr>
        <w:t> </w:t>
      </w:r>
      <w:r>
        <w:rPr>
          <w:sz w:val="22"/>
        </w:rPr>
        <w:t>encarecer</w:t>
      </w:r>
      <w:r>
        <w:rPr>
          <w:spacing w:val="-7"/>
          <w:sz w:val="22"/>
        </w:rPr>
        <w:t> </w:t>
      </w:r>
      <w:r>
        <w:rPr>
          <w:sz w:val="22"/>
        </w:rPr>
        <w:t>o</w:t>
      </w:r>
      <w:r>
        <w:rPr>
          <w:spacing w:val="-10"/>
          <w:sz w:val="22"/>
        </w:rPr>
        <w:t> </w:t>
      </w:r>
      <w:r>
        <w:rPr>
          <w:sz w:val="22"/>
        </w:rPr>
        <w:t>hacer</w:t>
      </w:r>
      <w:r>
        <w:rPr>
          <w:spacing w:val="-9"/>
          <w:sz w:val="22"/>
        </w:rPr>
        <w:t> </w:t>
      </w:r>
      <w:r>
        <w:rPr>
          <w:sz w:val="22"/>
        </w:rPr>
        <w:t>más</w:t>
      </w:r>
      <w:r>
        <w:rPr>
          <w:spacing w:val="-10"/>
          <w:sz w:val="22"/>
        </w:rPr>
        <w:t> </w:t>
      </w:r>
      <w:r>
        <w:rPr>
          <w:sz w:val="22"/>
        </w:rPr>
        <w:t>onerosa</w:t>
      </w:r>
      <w:r>
        <w:rPr>
          <w:spacing w:val="-10"/>
          <w:sz w:val="22"/>
        </w:rPr>
        <w:t> </w:t>
      </w:r>
      <w:r>
        <w:rPr>
          <w:sz w:val="22"/>
        </w:rPr>
        <w:t>la</w:t>
      </w:r>
      <w:r>
        <w:rPr>
          <w:spacing w:val="-7"/>
          <w:sz w:val="22"/>
        </w:rPr>
        <w:t> </w:t>
      </w:r>
      <w:r>
        <w:rPr>
          <w:sz w:val="22"/>
        </w:rPr>
        <w:t>operación</w:t>
      </w:r>
      <w:r>
        <w:rPr>
          <w:spacing w:val="-8"/>
          <w:sz w:val="22"/>
        </w:rPr>
        <w:t> </w:t>
      </w:r>
      <w:r>
        <w:rPr>
          <w:sz w:val="22"/>
        </w:rPr>
        <w:t>de</w:t>
      </w:r>
      <w:r>
        <w:rPr>
          <w:spacing w:val="-8"/>
          <w:sz w:val="22"/>
        </w:rPr>
        <w:t> </w:t>
      </w:r>
      <w:r>
        <w:rPr>
          <w:sz w:val="22"/>
        </w:rPr>
        <w:t>importación de dichos productos.</w:t>
      </w:r>
    </w:p>
    <w:p>
      <w:pPr>
        <w:pStyle w:val="ListParagraph"/>
        <w:numPr>
          <w:ilvl w:val="0"/>
          <w:numId w:val="2"/>
        </w:numPr>
        <w:tabs>
          <w:tab w:pos="1420" w:val="left" w:leader="none"/>
        </w:tabs>
        <w:spacing w:line="240" w:lineRule="auto" w:before="252" w:after="0"/>
        <w:ind w:left="1420" w:right="0" w:hanging="852"/>
        <w:jc w:val="left"/>
        <w:rPr>
          <w:sz w:val="22"/>
        </w:rPr>
      </w:pPr>
      <w:r>
        <w:rPr>
          <w:sz w:val="22"/>
        </w:rPr>
        <w:t>A</w:t>
      </w:r>
      <w:r>
        <w:rPr>
          <w:spacing w:val="-4"/>
          <w:sz w:val="22"/>
        </w:rPr>
        <w:t> </w:t>
      </w:r>
      <w:r>
        <w:rPr>
          <w:sz w:val="22"/>
        </w:rPr>
        <w:t>su</w:t>
      </w:r>
      <w:r>
        <w:rPr>
          <w:spacing w:val="-4"/>
          <w:sz w:val="22"/>
        </w:rPr>
        <w:t> </w:t>
      </w:r>
      <w:r>
        <w:rPr>
          <w:sz w:val="22"/>
        </w:rPr>
        <w:t>vez,</w:t>
      </w:r>
      <w:r>
        <w:rPr>
          <w:spacing w:val="-4"/>
          <w:sz w:val="22"/>
        </w:rPr>
        <w:t> </w:t>
      </w:r>
      <w:r>
        <w:rPr>
          <w:sz w:val="22"/>
        </w:rPr>
        <w:t>correspondería</w:t>
      </w:r>
      <w:r>
        <w:rPr>
          <w:spacing w:val="-6"/>
          <w:sz w:val="22"/>
        </w:rPr>
        <w:t> </w:t>
      </w:r>
      <w:r>
        <w:rPr>
          <w:sz w:val="22"/>
        </w:rPr>
        <w:t>analizar</w:t>
      </w:r>
      <w:r>
        <w:rPr>
          <w:spacing w:val="-2"/>
          <w:sz w:val="22"/>
        </w:rPr>
        <w:t> </w:t>
      </w:r>
      <w:r>
        <w:rPr>
          <w:sz w:val="22"/>
        </w:rPr>
        <w:t>si</w:t>
      </w:r>
      <w:r>
        <w:rPr>
          <w:spacing w:val="-4"/>
          <w:sz w:val="22"/>
        </w:rPr>
        <w:t> </w:t>
      </w:r>
      <w:r>
        <w:rPr>
          <w:sz w:val="22"/>
        </w:rPr>
        <w:t>la</w:t>
      </w:r>
      <w:r>
        <w:rPr>
          <w:spacing w:val="-5"/>
          <w:sz w:val="22"/>
        </w:rPr>
        <w:t> </w:t>
      </w:r>
      <w:r>
        <w:rPr>
          <w:spacing w:val="-2"/>
          <w:sz w:val="22"/>
        </w:rPr>
        <w:t>medida:</w:t>
      </w:r>
    </w:p>
    <w:p>
      <w:pPr>
        <w:pStyle w:val="BodyText"/>
      </w:pPr>
    </w:p>
    <w:p>
      <w:pPr>
        <w:pStyle w:val="ListParagraph"/>
        <w:numPr>
          <w:ilvl w:val="0"/>
          <w:numId w:val="7"/>
        </w:numPr>
        <w:tabs>
          <w:tab w:pos="2836" w:val="left" w:leader="none"/>
        </w:tabs>
        <w:spacing w:line="240" w:lineRule="auto" w:before="1" w:after="0"/>
        <w:ind w:left="2836" w:right="0" w:hanging="425"/>
        <w:jc w:val="left"/>
        <w:rPr>
          <w:sz w:val="22"/>
        </w:rPr>
      </w:pPr>
      <w:r>
        <w:rPr>
          <w:sz w:val="22"/>
        </w:rPr>
        <w:t>Se</w:t>
      </w:r>
      <w:r>
        <w:rPr>
          <w:spacing w:val="-4"/>
          <w:sz w:val="22"/>
        </w:rPr>
        <w:t> </w:t>
      </w:r>
      <w:r>
        <w:rPr>
          <w:sz w:val="22"/>
        </w:rPr>
        <w:t>fundamenta</w:t>
      </w:r>
      <w:r>
        <w:rPr>
          <w:spacing w:val="-6"/>
          <w:sz w:val="22"/>
        </w:rPr>
        <w:t> </w:t>
      </w:r>
      <w:r>
        <w:rPr>
          <w:sz w:val="22"/>
        </w:rPr>
        <w:t>en</w:t>
      </w:r>
      <w:r>
        <w:rPr>
          <w:spacing w:val="-4"/>
          <w:sz w:val="22"/>
        </w:rPr>
        <w:t> </w:t>
      </w:r>
      <w:r>
        <w:rPr>
          <w:sz w:val="22"/>
        </w:rPr>
        <w:t>el</w:t>
      </w:r>
      <w:r>
        <w:rPr>
          <w:spacing w:val="-5"/>
          <w:sz w:val="22"/>
        </w:rPr>
        <w:t> </w:t>
      </w:r>
      <w:r>
        <w:rPr>
          <w:sz w:val="22"/>
        </w:rPr>
        <w:t>artículo</w:t>
      </w:r>
      <w:r>
        <w:rPr>
          <w:spacing w:val="-3"/>
          <w:sz w:val="22"/>
        </w:rPr>
        <w:t> </w:t>
      </w:r>
      <w:r>
        <w:rPr>
          <w:sz w:val="22"/>
        </w:rPr>
        <w:t>73</w:t>
      </w:r>
      <w:r>
        <w:rPr>
          <w:spacing w:val="-4"/>
          <w:sz w:val="22"/>
        </w:rPr>
        <w:t> </w:t>
      </w:r>
      <w:r>
        <w:rPr>
          <w:sz w:val="22"/>
        </w:rPr>
        <w:t>del</w:t>
      </w:r>
      <w:r>
        <w:rPr>
          <w:spacing w:val="-4"/>
          <w:sz w:val="22"/>
        </w:rPr>
        <w:t> </w:t>
      </w:r>
      <w:r>
        <w:rPr>
          <w:sz w:val="22"/>
        </w:rPr>
        <w:t>Acuerdo</w:t>
      </w:r>
      <w:r>
        <w:rPr>
          <w:spacing w:val="-4"/>
          <w:sz w:val="22"/>
        </w:rPr>
        <w:t> </w:t>
      </w:r>
      <w:r>
        <w:rPr>
          <w:sz w:val="22"/>
        </w:rPr>
        <w:t>de</w:t>
      </w:r>
      <w:r>
        <w:rPr>
          <w:spacing w:val="-8"/>
          <w:sz w:val="22"/>
        </w:rPr>
        <w:t> </w:t>
      </w:r>
      <w:r>
        <w:rPr>
          <w:spacing w:val="-2"/>
          <w:sz w:val="22"/>
        </w:rPr>
        <w:t>Cartagena;</w:t>
      </w:r>
    </w:p>
    <w:p>
      <w:pPr>
        <w:pStyle w:val="ListParagraph"/>
        <w:numPr>
          <w:ilvl w:val="0"/>
          <w:numId w:val="7"/>
        </w:numPr>
        <w:tabs>
          <w:tab w:pos="2833" w:val="left" w:leader="none"/>
        </w:tabs>
        <w:spacing w:line="252" w:lineRule="exact" w:before="1" w:after="0"/>
        <w:ind w:left="2833" w:right="0" w:hanging="422"/>
        <w:jc w:val="left"/>
        <w:rPr>
          <w:sz w:val="22"/>
        </w:rPr>
      </w:pPr>
      <w:r>
        <w:rPr>
          <w:sz w:val="22"/>
        </w:rPr>
        <w:t>Es </w:t>
      </w:r>
      <w:r>
        <w:rPr>
          <w:spacing w:val="-2"/>
          <w:sz w:val="22"/>
        </w:rPr>
        <w:t>idónea;</w:t>
      </w:r>
    </w:p>
    <w:p>
      <w:pPr>
        <w:pStyle w:val="ListParagraph"/>
        <w:numPr>
          <w:ilvl w:val="0"/>
          <w:numId w:val="7"/>
        </w:numPr>
        <w:tabs>
          <w:tab w:pos="2832" w:val="left" w:leader="none"/>
        </w:tabs>
        <w:spacing w:line="252" w:lineRule="exact" w:before="0" w:after="0"/>
        <w:ind w:left="2832" w:right="0" w:hanging="421"/>
        <w:jc w:val="left"/>
        <w:rPr>
          <w:sz w:val="22"/>
        </w:rPr>
      </w:pPr>
      <w:r>
        <w:rPr>
          <w:sz w:val="22"/>
        </w:rPr>
        <w:t>Es</w:t>
      </w:r>
      <w:r>
        <w:rPr>
          <w:spacing w:val="-3"/>
          <w:sz w:val="22"/>
        </w:rPr>
        <w:t> </w:t>
      </w:r>
      <w:r>
        <w:rPr>
          <w:sz w:val="22"/>
        </w:rPr>
        <w:t>necesaria</w:t>
      </w:r>
      <w:r>
        <w:rPr>
          <w:spacing w:val="-4"/>
          <w:sz w:val="22"/>
        </w:rPr>
        <w:t> </w:t>
      </w:r>
      <w:r>
        <w:rPr>
          <w:sz w:val="22"/>
        </w:rPr>
        <w:t>o</w:t>
      </w:r>
      <w:r>
        <w:rPr>
          <w:spacing w:val="-3"/>
          <w:sz w:val="22"/>
        </w:rPr>
        <w:t> </w:t>
      </w:r>
      <w:r>
        <w:rPr>
          <w:spacing w:val="-2"/>
          <w:sz w:val="22"/>
        </w:rPr>
        <w:t>insustituible;</w:t>
      </w:r>
    </w:p>
    <w:p>
      <w:pPr>
        <w:pStyle w:val="ListParagraph"/>
        <w:numPr>
          <w:ilvl w:val="0"/>
          <w:numId w:val="7"/>
        </w:numPr>
        <w:tabs>
          <w:tab w:pos="2834" w:val="left" w:leader="none"/>
        </w:tabs>
        <w:spacing w:line="253" w:lineRule="exact" w:before="0" w:after="0"/>
        <w:ind w:left="2834" w:right="0" w:hanging="423"/>
        <w:jc w:val="left"/>
        <w:rPr>
          <w:sz w:val="22"/>
        </w:rPr>
      </w:pPr>
      <w:r>
        <w:rPr>
          <w:sz w:val="22"/>
        </w:rPr>
        <w:t>Es</w:t>
      </w:r>
      <w:r>
        <w:rPr>
          <w:spacing w:val="-8"/>
          <w:sz w:val="22"/>
        </w:rPr>
        <w:t> </w:t>
      </w:r>
      <w:r>
        <w:rPr>
          <w:sz w:val="22"/>
        </w:rPr>
        <w:t>proporcional;</w:t>
      </w:r>
      <w:r>
        <w:rPr>
          <w:spacing w:val="-6"/>
          <w:sz w:val="22"/>
        </w:rPr>
        <w:t> </w:t>
      </w:r>
      <w:r>
        <w:rPr>
          <w:spacing w:val="-5"/>
          <w:sz w:val="22"/>
        </w:rPr>
        <w:t>y,</w:t>
      </w:r>
    </w:p>
    <w:p>
      <w:pPr>
        <w:pStyle w:val="ListParagraph"/>
        <w:numPr>
          <w:ilvl w:val="0"/>
          <w:numId w:val="7"/>
        </w:numPr>
        <w:tabs>
          <w:tab w:pos="2834" w:val="left" w:leader="none"/>
        </w:tabs>
        <w:spacing w:line="240" w:lineRule="auto" w:before="1" w:after="0"/>
        <w:ind w:left="2834" w:right="0" w:hanging="423"/>
        <w:jc w:val="left"/>
        <w:rPr>
          <w:sz w:val="22"/>
        </w:rPr>
      </w:pPr>
      <w:r>
        <w:rPr>
          <w:sz w:val="22"/>
        </w:rPr>
        <w:t>Es</w:t>
      </w:r>
      <w:r>
        <w:rPr>
          <w:spacing w:val="-3"/>
          <w:sz w:val="22"/>
        </w:rPr>
        <w:t> </w:t>
      </w:r>
      <w:r>
        <w:rPr>
          <w:sz w:val="22"/>
        </w:rPr>
        <w:t>de</w:t>
      </w:r>
      <w:r>
        <w:rPr>
          <w:spacing w:val="-4"/>
          <w:sz w:val="22"/>
        </w:rPr>
        <w:t> </w:t>
      </w:r>
      <w:r>
        <w:rPr>
          <w:sz w:val="22"/>
        </w:rPr>
        <w:t>carácter</w:t>
      </w:r>
      <w:r>
        <w:rPr>
          <w:spacing w:val="-3"/>
          <w:sz w:val="22"/>
        </w:rPr>
        <w:t> </w:t>
      </w:r>
      <w:r>
        <w:rPr>
          <w:sz w:val="22"/>
        </w:rPr>
        <w:t>no</w:t>
      </w:r>
      <w:r>
        <w:rPr>
          <w:spacing w:val="-3"/>
          <w:sz w:val="22"/>
        </w:rPr>
        <w:t> </w:t>
      </w:r>
      <w:r>
        <w:rPr>
          <w:spacing w:val="-2"/>
          <w:sz w:val="22"/>
        </w:rPr>
        <w:t>discriminatorio.</w:t>
      </w:r>
    </w:p>
    <w:p>
      <w:pPr>
        <w:pStyle w:val="ListParagraph"/>
        <w:spacing w:after="0" w:line="240" w:lineRule="auto"/>
        <w:jc w:val="left"/>
        <w:rPr>
          <w:sz w:val="22"/>
        </w:rPr>
        <w:sectPr>
          <w:headerReference w:type="default" r:id="rId20"/>
          <w:footerReference w:type="default" r:id="rId21"/>
          <w:pgSz w:w="11900" w:h="16850"/>
          <w:pgMar w:header="370" w:footer="651" w:top="1380" w:bottom="840" w:left="992" w:right="283"/>
        </w:sectPr>
      </w:pPr>
    </w:p>
    <w:p>
      <w:pPr>
        <w:pStyle w:val="BodyText"/>
        <w:spacing w:before="176"/>
      </w:pPr>
    </w:p>
    <w:p>
      <w:pPr>
        <w:pStyle w:val="Heading5"/>
        <w:numPr>
          <w:ilvl w:val="0"/>
          <w:numId w:val="1"/>
        </w:numPr>
        <w:tabs>
          <w:tab w:pos="1137" w:val="left" w:leader="none"/>
        </w:tabs>
        <w:spacing w:line="240" w:lineRule="auto" w:before="0" w:after="0"/>
        <w:ind w:left="1137" w:right="0" w:hanging="358"/>
        <w:jc w:val="left"/>
      </w:pPr>
      <w:r>
        <w:rPr/>
        <w:t>NORMAS</w:t>
      </w:r>
      <w:r>
        <w:rPr>
          <w:spacing w:val="-7"/>
        </w:rPr>
        <w:t> </w:t>
      </w:r>
      <w:r>
        <w:rPr>
          <w:spacing w:val="-2"/>
        </w:rPr>
        <w:t>APLICABLES</w:t>
      </w:r>
    </w:p>
    <w:p>
      <w:pPr>
        <w:pStyle w:val="BodyText"/>
        <w:spacing w:before="121"/>
        <w:rPr>
          <w:rFonts w:ascii="Arial"/>
          <w:b/>
        </w:rPr>
      </w:pPr>
    </w:p>
    <w:p>
      <w:pPr>
        <w:pStyle w:val="Heading6"/>
        <w:numPr>
          <w:ilvl w:val="1"/>
          <w:numId w:val="1"/>
        </w:numPr>
        <w:tabs>
          <w:tab w:pos="1276" w:val="left" w:leader="none"/>
        </w:tabs>
        <w:spacing w:line="240" w:lineRule="auto" w:before="0" w:after="0"/>
        <w:ind w:left="1276" w:right="0" w:hanging="708"/>
        <w:jc w:val="left"/>
      </w:pPr>
      <w:r>
        <w:rPr/>
        <w:t>De</w:t>
      </w:r>
      <w:r>
        <w:rPr>
          <w:spacing w:val="-4"/>
        </w:rPr>
        <w:t> </w:t>
      </w:r>
      <w:r>
        <w:rPr/>
        <w:t>los</w:t>
      </w:r>
      <w:r>
        <w:rPr>
          <w:spacing w:val="-2"/>
        </w:rPr>
        <w:t> </w:t>
      </w:r>
      <w:r>
        <w:rPr/>
        <w:t>artículos</w:t>
      </w:r>
      <w:r>
        <w:rPr>
          <w:spacing w:val="-5"/>
        </w:rPr>
        <w:t> </w:t>
      </w:r>
      <w:r>
        <w:rPr/>
        <w:t>72,</w:t>
      </w:r>
      <w:r>
        <w:rPr>
          <w:spacing w:val="-3"/>
        </w:rPr>
        <w:t> </w:t>
      </w:r>
      <w:r>
        <w:rPr/>
        <w:t>73,</w:t>
      </w:r>
      <w:r>
        <w:rPr>
          <w:spacing w:val="-3"/>
        </w:rPr>
        <w:t> </w:t>
      </w:r>
      <w:r>
        <w:rPr/>
        <w:t>74</w:t>
      </w:r>
      <w:r>
        <w:rPr>
          <w:spacing w:val="-2"/>
        </w:rPr>
        <w:t> </w:t>
      </w:r>
      <w:r>
        <w:rPr/>
        <w:t>y</w:t>
      </w:r>
      <w:r>
        <w:rPr>
          <w:spacing w:val="-2"/>
        </w:rPr>
        <w:t> </w:t>
      </w:r>
      <w:r>
        <w:rPr/>
        <w:t>77</w:t>
      </w:r>
      <w:r>
        <w:rPr>
          <w:spacing w:val="-4"/>
        </w:rPr>
        <w:t> </w:t>
      </w:r>
      <w:r>
        <w:rPr/>
        <w:t>del</w:t>
      </w:r>
      <w:r>
        <w:rPr>
          <w:spacing w:val="-5"/>
        </w:rPr>
        <w:t> </w:t>
      </w:r>
      <w:r>
        <w:rPr/>
        <w:t>Acuerdo</w:t>
      </w:r>
      <w:r>
        <w:rPr>
          <w:spacing w:val="-2"/>
        </w:rPr>
        <w:t> </w:t>
      </w:r>
      <w:r>
        <w:rPr/>
        <w:t>de</w:t>
      </w:r>
      <w:r>
        <w:rPr>
          <w:spacing w:val="-6"/>
        </w:rPr>
        <w:t> </w:t>
      </w:r>
      <w:r>
        <w:rPr>
          <w:spacing w:val="-2"/>
        </w:rPr>
        <w:t>Cartagena</w:t>
      </w:r>
    </w:p>
    <w:p>
      <w:pPr>
        <w:pStyle w:val="BodyText"/>
        <w:rPr>
          <w:rFonts w:ascii="Arial"/>
          <w:b/>
        </w:rPr>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Como se ha señalado en punto anterior, el Programa de Liberación constituye uno de los pilares fundamentales del Acuerdo de Cartagena, cuyo objetivo es promover el establecimiento de una zona de libre comercio en la subregión. En cuanto a su objeto, el artículo 72 del referido Acuerdo señala lo siguiente:</w:t>
      </w:r>
    </w:p>
    <w:p>
      <w:pPr>
        <w:pStyle w:val="BodyText"/>
      </w:pPr>
    </w:p>
    <w:p>
      <w:pPr>
        <w:spacing w:before="0"/>
        <w:ind w:left="2128" w:right="978" w:firstLine="0"/>
        <w:jc w:val="both"/>
        <w:rPr>
          <w:rFonts w:ascii="Arial" w:hAnsi="Arial"/>
          <w:i/>
          <w:sz w:val="22"/>
        </w:rPr>
      </w:pPr>
      <w:r>
        <w:rPr>
          <w:rFonts w:ascii="Arial" w:hAnsi="Arial"/>
          <w:i/>
          <w:sz w:val="22"/>
        </w:rPr>
        <w:t>“</w:t>
      </w:r>
      <w:r>
        <w:rPr>
          <w:rFonts w:ascii="Arial" w:hAnsi="Arial"/>
          <w:b/>
          <w:i/>
          <w:sz w:val="22"/>
        </w:rPr>
        <w:t>Artículo 72.- </w:t>
      </w:r>
      <w:r>
        <w:rPr>
          <w:rFonts w:ascii="Arial" w:hAnsi="Arial"/>
          <w:i/>
          <w:sz w:val="22"/>
        </w:rPr>
        <w:t>El Programa de Liberación de bienes tiene por objeto eliminar los gravámenes y las restricciones de todo orden que incidan sobre la importación</w:t>
      </w:r>
      <w:r>
        <w:rPr>
          <w:rFonts w:ascii="Arial" w:hAnsi="Arial"/>
          <w:i/>
          <w:spacing w:val="-13"/>
          <w:sz w:val="22"/>
        </w:rPr>
        <w:t> </w:t>
      </w:r>
      <w:r>
        <w:rPr>
          <w:rFonts w:ascii="Arial" w:hAnsi="Arial"/>
          <w:i/>
          <w:sz w:val="22"/>
        </w:rPr>
        <w:t>de</w:t>
      </w:r>
      <w:r>
        <w:rPr>
          <w:rFonts w:ascii="Arial" w:hAnsi="Arial"/>
          <w:i/>
          <w:spacing w:val="-13"/>
          <w:sz w:val="22"/>
        </w:rPr>
        <w:t> </w:t>
      </w:r>
      <w:r>
        <w:rPr>
          <w:rFonts w:ascii="Arial" w:hAnsi="Arial"/>
          <w:i/>
          <w:sz w:val="22"/>
        </w:rPr>
        <w:t>productos</w:t>
      </w:r>
      <w:r>
        <w:rPr>
          <w:rFonts w:ascii="Arial" w:hAnsi="Arial"/>
          <w:i/>
          <w:spacing w:val="-12"/>
          <w:sz w:val="22"/>
        </w:rPr>
        <w:t> </w:t>
      </w:r>
      <w:r>
        <w:rPr>
          <w:rFonts w:ascii="Arial" w:hAnsi="Arial"/>
          <w:i/>
          <w:sz w:val="22"/>
        </w:rPr>
        <w:t>originarios</w:t>
      </w:r>
      <w:r>
        <w:rPr>
          <w:rFonts w:ascii="Arial" w:hAnsi="Arial"/>
          <w:i/>
          <w:spacing w:val="-12"/>
          <w:sz w:val="22"/>
        </w:rPr>
        <w:t> </w:t>
      </w:r>
      <w:r>
        <w:rPr>
          <w:rFonts w:ascii="Arial" w:hAnsi="Arial"/>
          <w:i/>
          <w:sz w:val="22"/>
        </w:rPr>
        <w:t>del</w:t>
      </w:r>
      <w:r>
        <w:rPr>
          <w:rFonts w:ascii="Arial" w:hAnsi="Arial"/>
          <w:i/>
          <w:spacing w:val="-11"/>
          <w:sz w:val="22"/>
        </w:rPr>
        <w:t> </w:t>
      </w:r>
      <w:r>
        <w:rPr>
          <w:rFonts w:ascii="Arial" w:hAnsi="Arial"/>
          <w:i/>
          <w:sz w:val="22"/>
        </w:rPr>
        <w:t>territorio</w:t>
      </w:r>
      <w:r>
        <w:rPr>
          <w:rFonts w:ascii="Arial" w:hAnsi="Arial"/>
          <w:i/>
          <w:spacing w:val="-13"/>
          <w:sz w:val="22"/>
        </w:rPr>
        <w:t> </w:t>
      </w:r>
      <w:r>
        <w:rPr>
          <w:rFonts w:ascii="Arial" w:hAnsi="Arial"/>
          <w:i/>
          <w:sz w:val="22"/>
        </w:rPr>
        <w:t>de</w:t>
      </w:r>
      <w:r>
        <w:rPr>
          <w:rFonts w:ascii="Arial" w:hAnsi="Arial"/>
          <w:i/>
          <w:spacing w:val="-10"/>
          <w:sz w:val="22"/>
        </w:rPr>
        <w:t> </w:t>
      </w:r>
      <w:r>
        <w:rPr>
          <w:rFonts w:ascii="Arial" w:hAnsi="Arial"/>
          <w:i/>
          <w:sz w:val="22"/>
        </w:rPr>
        <w:t>cualquier</w:t>
      </w:r>
      <w:r>
        <w:rPr>
          <w:rFonts w:ascii="Arial" w:hAnsi="Arial"/>
          <w:i/>
          <w:spacing w:val="-9"/>
          <w:sz w:val="22"/>
        </w:rPr>
        <w:t> </w:t>
      </w:r>
      <w:r>
        <w:rPr>
          <w:rFonts w:ascii="Arial" w:hAnsi="Arial"/>
          <w:i/>
          <w:sz w:val="22"/>
        </w:rPr>
        <w:t>País</w:t>
      </w:r>
      <w:r>
        <w:rPr>
          <w:rFonts w:ascii="Arial" w:hAnsi="Arial"/>
          <w:i/>
          <w:spacing w:val="-12"/>
          <w:sz w:val="22"/>
        </w:rPr>
        <w:t> </w:t>
      </w:r>
      <w:r>
        <w:rPr>
          <w:rFonts w:ascii="Arial" w:hAnsi="Arial"/>
          <w:i/>
          <w:sz w:val="22"/>
        </w:rPr>
        <w:t>Miembro.”</w:t>
      </w:r>
    </w:p>
    <w:p>
      <w:pPr>
        <w:pStyle w:val="BodyText"/>
        <w:spacing w:before="1"/>
        <w:rPr>
          <w:rFonts w:ascii="Arial"/>
          <w:i/>
        </w:rPr>
      </w:pPr>
    </w:p>
    <w:p>
      <w:pPr>
        <w:pStyle w:val="ListParagraph"/>
        <w:numPr>
          <w:ilvl w:val="0"/>
          <w:numId w:val="2"/>
        </w:numPr>
        <w:tabs>
          <w:tab w:pos="1420" w:val="left" w:leader="none"/>
        </w:tabs>
        <w:spacing w:line="240" w:lineRule="auto" w:before="1" w:after="0"/>
        <w:ind w:left="1420" w:right="974" w:hanging="852"/>
        <w:jc w:val="both"/>
        <w:rPr>
          <w:sz w:val="22"/>
        </w:rPr>
      </w:pPr>
      <w:r>
        <w:rPr>
          <w:sz w:val="22"/>
        </w:rPr>
        <w:t>En este marco legal, el Acuerdo Cartagena, en su artículo 73, establece el alcance de “restricciones de todo orden” así como las medidas que no se encuentran comprendidas en la adopción del concepto:</w:t>
      </w:r>
    </w:p>
    <w:p>
      <w:pPr>
        <w:spacing w:before="251"/>
        <w:ind w:left="2128" w:right="979" w:firstLine="0"/>
        <w:jc w:val="both"/>
        <w:rPr>
          <w:rFonts w:ascii="Arial" w:hAnsi="Arial"/>
          <w:i/>
          <w:sz w:val="22"/>
        </w:rPr>
      </w:pPr>
      <w:r>
        <w:rPr>
          <w:rFonts w:ascii="Arial" w:hAnsi="Arial"/>
          <w:i/>
          <w:sz w:val="22"/>
        </w:rPr>
        <w:t>“</w:t>
      </w:r>
      <w:r>
        <w:rPr>
          <w:rFonts w:ascii="Arial" w:hAnsi="Arial"/>
          <w:i/>
          <w:sz w:val="22"/>
          <w:u w:val="single"/>
        </w:rPr>
        <w:t>Se</w:t>
      </w:r>
      <w:r>
        <w:rPr>
          <w:rFonts w:ascii="Arial" w:hAnsi="Arial"/>
          <w:i/>
          <w:spacing w:val="-6"/>
          <w:sz w:val="22"/>
          <w:u w:val="single"/>
        </w:rPr>
        <w:t> </w:t>
      </w:r>
      <w:r>
        <w:rPr>
          <w:rFonts w:ascii="Arial" w:hAnsi="Arial"/>
          <w:i/>
          <w:sz w:val="22"/>
          <w:u w:val="single"/>
        </w:rPr>
        <w:t>entenderá</w:t>
      </w:r>
      <w:r>
        <w:rPr>
          <w:rFonts w:ascii="Arial" w:hAnsi="Arial"/>
          <w:i/>
          <w:spacing w:val="-6"/>
          <w:sz w:val="22"/>
          <w:u w:val="single"/>
        </w:rPr>
        <w:t> </w:t>
      </w:r>
      <w:r>
        <w:rPr>
          <w:rFonts w:ascii="Arial" w:hAnsi="Arial"/>
          <w:i/>
          <w:sz w:val="22"/>
          <w:u w:val="single"/>
        </w:rPr>
        <w:t>por</w:t>
      </w:r>
      <w:r>
        <w:rPr>
          <w:rFonts w:ascii="Arial" w:hAnsi="Arial"/>
          <w:i/>
          <w:spacing w:val="-6"/>
          <w:sz w:val="22"/>
          <w:u w:val="single"/>
        </w:rPr>
        <w:t> </w:t>
      </w:r>
      <w:r>
        <w:rPr>
          <w:rFonts w:ascii="Arial" w:hAnsi="Arial"/>
          <w:i/>
          <w:sz w:val="22"/>
          <w:u w:val="single"/>
        </w:rPr>
        <w:t>“restricciones</w:t>
      </w:r>
      <w:r>
        <w:rPr>
          <w:rFonts w:ascii="Arial" w:hAnsi="Arial"/>
          <w:i/>
          <w:spacing w:val="-6"/>
          <w:sz w:val="22"/>
          <w:u w:val="single"/>
        </w:rPr>
        <w:t> </w:t>
      </w:r>
      <w:r>
        <w:rPr>
          <w:rFonts w:ascii="Arial" w:hAnsi="Arial"/>
          <w:i/>
          <w:sz w:val="22"/>
          <w:u w:val="single"/>
        </w:rPr>
        <w:t>de</w:t>
      </w:r>
      <w:r>
        <w:rPr>
          <w:rFonts w:ascii="Arial" w:hAnsi="Arial"/>
          <w:i/>
          <w:spacing w:val="-8"/>
          <w:sz w:val="22"/>
          <w:u w:val="single"/>
        </w:rPr>
        <w:t> </w:t>
      </w:r>
      <w:r>
        <w:rPr>
          <w:rFonts w:ascii="Arial" w:hAnsi="Arial"/>
          <w:i/>
          <w:sz w:val="22"/>
          <w:u w:val="single"/>
        </w:rPr>
        <w:t>todo</w:t>
      </w:r>
      <w:r>
        <w:rPr>
          <w:rFonts w:ascii="Arial" w:hAnsi="Arial"/>
          <w:i/>
          <w:spacing w:val="-6"/>
          <w:sz w:val="22"/>
          <w:u w:val="single"/>
        </w:rPr>
        <w:t> </w:t>
      </w:r>
      <w:r>
        <w:rPr>
          <w:rFonts w:ascii="Arial" w:hAnsi="Arial"/>
          <w:i/>
          <w:sz w:val="22"/>
          <w:u w:val="single"/>
        </w:rPr>
        <w:t>orden”</w:t>
      </w:r>
      <w:r>
        <w:rPr>
          <w:rFonts w:ascii="Arial" w:hAnsi="Arial"/>
          <w:i/>
          <w:spacing w:val="-5"/>
          <w:sz w:val="22"/>
        </w:rPr>
        <w:t> </w:t>
      </w:r>
      <w:r>
        <w:rPr>
          <w:rFonts w:ascii="Arial" w:hAnsi="Arial"/>
          <w:i/>
          <w:sz w:val="22"/>
        </w:rPr>
        <w:t>cualquier</w:t>
      </w:r>
      <w:r>
        <w:rPr>
          <w:rFonts w:ascii="Arial" w:hAnsi="Arial"/>
          <w:i/>
          <w:spacing w:val="-5"/>
          <w:sz w:val="22"/>
        </w:rPr>
        <w:t> </w:t>
      </w:r>
      <w:r>
        <w:rPr>
          <w:rFonts w:ascii="Arial" w:hAnsi="Arial"/>
          <w:i/>
          <w:sz w:val="22"/>
        </w:rPr>
        <w:t>medida</w:t>
      </w:r>
      <w:r>
        <w:rPr>
          <w:rFonts w:ascii="Arial" w:hAnsi="Arial"/>
          <w:i/>
          <w:spacing w:val="-6"/>
          <w:sz w:val="22"/>
        </w:rPr>
        <w:t> </w:t>
      </w:r>
      <w:r>
        <w:rPr>
          <w:rFonts w:ascii="Arial" w:hAnsi="Arial"/>
          <w:i/>
          <w:sz w:val="22"/>
        </w:rPr>
        <w:t>de</w:t>
      </w:r>
      <w:r>
        <w:rPr>
          <w:rFonts w:ascii="Arial" w:hAnsi="Arial"/>
          <w:i/>
          <w:spacing w:val="-8"/>
          <w:sz w:val="22"/>
        </w:rPr>
        <w:t> </w:t>
      </w:r>
      <w:r>
        <w:rPr>
          <w:rFonts w:ascii="Arial" w:hAnsi="Arial"/>
          <w:i/>
          <w:sz w:val="22"/>
        </w:rPr>
        <w:t>carácter administrativo, financiero o cambiario, mediante la cual un País Miembro impida o dificulte las importaciones, por decisión unilateral. No quedarán comprendidas en este concepto la adopción y el cumplimiento de medidas destinadas a la:</w:t>
      </w:r>
    </w:p>
    <w:p>
      <w:pPr>
        <w:pStyle w:val="BodyText"/>
        <w:spacing w:before="1"/>
        <w:rPr>
          <w:rFonts w:ascii="Arial"/>
          <w:i/>
        </w:rPr>
      </w:pPr>
    </w:p>
    <w:p>
      <w:pPr>
        <w:pStyle w:val="ListParagraph"/>
        <w:numPr>
          <w:ilvl w:val="0"/>
          <w:numId w:val="8"/>
        </w:numPr>
        <w:tabs>
          <w:tab w:pos="3401" w:val="left" w:leader="none"/>
        </w:tabs>
        <w:spacing w:line="252" w:lineRule="exact" w:before="0" w:after="0"/>
        <w:ind w:left="3401" w:right="0" w:hanging="358"/>
        <w:jc w:val="both"/>
        <w:rPr>
          <w:rFonts w:ascii="Arial" w:hAnsi="Arial"/>
          <w:i/>
          <w:sz w:val="22"/>
        </w:rPr>
      </w:pPr>
      <w:r>
        <w:rPr>
          <w:rFonts w:ascii="Arial" w:hAnsi="Arial"/>
          <w:i/>
          <w:sz w:val="22"/>
        </w:rPr>
        <w:t>Protección</w:t>
      </w:r>
      <w:r>
        <w:rPr>
          <w:rFonts w:ascii="Arial" w:hAnsi="Arial"/>
          <w:i/>
          <w:spacing w:val="-6"/>
          <w:sz w:val="22"/>
        </w:rPr>
        <w:t> </w:t>
      </w:r>
      <w:r>
        <w:rPr>
          <w:rFonts w:ascii="Arial" w:hAnsi="Arial"/>
          <w:i/>
          <w:sz w:val="22"/>
        </w:rPr>
        <w:t>de</w:t>
      </w:r>
      <w:r>
        <w:rPr>
          <w:rFonts w:ascii="Arial" w:hAnsi="Arial"/>
          <w:i/>
          <w:spacing w:val="-7"/>
          <w:sz w:val="22"/>
        </w:rPr>
        <w:t> </w:t>
      </w:r>
      <w:r>
        <w:rPr>
          <w:rFonts w:ascii="Arial" w:hAnsi="Arial"/>
          <w:i/>
          <w:sz w:val="22"/>
        </w:rPr>
        <w:t>la</w:t>
      </w:r>
      <w:r>
        <w:rPr>
          <w:rFonts w:ascii="Arial" w:hAnsi="Arial"/>
          <w:i/>
          <w:spacing w:val="-7"/>
          <w:sz w:val="22"/>
        </w:rPr>
        <w:t> </w:t>
      </w:r>
      <w:r>
        <w:rPr>
          <w:rFonts w:ascii="Arial" w:hAnsi="Arial"/>
          <w:i/>
          <w:sz w:val="22"/>
        </w:rPr>
        <w:t>moralidad</w:t>
      </w:r>
      <w:r>
        <w:rPr>
          <w:rFonts w:ascii="Arial" w:hAnsi="Arial"/>
          <w:i/>
          <w:spacing w:val="-5"/>
          <w:sz w:val="22"/>
        </w:rPr>
        <w:t> </w:t>
      </w:r>
      <w:r>
        <w:rPr>
          <w:rFonts w:ascii="Arial" w:hAnsi="Arial"/>
          <w:i/>
          <w:spacing w:val="-2"/>
          <w:sz w:val="22"/>
        </w:rPr>
        <w:t>pública;</w:t>
      </w:r>
    </w:p>
    <w:p>
      <w:pPr>
        <w:pStyle w:val="ListParagraph"/>
        <w:numPr>
          <w:ilvl w:val="0"/>
          <w:numId w:val="8"/>
        </w:numPr>
        <w:tabs>
          <w:tab w:pos="3401" w:val="left" w:leader="none"/>
        </w:tabs>
        <w:spacing w:line="252" w:lineRule="exact" w:before="0" w:after="0"/>
        <w:ind w:left="3401" w:right="0" w:hanging="358"/>
        <w:jc w:val="both"/>
        <w:rPr>
          <w:rFonts w:ascii="Arial" w:hAnsi="Arial"/>
          <w:i/>
          <w:sz w:val="22"/>
        </w:rPr>
      </w:pPr>
      <w:r>
        <w:rPr>
          <w:rFonts w:ascii="Arial" w:hAnsi="Arial"/>
          <w:i/>
          <w:sz w:val="22"/>
        </w:rPr>
        <w:t>Aplicación</w:t>
      </w:r>
      <w:r>
        <w:rPr>
          <w:rFonts w:ascii="Arial" w:hAnsi="Arial"/>
          <w:i/>
          <w:spacing w:val="-5"/>
          <w:sz w:val="22"/>
        </w:rPr>
        <w:t> </w:t>
      </w:r>
      <w:r>
        <w:rPr>
          <w:rFonts w:ascii="Arial" w:hAnsi="Arial"/>
          <w:i/>
          <w:sz w:val="22"/>
        </w:rPr>
        <w:t>de</w:t>
      </w:r>
      <w:r>
        <w:rPr>
          <w:rFonts w:ascii="Arial" w:hAnsi="Arial"/>
          <w:i/>
          <w:spacing w:val="-4"/>
          <w:sz w:val="22"/>
        </w:rPr>
        <w:t> </w:t>
      </w:r>
      <w:r>
        <w:rPr>
          <w:rFonts w:ascii="Arial" w:hAnsi="Arial"/>
          <w:i/>
          <w:sz w:val="22"/>
        </w:rPr>
        <w:t>leyes</w:t>
      </w:r>
      <w:r>
        <w:rPr>
          <w:rFonts w:ascii="Arial" w:hAnsi="Arial"/>
          <w:i/>
          <w:spacing w:val="-4"/>
          <w:sz w:val="22"/>
        </w:rPr>
        <w:t> </w:t>
      </w:r>
      <w:r>
        <w:rPr>
          <w:rFonts w:ascii="Arial" w:hAnsi="Arial"/>
          <w:i/>
          <w:sz w:val="22"/>
        </w:rPr>
        <w:t>y</w:t>
      </w:r>
      <w:r>
        <w:rPr>
          <w:rFonts w:ascii="Arial" w:hAnsi="Arial"/>
          <w:i/>
          <w:spacing w:val="-6"/>
          <w:sz w:val="22"/>
        </w:rPr>
        <w:t> </w:t>
      </w:r>
      <w:r>
        <w:rPr>
          <w:rFonts w:ascii="Arial" w:hAnsi="Arial"/>
          <w:i/>
          <w:sz w:val="22"/>
        </w:rPr>
        <w:t>reglamentos</w:t>
      </w:r>
      <w:r>
        <w:rPr>
          <w:rFonts w:ascii="Arial" w:hAnsi="Arial"/>
          <w:i/>
          <w:spacing w:val="-6"/>
          <w:sz w:val="22"/>
        </w:rPr>
        <w:t> </w:t>
      </w:r>
      <w:r>
        <w:rPr>
          <w:rFonts w:ascii="Arial" w:hAnsi="Arial"/>
          <w:i/>
          <w:sz w:val="22"/>
        </w:rPr>
        <w:t>de</w:t>
      </w:r>
      <w:r>
        <w:rPr>
          <w:rFonts w:ascii="Arial" w:hAnsi="Arial"/>
          <w:i/>
          <w:spacing w:val="-4"/>
          <w:sz w:val="22"/>
        </w:rPr>
        <w:t> </w:t>
      </w:r>
      <w:r>
        <w:rPr>
          <w:rFonts w:ascii="Arial" w:hAnsi="Arial"/>
          <w:i/>
          <w:spacing w:val="-2"/>
          <w:sz w:val="22"/>
        </w:rPr>
        <w:t>seguridad;</w:t>
      </w:r>
    </w:p>
    <w:p>
      <w:pPr>
        <w:pStyle w:val="ListParagraph"/>
        <w:numPr>
          <w:ilvl w:val="0"/>
          <w:numId w:val="8"/>
        </w:numPr>
        <w:tabs>
          <w:tab w:pos="3403" w:val="left" w:leader="none"/>
        </w:tabs>
        <w:spacing w:line="240" w:lineRule="auto" w:before="0" w:after="0"/>
        <w:ind w:left="3403" w:right="981" w:hanging="360"/>
        <w:jc w:val="both"/>
        <w:rPr>
          <w:rFonts w:ascii="Arial" w:hAnsi="Arial"/>
          <w:i/>
          <w:sz w:val="22"/>
        </w:rPr>
      </w:pPr>
      <w:r>
        <w:rPr>
          <w:rFonts w:ascii="Arial" w:hAnsi="Arial"/>
          <w:i/>
          <w:sz w:val="22"/>
        </w:rPr>
        <w:t>Regulación de las importaciones o exportaciones de armas, municiones y otros materiales de guerra y, en circunstancias excepcionales, de todos los demás artículos militares, siempre que no interfieran con lo dispuesto en tratados sobre libre tránsito irrestricto vigentes entre los Países Miembros;</w:t>
      </w:r>
    </w:p>
    <w:p>
      <w:pPr>
        <w:pStyle w:val="ListParagraph"/>
        <w:numPr>
          <w:ilvl w:val="0"/>
          <w:numId w:val="8"/>
        </w:numPr>
        <w:tabs>
          <w:tab w:pos="3401" w:val="left" w:leader="none"/>
          <w:tab w:pos="3403" w:val="left" w:leader="none"/>
        </w:tabs>
        <w:spacing w:line="240" w:lineRule="auto" w:before="0" w:after="0"/>
        <w:ind w:left="3403" w:right="980" w:hanging="360"/>
        <w:jc w:val="both"/>
        <w:rPr>
          <w:rFonts w:ascii="Arial" w:hAnsi="Arial"/>
          <w:i/>
          <w:sz w:val="22"/>
        </w:rPr>
      </w:pPr>
      <w:r>
        <w:rPr>
          <w:rFonts w:ascii="Arial" w:hAnsi="Arial"/>
          <w:i/>
          <w:sz w:val="22"/>
        </w:rPr>
        <w:t>Protección</w:t>
      </w:r>
      <w:r>
        <w:rPr>
          <w:rFonts w:ascii="Arial" w:hAnsi="Arial"/>
          <w:i/>
          <w:spacing w:val="-8"/>
          <w:sz w:val="22"/>
        </w:rPr>
        <w:t> </w:t>
      </w:r>
      <w:r>
        <w:rPr>
          <w:rFonts w:ascii="Arial" w:hAnsi="Arial"/>
          <w:i/>
          <w:sz w:val="22"/>
        </w:rPr>
        <w:t>de</w:t>
      </w:r>
      <w:r>
        <w:rPr>
          <w:rFonts w:ascii="Arial" w:hAnsi="Arial"/>
          <w:i/>
          <w:spacing w:val="-5"/>
          <w:sz w:val="22"/>
        </w:rPr>
        <w:t> </w:t>
      </w:r>
      <w:r>
        <w:rPr>
          <w:rFonts w:ascii="Arial" w:hAnsi="Arial"/>
          <w:i/>
          <w:sz w:val="22"/>
        </w:rPr>
        <w:t>la</w:t>
      </w:r>
      <w:r>
        <w:rPr>
          <w:rFonts w:ascii="Arial" w:hAnsi="Arial"/>
          <w:i/>
          <w:spacing w:val="-7"/>
          <w:sz w:val="22"/>
        </w:rPr>
        <w:t> </w:t>
      </w:r>
      <w:r>
        <w:rPr>
          <w:rFonts w:ascii="Arial" w:hAnsi="Arial"/>
          <w:i/>
          <w:sz w:val="22"/>
        </w:rPr>
        <w:t>vida</w:t>
      </w:r>
      <w:r>
        <w:rPr>
          <w:rFonts w:ascii="Arial" w:hAnsi="Arial"/>
          <w:i/>
          <w:spacing w:val="-8"/>
          <w:sz w:val="22"/>
        </w:rPr>
        <w:t> </w:t>
      </w:r>
      <w:r>
        <w:rPr>
          <w:rFonts w:ascii="Arial" w:hAnsi="Arial"/>
          <w:i/>
          <w:sz w:val="22"/>
        </w:rPr>
        <w:t>y</w:t>
      </w:r>
      <w:r>
        <w:rPr>
          <w:rFonts w:ascii="Arial" w:hAnsi="Arial"/>
          <w:i/>
          <w:spacing w:val="-7"/>
          <w:sz w:val="22"/>
        </w:rPr>
        <w:t> </w:t>
      </w:r>
      <w:r>
        <w:rPr>
          <w:rFonts w:ascii="Arial" w:hAnsi="Arial"/>
          <w:i/>
          <w:sz w:val="22"/>
        </w:rPr>
        <w:t>salud</w:t>
      </w:r>
      <w:r>
        <w:rPr>
          <w:rFonts w:ascii="Arial" w:hAnsi="Arial"/>
          <w:i/>
          <w:spacing w:val="-5"/>
          <w:sz w:val="22"/>
        </w:rPr>
        <w:t> </w:t>
      </w:r>
      <w:r>
        <w:rPr>
          <w:rFonts w:ascii="Arial" w:hAnsi="Arial"/>
          <w:i/>
          <w:sz w:val="22"/>
        </w:rPr>
        <w:t>de</w:t>
      </w:r>
      <w:r>
        <w:rPr>
          <w:rFonts w:ascii="Arial" w:hAnsi="Arial"/>
          <w:i/>
          <w:spacing w:val="-5"/>
          <w:sz w:val="22"/>
        </w:rPr>
        <w:t> </w:t>
      </w:r>
      <w:r>
        <w:rPr>
          <w:rFonts w:ascii="Arial" w:hAnsi="Arial"/>
          <w:i/>
          <w:sz w:val="22"/>
        </w:rPr>
        <w:t>las</w:t>
      </w:r>
      <w:r>
        <w:rPr>
          <w:rFonts w:ascii="Arial" w:hAnsi="Arial"/>
          <w:i/>
          <w:spacing w:val="-7"/>
          <w:sz w:val="22"/>
        </w:rPr>
        <w:t> </w:t>
      </w:r>
      <w:r>
        <w:rPr>
          <w:rFonts w:ascii="Arial" w:hAnsi="Arial"/>
          <w:i/>
          <w:sz w:val="22"/>
        </w:rPr>
        <w:t>personas,</w:t>
      </w:r>
      <w:r>
        <w:rPr>
          <w:rFonts w:ascii="Arial" w:hAnsi="Arial"/>
          <w:i/>
          <w:spacing w:val="-6"/>
          <w:sz w:val="22"/>
        </w:rPr>
        <w:t> </w:t>
      </w:r>
      <w:r>
        <w:rPr>
          <w:rFonts w:ascii="Arial" w:hAnsi="Arial"/>
          <w:i/>
          <w:sz w:val="22"/>
        </w:rPr>
        <w:t>los</w:t>
      </w:r>
      <w:r>
        <w:rPr>
          <w:rFonts w:ascii="Arial" w:hAnsi="Arial"/>
          <w:i/>
          <w:spacing w:val="-7"/>
          <w:sz w:val="22"/>
        </w:rPr>
        <w:t> </w:t>
      </w:r>
      <w:r>
        <w:rPr>
          <w:rFonts w:ascii="Arial" w:hAnsi="Arial"/>
          <w:i/>
          <w:sz w:val="22"/>
        </w:rPr>
        <w:t>animales</w:t>
      </w:r>
      <w:r>
        <w:rPr>
          <w:rFonts w:ascii="Arial" w:hAnsi="Arial"/>
          <w:i/>
          <w:spacing w:val="-7"/>
          <w:sz w:val="22"/>
        </w:rPr>
        <w:t> </w:t>
      </w:r>
      <w:r>
        <w:rPr>
          <w:rFonts w:ascii="Arial" w:hAnsi="Arial"/>
          <w:i/>
          <w:sz w:val="22"/>
        </w:rPr>
        <w:t>y</w:t>
      </w:r>
      <w:r>
        <w:rPr>
          <w:rFonts w:ascii="Arial" w:hAnsi="Arial"/>
          <w:i/>
          <w:spacing w:val="-7"/>
          <w:sz w:val="22"/>
        </w:rPr>
        <w:t> </w:t>
      </w:r>
      <w:r>
        <w:rPr>
          <w:rFonts w:ascii="Arial" w:hAnsi="Arial"/>
          <w:i/>
          <w:sz w:val="22"/>
        </w:rPr>
        <w:t>los </w:t>
      </w:r>
      <w:r>
        <w:rPr>
          <w:rFonts w:ascii="Arial" w:hAnsi="Arial"/>
          <w:i/>
          <w:spacing w:val="-2"/>
          <w:sz w:val="22"/>
        </w:rPr>
        <w:t>vegetales;</w:t>
      </w:r>
    </w:p>
    <w:p>
      <w:pPr>
        <w:pStyle w:val="ListParagraph"/>
        <w:numPr>
          <w:ilvl w:val="0"/>
          <w:numId w:val="8"/>
        </w:numPr>
        <w:tabs>
          <w:tab w:pos="3401" w:val="left" w:leader="none"/>
        </w:tabs>
        <w:spacing w:line="240" w:lineRule="auto" w:before="0" w:after="0"/>
        <w:ind w:left="3401" w:right="0" w:hanging="358"/>
        <w:jc w:val="both"/>
        <w:rPr>
          <w:rFonts w:ascii="Arial" w:hAnsi="Arial"/>
          <w:i/>
          <w:sz w:val="22"/>
        </w:rPr>
      </w:pPr>
      <w:r>
        <w:rPr>
          <w:rFonts w:ascii="Arial" w:hAnsi="Arial"/>
          <w:i/>
          <w:sz w:val="22"/>
        </w:rPr>
        <w:t>Importación</w:t>
      </w:r>
      <w:r>
        <w:rPr>
          <w:rFonts w:ascii="Arial" w:hAnsi="Arial"/>
          <w:i/>
          <w:spacing w:val="-7"/>
          <w:sz w:val="22"/>
        </w:rPr>
        <w:t> </w:t>
      </w:r>
      <w:r>
        <w:rPr>
          <w:rFonts w:ascii="Arial" w:hAnsi="Arial"/>
          <w:i/>
          <w:sz w:val="22"/>
        </w:rPr>
        <w:t>y</w:t>
      </w:r>
      <w:r>
        <w:rPr>
          <w:rFonts w:ascii="Arial" w:hAnsi="Arial"/>
          <w:i/>
          <w:spacing w:val="-4"/>
          <w:sz w:val="22"/>
        </w:rPr>
        <w:t> </w:t>
      </w:r>
      <w:r>
        <w:rPr>
          <w:rFonts w:ascii="Arial" w:hAnsi="Arial"/>
          <w:i/>
          <w:sz w:val="22"/>
        </w:rPr>
        <w:t>exportación</w:t>
      </w:r>
      <w:r>
        <w:rPr>
          <w:rFonts w:ascii="Arial" w:hAnsi="Arial"/>
          <w:i/>
          <w:spacing w:val="-4"/>
          <w:sz w:val="22"/>
        </w:rPr>
        <w:t> </w:t>
      </w:r>
      <w:r>
        <w:rPr>
          <w:rFonts w:ascii="Arial" w:hAnsi="Arial"/>
          <w:i/>
          <w:sz w:val="22"/>
        </w:rPr>
        <w:t>de</w:t>
      </w:r>
      <w:r>
        <w:rPr>
          <w:rFonts w:ascii="Arial" w:hAnsi="Arial"/>
          <w:i/>
          <w:spacing w:val="-5"/>
          <w:sz w:val="22"/>
        </w:rPr>
        <w:t> </w:t>
      </w:r>
      <w:r>
        <w:rPr>
          <w:rFonts w:ascii="Arial" w:hAnsi="Arial"/>
          <w:i/>
          <w:sz w:val="22"/>
        </w:rPr>
        <w:t>oro</w:t>
      </w:r>
      <w:r>
        <w:rPr>
          <w:rFonts w:ascii="Arial" w:hAnsi="Arial"/>
          <w:i/>
          <w:spacing w:val="-4"/>
          <w:sz w:val="22"/>
        </w:rPr>
        <w:t> </w:t>
      </w:r>
      <w:r>
        <w:rPr>
          <w:rFonts w:ascii="Arial" w:hAnsi="Arial"/>
          <w:i/>
          <w:sz w:val="22"/>
        </w:rPr>
        <w:t>y</w:t>
      </w:r>
      <w:r>
        <w:rPr>
          <w:rFonts w:ascii="Arial" w:hAnsi="Arial"/>
          <w:i/>
          <w:spacing w:val="-6"/>
          <w:sz w:val="22"/>
        </w:rPr>
        <w:t> </w:t>
      </w:r>
      <w:r>
        <w:rPr>
          <w:rFonts w:ascii="Arial" w:hAnsi="Arial"/>
          <w:i/>
          <w:sz w:val="22"/>
        </w:rPr>
        <w:t>plata</w:t>
      </w:r>
      <w:r>
        <w:rPr>
          <w:rFonts w:ascii="Arial" w:hAnsi="Arial"/>
          <w:i/>
          <w:spacing w:val="-6"/>
          <w:sz w:val="22"/>
        </w:rPr>
        <w:t> </w:t>
      </w:r>
      <w:r>
        <w:rPr>
          <w:rFonts w:ascii="Arial" w:hAnsi="Arial"/>
          <w:i/>
          <w:spacing w:val="-2"/>
          <w:sz w:val="22"/>
        </w:rPr>
        <w:t>metálicos;</w:t>
      </w:r>
    </w:p>
    <w:p>
      <w:pPr>
        <w:pStyle w:val="ListParagraph"/>
        <w:numPr>
          <w:ilvl w:val="0"/>
          <w:numId w:val="8"/>
        </w:numPr>
        <w:tabs>
          <w:tab w:pos="3403" w:val="left" w:leader="none"/>
        </w:tabs>
        <w:spacing w:line="240" w:lineRule="auto" w:before="2" w:after="0"/>
        <w:ind w:left="3403" w:right="981" w:hanging="360"/>
        <w:jc w:val="both"/>
        <w:rPr>
          <w:rFonts w:ascii="Arial" w:hAnsi="Arial"/>
          <w:i/>
          <w:sz w:val="22"/>
        </w:rPr>
      </w:pPr>
      <w:r>
        <w:rPr>
          <w:rFonts w:ascii="Arial" w:hAnsi="Arial"/>
          <w:i/>
          <w:sz w:val="22"/>
        </w:rPr>
        <w:t>Protección del patrimonio nacional de valor artístico, histórico o arqueológico; y</w:t>
      </w:r>
    </w:p>
    <w:p>
      <w:pPr>
        <w:pStyle w:val="ListParagraph"/>
        <w:numPr>
          <w:ilvl w:val="0"/>
          <w:numId w:val="8"/>
        </w:numPr>
        <w:tabs>
          <w:tab w:pos="3401" w:val="left" w:leader="none"/>
          <w:tab w:pos="3403" w:val="left" w:leader="none"/>
        </w:tabs>
        <w:spacing w:line="240" w:lineRule="auto" w:before="0" w:after="0"/>
        <w:ind w:left="3403" w:right="982" w:hanging="360"/>
        <w:jc w:val="both"/>
        <w:rPr>
          <w:sz w:val="22"/>
        </w:rPr>
      </w:pPr>
      <w:r>
        <w:rPr>
          <w:rFonts w:ascii="Arial" w:hAnsi="Arial"/>
          <w:i/>
          <w:sz w:val="22"/>
        </w:rPr>
        <w:t>Exportación, utilización y consumo de materiales nucleares, productos radiactivos o cualquier otro material utilizable en el desarrollo o aprovechamiento de la energía nuclear.” </w:t>
      </w:r>
      <w:r>
        <w:rPr>
          <w:sz w:val="22"/>
        </w:rPr>
        <w:t>(Subrayado fuera del texto)</w:t>
      </w:r>
    </w:p>
    <w:p>
      <w:pPr>
        <w:pStyle w:val="BodyText"/>
        <w:spacing w:before="1"/>
      </w:pPr>
    </w:p>
    <w:p>
      <w:pPr>
        <w:pStyle w:val="ListParagraph"/>
        <w:numPr>
          <w:ilvl w:val="0"/>
          <w:numId w:val="2"/>
        </w:numPr>
        <w:tabs>
          <w:tab w:pos="1420" w:val="left" w:leader="none"/>
        </w:tabs>
        <w:spacing w:line="240" w:lineRule="auto" w:before="0" w:after="0"/>
        <w:ind w:left="1420" w:right="975" w:hanging="852"/>
        <w:jc w:val="both"/>
        <w:rPr>
          <w:sz w:val="22"/>
        </w:rPr>
      </w:pPr>
      <w:r>
        <w:rPr>
          <w:sz w:val="22"/>
        </w:rPr>
        <w:t>Del artículo 73 del Acuerdo de Cartagena se desprende que toda medida unilateral que tenga por efecto impedir o dificultar las importaciones será calificada como una restricción al comercio subregional andino. No obstante, cuando dicha medida se encuentre justificada en alguna de las causales previstas en la referida disposición, no será considerada como restricción en los términos del ordenamiento jurídico </w:t>
      </w:r>
      <w:r>
        <w:rPr>
          <w:spacing w:val="-2"/>
          <w:sz w:val="22"/>
        </w:rPr>
        <w:t>andino.</w:t>
      </w:r>
    </w:p>
    <w:p>
      <w:pPr>
        <w:pStyle w:val="ListParagraph"/>
        <w:numPr>
          <w:ilvl w:val="0"/>
          <w:numId w:val="2"/>
        </w:numPr>
        <w:tabs>
          <w:tab w:pos="1420" w:val="left" w:leader="none"/>
        </w:tabs>
        <w:spacing w:line="240" w:lineRule="auto" w:before="159" w:after="0"/>
        <w:ind w:left="1420" w:right="981" w:hanging="852"/>
        <w:jc w:val="both"/>
        <w:rPr>
          <w:sz w:val="22"/>
        </w:rPr>
      </w:pPr>
      <w:r>
        <w:rPr>
          <w:sz w:val="22"/>
        </w:rPr>
        <w:t>En tal sentido, como también se ha mencionada anteriormente, es preciso que se analice: i) si la medida impide o dificulta las importaciones; y, ii) si constituye como una posible excepción al artículo 73 del Acuerdo de Cartagena</w:t>
      </w:r>
      <w:hyperlink w:history="true" w:anchor="_bookmark25">
        <w:r>
          <w:rPr>
            <w:sz w:val="22"/>
          </w:rPr>
          <w:t>.</w:t>
        </w:r>
        <w:r>
          <w:rPr>
            <w:sz w:val="22"/>
            <w:vertAlign w:val="superscript"/>
          </w:rPr>
          <w:t>26</w:t>
        </w:r>
      </w:hyperlink>
    </w:p>
    <w:p>
      <w:pPr>
        <w:pStyle w:val="BodyText"/>
        <w:spacing w:before="202"/>
        <w:rPr>
          <w:sz w:val="20"/>
        </w:rPr>
      </w:pPr>
      <w:r>
        <w:rPr>
          <w:sz w:val="20"/>
        </w:rPr>
        <mc:AlternateContent>
          <mc:Choice Requires="wps">
            <w:drawing>
              <wp:anchor distT="0" distB="0" distL="0" distR="0" allowOverlap="1" layoutInCell="1" locked="0" behindDoc="1" simplePos="0" relativeHeight="487598080">
                <wp:simplePos x="0" y="0"/>
                <wp:positionH relativeFrom="page">
                  <wp:posOffset>990904</wp:posOffset>
                </wp:positionH>
                <wp:positionV relativeFrom="paragraph">
                  <wp:posOffset>289649</wp:posOffset>
                </wp:positionV>
                <wp:extent cx="1829435" cy="7620"/>
                <wp:effectExtent l="0" t="0" r="0" b="0"/>
                <wp:wrapTopAndBottom/>
                <wp:docPr id="88" name="Graphic 88"/>
                <wp:cNvGraphicFramePr>
                  <a:graphicFrameLocks/>
                </wp:cNvGraphicFramePr>
                <a:graphic>
                  <a:graphicData uri="http://schemas.microsoft.com/office/word/2010/wordprocessingShape">
                    <wps:wsp>
                      <wps:cNvPr id="88" name="Graphic 88"/>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2.807041pt;width:144.020pt;height:.599980pt;mso-position-horizontal-relative:page;mso-position-vertical-relative:paragraph;z-index:-15718400;mso-wrap-distance-left:0;mso-wrap-distance-right:0" id="docshape54" filled="true" fillcolor="#000000" stroked="false">
                <v:fill type="solid"/>
                <w10:wrap type="topAndBottom"/>
              </v:rect>
            </w:pict>
          </mc:Fallback>
        </mc:AlternateContent>
      </w:r>
    </w:p>
    <w:p>
      <w:pPr>
        <w:spacing w:before="89"/>
        <w:ind w:left="568" w:right="978" w:firstLine="0"/>
        <w:jc w:val="both"/>
        <w:rPr>
          <w:sz w:val="18"/>
        </w:rPr>
      </w:pPr>
      <w:bookmarkStart w:name="_bookmark25" w:id="26"/>
      <w:bookmarkEnd w:id="26"/>
      <w:r>
        <w:rPr/>
      </w:r>
      <w:r>
        <w:rPr>
          <w:position w:val="6"/>
          <w:sz w:val="12"/>
        </w:rPr>
        <w:t>26</w:t>
      </w:r>
      <w:r>
        <w:rPr>
          <w:spacing w:val="29"/>
          <w:position w:val="6"/>
          <w:sz w:val="12"/>
        </w:rPr>
        <w:t> </w:t>
      </w:r>
      <w:r>
        <w:rPr>
          <w:sz w:val="18"/>
        </w:rPr>
        <w:t>Sobre este señalamiento, corresponde mencionar que este criterio ha sido sostenido por la SGCAN en otros procedimientos</w:t>
      </w:r>
      <w:r>
        <w:rPr>
          <w:spacing w:val="-5"/>
          <w:sz w:val="18"/>
        </w:rPr>
        <w:t> </w:t>
      </w:r>
      <w:r>
        <w:rPr>
          <w:sz w:val="18"/>
        </w:rPr>
        <w:t>administrativos</w:t>
      </w:r>
      <w:r>
        <w:rPr>
          <w:spacing w:val="-3"/>
          <w:sz w:val="18"/>
        </w:rPr>
        <w:t> </w:t>
      </w:r>
      <w:r>
        <w:rPr>
          <w:sz w:val="18"/>
        </w:rPr>
        <w:t>sobre</w:t>
      </w:r>
      <w:r>
        <w:rPr>
          <w:spacing w:val="-4"/>
          <w:sz w:val="18"/>
        </w:rPr>
        <w:t> </w:t>
      </w:r>
      <w:r>
        <w:rPr>
          <w:sz w:val="18"/>
        </w:rPr>
        <w:t>casos</w:t>
      </w:r>
      <w:r>
        <w:rPr>
          <w:spacing w:val="-3"/>
          <w:sz w:val="18"/>
        </w:rPr>
        <w:t> </w:t>
      </w:r>
      <w:r>
        <w:rPr>
          <w:sz w:val="18"/>
        </w:rPr>
        <w:t>relacionados</w:t>
      </w:r>
      <w:r>
        <w:rPr>
          <w:spacing w:val="-5"/>
          <w:sz w:val="18"/>
        </w:rPr>
        <w:t> </w:t>
      </w:r>
      <w:r>
        <w:rPr>
          <w:sz w:val="18"/>
        </w:rPr>
        <w:t>a</w:t>
      </w:r>
      <w:r>
        <w:rPr>
          <w:spacing w:val="-4"/>
          <w:sz w:val="18"/>
        </w:rPr>
        <w:t> </w:t>
      </w:r>
      <w:r>
        <w:rPr>
          <w:sz w:val="18"/>
        </w:rPr>
        <w:t>restricciones</w:t>
      </w:r>
      <w:r>
        <w:rPr>
          <w:spacing w:val="-3"/>
          <w:sz w:val="18"/>
        </w:rPr>
        <w:t> </w:t>
      </w:r>
      <w:r>
        <w:rPr>
          <w:sz w:val="18"/>
        </w:rPr>
        <w:t>aplicados</w:t>
      </w:r>
      <w:r>
        <w:rPr>
          <w:spacing w:val="-3"/>
          <w:sz w:val="18"/>
        </w:rPr>
        <w:t> </w:t>
      </w:r>
      <w:r>
        <w:rPr>
          <w:sz w:val="18"/>
        </w:rPr>
        <w:t>a</w:t>
      </w:r>
      <w:r>
        <w:rPr>
          <w:spacing w:val="-4"/>
          <w:sz w:val="18"/>
        </w:rPr>
        <w:t> </w:t>
      </w:r>
      <w:r>
        <w:rPr>
          <w:sz w:val="18"/>
        </w:rPr>
        <w:t>las</w:t>
      </w:r>
      <w:r>
        <w:rPr>
          <w:spacing w:val="-3"/>
          <w:sz w:val="18"/>
        </w:rPr>
        <w:t> </w:t>
      </w:r>
      <w:r>
        <w:rPr>
          <w:sz w:val="18"/>
        </w:rPr>
        <w:t>importaciones</w:t>
      </w:r>
      <w:r>
        <w:rPr>
          <w:spacing w:val="-3"/>
          <w:sz w:val="18"/>
        </w:rPr>
        <w:t> </w:t>
      </w:r>
      <w:r>
        <w:rPr>
          <w:sz w:val="18"/>
        </w:rPr>
        <w:t>andinas, a modo de ejemplo se disponen de los siguientes actos administrativos:</w:t>
      </w:r>
    </w:p>
    <w:p>
      <w:pPr>
        <w:spacing w:after="0"/>
        <w:jc w:val="both"/>
        <w:rPr>
          <w:sz w:val="18"/>
        </w:rPr>
        <w:sectPr>
          <w:pgSz w:w="11900" w:h="16850"/>
          <w:pgMar w:header="370" w:footer="651" w:top="1380" w:bottom="840" w:left="992" w:right="283"/>
        </w:sectPr>
      </w:pPr>
    </w:p>
    <w:p>
      <w:pPr>
        <w:pStyle w:val="BodyText"/>
        <w:spacing w:before="176"/>
      </w:pPr>
    </w:p>
    <w:p>
      <w:pPr>
        <w:pStyle w:val="ListParagraph"/>
        <w:numPr>
          <w:ilvl w:val="0"/>
          <w:numId w:val="2"/>
        </w:numPr>
        <w:tabs>
          <w:tab w:pos="1420" w:val="left" w:leader="none"/>
        </w:tabs>
        <w:spacing w:line="240" w:lineRule="auto" w:before="0" w:after="0"/>
        <w:ind w:left="1420" w:right="982" w:hanging="852"/>
        <w:jc w:val="left"/>
        <w:rPr>
          <w:sz w:val="22"/>
        </w:rPr>
      </w:pPr>
      <w:r>
        <w:rPr>
          <w:sz w:val="22"/>
        </w:rPr>
        <w:t>De</w:t>
      </w:r>
      <w:r>
        <w:rPr>
          <w:spacing w:val="22"/>
          <w:sz w:val="22"/>
        </w:rPr>
        <w:t> </w:t>
      </w:r>
      <w:r>
        <w:rPr>
          <w:sz w:val="22"/>
        </w:rPr>
        <w:t>otro lado,</w:t>
      </w:r>
      <w:r>
        <w:rPr>
          <w:spacing w:val="21"/>
          <w:sz w:val="22"/>
        </w:rPr>
        <w:t> </w:t>
      </w:r>
      <w:r>
        <w:rPr>
          <w:sz w:val="22"/>
        </w:rPr>
        <w:t>el</w:t>
      </w:r>
      <w:r>
        <w:rPr>
          <w:spacing w:val="21"/>
          <w:sz w:val="22"/>
        </w:rPr>
        <w:t> </w:t>
      </w:r>
      <w:r>
        <w:rPr>
          <w:sz w:val="22"/>
        </w:rPr>
        <w:t>artículo 73</w:t>
      </w:r>
      <w:r>
        <w:rPr>
          <w:spacing w:val="22"/>
          <w:sz w:val="22"/>
        </w:rPr>
        <w:t> </w:t>
      </w:r>
      <w:r>
        <w:rPr>
          <w:sz w:val="22"/>
        </w:rPr>
        <w:t>debe</w:t>
      </w:r>
      <w:r>
        <w:rPr>
          <w:spacing w:val="22"/>
          <w:sz w:val="22"/>
        </w:rPr>
        <w:t> </w:t>
      </w:r>
      <w:r>
        <w:rPr>
          <w:sz w:val="22"/>
        </w:rPr>
        <w:t>leerse</w:t>
      </w:r>
      <w:r>
        <w:rPr>
          <w:spacing w:val="22"/>
          <w:sz w:val="22"/>
        </w:rPr>
        <w:t> </w:t>
      </w:r>
      <w:r>
        <w:rPr>
          <w:sz w:val="22"/>
        </w:rPr>
        <w:t>en concordancia</w:t>
      </w:r>
      <w:r>
        <w:rPr>
          <w:spacing w:val="22"/>
          <w:sz w:val="22"/>
        </w:rPr>
        <w:t> </w:t>
      </w:r>
      <w:r>
        <w:rPr>
          <w:sz w:val="22"/>
        </w:rPr>
        <w:t>con en</w:t>
      </w:r>
      <w:r>
        <w:rPr>
          <w:spacing w:val="22"/>
          <w:sz w:val="22"/>
        </w:rPr>
        <w:t> </w:t>
      </w:r>
      <w:r>
        <w:rPr>
          <w:sz w:val="22"/>
        </w:rPr>
        <w:t>el artículo</w:t>
      </w:r>
      <w:r>
        <w:rPr>
          <w:spacing w:val="22"/>
          <w:sz w:val="22"/>
        </w:rPr>
        <w:t> </w:t>
      </w:r>
      <w:r>
        <w:rPr>
          <w:sz w:val="22"/>
        </w:rPr>
        <w:t>74</w:t>
      </w:r>
      <w:r>
        <w:rPr>
          <w:spacing w:val="22"/>
          <w:sz w:val="22"/>
        </w:rPr>
        <w:t> </w:t>
      </w:r>
      <w:r>
        <w:rPr>
          <w:sz w:val="22"/>
        </w:rPr>
        <w:t>del Acuerdo de Cartagena el cual señala:</w:t>
      </w:r>
    </w:p>
    <w:p>
      <w:pPr>
        <w:pStyle w:val="BodyText"/>
      </w:pPr>
    </w:p>
    <w:p>
      <w:pPr>
        <w:spacing w:before="0"/>
        <w:ind w:left="2128" w:right="978" w:firstLine="0"/>
        <w:jc w:val="both"/>
        <w:rPr>
          <w:sz w:val="22"/>
        </w:rPr>
      </w:pPr>
      <w:r>
        <w:rPr>
          <w:rFonts w:ascii="Arial" w:hAnsi="Arial"/>
          <w:i/>
          <w:sz w:val="22"/>
        </w:rPr>
        <w:t>“</w:t>
      </w:r>
      <w:r>
        <w:rPr>
          <w:rFonts w:ascii="Arial" w:hAnsi="Arial"/>
          <w:b/>
          <w:i/>
          <w:sz w:val="22"/>
        </w:rPr>
        <w:t>Artículo 74</w:t>
      </w:r>
      <w:r>
        <w:rPr>
          <w:rFonts w:ascii="Arial" w:hAnsi="Arial"/>
          <w:i/>
          <w:sz w:val="22"/>
        </w:rPr>
        <w:t>.- Para los efectos de los artículos anteriores, la Secretaría General,</w:t>
      </w:r>
      <w:r>
        <w:rPr>
          <w:rFonts w:ascii="Arial" w:hAnsi="Arial"/>
          <w:i/>
          <w:spacing w:val="-7"/>
          <w:sz w:val="22"/>
        </w:rPr>
        <w:t> </w:t>
      </w:r>
      <w:r>
        <w:rPr>
          <w:rFonts w:ascii="Arial" w:hAnsi="Arial"/>
          <w:i/>
          <w:sz w:val="22"/>
        </w:rPr>
        <w:t>de</w:t>
      </w:r>
      <w:r>
        <w:rPr>
          <w:rFonts w:ascii="Arial" w:hAnsi="Arial"/>
          <w:i/>
          <w:spacing w:val="-7"/>
          <w:sz w:val="22"/>
        </w:rPr>
        <w:t> </w:t>
      </w:r>
      <w:r>
        <w:rPr>
          <w:rFonts w:ascii="Arial" w:hAnsi="Arial"/>
          <w:i/>
          <w:sz w:val="22"/>
        </w:rPr>
        <w:t>oficio</w:t>
      </w:r>
      <w:r>
        <w:rPr>
          <w:rFonts w:ascii="Arial" w:hAnsi="Arial"/>
          <w:i/>
          <w:spacing w:val="-6"/>
          <w:sz w:val="22"/>
        </w:rPr>
        <w:t> </w:t>
      </w:r>
      <w:r>
        <w:rPr>
          <w:rFonts w:ascii="Arial" w:hAnsi="Arial"/>
          <w:i/>
          <w:sz w:val="22"/>
        </w:rPr>
        <w:t>o</w:t>
      </w:r>
      <w:r>
        <w:rPr>
          <w:rFonts w:ascii="Arial" w:hAnsi="Arial"/>
          <w:i/>
          <w:spacing w:val="-6"/>
          <w:sz w:val="22"/>
        </w:rPr>
        <w:t> </w:t>
      </w:r>
      <w:r>
        <w:rPr>
          <w:rFonts w:ascii="Arial" w:hAnsi="Arial"/>
          <w:i/>
          <w:sz w:val="22"/>
        </w:rPr>
        <w:t>a</w:t>
      </w:r>
      <w:r>
        <w:rPr>
          <w:rFonts w:ascii="Arial" w:hAnsi="Arial"/>
          <w:i/>
          <w:spacing w:val="-9"/>
          <w:sz w:val="22"/>
        </w:rPr>
        <w:t> </w:t>
      </w:r>
      <w:r>
        <w:rPr>
          <w:rFonts w:ascii="Arial" w:hAnsi="Arial"/>
          <w:i/>
          <w:sz w:val="22"/>
        </w:rPr>
        <w:t>petición</w:t>
      </w:r>
      <w:r>
        <w:rPr>
          <w:rFonts w:ascii="Arial" w:hAnsi="Arial"/>
          <w:i/>
          <w:spacing w:val="-7"/>
          <w:sz w:val="22"/>
        </w:rPr>
        <w:t> </w:t>
      </w:r>
      <w:r>
        <w:rPr>
          <w:rFonts w:ascii="Arial" w:hAnsi="Arial"/>
          <w:i/>
          <w:sz w:val="22"/>
        </w:rPr>
        <w:t>de</w:t>
      </w:r>
      <w:r>
        <w:rPr>
          <w:rFonts w:ascii="Arial" w:hAnsi="Arial"/>
          <w:i/>
          <w:spacing w:val="-7"/>
          <w:sz w:val="22"/>
        </w:rPr>
        <w:t> </w:t>
      </w:r>
      <w:r>
        <w:rPr>
          <w:rFonts w:ascii="Arial" w:hAnsi="Arial"/>
          <w:i/>
          <w:sz w:val="22"/>
        </w:rPr>
        <w:t>parte,</w:t>
      </w:r>
      <w:r>
        <w:rPr>
          <w:rFonts w:ascii="Arial" w:hAnsi="Arial"/>
          <w:i/>
          <w:spacing w:val="-6"/>
          <w:sz w:val="22"/>
          <w:u w:val="single"/>
        </w:rPr>
        <w:t> </w:t>
      </w:r>
      <w:r>
        <w:rPr>
          <w:rFonts w:ascii="Arial" w:hAnsi="Arial"/>
          <w:i/>
          <w:sz w:val="22"/>
          <w:u w:val="single"/>
        </w:rPr>
        <w:t>determinará,</w:t>
      </w:r>
      <w:r>
        <w:rPr>
          <w:rFonts w:ascii="Arial" w:hAnsi="Arial"/>
          <w:i/>
          <w:spacing w:val="-5"/>
          <w:sz w:val="22"/>
          <w:u w:val="single"/>
        </w:rPr>
        <w:t> </w:t>
      </w:r>
      <w:r>
        <w:rPr>
          <w:rFonts w:ascii="Arial" w:hAnsi="Arial"/>
          <w:i/>
          <w:sz w:val="22"/>
          <w:u w:val="single"/>
        </w:rPr>
        <w:t>en</w:t>
      </w:r>
      <w:r>
        <w:rPr>
          <w:rFonts w:ascii="Arial" w:hAnsi="Arial"/>
          <w:i/>
          <w:spacing w:val="-9"/>
          <w:sz w:val="22"/>
          <w:u w:val="single"/>
        </w:rPr>
        <w:t> </w:t>
      </w:r>
      <w:r>
        <w:rPr>
          <w:rFonts w:ascii="Arial" w:hAnsi="Arial"/>
          <w:i/>
          <w:sz w:val="22"/>
          <w:u w:val="single"/>
        </w:rPr>
        <w:t>los</w:t>
      </w:r>
      <w:r>
        <w:rPr>
          <w:rFonts w:ascii="Arial" w:hAnsi="Arial"/>
          <w:i/>
          <w:spacing w:val="-6"/>
          <w:sz w:val="22"/>
          <w:u w:val="single"/>
        </w:rPr>
        <w:t> </w:t>
      </w:r>
      <w:r>
        <w:rPr>
          <w:rFonts w:ascii="Arial" w:hAnsi="Arial"/>
          <w:i/>
          <w:sz w:val="22"/>
          <w:u w:val="single"/>
        </w:rPr>
        <w:t>casos</w:t>
      </w:r>
      <w:r>
        <w:rPr>
          <w:rFonts w:ascii="Arial" w:hAnsi="Arial"/>
          <w:i/>
          <w:spacing w:val="-6"/>
          <w:sz w:val="22"/>
          <w:u w:val="single"/>
        </w:rPr>
        <w:t> </w:t>
      </w:r>
      <w:r>
        <w:rPr>
          <w:rFonts w:ascii="Arial" w:hAnsi="Arial"/>
          <w:i/>
          <w:sz w:val="22"/>
          <w:u w:val="single"/>
        </w:rPr>
        <w:t>en</w:t>
      </w:r>
      <w:r>
        <w:rPr>
          <w:rFonts w:ascii="Arial" w:hAnsi="Arial"/>
          <w:i/>
          <w:spacing w:val="-9"/>
          <w:sz w:val="22"/>
          <w:u w:val="single"/>
        </w:rPr>
        <w:t> </w:t>
      </w:r>
      <w:r>
        <w:rPr>
          <w:rFonts w:ascii="Arial" w:hAnsi="Arial"/>
          <w:i/>
          <w:sz w:val="22"/>
          <w:u w:val="single"/>
        </w:rPr>
        <w:t>que</w:t>
      </w:r>
      <w:r>
        <w:rPr>
          <w:rFonts w:ascii="Arial" w:hAnsi="Arial"/>
          <w:i/>
          <w:spacing w:val="-6"/>
          <w:sz w:val="22"/>
          <w:u w:val="single"/>
        </w:rPr>
        <w:t> </w:t>
      </w:r>
      <w:r>
        <w:rPr>
          <w:rFonts w:ascii="Arial" w:hAnsi="Arial"/>
          <w:i/>
          <w:sz w:val="22"/>
          <w:u w:val="single"/>
        </w:rPr>
        <w:t>sea</w:t>
      </w:r>
      <w:r>
        <w:rPr>
          <w:rFonts w:ascii="Arial" w:hAnsi="Arial"/>
          <w:i/>
          <w:sz w:val="22"/>
        </w:rPr>
        <w:t> </w:t>
      </w:r>
      <w:r>
        <w:rPr>
          <w:rFonts w:ascii="Arial" w:hAnsi="Arial"/>
          <w:i/>
          <w:sz w:val="22"/>
          <w:u w:val="single"/>
        </w:rPr>
        <w:t>necesario, si una medida adoptada unilateralmente por un País Miembro</w:t>
      </w:r>
      <w:r>
        <w:rPr>
          <w:rFonts w:ascii="Arial" w:hAnsi="Arial"/>
          <w:i/>
          <w:sz w:val="22"/>
        </w:rPr>
        <w:t> </w:t>
      </w:r>
      <w:r>
        <w:rPr>
          <w:rFonts w:ascii="Arial" w:hAnsi="Arial"/>
          <w:i/>
          <w:sz w:val="22"/>
          <w:u w:val="single"/>
        </w:rPr>
        <w:t>constituye “gravamen” o “restricción</w:t>
      </w:r>
      <w:r>
        <w:rPr>
          <w:rFonts w:ascii="Arial" w:hAnsi="Arial"/>
          <w:i/>
          <w:sz w:val="22"/>
        </w:rPr>
        <w:t>”. </w:t>
      </w:r>
      <w:r>
        <w:rPr>
          <w:sz w:val="22"/>
        </w:rPr>
        <w:t>(Subrayado fuera de texto)</w:t>
      </w:r>
    </w:p>
    <w:p>
      <w:pPr>
        <w:pStyle w:val="ListParagraph"/>
        <w:numPr>
          <w:ilvl w:val="0"/>
          <w:numId w:val="2"/>
        </w:numPr>
        <w:tabs>
          <w:tab w:pos="1420" w:val="left" w:leader="none"/>
        </w:tabs>
        <w:spacing w:line="240" w:lineRule="auto" w:before="253" w:after="0"/>
        <w:ind w:left="1420" w:right="982" w:hanging="852"/>
        <w:jc w:val="both"/>
        <w:rPr>
          <w:sz w:val="22"/>
        </w:rPr>
      </w:pPr>
      <w:r>
        <w:rPr>
          <w:sz w:val="22"/>
        </w:rPr>
        <w:t>Adicionalmente, es preciso resaltar que el artículo 77 del Acuerdo de Cartagena contiene una prohibición expresa con relación a aplicación de restricciones:</w:t>
      </w:r>
    </w:p>
    <w:p>
      <w:pPr>
        <w:pStyle w:val="BodyText"/>
        <w:spacing w:before="1"/>
      </w:pPr>
    </w:p>
    <w:p>
      <w:pPr>
        <w:spacing w:before="0"/>
        <w:ind w:left="2128" w:right="979" w:firstLine="0"/>
        <w:jc w:val="both"/>
        <w:rPr>
          <w:sz w:val="22"/>
        </w:rPr>
      </w:pPr>
      <w:r>
        <w:rPr>
          <w:rFonts w:ascii="Arial" w:hAnsi="Arial"/>
          <w:i/>
          <w:sz w:val="22"/>
        </w:rPr>
        <w:t>“</w:t>
      </w:r>
      <w:r>
        <w:rPr>
          <w:rFonts w:ascii="Arial" w:hAnsi="Arial"/>
          <w:b/>
          <w:i/>
          <w:sz w:val="22"/>
        </w:rPr>
        <w:t>Artículo</w:t>
      </w:r>
      <w:r>
        <w:rPr>
          <w:rFonts w:ascii="Arial" w:hAnsi="Arial"/>
          <w:b/>
          <w:i/>
          <w:spacing w:val="-4"/>
          <w:sz w:val="22"/>
        </w:rPr>
        <w:t> </w:t>
      </w:r>
      <w:r>
        <w:rPr>
          <w:rFonts w:ascii="Arial" w:hAnsi="Arial"/>
          <w:b/>
          <w:i/>
          <w:sz w:val="22"/>
        </w:rPr>
        <w:t>77.-</w:t>
      </w:r>
      <w:r>
        <w:rPr>
          <w:rFonts w:ascii="Arial" w:hAnsi="Arial"/>
          <w:b/>
          <w:i/>
          <w:spacing w:val="-2"/>
          <w:sz w:val="22"/>
        </w:rPr>
        <w:t> </w:t>
      </w:r>
      <w:r>
        <w:rPr>
          <w:rFonts w:ascii="Arial" w:hAnsi="Arial"/>
          <w:b/>
          <w:i/>
          <w:sz w:val="22"/>
        </w:rPr>
        <w:t>Los</w:t>
      </w:r>
      <w:r>
        <w:rPr>
          <w:rFonts w:ascii="Arial" w:hAnsi="Arial"/>
          <w:b/>
          <w:i/>
          <w:spacing w:val="-1"/>
          <w:sz w:val="22"/>
        </w:rPr>
        <w:t> </w:t>
      </w:r>
      <w:r>
        <w:rPr>
          <w:rFonts w:ascii="Arial" w:hAnsi="Arial"/>
          <w:b/>
          <w:i/>
          <w:sz w:val="22"/>
        </w:rPr>
        <w:t>Países</w:t>
      </w:r>
      <w:r>
        <w:rPr>
          <w:rFonts w:ascii="Arial" w:hAnsi="Arial"/>
          <w:b/>
          <w:i/>
          <w:spacing w:val="-1"/>
          <w:sz w:val="22"/>
        </w:rPr>
        <w:t> </w:t>
      </w:r>
      <w:r>
        <w:rPr>
          <w:rFonts w:ascii="Arial" w:hAnsi="Arial"/>
          <w:b/>
          <w:i/>
          <w:sz w:val="22"/>
        </w:rPr>
        <w:t>Miembros</w:t>
      </w:r>
      <w:r>
        <w:rPr>
          <w:rFonts w:ascii="Arial" w:hAnsi="Arial"/>
          <w:b/>
          <w:i/>
          <w:spacing w:val="-4"/>
          <w:sz w:val="22"/>
        </w:rPr>
        <w:t> </w:t>
      </w:r>
      <w:r>
        <w:rPr>
          <w:rFonts w:ascii="Arial" w:hAnsi="Arial"/>
          <w:b/>
          <w:i/>
          <w:sz w:val="22"/>
        </w:rPr>
        <w:t>se</w:t>
      </w:r>
      <w:r>
        <w:rPr>
          <w:rFonts w:ascii="Arial" w:hAnsi="Arial"/>
          <w:b/>
          <w:i/>
          <w:spacing w:val="-2"/>
          <w:sz w:val="22"/>
        </w:rPr>
        <w:t> </w:t>
      </w:r>
      <w:r>
        <w:rPr>
          <w:rFonts w:ascii="Arial" w:hAnsi="Arial"/>
          <w:b/>
          <w:i/>
          <w:sz w:val="22"/>
        </w:rPr>
        <w:t>abstendrán </w:t>
      </w:r>
      <w:r>
        <w:rPr>
          <w:rFonts w:ascii="Arial" w:hAnsi="Arial"/>
          <w:i/>
          <w:sz w:val="22"/>
        </w:rPr>
        <w:t>de</w:t>
      </w:r>
      <w:r>
        <w:rPr>
          <w:rFonts w:ascii="Arial" w:hAnsi="Arial"/>
          <w:i/>
          <w:spacing w:val="-4"/>
          <w:sz w:val="22"/>
        </w:rPr>
        <w:t> </w:t>
      </w:r>
      <w:r>
        <w:rPr>
          <w:rFonts w:ascii="Arial" w:hAnsi="Arial"/>
          <w:i/>
          <w:sz w:val="22"/>
        </w:rPr>
        <w:t>aplicar</w:t>
      </w:r>
      <w:r>
        <w:rPr>
          <w:rFonts w:ascii="Arial" w:hAnsi="Arial"/>
          <w:i/>
          <w:spacing w:val="-3"/>
          <w:sz w:val="22"/>
        </w:rPr>
        <w:t> </w:t>
      </w:r>
      <w:r>
        <w:rPr>
          <w:rFonts w:ascii="Arial" w:hAnsi="Arial"/>
          <w:i/>
          <w:sz w:val="22"/>
        </w:rPr>
        <w:t>gravámenes y</w:t>
      </w:r>
      <w:r>
        <w:rPr>
          <w:rFonts w:ascii="Arial" w:hAnsi="Arial"/>
          <w:i/>
          <w:spacing w:val="-11"/>
          <w:sz w:val="22"/>
        </w:rPr>
        <w:t> </w:t>
      </w:r>
      <w:r>
        <w:rPr>
          <w:rFonts w:ascii="Arial" w:hAnsi="Arial"/>
          <w:b/>
          <w:i/>
          <w:sz w:val="22"/>
        </w:rPr>
        <w:t>de</w:t>
      </w:r>
      <w:r>
        <w:rPr>
          <w:rFonts w:ascii="Arial" w:hAnsi="Arial"/>
          <w:b/>
          <w:i/>
          <w:spacing w:val="-12"/>
          <w:sz w:val="22"/>
        </w:rPr>
        <w:t> </w:t>
      </w:r>
      <w:r>
        <w:rPr>
          <w:rFonts w:ascii="Arial" w:hAnsi="Arial"/>
          <w:b/>
          <w:i/>
          <w:sz w:val="22"/>
        </w:rPr>
        <w:t>introducir</w:t>
      </w:r>
      <w:r>
        <w:rPr>
          <w:rFonts w:ascii="Arial" w:hAnsi="Arial"/>
          <w:b/>
          <w:i/>
          <w:spacing w:val="-12"/>
          <w:sz w:val="22"/>
        </w:rPr>
        <w:t> </w:t>
      </w:r>
      <w:r>
        <w:rPr>
          <w:rFonts w:ascii="Arial" w:hAnsi="Arial"/>
          <w:b/>
          <w:i/>
          <w:sz w:val="22"/>
        </w:rPr>
        <w:t>restricciones</w:t>
      </w:r>
      <w:r>
        <w:rPr>
          <w:rFonts w:ascii="Arial" w:hAnsi="Arial"/>
          <w:b/>
          <w:i/>
          <w:spacing w:val="-12"/>
          <w:sz w:val="22"/>
        </w:rPr>
        <w:t> </w:t>
      </w:r>
      <w:r>
        <w:rPr>
          <w:rFonts w:ascii="Arial" w:hAnsi="Arial"/>
          <w:b/>
          <w:i/>
          <w:sz w:val="22"/>
        </w:rPr>
        <w:t>de</w:t>
      </w:r>
      <w:r>
        <w:rPr>
          <w:rFonts w:ascii="Arial" w:hAnsi="Arial"/>
          <w:b/>
          <w:i/>
          <w:spacing w:val="-12"/>
          <w:sz w:val="22"/>
        </w:rPr>
        <w:t> </w:t>
      </w:r>
      <w:r>
        <w:rPr>
          <w:rFonts w:ascii="Arial" w:hAnsi="Arial"/>
          <w:b/>
          <w:i/>
          <w:sz w:val="22"/>
        </w:rPr>
        <w:t>todo</w:t>
      </w:r>
      <w:r>
        <w:rPr>
          <w:rFonts w:ascii="Arial" w:hAnsi="Arial"/>
          <w:b/>
          <w:i/>
          <w:spacing w:val="-11"/>
          <w:sz w:val="22"/>
        </w:rPr>
        <w:t> </w:t>
      </w:r>
      <w:r>
        <w:rPr>
          <w:rFonts w:ascii="Arial" w:hAnsi="Arial"/>
          <w:b/>
          <w:i/>
          <w:sz w:val="22"/>
        </w:rPr>
        <w:t>orden</w:t>
      </w:r>
      <w:r>
        <w:rPr>
          <w:rFonts w:ascii="Arial" w:hAnsi="Arial"/>
          <w:b/>
          <w:i/>
          <w:spacing w:val="-11"/>
          <w:sz w:val="22"/>
        </w:rPr>
        <w:t> </w:t>
      </w:r>
      <w:r>
        <w:rPr>
          <w:rFonts w:ascii="Arial" w:hAnsi="Arial"/>
          <w:b/>
          <w:i/>
          <w:sz w:val="22"/>
        </w:rPr>
        <w:t>a</w:t>
      </w:r>
      <w:r>
        <w:rPr>
          <w:rFonts w:ascii="Arial" w:hAnsi="Arial"/>
          <w:b/>
          <w:i/>
          <w:spacing w:val="-14"/>
          <w:sz w:val="22"/>
        </w:rPr>
        <w:t> </w:t>
      </w:r>
      <w:r>
        <w:rPr>
          <w:rFonts w:ascii="Arial" w:hAnsi="Arial"/>
          <w:b/>
          <w:i/>
          <w:sz w:val="22"/>
        </w:rPr>
        <w:t>las</w:t>
      </w:r>
      <w:r>
        <w:rPr>
          <w:rFonts w:ascii="Arial" w:hAnsi="Arial"/>
          <w:b/>
          <w:i/>
          <w:spacing w:val="-11"/>
          <w:sz w:val="22"/>
        </w:rPr>
        <w:t> </w:t>
      </w:r>
      <w:r>
        <w:rPr>
          <w:rFonts w:ascii="Arial" w:hAnsi="Arial"/>
          <w:b/>
          <w:i/>
          <w:sz w:val="22"/>
        </w:rPr>
        <w:t>importaciones</w:t>
      </w:r>
      <w:r>
        <w:rPr>
          <w:rFonts w:ascii="Arial" w:hAnsi="Arial"/>
          <w:b/>
          <w:i/>
          <w:spacing w:val="-10"/>
          <w:sz w:val="22"/>
        </w:rPr>
        <w:t> </w:t>
      </w:r>
      <w:r>
        <w:rPr>
          <w:rFonts w:ascii="Arial" w:hAnsi="Arial"/>
          <w:i/>
          <w:sz w:val="22"/>
        </w:rPr>
        <w:t>de</w:t>
      </w:r>
      <w:r>
        <w:rPr>
          <w:rFonts w:ascii="Arial" w:hAnsi="Arial"/>
          <w:i/>
          <w:spacing w:val="-12"/>
          <w:sz w:val="22"/>
        </w:rPr>
        <w:t> </w:t>
      </w:r>
      <w:r>
        <w:rPr>
          <w:rFonts w:ascii="Arial" w:hAnsi="Arial"/>
          <w:i/>
          <w:sz w:val="22"/>
        </w:rPr>
        <w:t>bienes originarios de la Subregión”. </w:t>
      </w:r>
      <w:r>
        <w:rPr>
          <w:sz w:val="22"/>
        </w:rPr>
        <w:t>(Énfasis fuera del texto)</w:t>
      </w:r>
    </w:p>
    <w:p>
      <w:pPr>
        <w:pStyle w:val="ListParagraph"/>
        <w:numPr>
          <w:ilvl w:val="0"/>
          <w:numId w:val="2"/>
        </w:numPr>
        <w:tabs>
          <w:tab w:pos="1420" w:val="left" w:leader="none"/>
        </w:tabs>
        <w:spacing w:line="240" w:lineRule="auto" w:before="253" w:after="0"/>
        <w:ind w:left="1420" w:right="979" w:hanging="852"/>
        <w:jc w:val="both"/>
        <w:rPr>
          <w:sz w:val="22"/>
        </w:rPr>
      </w:pPr>
      <w:r>
        <w:rPr>
          <w:sz w:val="22"/>
        </w:rPr>
        <w:t>Ello</w:t>
      </w:r>
      <w:r>
        <w:rPr>
          <w:spacing w:val="-7"/>
          <w:sz w:val="22"/>
        </w:rPr>
        <w:t> </w:t>
      </w:r>
      <w:r>
        <w:rPr>
          <w:sz w:val="22"/>
        </w:rPr>
        <w:t>es</w:t>
      </w:r>
      <w:r>
        <w:rPr>
          <w:spacing w:val="-7"/>
          <w:sz w:val="22"/>
        </w:rPr>
        <w:t> </w:t>
      </w:r>
      <w:r>
        <w:rPr>
          <w:sz w:val="22"/>
        </w:rPr>
        <w:t>así</w:t>
      </w:r>
      <w:r>
        <w:rPr>
          <w:spacing w:val="-8"/>
          <w:sz w:val="22"/>
        </w:rPr>
        <w:t> </w:t>
      </w:r>
      <w:r>
        <w:rPr>
          <w:sz w:val="22"/>
        </w:rPr>
        <w:t>dado</w:t>
      </w:r>
      <w:r>
        <w:rPr>
          <w:spacing w:val="-7"/>
          <w:sz w:val="22"/>
        </w:rPr>
        <w:t> </w:t>
      </w:r>
      <w:r>
        <w:rPr>
          <w:sz w:val="22"/>
        </w:rPr>
        <w:t>que</w:t>
      </w:r>
      <w:r>
        <w:rPr>
          <w:spacing w:val="-9"/>
          <w:sz w:val="22"/>
        </w:rPr>
        <w:t> </w:t>
      </w:r>
      <w:r>
        <w:rPr>
          <w:sz w:val="22"/>
        </w:rPr>
        <w:t>las</w:t>
      </w:r>
      <w:r>
        <w:rPr>
          <w:spacing w:val="-9"/>
          <w:sz w:val="22"/>
        </w:rPr>
        <w:t> </w:t>
      </w:r>
      <w:r>
        <w:rPr>
          <w:sz w:val="22"/>
        </w:rPr>
        <w:t>restricciones</w:t>
      </w:r>
      <w:r>
        <w:rPr>
          <w:spacing w:val="-9"/>
          <w:sz w:val="22"/>
        </w:rPr>
        <w:t> </w:t>
      </w:r>
      <w:r>
        <w:rPr>
          <w:sz w:val="22"/>
        </w:rPr>
        <w:t>constituyen</w:t>
      </w:r>
      <w:r>
        <w:rPr>
          <w:spacing w:val="-9"/>
          <w:sz w:val="22"/>
        </w:rPr>
        <w:t> </w:t>
      </w:r>
      <w:r>
        <w:rPr>
          <w:sz w:val="22"/>
        </w:rPr>
        <w:t>obstáculos</w:t>
      </w:r>
      <w:r>
        <w:rPr>
          <w:spacing w:val="-7"/>
          <w:sz w:val="22"/>
        </w:rPr>
        <w:t> </w:t>
      </w:r>
      <w:r>
        <w:rPr>
          <w:sz w:val="22"/>
        </w:rPr>
        <w:t>que</w:t>
      </w:r>
      <w:r>
        <w:rPr>
          <w:spacing w:val="-9"/>
          <w:sz w:val="22"/>
        </w:rPr>
        <w:t> </w:t>
      </w:r>
      <w:r>
        <w:rPr>
          <w:sz w:val="22"/>
        </w:rPr>
        <w:t>inciden,</w:t>
      </w:r>
      <w:r>
        <w:rPr>
          <w:spacing w:val="-8"/>
          <w:sz w:val="22"/>
        </w:rPr>
        <w:t> </w:t>
      </w:r>
      <w:r>
        <w:rPr>
          <w:sz w:val="22"/>
        </w:rPr>
        <w:t>dificultan</w:t>
      </w:r>
      <w:r>
        <w:rPr>
          <w:spacing w:val="-9"/>
          <w:sz w:val="22"/>
        </w:rPr>
        <w:t> </w:t>
      </w:r>
      <w:r>
        <w:rPr>
          <w:sz w:val="22"/>
        </w:rPr>
        <w:t>o encarecen las importaciones de origen de los Países Miembros teniendo repercusiones</w:t>
      </w:r>
      <w:r>
        <w:rPr>
          <w:spacing w:val="-6"/>
          <w:sz w:val="22"/>
        </w:rPr>
        <w:t> </w:t>
      </w:r>
      <w:r>
        <w:rPr>
          <w:sz w:val="22"/>
        </w:rPr>
        <w:t>económicas</w:t>
      </w:r>
      <w:r>
        <w:rPr>
          <w:spacing w:val="-4"/>
          <w:sz w:val="22"/>
        </w:rPr>
        <w:t> </w:t>
      </w:r>
      <w:r>
        <w:rPr>
          <w:sz w:val="22"/>
        </w:rPr>
        <w:t>en</w:t>
      </w:r>
      <w:r>
        <w:rPr>
          <w:spacing w:val="-6"/>
          <w:sz w:val="22"/>
        </w:rPr>
        <w:t> </w:t>
      </w:r>
      <w:r>
        <w:rPr>
          <w:sz w:val="22"/>
        </w:rPr>
        <w:t>el</w:t>
      </w:r>
      <w:r>
        <w:rPr>
          <w:spacing w:val="-7"/>
          <w:sz w:val="22"/>
        </w:rPr>
        <w:t> </w:t>
      </w:r>
      <w:r>
        <w:rPr>
          <w:sz w:val="22"/>
        </w:rPr>
        <w:t>comercio</w:t>
      </w:r>
      <w:r>
        <w:rPr>
          <w:spacing w:val="-7"/>
          <w:sz w:val="22"/>
        </w:rPr>
        <w:t> </w:t>
      </w:r>
      <w:r>
        <w:rPr>
          <w:sz w:val="22"/>
        </w:rPr>
        <w:t>internacional</w:t>
      </w:r>
      <w:r>
        <w:rPr>
          <w:spacing w:val="-5"/>
          <w:sz w:val="22"/>
        </w:rPr>
        <w:t> </w:t>
      </w:r>
      <w:r>
        <w:rPr>
          <w:sz w:val="22"/>
        </w:rPr>
        <w:t>de</w:t>
      </w:r>
      <w:r>
        <w:rPr>
          <w:spacing w:val="-6"/>
          <w:sz w:val="22"/>
        </w:rPr>
        <w:t> </w:t>
      </w:r>
      <w:r>
        <w:rPr>
          <w:sz w:val="22"/>
        </w:rPr>
        <w:t>mercancías,</w:t>
      </w:r>
      <w:r>
        <w:rPr>
          <w:spacing w:val="-7"/>
          <w:sz w:val="22"/>
        </w:rPr>
        <w:t> </w:t>
      </w:r>
      <w:r>
        <w:rPr>
          <w:sz w:val="22"/>
        </w:rPr>
        <w:t>modificando el</w:t>
      </w:r>
      <w:r>
        <w:rPr>
          <w:spacing w:val="-13"/>
          <w:sz w:val="22"/>
        </w:rPr>
        <w:t> </w:t>
      </w:r>
      <w:r>
        <w:rPr>
          <w:sz w:val="22"/>
        </w:rPr>
        <w:t>volumen</w:t>
      </w:r>
      <w:r>
        <w:rPr>
          <w:spacing w:val="-12"/>
          <w:sz w:val="22"/>
        </w:rPr>
        <w:t> </w:t>
      </w:r>
      <w:r>
        <w:rPr>
          <w:sz w:val="22"/>
        </w:rPr>
        <w:t>de</w:t>
      </w:r>
      <w:r>
        <w:rPr>
          <w:spacing w:val="-14"/>
          <w:sz w:val="22"/>
        </w:rPr>
        <w:t> </w:t>
      </w:r>
      <w:r>
        <w:rPr>
          <w:sz w:val="22"/>
        </w:rPr>
        <w:t>las</w:t>
      </w:r>
      <w:r>
        <w:rPr>
          <w:spacing w:val="-13"/>
          <w:sz w:val="22"/>
        </w:rPr>
        <w:t> </w:t>
      </w:r>
      <w:r>
        <w:rPr>
          <w:sz w:val="22"/>
        </w:rPr>
        <w:t>transacciones,</w:t>
      </w:r>
      <w:r>
        <w:rPr>
          <w:spacing w:val="-11"/>
          <w:sz w:val="22"/>
        </w:rPr>
        <w:t> </w:t>
      </w:r>
      <w:r>
        <w:rPr>
          <w:sz w:val="22"/>
        </w:rPr>
        <w:t>precios</w:t>
      </w:r>
      <w:r>
        <w:rPr>
          <w:spacing w:val="-12"/>
          <w:sz w:val="22"/>
        </w:rPr>
        <w:t> </w:t>
      </w:r>
      <w:r>
        <w:rPr>
          <w:sz w:val="22"/>
        </w:rPr>
        <w:t>o</w:t>
      </w:r>
      <w:r>
        <w:rPr>
          <w:spacing w:val="-14"/>
          <w:sz w:val="22"/>
        </w:rPr>
        <w:t> </w:t>
      </w:r>
      <w:r>
        <w:rPr>
          <w:sz w:val="22"/>
        </w:rPr>
        <w:t>ambas</w:t>
      </w:r>
      <w:r>
        <w:rPr>
          <w:spacing w:val="-13"/>
          <w:sz w:val="22"/>
        </w:rPr>
        <w:t> </w:t>
      </w:r>
      <w:r>
        <w:rPr>
          <w:sz w:val="22"/>
        </w:rPr>
        <w:t>cosas</w:t>
      </w:r>
      <w:hyperlink w:history="true" w:anchor="_bookmark26">
        <w:r>
          <w:rPr>
            <w:sz w:val="22"/>
            <w:vertAlign w:val="superscript"/>
          </w:rPr>
          <w:t>27</w:t>
        </w:r>
      </w:hyperlink>
      <w:r>
        <w:rPr>
          <w:sz w:val="22"/>
          <w:vertAlign w:val="baseline"/>
        </w:rPr>
        <w:t>.</w:t>
      </w:r>
      <w:r>
        <w:rPr>
          <w:spacing w:val="-11"/>
          <w:sz w:val="22"/>
          <w:vertAlign w:val="baseline"/>
        </w:rPr>
        <w:t> </w:t>
      </w:r>
      <w:r>
        <w:rPr>
          <w:sz w:val="22"/>
          <w:vertAlign w:val="baseline"/>
        </w:rPr>
        <w:t>Por</w:t>
      </w:r>
      <w:r>
        <w:rPr>
          <w:spacing w:val="-13"/>
          <w:sz w:val="22"/>
          <w:vertAlign w:val="baseline"/>
        </w:rPr>
        <w:t> </w:t>
      </w:r>
      <w:r>
        <w:rPr>
          <w:sz w:val="22"/>
          <w:vertAlign w:val="baseline"/>
        </w:rPr>
        <w:t>este</w:t>
      </w:r>
      <w:r>
        <w:rPr>
          <w:spacing w:val="-16"/>
          <w:sz w:val="22"/>
          <w:vertAlign w:val="baseline"/>
        </w:rPr>
        <w:t> </w:t>
      </w:r>
      <w:r>
        <w:rPr>
          <w:sz w:val="22"/>
          <w:vertAlign w:val="baseline"/>
        </w:rPr>
        <w:t>motivo</w:t>
      </w:r>
      <w:r>
        <w:rPr>
          <w:spacing w:val="-14"/>
          <w:sz w:val="22"/>
          <w:vertAlign w:val="baseline"/>
        </w:rPr>
        <w:t> </w:t>
      </w:r>
      <w:r>
        <w:rPr>
          <w:sz w:val="22"/>
          <w:vertAlign w:val="baseline"/>
        </w:rPr>
        <w:t>el</w:t>
      </w:r>
      <w:r>
        <w:rPr>
          <w:spacing w:val="-12"/>
          <w:sz w:val="22"/>
          <w:vertAlign w:val="baseline"/>
        </w:rPr>
        <w:t> </w:t>
      </w:r>
      <w:r>
        <w:rPr>
          <w:sz w:val="22"/>
          <w:vertAlign w:val="baseline"/>
        </w:rPr>
        <w:t>referido artículo</w:t>
      </w:r>
      <w:r>
        <w:rPr>
          <w:spacing w:val="-2"/>
          <w:sz w:val="22"/>
          <w:vertAlign w:val="baseline"/>
        </w:rPr>
        <w:t> </w:t>
      </w:r>
      <w:r>
        <w:rPr>
          <w:sz w:val="22"/>
          <w:vertAlign w:val="baseline"/>
        </w:rPr>
        <w:t>77</w:t>
      </w:r>
      <w:r>
        <w:rPr>
          <w:spacing w:val="-4"/>
          <w:sz w:val="22"/>
          <w:vertAlign w:val="baseline"/>
        </w:rPr>
        <w:t> </w:t>
      </w:r>
      <w:r>
        <w:rPr>
          <w:sz w:val="22"/>
          <w:vertAlign w:val="baseline"/>
        </w:rPr>
        <w:t>del</w:t>
      </w:r>
      <w:r>
        <w:rPr>
          <w:spacing w:val="-5"/>
          <w:sz w:val="22"/>
          <w:vertAlign w:val="baseline"/>
        </w:rPr>
        <w:t> </w:t>
      </w:r>
      <w:r>
        <w:rPr>
          <w:sz w:val="22"/>
          <w:vertAlign w:val="baseline"/>
        </w:rPr>
        <w:t>Acuerdo</w:t>
      </w:r>
      <w:r>
        <w:rPr>
          <w:spacing w:val="-4"/>
          <w:sz w:val="22"/>
          <w:vertAlign w:val="baseline"/>
        </w:rPr>
        <w:t> </w:t>
      </w:r>
      <w:r>
        <w:rPr>
          <w:sz w:val="22"/>
          <w:vertAlign w:val="baseline"/>
        </w:rPr>
        <w:t>de</w:t>
      </w:r>
      <w:r>
        <w:rPr>
          <w:spacing w:val="-2"/>
          <w:sz w:val="22"/>
          <w:vertAlign w:val="baseline"/>
        </w:rPr>
        <w:t> </w:t>
      </w:r>
      <w:r>
        <w:rPr>
          <w:sz w:val="22"/>
          <w:vertAlign w:val="baseline"/>
        </w:rPr>
        <w:t>Cartagena</w:t>
      </w:r>
      <w:r>
        <w:rPr>
          <w:spacing w:val="-4"/>
          <w:sz w:val="22"/>
          <w:vertAlign w:val="baseline"/>
        </w:rPr>
        <w:t> </w:t>
      </w:r>
      <w:r>
        <w:rPr>
          <w:sz w:val="22"/>
          <w:vertAlign w:val="baseline"/>
        </w:rPr>
        <w:t>obliga</w:t>
      </w:r>
      <w:r>
        <w:rPr>
          <w:spacing w:val="-2"/>
          <w:sz w:val="22"/>
          <w:vertAlign w:val="baseline"/>
        </w:rPr>
        <w:t> </w:t>
      </w:r>
      <w:r>
        <w:rPr>
          <w:sz w:val="22"/>
          <w:vertAlign w:val="baseline"/>
        </w:rPr>
        <w:t>a</w:t>
      </w:r>
      <w:r>
        <w:rPr>
          <w:spacing w:val="-4"/>
          <w:sz w:val="22"/>
          <w:vertAlign w:val="baseline"/>
        </w:rPr>
        <w:t> </w:t>
      </w:r>
      <w:r>
        <w:rPr>
          <w:sz w:val="22"/>
          <w:vertAlign w:val="baseline"/>
        </w:rPr>
        <w:t>los</w:t>
      </w:r>
      <w:r>
        <w:rPr>
          <w:spacing w:val="-4"/>
          <w:sz w:val="22"/>
          <w:vertAlign w:val="baseline"/>
        </w:rPr>
        <w:t> </w:t>
      </w:r>
      <w:r>
        <w:rPr>
          <w:sz w:val="22"/>
          <w:vertAlign w:val="baseline"/>
        </w:rPr>
        <w:t>Países</w:t>
      </w:r>
      <w:r>
        <w:rPr>
          <w:spacing w:val="-4"/>
          <w:sz w:val="22"/>
          <w:vertAlign w:val="baseline"/>
        </w:rPr>
        <w:t> </w:t>
      </w:r>
      <w:r>
        <w:rPr>
          <w:sz w:val="22"/>
          <w:vertAlign w:val="baseline"/>
        </w:rPr>
        <w:t>Miembros</w:t>
      </w:r>
      <w:r>
        <w:rPr>
          <w:spacing w:val="-4"/>
          <w:sz w:val="22"/>
          <w:vertAlign w:val="baseline"/>
        </w:rPr>
        <w:t> </w:t>
      </w:r>
      <w:r>
        <w:rPr>
          <w:sz w:val="22"/>
          <w:vertAlign w:val="baseline"/>
        </w:rPr>
        <w:t>a</w:t>
      </w:r>
      <w:r>
        <w:rPr>
          <w:spacing w:val="-4"/>
          <w:sz w:val="22"/>
          <w:vertAlign w:val="baseline"/>
        </w:rPr>
        <w:t> </w:t>
      </w:r>
      <w:r>
        <w:rPr>
          <w:sz w:val="22"/>
          <w:vertAlign w:val="baseline"/>
        </w:rPr>
        <w:t>abstenerse</w:t>
      </w:r>
      <w:r>
        <w:rPr>
          <w:spacing w:val="-4"/>
          <w:sz w:val="22"/>
          <w:vertAlign w:val="baseline"/>
        </w:rPr>
        <w:t> </w:t>
      </w:r>
      <w:r>
        <w:rPr>
          <w:sz w:val="22"/>
          <w:vertAlign w:val="baseline"/>
        </w:rPr>
        <w:t>de introducir «restricciones de todo orden» y aquellas que no deben considerarse comprendidas de ese concepto (Baldeón, 2024).</w:t>
      </w:r>
    </w:p>
    <w:p>
      <w:pPr>
        <w:pStyle w:val="BodyText"/>
        <w:spacing w:before="1"/>
      </w:pPr>
    </w:p>
    <w:p>
      <w:pPr>
        <w:pStyle w:val="ListParagraph"/>
        <w:numPr>
          <w:ilvl w:val="0"/>
          <w:numId w:val="2"/>
        </w:numPr>
        <w:tabs>
          <w:tab w:pos="1420" w:val="left" w:leader="none"/>
        </w:tabs>
        <w:spacing w:line="240" w:lineRule="auto" w:before="0" w:after="0"/>
        <w:ind w:left="1420" w:right="983" w:hanging="852"/>
        <w:jc w:val="both"/>
        <w:rPr>
          <w:sz w:val="22"/>
        </w:rPr>
      </w:pPr>
      <w:r>
        <w:rPr>
          <w:sz w:val="22"/>
        </w:rPr>
        <w:t>En ese sentido, corresponde a la SGCAN determinar, en el marco de sus competencias, la respectiva calificación.</w:t>
      </w:r>
    </w:p>
    <w:p>
      <w:pPr>
        <w:pStyle w:val="BodyText"/>
        <w:spacing w:before="120"/>
      </w:pPr>
    </w:p>
    <w:p>
      <w:pPr>
        <w:pStyle w:val="Heading6"/>
        <w:numPr>
          <w:ilvl w:val="1"/>
          <w:numId w:val="1"/>
        </w:numPr>
        <w:tabs>
          <w:tab w:pos="1276" w:val="left" w:leader="none"/>
        </w:tabs>
        <w:spacing w:line="240" w:lineRule="auto" w:before="0" w:after="0"/>
        <w:ind w:left="1276" w:right="0" w:hanging="708"/>
        <w:jc w:val="left"/>
      </w:pPr>
      <w:r>
        <w:rPr/>
        <w:t>De</w:t>
      </w:r>
      <w:r>
        <w:rPr>
          <w:spacing w:val="-6"/>
        </w:rPr>
        <w:t> </w:t>
      </w:r>
      <w:r>
        <w:rPr/>
        <w:t>la</w:t>
      </w:r>
      <w:r>
        <w:rPr>
          <w:spacing w:val="-6"/>
        </w:rPr>
        <w:t> </w:t>
      </w:r>
      <w:r>
        <w:rPr/>
        <w:t>jurisprudencia</w:t>
      </w:r>
      <w:r>
        <w:rPr>
          <w:spacing w:val="-4"/>
        </w:rPr>
        <w:t> </w:t>
      </w:r>
      <w:r>
        <w:rPr/>
        <w:t>del</w:t>
      </w:r>
      <w:r>
        <w:rPr>
          <w:spacing w:val="-5"/>
        </w:rPr>
        <w:t> </w:t>
      </w:r>
      <w:r>
        <w:rPr/>
        <w:t>Tribunal</w:t>
      </w:r>
      <w:r>
        <w:rPr>
          <w:spacing w:val="-5"/>
        </w:rPr>
        <w:t> </w:t>
      </w:r>
      <w:r>
        <w:rPr/>
        <w:t>de</w:t>
      </w:r>
      <w:r>
        <w:rPr>
          <w:spacing w:val="-7"/>
        </w:rPr>
        <w:t> </w:t>
      </w:r>
      <w:r>
        <w:rPr/>
        <w:t>Justicia</w:t>
      </w:r>
      <w:r>
        <w:rPr>
          <w:spacing w:val="-6"/>
        </w:rPr>
        <w:t> </w:t>
      </w:r>
      <w:r>
        <w:rPr/>
        <w:t>de</w:t>
      </w:r>
      <w:r>
        <w:rPr>
          <w:spacing w:val="-4"/>
        </w:rPr>
        <w:t> </w:t>
      </w:r>
      <w:r>
        <w:rPr/>
        <w:t>la</w:t>
      </w:r>
      <w:r>
        <w:rPr>
          <w:spacing w:val="-6"/>
        </w:rPr>
        <w:t> </w:t>
      </w:r>
      <w:r>
        <w:rPr/>
        <w:t>Comunidad</w:t>
      </w:r>
      <w:r>
        <w:rPr>
          <w:spacing w:val="-7"/>
        </w:rPr>
        <w:t> </w:t>
      </w:r>
      <w:r>
        <w:rPr>
          <w:spacing w:val="-2"/>
        </w:rPr>
        <w:t>Andina</w:t>
      </w:r>
    </w:p>
    <w:p>
      <w:pPr>
        <w:pStyle w:val="BodyText"/>
        <w:rPr>
          <w:rFonts w:ascii="Arial"/>
          <w:b/>
        </w:rPr>
      </w:pPr>
    </w:p>
    <w:p>
      <w:pPr>
        <w:pStyle w:val="ListParagraph"/>
        <w:numPr>
          <w:ilvl w:val="0"/>
          <w:numId w:val="2"/>
        </w:numPr>
        <w:tabs>
          <w:tab w:pos="1420" w:val="left" w:leader="none"/>
        </w:tabs>
        <w:spacing w:line="240" w:lineRule="auto" w:before="1" w:after="0"/>
        <w:ind w:left="1420" w:right="977" w:hanging="852"/>
        <w:jc w:val="both"/>
        <w:rPr>
          <w:sz w:val="22"/>
        </w:rPr>
      </w:pPr>
      <w:r>
        <w:rPr>
          <w:sz w:val="22"/>
        </w:rPr>
        <w:t>La jurisprudencia del TJCAN constituye una fuente esencial e ineludible para la interpretación</w:t>
      </w:r>
      <w:r>
        <w:rPr>
          <w:spacing w:val="-6"/>
          <w:sz w:val="22"/>
        </w:rPr>
        <w:t> </w:t>
      </w:r>
      <w:r>
        <w:rPr>
          <w:sz w:val="22"/>
        </w:rPr>
        <w:t>del</w:t>
      </w:r>
      <w:r>
        <w:rPr>
          <w:spacing w:val="-7"/>
          <w:sz w:val="22"/>
        </w:rPr>
        <w:t> </w:t>
      </w:r>
      <w:r>
        <w:rPr>
          <w:sz w:val="22"/>
        </w:rPr>
        <w:t>ordenamiento</w:t>
      </w:r>
      <w:r>
        <w:rPr>
          <w:spacing w:val="-7"/>
          <w:sz w:val="22"/>
        </w:rPr>
        <w:t> </w:t>
      </w:r>
      <w:r>
        <w:rPr>
          <w:sz w:val="22"/>
        </w:rPr>
        <w:t>jurídico</w:t>
      </w:r>
      <w:r>
        <w:rPr>
          <w:spacing w:val="-7"/>
          <w:sz w:val="22"/>
        </w:rPr>
        <w:t> </w:t>
      </w:r>
      <w:r>
        <w:rPr>
          <w:sz w:val="22"/>
        </w:rPr>
        <w:t>comunitario,</w:t>
      </w:r>
      <w:r>
        <w:rPr>
          <w:spacing w:val="-5"/>
          <w:sz w:val="22"/>
        </w:rPr>
        <w:t> </w:t>
      </w:r>
      <w:r>
        <w:rPr>
          <w:sz w:val="22"/>
        </w:rPr>
        <w:t>particularmente</w:t>
      </w:r>
      <w:r>
        <w:rPr>
          <w:spacing w:val="-6"/>
          <w:sz w:val="22"/>
        </w:rPr>
        <w:t> </w:t>
      </w:r>
      <w:r>
        <w:rPr>
          <w:sz w:val="22"/>
        </w:rPr>
        <w:t>en</w:t>
      </w:r>
      <w:r>
        <w:rPr>
          <w:spacing w:val="-8"/>
          <w:sz w:val="22"/>
        </w:rPr>
        <w:t> </w:t>
      </w:r>
      <w:r>
        <w:rPr>
          <w:sz w:val="22"/>
        </w:rPr>
        <w:t>lo</w:t>
      </w:r>
      <w:r>
        <w:rPr>
          <w:spacing w:val="-7"/>
          <w:sz w:val="22"/>
        </w:rPr>
        <w:t> </w:t>
      </w:r>
      <w:r>
        <w:rPr>
          <w:sz w:val="22"/>
        </w:rPr>
        <w:t>relativo</w:t>
      </w:r>
      <w:r>
        <w:rPr>
          <w:spacing w:val="-6"/>
          <w:sz w:val="22"/>
        </w:rPr>
        <w:t> </w:t>
      </w:r>
      <w:r>
        <w:rPr>
          <w:sz w:val="22"/>
        </w:rPr>
        <w:t>al alcance</w:t>
      </w:r>
      <w:r>
        <w:rPr>
          <w:spacing w:val="-16"/>
          <w:sz w:val="22"/>
        </w:rPr>
        <w:t> </w:t>
      </w:r>
      <w:r>
        <w:rPr>
          <w:sz w:val="22"/>
        </w:rPr>
        <w:t>del</w:t>
      </w:r>
      <w:r>
        <w:rPr>
          <w:spacing w:val="-15"/>
          <w:sz w:val="22"/>
        </w:rPr>
        <w:t> </w:t>
      </w:r>
      <w:r>
        <w:rPr>
          <w:sz w:val="22"/>
        </w:rPr>
        <w:t>Programa</w:t>
      </w:r>
      <w:r>
        <w:rPr>
          <w:spacing w:val="-15"/>
          <w:sz w:val="22"/>
        </w:rPr>
        <w:t> </w:t>
      </w:r>
      <w:r>
        <w:rPr>
          <w:sz w:val="22"/>
        </w:rPr>
        <w:t>de</w:t>
      </w:r>
      <w:r>
        <w:rPr>
          <w:spacing w:val="-16"/>
          <w:sz w:val="22"/>
        </w:rPr>
        <w:t> </w:t>
      </w:r>
      <w:r>
        <w:rPr>
          <w:sz w:val="22"/>
        </w:rPr>
        <w:t>Liberación</w:t>
      </w:r>
      <w:r>
        <w:rPr>
          <w:spacing w:val="-15"/>
          <w:sz w:val="22"/>
        </w:rPr>
        <w:t> </w:t>
      </w:r>
      <w:r>
        <w:rPr>
          <w:sz w:val="22"/>
        </w:rPr>
        <w:t>y</w:t>
      </w:r>
      <w:r>
        <w:rPr>
          <w:spacing w:val="-15"/>
          <w:sz w:val="22"/>
        </w:rPr>
        <w:t> </w:t>
      </w:r>
      <w:r>
        <w:rPr>
          <w:sz w:val="22"/>
        </w:rPr>
        <w:t>la</w:t>
      </w:r>
      <w:r>
        <w:rPr>
          <w:spacing w:val="-15"/>
          <w:sz w:val="22"/>
        </w:rPr>
        <w:t> </w:t>
      </w:r>
      <w:r>
        <w:rPr>
          <w:sz w:val="22"/>
        </w:rPr>
        <w:t>identificación</w:t>
      </w:r>
      <w:r>
        <w:rPr>
          <w:spacing w:val="-16"/>
          <w:sz w:val="22"/>
        </w:rPr>
        <w:t> </w:t>
      </w:r>
      <w:r>
        <w:rPr>
          <w:sz w:val="22"/>
        </w:rPr>
        <w:t>de</w:t>
      </w:r>
      <w:r>
        <w:rPr>
          <w:spacing w:val="-15"/>
          <w:sz w:val="22"/>
        </w:rPr>
        <w:t> </w:t>
      </w:r>
      <w:r>
        <w:rPr>
          <w:sz w:val="22"/>
        </w:rPr>
        <w:t>las</w:t>
      </w:r>
      <w:r>
        <w:rPr>
          <w:spacing w:val="-15"/>
          <w:sz w:val="22"/>
        </w:rPr>
        <w:t> </w:t>
      </w:r>
      <w:r>
        <w:rPr>
          <w:sz w:val="22"/>
        </w:rPr>
        <w:t>restricciones</w:t>
      </w:r>
      <w:r>
        <w:rPr>
          <w:spacing w:val="-16"/>
          <w:sz w:val="22"/>
        </w:rPr>
        <w:t> </w:t>
      </w:r>
      <w:r>
        <w:rPr>
          <w:sz w:val="22"/>
        </w:rPr>
        <w:t>al</w:t>
      </w:r>
      <w:r>
        <w:rPr>
          <w:spacing w:val="-15"/>
          <w:sz w:val="22"/>
        </w:rPr>
        <w:t> </w:t>
      </w:r>
      <w:r>
        <w:rPr>
          <w:sz w:val="22"/>
        </w:rPr>
        <w:t>comercio intracomunitario. En este contexto, los diversos pronunciamientos emitidos por el TJCAN han permitido delimitar qué medidas pueden ser calificadas como restricciones de todo orden y bajo qué supuestos pueden considerarse justificadas. Dichos criterios jurisprudenciales resultan relevantes para el análisis del presente </w:t>
      </w:r>
      <w:r>
        <w:rPr>
          <w:spacing w:val="-2"/>
          <w:sz w:val="22"/>
        </w:rPr>
        <w:t>procedimiento.</w:t>
      </w:r>
    </w:p>
    <w:p>
      <w:pPr>
        <w:pStyle w:val="ListParagraph"/>
        <w:numPr>
          <w:ilvl w:val="0"/>
          <w:numId w:val="2"/>
        </w:numPr>
        <w:tabs>
          <w:tab w:pos="1420" w:val="left" w:leader="none"/>
        </w:tabs>
        <w:spacing w:line="242" w:lineRule="auto" w:before="251" w:after="0"/>
        <w:ind w:left="1420" w:right="983" w:hanging="852"/>
        <w:jc w:val="both"/>
        <w:rPr>
          <w:sz w:val="22"/>
        </w:rPr>
      </w:pPr>
      <w:r>
        <w:rPr>
          <w:sz w:val="22"/>
        </w:rPr>
        <w:t>En ese orden se abordarán los criterios utilizados por el TJCAN para la calificación de restricciones en los Procesos 118-AI-2003, 02-AN-98, 3-AI-97 y 01-AN-2014.</w:t>
      </w:r>
    </w:p>
    <w:p>
      <w:pPr>
        <w:pStyle w:val="BodyText"/>
        <w:rPr>
          <w:sz w:val="20"/>
        </w:rPr>
      </w:pPr>
    </w:p>
    <w:p>
      <w:pPr>
        <w:pStyle w:val="BodyText"/>
        <w:spacing w:before="13"/>
        <w:rPr>
          <w:sz w:val="20"/>
        </w:rPr>
      </w:pPr>
      <w:r>
        <w:rPr>
          <w:sz w:val="20"/>
        </w:rPr>
        <mc:AlternateContent>
          <mc:Choice Requires="wps">
            <w:drawing>
              <wp:anchor distT="0" distB="0" distL="0" distR="0" allowOverlap="1" layoutInCell="1" locked="0" behindDoc="1" simplePos="0" relativeHeight="487598592">
                <wp:simplePos x="0" y="0"/>
                <wp:positionH relativeFrom="page">
                  <wp:posOffset>990904</wp:posOffset>
                </wp:positionH>
                <wp:positionV relativeFrom="paragraph">
                  <wp:posOffset>170088</wp:posOffset>
                </wp:positionV>
                <wp:extent cx="1829435" cy="7620"/>
                <wp:effectExtent l="0" t="0" r="0" b="0"/>
                <wp:wrapTopAndBottom/>
                <wp:docPr id="96" name="Graphic 96"/>
                <wp:cNvGraphicFramePr>
                  <a:graphicFrameLocks/>
                </wp:cNvGraphicFramePr>
                <a:graphic>
                  <a:graphicData uri="http://schemas.microsoft.com/office/word/2010/wordprocessingShape">
                    <wps:wsp>
                      <wps:cNvPr id="96" name="Graphic 96"/>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3.392764pt;width:144.020pt;height:.599980pt;mso-position-horizontal-relative:page;mso-position-vertical-relative:paragraph;z-index:-15717888;mso-wrap-distance-left:0;mso-wrap-distance-right:0" id="docshape59" filled="true" fillcolor="#000000" stroked="false">
                <v:fill type="solid"/>
                <w10:wrap type="topAndBottom"/>
              </v:rect>
            </w:pict>
          </mc:Fallback>
        </mc:AlternateContent>
      </w:r>
    </w:p>
    <w:p>
      <w:pPr>
        <w:pStyle w:val="ListParagraph"/>
        <w:numPr>
          <w:ilvl w:val="1"/>
          <w:numId w:val="2"/>
        </w:numPr>
        <w:tabs>
          <w:tab w:pos="1132" w:val="left" w:leader="none"/>
          <w:tab w:pos="1134" w:val="left" w:leader="none"/>
        </w:tabs>
        <w:spacing w:line="240" w:lineRule="auto" w:before="92" w:after="0"/>
        <w:ind w:left="1134" w:right="985" w:hanging="226"/>
        <w:jc w:val="both"/>
        <w:rPr>
          <w:rFonts w:ascii="Times New Roman" w:hAnsi="Times New Roman"/>
          <w:sz w:val="18"/>
        </w:rPr>
      </w:pPr>
      <w:r>
        <w:rPr>
          <w:sz w:val="18"/>
        </w:rPr>
        <w:t>Resolución</w:t>
      </w:r>
      <w:r>
        <w:rPr>
          <w:spacing w:val="-10"/>
          <w:sz w:val="18"/>
        </w:rPr>
        <w:t> </w:t>
      </w:r>
      <w:r>
        <w:rPr>
          <w:sz w:val="18"/>
        </w:rPr>
        <w:t>N°</w:t>
      </w:r>
      <w:r>
        <w:rPr>
          <w:spacing w:val="-8"/>
          <w:sz w:val="18"/>
        </w:rPr>
        <w:t> </w:t>
      </w:r>
      <w:r>
        <w:rPr>
          <w:sz w:val="18"/>
        </w:rPr>
        <w:t>2019</w:t>
      </w:r>
      <w:r>
        <w:rPr>
          <w:spacing w:val="-10"/>
          <w:sz w:val="18"/>
        </w:rPr>
        <w:t> </w:t>
      </w:r>
      <w:r>
        <w:rPr>
          <w:sz w:val="18"/>
        </w:rPr>
        <w:t>de</w:t>
      </w:r>
      <w:r>
        <w:rPr>
          <w:spacing w:val="-10"/>
          <w:sz w:val="18"/>
        </w:rPr>
        <w:t> </w:t>
      </w:r>
      <w:r>
        <w:rPr>
          <w:sz w:val="18"/>
        </w:rPr>
        <w:t>la</w:t>
      </w:r>
      <w:r>
        <w:rPr>
          <w:spacing w:val="-10"/>
          <w:sz w:val="18"/>
        </w:rPr>
        <w:t> </w:t>
      </w:r>
      <w:r>
        <w:rPr>
          <w:sz w:val="18"/>
        </w:rPr>
        <w:t>SGCAN,</w:t>
      </w:r>
      <w:r>
        <w:rPr>
          <w:spacing w:val="-8"/>
          <w:sz w:val="18"/>
        </w:rPr>
        <w:t> </w:t>
      </w:r>
      <w:r>
        <w:rPr>
          <w:sz w:val="18"/>
        </w:rPr>
        <w:t>resuelve</w:t>
      </w:r>
      <w:r>
        <w:rPr>
          <w:spacing w:val="-10"/>
          <w:sz w:val="18"/>
        </w:rPr>
        <w:t> </w:t>
      </w:r>
      <w:r>
        <w:rPr>
          <w:sz w:val="18"/>
        </w:rPr>
        <w:t>la</w:t>
      </w:r>
      <w:r>
        <w:rPr>
          <w:spacing w:val="-10"/>
          <w:sz w:val="18"/>
        </w:rPr>
        <w:t> </w:t>
      </w:r>
      <w:r>
        <w:rPr>
          <w:sz w:val="18"/>
        </w:rPr>
        <w:t>investigación</w:t>
      </w:r>
      <w:r>
        <w:rPr>
          <w:spacing w:val="-10"/>
          <w:sz w:val="18"/>
        </w:rPr>
        <w:t> </w:t>
      </w:r>
      <w:r>
        <w:rPr>
          <w:sz w:val="18"/>
        </w:rPr>
        <w:t>de</w:t>
      </w:r>
      <w:r>
        <w:rPr>
          <w:spacing w:val="-7"/>
          <w:sz w:val="18"/>
        </w:rPr>
        <w:t> </w:t>
      </w:r>
      <w:r>
        <w:rPr>
          <w:sz w:val="18"/>
        </w:rPr>
        <w:t>oficio</w:t>
      </w:r>
      <w:r>
        <w:rPr>
          <w:spacing w:val="-10"/>
          <w:sz w:val="18"/>
        </w:rPr>
        <w:t> </w:t>
      </w:r>
      <w:r>
        <w:rPr>
          <w:sz w:val="18"/>
        </w:rPr>
        <w:t>por</w:t>
      </w:r>
      <w:r>
        <w:rPr>
          <w:spacing w:val="-10"/>
          <w:sz w:val="18"/>
        </w:rPr>
        <w:t> </w:t>
      </w:r>
      <w:r>
        <w:rPr>
          <w:sz w:val="18"/>
        </w:rPr>
        <w:t>presuntas</w:t>
      </w:r>
      <w:r>
        <w:rPr>
          <w:spacing w:val="-9"/>
          <w:sz w:val="18"/>
        </w:rPr>
        <w:t> </w:t>
      </w:r>
      <w:r>
        <w:rPr>
          <w:sz w:val="18"/>
        </w:rPr>
        <w:t>restricciones</w:t>
      </w:r>
      <w:r>
        <w:rPr>
          <w:spacing w:val="-9"/>
          <w:sz w:val="18"/>
        </w:rPr>
        <w:t> </w:t>
      </w:r>
      <w:r>
        <w:rPr>
          <w:sz w:val="18"/>
        </w:rPr>
        <w:t>impuestas por</w:t>
      </w:r>
      <w:r>
        <w:rPr>
          <w:spacing w:val="-5"/>
          <w:sz w:val="18"/>
        </w:rPr>
        <w:t> </w:t>
      </w:r>
      <w:r>
        <w:rPr>
          <w:sz w:val="18"/>
        </w:rPr>
        <w:t>el</w:t>
      </w:r>
      <w:r>
        <w:rPr>
          <w:spacing w:val="-7"/>
          <w:sz w:val="18"/>
        </w:rPr>
        <w:t> </w:t>
      </w:r>
      <w:r>
        <w:rPr>
          <w:sz w:val="18"/>
        </w:rPr>
        <w:t>gobierno</w:t>
      </w:r>
      <w:r>
        <w:rPr>
          <w:spacing w:val="-5"/>
          <w:sz w:val="18"/>
        </w:rPr>
        <w:t> </w:t>
      </w:r>
      <w:r>
        <w:rPr>
          <w:sz w:val="18"/>
        </w:rPr>
        <w:t>de</w:t>
      </w:r>
      <w:r>
        <w:rPr>
          <w:spacing w:val="-7"/>
          <w:sz w:val="18"/>
        </w:rPr>
        <w:t> </w:t>
      </w:r>
      <w:r>
        <w:rPr>
          <w:sz w:val="18"/>
        </w:rPr>
        <w:t>Colombia</w:t>
      </w:r>
      <w:r>
        <w:rPr>
          <w:spacing w:val="-5"/>
          <w:sz w:val="18"/>
        </w:rPr>
        <w:t> </w:t>
      </w:r>
      <w:r>
        <w:rPr>
          <w:sz w:val="18"/>
        </w:rPr>
        <w:t>contra</w:t>
      </w:r>
      <w:r>
        <w:rPr>
          <w:spacing w:val="-7"/>
          <w:sz w:val="18"/>
        </w:rPr>
        <w:t> </w:t>
      </w:r>
      <w:r>
        <w:rPr>
          <w:sz w:val="18"/>
        </w:rPr>
        <w:t>las</w:t>
      </w:r>
      <w:r>
        <w:rPr>
          <w:spacing w:val="-7"/>
          <w:sz w:val="18"/>
        </w:rPr>
        <w:t> </w:t>
      </w:r>
      <w:r>
        <w:rPr>
          <w:sz w:val="18"/>
        </w:rPr>
        <w:t>importaciones</w:t>
      </w:r>
      <w:r>
        <w:rPr>
          <w:spacing w:val="-4"/>
          <w:sz w:val="18"/>
        </w:rPr>
        <w:t> </w:t>
      </w:r>
      <w:r>
        <w:rPr>
          <w:sz w:val="18"/>
        </w:rPr>
        <w:t>de</w:t>
      </w:r>
      <w:r>
        <w:rPr>
          <w:spacing w:val="-7"/>
          <w:sz w:val="18"/>
        </w:rPr>
        <w:t> </w:t>
      </w:r>
      <w:r>
        <w:rPr>
          <w:sz w:val="18"/>
        </w:rPr>
        <w:t>cemento</w:t>
      </w:r>
      <w:r>
        <w:rPr>
          <w:spacing w:val="-5"/>
          <w:sz w:val="18"/>
        </w:rPr>
        <w:t> </w:t>
      </w:r>
      <w:r>
        <w:rPr>
          <w:sz w:val="18"/>
        </w:rPr>
        <w:t>originarias</w:t>
      </w:r>
      <w:r>
        <w:rPr>
          <w:spacing w:val="-4"/>
          <w:sz w:val="18"/>
        </w:rPr>
        <w:t> </w:t>
      </w:r>
      <w:r>
        <w:rPr>
          <w:sz w:val="18"/>
        </w:rPr>
        <w:t>de</w:t>
      </w:r>
      <w:r>
        <w:rPr>
          <w:spacing w:val="-7"/>
          <w:sz w:val="18"/>
        </w:rPr>
        <w:t> </w:t>
      </w:r>
      <w:r>
        <w:rPr>
          <w:sz w:val="18"/>
        </w:rPr>
        <w:t>los</w:t>
      </w:r>
      <w:r>
        <w:rPr>
          <w:spacing w:val="-4"/>
          <w:sz w:val="18"/>
        </w:rPr>
        <w:t> </w:t>
      </w:r>
      <w:r>
        <w:rPr>
          <w:sz w:val="18"/>
        </w:rPr>
        <w:t>Países</w:t>
      </w:r>
      <w:r>
        <w:rPr>
          <w:spacing w:val="-4"/>
          <w:sz w:val="18"/>
        </w:rPr>
        <w:t> </w:t>
      </w:r>
      <w:r>
        <w:rPr>
          <w:sz w:val="18"/>
        </w:rPr>
        <w:t>Miembros</w:t>
      </w:r>
      <w:r>
        <w:rPr>
          <w:spacing w:val="-7"/>
          <w:sz w:val="18"/>
        </w:rPr>
        <w:t> </w:t>
      </w:r>
      <w:r>
        <w:rPr>
          <w:sz w:val="18"/>
        </w:rPr>
        <w:t>de</w:t>
      </w:r>
      <w:r>
        <w:rPr>
          <w:spacing w:val="-7"/>
          <w:sz w:val="18"/>
        </w:rPr>
        <w:t> </w:t>
      </w:r>
      <w:r>
        <w:rPr>
          <w:sz w:val="18"/>
        </w:rPr>
        <w:t>la Comunidad Andina.</w:t>
      </w:r>
    </w:p>
    <w:p>
      <w:pPr>
        <w:pStyle w:val="ListParagraph"/>
        <w:numPr>
          <w:ilvl w:val="1"/>
          <w:numId w:val="2"/>
        </w:numPr>
        <w:tabs>
          <w:tab w:pos="1132" w:val="left" w:leader="none"/>
          <w:tab w:pos="1134" w:val="left" w:leader="none"/>
        </w:tabs>
        <w:spacing w:line="240" w:lineRule="auto" w:before="0" w:after="0"/>
        <w:ind w:left="1134" w:right="987" w:hanging="226"/>
        <w:jc w:val="both"/>
        <w:rPr>
          <w:rFonts w:ascii="Times New Roman" w:hAnsi="Times New Roman"/>
          <w:sz w:val="18"/>
        </w:rPr>
      </w:pPr>
      <w:r>
        <w:rPr>
          <w:sz w:val="18"/>
        </w:rPr>
        <w:t>Resolución N° 1695 de la SGCAN, calificación como restricción al comercio de las medidas aplicadas por el Gobierno de Ecuador mediante la Resolución 116 del COMEX</w:t>
      </w:r>
    </w:p>
    <w:p>
      <w:pPr>
        <w:pStyle w:val="ListParagraph"/>
        <w:numPr>
          <w:ilvl w:val="1"/>
          <w:numId w:val="2"/>
        </w:numPr>
        <w:tabs>
          <w:tab w:pos="1132" w:val="left" w:leader="none"/>
          <w:tab w:pos="1134" w:val="left" w:leader="none"/>
        </w:tabs>
        <w:spacing w:line="240" w:lineRule="auto" w:before="0" w:after="0"/>
        <w:ind w:left="1134" w:right="987" w:hanging="226"/>
        <w:jc w:val="both"/>
        <w:rPr>
          <w:rFonts w:ascii="Times New Roman" w:hAnsi="Times New Roman"/>
          <w:sz w:val="18"/>
        </w:rPr>
      </w:pPr>
      <w:r>
        <w:rPr>
          <w:sz w:val="18"/>
        </w:rPr>
        <w:t>Resolución N° 1564 de la SGCAN, calificación como restricción al comercio de las medidas aplicadas por el Gobierno de Ecuador mediante las Resoluciones 65 y 66 del COMEX</w:t>
      </w:r>
    </w:p>
    <w:p>
      <w:pPr>
        <w:pStyle w:val="ListParagraph"/>
        <w:numPr>
          <w:ilvl w:val="1"/>
          <w:numId w:val="2"/>
        </w:numPr>
        <w:tabs>
          <w:tab w:pos="1132" w:val="left" w:leader="none"/>
          <w:tab w:pos="1134" w:val="left" w:leader="none"/>
        </w:tabs>
        <w:spacing w:line="240" w:lineRule="auto" w:before="0" w:after="0"/>
        <w:ind w:left="1134" w:right="988" w:hanging="226"/>
        <w:jc w:val="both"/>
        <w:rPr>
          <w:rFonts w:ascii="Times New Roman" w:hAnsi="Times New Roman"/>
          <w:sz w:val="18"/>
        </w:rPr>
      </w:pPr>
      <w:r>
        <w:rPr>
          <w:sz w:val="18"/>
        </w:rPr>
        <w:t>Resolución</w:t>
      </w:r>
      <w:r>
        <w:rPr>
          <w:spacing w:val="-2"/>
          <w:sz w:val="18"/>
        </w:rPr>
        <w:t> </w:t>
      </w:r>
      <w:r>
        <w:rPr>
          <w:sz w:val="18"/>
        </w:rPr>
        <w:t>N°</w:t>
      </w:r>
      <w:r>
        <w:rPr>
          <w:spacing w:val="-2"/>
          <w:sz w:val="18"/>
        </w:rPr>
        <w:t> </w:t>
      </w:r>
      <w:r>
        <w:rPr>
          <w:sz w:val="18"/>
        </w:rPr>
        <w:t>1289</w:t>
      </w:r>
      <w:r>
        <w:rPr>
          <w:spacing w:val="-2"/>
          <w:sz w:val="18"/>
        </w:rPr>
        <w:t> </w:t>
      </w:r>
      <w:r>
        <w:rPr>
          <w:sz w:val="18"/>
        </w:rPr>
        <w:t>de</w:t>
      </w:r>
      <w:r>
        <w:rPr>
          <w:spacing w:val="-4"/>
          <w:sz w:val="18"/>
        </w:rPr>
        <w:t> </w:t>
      </w:r>
      <w:r>
        <w:rPr>
          <w:sz w:val="18"/>
        </w:rPr>
        <w:t>la</w:t>
      </w:r>
      <w:r>
        <w:rPr>
          <w:spacing w:val="-2"/>
          <w:sz w:val="18"/>
        </w:rPr>
        <w:t> </w:t>
      </w:r>
      <w:r>
        <w:rPr>
          <w:sz w:val="18"/>
        </w:rPr>
        <w:t>SGCAN, calificación</w:t>
      </w:r>
      <w:r>
        <w:rPr>
          <w:spacing w:val="-2"/>
          <w:sz w:val="18"/>
        </w:rPr>
        <w:t> </w:t>
      </w:r>
      <w:r>
        <w:rPr>
          <w:sz w:val="18"/>
        </w:rPr>
        <w:t>de</w:t>
      </w:r>
      <w:r>
        <w:rPr>
          <w:spacing w:val="-4"/>
          <w:sz w:val="18"/>
        </w:rPr>
        <w:t> </w:t>
      </w:r>
      <w:r>
        <w:rPr>
          <w:sz w:val="18"/>
        </w:rPr>
        <w:t>la</w:t>
      </w:r>
      <w:r>
        <w:rPr>
          <w:spacing w:val="-2"/>
          <w:sz w:val="18"/>
        </w:rPr>
        <w:t> </w:t>
      </w:r>
      <w:r>
        <w:rPr>
          <w:sz w:val="18"/>
        </w:rPr>
        <w:t>exigencia</w:t>
      </w:r>
      <w:r>
        <w:rPr>
          <w:spacing w:val="-2"/>
          <w:sz w:val="18"/>
        </w:rPr>
        <w:t> </w:t>
      </w:r>
      <w:r>
        <w:rPr>
          <w:sz w:val="18"/>
        </w:rPr>
        <w:t>de</w:t>
      </w:r>
      <w:r>
        <w:rPr>
          <w:spacing w:val="-2"/>
          <w:sz w:val="18"/>
        </w:rPr>
        <w:t> </w:t>
      </w:r>
      <w:r>
        <w:rPr>
          <w:sz w:val="18"/>
        </w:rPr>
        <w:t>un</w:t>
      </w:r>
      <w:r>
        <w:rPr>
          <w:spacing w:val="-2"/>
          <w:sz w:val="18"/>
        </w:rPr>
        <w:t> </w:t>
      </w:r>
      <w:r>
        <w:rPr>
          <w:sz w:val="18"/>
        </w:rPr>
        <w:t>requisito</w:t>
      </w:r>
      <w:r>
        <w:rPr>
          <w:spacing w:val="-2"/>
          <w:sz w:val="18"/>
        </w:rPr>
        <w:t> </w:t>
      </w:r>
      <w:r>
        <w:rPr>
          <w:sz w:val="18"/>
        </w:rPr>
        <w:t>técnico</w:t>
      </w:r>
      <w:r>
        <w:rPr>
          <w:spacing w:val="-2"/>
          <w:sz w:val="18"/>
        </w:rPr>
        <w:t> </w:t>
      </w:r>
      <w:r>
        <w:rPr>
          <w:sz w:val="18"/>
        </w:rPr>
        <w:t>a</w:t>
      </w:r>
      <w:r>
        <w:rPr>
          <w:spacing w:val="-4"/>
          <w:sz w:val="18"/>
        </w:rPr>
        <w:t> </w:t>
      </w:r>
      <w:r>
        <w:rPr>
          <w:sz w:val="18"/>
        </w:rPr>
        <w:t>las</w:t>
      </w:r>
      <w:r>
        <w:rPr>
          <w:spacing w:val="-1"/>
          <w:sz w:val="18"/>
        </w:rPr>
        <w:t> </w:t>
      </w:r>
      <w:r>
        <w:rPr>
          <w:sz w:val="18"/>
        </w:rPr>
        <w:t>pilas</w:t>
      </w:r>
      <w:r>
        <w:rPr>
          <w:spacing w:val="-3"/>
          <w:sz w:val="18"/>
        </w:rPr>
        <w:t> </w:t>
      </w:r>
      <w:r>
        <w:rPr>
          <w:sz w:val="18"/>
        </w:rPr>
        <w:t>y</w:t>
      </w:r>
      <w:r>
        <w:rPr>
          <w:spacing w:val="-1"/>
          <w:sz w:val="18"/>
        </w:rPr>
        <w:t> </w:t>
      </w:r>
      <w:r>
        <w:rPr>
          <w:sz w:val="18"/>
        </w:rPr>
        <w:t>baterías de zinc-carbón provenientes de los Países Miembros de la Comunidad Andina, por parte de la República del Perú, como “restricción” a los efectos del Programa de Liberación del Acuerdo de Cartagena.</w:t>
      </w:r>
    </w:p>
    <w:p>
      <w:pPr>
        <w:pStyle w:val="ListParagraph"/>
        <w:numPr>
          <w:ilvl w:val="1"/>
          <w:numId w:val="2"/>
        </w:numPr>
        <w:tabs>
          <w:tab w:pos="1132" w:val="left" w:leader="none"/>
          <w:tab w:pos="1134" w:val="left" w:leader="none"/>
        </w:tabs>
        <w:spacing w:line="240" w:lineRule="auto" w:before="0" w:after="0"/>
        <w:ind w:left="1134" w:right="988" w:hanging="226"/>
        <w:jc w:val="both"/>
        <w:rPr>
          <w:rFonts w:ascii="Times New Roman" w:hAnsi="Times New Roman"/>
          <w:sz w:val="18"/>
        </w:rPr>
      </w:pPr>
      <w:r>
        <w:rPr>
          <w:sz w:val="18"/>
        </w:rPr>
        <w:t>Resolución</w:t>
      </w:r>
      <w:r>
        <w:rPr>
          <w:spacing w:val="-7"/>
          <w:sz w:val="18"/>
        </w:rPr>
        <w:t> </w:t>
      </w:r>
      <w:r>
        <w:rPr>
          <w:sz w:val="18"/>
        </w:rPr>
        <w:t>N°</w:t>
      </w:r>
      <w:r>
        <w:rPr>
          <w:spacing w:val="-8"/>
          <w:sz w:val="18"/>
        </w:rPr>
        <w:t> </w:t>
      </w:r>
      <w:r>
        <w:rPr>
          <w:sz w:val="18"/>
        </w:rPr>
        <w:t>1043</w:t>
      </w:r>
      <w:r>
        <w:rPr>
          <w:spacing w:val="-7"/>
          <w:sz w:val="18"/>
        </w:rPr>
        <w:t> </w:t>
      </w:r>
      <w:r>
        <w:rPr>
          <w:sz w:val="18"/>
        </w:rPr>
        <w:t>de</w:t>
      </w:r>
      <w:r>
        <w:rPr>
          <w:spacing w:val="-10"/>
          <w:sz w:val="18"/>
        </w:rPr>
        <w:t> </w:t>
      </w:r>
      <w:r>
        <w:rPr>
          <w:sz w:val="18"/>
        </w:rPr>
        <w:t>la</w:t>
      </w:r>
      <w:r>
        <w:rPr>
          <w:spacing w:val="-7"/>
          <w:sz w:val="18"/>
        </w:rPr>
        <w:t> </w:t>
      </w:r>
      <w:r>
        <w:rPr>
          <w:sz w:val="18"/>
        </w:rPr>
        <w:t>SGCAN,</w:t>
      </w:r>
      <w:r>
        <w:rPr>
          <w:spacing w:val="-8"/>
          <w:sz w:val="18"/>
        </w:rPr>
        <w:t> </w:t>
      </w:r>
      <w:r>
        <w:rPr>
          <w:sz w:val="18"/>
        </w:rPr>
        <w:t>calificación</w:t>
      </w:r>
      <w:r>
        <w:rPr>
          <w:spacing w:val="-10"/>
          <w:sz w:val="18"/>
        </w:rPr>
        <w:t> </w:t>
      </w:r>
      <w:r>
        <w:rPr>
          <w:sz w:val="18"/>
        </w:rPr>
        <w:t>como</w:t>
      </w:r>
      <w:r>
        <w:rPr>
          <w:spacing w:val="-7"/>
          <w:sz w:val="18"/>
        </w:rPr>
        <w:t> </w:t>
      </w:r>
      <w:r>
        <w:rPr>
          <w:sz w:val="18"/>
        </w:rPr>
        <w:t>restricción</w:t>
      </w:r>
      <w:r>
        <w:rPr>
          <w:spacing w:val="-7"/>
          <w:sz w:val="18"/>
        </w:rPr>
        <w:t> </w:t>
      </w:r>
      <w:r>
        <w:rPr>
          <w:sz w:val="18"/>
        </w:rPr>
        <w:t>injustificada</w:t>
      </w:r>
      <w:r>
        <w:rPr>
          <w:spacing w:val="-7"/>
          <w:sz w:val="18"/>
        </w:rPr>
        <w:t> </w:t>
      </w:r>
      <w:r>
        <w:rPr>
          <w:sz w:val="18"/>
        </w:rPr>
        <w:t>al</w:t>
      </w:r>
      <w:r>
        <w:rPr>
          <w:spacing w:val="-10"/>
          <w:sz w:val="18"/>
        </w:rPr>
        <w:t> </w:t>
      </w:r>
      <w:r>
        <w:rPr>
          <w:sz w:val="18"/>
        </w:rPr>
        <w:t>establecimiento</w:t>
      </w:r>
      <w:r>
        <w:rPr>
          <w:spacing w:val="-7"/>
          <w:sz w:val="18"/>
        </w:rPr>
        <w:t> </w:t>
      </w:r>
      <w:r>
        <w:rPr>
          <w:sz w:val="18"/>
        </w:rPr>
        <w:t>por</w:t>
      </w:r>
      <w:r>
        <w:rPr>
          <w:spacing w:val="-10"/>
          <w:sz w:val="18"/>
        </w:rPr>
        <w:t> </w:t>
      </w:r>
      <w:r>
        <w:rPr>
          <w:sz w:val="18"/>
        </w:rPr>
        <w:t>parte</w:t>
      </w:r>
      <w:r>
        <w:rPr>
          <w:spacing w:val="-9"/>
          <w:sz w:val="18"/>
        </w:rPr>
        <w:t> </w:t>
      </w:r>
      <w:r>
        <w:rPr>
          <w:sz w:val="18"/>
        </w:rPr>
        <w:t>de la República del Ecuador de un cupo a</w:t>
      </w:r>
      <w:r>
        <w:rPr>
          <w:spacing w:val="-2"/>
          <w:sz w:val="18"/>
        </w:rPr>
        <w:t> </w:t>
      </w:r>
      <w:r>
        <w:rPr>
          <w:sz w:val="18"/>
        </w:rPr>
        <w:t>las importaciones de</w:t>
      </w:r>
      <w:r>
        <w:rPr>
          <w:spacing w:val="-2"/>
          <w:sz w:val="18"/>
        </w:rPr>
        <w:t> </w:t>
      </w:r>
      <w:r>
        <w:rPr>
          <w:sz w:val="18"/>
        </w:rPr>
        <w:t>carne de</w:t>
      </w:r>
      <w:r>
        <w:rPr>
          <w:spacing w:val="-2"/>
          <w:sz w:val="18"/>
        </w:rPr>
        <w:t> </w:t>
      </w:r>
      <w:r>
        <w:rPr>
          <w:sz w:val="18"/>
        </w:rPr>
        <w:t>porcinos; y como gravamen al pago de</w:t>
      </w:r>
      <w:r>
        <w:rPr>
          <w:spacing w:val="-7"/>
          <w:sz w:val="18"/>
        </w:rPr>
        <w:t> </w:t>
      </w:r>
      <w:r>
        <w:rPr>
          <w:sz w:val="18"/>
        </w:rPr>
        <w:t>Derechos</w:t>
      </w:r>
      <w:r>
        <w:rPr>
          <w:spacing w:val="-6"/>
          <w:sz w:val="18"/>
        </w:rPr>
        <w:t> </w:t>
      </w:r>
      <w:r>
        <w:rPr>
          <w:sz w:val="18"/>
        </w:rPr>
        <w:t>Correctivos</w:t>
      </w:r>
      <w:r>
        <w:rPr>
          <w:spacing w:val="-9"/>
          <w:sz w:val="18"/>
        </w:rPr>
        <w:t> </w:t>
      </w:r>
      <w:r>
        <w:rPr>
          <w:sz w:val="18"/>
        </w:rPr>
        <w:t>automáticos</w:t>
      </w:r>
      <w:r>
        <w:rPr>
          <w:spacing w:val="-7"/>
          <w:sz w:val="18"/>
        </w:rPr>
        <w:t> </w:t>
      </w:r>
      <w:r>
        <w:rPr>
          <w:sz w:val="18"/>
        </w:rPr>
        <w:t>por</w:t>
      </w:r>
      <w:r>
        <w:rPr>
          <w:spacing w:val="-10"/>
          <w:sz w:val="18"/>
        </w:rPr>
        <w:t> </w:t>
      </w:r>
      <w:r>
        <w:rPr>
          <w:sz w:val="18"/>
        </w:rPr>
        <w:t>parte</w:t>
      </w:r>
      <w:r>
        <w:rPr>
          <w:spacing w:val="-9"/>
          <w:sz w:val="18"/>
        </w:rPr>
        <w:t> </w:t>
      </w:r>
      <w:r>
        <w:rPr>
          <w:sz w:val="18"/>
        </w:rPr>
        <w:t>de</w:t>
      </w:r>
      <w:r>
        <w:rPr>
          <w:spacing w:val="-10"/>
          <w:sz w:val="18"/>
        </w:rPr>
        <w:t> </w:t>
      </w:r>
      <w:r>
        <w:rPr>
          <w:sz w:val="18"/>
        </w:rPr>
        <w:t>la</w:t>
      </w:r>
      <w:r>
        <w:rPr>
          <w:spacing w:val="-7"/>
          <w:sz w:val="18"/>
        </w:rPr>
        <w:t> </w:t>
      </w:r>
      <w:r>
        <w:rPr>
          <w:sz w:val="18"/>
        </w:rPr>
        <w:t>República</w:t>
      </w:r>
      <w:r>
        <w:rPr>
          <w:spacing w:val="-10"/>
          <w:sz w:val="18"/>
        </w:rPr>
        <w:t> </w:t>
      </w:r>
      <w:r>
        <w:rPr>
          <w:sz w:val="18"/>
        </w:rPr>
        <w:t>del</w:t>
      </w:r>
      <w:r>
        <w:rPr>
          <w:spacing w:val="-7"/>
          <w:sz w:val="18"/>
        </w:rPr>
        <w:t> </w:t>
      </w:r>
      <w:r>
        <w:rPr>
          <w:sz w:val="18"/>
        </w:rPr>
        <w:t>Ecuador</w:t>
      </w:r>
      <w:r>
        <w:rPr>
          <w:spacing w:val="-8"/>
          <w:sz w:val="18"/>
        </w:rPr>
        <w:t> </w:t>
      </w:r>
      <w:r>
        <w:rPr>
          <w:sz w:val="18"/>
        </w:rPr>
        <w:t>a</w:t>
      </w:r>
      <w:r>
        <w:rPr>
          <w:spacing w:val="-10"/>
          <w:sz w:val="18"/>
        </w:rPr>
        <w:t> </w:t>
      </w:r>
      <w:r>
        <w:rPr>
          <w:sz w:val="18"/>
        </w:rPr>
        <w:t>las</w:t>
      </w:r>
      <w:r>
        <w:rPr>
          <w:spacing w:val="-9"/>
          <w:sz w:val="18"/>
        </w:rPr>
        <w:t> </w:t>
      </w:r>
      <w:r>
        <w:rPr>
          <w:sz w:val="18"/>
        </w:rPr>
        <w:t>importaciones</w:t>
      </w:r>
      <w:r>
        <w:rPr>
          <w:spacing w:val="-9"/>
          <w:sz w:val="18"/>
        </w:rPr>
        <w:t> </w:t>
      </w:r>
      <w:r>
        <w:rPr>
          <w:sz w:val="18"/>
        </w:rPr>
        <w:t>de</w:t>
      </w:r>
      <w:r>
        <w:rPr>
          <w:spacing w:val="-7"/>
          <w:sz w:val="18"/>
        </w:rPr>
        <w:t> </w:t>
      </w:r>
      <w:r>
        <w:rPr>
          <w:sz w:val="18"/>
        </w:rPr>
        <w:t>ganado y carne porcinos originarias de los Países Miembros de la Comunidad Andina.</w:t>
      </w:r>
    </w:p>
    <w:p>
      <w:pPr>
        <w:spacing w:line="240" w:lineRule="auto" w:before="0"/>
        <w:ind w:left="568" w:right="989" w:firstLine="0"/>
        <w:jc w:val="both"/>
        <w:rPr>
          <w:sz w:val="18"/>
        </w:rPr>
      </w:pPr>
      <w:bookmarkStart w:name="_bookmark26" w:id="27"/>
      <w:bookmarkEnd w:id="27"/>
      <w:r>
        <w:rPr/>
      </w:r>
      <w:r>
        <w:rPr>
          <w:position w:val="6"/>
          <w:sz w:val="12"/>
        </w:rPr>
        <w:t>27</w:t>
      </w:r>
      <w:r>
        <w:rPr>
          <w:spacing w:val="31"/>
          <w:position w:val="6"/>
          <w:sz w:val="12"/>
        </w:rPr>
        <w:t> </w:t>
      </w:r>
      <w:r>
        <w:rPr>
          <w:sz w:val="18"/>
        </w:rPr>
        <w:t>Baldeón recoge la cita de la Conferencia de las Naciones Unidad sobre el Comercio y Desarrollo, UNCTAD, 2010, Non-tariff measures:</w:t>
      </w:r>
      <w:r>
        <w:rPr>
          <w:spacing w:val="-1"/>
          <w:sz w:val="18"/>
        </w:rPr>
        <w:t> </w:t>
      </w:r>
      <w:r>
        <w:rPr>
          <w:sz w:val="18"/>
        </w:rPr>
        <w:t>evidence from selected developing countries and future research agenda (publicación</w:t>
      </w:r>
    </w:p>
    <w:p>
      <w:pPr>
        <w:tabs>
          <w:tab w:pos="9816" w:val="left" w:leader="none"/>
        </w:tabs>
        <w:spacing w:before="0"/>
        <w:ind w:left="160" w:right="0" w:firstLine="0"/>
        <w:jc w:val="both"/>
        <w:rPr>
          <w:sz w:val="18"/>
        </w:rPr>
      </w:pPr>
      <w:r>
        <w:rPr>
          <w:spacing w:val="57"/>
          <w:w w:val="150"/>
          <w:sz w:val="18"/>
          <w:u w:val="single"/>
        </w:rPr>
        <w:t>   </w:t>
      </w:r>
      <w:r>
        <w:rPr>
          <w:sz w:val="18"/>
          <w:u w:val="single"/>
        </w:rPr>
        <w:t>de</w:t>
      </w:r>
      <w:r>
        <w:rPr>
          <w:spacing w:val="1"/>
          <w:sz w:val="18"/>
          <w:u w:val="single"/>
        </w:rPr>
        <w:t> </w:t>
      </w:r>
      <w:r>
        <w:rPr>
          <w:sz w:val="18"/>
          <w:u w:val="single"/>
        </w:rPr>
        <w:t>las Naciones Unidas,</w:t>
      </w:r>
      <w:r>
        <w:rPr>
          <w:spacing w:val="-1"/>
          <w:sz w:val="18"/>
          <w:u w:val="single"/>
        </w:rPr>
        <w:t> </w:t>
      </w:r>
      <w:r>
        <w:rPr>
          <w:sz w:val="18"/>
          <w:u w:val="single"/>
        </w:rPr>
        <w:t>Nueva</w:t>
      </w:r>
      <w:r>
        <w:rPr>
          <w:spacing w:val="-1"/>
          <w:sz w:val="18"/>
          <w:u w:val="single"/>
        </w:rPr>
        <w:t> </w:t>
      </w:r>
      <w:r>
        <w:rPr>
          <w:sz w:val="18"/>
          <w:u w:val="single"/>
        </w:rPr>
        <w:t>York</w:t>
      </w:r>
      <w:r>
        <w:rPr>
          <w:spacing w:val="-2"/>
          <w:sz w:val="18"/>
          <w:u w:val="single"/>
        </w:rPr>
        <w:t> </w:t>
      </w:r>
      <w:r>
        <w:rPr>
          <w:sz w:val="18"/>
          <w:u w:val="single"/>
        </w:rPr>
        <w:t>y Ginebra),</w:t>
      </w:r>
      <w:r>
        <w:rPr>
          <w:spacing w:val="-3"/>
          <w:sz w:val="18"/>
          <w:u w:val="single"/>
        </w:rPr>
        <w:t> </w:t>
      </w:r>
      <w:r>
        <w:rPr>
          <w:sz w:val="18"/>
          <w:u w:val="single"/>
        </w:rPr>
        <w:t>p.</w:t>
      </w:r>
      <w:r>
        <w:rPr>
          <w:spacing w:val="-1"/>
          <w:sz w:val="18"/>
          <w:u w:val="single"/>
        </w:rPr>
        <w:t> </w:t>
      </w:r>
      <w:r>
        <w:rPr>
          <w:spacing w:val="-5"/>
          <w:sz w:val="18"/>
          <w:u w:val="single"/>
        </w:rPr>
        <w:t>99.</w:t>
      </w:r>
      <w:r>
        <w:rPr>
          <w:sz w:val="18"/>
          <w:u w:val="single"/>
        </w:rPr>
        <w:tab/>
      </w:r>
    </w:p>
    <w:p>
      <w:pPr>
        <w:spacing w:after="0"/>
        <w:jc w:val="both"/>
        <w:rPr>
          <w:sz w:val="18"/>
        </w:rPr>
        <w:sectPr>
          <w:headerReference w:type="default" r:id="rId22"/>
          <w:footerReference w:type="default" r:id="rId23"/>
          <w:pgSz w:w="11900" w:h="16850"/>
          <w:pgMar w:header="370" w:footer="597" w:top="1380" w:bottom="780" w:left="992" w:right="283"/>
        </w:sectPr>
      </w:pPr>
    </w:p>
    <w:p>
      <w:pPr>
        <w:pStyle w:val="BodyText"/>
        <w:spacing w:before="176"/>
      </w:pPr>
    </w:p>
    <w:p>
      <w:pPr>
        <w:pStyle w:val="Heading5"/>
        <w:numPr>
          <w:ilvl w:val="0"/>
          <w:numId w:val="1"/>
        </w:numPr>
        <w:tabs>
          <w:tab w:pos="1137" w:val="left" w:leader="none"/>
        </w:tabs>
        <w:spacing w:line="240" w:lineRule="auto" w:before="0" w:after="0"/>
        <w:ind w:left="1137" w:right="0" w:hanging="358"/>
        <w:jc w:val="left"/>
      </w:pPr>
      <w:r>
        <w:rPr/>
        <w:t>ANÁLISIS</w:t>
      </w:r>
      <w:r>
        <w:rPr>
          <w:spacing w:val="-6"/>
        </w:rPr>
        <w:t> </w:t>
      </w:r>
      <w:r>
        <w:rPr/>
        <w:t>DE</w:t>
      </w:r>
      <w:r>
        <w:rPr>
          <w:spacing w:val="-3"/>
        </w:rPr>
        <w:t> </w:t>
      </w:r>
      <w:r>
        <w:rPr/>
        <w:t>LA</w:t>
      </w:r>
      <w:r>
        <w:rPr>
          <w:spacing w:val="-1"/>
        </w:rPr>
        <w:t> </w:t>
      </w:r>
      <w:r>
        <w:rPr>
          <w:spacing w:val="-2"/>
        </w:rPr>
        <w:t>SGCAN</w:t>
      </w:r>
    </w:p>
    <w:p>
      <w:pPr>
        <w:pStyle w:val="Heading6"/>
        <w:numPr>
          <w:ilvl w:val="1"/>
          <w:numId w:val="1"/>
        </w:numPr>
        <w:tabs>
          <w:tab w:pos="1276" w:val="left" w:leader="none"/>
        </w:tabs>
        <w:spacing w:line="240" w:lineRule="auto" w:before="184" w:after="0"/>
        <w:ind w:left="1276" w:right="0" w:hanging="708"/>
        <w:jc w:val="left"/>
      </w:pPr>
      <w:r>
        <w:rPr/>
        <w:t>Sobre</w:t>
      </w:r>
      <w:r>
        <w:rPr>
          <w:spacing w:val="-2"/>
        </w:rPr>
        <w:t> </w:t>
      </w:r>
      <w:r>
        <w:rPr/>
        <w:t>los</w:t>
      </w:r>
      <w:r>
        <w:rPr>
          <w:spacing w:val="-6"/>
        </w:rPr>
        <w:t> </w:t>
      </w:r>
      <w:r>
        <w:rPr/>
        <w:t>efectos</w:t>
      </w:r>
      <w:r>
        <w:rPr>
          <w:spacing w:val="-2"/>
        </w:rPr>
        <w:t> </w:t>
      </w:r>
      <w:r>
        <w:rPr/>
        <w:t>de</w:t>
      </w:r>
      <w:r>
        <w:rPr>
          <w:spacing w:val="-6"/>
        </w:rPr>
        <w:t> </w:t>
      </w:r>
      <w:r>
        <w:rPr/>
        <w:t>la</w:t>
      </w:r>
      <w:r>
        <w:rPr>
          <w:spacing w:val="-4"/>
        </w:rPr>
        <w:t> </w:t>
      </w:r>
      <w:r>
        <w:rPr>
          <w:spacing w:val="-2"/>
        </w:rPr>
        <w:t>medida</w:t>
      </w:r>
    </w:p>
    <w:p>
      <w:pPr>
        <w:pStyle w:val="BodyText"/>
        <w:rPr>
          <w:rFonts w:ascii="Arial"/>
          <w:b/>
        </w:rPr>
      </w:pPr>
    </w:p>
    <w:p>
      <w:pPr>
        <w:pStyle w:val="ListParagraph"/>
        <w:numPr>
          <w:ilvl w:val="0"/>
          <w:numId w:val="2"/>
        </w:numPr>
        <w:tabs>
          <w:tab w:pos="1420" w:val="left" w:leader="none"/>
        </w:tabs>
        <w:spacing w:line="240" w:lineRule="auto" w:before="1" w:after="0"/>
        <w:ind w:left="1420" w:right="978" w:hanging="852"/>
        <w:jc w:val="both"/>
        <w:rPr>
          <w:sz w:val="22"/>
        </w:rPr>
      </w:pPr>
      <w:r>
        <w:rPr>
          <w:sz w:val="22"/>
        </w:rPr>
        <w:t>Corresponde a esta Secretaría General analizar los efectos derivados de la implementación</w:t>
      </w:r>
      <w:r>
        <w:rPr>
          <w:spacing w:val="-14"/>
          <w:sz w:val="22"/>
        </w:rPr>
        <w:t> </w:t>
      </w:r>
      <w:r>
        <w:rPr>
          <w:sz w:val="22"/>
        </w:rPr>
        <w:t>de</w:t>
      </w:r>
      <w:r>
        <w:rPr>
          <w:spacing w:val="-14"/>
          <w:sz w:val="22"/>
        </w:rPr>
        <w:t> </w:t>
      </w:r>
      <w:r>
        <w:rPr>
          <w:sz w:val="22"/>
        </w:rPr>
        <w:t>la</w:t>
      </w:r>
      <w:r>
        <w:rPr>
          <w:spacing w:val="-14"/>
          <w:sz w:val="22"/>
        </w:rPr>
        <w:t> </w:t>
      </w:r>
      <w:r>
        <w:rPr>
          <w:sz w:val="22"/>
        </w:rPr>
        <w:t>medida</w:t>
      </w:r>
      <w:r>
        <w:rPr>
          <w:spacing w:val="-12"/>
          <w:sz w:val="22"/>
        </w:rPr>
        <w:t> </w:t>
      </w:r>
      <w:r>
        <w:rPr>
          <w:sz w:val="22"/>
        </w:rPr>
        <w:t>adoptada</w:t>
      </w:r>
      <w:r>
        <w:rPr>
          <w:spacing w:val="-14"/>
          <w:sz w:val="22"/>
        </w:rPr>
        <w:t> </w:t>
      </w:r>
      <w:r>
        <w:rPr>
          <w:sz w:val="22"/>
        </w:rPr>
        <w:t>por</w:t>
      </w:r>
      <w:r>
        <w:rPr>
          <w:spacing w:val="-12"/>
          <w:sz w:val="22"/>
        </w:rPr>
        <w:t> </w:t>
      </w:r>
      <w:r>
        <w:rPr>
          <w:sz w:val="22"/>
        </w:rPr>
        <w:t>la</w:t>
      </w:r>
      <w:r>
        <w:rPr>
          <w:spacing w:val="-14"/>
          <w:sz w:val="22"/>
        </w:rPr>
        <w:t> </w:t>
      </w:r>
      <w:r>
        <w:rPr>
          <w:sz w:val="22"/>
        </w:rPr>
        <w:t>República</w:t>
      </w:r>
      <w:r>
        <w:rPr>
          <w:spacing w:val="-11"/>
          <w:sz w:val="22"/>
        </w:rPr>
        <w:t> </w:t>
      </w:r>
      <w:r>
        <w:rPr>
          <w:sz w:val="22"/>
        </w:rPr>
        <w:t>del</w:t>
      </w:r>
      <w:r>
        <w:rPr>
          <w:spacing w:val="-12"/>
          <w:sz w:val="22"/>
        </w:rPr>
        <w:t> </w:t>
      </w:r>
      <w:r>
        <w:rPr>
          <w:sz w:val="22"/>
        </w:rPr>
        <w:t>Ecuador,</w:t>
      </w:r>
      <w:r>
        <w:rPr>
          <w:spacing w:val="-12"/>
          <w:sz w:val="22"/>
        </w:rPr>
        <w:t> </w:t>
      </w:r>
      <w:r>
        <w:rPr>
          <w:sz w:val="22"/>
        </w:rPr>
        <w:t>a</w:t>
      </w:r>
      <w:r>
        <w:rPr>
          <w:spacing w:val="-14"/>
          <w:sz w:val="22"/>
        </w:rPr>
        <w:t> </w:t>
      </w:r>
      <w:r>
        <w:rPr>
          <w:sz w:val="22"/>
        </w:rPr>
        <w:t>fin</w:t>
      </w:r>
      <w:r>
        <w:rPr>
          <w:spacing w:val="-14"/>
          <w:sz w:val="22"/>
        </w:rPr>
        <w:t> </w:t>
      </w:r>
      <w:r>
        <w:rPr>
          <w:sz w:val="22"/>
        </w:rPr>
        <w:t>de</w:t>
      </w:r>
      <w:r>
        <w:rPr>
          <w:spacing w:val="-12"/>
          <w:sz w:val="22"/>
        </w:rPr>
        <w:t> </w:t>
      </w:r>
      <w:r>
        <w:rPr>
          <w:sz w:val="22"/>
        </w:rPr>
        <w:t>evaluar su incidencia sobre el comercio fronterizo con la República de Colombia. Dicho análisis, con base en los elementos recabados en el transcurso de la investigación, permitirá determinar si la medida en cuestión configura una restricción al comercio intracomunitario andino, en los términos del artículo 73 del Acuerdo de Cartagena.</w:t>
      </w:r>
    </w:p>
    <w:p>
      <w:pPr>
        <w:pStyle w:val="BodyText"/>
      </w:pPr>
    </w:p>
    <w:p>
      <w:pPr>
        <w:pStyle w:val="Heading6"/>
        <w:numPr>
          <w:ilvl w:val="2"/>
          <w:numId w:val="1"/>
        </w:numPr>
        <w:tabs>
          <w:tab w:pos="1274" w:val="left" w:leader="none"/>
        </w:tabs>
        <w:spacing w:line="240" w:lineRule="auto" w:before="0" w:after="0"/>
        <w:ind w:left="1274" w:right="0" w:hanging="639"/>
        <w:jc w:val="left"/>
      </w:pPr>
      <w:r>
        <w:rPr/>
        <w:t>Argumento</w:t>
      </w:r>
      <w:r>
        <w:rPr>
          <w:spacing w:val="-4"/>
        </w:rPr>
        <w:t> </w:t>
      </w:r>
      <w:r>
        <w:rPr/>
        <w:t>de</w:t>
      </w:r>
      <w:r>
        <w:rPr>
          <w:spacing w:val="-4"/>
        </w:rPr>
        <w:t> </w:t>
      </w:r>
      <w:r>
        <w:rPr/>
        <w:t>la</w:t>
      </w:r>
      <w:r>
        <w:rPr>
          <w:spacing w:val="-2"/>
        </w:rPr>
        <w:t> </w:t>
      </w:r>
      <w:r>
        <w:rPr/>
        <w:t>República</w:t>
      </w:r>
      <w:r>
        <w:rPr>
          <w:spacing w:val="-4"/>
        </w:rPr>
        <w:t> </w:t>
      </w:r>
      <w:r>
        <w:rPr/>
        <w:t>de</w:t>
      </w:r>
      <w:r>
        <w:rPr>
          <w:spacing w:val="-2"/>
        </w:rPr>
        <w:t> Colombia</w:t>
      </w:r>
    </w:p>
    <w:p>
      <w:pPr>
        <w:pStyle w:val="BodyText"/>
        <w:spacing w:before="1"/>
        <w:rPr>
          <w:rFonts w:ascii="Arial"/>
          <w:b/>
        </w:rPr>
      </w:pPr>
    </w:p>
    <w:p>
      <w:pPr>
        <w:pStyle w:val="ListParagraph"/>
        <w:numPr>
          <w:ilvl w:val="0"/>
          <w:numId w:val="2"/>
        </w:numPr>
        <w:tabs>
          <w:tab w:pos="1420" w:val="left" w:leader="none"/>
        </w:tabs>
        <w:spacing w:line="240" w:lineRule="auto" w:before="0" w:after="0"/>
        <w:ind w:left="1420" w:right="976" w:hanging="852"/>
        <w:jc w:val="both"/>
        <w:rPr>
          <w:sz w:val="22"/>
        </w:rPr>
      </w:pPr>
      <w:r>
        <w:rPr>
          <w:sz w:val="22"/>
        </w:rPr>
        <w:t>De acuerdo con la solicitud presentada por la República de Colombia, la medida impediría la importación de mercancías procedentes u originarias del país a través de cualquier paso</w:t>
      </w:r>
      <w:r>
        <w:rPr>
          <w:spacing w:val="-1"/>
          <w:sz w:val="22"/>
        </w:rPr>
        <w:t> </w:t>
      </w:r>
      <w:r>
        <w:rPr>
          <w:sz w:val="22"/>
        </w:rPr>
        <w:t>fronterizo al habilitar únicamente el tránsito internacional a través del paso internacional Rumichaca</w:t>
      </w:r>
      <w:hyperlink w:history="true" w:anchor="_bookmark27">
        <w:r>
          <w:rPr>
            <w:sz w:val="22"/>
            <w:vertAlign w:val="superscript"/>
          </w:rPr>
          <w:t>28</w:t>
        </w:r>
      </w:hyperlink>
      <w:r>
        <w:rPr>
          <w:sz w:val="22"/>
          <w:vertAlign w:val="baseline"/>
        </w:rPr>
        <w:t>.</w:t>
      </w:r>
    </w:p>
    <w:p>
      <w:pPr>
        <w:pStyle w:val="BodyText"/>
      </w:pPr>
    </w:p>
    <w:p>
      <w:pPr>
        <w:pStyle w:val="Heading6"/>
        <w:numPr>
          <w:ilvl w:val="2"/>
          <w:numId w:val="1"/>
        </w:numPr>
        <w:tabs>
          <w:tab w:pos="1274" w:val="left" w:leader="none"/>
        </w:tabs>
        <w:spacing w:line="240" w:lineRule="auto" w:before="0" w:after="0"/>
        <w:ind w:left="1274" w:right="0" w:hanging="639"/>
        <w:jc w:val="left"/>
      </w:pPr>
      <w:r>
        <w:rPr/>
        <w:t>Argumento</w:t>
      </w:r>
      <w:r>
        <w:rPr>
          <w:spacing w:val="-5"/>
        </w:rPr>
        <w:t> </w:t>
      </w:r>
      <w:r>
        <w:rPr/>
        <w:t>de</w:t>
      </w:r>
      <w:r>
        <w:rPr>
          <w:spacing w:val="-4"/>
        </w:rPr>
        <w:t> </w:t>
      </w:r>
      <w:r>
        <w:rPr/>
        <w:t>la</w:t>
      </w:r>
      <w:r>
        <w:rPr>
          <w:spacing w:val="-2"/>
        </w:rPr>
        <w:t> </w:t>
      </w:r>
      <w:r>
        <w:rPr/>
        <w:t>República</w:t>
      </w:r>
      <w:r>
        <w:rPr>
          <w:spacing w:val="-4"/>
        </w:rPr>
        <w:t> </w:t>
      </w:r>
      <w:r>
        <w:rPr/>
        <w:t>del</w:t>
      </w:r>
      <w:r>
        <w:rPr>
          <w:spacing w:val="-3"/>
        </w:rPr>
        <w:t> </w:t>
      </w:r>
      <w:r>
        <w:rPr>
          <w:spacing w:val="-2"/>
        </w:rPr>
        <w:t>Ecuador</w:t>
      </w:r>
    </w:p>
    <w:p>
      <w:pPr>
        <w:pStyle w:val="BodyText"/>
        <w:spacing w:before="14"/>
        <w:rPr>
          <w:rFonts w:ascii="Arial"/>
          <w:b/>
        </w:rPr>
      </w:pPr>
    </w:p>
    <w:p>
      <w:pPr>
        <w:pStyle w:val="ListParagraph"/>
        <w:numPr>
          <w:ilvl w:val="0"/>
          <w:numId w:val="2"/>
        </w:numPr>
        <w:tabs>
          <w:tab w:pos="1420" w:val="left" w:leader="none"/>
        </w:tabs>
        <w:spacing w:line="240" w:lineRule="auto" w:before="1" w:after="0"/>
        <w:ind w:left="1420" w:right="0" w:hanging="852"/>
        <w:jc w:val="left"/>
        <w:rPr>
          <w:sz w:val="22"/>
        </w:rPr>
      </w:pPr>
      <w:r>
        <w:rPr>
          <w:sz w:val="22"/>
        </w:rPr>
        <w:t>Por</w:t>
      </w:r>
      <w:r>
        <w:rPr>
          <w:spacing w:val="-4"/>
          <w:sz w:val="22"/>
        </w:rPr>
        <w:t> </w:t>
      </w:r>
      <w:r>
        <w:rPr>
          <w:sz w:val="22"/>
        </w:rPr>
        <w:t>su</w:t>
      </w:r>
      <w:r>
        <w:rPr>
          <w:spacing w:val="-6"/>
          <w:sz w:val="22"/>
        </w:rPr>
        <w:t> </w:t>
      </w:r>
      <w:r>
        <w:rPr>
          <w:sz w:val="22"/>
        </w:rPr>
        <w:t>parte,</w:t>
      </w:r>
      <w:r>
        <w:rPr>
          <w:spacing w:val="-5"/>
          <w:sz w:val="22"/>
        </w:rPr>
        <w:t> </w:t>
      </w:r>
      <w:r>
        <w:rPr>
          <w:sz w:val="22"/>
        </w:rPr>
        <w:t>la</w:t>
      </w:r>
      <w:r>
        <w:rPr>
          <w:spacing w:val="-4"/>
          <w:sz w:val="22"/>
        </w:rPr>
        <w:t> </w:t>
      </w:r>
      <w:r>
        <w:rPr>
          <w:sz w:val="22"/>
        </w:rPr>
        <w:t>República</w:t>
      </w:r>
      <w:r>
        <w:rPr>
          <w:spacing w:val="-4"/>
          <w:sz w:val="22"/>
        </w:rPr>
        <w:t> </w:t>
      </w:r>
      <w:r>
        <w:rPr>
          <w:sz w:val="22"/>
        </w:rPr>
        <w:t>del</w:t>
      </w:r>
      <w:r>
        <w:rPr>
          <w:spacing w:val="-4"/>
          <w:sz w:val="22"/>
        </w:rPr>
        <w:t> </w:t>
      </w:r>
      <w:r>
        <w:rPr>
          <w:sz w:val="22"/>
        </w:rPr>
        <w:t>Ecuador</w:t>
      </w:r>
      <w:r>
        <w:rPr>
          <w:spacing w:val="-5"/>
          <w:sz w:val="22"/>
        </w:rPr>
        <w:t> </w:t>
      </w:r>
      <w:r>
        <w:rPr>
          <w:sz w:val="22"/>
        </w:rPr>
        <w:t>sostiene</w:t>
      </w:r>
      <w:r>
        <w:rPr>
          <w:spacing w:val="-4"/>
          <w:sz w:val="22"/>
        </w:rPr>
        <w:t> que:</w:t>
      </w:r>
    </w:p>
    <w:p>
      <w:pPr>
        <w:pStyle w:val="BodyText"/>
      </w:pPr>
    </w:p>
    <w:p>
      <w:pPr>
        <w:spacing w:before="0"/>
        <w:ind w:left="2128" w:right="978" w:firstLine="0"/>
        <w:jc w:val="both"/>
        <w:rPr>
          <w:sz w:val="22"/>
        </w:rPr>
      </w:pPr>
      <w:r>
        <w:rPr>
          <w:rFonts w:ascii="Arial" w:hAnsi="Arial"/>
          <w:i/>
          <w:sz w:val="22"/>
        </w:rPr>
        <w:t>“(…)</w:t>
      </w:r>
      <w:r>
        <w:rPr>
          <w:rFonts w:ascii="Arial" w:hAnsi="Arial"/>
          <w:i/>
          <w:spacing w:val="-10"/>
          <w:sz w:val="22"/>
        </w:rPr>
        <w:t> </w:t>
      </w:r>
      <w:r>
        <w:rPr>
          <w:rFonts w:ascii="Arial" w:hAnsi="Arial"/>
          <w:i/>
          <w:sz w:val="22"/>
        </w:rPr>
        <w:t>Lo</w:t>
      </w:r>
      <w:r>
        <w:rPr>
          <w:rFonts w:ascii="Arial" w:hAnsi="Arial"/>
          <w:i/>
          <w:spacing w:val="-10"/>
          <w:sz w:val="22"/>
        </w:rPr>
        <w:t> </w:t>
      </w:r>
      <w:r>
        <w:rPr>
          <w:rFonts w:ascii="Arial" w:hAnsi="Arial"/>
          <w:i/>
          <w:sz w:val="22"/>
        </w:rPr>
        <w:t>que</w:t>
      </w:r>
      <w:r>
        <w:rPr>
          <w:rFonts w:ascii="Arial" w:hAnsi="Arial"/>
          <w:i/>
          <w:spacing w:val="-12"/>
          <w:sz w:val="22"/>
        </w:rPr>
        <w:t> </w:t>
      </w:r>
      <w:r>
        <w:rPr>
          <w:rFonts w:ascii="Arial" w:hAnsi="Arial"/>
          <w:i/>
          <w:sz w:val="22"/>
        </w:rPr>
        <w:t>Ecuador</w:t>
      </w:r>
      <w:r>
        <w:rPr>
          <w:rFonts w:ascii="Arial" w:hAnsi="Arial"/>
          <w:i/>
          <w:spacing w:val="-11"/>
          <w:sz w:val="22"/>
        </w:rPr>
        <w:t> </w:t>
      </w:r>
      <w:r>
        <w:rPr>
          <w:rFonts w:ascii="Arial" w:hAnsi="Arial"/>
          <w:i/>
          <w:sz w:val="22"/>
        </w:rPr>
        <w:t>realizó</w:t>
      </w:r>
      <w:r>
        <w:rPr>
          <w:rFonts w:ascii="Arial" w:hAnsi="Arial"/>
          <w:i/>
          <w:spacing w:val="-10"/>
          <w:sz w:val="22"/>
        </w:rPr>
        <w:t> </w:t>
      </w:r>
      <w:r>
        <w:rPr>
          <w:rFonts w:ascii="Arial" w:hAnsi="Arial"/>
          <w:i/>
          <w:sz w:val="22"/>
        </w:rPr>
        <w:t>no</w:t>
      </w:r>
      <w:r>
        <w:rPr>
          <w:rFonts w:ascii="Arial" w:hAnsi="Arial"/>
          <w:i/>
          <w:spacing w:val="-13"/>
          <w:sz w:val="22"/>
        </w:rPr>
        <w:t> </w:t>
      </w:r>
      <w:r>
        <w:rPr>
          <w:rFonts w:ascii="Arial" w:hAnsi="Arial"/>
          <w:i/>
          <w:sz w:val="22"/>
        </w:rPr>
        <w:t>fue</w:t>
      </w:r>
      <w:r>
        <w:rPr>
          <w:rFonts w:ascii="Arial" w:hAnsi="Arial"/>
          <w:i/>
          <w:spacing w:val="-13"/>
          <w:sz w:val="22"/>
        </w:rPr>
        <w:t> </w:t>
      </w:r>
      <w:r>
        <w:rPr>
          <w:rFonts w:ascii="Arial" w:hAnsi="Arial"/>
          <w:i/>
          <w:sz w:val="22"/>
        </w:rPr>
        <w:t>prohibir</w:t>
      </w:r>
      <w:r>
        <w:rPr>
          <w:rFonts w:ascii="Arial" w:hAnsi="Arial"/>
          <w:i/>
          <w:spacing w:val="-11"/>
          <w:sz w:val="22"/>
        </w:rPr>
        <w:t> </w:t>
      </w:r>
      <w:r>
        <w:rPr>
          <w:rFonts w:ascii="Arial" w:hAnsi="Arial"/>
          <w:i/>
          <w:sz w:val="22"/>
        </w:rPr>
        <w:t>el</w:t>
      </w:r>
      <w:r>
        <w:rPr>
          <w:rFonts w:ascii="Arial" w:hAnsi="Arial"/>
          <w:i/>
          <w:spacing w:val="-11"/>
          <w:sz w:val="22"/>
        </w:rPr>
        <w:t> </w:t>
      </w:r>
      <w:r>
        <w:rPr>
          <w:rFonts w:ascii="Arial" w:hAnsi="Arial"/>
          <w:i/>
          <w:sz w:val="22"/>
        </w:rPr>
        <w:t>comercio</w:t>
      </w:r>
      <w:r>
        <w:rPr>
          <w:rFonts w:ascii="Arial" w:hAnsi="Arial"/>
          <w:i/>
          <w:spacing w:val="-10"/>
          <w:sz w:val="22"/>
        </w:rPr>
        <w:t> </w:t>
      </w:r>
      <w:r>
        <w:rPr>
          <w:rFonts w:ascii="Arial" w:hAnsi="Arial"/>
          <w:i/>
          <w:sz w:val="22"/>
        </w:rPr>
        <w:t>andino</w:t>
      </w:r>
      <w:r>
        <w:rPr>
          <w:rFonts w:ascii="Arial" w:hAnsi="Arial"/>
          <w:i/>
          <w:spacing w:val="-13"/>
          <w:sz w:val="22"/>
        </w:rPr>
        <w:t> </w:t>
      </w:r>
      <w:r>
        <w:rPr>
          <w:rFonts w:ascii="Arial" w:hAnsi="Arial"/>
          <w:i/>
          <w:sz w:val="22"/>
        </w:rPr>
        <w:t>con</w:t>
      </w:r>
      <w:r>
        <w:rPr>
          <w:rFonts w:ascii="Arial" w:hAnsi="Arial"/>
          <w:i/>
          <w:spacing w:val="-13"/>
          <w:sz w:val="22"/>
        </w:rPr>
        <w:t> </w:t>
      </w:r>
      <w:r>
        <w:rPr>
          <w:rFonts w:ascii="Arial" w:hAnsi="Arial"/>
          <w:i/>
          <w:sz w:val="22"/>
        </w:rPr>
        <w:t>Colombia, ni suspender la importación de mercancías colombianas, ni imponer una cuota o contingente; </w:t>
      </w:r>
      <w:r>
        <w:rPr>
          <w:rFonts w:ascii="Arial" w:hAnsi="Arial"/>
          <w:i/>
          <w:sz w:val="22"/>
          <w:u w:val="single"/>
        </w:rPr>
        <w:t>lo que hizo fue canalizar el ingreso formal por un paso</w:t>
      </w:r>
      <w:r>
        <w:rPr>
          <w:rFonts w:ascii="Arial" w:hAnsi="Arial"/>
          <w:i/>
          <w:sz w:val="22"/>
        </w:rPr>
        <w:t> </w:t>
      </w:r>
      <w:r>
        <w:rPr>
          <w:rFonts w:ascii="Arial" w:hAnsi="Arial"/>
          <w:i/>
          <w:sz w:val="22"/>
          <w:u w:val="single"/>
        </w:rPr>
        <w:t>internacional habilitado</w:t>
      </w:r>
      <w:r>
        <w:rPr>
          <w:rFonts w:ascii="Arial" w:hAnsi="Arial"/>
          <w:i/>
          <w:sz w:val="22"/>
        </w:rPr>
        <w:t> —Rumichaca— manteniendo así operativa la circulación comercial por el corredor institucionalmente controlado.” </w:t>
      </w:r>
      <w:hyperlink w:history="true" w:anchor="_bookmark28">
        <w:r>
          <w:rPr>
            <w:sz w:val="22"/>
            <w:vertAlign w:val="superscript"/>
          </w:rPr>
          <w:t>29</w:t>
        </w:r>
      </w:hyperlink>
      <w:r>
        <w:rPr>
          <w:sz w:val="22"/>
          <w:vertAlign w:val="baseline"/>
        </w:rPr>
        <w:t> (Subrayado fuera del texto.)</w:t>
      </w:r>
    </w:p>
    <w:p>
      <w:pPr>
        <w:pStyle w:val="BodyText"/>
        <w:spacing w:before="1"/>
      </w:pPr>
    </w:p>
    <w:p>
      <w:pPr>
        <w:pStyle w:val="Heading6"/>
        <w:numPr>
          <w:ilvl w:val="2"/>
          <w:numId w:val="1"/>
        </w:numPr>
        <w:tabs>
          <w:tab w:pos="1419" w:val="left" w:leader="none"/>
        </w:tabs>
        <w:spacing w:line="240" w:lineRule="auto" w:before="0" w:after="0"/>
        <w:ind w:left="1419" w:right="0" w:hanging="642"/>
        <w:jc w:val="left"/>
      </w:pPr>
      <w:r>
        <w:rPr/>
        <w:t>Análisis</w:t>
      </w:r>
      <w:r>
        <w:rPr>
          <w:spacing w:val="-5"/>
        </w:rPr>
        <w:t> </w:t>
      </w:r>
      <w:r>
        <w:rPr/>
        <w:t>de</w:t>
      </w:r>
      <w:r>
        <w:rPr>
          <w:spacing w:val="-4"/>
        </w:rPr>
        <w:t> </w:t>
      </w:r>
      <w:r>
        <w:rPr/>
        <w:t>la</w:t>
      </w:r>
      <w:r>
        <w:rPr>
          <w:spacing w:val="-4"/>
        </w:rPr>
        <w:t> SGCAN</w:t>
      </w:r>
    </w:p>
    <w:p>
      <w:pPr>
        <w:pStyle w:val="BodyText"/>
        <w:spacing w:before="15"/>
        <w:rPr>
          <w:rFonts w:ascii="Arial"/>
          <w:b/>
        </w:rPr>
      </w:pPr>
    </w:p>
    <w:p>
      <w:pPr>
        <w:pStyle w:val="ListParagraph"/>
        <w:numPr>
          <w:ilvl w:val="0"/>
          <w:numId w:val="2"/>
        </w:numPr>
        <w:tabs>
          <w:tab w:pos="1420" w:val="left" w:leader="none"/>
        </w:tabs>
        <w:spacing w:line="240" w:lineRule="auto" w:before="0" w:after="0"/>
        <w:ind w:left="1420" w:right="981" w:hanging="852"/>
        <w:jc w:val="both"/>
        <w:rPr>
          <w:sz w:val="22"/>
        </w:rPr>
      </w:pPr>
      <w:r>
        <w:rPr>
          <w:sz w:val="22"/>
        </w:rPr>
        <w:t>De los argumentos esgrimidos por ambas partes corresponde a la SGCAN analizar si</w:t>
      </w:r>
      <w:r>
        <w:rPr>
          <w:spacing w:val="-11"/>
          <w:sz w:val="22"/>
        </w:rPr>
        <w:t> </w:t>
      </w:r>
      <w:r>
        <w:rPr>
          <w:sz w:val="22"/>
        </w:rPr>
        <w:t>la</w:t>
      </w:r>
      <w:r>
        <w:rPr>
          <w:spacing w:val="-10"/>
          <w:sz w:val="22"/>
        </w:rPr>
        <w:t> </w:t>
      </w:r>
      <w:r>
        <w:rPr>
          <w:sz w:val="22"/>
        </w:rPr>
        <w:t>medida</w:t>
      </w:r>
      <w:r>
        <w:rPr>
          <w:spacing w:val="-10"/>
          <w:sz w:val="22"/>
        </w:rPr>
        <w:t> </w:t>
      </w:r>
      <w:r>
        <w:rPr>
          <w:sz w:val="22"/>
        </w:rPr>
        <w:t>impuesta</w:t>
      </w:r>
      <w:r>
        <w:rPr>
          <w:spacing w:val="-12"/>
          <w:sz w:val="22"/>
        </w:rPr>
        <w:t> </w:t>
      </w:r>
      <w:r>
        <w:rPr>
          <w:sz w:val="22"/>
        </w:rPr>
        <w:t>por</w:t>
      </w:r>
      <w:r>
        <w:rPr>
          <w:spacing w:val="-9"/>
          <w:sz w:val="22"/>
        </w:rPr>
        <w:t> </w:t>
      </w:r>
      <w:r>
        <w:rPr>
          <w:sz w:val="22"/>
        </w:rPr>
        <w:t>la</w:t>
      </w:r>
      <w:r>
        <w:rPr>
          <w:spacing w:val="-10"/>
          <w:sz w:val="22"/>
        </w:rPr>
        <w:t> </w:t>
      </w:r>
      <w:r>
        <w:rPr>
          <w:sz w:val="22"/>
        </w:rPr>
        <w:t>República</w:t>
      </w:r>
      <w:r>
        <w:rPr>
          <w:spacing w:val="-10"/>
          <w:sz w:val="22"/>
        </w:rPr>
        <w:t> </w:t>
      </w:r>
      <w:r>
        <w:rPr>
          <w:sz w:val="22"/>
        </w:rPr>
        <w:t>del</w:t>
      </w:r>
      <w:r>
        <w:rPr>
          <w:spacing w:val="-11"/>
          <w:sz w:val="22"/>
        </w:rPr>
        <w:t> </w:t>
      </w:r>
      <w:r>
        <w:rPr>
          <w:sz w:val="22"/>
        </w:rPr>
        <w:t>Ecuador</w:t>
      </w:r>
      <w:r>
        <w:rPr>
          <w:spacing w:val="-9"/>
          <w:sz w:val="22"/>
        </w:rPr>
        <w:t> </w:t>
      </w:r>
      <w:r>
        <w:rPr>
          <w:sz w:val="22"/>
        </w:rPr>
        <w:t>impactó</w:t>
      </w:r>
      <w:r>
        <w:rPr>
          <w:spacing w:val="-12"/>
          <w:sz w:val="22"/>
        </w:rPr>
        <w:t> </w:t>
      </w:r>
      <w:r>
        <w:rPr>
          <w:sz w:val="22"/>
        </w:rPr>
        <w:t>en</w:t>
      </w:r>
      <w:r>
        <w:rPr>
          <w:spacing w:val="-10"/>
          <w:sz w:val="22"/>
        </w:rPr>
        <w:t> </w:t>
      </w:r>
      <w:r>
        <w:rPr>
          <w:sz w:val="22"/>
        </w:rPr>
        <w:t>el</w:t>
      </w:r>
      <w:r>
        <w:rPr>
          <w:spacing w:val="-13"/>
          <w:sz w:val="22"/>
        </w:rPr>
        <w:t> </w:t>
      </w:r>
      <w:r>
        <w:rPr>
          <w:sz w:val="22"/>
        </w:rPr>
        <w:t>comercio</w:t>
      </w:r>
      <w:r>
        <w:rPr>
          <w:spacing w:val="-10"/>
          <w:sz w:val="22"/>
        </w:rPr>
        <w:t> </w:t>
      </w:r>
      <w:r>
        <w:rPr>
          <w:sz w:val="22"/>
        </w:rPr>
        <w:t>fronterizo de ambos países. Para ello resulta importante revisar la estructura de su comercio.</w:t>
      </w:r>
    </w:p>
    <w:p>
      <w:pPr>
        <w:pStyle w:val="BodyText"/>
      </w:pPr>
    </w:p>
    <w:p>
      <w:pPr>
        <w:pStyle w:val="ListParagraph"/>
        <w:numPr>
          <w:ilvl w:val="0"/>
          <w:numId w:val="2"/>
        </w:numPr>
        <w:tabs>
          <w:tab w:pos="1420" w:val="left" w:leader="none"/>
        </w:tabs>
        <w:spacing w:line="240" w:lineRule="auto" w:before="1" w:after="0"/>
        <w:ind w:left="1420" w:right="979" w:hanging="852"/>
        <w:jc w:val="both"/>
        <w:rPr>
          <w:sz w:val="22"/>
        </w:rPr>
      </w:pPr>
      <w:r>
        <w:rPr>
          <w:sz w:val="22"/>
        </w:rPr>
        <w:t>De acuerdo</w:t>
      </w:r>
      <w:r>
        <w:rPr>
          <w:spacing w:val="-3"/>
          <w:sz w:val="22"/>
        </w:rPr>
        <w:t> </w:t>
      </w:r>
      <w:r>
        <w:rPr>
          <w:sz w:val="22"/>
        </w:rPr>
        <w:t>con</w:t>
      </w:r>
      <w:r>
        <w:rPr>
          <w:spacing w:val="-3"/>
          <w:sz w:val="22"/>
        </w:rPr>
        <w:t> </w:t>
      </w:r>
      <w:r>
        <w:rPr>
          <w:sz w:val="22"/>
        </w:rPr>
        <w:t>información</w:t>
      </w:r>
      <w:r>
        <w:rPr>
          <w:spacing w:val="-1"/>
          <w:sz w:val="22"/>
        </w:rPr>
        <w:t> </w:t>
      </w:r>
      <w:r>
        <w:rPr>
          <w:sz w:val="22"/>
        </w:rPr>
        <w:t>de</w:t>
      </w:r>
      <w:r>
        <w:rPr>
          <w:spacing w:val="-3"/>
          <w:sz w:val="22"/>
        </w:rPr>
        <w:t> </w:t>
      </w:r>
      <w:r>
        <w:rPr>
          <w:sz w:val="22"/>
        </w:rPr>
        <w:t>la</w:t>
      </w:r>
      <w:r>
        <w:rPr>
          <w:spacing w:val="-3"/>
          <w:sz w:val="22"/>
        </w:rPr>
        <w:t> </w:t>
      </w:r>
      <w:r>
        <w:rPr>
          <w:sz w:val="22"/>
        </w:rPr>
        <w:t>Dirección</w:t>
      </w:r>
      <w:r>
        <w:rPr>
          <w:spacing w:val="-1"/>
          <w:sz w:val="22"/>
        </w:rPr>
        <w:t> </w:t>
      </w:r>
      <w:r>
        <w:rPr>
          <w:sz w:val="22"/>
        </w:rPr>
        <w:t>de</w:t>
      </w:r>
      <w:r>
        <w:rPr>
          <w:spacing w:val="-5"/>
          <w:sz w:val="22"/>
        </w:rPr>
        <w:t> </w:t>
      </w:r>
      <w:r>
        <w:rPr>
          <w:sz w:val="22"/>
        </w:rPr>
        <w:t>Impuestos</w:t>
      </w:r>
      <w:r>
        <w:rPr>
          <w:spacing w:val="-3"/>
          <w:sz w:val="22"/>
        </w:rPr>
        <w:t> </w:t>
      </w:r>
      <w:r>
        <w:rPr>
          <w:sz w:val="22"/>
        </w:rPr>
        <w:t>y</w:t>
      </w:r>
      <w:r>
        <w:rPr>
          <w:spacing w:val="-3"/>
          <w:sz w:val="22"/>
        </w:rPr>
        <w:t> </w:t>
      </w:r>
      <w:r>
        <w:rPr>
          <w:sz w:val="22"/>
        </w:rPr>
        <w:t>Aduanas</w:t>
      </w:r>
      <w:r>
        <w:rPr>
          <w:spacing w:val="-3"/>
          <w:sz w:val="22"/>
        </w:rPr>
        <w:t> </w:t>
      </w:r>
      <w:r>
        <w:rPr>
          <w:sz w:val="22"/>
        </w:rPr>
        <w:t>Nacionales de la República de Colombia </w:t>
      </w:r>
      <w:r>
        <w:rPr>
          <w:rFonts w:ascii="Arial" w:hAnsi="Arial"/>
          <w:b/>
          <w:sz w:val="22"/>
        </w:rPr>
        <w:t>(en adelante, DIAN)</w:t>
      </w:r>
      <w:r>
        <w:rPr>
          <w:sz w:val="22"/>
        </w:rPr>
        <w:t>, existen dos pasos de frontera terrestre autorizados para el transporte de mercancías entre ambos países:</w:t>
      </w:r>
    </w:p>
    <w:p>
      <w:pPr>
        <w:spacing w:before="252"/>
        <w:ind w:left="299" w:right="0" w:firstLine="0"/>
        <w:jc w:val="center"/>
        <w:rPr>
          <w:rFonts w:ascii="Arial" w:hAnsi="Arial"/>
          <w:b/>
          <w:sz w:val="22"/>
        </w:rPr>
      </w:pPr>
      <w:r>
        <w:rPr>
          <w:rFonts w:ascii="Arial" w:hAnsi="Arial"/>
          <w:b/>
          <w:sz w:val="22"/>
        </w:rPr>
        <w:t>Tabla</w:t>
      </w:r>
      <w:r>
        <w:rPr>
          <w:rFonts w:ascii="Arial" w:hAnsi="Arial"/>
          <w:b/>
          <w:spacing w:val="-5"/>
          <w:sz w:val="22"/>
        </w:rPr>
        <w:t> </w:t>
      </w:r>
      <w:r>
        <w:rPr>
          <w:rFonts w:ascii="Arial" w:hAnsi="Arial"/>
          <w:b/>
          <w:sz w:val="22"/>
        </w:rPr>
        <w:t>N.°</w:t>
      </w:r>
      <w:r>
        <w:rPr>
          <w:rFonts w:ascii="Arial" w:hAnsi="Arial"/>
          <w:b/>
          <w:spacing w:val="-1"/>
          <w:sz w:val="22"/>
        </w:rPr>
        <w:t> </w:t>
      </w:r>
      <w:r>
        <w:rPr>
          <w:rFonts w:ascii="Arial" w:hAnsi="Arial"/>
          <w:b/>
          <w:spacing w:val="-10"/>
          <w:sz w:val="22"/>
        </w:rPr>
        <w:t>1</w:t>
      </w:r>
    </w:p>
    <w:p>
      <w:pPr>
        <w:spacing w:before="1"/>
        <w:ind w:left="1588" w:right="1294" w:firstLine="0"/>
        <w:jc w:val="center"/>
        <w:rPr>
          <w:rFonts w:ascii="Arial" w:hAnsi="Arial"/>
          <w:i/>
          <w:sz w:val="22"/>
        </w:rPr>
      </w:pPr>
      <w:r>
        <w:rPr>
          <w:rFonts w:ascii="Arial" w:hAnsi="Arial"/>
          <w:i/>
          <w:sz w:val="22"/>
        </w:rPr>
        <mc:AlternateContent>
          <mc:Choice Requires="wps">
            <w:drawing>
              <wp:anchor distT="0" distB="0" distL="0" distR="0" allowOverlap="1" layoutInCell="1" locked="0" behindDoc="0" simplePos="0" relativeHeight="15741440">
                <wp:simplePos x="0" y="0"/>
                <wp:positionH relativeFrom="page">
                  <wp:posOffset>1531874</wp:posOffset>
                </wp:positionH>
                <wp:positionV relativeFrom="paragraph">
                  <wp:posOffset>322413</wp:posOffset>
                </wp:positionV>
                <wp:extent cx="4986020" cy="6350"/>
                <wp:effectExtent l="0" t="0" r="0" b="0"/>
                <wp:wrapNone/>
                <wp:docPr id="97" name="Graphic 97"/>
                <wp:cNvGraphicFramePr>
                  <a:graphicFrameLocks/>
                </wp:cNvGraphicFramePr>
                <a:graphic>
                  <a:graphicData uri="http://schemas.microsoft.com/office/word/2010/wordprocessingShape">
                    <wps:wsp>
                      <wps:cNvPr id="97" name="Graphic 97"/>
                      <wps:cNvSpPr/>
                      <wps:spPr>
                        <a:xfrm>
                          <a:off x="0" y="0"/>
                          <a:ext cx="4986020" cy="6350"/>
                        </a:xfrm>
                        <a:custGeom>
                          <a:avLst/>
                          <a:gdLst/>
                          <a:ahLst/>
                          <a:cxnLst/>
                          <a:rect l="l" t="t" r="r" b="b"/>
                          <a:pathLst>
                            <a:path w="4986020" h="6350">
                              <a:moveTo>
                                <a:pt x="911656" y="0"/>
                              </a:moveTo>
                              <a:lnTo>
                                <a:pt x="0" y="0"/>
                              </a:lnTo>
                              <a:lnTo>
                                <a:pt x="0" y="6096"/>
                              </a:lnTo>
                              <a:lnTo>
                                <a:pt x="911656" y="6096"/>
                              </a:lnTo>
                              <a:lnTo>
                                <a:pt x="911656" y="0"/>
                              </a:lnTo>
                              <a:close/>
                            </a:path>
                            <a:path w="4986020" h="6350">
                              <a:moveTo>
                                <a:pt x="1667624" y="0"/>
                              </a:moveTo>
                              <a:lnTo>
                                <a:pt x="917829" y="0"/>
                              </a:lnTo>
                              <a:lnTo>
                                <a:pt x="911733" y="0"/>
                              </a:lnTo>
                              <a:lnTo>
                                <a:pt x="911733" y="6096"/>
                              </a:lnTo>
                              <a:lnTo>
                                <a:pt x="917829" y="6096"/>
                              </a:lnTo>
                              <a:lnTo>
                                <a:pt x="1667624" y="6096"/>
                              </a:lnTo>
                              <a:lnTo>
                                <a:pt x="1667624" y="0"/>
                              </a:lnTo>
                              <a:close/>
                            </a:path>
                            <a:path w="4986020" h="6350">
                              <a:moveTo>
                                <a:pt x="3765219" y="0"/>
                              </a:moveTo>
                              <a:lnTo>
                                <a:pt x="3009011" y="0"/>
                              </a:lnTo>
                              <a:lnTo>
                                <a:pt x="3002915" y="0"/>
                              </a:lnTo>
                              <a:lnTo>
                                <a:pt x="1673733" y="0"/>
                              </a:lnTo>
                              <a:lnTo>
                                <a:pt x="1667637" y="0"/>
                              </a:lnTo>
                              <a:lnTo>
                                <a:pt x="1667637" y="6096"/>
                              </a:lnTo>
                              <a:lnTo>
                                <a:pt x="1673733" y="6096"/>
                              </a:lnTo>
                              <a:lnTo>
                                <a:pt x="3002915" y="6096"/>
                              </a:lnTo>
                              <a:lnTo>
                                <a:pt x="3009011" y="6096"/>
                              </a:lnTo>
                              <a:lnTo>
                                <a:pt x="3765219" y="6096"/>
                              </a:lnTo>
                              <a:lnTo>
                                <a:pt x="3765219" y="0"/>
                              </a:lnTo>
                              <a:close/>
                            </a:path>
                            <a:path w="4986020" h="6350">
                              <a:moveTo>
                                <a:pt x="3771379" y="0"/>
                              </a:moveTo>
                              <a:lnTo>
                                <a:pt x="3765296" y="0"/>
                              </a:lnTo>
                              <a:lnTo>
                                <a:pt x="3765296" y="6096"/>
                              </a:lnTo>
                              <a:lnTo>
                                <a:pt x="3771379" y="6096"/>
                              </a:lnTo>
                              <a:lnTo>
                                <a:pt x="3771379" y="0"/>
                              </a:lnTo>
                              <a:close/>
                            </a:path>
                            <a:path w="4986020" h="6350">
                              <a:moveTo>
                                <a:pt x="4986020" y="0"/>
                              </a:moveTo>
                              <a:lnTo>
                                <a:pt x="3771392" y="0"/>
                              </a:lnTo>
                              <a:lnTo>
                                <a:pt x="3771392" y="6096"/>
                              </a:lnTo>
                              <a:lnTo>
                                <a:pt x="4986020" y="6096"/>
                              </a:lnTo>
                              <a:lnTo>
                                <a:pt x="49860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20.620003pt;margin-top:25.386885pt;width:392.6pt;height:.5pt;mso-position-horizontal-relative:page;mso-position-vertical-relative:paragraph;z-index:15741440" id="docshape60" coordorigin="2412,508" coordsize="7852,10" path="m3848,508l2412,508,2412,517,3848,517,3848,508xm5039,508l3858,508,3848,508,3848,517,3858,517,5039,517,5039,508xm8342,508l7151,508,7141,508,5048,508,5039,508,5039,517,5048,517,7141,517,7151,517,8342,517,8342,508xm8352,508l8342,508,8342,517,8352,517,8352,508xm10264,508l8352,508,8352,517,10264,517,10264,508xe" filled="true" fillcolor="#000000" stroked="false">
                <v:path arrowok="t"/>
                <v:fill type="solid"/>
                <w10:wrap type="none"/>
              </v:shape>
            </w:pict>
          </mc:Fallback>
        </mc:AlternateContent>
      </w:r>
      <w:r>
        <w:rPr>
          <w:rFonts w:ascii="Arial" w:hAnsi="Arial"/>
          <w:i/>
          <w:sz w:val="22"/>
        </w:rPr>
        <w:t>Pasos</w:t>
      </w:r>
      <w:r>
        <w:rPr>
          <w:rFonts w:ascii="Arial" w:hAnsi="Arial"/>
          <w:i/>
          <w:spacing w:val="-3"/>
          <w:sz w:val="22"/>
        </w:rPr>
        <w:t> </w:t>
      </w:r>
      <w:r>
        <w:rPr>
          <w:rFonts w:ascii="Arial" w:hAnsi="Arial"/>
          <w:i/>
          <w:sz w:val="22"/>
        </w:rPr>
        <w:t>fronterizos</w:t>
      </w:r>
      <w:r>
        <w:rPr>
          <w:rFonts w:ascii="Arial" w:hAnsi="Arial"/>
          <w:i/>
          <w:spacing w:val="-4"/>
          <w:sz w:val="22"/>
        </w:rPr>
        <w:t> </w:t>
      </w:r>
      <w:r>
        <w:rPr>
          <w:rFonts w:ascii="Arial" w:hAnsi="Arial"/>
          <w:i/>
          <w:sz w:val="22"/>
        </w:rPr>
        <w:t>autorizados</w:t>
      </w:r>
      <w:r>
        <w:rPr>
          <w:rFonts w:ascii="Arial" w:hAnsi="Arial"/>
          <w:i/>
          <w:spacing w:val="-4"/>
          <w:sz w:val="22"/>
        </w:rPr>
        <w:t> </w:t>
      </w:r>
      <w:r>
        <w:rPr>
          <w:rFonts w:ascii="Arial" w:hAnsi="Arial"/>
          <w:i/>
          <w:sz w:val="22"/>
        </w:rPr>
        <w:t>para</w:t>
      </w:r>
      <w:r>
        <w:rPr>
          <w:rFonts w:ascii="Arial" w:hAnsi="Arial"/>
          <w:i/>
          <w:spacing w:val="-6"/>
          <w:sz w:val="22"/>
        </w:rPr>
        <w:t> </w:t>
      </w:r>
      <w:r>
        <w:rPr>
          <w:rFonts w:ascii="Arial" w:hAnsi="Arial"/>
          <w:i/>
          <w:sz w:val="22"/>
        </w:rPr>
        <w:t>el</w:t>
      </w:r>
      <w:r>
        <w:rPr>
          <w:rFonts w:ascii="Arial" w:hAnsi="Arial"/>
          <w:i/>
          <w:spacing w:val="-5"/>
          <w:sz w:val="22"/>
        </w:rPr>
        <w:t> </w:t>
      </w:r>
      <w:r>
        <w:rPr>
          <w:rFonts w:ascii="Arial" w:hAnsi="Arial"/>
          <w:i/>
          <w:sz w:val="22"/>
        </w:rPr>
        <w:t>transporte</w:t>
      </w:r>
      <w:r>
        <w:rPr>
          <w:rFonts w:ascii="Arial" w:hAnsi="Arial"/>
          <w:i/>
          <w:spacing w:val="-6"/>
          <w:sz w:val="22"/>
        </w:rPr>
        <w:t> </w:t>
      </w:r>
      <w:r>
        <w:rPr>
          <w:rFonts w:ascii="Arial" w:hAnsi="Arial"/>
          <w:i/>
          <w:sz w:val="22"/>
        </w:rPr>
        <w:t>de</w:t>
      </w:r>
      <w:r>
        <w:rPr>
          <w:rFonts w:ascii="Arial" w:hAnsi="Arial"/>
          <w:i/>
          <w:spacing w:val="-4"/>
          <w:sz w:val="22"/>
        </w:rPr>
        <w:t> </w:t>
      </w:r>
      <w:r>
        <w:rPr>
          <w:rFonts w:ascii="Arial" w:hAnsi="Arial"/>
          <w:i/>
          <w:sz w:val="22"/>
        </w:rPr>
        <w:t>mercancías</w:t>
      </w:r>
      <w:r>
        <w:rPr>
          <w:rFonts w:ascii="Arial" w:hAnsi="Arial"/>
          <w:i/>
          <w:spacing w:val="-6"/>
          <w:sz w:val="22"/>
        </w:rPr>
        <w:t> </w:t>
      </w:r>
      <w:r>
        <w:rPr>
          <w:rFonts w:ascii="Arial" w:hAnsi="Arial"/>
          <w:i/>
          <w:sz w:val="22"/>
        </w:rPr>
        <w:t>terrestres</w:t>
      </w:r>
      <w:r>
        <w:rPr>
          <w:rFonts w:ascii="Arial" w:hAnsi="Arial"/>
          <w:i/>
          <w:spacing w:val="-7"/>
          <w:sz w:val="22"/>
        </w:rPr>
        <w:t> </w:t>
      </w:r>
      <w:r>
        <w:rPr>
          <w:rFonts w:ascii="Arial" w:hAnsi="Arial"/>
          <w:i/>
          <w:sz w:val="22"/>
        </w:rPr>
        <w:t>entre Colombia - Ecuador</w:t>
      </w:r>
    </w:p>
    <w:p>
      <w:pPr>
        <w:spacing w:after="0"/>
        <w:jc w:val="center"/>
        <w:rPr>
          <w:rFonts w:ascii="Arial" w:hAnsi="Arial"/>
          <w:i/>
          <w:sz w:val="22"/>
        </w:rPr>
        <w:sectPr>
          <w:pgSz w:w="11900" w:h="16850"/>
          <w:pgMar w:header="370" w:footer="597" w:top="1380" w:bottom="780" w:left="992" w:right="283"/>
        </w:sectPr>
      </w:pPr>
    </w:p>
    <w:p>
      <w:pPr>
        <w:pStyle w:val="Heading6"/>
        <w:spacing w:before="10"/>
        <w:ind w:left="1624" w:firstLine="12"/>
      </w:pPr>
      <w:r>
        <w:rPr/>
        <mc:AlternateContent>
          <mc:Choice Requires="wps">
            <w:drawing>
              <wp:anchor distT="0" distB="0" distL="0" distR="0" allowOverlap="1" layoutInCell="1" locked="0" behindDoc="0" simplePos="0" relativeHeight="15741952">
                <wp:simplePos x="0" y="0"/>
                <wp:positionH relativeFrom="page">
                  <wp:posOffset>1531874</wp:posOffset>
                </wp:positionH>
                <wp:positionV relativeFrom="paragraph">
                  <wp:posOffset>328155</wp:posOffset>
                </wp:positionV>
                <wp:extent cx="4986020" cy="6350"/>
                <wp:effectExtent l="0" t="0" r="0" b="0"/>
                <wp:wrapNone/>
                <wp:docPr id="98" name="Graphic 98"/>
                <wp:cNvGraphicFramePr>
                  <a:graphicFrameLocks/>
                </wp:cNvGraphicFramePr>
                <a:graphic>
                  <a:graphicData uri="http://schemas.microsoft.com/office/word/2010/wordprocessingShape">
                    <wps:wsp>
                      <wps:cNvPr id="98" name="Graphic 98"/>
                      <wps:cNvSpPr/>
                      <wps:spPr>
                        <a:xfrm>
                          <a:off x="0" y="0"/>
                          <a:ext cx="4986020" cy="6350"/>
                        </a:xfrm>
                        <a:custGeom>
                          <a:avLst/>
                          <a:gdLst/>
                          <a:ahLst/>
                          <a:cxnLst/>
                          <a:rect l="l" t="t" r="r" b="b"/>
                          <a:pathLst>
                            <a:path w="4986020" h="6350">
                              <a:moveTo>
                                <a:pt x="911656" y="0"/>
                              </a:moveTo>
                              <a:lnTo>
                                <a:pt x="0" y="0"/>
                              </a:lnTo>
                              <a:lnTo>
                                <a:pt x="0" y="6096"/>
                              </a:lnTo>
                              <a:lnTo>
                                <a:pt x="911656" y="6096"/>
                              </a:lnTo>
                              <a:lnTo>
                                <a:pt x="911656" y="0"/>
                              </a:lnTo>
                              <a:close/>
                            </a:path>
                            <a:path w="4986020" h="6350">
                              <a:moveTo>
                                <a:pt x="1667624" y="0"/>
                              </a:moveTo>
                              <a:lnTo>
                                <a:pt x="917829" y="0"/>
                              </a:lnTo>
                              <a:lnTo>
                                <a:pt x="911733" y="0"/>
                              </a:lnTo>
                              <a:lnTo>
                                <a:pt x="911733" y="6096"/>
                              </a:lnTo>
                              <a:lnTo>
                                <a:pt x="917829" y="6096"/>
                              </a:lnTo>
                              <a:lnTo>
                                <a:pt x="1667624" y="6096"/>
                              </a:lnTo>
                              <a:lnTo>
                                <a:pt x="1667624" y="0"/>
                              </a:lnTo>
                              <a:close/>
                            </a:path>
                            <a:path w="4986020" h="6350">
                              <a:moveTo>
                                <a:pt x="3765219" y="0"/>
                              </a:moveTo>
                              <a:lnTo>
                                <a:pt x="3009011" y="0"/>
                              </a:lnTo>
                              <a:lnTo>
                                <a:pt x="3002915" y="0"/>
                              </a:lnTo>
                              <a:lnTo>
                                <a:pt x="1673733" y="0"/>
                              </a:lnTo>
                              <a:lnTo>
                                <a:pt x="1667637" y="0"/>
                              </a:lnTo>
                              <a:lnTo>
                                <a:pt x="1667637" y="6096"/>
                              </a:lnTo>
                              <a:lnTo>
                                <a:pt x="1673733" y="6096"/>
                              </a:lnTo>
                              <a:lnTo>
                                <a:pt x="3002915" y="6096"/>
                              </a:lnTo>
                              <a:lnTo>
                                <a:pt x="3009011" y="6096"/>
                              </a:lnTo>
                              <a:lnTo>
                                <a:pt x="3765219" y="6096"/>
                              </a:lnTo>
                              <a:lnTo>
                                <a:pt x="3765219" y="0"/>
                              </a:lnTo>
                              <a:close/>
                            </a:path>
                            <a:path w="4986020" h="6350">
                              <a:moveTo>
                                <a:pt x="3771379" y="0"/>
                              </a:moveTo>
                              <a:lnTo>
                                <a:pt x="3765296" y="0"/>
                              </a:lnTo>
                              <a:lnTo>
                                <a:pt x="3765296" y="6096"/>
                              </a:lnTo>
                              <a:lnTo>
                                <a:pt x="3771379" y="6096"/>
                              </a:lnTo>
                              <a:lnTo>
                                <a:pt x="3771379" y="0"/>
                              </a:lnTo>
                              <a:close/>
                            </a:path>
                            <a:path w="4986020" h="6350">
                              <a:moveTo>
                                <a:pt x="4986020" y="0"/>
                              </a:moveTo>
                              <a:lnTo>
                                <a:pt x="3771392" y="0"/>
                              </a:lnTo>
                              <a:lnTo>
                                <a:pt x="3771392" y="6096"/>
                              </a:lnTo>
                              <a:lnTo>
                                <a:pt x="4986020" y="6096"/>
                              </a:lnTo>
                              <a:lnTo>
                                <a:pt x="49860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20.620003pt;margin-top:25.839033pt;width:392.6pt;height:.5pt;mso-position-horizontal-relative:page;mso-position-vertical-relative:paragraph;z-index:15741952" id="docshape61" coordorigin="2412,517" coordsize="7852,10" path="m3848,517l2412,517,2412,526,3848,526,3848,517xm5039,517l3858,517,3848,517,3848,526,3858,526,5039,526,5039,517xm8342,517l7151,517,7141,517,5048,517,5039,517,5039,526,5048,526,7141,526,7151,526,8342,526,8342,517xm8352,517l8342,517,8342,526,8352,526,8352,517xm10264,517l8352,517,8352,526,10264,526,10264,517xe" filled="true" fillcolor="#000000" stroked="false">
                <v:path arrowok="t"/>
                <v:fill type="solid"/>
                <w10:wrap type="none"/>
              </v:shape>
            </w:pict>
          </mc:Fallback>
        </mc:AlternateContent>
      </w:r>
      <w:r>
        <w:rPr>
          <w:spacing w:val="-2"/>
        </w:rPr>
        <w:t>Dirección Seccional</w:t>
      </w:r>
    </w:p>
    <w:p>
      <w:pPr>
        <w:spacing w:before="10"/>
        <w:ind w:left="559" w:right="0" w:hanging="250"/>
        <w:jc w:val="left"/>
        <w:rPr>
          <w:rFonts w:ascii="Arial"/>
          <w:b/>
          <w:sz w:val="22"/>
        </w:rPr>
      </w:pPr>
      <w:r>
        <w:rPr/>
        <w:br w:type="column"/>
      </w:r>
      <w:r>
        <w:rPr>
          <w:rFonts w:ascii="Arial"/>
          <w:b/>
          <w:spacing w:val="-2"/>
          <w:sz w:val="22"/>
        </w:rPr>
        <w:t>Frontera </w:t>
      </w:r>
      <w:r>
        <w:rPr>
          <w:rFonts w:ascii="Arial"/>
          <w:b/>
          <w:spacing w:val="-4"/>
          <w:sz w:val="22"/>
        </w:rPr>
        <w:t>con</w:t>
      </w:r>
    </w:p>
    <w:p>
      <w:pPr>
        <w:spacing w:line="244" w:lineRule="auto" w:before="10"/>
        <w:ind w:left="634" w:right="0" w:hanging="2"/>
        <w:jc w:val="center"/>
        <w:rPr>
          <w:sz w:val="20"/>
        </w:rPr>
      </w:pPr>
      <w:r>
        <w:rPr/>
        <w:br w:type="column"/>
      </w:r>
      <w:r>
        <w:rPr>
          <w:rFonts w:ascii="Arial" w:hAnsi="Arial"/>
          <w:b/>
          <w:spacing w:val="-2"/>
          <w:sz w:val="22"/>
        </w:rPr>
        <w:t>Nombre/ Ubicación </w:t>
      </w:r>
      <w:r>
        <w:rPr>
          <w:spacing w:val="-2"/>
          <w:sz w:val="20"/>
        </w:rPr>
        <w:t>CEBAF</w:t>
      </w:r>
    </w:p>
    <w:p>
      <w:pPr>
        <w:pStyle w:val="Heading6"/>
        <w:spacing w:before="10"/>
        <w:ind w:left="667" w:firstLine="24"/>
      </w:pPr>
      <w:r>
        <w:rPr>
          <w:b w:val="0"/>
        </w:rPr>
        <w:br w:type="column"/>
      </w:r>
      <w:r>
        <w:rPr/>
        <w:t>Tipo</w:t>
      </w:r>
      <w:r>
        <w:rPr>
          <w:spacing w:val="-14"/>
        </w:rPr>
        <w:t> </w:t>
      </w:r>
      <w:r>
        <w:rPr/>
        <w:t>de </w:t>
      </w:r>
      <w:r>
        <w:rPr>
          <w:spacing w:val="-2"/>
        </w:rPr>
        <w:t>frontera</w:t>
      </w:r>
    </w:p>
    <w:p>
      <w:pPr>
        <w:spacing w:before="135"/>
        <w:ind w:left="3" w:right="1208" w:firstLine="0"/>
        <w:jc w:val="center"/>
        <w:rPr>
          <w:rFonts w:ascii="Arial" w:hAnsi="Arial"/>
          <w:b/>
          <w:sz w:val="22"/>
        </w:rPr>
      </w:pPr>
      <w:r>
        <w:rPr/>
        <w:br w:type="column"/>
      </w:r>
      <w:r>
        <w:rPr>
          <w:rFonts w:ascii="Arial" w:hAnsi="Arial"/>
          <w:b/>
          <w:spacing w:val="-2"/>
          <w:sz w:val="22"/>
        </w:rPr>
        <w:t>Atención</w:t>
      </w:r>
    </w:p>
    <w:p>
      <w:pPr>
        <w:spacing w:before="138"/>
        <w:ind w:left="0" w:right="1208" w:firstLine="0"/>
        <w:jc w:val="center"/>
        <w:rPr>
          <w:sz w:val="20"/>
        </w:rPr>
      </w:pPr>
      <w:r>
        <w:rPr>
          <w:sz w:val="20"/>
        </w:rPr>
        <w:t>Lun</w:t>
      </w:r>
      <w:r>
        <w:rPr>
          <w:spacing w:val="-3"/>
          <w:sz w:val="20"/>
        </w:rPr>
        <w:t> </w:t>
      </w:r>
      <w:r>
        <w:rPr>
          <w:sz w:val="20"/>
        </w:rPr>
        <w:t>a</w:t>
      </w:r>
      <w:r>
        <w:rPr>
          <w:spacing w:val="-3"/>
          <w:sz w:val="20"/>
        </w:rPr>
        <w:t> </w:t>
      </w:r>
      <w:r>
        <w:rPr>
          <w:sz w:val="20"/>
        </w:rPr>
        <w:t>Dom</w:t>
      </w:r>
      <w:r>
        <w:rPr>
          <w:spacing w:val="-4"/>
          <w:sz w:val="20"/>
        </w:rPr>
        <w:t> </w:t>
      </w:r>
      <w:r>
        <w:rPr>
          <w:sz w:val="20"/>
        </w:rPr>
        <w:t>de</w:t>
      </w:r>
      <w:r>
        <w:rPr>
          <w:spacing w:val="-4"/>
          <w:sz w:val="20"/>
        </w:rPr>
        <w:t> 8:00</w:t>
      </w:r>
    </w:p>
    <w:p>
      <w:pPr>
        <w:spacing w:after="0"/>
        <w:jc w:val="center"/>
        <w:rPr>
          <w:sz w:val="20"/>
        </w:rPr>
        <w:sectPr>
          <w:type w:val="continuous"/>
          <w:pgSz w:w="11900" w:h="16850"/>
          <w:pgMar w:header="370" w:footer="597" w:top="380" w:bottom="280" w:left="992" w:right="283"/>
          <w:cols w:num="5" w:equalWidth="0">
            <w:col w:w="2653" w:space="40"/>
            <w:col w:w="1205" w:space="39"/>
            <w:col w:w="1689" w:space="40"/>
            <w:col w:w="1500" w:space="40"/>
            <w:col w:w="3419"/>
          </w:cols>
        </w:sectPr>
      </w:pPr>
    </w:p>
    <w:p>
      <w:pPr>
        <w:tabs>
          <w:tab w:pos="3076" w:val="left" w:leader="none"/>
        </w:tabs>
        <w:spacing w:before="108"/>
        <w:ind w:left="1619" w:right="0" w:firstLine="0"/>
        <w:jc w:val="left"/>
        <w:rPr>
          <w:sz w:val="20"/>
        </w:rPr>
      </w:pPr>
      <w:r>
        <w:rPr>
          <w:sz w:val="20"/>
        </w:rPr>
        <w:t>Puerto</w:t>
      </w:r>
      <w:r>
        <w:rPr>
          <w:spacing w:val="-8"/>
          <w:sz w:val="20"/>
        </w:rPr>
        <w:t> </w:t>
      </w:r>
      <w:r>
        <w:rPr>
          <w:spacing w:val="-4"/>
          <w:sz w:val="20"/>
        </w:rPr>
        <w:t>Asís</w:t>
      </w:r>
      <w:r>
        <w:rPr>
          <w:sz w:val="20"/>
        </w:rPr>
        <w:tab/>
      </w:r>
      <w:r>
        <w:rPr>
          <w:spacing w:val="-2"/>
          <w:sz w:val="20"/>
        </w:rPr>
        <w:t>Ecuador</w:t>
      </w:r>
    </w:p>
    <w:p>
      <w:pPr>
        <w:spacing w:line="240" w:lineRule="auto" w:before="0"/>
        <w:ind w:left="599" w:right="0" w:hanging="3"/>
        <w:jc w:val="center"/>
        <w:rPr>
          <w:sz w:val="20"/>
        </w:rPr>
      </w:pPr>
      <w:r>
        <w:rPr/>
        <w:br w:type="column"/>
      </w:r>
      <w:r>
        <w:rPr>
          <w:sz w:val="20"/>
        </w:rPr>
        <w:t>San Miguel - </w:t>
      </w:r>
      <w:r>
        <w:rPr>
          <w:spacing w:val="-2"/>
          <w:sz w:val="20"/>
        </w:rPr>
        <w:t>Sucumbíos (Ecuador) </w:t>
      </w:r>
      <w:r>
        <w:rPr>
          <w:sz w:val="20"/>
        </w:rPr>
        <w:t>Puesto</w:t>
      </w:r>
      <w:r>
        <w:rPr>
          <w:spacing w:val="-14"/>
          <w:sz w:val="20"/>
        </w:rPr>
        <w:t> </w:t>
      </w:r>
      <w:r>
        <w:rPr>
          <w:sz w:val="20"/>
        </w:rPr>
        <w:t>control</w:t>
      </w:r>
    </w:p>
    <w:p>
      <w:pPr>
        <w:spacing w:before="108"/>
        <w:ind w:left="567" w:right="0" w:firstLine="0"/>
        <w:jc w:val="left"/>
        <w:rPr>
          <w:sz w:val="20"/>
        </w:rPr>
      </w:pPr>
      <w:r>
        <w:rPr/>
        <w:br w:type="column"/>
      </w:r>
      <w:r>
        <w:rPr>
          <w:spacing w:val="-2"/>
          <w:sz w:val="20"/>
        </w:rPr>
        <w:t>Terrestre</w:t>
      </w:r>
    </w:p>
    <w:p>
      <w:pPr>
        <w:spacing w:line="240" w:lineRule="auto" w:before="0"/>
        <w:ind w:left="477" w:right="1322" w:hanging="195"/>
        <w:jc w:val="left"/>
        <w:rPr>
          <w:sz w:val="20"/>
        </w:rPr>
      </w:pPr>
      <w:r>
        <w:rPr/>
        <w:br w:type="column"/>
      </w:r>
      <w:r>
        <w:rPr>
          <w:sz w:val="20"/>
        </w:rPr>
        <w:t>a.m.</w:t>
      </w:r>
      <w:r>
        <w:rPr>
          <w:spacing w:val="-11"/>
          <w:sz w:val="20"/>
        </w:rPr>
        <w:t> </w:t>
      </w:r>
      <w:r>
        <w:rPr>
          <w:sz w:val="20"/>
        </w:rPr>
        <w:t>-</w:t>
      </w:r>
      <w:r>
        <w:rPr>
          <w:spacing w:val="-10"/>
          <w:sz w:val="20"/>
        </w:rPr>
        <w:t> </w:t>
      </w:r>
      <w:r>
        <w:rPr>
          <w:sz w:val="20"/>
        </w:rPr>
        <w:t>12:00</w:t>
      </w:r>
      <w:r>
        <w:rPr>
          <w:spacing w:val="-11"/>
          <w:sz w:val="20"/>
        </w:rPr>
        <w:t> </w:t>
      </w:r>
      <w:r>
        <w:rPr>
          <w:sz w:val="20"/>
        </w:rPr>
        <w:t>p.m.</w:t>
      </w:r>
      <w:r>
        <w:rPr>
          <w:spacing w:val="-11"/>
          <w:sz w:val="20"/>
        </w:rPr>
        <w:t> </w:t>
      </w:r>
      <w:r>
        <w:rPr>
          <w:sz w:val="20"/>
        </w:rPr>
        <w:t>y de 1:45 p.m. a</w:t>
      </w:r>
    </w:p>
    <w:p>
      <w:pPr>
        <w:spacing w:before="0"/>
        <w:ind w:left="700" w:right="0" w:firstLine="0"/>
        <w:jc w:val="left"/>
        <w:rPr>
          <w:sz w:val="20"/>
        </w:rPr>
      </w:pPr>
      <w:r>
        <w:rPr>
          <w:sz w:val="20"/>
        </w:rPr>
        <w:t>6:00</w:t>
      </w:r>
      <w:r>
        <w:rPr>
          <w:spacing w:val="-6"/>
          <w:sz w:val="20"/>
        </w:rPr>
        <w:t> </w:t>
      </w:r>
      <w:r>
        <w:rPr>
          <w:spacing w:val="-4"/>
          <w:sz w:val="20"/>
        </w:rPr>
        <w:t>p.m.</w:t>
      </w:r>
    </w:p>
    <w:p>
      <w:pPr>
        <w:spacing w:after="0"/>
        <w:jc w:val="left"/>
        <w:rPr>
          <w:sz w:val="20"/>
        </w:rPr>
        <w:sectPr>
          <w:type w:val="continuous"/>
          <w:pgSz w:w="11900" w:h="16850"/>
          <w:pgMar w:header="370" w:footer="597" w:top="380" w:bottom="280" w:left="992" w:right="283"/>
          <w:cols w:num="4" w:equalWidth="0">
            <w:col w:w="3821" w:space="40"/>
            <w:col w:w="1876" w:space="39"/>
            <w:col w:w="1379" w:space="39"/>
            <w:col w:w="3431"/>
          </w:cols>
        </w:sectPr>
      </w:pPr>
    </w:p>
    <w:p>
      <w:pPr>
        <w:tabs>
          <w:tab w:pos="3076" w:val="left" w:leader="none"/>
        </w:tabs>
        <w:spacing w:before="110"/>
        <w:ind w:left="1847" w:right="0" w:firstLine="0"/>
        <w:jc w:val="left"/>
        <w:rPr>
          <w:sz w:val="20"/>
        </w:rPr>
      </w:pPr>
      <w:r>
        <w:rPr>
          <w:spacing w:val="-2"/>
          <w:sz w:val="20"/>
        </w:rPr>
        <w:t>Ipiales</w:t>
      </w:r>
      <w:r>
        <w:rPr>
          <w:sz w:val="20"/>
        </w:rPr>
        <w:tab/>
      </w:r>
      <w:r>
        <w:rPr>
          <w:spacing w:val="-2"/>
          <w:sz w:val="20"/>
        </w:rPr>
        <w:t>Ecuador</w:t>
      </w:r>
    </w:p>
    <w:p>
      <w:pPr>
        <w:spacing w:line="240" w:lineRule="auto" w:before="0"/>
        <w:ind w:left="421" w:right="0" w:firstLine="0"/>
        <w:jc w:val="center"/>
        <w:rPr>
          <w:sz w:val="20"/>
        </w:rPr>
      </w:pPr>
      <w:r>
        <w:rPr/>
        <w:br w:type="column"/>
      </w:r>
      <w:r>
        <w:rPr>
          <w:sz w:val="20"/>
        </w:rPr>
        <w:t>aduanero</w:t>
      </w:r>
      <w:r>
        <w:rPr>
          <w:spacing w:val="-14"/>
          <w:sz w:val="20"/>
        </w:rPr>
        <w:t> </w:t>
      </w:r>
      <w:r>
        <w:rPr>
          <w:sz w:val="20"/>
        </w:rPr>
        <w:t>-</w:t>
      </w:r>
      <w:r>
        <w:rPr>
          <w:spacing w:val="-14"/>
          <w:sz w:val="20"/>
        </w:rPr>
        <w:t> </w:t>
      </w:r>
      <w:r>
        <w:rPr>
          <w:sz w:val="20"/>
        </w:rPr>
        <w:t>puente </w:t>
      </w:r>
      <w:r>
        <w:rPr>
          <w:spacing w:val="-2"/>
          <w:sz w:val="20"/>
        </w:rPr>
        <w:t>internacional Rumichaca</w:t>
      </w:r>
    </w:p>
    <w:p>
      <w:pPr>
        <w:tabs>
          <w:tab w:pos="2139" w:val="left" w:leader="none"/>
        </w:tabs>
        <w:spacing w:before="110"/>
        <w:ind w:left="389" w:right="0" w:firstLine="0"/>
        <w:jc w:val="left"/>
        <w:rPr>
          <w:sz w:val="20"/>
        </w:rPr>
      </w:pPr>
      <w:r>
        <w:rPr/>
        <w:br w:type="column"/>
      </w:r>
      <w:r>
        <w:rPr>
          <w:spacing w:val="-2"/>
          <w:sz w:val="20"/>
        </w:rPr>
        <w:t>Terrestre</w:t>
      </w:r>
      <w:r>
        <w:rPr>
          <w:sz w:val="20"/>
        </w:rPr>
        <w:tab/>
      </w:r>
      <w:r>
        <w:rPr>
          <w:spacing w:val="-4"/>
          <w:sz w:val="20"/>
        </w:rPr>
        <w:t>24x7</w:t>
      </w:r>
    </w:p>
    <w:p>
      <w:pPr>
        <w:spacing w:after="0"/>
        <w:jc w:val="left"/>
        <w:rPr>
          <w:sz w:val="20"/>
        </w:rPr>
        <w:sectPr>
          <w:type w:val="continuous"/>
          <w:pgSz w:w="11900" w:h="16850"/>
          <w:pgMar w:header="370" w:footer="597" w:top="380" w:bottom="280" w:left="992" w:right="283"/>
          <w:cols w:num="3" w:equalWidth="0">
            <w:col w:w="3821" w:space="40"/>
            <w:col w:w="2055" w:space="39"/>
            <w:col w:w="4670"/>
          </w:cols>
        </w:sectPr>
      </w:pPr>
    </w:p>
    <w:p>
      <w:pPr>
        <w:spacing w:line="20" w:lineRule="exact"/>
        <w:ind w:left="1406" w:right="0" w:firstLine="0"/>
        <w:rPr>
          <w:sz w:val="2"/>
        </w:rPr>
      </w:pPr>
      <w:r>
        <w:rPr>
          <w:sz w:val="2"/>
        </w:rPr>
        <mc:AlternateContent>
          <mc:Choice Requires="wps">
            <w:drawing>
              <wp:inline distT="0" distB="0" distL="0" distR="0">
                <wp:extent cx="4995545" cy="6350"/>
                <wp:effectExtent l="0" t="0" r="0" b="0"/>
                <wp:docPr id="99" name="Group 99"/>
                <wp:cNvGraphicFramePr>
                  <a:graphicFrameLocks/>
                </wp:cNvGraphicFramePr>
                <a:graphic>
                  <a:graphicData uri="http://schemas.microsoft.com/office/word/2010/wordprocessingGroup">
                    <wpg:wgp>
                      <wpg:cNvPr id="99" name="Group 99"/>
                      <wpg:cNvGrpSpPr/>
                      <wpg:grpSpPr>
                        <a:xfrm>
                          <a:off x="0" y="0"/>
                          <a:ext cx="4995545" cy="6350"/>
                          <a:chExt cx="4995545" cy="6350"/>
                        </a:xfrm>
                      </wpg:grpSpPr>
                      <wps:wsp>
                        <wps:cNvPr id="100" name="Graphic 100"/>
                        <wps:cNvSpPr/>
                        <wps:spPr>
                          <a:xfrm>
                            <a:off x="0" y="12"/>
                            <a:ext cx="4995545" cy="6350"/>
                          </a:xfrm>
                          <a:custGeom>
                            <a:avLst/>
                            <a:gdLst/>
                            <a:ahLst/>
                            <a:cxnLst/>
                            <a:rect l="l" t="t" r="r" b="b"/>
                            <a:pathLst>
                              <a:path w="4995545" h="6350">
                                <a:moveTo>
                                  <a:pt x="4995164" y="0"/>
                                </a:moveTo>
                                <a:lnTo>
                                  <a:pt x="4995164" y="0"/>
                                </a:lnTo>
                                <a:lnTo>
                                  <a:pt x="0" y="0"/>
                                </a:lnTo>
                                <a:lnTo>
                                  <a:pt x="0" y="6083"/>
                                </a:lnTo>
                                <a:lnTo>
                                  <a:pt x="4995164" y="6083"/>
                                </a:lnTo>
                                <a:lnTo>
                                  <a:pt x="499516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393.35pt;height:.5pt;mso-position-horizontal-relative:char;mso-position-vertical-relative:line" id="docshapegroup62" coordorigin="0,0" coordsize="7867,10">
                <v:rect style="position:absolute;left:0;top:0;width:7867;height:10" id="docshape63" filled="true" fillcolor="#000000" stroked="false">
                  <v:fill type="solid"/>
                </v:rect>
              </v:group>
            </w:pict>
          </mc:Fallback>
        </mc:AlternateContent>
      </w:r>
      <w:r>
        <w:rPr>
          <w:sz w:val="2"/>
        </w:rPr>
      </w:r>
    </w:p>
    <w:p>
      <w:pPr>
        <w:spacing w:line="242" w:lineRule="auto" w:before="0"/>
        <w:ind w:left="1420" w:right="2021" w:firstLine="0"/>
        <w:jc w:val="left"/>
        <w:rPr>
          <w:sz w:val="18"/>
        </w:rPr>
      </w:pPr>
      <w:r>
        <w:rPr>
          <w:sz w:val="18"/>
        </w:rPr>
        <w:t>Fuente:</w:t>
      </w:r>
      <w:r>
        <w:rPr>
          <w:spacing w:val="-12"/>
          <w:sz w:val="18"/>
        </w:rPr>
        <w:t> </w:t>
      </w:r>
      <w:r>
        <w:rPr>
          <w:sz w:val="18"/>
        </w:rPr>
        <w:t>DIAN.</w:t>
      </w:r>
      <w:r>
        <w:rPr>
          <w:spacing w:val="-12"/>
          <w:sz w:val="18"/>
        </w:rPr>
        <w:t> </w:t>
      </w:r>
      <w:r>
        <w:rPr>
          <w:sz w:val="18"/>
        </w:rPr>
        <w:t>Véase</w:t>
      </w:r>
      <w:r>
        <w:rPr>
          <w:spacing w:val="-13"/>
          <w:sz w:val="18"/>
        </w:rPr>
        <w:t> </w:t>
      </w:r>
      <w:hyperlink r:id="rId24">
        <w:r>
          <w:rPr>
            <w:sz w:val="18"/>
          </w:rPr>
          <w:t>https://www.dian.gov.co/aduanas/Paginas/Pasos-de-Frontera.aspx</w:t>
        </w:r>
      </w:hyperlink>
      <w:r>
        <w:rPr>
          <w:sz w:val="18"/>
        </w:rPr>
        <w:t> Elaboración: SGCAN</w:t>
      </w:r>
    </w:p>
    <w:p>
      <w:pPr>
        <w:pStyle w:val="BodyText"/>
        <w:rPr>
          <w:sz w:val="15"/>
        </w:rPr>
      </w:pPr>
      <w:r>
        <w:rPr>
          <w:sz w:val="15"/>
        </w:rPr>
        <mc:AlternateContent>
          <mc:Choice Requires="wps">
            <w:drawing>
              <wp:anchor distT="0" distB="0" distL="0" distR="0" allowOverlap="1" layoutInCell="1" locked="0" behindDoc="1" simplePos="0" relativeHeight="487599616">
                <wp:simplePos x="0" y="0"/>
                <wp:positionH relativeFrom="page">
                  <wp:posOffset>990904</wp:posOffset>
                </wp:positionH>
                <wp:positionV relativeFrom="paragraph">
                  <wp:posOffset>125321</wp:posOffset>
                </wp:positionV>
                <wp:extent cx="1829435" cy="7620"/>
                <wp:effectExtent l="0" t="0" r="0" b="0"/>
                <wp:wrapTopAndBottom/>
                <wp:docPr id="101" name="Graphic 101"/>
                <wp:cNvGraphicFramePr>
                  <a:graphicFrameLocks/>
                </wp:cNvGraphicFramePr>
                <a:graphic>
                  <a:graphicData uri="http://schemas.microsoft.com/office/word/2010/wordprocessingShape">
                    <wps:wsp>
                      <wps:cNvPr id="101" name="Graphic 101"/>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9.867862pt;width:144.020pt;height:.599980pt;mso-position-horizontal-relative:page;mso-position-vertical-relative:paragraph;z-index:-15716864;mso-wrap-distance-left:0;mso-wrap-distance-right:0" id="docshape64" filled="true" fillcolor="#000000" stroked="false">
                <v:fill type="solid"/>
                <w10:wrap type="topAndBottom"/>
              </v:rect>
            </w:pict>
          </mc:Fallback>
        </mc:AlternateContent>
      </w:r>
    </w:p>
    <w:p>
      <w:pPr>
        <w:spacing w:line="210" w:lineRule="exact" w:before="86"/>
        <w:ind w:left="568" w:right="0" w:firstLine="0"/>
        <w:jc w:val="left"/>
        <w:rPr>
          <w:sz w:val="18"/>
        </w:rPr>
      </w:pPr>
      <w:bookmarkStart w:name="_bookmark27" w:id="28"/>
      <w:bookmarkEnd w:id="28"/>
      <w:r>
        <w:rPr/>
      </w:r>
      <w:r>
        <w:rPr>
          <w:position w:val="6"/>
          <w:sz w:val="12"/>
        </w:rPr>
        <w:t>28</w:t>
      </w:r>
      <w:r>
        <w:rPr>
          <w:spacing w:val="14"/>
          <w:position w:val="6"/>
          <w:sz w:val="12"/>
        </w:rPr>
        <w:t> </w:t>
      </w:r>
      <w:r>
        <w:rPr>
          <w:sz w:val="18"/>
        </w:rPr>
        <w:t>Véase</w:t>
      </w:r>
      <w:r>
        <w:rPr>
          <w:spacing w:val="-3"/>
          <w:sz w:val="18"/>
        </w:rPr>
        <w:t> </w:t>
      </w:r>
      <w:r>
        <w:rPr>
          <w:sz w:val="18"/>
        </w:rPr>
        <w:t>folio</w:t>
      </w:r>
      <w:r>
        <w:rPr>
          <w:spacing w:val="-2"/>
          <w:sz w:val="18"/>
        </w:rPr>
        <w:t> </w:t>
      </w:r>
      <w:r>
        <w:rPr>
          <w:sz w:val="18"/>
        </w:rPr>
        <w:t>17</w:t>
      </w:r>
      <w:r>
        <w:rPr>
          <w:spacing w:val="-2"/>
          <w:sz w:val="18"/>
        </w:rPr>
        <w:t> </w:t>
      </w:r>
      <w:r>
        <w:rPr>
          <w:sz w:val="18"/>
        </w:rPr>
        <w:t>del</w:t>
      </w:r>
      <w:r>
        <w:rPr>
          <w:spacing w:val="-2"/>
          <w:sz w:val="18"/>
        </w:rPr>
        <w:t> </w:t>
      </w:r>
      <w:r>
        <w:rPr>
          <w:sz w:val="18"/>
        </w:rPr>
        <w:t>expediente</w:t>
      </w:r>
      <w:r>
        <w:rPr>
          <w:spacing w:val="-1"/>
          <w:sz w:val="18"/>
        </w:rPr>
        <w:t> </w:t>
      </w:r>
      <w:r>
        <w:rPr>
          <w:spacing w:val="-2"/>
          <w:sz w:val="18"/>
        </w:rPr>
        <w:t>DGCOM/REST/001/2026.</w:t>
      </w:r>
    </w:p>
    <w:p>
      <w:pPr>
        <w:spacing w:line="210" w:lineRule="exact" w:before="0"/>
        <w:ind w:left="568" w:right="0" w:firstLine="0"/>
        <w:jc w:val="left"/>
        <w:rPr>
          <w:sz w:val="18"/>
        </w:rPr>
      </w:pPr>
      <w:bookmarkStart w:name="_bookmark28" w:id="29"/>
      <w:bookmarkEnd w:id="29"/>
      <w:r>
        <w:rPr/>
      </w:r>
      <w:r>
        <w:rPr>
          <w:position w:val="6"/>
          <w:sz w:val="12"/>
        </w:rPr>
        <w:t>29</w:t>
      </w:r>
      <w:r>
        <w:rPr>
          <w:spacing w:val="15"/>
          <w:position w:val="6"/>
          <w:sz w:val="12"/>
        </w:rPr>
        <w:t> </w:t>
      </w:r>
      <w:r>
        <w:rPr>
          <w:sz w:val="18"/>
        </w:rPr>
        <w:t>Véase</w:t>
      </w:r>
      <w:r>
        <w:rPr>
          <w:spacing w:val="-3"/>
          <w:sz w:val="18"/>
        </w:rPr>
        <w:t> </w:t>
      </w:r>
      <w:r>
        <w:rPr>
          <w:sz w:val="18"/>
        </w:rPr>
        <w:t>folio</w:t>
      </w:r>
      <w:r>
        <w:rPr>
          <w:spacing w:val="-2"/>
          <w:sz w:val="18"/>
        </w:rPr>
        <w:t> </w:t>
      </w:r>
      <w:r>
        <w:rPr>
          <w:sz w:val="18"/>
        </w:rPr>
        <w:t>529</w:t>
      </w:r>
      <w:r>
        <w:rPr>
          <w:spacing w:val="-3"/>
          <w:sz w:val="18"/>
        </w:rPr>
        <w:t> </w:t>
      </w:r>
      <w:r>
        <w:rPr>
          <w:sz w:val="18"/>
        </w:rPr>
        <w:t>del</w:t>
      </w:r>
      <w:r>
        <w:rPr>
          <w:spacing w:val="-4"/>
          <w:sz w:val="18"/>
        </w:rPr>
        <w:t> </w:t>
      </w:r>
      <w:r>
        <w:rPr>
          <w:sz w:val="18"/>
        </w:rPr>
        <w:t>expediente</w:t>
      </w:r>
      <w:r>
        <w:rPr>
          <w:spacing w:val="3"/>
          <w:sz w:val="18"/>
        </w:rPr>
        <w:t> </w:t>
      </w:r>
      <w:r>
        <w:rPr>
          <w:spacing w:val="-2"/>
          <w:sz w:val="18"/>
        </w:rPr>
        <w:t>DGCOM/REST/001/2026.</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102" name="Group 102"/>
                <wp:cNvGraphicFramePr>
                  <a:graphicFrameLocks/>
                </wp:cNvGraphicFramePr>
                <a:graphic>
                  <a:graphicData uri="http://schemas.microsoft.com/office/word/2010/wordprocessingGroup">
                    <wpg:wgp>
                      <wpg:cNvPr id="102" name="Group 102"/>
                      <wpg:cNvGrpSpPr/>
                      <wpg:grpSpPr>
                        <a:xfrm>
                          <a:off x="0" y="0"/>
                          <a:ext cx="6131560" cy="9525"/>
                          <a:chExt cx="6131560" cy="9525"/>
                        </a:xfrm>
                      </wpg:grpSpPr>
                      <wps:wsp>
                        <wps:cNvPr id="103" name="Graphic 103"/>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65"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type w:val="continuous"/>
          <w:pgSz w:w="11900" w:h="16850"/>
          <w:pgMar w:header="370" w:footer="597" w:top="380" w:bottom="280" w:left="992" w:right="283"/>
        </w:sectPr>
      </w:pPr>
    </w:p>
    <w:p>
      <w:pPr>
        <w:pStyle w:val="BodyText"/>
      </w:pPr>
    </w:p>
    <w:p>
      <w:pPr>
        <w:pStyle w:val="BodyText"/>
        <w:spacing w:before="177"/>
      </w:pPr>
    </w:p>
    <w:p>
      <w:pPr>
        <w:pStyle w:val="ListParagraph"/>
        <w:numPr>
          <w:ilvl w:val="0"/>
          <w:numId w:val="2"/>
        </w:numPr>
        <w:tabs>
          <w:tab w:pos="1420" w:val="left" w:leader="none"/>
        </w:tabs>
        <w:spacing w:line="240" w:lineRule="auto" w:before="1" w:after="0"/>
        <w:ind w:left="1420" w:right="974" w:hanging="852"/>
        <w:jc w:val="both"/>
        <w:rPr>
          <w:sz w:val="22"/>
        </w:rPr>
      </w:pPr>
      <w:r>
        <w:rPr>
          <w:sz w:val="22"/>
        </w:rPr>
        <w:t>De</w:t>
      </w:r>
      <w:r>
        <w:rPr>
          <w:spacing w:val="-5"/>
          <w:sz w:val="22"/>
        </w:rPr>
        <w:t> </w:t>
      </w:r>
      <w:r>
        <w:rPr>
          <w:sz w:val="22"/>
        </w:rPr>
        <w:t>la</w:t>
      </w:r>
      <w:r>
        <w:rPr>
          <w:spacing w:val="-5"/>
          <w:sz w:val="22"/>
        </w:rPr>
        <w:t> </w:t>
      </w:r>
      <w:r>
        <w:rPr>
          <w:sz w:val="22"/>
        </w:rPr>
        <w:t>Tabla</w:t>
      </w:r>
      <w:r>
        <w:rPr>
          <w:spacing w:val="-7"/>
          <w:sz w:val="22"/>
        </w:rPr>
        <w:t> </w:t>
      </w:r>
      <w:r>
        <w:rPr>
          <w:sz w:val="22"/>
        </w:rPr>
        <w:t>N.°1</w:t>
      </w:r>
      <w:r>
        <w:rPr>
          <w:spacing w:val="-7"/>
          <w:sz w:val="22"/>
        </w:rPr>
        <w:t> </w:t>
      </w:r>
      <w:r>
        <w:rPr>
          <w:sz w:val="22"/>
        </w:rPr>
        <w:t>se</w:t>
      </w:r>
      <w:r>
        <w:rPr>
          <w:spacing w:val="-7"/>
          <w:sz w:val="22"/>
        </w:rPr>
        <w:t> </w:t>
      </w:r>
      <w:r>
        <w:rPr>
          <w:sz w:val="22"/>
        </w:rPr>
        <w:t>verifica</w:t>
      </w:r>
      <w:r>
        <w:rPr>
          <w:spacing w:val="-5"/>
          <w:sz w:val="22"/>
        </w:rPr>
        <w:t> </w:t>
      </w:r>
      <w:r>
        <w:rPr>
          <w:sz w:val="22"/>
        </w:rPr>
        <w:t>que</w:t>
      </w:r>
      <w:r>
        <w:rPr>
          <w:spacing w:val="-7"/>
          <w:sz w:val="22"/>
        </w:rPr>
        <w:t> </w:t>
      </w:r>
      <w:r>
        <w:rPr>
          <w:sz w:val="22"/>
        </w:rPr>
        <w:t>existen</w:t>
      </w:r>
      <w:r>
        <w:rPr>
          <w:spacing w:val="-8"/>
          <w:sz w:val="22"/>
        </w:rPr>
        <w:t> </w:t>
      </w:r>
      <w:r>
        <w:rPr>
          <w:sz w:val="22"/>
        </w:rPr>
        <w:t>dos</w:t>
      </w:r>
      <w:r>
        <w:rPr>
          <w:spacing w:val="-7"/>
          <w:sz w:val="22"/>
        </w:rPr>
        <w:t> </w:t>
      </w:r>
      <w:r>
        <w:rPr>
          <w:sz w:val="22"/>
        </w:rPr>
        <w:t>(2)</w:t>
      </w:r>
      <w:r>
        <w:rPr>
          <w:spacing w:val="-6"/>
          <w:sz w:val="22"/>
        </w:rPr>
        <w:t> </w:t>
      </w:r>
      <w:r>
        <w:rPr>
          <w:sz w:val="22"/>
        </w:rPr>
        <w:t>pasos</w:t>
      </w:r>
      <w:r>
        <w:rPr>
          <w:spacing w:val="-7"/>
          <w:sz w:val="22"/>
        </w:rPr>
        <w:t> </w:t>
      </w:r>
      <w:r>
        <w:rPr>
          <w:sz w:val="22"/>
        </w:rPr>
        <w:t>fronterizos</w:t>
      </w:r>
      <w:r>
        <w:rPr>
          <w:spacing w:val="-5"/>
          <w:sz w:val="22"/>
        </w:rPr>
        <w:t> </w:t>
      </w:r>
      <w:r>
        <w:rPr>
          <w:sz w:val="22"/>
        </w:rPr>
        <w:t>autorizados</w:t>
      </w:r>
      <w:r>
        <w:rPr>
          <w:spacing w:val="-5"/>
          <w:sz w:val="22"/>
        </w:rPr>
        <w:t> </w:t>
      </w:r>
      <w:r>
        <w:rPr>
          <w:sz w:val="22"/>
        </w:rPr>
        <w:t>para</w:t>
      </w:r>
      <w:r>
        <w:rPr>
          <w:spacing w:val="-7"/>
          <w:sz w:val="22"/>
        </w:rPr>
        <w:t> </w:t>
      </w:r>
      <w:r>
        <w:rPr>
          <w:sz w:val="22"/>
        </w:rPr>
        <w:t>el comercio, el</w:t>
      </w:r>
      <w:r>
        <w:rPr>
          <w:spacing w:val="-1"/>
          <w:sz w:val="22"/>
        </w:rPr>
        <w:t> </w:t>
      </w:r>
      <w:r>
        <w:rPr>
          <w:sz w:val="22"/>
        </w:rPr>
        <w:t>Centro</w:t>
      </w:r>
      <w:r>
        <w:rPr>
          <w:spacing w:val="-2"/>
          <w:sz w:val="22"/>
        </w:rPr>
        <w:t> </w:t>
      </w:r>
      <w:r>
        <w:rPr>
          <w:sz w:val="22"/>
        </w:rPr>
        <w:t>Binacional</w:t>
      </w:r>
      <w:r>
        <w:rPr>
          <w:spacing w:val="-1"/>
          <w:sz w:val="22"/>
        </w:rPr>
        <w:t> </w:t>
      </w:r>
      <w:r>
        <w:rPr>
          <w:sz w:val="22"/>
        </w:rPr>
        <w:t>de Atención en</w:t>
      </w:r>
      <w:r>
        <w:rPr>
          <w:spacing w:val="-2"/>
          <w:sz w:val="22"/>
        </w:rPr>
        <w:t> </w:t>
      </w:r>
      <w:r>
        <w:rPr>
          <w:sz w:val="22"/>
        </w:rPr>
        <w:t>Frontera</w:t>
      </w:r>
      <w:r>
        <w:rPr>
          <w:spacing w:val="-1"/>
          <w:sz w:val="22"/>
        </w:rPr>
        <w:t> </w:t>
      </w:r>
      <w:r>
        <w:rPr>
          <w:sz w:val="22"/>
        </w:rPr>
        <w:t>CEBAF San Miguel, situado en</w:t>
      </w:r>
      <w:r>
        <w:rPr>
          <w:spacing w:val="-1"/>
          <w:sz w:val="22"/>
        </w:rPr>
        <w:t> </w:t>
      </w:r>
      <w:r>
        <w:rPr>
          <w:sz w:val="22"/>
        </w:rPr>
        <w:t>la provincia de</w:t>
      </w:r>
      <w:r>
        <w:rPr>
          <w:spacing w:val="-3"/>
          <w:sz w:val="22"/>
        </w:rPr>
        <w:t> </w:t>
      </w:r>
      <w:r>
        <w:rPr>
          <w:sz w:val="22"/>
        </w:rPr>
        <w:t>Sucumbíos,</w:t>
      </w:r>
      <w:r>
        <w:rPr>
          <w:spacing w:val="-1"/>
          <w:sz w:val="22"/>
        </w:rPr>
        <w:t> </w:t>
      </w:r>
      <w:r>
        <w:rPr>
          <w:sz w:val="22"/>
        </w:rPr>
        <w:t>y</w:t>
      </w:r>
      <w:r>
        <w:rPr>
          <w:spacing w:val="-3"/>
          <w:sz w:val="22"/>
        </w:rPr>
        <w:t> </w:t>
      </w:r>
      <w:r>
        <w:rPr>
          <w:sz w:val="22"/>
        </w:rPr>
        <w:t>el puesto de</w:t>
      </w:r>
      <w:r>
        <w:rPr>
          <w:spacing w:val="-3"/>
          <w:sz w:val="22"/>
        </w:rPr>
        <w:t> </w:t>
      </w:r>
      <w:r>
        <w:rPr>
          <w:sz w:val="22"/>
        </w:rPr>
        <w:t>control</w:t>
      </w:r>
      <w:r>
        <w:rPr>
          <w:spacing w:val="-2"/>
          <w:sz w:val="22"/>
        </w:rPr>
        <w:t> </w:t>
      </w:r>
      <w:r>
        <w:rPr>
          <w:sz w:val="22"/>
        </w:rPr>
        <w:t>aduanero</w:t>
      </w:r>
      <w:r>
        <w:rPr>
          <w:spacing w:val="-3"/>
          <w:sz w:val="22"/>
        </w:rPr>
        <w:t> </w:t>
      </w:r>
      <w:r>
        <w:rPr>
          <w:sz w:val="22"/>
        </w:rPr>
        <w:t>ubicado en el puente internacional</w:t>
      </w:r>
      <w:r>
        <w:rPr>
          <w:spacing w:val="-4"/>
          <w:sz w:val="22"/>
        </w:rPr>
        <w:t> </w:t>
      </w:r>
      <w:r>
        <w:rPr>
          <w:sz w:val="22"/>
        </w:rPr>
        <w:t>Rumichaca,</w:t>
      </w:r>
      <w:r>
        <w:rPr>
          <w:spacing w:val="-1"/>
          <w:sz w:val="22"/>
        </w:rPr>
        <w:t> </w:t>
      </w:r>
      <w:r>
        <w:rPr>
          <w:sz w:val="22"/>
        </w:rPr>
        <w:t>de</w:t>
      </w:r>
      <w:r>
        <w:rPr>
          <w:spacing w:val="-5"/>
          <w:sz w:val="22"/>
        </w:rPr>
        <w:t> </w:t>
      </w:r>
      <w:r>
        <w:rPr>
          <w:sz w:val="22"/>
        </w:rPr>
        <w:t>la</w:t>
      </w:r>
      <w:r>
        <w:rPr>
          <w:spacing w:val="-5"/>
          <w:sz w:val="22"/>
        </w:rPr>
        <w:t> </w:t>
      </w:r>
      <w:r>
        <w:rPr>
          <w:sz w:val="22"/>
        </w:rPr>
        <w:t>ciudad</w:t>
      </w:r>
      <w:r>
        <w:rPr>
          <w:spacing w:val="-5"/>
          <w:sz w:val="22"/>
        </w:rPr>
        <w:t> </w:t>
      </w:r>
      <w:r>
        <w:rPr>
          <w:sz w:val="22"/>
        </w:rPr>
        <w:t>de</w:t>
      </w:r>
      <w:r>
        <w:rPr>
          <w:spacing w:val="-3"/>
          <w:sz w:val="22"/>
        </w:rPr>
        <w:t> </w:t>
      </w:r>
      <w:r>
        <w:rPr>
          <w:sz w:val="22"/>
        </w:rPr>
        <w:t>Tulcán,</w:t>
      </w:r>
      <w:r>
        <w:rPr>
          <w:spacing w:val="-6"/>
          <w:sz w:val="22"/>
        </w:rPr>
        <w:t> </w:t>
      </w:r>
      <w:r>
        <w:rPr>
          <w:sz w:val="22"/>
        </w:rPr>
        <w:t>ubicada</w:t>
      </w:r>
      <w:r>
        <w:rPr>
          <w:spacing w:val="-3"/>
          <w:sz w:val="22"/>
        </w:rPr>
        <w:t> </w:t>
      </w:r>
      <w:r>
        <w:rPr>
          <w:sz w:val="22"/>
        </w:rPr>
        <w:t>en</w:t>
      </w:r>
      <w:r>
        <w:rPr>
          <w:spacing w:val="-5"/>
          <w:sz w:val="22"/>
        </w:rPr>
        <w:t> </w:t>
      </w:r>
      <w:r>
        <w:rPr>
          <w:sz w:val="22"/>
        </w:rPr>
        <w:t>la</w:t>
      </w:r>
      <w:r>
        <w:rPr>
          <w:spacing w:val="-3"/>
          <w:sz w:val="22"/>
        </w:rPr>
        <w:t> </w:t>
      </w:r>
      <w:r>
        <w:rPr>
          <w:sz w:val="22"/>
        </w:rPr>
        <w:t>provincia</w:t>
      </w:r>
      <w:r>
        <w:rPr>
          <w:spacing w:val="-3"/>
          <w:sz w:val="22"/>
        </w:rPr>
        <w:t> </w:t>
      </w:r>
      <w:r>
        <w:rPr>
          <w:sz w:val="22"/>
        </w:rPr>
        <w:t>del</w:t>
      </w:r>
      <w:r>
        <w:rPr>
          <w:spacing w:val="-4"/>
          <w:sz w:val="22"/>
        </w:rPr>
        <w:t> </w:t>
      </w:r>
      <w:r>
        <w:rPr>
          <w:sz w:val="22"/>
        </w:rPr>
        <w:t>Carchi, República del Ecuador.</w:t>
      </w:r>
    </w:p>
    <w:p>
      <w:pPr>
        <w:pStyle w:val="BodyText"/>
        <w:spacing w:before="15"/>
      </w:pPr>
    </w:p>
    <w:p>
      <w:pPr>
        <w:pStyle w:val="ListParagraph"/>
        <w:numPr>
          <w:ilvl w:val="0"/>
          <w:numId w:val="2"/>
        </w:numPr>
        <w:tabs>
          <w:tab w:pos="1420" w:val="left" w:leader="none"/>
        </w:tabs>
        <w:spacing w:line="240" w:lineRule="auto" w:before="0" w:after="0"/>
        <w:ind w:left="1420" w:right="979" w:hanging="852"/>
        <w:jc w:val="both"/>
        <w:rPr>
          <w:sz w:val="22"/>
        </w:rPr>
      </w:pPr>
      <w:r>
        <w:rPr>
          <w:sz w:val="22"/>
        </w:rPr>
        <w:t>En</w:t>
      </w:r>
      <w:r>
        <w:rPr>
          <w:spacing w:val="-16"/>
          <w:sz w:val="22"/>
        </w:rPr>
        <w:t> </w:t>
      </w:r>
      <w:r>
        <w:rPr>
          <w:sz w:val="22"/>
        </w:rPr>
        <w:t>consecuencia,</w:t>
      </w:r>
      <w:r>
        <w:rPr>
          <w:spacing w:val="-15"/>
          <w:sz w:val="22"/>
        </w:rPr>
        <w:t> </w:t>
      </w:r>
      <w:r>
        <w:rPr>
          <w:sz w:val="22"/>
        </w:rPr>
        <w:t>corresponde</w:t>
      </w:r>
      <w:r>
        <w:rPr>
          <w:spacing w:val="-15"/>
          <w:sz w:val="22"/>
        </w:rPr>
        <w:t> </w:t>
      </w:r>
      <w:r>
        <w:rPr>
          <w:sz w:val="22"/>
        </w:rPr>
        <w:t>analizar</w:t>
      </w:r>
      <w:r>
        <w:rPr>
          <w:spacing w:val="-16"/>
          <w:sz w:val="22"/>
        </w:rPr>
        <w:t> </w:t>
      </w:r>
      <w:r>
        <w:rPr>
          <w:sz w:val="22"/>
        </w:rPr>
        <w:t>cuál</w:t>
      </w:r>
      <w:r>
        <w:rPr>
          <w:spacing w:val="-15"/>
          <w:sz w:val="22"/>
        </w:rPr>
        <w:t> </w:t>
      </w:r>
      <w:r>
        <w:rPr>
          <w:sz w:val="22"/>
        </w:rPr>
        <w:t>es</w:t>
      </w:r>
      <w:r>
        <w:rPr>
          <w:spacing w:val="-15"/>
          <w:sz w:val="22"/>
        </w:rPr>
        <w:t> </w:t>
      </w:r>
      <w:r>
        <w:rPr>
          <w:sz w:val="22"/>
        </w:rPr>
        <w:t>el</w:t>
      </w:r>
      <w:r>
        <w:rPr>
          <w:spacing w:val="-15"/>
          <w:sz w:val="22"/>
        </w:rPr>
        <w:t> </w:t>
      </w:r>
      <w:r>
        <w:rPr>
          <w:sz w:val="22"/>
        </w:rPr>
        <w:t>volumen</w:t>
      </w:r>
      <w:r>
        <w:rPr>
          <w:spacing w:val="-15"/>
          <w:sz w:val="22"/>
        </w:rPr>
        <w:t> </w:t>
      </w:r>
      <w:r>
        <w:rPr>
          <w:sz w:val="22"/>
        </w:rPr>
        <w:t>de</w:t>
      </w:r>
      <w:r>
        <w:rPr>
          <w:spacing w:val="-16"/>
          <w:sz w:val="22"/>
        </w:rPr>
        <w:t> </w:t>
      </w:r>
      <w:r>
        <w:rPr>
          <w:sz w:val="22"/>
        </w:rPr>
        <w:t>entrada</w:t>
      </w:r>
      <w:r>
        <w:rPr>
          <w:spacing w:val="-14"/>
          <w:sz w:val="22"/>
        </w:rPr>
        <w:t> </w:t>
      </w:r>
      <w:r>
        <w:rPr>
          <w:sz w:val="22"/>
        </w:rPr>
        <w:t>de</w:t>
      </w:r>
      <w:r>
        <w:rPr>
          <w:spacing w:val="-16"/>
          <w:sz w:val="22"/>
        </w:rPr>
        <w:t> </w:t>
      </w:r>
      <w:r>
        <w:rPr>
          <w:sz w:val="22"/>
        </w:rPr>
        <w:t>mercancías a través de ambos pasos fronterizos. Para efectos del presente análisis, se ha priorizado el</w:t>
      </w:r>
      <w:r>
        <w:rPr>
          <w:spacing w:val="-1"/>
          <w:sz w:val="22"/>
        </w:rPr>
        <w:t> </w:t>
      </w:r>
      <w:r>
        <w:rPr>
          <w:sz w:val="22"/>
        </w:rPr>
        <w:t>uso del volumen de importaciones</w:t>
      </w:r>
      <w:r>
        <w:rPr>
          <w:spacing w:val="-2"/>
          <w:sz w:val="22"/>
        </w:rPr>
        <w:t> </w:t>
      </w:r>
      <w:r>
        <w:rPr>
          <w:sz w:val="22"/>
        </w:rPr>
        <w:t>(expresado en kilogramos), en tanto este indicador permite captar de manera directa las variaciones en los flujos físicos de mercancías entre los distintos puntos de ingreso fronterizo.</w:t>
      </w:r>
    </w:p>
    <w:p>
      <w:pPr>
        <w:pStyle w:val="BodyText"/>
        <w:spacing w:before="14"/>
      </w:pPr>
    </w:p>
    <w:p>
      <w:pPr>
        <w:pStyle w:val="ListParagraph"/>
        <w:numPr>
          <w:ilvl w:val="0"/>
          <w:numId w:val="2"/>
        </w:numPr>
        <w:tabs>
          <w:tab w:pos="1420" w:val="left" w:leader="none"/>
        </w:tabs>
        <w:spacing w:line="240" w:lineRule="auto" w:before="0" w:after="0"/>
        <w:ind w:left="1420" w:right="980" w:hanging="852"/>
        <w:jc w:val="both"/>
        <w:rPr>
          <w:sz w:val="22"/>
        </w:rPr>
      </w:pPr>
      <w:r>
        <w:rPr>
          <w:sz w:val="22"/>
        </w:rPr>
        <w:t>A diferencia del valor de las importaciones, el cual puede verse influenciado por factores</w:t>
      </w:r>
      <w:r>
        <w:rPr>
          <w:spacing w:val="-6"/>
          <w:sz w:val="22"/>
        </w:rPr>
        <w:t> </w:t>
      </w:r>
      <w:r>
        <w:rPr>
          <w:sz w:val="22"/>
        </w:rPr>
        <w:t>exógenos</w:t>
      </w:r>
      <w:r>
        <w:rPr>
          <w:spacing w:val="-8"/>
          <w:sz w:val="22"/>
        </w:rPr>
        <w:t> </w:t>
      </w:r>
      <w:r>
        <w:rPr>
          <w:sz w:val="22"/>
        </w:rPr>
        <w:t>como</w:t>
      </w:r>
      <w:r>
        <w:rPr>
          <w:spacing w:val="-9"/>
          <w:sz w:val="22"/>
        </w:rPr>
        <w:t> </w:t>
      </w:r>
      <w:r>
        <w:rPr>
          <w:sz w:val="22"/>
        </w:rPr>
        <w:t>fluctuaciones</w:t>
      </w:r>
      <w:r>
        <w:rPr>
          <w:spacing w:val="-6"/>
          <w:sz w:val="22"/>
        </w:rPr>
        <w:t> </w:t>
      </w:r>
      <w:r>
        <w:rPr>
          <w:sz w:val="22"/>
        </w:rPr>
        <w:t>de</w:t>
      </w:r>
      <w:r>
        <w:rPr>
          <w:spacing w:val="-8"/>
          <w:sz w:val="22"/>
        </w:rPr>
        <w:t> </w:t>
      </w:r>
      <w:r>
        <w:rPr>
          <w:sz w:val="22"/>
        </w:rPr>
        <w:t>precios</w:t>
      </w:r>
      <w:r>
        <w:rPr>
          <w:spacing w:val="-8"/>
          <w:sz w:val="22"/>
        </w:rPr>
        <w:t> </w:t>
      </w:r>
      <w:r>
        <w:rPr>
          <w:sz w:val="22"/>
        </w:rPr>
        <w:t>internacionales,</w:t>
      </w:r>
      <w:r>
        <w:rPr>
          <w:spacing w:val="-7"/>
          <w:sz w:val="22"/>
        </w:rPr>
        <w:t> </w:t>
      </w:r>
      <w:r>
        <w:rPr>
          <w:sz w:val="22"/>
        </w:rPr>
        <w:t>variaciones</w:t>
      </w:r>
      <w:r>
        <w:rPr>
          <w:spacing w:val="-6"/>
          <w:sz w:val="22"/>
        </w:rPr>
        <w:t> </w:t>
      </w:r>
      <w:r>
        <w:rPr>
          <w:sz w:val="22"/>
        </w:rPr>
        <w:t>en</w:t>
      </w:r>
      <w:r>
        <w:rPr>
          <w:spacing w:val="-6"/>
          <w:sz w:val="22"/>
        </w:rPr>
        <w:t> </w:t>
      </w:r>
      <w:r>
        <w:rPr>
          <w:sz w:val="22"/>
        </w:rPr>
        <w:t>los costos de flete y seguro, o cambios en la composición de los bienes importados, el volumen constituye un indicador más robusto para identificar alteraciones en la dinámica real del comercio.</w:t>
      </w:r>
    </w:p>
    <w:p>
      <w:pPr>
        <w:pStyle w:val="BodyText"/>
        <w:spacing w:before="16"/>
      </w:pPr>
    </w:p>
    <w:p>
      <w:pPr>
        <w:pStyle w:val="ListParagraph"/>
        <w:numPr>
          <w:ilvl w:val="0"/>
          <w:numId w:val="2"/>
        </w:numPr>
        <w:tabs>
          <w:tab w:pos="1420" w:val="left" w:leader="none"/>
        </w:tabs>
        <w:spacing w:line="240" w:lineRule="auto" w:before="0" w:after="0"/>
        <w:ind w:left="1420" w:right="980" w:hanging="852"/>
        <w:jc w:val="both"/>
        <w:rPr>
          <w:sz w:val="22"/>
        </w:rPr>
      </w:pPr>
      <w:r>
        <w:rPr>
          <w:sz w:val="22"/>
        </w:rPr>
        <w:t>En</w:t>
      </w:r>
      <w:r>
        <w:rPr>
          <w:spacing w:val="-15"/>
          <w:sz w:val="22"/>
        </w:rPr>
        <w:t> </w:t>
      </w:r>
      <w:r>
        <w:rPr>
          <w:sz w:val="22"/>
        </w:rPr>
        <w:t>ese</w:t>
      </w:r>
      <w:r>
        <w:rPr>
          <w:spacing w:val="-14"/>
          <w:sz w:val="22"/>
        </w:rPr>
        <w:t> </w:t>
      </w:r>
      <w:r>
        <w:rPr>
          <w:sz w:val="22"/>
        </w:rPr>
        <w:t>sentido,</w:t>
      </w:r>
      <w:r>
        <w:rPr>
          <w:spacing w:val="-12"/>
          <w:sz w:val="22"/>
        </w:rPr>
        <w:t> </w:t>
      </w:r>
      <w:r>
        <w:rPr>
          <w:sz w:val="22"/>
        </w:rPr>
        <w:t>el</w:t>
      </w:r>
      <w:r>
        <w:rPr>
          <w:spacing w:val="-15"/>
          <w:sz w:val="22"/>
        </w:rPr>
        <w:t> </w:t>
      </w:r>
      <w:r>
        <w:rPr>
          <w:sz w:val="22"/>
        </w:rPr>
        <w:t>análisis</w:t>
      </w:r>
      <w:r>
        <w:rPr>
          <w:spacing w:val="-13"/>
          <w:sz w:val="22"/>
        </w:rPr>
        <w:t> </w:t>
      </w:r>
      <w:r>
        <w:rPr>
          <w:sz w:val="22"/>
        </w:rPr>
        <w:t>en</w:t>
      </w:r>
      <w:r>
        <w:rPr>
          <w:spacing w:val="-14"/>
          <w:sz w:val="22"/>
        </w:rPr>
        <w:t> </w:t>
      </w:r>
      <w:r>
        <w:rPr>
          <w:sz w:val="22"/>
        </w:rPr>
        <w:t>términos</w:t>
      </w:r>
      <w:r>
        <w:rPr>
          <w:spacing w:val="-13"/>
          <w:sz w:val="22"/>
        </w:rPr>
        <w:t> </w:t>
      </w:r>
      <w:r>
        <w:rPr>
          <w:sz w:val="22"/>
        </w:rPr>
        <w:t>de</w:t>
      </w:r>
      <w:r>
        <w:rPr>
          <w:spacing w:val="-14"/>
          <w:sz w:val="22"/>
        </w:rPr>
        <w:t> </w:t>
      </w:r>
      <w:r>
        <w:rPr>
          <w:sz w:val="22"/>
        </w:rPr>
        <w:t>volumen</w:t>
      </w:r>
      <w:r>
        <w:rPr>
          <w:spacing w:val="-14"/>
          <w:sz w:val="22"/>
        </w:rPr>
        <w:t> </w:t>
      </w:r>
      <w:r>
        <w:rPr>
          <w:sz w:val="22"/>
        </w:rPr>
        <w:t>permite</w:t>
      </w:r>
      <w:r>
        <w:rPr>
          <w:spacing w:val="-16"/>
          <w:sz w:val="22"/>
        </w:rPr>
        <w:t> </w:t>
      </w:r>
      <w:r>
        <w:rPr>
          <w:sz w:val="22"/>
        </w:rPr>
        <w:t>aislar</w:t>
      </w:r>
      <w:r>
        <w:rPr>
          <w:spacing w:val="-13"/>
          <w:sz w:val="22"/>
        </w:rPr>
        <w:t> </w:t>
      </w:r>
      <w:r>
        <w:rPr>
          <w:sz w:val="22"/>
        </w:rPr>
        <w:t>con</w:t>
      </w:r>
      <w:r>
        <w:rPr>
          <w:spacing w:val="-16"/>
          <w:sz w:val="22"/>
        </w:rPr>
        <w:t> </w:t>
      </w:r>
      <w:r>
        <w:rPr>
          <w:sz w:val="22"/>
        </w:rPr>
        <w:t>mayor</w:t>
      </w:r>
      <w:r>
        <w:rPr>
          <w:spacing w:val="-13"/>
          <w:sz w:val="22"/>
        </w:rPr>
        <w:t> </w:t>
      </w:r>
      <w:r>
        <w:rPr>
          <w:sz w:val="22"/>
        </w:rPr>
        <w:t>precisión los efectos derivados de la medida objeto de investigación, particularmente en lo relativo a la continuidad, reducción o interrupción de los flujos comerciales a través de los pasos fronterizos habilitados.</w:t>
      </w:r>
    </w:p>
    <w:p>
      <w:pPr>
        <w:pStyle w:val="BodyText"/>
        <w:spacing w:before="17"/>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Es así como, a continuación, se muestra el nivel de participación de los diferentes puntos de acceso de mercancías procedentes u originarias de la República de Colombia para el periodo comprendido entre enero de 2024 a febrero 2026, en términos acumulados.</w:t>
      </w:r>
    </w:p>
    <w:p>
      <w:pPr>
        <w:pStyle w:val="BodyText"/>
      </w:pPr>
    </w:p>
    <w:p>
      <w:pPr>
        <w:spacing w:line="252" w:lineRule="exact" w:before="0"/>
        <w:ind w:left="-1" w:right="409" w:firstLine="0"/>
        <w:jc w:val="center"/>
        <w:rPr>
          <w:rFonts w:ascii="Arial" w:hAnsi="Arial"/>
          <w:b/>
          <w:sz w:val="22"/>
        </w:rPr>
      </w:pPr>
      <w:r>
        <w:rPr>
          <w:rFonts w:ascii="Arial" w:hAnsi="Arial"/>
          <w:b/>
          <w:sz w:val="22"/>
        </w:rPr>
        <w:t>Tabla</w:t>
      </w:r>
      <w:r>
        <w:rPr>
          <w:rFonts w:ascii="Arial" w:hAnsi="Arial"/>
          <w:b/>
          <w:spacing w:val="-5"/>
          <w:sz w:val="22"/>
        </w:rPr>
        <w:t> </w:t>
      </w:r>
      <w:r>
        <w:rPr>
          <w:rFonts w:ascii="Arial" w:hAnsi="Arial"/>
          <w:b/>
          <w:sz w:val="22"/>
        </w:rPr>
        <w:t>N.°</w:t>
      </w:r>
      <w:r>
        <w:rPr>
          <w:rFonts w:ascii="Arial" w:hAnsi="Arial"/>
          <w:b/>
          <w:spacing w:val="-1"/>
          <w:sz w:val="22"/>
        </w:rPr>
        <w:t> </w:t>
      </w:r>
      <w:r>
        <w:rPr>
          <w:rFonts w:ascii="Arial" w:hAnsi="Arial"/>
          <w:b/>
          <w:spacing w:val="-10"/>
          <w:sz w:val="22"/>
        </w:rPr>
        <w:t>2</w:t>
      </w:r>
    </w:p>
    <w:p>
      <w:pPr>
        <w:spacing w:before="0"/>
        <w:ind w:left="2241" w:right="2654" w:firstLine="0"/>
        <w:jc w:val="center"/>
        <w:rPr>
          <w:rFonts w:ascii="Arial" w:hAnsi="Arial"/>
          <w:i/>
          <w:sz w:val="22"/>
        </w:rPr>
      </w:pPr>
      <w:r>
        <w:rPr>
          <w:rFonts w:ascii="Arial" w:hAnsi="Arial"/>
          <w:i/>
          <w:sz w:val="22"/>
        </w:rPr>
        <w:t>Volumen</w:t>
      </w:r>
      <w:r>
        <w:rPr>
          <w:rFonts w:ascii="Arial" w:hAnsi="Arial"/>
          <w:i/>
          <w:spacing w:val="-7"/>
          <w:sz w:val="22"/>
        </w:rPr>
        <w:t> </w:t>
      </w:r>
      <w:r>
        <w:rPr>
          <w:rFonts w:ascii="Arial" w:hAnsi="Arial"/>
          <w:i/>
          <w:sz w:val="22"/>
        </w:rPr>
        <w:t>acumulado</w:t>
      </w:r>
      <w:r>
        <w:rPr>
          <w:rFonts w:ascii="Arial" w:hAnsi="Arial"/>
          <w:i/>
          <w:spacing w:val="-7"/>
          <w:sz w:val="22"/>
        </w:rPr>
        <w:t> </w:t>
      </w:r>
      <w:r>
        <w:rPr>
          <w:rFonts w:ascii="Arial" w:hAnsi="Arial"/>
          <w:i/>
          <w:sz w:val="22"/>
        </w:rPr>
        <w:t>de</w:t>
      </w:r>
      <w:r>
        <w:rPr>
          <w:rFonts w:ascii="Arial" w:hAnsi="Arial"/>
          <w:i/>
          <w:spacing w:val="-7"/>
          <w:sz w:val="22"/>
        </w:rPr>
        <w:t> </w:t>
      </w:r>
      <w:r>
        <w:rPr>
          <w:rFonts w:ascii="Arial" w:hAnsi="Arial"/>
          <w:i/>
          <w:sz w:val="22"/>
        </w:rPr>
        <w:t>importaciones</w:t>
      </w:r>
      <w:r>
        <w:rPr>
          <w:rFonts w:ascii="Arial" w:hAnsi="Arial"/>
          <w:i/>
          <w:spacing w:val="-7"/>
          <w:sz w:val="22"/>
        </w:rPr>
        <w:t> </w:t>
      </w:r>
      <w:r>
        <w:rPr>
          <w:rFonts w:ascii="Arial" w:hAnsi="Arial"/>
          <w:i/>
          <w:sz w:val="22"/>
        </w:rPr>
        <w:t>ecuatorianas</w:t>
      </w:r>
      <w:r>
        <w:rPr>
          <w:rFonts w:ascii="Arial" w:hAnsi="Arial"/>
          <w:i/>
          <w:spacing w:val="-7"/>
          <w:sz w:val="22"/>
        </w:rPr>
        <w:t> </w:t>
      </w:r>
      <w:r>
        <w:rPr>
          <w:rFonts w:ascii="Arial" w:hAnsi="Arial"/>
          <w:i/>
          <w:sz w:val="22"/>
        </w:rPr>
        <w:t>según Aduana de ingreso</w:t>
      </w:r>
    </w:p>
    <w:p>
      <w:pPr>
        <w:spacing w:before="0"/>
        <w:ind w:left="-1" w:right="347" w:firstLine="0"/>
        <w:jc w:val="center"/>
        <w:rPr>
          <w:rFonts w:ascii="Arial"/>
          <w:i/>
          <w:sz w:val="22"/>
        </w:rPr>
      </w:pPr>
      <w:r>
        <w:rPr>
          <w:rFonts w:ascii="Arial"/>
          <w:i/>
          <w:sz w:val="22"/>
        </w:rPr>
        <w:t>2024</w:t>
      </w:r>
      <w:r>
        <w:rPr>
          <w:rFonts w:ascii="Arial"/>
          <w:i/>
          <w:spacing w:val="-4"/>
          <w:sz w:val="22"/>
        </w:rPr>
        <w:t> </w:t>
      </w:r>
      <w:r>
        <w:rPr>
          <w:rFonts w:ascii="Arial"/>
          <w:i/>
          <w:sz w:val="22"/>
        </w:rPr>
        <w:t>-</w:t>
      </w:r>
      <w:r>
        <w:rPr>
          <w:rFonts w:ascii="Arial"/>
          <w:i/>
          <w:spacing w:val="1"/>
          <w:sz w:val="22"/>
        </w:rPr>
        <w:t> </w:t>
      </w:r>
      <w:r>
        <w:rPr>
          <w:rFonts w:ascii="Arial"/>
          <w:i/>
          <w:spacing w:val="-2"/>
          <w:sz w:val="22"/>
        </w:rPr>
        <w:t>2026*</w:t>
      </w:r>
    </w:p>
    <w:p>
      <w:pPr>
        <w:spacing w:before="1"/>
        <w:ind w:left="-1" w:right="410" w:firstLine="0"/>
        <w:jc w:val="center"/>
        <w:rPr>
          <w:rFonts w:ascii="Arial"/>
          <w:i/>
          <w:sz w:val="22"/>
        </w:rPr>
      </w:pPr>
      <w:r>
        <w:rPr>
          <w:rFonts w:ascii="Arial"/>
          <w:i/>
          <w:sz w:val="22"/>
        </w:rPr>
        <w:t>(*Hasta</w:t>
      </w:r>
      <w:r>
        <w:rPr>
          <w:rFonts w:ascii="Arial"/>
          <w:i/>
          <w:spacing w:val="-6"/>
          <w:sz w:val="22"/>
        </w:rPr>
        <w:t> </w:t>
      </w:r>
      <w:r>
        <w:rPr>
          <w:rFonts w:ascii="Arial"/>
          <w:i/>
          <w:spacing w:val="-2"/>
          <w:sz w:val="22"/>
        </w:rPr>
        <w:t>febrero)</w:t>
      </w:r>
    </w:p>
    <w:tbl>
      <w:tblPr>
        <w:tblW w:w="0" w:type="auto"/>
        <w:jc w:val="left"/>
        <w:tblInd w:w="20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81"/>
        <w:gridCol w:w="1900"/>
        <w:gridCol w:w="1521"/>
      </w:tblGrid>
      <w:tr>
        <w:trPr>
          <w:trHeight w:val="505" w:hRule="atLeast"/>
        </w:trPr>
        <w:tc>
          <w:tcPr>
            <w:tcW w:w="2681" w:type="dxa"/>
            <w:tcBorders>
              <w:top w:val="single" w:sz="4" w:space="0" w:color="000000"/>
              <w:bottom w:val="single" w:sz="4" w:space="0" w:color="000000"/>
            </w:tcBorders>
          </w:tcPr>
          <w:p>
            <w:pPr>
              <w:pStyle w:val="TableParagraph"/>
              <w:spacing w:line="254" w:lineRule="exact"/>
              <w:ind w:left="787" w:right="709" w:firstLine="153"/>
              <w:rPr>
                <w:rFonts w:ascii="Arial"/>
                <w:b/>
                <w:sz w:val="22"/>
              </w:rPr>
            </w:pPr>
            <w:r>
              <w:rPr>
                <w:rFonts w:ascii="Arial"/>
                <w:b/>
                <w:spacing w:val="-2"/>
                <w:sz w:val="22"/>
              </w:rPr>
              <w:t>Aduana </w:t>
            </w:r>
            <w:r>
              <w:rPr>
                <w:rFonts w:ascii="Arial"/>
                <w:b/>
                <w:sz w:val="22"/>
              </w:rPr>
              <w:t>de</w:t>
            </w:r>
            <w:r>
              <w:rPr>
                <w:rFonts w:ascii="Arial"/>
                <w:b/>
                <w:spacing w:val="-16"/>
                <w:sz w:val="22"/>
              </w:rPr>
              <w:t> </w:t>
            </w:r>
            <w:r>
              <w:rPr>
                <w:rFonts w:ascii="Arial"/>
                <w:b/>
                <w:sz w:val="22"/>
              </w:rPr>
              <w:t>ingreso</w:t>
            </w:r>
          </w:p>
        </w:tc>
        <w:tc>
          <w:tcPr>
            <w:tcW w:w="1900" w:type="dxa"/>
            <w:tcBorders>
              <w:top w:val="single" w:sz="4" w:space="0" w:color="000000"/>
              <w:bottom w:val="single" w:sz="4" w:space="0" w:color="000000"/>
            </w:tcBorders>
          </w:tcPr>
          <w:p>
            <w:pPr>
              <w:pStyle w:val="TableParagraph"/>
              <w:spacing w:line="254" w:lineRule="exact"/>
              <w:ind w:left="70" w:right="66" w:firstLine="257"/>
              <w:rPr>
                <w:rFonts w:ascii="Arial" w:hAnsi="Arial"/>
                <w:b/>
                <w:sz w:val="22"/>
              </w:rPr>
            </w:pPr>
            <w:r>
              <w:rPr>
                <w:rFonts w:ascii="Arial" w:hAnsi="Arial"/>
                <w:b/>
                <w:sz w:val="22"/>
              </w:rPr>
              <w:t>Volumen de Importación</w:t>
            </w:r>
            <w:r>
              <w:rPr>
                <w:rFonts w:ascii="Arial" w:hAnsi="Arial"/>
                <w:b/>
                <w:spacing w:val="-16"/>
                <w:sz w:val="22"/>
              </w:rPr>
              <w:t> </w:t>
            </w:r>
            <w:r>
              <w:rPr>
                <w:rFonts w:ascii="Arial" w:hAnsi="Arial"/>
                <w:b/>
                <w:sz w:val="22"/>
              </w:rPr>
              <w:t>(Kg)</w:t>
            </w:r>
          </w:p>
        </w:tc>
        <w:tc>
          <w:tcPr>
            <w:tcW w:w="1521" w:type="dxa"/>
            <w:tcBorders>
              <w:top w:val="single" w:sz="4" w:space="0" w:color="000000"/>
              <w:bottom w:val="single" w:sz="4" w:space="0" w:color="000000"/>
            </w:tcBorders>
          </w:tcPr>
          <w:p>
            <w:pPr>
              <w:pStyle w:val="TableParagraph"/>
              <w:spacing w:line="254" w:lineRule="exact"/>
              <w:ind w:left="589" w:hanging="519"/>
              <w:rPr>
                <w:rFonts w:ascii="Arial" w:hAnsi="Arial"/>
                <w:b/>
                <w:sz w:val="22"/>
              </w:rPr>
            </w:pPr>
            <w:r>
              <w:rPr>
                <w:rFonts w:ascii="Arial" w:hAnsi="Arial"/>
                <w:b/>
                <w:spacing w:val="-2"/>
                <w:sz w:val="22"/>
              </w:rPr>
              <w:t>Participación </w:t>
            </w:r>
            <w:r>
              <w:rPr>
                <w:rFonts w:ascii="Arial" w:hAnsi="Arial"/>
                <w:b/>
                <w:spacing w:val="-4"/>
                <w:sz w:val="22"/>
              </w:rPr>
              <w:t>(%)</w:t>
            </w:r>
          </w:p>
        </w:tc>
      </w:tr>
      <w:tr>
        <w:trPr>
          <w:trHeight w:val="285" w:hRule="atLeast"/>
        </w:trPr>
        <w:tc>
          <w:tcPr>
            <w:tcW w:w="2681" w:type="dxa"/>
            <w:tcBorders>
              <w:top w:val="single" w:sz="4" w:space="0" w:color="000000"/>
            </w:tcBorders>
            <w:shd w:val="clear" w:color="auto" w:fill="C0E6F5"/>
          </w:tcPr>
          <w:p>
            <w:pPr>
              <w:pStyle w:val="TableParagraph"/>
              <w:spacing w:line="251" w:lineRule="exact" w:before="14"/>
              <w:ind w:left="79"/>
              <w:rPr>
                <w:sz w:val="22"/>
              </w:rPr>
            </w:pPr>
            <w:r>
              <w:rPr>
                <w:spacing w:val="-2"/>
                <w:sz w:val="22"/>
              </w:rPr>
              <w:t>073-Tulcan</w:t>
            </w:r>
          </w:p>
        </w:tc>
        <w:tc>
          <w:tcPr>
            <w:tcW w:w="1900" w:type="dxa"/>
            <w:tcBorders>
              <w:top w:val="single" w:sz="4" w:space="0" w:color="000000"/>
            </w:tcBorders>
            <w:shd w:val="clear" w:color="auto" w:fill="C0E6F5"/>
          </w:tcPr>
          <w:p>
            <w:pPr>
              <w:pStyle w:val="TableParagraph"/>
              <w:spacing w:line="251" w:lineRule="exact" w:before="14"/>
              <w:ind w:left="5"/>
              <w:jc w:val="center"/>
              <w:rPr>
                <w:sz w:val="22"/>
              </w:rPr>
            </w:pPr>
            <w:r>
              <w:rPr>
                <w:spacing w:val="-2"/>
                <w:sz w:val="22"/>
              </w:rPr>
              <w:t>919,347,031</w:t>
            </w:r>
          </w:p>
        </w:tc>
        <w:tc>
          <w:tcPr>
            <w:tcW w:w="1521" w:type="dxa"/>
            <w:tcBorders>
              <w:top w:val="single" w:sz="4" w:space="0" w:color="000000"/>
            </w:tcBorders>
            <w:shd w:val="clear" w:color="auto" w:fill="C0E6F5"/>
          </w:tcPr>
          <w:p>
            <w:pPr>
              <w:pStyle w:val="TableParagraph"/>
              <w:spacing w:line="251" w:lineRule="exact" w:before="14"/>
              <w:ind w:left="5" w:right="3"/>
              <w:jc w:val="center"/>
              <w:rPr>
                <w:sz w:val="22"/>
              </w:rPr>
            </w:pPr>
            <w:r>
              <w:rPr>
                <w:spacing w:val="-5"/>
                <w:sz w:val="22"/>
              </w:rPr>
              <w:t>62%</w:t>
            </w:r>
          </w:p>
        </w:tc>
      </w:tr>
      <w:tr>
        <w:trPr>
          <w:trHeight w:val="290" w:hRule="atLeast"/>
        </w:trPr>
        <w:tc>
          <w:tcPr>
            <w:tcW w:w="2681" w:type="dxa"/>
          </w:tcPr>
          <w:p>
            <w:pPr>
              <w:pStyle w:val="TableParagraph"/>
              <w:spacing w:before="17"/>
              <w:ind w:left="79"/>
              <w:rPr>
                <w:sz w:val="22"/>
              </w:rPr>
            </w:pPr>
            <w:r>
              <w:rPr>
                <w:sz w:val="22"/>
              </w:rPr>
              <w:t>028-Guayaquil</w:t>
            </w:r>
            <w:r>
              <w:rPr>
                <w:spacing w:val="-6"/>
                <w:sz w:val="22"/>
              </w:rPr>
              <w:t> </w:t>
            </w:r>
            <w:r>
              <w:rPr>
                <w:sz w:val="22"/>
              </w:rPr>
              <w:t>–</w:t>
            </w:r>
            <w:r>
              <w:rPr>
                <w:spacing w:val="-6"/>
                <w:sz w:val="22"/>
              </w:rPr>
              <w:t> </w:t>
            </w:r>
            <w:r>
              <w:rPr>
                <w:spacing w:val="-2"/>
                <w:sz w:val="22"/>
              </w:rPr>
              <w:t>Marítimo</w:t>
            </w:r>
          </w:p>
        </w:tc>
        <w:tc>
          <w:tcPr>
            <w:tcW w:w="1900" w:type="dxa"/>
          </w:tcPr>
          <w:p>
            <w:pPr>
              <w:pStyle w:val="TableParagraph"/>
              <w:spacing w:before="17"/>
              <w:ind w:left="5"/>
              <w:jc w:val="center"/>
              <w:rPr>
                <w:sz w:val="22"/>
              </w:rPr>
            </w:pPr>
            <w:r>
              <w:rPr>
                <w:spacing w:val="-2"/>
                <w:sz w:val="22"/>
              </w:rPr>
              <w:t>525,302,006</w:t>
            </w:r>
          </w:p>
        </w:tc>
        <w:tc>
          <w:tcPr>
            <w:tcW w:w="1521" w:type="dxa"/>
          </w:tcPr>
          <w:p>
            <w:pPr>
              <w:pStyle w:val="TableParagraph"/>
              <w:spacing w:before="17"/>
              <w:ind w:left="5" w:right="3"/>
              <w:jc w:val="center"/>
              <w:rPr>
                <w:sz w:val="22"/>
              </w:rPr>
            </w:pPr>
            <w:r>
              <w:rPr>
                <w:spacing w:val="-5"/>
                <w:sz w:val="22"/>
              </w:rPr>
              <w:t>36%</w:t>
            </w:r>
          </w:p>
        </w:tc>
      </w:tr>
      <w:tr>
        <w:trPr>
          <w:trHeight w:val="288" w:hRule="atLeast"/>
        </w:trPr>
        <w:tc>
          <w:tcPr>
            <w:tcW w:w="2681" w:type="dxa"/>
          </w:tcPr>
          <w:p>
            <w:pPr>
              <w:pStyle w:val="TableParagraph"/>
              <w:spacing w:before="14"/>
              <w:ind w:left="79"/>
              <w:rPr>
                <w:sz w:val="22"/>
              </w:rPr>
            </w:pPr>
            <w:r>
              <w:rPr>
                <w:spacing w:val="-2"/>
                <w:sz w:val="22"/>
              </w:rPr>
              <w:t>037-Manta</w:t>
            </w:r>
          </w:p>
        </w:tc>
        <w:tc>
          <w:tcPr>
            <w:tcW w:w="1900" w:type="dxa"/>
          </w:tcPr>
          <w:p>
            <w:pPr>
              <w:pStyle w:val="TableParagraph"/>
              <w:spacing w:before="14"/>
              <w:ind w:left="5" w:right="3"/>
              <w:jc w:val="center"/>
              <w:rPr>
                <w:sz w:val="22"/>
              </w:rPr>
            </w:pPr>
            <w:r>
              <w:rPr>
                <w:spacing w:val="-2"/>
                <w:sz w:val="22"/>
              </w:rPr>
              <w:t>17,178,026</w:t>
            </w:r>
          </w:p>
        </w:tc>
        <w:tc>
          <w:tcPr>
            <w:tcW w:w="1521" w:type="dxa"/>
          </w:tcPr>
          <w:p>
            <w:pPr>
              <w:pStyle w:val="TableParagraph"/>
              <w:spacing w:before="14"/>
              <w:ind w:left="5" w:right="2"/>
              <w:jc w:val="center"/>
              <w:rPr>
                <w:sz w:val="22"/>
              </w:rPr>
            </w:pPr>
            <w:r>
              <w:rPr>
                <w:spacing w:val="-4"/>
                <w:sz w:val="22"/>
              </w:rPr>
              <w:t>1.2%</w:t>
            </w:r>
          </w:p>
        </w:tc>
      </w:tr>
      <w:tr>
        <w:trPr>
          <w:trHeight w:val="285" w:hRule="atLeast"/>
        </w:trPr>
        <w:tc>
          <w:tcPr>
            <w:tcW w:w="2681" w:type="dxa"/>
          </w:tcPr>
          <w:p>
            <w:pPr>
              <w:pStyle w:val="TableParagraph"/>
              <w:spacing w:line="251" w:lineRule="exact" w:before="14"/>
              <w:ind w:left="79"/>
              <w:rPr>
                <w:sz w:val="22"/>
              </w:rPr>
            </w:pPr>
            <w:r>
              <w:rPr>
                <w:spacing w:val="-2"/>
                <w:sz w:val="22"/>
              </w:rPr>
              <w:t>055-Quito</w:t>
            </w:r>
          </w:p>
        </w:tc>
        <w:tc>
          <w:tcPr>
            <w:tcW w:w="1900" w:type="dxa"/>
          </w:tcPr>
          <w:p>
            <w:pPr>
              <w:pStyle w:val="TableParagraph"/>
              <w:spacing w:line="251" w:lineRule="exact" w:before="14"/>
              <w:ind w:left="5"/>
              <w:jc w:val="center"/>
              <w:rPr>
                <w:sz w:val="22"/>
              </w:rPr>
            </w:pPr>
            <w:r>
              <w:rPr>
                <w:spacing w:val="-2"/>
                <w:sz w:val="22"/>
              </w:rPr>
              <w:t>8,349,122</w:t>
            </w:r>
          </w:p>
        </w:tc>
        <w:tc>
          <w:tcPr>
            <w:tcW w:w="1521" w:type="dxa"/>
          </w:tcPr>
          <w:p>
            <w:pPr>
              <w:pStyle w:val="TableParagraph"/>
              <w:spacing w:line="251" w:lineRule="exact" w:before="14"/>
              <w:ind w:left="5" w:right="2"/>
              <w:jc w:val="center"/>
              <w:rPr>
                <w:sz w:val="22"/>
              </w:rPr>
            </w:pPr>
            <w:r>
              <w:rPr>
                <w:spacing w:val="-4"/>
                <w:sz w:val="22"/>
              </w:rPr>
              <w:t>0.6%</w:t>
            </w:r>
          </w:p>
        </w:tc>
      </w:tr>
      <w:tr>
        <w:trPr>
          <w:trHeight w:val="287" w:hRule="atLeast"/>
        </w:trPr>
        <w:tc>
          <w:tcPr>
            <w:tcW w:w="2681" w:type="dxa"/>
            <w:shd w:val="clear" w:color="auto" w:fill="DAE9F8"/>
          </w:tcPr>
          <w:p>
            <w:pPr>
              <w:pStyle w:val="TableParagraph"/>
              <w:spacing w:line="251" w:lineRule="exact" w:before="17"/>
              <w:ind w:left="79"/>
              <w:rPr>
                <w:sz w:val="22"/>
              </w:rPr>
            </w:pPr>
            <w:r>
              <w:rPr>
                <w:sz w:val="22"/>
              </w:rPr>
              <w:t>145-Cebaf</w:t>
            </w:r>
            <w:r>
              <w:rPr>
                <w:spacing w:val="-4"/>
                <w:sz w:val="22"/>
              </w:rPr>
              <w:t> </w:t>
            </w:r>
            <w:r>
              <w:rPr>
                <w:sz w:val="22"/>
              </w:rPr>
              <w:t>San</w:t>
            </w:r>
            <w:r>
              <w:rPr>
                <w:spacing w:val="-5"/>
                <w:sz w:val="22"/>
              </w:rPr>
              <w:t> </w:t>
            </w:r>
            <w:r>
              <w:rPr>
                <w:spacing w:val="-2"/>
                <w:sz w:val="22"/>
              </w:rPr>
              <w:t>Miguel</w:t>
            </w:r>
          </w:p>
        </w:tc>
        <w:tc>
          <w:tcPr>
            <w:tcW w:w="1900" w:type="dxa"/>
            <w:shd w:val="clear" w:color="auto" w:fill="DAE9F8"/>
          </w:tcPr>
          <w:p>
            <w:pPr>
              <w:pStyle w:val="TableParagraph"/>
              <w:spacing w:line="251" w:lineRule="exact" w:before="17"/>
              <w:ind w:left="5"/>
              <w:jc w:val="center"/>
              <w:rPr>
                <w:sz w:val="22"/>
              </w:rPr>
            </w:pPr>
            <w:r>
              <w:rPr>
                <w:spacing w:val="-2"/>
                <w:sz w:val="22"/>
              </w:rPr>
              <w:t>6,149,791</w:t>
            </w:r>
          </w:p>
        </w:tc>
        <w:tc>
          <w:tcPr>
            <w:tcW w:w="1521" w:type="dxa"/>
            <w:shd w:val="clear" w:color="auto" w:fill="DAE9F8"/>
          </w:tcPr>
          <w:p>
            <w:pPr>
              <w:pStyle w:val="TableParagraph"/>
              <w:spacing w:line="251" w:lineRule="exact" w:before="17"/>
              <w:ind w:left="5"/>
              <w:jc w:val="center"/>
              <w:rPr>
                <w:sz w:val="22"/>
              </w:rPr>
            </w:pPr>
            <w:r>
              <w:rPr>
                <w:spacing w:val="-2"/>
                <w:sz w:val="22"/>
              </w:rPr>
              <w:t>0.42%</w:t>
            </w:r>
          </w:p>
        </w:tc>
      </w:tr>
      <w:tr>
        <w:trPr>
          <w:trHeight w:val="290" w:hRule="atLeast"/>
        </w:trPr>
        <w:tc>
          <w:tcPr>
            <w:tcW w:w="2681" w:type="dxa"/>
          </w:tcPr>
          <w:p>
            <w:pPr>
              <w:pStyle w:val="TableParagraph"/>
              <w:spacing w:before="17"/>
              <w:ind w:left="79"/>
              <w:rPr>
                <w:sz w:val="22"/>
              </w:rPr>
            </w:pPr>
            <w:r>
              <w:rPr>
                <w:sz w:val="22"/>
              </w:rPr>
              <w:t>019-Guayaquil</w:t>
            </w:r>
            <w:r>
              <w:rPr>
                <w:spacing w:val="-6"/>
                <w:sz w:val="22"/>
              </w:rPr>
              <w:t> </w:t>
            </w:r>
            <w:r>
              <w:rPr>
                <w:sz w:val="22"/>
              </w:rPr>
              <w:t>–</w:t>
            </w:r>
            <w:r>
              <w:rPr>
                <w:spacing w:val="-6"/>
                <w:sz w:val="22"/>
              </w:rPr>
              <w:t> </w:t>
            </w:r>
            <w:r>
              <w:rPr>
                <w:spacing w:val="-2"/>
                <w:sz w:val="22"/>
              </w:rPr>
              <w:t>Aéreo</w:t>
            </w:r>
          </w:p>
        </w:tc>
        <w:tc>
          <w:tcPr>
            <w:tcW w:w="1900" w:type="dxa"/>
          </w:tcPr>
          <w:p>
            <w:pPr>
              <w:pStyle w:val="TableParagraph"/>
              <w:spacing w:before="17"/>
              <w:ind w:left="5" w:right="3"/>
              <w:jc w:val="center"/>
              <w:rPr>
                <w:sz w:val="22"/>
              </w:rPr>
            </w:pPr>
            <w:r>
              <w:rPr>
                <w:spacing w:val="-2"/>
                <w:sz w:val="22"/>
              </w:rPr>
              <w:t>639,206</w:t>
            </w:r>
          </w:p>
        </w:tc>
        <w:tc>
          <w:tcPr>
            <w:tcW w:w="1521" w:type="dxa"/>
          </w:tcPr>
          <w:p>
            <w:pPr>
              <w:pStyle w:val="TableParagraph"/>
              <w:spacing w:before="17"/>
              <w:ind w:left="5"/>
              <w:jc w:val="center"/>
              <w:rPr>
                <w:sz w:val="22"/>
              </w:rPr>
            </w:pPr>
            <w:r>
              <w:rPr>
                <w:spacing w:val="-2"/>
                <w:sz w:val="22"/>
              </w:rPr>
              <w:t>0.04%</w:t>
            </w:r>
          </w:p>
        </w:tc>
      </w:tr>
      <w:tr>
        <w:trPr>
          <w:trHeight w:val="288" w:hRule="atLeast"/>
        </w:trPr>
        <w:tc>
          <w:tcPr>
            <w:tcW w:w="2681" w:type="dxa"/>
          </w:tcPr>
          <w:p>
            <w:pPr>
              <w:pStyle w:val="TableParagraph"/>
              <w:spacing w:before="14"/>
              <w:ind w:left="79"/>
              <w:rPr>
                <w:sz w:val="22"/>
              </w:rPr>
            </w:pPr>
            <w:r>
              <w:rPr>
                <w:spacing w:val="-2"/>
                <w:sz w:val="22"/>
              </w:rPr>
              <w:t>082-Huaquillas</w:t>
            </w:r>
          </w:p>
        </w:tc>
        <w:tc>
          <w:tcPr>
            <w:tcW w:w="1900" w:type="dxa"/>
          </w:tcPr>
          <w:p>
            <w:pPr>
              <w:pStyle w:val="TableParagraph"/>
              <w:spacing w:before="14"/>
              <w:ind w:left="5" w:right="3"/>
              <w:jc w:val="center"/>
              <w:rPr>
                <w:sz w:val="22"/>
              </w:rPr>
            </w:pPr>
            <w:r>
              <w:rPr>
                <w:spacing w:val="-2"/>
                <w:sz w:val="22"/>
              </w:rPr>
              <w:t>193,580</w:t>
            </w:r>
          </w:p>
        </w:tc>
        <w:tc>
          <w:tcPr>
            <w:tcW w:w="1521" w:type="dxa"/>
          </w:tcPr>
          <w:p>
            <w:pPr>
              <w:pStyle w:val="TableParagraph"/>
              <w:spacing w:before="14"/>
              <w:ind w:left="5"/>
              <w:jc w:val="center"/>
              <w:rPr>
                <w:sz w:val="22"/>
              </w:rPr>
            </w:pPr>
            <w:r>
              <w:rPr>
                <w:spacing w:val="-2"/>
                <w:sz w:val="22"/>
              </w:rPr>
              <w:t>0.01%</w:t>
            </w:r>
          </w:p>
        </w:tc>
      </w:tr>
      <w:tr>
        <w:trPr>
          <w:trHeight w:val="287" w:hRule="atLeast"/>
        </w:trPr>
        <w:tc>
          <w:tcPr>
            <w:tcW w:w="2681" w:type="dxa"/>
          </w:tcPr>
          <w:p>
            <w:pPr>
              <w:pStyle w:val="TableParagraph"/>
              <w:spacing w:before="14"/>
              <w:ind w:left="79"/>
              <w:rPr>
                <w:sz w:val="22"/>
              </w:rPr>
            </w:pPr>
            <w:r>
              <w:rPr>
                <w:spacing w:val="-2"/>
                <w:sz w:val="22"/>
              </w:rPr>
              <w:t>046-Esmeraldas</w:t>
            </w:r>
          </w:p>
        </w:tc>
        <w:tc>
          <w:tcPr>
            <w:tcW w:w="1900" w:type="dxa"/>
          </w:tcPr>
          <w:p>
            <w:pPr>
              <w:pStyle w:val="TableParagraph"/>
              <w:spacing w:before="14"/>
              <w:ind w:left="5" w:right="3"/>
              <w:jc w:val="center"/>
              <w:rPr>
                <w:sz w:val="22"/>
              </w:rPr>
            </w:pPr>
            <w:r>
              <w:rPr>
                <w:spacing w:val="-2"/>
                <w:sz w:val="22"/>
              </w:rPr>
              <w:t>146,970</w:t>
            </w:r>
          </w:p>
        </w:tc>
        <w:tc>
          <w:tcPr>
            <w:tcW w:w="1521" w:type="dxa"/>
          </w:tcPr>
          <w:p>
            <w:pPr>
              <w:pStyle w:val="TableParagraph"/>
              <w:spacing w:before="14"/>
              <w:ind w:left="5"/>
              <w:jc w:val="center"/>
              <w:rPr>
                <w:sz w:val="22"/>
              </w:rPr>
            </w:pPr>
            <w:r>
              <w:rPr>
                <w:spacing w:val="-2"/>
                <w:sz w:val="22"/>
              </w:rPr>
              <w:t>0.01%</w:t>
            </w:r>
          </w:p>
        </w:tc>
      </w:tr>
      <w:tr>
        <w:trPr>
          <w:trHeight w:val="288" w:hRule="atLeast"/>
        </w:trPr>
        <w:tc>
          <w:tcPr>
            <w:tcW w:w="2681" w:type="dxa"/>
          </w:tcPr>
          <w:p>
            <w:pPr>
              <w:pStyle w:val="TableParagraph"/>
              <w:spacing w:before="14"/>
              <w:ind w:left="79"/>
              <w:rPr>
                <w:sz w:val="22"/>
              </w:rPr>
            </w:pPr>
            <w:r>
              <w:rPr>
                <w:spacing w:val="-2"/>
                <w:sz w:val="22"/>
              </w:rPr>
              <w:t>091-Cuenca</w:t>
            </w:r>
          </w:p>
        </w:tc>
        <w:tc>
          <w:tcPr>
            <w:tcW w:w="1900" w:type="dxa"/>
          </w:tcPr>
          <w:p>
            <w:pPr>
              <w:pStyle w:val="TableParagraph"/>
              <w:spacing w:before="14"/>
              <w:ind w:left="5"/>
              <w:jc w:val="center"/>
              <w:rPr>
                <w:sz w:val="22"/>
              </w:rPr>
            </w:pPr>
            <w:r>
              <w:rPr>
                <w:spacing w:val="-2"/>
                <w:sz w:val="22"/>
              </w:rPr>
              <w:t>82,020</w:t>
            </w:r>
          </w:p>
        </w:tc>
        <w:tc>
          <w:tcPr>
            <w:tcW w:w="1521" w:type="dxa"/>
          </w:tcPr>
          <w:p>
            <w:pPr>
              <w:pStyle w:val="TableParagraph"/>
              <w:spacing w:before="14"/>
              <w:ind w:left="5"/>
              <w:jc w:val="center"/>
              <w:rPr>
                <w:sz w:val="22"/>
              </w:rPr>
            </w:pPr>
            <w:r>
              <w:rPr>
                <w:spacing w:val="-2"/>
                <w:sz w:val="22"/>
              </w:rPr>
              <w:t>0.01%</w:t>
            </w:r>
          </w:p>
        </w:tc>
      </w:tr>
      <w:tr>
        <w:trPr>
          <w:trHeight w:val="291" w:hRule="atLeast"/>
        </w:trPr>
        <w:tc>
          <w:tcPr>
            <w:tcW w:w="2681" w:type="dxa"/>
          </w:tcPr>
          <w:p>
            <w:pPr>
              <w:pStyle w:val="TableParagraph"/>
              <w:spacing w:before="14"/>
              <w:ind w:left="79"/>
              <w:rPr>
                <w:sz w:val="22"/>
              </w:rPr>
            </w:pPr>
            <w:r>
              <w:rPr>
                <w:spacing w:val="-2"/>
                <w:sz w:val="22"/>
              </w:rPr>
              <w:t>127-Latacunga</w:t>
            </w:r>
          </w:p>
        </w:tc>
        <w:tc>
          <w:tcPr>
            <w:tcW w:w="1900" w:type="dxa"/>
          </w:tcPr>
          <w:p>
            <w:pPr>
              <w:pStyle w:val="TableParagraph"/>
              <w:spacing w:before="14"/>
              <w:ind w:left="5"/>
              <w:jc w:val="center"/>
              <w:rPr>
                <w:sz w:val="22"/>
              </w:rPr>
            </w:pPr>
            <w:r>
              <w:rPr>
                <w:spacing w:val="-2"/>
                <w:sz w:val="22"/>
              </w:rPr>
              <w:t>36,818</w:t>
            </w:r>
          </w:p>
        </w:tc>
        <w:tc>
          <w:tcPr>
            <w:tcW w:w="1521" w:type="dxa"/>
          </w:tcPr>
          <w:p>
            <w:pPr>
              <w:pStyle w:val="TableParagraph"/>
              <w:spacing w:before="14"/>
              <w:ind w:left="5" w:right="2"/>
              <w:jc w:val="center"/>
              <w:rPr>
                <w:sz w:val="22"/>
              </w:rPr>
            </w:pPr>
            <w:r>
              <w:rPr>
                <w:spacing w:val="-2"/>
                <w:sz w:val="22"/>
              </w:rPr>
              <w:t>0.002%</w:t>
            </w:r>
          </w:p>
        </w:tc>
      </w:tr>
      <w:tr>
        <w:trPr>
          <w:trHeight w:val="292" w:hRule="atLeast"/>
        </w:trPr>
        <w:tc>
          <w:tcPr>
            <w:tcW w:w="2681" w:type="dxa"/>
            <w:tcBorders>
              <w:bottom w:val="double" w:sz="6" w:space="0" w:color="000000"/>
            </w:tcBorders>
          </w:tcPr>
          <w:p>
            <w:pPr>
              <w:pStyle w:val="TableParagraph"/>
              <w:spacing w:before="17"/>
              <w:ind w:left="79"/>
              <w:rPr>
                <w:sz w:val="22"/>
              </w:rPr>
            </w:pPr>
            <w:r>
              <w:rPr>
                <w:sz w:val="22"/>
              </w:rPr>
              <w:t>064-Puerto</w:t>
            </w:r>
            <w:r>
              <w:rPr>
                <w:spacing w:val="-7"/>
                <w:sz w:val="22"/>
              </w:rPr>
              <w:t> </w:t>
            </w:r>
            <w:r>
              <w:rPr>
                <w:spacing w:val="-2"/>
                <w:sz w:val="22"/>
              </w:rPr>
              <w:t>Bolívar</w:t>
            </w:r>
          </w:p>
        </w:tc>
        <w:tc>
          <w:tcPr>
            <w:tcW w:w="1900" w:type="dxa"/>
            <w:tcBorders>
              <w:bottom w:val="double" w:sz="6" w:space="0" w:color="000000"/>
            </w:tcBorders>
          </w:tcPr>
          <w:p>
            <w:pPr>
              <w:pStyle w:val="TableParagraph"/>
              <w:spacing w:before="17"/>
              <w:ind w:left="5"/>
              <w:jc w:val="center"/>
              <w:rPr>
                <w:sz w:val="22"/>
              </w:rPr>
            </w:pPr>
            <w:r>
              <w:rPr>
                <w:spacing w:val="-2"/>
                <w:sz w:val="22"/>
              </w:rPr>
              <w:t>28,697</w:t>
            </w:r>
          </w:p>
        </w:tc>
        <w:tc>
          <w:tcPr>
            <w:tcW w:w="1521" w:type="dxa"/>
            <w:tcBorders>
              <w:bottom w:val="double" w:sz="6" w:space="0" w:color="000000"/>
            </w:tcBorders>
          </w:tcPr>
          <w:p>
            <w:pPr>
              <w:pStyle w:val="TableParagraph"/>
              <w:spacing w:before="17"/>
              <w:ind w:left="5" w:right="2"/>
              <w:jc w:val="center"/>
              <w:rPr>
                <w:sz w:val="22"/>
              </w:rPr>
            </w:pPr>
            <w:r>
              <w:rPr>
                <w:spacing w:val="-2"/>
                <w:sz w:val="22"/>
              </w:rPr>
              <w:t>0.002%</w:t>
            </w:r>
          </w:p>
        </w:tc>
      </w:tr>
      <w:tr>
        <w:trPr>
          <w:trHeight w:val="301" w:hRule="atLeast"/>
        </w:trPr>
        <w:tc>
          <w:tcPr>
            <w:tcW w:w="2681" w:type="dxa"/>
            <w:tcBorders>
              <w:top w:val="double" w:sz="6" w:space="0" w:color="000000"/>
              <w:bottom w:val="single" w:sz="4" w:space="0" w:color="000000"/>
            </w:tcBorders>
          </w:tcPr>
          <w:p>
            <w:pPr>
              <w:pStyle w:val="TableParagraph"/>
              <w:spacing w:before="25"/>
              <w:ind w:left="10"/>
              <w:jc w:val="center"/>
              <w:rPr>
                <w:rFonts w:ascii="Arial"/>
                <w:b/>
                <w:sz w:val="22"/>
              </w:rPr>
            </w:pPr>
            <w:r>
              <w:rPr>
                <w:rFonts w:ascii="Arial"/>
                <w:b/>
                <w:spacing w:val="-2"/>
                <w:sz w:val="22"/>
              </w:rPr>
              <w:t>TOTAL</w:t>
            </w:r>
          </w:p>
        </w:tc>
        <w:tc>
          <w:tcPr>
            <w:tcW w:w="1900" w:type="dxa"/>
            <w:tcBorders>
              <w:top w:val="double" w:sz="6" w:space="0" w:color="000000"/>
              <w:bottom w:val="single" w:sz="4" w:space="0" w:color="000000"/>
            </w:tcBorders>
          </w:tcPr>
          <w:p>
            <w:pPr>
              <w:pStyle w:val="TableParagraph"/>
              <w:spacing w:before="25"/>
              <w:ind w:left="5"/>
              <w:jc w:val="center"/>
              <w:rPr>
                <w:rFonts w:ascii="Arial"/>
                <w:b/>
                <w:sz w:val="22"/>
              </w:rPr>
            </w:pPr>
            <w:r>
              <w:rPr>
                <w:rFonts w:ascii="Arial"/>
                <w:b/>
                <w:spacing w:val="-2"/>
                <w:sz w:val="22"/>
              </w:rPr>
              <w:t>1,477,453,268</w:t>
            </w:r>
          </w:p>
        </w:tc>
        <w:tc>
          <w:tcPr>
            <w:tcW w:w="1521" w:type="dxa"/>
            <w:tcBorders>
              <w:top w:val="double" w:sz="6" w:space="0" w:color="000000"/>
              <w:bottom w:val="single" w:sz="4" w:space="0" w:color="000000"/>
            </w:tcBorders>
          </w:tcPr>
          <w:p>
            <w:pPr>
              <w:pStyle w:val="TableParagraph"/>
              <w:spacing w:before="25"/>
              <w:ind w:left="5"/>
              <w:jc w:val="center"/>
              <w:rPr>
                <w:rFonts w:ascii="Arial"/>
                <w:b/>
                <w:sz w:val="22"/>
              </w:rPr>
            </w:pPr>
            <w:r>
              <w:rPr>
                <w:rFonts w:ascii="Arial"/>
                <w:b/>
                <w:spacing w:val="-4"/>
                <w:sz w:val="22"/>
              </w:rPr>
              <w:t>100%</w:t>
            </w:r>
          </w:p>
        </w:tc>
      </w:tr>
    </w:tbl>
    <w:p>
      <w:pPr>
        <w:spacing w:before="6"/>
        <w:ind w:left="1986" w:right="2021" w:firstLine="0"/>
        <w:jc w:val="left"/>
        <w:rPr>
          <w:sz w:val="18"/>
        </w:rPr>
      </w:pPr>
      <w:r>
        <w:rPr>
          <w:sz w:val="18"/>
        </w:rPr>
        <w:t>Fuente: En base a datos</w:t>
      </w:r>
      <w:r>
        <w:rPr>
          <w:spacing w:val="24"/>
          <w:sz w:val="18"/>
        </w:rPr>
        <w:t> </w:t>
      </w:r>
      <w:r>
        <w:rPr>
          <w:sz w:val="18"/>
        </w:rPr>
        <w:t>proporcionados por el Viceministerio de Comercio Exterior de la República del Ecuador.</w:t>
      </w:r>
    </w:p>
    <w:p>
      <w:pPr>
        <w:spacing w:before="2"/>
        <w:ind w:left="1986" w:right="0" w:firstLine="0"/>
        <w:jc w:val="left"/>
        <w:rPr>
          <w:sz w:val="18"/>
        </w:rPr>
      </w:pPr>
      <w:r>
        <w:rPr>
          <w:sz w:val="18"/>
        </w:rPr>
        <w:t>Elaboración:</w:t>
      </w:r>
      <w:r>
        <w:rPr>
          <w:spacing w:val="-5"/>
          <w:sz w:val="18"/>
        </w:rPr>
        <w:t> </w:t>
      </w:r>
      <w:r>
        <w:rPr>
          <w:spacing w:val="-2"/>
          <w:sz w:val="18"/>
        </w:rPr>
        <w:t>SGCAN.</w:t>
      </w:r>
    </w:p>
    <w:p>
      <w:pPr>
        <w:spacing w:after="0"/>
        <w:jc w:val="left"/>
        <w:rPr>
          <w:sz w:val="18"/>
        </w:rPr>
        <w:sectPr>
          <w:headerReference w:type="default" r:id="rId25"/>
          <w:footerReference w:type="default" r:id="rId26"/>
          <w:pgSz w:w="11900" w:h="16850"/>
          <w:pgMar w:header="370" w:footer="651" w:top="1380" w:bottom="840" w:left="992" w:right="283"/>
        </w:sectPr>
      </w:pPr>
    </w:p>
    <w:p>
      <w:pPr>
        <w:pStyle w:val="BodyText"/>
      </w:pPr>
    </w:p>
    <w:p>
      <w:pPr>
        <w:pStyle w:val="BodyText"/>
        <w:spacing w:before="177"/>
      </w:pPr>
    </w:p>
    <w:p>
      <w:pPr>
        <w:pStyle w:val="ListParagraph"/>
        <w:numPr>
          <w:ilvl w:val="0"/>
          <w:numId w:val="2"/>
        </w:numPr>
        <w:tabs>
          <w:tab w:pos="1420" w:val="left" w:leader="none"/>
        </w:tabs>
        <w:spacing w:line="240" w:lineRule="auto" w:before="1" w:after="0"/>
        <w:ind w:left="1420" w:right="977" w:hanging="852"/>
        <w:jc w:val="both"/>
        <w:rPr>
          <w:sz w:val="22"/>
        </w:rPr>
      </w:pPr>
      <w:r>
        <w:rPr>
          <w:sz w:val="22"/>
        </w:rPr>
        <w:t>De la Tabla N.°2 se observa que el 62% de las mercancías de origen colombiano ingresa</w:t>
      </w:r>
      <w:r>
        <w:rPr>
          <w:spacing w:val="-1"/>
          <w:sz w:val="22"/>
        </w:rPr>
        <w:t> </w:t>
      </w:r>
      <w:r>
        <w:rPr>
          <w:sz w:val="22"/>
        </w:rPr>
        <w:t>por</w:t>
      </w:r>
      <w:r>
        <w:rPr>
          <w:spacing w:val="-2"/>
          <w:sz w:val="22"/>
        </w:rPr>
        <w:t> </w:t>
      </w:r>
      <w:r>
        <w:rPr>
          <w:sz w:val="22"/>
        </w:rPr>
        <w:t>el</w:t>
      </w:r>
      <w:r>
        <w:rPr>
          <w:spacing w:val="-2"/>
          <w:sz w:val="22"/>
        </w:rPr>
        <w:t> </w:t>
      </w:r>
      <w:r>
        <w:rPr>
          <w:sz w:val="22"/>
        </w:rPr>
        <w:t>puente</w:t>
      </w:r>
      <w:r>
        <w:rPr>
          <w:spacing w:val="-3"/>
          <w:sz w:val="22"/>
        </w:rPr>
        <w:t> </w:t>
      </w:r>
      <w:r>
        <w:rPr>
          <w:sz w:val="22"/>
        </w:rPr>
        <w:t>internacional</w:t>
      </w:r>
      <w:r>
        <w:rPr>
          <w:spacing w:val="-2"/>
          <w:sz w:val="22"/>
        </w:rPr>
        <w:t> </w:t>
      </w:r>
      <w:r>
        <w:rPr>
          <w:sz w:val="22"/>
        </w:rPr>
        <w:t>de</w:t>
      </w:r>
      <w:r>
        <w:rPr>
          <w:spacing w:val="-3"/>
          <w:sz w:val="22"/>
        </w:rPr>
        <w:t> </w:t>
      </w:r>
      <w:r>
        <w:rPr>
          <w:sz w:val="22"/>
        </w:rPr>
        <w:t>Rumichaca,</w:t>
      </w:r>
      <w:r>
        <w:rPr>
          <w:spacing w:val="-2"/>
          <w:sz w:val="22"/>
        </w:rPr>
        <w:t> </w:t>
      </w:r>
      <w:r>
        <w:rPr>
          <w:sz w:val="22"/>
        </w:rPr>
        <w:t>consolidándose</w:t>
      </w:r>
      <w:r>
        <w:rPr>
          <w:spacing w:val="-1"/>
          <w:sz w:val="22"/>
        </w:rPr>
        <w:t> </w:t>
      </w:r>
      <w:r>
        <w:rPr>
          <w:sz w:val="22"/>
        </w:rPr>
        <w:t>como</w:t>
      </w:r>
      <w:r>
        <w:rPr>
          <w:spacing w:val="-5"/>
          <w:sz w:val="22"/>
        </w:rPr>
        <w:t> </w:t>
      </w:r>
      <w:r>
        <w:rPr>
          <w:sz w:val="22"/>
        </w:rPr>
        <w:t>el</w:t>
      </w:r>
      <w:r>
        <w:rPr>
          <w:spacing w:val="-2"/>
          <w:sz w:val="22"/>
        </w:rPr>
        <w:t> </w:t>
      </w:r>
      <w:r>
        <w:rPr>
          <w:sz w:val="22"/>
        </w:rPr>
        <w:t>principal punto terrestre de comercio entre la República de Colombia y la República del Ecuador, con un ingreso acumulado de 919,347,031 kilogramos durante el periodo 2024 a febrero de 2026.</w:t>
      </w:r>
    </w:p>
    <w:p>
      <w:pPr>
        <w:pStyle w:val="ListParagraph"/>
        <w:numPr>
          <w:ilvl w:val="0"/>
          <w:numId w:val="2"/>
        </w:numPr>
        <w:tabs>
          <w:tab w:pos="1420" w:val="left" w:leader="none"/>
        </w:tabs>
        <w:spacing w:line="240" w:lineRule="auto" w:before="252" w:after="0"/>
        <w:ind w:left="1420" w:right="978" w:hanging="852"/>
        <w:jc w:val="both"/>
        <w:rPr>
          <w:sz w:val="22"/>
        </w:rPr>
      </w:pPr>
      <w:r>
        <w:rPr>
          <w:sz w:val="22"/>
        </w:rPr>
        <w:t>En</w:t>
      </w:r>
      <w:r>
        <w:rPr>
          <w:spacing w:val="-7"/>
          <w:sz w:val="22"/>
        </w:rPr>
        <w:t> </w:t>
      </w:r>
      <w:r>
        <w:rPr>
          <w:sz w:val="22"/>
        </w:rPr>
        <w:t>segundo</w:t>
      </w:r>
      <w:r>
        <w:rPr>
          <w:spacing w:val="-8"/>
          <w:sz w:val="22"/>
        </w:rPr>
        <w:t> </w:t>
      </w:r>
      <w:r>
        <w:rPr>
          <w:sz w:val="22"/>
        </w:rPr>
        <w:t>lugar,</w:t>
      </w:r>
      <w:r>
        <w:rPr>
          <w:spacing w:val="-6"/>
          <w:sz w:val="22"/>
        </w:rPr>
        <w:t> </w:t>
      </w:r>
      <w:r>
        <w:rPr>
          <w:sz w:val="22"/>
        </w:rPr>
        <w:t>se</w:t>
      </w:r>
      <w:r>
        <w:rPr>
          <w:spacing w:val="-10"/>
          <w:sz w:val="22"/>
        </w:rPr>
        <w:t> </w:t>
      </w:r>
      <w:r>
        <w:rPr>
          <w:sz w:val="22"/>
        </w:rPr>
        <w:t>ubica</w:t>
      </w:r>
      <w:r>
        <w:rPr>
          <w:spacing w:val="-7"/>
          <w:sz w:val="22"/>
        </w:rPr>
        <w:t> </w:t>
      </w:r>
      <w:r>
        <w:rPr>
          <w:sz w:val="22"/>
        </w:rPr>
        <w:t>la</w:t>
      </w:r>
      <w:r>
        <w:rPr>
          <w:spacing w:val="-7"/>
          <w:sz w:val="22"/>
        </w:rPr>
        <w:t> </w:t>
      </w:r>
      <w:r>
        <w:rPr>
          <w:sz w:val="22"/>
        </w:rPr>
        <w:t>aduana</w:t>
      </w:r>
      <w:r>
        <w:rPr>
          <w:spacing w:val="-8"/>
          <w:sz w:val="22"/>
        </w:rPr>
        <w:t> </w:t>
      </w:r>
      <w:r>
        <w:rPr>
          <w:sz w:val="22"/>
        </w:rPr>
        <w:t>de</w:t>
      </w:r>
      <w:r>
        <w:rPr>
          <w:spacing w:val="-10"/>
          <w:sz w:val="22"/>
        </w:rPr>
        <w:t> </w:t>
      </w:r>
      <w:r>
        <w:rPr>
          <w:sz w:val="22"/>
        </w:rPr>
        <w:t>Guayaquil,</w:t>
      </w:r>
      <w:r>
        <w:rPr>
          <w:spacing w:val="-6"/>
          <w:sz w:val="22"/>
        </w:rPr>
        <w:t> </w:t>
      </w:r>
      <w:r>
        <w:rPr>
          <w:sz w:val="22"/>
        </w:rPr>
        <w:t>por</w:t>
      </w:r>
      <w:r>
        <w:rPr>
          <w:spacing w:val="-6"/>
          <w:sz w:val="22"/>
        </w:rPr>
        <w:t> </w:t>
      </w:r>
      <w:r>
        <w:rPr>
          <w:sz w:val="22"/>
        </w:rPr>
        <w:t>vía</w:t>
      </w:r>
      <w:r>
        <w:rPr>
          <w:spacing w:val="-10"/>
          <w:sz w:val="22"/>
        </w:rPr>
        <w:t> </w:t>
      </w:r>
      <w:r>
        <w:rPr>
          <w:sz w:val="22"/>
        </w:rPr>
        <w:t>marítima,</w:t>
      </w:r>
      <w:r>
        <w:rPr>
          <w:spacing w:val="-9"/>
          <w:sz w:val="22"/>
        </w:rPr>
        <w:t> </w:t>
      </w:r>
      <w:r>
        <w:rPr>
          <w:sz w:val="22"/>
        </w:rPr>
        <w:t>que</w:t>
      </w:r>
      <w:r>
        <w:rPr>
          <w:spacing w:val="-10"/>
          <w:sz w:val="22"/>
        </w:rPr>
        <w:t> </w:t>
      </w:r>
      <w:r>
        <w:rPr>
          <w:sz w:val="22"/>
        </w:rPr>
        <w:t>concentra el 36% de</w:t>
      </w:r>
      <w:r>
        <w:rPr>
          <w:spacing w:val="-1"/>
          <w:sz w:val="22"/>
        </w:rPr>
        <w:t> </w:t>
      </w:r>
      <w:r>
        <w:rPr>
          <w:sz w:val="22"/>
        </w:rPr>
        <w:t>las importaciones, con</w:t>
      </w:r>
      <w:r>
        <w:rPr>
          <w:spacing w:val="-1"/>
          <w:sz w:val="22"/>
        </w:rPr>
        <w:t> </w:t>
      </w:r>
      <w:r>
        <w:rPr>
          <w:sz w:val="22"/>
        </w:rPr>
        <w:t>un</w:t>
      </w:r>
      <w:r>
        <w:rPr>
          <w:spacing w:val="-1"/>
          <w:sz w:val="22"/>
        </w:rPr>
        <w:t> </w:t>
      </w:r>
      <w:r>
        <w:rPr>
          <w:sz w:val="22"/>
        </w:rPr>
        <w:t>ingreso</w:t>
      </w:r>
      <w:r>
        <w:rPr>
          <w:spacing w:val="-1"/>
          <w:sz w:val="22"/>
        </w:rPr>
        <w:t> </w:t>
      </w:r>
      <w:r>
        <w:rPr>
          <w:sz w:val="22"/>
        </w:rPr>
        <w:t>acumulado de 525,302,006 kilogramos en el periodo 2024 a febrero de 2026. Mientras que el ingreso por el CEBAF San Miguel representa el 0.42%, con un ingreso acumulado de 6,149,791 kilogramos durante el periodo 2024 a febrero de 2026.</w:t>
      </w:r>
    </w:p>
    <w:p>
      <w:pPr>
        <w:pStyle w:val="BodyText"/>
        <w:spacing w:before="1"/>
      </w:pPr>
    </w:p>
    <w:p>
      <w:pPr>
        <w:pStyle w:val="ListParagraph"/>
        <w:numPr>
          <w:ilvl w:val="0"/>
          <w:numId w:val="2"/>
        </w:numPr>
        <w:tabs>
          <w:tab w:pos="1420" w:val="left" w:leader="none"/>
        </w:tabs>
        <w:spacing w:line="240" w:lineRule="auto" w:before="1" w:after="0"/>
        <w:ind w:left="1420" w:right="976" w:hanging="852"/>
        <w:jc w:val="both"/>
        <w:rPr>
          <w:sz w:val="22"/>
        </w:rPr>
      </w:pPr>
      <w:r>
        <w:rPr>
          <w:sz w:val="22"/>
        </w:rPr>
        <w:t>En cuanto al volumen de las importaciones corresponde profundizar el análisis con el histórico mensual de los puntos de acceso terrestre. En ese sentido, a continuación, el Gráfico N.°1 muestra la evolución de las importaciones según volumen, del puesto de control aduanero puente internacional de Rumichaca.</w:t>
      </w:r>
    </w:p>
    <w:p>
      <w:pPr>
        <w:spacing w:line="252" w:lineRule="exact" w:before="252"/>
        <w:ind w:left="441" w:right="0" w:firstLine="0"/>
        <w:jc w:val="center"/>
        <w:rPr>
          <w:rFonts w:ascii="Arial" w:hAnsi="Arial"/>
          <w:b/>
          <w:sz w:val="22"/>
        </w:rPr>
      </w:pPr>
      <w:r>
        <w:rPr>
          <w:rFonts w:ascii="Arial" w:hAnsi="Arial"/>
          <w:b/>
          <w:sz w:val="22"/>
        </w:rPr>
        <w:t>Gráfico</w:t>
      </w:r>
      <w:r>
        <w:rPr>
          <w:rFonts w:ascii="Arial" w:hAnsi="Arial"/>
          <w:b/>
          <w:spacing w:val="-5"/>
          <w:sz w:val="22"/>
        </w:rPr>
        <w:t> </w:t>
      </w:r>
      <w:r>
        <w:rPr>
          <w:rFonts w:ascii="Arial" w:hAnsi="Arial"/>
          <w:b/>
          <w:sz w:val="22"/>
        </w:rPr>
        <w:t>N.°</w:t>
      </w:r>
      <w:r>
        <w:rPr>
          <w:rFonts w:ascii="Arial" w:hAnsi="Arial"/>
          <w:b/>
          <w:spacing w:val="-3"/>
          <w:sz w:val="22"/>
        </w:rPr>
        <w:t> </w:t>
      </w:r>
      <w:r>
        <w:rPr>
          <w:rFonts w:ascii="Arial" w:hAnsi="Arial"/>
          <w:b/>
          <w:spacing w:val="-10"/>
          <w:sz w:val="22"/>
        </w:rPr>
        <w:t>1</w:t>
      </w:r>
    </w:p>
    <w:p>
      <w:pPr>
        <w:spacing w:before="0"/>
        <w:ind w:left="1444" w:right="1007" w:firstLine="0"/>
        <w:jc w:val="center"/>
        <w:rPr>
          <w:rFonts w:ascii="Arial" w:hAnsi="Arial"/>
          <w:i/>
          <w:sz w:val="22"/>
        </w:rPr>
      </w:pPr>
      <w:r>
        <w:rPr>
          <w:rFonts w:ascii="Arial" w:hAnsi="Arial"/>
          <w:i/>
          <w:sz w:val="22"/>
        </w:rPr>
        <w:t>Evolución</w:t>
      </w:r>
      <w:r>
        <w:rPr>
          <w:rFonts w:ascii="Arial" w:hAnsi="Arial"/>
          <w:i/>
          <w:spacing w:val="-4"/>
          <w:sz w:val="22"/>
        </w:rPr>
        <w:t> </w:t>
      </w:r>
      <w:r>
        <w:rPr>
          <w:rFonts w:ascii="Arial" w:hAnsi="Arial"/>
          <w:i/>
          <w:sz w:val="22"/>
        </w:rPr>
        <w:t>del</w:t>
      </w:r>
      <w:r>
        <w:rPr>
          <w:rFonts w:ascii="Arial" w:hAnsi="Arial"/>
          <w:i/>
          <w:spacing w:val="-4"/>
          <w:sz w:val="22"/>
        </w:rPr>
        <w:t> </w:t>
      </w:r>
      <w:r>
        <w:rPr>
          <w:rFonts w:ascii="Arial" w:hAnsi="Arial"/>
          <w:i/>
          <w:sz w:val="22"/>
        </w:rPr>
        <w:t>volumen</w:t>
      </w:r>
      <w:r>
        <w:rPr>
          <w:rFonts w:ascii="Arial" w:hAnsi="Arial"/>
          <w:i/>
          <w:spacing w:val="-4"/>
          <w:sz w:val="22"/>
        </w:rPr>
        <w:t> </w:t>
      </w:r>
      <w:r>
        <w:rPr>
          <w:rFonts w:ascii="Arial" w:hAnsi="Arial"/>
          <w:i/>
          <w:sz w:val="22"/>
        </w:rPr>
        <w:t>de</w:t>
      </w:r>
      <w:r>
        <w:rPr>
          <w:rFonts w:ascii="Arial" w:hAnsi="Arial"/>
          <w:i/>
          <w:spacing w:val="-4"/>
          <w:sz w:val="22"/>
        </w:rPr>
        <w:t> </w:t>
      </w:r>
      <w:r>
        <w:rPr>
          <w:rFonts w:ascii="Arial" w:hAnsi="Arial"/>
          <w:i/>
          <w:sz w:val="22"/>
        </w:rPr>
        <w:t>importaciones</w:t>
      </w:r>
      <w:r>
        <w:rPr>
          <w:rFonts w:ascii="Arial" w:hAnsi="Arial"/>
          <w:i/>
          <w:spacing w:val="-4"/>
          <w:sz w:val="22"/>
        </w:rPr>
        <w:t> </w:t>
      </w:r>
      <w:r>
        <w:rPr>
          <w:rFonts w:ascii="Arial" w:hAnsi="Arial"/>
          <w:i/>
          <w:sz w:val="22"/>
        </w:rPr>
        <w:t>del</w:t>
      </w:r>
      <w:r>
        <w:rPr>
          <w:rFonts w:ascii="Arial" w:hAnsi="Arial"/>
          <w:i/>
          <w:spacing w:val="-7"/>
          <w:sz w:val="22"/>
        </w:rPr>
        <w:t> </w:t>
      </w:r>
      <w:r>
        <w:rPr>
          <w:rFonts w:ascii="Arial" w:hAnsi="Arial"/>
          <w:i/>
          <w:sz w:val="22"/>
        </w:rPr>
        <w:t>puente</w:t>
      </w:r>
      <w:r>
        <w:rPr>
          <w:rFonts w:ascii="Arial" w:hAnsi="Arial"/>
          <w:i/>
          <w:spacing w:val="-3"/>
          <w:sz w:val="22"/>
        </w:rPr>
        <w:t> </w:t>
      </w:r>
      <w:r>
        <w:rPr>
          <w:rFonts w:ascii="Arial" w:hAnsi="Arial"/>
          <w:i/>
          <w:sz w:val="22"/>
        </w:rPr>
        <w:t>internacional</w:t>
      </w:r>
      <w:r>
        <w:rPr>
          <w:rFonts w:ascii="Arial" w:hAnsi="Arial"/>
          <w:i/>
          <w:spacing w:val="-5"/>
          <w:sz w:val="22"/>
        </w:rPr>
        <w:t> </w:t>
      </w:r>
      <w:r>
        <w:rPr>
          <w:rFonts w:ascii="Arial" w:hAnsi="Arial"/>
          <w:i/>
          <w:sz w:val="22"/>
        </w:rPr>
        <w:t>de</w:t>
      </w:r>
      <w:r>
        <w:rPr>
          <w:rFonts w:ascii="Arial" w:hAnsi="Arial"/>
          <w:i/>
          <w:spacing w:val="-4"/>
          <w:sz w:val="22"/>
        </w:rPr>
        <w:t> </w:t>
      </w:r>
      <w:r>
        <w:rPr>
          <w:rFonts w:ascii="Arial" w:hAnsi="Arial"/>
          <w:i/>
          <w:sz w:val="22"/>
        </w:rPr>
        <w:t>Rumichaca</w:t>
      </w:r>
      <w:r>
        <w:rPr>
          <w:rFonts w:ascii="Arial" w:hAnsi="Arial"/>
          <w:i/>
          <w:spacing w:val="-4"/>
          <w:sz w:val="22"/>
        </w:rPr>
        <w:t> </w:t>
      </w:r>
      <w:r>
        <w:rPr>
          <w:rFonts w:ascii="Arial" w:hAnsi="Arial"/>
          <w:i/>
          <w:sz w:val="22"/>
        </w:rPr>
        <w:t>de 2024 a febrero 2026</w:t>
      </w:r>
    </w:p>
    <w:p>
      <w:pPr>
        <w:spacing w:before="0"/>
        <w:ind w:left="436" w:right="0" w:firstLine="0"/>
        <w:jc w:val="center"/>
        <w:rPr>
          <w:rFonts w:ascii="Arial"/>
          <w:i/>
          <w:sz w:val="22"/>
        </w:rPr>
      </w:pPr>
      <w:r>
        <w:rPr>
          <w:rFonts w:ascii="Arial"/>
          <w:i/>
          <w:sz w:val="22"/>
        </w:rPr>
        <mc:AlternateContent>
          <mc:Choice Requires="wps">
            <w:drawing>
              <wp:anchor distT="0" distB="0" distL="0" distR="0" allowOverlap="1" layoutInCell="1" locked="0" behindDoc="0" simplePos="0" relativeHeight="15742464">
                <wp:simplePos x="0" y="0"/>
                <wp:positionH relativeFrom="page">
                  <wp:posOffset>1621726</wp:posOffset>
                </wp:positionH>
                <wp:positionV relativeFrom="paragraph">
                  <wp:posOffset>155269</wp:posOffset>
                </wp:positionV>
                <wp:extent cx="5038725" cy="3861435"/>
                <wp:effectExtent l="0" t="0" r="0" b="0"/>
                <wp:wrapNone/>
                <wp:docPr id="112" name="Group 112"/>
                <wp:cNvGraphicFramePr>
                  <a:graphicFrameLocks/>
                </wp:cNvGraphicFramePr>
                <a:graphic>
                  <a:graphicData uri="http://schemas.microsoft.com/office/word/2010/wordprocessingGroup">
                    <wpg:wgp>
                      <wpg:cNvPr id="112" name="Group 112"/>
                      <wpg:cNvGrpSpPr/>
                      <wpg:grpSpPr>
                        <a:xfrm>
                          <a:off x="0" y="0"/>
                          <a:ext cx="5038725" cy="3861435"/>
                          <a:chExt cx="5038725" cy="3861435"/>
                        </a:xfrm>
                      </wpg:grpSpPr>
                      <wps:wsp>
                        <wps:cNvPr id="113" name="Graphic 113"/>
                        <wps:cNvSpPr/>
                        <wps:spPr>
                          <a:xfrm>
                            <a:off x="757745" y="72072"/>
                            <a:ext cx="3829050" cy="2153285"/>
                          </a:xfrm>
                          <a:custGeom>
                            <a:avLst/>
                            <a:gdLst/>
                            <a:ahLst/>
                            <a:cxnLst/>
                            <a:rect l="l" t="t" r="r" b="b"/>
                            <a:pathLst>
                              <a:path w="3829050" h="2153285">
                                <a:moveTo>
                                  <a:pt x="0" y="2152904"/>
                                </a:moveTo>
                                <a:lnTo>
                                  <a:pt x="3147314" y="2152904"/>
                                </a:lnTo>
                              </a:path>
                              <a:path w="3829050" h="2153285">
                                <a:moveTo>
                                  <a:pt x="3316795" y="2152904"/>
                                </a:moveTo>
                                <a:lnTo>
                                  <a:pt x="3828541" y="2152904"/>
                                </a:lnTo>
                              </a:path>
                              <a:path w="3829050" h="2153285">
                                <a:moveTo>
                                  <a:pt x="1691322" y="1723136"/>
                                </a:moveTo>
                                <a:lnTo>
                                  <a:pt x="1784223" y="1723136"/>
                                </a:lnTo>
                              </a:path>
                              <a:path w="3829050" h="2153285">
                                <a:moveTo>
                                  <a:pt x="1953704" y="1723136"/>
                                </a:moveTo>
                                <a:lnTo>
                                  <a:pt x="2062988" y="1723136"/>
                                </a:lnTo>
                              </a:path>
                              <a:path w="3829050" h="2153285">
                                <a:moveTo>
                                  <a:pt x="2232469" y="1723136"/>
                                </a:moveTo>
                                <a:lnTo>
                                  <a:pt x="2900172" y="1723136"/>
                                </a:lnTo>
                              </a:path>
                              <a:path w="3829050" h="2153285">
                                <a:moveTo>
                                  <a:pt x="3069653" y="1723136"/>
                                </a:moveTo>
                                <a:lnTo>
                                  <a:pt x="3828541" y="1723136"/>
                                </a:lnTo>
                              </a:path>
                              <a:path w="3829050" h="2153285">
                                <a:moveTo>
                                  <a:pt x="232600" y="1723136"/>
                                </a:moveTo>
                                <a:lnTo>
                                  <a:pt x="279780" y="1723136"/>
                                </a:lnTo>
                              </a:path>
                              <a:path w="3829050" h="2153285">
                                <a:moveTo>
                                  <a:pt x="449262" y="1723136"/>
                                </a:moveTo>
                                <a:lnTo>
                                  <a:pt x="1521840" y="1723136"/>
                                </a:lnTo>
                              </a:path>
                              <a:path w="3829050" h="2153285">
                                <a:moveTo>
                                  <a:pt x="0" y="1723136"/>
                                </a:moveTo>
                                <a:lnTo>
                                  <a:pt x="63118" y="1723136"/>
                                </a:lnTo>
                              </a:path>
                              <a:path w="3829050" h="2153285">
                                <a:moveTo>
                                  <a:pt x="449262" y="1291843"/>
                                </a:moveTo>
                                <a:lnTo>
                                  <a:pt x="1521840" y="1291843"/>
                                </a:lnTo>
                              </a:path>
                              <a:path w="3829050" h="2153285">
                                <a:moveTo>
                                  <a:pt x="1691322" y="1291843"/>
                                </a:moveTo>
                                <a:lnTo>
                                  <a:pt x="2062988" y="1291843"/>
                                </a:lnTo>
                              </a:path>
                              <a:path w="3829050" h="2153285">
                                <a:moveTo>
                                  <a:pt x="232600" y="1291843"/>
                                </a:moveTo>
                                <a:lnTo>
                                  <a:pt x="279780" y="1291843"/>
                                </a:lnTo>
                              </a:path>
                              <a:path w="3829050" h="2153285">
                                <a:moveTo>
                                  <a:pt x="3069653" y="1291843"/>
                                </a:moveTo>
                                <a:lnTo>
                                  <a:pt x="3828541" y="1291843"/>
                                </a:lnTo>
                              </a:path>
                              <a:path w="3829050" h="2153285">
                                <a:moveTo>
                                  <a:pt x="0" y="1291843"/>
                                </a:moveTo>
                                <a:lnTo>
                                  <a:pt x="63118" y="1291843"/>
                                </a:lnTo>
                              </a:path>
                              <a:path w="3829050" h="2153285">
                                <a:moveTo>
                                  <a:pt x="2232469" y="1291843"/>
                                </a:moveTo>
                                <a:lnTo>
                                  <a:pt x="2900172" y="1291843"/>
                                </a:lnTo>
                              </a:path>
                              <a:path w="3829050" h="2153285">
                                <a:moveTo>
                                  <a:pt x="0" y="862076"/>
                                </a:moveTo>
                                <a:lnTo>
                                  <a:pt x="3220085" y="862076"/>
                                </a:lnTo>
                              </a:path>
                              <a:path w="3829050" h="2153285">
                                <a:moveTo>
                                  <a:pt x="3389566" y="862076"/>
                                </a:moveTo>
                                <a:lnTo>
                                  <a:pt x="3828541" y="862076"/>
                                </a:lnTo>
                              </a:path>
                              <a:path w="3829050" h="2153285">
                                <a:moveTo>
                                  <a:pt x="3389566" y="430783"/>
                                </a:moveTo>
                                <a:lnTo>
                                  <a:pt x="3828541" y="430783"/>
                                </a:lnTo>
                              </a:path>
                              <a:path w="3829050" h="2153285">
                                <a:moveTo>
                                  <a:pt x="0" y="430783"/>
                                </a:moveTo>
                                <a:lnTo>
                                  <a:pt x="3220085" y="430783"/>
                                </a:lnTo>
                              </a:path>
                              <a:path w="3829050" h="2153285">
                                <a:moveTo>
                                  <a:pt x="0" y="0"/>
                                </a:moveTo>
                                <a:lnTo>
                                  <a:pt x="3828541" y="0"/>
                                </a:lnTo>
                              </a:path>
                            </a:pathLst>
                          </a:custGeom>
                          <a:ln w="9525">
                            <a:solidFill>
                              <a:srgbClr val="D9D9D9"/>
                            </a:solidFill>
                            <a:prstDash val="solid"/>
                          </a:ln>
                        </wps:spPr>
                        <wps:bodyPr wrap="square" lIns="0" tIns="0" rIns="0" bIns="0" rtlCol="0">
                          <a:prstTxWarp prst="textNoShape">
                            <a:avLst/>
                          </a:prstTxWarp>
                          <a:noAutofit/>
                        </wps:bodyPr>
                      </wps:wsp>
                      <wps:wsp>
                        <wps:cNvPr id="114" name="Graphic 114"/>
                        <wps:cNvSpPr/>
                        <wps:spPr>
                          <a:xfrm>
                            <a:off x="2575369" y="295592"/>
                            <a:ext cx="1960245" cy="2246630"/>
                          </a:xfrm>
                          <a:custGeom>
                            <a:avLst/>
                            <a:gdLst/>
                            <a:ahLst/>
                            <a:cxnLst/>
                            <a:rect l="l" t="t" r="r" b="b"/>
                            <a:pathLst>
                              <a:path w="1960245" h="2246630">
                                <a:moveTo>
                                  <a:pt x="45720" y="925068"/>
                                </a:moveTo>
                                <a:lnTo>
                                  <a:pt x="0" y="925068"/>
                                </a:lnTo>
                                <a:lnTo>
                                  <a:pt x="0" y="958596"/>
                                </a:lnTo>
                                <a:lnTo>
                                  <a:pt x="45720" y="958596"/>
                                </a:lnTo>
                                <a:lnTo>
                                  <a:pt x="45720" y="925068"/>
                                </a:lnTo>
                                <a:close/>
                              </a:path>
                              <a:path w="1960245" h="2246630">
                                <a:moveTo>
                                  <a:pt x="193548" y="911352"/>
                                </a:moveTo>
                                <a:lnTo>
                                  <a:pt x="147828" y="911352"/>
                                </a:lnTo>
                                <a:lnTo>
                                  <a:pt x="147828" y="925068"/>
                                </a:lnTo>
                                <a:lnTo>
                                  <a:pt x="193548" y="925068"/>
                                </a:lnTo>
                                <a:lnTo>
                                  <a:pt x="193548" y="911352"/>
                                </a:lnTo>
                                <a:close/>
                              </a:path>
                              <a:path w="1960245" h="2246630">
                                <a:moveTo>
                                  <a:pt x="1813560" y="0"/>
                                </a:moveTo>
                                <a:lnTo>
                                  <a:pt x="1766316" y="0"/>
                                </a:lnTo>
                                <a:lnTo>
                                  <a:pt x="1766316" y="925068"/>
                                </a:lnTo>
                                <a:lnTo>
                                  <a:pt x="1813560" y="925068"/>
                                </a:lnTo>
                                <a:lnTo>
                                  <a:pt x="1813560" y="0"/>
                                </a:lnTo>
                                <a:close/>
                              </a:path>
                              <a:path w="1960245" h="2246630">
                                <a:moveTo>
                                  <a:pt x="1959864" y="925068"/>
                                </a:moveTo>
                                <a:lnTo>
                                  <a:pt x="1914144" y="925068"/>
                                </a:lnTo>
                                <a:lnTo>
                                  <a:pt x="1914144" y="2246376"/>
                                </a:lnTo>
                                <a:lnTo>
                                  <a:pt x="1959864" y="2246376"/>
                                </a:lnTo>
                                <a:lnTo>
                                  <a:pt x="1959864" y="925068"/>
                                </a:lnTo>
                                <a:close/>
                              </a:path>
                            </a:pathLst>
                          </a:custGeom>
                          <a:solidFill>
                            <a:srgbClr val="EC7C30"/>
                          </a:solidFill>
                        </wps:spPr>
                        <wps:bodyPr wrap="square" lIns="0" tIns="0" rIns="0" bIns="0" rtlCol="0">
                          <a:prstTxWarp prst="textNoShape">
                            <a:avLst/>
                          </a:prstTxWarp>
                          <a:noAutofit/>
                        </wps:bodyPr>
                      </wps:wsp>
                      <wps:wsp>
                        <wps:cNvPr id="115" name="Graphic 115"/>
                        <wps:cNvSpPr/>
                        <wps:spPr>
                          <a:xfrm>
                            <a:off x="757745" y="2656268"/>
                            <a:ext cx="3829050" cy="850265"/>
                          </a:xfrm>
                          <a:custGeom>
                            <a:avLst/>
                            <a:gdLst/>
                            <a:ahLst/>
                            <a:cxnLst/>
                            <a:rect l="l" t="t" r="r" b="b"/>
                            <a:pathLst>
                              <a:path w="3829050" h="850265">
                                <a:moveTo>
                                  <a:pt x="0" y="0"/>
                                </a:moveTo>
                                <a:lnTo>
                                  <a:pt x="3828541" y="0"/>
                                </a:lnTo>
                              </a:path>
                              <a:path w="3829050" h="850265">
                                <a:moveTo>
                                  <a:pt x="0" y="0"/>
                                </a:moveTo>
                                <a:lnTo>
                                  <a:pt x="0" y="643890"/>
                                </a:lnTo>
                              </a:path>
                              <a:path w="3829050" h="850265">
                                <a:moveTo>
                                  <a:pt x="1767331" y="0"/>
                                </a:moveTo>
                                <a:lnTo>
                                  <a:pt x="1767331" y="643890"/>
                                </a:lnTo>
                              </a:path>
                              <a:path w="3829050" h="850265">
                                <a:moveTo>
                                  <a:pt x="3533648" y="0"/>
                                </a:moveTo>
                                <a:lnTo>
                                  <a:pt x="3533648" y="643890"/>
                                </a:lnTo>
                              </a:path>
                              <a:path w="3829050" h="850265">
                                <a:moveTo>
                                  <a:pt x="3828541" y="0"/>
                                </a:moveTo>
                                <a:lnTo>
                                  <a:pt x="3828541" y="643890"/>
                                </a:lnTo>
                              </a:path>
                              <a:path w="3829050" h="850265">
                                <a:moveTo>
                                  <a:pt x="0" y="643890"/>
                                </a:moveTo>
                                <a:lnTo>
                                  <a:pt x="0" y="850011"/>
                                </a:lnTo>
                              </a:path>
                              <a:path w="3829050" h="850265">
                                <a:moveTo>
                                  <a:pt x="1767331" y="643890"/>
                                </a:moveTo>
                                <a:lnTo>
                                  <a:pt x="1767331" y="850011"/>
                                </a:lnTo>
                              </a:path>
                              <a:path w="3829050" h="850265">
                                <a:moveTo>
                                  <a:pt x="3533648" y="643890"/>
                                </a:moveTo>
                                <a:lnTo>
                                  <a:pt x="3533648" y="850011"/>
                                </a:lnTo>
                              </a:path>
                              <a:path w="3829050" h="850265">
                                <a:moveTo>
                                  <a:pt x="3828541" y="643890"/>
                                </a:moveTo>
                                <a:lnTo>
                                  <a:pt x="3828541" y="850011"/>
                                </a:lnTo>
                              </a:path>
                            </a:pathLst>
                          </a:custGeom>
                          <a:ln w="9525">
                            <a:solidFill>
                              <a:srgbClr val="D9D9D9"/>
                            </a:solidFill>
                            <a:prstDash val="solid"/>
                          </a:ln>
                        </wps:spPr>
                        <wps:bodyPr wrap="square" lIns="0" tIns="0" rIns="0" bIns="0" rtlCol="0">
                          <a:prstTxWarp prst="textNoShape">
                            <a:avLst/>
                          </a:prstTxWarp>
                          <a:noAutofit/>
                        </wps:bodyPr>
                      </wps:wsp>
                      <wps:wsp>
                        <wps:cNvPr id="116" name="Graphic 116"/>
                        <wps:cNvSpPr/>
                        <wps:spPr>
                          <a:xfrm>
                            <a:off x="831278" y="460692"/>
                            <a:ext cx="3681729" cy="2082164"/>
                          </a:xfrm>
                          <a:custGeom>
                            <a:avLst/>
                            <a:gdLst/>
                            <a:ahLst/>
                            <a:cxnLst/>
                            <a:rect l="l" t="t" r="r" b="b"/>
                            <a:pathLst>
                              <a:path w="3681729" h="2082164">
                                <a:moveTo>
                                  <a:pt x="0" y="828548"/>
                                </a:moveTo>
                                <a:lnTo>
                                  <a:pt x="146938" y="791972"/>
                                </a:lnTo>
                                <a:lnTo>
                                  <a:pt x="294767" y="657860"/>
                                </a:lnTo>
                                <a:lnTo>
                                  <a:pt x="441070" y="615188"/>
                                </a:lnTo>
                                <a:lnTo>
                                  <a:pt x="588899" y="496316"/>
                                </a:lnTo>
                                <a:lnTo>
                                  <a:pt x="736726" y="775208"/>
                                </a:lnTo>
                                <a:lnTo>
                                  <a:pt x="883031" y="610616"/>
                                </a:lnTo>
                                <a:lnTo>
                                  <a:pt x="1030858" y="642620"/>
                                </a:lnTo>
                                <a:lnTo>
                                  <a:pt x="1178686" y="734060"/>
                                </a:lnTo>
                                <a:lnTo>
                                  <a:pt x="1324991" y="552704"/>
                                </a:lnTo>
                                <a:lnTo>
                                  <a:pt x="1472819" y="714248"/>
                                </a:lnTo>
                                <a:lnTo>
                                  <a:pt x="1619122" y="595376"/>
                                </a:lnTo>
                                <a:lnTo>
                                  <a:pt x="1766950" y="860551"/>
                                </a:lnTo>
                                <a:lnTo>
                                  <a:pt x="1914779" y="778256"/>
                                </a:lnTo>
                                <a:lnTo>
                                  <a:pt x="2061083" y="825500"/>
                                </a:lnTo>
                                <a:lnTo>
                                  <a:pt x="2208910" y="520700"/>
                                </a:lnTo>
                                <a:lnTo>
                                  <a:pt x="2356739" y="689863"/>
                                </a:lnTo>
                                <a:lnTo>
                                  <a:pt x="2503043" y="572516"/>
                                </a:lnTo>
                                <a:lnTo>
                                  <a:pt x="2650871" y="400304"/>
                                </a:lnTo>
                                <a:lnTo>
                                  <a:pt x="2797174" y="548132"/>
                                </a:lnTo>
                                <a:lnTo>
                                  <a:pt x="2945003" y="333248"/>
                                </a:lnTo>
                                <a:lnTo>
                                  <a:pt x="3092831" y="801116"/>
                                </a:lnTo>
                                <a:lnTo>
                                  <a:pt x="3239135" y="680720"/>
                                </a:lnTo>
                                <a:lnTo>
                                  <a:pt x="3386962" y="377444"/>
                                </a:lnTo>
                                <a:lnTo>
                                  <a:pt x="3534791" y="0"/>
                                </a:lnTo>
                                <a:lnTo>
                                  <a:pt x="3681476" y="2082038"/>
                                </a:lnTo>
                              </a:path>
                            </a:pathLst>
                          </a:custGeom>
                          <a:ln w="28575">
                            <a:solidFill>
                              <a:srgbClr val="5B9BD4"/>
                            </a:solidFill>
                            <a:prstDash val="solid"/>
                          </a:ln>
                        </wps:spPr>
                        <wps:bodyPr wrap="square" lIns="0" tIns="0" rIns="0" bIns="0" rtlCol="0">
                          <a:prstTxWarp prst="textNoShape">
                            <a:avLst/>
                          </a:prstTxWarp>
                          <a:noAutofit/>
                        </wps:bodyPr>
                      </wps:wsp>
                      <wps:wsp>
                        <wps:cNvPr id="117" name="Graphic 117"/>
                        <wps:cNvSpPr/>
                        <wps:spPr>
                          <a:xfrm>
                            <a:off x="978598" y="460692"/>
                            <a:ext cx="3534410" cy="2082164"/>
                          </a:xfrm>
                          <a:custGeom>
                            <a:avLst/>
                            <a:gdLst/>
                            <a:ahLst/>
                            <a:cxnLst/>
                            <a:rect l="l" t="t" r="r" b="b"/>
                            <a:pathLst>
                              <a:path w="3534410" h="2082164">
                                <a:moveTo>
                                  <a:pt x="1619758" y="794004"/>
                                </a:moveTo>
                                <a:lnTo>
                                  <a:pt x="1608327" y="511683"/>
                                </a:lnTo>
                              </a:path>
                              <a:path w="3534410" h="2082164">
                                <a:moveTo>
                                  <a:pt x="0" y="791845"/>
                                </a:moveTo>
                                <a:lnTo>
                                  <a:pt x="1143" y="1196975"/>
                                </a:lnTo>
                                <a:lnTo>
                                  <a:pt x="58927" y="1196975"/>
                                </a:lnTo>
                              </a:path>
                              <a:path w="3534410" h="2082164">
                                <a:moveTo>
                                  <a:pt x="1472564" y="596011"/>
                                </a:moveTo>
                                <a:lnTo>
                                  <a:pt x="1385697" y="891032"/>
                                </a:lnTo>
                              </a:path>
                              <a:path w="3534410" h="2082164">
                                <a:moveTo>
                                  <a:pt x="1767077" y="778510"/>
                                </a:moveTo>
                                <a:lnTo>
                                  <a:pt x="1785747" y="1232662"/>
                                </a:lnTo>
                                <a:lnTo>
                                  <a:pt x="1842135" y="1232662"/>
                                </a:lnTo>
                              </a:path>
                              <a:path w="3534410" h="2082164">
                                <a:moveTo>
                                  <a:pt x="3092323" y="680338"/>
                                </a:moveTo>
                                <a:lnTo>
                                  <a:pt x="2905887" y="1099439"/>
                                </a:lnTo>
                                <a:lnTo>
                                  <a:pt x="2848864" y="1099439"/>
                                </a:lnTo>
                              </a:path>
                              <a:path w="3534410" h="2082164">
                                <a:moveTo>
                                  <a:pt x="3386836" y="0"/>
                                </a:moveTo>
                                <a:lnTo>
                                  <a:pt x="3225927" y="195961"/>
                                </a:lnTo>
                                <a:lnTo>
                                  <a:pt x="3168777" y="195961"/>
                                </a:lnTo>
                              </a:path>
                              <a:path w="3534410" h="2082164">
                                <a:moveTo>
                                  <a:pt x="3534155" y="2082038"/>
                                </a:moveTo>
                                <a:lnTo>
                                  <a:pt x="3152775" y="1886077"/>
                                </a:lnTo>
                                <a:lnTo>
                                  <a:pt x="3095879" y="1886077"/>
                                </a:lnTo>
                              </a:path>
                            </a:pathLst>
                          </a:custGeom>
                          <a:ln w="9525">
                            <a:solidFill>
                              <a:srgbClr val="A6A6A6"/>
                            </a:solidFill>
                            <a:prstDash val="solid"/>
                          </a:ln>
                        </wps:spPr>
                        <wps:bodyPr wrap="square" lIns="0" tIns="0" rIns="0" bIns="0" rtlCol="0">
                          <a:prstTxWarp prst="textNoShape">
                            <a:avLst/>
                          </a:prstTxWarp>
                          <a:noAutofit/>
                        </wps:bodyPr>
                      </wps:wsp>
                      <wps:wsp>
                        <wps:cNvPr id="118" name="Graphic 118"/>
                        <wps:cNvSpPr/>
                        <wps:spPr>
                          <a:xfrm>
                            <a:off x="820864" y="1313751"/>
                            <a:ext cx="169545" cy="680085"/>
                          </a:xfrm>
                          <a:custGeom>
                            <a:avLst/>
                            <a:gdLst/>
                            <a:ahLst/>
                            <a:cxnLst/>
                            <a:rect l="l" t="t" r="r" b="b"/>
                            <a:pathLst>
                              <a:path w="169545" h="680085">
                                <a:moveTo>
                                  <a:pt x="169481" y="0"/>
                                </a:moveTo>
                                <a:lnTo>
                                  <a:pt x="0" y="0"/>
                                </a:lnTo>
                                <a:lnTo>
                                  <a:pt x="0" y="679958"/>
                                </a:lnTo>
                                <a:lnTo>
                                  <a:pt x="169481" y="679958"/>
                                </a:lnTo>
                                <a:lnTo>
                                  <a:pt x="169481" y="0"/>
                                </a:lnTo>
                                <a:close/>
                              </a:path>
                            </a:pathLst>
                          </a:custGeom>
                          <a:solidFill>
                            <a:srgbClr val="FFFFFF"/>
                          </a:solidFill>
                        </wps:spPr>
                        <wps:bodyPr wrap="square" lIns="0" tIns="0" rIns="0" bIns="0" rtlCol="0">
                          <a:prstTxWarp prst="textNoShape">
                            <a:avLst/>
                          </a:prstTxWarp>
                          <a:noAutofit/>
                        </wps:bodyPr>
                      </wps:wsp>
                      <wps:wsp>
                        <wps:cNvPr id="119" name="Graphic 119"/>
                        <wps:cNvSpPr/>
                        <wps:spPr>
                          <a:xfrm>
                            <a:off x="820864" y="1313751"/>
                            <a:ext cx="169545" cy="680085"/>
                          </a:xfrm>
                          <a:custGeom>
                            <a:avLst/>
                            <a:gdLst/>
                            <a:ahLst/>
                            <a:cxnLst/>
                            <a:rect l="l" t="t" r="r" b="b"/>
                            <a:pathLst>
                              <a:path w="169545" h="680085">
                                <a:moveTo>
                                  <a:pt x="0" y="679958"/>
                                </a:moveTo>
                                <a:lnTo>
                                  <a:pt x="169481" y="679958"/>
                                </a:lnTo>
                                <a:lnTo>
                                  <a:pt x="169481" y="0"/>
                                </a:lnTo>
                                <a:lnTo>
                                  <a:pt x="0" y="0"/>
                                </a:lnTo>
                                <a:lnTo>
                                  <a:pt x="0" y="679958"/>
                                </a:lnTo>
                                <a:close/>
                              </a:path>
                            </a:pathLst>
                          </a:custGeom>
                          <a:ln w="19050">
                            <a:solidFill>
                              <a:srgbClr val="000000"/>
                            </a:solidFill>
                            <a:prstDash val="solid"/>
                          </a:ln>
                        </wps:spPr>
                        <wps:bodyPr wrap="square" lIns="0" tIns="0" rIns="0" bIns="0" rtlCol="0">
                          <a:prstTxWarp prst="textNoShape">
                            <a:avLst/>
                          </a:prstTxWarp>
                          <a:noAutofit/>
                        </wps:bodyPr>
                      </wps:wsp>
                      <wps:wsp>
                        <wps:cNvPr id="120" name="Graphic 120"/>
                        <wps:cNvSpPr/>
                        <wps:spPr>
                          <a:xfrm>
                            <a:off x="1037526" y="1317688"/>
                            <a:ext cx="169545" cy="680085"/>
                          </a:xfrm>
                          <a:custGeom>
                            <a:avLst/>
                            <a:gdLst/>
                            <a:ahLst/>
                            <a:cxnLst/>
                            <a:rect l="l" t="t" r="r" b="b"/>
                            <a:pathLst>
                              <a:path w="169545" h="680085">
                                <a:moveTo>
                                  <a:pt x="169481" y="0"/>
                                </a:moveTo>
                                <a:lnTo>
                                  <a:pt x="0" y="0"/>
                                </a:lnTo>
                                <a:lnTo>
                                  <a:pt x="0" y="679958"/>
                                </a:lnTo>
                                <a:lnTo>
                                  <a:pt x="169481" y="679958"/>
                                </a:lnTo>
                                <a:lnTo>
                                  <a:pt x="169481" y="0"/>
                                </a:lnTo>
                                <a:close/>
                              </a:path>
                            </a:pathLst>
                          </a:custGeom>
                          <a:solidFill>
                            <a:srgbClr val="FFFFFF"/>
                          </a:solidFill>
                        </wps:spPr>
                        <wps:bodyPr wrap="square" lIns="0" tIns="0" rIns="0" bIns="0" rtlCol="0">
                          <a:prstTxWarp prst="textNoShape">
                            <a:avLst/>
                          </a:prstTxWarp>
                          <a:noAutofit/>
                        </wps:bodyPr>
                      </wps:wsp>
                      <wps:wsp>
                        <wps:cNvPr id="121" name="Graphic 121"/>
                        <wps:cNvSpPr/>
                        <wps:spPr>
                          <a:xfrm>
                            <a:off x="1037526" y="1317688"/>
                            <a:ext cx="169545" cy="680085"/>
                          </a:xfrm>
                          <a:custGeom>
                            <a:avLst/>
                            <a:gdLst/>
                            <a:ahLst/>
                            <a:cxnLst/>
                            <a:rect l="l" t="t" r="r" b="b"/>
                            <a:pathLst>
                              <a:path w="169545" h="680085">
                                <a:moveTo>
                                  <a:pt x="0" y="679958"/>
                                </a:moveTo>
                                <a:lnTo>
                                  <a:pt x="169481" y="679958"/>
                                </a:lnTo>
                                <a:lnTo>
                                  <a:pt x="169481" y="0"/>
                                </a:lnTo>
                                <a:lnTo>
                                  <a:pt x="0" y="0"/>
                                </a:lnTo>
                                <a:lnTo>
                                  <a:pt x="0" y="679958"/>
                                </a:lnTo>
                                <a:close/>
                              </a:path>
                            </a:pathLst>
                          </a:custGeom>
                          <a:ln w="19050">
                            <a:solidFill>
                              <a:srgbClr val="000000"/>
                            </a:solidFill>
                            <a:prstDash val="solid"/>
                          </a:ln>
                        </wps:spPr>
                        <wps:bodyPr wrap="square" lIns="0" tIns="0" rIns="0" bIns="0" rtlCol="0">
                          <a:prstTxWarp prst="textNoShape">
                            <a:avLst/>
                          </a:prstTxWarp>
                          <a:noAutofit/>
                        </wps:bodyPr>
                      </wps:wsp>
                      <wps:wsp>
                        <wps:cNvPr id="122" name="Graphic 122"/>
                        <wps:cNvSpPr/>
                        <wps:spPr>
                          <a:xfrm>
                            <a:off x="2279586" y="1351724"/>
                            <a:ext cx="169545" cy="680085"/>
                          </a:xfrm>
                          <a:custGeom>
                            <a:avLst/>
                            <a:gdLst/>
                            <a:ahLst/>
                            <a:cxnLst/>
                            <a:rect l="l" t="t" r="r" b="b"/>
                            <a:pathLst>
                              <a:path w="169545" h="680085">
                                <a:moveTo>
                                  <a:pt x="169481" y="0"/>
                                </a:moveTo>
                                <a:lnTo>
                                  <a:pt x="0" y="0"/>
                                </a:lnTo>
                                <a:lnTo>
                                  <a:pt x="0" y="679958"/>
                                </a:lnTo>
                                <a:lnTo>
                                  <a:pt x="169481" y="679958"/>
                                </a:lnTo>
                                <a:lnTo>
                                  <a:pt x="169481" y="0"/>
                                </a:lnTo>
                                <a:close/>
                              </a:path>
                            </a:pathLst>
                          </a:custGeom>
                          <a:solidFill>
                            <a:srgbClr val="FFFFFF"/>
                          </a:solidFill>
                        </wps:spPr>
                        <wps:bodyPr wrap="square" lIns="0" tIns="0" rIns="0" bIns="0" rtlCol="0">
                          <a:prstTxWarp prst="textNoShape">
                            <a:avLst/>
                          </a:prstTxWarp>
                          <a:noAutofit/>
                        </wps:bodyPr>
                      </wps:wsp>
                      <wps:wsp>
                        <wps:cNvPr id="123" name="Graphic 123"/>
                        <wps:cNvSpPr/>
                        <wps:spPr>
                          <a:xfrm>
                            <a:off x="2279586" y="1351724"/>
                            <a:ext cx="169545" cy="680085"/>
                          </a:xfrm>
                          <a:custGeom>
                            <a:avLst/>
                            <a:gdLst/>
                            <a:ahLst/>
                            <a:cxnLst/>
                            <a:rect l="l" t="t" r="r" b="b"/>
                            <a:pathLst>
                              <a:path w="169545" h="680085">
                                <a:moveTo>
                                  <a:pt x="0" y="679958"/>
                                </a:moveTo>
                                <a:lnTo>
                                  <a:pt x="169481" y="679958"/>
                                </a:lnTo>
                                <a:lnTo>
                                  <a:pt x="169481" y="0"/>
                                </a:lnTo>
                                <a:lnTo>
                                  <a:pt x="0" y="0"/>
                                </a:lnTo>
                                <a:lnTo>
                                  <a:pt x="0" y="679958"/>
                                </a:lnTo>
                                <a:close/>
                              </a:path>
                            </a:pathLst>
                          </a:custGeom>
                          <a:ln w="19050">
                            <a:solidFill>
                              <a:srgbClr val="000000"/>
                            </a:solidFill>
                            <a:prstDash val="solid"/>
                          </a:ln>
                        </wps:spPr>
                        <wps:bodyPr wrap="square" lIns="0" tIns="0" rIns="0" bIns="0" rtlCol="0">
                          <a:prstTxWarp prst="textNoShape">
                            <a:avLst/>
                          </a:prstTxWarp>
                          <a:noAutofit/>
                        </wps:bodyPr>
                      </wps:wsp>
                      <wps:wsp>
                        <wps:cNvPr id="124" name="Graphic 124"/>
                        <wps:cNvSpPr/>
                        <wps:spPr>
                          <a:xfrm>
                            <a:off x="2541968" y="1360868"/>
                            <a:ext cx="169545" cy="680085"/>
                          </a:xfrm>
                          <a:custGeom>
                            <a:avLst/>
                            <a:gdLst/>
                            <a:ahLst/>
                            <a:cxnLst/>
                            <a:rect l="l" t="t" r="r" b="b"/>
                            <a:pathLst>
                              <a:path w="169545" h="680085">
                                <a:moveTo>
                                  <a:pt x="169481" y="0"/>
                                </a:moveTo>
                                <a:lnTo>
                                  <a:pt x="0" y="0"/>
                                </a:lnTo>
                                <a:lnTo>
                                  <a:pt x="0" y="679958"/>
                                </a:lnTo>
                                <a:lnTo>
                                  <a:pt x="169481" y="679958"/>
                                </a:lnTo>
                                <a:lnTo>
                                  <a:pt x="169481" y="0"/>
                                </a:lnTo>
                                <a:close/>
                              </a:path>
                            </a:pathLst>
                          </a:custGeom>
                          <a:solidFill>
                            <a:srgbClr val="FFFFFF"/>
                          </a:solidFill>
                        </wps:spPr>
                        <wps:bodyPr wrap="square" lIns="0" tIns="0" rIns="0" bIns="0" rtlCol="0">
                          <a:prstTxWarp prst="textNoShape">
                            <a:avLst/>
                          </a:prstTxWarp>
                          <a:noAutofit/>
                        </wps:bodyPr>
                      </wps:wsp>
                      <wps:wsp>
                        <wps:cNvPr id="125" name="Graphic 125"/>
                        <wps:cNvSpPr/>
                        <wps:spPr>
                          <a:xfrm>
                            <a:off x="2541968" y="1360868"/>
                            <a:ext cx="169545" cy="680085"/>
                          </a:xfrm>
                          <a:custGeom>
                            <a:avLst/>
                            <a:gdLst/>
                            <a:ahLst/>
                            <a:cxnLst/>
                            <a:rect l="l" t="t" r="r" b="b"/>
                            <a:pathLst>
                              <a:path w="169545" h="680085">
                                <a:moveTo>
                                  <a:pt x="0" y="679958"/>
                                </a:moveTo>
                                <a:lnTo>
                                  <a:pt x="169481" y="679958"/>
                                </a:lnTo>
                                <a:lnTo>
                                  <a:pt x="169481" y="0"/>
                                </a:lnTo>
                                <a:lnTo>
                                  <a:pt x="0" y="0"/>
                                </a:lnTo>
                                <a:lnTo>
                                  <a:pt x="0" y="679958"/>
                                </a:lnTo>
                                <a:close/>
                              </a:path>
                            </a:pathLst>
                          </a:custGeom>
                          <a:ln w="19050">
                            <a:solidFill>
                              <a:srgbClr val="000000"/>
                            </a:solidFill>
                            <a:prstDash val="solid"/>
                          </a:ln>
                        </wps:spPr>
                        <wps:bodyPr wrap="square" lIns="0" tIns="0" rIns="0" bIns="0" rtlCol="0">
                          <a:prstTxWarp prst="textNoShape">
                            <a:avLst/>
                          </a:prstTxWarp>
                          <a:noAutofit/>
                        </wps:bodyPr>
                      </wps:wsp>
                      <wps:wsp>
                        <wps:cNvPr id="126" name="Graphic 126"/>
                        <wps:cNvSpPr/>
                        <wps:spPr>
                          <a:xfrm>
                            <a:off x="2820733" y="1353375"/>
                            <a:ext cx="169545" cy="680085"/>
                          </a:xfrm>
                          <a:custGeom>
                            <a:avLst/>
                            <a:gdLst/>
                            <a:ahLst/>
                            <a:cxnLst/>
                            <a:rect l="l" t="t" r="r" b="b"/>
                            <a:pathLst>
                              <a:path w="169545" h="680085">
                                <a:moveTo>
                                  <a:pt x="169481" y="0"/>
                                </a:moveTo>
                                <a:lnTo>
                                  <a:pt x="0" y="0"/>
                                </a:lnTo>
                                <a:lnTo>
                                  <a:pt x="0" y="679958"/>
                                </a:lnTo>
                                <a:lnTo>
                                  <a:pt x="169481" y="679958"/>
                                </a:lnTo>
                                <a:lnTo>
                                  <a:pt x="169481" y="0"/>
                                </a:lnTo>
                                <a:close/>
                              </a:path>
                            </a:pathLst>
                          </a:custGeom>
                          <a:solidFill>
                            <a:srgbClr val="FFFFFF"/>
                          </a:solidFill>
                        </wps:spPr>
                        <wps:bodyPr wrap="square" lIns="0" tIns="0" rIns="0" bIns="0" rtlCol="0">
                          <a:prstTxWarp prst="textNoShape">
                            <a:avLst/>
                          </a:prstTxWarp>
                          <a:noAutofit/>
                        </wps:bodyPr>
                      </wps:wsp>
                      <wps:wsp>
                        <wps:cNvPr id="127" name="Graphic 127"/>
                        <wps:cNvSpPr/>
                        <wps:spPr>
                          <a:xfrm>
                            <a:off x="2820733" y="1353375"/>
                            <a:ext cx="169545" cy="680085"/>
                          </a:xfrm>
                          <a:custGeom>
                            <a:avLst/>
                            <a:gdLst/>
                            <a:ahLst/>
                            <a:cxnLst/>
                            <a:rect l="l" t="t" r="r" b="b"/>
                            <a:pathLst>
                              <a:path w="169545" h="680085">
                                <a:moveTo>
                                  <a:pt x="0" y="679958"/>
                                </a:moveTo>
                                <a:lnTo>
                                  <a:pt x="169481" y="679958"/>
                                </a:lnTo>
                                <a:lnTo>
                                  <a:pt x="169481" y="0"/>
                                </a:lnTo>
                                <a:lnTo>
                                  <a:pt x="0" y="0"/>
                                </a:lnTo>
                                <a:lnTo>
                                  <a:pt x="0" y="679958"/>
                                </a:lnTo>
                                <a:close/>
                              </a:path>
                            </a:pathLst>
                          </a:custGeom>
                          <a:ln w="19050">
                            <a:solidFill>
                              <a:srgbClr val="000000"/>
                            </a:solidFill>
                            <a:prstDash val="solid"/>
                          </a:ln>
                        </wps:spPr>
                        <wps:bodyPr wrap="square" lIns="0" tIns="0" rIns="0" bIns="0" rtlCol="0">
                          <a:prstTxWarp prst="textNoShape">
                            <a:avLst/>
                          </a:prstTxWarp>
                          <a:noAutofit/>
                        </wps:bodyPr>
                      </wps:wsp>
                      <wps:wsp>
                        <wps:cNvPr id="128" name="Graphic 128"/>
                        <wps:cNvSpPr/>
                        <wps:spPr>
                          <a:xfrm>
                            <a:off x="3657917" y="1220152"/>
                            <a:ext cx="169545" cy="680085"/>
                          </a:xfrm>
                          <a:custGeom>
                            <a:avLst/>
                            <a:gdLst/>
                            <a:ahLst/>
                            <a:cxnLst/>
                            <a:rect l="l" t="t" r="r" b="b"/>
                            <a:pathLst>
                              <a:path w="169545" h="680085">
                                <a:moveTo>
                                  <a:pt x="169481" y="0"/>
                                </a:moveTo>
                                <a:lnTo>
                                  <a:pt x="0" y="0"/>
                                </a:lnTo>
                                <a:lnTo>
                                  <a:pt x="0" y="679958"/>
                                </a:lnTo>
                                <a:lnTo>
                                  <a:pt x="169481" y="679958"/>
                                </a:lnTo>
                                <a:lnTo>
                                  <a:pt x="169481" y="0"/>
                                </a:lnTo>
                                <a:close/>
                              </a:path>
                            </a:pathLst>
                          </a:custGeom>
                          <a:solidFill>
                            <a:srgbClr val="FFFFFF"/>
                          </a:solidFill>
                        </wps:spPr>
                        <wps:bodyPr wrap="square" lIns="0" tIns="0" rIns="0" bIns="0" rtlCol="0">
                          <a:prstTxWarp prst="textNoShape">
                            <a:avLst/>
                          </a:prstTxWarp>
                          <a:noAutofit/>
                        </wps:bodyPr>
                      </wps:wsp>
                      <wps:wsp>
                        <wps:cNvPr id="129" name="Graphic 129"/>
                        <wps:cNvSpPr/>
                        <wps:spPr>
                          <a:xfrm>
                            <a:off x="3657917" y="1220152"/>
                            <a:ext cx="169545" cy="680085"/>
                          </a:xfrm>
                          <a:custGeom>
                            <a:avLst/>
                            <a:gdLst/>
                            <a:ahLst/>
                            <a:cxnLst/>
                            <a:rect l="l" t="t" r="r" b="b"/>
                            <a:pathLst>
                              <a:path w="169545" h="680085">
                                <a:moveTo>
                                  <a:pt x="0" y="679958"/>
                                </a:moveTo>
                                <a:lnTo>
                                  <a:pt x="169481" y="679958"/>
                                </a:lnTo>
                                <a:lnTo>
                                  <a:pt x="169481" y="0"/>
                                </a:lnTo>
                                <a:lnTo>
                                  <a:pt x="0" y="0"/>
                                </a:lnTo>
                                <a:lnTo>
                                  <a:pt x="0" y="679958"/>
                                </a:lnTo>
                                <a:close/>
                              </a:path>
                            </a:pathLst>
                          </a:custGeom>
                          <a:ln w="19050">
                            <a:solidFill>
                              <a:srgbClr val="000000"/>
                            </a:solidFill>
                            <a:prstDash val="solid"/>
                          </a:ln>
                        </wps:spPr>
                        <wps:bodyPr wrap="square" lIns="0" tIns="0" rIns="0" bIns="0" rtlCol="0">
                          <a:prstTxWarp prst="textNoShape">
                            <a:avLst/>
                          </a:prstTxWarp>
                          <a:noAutofit/>
                        </wps:bodyPr>
                      </wps:wsp>
                      <wps:wsp>
                        <wps:cNvPr id="130" name="Graphic 130"/>
                        <wps:cNvSpPr/>
                        <wps:spPr>
                          <a:xfrm>
                            <a:off x="3977830" y="316674"/>
                            <a:ext cx="169545" cy="680085"/>
                          </a:xfrm>
                          <a:custGeom>
                            <a:avLst/>
                            <a:gdLst/>
                            <a:ahLst/>
                            <a:cxnLst/>
                            <a:rect l="l" t="t" r="r" b="b"/>
                            <a:pathLst>
                              <a:path w="169545" h="680085">
                                <a:moveTo>
                                  <a:pt x="169481" y="0"/>
                                </a:moveTo>
                                <a:lnTo>
                                  <a:pt x="0" y="0"/>
                                </a:lnTo>
                                <a:lnTo>
                                  <a:pt x="0" y="679958"/>
                                </a:lnTo>
                                <a:lnTo>
                                  <a:pt x="169481" y="679958"/>
                                </a:lnTo>
                                <a:lnTo>
                                  <a:pt x="169481" y="0"/>
                                </a:lnTo>
                                <a:close/>
                              </a:path>
                            </a:pathLst>
                          </a:custGeom>
                          <a:solidFill>
                            <a:srgbClr val="FFFFFF"/>
                          </a:solidFill>
                        </wps:spPr>
                        <wps:bodyPr wrap="square" lIns="0" tIns="0" rIns="0" bIns="0" rtlCol="0">
                          <a:prstTxWarp prst="textNoShape">
                            <a:avLst/>
                          </a:prstTxWarp>
                          <a:noAutofit/>
                        </wps:bodyPr>
                      </wps:wsp>
                      <wps:wsp>
                        <wps:cNvPr id="131" name="Graphic 131"/>
                        <wps:cNvSpPr/>
                        <wps:spPr>
                          <a:xfrm>
                            <a:off x="3977830" y="316674"/>
                            <a:ext cx="169545" cy="680085"/>
                          </a:xfrm>
                          <a:custGeom>
                            <a:avLst/>
                            <a:gdLst/>
                            <a:ahLst/>
                            <a:cxnLst/>
                            <a:rect l="l" t="t" r="r" b="b"/>
                            <a:pathLst>
                              <a:path w="169545" h="680085">
                                <a:moveTo>
                                  <a:pt x="0" y="679958"/>
                                </a:moveTo>
                                <a:lnTo>
                                  <a:pt x="169481" y="679958"/>
                                </a:lnTo>
                                <a:lnTo>
                                  <a:pt x="169481" y="0"/>
                                </a:lnTo>
                                <a:lnTo>
                                  <a:pt x="0" y="0"/>
                                </a:lnTo>
                                <a:lnTo>
                                  <a:pt x="0" y="679958"/>
                                </a:lnTo>
                                <a:close/>
                              </a:path>
                            </a:pathLst>
                          </a:custGeom>
                          <a:ln w="19050">
                            <a:solidFill>
                              <a:srgbClr val="000000"/>
                            </a:solidFill>
                            <a:prstDash val="solid"/>
                          </a:ln>
                        </wps:spPr>
                        <wps:bodyPr wrap="square" lIns="0" tIns="0" rIns="0" bIns="0" rtlCol="0">
                          <a:prstTxWarp prst="textNoShape">
                            <a:avLst/>
                          </a:prstTxWarp>
                          <a:noAutofit/>
                        </wps:bodyPr>
                      </wps:wsp>
                      <wps:wsp>
                        <wps:cNvPr id="132" name="Graphic 132"/>
                        <wps:cNvSpPr/>
                        <wps:spPr>
                          <a:xfrm>
                            <a:off x="3905059" y="2038604"/>
                            <a:ext cx="169545" cy="616585"/>
                          </a:xfrm>
                          <a:custGeom>
                            <a:avLst/>
                            <a:gdLst/>
                            <a:ahLst/>
                            <a:cxnLst/>
                            <a:rect l="l" t="t" r="r" b="b"/>
                            <a:pathLst>
                              <a:path w="169545" h="616585">
                                <a:moveTo>
                                  <a:pt x="169481" y="0"/>
                                </a:moveTo>
                                <a:lnTo>
                                  <a:pt x="0" y="0"/>
                                </a:lnTo>
                                <a:lnTo>
                                  <a:pt x="0" y="616394"/>
                                </a:lnTo>
                                <a:lnTo>
                                  <a:pt x="169481" y="616394"/>
                                </a:lnTo>
                                <a:lnTo>
                                  <a:pt x="169481" y="0"/>
                                </a:lnTo>
                                <a:close/>
                              </a:path>
                            </a:pathLst>
                          </a:custGeom>
                          <a:solidFill>
                            <a:srgbClr val="FFFFFF"/>
                          </a:solidFill>
                        </wps:spPr>
                        <wps:bodyPr wrap="square" lIns="0" tIns="0" rIns="0" bIns="0" rtlCol="0">
                          <a:prstTxWarp prst="textNoShape">
                            <a:avLst/>
                          </a:prstTxWarp>
                          <a:noAutofit/>
                        </wps:bodyPr>
                      </wps:wsp>
                      <wps:wsp>
                        <wps:cNvPr id="133" name="Graphic 133"/>
                        <wps:cNvSpPr/>
                        <wps:spPr>
                          <a:xfrm>
                            <a:off x="3905059" y="2038604"/>
                            <a:ext cx="169545" cy="616585"/>
                          </a:xfrm>
                          <a:custGeom>
                            <a:avLst/>
                            <a:gdLst/>
                            <a:ahLst/>
                            <a:cxnLst/>
                            <a:rect l="l" t="t" r="r" b="b"/>
                            <a:pathLst>
                              <a:path w="169545" h="616585">
                                <a:moveTo>
                                  <a:pt x="0" y="616394"/>
                                </a:moveTo>
                                <a:lnTo>
                                  <a:pt x="169481" y="616394"/>
                                </a:lnTo>
                                <a:lnTo>
                                  <a:pt x="169481" y="0"/>
                                </a:lnTo>
                                <a:lnTo>
                                  <a:pt x="0" y="0"/>
                                </a:lnTo>
                                <a:lnTo>
                                  <a:pt x="0" y="616394"/>
                                </a:lnTo>
                                <a:close/>
                              </a:path>
                            </a:pathLst>
                          </a:custGeom>
                          <a:ln w="19050">
                            <a:solidFill>
                              <a:srgbClr val="000000"/>
                            </a:solidFill>
                            <a:prstDash val="solid"/>
                          </a:ln>
                        </wps:spPr>
                        <wps:bodyPr wrap="square" lIns="0" tIns="0" rIns="0" bIns="0" rtlCol="0">
                          <a:prstTxWarp prst="textNoShape">
                            <a:avLst/>
                          </a:prstTxWarp>
                          <a:noAutofit/>
                        </wps:bodyPr>
                      </wps:wsp>
                      <wps:wsp>
                        <wps:cNvPr id="134" name="Graphic 134"/>
                        <wps:cNvSpPr/>
                        <wps:spPr>
                          <a:xfrm>
                            <a:off x="1197673" y="3650519"/>
                            <a:ext cx="243840" cy="57785"/>
                          </a:xfrm>
                          <a:custGeom>
                            <a:avLst/>
                            <a:gdLst/>
                            <a:ahLst/>
                            <a:cxnLst/>
                            <a:rect l="l" t="t" r="r" b="b"/>
                            <a:pathLst>
                              <a:path w="243840" h="57785">
                                <a:moveTo>
                                  <a:pt x="243839" y="0"/>
                                </a:moveTo>
                                <a:lnTo>
                                  <a:pt x="0" y="0"/>
                                </a:lnTo>
                                <a:lnTo>
                                  <a:pt x="0" y="57435"/>
                                </a:lnTo>
                                <a:lnTo>
                                  <a:pt x="243839" y="57435"/>
                                </a:lnTo>
                                <a:lnTo>
                                  <a:pt x="243839" y="0"/>
                                </a:lnTo>
                                <a:close/>
                              </a:path>
                            </a:pathLst>
                          </a:custGeom>
                          <a:solidFill>
                            <a:srgbClr val="EC7C30"/>
                          </a:solidFill>
                        </wps:spPr>
                        <wps:bodyPr wrap="square" lIns="0" tIns="0" rIns="0" bIns="0" rtlCol="0">
                          <a:prstTxWarp prst="textNoShape">
                            <a:avLst/>
                          </a:prstTxWarp>
                          <a:noAutofit/>
                        </wps:bodyPr>
                      </wps:wsp>
                      <wps:wsp>
                        <wps:cNvPr id="135" name="Graphic 135"/>
                        <wps:cNvSpPr/>
                        <wps:spPr>
                          <a:xfrm>
                            <a:off x="2930334" y="3679253"/>
                            <a:ext cx="243840" cy="1270"/>
                          </a:xfrm>
                          <a:custGeom>
                            <a:avLst/>
                            <a:gdLst/>
                            <a:ahLst/>
                            <a:cxnLst/>
                            <a:rect l="l" t="t" r="r" b="b"/>
                            <a:pathLst>
                              <a:path w="243840" h="0">
                                <a:moveTo>
                                  <a:pt x="0" y="0"/>
                                </a:moveTo>
                                <a:lnTo>
                                  <a:pt x="243839" y="0"/>
                                </a:lnTo>
                              </a:path>
                            </a:pathLst>
                          </a:custGeom>
                          <a:ln w="28575">
                            <a:solidFill>
                              <a:srgbClr val="5B9BD4"/>
                            </a:solidFill>
                            <a:prstDash val="solid"/>
                          </a:ln>
                        </wps:spPr>
                        <wps:bodyPr wrap="square" lIns="0" tIns="0" rIns="0" bIns="0" rtlCol="0">
                          <a:prstTxWarp prst="textNoShape">
                            <a:avLst/>
                          </a:prstTxWarp>
                          <a:noAutofit/>
                        </wps:bodyPr>
                      </wps:wsp>
                      <wps:wsp>
                        <wps:cNvPr id="136" name="Graphic 136"/>
                        <wps:cNvSpPr/>
                        <wps:spPr>
                          <a:xfrm>
                            <a:off x="4762" y="4762"/>
                            <a:ext cx="5029200" cy="3851910"/>
                          </a:xfrm>
                          <a:custGeom>
                            <a:avLst/>
                            <a:gdLst/>
                            <a:ahLst/>
                            <a:cxnLst/>
                            <a:rect l="l" t="t" r="r" b="b"/>
                            <a:pathLst>
                              <a:path w="5029200" h="3851910">
                                <a:moveTo>
                                  <a:pt x="0" y="3851909"/>
                                </a:moveTo>
                                <a:lnTo>
                                  <a:pt x="5029199" y="3851909"/>
                                </a:lnTo>
                                <a:lnTo>
                                  <a:pt x="5029199" y="0"/>
                                </a:lnTo>
                                <a:lnTo>
                                  <a:pt x="0" y="0"/>
                                </a:lnTo>
                                <a:lnTo>
                                  <a:pt x="0" y="3851909"/>
                                </a:lnTo>
                                <a:close/>
                              </a:path>
                            </a:pathLst>
                          </a:custGeom>
                          <a:ln w="9525">
                            <a:solidFill>
                              <a:srgbClr val="D9D9D9"/>
                            </a:solidFill>
                            <a:prstDash val="solid"/>
                          </a:ln>
                        </wps:spPr>
                        <wps:bodyPr wrap="square" lIns="0" tIns="0" rIns="0" bIns="0" rtlCol="0">
                          <a:prstTxWarp prst="textNoShape">
                            <a:avLst/>
                          </a:prstTxWarp>
                          <a:noAutofit/>
                        </wps:bodyPr>
                      </wps:wsp>
                      <wps:wsp>
                        <wps:cNvPr id="137" name="Textbox 137"/>
                        <wps:cNvSpPr txBox="1"/>
                        <wps:spPr>
                          <a:xfrm>
                            <a:off x="3200844" y="3613499"/>
                            <a:ext cx="699135" cy="128270"/>
                          </a:xfrm>
                          <a:prstGeom prst="rect">
                            <a:avLst/>
                          </a:prstGeom>
                        </wps:spPr>
                        <wps:txbx>
                          <w:txbxContent>
                            <w:p>
                              <w:pPr>
                                <w:spacing w:line="201" w:lineRule="exact" w:before="0"/>
                                <w:ind w:left="0" w:right="0" w:firstLine="0"/>
                                <w:jc w:val="left"/>
                                <w:rPr>
                                  <w:sz w:val="18"/>
                                </w:rPr>
                              </w:pPr>
                              <w:r>
                                <w:rPr>
                                  <w:spacing w:val="-2"/>
                                  <w:sz w:val="18"/>
                                </w:rPr>
                                <w:t>073-TULCAN</w:t>
                              </w:r>
                            </w:p>
                          </w:txbxContent>
                        </wps:txbx>
                        <wps:bodyPr wrap="square" lIns="0" tIns="0" rIns="0" bIns="0" rtlCol="0">
                          <a:noAutofit/>
                        </wps:bodyPr>
                      </wps:wsp>
                      <wps:wsp>
                        <wps:cNvPr id="138" name="Textbox 138"/>
                        <wps:cNvSpPr txBox="1"/>
                        <wps:spPr>
                          <a:xfrm>
                            <a:off x="1467675" y="3613499"/>
                            <a:ext cx="1238885" cy="128270"/>
                          </a:xfrm>
                          <a:prstGeom prst="rect">
                            <a:avLst/>
                          </a:prstGeom>
                        </wps:spPr>
                        <wps:txbx>
                          <w:txbxContent>
                            <w:p>
                              <w:pPr>
                                <w:spacing w:line="201" w:lineRule="exact" w:before="0"/>
                                <w:ind w:left="0" w:right="0" w:firstLine="0"/>
                                <w:jc w:val="left"/>
                                <w:rPr>
                                  <w:sz w:val="18"/>
                                </w:rPr>
                              </w:pPr>
                              <w:r>
                                <w:rPr>
                                  <w:sz w:val="18"/>
                                </w:rPr>
                                <w:t>Variación</w:t>
                              </w:r>
                              <w:r>
                                <w:rPr>
                                  <w:spacing w:val="-7"/>
                                  <w:sz w:val="18"/>
                                </w:rPr>
                                <w:t> </w:t>
                              </w:r>
                              <w:r>
                                <w:rPr>
                                  <w:sz w:val="18"/>
                                </w:rPr>
                                <w:t>Interanual</w:t>
                              </w:r>
                              <w:r>
                                <w:rPr>
                                  <w:spacing w:val="-6"/>
                                  <w:sz w:val="18"/>
                                </w:rPr>
                                <w:t> </w:t>
                              </w:r>
                              <w:r>
                                <w:rPr>
                                  <w:spacing w:val="-5"/>
                                  <w:sz w:val="18"/>
                                </w:rPr>
                                <w:t>(%)</w:t>
                              </w:r>
                            </w:p>
                          </w:txbxContent>
                        </wps:txbx>
                        <wps:bodyPr wrap="square" lIns="0" tIns="0" rIns="0" bIns="0" rtlCol="0">
                          <a:noAutofit/>
                        </wps:bodyPr>
                      </wps:wsp>
                      <wps:wsp>
                        <wps:cNvPr id="139" name="Textbox 139"/>
                        <wps:cNvSpPr txBox="1"/>
                        <wps:spPr>
                          <a:xfrm>
                            <a:off x="4312983" y="3370548"/>
                            <a:ext cx="267970" cy="128270"/>
                          </a:xfrm>
                          <a:prstGeom prst="rect">
                            <a:avLst/>
                          </a:prstGeom>
                        </wps:spPr>
                        <wps:txbx>
                          <w:txbxContent>
                            <w:p>
                              <w:pPr>
                                <w:spacing w:line="201" w:lineRule="exact" w:before="0"/>
                                <w:ind w:left="0" w:right="0" w:firstLine="0"/>
                                <w:jc w:val="left"/>
                                <w:rPr>
                                  <w:sz w:val="18"/>
                                </w:rPr>
                              </w:pPr>
                              <w:r>
                                <w:rPr>
                                  <w:spacing w:val="-4"/>
                                  <w:sz w:val="18"/>
                                </w:rPr>
                                <w:t>2026</w:t>
                              </w:r>
                            </w:p>
                          </w:txbxContent>
                        </wps:txbx>
                        <wps:bodyPr wrap="square" lIns="0" tIns="0" rIns="0" bIns="0" rtlCol="0">
                          <a:noAutofit/>
                        </wps:bodyPr>
                      </wps:wsp>
                      <wps:wsp>
                        <wps:cNvPr id="140" name="Textbox 140"/>
                        <wps:cNvSpPr txBox="1"/>
                        <wps:spPr>
                          <a:xfrm>
                            <a:off x="3282251" y="3370548"/>
                            <a:ext cx="266700" cy="128270"/>
                          </a:xfrm>
                          <a:prstGeom prst="rect">
                            <a:avLst/>
                          </a:prstGeom>
                        </wps:spPr>
                        <wps:txbx>
                          <w:txbxContent>
                            <w:p>
                              <w:pPr>
                                <w:spacing w:line="201" w:lineRule="exact" w:before="0"/>
                                <w:ind w:left="0" w:right="0" w:firstLine="0"/>
                                <w:jc w:val="left"/>
                                <w:rPr>
                                  <w:sz w:val="18"/>
                                </w:rPr>
                              </w:pPr>
                              <w:r>
                                <w:rPr>
                                  <w:spacing w:val="-4"/>
                                  <w:sz w:val="18"/>
                                </w:rPr>
                                <w:t>2025</w:t>
                              </w:r>
                            </w:p>
                          </w:txbxContent>
                        </wps:txbx>
                        <wps:bodyPr wrap="square" lIns="0" tIns="0" rIns="0" bIns="0" rtlCol="0">
                          <a:noAutofit/>
                        </wps:bodyPr>
                      </wps:wsp>
                      <wps:wsp>
                        <wps:cNvPr id="141" name="Textbox 141"/>
                        <wps:cNvSpPr txBox="1"/>
                        <wps:spPr>
                          <a:xfrm>
                            <a:off x="1514665" y="3370548"/>
                            <a:ext cx="266700" cy="128270"/>
                          </a:xfrm>
                          <a:prstGeom prst="rect">
                            <a:avLst/>
                          </a:prstGeom>
                        </wps:spPr>
                        <wps:txbx>
                          <w:txbxContent>
                            <w:p>
                              <w:pPr>
                                <w:spacing w:line="201" w:lineRule="exact" w:before="0"/>
                                <w:ind w:left="0" w:right="0" w:firstLine="0"/>
                                <w:jc w:val="left"/>
                                <w:rPr>
                                  <w:sz w:val="18"/>
                                </w:rPr>
                              </w:pPr>
                              <w:r>
                                <w:rPr>
                                  <w:spacing w:val="-4"/>
                                  <w:sz w:val="18"/>
                                </w:rPr>
                                <w:t>2024</w:t>
                              </w:r>
                            </w:p>
                          </w:txbxContent>
                        </wps:txbx>
                        <wps:bodyPr wrap="square" lIns="0" tIns="0" rIns="0" bIns="0" rtlCol="0">
                          <a:noAutofit/>
                        </wps:bodyPr>
                      </wps:wsp>
                      <wps:wsp>
                        <wps:cNvPr id="142" name="Textbox 142"/>
                        <wps:cNvSpPr txBox="1"/>
                        <wps:spPr>
                          <a:xfrm>
                            <a:off x="4685855" y="2590260"/>
                            <a:ext cx="342900" cy="128270"/>
                          </a:xfrm>
                          <a:prstGeom prst="rect">
                            <a:avLst/>
                          </a:prstGeom>
                        </wps:spPr>
                        <wps:txbx>
                          <w:txbxContent>
                            <w:p>
                              <w:pPr>
                                <w:spacing w:line="201" w:lineRule="exact" w:before="0"/>
                                <w:ind w:left="0" w:right="0" w:firstLine="0"/>
                                <w:jc w:val="left"/>
                                <w:rPr>
                                  <w:sz w:val="18"/>
                                </w:rPr>
                              </w:pPr>
                              <w:r>
                                <w:rPr>
                                  <w:spacing w:val="-2"/>
                                  <w:sz w:val="18"/>
                                </w:rPr>
                                <w:t>-</w:t>
                              </w:r>
                              <w:r>
                                <w:rPr>
                                  <w:spacing w:val="-4"/>
                                  <w:sz w:val="18"/>
                                </w:rPr>
                                <w:t>100%</w:t>
                              </w:r>
                            </w:p>
                          </w:txbxContent>
                        </wps:txbx>
                        <wps:bodyPr wrap="square" lIns="0" tIns="0" rIns="0" bIns="0" rtlCol="0">
                          <a:noAutofit/>
                        </wps:bodyPr>
                      </wps:wsp>
                      <wps:wsp>
                        <wps:cNvPr id="143" name="Textbox 143"/>
                        <wps:cNvSpPr txBox="1"/>
                        <wps:spPr>
                          <a:xfrm>
                            <a:off x="526859" y="2590260"/>
                            <a:ext cx="50800" cy="128270"/>
                          </a:xfrm>
                          <a:prstGeom prst="rect">
                            <a:avLst/>
                          </a:prstGeom>
                        </wps:spPr>
                        <wps:txbx>
                          <w:txbxContent>
                            <w:p>
                              <w:pPr>
                                <w:spacing w:line="201" w:lineRule="exact" w:before="0"/>
                                <w:ind w:left="0" w:right="0" w:firstLine="0"/>
                                <w:jc w:val="left"/>
                                <w:rPr>
                                  <w:sz w:val="18"/>
                                </w:rPr>
                              </w:pPr>
                              <w:r>
                                <w:rPr>
                                  <w:spacing w:val="-10"/>
                                  <w:sz w:val="18"/>
                                </w:rPr>
                                <w:t>-</w:t>
                              </w:r>
                            </w:p>
                          </w:txbxContent>
                        </wps:txbx>
                        <wps:bodyPr wrap="square" lIns="0" tIns="0" rIns="0" bIns="0" rtlCol="0">
                          <a:noAutofit/>
                        </wps:bodyPr>
                      </wps:wsp>
                      <wps:wsp>
                        <wps:cNvPr id="144" name="Textbox 144"/>
                        <wps:cNvSpPr txBox="1"/>
                        <wps:spPr>
                          <a:xfrm>
                            <a:off x="4685855" y="2303113"/>
                            <a:ext cx="279400" cy="128270"/>
                          </a:xfrm>
                          <a:prstGeom prst="rect">
                            <a:avLst/>
                          </a:prstGeom>
                        </wps:spPr>
                        <wps:txbx>
                          <w:txbxContent>
                            <w:p>
                              <w:pPr>
                                <w:spacing w:line="201" w:lineRule="exact" w:before="0"/>
                                <w:ind w:left="0" w:right="0" w:firstLine="0"/>
                                <w:jc w:val="left"/>
                                <w:rPr>
                                  <w:sz w:val="18"/>
                                </w:rPr>
                              </w:pPr>
                              <w:r>
                                <w:rPr>
                                  <w:spacing w:val="-2"/>
                                  <w:sz w:val="18"/>
                                </w:rPr>
                                <w:t>-</w:t>
                              </w:r>
                              <w:r>
                                <w:rPr>
                                  <w:spacing w:val="-5"/>
                                  <w:sz w:val="18"/>
                                </w:rPr>
                                <w:t>80%</w:t>
                              </w:r>
                            </w:p>
                          </w:txbxContent>
                        </wps:txbx>
                        <wps:bodyPr wrap="square" lIns="0" tIns="0" rIns="0" bIns="0" rtlCol="0">
                          <a:noAutofit/>
                        </wps:bodyPr>
                      </wps:wsp>
                      <wps:wsp>
                        <wps:cNvPr id="145" name="Textbox 145"/>
                        <wps:cNvSpPr txBox="1"/>
                        <wps:spPr>
                          <a:xfrm>
                            <a:off x="55968" y="2159603"/>
                            <a:ext cx="584200" cy="128270"/>
                          </a:xfrm>
                          <a:prstGeom prst="rect">
                            <a:avLst/>
                          </a:prstGeom>
                        </wps:spPr>
                        <wps:txbx>
                          <w:txbxContent>
                            <w:p>
                              <w:pPr>
                                <w:spacing w:line="201" w:lineRule="exact" w:before="0"/>
                                <w:ind w:left="0" w:right="0" w:firstLine="0"/>
                                <w:jc w:val="left"/>
                                <w:rPr>
                                  <w:sz w:val="18"/>
                                </w:rPr>
                              </w:pPr>
                              <w:r>
                                <w:rPr>
                                  <w:spacing w:val="-2"/>
                                  <w:sz w:val="18"/>
                                </w:rPr>
                                <w:t>10,000,000</w:t>
                              </w:r>
                            </w:p>
                          </w:txbxContent>
                        </wps:txbx>
                        <wps:bodyPr wrap="square" lIns="0" tIns="0" rIns="0" bIns="0" rtlCol="0">
                          <a:noAutofit/>
                        </wps:bodyPr>
                      </wps:wsp>
                      <wps:wsp>
                        <wps:cNvPr id="146" name="Textbox 146"/>
                        <wps:cNvSpPr txBox="1"/>
                        <wps:spPr>
                          <a:xfrm>
                            <a:off x="4685855" y="1728946"/>
                            <a:ext cx="279400" cy="415290"/>
                          </a:xfrm>
                          <a:prstGeom prst="rect">
                            <a:avLst/>
                          </a:prstGeom>
                        </wps:spPr>
                        <wps:txbx>
                          <w:txbxContent>
                            <w:p>
                              <w:pPr>
                                <w:spacing w:line="201" w:lineRule="exact" w:before="0"/>
                                <w:ind w:left="0" w:right="0" w:firstLine="0"/>
                                <w:jc w:val="left"/>
                                <w:rPr>
                                  <w:sz w:val="18"/>
                                </w:rPr>
                              </w:pPr>
                              <w:r>
                                <w:rPr>
                                  <w:spacing w:val="-2"/>
                                  <w:sz w:val="18"/>
                                </w:rPr>
                                <w:t>-</w:t>
                              </w:r>
                              <w:r>
                                <w:rPr>
                                  <w:spacing w:val="-5"/>
                                  <w:sz w:val="18"/>
                                </w:rPr>
                                <w:t>40%</w:t>
                              </w:r>
                            </w:p>
                            <w:p>
                              <w:pPr>
                                <w:spacing w:line="240" w:lineRule="auto" w:before="38"/>
                                <w:rPr>
                                  <w:sz w:val="18"/>
                                </w:rPr>
                              </w:pPr>
                            </w:p>
                            <w:p>
                              <w:pPr>
                                <w:spacing w:before="0"/>
                                <w:ind w:left="0" w:right="0" w:firstLine="0"/>
                                <w:jc w:val="left"/>
                                <w:rPr>
                                  <w:sz w:val="18"/>
                                </w:rPr>
                              </w:pPr>
                              <w:r>
                                <w:rPr>
                                  <w:spacing w:val="-2"/>
                                  <w:sz w:val="18"/>
                                </w:rPr>
                                <w:t>-</w:t>
                              </w:r>
                              <w:r>
                                <w:rPr>
                                  <w:spacing w:val="-5"/>
                                  <w:sz w:val="18"/>
                                </w:rPr>
                                <w:t>60%</w:t>
                              </w:r>
                            </w:p>
                          </w:txbxContent>
                        </wps:txbx>
                        <wps:bodyPr wrap="square" lIns="0" tIns="0" rIns="0" bIns="0" rtlCol="0">
                          <a:noAutofit/>
                        </wps:bodyPr>
                      </wps:wsp>
                      <wps:wsp>
                        <wps:cNvPr id="147" name="Textbox 147"/>
                        <wps:cNvSpPr txBox="1"/>
                        <wps:spPr>
                          <a:xfrm>
                            <a:off x="55968" y="1728946"/>
                            <a:ext cx="584200" cy="128270"/>
                          </a:xfrm>
                          <a:prstGeom prst="rect">
                            <a:avLst/>
                          </a:prstGeom>
                        </wps:spPr>
                        <wps:txbx>
                          <w:txbxContent>
                            <w:p>
                              <w:pPr>
                                <w:spacing w:line="201" w:lineRule="exact" w:before="0"/>
                                <w:ind w:left="0" w:right="0" w:firstLine="0"/>
                                <w:jc w:val="left"/>
                                <w:rPr>
                                  <w:sz w:val="18"/>
                                </w:rPr>
                              </w:pPr>
                              <w:r>
                                <w:rPr>
                                  <w:spacing w:val="-2"/>
                                  <w:sz w:val="18"/>
                                </w:rPr>
                                <w:t>20,000,000</w:t>
                              </w:r>
                            </w:p>
                          </w:txbxContent>
                        </wps:txbx>
                        <wps:bodyPr wrap="square" lIns="0" tIns="0" rIns="0" bIns="0" rtlCol="0">
                          <a:noAutofit/>
                        </wps:bodyPr>
                      </wps:wsp>
                      <wps:wsp>
                        <wps:cNvPr id="148" name="Textbox 148"/>
                        <wps:cNvSpPr txBox="1"/>
                        <wps:spPr>
                          <a:xfrm>
                            <a:off x="4685855" y="1441269"/>
                            <a:ext cx="279400" cy="128270"/>
                          </a:xfrm>
                          <a:prstGeom prst="rect">
                            <a:avLst/>
                          </a:prstGeom>
                        </wps:spPr>
                        <wps:txbx>
                          <w:txbxContent>
                            <w:p>
                              <w:pPr>
                                <w:spacing w:line="202" w:lineRule="exact" w:before="0"/>
                                <w:ind w:left="0" w:right="0" w:firstLine="0"/>
                                <w:jc w:val="left"/>
                                <w:rPr>
                                  <w:sz w:val="18"/>
                                </w:rPr>
                              </w:pPr>
                              <w:r>
                                <w:rPr>
                                  <w:spacing w:val="-2"/>
                                  <w:sz w:val="18"/>
                                </w:rPr>
                                <w:t>-</w:t>
                              </w:r>
                              <w:r>
                                <w:rPr>
                                  <w:spacing w:val="-5"/>
                                  <w:sz w:val="18"/>
                                </w:rPr>
                                <w:t>20%</w:t>
                              </w:r>
                            </w:p>
                          </w:txbxContent>
                        </wps:txbx>
                        <wps:bodyPr wrap="square" lIns="0" tIns="0" rIns="0" bIns="0" rtlCol="0">
                          <a:noAutofit/>
                        </wps:bodyPr>
                      </wps:wsp>
                      <wps:wsp>
                        <wps:cNvPr id="149" name="Textbox 149"/>
                        <wps:cNvSpPr txBox="1"/>
                        <wps:spPr>
                          <a:xfrm>
                            <a:off x="55968" y="1297908"/>
                            <a:ext cx="584200" cy="128270"/>
                          </a:xfrm>
                          <a:prstGeom prst="rect">
                            <a:avLst/>
                          </a:prstGeom>
                        </wps:spPr>
                        <wps:txbx>
                          <w:txbxContent>
                            <w:p>
                              <w:pPr>
                                <w:spacing w:line="201" w:lineRule="exact" w:before="0"/>
                                <w:ind w:left="0" w:right="0" w:firstLine="0"/>
                                <w:jc w:val="left"/>
                                <w:rPr>
                                  <w:sz w:val="18"/>
                                </w:rPr>
                              </w:pPr>
                              <w:r>
                                <w:rPr>
                                  <w:spacing w:val="-2"/>
                                  <w:sz w:val="18"/>
                                </w:rPr>
                                <w:t>30,000,000</w:t>
                              </w:r>
                            </w:p>
                          </w:txbxContent>
                        </wps:txbx>
                        <wps:bodyPr wrap="square" lIns="0" tIns="0" rIns="0" bIns="0" rtlCol="0">
                          <a:noAutofit/>
                        </wps:bodyPr>
                      </wps:wsp>
                      <wps:wsp>
                        <wps:cNvPr id="150" name="Textbox 150"/>
                        <wps:cNvSpPr txBox="1"/>
                        <wps:spPr>
                          <a:xfrm>
                            <a:off x="4685855" y="1154398"/>
                            <a:ext cx="179070" cy="128270"/>
                          </a:xfrm>
                          <a:prstGeom prst="rect">
                            <a:avLst/>
                          </a:prstGeom>
                        </wps:spPr>
                        <wps:txbx>
                          <w:txbxContent>
                            <w:p>
                              <w:pPr>
                                <w:spacing w:line="201" w:lineRule="exact" w:before="0"/>
                                <w:ind w:left="0" w:right="0" w:firstLine="0"/>
                                <w:jc w:val="left"/>
                                <w:rPr>
                                  <w:sz w:val="18"/>
                                </w:rPr>
                              </w:pPr>
                              <w:r>
                                <w:rPr>
                                  <w:spacing w:val="-5"/>
                                  <w:sz w:val="18"/>
                                </w:rPr>
                                <w:t>0%</w:t>
                              </w:r>
                            </w:p>
                          </w:txbxContent>
                        </wps:txbx>
                        <wps:bodyPr wrap="square" lIns="0" tIns="0" rIns="0" bIns="0" rtlCol="0">
                          <a:noAutofit/>
                        </wps:bodyPr>
                      </wps:wsp>
                      <wps:wsp>
                        <wps:cNvPr id="151" name="Textbox 151"/>
                        <wps:cNvSpPr txBox="1"/>
                        <wps:spPr>
                          <a:xfrm>
                            <a:off x="4408106" y="1075763"/>
                            <a:ext cx="281305" cy="128270"/>
                          </a:xfrm>
                          <a:prstGeom prst="rect">
                            <a:avLst/>
                          </a:prstGeom>
                        </wps:spPr>
                        <wps:txbx>
                          <w:txbxContent>
                            <w:p>
                              <w:pPr>
                                <w:spacing w:line="202" w:lineRule="exact" w:before="0"/>
                                <w:ind w:left="0" w:right="0" w:firstLine="0"/>
                                <w:jc w:val="left"/>
                                <w:rPr>
                                  <w:rFonts w:ascii="Arial"/>
                                  <w:b/>
                                  <w:sz w:val="18"/>
                                </w:rPr>
                              </w:pPr>
                              <w:r>
                                <w:rPr>
                                  <w:rFonts w:ascii="Arial"/>
                                  <w:b/>
                                  <w:color w:val="ED0000"/>
                                  <w:spacing w:val="-2"/>
                                  <w:sz w:val="18"/>
                                </w:rPr>
                                <w:t>-</w:t>
                              </w:r>
                              <w:r>
                                <w:rPr>
                                  <w:rFonts w:ascii="Arial"/>
                                  <w:b/>
                                  <w:color w:val="ED0000"/>
                                  <w:spacing w:val="-5"/>
                                  <w:sz w:val="18"/>
                                </w:rPr>
                                <w:t>92%</w:t>
                              </w:r>
                            </w:p>
                          </w:txbxContent>
                        </wps:txbx>
                        <wps:bodyPr wrap="square" lIns="0" tIns="0" rIns="0" bIns="0" rtlCol="0">
                          <a:noAutofit/>
                        </wps:bodyPr>
                      </wps:wsp>
                      <wps:wsp>
                        <wps:cNvPr id="152" name="Textbox 152"/>
                        <wps:cNvSpPr txBox="1"/>
                        <wps:spPr>
                          <a:xfrm>
                            <a:off x="2662872" y="1022445"/>
                            <a:ext cx="179070" cy="128270"/>
                          </a:xfrm>
                          <a:prstGeom prst="rect">
                            <a:avLst/>
                          </a:prstGeom>
                        </wps:spPr>
                        <wps:txbx>
                          <w:txbxContent>
                            <w:p>
                              <w:pPr>
                                <w:spacing w:line="201" w:lineRule="exact" w:before="0"/>
                                <w:ind w:left="0" w:right="0" w:firstLine="0"/>
                                <w:jc w:val="left"/>
                                <w:rPr>
                                  <w:sz w:val="18"/>
                                </w:rPr>
                              </w:pPr>
                              <w:r>
                                <w:rPr>
                                  <w:spacing w:val="-5"/>
                                  <w:sz w:val="18"/>
                                </w:rPr>
                                <w:t>1%</w:t>
                              </w:r>
                            </w:p>
                          </w:txbxContent>
                        </wps:txbx>
                        <wps:bodyPr wrap="square" lIns="0" tIns="0" rIns="0" bIns="0" rtlCol="0">
                          <a:noAutofit/>
                        </wps:bodyPr>
                      </wps:wsp>
                      <wps:wsp>
                        <wps:cNvPr id="153" name="Textbox 153"/>
                        <wps:cNvSpPr txBox="1"/>
                        <wps:spPr>
                          <a:xfrm>
                            <a:off x="4685855" y="867251"/>
                            <a:ext cx="241300" cy="128270"/>
                          </a:xfrm>
                          <a:prstGeom prst="rect">
                            <a:avLst/>
                          </a:prstGeom>
                        </wps:spPr>
                        <wps:txbx>
                          <w:txbxContent>
                            <w:p>
                              <w:pPr>
                                <w:spacing w:line="201" w:lineRule="exact" w:before="0"/>
                                <w:ind w:left="0" w:right="0" w:firstLine="0"/>
                                <w:jc w:val="left"/>
                                <w:rPr>
                                  <w:sz w:val="18"/>
                                </w:rPr>
                              </w:pPr>
                              <w:r>
                                <w:rPr>
                                  <w:spacing w:val="-5"/>
                                  <w:sz w:val="18"/>
                                </w:rPr>
                                <w:t>20%</w:t>
                              </w:r>
                            </w:p>
                          </w:txbxContent>
                        </wps:txbx>
                        <wps:bodyPr wrap="square" lIns="0" tIns="0" rIns="0" bIns="0" rtlCol="0">
                          <a:noAutofit/>
                        </wps:bodyPr>
                      </wps:wsp>
                      <wps:wsp>
                        <wps:cNvPr id="154" name="Textbox 154"/>
                        <wps:cNvSpPr txBox="1"/>
                        <wps:spPr>
                          <a:xfrm>
                            <a:off x="2485707" y="825849"/>
                            <a:ext cx="217170" cy="128270"/>
                          </a:xfrm>
                          <a:prstGeom prst="rect">
                            <a:avLst/>
                          </a:prstGeom>
                        </wps:spPr>
                        <wps:txbx>
                          <w:txbxContent>
                            <w:p>
                              <w:pPr>
                                <w:spacing w:line="201" w:lineRule="exact" w:before="0"/>
                                <w:ind w:left="0" w:right="0" w:firstLine="0"/>
                                <w:jc w:val="left"/>
                                <w:rPr>
                                  <w:sz w:val="18"/>
                                </w:rPr>
                              </w:pPr>
                              <w:r>
                                <w:rPr>
                                  <w:sz w:val="18"/>
                                </w:rPr>
                                <w:t>-</w:t>
                              </w:r>
                              <w:r>
                                <w:rPr>
                                  <w:spacing w:val="-5"/>
                                  <w:sz w:val="18"/>
                                </w:rPr>
                                <w:t>2%</w:t>
                              </w:r>
                            </w:p>
                          </w:txbxContent>
                        </wps:txbx>
                        <wps:bodyPr wrap="square" lIns="0" tIns="0" rIns="0" bIns="0" rtlCol="0">
                          <a:noAutofit/>
                        </wps:bodyPr>
                      </wps:wsp>
                      <wps:wsp>
                        <wps:cNvPr id="155" name="Textbox 155"/>
                        <wps:cNvSpPr txBox="1"/>
                        <wps:spPr>
                          <a:xfrm>
                            <a:off x="55968" y="867251"/>
                            <a:ext cx="584200" cy="128270"/>
                          </a:xfrm>
                          <a:prstGeom prst="rect">
                            <a:avLst/>
                          </a:prstGeom>
                        </wps:spPr>
                        <wps:txbx>
                          <w:txbxContent>
                            <w:p>
                              <w:pPr>
                                <w:spacing w:line="201" w:lineRule="exact" w:before="0"/>
                                <w:ind w:left="0" w:right="0" w:firstLine="0"/>
                                <w:jc w:val="left"/>
                                <w:rPr>
                                  <w:sz w:val="18"/>
                                </w:rPr>
                              </w:pPr>
                              <w:r>
                                <w:rPr>
                                  <w:spacing w:val="-2"/>
                                  <w:sz w:val="18"/>
                                </w:rPr>
                                <w:t>40,000,000</w:t>
                              </w:r>
                            </w:p>
                          </w:txbxContent>
                        </wps:txbx>
                        <wps:bodyPr wrap="square" lIns="0" tIns="0" rIns="0" bIns="0" rtlCol="0">
                          <a:noAutofit/>
                        </wps:bodyPr>
                      </wps:wsp>
                      <wps:wsp>
                        <wps:cNvPr id="156" name="Textbox 156"/>
                        <wps:cNvSpPr txBox="1"/>
                        <wps:spPr>
                          <a:xfrm>
                            <a:off x="4685855" y="580104"/>
                            <a:ext cx="241300" cy="128270"/>
                          </a:xfrm>
                          <a:prstGeom prst="rect">
                            <a:avLst/>
                          </a:prstGeom>
                        </wps:spPr>
                        <wps:txbx>
                          <w:txbxContent>
                            <w:p>
                              <w:pPr>
                                <w:spacing w:line="201" w:lineRule="exact" w:before="0"/>
                                <w:ind w:left="0" w:right="0" w:firstLine="0"/>
                                <w:jc w:val="left"/>
                                <w:rPr>
                                  <w:sz w:val="18"/>
                                </w:rPr>
                              </w:pPr>
                              <w:r>
                                <w:rPr>
                                  <w:spacing w:val="-5"/>
                                  <w:sz w:val="18"/>
                                </w:rPr>
                                <w:t>40%</w:t>
                              </w:r>
                            </w:p>
                          </w:txbxContent>
                        </wps:txbx>
                        <wps:bodyPr wrap="square" lIns="0" tIns="0" rIns="0" bIns="0" rtlCol="0">
                          <a:noAutofit/>
                        </wps:bodyPr>
                      </wps:wsp>
                      <wps:wsp>
                        <wps:cNvPr id="157" name="Textbox 157"/>
                        <wps:cNvSpPr txBox="1"/>
                        <wps:spPr>
                          <a:xfrm>
                            <a:off x="55968" y="436594"/>
                            <a:ext cx="584200" cy="128270"/>
                          </a:xfrm>
                          <a:prstGeom prst="rect">
                            <a:avLst/>
                          </a:prstGeom>
                        </wps:spPr>
                        <wps:txbx>
                          <w:txbxContent>
                            <w:p>
                              <w:pPr>
                                <w:spacing w:line="201" w:lineRule="exact" w:before="0"/>
                                <w:ind w:left="0" w:right="0" w:firstLine="0"/>
                                <w:jc w:val="left"/>
                                <w:rPr>
                                  <w:sz w:val="18"/>
                                </w:rPr>
                              </w:pPr>
                              <w:r>
                                <w:rPr>
                                  <w:spacing w:val="-2"/>
                                  <w:sz w:val="18"/>
                                </w:rPr>
                                <w:t>50,000,000</w:t>
                              </w:r>
                            </w:p>
                          </w:txbxContent>
                        </wps:txbx>
                        <wps:bodyPr wrap="square" lIns="0" tIns="0" rIns="0" bIns="0" rtlCol="0">
                          <a:noAutofit/>
                        </wps:bodyPr>
                      </wps:wsp>
                      <wps:wsp>
                        <wps:cNvPr id="158" name="Textbox 158"/>
                        <wps:cNvSpPr txBox="1"/>
                        <wps:spPr>
                          <a:xfrm>
                            <a:off x="4685855" y="292957"/>
                            <a:ext cx="241300" cy="128270"/>
                          </a:xfrm>
                          <a:prstGeom prst="rect">
                            <a:avLst/>
                          </a:prstGeom>
                        </wps:spPr>
                        <wps:txbx>
                          <w:txbxContent>
                            <w:p>
                              <w:pPr>
                                <w:spacing w:line="201" w:lineRule="exact" w:before="0"/>
                                <w:ind w:left="0" w:right="0" w:firstLine="0"/>
                                <w:jc w:val="left"/>
                                <w:rPr>
                                  <w:sz w:val="18"/>
                                </w:rPr>
                              </w:pPr>
                              <w:r>
                                <w:rPr>
                                  <w:spacing w:val="-5"/>
                                  <w:sz w:val="18"/>
                                </w:rPr>
                                <w:t>60%</w:t>
                              </w:r>
                            </w:p>
                          </w:txbxContent>
                        </wps:txbx>
                        <wps:bodyPr wrap="square" lIns="0" tIns="0" rIns="0" bIns="0" rtlCol="0">
                          <a:noAutofit/>
                        </wps:bodyPr>
                      </wps:wsp>
                      <wps:wsp>
                        <wps:cNvPr id="159" name="Textbox 159"/>
                        <wps:cNvSpPr txBox="1"/>
                        <wps:spPr>
                          <a:xfrm>
                            <a:off x="4253928" y="110712"/>
                            <a:ext cx="243204" cy="128270"/>
                          </a:xfrm>
                          <a:prstGeom prst="rect">
                            <a:avLst/>
                          </a:prstGeom>
                        </wps:spPr>
                        <wps:txbx>
                          <w:txbxContent>
                            <w:p>
                              <w:pPr>
                                <w:spacing w:line="201" w:lineRule="exact" w:before="0"/>
                                <w:ind w:left="0" w:right="0" w:firstLine="0"/>
                                <w:jc w:val="left"/>
                                <w:rPr>
                                  <w:rFonts w:ascii="Arial"/>
                                  <w:b/>
                                  <w:sz w:val="18"/>
                                </w:rPr>
                              </w:pPr>
                              <w:r>
                                <w:rPr>
                                  <w:rFonts w:ascii="Arial"/>
                                  <w:b/>
                                  <w:color w:val="ED0000"/>
                                  <w:spacing w:val="-5"/>
                                  <w:sz w:val="18"/>
                                </w:rPr>
                                <w:t>64%</w:t>
                              </w:r>
                            </w:p>
                          </w:txbxContent>
                        </wps:txbx>
                        <wps:bodyPr wrap="square" lIns="0" tIns="0" rIns="0" bIns="0" rtlCol="0">
                          <a:noAutofit/>
                        </wps:bodyPr>
                      </wps:wsp>
                      <wps:wsp>
                        <wps:cNvPr id="160" name="Textbox 160"/>
                        <wps:cNvSpPr txBox="1"/>
                        <wps:spPr>
                          <a:xfrm>
                            <a:off x="4685855" y="5937"/>
                            <a:ext cx="241300" cy="128270"/>
                          </a:xfrm>
                          <a:prstGeom prst="rect">
                            <a:avLst/>
                          </a:prstGeom>
                        </wps:spPr>
                        <wps:txbx>
                          <w:txbxContent>
                            <w:p>
                              <w:pPr>
                                <w:spacing w:line="201" w:lineRule="exact" w:before="0"/>
                                <w:ind w:left="0" w:right="0" w:firstLine="0"/>
                                <w:jc w:val="left"/>
                                <w:rPr>
                                  <w:sz w:val="18"/>
                                </w:rPr>
                              </w:pPr>
                              <w:r>
                                <w:rPr>
                                  <w:spacing w:val="-5"/>
                                  <w:sz w:val="18"/>
                                </w:rPr>
                                <w:t>80%</w:t>
                              </w:r>
                            </w:p>
                          </w:txbxContent>
                        </wps:txbx>
                        <wps:bodyPr wrap="square" lIns="0" tIns="0" rIns="0" bIns="0" rtlCol="0">
                          <a:noAutofit/>
                        </wps:bodyPr>
                      </wps:wsp>
                      <wps:wsp>
                        <wps:cNvPr id="161" name="Textbox 161"/>
                        <wps:cNvSpPr txBox="1"/>
                        <wps:spPr>
                          <a:xfrm>
                            <a:off x="55968" y="5937"/>
                            <a:ext cx="584200" cy="128270"/>
                          </a:xfrm>
                          <a:prstGeom prst="rect">
                            <a:avLst/>
                          </a:prstGeom>
                        </wps:spPr>
                        <wps:txbx>
                          <w:txbxContent>
                            <w:p>
                              <w:pPr>
                                <w:spacing w:line="201" w:lineRule="exact" w:before="0"/>
                                <w:ind w:left="0" w:right="0" w:firstLine="0"/>
                                <w:jc w:val="left"/>
                                <w:rPr>
                                  <w:sz w:val="18"/>
                                </w:rPr>
                              </w:pPr>
                              <w:r>
                                <w:rPr>
                                  <w:spacing w:val="-2"/>
                                  <w:sz w:val="18"/>
                                </w:rPr>
                                <w:t>60,000,000</w:t>
                              </w:r>
                            </w:p>
                          </w:txbxContent>
                        </wps:txbx>
                        <wps:bodyPr wrap="square" lIns="0" tIns="0" rIns="0" bIns="0" rtlCol="0">
                          <a:noAutofit/>
                        </wps:bodyPr>
                      </wps:wsp>
                    </wpg:wgp>
                  </a:graphicData>
                </a:graphic>
              </wp:anchor>
            </w:drawing>
          </mc:Choice>
          <mc:Fallback>
            <w:pict>
              <v:group style="position:absolute;margin-left:127.695pt;margin-top:12.225945pt;width:396.75pt;height:304.05pt;mso-position-horizontal-relative:page;mso-position-vertical-relative:paragraph;z-index:15742464" id="docshapegroup70" coordorigin="2554,245" coordsize="7935,6081">
                <v:shape style="position:absolute;left:3747;top:358;width:6030;height:3391" id="docshape71" coordorigin="3747,358" coordsize="6030,3391" path="m3747,3748l8704,3748m8971,3748l9776,3748m6411,3072l6557,3072m6824,3072l6996,3072m7263,3072l8314,3072m8581,3072l9776,3072m4114,3072l4188,3072m4455,3072l6144,3072m3747,3072l3847,3072m4455,2392l6144,2392m6411,2392l6996,2392m4114,2392l4188,2392m8581,2392l9776,2392m3747,2392l3847,2392m7263,2392l8314,2392m3747,1716l8818,1716m9085,1716l9776,1716m9085,1036l9776,1036m3747,1036l8818,1036m3747,358l9776,358e" filled="false" stroked="true" strokeweight=".75pt" strokecolor="#d9d9d9">
                  <v:path arrowok="t"/>
                  <v:stroke dashstyle="solid"/>
                </v:shape>
                <v:shape style="position:absolute;left:6609;top:710;width:3087;height:3538" id="docshape72" coordorigin="6610,710" coordsize="3087,3538" path="m6682,2167l6610,2167,6610,2220,6682,2220,6682,2167xm6914,2145l6842,2145,6842,2167,6914,2167,6914,2145xm9466,710l9391,710,9391,2167,9466,2167,9466,710xm9696,2167l9624,2167,9624,4248,9696,4248,9696,2167xe" filled="true" fillcolor="#ec7c30" stroked="false">
                  <v:path arrowok="t"/>
                  <v:fill type="solid"/>
                </v:shape>
                <v:shape style="position:absolute;left:3747;top:4427;width:6030;height:1339" id="docshape73" coordorigin="3747,4428" coordsize="6030,1339" path="m3747,4428l9776,4428m3747,4428l3747,5442m6530,4428l6530,5442m9312,4428l9312,5442m9776,4428l9776,5442m3747,5442l3747,5766m6530,5442l6530,5766m9312,5442l9312,5766m9776,5442l9776,5766e" filled="false" stroked="true" strokeweight=".75pt" strokecolor="#d9d9d9">
                  <v:path arrowok="t"/>
                  <v:stroke dashstyle="solid"/>
                </v:shape>
                <v:shape style="position:absolute;left:3863;top:970;width:5798;height:3279" id="docshape74" coordorigin="3863,970" coordsize="5798,3279" path="m3863,2275l4094,2217,4327,2006,4558,1939,4790,1752,5023,2191,5254,1932,5486,1982,5719,2126,5950,1840,6182,2095,6413,1908,6646,2325,6878,2196,7109,2270,7342,1790,7574,2056,7805,1872,8038,1600,8268,1833,8501,1495,8734,2232,8964,2042,9197,1564,9430,970,9661,4249e" filled="false" stroked="true" strokeweight="2.25pt" strokecolor="#5b9bd4">
                  <v:path arrowok="t"/>
                  <v:stroke dashstyle="solid"/>
                </v:shape>
                <v:shape style="position:absolute;left:4095;top:970;width:5566;height:3279" id="docshape75" coordorigin="4095,970" coordsize="5566,3279" path="m6646,2220l6628,1776m4095,2217l4097,2855,4188,2855m6414,1909l6277,2373m6878,2196l6907,2911,6996,2911m8965,2041l8671,2701,8581,2701m9429,970l9175,1279,9085,1279m9661,4249l9060,3940,8970,3940e" filled="false" stroked="true" strokeweight=".75pt" strokecolor="#a6a6a6">
                  <v:path arrowok="t"/>
                  <v:stroke dashstyle="solid"/>
                </v:shape>
                <v:rect style="position:absolute;left:3846;top:2313;width:267;height:1071" id="docshape76" filled="true" fillcolor="#ffffff" stroked="false">
                  <v:fill type="solid"/>
                </v:rect>
                <v:rect style="position:absolute;left:3846;top:2313;width:267;height:1071" id="docshape77" filled="false" stroked="true" strokeweight="1.5pt" strokecolor="#000000">
                  <v:stroke dashstyle="solid"/>
                </v:rect>
                <v:rect style="position:absolute;left:4187;top:2319;width:267;height:1071" id="docshape78" filled="true" fillcolor="#ffffff" stroked="false">
                  <v:fill type="solid"/>
                </v:rect>
                <v:rect style="position:absolute;left:4187;top:2319;width:267;height:1071" id="docshape79" filled="false" stroked="true" strokeweight="1.5pt" strokecolor="#000000">
                  <v:stroke dashstyle="solid"/>
                </v:rect>
                <v:rect style="position:absolute;left:6143;top:2373;width:267;height:1071" id="docshape80" filled="true" fillcolor="#ffffff" stroked="false">
                  <v:fill type="solid"/>
                </v:rect>
                <v:rect style="position:absolute;left:6143;top:2373;width:267;height:1071" id="docshape81" filled="false" stroked="true" strokeweight="1.5pt" strokecolor="#000000">
                  <v:stroke dashstyle="solid"/>
                </v:rect>
                <v:rect style="position:absolute;left:6557;top:2387;width:267;height:1071" id="docshape82" filled="true" fillcolor="#ffffff" stroked="false">
                  <v:fill type="solid"/>
                </v:rect>
                <v:rect style="position:absolute;left:6557;top:2387;width:267;height:1071" id="docshape83" filled="false" stroked="true" strokeweight="1.5pt" strokecolor="#000000">
                  <v:stroke dashstyle="solid"/>
                </v:rect>
                <v:rect style="position:absolute;left:6996;top:2375;width:267;height:1071" id="docshape84" filled="true" fillcolor="#ffffff" stroked="false">
                  <v:fill type="solid"/>
                </v:rect>
                <v:rect style="position:absolute;left:6996;top:2375;width:267;height:1071" id="docshape85" filled="false" stroked="true" strokeweight="1.5pt" strokecolor="#000000">
                  <v:stroke dashstyle="solid"/>
                </v:rect>
                <v:rect style="position:absolute;left:8314;top:2166;width:267;height:1071" id="docshape86" filled="true" fillcolor="#ffffff" stroked="false">
                  <v:fill type="solid"/>
                </v:rect>
                <v:rect style="position:absolute;left:8314;top:2166;width:267;height:1071" id="docshape87" filled="false" stroked="true" strokeweight="1.5pt" strokecolor="#000000">
                  <v:stroke dashstyle="solid"/>
                </v:rect>
                <v:rect style="position:absolute;left:8818;top:743;width:267;height:1071" id="docshape88" filled="true" fillcolor="#ffffff" stroked="false">
                  <v:fill type="solid"/>
                </v:rect>
                <v:rect style="position:absolute;left:8818;top:743;width:267;height:1071" id="docshape89" filled="false" stroked="true" strokeweight="1.5pt" strokecolor="#000000">
                  <v:stroke dashstyle="solid"/>
                </v:rect>
                <v:rect style="position:absolute;left:8703;top:3454;width:267;height:971" id="docshape90" filled="true" fillcolor="#ffffff" stroked="false">
                  <v:fill type="solid"/>
                </v:rect>
                <v:rect style="position:absolute;left:8703;top:3454;width:267;height:971" id="docshape91" filled="false" stroked="true" strokeweight="1.5pt" strokecolor="#000000">
                  <v:stroke dashstyle="solid"/>
                </v:rect>
                <v:rect style="position:absolute;left:4440;top:5993;width:384;height:91" id="docshape92" filled="true" fillcolor="#ec7c30" stroked="false">
                  <v:fill type="solid"/>
                </v:rect>
                <v:line style="position:absolute" from="7169,6039" to="7553,6039" stroked="true" strokeweight="2.25pt" strokecolor="#5b9bd4">
                  <v:stroke dashstyle="solid"/>
                </v:line>
                <v:rect style="position:absolute;left:2561;top:252;width:7920;height:6066" id="docshape93" filled="false" stroked="true" strokeweight=".75pt" strokecolor="#d9d9d9">
                  <v:stroke dashstyle="solid"/>
                </v:rect>
                <v:shape style="position:absolute;left:7594;top:5935;width:1101;height:202" type="#_x0000_t202" id="docshape94" filled="false" stroked="false">
                  <v:textbox inset="0,0,0,0">
                    <w:txbxContent>
                      <w:p>
                        <w:pPr>
                          <w:spacing w:line="201" w:lineRule="exact" w:before="0"/>
                          <w:ind w:left="0" w:right="0" w:firstLine="0"/>
                          <w:jc w:val="left"/>
                          <w:rPr>
                            <w:sz w:val="18"/>
                          </w:rPr>
                        </w:pPr>
                        <w:r>
                          <w:rPr>
                            <w:spacing w:val="-2"/>
                            <w:sz w:val="18"/>
                          </w:rPr>
                          <w:t>073-TULCAN</w:t>
                        </w:r>
                      </w:p>
                    </w:txbxContent>
                  </v:textbox>
                  <w10:wrap type="none"/>
                </v:shape>
                <v:shape style="position:absolute;left:4865;top:5935;width:1951;height:202" type="#_x0000_t202" id="docshape95" filled="false" stroked="false">
                  <v:textbox inset="0,0,0,0">
                    <w:txbxContent>
                      <w:p>
                        <w:pPr>
                          <w:spacing w:line="201" w:lineRule="exact" w:before="0"/>
                          <w:ind w:left="0" w:right="0" w:firstLine="0"/>
                          <w:jc w:val="left"/>
                          <w:rPr>
                            <w:sz w:val="18"/>
                          </w:rPr>
                        </w:pPr>
                        <w:r>
                          <w:rPr>
                            <w:sz w:val="18"/>
                          </w:rPr>
                          <w:t>Variación</w:t>
                        </w:r>
                        <w:r>
                          <w:rPr>
                            <w:spacing w:val="-7"/>
                            <w:sz w:val="18"/>
                          </w:rPr>
                          <w:t> </w:t>
                        </w:r>
                        <w:r>
                          <w:rPr>
                            <w:sz w:val="18"/>
                          </w:rPr>
                          <w:t>Interanual</w:t>
                        </w:r>
                        <w:r>
                          <w:rPr>
                            <w:spacing w:val="-6"/>
                            <w:sz w:val="18"/>
                          </w:rPr>
                          <w:t> </w:t>
                        </w:r>
                        <w:r>
                          <w:rPr>
                            <w:spacing w:val="-5"/>
                            <w:sz w:val="18"/>
                          </w:rPr>
                          <w:t>(%)</w:t>
                        </w:r>
                      </w:p>
                    </w:txbxContent>
                  </v:textbox>
                  <w10:wrap type="none"/>
                </v:shape>
                <v:shape style="position:absolute;left:9346;top:5552;width:422;height:202" type="#_x0000_t202" id="docshape96" filled="false" stroked="false">
                  <v:textbox inset="0,0,0,0">
                    <w:txbxContent>
                      <w:p>
                        <w:pPr>
                          <w:spacing w:line="201" w:lineRule="exact" w:before="0"/>
                          <w:ind w:left="0" w:right="0" w:firstLine="0"/>
                          <w:jc w:val="left"/>
                          <w:rPr>
                            <w:sz w:val="18"/>
                          </w:rPr>
                        </w:pPr>
                        <w:r>
                          <w:rPr>
                            <w:spacing w:val="-4"/>
                            <w:sz w:val="18"/>
                          </w:rPr>
                          <w:t>2026</w:t>
                        </w:r>
                      </w:p>
                    </w:txbxContent>
                  </v:textbox>
                  <w10:wrap type="none"/>
                </v:shape>
                <v:shape style="position:absolute;left:7722;top:5552;width:420;height:202" type="#_x0000_t202" id="docshape97" filled="false" stroked="false">
                  <v:textbox inset="0,0,0,0">
                    <w:txbxContent>
                      <w:p>
                        <w:pPr>
                          <w:spacing w:line="201" w:lineRule="exact" w:before="0"/>
                          <w:ind w:left="0" w:right="0" w:firstLine="0"/>
                          <w:jc w:val="left"/>
                          <w:rPr>
                            <w:sz w:val="18"/>
                          </w:rPr>
                        </w:pPr>
                        <w:r>
                          <w:rPr>
                            <w:spacing w:val="-4"/>
                            <w:sz w:val="18"/>
                          </w:rPr>
                          <w:t>2025</w:t>
                        </w:r>
                      </w:p>
                    </w:txbxContent>
                  </v:textbox>
                  <w10:wrap type="none"/>
                </v:shape>
                <v:shape style="position:absolute;left:4939;top:5552;width:420;height:202" type="#_x0000_t202" id="docshape98" filled="false" stroked="false">
                  <v:textbox inset="0,0,0,0">
                    <w:txbxContent>
                      <w:p>
                        <w:pPr>
                          <w:spacing w:line="201" w:lineRule="exact" w:before="0"/>
                          <w:ind w:left="0" w:right="0" w:firstLine="0"/>
                          <w:jc w:val="left"/>
                          <w:rPr>
                            <w:sz w:val="18"/>
                          </w:rPr>
                        </w:pPr>
                        <w:r>
                          <w:rPr>
                            <w:spacing w:val="-4"/>
                            <w:sz w:val="18"/>
                          </w:rPr>
                          <w:t>2024</w:t>
                        </w:r>
                      </w:p>
                    </w:txbxContent>
                  </v:textbox>
                  <w10:wrap type="none"/>
                </v:shape>
                <v:shape style="position:absolute;left:9933;top:4323;width:540;height:202" type="#_x0000_t202" id="docshape99" filled="false" stroked="false">
                  <v:textbox inset="0,0,0,0">
                    <w:txbxContent>
                      <w:p>
                        <w:pPr>
                          <w:spacing w:line="201" w:lineRule="exact" w:before="0"/>
                          <w:ind w:left="0" w:right="0" w:firstLine="0"/>
                          <w:jc w:val="left"/>
                          <w:rPr>
                            <w:sz w:val="18"/>
                          </w:rPr>
                        </w:pPr>
                        <w:r>
                          <w:rPr>
                            <w:spacing w:val="-2"/>
                            <w:sz w:val="18"/>
                          </w:rPr>
                          <w:t>-</w:t>
                        </w:r>
                        <w:r>
                          <w:rPr>
                            <w:spacing w:val="-4"/>
                            <w:sz w:val="18"/>
                          </w:rPr>
                          <w:t>100%</w:t>
                        </w:r>
                      </w:p>
                    </w:txbxContent>
                  </v:textbox>
                  <w10:wrap type="none"/>
                </v:shape>
                <v:shape style="position:absolute;left:3383;top:4323;width:80;height:202" type="#_x0000_t202" id="docshape100" filled="false" stroked="false">
                  <v:textbox inset="0,0,0,0">
                    <w:txbxContent>
                      <w:p>
                        <w:pPr>
                          <w:spacing w:line="201" w:lineRule="exact" w:before="0"/>
                          <w:ind w:left="0" w:right="0" w:firstLine="0"/>
                          <w:jc w:val="left"/>
                          <w:rPr>
                            <w:sz w:val="18"/>
                          </w:rPr>
                        </w:pPr>
                        <w:r>
                          <w:rPr>
                            <w:spacing w:val="-10"/>
                            <w:sz w:val="18"/>
                          </w:rPr>
                          <w:t>-</w:t>
                        </w:r>
                      </w:p>
                    </w:txbxContent>
                  </v:textbox>
                  <w10:wrap type="none"/>
                </v:shape>
                <v:shape style="position:absolute;left:9933;top:3871;width:440;height:202" type="#_x0000_t202" id="docshape101" filled="false" stroked="false">
                  <v:textbox inset="0,0,0,0">
                    <w:txbxContent>
                      <w:p>
                        <w:pPr>
                          <w:spacing w:line="201" w:lineRule="exact" w:before="0"/>
                          <w:ind w:left="0" w:right="0" w:firstLine="0"/>
                          <w:jc w:val="left"/>
                          <w:rPr>
                            <w:sz w:val="18"/>
                          </w:rPr>
                        </w:pPr>
                        <w:r>
                          <w:rPr>
                            <w:spacing w:val="-2"/>
                            <w:sz w:val="18"/>
                          </w:rPr>
                          <w:t>-</w:t>
                        </w:r>
                        <w:r>
                          <w:rPr>
                            <w:spacing w:val="-5"/>
                            <w:sz w:val="18"/>
                          </w:rPr>
                          <w:t>80%</w:t>
                        </w:r>
                      </w:p>
                    </w:txbxContent>
                  </v:textbox>
                  <w10:wrap type="none"/>
                </v:shape>
                <v:shape style="position:absolute;left:2642;top:3645;width:920;height:202" type="#_x0000_t202" id="docshape102" filled="false" stroked="false">
                  <v:textbox inset="0,0,0,0">
                    <w:txbxContent>
                      <w:p>
                        <w:pPr>
                          <w:spacing w:line="201" w:lineRule="exact" w:before="0"/>
                          <w:ind w:left="0" w:right="0" w:firstLine="0"/>
                          <w:jc w:val="left"/>
                          <w:rPr>
                            <w:sz w:val="18"/>
                          </w:rPr>
                        </w:pPr>
                        <w:r>
                          <w:rPr>
                            <w:spacing w:val="-2"/>
                            <w:sz w:val="18"/>
                          </w:rPr>
                          <w:t>10,000,000</w:t>
                        </w:r>
                      </w:p>
                    </w:txbxContent>
                  </v:textbox>
                  <w10:wrap type="none"/>
                </v:shape>
                <v:shape style="position:absolute;left:9933;top:2967;width:440;height:654" type="#_x0000_t202" id="docshape103" filled="false" stroked="false">
                  <v:textbox inset="0,0,0,0">
                    <w:txbxContent>
                      <w:p>
                        <w:pPr>
                          <w:spacing w:line="201" w:lineRule="exact" w:before="0"/>
                          <w:ind w:left="0" w:right="0" w:firstLine="0"/>
                          <w:jc w:val="left"/>
                          <w:rPr>
                            <w:sz w:val="18"/>
                          </w:rPr>
                        </w:pPr>
                        <w:r>
                          <w:rPr>
                            <w:spacing w:val="-2"/>
                            <w:sz w:val="18"/>
                          </w:rPr>
                          <w:t>-</w:t>
                        </w:r>
                        <w:r>
                          <w:rPr>
                            <w:spacing w:val="-5"/>
                            <w:sz w:val="18"/>
                          </w:rPr>
                          <w:t>40%</w:t>
                        </w:r>
                      </w:p>
                      <w:p>
                        <w:pPr>
                          <w:spacing w:line="240" w:lineRule="auto" w:before="38"/>
                          <w:rPr>
                            <w:sz w:val="18"/>
                          </w:rPr>
                        </w:pPr>
                      </w:p>
                      <w:p>
                        <w:pPr>
                          <w:spacing w:before="0"/>
                          <w:ind w:left="0" w:right="0" w:firstLine="0"/>
                          <w:jc w:val="left"/>
                          <w:rPr>
                            <w:sz w:val="18"/>
                          </w:rPr>
                        </w:pPr>
                        <w:r>
                          <w:rPr>
                            <w:spacing w:val="-2"/>
                            <w:sz w:val="18"/>
                          </w:rPr>
                          <w:t>-</w:t>
                        </w:r>
                        <w:r>
                          <w:rPr>
                            <w:spacing w:val="-5"/>
                            <w:sz w:val="18"/>
                          </w:rPr>
                          <w:t>60%</w:t>
                        </w:r>
                      </w:p>
                    </w:txbxContent>
                  </v:textbox>
                  <w10:wrap type="none"/>
                </v:shape>
                <v:shape style="position:absolute;left:2642;top:2967;width:920;height:202" type="#_x0000_t202" id="docshape104" filled="false" stroked="false">
                  <v:textbox inset="0,0,0,0">
                    <w:txbxContent>
                      <w:p>
                        <w:pPr>
                          <w:spacing w:line="201" w:lineRule="exact" w:before="0"/>
                          <w:ind w:left="0" w:right="0" w:firstLine="0"/>
                          <w:jc w:val="left"/>
                          <w:rPr>
                            <w:sz w:val="18"/>
                          </w:rPr>
                        </w:pPr>
                        <w:r>
                          <w:rPr>
                            <w:spacing w:val="-2"/>
                            <w:sz w:val="18"/>
                          </w:rPr>
                          <w:t>20,000,000</w:t>
                        </w:r>
                      </w:p>
                    </w:txbxContent>
                  </v:textbox>
                  <w10:wrap type="none"/>
                </v:shape>
                <v:shape style="position:absolute;left:9933;top:2514;width:440;height:202" type="#_x0000_t202" id="docshape105" filled="false" stroked="false">
                  <v:textbox inset="0,0,0,0">
                    <w:txbxContent>
                      <w:p>
                        <w:pPr>
                          <w:spacing w:line="202" w:lineRule="exact" w:before="0"/>
                          <w:ind w:left="0" w:right="0" w:firstLine="0"/>
                          <w:jc w:val="left"/>
                          <w:rPr>
                            <w:sz w:val="18"/>
                          </w:rPr>
                        </w:pPr>
                        <w:r>
                          <w:rPr>
                            <w:spacing w:val="-2"/>
                            <w:sz w:val="18"/>
                          </w:rPr>
                          <w:t>-</w:t>
                        </w:r>
                        <w:r>
                          <w:rPr>
                            <w:spacing w:val="-5"/>
                            <w:sz w:val="18"/>
                          </w:rPr>
                          <w:t>20%</w:t>
                        </w:r>
                      </w:p>
                    </w:txbxContent>
                  </v:textbox>
                  <w10:wrap type="none"/>
                </v:shape>
                <v:shape style="position:absolute;left:2642;top:2288;width:920;height:202" type="#_x0000_t202" id="docshape106" filled="false" stroked="false">
                  <v:textbox inset="0,0,0,0">
                    <w:txbxContent>
                      <w:p>
                        <w:pPr>
                          <w:spacing w:line="201" w:lineRule="exact" w:before="0"/>
                          <w:ind w:left="0" w:right="0" w:firstLine="0"/>
                          <w:jc w:val="left"/>
                          <w:rPr>
                            <w:sz w:val="18"/>
                          </w:rPr>
                        </w:pPr>
                        <w:r>
                          <w:rPr>
                            <w:spacing w:val="-2"/>
                            <w:sz w:val="18"/>
                          </w:rPr>
                          <w:t>30,000,000</w:t>
                        </w:r>
                      </w:p>
                    </w:txbxContent>
                  </v:textbox>
                  <w10:wrap type="none"/>
                </v:shape>
                <v:shape style="position:absolute;left:9933;top:2062;width:282;height:202" type="#_x0000_t202" id="docshape107" filled="false" stroked="false">
                  <v:textbox inset="0,0,0,0">
                    <w:txbxContent>
                      <w:p>
                        <w:pPr>
                          <w:spacing w:line="201" w:lineRule="exact" w:before="0"/>
                          <w:ind w:left="0" w:right="0" w:firstLine="0"/>
                          <w:jc w:val="left"/>
                          <w:rPr>
                            <w:sz w:val="18"/>
                          </w:rPr>
                        </w:pPr>
                        <w:r>
                          <w:rPr>
                            <w:spacing w:val="-5"/>
                            <w:sz w:val="18"/>
                          </w:rPr>
                          <w:t>0%</w:t>
                        </w:r>
                      </w:p>
                    </w:txbxContent>
                  </v:textbox>
                  <w10:wrap type="none"/>
                </v:shape>
                <v:shape style="position:absolute;left:9495;top:1938;width:443;height:202" type="#_x0000_t202" id="docshape108" filled="false" stroked="false">
                  <v:textbox inset="0,0,0,0">
                    <w:txbxContent>
                      <w:p>
                        <w:pPr>
                          <w:spacing w:line="202" w:lineRule="exact" w:before="0"/>
                          <w:ind w:left="0" w:right="0" w:firstLine="0"/>
                          <w:jc w:val="left"/>
                          <w:rPr>
                            <w:rFonts w:ascii="Arial"/>
                            <w:b/>
                            <w:sz w:val="18"/>
                          </w:rPr>
                        </w:pPr>
                        <w:r>
                          <w:rPr>
                            <w:rFonts w:ascii="Arial"/>
                            <w:b/>
                            <w:color w:val="ED0000"/>
                            <w:spacing w:val="-2"/>
                            <w:sz w:val="18"/>
                          </w:rPr>
                          <w:t>-</w:t>
                        </w:r>
                        <w:r>
                          <w:rPr>
                            <w:rFonts w:ascii="Arial"/>
                            <w:b/>
                            <w:color w:val="ED0000"/>
                            <w:spacing w:val="-5"/>
                            <w:sz w:val="18"/>
                          </w:rPr>
                          <w:t>92%</w:t>
                        </w:r>
                      </w:p>
                    </w:txbxContent>
                  </v:textbox>
                  <w10:wrap type="none"/>
                </v:shape>
                <v:shape style="position:absolute;left:6747;top:1854;width:282;height:202" type="#_x0000_t202" id="docshape109" filled="false" stroked="false">
                  <v:textbox inset="0,0,0,0">
                    <w:txbxContent>
                      <w:p>
                        <w:pPr>
                          <w:spacing w:line="201" w:lineRule="exact" w:before="0"/>
                          <w:ind w:left="0" w:right="0" w:firstLine="0"/>
                          <w:jc w:val="left"/>
                          <w:rPr>
                            <w:sz w:val="18"/>
                          </w:rPr>
                        </w:pPr>
                        <w:r>
                          <w:rPr>
                            <w:spacing w:val="-5"/>
                            <w:sz w:val="18"/>
                          </w:rPr>
                          <w:t>1%</w:t>
                        </w:r>
                      </w:p>
                    </w:txbxContent>
                  </v:textbox>
                  <w10:wrap type="none"/>
                </v:shape>
                <v:shape style="position:absolute;left:9933;top:1610;width:380;height:202" type="#_x0000_t202" id="docshape110" filled="false" stroked="false">
                  <v:textbox inset="0,0,0,0">
                    <w:txbxContent>
                      <w:p>
                        <w:pPr>
                          <w:spacing w:line="201" w:lineRule="exact" w:before="0"/>
                          <w:ind w:left="0" w:right="0" w:firstLine="0"/>
                          <w:jc w:val="left"/>
                          <w:rPr>
                            <w:sz w:val="18"/>
                          </w:rPr>
                        </w:pPr>
                        <w:r>
                          <w:rPr>
                            <w:spacing w:val="-5"/>
                            <w:sz w:val="18"/>
                          </w:rPr>
                          <w:t>20%</w:t>
                        </w:r>
                      </w:p>
                    </w:txbxContent>
                  </v:textbox>
                  <w10:wrap type="none"/>
                </v:shape>
                <v:shape style="position:absolute;left:6468;top:1545;width:342;height:202" type="#_x0000_t202" id="docshape111" filled="false" stroked="false">
                  <v:textbox inset="0,0,0,0">
                    <w:txbxContent>
                      <w:p>
                        <w:pPr>
                          <w:spacing w:line="201" w:lineRule="exact" w:before="0"/>
                          <w:ind w:left="0" w:right="0" w:firstLine="0"/>
                          <w:jc w:val="left"/>
                          <w:rPr>
                            <w:sz w:val="18"/>
                          </w:rPr>
                        </w:pPr>
                        <w:r>
                          <w:rPr>
                            <w:sz w:val="18"/>
                          </w:rPr>
                          <w:t>-</w:t>
                        </w:r>
                        <w:r>
                          <w:rPr>
                            <w:spacing w:val="-5"/>
                            <w:sz w:val="18"/>
                          </w:rPr>
                          <w:t>2%</w:t>
                        </w:r>
                      </w:p>
                    </w:txbxContent>
                  </v:textbox>
                  <w10:wrap type="none"/>
                </v:shape>
                <v:shape style="position:absolute;left:2642;top:1610;width:920;height:202" type="#_x0000_t202" id="docshape112" filled="false" stroked="false">
                  <v:textbox inset="0,0,0,0">
                    <w:txbxContent>
                      <w:p>
                        <w:pPr>
                          <w:spacing w:line="201" w:lineRule="exact" w:before="0"/>
                          <w:ind w:left="0" w:right="0" w:firstLine="0"/>
                          <w:jc w:val="left"/>
                          <w:rPr>
                            <w:sz w:val="18"/>
                          </w:rPr>
                        </w:pPr>
                        <w:r>
                          <w:rPr>
                            <w:spacing w:val="-2"/>
                            <w:sz w:val="18"/>
                          </w:rPr>
                          <w:t>40,000,000</w:t>
                        </w:r>
                      </w:p>
                    </w:txbxContent>
                  </v:textbox>
                  <w10:wrap type="none"/>
                </v:shape>
                <v:shape style="position:absolute;left:9933;top:1158;width:380;height:202" type="#_x0000_t202" id="docshape113" filled="false" stroked="false">
                  <v:textbox inset="0,0,0,0">
                    <w:txbxContent>
                      <w:p>
                        <w:pPr>
                          <w:spacing w:line="201" w:lineRule="exact" w:before="0"/>
                          <w:ind w:left="0" w:right="0" w:firstLine="0"/>
                          <w:jc w:val="left"/>
                          <w:rPr>
                            <w:sz w:val="18"/>
                          </w:rPr>
                        </w:pPr>
                        <w:r>
                          <w:rPr>
                            <w:spacing w:val="-5"/>
                            <w:sz w:val="18"/>
                          </w:rPr>
                          <w:t>40%</w:t>
                        </w:r>
                      </w:p>
                    </w:txbxContent>
                  </v:textbox>
                  <w10:wrap type="none"/>
                </v:shape>
                <v:shape style="position:absolute;left:2642;top:932;width:920;height:202" type="#_x0000_t202" id="docshape114" filled="false" stroked="false">
                  <v:textbox inset="0,0,0,0">
                    <w:txbxContent>
                      <w:p>
                        <w:pPr>
                          <w:spacing w:line="201" w:lineRule="exact" w:before="0"/>
                          <w:ind w:left="0" w:right="0" w:firstLine="0"/>
                          <w:jc w:val="left"/>
                          <w:rPr>
                            <w:sz w:val="18"/>
                          </w:rPr>
                        </w:pPr>
                        <w:r>
                          <w:rPr>
                            <w:spacing w:val="-2"/>
                            <w:sz w:val="18"/>
                          </w:rPr>
                          <w:t>50,000,000</w:t>
                        </w:r>
                      </w:p>
                    </w:txbxContent>
                  </v:textbox>
                  <w10:wrap type="none"/>
                </v:shape>
                <v:shape style="position:absolute;left:9933;top:705;width:380;height:202" type="#_x0000_t202" id="docshape115" filled="false" stroked="false">
                  <v:textbox inset="0,0,0,0">
                    <w:txbxContent>
                      <w:p>
                        <w:pPr>
                          <w:spacing w:line="201" w:lineRule="exact" w:before="0"/>
                          <w:ind w:left="0" w:right="0" w:firstLine="0"/>
                          <w:jc w:val="left"/>
                          <w:rPr>
                            <w:sz w:val="18"/>
                          </w:rPr>
                        </w:pPr>
                        <w:r>
                          <w:rPr>
                            <w:spacing w:val="-5"/>
                            <w:sz w:val="18"/>
                          </w:rPr>
                          <w:t>60%</w:t>
                        </w:r>
                      </w:p>
                    </w:txbxContent>
                  </v:textbox>
                  <w10:wrap type="none"/>
                </v:shape>
                <v:shape style="position:absolute;left:9253;top:418;width:383;height:202" type="#_x0000_t202" id="docshape116" filled="false" stroked="false">
                  <v:textbox inset="0,0,0,0">
                    <w:txbxContent>
                      <w:p>
                        <w:pPr>
                          <w:spacing w:line="201" w:lineRule="exact" w:before="0"/>
                          <w:ind w:left="0" w:right="0" w:firstLine="0"/>
                          <w:jc w:val="left"/>
                          <w:rPr>
                            <w:rFonts w:ascii="Arial"/>
                            <w:b/>
                            <w:sz w:val="18"/>
                          </w:rPr>
                        </w:pPr>
                        <w:r>
                          <w:rPr>
                            <w:rFonts w:ascii="Arial"/>
                            <w:b/>
                            <w:color w:val="ED0000"/>
                            <w:spacing w:val="-5"/>
                            <w:sz w:val="18"/>
                          </w:rPr>
                          <w:t>64%</w:t>
                        </w:r>
                      </w:p>
                    </w:txbxContent>
                  </v:textbox>
                  <w10:wrap type="none"/>
                </v:shape>
                <v:shape style="position:absolute;left:9933;top:253;width:380;height:202" type="#_x0000_t202" id="docshape117" filled="false" stroked="false">
                  <v:textbox inset="0,0,0,0">
                    <w:txbxContent>
                      <w:p>
                        <w:pPr>
                          <w:spacing w:line="201" w:lineRule="exact" w:before="0"/>
                          <w:ind w:left="0" w:right="0" w:firstLine="0"/>
                          <w:jc w:val="left"/>
                          <w:rPr>
                            <w:sz w:val="18"/>
                          </w:rPr>
                        </w:pPr>
                        <w:r>
                          <w:rPr>
                            <w:spacing w:val="-5"/>
                            <w:sz w:val="18"/>
                          </w:rPr>
                          <w:t>80%</w:t>
                        </w:r>
                      </w:p>
                    </w:txbxContent>
                  </v:textbox>
                  <w10:wrap type="none"/>
                </v:shape>
                <v:shape style="position:absolute;left:2642;top:253;width:920;height:202" type="#_x0000_t202" id="docshape118" filled="false" stroked="false">
                  <v:textbox inset="0,0,0,0">
                    <w:txbxContent>
                      <w:p>
                        <w:pPr>
                          <w:spacing w:line="201" w:lineRule="exact" w:before="0"/>
                          <w:ind w:left="0" w:right="0" w:firstLine="0"/>
                          <w:jc w:val="left"/>
                          <w:rPr>
                            <w:sz w:val="18"/>
                          </w:rPr>
                        </w:pPr>
                        <w:r>
                          <w:rPr>
                            <w:spacing w:val="-2"/>
                            <w:sz w:val="18"/>
                          </w:rPr>
                          <w:t>60,000,000</w:t>
                        </w:r>
                      </w:p>
                    </w:txbxContent>
                  </v:textbox>
                  <w10:wrap type="none"/>
                </v:shape>
                <w10:wrap type="none"/>
              </v:group>
            </w:pict>
          </mc:Fallback>
        </mc:AlternateContent>
      </w:r>
      <w:r>
        <w:rPr>
          <w:rFonts w:ascii="Arial"/>
          <w:i/>
          <w:sz w:val="22"/>
        </w:rPr>
        <mc:AlternateContent>
          <mc:Choice Requires="wps">
            <w:drawing>
              <wp:anchor distT="0" distB="0" distL="0" distR="0" allowOverlap="1" layoutInCell="1" locked="0" behindDoc="0" simplePos="0" relativeHeight="15743488">
                <wp:simplePos x="0" y="0"/>
                <wp:positionH relativeFrom="page">
                  <wp:posOffset>2452656</wp:posOffset>
                </wp:positionH>
                <wp:positionV relativeFrom="paragraph">
                  <wp:posOffset>1494972</wp:posOffset>
                </wp:positionV>
                <wp:extent cx="370205" cy="604520"/>
                <wp:effectExtent l="0" t="0" r="0" b="0"/>
                <wp:wrapNone/>
                <wp:docPr id="162" name="Textbox 162"/>
                <wp:cNvGraphicFramePr>
                  <a:graphicFrameLocks/>
                </wp:cNvGraphicFramePr>
                <a:graphic>
                  <a:graphicData uri="http://schemas.microsoft.com/office/word/2010/wordprocessingShape">
                    <wps:wsp>
                      <wps:cNvPr id="162" name="Textbox 162"/>
                      <wps:cNvSpPr txBox="1"/>
                      <wps:spPr>
                        <a:xfrm>
                          <a:off x="0" y="0"/>
                          <a:ext cx="370205" cy="604520"/>
                        </a:xfrm>
                        <a:prstGeom prst="rect">
                          <a:avLst/>
                        </a:prstGeom>
                      </wps:spPr>
                      <wps:txbx>
                        <w:txbxContent>
                          <w:p>
                            <w:pPr>
                              <w:spacing w:before="14"/>
                              <w:ind w:left="26" w:right="0" w:firstLine="0"/>
                              <w:jc w:val="left"/>
                              <w:rPr>
                                <w:sz w:val="18"/>
                              </w:rPr>
                            </w:pPr>
                            <w:r>
                              <w:rPr>
                                <w:spacing w:val="-2"/>
                                <w:sz w:val="18"/>
                              </w:rPr>
                              <w:t>31,754,481</w:t>
                            </w:r>
                          </w:p>
                          <w:p>
                            <w:pPr>
                              <w:spacing w:before="134"/>
                              <w:ind w:left="20" w:right="0" w:firstLine="0"/>
                              <w:jc w:val="left"/>
                              <w:rPr>
                                <w:sz w:val="18"/>
                              </w:rPr>
                            </w:pPr>
                            <w:r>
                              <w:rPr>
                                <w:spacing w:val="-2"/>
                                <w:sz w:val="18"/>
                              </w:rPr>
                              <w:t>32,591,483</w:t>
                            </w:r>
                          </w:p>
                        </w:txbxContent>
                      </wps:txbx>
                      <wps:bodyPr wrap="square" lIns="0" tIns="0" rIns="0" bIns="0" rtlCol="0" vert="vert270">
                        <a:noAutofit/>
                      </wps:bodyPr>
                    </wps:wsp>
                  </a:graphicData>
                </a:graphic>
              </wp:anchor>
            </w:drawing>
          </mc:Choice>
          <mc:Fallback>
            <w:pict>
              <v:shape style="position:absolute;margin-left:193.122543pt;margin-top:117.71434pt;width:29.15pt;height:47.6pt;mso-position-horizontal-relative:page;mso-position-vertical-relative:paragraph;z-index:15743488" type="#_x0000_t202" id="docshape119" filled="false" stroked="false">
                <v:textbox inset="0,0,0,0" style="layout-flow:vertical;mso-layout-flow-alt:bottom-to-top">
                  <w:txbxContent>
                    <w:p>
                      <w:pPr>
                        <w:spacing w:before="14"/>
                        <w:ind w:left="26" w:right="0" w:firstLine="0"/>
                        <w:jc w:val="left"/>
                        <w:rPr>
                          <w:sz w:val="18"/>
                        </w:rPr>
                      </w:pPr>
                      <w:r>
                        <w:rPr>
                          <w:spacing w:val="-2"/>
                          <w:sz w:val="18"/>
                        </w:rPr>
                        <w:t>31,754,481</w:t>
                      </w:r>
                    </w:p>
                    <w:p>
                      <w:pPr>
                        <w:spacing w:before="134"/>
                        <w:ind w:left="20" w:right="0" w:firstLine="0"/>
                        <w:jc w:val="left"/>
                        <w:rPr>
                          <w:sz w:val="18"/>
                        </w:rPr>
                      </w:pPr>
                      <w:r>
                        <w:rPr>
                          <w:spacing w:val="-2"/>
                          <w:sz w:val="18"/>
                        </w:rPr>
                        <w:t>32,591,483</w:t>
                      </w:r>
                    </w:p>
                  </w:txbxContent>
                </v:textbox>
                <w10:wrap type="none"/>
              </v:shape>
            </w:pict>
          </mc:Fallback>
        </mc:AlternateContent>
      </w:r>
      <w:r>
        <w:rPr>
          <w:rFonts w:ascii="Arial"/>
          <w:i/>
          <w:sz w:val="22"/>
        </w:rPr>
        <mc:AlternateContent>
          <mc:Choice Requires="wps">
            <w:drawing>
              <wp:anchor distT="0" distB="0" distL="0" distR="0" allowOverlap="1" layoutInCell="1" locked="0" behindDoc="0" simplePos="0" relativeHeight="15744000">
                <wp:simplePos x="0" y="0"/>
                <wp:positionH relativeFrom="page">
                  <wp:posOffset>3911759</wp:posOffset>
                </wp:positionH>
                <wp:positionV relativeFrom="paragraph">
                  <wp:posOffset>1533072</wp:posOffset>
                </wp:positionV>
                <wp:extent cx="153670" cy="600710"/>
                <wp:effectExtent l="0" t="0" r="0" b="0"/>
                <wp:wrapNone/>
                <wp:docPr id="163" name="Textbox 163"/>
                <wp:cNvGraphicFramePr>
                  <a:graphicFrameLocks/>
                </wp:cNvGraphicFramePr>
                <a:graphic>
                  <a:graphicData uri="http://schemas.microsoft.com/office/word/2010/wordprocessingShape">
                    <wps:wsp>
                      <wps:cNvPr id="163" name="Textbox 163"/>
                      <wps:cNvSpPr txBox="1"/>
                      <wps:spPr>
                        <a:xfrm>
                          <a:off x="0" y="0"/>
                          <a:ext cx="153670" cy="600710"/>
                        </a:xfrm>
                        <a:prstGeom prst="rect">
                          <a:avLst/>
                        </a:prstGeom>
                      </wps:spPr>
                      <wps:txbx>
                        <w:txbxContent>
                          <w:p>
                            <w:pPr>
                              <w:spacing w:before="14"/>
                              <w:ind w:left="20" w:right="0" w:firstLine="0"/>
                              <w:jc w:val="left"/>
                              <w:rPr>
                                <w:sz w:val="18"/>
                              </w:rPr>
                            </w:pPr>
                            <w:r>
                              <w:rPr>
                                <w:spacing w:val="-2"/>
                                <w:sz w:val="18"/>
                              </w:rPr>
                              <w:t>37,137,736</w:t>
                            </w:r>
                          </w:p>
                        </w:txbxContent>
                      </wps:txbx>
                      <wps:bodyPr wrap="square" lIns="0" tIns="0" rIns="0" bIns="0" rtlCol="0" vert="vert270">
                        <a:noAutofit/>
                      </wps:bodyPr>
                    </wps:wsp>
                  </a:graphicData>
                </a:graphic>
              </wp:anchor>
            </w:drawing>
          </mc:Choice>
          <mc:Fallback>
            <w:pict>
              <v:shape style="position:absolute;margin-left:308.012543pt;margin-top:120.71434pt;width:12.1pt;height:47.3pt;mso-position-horizontal-relative:page;mso-position-vertical-relative:paragraph;z-index:15744000" type="#_x0000_t202" id="docshape120" filled="false" stroked="false">
                <v:textbox inset="0,0,0,0" style="layout-flow:vertical;mso-layout-flow-alt:bottom-to-top">
                  <w:txbxContent>
                    <w:p>
                      <w:pPr>
                        <w:spacing w:before="14"/>
                        <w:ind w:left="20" w:right="0" w:firstLine="0"/>
                        <w:jc w:val="left"/>
                        <w:rPr>
                          <w:sz w:val="18"/>
                        </w:rPr>
                      </w:pPr>
                      <w:r>
                        <w:rPr>
                          <w:spacing w:val="-2"/>
                          <w:sz w:val="18"/>
                        </w:rPr>
                        <w:t>37,137,736</w:t>
                      </w:r>
                    </w:p>
                  </w:txbxContent>
                </v:textbox>
                <w10:wrap type="none"/>
              </v:shape>
            </w:pict>
          </mc:Fallback>
        </mc:AlternateContent>
      </w:r>
      <w:r>
        <w:rPr>
          <w:rFonts w:ascii="Arial"/>
          <w:i/>
          <w:sz w:val="22"/>
        </w:rPr>
        <mc:AlternateContent>
          <mc:Choice Requires="wps">
            <w:drawing>
              <wp:anchor distT="0" distB="0" distL="0" distR="0" allowOverlap="1" layoutInCell="1" locked="0" behindDoc="0" simplePos="0" relativeHeight="15744512">
                <wp:simplePos x="0" y="0"/>
                <wp:positionH relativeFrom="page">
                  <wp:posOffset>4174141</wp:posOffset>
                </wp:positionH>
                <wp:positionV relativeFrom="paragraph">
                  <wp:posOffset>1542216</wp:posOffset>
                </wp:positionV>
                <wp:extent cx="153670" cy="600710"/>
                <wp:effectExtent l="0" t="0" r="0" b="0"/>
                <wp:wrapNone/>
                <wp:docPr id="164" name="Textbox 164"/>
                <wp:cNvGraphicFramePr>
                  <a:graphicFrameLocks/>
                </wp:cNvGraphicFramePr>
                <a:graphic>
                  <a:graphicData uri="http://schemas.microsoft.com/office/word/2010/wordprocessingShape">
                    <wps:wsp>
                      <wps:cNvPr id="164" name="Textbox 164"/>
                      <wps:cNvSpPr txBox="1"/>
                      <wps:spPr>
                        <a:xfrm>
                          <a:off x="0" y="0"/>
                          <a:ext cx="153670" cy="600710"/>
                        </a:xfrm>
                        <a:prstGeom prst="rect">
                          <a:avLst/>
                        </a:prstGeom>
                      </wps:spPr>
                      <wps:txbx>
                        <w:txbxContent>
                          <w:p>
                            <w:pPr>
                              <w:spacing w:before="14"/>
                              <w:ind w:left="20" w:right="0" w:firstLine="0"/>
                              <w:jc w:val="left"/>
                              <w:rPr>
                                <w:sz w:val="18"/>
                              </w:rPr>
                            </w:pPr>
                            <w:r>
                              <w:rPr>
                                <w:spacing w:val="-2"/>
                                <w:sz w:val="18"/>
                              </w:rPr>
                              <w:t>31,000,134</w:t>
                            </w:r>
                          </w:p>
                        </w:txbxContent>
                      </wps:txbx>
                      <wps:bodyPr wrap="square" lIns="0" tIns="0" rIns="0" bIns="0" rtlCol="0" vert="vert270">
                        <a:noAutofit/>
                      </wps:bodyPr>
                    </wps:wsp>
                  </a:graphicData>
                </a:graphic>
              </wp:anchor>
            </w:drawing>
          </mc:Choice>
          <mc:Fallback>
            <w:pict>
              <v:shape style="position:absolute;margin-left:328.672546pt;margin-top:121.434334pt;width:12.1pt;height:47.3pt;mso-position-horizontal-relative:page;mso-position-vertical-relative:paragraph;z-index:15744512" type="#_x0000_t202" id="docshape121" filled="false" stroked="false">
                <v:textbox inset="0,0,0,0" style="layout-flow:vertical;mso-layout-flow-alt:bottom-to-top">
                  <w:txbxContent>
                    <w:p>
                      <w:pPr>
                        <w:spacing w:before="14"/>
                        <w:ind w:left="20" w:right="0" w:firstLine="0"/>
                        <w:jc w:val="left"/>
                        <w:rPr>
                          <w:sz w:val="18"/>
                        </w:rPr>
                      </w:pPr>
                      <w:r>
                        <w:rPr>
                          <w:spacing w:val="-2"/>
                          <w:sz w:val="18"/>
                        </w:rPr>
                        <w:t>31,000,134</w:t>
                      </w:r>
                    </w:p>
                  </w:txbxContent>
                </v:textbox>
                <w10:wrap type="none"/>
              </v:shape>
            </w:pict>
          </mc:Fallback>
        </mc:AlternateContent>
      </w:r>
      <w:r>
        <w:rPr>
          <w:rFonts w:ascii="Arial"/>
          <w:i/>
          <w:sz w:val="22"/>
        </w:rPr>
        <mc:AlternateContent>
          <mc:Choice Requires="wps">
            <w:drawing>
              <wp:anchor distT="0" distB="0" distL="0" distR="0" allowOverlap="1" layoutInCell="1" locked="0" behindDoc="0" simplePos="0" relativeHeight="15745024">
                <wp:simplePos x="0" y="0"/>
                <wp:positionH relativeFrom="page">
                  <wp:posOffset>4453033</wp:posOffset>
                </wp:positionH>
                <wp:positionV relativeFrom="paragraph">
                  <wp:posOffset>1534596</wp:posOffset>
                </wp:positionV>
                <wp:extent cx="153670" cy="600710"/>
                <wp:effectExtent l="0" t="0" r="0" b="0"/>
                <wp:wrapNone/>
                <wp:docPr id="165" name="Textbox 165"/>
                <wp:cNvGraphicFramePr>
                  <a:graphicFrameLocks/>
                </wp:cNvGraphicFramePr>
                <a:graphic>
                  <a:graphicData uri="http://schemas.microsoft.com/office/word/2010/wordprocessingShape">
                    <wps:wsp>
                      <wps:cNvPr id="165" name="Textbox 165"/>
                      <wps:cNvSpPr txBox="1"/>
                      <wps:spPr>
                        <a:xfrm>
                          <a:off x="0" y="0"/>
                          <a:ext cx="153670" cy="600710"/>
                        </a:xfrm>
                        <a:prstGeom prst="rect">
                          <a:avLst/>
                        </a:prstGeom>
                      </wps:spPr>
                      <wps:txbx>
                        <w:txbxContent>
                          <w:p>
                            <w:pPr>
                              <w:spacing w:before="14"/>
                              <w:ind w:left="20" w:right="0" w:firstLine="0"/>
                              <w:jc w:val="left"/>
                              <w:rPr>
                                <w:sz w:val="18"/>
                              </w:rPr>
                            </w:pPr>
                            <w:r>
                              <w:rPr>
                                <w:spacing w:val="-2"/>
                                <w:sz w:val="18"/>
                              </w:rPr>
                              <w:t>32,901,142</w:t>
                            </w:r>
                          </w:p>
                        </w:txbxContent>
                      </wps:txbx>
                      <wps:bodyPr wrap="square" lIns="0" tIns="0" rIns="0" bIns="0" rtlCol="0" vert="vert270">
                        <a:noAutofit/>
                      </wps:bodyPr>
                    </wps:wsp>
                  </a:graphicData>
                </a:graphic>
              </wp:anchor>
            </w:drawing>
          </mc:Choice>
          <mc:Fallback>
            <w:pict>
              <v:shape style="position:absolute;margin-left:350.632538pt;margin-top:120.834335pt;width:12.1pt;height:47.3pt;mso-position-horizontal-relative:page;mso-position-vertical-relative:paragraph;z-index:15745024" type="#_x0000_t202" id="docshape122" filled="false" stroked="false">
                <v:textbox inset="0,0,0,0" style="layout-flow:vertical;mso-layout-flow-alt:bottom-to-top">
                  <w:txbxContent>
                    <w:p>
                      <w:pPr>
                        <w:spacing w:before="14"/>
                        <w:ind w:left="20" w:right="0" w:firstLine="0"/>
                        <w:jc w:val="left"/>
                        <w:rPr>
                          <w:sz w:val="18"/>
                        </w:rPr>
                      </w:pPr>
                      <w:r>
                        <w:rPr>
                          <w:spacing w:val="-2"/>
                          <w:sz w:val="18"/>
                        </w:rPr>
                        <w:t>32,901,142</w:t>
                      </w:r>
                    </w:p>
                  </w:txbxContent>
                </v:textbox>
                <w10:wrap type="none"/>
              </v:shape>
            </w:pict>
          </mc:Fallback>
        </mc:AlternateContent>
      </w:r>
      <w:r>
        <w:rPr>
          <w:rFonts w:ascii="Arial"/>
          <w:i/>
          <w:sz w:val="22"/>
        </w:rPr>
        <mc:AlternateContent>
          <mc:Choice Requires="wps">
            <w:drawing>
              <wp:anchor distT="0" distB="0" distL="0" distR="0" allowOverlap="1" layoutInCell="1" locked="0" behindDoc="0" simplePos="0" relativeHeight="15745536">
                <wp:simplePos x="0" y="0"/>
                <wp:positionH relativeFrom="page">
                  <wp:posOffset>5290344</wp:posOffset>
                </wp:positionH>
                <wp:positionV relativeFrom="paragraph">
                  <wp:posOffset>1401373</wp:posOffset>
                </wp:positionV>
                <wp:extent cx="153670" cy="600710"/>
                <wp:effectExtent l="0" t="0" r="0" b="0"/>
                <wp:wrapNone/>
                <wp:docPr id="166" name="Textbox 166"/>
                <wp:cNvGraphicFramePr>
                  <a:graphicFrameLocks/>
                </wp:cNvGraphicFramePr>
                <a:graphic>
                  <a:graphicData uri="http://schemas.microsoft.com/office/word/2010/wordprocessingShape">
                    <wps:wsp>
                      <wps:cNvPr id="166" name="Textbox 166"/>
                      <wps:cNvSpPr txBox="1"/>
                      <wps:spPr>
                        <a:xfrm>
                          <a:off x="0" y="0"/>
                          <a:ext cx="153670" cy="600710"/>
                        </a:xfrm>
                        <a:prstGeom prst="rect">
                          <a:avLst/>
                        </a:prstGeom>
                      </wps:spPr>
                      <wps:txbx>
                        <w:txbxContent>
                          <w:p>
                            <w:pPr>
                              <w:spacing w:before="14"/>
                              <w:ind w:left="20" w:right="0" w:firstLine="0"/>
                              <w:jc w:val="left"/>
                              <w:rPr>
                                <w:sz w:val="18"/>
                              </w:rPr>
                            </w:pPr>
                            <w:r>
                              <w:rPr>
                                <w:spacing w:val="-2"/>
                                <w:sz w:val="18"/>
                              </w:rPr>
                              <w:t>35,181,721</w:t>
                            </w:r>
                          </w:p>
                        </w:txbxContent>
                      </wps:txbx>
                      <wps:bodyPr wrap="square" lIns="0" tIns="0" rIns="0" bIns="0" rtlCol="0" vert="vert270">
                        <a:noAutofit/>
                      </wps:bodyPr>
                    </wps:wsp>
                  </a:graphicData>
                </a:graphic>
              </wp:anchor>
            </w:drawing>
          </mc:Choice>
          <mc:Fallback>
            <w:pict>
              <v:shape style="position:absolute;margin-left:416.562531pt;margin-top:110.344337pt;width:12.1pt;height:47.3pt;mso-position-horizontal-relative:page;mso-position-vertical-relative:paragraph;z-index:15745536" type="#_x0000_t202" id="docshape123" filled="false" stroked="false">
                <v:textbox inset="0,0,0,0" style="layout-flow:vertical;mso-layout-flow-alt:bottom-to-top">
                  <w:txbxContent>
                    <w:p>
                      <w:pPr>
                        <w:spacing w:before="14"/>
                        <w:ind w:left="20" w:right="0" w:firstLine="0"/>
                        <w:jc w:val="left"/>
                        <w:rPr>
                          <w:sz w:val="18"/>
                        </w:rPr>
                      </w:pPr>
                      <w:r>
                        <w:rPr>
                          <w:spacing w:val="-2"/>
                          <w:sz w:val="18"/>
                        </w:rPr>
                        <w:t>35,181,721</w:t>
                      </w:r>
                    </w:p>
                  </w:txbxContent>
                </v:textbox>
                <w10:wrap type="none"/>
              </v:shape>
            </w:pict>
          </mc:Fallback>
        </mc:AlternateContent>
      </w:r>
      <w:r>
        <w:rPr>
          <w:rFonts w:ascii="Arial"/>
          <w:i/>
          <w:sz w:val="22"/>
        </w:rPr>
        <mc:AlternateContent>
          <mc:Choice Requires="wps">
            <w:drawing>
              <wp:anchor distT="0" distB="0" distL="0" distR="0" allowOverlap="1" layoutInCell="1" locked="0" behindDoc="0" simplePos="0" relativeHeight="15746560">
                <wp:simplePos x="0" y="0"/>
                <wp:positionH relativeFrom="page">
                  <wp:posOffset>5610384</wp:posOffset>
                </wp:positionH>
                <wp:positionV relativeFrom="paragraph">
                  <wp:posOffset>498022</wp:posOffset>
                </wp:positionV>
                <wp:extent cx="153670" cy="600710"/>
                <wp:effectExtent l="0" t="0" r="0" b="0"/>
                <wp:wrapNone/>
                <wp:docPr id="167" name="Textbox 167"/>
                <wp:cNvGraphicFramePr>
                  <a:graphicFrameLocks/>
                </wp:cNvGraphicFramePr>
                <a:graphic>
                  <a:graphicData uri="http://schemas.microsoft.com/office/word/2010/wordprocessingShape">
                    <wps:wsp>
                      <wps:cNvPr id="167" name="Textbox 167"/>
                      <wps:cNvSpPr txBox="1"/>
                      <wps:spPr>
                        <a:xfrm>
                          <a:off x="0" y="0"/>
                          <a:ext cx="153670" cy="600710"/>
                        </a:xfrm>
                        <a:prstGeom prst="rect">
                          <a:avLst/>
                        </a:prstGeom>
                      </wps:spPr>
                      <wps:txbx>
                        <w:txbxContent>
                          <w:p>
                            <w:pPr>
                              <w:spacing w:before="14"/>
                              <w:ind w:left="20" w:right="0" w:firstLine="0"/>
                              <w:jc w:val="left"/>
                              <w:rPr>
                                <w:sz w:val="18"/>
                              </w:rPr>
                            </w:pPr>
                            <w:r>
                              <w:rPr>
                                <w:spacing w:val="-2"/>
                                <w:sz w:val="18"/>
                              </w:rPr>
                              <w:t>50,977,427</w:t>
                            </w:r>
                          </w:p>
                        </w:txbxContent>
                      </wps:txbx>
                      <wps:bodyPr wrap="square" lIns="0" tIns="0" rIns="0" bIns="0" rtlCol="0" vert="vert270">
                        <a:noAutofit/>
                      </wps:bodyPr>
                    </wps:wsp>
                  </a:graphicData>
                </a:graphic>
              </wp:anchor>
            </w:drawing>
          </mc:Choice>
          <mc:Fallback>
            <w:pict>
              <v:shape style="position:absolute;margin-left:441.762543pt;margin-top:39.214336pt;width:12.1pt;height:47.3pt;mso-position-horizontal-relative:page;mso-position-vertical-relative:paragraph;z-index:15746560" type="#_x0000_t202" id="docshape124" filled="false" stroked="false">
                <v:textbox inset="0,0,0,0" style="layout-flow:vertical;mso-layout-flow-alt:bottom-to-top">
                  <w:txbxContent>
                    <w:p>
                      <w:pPr>
                        <w:spacing w:before="14"/>
                        <w:ind w:left="20" w:right="0" w:firstLine="0"/>
                        <w:jc w:val="left"/>
                        <w:rPr>
                          <w:sz w:val="18"/>
                        </w:rPr>
                      </w:pPr>
                      <w:r>
                        <w:rPr>
                          <w:spacing w:val="-2"/>
                          <w:sz w:val="18"/>
                        </w:rPr>
                        <w:t>50,977,427</w:t>
                      </w:r>
                    </w:p>
                  </w:txbxContent>
                </v:textbox>
                <w10:wrap type="none"/>
              </v:shape>
            </w:pict>
          </mc:Fallback>
        </mc:AlternateContent>
      </w:r>
      <w:r>
        <w:rPr>
          <w:rFonts w:ascii="Arial"/>
          <w:i/>
          <w:sz w:val="22"/>
        </w:rPr>
        <w:t>(en</w:t>
      </w:r>
      <w:r>
        <w:rPr>
          <w:rFonts w:ascii="Arial"/>
          <w:i/>
          <w:spacing w:val="-1"/>
          <w:sz w:val="22"/>
        </w:rPr>
        <w:t> </w:t>
      </w:r>
      <w:r>
        <w:rPr>
          <w:rFonts w:ascii="Arial"/>
          <w:i/>
          <w:spacing w:val="-2"/>
          <w:sz w:val="22"/>
        </w:rPr>
        <w:t>kilogramos)</w:t>
      </w: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spacing w:before="19"/>
        <w:rPr>
          <w:rFonts w:ascii="Arial"/>
          <w:i/>
        </w:rPr>
      </w:pPr>
    </w:p>
    <w:p>
      <w:pPr>
        <w:spacing w:before="0"/>
        <w:ind w:left="1420" w:right="1076" w:firstLine="0"/>
        <w:jc w:val="left"/>
        <w:rPr>
          <w:sz w:val="18"/>
        </w:rPr>
      </w:pPr>
      <w:r>
        <w:rPr>
          <w:sz w:val="18"/>
        </w:rPr>
        <mc:AlternateContent>
          <mc:Choice Requires="wps">
            <w:drawing>
              <wp:anchor distT="0" distB="0" distL="0" distR="0" allowOverlap="1" layoutInCell="1" locked="0" behindDoc="0" simplePos="0" relativeHeight="15742976">
                <wp:simplePos x="0" y="0"/>
                <wp:positionH relativeFrom="page">
                  <wp:posOffset>2377091</wp:posOffset>
                </wp:positionH>
                <wp:positionV relativeFrom="paragraph">
                  <wp:posOffset>-1159594</wp:posOffset>
                </wp:positionV>
                <wp:extent cx="3835400" cy="591820"/>
                <wp:effectExtent l="0" t="0" r="0" b="0"/>
                <wp:wrapNone/>
                <wp:docPr id="168" name="Textbox 168"/>
                <wp:cNvGraphicFramePr>
                  <a:graphicFrameLocks/>
                </wp:cNvGraphicFramePr>
                <a:graphic>
                  <a:graphicData uri="http://schemas.microsoft.com/office/word/2010/wordprocessingShape">
                    <wps:wsp>
                      <wps:cNvPr id="168" name="Textbox 168"/>
                      <wps:cNvSpPr txBox="1"/>
                      <wps:spPr>
                        <a:xfrm>
                          <a:off x="0" y="0"/>
                          <a:ext cx="3835400" cy="591820"/>
                        </a:xfrm>
                        <a:prstGeom prst="rect">
                          <a:avLst/>
                        </a:prstGeom>
                      </wps:spPr>
                      <wps:txbx>
                        <w:txbxContent>
                          <w:p>
                            <w:pPr>
                              <w:spacing w:line="268" w:lineRule="auto" w:before="14"/>
                              <w:ind w:left="340" w:right="18" w:firstLine="109"/>
                              <w:jc w:val="right"/>
                              <w:rPr>
                                <w:sz w:val="18"/>
                              </w:rPr>
                            </w:pPr>
                            <w:r>
                              <w:rPr>
                                <w:spacing w:val="-4"/>
                                <w:sz w:val="18"/>
                              </w:rPr>
                              <w:t>enero </w:t>
                            </w:r>
                            <w:r>
                              <w:rPr>
                                <w:spacing w:val="-2"/>
                                <w:sz w:val="18"/>
                              </w:rPr>
                              <w:t>febrero marzo abril </w:t>
                            </w:r>
                            <w:r>
                              <w:rPr>
                                <w:spacing w:val="-4"/>
                                <w:sz w:val="18"/>
                              </w:rPr>
                              <w:t>mayo </w:t>
                            </w:r>
                            <w:r>
                              <w:rPr>
                                <w:spacing w:val="-2"/>
                                <w:sz w:val="18"/>
                              </w:rPr>
                              <w:t>junio julio agosto</w:t>
                            </w:r>
                          </w:p>
                          <w:p>
                            <w:pPr>
                              <w:spacing w:before="1"/>
                              <w:ind w:left="0" w:right="20" w:firstLine="0"/>
                              <w:jc w:val="right"/>
                              <w:rPr>
                                <w:sz w:val="18"/>
                              </w:rPr>
                            </w:pPr>
                            <w:r>
                              <w:rPr>
                                <w:spacing w:val="-2"/>
                                <w:sz w:val="18"/>
                              </w:rPr>
                              <w:t>septiembre</w:t>
                            </w:r>
                          </w:p>
                          <w:p>
                            <w:pPr>
                              <w:spacing w:line="268" w:lineRule="auto" w:before="25"/>
                              <w:ind w:left="70" w:right="19" w:firstLine="240"/>
                              <w:jc w:val="both"/>
                              <w:rPr>
                                <w:sz w:val="18"/>
                              </w:rPr>
                            </w:pPr>
                            <w:r>
                              <w:rPr>
                                <w:spacing w:val="-2"/>
                                <w:sz w:val="18"/>
                              </w:rPr>
                              <w:t>octubre noviembre diciembre</w:t>
                            </w:r>
                          </w:p>
                          <w:p>
                            <w:pPr>
                              <w:spacing w:line="268" w:lineRule="auto" w:before="0"/>
                              <w:ind w:left="340" w:right="18" w:firstLine="109"/>
                              <w:jc w:val="right"/>
                              <w:rPr>
                                <w:sz w:val="18"/>
                              </w:rPr>
                            </w:pPr>
                            <w:r>
                              <w:rPr>
                                <w:spacing w:val="-4"/>
                                <w:sz w:val="18"/>
                              </w:rPr>
                              <w:t>enero </w:t>
                            </w:r>
                            <w:r>
                              <w:rPr>
                                <w:spacing w:val="-2"/>
                                <w:sz w:val="18"/>
                              </w:rPr>
                              <w:t>febrero marzo abril </w:t>
                            </w:r>
                            <w:r>
                              <w:rPr>
                                <w:spacing w:val="-4"/>
                                <w:sz w:val="18"/>
                              </w:rPr>
                              <w:t>mayo </w:t>
                            </w:r>
                            <w:r>
                              <w:rPr>
                                <w:spacing w:val="-2"/>
                                <w:sz w:val="18"/>
                              </w:rPr>
                              <w:t>junio julio agosto</w:t>
                            </w:r>
                          </w:p>
                          <w:p>
                            <w:pPr>
                              <w:spacing w:before="1"/>
                              <w:ind w:left="0" w:right="20" w:firstLine="0"/>
                              <w:jc w:val="right"/>
                              <w:rPr>
                                <w:sz w:val="18"/>
                              </w:rPr>
                            </w:pPr>
                            <w:r>
                              <w:rPr>
                                <w:spacing w:val="-2"/>
                                <w:sz w:val="18"/>
                              </w:rPr>
                              <w:t>septiembre</w:t>
                            </w:r>
                          </w:p>
                          <w:p>
                            <w:pPr>
                              <w:spacing w:line="268" w:lineRule="auto" w:before="25"/>
                              <w:ind w:left="70" w:right="19" w:firstLine="240"/>
                              <w:jc w:val="both"/>
                              <w:rPr>
                                <w:sz w:val="18"/>
                              </w:rPr>
                            </w:pPr>
                            <w:r>
                              <w:rPr>
                                <w:spacing w:val="-2"/>
                                <w:sz w:val="18"/>
                              </w:rPr>
                              <w:t>octubre noviembre diciembre</w:t>
                            </w:r>
                          </w:p>
                          <w:p>
                            <w:pPr>
                              <w:spacing w:line="268" w:lineRule="auto" w:before="0"/>
                              <w:ind w:left="340" w:right="18" w:firstLine="109"/>
                              <w:jc w:val="right"/>
                              <w:rPr>
                                <w:sz w:val="18"/>
                              </w:rPr>
                            </w:pPr>
                            <w:r>
                              <w:rPr>
                                <w:spacing w:val="-4"/>
                                <w:sz w:val="18"/>
                              </w:rPr>
                              <w:t>enero </w:t>
                            </w:r>
                            <w:r>
                              <w:rPr>
                                <w:spacing w:val="-2"/>
                                <w:sz w:val="18"/>
                              </w:rPr>
                              <w:t>febrero</w:t>
                            </w:r>
                          </w:p>
                        </w:txbxContent>
                      </wps:txbx>
                      <wps:bodyPr wrap="square" lIns="0" tIns="0" rIns="0" bIns="0" rtlCol="0" vert="vert270">
                        <a:noAutofit/>
                      </wps:bodyPr>
                    </wps:wsp>
                  </a:graphicData>
                </a:graphic>
              </wp:anchor>
            </w:drawing>
          </mc:Choice>
          <mc:Fallback>
            <w:pict>
              <v:shape style="position:absolute;margin-left:187.172531pt;margin-top:-91.306625pt;width:302pt;height:46.6pt;mso-position-horizontal-relative:page;mso-position-vertical-relative:paragraph;z-index:15742976" type="#_x0000_t202" id="docshape125" filled="false" stroked="false">
                <v:textbox inset="0,0,0,0" style="layout-flow:vertical;mso-layout-flow-alt:bottom-to-top">
                  <w:txbxContent>
                    <w:p>
                      <w:pPr>
                        <w:spacing w:line="268" w:lineRule="auto" w:before="14"/>
                        <w:ind w:left="340" w:right="18" w:firstLine="109"/>
                        <w:jc w:val="right"/>
                        <w:rPr>
                          <w:sz w:val="18"/>
                        </w:rPr>
                      </w:pPr>
                      <w:r>
                        <w:rPr>
                          <w:spacing w:val="-4"/>
                          <w:sz w:val="18"/>
                        </w:rPr>
                        <w:t>enero </w:t>
                      </w:r>
                      <w:r>
                        <w:rPr>
                          <w:spacing w:val="-2"/>
                          <w:sz w:val="18"/>
                        </w:rPr>
                        <w:t>febrero marzo abril </w:t>
                      </w:r>
                      <w:r>
                        <w:rPr>
                          <w:spacing w:val="-4"/>
                          <w:sz w:val="18"/>
                        </w:rPr>
                        <w:t>mayo </w:t>
                      </w:r>
                      <w:r>
                        <w:rPr>
                          <w:spacing w:val="-2"/>
                          <w:sz w:val="18"/>
                        </w:rPr>
                        <w:t>junio julio agosto</w:t>
                      </w:r>
                    </w:p>
                    <w:p>
                      <w:pPr>
                        <w:spacing w:before="1"/>
                        <w:ind w:left="0" w:right="20" w:firstLine="0"/>
                        <w:jc w:val="right"/>
                        <w:rPr>
                          <w:sz w:val="18"/>
                        </w:rPr>
                      </w:pPr>
                      <w:r>
                        <w:rPr>
                          <w:spacing w:val="-2"/>
                          <w:sz w:val="18"/>
                        </w:rPr>
                        <w:t>septiembre</w:t>
                      </w:r>
                    </w:p>
                    <w:p>
                      <w:pPr>
                        <w:spacing w:line="268" w:lineRule="auto" w:before="25"/>
                        <w:ind w:left="70" w:right="19" w:firstLine="240"/>
                        <w:jc w:val="both"/>
                        <w:rPr>
                          <w:sz w:val="18"/>
                        </w:rPr>
                      </w:pPr>
                      <w:r>
                        <w:rPr>
                          <w:spacing w:val="-2"/>
                          <w:sz w:val="18"/>
                        </w:rPr>
                        <w:t>octubre noviembre diciembre</w:t>
                      </w:r>
                    </w:p>
                    <w:p>
                      <w:pPr>
                        <w:spacing w:line="268" w:lineRule="auto" w:before="0"/>
                        <w:ind w:left="340" w:right="18" w:firstLine="109"/>
                        <w:jc w:val="right"/>
                        <w:rPr>
                          <w:sz w:val="18"/>
                        </w:rPr>
                      </w:pPr>
                      <w:r>
                        <w:rPr>
                          <w:spacing w:val="-4"/>
                          <w:sz w:val="18"/>
                        </w:rPr>
                        <w:t>enero </w:t>
                      </w:r>
                      <w:r>
                        <w:rPr>
                          <w:spacing w:val="-2"/>
                          <w:sz w:val="18"/>
                        </w:rPr>
                        <w:t>febrero marzo abril </w:t>
                      </w:r>
                      <w:r>
                        <w:rPr>
                          <w:spacing w:val="-4"/>
                          <w:sz w:val="18"/>
                        </w:rPr>
                        <w:t>mayo </w:t>
                      </w:r>
                      <w:r>
                        <w:rPr>
                          <w:spacing w:val="-2"/>
                          <w:sz w:val="18"/>
                        </w:rPr>
                        <w:t>junio julio agosto</w:t>
                      </w:r>
                    </w:p>
                    <w:p>
                      <w:pPr>
                        <w:spacing w:before="1"/>
                        <w:ind w:left="0" w:right="20" w:firstLine="0"/>
                        <w:jc w:val="right"/>
                        <w:rPr>
                          <w:sz w:val="18"/>
                        </w:rPr>
                      </w:pPr>
                      <w:r>
                        <w:rPr>
                          <w:spacing w:val="-2"/>
                          <w:sz w:val="18"/>
                        </w:rPr>
                        <w:t>septiembre</w:t>
                      </w:r>
                    </w:p>
                    <w:p>
                      <w:pPr>
                        <w:spacing w:line="268" w:lineRule="auto" w:before="25"/>
                        <w:ind w:left="70" w:right="19" w:firstLine="240"/>
                        <w:jc w:val="both"/>
                        <w:rPr>
                          <w:sz w:val="18"/>
                        </w:rPr>
                      </w:pPr>
                      <w:r>
                        <w:rPr>
                          <w:spacing w:val="-2"/>
                          <w:sz w:val="18"/>
                        </w:rPr>
                        <w:t>octubre noviembre diciembre</w:t>
                      </w:r>
                    </w:p>
                    <w:p>
                      <w:pPr>
                        <w:spacing w:line="268" w:lineRule="auto" w:before="0"/>
                        <w:ind w:left="340" w:right="18" w:firstLine="109"/>
                        <w:jc w:val="right"/>
                        <w:rPr>
                          <w:sz w:val="18"/>
                        </w:rPr>
                      </w:pPr>
                      <w:r>
                        <w:rPr>
                          <w:spacing w:val="-4"/>
                          <w:sz w:val="18"/>
                        </w:rPr>
                        <w:t>enero </w:t>
                      </w:r>
                      <w:r>
                        <w:rPr>
                          <w:spacing w:val="-2"/>
                          <w:sz w:val="18"/>
                        </w:rPr>
                        <w:t>febrero</w:t>
                      </w:r>
                    </w:p>
                  </w:txbxContent>
                </v:textbox>
                <w10:wrap type="none"/>
              </v:shape>
            </w:pict>
          </mc:Fallback>
        </mc:AlternateContent>
      </w:r>
      <w:r>
        <w:rPr>
          <w:sz w:val="18"/>
        </w:rPr>
        <mc:AlternateContent>
          <mc:Choice Requires="wps">
            <w:drawing>
              <wp:anchor distT="0" distB="0" distL="0" distR="0" allowOverlap="1" layoutInCell="1" locked="0" behindDoc="0" simplePos="0" relativeHeight="15746048">
                <wp:simplePos x="0" y="0"/>
                <wp:positionH relativeFrom="page">
                  <wp:posOffset>5537613</wp:posOffset>
                </wp:positionH>
                <wp:positionV relativeFrom="paragraph">
                  <wp:posOffset>-1808071</wp:posOffset>
                </wp:positionV>
                <wp:extent cx="153670" cy="536575"/>
                <wp:effectExtent l="0" t="0" r="0" b="0"/>
                <wp:wrapNone/>
                <wp:docPr id="169" name="Textbox 169"/>
                <wp:cNvGraphicFramePr>
                  <a:graphicFrameLocks/>
                </wp:cNvGraphicFramePr>
                <a:graphic>
                  <a:graphicData uri="http://schemas.microsoft.com/office/word/2010/wordprocessingShape">
                    <wps:wsp>
                      <wps:cNvPr id="169" name="Textbox 169"/>
                      <wps:cNvSpPr txBox="1"/>
                      <wps:spPr>
                        <a:xfrm>
                          <a:off x="0" y="0"/>
                          <a:ext cx="153670" cy="536575"/>
                        </a:xfrm>
                        <a:prstGeom prst="rect">
                          <a:avLst/>
                        </a:prstGeom>
                      </wps:spPr>
                      <wps:txbx>
                        <w:txbxContent>
                          <w:p>
                            <w:pPr>
                              <w:spacing w:before="14"/>
                              <w:ind w:left="20" w:right="0" w:firstLine="0"/>
                              <w:jc w:val="left"/>
                              <w:rPr>
                                <w:sz w:val="18"/>
                              </w:rPr>
                            </w:pPr>
                            <w:r>
                              <w:rPr>
                                <w:spacing w:val="-2"/>
                                <w:sz w:val="18"/>
                              </w:rPr>
                              <w:t>2,635,938</w:t>
                            </w:r>
                          </w:p>
                        </w:txbxContent>
                      </wps:txbx>
                      <wps:bodyPr wrap="square" lIns="0" tIns="0" rIns="0" bIns="0" rtlCol="0" vert="vert270">
                        <a:noAutofit/>
                      </wps:bodyPr>
                    </wps:wsp>
                  </a:graphicData>
                </a:graphic>
              </wp:anchor>
            </w:drawing>
          </mc:Choice>
          <mc:Fallback>
            <w:pict>
              <v:shape style="position:absolute;margin-left:436.032532pt;margin-top:-142.367813pt;width:12.1pt;height:42.25pt;mso-position-horizontal-relative:page;mso-position-vertical-relative:paragraph;z-index:15746048" type="#_x0000_t202" id="docshape126" filled="false" stroked="false">
                <v:textbox inset="0,0,0,0" style="layout-flow:vertical;mso-layout-flow-alt:bottom-to-top">
                  <w:txbxContent>
                    <w:p>
                      <w:pPr>
                        <w:spacing w:before="14"/>
                        <w:ind w:left="20" w:right="0" w:firstLine="0"/>
                        <w:jc w:val="left"/>
                        <w:rPr>
                          <w:sz w:val="18"/>
                        </w:rPr>
                      </w:pPr>
                      <w:r>
                        <w:rPr>
                          <w:spacing w:val="-2"/>
                          <w:sz w:val="18"/>
                        </w:rPr>
                        <w:t>2,635,938</w:t>
                      </w:r>
                    </w:p>
                  </w:txbxContent>
                </v:textbox>
                <w10:wrap type="none"/>
              </v:shape>
            </w:pict>
          </mc:Fallback>
        </mc:AlternateContent>
      </w:r>
      <w:r>
        <w:rPr>
          <w:sz w:val="18"/>
        </w:rPr>
        <w:t>Fuente:</w:t>
      </w:r>
      <w:r>
        <w:rPr>
          <w:spacing w:val="-3"/>
          <w:sz w:val="18"/>
        </w:rPr>
        <w:t> </w:t>
      </w:r>
      <w:r>
        <w:rPr>
          <w:sz w:val="18"/>
        </w:rPr>
        <w:t>En</w:t>
      </w:r>
      <w:r>
        <w:rPr>
          <w:spacing w:val="-5"/>
          <w:sz w:val="18"/>
        </w:rPr>
        <w:t> </w:t>
      </w:r>
      <w:r>
        <w:rPr>
          <w:sz w:val="18"/>
        </w:rPr>
        <w:t>base</w:t>
      </w:r>
      <w:r>
        <w:rPr>
          <w:spacing w:val="-3"/>
          <w:sz w:val="18"/>
        </w:rPr>
        <w:t> </w:t>
      </w:r>
      <w:r>
        <w:rPr>
          <w:sz w:val="18"/>
        </w:rPr>
        <w:t>a</w:t>
      </w:r>
      <w:r>
        <w:rPr>
          <w:spacing w:val="-3"/>
          <w:sz w:val="18"/>
        </w:rPr>
        <w:t> </w:t>
      </w:r>
      <w:r>
        <w:rPr>
          <w:sz w:val="18"/>
        </w:rPr>
        <w:t>datos proporcionados</w:t>
      </w:r>
      <w:r>
        <w:rPr>
          <w:spacing w:val="-4"/>
          <w:sz w:val="18"/>
        </w:rPr>
        <w:t> </w:t>
      </w:r>
      <w:r>
        <w:rPr>
          <w:sz w:val="18"/>
        </w:rPr>
        <w:t>por</w:t>
      </w:r>
      <w:r>
        <w:rPr>
          <w:spacing w:val="-3"/>
          <w:sz w:val="18"/>
        </w:rPr>
        <w:t> </w:t>
      </w:r>
      <w:r>
        <w:rPr>
          <w:sz w:val="18"/>
        </w:rPr>
        <w:t>el</w:t>
      </w:r>
      <w:r>
        <w:rPr>
          <w:spacing w:val="-3"/>
          <w:sz w:val="18"/>
        </w:rPr>
        <w:t> </w:t>
      </w:r>
      <w:r>
        <w:rPr>
          <w:sz w:val="18"/>
        </w:rPr>
        <w:t>Viceministerio</w:t>
      </w:r>
      <w:r>
        <w:rPr>
          <w:spacing w:val="-3"/>
          <w:sz w:val="18"/>
        </w:rPr>
        <w:t> </w:t>
      </w:r>
      <w:r>
        <w:rPr>
          <w:sz w:val="18"/>
        </w:rPr>
        <w:t>de</w:t>
      </w:r>
      <w:r>
        <w:rPr>
          <w:spacing w:val="-3"/>
          <w:sz w:val="18"/>
        </w:rPr>
        <w:t> </w:t>
      </w:r>
      <w:r>
        <w:rPr>
          <w:sz w:val="18"/>
        </w:rPr>
        <w:t>Comercio</w:t>
      </w:r>
      <w:r>
        <w:rPr>
          <w:spacing w:val="-3"/>
          <w:sz w:val="18"/>
        </w:rPr>
        <w:t> </w:t>
      </w:r>
      <w:r>
        <w:rPr>
          <w:sz w:val="18"/>
        </w:rPr>
        <w:t>Exterior</w:t>
      </w:r>
      <w:r>
        <w:rPr>
          <w:spacing w:val="-3"/>
          <w:sz w:val="18"/>
        </w:rPr>
        <w:t> </w:t>
      </w:r>
      <w:r>
        <w:rPr>
          <w:sz w:val="18"/>
        </w:rPr>
        <w:t>de</w:t>
      </w:r>
      <w:r>
        <w:rPr>
          <w:spacing w:val="-3"/>
          <w:sz w:val="18"/>
        </w:rPr>
        <w:t> </w:t>
      </w:r>
      <w:r>
        <w:rPr>
          <w:sz w:val="18"/>
        </w:rPr>
        <w:t>la</w:t>
      </w:r>
      <w:r>
        <w:rPr>
          <w:spacing w:val="-7"/>
          <w:sz w:val="18"/>
        </w:rPr>
        <w:t> </w:t>
      </w:r>
      <w:r>
        <w:rPr>
          <w:sz w:val="18"/>
        </w:rPr>
        <w:t>República del Ecuador.</w:t>
      </w:r>
    </w:p>
    <w:p>
      <w:pPr>
        <w:spacing w:line="206" w:lineRule="exact" w:before="0"/>
        <w:ind w:left="1420" w:right="0" w:firstLine="0"/>
        <w:jc w:val="left"/>
        <w:rPr>
          <w:sz w:val="18"/>
        </w:rPr>
      </w:pPr>
      <w:r>
        <w:rPr>
          <w:sz w:val="18"/>
        </w:rPr>
        <w:t>Elaboración:</w:t>
      </w:r>
      <w:r>
        <w:rPr>
          <w:spacing w:val="-5"/>
          <w:sz w:val="18"/>
        </w:rPr>
        <w:t> </w:t>
      </w:r>
      <w:r>
        <w:rPr>
          <w:spacing w:val="-2"/>
          <w:sz w:val="18"/>
        </w:rPr>
        <w:t>SGCAN.</w:t>
      </w:r>
    </w:p>
    <w:p>
      <w:pPr>
        <w:pStyle w:val="BodyText"/>
        <w:spacing w:before="2"/>
        <w:rPr>
          <w:sz w:val="18"/>
        </w:rPr>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Del</w:t>
      </w:r>
      <w:r>
        <w:rPr>
          <w:spacing w:val="-6"/>
          <w:sz w:val="22"/>
        </w:rPr>
        <w:t> </w:t>
      </w:r>
      <w:r>
        <w:rPr>
          <w:sz w:val="22"/>
        </w:rPr>
        <w:t>Gráfico</w:t>
      </w:r>
      <w:r>
        <w:rPr>
          <w:spacing w:val="-4"/>
          <w:sz w:val="22"/>
        </w:rPr>
        <w:t> </w:t>
      </w:r>
      <w:r>
        <w:rPr>
          <w:sz w:val="22"/>
        </w:rPr>
        <w:t>N.°1</w:t>
      </w:r>
      <w:r>
        <w:rPr>
          <w:spacing w:val="-7"/>
          <w:sz w:val="22"/>
        </w:rPr>
        <w:t> </w:t>
      </w:r>
      <w:r>
        <w:rPr>
          <w:sz w:val="22"/>
        </w:rPr>
        <w:t>se</w:t>
      </w:r>
      <w:r>
        <w:rPr>
          <w:spacing w:val="-7"/>
          <w:sz w:val="22"/>
        </w:rPr>
        <w:t> </w:t>
      </w:r>
      <w:r>
        <w:rPr>
          <w:sz w:val="22"/>
        </w:rPr>
        <w:t>observa</w:t>
      </w:r>
      <w:r>
        <w:rPr>
          <w:spacing w:val="-5"/>
          <w:sz w:val="22"/>
        </w:rPr>
        <w:t> </w:t>
      </w:r>
      <w:r>
        <w:rPr>
          <w:sz w:val="22"/>
        </w:rPr>
        <w:t>la</w:t>
      </w:r>
      <w:r>
        <w:rPr>
          <w:spacing w:val="-7"/>
          <w:sz w:val="22"/>
        </w:rPr>
        <w:t> </w:t>
      </w:r>
      <w:r>
        <w:rPr>
          <w:sz w:val="22"/>
        </w:rPr>
        <w:t>variación</w:t>
      </w:r>
      <w:r>
        <w:rPr>
          <w:spacing w:val="-8"/>
          <w:sz w:val="22"/>
        </w:rPr>
        <w:t> </w:t>
      </w:r>
      <w:r>
        <w:rPr>
          <w:sz w:val="22"/>
        </w:rPr>
        <w:t>interanual</w:t>
      </w:r>
      <w:r>
        <w:rPr>
          <w:spacing w:val="-6"/>
          <w:sz w:val="22"/>
        </w:rPr>
        <w:t> </w:t>
      </w:r>
      <w:r>
        <w:rPr>
          <w:sz w:val="22"/>
        </w:rPr>
        <w:t>del</w:t>
      </w:r>
      <w:r>
        <w:rPr>
          <w:spacing w:val="-6"/>
          <w:sz w:val="22"/>
        </w:rPr>
        <w:t> </w:t>
      </w:r>
      <w:r>
        <w:rPr>
          <w:sz w:val="22"/>
        </w:rPr>
        <w:t>volumen</w:t>
      </w:r>
      <w:r>
        <w:rPr>
          <w:spacing w:val="-7"/>
          <w:sz w:val="22"/>
        </w:rPr>
        <w:t> </w:t>
      </w:r>
      <w:r>
        <w:rPr>
          <w:sz w:val="22"/>
        </w:rPr>
        <w:t>de</w:t>
      </w:r>
      <w:r>
        <w:rPr>
          <w:spacing w:val="-8"/>
          <w:sz w:val="22"/>
        </w:rPr>
        <w:t> </w:t>
      </w:r>
      <w:r>
        <w:rPr>
          <w:sz w:val="22"/>
        </w:rPr>
        <w:t>las</w:t>
      </w:r>
      <w:r>
        <w:rPr>
          <w:spacing w:val="-5"/>
          <w:sz w:val="22"/>
        </w:rPr>
        <w:t> </w:t>
      </w:r>
      <w:r>
        <w:rPr>
          <w:sz w:val="22"/>
        </w:rPr>
        <w:t>importaciones correspondientes a los meses de enero y febrero para los periodos 2024–2025 y 2025–2026.</w:t>
      </w:r>
      <w:r>
        <w:rPr>
          <w:spacing w:val="-4"/>
          <w:sz w:val="22"/>
        </w:rPr>
        <w:t> </w:t>
      </w:r>
      <w:r>
        <w:rPr>
          <w:sz w:val="22"/>
        </w:rPr>
        <w:t>En</w:t>
      </w:r>
      <w:r>
        <w:rPr>
          <w:spacing w:val="-7"/>
          <w:sz w:val="22"/>
        </w:rPr>
        <w:t> </w:t>
      </w:r>
      <w:r>
        <w:rPr>
          <w:sz w:val="22"/>
        </w:rPr>
        <w:t>ese</w:t>
      </w:r>
      <w:r>
        <w:rPr>
          <w:spacing w:val="-8"/>
          <w:sz w:val="22"/>
        </w:rPr>
        <w:t> </w:t>
      </w:r>
      <w:r>
        <w:rPr>
          <w:sz w:val="22"/>
        </w:rPr>
        <w:t>sentido,</w:t>
      </w:r>
      <w:r>
        <w:rPr>
          <w:spacing w:val="-4"/>
          <w:sz w:val="22"/>
        </w:rPr>
        <w:t> </w:t>
      </w:r>
      <w:r>
        <w:rPr>
          <w:sz w:val="22"/>
        </w:rPr>
        <w:t>para</w:t>
      </w:r>
      <w:r>
        <w:rPr>
          <w:spacing w:val="-7"/>
          <w:sz w:val="22"/>
        </w:rPr>
        <w:t> </w:t>
      </w:r>
      <w:r>
        <w:rPr>
          <w:sz w:val="22"/>
        </w:rPr>
        <w:t>el</w:t>
      </w:r>
      <w:r>
        <w:rPr>
          <w:spacing w:val="-8"/>
          <w:sz w:val="22"/>
        </w:rPr>
        <w:t> </w:t>
      </w:r>
      <w:r>
        <w:rPr>
          <w:sz w:val="22"/>
        </w:rPr>
        <w:t>mes</w:t>
      </w:r>
      <w:r>
        <w:rPr>
          <w:spacing w:val="-5"/>
          <w:sz w:val="22"/>
        </w:rPr>
        <w:t> </w:t>
      </w:r>
      <w:r>
        <w:rPr>
          <w:sz w:val="22"/>
        </w:rPr>
        <w:t>de</w:t>
      </w:r>
      <w:r>
        <w:rPr>
          <w:spacing w:val="-8"/>
          <w:sz w:val="22"/>
        </w:rPr>
        <w:t> </w:t>
      </w:r>
      <w:r>
        <w:rPr>
          <w:sz w:val="22"/>
        </w:rPr>
        <w:t>enero,</w:t>
      </w:r>
      <w:r>
        <w:rPr>
          <w:spacing w:val="-4"/>
          <w:sz w:val="22"/>
        </w:rPr>
        <w:t> </w:t>
      </w:r>
      <w:r>
        <w:rPr>
          <w:sz w:val="22"/>
        </w:rPr>
        <w:t>las</w:t>
      </w:r>
      <w:r>
        <w:rPr>
          <w:spacing w:val="-7"/>
          <w:sz w:val="22"/>
        </w:rPr>
        <w:t> </w:t>
      </w:r>
      <w:r>
        <w:rPr>
          <w:sz w:val="22"/>
        </w:rPr>
        <w:t>importaciones</w:t>
      </w:r>
      <w:r>
        <w:rPr>
          <w:spacing w:val="-7"/>
          <w:sz w:val="22"/>
        </w:rPr>
        <w:t> </w:t>
      </w:r>
      <w:r>
        <w:rPr>
          <w:sz w:val="22"/>
        </w:rPr>
        <w:t>registraron</w:t>
      </w:r>
      <w:r>
        <w:rPr>
          <w:spacing w:val="-7"/>
          <w:sz w:val="22"/>
        </w:rPr>
        <w:t> </w:t>
      </w:r>
      <w:r>
        <w:rPr>
          <w:sz w:val="22"/>
        </w:rPr>
        <w:t>una disminución del 2% en 2025 respecto a 2024, mientras que en 2026 se observa un incremento del 64% respecto a 2025. En cuanto al mes de febrero, se evidencia un</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BodyText"/>
        <w:ind w:left="1420" w:right="955"/>
      </w:pPr>
      <w:r>
        <w:rPr/>
        <w:t>aumento del 1% entre 2024 y 2025; sin embargo, en 2026 se registra una caída del 92% respecto a 2025.</w:t>
      </w:r>
    </w:p>
    <w:p>
      <w:pPr>
        <w:pStyle w:val="BodyText"/>
      </w:pPr>
    </w:p>
    <w:p>
      <w:pPr>
        <w:pStyle w:val="ListParagraph"/>
        <w:numPr>
          <w:ilvl w:val="0"/>
          <w:numId w:val="2"/>
        </w:numPr>
        <w:tabs>
          <w:tab w:pos="1420" w:val="left" w:leader="none"/>
        </w:tabs>
        <w:spacing w:line="240" w:lineRule="auto" w:before="0" w:after="0"/>
        <w:ind w:left="1420" w:right="975" w:hanging="852"/>
        <w:jc w:val="both"/>
        <w:rPr>
          <w:sz w:val="22"/>
        </w:rPr>
      </w:pPr>
      <w:r>
        <w:rPr>
          <w:sz w:val="22"/>
        </w:rPr>
        <w:t>Resulta pertinente analizar la variación interanual en atención al contexto particular que atravesó la zona del Carchi durante los meses de enero y febrero. En ese sentido, conviene destacar que, durante dicho periodo de 2026, se produjeron dos eventos relevantes que incidieron de manera significativa en la dinámica del flujo comercial: (i) la implementación de la tasa de seguridad nacional del 30%, aplicable a las mercancías procedentes u originarias de la República de Colombia; y (ii) la canalización del ingreso de mercancías a través del único paso internacional habilitado, correspondiente al puente de Rumichaca.</w:t>
      </w:r>
    </w:p>
    <w:p>
      <w:pPr>
        <w:pStyle w:val="BodyText"/>
        <w:spacing w:before="1"/>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En</w:t>
      </w:r>
      <w:r>
        <w:rPr>
          <w:spacing w:val="-3"/>
          <w:sz w:val="22"/>
        </w:rPr>
        <w:t> </w:t>
      </w:r>
      <w:r>
        <w:rPr>
          <w:sz w:val="22"/>
        </w:rPr>
        <w:t>relación</w:t>
      </w:r>
      <w:r>
        <w:rPr>
          <w:spacing w:val="-5"/>
          <w:sz w:val="22"/>
        </w:rPr>
        <w:t> </w:t>
      </w:r>
      <w:r>
        <w:rPr>
          <w:sz w:val="22"/>
        </w:rPr>
        <w:t>con</w:t>
      </w:r>
      <w:r>
        <w:rPr>
          <w:spacing w:val="-5"/>
          <w:sz w:val="22"/>
        </w:rPr>
        <w:t> </w:t>
      </w:r>
      <w:r>
        <w:rPr>
          <w:sz w:val="22"/>
        </w:rPr>
        <w:t>el</w:t>
      </w:r>
      <w:r>
        <w:rPr>
          <w:spacing w:val="-4"/>
          <w:sz w:val="22"/>
        </w:rPr>
        <w:t> </w:t>
      </w:r>
      <w:r>
        <w:rPr>
          <w:sz w:val="22"/>
        </w:rPr>
        <w:t>primer</w:t>
      </w:r>
      <w:r>
        <w:rPr>
          <w:spacing w:val="-4"/>
          <w:sz w:val="22"/>
        </w:rPr>
        <w:t> </w:t>
      </w:r>
      <w:r>
        <w:rPr>
          <w:sz w:val="22"/>
        </w:rPr>
        <w:t>elemento,</w:t>
      </w:r>
      <w:r>
        <w:rPr>
          <w:spacing w:val="-4"/>
          <w:sz w:val="22"/>
        </w:rPr>
        <w:t> </w:t>
      </w:r>
      <w:r>
        <w:rPr>
          <w:sz w:val="22"/>
        </w:rPr>
        <w:t>la</w:t>
      </w:r>
      <w:r>
        <w:rPr>
          <w:spacing w:val="-5"/>
          <w:sz w:val="22"/>
        </w:rPr>
        <w:t> </w:t>
      </w:r>
      <w:r>
        <w:rPr>
          <w:sz w:val="22"/>
        </w:rPr>
        <w:t>información</w:t>
      </w:r>
      <w:r>
        <w:rPr>
          <w:spacing w:val="-5"/>
          <w:sz w:val="22"/>
        </w:rPr>
        <w:t> </w:t>
      </w:r>
      <w:r>
        <w:rPr>
          <w:sz w:val="22"/>
        </w:rPr>
        <w:t>recopilada</w:t>
      </w:r>
      <w:r>
        <w:rPr>
          <w:spacing w:val="-3"/>
          <w:sz w:val="22"/>
        </w:rPr>
        <w:t> </w:t>
      </w:r>
      <w:r>
        <w:rPr>
          <w:sz w:val="22"/>
        </w:rPr>
        <w:t>por</w:t>
      </w:r>
      <w:r>
        <w:rPr>
          <w:spacing w:val="-4"/>
          <w:sz w:val="22"/>
        </w:rPr>
        <w:t> </w:t>
      </w:r>
      <w:r>
        <w:rPr>
          <w:sz w:val="22"/>
        </w:rPr>
        <w:t>la</w:t>
      </w:r>
      <w:r>
        <w:rPr>
          <w:spacing w:val="-3"/>
          <w:sz w:val="22"/>
        </w:rPr>
        <w:t> </w:t>
      </w:r>
      <w:r>
        <w:rPr>
          <w:sz w:val="22"/>
        </w:rPr>
        <w:t>SGCAN</w:t>
      </w:r>
      <w:r>
        <w:rPr>
          <w:spacing w:val="-3"/>
          <w:sz w:val="22"/>
        </w:rPr>
        <w:t> </w:t>
      </w:r>
      <w:r>
        <w:rPr>
          <w:sz w:val="22"/>
        </w:rPr>
        <w:t>durante </w:t>
      </w:r>
      <w:r>
        <w:rPr>
          <w:spacing w:val="-2"/>
          <w:sz w:val="22"/>
        </w:rPr>
        <w:t>las</w:t>
      </w:r>
      <w:r>
        <w:rPr>
          <w:spacing w:val="-3"/>
          <w:sz w:val="22"/>
        </w:rPr>
        <w:t> </w:t>
      </w:r>
      <w:r>
        <w:rPr>
          <w:spacing w:val="-2"/>
          <w:sz w:val="22"/>
        </w:rPr>
        <w:t>visitas</w:t>
      </w:r>
      <w:r>
        <w:rPr>
          <w:spacing w:val="-6"/>
          <w:sz w:val="22"/>
        </w:rPr>
        <w:t> </w:t>
      </w:r>
      <w:r>
        <w:rPr>
          <w:spacing w:val="-2"/>
          <w:sz w:val="22"/>
        </w:rPr>
        <w:t>de</w:t>
      </w:r>
      <w:r>
        <w:rPr>
          <w:spacing w:val="-6"/>
          <w:sz w:val="22"/>
        </w:rPr>
        <w:t> </w:t>
      </w:r>
      <w:r>
        <w:rPr>
          <w:spacing w:val="-2"/>
          <w:sz w:val="22"/>
        </w:rPr>
        <w:t>verificación</w:t>
      </w:r>
      <w:r>
        <w:rPr>
          <w:spacing w:val="-6"/>
          <w:sz w:val="22"/>
        </w:rPr>
        <w:t> </w:t>
      </w:r>
      <w:r>
        <w:rPr>
          <w:spacing w:val="-2"/>
          <w:sz w:val="22"/>
        </w:rPr>
        <w:t>realizadas</w:t>
      </w:r>
      <w:r>
        <w:rPr>
          <w:spacing w:val="-3"/>
          <w:sz w:val="22"/>
        </w:rPr>
        <w:t> </w:t>
      </w:r>
      <w:r>
        <w:rPr>
          <w:spacing w:val="-2"/>
          <w:sz w:val="22"/>
        </w:rPr>
        <w:t>en</w:t>
      </w:r>
      <w:r>
        <w:rPr>
          <w:spacing w:val="-6"/>
          <w:sz w:val="22"/>
        </w:rPr>
        <w:t> </w:t>
      </w:r>
      <w:r>
        <w:rPr>
          <w:spacing w:val="-2"/>
          <w:sz w:val="22"/>
        </w:rPr>
        <w:t>el</w:t>
      </w:r>
      <w:r>
        <w:rPr>
          <w:spacing w:val="-6"/>
          <w:sz w:val="22"/>
        </w:rPr>
        <w:t> </w:t>
      </w:r>
      <w:r>
        <w:rPr>
          <w:spacing w:val="-2"/>
          <w:sz w:val="22"/>
        </w:rPr>
        <w:t>puente</w:t>
      </w:r>
      <w:r>
        <w:rPr>
          <w:spacing w:val="-6"/>
          <w:sz w:val="22"/>
        </w:rPr>
        <w:t> </w:t>
      </w:r>
      <w:r>
        <w:rPr>
          <w:spacing w:val="-2"/>
          <w:sz w:val="22"/>
        </w:rPr>
        <w:t>internacional</w:t>
      </w:r>
      <w:r>
        <w:rPr>
          <w:spacing w:val="-4"/>
          <w:sz w:val="22"/>
        </w:rPr>
        <w:t> </w:t>
      </w:r>
      <w:r>
        <w:rPr>
          <w:spacing w:val="-2"/>
          <w:sz w:val="22"/>
        </w:rPr>
        <w:t>de</w:t>
      </w:r>
      <w:r>
        <w:rPr>
          <w:spacing w:val="-6"/>
          <w:sz w:val="22"/>
        </w:rPr>
        <w:t> </w:t>
      </w:r>
      <w:r>
        <w:rPr>
          <w:spacing w:val="-2"/>
          <w:sz w:val="22"/>
        </w:rPr>
        <w:t>Rumichaca, permite </w:t>
      </w:r>
      <w:r>
        <w:rPr>
          <w:sz w:val="22"/>
        </w:rPr>
        <w:t>advertir que la sola expectativa de implementación de la medida generó un incremento sustancial de las importaciones previo a su entrada en vigor</w:t>
      </w:r>
      <w:hyperlink w:history="true" w:anchor="_bookmark29">
        <w:r>
          <w:rPr>
            <w:sz w:val="22"/>
            <w:vertAlign w:val="superscript"/>
          </w:rPr>
          <w:t>30</w:t>
        </w:r>
      </w:hyperlink>
      <w:r>
        <w:rPr>
          <w:sz w:val="22"/>
          <w:vertAlign w:val="baseline"/>
        </w:rPr>
        <w:t>:</w:t>
      </w:r>
    </w:p>
    <w:p>
      <w:pPr>
        <w:pStyle w:val="BodyText"/>
        <w:spacing w:before="17"/>
      </w:pPr>
    </w:p>
    <w:p>
      <w:pPr>
        <w:spacing w:before="0"/>
        <w:ind w:left="2128" w:right="981" w:firstLine="0"/>
        <w:jc w:val="both"/>
        <w:rPr>
          <w:rFonts w:ascii="Arial" w:hAnsi="Arial"/>
          <w:i/>
          <w:sz w:val="22"/>
        </w:rPr>
      </w:pPr>
      <w:r>
        <w:rPr>
          <w:rFonts w:ascii="Arial" w:hAnsi="Arial"/>
          <w:i/>
          <w:sz w:val="22"/>
        </w:rPr>
        <w:t>“Se reportó que, previo a la entrada en vigencia de la medida, se produjo un incremento atípico de las operaciones comerciales, concentrado en los últimos días</w:t>
      </w:r>
      <w:r>
        <w:rPr>
          <w:rFonts w:ascii="Arial" w:hAnsi="Arial"/>
          <w:i/>
          <w:spacing w:val="-2"/>
          <w:sz w:val="22"/>
        </w:rPr>
        <w:t> </w:t>
      </w:r>
      <w:r>
        <w:rPr>
          <w:rFonts w:ascii="Arial" w:hAnsi="Arial"/>
          <w:i/>
          <w:sz w:val="22"/>
        </w:rPr>
        <w:t>del</w:t>
      </w:r>
      <w:r>
        <w:rPr>
          <w:rFonts w:ascii="Arial" w:hAnsi="Arial"/>
          <w:i/>
          <w:spacing w:val="-2"/>
          <w:sz w:val="22"/>
        </w:rPr>
        <w:t> </w:t>
      </w:r>
      <w:r>
        <w:rPr>
          <w:rFonts w:ascii="Arial" w:hAnsi="Arial"/>
          <w:i/>
          <w:sz w:val="22"/>
        </w:rPr>
        <w:t>mes de</w:t>
      </w:r>
      <w:r>
        <w:rPr>
          <w:rFonts w:ascii="Arial" w:hAnsi="Arial"/>
          <w:i/>
          <w:spacing w:val="-4"/>
          <w:sz w:val="22"/>
        </w:rPr>
        <w:t> </w:t>
      </w:r>
      <w:r>
        <w:rPr>
          <w:rFonts w:ascii="Arial" w:hAnsi="Arial"/>
          <w:i/>
          <w:sz w:val="22"/>
        </w:rPr>
        <w:t>enero de</w:t>
      </w:r>
      <w:r>
        <w:rPr>
          <w:rFonts w:ascii="Arial" w:hAnsi="Arial"/>
          <w:i/>
          <w:spacing w:val="-2"/>
          <w:sz w:val="22"/>
        </w:rPr>
        <w:t> </w:t>
      </w:r>
      <w:r>
        <w:rPr>
          <w:rFonts w:ascii="Arial" w:hAnsi="Arial"/>
          <w:i/>
          <w:sz w:val="22"/>
        </w:rPr>
        <w:t>2026, como</w:t>
      </w:r>
      <w:r>
        <w:rPr>
          <w:rFonts w:ascii="Arial" w:hAnsi="Arial"/>
          <w:i/>
          <w:spacing w:val="-2"/>
          <w:sz w:val="22"/>
        </w:rPr>
        <w:t> </w:t>
      </w:r>
      <w:r>
        <w:rPr>
          <w:rFonts w:ascii="Arial" w:hAnsi="Arial"/>
          <w:i/>
          <w:sz w:val="22"/>
        </w:rPr>
        <w:t>resultado de</w:t>
      </w:r>
      <w:r>
        <w:rPr>
          <w:rFonts w:ascii="Arial" w:hAnsi="Arial"/>
          <w:i/>
          <w:spacing w:val="-2"/>
          <w:sz w:val="22"/>
        </w:rPr>
        <w:t> </w:t>
      </w:r>
      <w:r>
        <w:rPr>
          <w:rFonts w:ascii="Arial" w:hAnsi="Arial"/>
          <w:i/>
          <w:sz w:val="22"/>
        </w:rPr>
        <w:t>la anticipación</w:t>
      </w:r>
      <w:r>
        <w:rPr>
          <w:rFonts w:ascii="Arial" w:hAnsi="Arial"/>
          <w:i/>
          <w:spacing w:val="-2"/>
          <w:sz w:val="22"/>
        </w:rPr>
        <w:t> </w:t>
      </w:r>
      <w:r>
        <w:rPr>
          <w:rFonts w:ascii="Arial" w:hAnsi="Arial"/>
          <w:i/>
          <w:sz w:val="22"/>
        </w:rPr>
        <w:t>de los operadores económicos para evitar los efectos de la medida.”</w:t>
      </w:r>
    </w:p>
    <w:p>
      <w:pPr>
        <w:pStyle w:val="BodyText"/>
        <w:spacing w:before="14"/>
        <w:rPr>
          <w:rFonts w:ascii="Arial"/>
          <w:i/>
        </w:rPr>
      </w:pPr>
    </w:p>
    <w:p>
      <w:pPr>
        <w:pStyle w:val="ListParagraph"/>
        <w:numPr>
          <w:ilvl w:val="0"/>
          <w:numId w:val="2"/>
        </w:numPr>
        <w:tabs>
          <w:tab w:pos="1420" w:val="left" w:leader="none"/>
        </w:tabs>
        <w:spacing w:line="240" w:lineRule="auto" w:before="0" w:after="0"/>
        <w:ind w:left="1420" w:right="976" w:hanging="852"/>
        <w:jc w:val="both"/>
        <w:rPr>
          <w:sz w:val="22"/>
        </w:rPr>
      </w:pPr>
      <w:r>
        <w:rPr>
          <w:sz w:val="22"/>
        </w:rPr>
        <w:t>En efecto, el anuncio de la aplicación de la tasa de seguridad fue efectuado públicamente el 21 de enero de 2026</w:t>
      </w:r>
      <w:hyperlink w:history="true" w:anchor="_bookmark30">
        <w:r>
          <w:rPr>
            <w:sz w:val="22"/>
            <w:vertAlign w:val="superscript"/>
          </w:rPr>
          <w:t>31</w:t>
        </w:r>
      </w:hyperlink>
      <w:r>
        <w:rPr>
          <w:sz w:val="22"/>
          <w:vertAlign w:val="baseline"/>
        </w:rPr>
        <w:t> comunicando la imposición de una tasa del 30% a las importaciones procedentes u originarias de la República de Colombia. Posteriormente, dicha medida fue formalizada mediante la Resolución N.° SENAE-SENAE-2026-0006-RE,</w:t>
      </w:r>
      <w:r>
        <w:rPr>
          <w:spacing w:val="-6"/>
          <w:sz w:val="22"/>
          <w:vertAlign w:val="baseline"/>
        </w:rPr>
        <w:t> </w:t>
      </w:r>
      <w:r>
        <w:rPr>
          <w:sz w:val="22"/>
          <w:vertAlign w:val="baseline"/>
        </w:rPr>
        <w:t>de</w:t>
      </w:r>
      <w:r>
        <w:rPr>
          <w:spacing w:val="-5"/>
          <w:sz w:val="22"/>
          <w:vertAlign w:val="baseline"/>
        </w:rPr>
        <w:t> </w:t>
      </w:r>
      <w:r>
        <w:rPr>
          <w:sz w:val="22"/>
          <w:vertAlign w:val="baseline"/>
        </w:rPr>
        <w:t>fecha</w:t>
      </w:r>
      <w:r>
        <w:rPr>
          <w:spacing w:val="-7"/>
          <w:sz w:val="22"/>
          <w:vertAlign w:val="baseline"/>
        </w:rPr>
        <w:t> </w:t>
      </w:r>
      <w:r>
        <w:rPr>
          <w:sz w:val="22"/>
          <w:vertAlign w:val="baseline"/>
        </w:rPr>
        <w:t>24</w:t>
      </w:r>
      <w:r>
        <w:rPr>
          <w:spacing w:val="-5"/>
          <w:sz w:val="22"/>
          <w:vertAlign w:val="baseline"/>
        </w:rPr>
        <w:t> </w:t>
      </w:r>
      <w:r>
        <w:rPr>
          <w:sz w:val="22"/>
          <w:vertAlign w:val="baseline"/>
        </w:rPr>
        <w:t>de</w:t>
      </w:r>
      <w:r>
        <w:rPr>
          <w:spacing w:val="-5"/>
          <w:sz w:val="22"/>
          <w:vertAlign w:val="baseline"/>
        </w:rPr>
        <w:t> </w:t>
      </w:r>
      <w:r>
        <w:rPr>
          <w:sz w:val="22"/>
          <w:vertAlign w:val="baseline"/>
        </w:rPr>
        <w:t>enero</w:t>
      </w:r>
      <w:r>
        <w:rPr>
          <w:spacing w:val="-5"/>
          <w:sz w:val="22"/>
          <w:vertAlign w:val="baseline"/>
        </w:rPr>
        <w:t> </w:t>
      </w:r>
      <w:r>
        <w:rPr>
          <w:sz w:val="22"/>
          <w:vertAlign w:val="baseline"/>
        </w:rPr>
        <w:t>de</w:t>
      </w:r>
      <w:r>
        <w:rPr>
          <w:spacing w:val="-9"/>
          <w:sz w:val="22"/>
          <w:vertAlign w:val="baseline"/>
        </w:rPr>
        <w:t> </w:t>
      </w:r>
      <w:r>
        <w:rPr>
          <w:sz w:val="22"/>
          <w:vertAlign w:val="baseline"/>
        </w:rPr>
        <w:t>2026,</w:t>
      </w:r>
      <w:r>
        <w:rPr>
          <w:spacing w:val="-4"/>
          <w:sz w:val="22"/>
          <w:vertAlign w:val="baseline"/>
        </w:rPr>
        <w:t> </w:t>
      </w:r>
      <w:r>
        <w:rPr>
          <w:sz w:val="22"/>
          <w:vertAlign w:val="baseline"/>
        </w:rPr>
        <w:t>tomando</w:t>
      </w:r>
      <w:r>
        <w:rPr>
          <w:spacing w:val="-7"/>
          <w:sz w:val="22"/>
          <w:vertAlign w:val="baseline"/>
        </w:rPr>
        <w:t> </w:t>
      </w:r>
      <w:r>
        <w:rPr>
          <w:sz w:val="22"/>
          <w:vertAlign w:val="baseline"/>
        </w:rPr>
        <w:t>en</w:t>
      </w:r>
      <w:r>
        <w:rPr>
          <w:spacing w:val="-5"/>
          <w:sz w:val="22"/>
          <w:vertAlign w:val="baseline"/>
        </w:rPr>
        <w:t> </w:t>
      </w:r>
      <w:r>
        <w:rPr>
          <w:sz w:val="22"/>
          <w:vertAlign w:val="baseline"/>
        </w:rPr>
        <w:t>consideración</w:t>
      </w:r>
      <w:r>
        <w:rPr>
          <w:spacing w:val="-5"/>
          <w:sz w:val="22"/>
          <w:vertAlign w:val="baseline"/>
        </w:rPr>
        <w:t> </w:t>
      </w:r>
      <w:r>
        <w:rPr>
          <w:sz w:val="22"/>
          <w:vertAlign w:val="baseline"/>
        </w:rPr>
        <w:t>el inicio de su aplicación a partir del 1 de febrero del presente año.</w:t>
      </w:r>
    </w:p>
    <w:p>
      <w:pPr>
        <w:pStyle w:val="BodyText"/>
        <w:spacing w:before="1"/>
      </w:pPr>
    </w:p>
    <w:p>
      <w:pPr>
        <w:pStyle w:val="ListParagraph"/>
        <w:numPr>
          <w:ilvl w:val="0"/>
          <w:numId w:val="2"/>
        </w:numPr>
        <w:tabs>
          <w:tab w:pos="1420" w:val="left" w:leader="none"/>
        </w:tabs>
        <w:spacing w:line="240" w:lineRule="auto" w:before="0" w:after="0"/>
        <w:ind w:left="1420" w:right="980" w:hanging="852"/>
        <w:jc w:val="both"/>
        <w:rPr>
          <w:sz w:val="22"/>
        </w:rPr>
      </w:pPr>
      <w:r>
        <w:rPr>
          <w:sz w:val="22"/>
        </w:rPr>
        <w:t>En</w:t>
      </w:r>
      <w:r>
        <w:rPr>
          <w:spacing w:val="-2"/>
          <w:sz w:val="22"/>
        </w:rPr>
        <w:t> </w:t>
      </w:r>
      <w:r>
        <w:rPr>
          <w:sz w:val="22"/>
        </w:rPr>
        <w:t>este</w:t>
      </w:r>
      <w:r>
        <w:rPr>
          <w:spacing w:val="-4"/>
          <w:sz w:val="22"/>
        </w:rPr>
        <w:t> </w:t>
      </w:r>
      <w:r>
        <w:rPr>
          <w:sz w:val="22"/>
        </w:rPr>
        <w:t>contexto,</w:t>
      </w:r>
      <w:r>
        <w:rPr>
          <w:spacing w:val="-3"/>
          <w:sz w:val="22"/>
        </w:rPr>
        <w:t> </w:t>
      </w:r>
      <w:r>
        <w:rPr>
          <w:sz w:val="22"/>
        </w:rPr>
        <w:t>se</w:t>
      </w:r>
      <w:r>
        <w:rPr>
          <w:spacing w:val="-4"/>
          <w:sz w:val="22"/>
        </w:rPr>
        <w:t> </w:t>
      </w:r>
      <w:r>
        <w:rPr>
          <w:sz w:val="22"/>
        </w:rPr>
        <w:t>observa</w:t>
      </w:r>
      <w:r>
        <w:rPr>
          <w:spacing w:val="-1"/>
          <w:sz w:val="22"/>
        </w:rPr>
        <w:t> </w:t>
      </w:r>
      <w:r>
        <w:rPr>
          <w:sz w:val="22"/>
        </w:rPr>
        <w:t>que</w:t>
      </w:r>
      <w:r>
        <w:rPr>
          <w:spacing w:val="-4"/>
          <w:sz w:val="22"/>
        </w:rPr>
        <w:t> </w:t>
      </w:r>
      <w:r>
        <w:rPr>
          <w:sz w:val="22"/>
        </w:rPr>
        <w:t>los</w:t>
      </w:r>
      <w:r>
        <w:rPr>
          <w:spacing w:val="-2"/>
          <w:sz w:val="22"/>
        </w:rPr>
        <w:t> </w:t>
      </w:r>
      <w:r>
        <w:rPr>
          <w:sz w:val="22"/>
        </w:rPr>
        <w:t>operadores</w:t>
      </w:r>
      <w:r>
        <w:rPr>
          <w:spacing w:val="-4"/>
          <w:sz w:val="22"/>
        </w:rPr>
        <w:t> </w:t>
      </w:r>
      <w:r>
        <w:rPr>
          <w:sz w:val="22"/>
        </w:rPr>
        <w:t>económicos,</w:t>
      </w:r>
      <w:r>
        <w:rPr>
          <w:spacing w:val="-3"/>
          <w:sz w:val="22"/>
        </w:rPr>
        <w:t> </w:t>
      </w:r>
      <w:r>
        <w:rPr>
          <w:sz w:val="22"/>
        </w:rPr>
        <w:t>ante</w:t>
      </w:r>
      <w:r>
        <w:rPr>
          <w:spacing w:val="-4"/>
          <w:sz w:val="22"/>
        </w:rPr>
        <w:t> </w:t>
      </w:r>
      <w:r>
        <w:rPr>
          <w:sz w:val="22"/>
        </w:rPr>
        <w:t>la</w:t>
      </w:r>
      <w:r>
        <w:rPr>
          <w:spacing w:val="-2"/>
          <w:sz w:val="22"/>
        </w:rPr>
        <w:t> </w:t>
      </w:r>
      <w:r>
        <w:rPr>
          <w:sz w:val="22"/>
        </w:rPr>
        <w:t>inminencia</w:t>
      </w:r>
      <w:r>
        <w:rPr>
          <w:spacing w:val="-2"/>
          <w:sz w:val="22"/>
        </w:rPr>
        <w:t> </w:t>
      </w:r>
      <w:r>
        <w:rPr>
          <w:sz w:val="22"/>
        </w:rPr>
        <w:t>de la</w:t>
      </w:r>
      <w:r>
        <w:rPr>
          <w:spacing w:val="-14"/>
          <w:sz w:val="22"/>
        </w:rPr>
        <w:t> </w:t>
      </w:r>
      <w:r>
        <w:rPr>
          <w:sz w:val="22"/>
        </w:rPr>
        <w:t>entrada</w:t>
      </w:r>
      <w:r>
        <w:rPr>
          <w:spacing w:val="-14"/>
          <w:sz w:val="22"/>
        </w:rPr>
        <w:t> </w:t>
      </w:r>
      <w:r>
        <w:rPr>
          <w:sz w:val="22"/>
        </w:rPr>
        <w:t>en</w:t>
      </w:r>
      <w:r>
        <w:rPr>
          <w:spacing w:val="-14"/>
          <w:sz w:val="22"/>
        </w:rPr>
        <w:t> </w:t>
      </w:r>
      <w:r>
        <w:rPr>
          <w:sz w:val="22"/>
        </w:rPr>
        <w:t>vigor</w:t>
      </w:r>
      <w:r>
        <w:rPr>
          <w:spacing w:val="-13"/>
          <w:sz w:val="22"/>
        </w:rPr>
        <w:t> </w:t>
      </w:r>
      <w:r>
        <w:rPr>
          <w:sz w:val="22"/>
        </w:rPr>
        <w:t>de</w:t>
      </w:r>
      <w:r>
        <w:rPr>
          <w:spacing w:val="-14"/>
          <w:sz w:val="22"/>
        </w:rPr>
        <w:t> </w:t>
      </w:r>
      <w:r>
        <w:rPr>
          <w:sz w:val="22"/>
        </w:rPr>
        <w:t>la</w:t>
      </w:r>
      <w:r>
        <w:rPr>
          <w:spacing w:val="-16"/>
          <w:sz w:val="22"/>
        </w:rPr>
        <w:t> </w:t>
      </w:r>
      <w:r>
        <w:rPr>
          <w:sz w:val="22"/>
        </w:rPr>
        <w:t>medida,</w:t>
      </w:r>
      <w:r>
        <w:rPr>
          <w:spacing w:val="-11"/>
          <w:sz w:val="22"/>
        </w:rPr>
        <w:t> </w:t>
      </w:r>
      <w:r>
        <w:rPr>
          <w:sz w:val="22"/>
        </w:rPr>
        <w:t>adelantaron</w:t>
      </w:r>
      <w:r>
        <w:rPr>
          <w:spacing w:val="-14"/>
          <w:sz w:val="22"/>
        </w:rPr>
        <w:t> </w:t>
      </w:r>
      <w:r>
        <w:rPr>
          <w:sz w:val="22"/>
        </w:rPr>
        <w:t>el</w:t>
      </w:r>
      <w:r>
        <w:rPr>
          <w:spacing w:val="-15"/>
          <w:sz w:val="22"/>
        </w:rPr>
        <w:t> </w:t>
      </w:r>
      <w:r>
        <w:rPr>
          <w:sz w:val="22"/>
        </w:rPr>
        <w:t>envío</w:t>
      </w:r>
      <w:r>
        <w:rPr>
          <w:spacing w:val="-13"/>
          <w:sz w:val="22"/>
        </w:rPr>
        <w:t> </w:t>
      </w:r>
      <w:r>
        <w:rPr>
          <w:sz w:val="22"/>
        </w:rPr>
        <w:t>de</w:t>
      </w:r>
      <w:r>
        <w:rPr>
          <w:spacing w:val="-16"/>
          <w:sz w:val="22"/>
        </w:rPr>
        <w:t> </w:t>
      </w:r>
      <w:r>
        <w:rPr>
          <w:sz w:val="22"/>
        </w:rPr>
        <w:t>mercancías</w:t>
      </w:r>
      <w:r>
        <w:rPr>
          <w:spacing w:val="-15"/>
          <w:sz w:val="22"/>
        </w:rPr>
        <w:t> </w:t>
      </w:r>
      <w:r>
        <w:rPr>
          <w:sz w:val="22"/>
        </w:rPr>
        <w:t>con</w:t>
      </w:r>
      <w:r>
        <w:rPr>
          <w:spacing w:val="-15"/>
          <w:sz w:val="22"/>
        </w:rPr>
        <w:t> </w:t>
      </w:r>
      <w:r>
        <w:rPr>
          <w:sz w:val="22"/>
        </w:rPr>
        <w:t>el</w:t>
      </w:r>
      <w:r>
        <w:rPr>
          <w:spacing w:val="-15"/>
          <w:sz w:val="22"/>
        </w:rPr>
        <w:t> </w:t>
      </w:r>
      <w:r>
        <w:rPr>
          <w:sz w:val="22"/>
        </w:rPr>
        <w:t>propósito de evitar los mayores costos asociados a su aplicación, generándose así un incremento atípico en el volumen de importaciones durante los días previos a su </w:t>
      </w:r>
      <w:r>
        <w:rPr>
          <w:spacing w:val="-2"/>
          <w:sz w:val="22"/>
        </w:rPr>
        <w:t>implementación.</w:t>
      </w:r>
    </w:p>
    <w:p>
      <w:pPr>
        <w:pStyle w:val="ListParagraph"/>
        <w:numPr>
          <w:ilvl w:val="0"/>
          <w:numId w:val="2"/>
        </w:numPr>
        <w:tabs>
          <w:tab w:pos="1420" w:val="left" w:leader="none"/>
        </w:tabs>
        <w:spacing w:line="240" w:lineRule="auto" w:before="252" w:after="0"/>
        <w:ind w:left="1420" w:right="975" w:hanging="852"/>
        <w:jc w:val="both"/>
        <w:rPr>
          <w:sz w:val="22"/>
        </w:rPr>
      </w:pPr>
      <w:r>
        <w:rPr>
          <w:sz w:val="22"/>
        </w:rPr>
        <w:t>En</w:t>
      </w:r>
      <w:r>
        <w:rPr>
          <w:spacing w:val="-10"/>
          <w:sz w:val="22"/>
        </w:rPr>
        <w:t> </w:t>
      </w:r>
      <w:r>
        <w:rPr>
          <w:sz w:val="22"/>
        </w:rPr>
        <w:t>segundo</w:t>
      </w:r>
      <w:r>
        <w:rPr>
          <w:spacing w:val="-10"/>
          <w:sz w:val="22"/>
        </w:rPr>
        <w:t> </w:t>
      </w:r>
      <w:r>
        <w:rPr>
          <w:sz w:val="22"/>
        </w:rPr>
        <w:t>lugar,</w:t>
      </w:r>
      <w:r>
        <w:rPr>
          <w:spacing w:val="-8"/>
          <w:sz w:val="22"/>
        </w:rPr>
        <w:t> </w:t>
      </w:r>
      <w:r>
        <w:rPr>
          <w:sz w:val="22"/>
        </w:rPr>
        <w:t>para</w:t>
      </w:r>
      <w:r>
        <w:rPr>
          <w:spacing w:val="-10"/>
          <w:sz w:val="22"/>
        </w:rPr>
        <w:t> </w:t>
      </w:r>
      <w:r>
        <w:rPr>
          <w:sz w:val="22"/>
        </w:rPr>
        <w:t>analizar</w:t>
      </w:r>
      <w:r>
        <w:rPr>
          <w:spacing w:val="-9"/>
          <w:sz w:val="22"/>
        </w:rPr>
        <w:t> </w:t>
      </w:r>
      <w:r>
        <w:rPr>
          <w:sz w:val="22"/>
        </w:rPr>
        <w:t>la</w:t>
      </w:r>
      <w:r>
        <w:rPr>
          <w:spacing w:val="-10"/>
          <w:sz w:val="22"/>
        </w:rPr>
        <w:t> </w:t>
      </w:r>
      <w:r>
        <w:rPr>
          <w:sz w:val="22"/>
        </w:rPr>
        <w:t>canalización</w:t>
      </w:r>
      <w:r>
        <w:rPr>
          <w:spacing w:val="-10"/>
          <w:sz w:val="22"/>
        </w:rPr>
        <w:t> </w:t>
      </w:r>
      <w:r>
        <w:rPr>
          <w:sz w:val="22"/>
        </w:rPr>
        <w:t>de</w:t>
      </w:r>
      <w:r>
        <w:rPr>
          <w:spacing w:val="-10"/>
          <w:sz w:val="22"/>
        </w:rPr>
        <w:t> </w:t>
      </w:r>
      <w:r>
        <w:rPr>
          <w:sz w:val="22"/>
        </w:rPr>
        <w:t>las</w:t>
      </w:r>
      <w:r>
        <w:rPr>
          <w:spacing w:val="-10"/>
          <w:sz w:val="22"/>
        </w:rPr>
        <w:t> </w:t>
      </w:r>
      <w:r>
        <w:rPr>
          <w:sz w:val="22"/>
        </w:rPr>
        <w:t>mercancías,</w:t>
      </w:r>
      <w:r>
        <w:rPr>
          <w:spacing w:val="-11"/>
          <w:sz w:val="22"/>
        </w:rPr>
        <w:t> </w:t>
      </w:r>
      <w:r>
        <w:rPr>
          <w:sz w:val="22"/>
        </w:rPr>
        <w:t>resulta</w:t>
      </w:r>
      <w:r>
        <w:rPr>
          <w:spacing w:val="-12"/>
          <w:sz w:val="22"/>
        </w:rPr>
        <w:t> </w:t>
      </w:r>
      <w:r>
        <w:rPr>
          <w:sz w:val="22"/>
        </w:rPr>
        <w:t>pertinente examinar: (i) la evolución histórica de las importaciones que ingresaron por el paso fronterizo CEBAF San Miguel; y (ii) las principales mercancías transportadas con anterioridad a la aplicación de la medida. En ese sentido a continuación, el Gráfico N.°2 presenta la evolución de las importaciones procedentes u originarias de la República de Colombia que ingresaban por el referido paso fronterizo durante el periodo comprendido entre 2024 y febrero de 2026.</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55"/>
        <w:rPr>
          <w:sz w:val="20"/>
        </w:rPr>
      </w:pPr>
      <w:r>
        <w:rPr>
          <w:sz w:val="20"/>
        </w:rPr>
        <mc:AlternateContent>
          <mc:Choice Requires="wps">
            <w:drawing>
              <wp:anchor distT="0" distB="0" distL="0" distR="0" allowOverlap="1" layoutInCell="1" locked="0" behindDoc="1" simplePos="0" relativeHeight="487606272">
                <wp:simplePos x="0" y="0"/>
                <wp:positionH relativeFrom="page">
                  <wp:posOffset>990904</wp:posOffset>
                </wp:positionH>
                <wp:positionV relativeFrom="paragraph">
                  <wp:posOffset>259853</wp:posOffset>
                </wp:positionV>
                <wp:extent cx="1829435" cy="7620"/>
                <wp:effectExtent l="0" t="0" r="0" b="0"/>
                <wp:wrapTopAndBottom/>
                <wp:docPr id="177" name="Graphic 177"/>
                <wp:cNvGraphicFramePr>
                  <a:graphicFrameLocks/>
                </wp:cNvGraphicFramePr>
                <a:graphic>
                  <a:graphicData uri="http://schemas.microsoft.com/office/word/2010/wordprocessingShape">
                    <wps:wsp>
                      <wps:cNvPr id="177" name="Graphic 177"/>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0.46088pt;width:144.020pt;height:.599980pt;mso-position-horizontal-relative:page;mso-position-vertical-relative:paragraph;z-index:-15710208;mso-wrap-distance-left:0;mso-wrap-distance-right:0" id="docshape131" filled="true" fillcolor="#000000" stroked="false">
                <v:fill type="solid"/>
                <w10:wrap type="topAndBottom"/>
              </v:rect>
            </w:pict>
          </mc:Fallback>
        </mc:AlternateContent>
      </w:r>
    </w:p>
    <w:p>
      <w:pPr>
        <w:spacing w:line="210" w:lineRule="exact" w:before="86"/>
        <w:ind w:left="568" w:right="0" w:firstLine="0"/>
        <w:jc w:val="left"/>
        <w:rPr>
          <w:sz w:val="18"/>
        </w:rPr>
      </w:pPr>
      <w:bookmarkStart w:name="_bookmark29" w:id="30"/>
      <w:bookmarkEnd w:id="30"/>
      <w:r>
        <w:rPr/>
      </w:r>
      <w:r>
        <w:rPr>
          <w:position w:val="6"/>
          <w:sz w:val="12"/>
        </w:rPr>
        <w:t>30</w:t>
      </w:r>
      <w:r>
        <w:rPr>
          <w:spacing w:val="15"/>
          <w:position w:val="6"/>
          <w:sz w:val="12"/>
        </w:rPr>
        <w:t> </w:t>
      </w:r>
      <w:r>
        <w:rPr>
          <w:sz w:val="18"/>
        </w:rPr>
        <w:t>Véase</w:t>
      </w:r>
      <w:r>
        <w:rPr>
          <w:spacing w:val="-3"/>
          <w:sz w:val="18"/>
        </w:rPr>
        <w:t> </w:t>
      </w:r>
      <w:r>
        <w:rPr>
          <w:sz w:val="18"/>
        </w:rPr>
        <w:t>Folio</w:t>
      </w:r>
      <w:r>
        <w:rPr>
          <w:spacing w:val="-3"/>
          <w:sz w:val="18"/>
        </w:rPr>
        <w:t> </w:t>
      </w:r>
      <w:r>
        <w:rPr>
          <w:sz w:val="18"/>
        </w:rPr>
        <w:t>805</w:t>
      </w:r>
      <w:r>
        <w:rPr>
          <w:spacing w:val="-4"/>
          <w:sz w:val="18"/>
        </w:rPr>
        <w:t> </w:t>
      </w:r>
      <w:r>
        <w:rPr>
          <w:sz w:val="18"/>
        </w:rPr>
        <w:t>del</w:t>
      </w:r>
      <w:r>
        <w:rPr>
          <w:spacing w:val="-3"/>
          <w:sz w:val="18"/>
        </w:rPr>
        <w:t> </w:t>
      </w:r>
      <w:r>
        <w:rPr>
          <w:sz w:val="18"/>
        </w:rPr>
        <w:t>expediente</w:t>
      </w:r>
      <w:r>
        <w:rPr>
          <w:spacing w:val="3"/>
          <w:sz w:val="18"/>
        </w:rPr>
        <w:t> </w:t>
      </w:r>
      <w:r>
        <w:rPr>
          <w:spacing w:val="-2"/>
          <w:sz w:val="18"/>
        </w:rPr>
        <w:t>DGCOM/REST/001/2026.</w:t>
      </w:r>
    </w:p>
    <w:p>
      <w:pPr>
        <w:spacing w:line="210" w:lineRule="exact" w:before="0"/>
        <w:ind w:left="568" w:right="0" w:firstLine="0"/>
        <w:jc w:val="left"/>
        <w:rPr>
          <w:sz w:val="18"/>
        </w:rPr>
      </w:pPr>
      <w:bookmarkStart w:name="_bookmark30" w:id="31"/>
      <w:bookmarkEnd w:id="31"/>
      <w:r>
        <w:rPr/>
      </w:r>
      <w:r>
        <w:rPr>
          <w:position w:val="6"/>
          <w:sz w:val="12"/>
        </w:rPr>
        <w:t>31</w:t>
      </w:r>
      <w:r>
        <w:rPr>
          <w:spacing w:val="13"/>
          <w:position w:val="6"/>
          <w:sz w:val="12"/>
        </w:rPr>
        <w:t> </w:t>
      </w:r>
      <w:r>
        <w:rPr>
          <w:sz w:val="18"/>
        </w:rPr>
        <w:t>Véase</w:t>
      </w:r>
      <w:r>
        <w:rPr>
          <w:spacing w:val="-3"/>
          <w:sz w:val="18"/>
        </w:rPr>
        <w:t> </w:t>
      </w:r>
      <w:r>
        <w:rPr>
          <w:sz w:val="18"/>
        </w:rPr>
        <w:t>el</w:t>
      </w:r>
      <w:r>
        <w:rPr>
          <w:spacing w:val="-3"/>
          <w:sz w:val="18"/>
        </w:rPr>
        <w:t> </w:t>
      </w:r>
      <w:r>
        <w:rPr>
          <w:sz w:val="18"/>
        </w:rPr>
        <w:t>anuncio</w:t>
      </w:r>
      <w:r>
        <w:rPr>
          <w:spacing w:val="-1"/>
          <w:sz w:val="18"/>
        </w:rPr>
        <w:t> </w:t>
      </w:r>
      <w:r>
        <w:rPr>
          <w:sz w:val="18"/>
        </w:rPr>
        <w:t>en</w:t>
      </w:r>
      <w:r>
        <w:rPr>
          <w:spacing w:val="-4"/>
          <w:sz w:val="18"/>
        </w:rPr>
        <w:t> </w:t>
      </w:r>
      <w:r>
        <w:rPr>
          <w:sz w:val="18"/>
        </w:rPr>
        <w:t>el</w:t>
      </w:r>
      <w:r>
        <w:rPr>
          <w:spacing w:val="-3"/>
          <w:sz w:val="18"/>
        </w:rPr>
        <w:t> </w:t>
      </w:r>
      <w:r>
        <w:rPr>
          <w:sz w:val="18"/>
        </w:rPr>
        <w:t>siguiente</w:t>
      </w:r>
      <w:r>
        <w:rPr>
          <w:spacing w:val="-1"/>
          <w:sz w:val="18"/>
        </w:rPr>
        <w:t> </w:t>
      </w:r>
      <w:r>
        <w:rPr>
          <w:sz w:val="18"/>
        </w:rPr>
        <w:t>enlace:</w:t>
      </w:r>
      <w:r>
        <w:rPr>
          <w:spacing w:val="-1"/>
          <w:sz w:val="18"/>
        </w:rPr>
        <w:t> </w:t>
      </w:r>
      <w:hyperlink r:id="rId29">
        <w:r>
          <w:rPr>
            <w:spacing w:val="-2"/>
            <w:sz w:val="18"/>
          </w:rPr>
          <w:t>https://x.com/DanielNoboaOk/status/2014006136785994093?s=20</w:t>
        </w:r>
      </w:hyperlink>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178" name="Group 178"/>
                <wp:cNvGraphicFramePr>
                  <a:graphicFrameLocks/>
                </wp:cNvGraphicFramePr>
                <a:graphic>
                  <a:graphicData uri="http://schemas.microsoft.com/office/word/2010/wordprocessingGroup">
                    <wpg:wgp>
                      <wpg:cNvPr id="178" name="Group 178"/>
                      <wpg:cNvGrpSpPr/>
                      <wpg:grpSpPr>
                        <a:xfrm>
                          <a:off x="0" y="0"/>
                          <a:ext cx="6131560" cy="9525"/>
                          <a:chExt cx="6131560" cy="9525"/>
                        </a:xfrm>
                      </wpg:grpSpPr>
                      <wps:wsp>
                        <wps:cNvPr id="179" name="Graphic 179"/>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132"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27"/>
          <w:footerReference w:type="default" r:id="rId28"/>
          <w:pgSz w:w="11900" w:h="16850"/>
          <w:pgMar w:header="370" w:footer="597" w:top="1380" w:bottom="780" w:left="992" w:right="283"/>
        </w:sectPr>
      </w:pPr>
    </w:p>
    <w:p>
      <w:pPr>
        <w:pStyle w:val="BodyText"/>
        <w:spacing w:before="176"/>
      </w:pPr>
    </w:p>
    <w:p>
      <w:pPr>
        <w:spacing w:before="0"/>
        <w:ind w:left="441" w:right="0" w:firstLine="0"/>
        <w:jc w:val="center"/>
        <w:rPr>
          <w:rFonts w:ascii="Arial" w:hAnsi="Arial"/>
          <w:b/>
          <w:sz w:val="22"/>
        </w:rPr>
      </w:pPr>
      <w:r>
        <w:rPr>
          <w:rFonts w:ascii="Arial" w:hAnsi="Arial"/>
          <w:b/>
          <w:sz w:val="22"/>
        </w:rPr>
        <w:t>Gráfico</w:t>
      </w:r>
      <w:r>
        <w:rPr>
          <w:rFonts w:ascii="Arial" w:hAnsi="Arial"/>
          <w:b/>
          <w:spacing w:val="-5"/>
          <w:sz w:val="22"/>
        </w:rPr>
        <w:t> </w:t>
      </w:r>
      <w:r>
        <w:rPr>
          <w:rFonts w:ascii="Arial" w:hAnsi="Arial"/>
          <w:b/>
          <w:sz w:val="22"/>
        </w:rPr>
        <w:t>N.°</w:t>
      </w:r>
      <w:r>
        <w:rPr>
          <w:rFonts w:ascii="Arial" w:hAnsi="Arial"/>
          <w:b/>
          <w:spacing w:val="-3"/>
          <w:sz w:val="22"/>
        </w:rPr>
        <w:t> </w:t>
      </w:r>
      <w:r>
        <w:rPr>
          <w:rFonts w:ascii="Arial" w:hAnsi="Arial"/>
          <w:b/>
          <w:spacing w:val="-10"/>
          <w:sz w:val="22"/>
        </w:rPr>
        <w:t>2</w:t>
      </w:r>
    </w:p>
    <w:p>
      <w:pPr>
        <w:spacing w:before="2"/>
        <w:ind w:left="1446" w:right="1007" w:firstLine="0"/>
        <w:jc w:val="center"/>
        <w:rPr>
          <w:rFonts w:ascii="Arial" w:hAnsi="Arial"/>
          <w:i/>
          <w:sz w:val="22"/>
        </w:rPr>
      </w:pPr>
      <w:r>
        <w:rPr>
          <w:rFonts w:ascii="Arial" w:hAnsi="Arial"/>
          <w:i/>
          <w:sz w:val="22"/>
        </w:rPr>
        <w:t>Evolución</w:t>
      </w:r>
      <w:r>
        <w:rPr>
          <w:rFonts w:ascii="Arial" w:hAnsi="Arial"/>
          <w:i/>
          <w:spacing w:val="-3"/>
          <w:sz w:val="22"/>
        </w:rPr>
        <w:t> </w:t>
      </w:r>
      <w:r>
        <w:rPr>
          <w:rFonts w:ascii="Arial" w:hAnsi="Arial"/>
          <w:i/>
          <w:sz w:val="22"/>
        </w:rPr>
        <w:t>del</w:t>
      </w:r>
      <w:r>
        <w:rPr>
          <w:rFonts w:ascii="Arial" w:hAnsi="Arial"/>
          <w:i/>
          <w:spacing w:val="-3"/>
          <w:sz w:val="22"/>
        </w:rPr>
        <w:t> </w:t>
      </w:r>
      <w:r>
        <w:rPr>
          <w:rFonts w:ascii="Arial" w:hAnsi="Arial"/>
          <w:i/>
          <w:sz w:val="22"/>
        </w:rPr>
        <w:t>volumen</w:t>
      </w:r>
      <w:r>
        <w:rPr>
          <w:rFonts w:ascii="Arial" w:hAnsi="Arial"/>
          <w:i/>
          <w:spacing w:val="-3"/>
          <w:sz w:val="22"/>
        </w:rPr>
        <w:t> </w:t>
      </w:r>
      <w:r>
        <w:rPr>
          <w:rFonts w:ascii="Arial" w:hAnsi="Arial"/>
          <w:i/>
          <w:sz w:val="22"/>
        </w:rPr>
        <w:t>de</w:t>
      </w:r>
      <w:r>
        <w:rPr>
          <w:rFonts w:ascii="Arial" w:hAnsi="Arial"/>
          <w:i/>
          <w:spacing w:val="-3"/>
          <w:sz w:val="22"/>
        </w:rPr>
        <w:t> </w:t>
      </w:r>
      <w:r>
        <w:rPr>
          <w:rFonts w:ascii="Arial" w:hAnsi="Arial"/>
          <w:i/>
          <w:sz w:val="22"/>
        </w:rPr>
        <w:t>importaciones</w:t>
      </w:r>
      <w:r>
        <w:rPr>
          <w:rFonts w:ascii="Arial" w:hAnsi="Arial"/>
          <w:i/>
          <w:spacing w:val="-3"/>
          <w:sz w:val="22"/>
        </w:rPr>
        <w:t> </w:t>
      </w:r>
      <w:r>
        <w:rPr>
          <w:rFonts w:ascii="Arial" w:hAnsi="Arial"/>
          <w:i/>
          <w:sz w:val="22"/>
        </w:rPr>
        <w:t>del</w:t>
      </w:r>
      <w:r>
        <w:rPr>
          <w:rFonts w:ascii="Arial" w:hAnsi="Arial"/>
          <w:i/>
          <w:spacing w:val="-6"/>
          <w:sz w:val="22"/>
        </w:rPr>
        <w:t> </w:t>
      </w:r>
      <w:r>
        <w:rPr>
          <w:rFonts w:ascii="Arial" w:hAnsi="Arial"/>
          <w:i/>
          <w:sz w:val="22"/>
        </w:rPr>
        <w:t>puesto</w:t>
      </w:r>
      <w:r>
        <w:rPr>
          <w:rFonts w:ascii="Arial" w:hAnsi="Arial"/>
          <w:i/>
          <w:spacing w:val="-5"/>
          <w:sz w:val="22"/>
        </w:rPr>
        <w:t> </w:t>
      </w:r>
      <w:r>
        <w:rPr>
          <w:rFonts w:ascii="Arial" w:hAnsi="Arial"/>
          <w:i/>
          <w:sz w:val="22"/>
        </w:rPr>
        <w:t>fronterizo</w:t>
      </w:r>
      <w:r>
        <w:rPr>
          <w:rFonts w:ascii="Arial" w:hAnsi="Arial"/>
          <w:i/>
          <w:spacing w:val="-3"/>
          <w:sz w:val="22"/>
        </w:rPr>
        <w:t> </w:t>
      </w:r>
      <w:r>
        <w:rPr>
          <w:rFonts w:ascii="Arial" w:hAnsi="Arial"/>
          <w:i/>
          <w:sz w:val="22"/>
        </w:rPr>
        <w:t>CEBAF –</w:t>
      </w:r>
      <w:r>
        <w:rPr>
          <w:rFonts w:ascii="Arial" w:hAnsi="Arial"/>
          <w:i/>
          <w:spacing w:val="-5"/>
          <w:sz w:val="22"/>
        </w:rPr>
        <w:t> </w:t>
      </w:r>
      <w:r>
        <w:rPr>
          <w:rFonts w:ascii="Arial" w:hAnsi="Arial"/>
          <w:i/>
          <w:sz w:val="22"/>
        </w:rPr>
        <w:t>San</w:t>
      </w:r>
      <w:r>
        <w:rPr>
          <w:rFonts w:ascii="Arial" w:hAnsi="Arial"/>
          <w:i/>
          <w:spacing w:val="-3"/>
          <w:sz w:val="22"/>
        </w:rPr>
        <w:t> </w:t>
      </w:r>
      <w:r>
        <w:rPr>
          <w:rFonts w:ascii="Arial" w:hAnsi="Arial"/>
          <w:i/>
          <w:sz w:val="22"/>
        </w:rPr>
        <w:t>Miguel de 2024 a febrero 2026</w:t>
      </w:r>
    </w:p>
    <w:p>
      <w:pPr>
        <w:spacing w:line="251" w:lineRule="exact" w:before="0"/>
        <w:ind w:left="436" w:right="0" w:firstLine="0"/>
        <w:jc w:val="center"/>
        <w:rPr>
          <w:rFonts w:ascii="Arial"/>
          <w:i/>
          <w:sz w:val="22"/>
        </w:rPr>
      </w:pPr>
      <w:r>
        <w:rPr>
          <w:rFonts w:ascii="Arial"/>
          <w:i/>
          <w:sz w:val="22"/>
        </w:rPr>
        <mc:AlternateContent>
          <mc:Choice Requires="wps">
            <w:drawing>
              <wp:anchor distT="0" distB="0" distL="0" distR="0" allowOverlap="1" layoutInCell="1" locked="0" behindDoc="0" simplePos="0" relativeHeight="15748608">
                <wp:simplePos x="0" y="0"/>
                <wp:positionH relativeFrom="page">
                  <wp:posOffset>1526222</wp:posOffset>
                </wp:positionH>
                <wp:positionV relativeFrom="paragraph">
                  <wp:posOffset>154994</wp:posOffset>
                </wp:positionV>
                <wp:extent cx="5038725" cy="3232785"/>
                <wp:effectExtent l="0" t="0" r="0" b="0"/>
                <wp:wrapNone/>
                <wp:docPr id="180" name="Group 180"/>
                <wp:cNvGraphicFramePr>
                  <a:graphicFrameLocks/>
                </wp:cNvGraphicFramePr>
                <a:graphic>
                  <a:graphicData uri="http://schemas.microsoft.com/office/word/2010/wordprocessingGroup">
                    <wpg:wgp>
                      <wpg:cNvPr id="180" name="Group 180"/>
                      <wpg:cNvGrpSpPr/>
                      <wpg:grpSpPr>
                        <a:xfrm>
                          <a:off x="0" y="0"/>
                          <a:ext cx="5038725" cy="3232785"/>
                          <a:chExt cx="5038725" cy="3232785"/>
                        </a:xfrm>
                      </wpg:grpSpPr>
                      <wps:wsp>
                        <wps:cNvPr id="181" name="Graphic 181"/>
                        <wps:cNvSpPr/>
                        <wps:spPr>
                          <a:xfrm>
                            <a:off x="757618" y="144462"/>
                            <a:ext cx="3765550" cy="1576705"/>
                          </a:xfrm>
                          <a:custGeom>
                            <a:avLst/>
                            <a:gdLst/>
                            <a:ahLst/>
                            <a:cxnLst/>
                            <a:rect l="l" t="t" r="r" b="b"/>
                            <a:pathLst>
                              <a:path w="3765550" h="1576705">
                                <a:moveTo>
                                  <a:pt x="0" y="1576578"/>
                                </a:moveTo>
                                <a:lnTo>
                                  <a:pt x="3765169" y="1576578"/>
                                </a:lnTo>
                              </a:path>
                              <a:path w="3765550" h="1576705">
                                <a:moveTo>
                                  <a:pt x="0" y="1261110"/>
                                </a:moveTo>
                                <a:lnTo>
                                  <a:pt x="3765169" y="1261110"/>
                                </a:lnTo>
                              </a:path>
                              <a:path w="3765550" h="1576705">
                                <a:moveTo>
                                  <a:pt x="0" y="945642"/>
                                </a:moveTo>
                                <a:lnTo>
                                  <a:pt x="287019" y="945642"/>
                                </a:lnTo>
                              </a:path>
                              <a:path w="3765550" h="1576705">
                                <a:moveTo>
                                  <a:pt x="808101" y="945642"/>
                                </a:moveTo>
                                <a:lnTo>
                                  <a:pt x="3765169" y="945642"/>
                                </a:lnTo>
                              </a:path>
                              <a:path w="3765550" h="1576705">
                                <a:moveTo>
                                  <a:pt x="0" y="630174"/>
                                </a:moveTo>
                                <a:lnTo>
                                  <a:pt x="3765169" y="630174"/>
                                </a:lnTo>
                              </a:path>
                              <a:path w="3765550" h="1576705">
                                <a:moveTo>
                                  <a:pt x="0" y="314706"/>
                                </a:moveTo>
                                <a:lnTo>
                                  <a:pt x="3765169" y="314706"/>
                                </a:lnTo>
                              </a:path>
                              <a:path w="3765550" h="1576705">
                                <a:moveTo>
                                  <a:pt x="0" y="0"/>
                                </a:moveTo>
                                <a:lnTo>
                                  <a:pt x="3765169" y="0"/>
                                </a:lnTo>
                              </a:path>
                            </a:pathLst>
                          </a:custGeom>
                          <a:ln w="9525">
                            <a:solidFill>
                              <a:srgbClr val="D9D9D9"/>
                            </a:solidFill>
                            <a:prstDash val="solid"/>
                          </a:ln>
                        </wps:spPr>
                        <wps:bodyPr wrap="square" lIns="0" tIns="0" rIns="0" bIns="0" rtlCol="0">
                          <a:prstTxWarp prst="textNoShape">
                            <a:avLst/>
                          </a:prstTxWarp>
                          <a:noAutofit/>
                        </wps:bodyPr>
                      </wps:wsp>
                      <wps:wsp>
                        <wps:cNvPr id="182" name="Graphic 182"/>
                        <wps:cNvSpPr/>
                        <wps:spPr>
                          <a:xfrm>
                            <a:off x="2544381" y="144462"/>
                            <a:ext cx="1929764" cy="1576705"/>
                          </a:xfrm>
                          <a:custGeom>
                            <a:avLst/>
                            <a:gdLst/>
                            <a:ahLst/>
                            <a:cxnLst/>
                            <a:rect l="l" t="t" r="r" b="b"/>
                            <a:pathLst>
                              <a:path w="1929764" h="1576705">
                                <a:moveTo>
                                  <a:pt x="45720" y="0"/>
                                </a:moveTo>
                                <a:lnTo>
                                  <a:pt x="0" y="0"/>
                                </a:lnTo>
                                <a:lnTo>
                                  <a:pt x="0" y="1331214"/>
                                </a:lnTo>
                                <a:lnTo>
                                  <a:pt x="45720" y="1331214"/>
                                </a:lnTo>
                                <a:lnTo>
                                  <a:pt x="45720" y="0"/>
                                </a:lnTo>
                                <a:close/>
                              </a:path>
                              <a:path w="1929764" h="1576705">
                                <a:moveTo>
                                  <a:pt x="190500" y="0"/>
                                </a:moveTo>
                                <a:lnTo>
                                  <a:pt x="144780" y="0"/>
                                </a:lnTo>
                                <a:lnTo>
                                  <a:pt x="144780" y="916686"/>
                                </a:lnTo>
                                <a:lnTo>
                                  <a:pt x="190500" y="916686"/>
                                </a:lnTo>
                                <a:lnTo>
                                  <a:pt x="190500" y="0"/>
                                </a:lnTo>
                                <a:close/>
                              </a:path>
                              <a:path w="1929764" h="1576705">
                                <a:moveTo>
                                  <a:pt x="1784604" y="0"/>
                                </a:moveTo>
                                <a:lnTo>
                                  <a:pt x="1738884" y="0"/>
                                </a:lnTo>
                                <a:lnTo>
                                  <a:pt x="1738884" y="1576578"/>
                                </a:lnTo>
                                <a:lnTo>
                                  <a:pt x="1784604" y="1576578"/>
                                </a:lnTo>
                                <a:lnTo>
                                  <a:pt x="1784604" y="0"/>
                                </a:lnTo>
                                <a:close/>
                              </a:path>
                              <a:path w="1929764" h="1576705">
                                <a:moveTo>
                                  <a:pt x="1929384" y="0"/>
                                </a:moveTo>
                                <a:lnTo>
                                  <a:pt x="1883664" y="0"/>
                                </a:lnTo>
                                <a:lnTo>
                                  <a:pt x="1883664" y="1576578"/>
                                </a:lnTo>
                                <a:lnTo>
                                  <a:pt x="1929384" y="1576578"/>
                                </a:lnTo>
                                <a:lnTo>
                                  <a:pt x="1929384" y="0"/>
                                </a:lnTo>
                                <a:close/>
                              </a:path>
                            </a:pathLst>
                          </a:custGeom>
                          <a:solidFill>
                            <a:srgbClr val="EC7C30"/>
                          </a:solidFill>
                        </wps:spPr>
                        <wps:bodyPr wrap="square" lIns="0" tIns="0" rIns="0" bIns="0" rtlCol="0">
                          <a:prstTxWarp prst="textNoShape">
                            <a:avLst/>
                          </a:prstTxWarp>
                          <a:noAutofit/>
                        </wps:bodyPr>
                      </wps:wsp>
                      <wps:wsp>
                        <wps:cNvPr id="183" name="Graphic 183"/>
                        <wps:cNvSpPr/>
                        <wps:spPr>
                          <a:xfrm>
                            <a:off x="757618" y="2035873"/>
                            <a:ext cx="3765550" cy="850265"/>
                          </a:xfrm>
                          <a:custGeom>
                            <a:avLst/>
                            <a:gdLst/>
                            <a:ahLst/>
                            <a:cxnLst/>
                            <a:rect l="l" t="t" r="r" b="b"/>
                            <a:pathLst>
                              <a:path w="3765550" h="850265">
                                <a:moveTo>
                                  <a:pt x="0" y="0"/>
                                </a:moveTo>
                                <a:lnTo>
                                  <a:pt x="3765169" y="0"/>
                                </a:lnTo>
                              </a:path>
                              <a:path w="3765550" h="850265">
                                <a:moveTo>
                                  <a:pt x="0" y="0"/>
                                </a:moveTo>
                                <a:lnTo>
                                  <a:pt x="0" y="643763"/>
                                </a:lnTo>
                              </a:path>
                              <a:path w="3765550" h="850265">
                                <a:moveTo>
                                  <a:pt x="1737995" y="0"/>
                                </a:moveTo>
                                <a:lnTo>
                                  <a:pt x="1737995" y="643763"/>
                                </a:lnTo>
                              </a:path>
                              <a:path w="3765550" h="850265">
                                <a:moveTo>
                                  <a:pt x="3475354" y="0"/>
                                </a:moveTo>
                                <a:lnTo>
                                  <a:pt x="3475354" y="643763"/>
                                </a:lnTo>
                              </a:path>
                              <a:path w="3765550" h="850265">
                                <a:moveTo>
                                  <a:pt x="3765169" y="0"/>
                                </a:moveTo>
                                <a:lnTo>
                                  <a:pt x="3765169" y="643763"/>
                                </a:lnTo>
                              </a:path>
                              <a:path w="3765550" h="850265">
                                <a:moveTo>
                                  <a:pt x="0" y="643763"/>
                                </a:moveTo>
                                <a:lnTo>
                                  <a:pt x="0" y="849884"/>
                                </a:lnTo>
                              </a:path>
                              <a:path w="3765550" h="850265">
                                <a:moveTo>
                                  <a:pt x="1737995" y="643763"/>
                                </a:moveTo>
                                <a:lnTo>
                                  <a:pt x="1737995" y="849884"/>
                                </a:lnTo>
                              </a:path>
                              <a:path w="3765550" h="850265">
                                <a:moveTo>
                                  <a:pt x="3475354" y="643763"/>
                                </a:moveTo>
                                <a:lnTo>
                                  <a:pt x="3475354" y="849884"/>
                                </a:lnTo>
                              </a:path>
                              <a:path w="3765550" h="850265">
                                <a:moveTo>
                                  <a:pt x="3765169" y="643763"/>
                                </a:moveTo>
                                <a:lnTo>
                                  <a:pt x="3765169" y="849884"/>
                                </a:lnTo>
                              </a:path>
                            </a:pathLst>
                          </a:custGeom>
                          <a:ln w="9525">
                            <a:solidFill>
                              <a:srgbClr val="D9D9D9"/>
                            </a:solidFill>
                            <a:prstDash val="solid"/>
                          </a:ln>
                        </wps:spPr>
                        <wps:bodyPr wrap="square" lIns="0" tIns="0" rIns="0" bIns="0" rtlCol="0">
                          <a:prstTxWarp prst="textNoShape">
                            <a:avLst/>
                          </a:prstTxWarp>
                          <a:noAutofit/>
                        </wps:bodyPr>
                      </wps:wsp>
                      <wps:wsp>
                        <wps:cNvPr id="184" name="Graphic 184"/>
                        <wps:cNvSpPr/>
                        <wps:spPr>
                          <a:xfrm>
                            <a:off x="830008" y="348170"/>
                            <a:ext cx="144780" cy="673735"/>
                          </a:xfrm>
                          <a:custGeom>
                            <a:avLst/>
                            <a:gdLst/>
                            <a:ahLst/>
                            <a:cxnLst/>
                            <a:rect l="l" t="t" r="r" b="b"/>
                            <a:pathLst>
                              <a:path w="144780" h="673735">
                                <a:moveTo>
                                  <a:pt x="0" y="0"/>
                                </a:moveTo>
                                <a:lnTo>
                                  <a:pt x="144780" y="673607"/>
                                </a:lnTo>
                              </a:path>
                            </a:pathLst>
                          </a:custGeom>
                          <a:ln w="28575">
                            <a:solidFill>
                              <a:srgbClr val="5B9BD4"/>
                            </a:solidFill>
                            <a:prstDash val="solid"/>
                          </a:ln>
                        </wps:spPr>
                        <wps:bodyPr wrap="square" lIns="0" tIns="0" rIns="0" bIns="0" rtlCol="0">
                          <a:prstTxWarp prst="textNoShape">
                            <a:avLst/>
                          </a:prstTxWarp>
                          <a:noAutofit/>
                        </wps:bodyPr>
                      </wps:wsp>
                      <wps:wsp>
                        <wps:cNvPr id="185" name="Graphic 185"/>
                        <wps:cNvSpPr/>
                        <wps:spPr>
                          <a:xfrm>
                            <a:off x="974661" y="1021524"/>
                            <a:ext cx="3475990" cy="1014730"/>
                          </a:xfrm>
                          <a:custGeom>
                            <a:avLst/>
                            <a:gdLst/>
                            <a:ahLst/>
                            <a:cxnLst/>
                            <a:rect l="l" t="t" r="r" b="b"/>
                            <a:pathLst>
                              <a:path w="3475990" h="1014730">
                                <a:moveTo>
                                  <a:pt x="0" y="0"/>
                                </a:moveTo>
                                <a:lnTo>
                                  <a:pt x="144780" y="969264"/>
                                </a:lnTo>
                                <a:lnTo>
                                  <a:pt x="289560" y="659892"/>
                                </a:lnTo>
                                <a:lnTo>
                                  <a:pt x="434340" y="608076"/>
                                </a:lnTo>
                                <a:lnTo>
                                  <a:pt x="579120" y="609600"/>
                                </a:lnTo>
                                <a:lnTo>
                                  <a:pt x="723900" y="754379"/>
                                </a:lnTo>
                                <a:lnTo>
                                  <a:pt x="868680" y="733044"/>
                                </a:lnTo>
                                <a:lnTo>
                                  <a:pt x="1013460" y="874776"/>
                                </a:lnTo>
                                <a:lnTo>
                                  <a:pt x="1158240" y="480059"/>
                                </a:lnTo>
                                <a:lnTo>
                                  <a:pt x="1303020" y="697992"/>
                                </a:lnTo>
                                <a:lnTo>
                                  <a:pt x="1447800" y="316992"/>
                                </a:lnTo>
                                <a:lnTo>
                                  <a:pt x="1592580" y="752855"/>
                                </a:lnTo>
                                <a:lnTo>
                                  <a:pt x="1737360" y="589787"/>
                                </a:lnTo>
                                <a:lnTo>
                                  <a:pt x="1882140" y="909827"/>
                                </a:lnTo>
                                <a:lnTo>
                                  <a:pt x="2026920" y="842772"/>
                                </a:lnTo>
                                <a:lnTo>
                                  <a:pt x="2171700" y="563879"/>
                                </a:lnTo>
                                <a:lnTo>
                                  <a:pt x="2316480" y="995172"/>
                                </a:lnTo>
                                <a:lnTo>
                                  <a:pt x="2461260" y="888492"/>
                                </a:lnTo>
                                <a:lnTo>
                                  <a:pt x="2607564" y="649224"/>
                                </a:lnTo>
                                <a:lnTo>
                                  <a:pt x="2752344" y="515111"/>
                                </a:lnTo>
                                <a:lnTo>
                                  <a:pt x="2897124" y="495300"/>
                                </a:lnTo>
                                <a:lnTo>
                                  <a:pt x="3041904" y="1004316"/>
                                </a:lnTo>
                                <a:lnTo>
                                  <a:pt x="3186684" y="413003"/>
                                </a:lnTo>
                                <a:lnTo>
                                  <a:pt x="3331464" y="1014349"/>
                                </a:lnTo>
                                <a:lnTo>
                                  <a:pt x="3475736" y="1014349"/>
                                </a:lnTo>
                              </a:path>
                            </a:pathLst>
                          </a:custGeom>
                          <a:ln w="28575">
                            <a:solidFill>
                              <a:srgbClr val="5B9BD4"/>
                            </a:solidFill>
                            <a:prstDash val="solid"/>
                          </a:ln>
                        </wps:spPr>
                        <wps:bodyPr wrap="square" lIns="0" tIns="0" rIns="0" bIns="0" rtlCol="0">
                          <a:prstTxWarp prst="textNoShape">
                            <a:avLst/>
                          </a:prstTxWarp>
                          <a:noAutofit/>
                        </wps:bodyPr>
                      </wps:wsp>
                      <wps:wsp>
                        <wps:cNvPr id="186" name="Graphic 186"/>
                        <wps:cNvSpPr/>
                        <wps:spPr>
                          <a:xfrm>
                            <a:off x="2370391" y="678370"/>
                            <a:ext cx="2080260" cy="1357630"/>
                          </a:xfrm>
                          <a:custGeom>
                            <a:avLst/>
                            <a:gdLst/>
                            <a:ahLst/>
                            <a:cxnLst/>
                            <a:rect l="l" t="t" r="r" b="b"/>
                            <a:pathLst>
                              <a:path w="2080260" h="1357630">
                                <a:moveTo>
                                  <a:pt x="197358" y="798068"/>
                                </a:moveTo>
                                <a:lnTo>
                                  <a:pt x="0" y="29718"/>
                                </a:lnTo>
                              </a:path>
                              <a:path w="2080260" h="1357630">
                                <a:moveTo>
                                  <a:pt x="342138" y="383158"/>
                                </a:moveTo>
                                <a:lnTo>
                                  <a:pt x="566547" y="142748"/>
                                </a:lnTo>
                              </a:path>
                              <a:path w="2080260" h="1357630">
                                <a:moveTo>
                                  <a:pt x="2080006" y="1042288"/>
                                </a:moveTo>
                                <a:lnTo>
                                  <a:pt x="1954022" y="0"/>
                                </a:lnTo>
                                <a:lnTo>
                                  <a:pt x="1897380" y="0"/>
                                </a:lnTo>
                              </a:path>
                              <a:path w="2080260" h="1357630">
                                <a:moveTo>
                                  <a:pt x="1935226" y="1357502"/>
                                </a:moveTo>
                                <a:lnTo>
                                  <a:pt x="2001265" y="1247902"/>
                                </a:lnTo>
                                <a:lnTo>
                                  <a:pt x="2058924" y="1247902"/>
                                </a:lnTo>
                              </a:path>
                            </a:pathLst>
                          </a:custGeom>
                          <a:ln w="9525">
                            <a:solidFill>
                              <a:srgbClr val="A6A6A6"/>
                            </a:solidFill>
                            <a:prstDash val="solid"/>
                          </a:ln>
                        </wps:spPr>
                        <wps:bodyPr wrap="square" lIns="0" tIns="0" rIns="0" bIns="0" rtlCol="0">
                          <a:prstTxWarp prst="textNoShape">
                            <a:avLst/>
                          </a:prstTxWarp>
                          <a:noAutofit/>
                        </wps:bodyPr>
                      </wps:wsp>
                      <wps:wsp>
                        <wps:cNvPr id="187" name="Graphic 187"/>
                        <wps:cNvSpPr/>
                        <wps:spPr>
                          <a:xfrm>
                            <a:off x="899858" y="263525"/>
                            <a:ext cx="616585" cy="169545"/>
                          </a:xfrm>
                          <a:custGeom>
                            <a:avLst/>
                            <a:gdLst/>
                            <a:ahLst/>
                            <a:cxnLst/>
                            <a:rect l="l" t="t" r="r" b="b"/>
                            <a:pathLst>
                              <a:path w="616585" h="169545">
                                <a:moveTo>
                                  <a:pt x="616394" y="0"/>
                                </a:moveTo>
                                <a:lnTo>
                                  <a:pt x="0" y="0"/>
                                </a:lnTo>
                                <a:lnTo>
                                  <a:pt x="0" y="169481"/>
                                </a:lnTo>
                                <a:lnTo>
                                  <a:pt x="616394" y="169481"/>
                                </a:lnTo>
                                <a:lnTo>
                                  <a:pt x="616394" y="0"/>
                                </a:lnTo>
                                <a:close/>
                              </a:path>
                            </a:pathLst>
                          </a:custGeom>
                          <a:solidFill>
                            <a:srgbClr val="FFFFFF"/>
                          </a:solidFill>
                        </wps:spPr>
                        <wps:bodyPr wrap="square" lIns="0" tIns="0" rIns="0" bIns="0" rtlCol="0">
                          <a:prstTxWarp prst="textNoShape">
                            <a:avLst/>
                          </a:prstTxWarp>
                          <a:noAutofit/>
                        </wps:bodyPr>
                      </wps:wsp>
                      <wps:wsp>
                        <wps:cNvPr id="188" name="Graphic 188"/>
                        <wps:cNvSpPr/>
                        <wps:spPr>
                          <a:xfrm>
                            <a:off x="899858" y="263525"/>
                            <a:ext cx="616585" cy="169545"/>
                          </a:xfrm>
                          <a:custGeom>
                            <a:avLst/>
                            <a:gdLst/>
                            <a:ahLst/>
                            <a:cxnLst/>
                            <a:rect l="l" t="t" r="r" b="b"/>
                            <a:pathLst>
                              <a:path w="616585" h="169545">
                                <a:moveTo>
                                  <a:pt x="0" y="169481"/>
                                </a:moveTo>
                                <a:lnTo>
                                  <a:pt x="616394" y="169481"/>
                                </a:lnTo>
                                <a:lnTo>
                                  <a:pt x="616394" y="0"/>
                                </a:lnTo>
                                <a:lnTo>
                                  <a:pt x="0" y="0"/>
                                </a:lnTo>
                                <a:lnTo>
                                  <a:pt x="0" y="169481"/>
                                </a:lnTo>
                                <a:close/>
                              </a:path>
                            </a:pathLst>
                          </a:custGeom>
                          <a:ln w="19050">
                            <a:solidFill>
                              <a:srgbClr val="000000"/>
                            </a:solidFill>
                            <a:prstDash val="solid"/>
                          </a:ln>
                        </wps:spPr>
                        <wps:bodyPr wrap="square" lIns="0" tIns="0" rIns="0" bIns="0" rtlCol="0">
                          <a:prstTxWarp prst="textNoShape">
                            <a:avLst/>
                          </a:prstTxWarp>
                          <a:noAutofit/>
                        </wps:bodyPr>
                      </wps:wsp>
                      <wps:wsp>
                        <wps:cNvPr id="189" name="Graphic 189"/>
                        <wps:cNvSpPr/>
                        <wps:spPr>
                          <a:xfrm>
                            <a:off x="1044638" y="937005"/>
                            <a:ext cx="521334" cy="169545"/>
                          </a:xfrm>
                          <a:custGeom>
                            <a:avLst/>
                            <a:gdLst/>
                            <a:ahLst/>
                            <a:cxnLst/>
                            <a:rect l="l" t="t" r="r" b="b"/>
                            <a:pathLst>
                              <a:path w="521334" h="169545">
                                <a:moveTo>
                                  <a:pt x="521081" y="0"/>
                                </a:moveTo>
                                <a:lnTo>
                                  <a:pt x="0" y="0"/>
                                </a:lnTo>
                                <a:lnTo>
                                  <a:pt x="0" y="169481"/>
                                </a:lnTo>
                                <a:lnTo>
                                  <a:pt x="521081" y="169481"/>
                                </a:lnTo>
                                <a:lnTo>
                                  <a:pt x="521081" y="0"/>
                                </a:lnTo>
                                <a:close/>
                              </a:path>
                            </a:pathLst>
                          </a:custGeom>
                          <a:solidFill>
                            <a:srgbClr val="FFFFFF"/>
                          </a:solidFill>
                        </wps:spPr>
                        <wps:bodyPr wrap="square" lIns="0" tIns="0" rIns="0" bIns="0" rtlCol="0">
                          <a:prstTxWarp prst="textNoShape">
                            <a:avLst/>
                          </a:prstTxWarp>
                          <a:noAutofit/>
                        </wps:bodyPr>
                      </wps:wsp>
                      <wps:wsp>
                        <wps:cNvPr id="190" name="Graphic 190"/>
                        <wps:cNvSpPr/>
                        <wps:spPr>
                          <a:xfrm>
                            <a:off x="1044638" y="937005"/>
                            <a:ext cx="521334" cy="169545"/>
                          </a:xfrm>
                          <a:custGeom>
                            <a:avLst/>
                            <a:gdLst/>
                            <a:ahLst/>
                            <a:cxnLst/>
                            <a:rect l="l" t="t" r="r" b="b"/>
                            <a:pathLst>
                              <a:path w="521334" h="169545">
                                <a:moveTo>
                                  <a:pt x="0" y="169481"/>
                                </a:moveTo>
                                <a:lnTo>
                                  <a:pt x="521081" y="169481"/>
                                </a:lnTo>
                                <a:lnTo>
                                  <a:pt x="521081" y="0"/>
                                </a:lnTo>
                                <a:lnTo>
                                  <a:pt x="0" y="0"/>
                                </a:lnTo>
                                <a:lnTo>
                                  <a:pt x="0" y="169481"/>
                                </a:lnTo>
                                <a:close/>
                              </a:path>
                            </a:pathLst>
                          </a:custGeom>
                          <a:ln w="19050">
                            <a:solidFill>
                              <a:srgbClr val="000000"/>
                            </a:solidFill>
                            <a:prstDash val="solid"/>
                          </a:ln>
                        </wps:spPr>
                        <wps:bodyPr wrap="square" lIns="0" tIns="0" rIns="0" bIns="0" rtlCol="0">
                          <a:prstTxWarp prst="textNoShape">
                            <a:avLst/>
                          </a:prstTxWarp>
                          <a:noAutofit/>
                        </wps:bodyPr>
                      </wps:wsp>
                      <wps:wsp>
                        <wps:cNvPr id="191" name="Graphic 191"/>
                        <wps:cNvSpPr/>
                        <wps:spPr>
                          <a:xfrm>
                            <a:off x="2404300" y="1437385"/>
                            <a:ext cx="720090" cy="511809"/>
                          </a:xfrm>
                          <a:custGeom>
                            <a:avLst/>
                            <a:gdLst/>
                            <a:ahLst/>
                            <a:cxnLst/>
                            <a:rect l="l" t="t" r="r" b="b"/>
                            <a:pathLst>
                              <a:path w="720090" h="511809">
                                <a:moveTo>
                                  <a:pt x="521081" y="341884"/>
                                </a:moveTo>
                                <a:lnTo>
                                  <a:pt x="0" y="341884"/>
                                </a:lnTo>
                                <a:lnTo>
                                  <a:pt x="0" y="511365"/>
                                </a:lnTo>
                                <a:lnTo>
                                  <a:pt x="521081" y="511365"/>
                                </a:lnTo>
                                <a:lnTo>
                                  <a:pt x="521081" y="341884"/>
                                </a:lnTo>
                                <a:close/>
                              </a:path>
                              <a:path w="720090" h="511809">
                                <a:moveTo>
                                  <a:pt x="719696" y="0"/>
                                </a:moveTo>
                                <a:lnTo>
                                  <a:pt x="198628" y="0"/>
                                </a:lnTo>
                                <a:lnTo>
                                  <a:pt x="198628" y="169481"/>
                                </a:lnTo>
                                <a:lnTo>
                                  <a:pt x="719696" y="169481"/>
                                </a:lnTo>
                                <a:lnTo>
                                  <a:pt x="719696" y="0"/>
                                </a:lnTo>
                                <a:close/>
                              </a:path>
                            </a:pathLst>
                          </a:custGeom>
                          <a:solidFill>
                            <a:srgbClr val="FFFFFF"/>
                          </a:solidFill>
                        </wps:spPr>
                        <wps:bodyPr wrap="square" lIns="0" tIns="0" rIns="0" bIns="0" rtlCol="0">
                          <a:prstTxWarp prst="textNoShape">
                            <a:avLst/>
                          </a:prstTxWarp>
                          <a:noAutofit/>
                        </wps:bodyPr>
                      </wps:wsp>
                      <wps:wsp>
                        <wps:cNvPr id="192" name="Graphic 192"/>
                        <wps:cNvSpPr/>
                        <wps:spPr>
                          <a:xfrm>
                            <a:off x="2602928" y="1437386"/>
                            <a:ext cx="521334" cy="169545"/>
                          </a:xfrm>
                          <a:custGeom>
                            <a:avLst/>
                            <a:gdLst/>
                            <a:ahLst/>
                            <a:cxnLst/>
                            <a:rect l="l" t="t" r="r" b="b"/>
                            <a:pathLst>
                              <a:path w="521334" h="169545">
                                <a:moveTo>
                                  <a:pt x="0" y="169481"/>
                                </a:moveTo>
                                <a:lnTo>
                                  <a:pt x="521080" y="169481"/>
                                </a:lnTo>
                                <a:lnTo>
                                  <a:pt x="521080" y="0"/>
                                </a:lnTo>
                                <a:lnTo>
                                  <a:pt x="0" y="0"/>
                                </a:lnTo>
                                <a:lnTo>
                                  <a:pt x="0" y="169481"/>
                                </a:lnTo>
                                <a:close/>
                              </a:path>
                            </a:pathLst>
                          </a:custGeom>
                          <a:ln w="19050">
                            <a:solidFill>
                              <a:srgbClr val="000000"/>
                            </a:solidFill>
                            <a:prstDash val="solid"/>
                          </a:ln>
                        </wps:spPr>
                        <wps:bodyPr wrap="square" lIns="0" tIns="0" rIns="0" bIns="0" rtlCol="0">
                          <a:prstTxWarp prst="textNoShape">
                            <a:avLst/>
                          </a:prstTxWarp>
                          <a:noAutofit/>
                        </wps:bodyPr>
                      </wps:wsp>
                      <wps:wsp>
                        <wps:cNvPr id="193" name="Graphic 193"/>
                        <wps:cNvSpPr/>
                        <wps:spPr>
                          <a:xfrm>
                            <a:off x="4429315" y="1837435"/>
                            <a:ext cx="137160" cy="177800"/>
                          </a:xfrm>
                          <a:custGeom>
                            <a:avLst/>
                            <a:gdLst/>
                            <a:ahLst/>
                            <a:cxnLst/>
                            <a:rect l="l" t="t" r="r" b="b"/>
                            <a:pathLst>
                              <a:path w="137160" h="177800">
                                <a:moveTo>
                                  <a:pt x="137033" y="0"/>
                                </a:moveTo>
                                <a:lnTo>
                                  <a:pt x="0" y="0"/>
                                </a:lnTo>
                                <a:lnTo>
                                  <a:pt x="0" y="177609"/>
                                </a:lnTo>
                                <a:lnTo>
                                  <a:pt x="137033" y="177609"/>
                                </a:lnTo>
                                <a:lnTo>
                                  <a:pt x="137033" y="0"/>
                                </a:lnTo>
                                <a:close/>
                              </a:path>
                            </a:pathLst>
                          </a:custGeom>
                          <a:solidFill>
                            <a:srgbClr val="FFFFFF"/>
                          </a:solidFill>
                        </wps:spPr>
                        <wps:bodyPr wrap="square" lIns="0" tIns="0" rIns="0" bIns="0" rtlCol="0">
                          <a:prstTxWarp prst="textNoShape">
                            <a:avLst/>
                          </a:prstTxWarp>
                          <a:noAutofit/>
                        </wps:bodyPr>
                      </wps:wsp>
                      <wps:wsp>
                        <wps:cNvPr id="194" name="Graphic 194"/>
                        <wps:cNvSpPr/>
                        <wps:spPr>
                          <a:xfrm>
                            <a:off x="4429315" y="1837435"/>
                            <a:ext cx="137160" cy="177800"/>
                          </a:xfrm>
                          <a:custGeom>
                            <a:avLst/>
                            <a:gdLst/>
                            <a:ahLst/>
                            <a:cxnLst/>
                            <a:rect l="l" t="t" r="r" b="b"/>
                            <a:pathLst>
                              <a:path w="137160" h="177800">
                                <a:moveTo>
                                  <a:pt x="0" y="177609"/>
                                </a:moveTo>
                                <a:lnTo>
                                  <a:pt x="137033" y="177609"/>
                                </a:lnTo>
                                <a:lnTo>
                                  <a:pt x="137033" y="0"/>
                                </a:lnTo>
                                <a:lnTo>
                                  <a:pt x="0" y="0"/>
                                </a:lnTo>
                                <a:lnTo>
                                  <a:pt x="0" y="177609"/>
                                </a:lnTo>
                                <a:close/>
                              </a:path>
                            </a:pathLst>
                          </a:custGeom>
                          <a:ln w="19050">
                            <a:solidFill>
                              <a:srgbClr val="000000"/>
                            </a:solidFill>
                            <a:prstDash val="solid"/>
                          </a:ln>
                        </wps:spPr>
                        <wps:bodyPr wrap="square" lIns="0" tIns="0" rIns="0" bIns="0" rtlCol="0">
                          <a:prstTxWarp prst="textNoShape">
                            <a:avLst/>
                          </a:prstTxWarp>
                          <a:noAutofit/>
                        </wps:bodyPr>
                      </wps:wsp>
                      <wps:wsp>
                        <wps:cNvPr id="195" name="Graphic 195"/>
                        <wps:cNvSpPr/>
                        <wps:spPr>
                          <a:xfrm>
                            <a:off x="889190" y="3021869"/>
                            <a:ext cx="243840" cy="57785"/>
                          </a:xfrm>
                          <a:custGeom>
                            <a:avLst/>
                            <a:gdLst/>
                            <a:ahLst/>
                            <a:cxnLst/>
                            <a:rect l="l" t="t" r="r" b="b"/>
                            <a:pathLst>
                              <a:path w="243840" h="57785">
                                <a:moveTo>
                                  <a:pt x="243839" y="0"/>
                                </a:moveTo>
                                <a:lnTo>
                                  <a:pt x="0" y="0"/>
                                </a:lnTo>
                                <a:lnTo>
                                  <a:pt x="0" y="57435"/>
                                </a:lnTo>
                                <a:lnTo>
                                  <a:pt x="243839" y="57435"/>
                                </a:lnTo>
                                <a:lnTo>
                                  <a:pt x="243839" y="0"/>
                                </a:lnTo>
                                <a:close/>
                              </a:path>
                            </a:pathLst>
                          </a:custGeom>
                          <a:solidFill>
                            <a:srgbClr val="EC7C30"/>
                          </a:solidFill>
                        </wps:spPr>
                        <wps:bodyPr wrap="square" lIns="0" tIns="0" rIns="0" bIns="0" rtlCol="0">
                          <a:prstTxWarp prst="textNoShape">
                            <a:avLst/>
                          </a:prstTxWarp>
                          <a:noAutofit/>
                        </wps:bodyPr>
                      </wps:wsp>
                      <wps:wsp>
                        <wps:cNvPr id="196" name="Graphic 196"/>
                        <wps:cNvSpPr/>
                        <wps:spPr>
                          <a:xfrm>
                            <a:off x="2578036" y="3050603"/>
                            <a:ext cx="243840" cy="1270"/>
                          </a:xfrm>
                          <a:custGeom>
                            <a:avLst/>
                            <a:gdLst/>
                            <a:ahLst/>
                            <a:cxnLst/>
                            <a:rect l="l" t="t" r="r" b="b"/>
                            <a:pathLst>
                              <a:path w="243840" h="0">
                                <a:moveTo>
                                  <a:pt x="0" y="0"/>
                                </a:moveTo>
                                <a:lnTo>
                                  <a:pt x="243839" y="0"/>
                                </a:lnTo>
                              </a:path>
                            </a:pathLst>
                          </a:custGeom>
                          <a:ln w="28575">
                            <a:solidFill>
                              <a:srgbClr val="5B9BD4"/>
                            </a:solidFill>
                            <a:prstDash val="solid"/>
                          </a:ln>
                        </wps:spPr>
                        <wps:bodyPr wrap="square" lIns="0" tIns="0" rIns="0" bIns="0" rtlCol="0">
                          <a:prstTxWarp prst="textNoShape">
                            <a:avLst/>
                          </a:prstTxWarp>
                          <a:noAutofit/>
                        </wps:bodyPr>
                      </wps:wsp>
                      <wps:wsp>
                        <wps:cNvPr id="197" name="Graphic 197"/>
                        <wps:cNvSpPr/>
                        <wps:spPr>
                          <a:xfrm>
                            <a:off x="4762" y="4762"/>
                            <a:ext cx="5029200" cy="3223260"/>
                          </a:xfrm>
                          <a:custGeom>
                            <a:avLst/>
                            <a:gdLst/>
                            <a:ahLst/>
                            <a:cxnLst/>
                            <a:rect l="l" t="t" r="r" b="b"/>
                            <a:pathLst>
                              <a:path w="5029200" h="3223260">
                                <a:moveTo>
                                  <a:pt x="0" y="3223260"/>
                                </a:moveTo>
                                <a:lnTo>
                                  <a:pt x="5029199" y="3223260"/>
                                </a:lnTo>
                                <a:lnTo>
                                  <a:pt x="5029199" y="0"/>
                                </a:lnTo>
                                <a:lnTo>
                                  <a:pt x="0" y="0"/>
                                </a:lnTo>
                                <a:lnTo>
                                  <a:pt x="0" y="3223260"/>
                                </a:lnTo>
                                <a:close/>
                              </a:path>
                            </a:pathLst>
                          </a:custGeom>
                          <a:ln w="9525">
                            <a:solidFill>
                              <a:srgbClr val="D9D9D9"/>
                            </a:solidFill>
                            <a:prstDash val="solid"/>
                          </a:ln>
                        </wps:spPr>
                        <wps:bodyPr wrap="square" lIns="0" tIns="0" rIns="0" bIns="0" rtlCol="0">
                          <a:prstTxWarp prst="textNoShape">
                            <a:avLst/>
                          </a:prstTxWarp>
                          <a:noAutofit/>
                        </wps:bodyPr>
                      </wps:wsp>
                      <wps:wsp>
                        <wps:cNvPr id="198" name="Textbox 198"/>
                        <wps:cNvSpPr txBox="1"/>
                        <wps:spPr>
                          <a:xfrm>
                            <a:off x="214845" y="1338929"/>
                            <a:ext cx="425450" cy="128270"/>
                          </a:xfrm>
                          <a:prstGeom prst="rect">
                            <a:avLst/>
                          </a:prstGeom>
                        </wps:spPr>
                        <wps:txbx>
                          <w:txbxContent>
                            <w:p>
                              <w:pPr>
                                <w:spacing w:line="201" w:lineRule="exact" w:before="0"/>
                                <w:ind w:left="0" w:right="0" w:firstLine="0"/>
                                <w:jc w:val="left"/>
                                <w:rPr>
                                  <w:sz w:val="18"/>
                                </w:rPr>
                              </w:pPr>
                              <w:r>
                                <w:rPr>
                                  <w:spacing w:val="-2"/>
                                  <w:sz w:val="18"/>
                                </w:rPr>
                                <w:t>400,000</w:t>
                              </w:r>
                            </w:p>
                          </w:txbxContent>
                        </wps:txbx>
                        <wps:bodyPr wrap="square" lIns="0" tIns="0" rIns="0" bIns="0" rtlCol="0">
                          <a:noAutofit/>
                        </wps:bodyPr>
                      </wps:wsp>
                      <wps:wsp>
                        <wps:cNvPr id="199" name="Textbox 199"/>
                        <wps:cNvSpPr txBox="1"/>
                        <wps:spPr>
                          <a:xfrm>
                            <a:off x="2848546" y="2984341"/>
                            <a:ext cx="1359535" cy="128270"/>
                          </a:xfrm>
                          <a:prstGeom prst="rect">
                            <a:avLst/>
                          </a:prstGeom>
                        </wps:spPr>
                        <wps:txbx>
                          <w:txbxContent>
                            <w:p>
                              <w:pPr>
                                <w:spacing w:line="201" w:lineRule="exact" w:before="0"/>
                                <w:ind w:left="0" w:right="0" w:firstLine="0"/>
                                <w:jc w:val="left"/>
                                <w:rPr>
                                  <w:sz w:val="18"/>
                                </w:rPr>
                              </w:pPr>
                              <w:r>
                                <w:rPr>
                                  <w:sz w:val="18"/>
                                </w:rPr>
                                <w:t>145-CEBAF</w:t>
                              </w:r>
                              <w:r>
                                <w:rPr>
                                  <w:spacing w:val="-2"/>
                                  <w:sz w:val="18"/>
                                </w:rPr>
                                <w:t> </w:t>
                              </w:r>
                              <w:r>
                                <w:rPr>
                                  <w:sz w:val="18"/>
                                </w:rPr>
                                <w:t>SAN</w:t>
                              </w:r>
                              <w:r>
                                <w:rPr>
                                  <w:spacing w:val="-2"/>
                                  <w:sz w:val="18"/>
                                </w:rPr>
                                <w:t> MIGUEL</w:t>
                              </w:r>
                            </w:p>
                          </w:txbxContent>
                        </wps:txbx>
                        <wps:bodyPr wrap="square" lIns="0" tIns="0" rIns="0" bIns="0" rtlCol="0">
                          <a:noAutofit/>
                        </wps:bodyPr>
                      </wps:wsp>
                      <wps:wsp>
                        <wps:cNvPr id="200" name="Textbox 200"/>
                        <wps:cNvSpPr txBox="1"/>
                        <wps:spPr>
                          <a:xfrm>
                            <a:off x="4622228" y="1338929"/>
                            <a:ext cx="279400" cy="128270"/>
                          </a:xfrm>
                          <a:prstGeom prst="rect">
                            <a:avLst/>
                          </a:prstGeom>
                        </wps:spPr>
                        <wps:txbx>
                          <w:txbxContent>
                            <w:p>
                              <w:pPr>
                                <w:spacing w:line="201" w:lineRule="exact" w:before="0"/>
                                <w:ind w:left="0" w:right="0" w:firstLine="0"/>
                                <w:jc w:val="left"/>
                                <w:rPr>
                                  <w:sz w:val="18"/>
                                </w:rPr>
                              </w:pPr>
                              <w:r>
                                <w:rPr>
                                  <w:spacing w:val="-2"/>
                                  <w:sz w:val="18"/>
                                </w:rPr>
                                <w:t>-</w:t>
                              </w:r>
                              <w:r>
                                <w:rPr>
                                  <w:spacing w:val="-5"/>
                                  <w:sz w:val="18"/>
                                </w:rPr>
                                <w:t>80%</w:t>
                              </w:r>
                            </w:p>
                          </w:txbxContent>
                        </wps:txbx>
                        <wps:bodyPr wrap="square" lIns="0" tIns="0" rIns="0" bIns="0" rtlCol="0">
                          <a:noAutofit/>
                        </wps:bodyPr>
                      </wps:wsp>
                      <wps:wsp>
                        <wps:cNvPr id="201" name="Textbox 201"/>
                        <wps:cNvSpPr txBox="1"/>
                        <wps:spPr>
                          <a:xfrm>
                            <a:off x="214845" y="1654143"/>
                            <a:ext cx="425450" cy="128270"/>
                          </a:xfrm>
                          <a:prstGeom prst="rect">
                            <a:avLst/>
                          </a:prstGeom>
                        </wps:spPr>
                        <wps:txbx>
                          <w:txbxContent>
                            <w:p>
                              <w:pPr>
                                <w:spacing w:line="201" w:lineRule="exact" w:before="0"/>
                                <w:ind w:left="0" w:right="0" w:firstLine="0"/>
                                <w:jc w:val="left"/>
                                <w:rPr>
                                  <w:sz w:val="18"/>
                                </w:rPr>
                              </w:pPr>
                              <w:r>
                                <w:rPr>
                                  <w:spacing w:val="-2"/>
                                  <w:sz w:val="18"/>
                                </w:rPr>
                                <w:t>200,000</w:t>
                              </w:r>
                            </w:p>
                          </w:txbxContent>
                        </wps:txbx>
                        <wps:bodyPr wrap="square" lIns="0" tIns="0" rIns="0" bIns="0" rtlCol="0">
                          <a:noAutofit/>
                        </wps:bodyPr>
                      </wps:wsp>
                      <wps:wsp>
                        <wps:cNvPr id="202" name="Textbox 202"/>
                        <wps:cNvSpPr txBox="1"/>
                        <wps:spPr>
                          <a:xfrm>
                            <a:off x="4622228" y="1654143"/>
                            <a:ext cx="344170" cy="128270"/>
                          </a:xfrm>
                          <a:prstGeom prst="rect">
                            <a:avLst/>
                          </a:prstGeom>
                        </wps:spPr>
                        <wps:txbx>
                          <w:txbxContent>
                            <w:p>
                              <w:pPr>
                                <w:spacing w:line="201" w:lineRule="exact" w:before="0"/>
                                <w:ind w:left="0" w:right="0" w:firstLine="0"/>
                                <w:jc w:val="left"/>
                                <w:rPr>
                                  <w:sz w:val="18"/>
                                </w:rPr>
                              </w:pPr>
                              <w:r>
                                <w:rPr>
                                  <w:spacing w:val="-2"/>
                                  <w:sz w:val="18"/>
                                </w:rPr>
                                <w:t>-</w:t>
                              </w:r>
                              <w:r>
                                <w:rPr>
                                  <w:spacing w:val="-4"/>
                                  <w:sz w:val="18"/>
                                </w:rPr>
                                <w:t>100%</w:t>
                              </w:r>
                            </w:p>
                          </w:txbxContent>
                        </wps:txbx>
                        <wps:bodyPr wrap="square" lIns="0" tIns="0" rIns="0" bIns="0" rtlCol="0">
                          <a:noAutofit/>
                        </wps:bodyPr>
                      </wps:wsp>
                      <wps:wsp>
                        <wps:cNvPr id="203" name="Textbox 203"/>
                        <wps:cNvSpPr txBox="1"/>
                        <wps:spPr>
                          <a:xfrm>
                            <a:off x="4494466" y="1879409"/>
                            <a:ext cx="48260" cy="114300"/>
                          </a:xfrm>
                          <a:prstGeom prst="rect">
                            <a:avLst/>
                          </a:prstGeom>
                        </wps:spPr>
                        <wps:txbx>
                          <w:txbxContent>
                            <w:p>
                              <w:pPr>
                                <w:spacing w:line="180" w:lineRule="exact" w:before="0"/>
                                <w:ind w:left="0" w:right="0" w:firstLine="0"/>
                                <w:jc w:val="left"/>
                                <w:rPr>
                                  <w:rFonts w:ascii="Calibri"/>
                                  <w:sz w:val="18"/>
                                </w:rPr>
                              </w:pPr>
                              <w:r>
                                <w:rPr>
                                  <w:rFonts w:ascii="Calibri"/>
                                  <w:spacing w:val="-10"/>
                                  <w:sz w:val="18"/>
                                </w:rPr>
                                <w:t>-</w:t>
                              </w:r>
                            </w:p>
                          </w:txbxContent>
                        </wps:txbx>
                        <wps:bodyPr wrap="square" lIns="0" tIns="0" rIns="0" bIns="0" rtlCol="0">
                          <a:noAutofit/>
                        </wps:bodyPr>
                      </wps:wsp>
                      <wps:wsp>
                        <wps:cNvPr id="204" name="Textbox 204"/>
                        <wps:cNvSpPr txBox="1"/>
                        <wps:spPr>
                          <a:xfrm>
                            <a:off x="526605" y="1969357"/>
                            <a:ext cx="50800" cy="128270"/>
                          </a:xfrm>
                          <a:prstGeom prst="rect">
                            <a:avLst/>
                          </a:prstGeom>
                        </wps:spPr>
                        <wps:txbx>
                          <w:txbxContent>
                            <w:p>
                              <w:pPr>
                                <w:spacing w:line="201" w:lineRule="exact" w:before="0"/>
                                <w:ind w:left="0" w:right="0" w:firstLine="0"/>
                                <w:jc w:val="left"/>
                                <w:rPr>
                                  <w:sz w:val="18"/>
                                </w:rPr>
                              </w:pPr>
                              <w:r>
                                <w:rPr>
                                  <w:spacing w:val="-10"/>
                                  <w:sz w:val="18"/>
                                </w:rPr>
                                <w:t>-</w:t>
                              </w:r>
                            </w:p>
                          </w:txbxContent>
                        </wps:txbx>
                        <wps:bodyPr wrap="square" lIns="0" tIns="0" rIns="0" bIns="0" rtlCol="0">
                          <a:noAutofit/>
                        </wps:bodyPr>
                      </wps:wsp>
                      <wps:wsp>
                        <wps:cNvPr id="205" name="Textbox 205"/>
                        <wps:cNvSpPr txBox="1"/>
                        <wps:spPr>
                          <a:xfrm>
                            <a:off x="4622228" y="1969357"/>
                            <a:ext cx="344170" cy="128270"/>
                          </a:xfrm>
                          <a:prstGeom prst="rect">
                            <a:avLst/>
                          </a:prstGeom>
                        </wps:spPr>
                        <wps:txbx>
                          <w:txbxContent>
                            <w:p>
                              <w:pPr>
                                <w:spacing w:line="201" w:lineRule="exact" w:before="0"/>
                                <w:ind w:left="0" w:right="0" w:firstLine="0"/>
                                <w:jc w:val="left"/>
                                <w:rPr>
                                  <w:sz w:val="18"/>
                                </w:rPr>
                              </w:pPr>
                              <w:r>
                                <w:rPr>
                                  <w:spacing w:val="-2"/>
                                  <w:sz w:val="18"/>
                                </w:rPr>
                                <w:t>-</w:t>
                              </w:r>
                              <w:r>
                                <w:rPr>
                                  <w:spacing w:val="-4"/>
                                  <w:sz w:val="18"/>
                                </w:rPr>
                                <w:t>120%</w:t>
                              </w:r>
                            </w:p>
                          </w:txbxContent>
                        </wps:txbx>
                        <wps:bodyPr wrap="square" lIns="0" tIns="0" rIns="0" bIns="0" rtlCol="0">
                          <a:noAutofit/>
                        </wps:bodyPr>
                      </wps:wsp>
                      <wps:wsp>
                        <wps:cNvPr id="206" name="Textbox 206"/>
                        <wps:cNvSpPr txBox="1"/>
                        <wps:spPr>
                          <a:xfrm>
                            <a:off x="1499806" y="2749645"/>
                            <a:ext cx="266700" cy="128270"/>
                          </a:xfrm>
                          <a:prstGeom prst="rect">
                            <a:avLst/>
                          </a:prstGeom>
                        </wps:spPr>
                        <wps:txbx>
                          <w:txbxContent>
                            <w:p>
                              <w:pPr>
                                <w:spacing w:line="201" w:lineRule="exact" w:before="0"/>
                                <w:ind w:left="0" w:right="0" w:firstLine="0"/>
                                <w:jc w:val="left"/>
                                <w:rPr>
                                  <w:sz w:val="18"/>
                                </w:rPr>
                              </w:pPr>
                              <w:r>
                                <w:rPr>
                                  <w:spacing w:val="-4"/>
                                  <w:sz w:val="18"/>
                                </w:rPr>
                                <w:t>2024</w:t>
                              </w:r>
                            </w:p>
                          </w:txbxContent>
                        </wps:txbx>
                        <wps:bodyPr wrap="square" lIns="0" tIns="0" rIns="0" bIns="0" rtlCol="0">
                          <a:noAutofit/>
                        </wps:bodyPr>
                      </wps:wsp>
                      <wps:wsp>
                        <wps:cNvPr id="207" name="Textbox 207"/>
                        <wps:cNvSpPr txBox="1"/>
                        <wps:spPr>
                          <a:xfrm>
                            <a:off x="3238055" y="2749645"/>
                            <a:ext cx="266700" cy="128270"/>
                          </a:xfrm>
                          <a:prstGeom prst="rect">
                            <a:avLst/>
                          </a:prstGeom>
                        </wps:spPr>
                        <wps:txbx>
                          <w:txbxContent>
                            <w:p>
                              <w:pPr>
                                <w:spacing w:line="201" w:lineRule="exact" w:before="0"/>
                                <w:ind w:left="0" w:right="0" w:firstLine="0"/>
                                <w:jc w:val="left"/>
                                <w:rPr>
                                  <w:sz w:val="18"/>
                                </w:rPr>
                              </w:pPr>
                              <w:r>
                                <w:rPr>
                                  <w:spacing w:val="-4"/>
                                  <w:sz w:val="18"/>
                                </w:rPr>
                                <w:t>2025</w:t>
                              </w:r>
                            </w:p>
                          </w:txbxContent>
                        </wps:txbx>
                        <wps:bodyPr wrap="square" lIns="0" tIns="0" rIns="0" bIns="0" rtlCol="0">
                          <a:noAutofit/>
                        </wps:bodyPr>
                      </wps:wsp>
                      <wps:wsp>
                        <wps:cNvPr id="208" name="Textbox 208"/>
                        <wps:cNvSpPr txBox="1"/>
                        <wps:spPr>
                          <a:xfrm>
                            <a:off x="4251896" y="2749645"/>
                            <a:ext cx="267970" cy="128270"/>
                          </a:xfrm>
                          <a:prstGeom prst="rect">
                            <a:avLst/>
                          </a:prstGeom>
                        </wps:spPr>
                        <wps:txbx>
                          <w:txbxContent>
                            <w:p>
                              <w:pPr>
                                <w:spacing w:line="201" w:lineRule="exact" w:before="0"/>
                                <w:ind w:left="0" w:right="0" w:firstLine="0"/>
                                <w:jc w:val="left"/>
                                <w:rPr>
                                  <w:sz w:val="18"/>
                                </w:rPr>
                              </w:pPr>
                              <w:r>
                                <w:rPr>
                                  <w:spacing w:val="-4"/>
                                  <w:sz w:val="18"/>
                                </w:rPr>
                                <w:t>2026</w:t>
                              </w:r>
                            </w:p>
                          </w:txbxContent>
                        </wps:txbx>
                        <wps:bodyPr wrap="square" lIns="0" tIns="0" rIns="0" bIns="0" rtlCol="0">
                          <a:noAutofit/>
                        </wps:bodyPr>
                      </wps:wsp>
                      <wps:wsp>
                        <wps:cNvPr id="209" name="Textbox 209"/>
                        <wps:cNvSpPr txBox="1"/>
                        <wps:spPr>
                          <a:xfrm>
                            <a:off x="1159319" y="2984341"/>
                            <a:ext cx="1155700" cy="128270"/>
                          </a:xfrm>
                          <a:prstGeom prst="rect">
                            <a:avLst/>
                          </a:prstGeom>
                        </wps:spPr>
                        <wps:txbx>
                          <w:txbxContent>
                            <w:p>
                              <w:pPr>
                                <w:spacing w:line="201" w:lineRule="exact" w:before="0"/>
                                <w:ind w:left="0" w:right="0" w:firstLine="0"/>
                                <w:jc w:val="left"/>
                                <w:rPr>
                                  <w:sz w:val="18"/>
                                </w:rPr>
                              </w:pPr>
                              <w:r>
                                <w:rPr>
                                  <w:sz w:val="18"/>
                                </w:rPr>
                                <w:t>Variación</w:t>
                              </w:r>
                              <w:r>
                                <w:rPr>
                                  <w:spacing w:val="-7"/>
                                  <w:sz w:val="18"/>
                                </w:rPr>
                                <w:t> </w:t>
                              </w:r>
                              <w:r>
                                <w:rPr>
                                  <w:sz w:val="18"/>
                                </w:rPr>
                                <w:t>interanual</w:t>
                              </w:r>
                              <w:r>
                                <w:rPr>
                                  <w:spacing w:val="-6"/>
                                  <w:sz w:val="18"/>
                                </w:rPr>
                                <w:t> </w:t>
                              </w:r>
                              <w:r>
                                <w:rPr>
                                  <w:spacing w:val="-10"/>
                                  <w:sz w:val="18"/>
                                </w:rPr>
                                <w:t>%</w:t>
                              </w:r>
                            </w:p>
                          </w:txbxContent>
                        </wps:txbx>
                        <wps:bodyPr wrap="square" lIns="0" tIns="0" rIns="0" bIns="0" rtlCol="0">
                          <a:noAutofit/>
                        </wps:bodyPr>
                      </wps:wsp>
                      <wps:wsp>
                        <wps:cNvPr id="210" name="Textbox 210"/>
                        <wps:cNvSpPr txBox="1"/>
                        <wps:spPr>
                          <a:xfrm>
                            <a:off x="4622228" y="1023461"/>
                            <a:ext cx="279400" cy="128270"/>
                          </a:xfrm>
                          <a:prstGeom prst="rect">
                            <a:avLst/>
                          </a:prstGeom>
                        </wps:spPr>
                        <wps:txbx>
                          <w:txbxContent>
                            <w:p>
                              <w:pPr>
                                <w:spacing w:line="201" w:lineRule="exact" w:before="0"/>
                                <w:ind w:left="0" w:right="0" w:firstLine="0"/>
                                <w:jc w:val="left"/>
                                <w:rPr>
                                  <w:sz w:val="18"/>
                                </w:rPr>
                              </w:pPr>
                              <w:r>
                                <w:rPr>
                                  <w:spacing w:val="-2"/>
                                  <w:sz w:val="18"/>
                                </w:rPr>
                                <w:t>-</w:t>
                              </w:r>
                              <w:r>
                                <w:rPr>
                                  <w:spacing w:val="-5"/>
                                  <w:sz w:val="18"/>
                                </w:rPr>
                                <w:t>60%</w:t>
                              </w:r>
                            </w:p>
                          </w:txbxContent>
                        </wps:txbx>
                        <wps:bodyPr wrap="square" lIns="0" tIns="0" rIns="0" bIns="0" rtlCol="0">
                          <a:noAutofit/>
                        </wps:bodyPr>
                      </wps:wsp>
                      <wps:wsp>
                        <wps:cNvPr id="211" name="Textbox 211"/>
                        <wps:cNvSpPr txBox="1"/>
                        <wps:spPr>
                          <a:xfrm>
                            <a:off x="214845" y="959177"/>
                            <a:ext cx="1327150" cy="192405"/>
                          </a:xfrm>
                          <a:prstGeom prst="rect">
                            <a:avLst/>
                          </a:prstGeom>
                        </wps:spPr>
                        <wps:txbx>
                          <w:txbxContent>
                            <w:p>
                              <w:pPr>
                                <w:tabs>
                                  <w:tab w:pos="1415" w:val="left" w:leader="none"/>
                                </w:tabs>
                                <w:spacing w:line="230" w:lineRule="auto" w:before="0"/>
                                <w:ind w:left="0" w:right="0" w:firstLine="0"/>
                                <w:jc w:val="left"/>
                                <w:rPr>
                                  <w:sz w:val="18"/>
                                </w:rPr>
                              </w:pPr>
                              <w:r>
                                <w:rPr>
                                  <w:spacing w:val="-2"/>
                                  <w:position w:val="-9"/>
                                  <w:sz w:val="18"/>
                                </w:rPr>
                                <w:t>600,000</w:t>
                              </w:r>
                              <w:r>
                                <w:rPr>
                                  <w:position w:val="-9"/>
                                  <w:sz w:val="18"/>
                                </w:rPr>
                                <w:tab/>
                              </w:r>
                              <w:r>
                                <w:rPr>
                                  <w:spacing w:val="-2"/>
                                  <w:sz w:val="18"/>
                                </w:rPr>
                                <w:t>643,418</w:t>
                              </w:r>
                            </w:p>
                          </w:txbxContent>
                        </wps:txbx>
                        <wps:bodyPr wrap="square" lIns="0" tIns="0" rIns="0" bIns="0" rtlCol="0">
                          <a:noAutofit/>
                        </wps:bodyPr>
                      </wps:wsp>
                      <wps:wsp>
                        <wps:cNvPr id="212" name="Textbox 212"/>
                        <wps:cNvSpPr txBox="1"/>
                        <wps:spPr>
                          <a:xfrm>
                            <a:off x="4622228" y="708374"/>
                            <a:ext cx="279400" cy="128270"/>
                          </a:xfrm>
                          <a:prstGeom prst="rect">
                            <a:avLst/>
                          </a:prstGeom>
                        </wps:spPr>
                        <wps:txbx>
                          <w:txbxContent>
                            <w:p>
                              <w:pPr>
                                <w:spacing w:line="201" w:lineRule="exact" w:before="0"/>
                                <w:ind w:left="0" w:right="0" w:firstLine="0"/>
                                <w:jc w:val="left"/>
                                <w:rPr>
                                  <w:sz w:val="18"/>
                                </w:rPr>
                              </w:pPr>
                              <w:r>
                                <w:rPr>
                                  <w:spacing w:val="-2"/>
                                  <w:sz w:val="18"/>
                                </w:rPr>
                                <w:t>-</w:t>
                              </w:r>
                              <w:r>
                                <w:rPr>
                                  <w:spacing w:val="-5"/>
                                  <w:sz w:val="18"/>
                                </w:rPr>
                                <w:t>40%</w:t>
                              </w:r>
                            </w:p>
                          </w:txbxContent>
                        </wps:txbx>
                        <wps:bodyPr wrap="square" lIns="0" tIns="0" rIns="0" bIns="0" rtlCol="0">
                          <a:noAutofit/>
                        </wps:bodyPr>
                      </wps:wsp>
                      <wps:wsp>
                        <wps:cNvPr id="213" name="Textbox 213"/>
                        <wps:cNvSpPr txBox="1"/>
                        <wps:spPr>
                          <a:xfrm>
                            <a:off x="3900995" y="616299"/>
                            <a:ext cx="370840" cy="307340"/>
                          </a:xfrm>
                          <a:prstGeom prst="rect">
                            <a:avLst/>
                          </a:prstGeom>
                        </wps:spPr>
                        <wps:txbx>
                          <w:txbxContent>
                            <w:p>
                              <w:pPr>
                                <w:spacing w:line="201" w:lineRule="exact" w:before="0"/>
                                <w:ind w:left="0" w:right="0" w:firstLine="0"/>
                                <w:jc w:val="left"/>
                                <w:rPr>
                                  <w:rFonts w:ascii="Arial"/>
                                  <w:b/>
                                  <w:sz w:val="18"/>
                                </w:rPr>
                              </w:pPr>
                              <w:r>
                                <w:rPr>
                                  <w:rFonts w:ascii="Arial"/>
                                  <w:b/>
                                  <w:color w:val="FF0000"/>
                                  <w:sz w:val="18"/>
                                </w:rPr>
                                <w:t>-</w:t>
                              </w:r>
                              <w:r>
                                <w:rPr>
                                  <w:rFonts w:ascii="Arial"/>
                                  <w:b/>
                                  <w:color w:val="FF0000"/>
                                  <w:spacing w:val="-4"/>
                                  <w:sz w:val="18"/>
                                </w:rPr>
                                <w:t>100%</w:t>
                              </w:r>
                            </w:p>
                            <w:p>
                              <w:pPr>
                                <w:spacing w:before="75"/>
                                <w:ind w:left="40" w:right="0" w:firstLine="0"/>
                                <w:jc w:val="left"/>
                                <w:rPr>
                                  <w:rFonts w:ascii="Arial"/>
                                  <w:b/>
                                  <w:sz w:val="18"/>
                                </w:rPr>
                              </w:pPr>
                              <w:r>
                                <w:rPr>
                                  <w:rFonts w:ascii="Arial"/>
                                  <w:b/>
                                  <w:color w:val="FF0000"/>
                                  <w:sz w:val="18"/>
                                </w:rPr>
                                <w:t>-</w:t>
                              </w:r>
                              <w:r>
                                <w:rPr>
                                  <w:rFonts w:ascii="Arial"/>
                                  <w:b/>
                                  <w:color w:val="FF0000"/>
                                  <w:spacing w:val="-4"/>
                                  <w:sz w:val="18"/>
                                </w:rPr>
                                <w:t>100%</w:t>
                              </w:r>
                            </w:p>
                          </w:txbxContent>
                        </wps:txbx>
                        <wps:bodyPr wrap="square" lIns="0" tIns="0" rIns="0" bIns="0" rtlCol="0">
                          <a:noAutofit/>
                        </wps:bodyPr>
                      </wps:wsp>
                      <wps:wsp>
                        <wps:cNvPr id="214" name="Textbox 214"/>
                        <wps:cNvSpPr txBox="1"/>
                        <wps:spPr>
                          <a:xfrm>
                            <a:off x="2805239" y="674211"/>
                            <a:ext cx="281305" cy="128270"/>
                          </a:xfrm>
                          <a:prstGeom prst="rect">
                            <a:avLst/>
                          </a:prstGeom>
                        </wps:spPr>
                        <wps:txbx>
                          <w:txbxContent>
                            <w:p>
                              <w:pPr>
                                <w:spacing w:line="201" w:lineRule="exact" w:before="0"/>
                                <w:ind w:left="0" w:right="0" w:firstLine="0"/>
                                <w:jc w:val="left"/>
                                <w:rPr>
                                  <w:rFonts w:ascii="Arial"/>
                                  <w:b/>
                                  <w:sz w:val="18"/>
                                </w:rPr>
                              </w:pPr>
                              <w:r>
                                <w:rPr>
                                  <w:rFonts w:ascii="Arial"/>
                                  <w:b/>
                                  <w:color w:val="FF0000"/>
                                  <w:sz w:val="18"/>
                                </w:rPr>
                                <w:t>-</w:t>
                              </w:r>
                              <w:r>
                                <w:rPr>
                                  <w:rFonts w:ascii="Arial"/>
                                  <w:b/>
                                  <w:color w:val="FF0000"/>
                                  <w:spacing w:val="-5"/>
                                  <w:sz w:val="18"/>
                                </w:rPr>
                                <w:t>58%</w:t>
                              </w:r>
                            </w:p>
                          </w:txbxContent>
                        </wps:txbx>
                        <wps:bodyPr wrap="square" lIns="0" tIns="0" rIns="0" bIns="0" rtlCol="0">
                          <a:noAutofit/>
                        </wps:bodyPr>
                      </wps:wsp>
                      <wps:wsp>
                        <wps:cNvPr id="215" name="Textbox 215"/>
                        <wps:cNvSpPr txBox="1"/>
                        <wps:spPr>
                          <a:xfrm>
                            <a:off x="214845" y="708374"/>
                            <a:ext cx="425450" cy="128270"/>
                          </a:xfrm>
                          <a:prstGeom prst="rect">
                            <a:avLst/>
                          </a:prstGeom>
                        </wps:spPr>
                        <wps:txbx>
                          <w:txbxContent>
                            <w:p>
                              <w:pPr>
                                <w:spacing w:line="201" w:lineRule="exact" w:before="0"/>
                                <w:ind w:left="0" w:right="0" w:firstLine="0"/>
                                <w:jc w:val="left"/>
                                <w:rPr>
                                  <w:sz w:val="18"/>
                                </w:rPr>
                              </w:pPr>
                              <w:r>
                                <w:rPr>
                                  <w:spacing w:val="-2"/>
                                  <w:sz w:val="18"/>
                                </w:rPr>
                                <w:t>800,000</w:t>
                              </w:r>
                            </w:p>
                          </w:txbxContent>
                        </wps:txbx>
                        <wps:bodyPr wrap="square" lIns="0" tIns="0" rIns="0" bIns="0" rtlCol="0">
                          <a:noAutofit/>
                        </wps:bodyPr>
                      </wps:wsp>
                      <wps:wsp>
                        <wps:cNvPr id="216" name="Textbox 216"/>
                        <wps:cNvSpPr txBox="1"/>
                        <wps:spPr>
                          <a:xfrm>
                            <a:off x="2238692" y="560905"/>
                            <a:ext cx="281305" cy="128270"/>
                          </a:xfrm>
                          <a:prstGeom prst="rect">
                            <a:avLst/>
                          </a:prstGeom>
                        </wps:spPr>
                        <wps:txbx>
                          <w:txbxContent>
                            <w:p>
                              <w:pPr>
                                <w:spacing w:line="202" w:lineRule="exact" w:before="0"/>
                                <w:ind w:left="0" w:right="0" w:firstLine="0"/>
                                <w:jc w:val="left"/>
                                <w:rPr>
                                  <w:rFonts w:ascii="Arial"/>
                                  <w:b/>
                                  <w:sz w:val="18"/>
                                </w:rPr>
                              </w:pPr>
                              <w:r>
                                <w:rPr>
                                  <w:rFonts w:ascii="Arial"/>
                                  <w:b/>
                                  <w:color w:val="FF0000"/>
                                  <w:spacing w:val="-2"/>
                                  <w:sz w:val="18"/>
                                </w:rPr>
                                <w:t>-</w:t>
                              </w:r>
                              <w:r>
                                <w:rPr>
                                  <w:rFonts w:ascii="Arial"/>
                                  <w:b/>
                                  <w:color w:val="FF0000"/>
                                  <w:spacing w:val="-5"/>
                                  <w:sz w:val="18"/>
                                </w:rPr>
                                <w:t>85%</w:t>
                              </w:r>
                            </w:p>
                          </w:txbxContent>
                        </wps:txbx>
                        <wps:bodyPr wrap="square" lIns="0" tIns="0" rIns="0" bIns="0" rtlCol="0">
                          <a:noAutofit/>
                        </wps:bodyPr>
                      </wps:wsp>
                      <wps:wsp>
                        <wps:cNvPr id="217" name="Textbox 217"/>
                        <wps:cNvSpPr txBox="1"/>
                        <wps:spPr>
                          <a:xfrm>
                            <a:off x="4622228" y="392630"/>
                            <a:ext cx="280035" cy="128270"/>
                          </a:xfrm>
                          <a:prstGeom prst="rect">
                            <a:avLst/>
                          </a:prstGeom>
                        </wps:spPr>
                        <wps:txbx>
                          <w:txbxContent>
                            <w:p>
                              <w:pPr>
                                <w:spacing w:line="202" w:lineRule="exact" w:before="0"/>
                                <w:ind w:left="0" w:right="0" w:firstLine="0"/>
                                <w:jc w:val="left"/>
                                <w:rPr>
                                  <w:sz w:val="18"/>
                                </w:rPr>
                              </w:pPr>
                              <w:r>
                                <w:rPr>
                                  <w:spacing w:val="-2"/>
                                  <w:sz w:val="18"/>
                                </w:rPr>
                                <w:t>-</w:t>
                              </w:r>
                              <w:r>
                                <w:rPr>
                                  <w:spacing w:val="-5"/>
                                  <w:sz w:val="18"/>
                                </w:rPr>
                                <w:t>20%</w:t>
                              </w:r>
                            </w:p>
                          </w:txbxContent>
                        </wps:txbx>
                        <wps:bodyPr wrap="square" lIns="0" tIns="0" rIns="0" bIns="0" rtlCol="0">
                          <a:noAutofit/>
                        </wps:bodyPr>
                      </wps:wsp>
                      <wps:wsp>
                        <wps:cNvPr id="218" name="Textbox 218"/>
                        <wps:cNvSpPr txBox="1"/>
                        <wps:spPr>
                          <a:xfrm>
                            <a:off x="119553" y="392630"/>
                            <a:ext cx="521334" cy="128270"/>
                          </a:xfrm>
                          <a:prstGeom prst="rect">
                            <a:avLst/>
                          </a:prstGeom>
                        </wps:spPr>
                        <wps:txbx>
                          <w:txbxContent>
                            <w:p>
                              <w:pPr>
                                <w:spacing w:line="202" w:lineRule="exact" w:before="0"/>
                                <w:ind w:left="0" w:right="0" w:firstLine="0"/>
                                <w:jc w:val="left"/>
                                <w:rPr>
                                  <w:sz w:val="18"/>
                                </w:rPr>
                              </w:pPr>
                              <w:r>
                                <w:rPr>
                                  <w:spacing w:val="-2"/>
                                  <w:sz w:val="18"/>
                                </w:rPr>
                                <w:t>1,000,000</w:t>
                              </w:r>
                            </w:p>
                          </w:txbxContent>
                        </wps:txbx>
                        <wps:bodyPr wrap="square" lIns="0" tIns="0" rIns="0" bIns="0" rtlCol="0">
                          <a:noAutofit/>
                        </wps:bodyPr>
                      </wps:wsp>
                      <wps:wsp>
                        <wps:cNvPr id="219" name="Textbox 219"/>
                        <wps:cNvSpPr txBox="1"/>
                        <wps:spPr>
                          <a:xfrm>
                            <a:off x="967676" y="285569"/>
                            <a:ext cx="524510" cy="128270"/>
                          </a:xfrm>
                          <a:prstGeom prst="rect">
                            <a:avLst/>
                          </a:prstGeom>
                        </wps:spPr>
                        <wps:txbx>
                          <w:txbxContent>
                            <w:p>
                              <w:pPr>
                                <w:spacing w:line="202" w:lineRule="exact" w:before="0"/>
                                <w:ind w:left="0" w:right="0" w:firstLine="0"/>
                                <w:jc w:val="left"/>
                                <w:rPr>
                                  <w:sz w:val="18"/>
                                </w:rPr>
                              </w:pPr>
                              <w:r>
                                <w:rPr>
                                  <w:spacing w:val="-2"/>
                                  <w:sz w:val="18"/>
                                </w:rPr>
                                <w:t>1,070,741</w:t>
                              </w:r>
                            </w:p>
                          </w:txbxContent>
                        </wps:txbx>
                        <wps:bodyPr wrap="square" lIns="0" tIns="0" rIns="0" bIns="0" rtlCol="0">
                          <a:noAutofit/>
                        </wps:bodyPr>
                      </wps:wsp>
                      <wps:wsp>
                        <wps:cNvPr id="220" name="Textbox 220"/>
                        <wps:cNvSpPr txBox="1"/>
                        <wps:spPr>
                          <a:xfrm>
                            <a:off x="4622228" y="77692"/>
                            <a:ext cx="179705" cy="128270"/>
                          </a:xfrm>
                          <a:prstGeom prst="rect">
                            <a:avLst/>
                          </a:prstGeom>
                        </wps:spPr>
                        <wps:txbx>
                          <w:txbxContent>
                            <w:p>
                              <w:pPr>
                                <w:spacing w:line="201" w:lineRule="exact" w:before="0"/>
                                <w:ind w:left="0" w:right="0" w:firstLine="0"/>
                                <w:jc w:val="left"/>
                                <w:rPr>
                                  <w:sz w:val="18"/>
                                </w:rPr>
                              </w:pPr>
                              <w:r>
                                <w:rPr>
                                  <w:spacing w:val="-5"/>
                                  <w:sz w:val="18"/>
                                </w:rPr>
                                <w:t>0%</w:t>
                              </w:r>
                            </w:p>
                          </w:txbxContent>
                        </wps:txbx>
                        <wps:bodyPr wrap="square" lIns="0" tIns="0" rIns="0" bIns="0" rtlCol="0">
                          <a:noAutofit/>
                        </wps:bodyPr>
                      </wps:wsp>
                      <wps:wsp>
                        <wps:cNvPr id="221" name="Textbox 221"/>
                        <wps:cNvSpPr txBox="1"/>
                        <wps:spPr>
                          <a:xfrm>
                            <a:off x="119468" y="77692"/>
                            <a:ext cx="521334" cy="128270"/>
                          </a:xfrm>
                          <a:prstGeom prst="rect">
                            <a:avLst/>
                          </a:prstGeom>
                        </wps:spPr>
                        <wps:txbx>
                          <w:txbxContent>
                            <w:p>
                              <w:pPr>
                                <w:spacing w:line="201" w:lineRule="exact" w:before="0"/>
                                <w:ind w:left="0" w:right="0" w:firstLine="0"/>
                                <w:jc w:val="left"/>
                                <w:rPr>
                                  <w:sz w:val="18"/>
                                </w:rPr>
                              </w:pPr>
                              <w:r>
                                <w:rPr>
                                  <w:spacing w:val="-2"/>
                                  <w:sz w:val="18"/>
                                </w:rPr>
                                <w:t>1,200,000</w:t>
                              </w:r>
                            </w:p>
                          </w:txbxContent>
                        </wps:txbx>
                        <wps:bodyPr wrap="square" lIns="0" tIns="0" rIns="0" bIns="0" rtlCol="0">
                          <a:noAutofit/>
                        </wps:bodyPr>
                      </wps:wsp>
                      <wps:wsp>
                        <wps:cNvPr id="222" name="Textbox 222"/>
                        <wps:cNvSpPr txBox="1"/>
                        <wps:spPr>
                          <a:xfrm>
                            <a:off x="2404300" y="1779270"/>
                            <a:ext cx="521334" cy="169545"/>
                          </a:xfrm>
                          <a:prstGeom prst="rect">
                            <a:avLst/>
                          </a:prstGeom>
                          <a:ln w="19050">
                            <a:solidFill>
                              <a:srgbClr val="000000"/>
                            </a:solidFill>
                            <a:prstDash val="solid"/>
                          </a:ln>
                        </wps:spPr>
                        <wps:txbx>
                          <w:txbxContent>
                            <w:p>
                              <w:pPr>
                                <w:spacing w:before="15"/>
                                <w:ind w:left="94" w:right="0" w:firstLine="0"/>
                                <w:jc w:val="left"/>
                                <w:rPr>
                                  <w:sz w:val="18"/>
                                </w:rPr>
                              </w:pPr>
                              <w:r>
                                <w:rPr>
                                  <w:spacing w:val="-2"/>
                                  <w:sz w:val="18"/>
                                </w:rPr>
                                <w:t>165,897</w:t>
                              </w:r>
                            </w:p>
                          </w:txbxContent>
                        </wps:txbx>
                        <wps:bodyPr wrap="square" lIns="0" tIns="0" rIns="0" bIns="0" rtlCol="0">
                          <a:noAutofit/>
                        </wps:bodyPr>
                      </wps:wsp>
                      <wps:wsp>
                        <wps:cNvPr id="223" name="Textbox 223"/>
                        <wps:cNvSpPr txBox="1"/>
                        <wps:spPr>
                          <a:xfrm>
                            <a:off x="2602928" y="1446911"/>
                            <a:ext cx="511809" cy="150495"/>
                          </a:xfrm>
                          <a:prstGeom prst="rect">
                            <a:avLst/>
                          </a:prstGeom>
                        </wps:spPr>
                        <wps:txbx>
                          <w:txbxContent>
                            <w:p>
                              <w:pPr>
                                <w:spacing w:before="15"/>
                                <w:ind w:left="109" w:right="0" w:firstLine="0"/>
                                <w:jc w:val="left"/>
                                <w:rPr>
                                  <w:sz w:val="18"/>
                                </w:rPr>
                              </w:pPr>
                              <w:r>
                                <w:rPr>
                                  <w:spacing w:val="-2"/>
                                  <w:sz w:val="18"/>
                                </w:rPr>
                                <w:t>269,036</w:t>
                              </w:r>
                            </w:p>
                          </w:txbxContent>
                        </wps:txbx>
                        <wps:bodyPr wrap="square" lIns="0" tIns="0" rIns="0" bIns="0" rtlCol="0">
                          <a:noAutofit/>
                        </wps:bodyPr>
                      </wps:wsp>
                    </wpg:wgp>
                  </a:graphicData>
                </a:graphic>
              </wp:anchor>
            </w:drawing>
          </mc:Choice>
          <mc:Fallback>
            <w:pict>
              <v:group style="position:absolute;margin-left:120.175003pt;margin-top:12.204297pt;width:396.75pt;height:254.55pt;mso-position-horizontal-relative:page;mso-position-vertical-relative:paragraph;z-index:15748608" id="docshapegroup133" coordorigin="2404,244" coordsize="7935,5091">
                <v:shape style="position:absolute;left:3596;top:471;width:5930;height:2483" id="docshape134" coordorigin="3597,472" coordsize="5930,2483" path="m3597,2954l9526,2954m3597,2458l9526,2458m3597,1961l4049,1961m4869,1961l9526,1961m3597,1464l9526,1464m3597,967l9526,967m3597,472l9526,472e" filled="false" stroked="true" strokeweight=".75pt" strokecolor="#d9d9d9">
                  <v:path arrowok="t"/>
                  <v:stroke dashstyle="solid"/>
                </v:shape>
                <v:shape style="position:absolute;left:6410;top:471;width:3039;height:2483" id="docshape135" coordorigin="6410,472" coordsize="3039,2483" path="m6482,472l6410,472,6410,2568,6482,2568,6482,472xm6710,472l6638,472,6638,1915,6710,1915,6710,472xm9221,472l9149,472,9149,2954,9221,2954,9221,472xm9449,472l9377,472,9377,2954,9449,2954,9449,472xe" filled="true" fillcolor="#ec7c30" stroked="false">
                  <v:path arrowok="t"/>
                  <v:fill type="solid"/>
                </v:shape>
                <v:shape style="position:absolute;left:3596;top:3450;width:5930;height:1339" id="docshape136" coordorigin="3597,3450" coordsize="5930,1339" path="m3597,3450l9526,3450m3597,3450l3597,4464m6334,3450l6334,4464m9070,3450l9070,4464m9526,3450l9526,4464m3597,4464l3597,4789m6334,4464l6334,4789m9070,4464l9070,4789m9526,4464l9526,4789e" filled="false" stroked="true" strokeweight=".75pt" strokecolor="#d9d9d9">
                  <v:path arrowok="t"/>
                  <v:stroke dashstyle="solid"/>
                </v:shape>
                <v:line style="position:absolute" from="3711,792" to="3939,1853" stroked="true" strokeweight="2.25pt" strokecolor="#5b9bd4">
                  <v:stroke dashstyle="solid"/>
                </v:line>
                <v:shape style="position:absolute;left:3938;top:1852;width:5474;height:1598" id="docshape137" coordorigin="3938,1853" coordsize="5474,1598" path="m3938,1853l4166,3379,4394,2892,4622,2810,4850,2813,5078,3041,5306,3007,5534,3230,5762,2609,5990,2952,6218,2352,6446,3038,6674,2782,6902,3286,7130,3180,7358,2741,7586,3420,7814,3252,8045,2875,8273,2664,8501,2633,8729,3434,8957,2503,9185,3450,9412,3450e" filled="false" stroked="true" strokeweight="2.25pt" strokecolor="#5b9bd4">
                  <v:path arrowok="t"/>
                  <v:stroke dashstyle="solid"/>
                </v:shape>
                <v:shape style="position:absolute;left:6136;top:1312;width:3276;height:2138" id="docshape138" coordorigin="6136,1312" coordsize="3276,2138" path="m6447,2569l6136,1359m6675,1916l7029,1537m9412,2954l9214,1312,9124,1312m9184,3450l9288,3278,9379,3278e" filled="false" stroked="true" strokeweight=".75pt" strokecolor="#a6a6a6">
                  <v:path arrowok="t"/>
                  <v:stroke dashstyle="solid"/>
                </v:shape>
                <v:rect style="position:absolute;left:3820;top:659;width:971;height:267" id="docshape139" filled="true" fillcolor="#ffffff" stroked="false">
                  <v:fill type="solid"/>
                </v:rect>
                <v:rect style="position:absolute;left:3820;top:659;width:971;height:267" id="docshape140" filled="false" stroked="true" strokeweight="1.5pt" strokecolor="#000000">
                  <v:stroke dashstyle="solid"/>
                </v:rect>
                <v:rect style="position:absolute;left:4048;top:1719;width:821;height:267" id="docshape141" filled="true" fillcolor="#ffffff" stroked="false">
                  <v:fill type="solid"/>
                </v:rect>
                <v:rect style="position:absolute;left:4048;top:1719;width:821;height:267" id="docshape142" filled="false" stroked="true" strokeweight="1.5pt" strokecolor="#000000">
                  <v:stroke dashstyle="solid"/>
                </v:rect>
                <v:shape style="position:absolute;left:6189;top:2507;width:1134;height:806" id="docshape143" coordorigin="6190,2508" coordsize="1134,806" path="m7010,3046l6190,3046,6190,3313,7010,3313,7010,3046xm7323,2508l6503,2508,6503,2775,7323,2775,7323,2508xe" filled="true" fillcolor="#ffffff" stroked="false">
                  <v:path arrowok="t"/>
                  <v:fill type="solid"/>
                </v:shape>
                <v:rect style="position:absolute;left:6502;top:2507;width:821;height:267" id="docshape144" filled="false" stroked="true" strokeweight="1.5pt" strokecolor="#000000">
                  <v:stroke dashstyle="solid"/>
                </v:rect>
                <v:rect style="position:absolute;left:9378;top:3137;width:216;height:280" id="docshape145" filled="true" fillcolor="#ffffff" stroked="false">
                  <v:fill type="solid"/>
                </v:rect>
                <v:rect style="position:absolute;left:9378;top:3137;width:216;height:280" id="docshape146" filled="false" stroked="true" strokeweight="1.5pt" strokecolor="#000000">
                  <v:stroke dashstyle="solid"/>
                </v:rect>
                <v:rect style="position:absolute;left:3803;top:5002;width:384;height:91" id="docshape147" filled="true" fillcolor="#ec7c30" stroked="false">
                  <v:fill type="solid"/>
                </v:rect>
                <v:line style="position:absolute" from="6463,5048" to="6847,5048" stroked="true" strokeweight="2.25pt" strokecolor="#5b9bd4">
                  <v:stroke dashstyle="solid"/>
                </v:line>
                <v:rect style="position:absolute;left:2411;top:251;width:7920;height:5076" id="docshape148" filled="false" stroked="true" strokeweight=".75pt" strokecolor="#d9d9d9">
                  <v:stroke dashstyle="solid"/>
                </v:rect>
                <v:shape style="position:absolute;left:2741;top:2352;width:670;height:202" type="#_x0000_t202" id="docshape149" filled="false" stroked="false">
                  <v:textbox inset="0,0,0,0">
                    <w:txbxContent>
                      <w:p>
                        <w:pPr>
                          <w:spacing w:line="201" w:lineRule="exact" w:before="0"/>
                          <w:ind w:left="0" w:right="0" w:firstLine="0"/>
                          <w:jc w:val="left"/>
                          <w:rPr>
                            <w:sz w:val="18"/>
                          </w:rPr>
                        </w:pPr>
                        <w:r>
                          <w:rPr>
                            <w:spacing w:val="-2"/>
                            <w:sz w:val="18"/>
                          </w:rPr>
                          <w:t>400,000</w:t>
                        </w:r>
                      </w:p>
                    </w:txbxContent>
                  </v:textbox>
                  <w10:wrap type="none"/>
                </v:shape>
                <v:shape style="position:absolute;left:6889;top:4943;width:2141;height:202" type="#_x0000_t202" id="docshape150" filled="false" stroked="false">
                  <v:textbox inset="0,0,0,0">
                    <w:txbxContent>
                      <w:p>
                        <w:pPr>
                          <w:spacing w:line="201" w:lineRule="exact" w:before="0"/>
                          <w:ind w:left="0" w:right="0" w:firstLine="0"/>
                          <w:jc w:val="left"/>
                          <w:rPr>
                            <w:sz w:val="18"/>
                          </w:rPr>
                        </w:pPr>
                        <w:r>
                          <w:rPr>
                            <w:sz w:val="18"/>
                          </w:rPr>
                          <w:t>145-CEBAF</w:t>
                        </w:r>
                        <w:r>
                          <w:rPr>
                            <w:spacing w:val="-2"/>
                            <w:sz w:val="18"/>
                          </w:rPr>
                          <w:t> </w:t>
                        </w:r>
                        <w:r>
                          <w:rPr>
                            <w:sz w:val="18"/>
                          </w:rPr>
                          <w:t>SAN</w:t>
                        </w:r>
                        <w:r>
                          <w:rPr>
                            <w:spacing w:val="-2"/>
                            <w:sz w:val="18"/>
                          </w:rPr>
                          <w:t> MIGUEL</w:t>
                        </w:r>
                      </w:p>
                    </w:txbxContent>
                  </v:textbox>
                  <w10:wrap type="none"/>
                </v:shape>
                <v:shape style="position:absolute;left:9682;top:2352;width:440;height:202" type="#_x0000_t202" id="docshape151" filled="false" stroked="false">
                  <v:textbox inset="0,0,0,0">
                    <w:txbxContent>
                      <w:p>
                        <w:pPr>
                          <w:spacing w:line="201" w:lineRule="exact" w:before="0"/>
                          <w:ind w:left="0" w:right="0" w:firstLine="0"/>
                          <w:jc w:val="left"/>
                          <w:rPr>
                            <w:sz w:val="18"/>
                          </w:rPr>
                        </w:pPr>
                        <w:r>
                          <w:rPr>
                            <w:spacing w:val="-2"/>
                            <w:sz w:val="18"/>
                          </w:rPr>
                          <w:t>-</w:t>
                        </w:r>
                        <w:r>
                          <w:rPr>
                            <w:spacing w:val="-5"/>
                            <w:sz w:val="18"/>
                          </w:rPr>
                          <w:t>80%</w:t>
                        </w:r>
                      </w:p>
                    </w:txbxContent>
                  </v:textbox>
                  <w10:wrap type="none"/>
                </v:shape>
                <v:shape style="position:absolute;left:2741;top:2849;width:670;height:202" type="#_x0000_t202" id="docshape152" filled="false" stroked="false">
                  <v:textbox inset="0,0,0,0">
                    <w:txbxContent>
                      <w:p>
                        <w:pPr>
                          <w:spacing w:line="201" w:lineRule="exact" w:before="0"/>
                          <w:ind w:left="0" w:right="0" w:firstLine="0"/>
                          <w:jc w:val="left"/>
                          <w:rPr>
                            <w:sz w:val="18"/>
                          </w:rPr>
                        </w:pPr>
                        <w:r>
                          <w:rPr>
                            <w:spacing w:val="-2"/>
                            <w:sz w:val="18"/>
                          </w:rPr>
                          <w:t>200,000</w:t>
                        </w:r>
                      </w:p>
                    </w:txbxContent>
                  </v:textbox>
                  <w10:wrap type="none"/>
                </v:shape>
                <v:shape style="position:absolute;left:9682;top:2849;width:542;height:202" type="#_x0000_t202" id="docshape153" filled="false" stroked="false">
                  <v:textbox inset="0,0,0,0">
                    <w:txbxContent>
                      <w:p>
                        <w:pPr>
                          <w:spacing w:line="201" w:lineRule="exact" w:before="0"/>
                          <w:ind w:left="0" w:right="0" w:firstLine="0"/>
                          <w:jc w:val="left"/>
                          <w:rPr>
                            <w:sz w:val="18"/>
                          </w:rPr>
                        </w:pPr>
                        <w:r>
                          <w:rPr>
                            <w:spacing w:val="-2"/>
                            <w:sz w:val="18"/>
                          </w:rPr>
                          <w:t>-</w:t>
                        </w:r>
                        <w:r>
                          <w:rPr>
                            <w:spacing w:val="-4"/>
                            <w:sz w:val="18"/>
                          </w:rPr>
                          <w:t>100%</w:t>
                        </w:r>
                      </w:p>
                    </w:txbxContent>
                  </v:textbox>
                  <w10:wrap type="none"/>
                </v:shape>
                <v:shape style="position:absolute;left:9481;top:3203;width:76;height:180" type="#_x0000_t202" id="docshape154" filled="false" stroked="false">
                  <v:textbox inset="0,0,0,0">
                    <w:txbxContent>
                      <w:p>
                        <w:pPr>
                          <w:spacing w:line="180" w:lineRule="exact" w:before="0"/>
                          <w:ind w:left="0" w:right="0" w:firstLine="0"/>
                          <w:jc w:val="left"/>
                          <w:rPr>
                            <w:rFonts w:ascii="Calibri"/>
                            <w:sz w:val="18"/>
                          </w:rPr>
                        </w:pPr>
                        <w:r>
                          <w:rPr>
                            <w:rFonts w:ascii="Calibri"/>
                            <w:spacing w:val="-10"/>
                            <w:sz w:val="18"/>
                          </w:rPr>
                          <w:t>-</w:t>
                        </w:r>
                      </w:p>
                    </w:txbxContent>
                  </v:textbox>
                  <w10:wrap type="none"/>
                </v:shape>
                <v:shape style="position:absolute;left:3232;top:3345;width:80;height:202" type="#_x0000_t202" id="docshape155" filled="false" stroked="false">
                  <v:textbox inset="0,0,0,0">
                    <w:txbxContent>
                      <w:p>
                        <w:pPr>
                          <w:spacing w:line="201" w:lineRule="exact" w:before="0"/>
                          <w:ind w:left="0" w:right="0" w:firstLine="0"/>
                          <w:jc w:val="left"/>
                          <w:rPr>
                            <w:sz w:val="18"/>
                          </w:rPr>
                        </w:pPr>
                        <w:r>
                          <w:rPr>
                            <w:spacing w:val="-10"/>
                            <w:sz w:val="18"/>
                          </w:rPr>
                          <w:t>-</w:t>
                        </w:r>
                      </w:p>
                    </w:txbxContent>
                  </v:textbox>
                  <w10:wrap type="none"/>
                </v:shape>
                <v:shape style="position:absolute;left:9682;top:3345;width:542;height:202" type="#_x0000_t202" id="docshape156" filled="false" stroked="false">
                  <v:textbox inset="0,0,0,0">
                    <w:txbxContent>
                      <w:p>
                        <w:pPr>
                          <w:spacing w:line="201" w:lineRule="exact" w:before="0"/>
                          <w:ind w:left="0" w:right="0" w:firstLine="0"/>
                          <w:jc w:val="left"/>
                          <w:rPr>
                            <w:sz w:val="18"/>
                          </w:rPr>
                        </w:pPr>
                        <w:r>
                          <w:rPr>
                            <w:spacing w:val="-2"/>
                            <w:sz w:val="18"/>
                          </w:rPr>
                          <w:t>-</w:t>
                        </w:r>
                        <w:r>
                          <w:rPr>
                            <w:spacing w:val="-4"/>
                            <w:sz w:val="18"/>
                          </w:rPr>
                          <w:t>120%</w:t>
                        </w:r>
                      </w:p>
                    </w:txbxContent>
                  </v:textbox>
                  <w10:wrap type="none"/>
                </v:shape>
                <v:shape style="position:absolute;left:4765;top:4574;width:420;height:202" type="#_x0000_t202" id="docshape157" filled="false" stroked="false">
                  <v:textbox inset="0,0,0,0">
                    <w:txbxContent>
                      <w:p>
                        <w:pPr>
                          <w:spacing w:line="201" w:lineRule="exact" w:before="0"/>
                          <w:ind w:left="0" w:right="0" w:firstLine="0"/>
                          <w:jc w:val="left"/>
                          <w:rPr>
                            <w:sz w:val="18"/>
                          </w:rPr>
                        </w:pPr>
                        <w:r>
                          <w:rPr>
                            <w:spacing w:val="-4"/>
                            <w:sz w:val="18"/>
                          </w:rPr>
                          <w:t>2024</w:t>
                        </w:r>
                      </w:p>
                    </w:txbxContent>
                  </v:textbox>
                  <w10:wrap type="none"/>
                </v:shape>
                <v:shape style="position:absolute;left:7502;top:4574;width:420;height:202" type="#_x0000_t202" id="docshape158" filled="false" stroked="false">
                  <v:textbox inset="0,0,0,0">
                    <w:txbxContent>
                      <w:p>
                        <w:pPr>
                          <w:spacing w:line="201" w:lineRule="exact" w:before="0"/>
                          <w:ind w:left="0" w:right="0" w:firstLine="0"/>
                          <w:jc w:val="left"/>
                          <w:rPr>
                            <w:sz w:val="18"/>
                          </w:rPr>
                        </w:pPr>
                        <w:r>
                          <w:rPr>
                            <w:spacing w:val="-4"/>
                            <w:sz w:val="18"/>
                          </w:rPr>
                          <w:t>2025</w:t>
                        </w:r>
                      </w:p>
                    </w:txbxContent>
                  </v:textbox>
                  <w10:wrap type="none"/>
                </v:shape>
                <v:shape style="position:absolute;left:9099;top:4574;width:422;height:202" type="#_x0000_t202" id="docshape159" filled="false" stroked="false">
                  <v:textbox inset="0,0,0,0">
                    <w:txbxContent>
                      <w:p>
                        <w:pPr>
                          <w:spacing w:line="201" w:lineRule="exact" w:before="0"/>
                          <w:ind w:left="0" w:right="0" w:firstLine="0"/>
                          <w:jc w:val="left"/>
                          <w:rPr>
                            <w:sz w:val="18"/>
                          </w:rPr>
                        </w:pPr>
                        <w:r>
                          <w:rPr>
                            <w:spacing w:val="-4"/>
                            <w:sz w:val="18"/>
                          </w:rPr>
                          <w:t>2026</w:t>
                        </w:r>
                      </w:p>
                    </w:txbxContent>
                  </v:textbox>
                  <w10:wrap type="none"/>
                </v:shape>
                <v:shape style="position:absolute;left:4229;top:4943;width:1820;height:202" type="#_x0000_t202" id="docshape160" filled="false" stroked="false">
                  <v:textbox inset="0,0,0,0">
                    <w:txbxContent>
                      <w:p>
                        <w:pPr>
                          <w:spacing w:line="201" w:lineRule="exact" w:before="0"/>
                          <w:ind w:left="0" w:right="0" w:firstLine="0"/>
                          <w:jc w:val="left"/>
                          <w:rPr>
                            <w:sz w:val="18"/>
                          </w:rPr>
                        </w:pPr>
                        <w:r>
                          <w:rPr>
                            <w:sz w:val="18"/>
                          </w:rPr>
                          <w:t>Variación</w:t>
                        </w:r>
                        <w:r>
                          <w:rPr>
                            <w:spacing w:val="-7"/>
                            <w:sz w:val="18"/>
                          </w:rPr>
                          <w:t> </w:t>
                        </w:r>
                        <w:r>
                          <w:rPr>
                            <w:sz w:val="18"/>
                          </w:rPr>
                          <w:t>interanual</w:t>
                        </w:r>
                        <w:r>
                          <w:rPr>
                            <w:spacing w:val="-6"/>
                            <w:sz w:val="18"/>
                          </w:rPr>
                          <w:t> </w:t>
                        </w:r>
                        <w:r>
                          <w:rPr>
                            <w:spacing w:val="-10"/>
                            <w:sz w:val="18"/>
                          </w:rPr>
                          <w:t>%</w:t>
                        </w:r>
                      </w:p>
                    </w:txbxContent>
                  </v:textbox>
                  <w10:wrap type="none"/>
                </v:shape>
                <v:shape style="position:absolute;left:9682;top:1855;width:440;height:202" type="#_x0000_t202" id="docshape161" filled="false" stroked="false">
                  <v:textbox inset="0,0,0,0">
                    <w:txbxContent>
                      <w:p>
                        <w:pPr>
                          <w:spacing w:line="201" w:lineRule="exact" w:before="0"/>
                          <w:ind w:left="0" w:right="0" w:firstLine="0"/>
                          <w:jc w:val="left"/>
                          <w:rPr>
                            <w:sz w:val="18"/>
                          </w:rPr>
                        </w:pPr>
                        <w:r>
                          <w:rPr>
                            <w:spacing w:val="-2"/>
                            <w:sz w:val="18"/>
                          </w:rPr>
                          <w:t>-</w:t>
                        </w:r>
                        <w:r>
                          <w:rPr>
                            <w:spacing w:val="-5"/>
                            <w:sz w:val="18"/>
                          </w:rPr>
                          <w:t>60%</w:t>
                        </w:r>
                      </w:p>
                    </w:txbxContent>
                  </v:textbox>
                  <w10:wrap type="none"/>
                </v:shape>
                <v:shape style="position:absolute;left:2741;top:1754;width:2090;height:303" type="#_x0000_t202" id="docshape162" filled="false" stroked="false">
                  <v:textbox inset="0,0,0,0">
                    <w:txbxContent>
                      <w:p>
                        <w:pPr>
                          <w:tabs>
                            <w:tab w:pos="1415" w:val="left" w:leader="none"/>
                          </w:tabs>
                          <w:spacing w:line="230" w:lineRule="auto" w:before="0"/>
                          <w:ind w:left="0" w:right="0" w:firstLine="0"/>
                          <w:jc w:val="left"/>
                          <w:rPr>
                            <w:sz w:val="18"/>
                          </w:rPr>
                        </w:pPr>
                        <w:r>
                          <w:rPr>
                            <w:spacing w:val="-2"/>
                            <w:position w:val="-9"/>
                            <w:sz w:val="18"/>
                          </w:rPr>
                          <w:t>600,000</w:t>
                        </w:r>
                        <w:r>
                          <w:rPr>
                            <w:position w:val="-9"/>
                            <w:sz w:val="18"/>
                          </w:rPr>
                          <w:tab/>
                        </w:r>
                        <w:r>
                          <w:rPr>
                            <w:spacing w:val="-2"/>
                            <w:sz w:val="18"/>
                          </w:rPr>
                          <w:t>643,418</w:t>
                        </w:r>
                      </w:p>
                    </w:txbxContent>
                  </v:textbox>
                  <w10:wrap type="none"/>
                </v:shape>
                <v:shape style="position:absolute;left:9682;top:1359;width:440;height:202" type="#_x0000_t202" id="docshape163" filled="false" stroked="false">
                  <v:textbox inset="0,0,0,0">
                    <w:txbxContent>
                      <w:p>
                        <w:pPr>
                          <w:spacing w:line="201" w:lineRule="exact" w:before="0"/>
                          <w:ind w:left="0" w:right="0" w:firstLine="0"/>
                          <w:jc w:val="left"/>
                          <w:rPr>
                            <w:sz w:val="18"/>
                          </w:rPr>
                        </w:pPr>
                        <w:r>
                          <w:rPr>
                            <w:spacing w:val="-2"/>
                            <w:sz w:val="18"/>
                          </w:rPr>
                          <w:t>-</w:t>
                        </w:r>
                        <w:r>
                          <w:rPr>
                            <w:spacing w:val="-5"/>
                            <w:sz w:val="18"/>
                          </w:rPr>
                          <w:t>40%</w:t>
                        </w:r>
                      </w:p>
                    </w:txbxContent>
                  </v:textbox>
                  <w10:wrap type="none"/>
                </v:shape>
                <v:shape style="position:absolute;left:8546;top:1214;width:584;height:484" type="#_x0000_t202" id="docshape164" filled="false" stroked="false">
                  <v:textbox inset="0,0,0,0">
                    <w:txbxContent>
                      <w:p>
                        <w:pPr>
                          <w:spacing w:line="201" w:lineRule="exact" w:before="0"/>
                          <w:ind w:left="0" w:right="0" w:firstLine="0"/>
                          <w:jc w:val="left"/>
                          <w:rPr>
                            <w:rFonts w:ascii="Arial"/>
                            <w:b/>
                            <w:sz w:val="18"/>
                          </w:rPr>
                        </w:pPr>
                        <w:r>
                          <w:rPr>
                            <w:rFonts w:ascii="Arial"/>
                            <w:b/>
                            <w:color w:val="FF0000"/>
                            <w:sz w:val="18"/>
                          </w:rPr>
                          <w:t>-</w:t>
                        </w:r>
                        <w:r>
                          <w:rPr>
                            <w:rFonts w:ascii="Arial"/>
                            <w:b/>
                            <w:color w:val="FF0000"/>
                            <w:spacing w:val="-4"/>
                            <w:sz w:val="18"/>
                          </w:rPr>
                          <w:t>100%</w:t>
                        </w:r>
                      </w:p>
                      <w:p>
                        <w:pPr>
                          <w:spacing w:before="75"/>
                          <w:ind w:left="40" w:right="0" w:firstLine="0"/>
                          <w:jc w:val="left"/>
                          <w:rPr>
                            <w:rFonts w:ascii="Arial"/>
                            <w:b/>
                            <w:sz w:val="18"/>
                          </w:rPr>
                        </w:pPr>
                        <w:r>
                          <w:rPr>
                            <w:rFonts w:ascii="Arial"/>
                            <w:b/>
                            <w:color w:val="FF0000"/>
                            <w:sz w:val="18"/>
                          </w:rPr>
                          <w:t>-</w:t>
                        </w:r>
                        <w:r>
                          <w:rPr>
                            <w:rFonts w:ascii="Arial"/>
                            <w:b/>
                            <w:color w:val="FF0000"/>
                            <w:spacing w:val="-4"/>
                            <w:sz w:val="18"/>
                          </w:rPr>
                          <w:t>100%</w:t>
                        </w:r>
                      </w:p>
                    </w:txbxContent>
                  </v:textbox>
                  <w10:wrap type="none"/>
                </v:shape>
                <v:shape style="position:absolute;left:6821;top:1305;width:443;height:202" type="#_x0000_t202" id="docshape165" filled="false" stroked="false">
                  <v:textbox inset="0,0,0,0">
                    <w:txbxContent>
                      <w:p>
                        <w:pPr>
                          <w:spacing w:line="201" w:lineRule="exact" w:before="0"/>
                          <w:ind w:left="0" w:right="0" w:firstLine="0"/>
                          <w:jc w:val="left"/>
                          <w:rPr>
                            <w:rFonts w:ascii="Arial"/>
                            <w:b/>
                            <w:sz w:val="18"/>
                          </w:rPr>
                        </w:pPr>
                        <w:r>
                          <w:rPr>
                            <w:rFonts w:ascii="Arial"/>
                            <w:b/>
                            <w:color w:val="FF0000"/>
                            <w:sz w:val="18"/>
                          </w:rPr>
                          <w:t>-</w:t>
                        </w:r>
                        <w:r>
                          <w:rPr>
                            <w:rFonts w:ascii="Arial"/>
                            <w:b/>
                            <w:color w:val="FF0000"/>
                            <w:spacing w:val="-5"/>
                            <w:sz w:val="18"/>
                          </w:rPr>
                          <w:t>58%</w:t>
                        </w:r>
                      </w:p>
                    </w:txbxContent>
                  </v:textbox>
                  <w10:wrap type="none"/>
                </v:shape>
                <v:shape style="position:absolute;left:2741;top:1359;width:670;height:202" type="#_x0000_t202" id="docshape166" filled="false" stroked="false">
                  <v:textbox inset="0,0,0,0">
                    <w:txbxContent>
                      <w:p>
                        <w:pPr>
                          <w:spacing w:line="201" w:lineRule="exact" w:before="0"/>
                          <w:ind w:left="0" w:right="0" w:firstLine="0"/>
                          <w:jc w:val="left"/>
                          <w:rPr>
                            <w:sz w:val="18"/>
                          </w:rPr>
                        </w:pPr>
                        <w:r>
                          <w:rPr>
                            <w:spacing w:val="-2"/>
                            <w:sz w:val="18"/>
                          </w:rPr>
                          <w:t>800,000</w:t>
                        </w:r>
                      </w:p>
                    </w:txbxContent>
                  </v:textbox>
                  <w10:wrap type="none"/>
                </v:shape>
                <v:shape style="position:absolute;left:5929;top:1127;width:443;height:202" type="#_x0000_t202" id="docshape167" filled="false" stroked="false">
                  <v:textbox inset="0,0,0,0">
                    <w:txbxContent>
                      <w:p>
                        <w:pPr>
                          <w:spacing w:line="202" w:lineRule="exact" w:before="0"/>
                          <w:ind w:left="0" w:right="0" w:firstLine="0"/>
                          <w:jc w:val="left"/>
                          <w:rPr>
                            <w:rFonts w:ascii="Arial"/>
                            <w:b/>
                            <w:sz w:val="18"/>
                          </w:rPr>
                        </w:pPr>
                        <w:r>
                          <w:rPr>
                            <w:rFonts w:ascii="Arial"/>
                            <w:b/>
                            <w:color w:val="FF0000"/>
                            <w:spacing w:val="-2"/>
                            <w:sz w:val="18"/>
                          </w:rPr>
                          <w:t>-</w:t>
                        </w:r>
                        <w:r>
                          <w:rPr>
                            <w:rFonts w:ascii="Arial"/>
                            <w:b/>
                            <w:color w:val="FF0000"/>
                            <w:spacing w:val="-5"/>
                            <w:sz w:val="18"/>
                          </w:rPr>
                          <w:t>85%</w:t>
                        </w:r>
                      </w:p>
                    </w:txbxContent>
                  </v:textbox>
                  <w10:wrap type="none"/>
                </v:shape>
                <v:shape style="position:absolute;left:9682;top:862;width:441;height:202" type="#_x0000_t202" id="docshape168" filled="false" stroked="false">
                  <v:textbox inset="0,0,0,0">
                    <w:txbxContent>
                      <w:p>
                        <w:pPr>
                          <w:spacing w:line="202" w:lineRule="exact" w:before="0"/>
                          <w:ind w:left="0" w:right="0" w:firstLine="0"/>
                          <w:jc w:val="left"/>
                          <w:rPr>
                            <w:sz w:val="18"/>
                          </w:rPr>
                        </w:pPr>
                        <w:r>
                          <w:rPr>
                            <w:spacing w:val="-2"/>
                            <w:sz w:val="18"/>
                          </w:rPr>
                          <w:t>-</w:t>
                        </w:r>
                        <w:r>
                          <w:rPr>
                            <w:spacing w:val="-5"/>
                            <w:sz w:val="18"/>
                          </w:rPr>
                          <w:t>20%</w:t>
                        </w:r>
                      </w:p>
                    </w:txbxContent>
                  </v:textbox>
                  <w10:wrap type="none"/>
                </v:shape>
                <v:shape style="position:absolute;left:2591;top:862;width:821;height:202" type="#_x0000_t202" id="docshape169" filled="false" stroked="false">
                  <v:textbox inset="0,0,0,0">
                    <w:txbxContent>
                      <w:p>
                        <w:pPr>
                          <w:spacing w:line="202" w:lineRule="exact" w:before="0"/>
                          <w:ind w:left="0" w:right="0" w:firstLine="0"/>
                          <w:jc w:val="left"/>
                          <w:rPr>
                            <w:sz w:val="18"/>
                          </w:rPr>
                        </w:pPr>
                        <w:r>
                          <w:rPr>
                            <w:spacing w:val="-2"/>
                            <w:sz w:val="18"/>
                          </w:rPr>
                          <w:t>1,000,000</w:t>
                        </w:r>
                      </w:p>
                    </w:txbxContent>
                  </v:textbox>
                  <w10:wrap type="none"/>
                </v:shape>
                <v:shape style="position:absolute;left:3927;top:693;width:826;height:202" type="#_x0000_t202" id="docshape170" filled="false" stroked="false">
                  <v:textbox inset="0,0,0,0">
                    <w:txbxContent>
                      <w:p>
                        <w:pPr>
                          <w:spacing w:line="202" w:lineRule="exact" w:before="0"/>
                          <w:ind w:left="0" w:right="0" w:firstLine="0"/>
                          <w:jc w:val="left"/>
                          <w:rPr>
                            <w:sz w:val="18"/>
                          </w:rPr>
                        </w:pPr>
                        <w:r>
                          <w:rPr>
                            <w:spacing w:val="-2"/>
                            <w:sz w:val="18"/>
                          </w:rPr>
                          <w:t>1,070,741</w:t>
                        </w:r>
                      </w:p>
                    </w:txbxContent>
                  </v:textbox>
                  <w10:wrap type="none"/>
                </v:shape>
                <v:shape style="position:absolute;left:9682;top:366;width:283;height:202" type="#_x0000_t202" id="docshape171" filled="false" stroked="false">
                  <v:textbox inset="0,0,0,0">
                    <w:txbxContent>
                      <w:p>
                        <w:pPr>
                          <w:spacing w:line="201" w:lineRule="exact" w:before="0"/>
                          <w:ind w:left="0" w:right="0" w:firstLine="0"/>
                          <w:jc w:val="left"/>
                          <w:rPr>
                            <w:sz w:val="18"/>
                          </w:rPr>
                        </w:pPr>
                        <w:r>
                          <w:rPr>
                            <w:spacing w:val="-5"/>
                            <w:sz w:val="18"/>
                          </w:rPr>
                          <w:t>0%</w:t>
                        </w:r>
                      </w:p>
                    </w:txbxContent>
                  </v:textbox>
                  <w10:wrap type="none"/>
                </v:shape>
                <v:shape style="position:absolute;left:2591;top:366;width:821;height:202" type="#_x0000_t202" id="docshape172" filled="false" stroked="false">
                  <v:textbox inset="0,0,0,0">
                    <w:txbxContent>
                      <w:p>
                        <w:pPr>
                          <w:spacing w:line="201" w:lineRule="exact" w:before="0"/>
                          <w:ind w:left="0" w:right="0" w:firstLine="0"/>
                          <w:jc w:val="left"/>
                          <w:rPr>
                            <w:sz w:val="18"/>
                          </w:rPr>
                        </w:pPr>
                        <w:r>
                          <w:rPr>
                            <w:spacing w:val="-2"/>
                            <w:sz w:val="18"/>
                          </w:rPr>
                          <w:t>1,200,000</w:t>
                        </w:r>
                      </w:p>
                    </w:txbxContent>
                  </v:textbox>
                  <w10:wrap type="none"/>
                </v:shape>
                <v:shape style="position:absolute;left:6189;top:3046;width:821;height:267" type="#_x0000_t202" id="docshape173" filled="false" stroked="true" strokeweight="1.5pt" strokecolor="#000000">
                  <v:textbox inset="0,0,0,0">
                    <w:txbxContent>
                      <w:p>
                        <w:pPr>
                          <w:spacing w:before="15"/>
                          <w:ind w:left="94" w:right="0" w:firstLine="0"/>
                          <w:jc w:val="left"/>
                          <w:rPr>
                            <w:sz w:val="18"/>
                          </w:rPr>
                        </w:pPr>
                        <w:r>
                          <w:rPr>
                            <w:spacing w:val="-2"/>
                            <w:sz w:val="18"/>
                          </w:rPr>
                          <w:t>165,897</w:t>
                        </w:r>
                      </w:p>
                    </w:txbxContent>
                  </v:textbox>
                  <v:stroke dashstyle="solid"/>
                  <w10:wrap type="none"/>
                </v:shape>
                <v:shape style="position:absolute;left:6502;top:2522;width:806;height:237" type="#_x0000_t202" id="docshape174" filled="false" stroked="false">
                  <v:textbox inset="0,0,0,0">
                    <w:txbxContent>
                      <w:p>
                        <w:pPr>
                          <w:spacing w:before="15"/>
                          <w:ind w:left="109" w:right="0" w:firstLine="0"/>
                          <w:jc w:val="left"/>
                          <w:rPr>
                            <w:sz w:val="18"/>
                          </w:rPr>
                        </w:pPr>
                        <w:r>
                          <w:rPr>
                            <w:spacing w:val="-2"/>
                            <w:sz w:val="18"/>
                          </w:rPr>
                          <w:t>269,036</w:t>
                        </w:r>
                      </w:p>
                    </w:txbxContent>
                  </v:textbox>
                  <w10:wrap type="none"/>
                </v:shape>
                <w10:wrap type="none"/>
              </v:group>
            </w:pict>
          </mc:Fallback>
        </mc:AlternateContent>
      </w:r>
      <w:r>
        <w:rPr>
          <w:rFonts w:ascii="Arial"/>
          <w:i/>
          <w:sz w:val="22"/>
        </w:rPr>
        <w:t>(en</w:t>
      </w:r>
      <w:r>
        <w:rPr>
          <w:rFonts w:ascii="Arial"/>
          <w:i/>
          <w:spacing w:val="-1"/>
          <w:sz w:val="22"/>
        </w:rPr>
        <w:t> </w:t>
      </w:r>
      <w:r>
        <w:rPr>
          <w:rFonts w:ascii="Arial"/>
          <w:i/>
          <w:spacing w:val="-2"/>
          <w:sz w:val="22"/>
        </w:rPr>
        <w:t>kilogramos)</w:t>
      </w: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spacing w:before="41"/>
        <w:rPr>
          <w:rFonts w:ascii="Arial"/>
          <w:i/>
        </w:rPr>
      </w:pPr>
    </w:p>
    <w:p>
      <w:pPr>
        <w:spacing w:before="0"/>
        <w:ind w:left="1420" w:right="1076" w:firstLine="0"/>
        <w:jc w:val="left"/>
        <w:rPr>
          <w:sz w:val="18"/>
        </w:rPr>
      </w:pPr>
      <w:r>
        <w:rPr>
          <w:sz w:val="18"/>
        </w:rPr>
        <mc:AlternateContent>
          <mc:Choice Requires="wps">
            <w:drawing>
              <wp:anchor distT="0" distB="0" distL="0" distR="0" allowOverlap="1" layoutInCell="1" locked="0" behindDoc="0" simplePos="0" relativeHeight="15749120">
                <wp:simplePos x="0" y="0"/>
                <wp:positionH relativeFrom="page">
                  <wp:posOffset>2280444</wp:posOffset>
                </wp:positionH>
                <wp:positionV relativeFrom="paragraph">
                  <wp:posOffset>-1150920</wp:posOffset>
                </wp:positionV>
                <wp:extent cx="3774440" cy="591185"/>
                <wp:effectExtent l="0" t="0" r="0" b="0"/>
                <wp:wrapNone/>
                <wp:docPr id="224" name="Textbox 224"/>
                <wp:cNvGraphicFramePr>
                  <a:graphicFrameLocks/>
                </wp:cNvGraphicFramePr>
                <a:graphic>
                  <a:graphicData uri="http://schemas.microsoft.com/office/word/2010/wordprocessingShape">
                    <wps:wsp>
                      <wps:cNvPr id="224" name="Textbox 224"/>
                      <wps:cNvSpPr txBox="1"/>
                      <wps:spPr>
                        <a:xfrm>
                          <a:off x="0" y="0"/>
                          <a:ext cx="3774440" cy="591185"/>
                        </a:xfrm>
                        <a:prstGeom prst="rect">
                          <a:avLst/>
                        </a:prstGeom>
                      </wps:spPr>
                      <wps:txbx>
                        <w:txbxContent>
                          <w:p>
                            <w:pPr>
                              <w:spacing w:line="264" w:lineRule="auto" w:before="14"/>
                              <w:ind w:left="340" w:right="18" w:firstLine="110"/>
                              <w:jc w:val="right"/>
                              <w:rPr>
                                <w:sz w:val="18"/>
                              </w:rPr>
                            </w:pPr>
                            <w:r>
                              <w:rPr>
                                <w:spacing w:val="-4"/>
                                <w:sz w:val="18"/>
                              </w:rPr>
                              <w:t>enero </w:t>
                            </w:r>
                            <w:r>
                              <w:rPr>
                                <w:spacing w:val="-2"/>
                                <w:sz w:val="18"/>
                              </w:rPr>
                              <w:t>febrero marzo abril </w:t>
                            </w:r>
                            <w:r>
                              <w:rPr>
                                <w:spacing w:val="-4"/>
                                <w:sz w:val="18"/>
                              </w:rPr>
                              <w:t>mayo </w:t>
                            </w:r>
                            <w:r>
                              <w:rPr>
                                <w:spacing w:val="-2"/>
                                <w:sz w:val="18"/>
                              </w:rPr>
                              <w:t>junio julio agosto</w:t>
                            </w:r>
                          </w:p>
                          <w:p>
                            <w:pPr>
                              <w:spacing w:before="3"/>
                              <w:ind w:left="0" w:right="19" w:firstLine="0"/>
                              <w:jc w:val="right"/>
                              <w:rPr>
                                <w:sz w:val="18"/>
                              </w:rPr>
                            </w:pPr>
                            <w:r>
                              <w:rPr>
                                <w:spacing w:val="-2"/>
                                <w:sz w:val="18"/>
                              </w:rPr>
                              <w:t>septiembre</w:t>
                            </w:r>
                          </w:p>
                          <w:p>
                            <w:pPr>
                              <w:spacing w:line="264" w:lineRule="auto" w:before="21"/>
                              <w:ind w:left="69" w:right="19" w:firstLine="240"/>
                              <w:jc w:val="both"/>
                              <w:rPr>
                                <w:sz w:val="18"/>
                              </w:rPr>
                            </w:pPr>
                            <w:r>
                              <w:rPr>
                                <w:spacing w:val="-2"/>
                                <w:sz w:val="18"/>
                              </w:rPr>
                              <w:t>octubre noviembre diciembre</w:t>
                            </w:r>
                          </w:p>
                          <w:p>
                            <w:pPr>
                              <w:spacing w:line="264" w:lineRule="auto" w:before="1"/>
                              <w:ind w:left="340" w:right="18" w:firstLine="110"/>
                              <w:jc w:val="right"/>
                              <w:rPr>
                                <w:sz w:val="18"/>
                              </w:rPr>
                            </w:pPr>
                            <w:r>
                              <w:rPr>
                                <w:spacing w:val="-4"/>
                                <w:sz w:val="18"/>
                              </w:rPr>
                              <w:t>enero </w:t>
                            </w:r>
                            <w:r>
                              <w:rPr>
                                <w:spacing w:val="-2"/>
                                <w:sz w:val="18"/>
                              </w:rPr>
                              <w:t>febrero marzo abril </w:t>
                            </w:r>
                            <w:r>
                              <w:rPr>
                                <w:spacing w:val="-4"/>
                                <w:sz w:val="18"/>
                              </w:rPr>
                              <w:t>mayo </w:t>
                            </w:r>
                            <w:r>
                              <w:rPr>
                                <w:spacing w:val="-2"/>
                                <w:sz w:val="18"/>
                              </w:rPr>
                              <w:t>junio julio agosto</w:t>
                            </w:r>
                          </w:p>
                          <w:p>
                            <w:pPr>
                              <w:spacing w:before="4"/>
                              <w:ind w:left="0" w:right="19" w:firstLine="0"/>
                              <w:jc w:val="right"/>
                              <w:rPr>
                                <w:sz w:val="18"/>
                              </w:rPr>
                            </w:pPr>
                            <w:r>
                              <w:rPr>
                                <w:spacing w:val="-2"/>
                                <w:sz w:val="18"/>
                              </w:rPr>
                              <w:t>septiembre</w:t>
                            </w:r>
                          </w:p>
                          <w:p>
                            <w:pPr>
                              <w:spacing w:line="264" w:lineRule="auto" w:before="21"/>
                              <w:ind w:left="69" w:right="19" w:firstLine="240"/>
                              <w:jc w:val="both"/>
                              <w:rPr>
                                <w:sz w:val="18"/>
                              </w:rPr>
                            </w:pPr>
                            <w:r>
                              <w:rPr>
                                <w:spacing w:val="-2"/>
                                <w:sz w:val="18"/>
                              </w:rPr>
                              <w:t>octubre noviembre diciembre</w:t>
                            </w:r>
                          </w:p>
                          <w:p>
                            <w:pPr>
                              <w:spacing w:line="264" w:lineRule="auto" w:before="1"/>
                              <w:ind w:left="339" w:right="18" w:firstLine="110"/>
                              <w:jc w:val="right"/>
                              <w:rPr>
                                <w:sz w:val="18"/>
                              </w:rPr>
                            </w:pPr>
                            <w:r>
                              <w:rPr>
                                <w:spacing w:val="-4"/>
                                <w:sz w:val="18"/>
                              </w:rPr>
                              <w:t>enero </w:t>
                            </w:r>
                            <w:r>
                              <w:rPr>
                                <w:spacing w:val="-2"/>
                                <w:sz w:val="18"/>
                              </w:rPr>
                              <w:t>febrero</w:t>
                            </w:r>
                          </w:p>
                        </w:txbxContent>
                      </wps:txbx>
                      <wps:bodyPr wrap="square" lIns="0" tIns="0" rIns="0" bIns="0" rtlCol="0" vert="vert270">
                        <a:noAutofit/>
                      </wps:bodyPr>
                    </wps:wsp>
                  </a:graphicData>
                </a:graphic>
              </wp:anchor>
            </w:drawing>
          </mc:Choice>
          <mc:Fallback>
            <w:pict>
              <v:shape style="position:absolute;margin-left:179.562531pt;margin-top:-90.62368pt;width:297.2pt;height:46.55pt;mso-position-horizontal-relative:page;mso-position-vertical-relative:paragraph;z-index:15749120" type="#_x0000_t202" id="docshape175" filled="false" stroked="false">
                <v:textbox inset="0,0,0,0" style="layout-flow:vertical;mso-layout-flow-alt:bottom-to-top">
                  <w:txbxContent>
                    <w:p>
                      <w:pPr>
                        <w:spacing w:line="264" w:lineRule="auto" w:before="14"/>
                        <w:ind w:left="340" w:right="18" w:firstLine="110"/>
                        <w:jc w:val="right"/>
                        <w:rPr>
                          <w:sz w:val="18"/>
                        </w:rPr>
                      </w:pPr>
                      <w:r>
                        <w:rPr>
                          <w:spacing w:val="-4"/>
                          <w:sz w:val="18"/>
                        </w:rPr>
                        <w:t>enero </w:t>
                      </w:r>
                      <w:r>
                        <w:rPr>
                          <w:spacing w:val="-2"/>
                          <w:sz w:val="18"/>
                        </w:rPr>
                        <w:t>febrero marzo abril </w:t>
                      </w:r>
                      <w:r>
                        <w:rPr>
                          <w:spacing w:val="-4"/>
                          <w:sz w:val="18"/>
                        </w:rPr>
                        <w:t>mayo </w:t>
                      </w:r>
                      <w:r>
                        <w:rPr>
                          <w:spacing w:val="-2"/>
                          <w:sz w:val="18"/>
                        </w:rPr>
                        <w:t>junio julio agosto</w:t>
                      </w:r>
                    </w:p>
                    <w:p>
                      <w:pPr>
                        <w:spacing w:before="3"/>
                        <w:ind w:left="0" w:right="19" w:firstLine="0"/>
                        <w:jc w:val="right"/>
                        <w:rPr>
                          <w:sz w:val="18"/>
                        </w:rPr>
                      </w:pPr>
                      <w:r>
                        <w:rPr>
                          <w:spacing w:val="-2"/>
                          <w:sz w:val="18"/>
                        </w:rPr>
                        <w:t>septiembre</w:t>
                      </w:r>
                    </w:p>
                    <w:p>
                      <w:pPr>
                        <w:spacing w:line="264" w:lineRule="auto" w:before="21"/>
                        <w:ind w:left="69" w:right="19" w:firstLine="240"/>
                        <w:jc w:val="both"/>
                        <w:rPr>
                          <w:sz w:val="18"/>
                        </w:rPr>
                      </w:pPr>
                      <w:r>
                        <w:rPr>
                          <w:spacing w:val="-2"/>
                          <w:sz w:val="18"/>
                        </w:rPr>
                        <w:t>octubre noviembre diciembre</w:t>
                      </w:r>
                    </w:p>
                    <w:p>
                      <w:pPr>
                        <w:spacing w:line="264" w:lineRule="auto" w:before="1"/>
                        <w:ind w:left="340" w:right="18" w:firstLine="110"/>
                        <w:jc w:val="right"/>
                        <w:rPr>
                          <w:sz w:val="18"/>
                        </w:rPr>
                      </w:pPr>
                      <w:r>
                        <w:rPr>
                          <w:spacing w:val="-4"/>
                          <w:sz w:val="18"/>
                        </w:rPr>
                        <w:t>enero </w:t>
                      </w:r>
                      <w:r>
                        <w:rPr>
                          <w:spacing w:val="-2"/>
                          <w:sz w:val="18"/>
                        </w:rPr>
                        <w:t>febrero marzo abril </w:t>
                      </w:r>
                      <w:r>
                        <w:rPr>
                          <w:spacing w:val="-4"/>
                          <w:sz w:val="18"/>
                        </w:rPr>
                        <w:t>mayo </w:t>
                      </w:r>
                      <w:r>
                        <w:rPr>
                          <w:spacing w:val="-2"/>
                          <w:sz w:val="18"/>
                        </w:rPr>
                        <w:t>junio julio agosto</w:t>
                      </w:r>
                    </w:p>
                    <w:p>
                      <w:pPr>
                        <w:spacing w:before="4"/>
                        <w:ind w:left="0" w:right="19" w:firstLine="0"/>
                        <w:jc w:val="right"/>
                        <w:rPr>
                          <w:sz w:val="18"/>
                        </w:rPr>
                      </w:pPr>
                      <w:r>
                        <w:rPr>
                          <w:spacing w:val="-2"/>
                          <w:sz w:val="18"/>
                        </w:rPr>
                        <w:t>septiembre</w:t>
                      </w:r>
                    </w:p>
                    <w:p>
                      <w:pPr>
                        <w:spacing w:line="264" w:lineRule="auto" w:before="21"/>
                        <w:ind w:left="69" w:right="19" w:firstLine="240"/>
                        <w:jc w:val="both"/>
                        <w:rPr>
                          <w:sz w:val="18"/>
                        </w:rPr>
                      </w:pPr>
                      <w:r>
                        <w:rPr>
                          <w:spacing w:val="-2"/>
                          <w:sz w:val="18"/>
                        </w:rPr>
                        <w:t>octubre noviembre diciembre</w:t>
                      </w:r>
                    </w:p>
                    <w:p>
                      <w:pPr>
                        <w:spacing w:line="264" w:lineRule="auto" w:before="1"/>
                        <w:ind w:left="339" w:right="18" w:firstLine="110"/>
                        <w:jc w:val="right"/>
                        <w:rPr>
                          <w:sz w:val="18"/>
                        </w:rPr>
                      </w:pPr>
                      <w:r>
                        <w:rPr>
                          <w:spacing w:val="-4"/>
                          <w:sz w:val="18"/>
                        </w:rPr>
                        <w:t>enero </w:t>
                      </w:r>
                      <w:r>
                        <w:rPr>
                          <w:spacing w:val="-2"/>
                          <w:sz w:val="18"/>
                        </w:rPr>
                        <w:t>febrero</w:t>
                      </w:r>
                    </w:p>
                  </w:txbxContent>
                </v:textbox>
                <w10:wrap type="none"/>
              </v:shape>
            </w:pict>
          </mc:Fallback>
        </mc:AlternateContent>
      </w:r>
      <w:r>
        <w:rPr>
          <w:sz w:val="18"/>
        </w:rPr>
        <w:t>Fuente:</w:t>
      </w:r>
      <w:r>
        <w:rPr>
          <w:spacing w:val="-3"/>
          <w:sz w:val="18"/>
        </w:rPr>
        <w:t> </w:t>
      </w:r>
      <w:r>
        <w:rPr>
          <w:sz w:val="18"/>
        </w:rPr>
        <w:t>En</w:t>
      </w:r>
      <w:r>
        <w:rPr>
          <w:spacing w:val="-5"/>
          <w:sz w:val="18"/>
        </w:rPr>
        <w:t> </w:t>
      </w:r>
      <w:r>
        <w:rPr>
          <w:sz w:val="18"/>
        </w:rPr>
        <w:t>base</w:t>
      </w:r>
      <w:r>
        <w:rPr>
          <w:spacing w:val="-3"/>
          <w:sz w:val="18"/>
        </w:rPr>
        <w:t> </w:t>
      </w:r>
      <w:r>
        <w:rPr>
          <w:sz w:val="18"/>
        </w:rPr>
        <w:t>a</w:t>
      </w:r>
      <w:r>
        <w:rPr>
          <w:spacing w:val="-3"/>
          <w:sz w:val="18"/>
        </w:rPr>
        <w:t> </w:t>
      </w:r>
      <w:r>
        <w:rPr>
          <w:sz w:val="18"/>
        </w:rPr>
        <w:t>datos proporcionados</w:t>
      </w:r>
      <w:r>
        <w:rPr>
          <w:spacing w:val="-4"/>
          <w:sz w:val="18"/>
        </w:rPr>
        <w:t> </w:t>
      </w:r>
      <w:r>
        <w:rPr>
          <w:sz w:val="18"/>
        </w:rPr>
        <w:t>por</w:t>
      </w:r>
      <w:r>
        <w:rPr>
          <w:spacing w:val="-3"/>
          <w:sz w:val="18"/>
        </w:rPr>
        <w:t> </w:t>
      </w:r>
      <w:r>
        <w:rPr>
          <w:sz w:val="18"/>
        </w:rPr>
        <w:t>el</w:t>
      </w:r>
      <w:r>
        <w:rPr>
          <w:spacing w:val="-3"/>
          <w:sz w:val="18"/>
        </w:rPr>
        <w:t> </w:t>
      </w:r>
      <w:r>
        <w:rPr>
          <w:sz w:val="18"/>
        </w:rPr>
        <w:t>Viceministerio</w:t>
      </w:r>
      <w:r>
        <w:rPr>
          <w:spacing w:val="-3"/>
          <w:sz w:val="18"/>
        </w:rPr>
        <w:t> </w:t>
      </w:r>
      <w:r>
        <w:rPr>
          <w:sz w:val="18"/>
        </w:rPr>
        <w:t>de</w:t>
      </w:r>
      <w:r>
        <w:rPr>
          <w:spacing w:val="-3"/>
          <w:sz w:val="18"/>
        </w:rPr>
        <w:t> </w:t>
      </w:r>
      <w:r>
        <w:rPr>
          <w:sz w:val="18"/>
        </w:rPr>
        <w:t>Comercio</w:t>
      </w:r>
      <w:r>
        <w:rPr>
          <w:spacing w:val="-3"/>
          <w:sz w:val="18"/>
        </w:rPr>
        <w:t> </w:t>
      </w:r>
      <w:r>
        <w:rPr>
          <w:sz w:val="18"/>
        </w:rPr>
        <w:t>Exterior</w:t>
      </w:r>
      <w:r>
        <w:rPr>
          <w:spacing w:val="-3"/>
          <w:sz w:val="18"/>
        </w:rPr>
        <w:t> </w:t>
      </w:r>
      <w:r>
        <w:rPr>
          <w:sz w:val="18"/>
        </w:rPr>
        <w:t>de</w:t>
      </w:r>
      <w:r>
        <w:rPr>
          <w:spacing w:val="-3"/>
          <w:sz w:val="18"/>
        </w:rPr>
        <w:t> </w:t>
      </w:r>
      <w:r>
        <w:rPr>
          <w:sz w:val="18"/>
        </w:rPr>
        <w:t>la</w:t>
      </w:r>
      <w:r>
        <w:rPr>
          <w:spacing w:val="-7"/>
          <w:sz w:val="18"/>
        </w:rPr>
        <w:t> </w:t>
      </w:r>
      <w:r>
        <w:rPr>
          <w:sz w:val="18"/>
        </w:rPr>
        <w:t>República del Ecuador.</w:t>
      </w:r>
    </w:p>
    <w:p>
      <w:pPr>
        <w:spacing w:line="206" w:lineRule="exact" w:before="0"/>
        <w:ind w:left="1420" w:right="0" w:firstLine="0"/>
        <w:jc w:val="left"/>
        <w:rPr>
          <w:sz w:val="18"/>
        </w:rPr>
      </w:pPr>
      <w:r>
        <w:rPr>
          <w:sz w:val="18"/>
        </w:rPr>
        <w:t>Elaboración:</w:t>
      </w:r>
      <w:r>
        <w:rPr>
          <w:spacing w:val="-5"/>
          <w:sz w:val="18"/>
        </w:rPr>
        <w:t> </w:t>
      </w:r>
      <w:r>
        <w:rPr>
          <w:spacing w:val="-2"/>
          <w:sz w:val="18"/>
        </w:rPr>
        <w:t>SGCAN.</w:t>
      </w:r>
    </w:p>
    <w:p>
      <w:pPr>
        <w:pStyle w:val="BodyText"/>
        <w:spacing w:before="48"/>
        <w:rPr>
          <w:sz w:val="18"/>
        </w:rPr>
      </w:pPr>
    </w:p>
    <w:p>
      <w:pPr>
        <w:pStyle w:val="ListParagraph"/>
        <w:numPr>
          <w:ilvl w:val="0"/>
          <w:numId w:val="2"/>
        </w:numPr>
        <w:tabs>
          <w:tab w:pos="1420" w:val="left" w:leader="none"/>
        </w:tabs>
        <w:spacing w:line="240" w:lineRule="auto" w:before="0" w:after="0"/>
        <w:ind w:left="1420" w:right="975" w:hanging="852"/>
        <w:jc w:val="both"/>
        <w:rPr>
          <w:sz w:val="22"/>
        </w:rPr>
      </w:pPr>
      <w:r>
        <w:rPr>
          <w:sz w:val="22"/>
        </w:rPr>
        <w:t>Del</w:t>
      </w:r>
      <w:r>
        <w:rPr>
          <w:spacing w:val="-5"/>
          <w:sz w:val="22"/>
        </w:rPr>
        <w:t> </w:t>
      </w:r>
      <w:r>
        <w:rPr>
          <w:sz w:val="22"/>
        </w:rPr>
        <w:t>Gráfico</w:t>
      </w:r>
      <w:r>
        <w:rPr>
          <w:spacing w:val="-6"/>
          <w:sz w:val="22"/>
        </w:rPr>
        <w:t> </w:t>
      </w:r>
      <w:r>
        <w:rPr>
          <w:sz w:val="22"/>
        </w:rPr>
        <w:t>N.°2</w:t>
      </w:r>
      <w:r>
        <w:rPr>
          <w:spacing w:val="-6"/>
          <w:sz w:val="22"/>
        </w:rPr>
        <w:t> </w:t>
      </w:r>
      <w:r>
        <w:rPr>
          <w:sz w:val="22"/>
        </w:rPr>
        <w:t>se</w:t>
      </w:r>
      <w:r>
        <w:rPr>
          <w:spacing w:val="-4"/>
          <w:sz w:val="22"/>
        </w:rPr>
        <w:t> </w:t>
      </w:r>
      <w:r>
        <w:rPr>
          <w:sz w:val="22"/>
        </w:rPr>
        <w:t>observa</w:t>
      </w:r>
      <w:r>
        <w:rPr>
          <w:spacing w:val="-4"/>
          <w:sz w:val="22"/>
        </w:rPr>
        <w:t> </w:t>
      </w:r>
      <w:r>
        <w:rPr>
          <w:sz w:val="22"/>
        </w:rPr>
        <w:t>que</w:t>
      </w:r>
      <w:r>
        <w:rPr>
          <w:spacing w:val="-4"/>
          <w:sz w:val="22"/>
        </w:rPr>
        <w:t> </w:t>
      </w:r>
      <w:r>
        <w:rPr>
          <w:sz w:val="22"/>
        </w:rPr>
        <w:t>las</w:t>
      </w:r>
      <w:r>
        <w:rPr>
          <w:spacing w:val="-4"/>
          <w:sz w:val="22"/>
        </w:rPr>
        <w:t> </w:t>
      </w:r>
      <w:r>
        <w:rPr>
          <w:sz w:val="22"/>
        </w:rPr>
        <w:t>importaciones</w:t>
      </w:r>
      <w:r>
        <w:rPr>
          <w:spacing w:val="-4"/>
          <w:sz w:val="22"/>
        </w:rPr>
        <w:t> </w:t>
      </w:r>
      <w:r>
        <w:rPr>
          <w:sz w:val="22"/>
        </w:rPr>
        <w:t>que</w:t>
      </w:r>
      <w:r>
        <w:rPr>
          <w:spacing w:val="-4"/>
          <w:sz w:val="22"/>
        </w:rPr>
        <w:t> </w:t>
      </w:r>
      <w:r>
        <w:rPr>
          <w:sz w:val="22"/>
        </w:rPr>
        <w:t>ingresaban</w:t>
      </w:r>
      <w:r>
        <w:rPr>
          <w:spacing w:val="-4"/>
          <w:sz w:val="22"/>
        </w:rPr>
        <w:t> </w:t>
      </w:r>
      <w:r>
        <w:rPr>
          <w:sz w:val="22"/>
        </w:rPr>
        <w:t>a</w:t>
      </w:r>
      <w:r>
        <w:rPr>
          <w:spacing w:val="-6"/>
          <w:sz w:val="22"/>
        </w:rPr>
        <w:t> </w:t>
      </w:r>
      <w:r>
        <w:rPr>
          <w:sz w:val="22"/>
        </w:rPr>
        <w:t>través</w:t>
      </w:r>
      <w:r>
        <w:rPr>
          <w:spacing w:val="-4"/>
          <w:sz w:val="22"/>
        </w:rPr>
        <w:t> </w:t>
      </w:r>
      <w:r>
        <w:rPr>
          <w:sz w:val="22"/>
        </w:rPr>
        <w:t>del</w:t>
      </w:r>
      <w:r>
        <w:rPr>
          <w:spacing w:val="-5"/>
          <w:sz w:val="22"/>
        </w:rPr>
        <w:t> </w:t>
      </w:r>
      <w:r>
        <w:rPr>
          <w:sz w:val="22"/>
        </w:rPr>
        <w:t>paso fronterizo CEBAF San Miguel presentaron un comportamiento volátil durante el periodo</w:t>
      </w:r>
      <w:r>
        <w:rPr>
          <w:spacing w:val="-14"/>
          <w:sz w:val="22"/>
        </w:rPr>
        <w:t> </w:t>
      </w:r>
      <w:r>
        <w:rPr>
          <w:sz w:val="22"/>
        </w:rPr>
        <w:t>analizado.</w:t>
      </w:r>
      <w:r>
        <w:rPr>
          <w:spacing w:val="-13"/>
          <w:sz w:val="22"/>
        </w:rPr>
        <w:t> </w:t>
      </w:r>
      <w:r>
        <w:rPr>
          <w:sz w:val="22"/>
        </w:rPr>
        <w:t>En</w:t>
      </w:r>
      <w:r>
        <w:rPr>
          <w:spacing w:val="-14"/>
          <w:sz w:val="22"/>
        </w:rPr>
        <w:t> </w:t>
      </w:r>
      <w:r>
        <w:rPr>
          <w:sz w:val="22"/>
        </w:rPr>
        <w:t>particular,</w:t>
      </w:r>
      <w:r>
        <w:rPr>
          <w:spacing w:val="-14"/>
          <w:sz w:val="22"/>
        </w:rPr>
        <w:t> </w:t>
      </w:r>
      <w:r>
        <w:rPr>
          <w:sz w:val="22"/>
        </w:rPr>
        <w:t>la</w:t>
      </w:r>
      <w:r>
        <w:rPr>
          <w:spacing w:val="-14"/>
          <w:sz w:val="22"/>
        </w:rPr>
        <w:t> </w:t>
      </w:r>
      <w:r>
        <w:rPr>
          <w:sz w:val="22"/>
        </w:rPr>
        <w:t>variación</w:t>
      </w:r>
      <w:r>
        <w:rPr>
          <w:spacing w:val="-14"/>
          <w:sz w:val="22"/>
        </w:rPr>
        <w:t> </w:t>
      </w:r>
      <w:r>
        <w:rPr>
          <w:sz w:val="22"/>
        </w:rPr>
        <w:t>interanual</w:t>
      </w:r>
      <w:r>
        <w:rPr>
          <w:spacing w:val="-14"/>
          <w:sz w:val="22"/>
        </w:rPr>
        <w:t> </w:t>
      </w:r>
      <w:r>
        <w:rPr>
          <w:sz w:val="22"/>
        </w:rPr>
        <w:t>para</w:t>
      </w:r>
      <w:r>
        <w:rPr>
          <w:spacing w:val="-14"/>
          <w:sz w:val="22"/>
        </w:rPr>
        <w:t> </w:t>
      </w:r>
      <w:r>
        <w:rPr>
          <w:sz w:val="22"/>
        </w:rPr>
        <w:t>el</w:t>
      </w:r>
      <w:r>
        <w:rPr>
          <w:spacing w:val="-15"/>
          <w:sz w:val="22"/>
        </w:rPr>
        <w:t> </w:t>
      </w:r>
      <w:r>
        <w:rPr>
          <w:sz w:val="22"/>
        </w:rPr>
        <w:t>mes</w:t>
      </w:r>
      <w:r>
        <w:rPr>
          <w:spacing w:val="-13"/>
          <w:sz w:val="22"/>
        </w:rPr>
        <w:t> </w:t>
      </w:r>
      <w:r>
        <w:rPr>
          <w:sz w:val="22"/>
        </w:rPr>
        <w:t>de</w:t>
      </w:r>
      <w:r>
        <w:rPr>
          <w:spacing w:val="-14"/>
          <w:sz w:val="22"/>
        </w:rPr>
        <w:t> </w:t>
      </w:r>
      <w:r>
        <w:rPr>
          <w:sz w:val="22"/>
        </w:rPr>
        <w:t>enero</w:t>
      </w:r>
      <w:r>
        <w:rPr>
          <w:spacing w:val="-14"/>
          <w:sz w:val="22"/>
        </w:rPr>
        <w:t> </w:t>
      </w:r>
      <w:r>
        <w:rPr>
          <w:sz w:val="22"/>
        </w:rPr>
        <w:t>muestra una</w:t>
      </w:r>
      <w:r>
        <w:rPr>
          <w:spacing w:val="-15"/>
          <w:sz w:val="22"/>
        </w:rPr>
        <w:t> </w:t>
      </w:r>
      <w:r>
        <w:rPr>
          <w:sz w:val="22"/>
        </w:rPr>
        <w:t>caída</w:t>
      </w:r>
      <w:r>
        <w:rPr>
          <w:spacing w:val="-12"/>
          <w:sz w:val="22"/>
        </w:rPr>
        <w:t> </w:t>
      </w:r>
      <w:r>
        <w:rPr>
          <w:sz w:val="22"/>
        </w:rPr>
        <w:t>del</w:t>
      </w:r>
      <w:r>
        <w:rPr>
          <w:spacing w:val="-14"/>
          <w:sz w:val="22"/>
        </w:rPr>
        <w:t> </w:t>
      </w:r>
      <w:r>
        <w:rPr>
          <w:sz w:val="22"/>
        </w:rPr>
        <w:t>85%</w:t>
      </w:r>
      <w:r>
        <w:rPr>
          <w:spacing w:val="-13"/>
          <w:sz w:val="22"/>
        </w:rPr>
        <w:t> </w:t>
      </w:r>
      <w:r>
        <w:rPr>
          <w:sz w:val="22"/>
        </w:rPr>
        <w:t>entre</w:t>
      </w:r>
      <w:r>
        <w:rPr>
          <w:spacing w:val="-15"/>
          <w:sz w:val="22"/>
        </w:rPr>
        <w:t> </w:t>
      </w:r>
      <w:r>
        <w:rPr>
          <w:sz w:val="22"/>
        </w:rPr>
        <w:t>2024</w:t>
      </w:r>
      <w:r>
        <w:rPr>
          <w:spacing w:val="-14"/>
          <w:sz w:val="22"/>
        </w:rPr>
        <w:t> </w:t>
      </w:r>
      <w:r>
        <w:rPr>
          <w:sz w:val="22"/>
        </w:rPr>
        <w:t>y</w:t>
      </w:r>
      <w:r>
        <w:rPr>
          <w:spacing w:val="-13"/>
          <w:sz w:val="22"/>
        </w:rPr>
        <w:t> </w:t>
      </w:r>
      <w:r>
        <w:rPr>
          <w:sz w:val="22"/>
        </w:rPr>
        <w:t>2025,</w:t>
      </w:r>
      <w:r>
        <w:rPr>
          <w:spacing w:val="-14"/>
          <w:sz w:val="22"/>
        </w:rPr>
        <w:t> </w:t>
      </w:r>
      <w:r>
        <w:rPr>
          <w:sz w:val="22"/>
        </w:rPr>
        <w:t>seguida</w:t>
      </w:r>
      <w:r>
        <w:rPr>
          <w:spacing w:val="-14"/>
          <w:sz w:val="22"/>
        </w:rPr>
        <w:t> </w:t>
      </w:r>
      <w:r>
        <w:rPr>
          <w:sz w:val="22"/>
        </w:rPr>
        <w:t>de</w:t>
      </w:r>
      <w:r>
        <w:rPr>
          <w:spacing w:val="-15"/>
          <w:sz w:val="22"/>
        </w:rPr>
        <w:t> </w:t>
      </w:r>
      <w:r>
        <w:rPr>
          <w:sz w:val="22"/>
        </w:rPr>
        <w:t>una</w:t>
      </w:r>
      <w:r>
        <w:rPr>
          <w:spacing w:val="-14"/>
          <w:sz w:val="22"/>
        </w:rPr>
        <w:t> </w:t>
      </w:r>
      <w:r>
        <w:rPr>
          <w:sz w:val="22"/>
        </w:rPr>
        <w:t>reducción</w:t>
      </w:r>
      <w:r>
        <w:rPr>
          <w:spacing w:val="-14"/>
          <w:sz w:val="22"/>
        </w:rPr>
        <w:t> </w:t>
      </w:r>
      <w:r>
        <w:rPr>
          <w:sz w:val="22"/>
        </w:rPr>
        <w:t>del</w:t>
      </w:r>
      <w:r>
        <w:rPr>
          <w:spacing w:val="-14"/>
          <w:sz w:val="22"/>
        </w:rPr>
        <w:t> </w:t>
      </w:r>
      <w:r>
        <w:rPr>
          <w:sz w:val="22"/>
        </w:rPr>
        <w:t>100%</w:t>
      </w:r>
      <w:r>
        <w:rPr>
          <w:spacing w:val="-16"/>
          <w:sz w:val="22"/>
        </w:rPr>
        <w:t> </w:t>
      </w:r>
      <w:r>
        <w:rPr>
          <w:sz w:val="22"/>
        </w:rPr>
        <w:t>entre</w:t>
      </w:r>
      <w:r>
        <w:rPr>
          <w:spacing w:val="-13"/>
          <w:sz w:val="22"/>
        </w:rPr>
        <w:t> </w:t>
      </w:r>
      <w:r>
        <w:rPr>
          <w:sz w:val="22"/>
        </w:rPr>
        <w:t>2025 y 2026, lo que evidencia la interrupción total del flujo comercial por dicho punto de ingreso.</w:t>
      </w:r>
      <w:r>
        <w:rPr>
          <w:spacing w:val="-12"/>
          <w:sz w:val="22"/>
        </w:rPr>
        <w:t> </w:t>
      </w:r>
      <w:r>
        <w:rPr>
          <w:sz w:val="22"/>
        </w:rPr>
        <w:t>En</w:t>
      </w:r>
      <w:r>
        <w:rPr>
          <w:spacing w:val="-14"/>
          <w:sz w:val="22"/>
        </w:rPr>
        <w:t> </w:t>
      </w:r>
      <w:r>
        <w:rPr>
          <w:sz w:val="22"/>
        </w:rPr>
        <w:t>cuanto</w:t>
      </w:r>
      <w:r>
        <w:rPr>
          <w:spacing w:val="-14"/>
          <w:sz w:val="22"/>
        </w:rPr>
        <w:t> </w:t>
      </w:r>
      <w:r>
        <w:rPr>
          <w:sz w:val="22"/>
        </w:rPr>
        <w:t>al</w:t>
      </w:r>
      <w:r>
        <w:rPr>
          <w:spacing w:val="-15"/>
          <w:sz w:val="22"/>
        </w:rPr>
        <w:t> </w:t>
      </w:r>
      <w:r>
        <w:rPr>
          <w:sz w:val="22"/>
        </w:rPr>
        <w:t>mes</w:t>
      </w:r>
      <w:r>
        <w:rPr>
          <w:spacing w:val="-13"/>
          <w:sz w:val="22"/>
        </w:rPr>
        <w:t> </w:t>
      </w:r>
      <w:r>
        <w:rPr>
          <w:sz w:val="22"/>
        </w:rPr>
        <w:t>de</w:t>
      </w:r>
      <w:r>
        <w:rPr>
          <w:spacing w:val="-14"/>
          <w:sz w:val="22"/>
        </w:rPr>
        <w:t> </w:t>
      </w:r>
      <w:r>
        <w:rPr>
          <w:sz w:val="22"/>
        </w:rPr>
        <w:t>febrero,</w:t>
      </w:r>
      <w:r>
        <w:rPr>
          <w:spacing w:val="-12"/>
          <w:sz w:val="22"/>
        </w:rPr>
        <w:t> </w:t>
      </w:r>
      <w:r>
        <w:rPr>
          <w:sz w:val="22"/>
        </w:rPr>
        <w:t>se</w:t>
      </w:r>
      <w:r>
        <w:rPr>
          <w:spacing w:val="-16"/>
          <w:sz w:val="22"/>
        </w:rPr>
        <w:t> </w:t>
      </w:r>
      <w:r>
        <w:rPr>
          <w:sz w:val="22"/>
        </w:rPr>
        <w:t>registra</w:t>
      </w:r>
      <w:r>
        <w:rPr>
          <w:spacing w:val="-15"/>
          <w:sz w:val="22"/>
        </w:rPr>
        <w:t> </w:t>
      </w:r>
      <w:r>
        <w:rPr>
          <w:sz w:val="22"/>
        </w:rPr>
        <w:t>una</w:t>
      </w:r>
      <w:r>
        <w:rPr>
          <w:spacing w:val="-13"/>
          <w:sz w:val="22"/>
        </w:rPr>
        <w:t> </w:t>
      </w:r>
      <w:r>
        <w:rPr>
          <w:sz w:val="22"/>
        </w:rPr>
        <w:t>disminución</w:t>
      </w:r>
      <w:r>
        <w:rPr>
          <w:spacing w:val="-14"/>
          <w:sz w:val="22"/>
        </w:rPr>
        <w:t> </w:t>
      </w:r>
      <w:r>
        <w:rPr>
          <w:sz w:val="22"/>
        </w:rPr>
        <w:t>del</w:t>
      </w:r>
      <w:r>
        <w:rPr>
          <w:spacing w:val="-14"/>
          <w:sz w:val="22"/>
        </w:rPr>
        <w:t> </w:t>
      </w:r>
      <w:r>
        <w:rPr>
          <w:sz w:val="22"/>
        </w:rPr>
        <w:t>58%</w:t>
      </w:r>
      <w:r>
        <w:rPr>
          <w:spacing w:val="-15"/>
          <w:sz w:val="22"/>
        </w:rPr>
        <w:t> </w:t>
      </w:r>
      <w:r>
        <w:rPr>
          <w:sz w:val="22"/>
        </w:rPr>
        <w:t>entre</w:t>
      </w:r>
      <w:r>
        <w:rPr>
          <w:spacing w:val="-14"/>
          <w:sz w:val="22"/>
        </w:rPr>
        <w:t> </w:t>
      </w:r>
      <w:r>
        <w:rPr>
          <w:sz w:val="22"/>
        </w:rPr>
        <w:t>2024 y 2025 y, posteriormente, una caída del 100% en 2026, consistente con los efectos de la medida adoptada por la República del Ecuador.</w:t>
      </w:r>
    </w:p>
    <w:p>
      <w:pPr>
        <w:pStyle w:val="BodyText"/>
        <w:spacing w:before="1"/>
      </w:pPr>
    </w:p>
    <w:p>
      <w:pPr>
        <w:pStyle w:val="ListParagraph"/>
        <w:numPr>
          <w:ilvl w:val="0"/>
          <w:numId w:val="2"/>
        </w:numPr>
        <w:tabs>
          <w:tab w:pos="1420" w:val="left" w:leader="none"/>
        </w:tabs>
        <w:spacing w:line="240" w:lineRule="auto" w:before="0" w:after="0"/>
        <w:ind w:left="1420" w:right="977" w:hanging="852"/>
        <w:jc w:val="both"/>
        <w:rPr>
          <w:sz w:val="22"/>
        </w:rPr>
      </w:pPr>
      <w:r>
        <w:rPr>
          <w:sz w:val="22"/>
        </w:rPr>
        <w:t>De</w:t>
      </w:r>
      <w:r>
        <w:rPr>
          <w:spacing w:val="-2"/>
          <w:sz w:val="22"/>
        </w:rPr>
        <w:t> </w:t>
      </w:r>
      <w:r>
        <w:rPr>
          <w:sz w:val="22"/>
        </w:rPr>
        <w:t>la</w:t>
      </w:r>
      <w:r>
        <w:rPr>
          <w:spacing w:val="-2"/>
          <w:sz w:val="22"/>
        </w:rPr>
        <w:t> </w:t>
      </w:r>
      <w:r>
        <w:rPr>
          <w:sz w:val="22"/>
        </w:rPr>
        <w:t>evidencia</w:t>
      </w:r>
      <w:r>
        <w:rPr>
          <w:spacing w:val="-2"/>
          <w:sz w:val="22"/>
        </w:rPr>
        <w:t> </w:t>
      </w:r>
      <w:r>
        <w:rPr>
          <w:sz w:val="22"/>
        </w:rPr>
        <w:t>económica</w:t>
      </w:r>
      <w:r>
        <w:rPr>
          <w:spacing w:val="-2"/>
          <w:sz w:val="22"/>
        </w:rPr>
        <w:t> </w:t>
      </w:r>
      <w:r>
        <w:rPr>
          <w:sz w:val="22"/>
        </w:rPr>
        <w:t>analizada</w:t>
      </w:r>
      <w:r>
        <w:rPr>
          <w:spacing w:val="-2"/>
          <w:sz w:val="22"/>
        </w:rPr>
        <w:t> </w:t>
      </w:r>
      <w:r>
        <w:rPr>
          <w:sz w:val="22"/>
        </w:rPr>
        <w:t>se</w:t>
      </w:r>
      <w:r>
        <w:rPr>
          <w:spacing w:val="-1"/>
          <w:sz w:val="22"/>
        </w:rPr>
        <w:t> </w:t>
      </w:r>
      <w:r>
        <w:rPr>
          <w:sz w:val="22"/>
        </w:rPr>
        <w:t>desprende</w:t>
      </w:r>
      <w:r>
        <w:rPr>
          <w:spacing w:val="-2"/>
          <w:sz w:val="22"/>
        </w:rPr>
        <w:t> </w:t>
      </w:r>
      <w:r>
        <w:rPr>
          <w:sz w:val="22"/>
        </w:rPr>
        <w:t>que,</w:t>
      </w:r>
      <w:r>
        <w:rPr>
          <w:spacing w:val="-1"/>
          <w:sz w:val="22"/>
        </w:rPr>
        <w:t> </w:t>
      </w:r>
      <w:r>
        <w:rPr>
          <w:sz w:val="22"/>
        </w:rPr>
        <w:t>si</w:t>
      </w:r>
      <w:r>
        <w:rPr>
          <w:spacing w:val="-2"/>
          <w:sz w:val="22"/>
        </w:rPr>
        <w:t> </w:t>
      </w:r>
      <w:r>
        <w:rPr>
          <w:sz w:val="22"/>
        </w:rPr>
        <w:t>bien</w:t>
      </w:r>
      <w:r>
        <w:rPr>
          <w:spacing w:val="-2"/>
          <w:sz w:val="22"/>
        </w:rPr>
        <w:t> </w:t>
      </w:r>
      <w:r>
        <w:rPr>
          <w:sz w:val="22"/>
        </w:rPr>
        <w:t>la</w:t>
      </w:r>
      <w:r>
        <w:rPr>
          <w:spacing w:val="-2"/>
          <w:sz w:val="22"/>
        </w:rPr>
        <w:t> </w:t>
      </w:r>
      <w:r>
        <w:rPr>
          <w:sz w:val="22"/>
        </w:rPr>
        <w:t>medida</w:t>
      </w:r>
      <w:r>
        <w:rPr>
          <w:spacing w:val="-2"/>
          <w:sz w:val="22"/>
        </w:rPr>
        <w:t> </w:t>
      </w:r>
      <w:r>
        <w:rPr>
          <w:sz w:val="22"/>
        </w:rPr>
        <w:t>adoptada por</w:t>
      </w:r>
      <w:r>
        <w:rPr>
          <w:spacing w:val="-7"/>
          <w:sz w:val="22"/>
        </w:rPr>
        <w:t> </w:t>
      </w:r>
      <w:r>
        <w:rPr>
          <w:sz w:val="22"/>
        </w:rPr>
        <w:t>la</w:t>
      </w:r>
      <w:r>
        <w:rPr>
          <w:spacing w:val="-8"/>
          <w:sz w:val="22"/>
        </w:rPr>
        <w:t> </w:t>
      </w:r>
      <w:r>
        <w:rPr>
          <w:sz w:val="22"/>
        </w:rPr>
        <w:t>República</w:t>
      </w:r>
      <w:r>
        <w:rPr>
          <w:spacing w:val="-8"/>
          <w:sz w:val="22"/>
        </w:rPr>
        <w:t> </w:t>
      </w:r>
      <w:r>
        <w:rPr>
          <w:sz w:val="22"/>
        </w:rPr>
        <w:t>del</w:t>
      </w:r>
      <w:r>
        <w:rPr>
          <w:spacing w:val="-9"/>
          <w:sz w:val="22"/>
        </w:rPr>
        <w:t> </w:t>
      </w:r>
      <w:r>
        <w:rPr>
          <w:sz w:val="22"/>
        </w:rPr>
        <w:t>Ecuador</w:t>
      </w:r>
      <w:r>
        <w:rPr>
          <w:spacing w:val="-8"/>
          <w:sz w:val="22"/>
        </w:rPr>
        <w:t> </w:t>
      </w:r>
      <w:r>
        <w:rPr>
          <w:sz w:val="22"/>
        </w:rPr>
        <w:t>no</w:t>
      </w:r>
      <w:r>
        <w:rPr>
          <w:spacing w:val="-9"/>
          <w:sz w:val="22"/>
        </w:rPr>
        <w:t> </w:t>
      </w:r>
      <w:r>
        <w:rPr>
          <w:sz w:val="22"/>
        </w:rPr>
        <w:t>prohíbe</w:t>
      </w:r>
      <w:r>
        <w:rPr>
          <w:spacing w:val="-9"/>
          <w:sz w:val="22"/>
        </w:rPr>
        <w:t> </w:t>
      </w:r>
      <w:r>
        <w:rPr>
          <w:sz w:val="22"/>
        </w:rPr>
        <w:t>formalmente</w:t>
      </w:r>
      <w:r>
        <w:rPr>
          <w:spacing w:val="-8"/>
          <w:sz w:val="22"/>
        </w:rPr>
        <w:t> </w:t>
      </w:r>
      <w:r>
        <w:rPr>
          <w:sz w:val="22"/>
        </w:rPr>
        <w:t>las</w:t>
      </w:r>
      <w:r>
        <w:rPr>
          <w:spacing w:val="-8"/>
          <w:sz w:val="22"/>
        </w:rPr>
        <w:t> </w:t>
      </w:r>
      <w:r>
        <w:rPr>
          <w:sz w:val="22"/>
        </w:rPr>
        <w:t>importaciones</w:t>
      </w:r>
      <w:r>
        <w:rPr>
          <w:spacing w:val="-7"/>
          <w:sz w:val="22"/>
        </w:rPr>
        <w:t> </w:t>
      </w:r>
      <w:r>
        <w:rPr>
          <w:sz w:val="22"/>
        </w:rPr>
        <w:t>procedentes u originarias de la República de Colombia, sí genera efectos restrictivos en los términos desarrollados por la jurisprudencia del TJCAN, al implicar que la medida dificulta y hace más onerosa la operación de importación de productos procedentes u originarios de la República de Colombia</w:t>
      </w:r>
      <w:r>
        <w:rPr>
          <w:spacing w:val="-9"/>
          <w:sz w:val="22"/>
        </w:rPr>
        <w:t> </w:t>
      </w:r>
      <w:hyperlink w:history="true" w:anchor="_bookmark31">
        <w:r>
          <w:rPr>
            <w:sz w:val="22"/>
            <w:vertAlign w:val="superscript"/>
          </w:rPr>
          <w:t>32</w:t>
        </w:r>
      </w:hyperlink>
      <w:r>
        <w:rPr>
          <w:sz w:val="22"/>
          <w:vertAlign w:val="baseline"/>
        </w:rPr>
        <w:t>.</w:t>
      </w:r>
    </w:p>
    <w:p>
      <w:pPr>
        <w:pStyle w:val="BodyText"/>
        <w:spacing w:before="1"/>
      </w:pPr>
    </w:p>
    <w:p>
      <w:pPr>
        <w:pStyle w:val="ListParagraph"/>
        <w:numPr>
          <w:ilvl w:val="0"/>
          <w:numId w:val="2"/>
        </w:numPr>
        <w:tabs>
          <w:tab w:pos="1420" w:val="left" w:leader="none"/>
        </w:tabs>
        <w:spacing w:line="240" w:lineRule="auto" w:before="0" w:after="0"/>
        <w:ind w:left="1420" w:right="980" w:hanging="852"/>
        <w:jc w:val="both"/>
        <w:rPr>
          <w:sz w:val="22"/>
        </w:rPr>
      </w:pPr>
      <w:r>
        <w:rPr>
          <w:sz w:val="22"/>
        </w:rPr>
        <w:t>En particular, la canalización del ingreso de mercancías a través de un único paso habilitado implica la inexistencia de rutas alternativas de acceso, lo que queda evidenciado</w:t>
      </w:r>
      <w:r>
        <w:rPr>
          <w:spacing w:val="-5"/>
          <w:sz w:val="22"/>
        </w:rPr>
        <w:t> </w:t>
      </w:r>
      <w:r>
        <w:rPr>
          <w:sz w:val="22"/>
        </w:rPr>
        <w:t>con</w:t>
      </w:r>
      <w:r>
        <w:rPr>
          <w:spacing w:val="-8"/>
          <w:sz w:val="22"/>
        </w:rPr>
        <w:t> </w:t>
      </w:r>
      <w:r>
        <w:rPr>
          <w:sz w:val="22"/>
        </w:rPr>
        <w:t>la</w:t>
      </w:r>
      <w:r>
        <w:rPr>
          <w:spacing w:val="-7"/>
          <w:sz w:val="22"/>
        </w:rPr>
        <w:t> </w:t>
      </w:r>
      <w:r>
        <w:rPr>
          <w:sz w:val="22"/>
        </w:rPr>
        <w:t>reducción</w:t>
      </w:r>
      <w:r>
        <w:rPr>
          <w:spacing w:val="-5"/>
          <w:sz w:val="22"/>
        </w:rPr>
        <w:t> </w:t>
      </w:r>
      <w:r>
        <w:rPr>
          <w:sz w:val="22"/>
        </w:rPr>
        <w:t>del</w:t>
      </w:r>
      <w:r>
        <w:rPr>
          <w:spacing w:val="-8"/>
          <w:sz w:val="22"/>
        </w:rPr>
        <w:t> </w:t>
      </w:r>
      <w:r>
        <w:rPr>
          <w:sz w:val="22"/>
        </w:rPr>
        <w:t>100%</w:t>
      </w:r>
      <w:r>
        <w:rPr>
          <w:spacing w:val="-7"/>
          <w:sz w:val="22"/>
        </w:rPr>
        <w:t> </w:t>
      </w:r>
      <w:r>
        <w:rPr>
          <w:sz w:val="22"/>
        </w:rPr>
        <w:t>del</w:t>
      </w:r>
      <w:r>
        <w:rPr>
          <w:spacing w:val="-8"/>
          <w:sz w:val="22"/>
        </w:rPr>
        <w:t> </w:t>
      </w:r>
      <w:r>
        <w:rPr>
          <w:sz w:val="22"/>
        </w:rPr>
        <w:t>flujo</w:t>
      </w:r>
      <w:r>
        <w:rPr>
          <w:spacing w:val="-7"/>
          <w:sz w:val="22"/>
        </w:rPr>
        <w:t> </w:t>
      </w:r>
      <w:r>
        <w:rPr>
          <w:sz w:val="22"/>
        </w:rPr>
        <w:t>comercial</w:t>
      </w:r>
      <w:r>
        <w:rPr>
          <w:spacing w:val="-8"/>
          <w:sz w:val="22"/>
        </w:rPr>
        <w:t> </w:t>
      </w:r>
      <w:r>
        <w:rPr>
          <w:sz w:val="22"/>
        </w:rPr>
        <w:t>por</w:t>
      </w:r>
      <w:r>
        <w:rPr>
          <w:spacing w:val="-6"/>
          <w:sz w:val="22"/>
        </w:rPr>
        <w:t> </w:t>
      </w:r>
      <w:r>
        <w:rPr>
          <w:sz w:val="22"/>
        </w:rPr>
        <w:t>el</w:t>
      </w:r>
      <w:r>
        <w:rPr>
          <w:spacing w:val="-8"/>
          <w:sz w:val="22"/>
        </w:rPr>
        <w:t> </w:t>
      </w:r>
      <w:r>
        <w:rPr>
          <w:sz w:val="22"/>
        </w:rPr>
        <w:t>CEBAF</w:t>
      </w:r>
      <w:r>
        <w:rPr>
          <w:spacing w:val="-5"/>
          <w:sz w:val="22"/>
        </w:rPr>
        <w:t> </w:t>
      </w:r>
      <w:r>
        <w:rPr>
          <w:sz w:val="22"/>
        </w:rPr>
        <w:t>San</w:t>
      </w:r>
      <w:r>
        <w:rPr>
          <w:spacing w:val="-8"/>
          <w:sz w:val="22"/>
        </w:rPr>
        <w:t> </w:t>
      </w:r>
      <w:r>
        <w:rPr>
          <w:sz w:val="22"/>
        </w:rPr>
        <w:t>Miguel.</w:t>
      </w:r>
    </w:p>
    <w:p>
      <w:pPr>
        <w:pStyle w:val="BodyText"/>
        <w:rPr>
          <w:sz w:val="20"/>
        </w:rPr>
      </w:pPr>
    </w:p>
    <w:p>
      <w:pPr>
        <w:pStyle w:val="BodyText"/>
        <w:rPr>
          <w:sz w:val="20"/>
        </w:rPr>
      </w:pPr>
    </w:p>
    <w:p>
      <w:pPr>
        <w:pStyle w:val="BodyText"/>
        <w:rPr>
          <w:sz w:val="20"/>
        </w:rPr>
      </w:pPr>
    </w:p>
    <w:p>
      <w:pPr>
        <w:pStyle w:val="BodyText"/>
        <w:spacing w:before="27"/>
        <w:rPr>
          <w:sz w:val="20"/>
        </w:rPr>
      </w:pPr>
      <w:r>
        <w:rPr>
          <w:sz w:val="20"/>
        </w:rPr>
        <mc:AlternateContent>
          <mc:Choice Requires="wps">
            <w:drawing>
              <wp:anchor distT="0" distB="0" distL="0" distR="0" allowOverlap="1" layoutInCell="1" locked="0" behindDoc="1" simplePos="0" relativeHeight="487607296">
                <wp:simplePos x="0" y="0"/>
                <wp:positionH relativeFrom="page">
                  <wp:posOffset>990904</wp:posOffset>
                </wp:positionH>
                <wp:positionV relativeFrom="paragraph">
                  <wp:posOffset>178750</wp:posOffset>
                </wp:positionV>
                <wp:extent cx="1829435" cy="7620"/>
                <wp:effectExtent l="0" t="0" r="0" b="0"/>
                <wp:wrapTopAndBottom/>
                <wp:docPr id="225" name="Graphic 225"/>
                <wp:cNvGraphicFramePr>
                  <a:graphicFrameLocks/>
                </wp:cNvGraphicFramePr>
                <a:graphic>
                  <a:graphicData uri="http://schemas.microsoft.com/office/word/2010/wordprocessingShape">
                    <wps:wsp>
                      <wps:cNvPr id="225" name="Graphic 225"/>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4.074809pt;width:144.020pt;height:.599980pt;mso-position-horizontal-relative:page;mso-position-vertical-relative:paragraph;z-index:-15709184;mso-wrap-distance-left:0;mso-wrap-distance-right:0" id="docshape176" filled="true" fillcolor="#000000" stroked="false">
                <v:fill type="solid"/>
                <w10:wrap type="topAndBottom"/>
              </v:rect>
            </w:pict>
          </mc:Fallback>
        </mc:AlternateContent>
      </w:r>
    </w:p>
    <w:p>
      <w:pPr>
        <w:spacing w:before="86"/>
        <w:ind w:left="568" w:right="0" w:firstLine="0"/>
        <w:jc w:val="both"/>
        <w:rPr>
          <w:sz w:val="18"/>
        </w:rPr>
      </w:pPr>
      <w:bookmarkStart w:name="_bookmark31" w:id="32"/>
      <w:bookmarkEnd w:id="32"/>
      <w:r>
        <w:rPr/>
      </w:r>
      <w:r>
        <w:rPr>
          <w:position w:val="6"/>
          <w:sz w:val="12"/>
        </w:rPr>
        <w:t>32</w:t>
      </w:r>
      <w:r>
        <w:rPr>
          <w:spacing w:val="13"/>
          <w:position w:val="6"/>
          <w:sz w:val="12"/>
        </w:rPr>
        <w:t> </w:t>
      </w:r>
      <w:r>
        <w:rPr>
          <w:sz w:val="18"/>
        </w:rPr>
        <w:t>En</w:t>
      </w:r>
      <w:r>
        <w:rPr>
          <w:spacing w:val="-1"/>
          <w:sz w:val="18"/>
        </w:rPr>
        <w:t> </w:t>
      </w:r>
      <w:r>
        <w:rPr>
          <w:sz w:val="18"/>
        </w:rPr>
        <w:t>esa</w:t>
      </w:r>
      <w:r>
        <w:rPr>
          <w:spacing w:val="-2"/>
          <w:sz w:val="18"/>
        </w:rPr>
        <w:t> </w:t>
      </w:r>
      <w:r>
        <w:rPr>
          <w:sz w:val="18"/>
        </w:rPr>
        <w:t>línea,</w:t>
      </w:r>
      <w:r>
        <w:rPr>
          <w:spacing w:val="-3"/>
          <w:sz w:val="18"/>
        </w:rPr>
        <w:t> </w:t>
      </w:r>
      <w:r>
        <w:rPr>
          <w:sz w:val="18"/>
        </w:rPr>
        <w:t>puede</w:t>
      </w:r>
      <w:r>
        <w:rPr>
          <w:spacing w:val="-1"/>
          <w:sz w:val="18"/>
        </w:rPr>
        <w:t> </w:t>
      </w:r>
      <w:r>
        <w:rPr>
          <w:sz w:val="18"/>
        </w:rPr>
        <w:t>revisarse</w:t>
      </w:r>
      <w:r>
        <w:rPr>
          <w:spacing w:val="-3"/>
          <w:sz w:val="18"/>
        </w:rPr>
        <w:t> </w:t>
      </w:r>
      <w:r>
        <w:rPr>
          <w:sz w:val="18"/>
        </w:rPr>
        <w:t>también</w:t>
      </w:r>
      <w:r>
        <w:rPr>
          <w:spacing w:val="-4"/>
          <w:sz w:val="18"/>
        </w:rPr>
        <w:t> </w:t>
      </w:r>
      <w:r>
        <w:rPr>
          <w:sz w:val="18"/>
        </w:rPr>
        <w:t>el</w:t>
      </w:r>
      <w:r>
        <w:rPr>
          <w:spacing w:val="-1"/>
          <w:sz w:val="18"/>
        </w:rPr>
        <w:t> </w:t>
      </w:r>
      <w:r>
        <w:rPr>
          <w:sz w:val="18"/>
        </w:rPr>
        <w:t>Pronunciamiento</w:t>
      </w:r>
      <w:r>
        <w:rPr>
          <w:spacing w:val="-3"/>
          <w:sz w:val="18"/>
        </w:rPr>
        <w:t> </w:t>
      </w:r>
      <w:r>
        <w:rPr>
          <w:sz w:val="18"/>
        </w:rPr>
        <w:t>del</w:t>
      </w:r>
      <w:r>
        <w:rPr>
          <w:spacing w:val="-2"/>
          <w:sz w:val="18"/>
        </w:rPr>
        <w:t> </w:t>
      </w:r>
      <w:r>
        <w:rPr>
          <w:sz w:val="18"/>
        </w:rPr>
        <w:t>TJCAN</w:t>
      </w:r>
      <w:r>
        <w:rPr>
          <w:spacing w:val="-4"/>
          <w:sz w:val="18"/>
        </w:rPr>
        <w:t> </w:t>
      </w:r>
      <w:r>
        <w:rPr>
          <w:sz w:val="18"/>
        </w:rPr>
        <w:t>en</w:t>
      </w:r>
      <w:r>
        <w:rPr>
          <w:spacing w:val="-1"/>
          <w:sz w:val="18"/>
        </w:rPr>
        <w:t> </w:t>
      </w:r>
      <w:r>
        <w:rPr>
          <w:sz w:val="18"/>
        </w:rPr>
        <w:t>el</w:t>
      </w:r>
      <w:r>
        <w:rPr>
          <w:spacing w:val="-2"/>
          <w:sz w:val="18"/>
        </w:rPr>
        <w:t> </w:t>
      </w:r>
      <w:r>
        <w:rPr>
          <w:sz w:val="18"/>
        </w:rPr>
        <w:t>marco</w:t>
      </w:r>
      <w:r>
        <w:rPr>
          <w:spacing w:val="-3"/>
          <w:sz w:val="18"/>
        </w:rPr>
        <w:t> </w:t>
      </w:r>
      <w:r>
        <w:rPr>
          <w:sz w:val="18"/>
        </w:rPr>
        <w:t>del</w:t>
      </w:r>
      <w:r>
        <w:rPr>
          <w:spacing w:val="-3"/>
          <w:sz w:val="18"/>
        </w:rPr>
        <w:t> </w:t>
      </w:r>
      <w:r>
        <w:rPr>
          <w:sz w:val="18"/>
        </w:rPr>
        <w:t>Proceso</w:t>
      </w:r>
      <w:r>
        <w:rPr>
          <w:spacing w:val="-1"/>
          <w:sz w:val="18"/>
        </w:rPr>
        <w:t> </w:t>
      </w:r>
      <w:r>
        <w:rPr>
          <w:sz w:val="18"/>
        </w:rPr>
        <w:t>3-AI-</w:t>
      </w:r>
      <w:r>
        <w:rPr>
          <w:spacing w:val="-5"/>
          <w:sz w:val="18"/>
        </w:rPr>
        <w:t>97:</w:t>
      </w:r>
    </w:p>
    <w:p>
      <w:pPr>
        <w:spacing w:before="3"/>
        <w:ind w:left="568" w:right="978" w:firstLine="0"/>
        <w:jc w:val="both"/>
        <w:rPr>
          <w:sz w:val="18"/>
        </w:rPr>
      </w:pPr>
      <w:r>
        <w:rPr>
          <w:sz w:val="18"/>
        </w:rPr>
        <w:t>“</w:t>
      </w:r>
      <w:r>
        <w:rPr>
          <w:rFonts w:ascii="Arial" w:hAnsi="Arial"/>
          <w:i/>
          <w:sz w:val="18"/>
        </w:rPr>
        <w:t>Un obstáculo o impedimento a la importación libre de mercancías que se salga del objeto específico de las medidas</w:t>
      </w:r>
      <w:r>
        <w:rPr>
          <w:rFonts w:ascii="Arial" w:hAnsi="Arial"/>
          <w:i/>
          <w:spacing w:val="-4"/>
          <w:sz w:val="18"/>
        </w:rPr>
        <w:t> </w:t>
      </w:r>
      <w:r>
        <w:rPr>
          <w:rFonts w:ascii="Arial" w:hAnsi="Arial"/>
          <w:i/>
          <w:sz w:val="18"/>
        </w:rPr>
        <w:t>de</w:t>
      </w:r>
      <w:r>
        <w:rPr>
          <w:rFonts w:ascii="Arial" w:hAnsi="Arial"/>
          <w:i/>
          <w:spacing w:val="-4"/>
          <w:sz w:val="18"/>
        </w:rPr>
        <w:t> </w:t>
      </w:r>
      <w:r>
        <w:rPr>
          <w:rFonts w:ascii="Arial" w:hAnsi="Arial"/>
          <w:i/>
          <w:sz w:val="18"/>
        </w:rPr>
        <w:t>excepción</w:t>
      </w:r>
      <w:r>
        <w:rPr>
          <w:rFonts w:ascii="Arial" w:hAnsi="Arial"/>
          <w:i/>
          <w:spacing w:val="-2"/>
          <w:sz w:val="18"/>
        </w:rPr>
        <w:t> </w:t>
      </w:r>
      <w:r>
        <w:rPr>
          <w:rFonts w:ascii="Arial" w:hAnsi="Arial"/>
          <w:i/>
          <w:sz w:val="18"/>
        </w:rPr>
        <w:t>dirigiéndose </w:t>
      </w:r>
      <w:r>
        <w:rPr>
          <w:rFonts w:ascii="Arial" w:hAnsi="Arial"/>
          <w:i/>
          <w:sz w:val="18"/>
          <w:u w:val="single"/>
        </w:rPr>
        <w:t>a</w:t>
      </w:r>
      <w:r>
        <w:rPr>
          <w:rFonts w:ascii="Arial" w:hAnsi="Arial"/>
          <w:i/>
          <w:spacing w:val="-4"/>
          <w:sz w:val="18"/>
          <w:u w:val="single"/>
        </w:rPr>
        <w:t> </w:t>
      </w:r>
      <w:r>
        <w:rPr>
          <w:rFonts w:ascii="Arial" w:hAnsi="Arial"/>
          <w:i/>
          <w:sz w:val="18"/>
          <w:u w:val="single"/>
        </w:rPr>
        <w:t>imposibilitar</w:t>
      </w:r>
      <w:r>
        <w:rPr>
          <w:rFonts w:ascii="Arial" w:hAnsi="Arial"/>
          <w:i/>
          <w:spacing w:val="-4"/>
          <w:sz w:val="18"/>
          <w:u w:val="single"/>
        </w:rPr>
        <w:t> </w:t>
      </w:r>
      <w:r>
        <w:rPr>
          <w:rFonts w:ascii="Arial" w:hAnsi="Arial"/>
          <w:i/>
          <w:sz w:val="18"/>
          <w:u w:val="single"/>
        </w:rPr>
        <w:t>injustificadamente</w:t>
      </w:r>
      <w:r>
        <w:rPr>
          <w:rFonts w:ascii="Arial" w:hAnsi="Arial"/>
          <w:i/>
          <w:spacing w:val="-2"/>
          <w:sz w:val="18"/>
          <w:u w:val="single"/>
        </w:rPr>
        <w:t> </w:t>
      </w:r>
      <w:r>
        <w:rPr>
          <w:rFonts w:ascii="Arial" w:hAnsi="Arial"/>
          <w:i/>
          <w:sz w:val="18"/>
          <w:u w:val="single"/>
        </w:rPr>
        <w:t>la</w:t>
      </w:r>
      <w:r>
        <w:rPr>
          <w:rFonts w:ascii="Arial" w:hAnsi="Arial"/>
          <w:i/>
          <w:spacing w:val="-2"/>
          <w:sz w:val="18"/>
          <w:u w:val="single"/>
        </w:rPr>
        <w:t> </w:t>
      </w:r>
      <w:r>
        <w:rPr>
          <w:rFonts w:ascii="Arial" w:hAnsi="Arial"/>
          <w:i/>
          <w:sz w:val="18"/>
          <w:u w:val="single"/>
        </w:rPr>
        <w:t>importación</w:t>
      </w:r>
      <w:r>
        <w:rPr>
          <w:rFonts w:ascii="Arial" w:hAnsi="Arial"/>
          <w:i/>
          <w:spacing w:val="-4"/>
          <w:sz w:val="18"/>
          <w:u w:val="single"/>
        </w:rPr>
        <w:t> </w:t>
      </w:r>
      <w:r>
        <w:rPr>
          <w:rFonts w:ascii="Arial" w:hAnsi="Arial"/>
          <w:i/>
          <w:sz w:val="18"/>
          <w:u w:val="single"/>
        </w:rPr>
        <w:t>de</w:t>
      </w:r>
      <w:r>
        <w:rPr>
          <w:rFonts w:ascii="Arial" w:hAnsi="Arial"/>
          <w:i/>
          <w:spacing w:val="-4"/>
          <w:sz w:val="18"/>
          <w:u w:val="single"/>
        </w:rPr>
        <w:t> </w:t>
      </w:r>
      <w:r>
        <w:rPr>
          <w:rFonts w:ascii="Arial" w:hAnsi="Arial"/>
          <w:i/>
          <w:sz w:val="18"/>
          <w:u w:val="single"/>
        </w:rPr>
        <w:t>un</w:t>
      </w:r>
      <w:r>
        <w:rPr>
          <w:rFonts w:ascii="Arial" w:hAnsi="Arial"/>
          <w:i/>
          <w:spacing w:val="-2"/>
          <w:sz w:val="18"/>
          <w:u w:val="single"/>
        </w:rPr>
        <w:t> </w:t>
      </w:r>
      <w:r>
        <w:rPr>
          <w:rFonts w:ascii="Arial" w:hAnsi="Arial"/>
          <w:i/>
          <w:sz w:val="18"/>
          <w:u w:val="single"/>
        </w:rPr>
        <w:t>determinado</w:t>
      </w:r>
      <w:r>
        <w:rPr>
          <w:rFonts w:ascii="Arial" w:hAnsi="Arial"/>
          <w:i/>
          <w:spacing w:val="-2"/>
          <w:sz w:val="18"/>
          <w:u w:val="single"/>
        </w:rPr>
        <w:t> </w:t>
      </w:r>
      <w:r>
        <w:rPr>
          <w:rFonts w:ascii="Arial" w:hAnsi="Arial"/>
          <w:i/>
          <w:sz w:val="18"/>
          <w:u w:val="single"/>
        </w:rPr>
        <w:t>producto</w:t>
      </w:r>
      <w:r>
        <w:rPr>
          <w:rFonts w:ascii="Arial" w:hAnsi="Arial"/>
          <w:i/>
          <w:spacing w:val="-6"/>
          <w:sz w:val="18"/>
          <w:u w:val="single"/>
        </w:rPr>
        <w:t> </w:t>
      </w:r>
      <w:r>
        <w:rPr>
          <w:rFonts w:ascii="Arial" w:hAnsi="Arial"/>
          <w:i/>
          <w:sz w:val="18"/>
          <w:u w:val="single"/>
        </w:rPr>
        <w:t>o</w:t>
      </w:r>
      <w:r>
        <w:rPr>
          <w:rFonts w:ascii="Arial" w:hAnsi="Arial"/>
          <w:i/>
          <w:sz w:val="18"/>
        </w:rPr>
        <w:t> </w:t>
      </w:r>
      <w:r>
        <w:rPr>
          <w:rFonts w:ascii="Arial" w:hAnsi="Arial"/>
          <w:i/>
          <w:sz w:val="18"/>
          <w:u w:val="single"/>
        </w:rPr>
        <w:t>de</w:t>
      </w:r>
      <w:r>
        <w:rPr>
          <w:rFonts w:ascii="Arial" w:hAnsi="Arial"/>
          <w:i/>
          <w:spacing w:val="-7"/>
          <w:sz w:val="18"/>
          <w:u w:val="single"/>
        </w:rPr>
        <w:t> </w:t>
      </w:r>
      <w:r>
        <w:rPr>
          <w:rFonts w:ascii="Arial" w:hAnsi="Arial"/>
          <w:i/>
          <w:sz w:val="18"/>
          <w:u w:val="single"/>
        </w:rPr>
        <w:t>hacer</w:t>
      </w:r>
      <w:r>
        <w:rPr>
          <w:rFonts w:ascii="Arial" w:hAnsi="Arial"/>
          <w:i/>
          <w:spacing w:val="-8"/>
          <w:sz w:val="18"/>
          <w:u w:val="single"/>
        </w:rPr>
        <w:t> </w:t>
      </w:r>
      <w:r>
        <w:rPr>
          <w:rFonts w:ascii="Arial" w:hAnsi="Arial"/>
          <w:i/>
          <w:sz w:val="18"/>
          <w:u w:val="single"/>
        </w:rPr>
        <w:t>la</w:t>
      </w:r>
      <w:r>
        <w:rPr>
          <w:rFonts w:ascii="Arial" w:hAnsi="Arial"/>
          <w:i/>
          <w:spacing w:val="-7"/>
          <w:sz w:val="18"/>
          <w:u w:val="single"/>
        </w:rPr>
        <w:t> </w:t>
      </w:r>
      <w:r>
        <w:rPr>
          <w:rFonts w:ascii="Arial" w:hAnsi="Arial"/>
          <w:i/>
          <w:sz w:val="18"/>
          <w:u w:val="single"/>
        </w:rPr>
        <w:t>importación</w:t>
      </w:r>
      <w:r>
        <w:rPr>
          <w:rFonts w:ascii="Arial" w:hAnsi="Arial"/>
          <w:i/>
          <w:spacing w:val="-7"/>
          <w:sz w:val="18"/>
          <w:u w:val="single"/>
        </w:rPr>
        <w:t> </w:t>
      </w:r>
      <w:r>
        <w:rPr>
          <w:rFonts w:ascii="Arial" w:hAnsi="Arial"/>
          <w:i/>
          <w:sz w:val="18"/>
          <w:u w:val="single"/>
        </w:rPr>
        <w:t>más</w:t>
      </w:r>
      <w:r>
        <w:rPr>
          <w:rFonts w:ascii="Arial" w:hAnsi="Arial"/>
          <w:i/>
          <w:spacing w:val="-9"/>
          <w:sz w:val="18"/>
          <w:u w:val="single"/>
        </w:rPr>
        <w:t> </w:t>
      </w:r>
      <w:r>
        <w:rPr>
          <w:rFonts w:ascii="Arial" w:hAnsi="Arial"/>
          <w:i/>
          <w:sz w:val="18"/>
          <w:u w:val="single"/>
        </w:rPr>
        <w:t>difícil</w:t>
      </w:r>
      <w:r>
        <w:rPr>
          <w:rFonts w:ascii="Arial" w:hAnsi="Arial"/>
          <w:i/>
          <w:spacing w:val="-10"/>
          <w:sz w:val="18"/>
          <w:u w:val="single"/>
        </w:rPr>
        <w:t> </w:t>
      </w:r>
      <w:r>
        <w:rPr>
          <w:rFonts w:ascii="Arial" w:hAnsi="Arial"/>
          <w:i/>
          <w:sz w:val="18"/>
          <w:u w:val="single"/>
        </w:rPr>
        <w:t>o</w:t>
      </w:r>
      <w:r>
        <w:rPr>
          <w:rFonts w:ascii="Arial" w:hAnsi="Arial"/>
          <w:i/>
          <w:spacing w:val="-7"/>
          <w:sz w:val="18"/>
          <w:u w:val="single"/>
        </w:rPr>
        <w:t> </w:t>
      </w:r>
      <w:r>
        <w:rPr>
          <w:rFonts w:ascii="Arial" w:hAnsi="Arial"/>
          <w:i/>
          <w:sz w:val="18"/>
          <w:u w:val="single"/>
        </w:rPr>
        <w:t>más</w:t>
      </w:r>
      <w:r>
        <w:rPr>
          <w:rFonts w:ascii="Arial" w:hAnsi="Arial"/>
          <w:i/>
          <w:spacing w:val="-9"/>
          <w:sz w:val="18"/>
          <w:u w:val="single"/>
        </w:rPr>
        <w:t> </w:t>
      </w:r>
      <w:r>
        <w:rPr>
          <w:rFonts w:ascii="Arial" w:hAnsi="Arial"/>
          <w:i/>
          <w:sz w:val="18"/>
          <w:u w:val="single"/>
        </w:rPr>
        <w:t>costosa,</w:t>
      </w:r>
      <w:r>
        <w:rPr>
          <w:rFonts w:ascii="Arial" w:hAnsi="Arial"/>
          <w:i/>
          <w:spacing w:val="-8"/>
          <w:sz w:val="18"/>
          <w:u w:val="single"/>
        </w:rPr>
        <w:t> </w:t>
      </w:r>
      <w:r>
        <w:rPr>
          <w:rFonts w:ascii="Arial" w:hAnsi="Arial"/>
          <w:i/>
          <w:sz w:val="18"/>
          <w:u w:val="single"/>
        </w:rPr>
        <w:t>puede</w:t>
      </w:r>
      <w:r>
        <w:rPr>
          <w:rFonts w:ascii="Arial" w:hAnsi="Arial"/>
          <w:i/>
          <w:spacing w:val="-7"/>
          <w:sz w:val="18"/>
          <w:u w:val="single"/>
        </w:rPr>
        <w:t> </w:t>
      </w:r>
      <w:r>
        <w:rPr>
          <w:rFonts w:ascii="Arial" w:hAnsi="Arial"/>
          <w:i/>
          <w:sz w:val="18"/>
          <w:u w:val="single"/>
        </w:rPr>
        <w:t>reunir</w:t>
      </w:r>
      <w:r>
        <w:rPr>
          <w:rFonts w:ascii="Arial" w:hAnsi="Arial"/>
          <w:i/>
          <w:spacing w:val="-8"/>
          <w:sz w:val="18"/>
          <w:u w:val="single"/>
        </w:rPr>
        <w:t> </w:t>
      </w:r>
      <w:r>
        <w:rPr>
          <w:rFonts w:ascii="Arial" w:hAnsi="Arial"/>
          <w:i/>
          <w:sz w:val="18"/>
          <w:u w:val="single"/>
        </w:rPr>
        <w:t>las</w:t>
      </w:r>
      <w:r>
        <w:rPr>
          <w:rFonts w:ascii="Arial" w:hAnsi="Arial"/>
          <w:i/>
          <w:spacing w:val="-7"/>
          <w:sz w:val="18"/>
          <w:u w:val="single"/>
        </w:rPr>
        <w:t> </w:t>
      </w:r>
      <w:r>
        <w:rPr>
          <w:rFonts w:ascii="Arial" w:hAnsi="Arial"/>
          <w:i/>
          <w:sz w:val="18"/>
          <w:u w:val="single"/>
        </w:rPr>
        <w:t>características</w:t>
      </w:r>
      <w:r>
        <w:rPr>
          <w:rFonts w:ascii="Arial" w:hAnsi="Arial"/>
          <w:i/>
          <w:spacing w:val="-9"/>
          <w:sz w:val="18"/>
          <w:u w:val="single"/>
        </w:rPr>
        <w:t> </w:t>
      </w:r>
      <w:r>
        <w:rPr>
          <w:rFonts w:ascii="Arial" w:hAnsi="Arial"/>
          <w:i/>
          <w:sz w:val="18"/>
          <w:u w:val="single"/>
        </w:rPr>
        <w:t>de</w:t>
      </w:r>
      <w:r>
        <w:rPr>
          <w:rFonts w:ascii="Arial" w:hAnsi="Arial"/>
          <w:i/>
          <w:spacing w:val="-7"/>
          <w:sz w:val="18"/>
          <w:u w:val="single"/>
        </w:rPr>
        <w:t> </w:t>
      </w:r>
      <w:r>
        <w:rPr>
          <w:rFonts w:ascii="Arial" w:hAnsi="Arial"/>
          <w:i/>
          <w:sz w:val="18"/>
          <w:u w:val="single"/>
        </w:rPr>
        <w:t>restricción</w:t>
      </w:r>
      <w:r>
        <w:rPr>
          <w:rFonts w:ascii="Arial" w:hAnsi="Arial"/>
          <w:i/>
          <w:spacing w:val="-7"/>
          <w:sz w:val="18"/>
          <w:u w:val="single"/>
        </w:rPr>
        <w:t> </w:t>
      </w:r>
      <w:r>
        <w:rPr>
          <w:rFonts w:ascii="Arial" w:hAnsi="Arial"/>
          <w:i/>
          <w:sz w:val="18"/>
          <w:u w:val="single"/>
        </w:rPr>
        <w:t>al</w:t>
      </w:r>
      <w:r>
        <w:rPr>
          <w:rFonts w:ascii="Arial" w:hAnsi="Arial"/>
          <w:i/>
          <w:spacing w:val="-7"/>
          <w:sz w:val="18"/>
          <w:u w:val="single"/>
        </w:rPr>
        <w:t> </w:t>
      </w:r>
      <w:r>
        <w:rPr>
          <w:rFonts w:ascii="Arial" w:hAnsi="Arial"/>
          <w:i/>
          <w:sz w:val="18"/>
          <w:u w:val="single"/>
        </w:rPr>
        <w:t>comercio</w:t>
      </w:r>
      <w:r>
        <w:rPr>
          <w:rFonts w:ascii="Arial" w:hAnsi="Arial"/>
          <w:i/>
          <w:sz w:val="18"/>
        </w:rPr>
        <w:t> y</w:t>
      </w:r>
      <w:r>
        <w:rPr>
          <w:rFonts w:ascii="Arial" w:hAnsi="Arial"/>
          <w:i/>
          <w:spacing w:val="-7"/>
          <w:sz w:val="18"/>
        </w:rPr>
        <w:t> </w:t>
      </w:r>
      <w:r>
        <w:rPr>
          <w:rFonts w:ascii="Arial" w:hAnsi="Arial"/>
          <w:i/>
          <w:sz w:val="18"/>
        </w:rPr>
        <w:t>más aún cuando una medida tiene el carácter discriminatorio (…)</w:t>
      </w:r>
      <w:r>
        <w:rPr>
          <w:sz w:val="18"/>
        </w:rPr>
        <w:t>” [Énfasis añadido] Sentencia del</w:t>
      </w:r>
      <w:r>
        <w:rPr>
          <w:spacing w:val="17"/>
          <w:sz w:val="18"/>
        </w:rPr>
        <w:t> </w:t>
      </w:r>
      <w:r>
        <w:rPr>
          <w:sz w:val="18"/>
        </w:rPr>
        <w:t>Proceso 3-AI-97,</w:t>
      </w:r>
    </w:p>
    <w:p>
      <w:pPr>
        <w:tabs>
          <w:tab w:pos="568" w:val="left" w:leader="none"/>
          <w:tab w:pos="9816" w:val="left" w:leader="none"/>
        </w:tabs>
        <w:spacing w:before="0"/>
        <w:ind w:left="160" w:right="0" w:firstLine="0"/>
        <w:jc w:val="left"/>
        <w:rPr>
          <w:sz w:val="18"/>
        </w:rPr>
      </w:pPr>
      <w:r>
        <w:rPr>
          <w:sz w:val="18"/>
          <w:u w:val="single"/>
        </w:rPr>
        <w:tab/>
        <w:t>publicada</w:t>
      </w:r>
      <w:r>
        <w:rPr>
          <w:spacing w:val="-4"/>
          <w:sz w:val="18"/>
          <w:u w:val="single"/>
        </w:rPr>
        <w:t> </w:t>
      </w:r>
      <w:r>
        <w:rPr>
          <w:sz w:val="18"/>
          <w:u w:val="single"/>
        </w:rPr>
        <w:t>en</w:t>
      </w:r>
      <w:r>
        <w:rPr>
          <w:spacing w:val="-2"/>
          <w:sz w:val="18"/>
          <w:u w:val="single"/>
        </w:rPr>
        <w:t> </w:t>
      </w:r>
      <w:r>
        <w:rPr>
          <w:sz w:val="18"/>
          <w:u w:val="single"/>
        </w:rPr>
        <w:t>la</w:t>
      </w:r>
      <w:r>
        <w:rPr>
          <w:spacing w:val="-3"/>
          <w:sz w:val="18"/>
          <w:u w:val="single"/>
        </w:rPr>
        <w:t> </w:t>
      </w:r>
      <w:r>
        <w:rPr>
          <w:sz w:val="18"/>
          <w:u w:val="single"/>
        </w:rPr>
        <w:t>Gaceta</w:t>
      </w:r>
      <w:r>
        <w:rPr>
          <w:spacing w:val="-2"/>
          <w:sz w:val="18"/>
          <w:u w:val="single"/>
        </w:rPr>
        <w:t> </w:t>
      </w:r>
      <w:r>
        <w:rPr>
          <w:sz w:val="18"/>
          <w:u w:val="single"/>
        </w:rPr>
        <w:t>Oficial</w:t>
      </w:r>
      <w:r>
        <w:rPr>
          <w:spacing w:val="-5"/>
          <w:sz w:val="18"/>
          <w:u w:val="single"/>
        </w:rPr>
        <w:t> </w:t>
      </w:r>
      <w:r>
        <w:rPr>
          <w:sz w:val="18"/>
          <w:u w:val="single"/>
        </w:rPr>
        <w:t>del</w:t>
      </w:r>
      <w:r>
        <w:rPr>
          <w:spacing w:val="-2"/>
          <w:sz w:val="18"/>
          <w:u w:val="single"/>
        </w:rPr>
        <w:t> </w:t>
      </w:r>
      <w:r>
        <w:rPr>
          <w:sz w:val="18"/>
          <w:u w:val="single"/>
        </w:rPr>
        <w:t>Acuerdo</w:t>
      </w:r>
      <w:r>
        <w:rPr>
          <w:spacing w:val="-1"/>
          <w:sz w:val="18"/>
          <w:u w:val="single"/>
        </w:rPr>
        <w:t> </w:t>
      </w:r>
      <w:r>
        <w:rPr>
          <w:sz w:val="18"/>
          <w:u w:val="single"/>
        </w:rPr>
        <w:t>de</w:t>
      </w:r>
      <w:r>
        <w:rPr>
          <w:spacing w:val="-4"/>
          <w:sz w:val="18"/>
          <w:u w:val="single"/>
        </w:rPr>
        <w:t> </w:t>
      </w:r>
      <w:r>
        <w:rPr>
          <w:sz w:val="18"/>
          <w:u w:val="single"/>
        </w:rPr>
        <w:t>Cartagena</w:t>
      </w:r>
      <w:r>
        <w:rPr>
          <w:spacing w:val="-2"/>
          <w:sz w:val="18"/>
          <w:u w:val="single"/>
        </w:rPr>
        <w:t> </w:t>
      </w:r>
      <w:r>
        <w:rPr>
          <w:sz w:val="18"/>
          <w:u w:val="single"/>
        </w:rPr>
        <w:t>N°</w:t>
      </w:r>
      <w:r>
        <w:rPr>
          <w:spacing w:val="-3"/>
          <w:sz w:val="18"/>
          <w:u w:val="single"/>
        </w:rPr>
        <w:t> </w:t>
      </w:r>
      <w:r>
        <w:rPr>
          <w:sz w:val="18"/>
          <w:u w:val="single"/>
        </w:rPr>
        <w:t>410,</w:t>
      </w:r>
      <w:r>
        <w:rPr>
          <w:spacing w:val="-2"/>
          <w:sz w:val="18"/>
          <w:u w:val="single"/>
        </w:rPr>
        <w:t> </w:t>
      </w:r>
      <w:r>
        <w:rPr>
          <w:sz w:val="18"/>
          <w:u w:val="single"/>
        </w:rPr>
        <w:t>de</w:t>
      </w:r>
      <w:r>
        <w:rPr>
          <w:spacing w:val="-1"/>
          <w:sz w:val="18"/>
          <w:u w:val="single"/>
        </w:rPr>
        <w:t> </w:t>
      </w:r>
      <w:r>
        <w:rPr>
          <w:sz w:val="18"/>
          <w:u w:val="single"/>
        </w:rPr>
        <w:t>24</w:t>
      </w:r>
      <w:r>
        <w:rPr>
          <w:spacing w:val="-4"/>
          <w:sz w:val="18"/>
          <w:u w:val="single"/>
        </w:rPr>
        <w:t> </w:t>
      </w:r>
      <w:r>
        <w:rPr>
          <w:sz w:val="18"/>
          <w:u w:val="single"/>
        </w:rPr>
        <w:t>de</w:t>
      </w:r>
      <w:r>
        <w:rPr>
          <w:spacing w:val="-3"/>
          <w:sz w:val="18"/>
          <w:u w:val="single"/>
        </w:rPr>
        <w:t> </w:t>
      </w:r>
      <w:r>
        <w:rPr>
          <w:sz w:val="18"/>
          <w:u w:val="single"/>
        </w:rPr>
        <w:t>febrero</w:t>
      </w:r>
      <w:r>
        <w:rPr>
          <w:spacing w:val="-2"/>
          <w:sz w:val="18"/>
          <w:u w:val="single"/>
        </w:rPr>
        <w:t> </w:t>
      </w:r>
      <w:r>
        <w:rPr>
          <w:sz w:val="18"/>
          <w:u w:val="single"/>
        </w:rPr>
        <w:t>de</w:t>
      </w:r>
      <w:r>
        <w:rPr>
          <w:spacing w:val="-3"/>
          <w:sz w:val="18"/>
          <w:u w:val="single"/>
        </w:rPr>
        <w:t> </w:t>
      </w:r>
      <w:r>
        <w:rPr>
          <w:spacing w:val="-2"/>
          <w:sz w:val="18"/>
          <w:u w:val="single"/>
        </w:rPr>
        <w:t>1999.</w:t>
      </w:r>
      <w:r>
        <w:rPr>
          <w:sz w:val="18"/>
          <w:u w:val="single"/>
        </w:rPr>
        <w:tab/>
      </w:r>
    </w:p>
    <w:p>
      <w:pPr>
        <w:spacing w:after="0"/>
        <w:jc w:val="left"/>
        <w:rPr>
          <w:sz w:val="18"/>
        </w:rPr>
        <w:sectPr>
          <w:pgSz w:w="11900" w:h="16850"/>
          <w:pgMar w:header="370" w:footer="597" w:top="1380" w:bottom="780" w:left="992" w:right="283"/>
        </w:sectPr>
      </w:pPr>
    </w:p>
    <w:p>
      <w:pPr>
        <w:pStyle w:val="BodyText"/>
        <w:spacing w:before="176"/>
      </w:pPr>
    </w:p>
    <w:p>
      <w:pPr>
        <w:pStyle w:val="ListParagraph"/>
        <w:numPr>
          <w:ilvl w:val="0"/>
          <w:numId w:val="2"/>
        </w:numPr>
        <w:tabs>
          <w:tab w:pos="1416" w:val="left" w:leader="none"/>
          <w:tab w:pos="1420" w:val="left" w:leader="none"/>
        </w:tabs>
        <w:spacing w:line="240" w:lineRule="auto" w:before="0" w:after="0"/>
        <w:ind w:left="1420" w:right="977" w:hanging="852"/>
        <w:jc w:val="both"/>
        <w:rPr>
          <w:sz w:val="22"/>
        </w:rPr>
      </w:pPr>
      <w:r>
        <w:rPr>
          <w:sz w:val="22"/>
        </w:rPr>
        <w:t>Con el propósito de profundizar el análisis sobre los efectos de la medida, resulta pertinente</w:t>
      </w:r>
      <w:r>
        <w:rPr>
          <w:spacing w:val="-1"/>
          <w:sz w:val="22"/>
        </w:rPr>
        <w:t> </w:t>
      </w:r>
      <w:r>
        <w:rPr>
          <w:sz w:val="22"/>
        </w:rPr>
        <w:t>examinar el</w:t>
      </w:r>
      <w:r>
        <w:rPr>
          <w:spacing w:val="-3"/>
          <w:sz w:val="22"/>
        </w:rPr>
        <w:t> </w:t>
      </w:r>
      <w:r>
        <w:rPr>
          <w:sz w:val="22"/>
        </w:rPr>
        <w:t>comportamiento de</w:t>
      </w:r>
      <w:r>
        <w:rPr>
          <w:spacing w:val="-2"/>
          <w:sz w:val="22"/>
        </w:rPr>
        <w:t> </w:t>
      </w:r>
      <w:r>
        <w:rPr>
          <w:sz w:val="22"/>
        </w:rPr>
        <w:t>las</w:t>
      </w:r>
      <w:r>
        <w:rPr>
          <w:spacing w:val="-2"/>
          <w:sz w:val="22"/>
        </w:rPr>
        <w:t> </w:t>
      </w:r>
      <w:r>
        <w:rPr>
          <w:sz w:val="22"/>
        </w:rPr>
        <w:t>principales subpartidas</w:t>
      </w:r>
      <w:r>
        <w:rPr>
          <w:spacing w:val="-1"/>
          <w:sz w:val="22"/>
        </w:rPr>
        <w:t> </w:t>
      </w:r>
      <w:r>
        <w:rPr>
          <w:sz w:val="22"/>
        </w:rPr>
        <w:t>arancelarias</w:t>
      </w:r>
      <w:hyperlink w:history="true" w:anchor="_bookmark32">
        <w:r>
          <w:rPr>
            <w:sz w:val="22"/>
            <w:vertAlign w:val="superscript"/>
          </w:rPr>
          <w:t>33</w:t>
        </w:r>
      </w:hyperlink>
      <w:r>
        <w:rPr>
          <w:sz w:val="22"/>
          <w:vertAlign w:val="baseline"/>
        </w:rPr>
        <w:t> que ingresaron a través del paso fronterizo CEBAF San Miguel durante el periodo 2024–2025, a fin</w:t>
      </w:r>
      <w:r>
        <w:rPr>
          <w:spacing w:val="-1"/>
          <w:sz w:val="22"/>
          <w:vertAlign w:val="baseline"/>
        </w:rPr>
        <w:t> </w:t>
      </w:r>
      <w:r>
        <w:rPr>
          <w:sz w:val="22"/>
          <w:vertAlign w:val="baseline"/>
        </w:rPr>
        <w:t>de</w:t>
      </w:r>
      <w:r>
        <w:rPr>
          <w:spacing w:val="-1"/>
          <w:sz w:val="22"/>
          <w:vertAlign w:val="baseline"/>
        </w:rPr>
        <w:t> </w:t>
      </w:r>
      <w:r>
        <w:rPr>
          <w:sz w:val="22"/>
          <w:vertAlign w:val="baseline"/>
        </w:rPr>
        <w:t>contrastarlas con los</w:t>
      </w:r>
      <w:r>
        <w:rPr>
          <w:spacing w:val="-3"/>
          <w:sz w:val="22"/>
          <w:vertAlign w:val="baseline"/>
        </w:rPr>
        <w:t> </w:t>
      </w:r>
      <w:r>
        <w:rPr>
          <w:sz w:val="22"/>
          <w:vertAlign w:val="baseline"/>
        </w:rPr>
        <w:t>registros de</w:t>
      </w:r>
      <w:r>
        <w:rPr>
          <w:spacing w:val="-1"/>
          <w:sz w:val="22"/>
          <w:vertAlign w:val="baseline"/>
        </w:rPr>
        <w:t> </w:t>
      </w:r>
      <w:r>
        <w:rPr>
          <w:sz w:val="22"/>
          <w:vertAlign w:val="baseline"/>
        </w:rPr>
        <w:t>importación</w:t>
      </w:r>
      <w:r>
        <w:rPr>
          <w:spacing w:val="-1"/>
          <w:sz w:val="22"/>
          <w:vertAlign w:val="baseline"/>
        </w:rPr>
        <w:t> </w:t>
      </w:r>
      <w:r>
        <w:rPr>
          <w:sz w:val="22"/>
          <w:vertAlign w:val="baseline"/>
        </w:rPr>
        <w:t>correspondientes a</w:t>
      </w:r>
      <w:r>
        <w:rPr>
          <w:spacing w:val="-6"/>
          <w:sz w:val="22"/>
          <w:vertAlign w:val="baseline"/>
        </w:rPr>
        <w:t> </w:t>
      </w:r>
      <w:r>
        <w:rPr>
          <w:sz w:val="22"/>
          <w:vertAlign w:val="baseline"/>
        </w:rPr>
        <w:t>los</w:t>
      </w:r>
      <w:r>
        <w:rPr>
          <w:spacing w:val="-9"/>
          <w:sz w:val="22"/>
          <w:vertAlign w:val="baseline"/>
        </w:rPr>
        <w:t> </w:t>
      </w:r>
      <w:r>
        <w:rPr>
          <w:sz w:val="22"/>
          <w:vertAlign w:val="baseline"/>
        </w:rPr>
        <w:t>meses</w:t>
      </w:r>
      <w:r>
        <w:rPr>
          <w:spacing w:val="-8"/>
          <w:sz w:val="22"/>
          <w:vertAlign w:val="baseline"/>
        </w:rPr>
        <w:t> </w:t>
      </w:r>
      <w:r>
        <w:rPr>
          <w:sz w:val="22"/>
          <w:vertAlign w:val="baseline"/>
        </w:rPr>
        <w:t>de</w:t>
      </w:r>
      <w:r>
        <w:rPr>
          <w:spacing w:val="-9"/>
          <w:sz w:val="22"/>
          <w:vertAlign w:val="baseline"/>
        </w:rPr>
        <w:t> </w:t>
      </w:r>
      <w:r>
        <w:rPr>
          <w:sz w:val="22"/>
          <w:vertAlign w:val="baseline"/>
        </w:rPr>
        <w:t>enero</w:t>
      </w:r>
      <w:r>
        <w:rPr>
          <w:spacing w:val="-9"/>
          <w:sz w:val="22"/>
          <w:vertAlign w:val="baseline"/>
        </w:rPr>
        <w:t> </w:t>
      </w:r>
      <w:r>
        <w:rPr>
          <w:sz w:val="22"/>
          <w:vertAlign w:val="baseline"/>
        </w:rPr>
        <w:t>y</w:t>
      </w:r>
      <w:r>
        <w:rPr>
          <w:spacing w:val="-8"/>
          <w:sz w:val="22"/>
          <w:vertAlign w:val="baseline"/>
        </w:rPr>
        <w:t> </w:t>
      </w:r>
      <w:r>
        <w:rPr>
          <w:sz w:val="22"/>
          <w:vertAlign w:val="baseline"/>
        </w:rPr>
        <w:t>febrero</w:t>
      </w:r>
      <w:r>
        <w:rPr>
          <w:spacing w:val="-8"/>
          <w:sz w:val="22"/>
          <w:vertAlign w:val="baseline"/>
        </w:rPr>
        <w:t> </w:t>
      </w:r>
      <w:r>
        <w:rPr>
          <w:sz w:val="22"/>
          <w:vertAlign w:val="baseline"/>
        </w:rPr>
        <w:t>de</w:t>
      </w:r>
      <w:r>
        <w:rPr>
          <w:spacing w:val="-9"/>
          <w:sz w:val="22"/>
          <w:vertAlign w:val="baseline"/>
        </w:rPr>
        <w:t> </w:t>
      </w:r>
      <w:r>
        <w:rPr>
          <w:sz w:val="22"/>
          <w:vertAlign w:val="baseline"/>
        </w:rPr>
        <w:t>2026</w:t>
      </w:r>
      <w:r>
        <w:rPr>
          <w:spacing w:val="-9"/>
          <w:sz w:val="22"/>
          <w:vertAlign w:val="baseline"/>
        </w:rPr>
        <w:t> </w:t>
      </w:r>
      <w:r>
        <w:rPr>
          <w:sz w:val="22"/>
          <w:vertAlign w:val="baseline"/>
        </w:rPr>
        <w:t>en</w:t>
      </w:r>
      <w:r>
        <w:rPr>
          <w:spacing w:val="-7"/>
          <w:sz w:val="22"/>
          <w:vertAlign w:val="baseline"/>
        </w:rPr>
        <w:t> </w:t>
      </w:r>
      <w:r>
        <w:rPr>
          <w:sz w:val="22"/>
          <w:vertAlign w:val="baseline"/>
        </w:rPr>
        <w:t>el</w:t>
      </w:r>
      <w:r>
        <w:rPr>
          <w:spacing w:val="-10"/>
          <w:sz w:val="22"/>
          <w:vertAlign w:val="baseline"/>
        </w:rPr>
        <w:t> </w:t>
      </w:r>
      <w:r>
        <w:rPr>
          <w:sz w:val="22"/>
          <w:vertAlign w:val="baseline"/>
        </w:rPr>
        <w:t>paso</w:t>
      </w:r>
      <w:r>
        <w:rPr>
          <w:spacing w:val="-6"/>
          <w:sz w:val="22"/>
          <w:vertAlign w:val="baseline"/>
        </w:rPr>
        <w:t> </w:t>
      </w:r>
      <w:r>
        <w:rPr>
          <w:sz w:val="22"/>
          <w:vertAlign w:val="baseline"/>
        </w:rPr>
        <w:t>internacional</w:t>
      </w:r>
      <w:r>
        <w:rPr>
          <w:spacing w:val="-7"/>
          <w:sz w:val="22"/>
          <w:vertAlign w:val="baseline"/>
        </w:rPr>
        <w:t> </w:t>
      </w:r>
      <w:r>
        <w:rPr>
          <w:sz w:val="22"/>
          <w:vertAlign w:val="baseline"/>
        </w:rPr>
        <w:t>de</w:t>
      </w:r>
      <w:r>
        <w:rPr>
          <w:spacing w:val="-9"/>
          <w:sz w:val="22"/>
          <w:vertAlign w:val="baseline"/>
        </w:rPr>
        <w:t> </w:t>
      </w:r>
      <w:r>
        <w:rPr>
          <w:sz w:val="22"/>
          <w:vertAlign w:val="baseline"/>
        </w:rPr>
        <w:t>Rumichaca.</w:t>
      </w:r>
      <w:r>
        <w:rPr>
          <w:spacing w:val="-8"/>
          <w:sz w:val="22"/>
          <w:vertAlign w:val="baseline"/>
        </w:rPr>
        <w:t> </w:t>
      </w:r>
      <w:r>
        <w:rPr>
          <w:sz w:val="22"/>
          <w:vertAlign w:val="baseline"/>
        </w:rPr>
        <w:t>Este ejercicio,</w:t>
      </w:r>
      <w:r>
        <w:rPr>
          <w:spacing w:val="-12"/>
          <w:sz w:val="22"/>
          <w:vertAlign w:val="baseline"/>
        </w:rPr>
        <w:t> </w:t>
      </w:r>
      <w:r>
        <w:rPr>
          <w:sz w:val="22"/>
          <w:vertAlign w:val="baseline"/>
        </w:rPr>
        <w:t>permitirá</w:t>
      </w:r>
      <w:r>
        <w:rPr>
          <w:spacing w:val="-13"/>
          <w:sz w:val="22"/>
          <w:vertAlign w:val="baseline"/>
        </w:rPr>
        <w:t> </w:t>
      </w:r>
      <w:r>
        <w:rPr>
          <w:sz w:val="22"/>
          <w:vertAlign w:val="baseline"/>
        </w:rPr>
        <w:t>verificar</w:t>
      </w:r>
      <w:r>
        <w:rPr>
          <w:spacing w:val="-12"/>
          <w:sz w:val="22"/>
          <w:vertAlign w:val="baseline"/>
        </w:rPr>
        <w:t> </w:t>
      </w:r>
      <w:r>
        <w:rPr>
          <w:sz w:val="22"/>
          <w:vertAlign w:val="baseline"/>
        </w:rPr>
        <w:t>si</w:t>
      </w:r>
      <w:r>
        <w:rPr>
          <w:spacing w:val="-14"/>
          <w:sz w:val="22"/>
          <w:vertAlign w:val="baseline"/>
        </w:rPr>
        <w:t> </w:t>
      </w:r>
      <w:r>
        <w:rPr>
          <w:sz w:val="22"/>
          <w:vertAlign w:val="baseline"/>
        </w:rPr>
        <w:t>dichas</w:t>
      </w:r>
      <w:r>
        <w:rPr>
          <w:spacing w:val="-13"/>
          <w:sz w:val="22"/>
          <w:vertAlign w:val="baseline"/>
        </w:rPr>
        <w:t> </w:t>
      </w:r>
      <w:r>
        <w:rPr>
          <w:sz w:val="22"/>
          <w:vertAlign w:val="baseline"/>
        </w:rPr>
        <w:t>mercancías</w:t>
      </w:r>
      <w:r>
        <w:rPr>
          <w:spacing w:val="-15"/>
          <w:sz w:val="22"/>
          <w:vertAlign w:val="baseline"/>
        </w:rPr>
        <w:t> </w:t>
      </w:r>
      <w:r>
        <w:rPr>
          <w:sz w:val="22"/>
          <w:vertAlign w:val="baseline"/>
        </w:rPr>
        <w:t>fueron</w:t>
      </w:r>
      <w:r>
        <w:rPr>
          <w:spacing w:val="-14"/>
          <w:sz w:val="22"/>
          <w:vertAlign w:val="baseline"/>
        </w:rPr>
        <w:t> </w:t>
      </w:r>
      <w:r>
        <w:rPr>
          <w:sz w:val="22"/>
          <w:vertAlign w:val="baseline"/>
        </w:rPr>
        <w:t>efectivamente</w:t>
      </w:r>
      <w:r>
        <w:rPr>
          <w:spacing w:val="-16"/>
          <w:sz w:val="22"/>
          <w:vertAlign w:val="baseline"/>
        </w:rPr>
        <w:t> </w:t>
      </w:r>
      <w:r>
        <w:rPr>
          <w:sz w:val="22"/>
          <w:vertAlign w:val="baseline"/>
        </w:rPr>
        <w:t>reencauzadas a</w:t>
      </w:r>
      <w:r>
        <w:rPr>
          <w:spacing w:val="-7"/>
          <w:sz w:val="22"/>
          <w:vertAlign w:val="baseline"/>
        </w:rPr>
        <w:t> </w:t>
      </w:r>
      <w:r>
        <w:rPr>
          <w:sz w:val="22"/>
          <w:vertAlign w:val="baseline"/>
        </w:rPr>
        <w:t>través</w:t>
      </w:r>
      <w:r>
        <w:rPr>
          <w:spacing w:val="-7"/>
          <w:sz w:val="22"/>
          <w:vertAlign w:val="baseline"/>
        </w:rPr>
        <w:t> </w:t>
      </w:r>
      <w:r>
        <w:rPr>
          <w:sz w:val="22"/>
          <w:vertAlign w:val="baseline"/>
        </w:rPr>
        <w:t>del</w:t>
      </w:r>
      <w:r>
        <w:rPr>
          <w:spacing w:val="-8"/>
          <w:sz w:val="22"/>
          <w:vertAlign w:val="baseline"/>
        </w:rPr>
        <w:t> </w:t>
      </w:r>
      <w:r>
        <w:rPr>
          <w:sz w:val="22"/>
          <w:vertAlign w:val="baseline"/>
        </w:rPr>
        <w:t>paso</w:t>
      </w:r>
      <w:r>
        <w:rPr>
          <w:spacing w:val="-10"/>
          <w:sz w:val="22"/>
          <w:vertAlign w:val="baseline"/>
        </w:rPr>
        <w:t> </w:t>
      </w:r>
      <w:r>
        <w:rPr>
          <w:sz w:val="22"/>
          <w:vertAlign w:val="baseline"/>
        </w:rPr>
        <w:t>habilitado</w:t>
      </w:r>
      <w:r>
        <w:rPr>
          <w:spacing w:val="-7"/>
          <w:sz w:val="22"/>
          <w:vertAlign w:val="baseline"/>
        </w:rPr>
        <w:t> </w:t>
      </w:r>
      <w:r>
        <w:rPr>
          <w:sz w:val="22"/>
          <w:vertAlign w:val="baseline"/>
        </w:rPr>
        <w:t>o,</w:t>
      </w:r>
      <w:r>
        <w:rPr>
          <w:spacing w:val="-6"/>
          <w:sz w:val="22"/>
          <w:vertAlign w:val="baseline"/>
        </w:rPr>
        <w:t> </w:t>
      </w:r>
      <w:r>
        <w:rPr>
          <w:sz w:val="22"/>
          <w:vertAlign w:val="baseline"/>
        </w:rPr>
        <w:t>por</w:t>
      </w:r>
      <w:r>
        <w:rPr>
          <w:spacing w:val="-6"/>
          <w:sz w:val="22"/>
          <w:vertAlign w:val="baseline"/>
        </w:rPr>
        <w:t> </w:t>
      </w:r>
      <w:r>
        <w:rPr>
          <w:sz w:val="22"/>
          <w:vertAlign w:val="baseline"/>
        </w:rPr>
        <w:t>el</w:t>
      </w:r>
      <w:r>
        <w:rPr>
          <w:spacing w:val="-10"/>
          <w:sz w:val="22"/>
          <w:vertAlign w:val="baseline"/>
        </w:rPr>
        <w:t> </w:t>
      </w:r>
      <w:r>
        <w:rPr>
          <w:sz w:val="22"/>
          <w:vertAlign w:val="baseline"/>
        </w:rPr>
        <w:t>contrario,</w:t>
      </w:r>
      <w:r>
        <w:rPr>
          <w:spacing w:val="-8"/>
          <w:sz w:val="22"/>
          <w:vertAlign w:val="baseline"/>
        </w:rPr>
        <w:t> </w:t>
      </w:r>
      <w:r>
        <w:rPr>
          <w:sz w:val="22"/>
          <w:vertAlign w:val="baseline"/>
        </w:rPr>
        <w:t>dejaron</w:t>
      </w:r>
      <w:r>
        <w:rPr>
          <w:spacing w:val="-7"/>
          <w:sz w:val="22"/>
          <w:vertAlign w:val="baseline"/>
        </w:rPr>
        <w:t> </w:t>
      </w:r>
      <w:r>
        <w:rPr>
          <w:sz w:val="22"/>
          <w:vertAlign w:val="baseline"/>
        </w:rPr>
        <w:t>de</w:t>
      </w:r>
      <w:r>
        <w:rPr>
          <w:spacing w:val="-10"/>
          <w:sz w:val="22"/>
          <w:vertAlign w:val="baseline"/>
        </w:rPr>
        <w:t> </w:t>
      </w:r>
      <w:r>
        <w:rPr>
          <w:sz w:val="22"/>
          <w:vertAlign w:val="baseline"/>
        </w:rPr>
        <w:t>registrarse</w:t>
      </w:r>
      <w:r>
        <w:rPr>
          <w:spacing w:val="-9"/>
          <w:sz w:val="22"/>
          <w:vertAlign w:val="baseline"/>
        </w:rPr>
        <w:t> </w:t>
      </w:r>
      <w:r>
        <w:rPr>
          <w:sz w:val="22"/>
          <w:vertAlign w:val="baseline"/>
        </w:rPr>
        <w:t>operaciones</w:t>
      </w:r>
      <w:r>
        <w:rPr>
          <w:spacing w:val="-7"/>
          <w:sz w:val="22"/>
          <w:vertAlign w:val="baseline"/>
        </w:rPr>
        <w:t> </w:t>
      </w:r>
      <w:r>
        <w:rPr>
          <w:sz w:val="22"/>
          <w:vertAlign w:val="baseline"/>
        </w:rPr>
        <w:t>de </w:t>
      </w:r>
      <w:r>
        <w:rPr>
          <w:spacing w:val="-2"/>
          <w:sz w:val="22"/>
          <w:vertAlign w:val="baseline"/>
        </w:rPr>
        <w:t>importación.</w:t>
      </w:r>
    </w:p>
    <w:p>
      <w:pPr>
        <w:pStyle w:val="BodyText"/>
        <w:spacing w:before="1"/>
      </w:pPr>
    </w:p>
    <w:p>
      <w:pPr>
        <w:pStyle w:val="ListParagraph"/>
        <w:numPr>
          <w:ilvl w:val="0"/>
          <w:numId w:val="2"/>
        </w:numPr>
        <w:tabs>
          <w:tab w:pos="1416" w:val="left" w:leader="none"/>
          <w:tab w:pos="1420" w:val="left" w:leader="none"/>
        </w:tabs>
        <w:spacing w:line="240" w:lineRule="auto" w:before="0" w:after="0"/>
        <w:ind w:left="1420" w:right="977" w:hanging="852"/>
        <w:jc w:val="both"/>
        <w:rPr>
          <w:sz w:val="22"/>
        </w:rPr>
      </w:pPr>
      <w:r>
        <w:rPr>
          <w:sz w:val="22"/>
        </w:rPr>
        <w:t>La siguiente tabla presenta el registro de las principales mercancías, según subpartida arancelaria NANDINA, que ingresaron durante el periodo 2024–2025. A efectos</w:t>
      </w:r>
      <w:r>
        <w:rPr>
          <w:spacing w:val="-1"/>
          <w:sz w:val="22"/>
        </w:rPr>
        <w:t> </w:t>
      </w:r>
      <w:r>
        <w:rPr>
          <w:sz w:val="22"/>
        </w:rPr>
        <w:t>del presente análisis, se consideraron únicamente</w:t>
      </w:r>
      <w:r>
        <w:rPr>
          <w:spacing w:val="-1"/>
          <w:sz w:val="22"/>
        </w:rPr>
        <w:t> </w:t>
      </w:r>
      <w:r>
        <w:rPr>
          <w:sz w:val="22"/>
        </w:rPr>
        <w:t>aquellas subpartidas que registraron operaciones de importación de manera continua en ambos años, excluyéndose</w:t>
      </w:r>
      <w:r>
        <w:rPr>
          <w:spacing w:val="-4"/>
          <w:sz w:val="22"/>
        </w:rPr>
        <w:t> </w:t>
      </w:r>
      <w:r>
        <w:rPr>
          <w:sz w:val="22"/>
        </w:rPr>
        <w:t>aquellas</w:t>
      </w:r>
      <w:r>
        <w:rPr>
          <w:spacing w:val="-5"/>
          <w:sz w:val="22"/>
        </w:rPr>
        <w:t> </w:t>
      </w:r>
      <w:r>
        <w:rPr>
          <w:sz w:val="22"/>
        </w:rPr>
        <w:t>que</w:t>
      </w:r>
      <w:r>
        <w:rPr>
          <w:spacing w:val="-4"/>
          <w:sz w:val="22"/>
        </w:rPr>
        <w:t> </w:t>
      </w:r>
      <w:r>
        <w:rPr>
          <w:sz w:val="22"/>
        </w:rPr>
        <w:t>presentaron</w:t>
      </w:r>
      <w:r>
        <w:rPr>
          <w:spacing w:val="-5"/>
          <w:sz w:val="22"/>
        </w:rPr>
        <w:t> </w:t>
      </w:r>
      <w:r>
        <w:rPr>
          <w:sz w:val="22"/>
        </w:rPr>
        <w:t>registros</w:t>
      </w:r>
      <w:r>
        <w:rPr>
          <w:spacing w:val="-7"/>
          <w:sz w:val="22"/>
        </w:rPr>
        <w:t> </w:t>
      </w:r>
      <w:r>
        <w:rPr>
          <w:sz w:val="22"/>
        </w:rPr>
        <w:t>únicamente</w:t>
      </w:r>
      <w:r>
        <w:rPr>
          <w:spacing w:val="-5"/>
          <w:sz w:val="22"/>
        </w:rPr>
        <w:t> </w:t>
      </w:r>
      <w:r>
        <w:rPr>
          <w:sz w:val="22"/>
        </w:rPr>
        <w:t>en</w:t>
      </w:r>
      <w:r>
        <w:rPr>
          <w:spacing w:val="-6"/>
          <w:sz w:val="22"/>
        </w:rPr>
        <w:t> </w:t>
      </w:r>
      <w:r>
        <w:rPr>
          <w:sz w:val="22"/>
        </w:rPr>
        <w:t>2024</w:t>
      </w:r>
      <w:r>
        <w:rPr>
          <w:spacing w:val="-5"/>
          <w:sz w:val="22"/>
        </w:rPr>
        <w:t> </w:t>
      </w:r>
      <w:r>
        <w:rPr>
          <w:sz w:val="22"/>
        </w:rPr>
        <w:t>o</w:t>
      </w:r>
      <w:r>
        <w:rPr>
          <w:spacing w:val="-6"/>
          <w:sz w:val="22"/>
        </w:rPr>
        <w:t> </w:t>
      </w:r>
      <w:r>
        <w:rPr>
          <w:sz w:val="22"/>
        </w:rPr>
        <w:t>únicamente en 2025.</w:t>
      </w:r>
    </w:p>
    <w:p>
      <w:pPr>
        <w:pStyle w:val="BodyText"/>
        <w:spacing w:before="1"/>
      </w:pPr>
    </w:p>
    <w:p>
      <w:pPr>
        <w:spacing w:line="252" w:lineRule="exact" w:before="0"/>
        <w:ind w:left="-1" w:right="409" w:firstLine="0"/>
        <w:jc w:val="center"/>
        <w:rPr>
          <w:rFonts w:ascii="Arial" w:hAnsi="Arial"/>
          <w:b/>
          <w:sz w:val="22"/>
        </w:rPr>
      </w:pPr>
      <w:r>
        <w:rPr>
          <w:rFonts w:ascii="Arial" w:hAnsi="Arial"/>
          <w:b/>
          <w:sz w:val="22"/>
        </w:rPr>
        <w:t>Tabla</w:t>
      </w:r>
      <w:r>
        <w:rPr>
          <w:rFonts w:ascii="Arial" w:hAnsi="Arial"/>
          <w:b/>
          <w:spacing w:val="-5"/>
          <w:sz w:val="22"/>
        </w:rPr>
        <w:t> </w:t>
      </w:r>
      <w:r>
        <w:rPr>
          <w:rFonts w:ascii="Arial" w:hAnsi="Arial"/>
          <w:b/>
          <w:sz w:val="22"/>
        </w:rPr>
        <w:t>N.°</w:t>
      </w:r>
      <w:r>
        <w:rPr>
          <w:rFonts w:ascii="Arial" w:hAnsi="Arial"/>
          <w:b/>
          <w:spacing w:val="-1"/>
          <w:sz w:val="22"/>
        </w:rPr>
        <w:t> </w:t>
      </w:r>
      <w:r>
        <w:rPr>
          <w:rFonts w:ascii="Arial" w:hAnsi="Arial"/>
          <w:b/>
          <w:spacing w:val="-10"/>
          <w:sz w:val="22"/>
        </w:rPr>
        <w:t>3</w:t>
      </w:r>
    </w:p>
    <w:p>
      <w:pPr>
        <w:spacing w:before="0"/>
        <w:ind w:left="791" w:right="1205" w:firstLine="0"/>
        <w:jc w:val="center"/>
        <w:rPr>
          <w:rFonts w:ascii="Arial" w:hAnsi="Arial"/>
          <w:i/>
          <w:sz w:val="22"/>
        </w:rPr>
      </w:pPr>
      <w:r>
        <w:rPr>
          <w:rFonts w:ascii="Arial" w:hAnsi="Arial"/>
          <w:i/>
          <w:sz w:val="22"/>
        </w:rPr>
        <w:t>Principales</w:t>
      </w:r>
      <w:r>
        <w:rPr>
          <w:rFonts w:ascii="Arial" w:hAnsi="Arial"/>
          <w:i/>
          <w:spacing w:val="-3"/>
          <w:sz w:val="22"/>
        </w:rPr>
        <w:t> </w:t>
      </w:r>
      <w:r>
        <w:rPr>
          <w:rFonts w:ascii="Arial" w:hAnsi="Arial"/>
          <w:i/>
          <w:sz w:val="22"/>
        </w:rPr>
        <w:t>subpartidas</w:t>
      </w:r>
      <w:r>
        <w:rPr>
          <w:rFonts w:ascii="Arial" w:hAnsi="Arial"/>
          <w:i/>
          <w:spacing w:val="-7"/>
          <w:sz w:val="22"/>
        </w:rPr>
        <w:t> </w:t>
      </w:r>
      <w:r>
        <w:rPr>
          <w:rFonts w:ascii="Arial" w:hAnsi="Arial"/>
          <w:i/>
          <w:sz w:val="22"/>
        </w:rPr>
        <w:t>arancelarias</w:t>
      </w:r>
      <w:r>
        <w:rPr>
          <w:rFonts w:ascii="Arial" w:hAnsi="Arial"/>
          <w:i/>
          <w:spacing w:val="-2"/>
          <w:sz w:val="22"/>
        </w:rPr>
        <w:t> </w:t>
      </w:r>
      <w:r>
        <w:rPr>
          <w:rFonts w:ascii="Arial" w:hAnsi="Arial"/>
          <w:i/>
          <w:sz w:val="22"/>
        </w:rPr>
        <w:t>que</w:t>
      </w:r>
      <w:r>
        <w:rPr>
          <w:rFonts w:ascii="Arial" w:hAnsi="Arial"/>
          <w:i/>
          <w:spacing w:val="-5"/>
          <w:sz w:val="22"/>
        </w:rPr>
        <w:t> </w:t>
      </w:r>
      <w:r>
        <w:rPr>
          <w:rFonts w:ascii="Arial" w:hAnsi="Arial"/>
          <w:i/>
          <w:sz w:val="22"/>
        </w:rPr>
        <w:t>ingresaron</w:t>
      </w:r>
      <w:r>
        <w:rPr>
          <w:rFonts w:ascii="Arial" w:hAnsi="Arial"/>
          <w:i/>
          <w:spacing w:val="-3"/>
          <w:sz w:val="22"/>
        </w:rPr>
        <w:t> </w:t>
      </w:r>
      <w:r>
        <w:rPr>
          <w:rFonts w:ascii="Arial" w:hAnsi="Arial"/>
          <w:i/>
          <w:sz w:val="22"/>
        </w:rPr>
        <w:t>por</w:t>
      </w:r>
      <w:r>
        <w:rPr>
          <w:rFonts w:ascii="Arial" w:hAnsi="Arial"/>
          <w:i/>
          <w:spacing w:val="-2"/>
          <w:sz w:val="22"/>
        </w:rPr>
        <w:t> </w:t>
      </w:r>
      <w:r>
        <w:rPr>
          <w:rFonts w:ascii="Arial" w:hAnsi="Arial"/>
          <w:i/>
          <w:sz w:val="22"/>
        </w:rPr>
        <w:t>CEBAF –</w:t>
      </w:r>
      <w:r>
        <w:rPr>
          <w:rFonts w:ascii="Arial" w:hAnsi="Arial"/>
          <w:i/>
          <w:spacing w:val="-4"/>
          <w:sz w:val="22"/>
        </w:rPr>
        <w:t> </w:t>
      </w:r>
      <w:r>
        <w:rPr>
          <w:rFonts w:ascii="Arial" w:hAnsi="Arial"/>
          <w:i/>
          <w:sz w:val="22"/>
        </w:rPr>
        <w:t>San</w:t>
      </w:r>
      <w:r>
        <w:rPr>
          <w:rFonts w:ascii="Arial" w:hAnsi="Arial"/>
          <w:i/>
          <w:spacing w:val="-3"/>
          <w:sz w:val="22"/>
        </w:rPr>
        <w:t> </w:t>
      </w:r>
      <w:r>
        <w:rPr>
          <w:rFonts w:ascii="Arial" w:hAnsi="Arial"/>
          <w:i/>
          <w:sz w:val="22"/>
        </w:rPr>
        <w:t>Miguel</w:t>
      </w:r>
      <w:r>
        <w:rPr>
          <w:rFonts w:ascii="Arial" w:hAnsi="Arial"/>
          <w:i/>
          <w:spacing w:val="-4"/>
          <w:sz w:val="22"/>
        </w:rPr>
        <w:t> </w:t>
      </w:r>
      <w:r>
        <w:rPr>
          <w:rFonts w:ascii="Arial" w:hAnsi="Arial"/>
          <w:i/>
          <w:sz w:val="22"/>
        </w:rPr>
        <w:t>durante</w:t>
      </w:r>
      <w:r>
        <w:rPr>
          <w:rFonts w:ascii="Arial" w:hAnsi="Arial"/>
          <w:i/>
          <w:spacing w:val="-5"/>
          <w:sz w:val="22"/>
        </w:rPr>
        <w:t> </w:t>
      </w:r>
      <w:r>
        <w:rPr>
          <w:rFonts w:ascii="Arial" w:hAnsi="Arial"/>
          <w:i/>
          <w:sz w:val="22"/>
        </w:rPr>
        <w:t>el periodo 2024 – 2025</w:t>
      </w:r>
    </w:p>
    <w:tbl>
      <w:tblPr>
        <w:tblW w:w="0" w:type="auto"/>
        <w:jc w:val="left"/>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22"/>
        <w:gridCol w:w="1265"/>
        <w:gridCol w:w="1192"/>
        <w:gridCol w:w="950"/>
        <w:gridCol w:w="4049"/>
      </w:tblGrid>
      <w:tr>
        <w:trPr>
          <w:trHeight w:val="414" w:hRule="atLeast"/>
        </w:trPr>
        <w:tc>
          <w:tcPr>
            <w:tcW w:w="1322" w:type="dxa"/>
          </w:tcPr>
          <w:p>
            <w:pPr>
              <w:pStyle w:val="TableParagraph"/>
              <w:spacing w:line="206" w:lineRule="exact"/>
              <w:ind w:left="7" w:right="2"/>
              <w:jc w:val="center"/>
              <w:rPr>
                <w:rFonts w:ascii="Arial"/>
                <w:b/>
                <w:sz w:val="18"/>
              </w:rPr>
            </w:pPr>
            <w:r>
              <w:rPr>
                <w:rFonts w:ascii="Arial"/>
                <w:b/>
                <w:spacing w:val="-2"/>
                <w:sz w:val="18"/>
              </w:rPr>
              <w:t>SUBPARTIDA</w:t>
            </w:r>
          </w:p>
          <w:p>
            <w:pPr>
              <w:pStyle w:val="TableParagraph"/>
              <w:spacing w:line="189" w:lineRule="exact"/>
              <w:ind w:left="7" w:right="4"/>
              <w:jc w:val="center"/>
              <w:rPr>
                <w:rFonts w:ascii="Arial" w:hAnsi="Arial"/>
                <w:b/>
                <w:sz w:val="18"/>
              </w:rPr>
            </w:pPr>
            <w:r>
              <w:rPr>
                <w:rFonts w:ascii="Arial" w:hAnsi="Arial"/>
                <w:b/>
                <w:sz w:val="18"/>
              </w:rPr>
              <w:t>(10</w:t>
            </w:r>
            <w:r>
              <w:rPr>
                <w:rFonts w:ascii="Arial" w:hAnsi="Arial"/>
                <w:b/>
                <w:spacing w:val="-1"/>
                <w:sz w:val="18"/>
              </w:rPr>
              <w:t> </w:t>
            </w:r>
            <w:r>
              <w:rPr>
                <w:rFonts w:ascii="Arial" w:hAnsi="Arial"/>
                <w:b/>
                <w:spacing w:val="-2"/>
                <w:sz w:val="18"/>
              </w:rPr>
              <w:t>dígitos)</w:t>
            </w:r>
          </w:p>
        </w:tc>
        <w:tc>
          <w:tcPr>
            <w:tcW w:w="1265" w:type="dxa"/>
          </w:tcPr>
          <w:p>
            <w:pPr>
              <w:pStyle w:val="TableParagraph"/>
              <w:spacing w:line="206" w:lineRule="exact"/>
              <w:ind w:left="290" w:right="275"/>
              <w:jc w:val="center"/>
              <w:rPr>
                <w:rFonts w:ascii="Arial"/>
                <w:b/>
                <w:sz w:val="18"/>
              </w:rPr>
            </w:pPr>
            <w:r>
              <w:rPr>
                <w:rFonts w:ascii="Arial"/>
                <w:b/>
                <w:spacing w:val="-4"/>
                <w:sz w:val="18"/>
              </w:rPr>
              <w:t>2024 (Kg)</w:t>
            </w:r>
          </w:p>
        </w:tc>
        <w:tc>
          <w:tcPr>
            <w:tcW w:w="1192" w:type="dxa"/>
          </w:tcPr>
          <w:p>
            <w:pPr>
              <w:pStyle w:val="TableParagraph"/>
              <w:spacing w:line="206" w:lineRule="exact"/>
              <w:ind w:left="418" w:right="77" w:hanging="22"/>
              <w:rPr>
                <w:rFonts w:ascii="Arial"/>
                <w:b/>
                <w:sz w:val="18"/>
              </w:rPr>
            </w:pPr>
            <w:r>
              <w:rPr>
                <w:rFonts w:ascii="Arial"/>
                <w:b/>
                <w:spacing w:val="-4"/>
                <w:sz w:val="18"/>
              </w:rPr>
              <w:t>2025 (Kg)</w:t>
            </w:r>
          </w:p>
        </w:tc>
        <w:tc>
          <w:tcPr>
            <w:tcW w:w="950" w:type="dxa"/>
          </w:tcPr>
          <w:p>
            <w:pPr>
              <w:pStyle w:val="TableParagraph"/>
              <w:spacing w:line="206" w:lineRule="exact"/>
              <w:ind w:left="145" w:right="132" w:firstLine="40"/>
              <w:rPr>
                <w:rFonts w:ascii="Arial"/>
                <w:b/>
                <w:sz w:val="18"/>
              </w:rPr>
            </w:pPr>
            <w:r>
              <w:rPr>
                <w:rFonts w:ascii="Arial"/>
                <w:b/>
                <w:sz w:val="18"/>
              </w:rPr>
              <w:t>% Imp. 2024-</w:t>
            </w:r>
            <w:r>
              <w:rPr>
                <w:rFonts w:ascii="Arial"/>
                <w:b/>
                <w:spacing w:val="-5"/>
                <w:sz w:val="18"/>
              </w:rPr>
              <w:t>25</w:t>
            </w:r>
          </w:p>
        </w:tc>
        <w:tc>
          <w:tcPr>
            <w:tcW w:w="4049" w:type="dxa"/>
          </w:tcPr>
          <w:p>
            <w:pPr>
              <w:pStyle w:val="TableParagraph"/>
              <w:spacing w:line="206" w:lineRule="exact"/>
              <w:ind w:left="1550" w:right="871" w:hanging="483"/>
              <w:rPr>
                <w:rFonts w:ascii="Arial" w:hAnsi="Arial"/>
                <w:b/>
                <w:sz w:val="18"/>
              </w:rPr>
            </w:pPr>
            <w:r>
              <w:rPr>
                <w:rFonts w:ascii="Arial" w:hAnsi="Arial"/>
                <w:b/>
                <w:color w:val="1F1F1F"/>
                <w:sz w:val="18"/>
              </w:rPr>
              <w:t>DESCRIPCIÓN</w:t>
            </w:r>
            <w:r>
              <w:rPr>
                <w:rFonts w:ascii="Arial" w:hAnsi="Arial"/>
                <w:b/>
                <w:color w:val="1F1F1F"/>
                <w:spacing w:val="-13"/>
                <w:sz w:val="18"/>
              </w:rPr>
              <w:t> </w:t>
            </w:r>
            <w:r>
              <w:rPr>
                <w:rFonts w:ascii="Arial" w:hAnsi="Arial"/>
                <w:b/>
                <w:color w:val="1F1F1F"/>
                <w:sz w:val="18"/>
              </w:rPr>
              <w:t>TÉCNICA </w:t>
            </w:r>
            <w:r>
              <w:rPr>
                <w:rFonts w:ascii="Arial" w:hAnsi="Arial"/>
                <w:b/>
                <w:color w:val="1F1F1F"/>
                <w:spacing w:val="-2"/>
                <w:sz w:val="18"/>
              </w:rPr>
              <w:t>(NANDINA)</w:t>
            </w:r>
          </w:p>
        </w:tc>
      </w:tr>
      <w:tr>
        <w:trPr>
          <w:trHeight w:val="206" w:hRule="atLeast"/>
        </w:trPr>
        <w:tc>
          <w:tcPr>
            <w:tcW w:w="1322" w:type="dxa"/>
          </w:tcPr>
          <w:p>
            <w:pPr>
              <w:pStyle w:val="TableParagraph"/>
              <w:spacing w:line="186" w:lineRule="exact"/>
              <w:ind w:left="7"/>
              <w:jc w:val="center"/>
              <w:rPr>
                <w:sz w:val="18"/>
              </w:rPr>
            </w:pPr>
            <w:r>
              <w:rPr>
                <w:spacing w:val="-2"/>
                <w:sz w:val="18"/>
              </w:rPr>
              <w:t>7310.10.00.00</w:t>
            </w:r>
          </w:p>
        </w:tc>
        <w:tc>
          <w:tcPr>
            <w:tcW w:w="1265" w:type="dxa"/>
          </w:tcPr>
          <w:p>
            <w:pPr>
              <w:pStyle w:val="TableParagraph"/>
              <w:spacing w:line="186" w:lineRule="exact"/>
              <w:ind w:left="13" w:right="1"/>
              <w:jc w:val="center"/>
              <w:rPr>
                <w:sz w:val="18"/>
              </w:rPr>
            </w:pPr>
            <w:r>
              <w:rPr>
                <w:spacing w:val="-2"/>
                <w:sz w:val="18"/>
              </w:rPr>
              <w:t>1,123,940.70</w:t>
            </w:r>
          </w:p>
        </w:tc>
        <w:tc>
          <w:tcPr>
            <w:tcW w:w="1192" w:type="dxa"/>
          </w:tcPr>
          <w:p>
            <w:pPr>
              <w:pStyle w:val="TableParagraph"/>
              <w:spacing w:line="186" w:lineRule="exact"/>
              <w:ind w:left="14" w:right="2"/>
              <w:jc w:val="center"/>
              <w:rPr>
                <w:sz w:val="18"/>
              </w:rPr>
            </w:pPr>
            <w:r>
              <w:rPr>
                <w:spacing w:val="-2"/>
                <w:sz w:val="18"/>
              </w:rPr>
              <w:t>235,033.30</w:t>
            </w:r>
          </w:p>
        </w:tc>
        <w:tc>
          <w:tcPr>
            <w:tcW w:w="950" w:type="dxa"/>
          </w:tcPr>
          <w:p>
            <w:pPr>
              <w:pStyle w:val="TableParagraph"/>
              <w:spacing w:line="186" w:lineRule="exact"/>
              <w:ind w:left="14"/>
              <w:jc w:val="center"/>
              <w:rPr>
                <w:sz w:val="18"/>
              </w:rPr>
            </w:pPr>
            <w:r>
              <w:rPr>
                <w:spacing w:val="-2"/>
                <w:sz w:val="18"/>
              </w:rPr>
              <w:t>14.92%</w:t>
            </w:r>
          </w:p>
        </w:tc>
        <w:tc>
          <w:tcPr>
            <w:tcW w:w="4049" w:type="dxa"/>
          </w:tcPr>
          <w:p>
            <w:pPr>
              <w:pStyle w:val="TableParagraph"/>
              <w:spacing w:line="186" w:lineRule="exact"/>
              <w:ind w:left="71"/>
              <w:rPr>
                <w:sz w:val="18"/>
              </w:rPr>
            </w:pPr>
            <w:r>
              <w:rPr>
                <w:color w:val="1F1F1F"/>
                <w:sz w:val="18"/>
              </w:rPr>
              <w:t>Depósitos</w:t>
            </w:r>
            <w:r>
              <w:rPr>
                <w:color w:val="1F1F1F"/>
                <w:spacing w:val="-4"/>
                <w:sz w:val="18"/>
              </w:rPr>
              <w:t> </w:t>
            </w:r>
            <w:r>
              <w:rPr>
                <w:color w:val="1F1F1F"/>
                <w:sz w:val="18"/>
              </w:rPr>
              <w:t>y</w:t>
            </w:r>
            <w:r>
              <w:rPr>
                <w:color w:val="1F1F1F"/>
                <w:spacing w:val="-3"/>
                <w:sz w:val="18"/>
              </w:rPr>
              <w:t> </w:t>
            </w:r>
            <w:r>
              <w:rPr>
                <w:color w:val="1F1F1F"/>
                <w:sz w:val="18"/>
              </w:rPr>
              <w:t>barriles</w:t>
            </w:r>
            <w:r>
              <w:rPr>
                <w:color w:val="1F1F1F"/>
                <w:spacing w:val="-3"/>
                <w:sz w:val="18"/>
              </w:rPr>
              <w:t> </w:t>
            </w:r>
            <w:r>
              <w:rPr>
                <w:color w:val="1F1F1F"/>
                <w:sz w:val="18"/>
              </w:rPr>
              <w:t>de</w:t>
            </w:r>
            <w:r>
              <w:rPr>
                <w:color w:val="1F1F1F"/>
                <w:spacing w:val="-4"/>
                <w:sz w:val="18"/>
              </w:rPr>
              <w:t> </w:t>
            </w:r>
            <w:r>
              <w:rPr>
                <w:color w:val="1F1F1F"/>
                <w:sz w:val="18"/>
              </w:rPr>
              <w:t>hierro</w:t>
            </w:r>
            <w:r>
              <w:rPr>
                <w:color w:val="1F1F1F"/>
                <w:spacing w:val="-5"/>
                <w:sz w:val="18"/>
              </w:rPr>
              <w:t> </w:t>
            </w:r>
            <w:r>
              <w:rPr>
                <w:color w:val="1F1F1F"/>
                <w:sz w:val="18"/>
              </w:rPr>
              <w:t>o</w:t>
            </w:r>
            <w:r>
              <w:rPr>
                <w:color w:val="1F1F1F"/>
                <w:spacing w:val="-2"/>
                <w:sz w:val="18"/>
              </w:rPr>
              <w:t> </w:t>
            </w:r>
            <w:r>
              <w:rPr>
                <w:color w:val="1F1F1F"/>
                <w:sz w:val="18"/>
              </w:rPr>
              <w:t>acero</w:t>
            </w:r>
            <w:r>
              <w:rPr>
                <w:color w:val="1F1F1F"/>
                <w:spacing w:val="-1"/>
                <w:sz w:val="18"/>
              </w:rPr>
              <w:t> </w:t>
            </w:r>
            <w:r>
              <w:rPr>
                <w:color w:val="1F1F1F"/>
                <w:sz w:val="18"/>
              </w:rPr>
              <w:t>(&gt;=</w:t>
            </w:r>
            <w:r>
              <w:rPr>
                <w:color w:val="1F1F1F"/>
                <w:spacing w:val="-4"/>
                <w:sz w:val="18"/>
              </w:rPr>
              <w:t> </w:t>
            </w:r>
            <w:r>
              <w:rPr>
                <w:color w:val="1F1F1F"/>
                <w:sz w:val="18"/>
              </w:rPr>
              <w:t>50</w:t>
            </w:r>
            <w:r>
              <w:rPr>
                <w:color w:val="1F1F1F"/>
                <w:spacing w:val="-3"/>
                <w:sz w:val="18"/>
              </w:rPr>
              <w:t> </w:t>
            </w:r>
            <w:r>
              <w:rPr>
                <w:color w:val="1F1F1F"/>
                <w:spacing w:val="-5"/>
                <w:sz w:val="18"/>
              </w:rPr>
              <w:t>L).</w:t>
            </w:r>
          </w:p>
        </w:tc>
      </w:tr>
      <w:tr>
        <w:trPr>
          <w:trHeight w:val="205" w:hRule="atLeast"/>
        </w:trPr>
        <w:tc>
          <w:tcPr>
            <w:tcW w:w="1322" w:type="dxa"/>
          </w:tcPr>
          <w:p>
            <w:pPr>
              <w:pStyle w:val="TableParagraph"/>
              <w:spacing w:line="186" w:lineRule="exact"/>
              <w:ind w:left="7"/>
              <w:jc w:val="center"/>
              <w:rPr>
                <w:sz w:val="18"/>
              </w:rPr>
            </w:pPr>
            <w:r>
              <w:rPr>
                <w:spacing w:val="-2"/>
                <w:sz w:val="18"/>
              </w:rPr>
              <w:t>8419.40.00.90</w:t>
            </w:r>
          </w:p>
        </w:tc>
        <w:tc>
          <w:tcPr>
            <w:tcW w:w="1265" w:type="dxa"/>
          </w:tcPr>
          <w:p>
            <w:pPr>
              <w:pStyle w:val="TableParagraph"/>
              <w:spacing w:line="186" w:lineRule="exact"/>
              <w:ind w:left="13" w:right="3"/>
              <w:jc w:val="center"/>
              <w:rPr>
                <w:sz w:val="18"/>
              </w:rPr>
            </w:pPr>
            <w:r>
              <w:rPr>
                <w:spacing w:val="-2"/>
                <w:sz w:val="18"/>
              </w:rPr>
              <w:t>729,564.50</w:t>
            </w:r>
          </w:p>
        </w:tc>
        <w:tc>
          <w:tcPr>
            <w:tcW w:w="1192" w:type="dxa"/>
          </w:tcPr>
          <w:p>
            <w:pPr>
              <w:pStyle w:val="TableParagraph"/>
              <w:spacing w:line="186" w:lineRule="exact"/>
              <w:ind w:left="14" w:right="2"/>
              <w:jc w:val="center"/>
              <w:rPr>
                <w:sz w:val="18"/>
              </w:rPr>
            </w:pPr>
            <w:r>
              <w:rPr>
                <w:spacing w:val="-2"/>
                <w:sz w:val="18"/>
              </w:rPr>
              <w:t>376,332.50</w:t>
            </w:r>
          </w:p>
        </w:tc>
        <w:tc>
          <w:tcPr>
            <w:tcW w:w="950" w:type="dxa"/>
          </w:tcPr>
          <w:p>
            <w:pPr>
              <w:pStyle w:val="TableParagraph"/>
              <w:spacing w:line="186" w:lineRule="exact"/>
              <w:ind w:left="14"/>
              <w:jc w:val="center"/>
              <w:rPr>
                <w:sz w:val="18"/>
              </w:rPr>
            </w:pPr>
            <w:r>
              <w:rPr>
                <w:spacing w:val="-2"/>
                <w:sz w:val="18"/>
              </w:rPr>
              <w:t>12.14%</w:t>
            </w:r>
          </w:p>
        </w:tc>
        <w:tc>
          <w:tcPr>
            <w:tcW w:w="4049" w:type="dxa"/>
          </w:tcPr>
          <w:p>
            <w:pPr>
              <w:pStyle w:val="TableParagraph"/>
              <w:spacing w:line="186" w:lineRule="exact"/>
              <w:ind w:left="71"/>
              <w:rPr>
                <w:sz w:val="18"/>
              </w:rPr>
            </w:pPr>
            <w:r>
              <w:rPr>
                <w:color w:val="1F1F1F"/>
                <w:sz w:val="18"/>
              </w:rPr>
              <w:t>Aparatos</w:t>
            </w:r>
            <w:r>
              <w:rPr>
                <w:color w:val="1F1F1F"/>
                <w:spacing w:val="-4"/>
                <w:sz w:val="18"/>
              </w:rPr>
              <w:t> </w:t>
            </w:r>
            <w:r>
              <w:rPr>
                <w:color w:val="1F1F1F"/>
                <w:sz w:val="18"/>
              </w:rPr>
              <w:t>de</w:t>
            </w:r>
            <w:r>
              <w:rPr>
                <w:color w:val="1F1F1F"/>
                <w:spacing w:val="-4"/>
                <w:sz w:val="18"/>
              </w:rPr>
              <w:t> </w:t>
            </w:r>
            <w:r>
              <w:rPr>
                <w:color w:val="1F1F1F"/>
                <w:sz w:val="18"/>
              </w:rPr>
              <w:t>destilación</w:t>
            </w:r>
            <w:r>
              <w:rPr>
                <w:color w:val="1F1F1F"/>
                <w:spacing w:val="-5"/>
                <w:sz w:val="18"/>
              </w:rPr>
              <w:t> </w:t>
            </w:r>
            <w:r>
              <w:rPr>
                <w:color w:val="1F1F1F"/>
                <w:sz w:val="18"/>
              </w:rPr>
              <w:t>o</w:t>
            </w:r>
            <w:r>
              <w:rPr>
                <w:color w:val="1F1F1F"/>
                <w:spacing w:val="-4"/>
                <w:sz w:val="18"/>
              </w:rPr>
              <w:t> </w:t>
            </w:r>
            <w:r>
              <w:rPr>
                <w:color w:val="1F1F1F"/>
                <w:sz w:val="18"/>
              </w:rPr>
              <w:t>rectificación</w:t>
            </w:r>
            <w:r>
              <w:rPr>
                <w:color w:val="1F1F1F"/>
                <w:spacing w:val="-4"/>
                <w:sz w:val="18"/>
              </w:rPr>
              <w:t> </w:t>
            </w:r>
            <w:r>
              <w:rPr>
                <w:color w:val="1F1F1F"/>
                <w:spacing w:val="-2"/>
                <w:sz w:val="18"/>
              </w:rPr>
              <w:t>(otros).</w:t>
            </w:r>
          </w:p>
        </w:tc>
      </w:tr>
      <w:tr>
        <w:trPr>
          <w:trHeight w:val="414" w:hRule="atLeast"/>
        </w:trPr>
        <w:tc>
          <w:tcPr>
            <w:tcW w:w="1322" w:type="dxa"/>
          </w:tcPr>
          <w:p>
            <w:pPr>
              <w:pStyle w:val="TableParagraph"/>
              <w:spacing w:before="104"/>
              <w:ind w:left="7"/>
              <w:jc w:val="center"/>
              <w:rPr>
                <w:sz w:val="18"/>
              </w:rPr>
            </w:pPr>
            <w:r>
              <w:rPr>
                <w:spacing w:val="-2"/>
                <w:sz w:val="18"/>
              </w:rPr>
              <w:t>6907.22.00.90</w:t>
            </w:r>
          </w:p>
        </w:tc>
        <w:tc>
          <w:tcPr>
            <w:tcW w:w="1265" w:type="dxa"/>
          </w:tcPr>
          <w:p>
            <w:pPr>
              <w:pStyle w:val="TableParagraph"/>
              <w:spacing w:before="104"/>
              <w:ind w:left="13" w:right="3"/>
              <w:jc w:val="center"/>
              <w:rPr>
                <w:sz w:val="18"/>
              </w:rPr>
            </w:pPr>
            <w:r>
              <w:rPr>
                <w:spacing w:val="-2"/>
                <w:sz w:val="18"/>
              </w:rPr>
              <w:t>465,181.90</w:t>
            </w:r>
          </w:p>
        </w:tc>
        <w:tc>
          <w:tcPr>
            <w:tcW w:w="1192" w:type="dxa"/>
          </w:tcPr>
          <w:p>
            <w:pPr>
              <w:pStyle w:val="TableParagraph"/>
              <w:spacing w:before="104"/>
              <w:ind w:left="14" w:right="2"/>
              <w:jc w:val="center"/>
              <w:rPr>
                <w:sz w:val="18"/>
              </w:rPr>
            </w:pPr>
            <w:r>
              <w:rPr>
                <w:spacing w:val="-2"/>
                <w:sz w:val="18"/>
              </w:rPr>
              <w:t>423,940.60</w:t>
            </w:r>
          </w:p>
        </w:tc>
        <w:tc>
          <w:tcPr>
            <w:tcW w:w="950" w:type="dxa"/>
          </w:tcPr>
          <w:p>
            <w:pPr>
              <w:pStyle w:val="TableParagraph"/>
              <w:spacing w:before="104"/>
              <w:ind w:left="11"/>
              <w:jc w:val="center"/>
              <w:rPr>
                <w:sz w:val="18"/>
              </w:rPr>
            </w:pPr>
            <w:r>
              <w:rPr>
                <w:spacing w:val="-4"/>
                <w:sz w:val="18"/>
              </w:rPr>
              <w:t>9.76%</w:t>
            </w:r>
          </w:p>
        </w:tc>
        <w:tc>
          <w:tcPr>
            <w:tcW w:w="4049" w:type="dxa"/>
          </w:tcPr>
          <w:p>
            <w:pPr>
              <w:pStyle w:val="TableParagraph"/>
              <w:spacing w:line="207" w:lineRule="exact" w:before="1"/>
              <w:ind w:left="71"/>
              <w:rPr>
                <w:sz w:val="18"/>
              </w:rPr>
            </w:pPr>
            <w:r>
              <w:rPr>
                <w:color w:val="1F1F1F"/>
                <w:sz w:val="18"/>
              </w:rPr>
              <w:t>Placas</w:t>
            </w:r>
            <w:r>
              <w:rPr>
                <w:color w:val="1F1F1F"/>
                <w:spacing w:val="-4"/>
                <w:sz w:val="18"/>
              </w:rPr>
              <w:t> </w:t>
            </w:r>
            <w:r>
              <w:rPr>
                <w:color w:val="1F1F1F"/>
                <w:sz w:val="18"/>
              </w:rPr>
              <w:t>y</w:t>
            </w:r>
            <w:r>
              <w:rPr>
                <w:color w:val="1F1F1F"/>
                <w:spacing w:val="-1"/>
                <w:sz w:val="18"/>
              </w:rPr>
              <w:t> </w:t>
            </w:r>
            <w:r>
              <w:rPr>
                <w:color w:val="1F1F1F"/>
                <w:sz w:val="18"/>
              </w:rPr>
              <w:t>baldosas</w:t>
            </w:r>
            <w:r>
              <w:rPr>
                <w:color w:val="1F1F1F"/>
                <w:spacing w:val="-5"/>
                <w:sz w:val="18"/>
              </w:rPr>
              <w:t> </w:t>
            </w:r>
            <w:r>
              <w:rPr>
                <w:color w:val="1F1F1F"/>
                <w:sz w:val="18"/>
              </w:rPr>
              <w:t>de</w:t>
            </w:r>
            <w:r>
              <w:rPr>
                <w:color w:val="1F1F1F"/>
                <w:spacing w:val="-4"/>
                <w:sz w:val="18"/>
              </w:rPr>
              <w:t> </w:t>
            </w:r>
            <w:r>
              <w:rPr>
                <w:color w:val="1F1F1F"/>
                <w:sz w:val="18"/>
              </w:rPr>
              <w:t>cerámica</w:t>
            </w:r>
            <w:r>
              <w:rPr>
                <w:color w:val="1F1F1F"/>
                <w:spacing w:val="-2"/>
                <w:sz w:val="18"/>
              </w:rPr>
              <w:t> </w:t>
            </w:r>
            <w:r>
              <w:rPr>
                <w:color w:val="1F1F1F"/>
                <w:sz w:val="18"/>
              </w:rPr>
              <w:t>(absorción</w:t>
            </w:r>
            <w:r>
              <w:rPr>
                <w:color w:val="1F1F1F"/>
                <w:spacing w:val="-4"/>
                <w:sz w:val="18"/>
              </w:rPr>
              <w:t> 0.5%</w:t>
            </w:r>
          </w:p>
          <w:p>
            <w:pPr>
              <w:pStyle w:val="TableParagraph"/>
              <w:spacing w:line="187" w:lineRule="exact"/>
              <w:ind w:left="71"/>
              <w:rPr>
                <w:sz w:val="18"/>
              </w:rPr>
            </w:pPr>
            <w:r>
              <w:rPr>
                <w:color w:val="1F1F1F"/>
                <w:sz w:val="18"/>
              </w:rPr>
              <w:t>- </w:t>
            </w:r>
            <w:r>
              <w:rPr>
                <w:color w:val="1F1F1F"/>
                <w:spacing w:val="-2"/>
                <w:sz w:val="18"/>
              </w:rPr>
              <w:t>10%).</w:t>
            </w:r>
          </w:p>
        </w:tc>
      </w:tr>
      <w:tr>
        <w:trPr>
          <w:trHeight w:val="205" w:hRule="atLeast"/>
        </w:trPr>
        <w:tc>
          <w:tcPr>
            <w:tcW w:w="1322" w:type="dxa"/>
          </w:tcPr>
          <w:p>
            <w:pPr>
              <w:pStyle w:val="TableParagraph"/>
              <w:spacing w:line="186" w:lineRule="exact"/>
              <w:ind w:left="7"/>
              <w:jc w:val="center"/>
              <w:rPr>
                <w:sz w:val="18"/>
              </w:rPr>
            </w:pPr>
            <w:r>
              <w:rPr>
                <w:spacing w:val="-2"/>
                <w:sz w:val="18"/>
              </w:rPr>
              <w:t>2710.19.35.90</w:t>
            </w:r>
          </w:p>
        </w:tc>
        <w:tc>
          <w:tcPr>
            <w:tcW w:w="1265" w:type="dxa"/>
          </w:tcPr>
          <w:p>
            <w:pPr>
              <w:pStyle w:val="TableParagraph"/>
              <w:spacing w:line="186" w:lineRule="exact"/>
              <w:ind w:left="13" w:right="3"/>
              <w:jc w:val="center"/>
              <w:rPr>
                <w:sz w:val="18"/>
              </w:rPr>
            </w:pPr>
            <w:r>
              <w:rPr>
                <w:spacing w:val="-2"/>
                <w:sz w:val="18"/>
              </w:rPr>
              <w:t>124,086.50</w:t>
            </w:r>
          </w:p>
        </w:tc>
        <w:tc>
          <w:tcPr>
            <w:tcW w:w="1192" w:type="dxa"/>
          </w:tcPr>
          <w:p>
            <w:pPr>
              <w:pStyle w:val="TableParagraph"/>
              <w:spacing w:line="186" w:lineRule="exact"/>
              <w:ind w:left="14" w:right="2"/>
              <w:jc w:val="center"/>
              <w:rPr>
                <w:sz w:val="18"/>
              </w:rPr>
            </w:pPr>
            <w:r>
              <w:rPr>
                <w:spacing w:val="-2"/>
                <w:sz w:val="18"/>
              </w:rPr>
              <w:t>197,403.80</w:t>
            </w:r>
          </w:p>
        </w:tc>
        <w:tc>
          <w:tcPr>
            <w:tcW w:w="950" w:type="dxa"/>
          </w:tcPr>
          <w:p>
            <w:pPr>
              <w:pStyle w:val="TableParagraph"/>
              <w:spacing w:line="186" w:lineRule="exact"/>
              <w:ind w:left="11"/>
              <w:jc w:val="center"/>
              <w:rPr>
                <w:sz w:val="18"/>
              </w:rPr>
            </w:pPr>
            <w:r>
              <w:rPr>
                <w:spacing w:val="-4"/>
                <w:sz w:val="18"/>
              </w:rPr>
              <w:t>3.53%</w:t>
            </w:r>
          </w:p>
        </w:tc>
        <w:tc>
          <w:tcPr>
            <w:tcW w:w="4049" w:type="dxa"/>
          </w:tcPr>
          <w:p>
            <w:pPr>
              <w:pStyle w:val="TableParagraph"/>
              <w:spacing w:line="186" w:lineRule="exact"/>
              <w:ind w:left="71"/>
              <w:rPr>
                <w:sz w:val="18"/>
              </w:rPr>
            </w:pPr>
            <w:r>
              <w:rPr>
                <w:color w:val="1F1F1F"/>
                <w:sz w:val="18"/>
              </w:rPr>
              <w:t>Aceites</w:t>
            </w:r>
            <w:r>
              <w:rPr>
                <w:color w:val="1F1F1F"/>
                <w:spacing w:val="-6"/>
                <w:sz w:val="18"/>
              </w:rPr>
              <w:t> </w:t>
            </w:r>
            <w:r>
              <w:rPr>
                <w:color w:val="1F1F1F"/>
                <w:sz w:val="18"/>
              </w:rPr>
              <w:t>lubricantes</w:t>
            </w:r>
            <w:r>
              <w:rPr>
                <w:color w:val="1F1F1F"/>
                <w:spacing w:val="-6"/>
                <w:sz w:val="18"/>
              </w:rPr>
              <w:t> </w:t>
            </w:r>
            <w:r>
              <w:rPr>
                <w:color w:val="1F1F1F"/>
                <w:sz w:val="18"/>
              </w:rPr>
              <w:t>terminados</w:t>
            </w:r>
            <w:r>
              <w:rPr>
                <w:color w:val="1F1F1F"/>
                <w:spacing w:val="-6"/>
                <w:sz w:val="18"/>
              </w:rPr>
              <w:t> </w:t>
            </w:r>
            <w:r>
              <w:rPr>
                <w:color w:val="1F1F1F"/>
                <w:spacing w:val="-2"/>
                <w:sz w:val="18"/>
              </w:rPr>
              <w:t>(otros).</w:t>
            </w:r>
          </w:p>
        </w:tc>
      </w:tr>
      <w:tr>
        <w:trPr>
          <w:trHeight w:val="208" w:hRule="atLeast"/>
        </w:trPr>
        <w:tc>
          <w:tcPr>
            <w:tcW w:w="1322" w:type="dxa"/>
          </w:tcPr>
          <w:p>
            <w:pPr>
              <w:pStyle w:val="TableParagraph"/>
              <w:spacing w:line="187" w:lineRule="exact" w:before="1"/>
              <w:ind w:left="7"/>
              <w:jc w:val="center"/>
              <w:rPr>
                <w:sz w:val="18"/>
              </w:rPr>
            </w:pPr>
            <w:r>
              <w:rPr>
                <w:spacing w:val="-2"/>
                <w:sz w:val="18"/>
              </w:rPr>
              <w:t>2921.29.00.00</w:t>
            </w:r>
          </w:p>
        </w:tc>
        <w:tc>
          <w:tcPr>
            <w:tcW w:w="1265" w:type="dxa"/>
          </w:tcPr>
          <w:p>
            <w:pPr>
              <w:pStyle w:val="TableParagraph"/>
              <w:spacing w:line="187" w:lineRule="exact" w:before="1"/>
              <w:ind w:left="13" w:right="3"/>
              <w:jc w:val="center"/>
              <w:rPr>
                <w:sz w:val="18"/>
              </w:rPr>
            </w:pPr>
            <w:r>
              <w:rPr>
                <w:spacing w:val="-2"/>
                <w:sz w:val="18"/>
              </w:rPr>
              <w:t>179,806.40</w:t>
            </w:r>
          </w:p>
        </w:tc>
        <w:tc>
          <w:tcPr>
            <w:tcW w:w="1192" w:type="dxa"/>
          </w:tcPr>
          <w:p>
            <w:pPr>
              <w:pStyle w:val="TableParagraph"/>
              <w:spacing w:line="187" w:lineRule="exact" w:before="1"/>
              <w:ind w:left="14" w:right="2"/>
              <w:jc w:val="center"/>
              <w:rPr>
                <w:sz w:val="18"/>
              </w:rPr>
            </w:pPr>
            <w:r>
              <w:rPr>
                <w:spacing w:val="-2"/>
                <w:sz w:val="18"/>
              </w:rPr>
              <w:t>127,165.60</w:t>
            </w:r>
          </w:p>
        </w:tc>
        <w:tc>
          <w:tcPr>
            <w:tcW w:w="950" w:type="dxa"/>
          </w:tcPr>
          <w:p>
            <w:pPr>
              <w:pStyle w:val="TableParagraph"/>
              <w:spacing w:line="187" w:lineRule="exact" w:before="1"/>
              <w:ind w:left="11"/>
              <w:jc w:val="center"/>
              <w:rPr>
                <w:sz w:val="18"/>
              </w:rPr>
            </w:pPr>
            <w:r>
              <w:rPr>
                <w:spacing w:val="-4"/>
                <w:sz w:val="18"/>
              </w:rPr>
              <w:t>3.37%</w:t>
            </w:r>
          </w:p>
        </w:tc>
        <w:tc>
          <w:tcPr>
            <w:tcW w:w="4049" w:type="dxa"/>
          </w:tcPr>
          <w:p>
            <w:pPr>
              <w:pStyle w:val="TableParagraph"/>
              <w:spacing w:line="187" w:lineRule="exact" w:before="1"/>
              <w:ind w:left="71"/>
              <w:rPr>
                <w:sz w:val="18"/>
              </w:rPr>
            </w:pPr>
            <w:r>
              <w:rPr>
                <w:color w:val="1F1F1F"/>
                <w:sz w:val="18"/>
              </w:rPr>
              <w:t>Las</w:t>
            </w:r>
            <w:r>
              <w:rPr>
                <w:color w:val="1F1F1F"/>
                <w:spacing w:val="-4"/>
                <w:sz w:val="18"/>
              </w:rPr>
              <w:t> </w:t>
            </w:r>
            <w:r>
              <w:rPr>
                <w:color w:val="1F1F1F"/>
                <w:sz w:val="18"/>
              </w:rPr>
              <w:t>demás</w:t>
            </w:r>
            <w:r>
              <w:rPr>
                <w:color w:val="1F1F1F"/>
                <w:spacing w:val="-3"/>
                <w:sz w:val="18"/>
              </w:rPr>
              <w:t> </w:t>
            </w:r>
            <w:r>
              <w:rPr>
                <w:color w:val="1F1F1F"/>
                <w:sz w:val="18"/>
              </w:rPr>
              <w:t>poliaminas</w:t>
            </w:r>
            <w:r>
              <w:rPr>
                <w:color w:val="1F1F1F"/>
                <w:spacing w:val="-2"/>
                <w:sz w:val="18"/>
              </w:rPr>
              <w:t> </w:t>
            </w:r>
            <w:r>
              <w:rPr>
                <w:color w:val="1F1F1F"/>
                <w:sz w:val="18"/>
              </w:rPr>
              <w:t>acíclicas</w:t>
            </w:r>
            <w:r>
              <w:rPr>
                <w:color w:val="1F1F1F"/>
                <w:spacing w:val="-1"/>
                <w:sz w:val="18"/>
              </w:rPr>
              <w:t> </w:t>
            </w:r>
            <w:r>
              <w:rPr>
                <w:color w:val="1F1F1F"/>
                <w:sz w:val="18"/>
              </w:rPr>
              <w:t>y</w:t>
            </w:r>
            <w:r>
              <w:rPr>
                <w:color w:val="1F1F1F"/>
                <w:spacing w:val="-4"/>
                <w:sz w:val="18"/>
              </w:rPr>
              <w:t> </w:t>
            </w:r>
            <w:r>
              <w:rPr>
                <w:color w:val="1F1F1F"/>
                <w:sz w:val="18"/>
              </w:rPr>
              <w:t>sus</w:t>
            </w:r>
            <w:r>
              <w:rPr>
                <w:color w:val="1F1F1F"/>
                <w:spacing w:val="-1"/>
                <w:sz w:val="18"/>
              </w:rPr>
              <w:t> </w:t>
            </w:r>
            <w:r>
              <w:rPr>
                <w:color w:val="1F1F1F"/>
                <w:spacing w:val="-2"/>
                <w:sz w:val="18"/>
              </w:rPr>
              <w:t>derivados.</w:t>
            </w:r>
          </w:p>
        </w:tc>
      </w:tr>
      <w:tr>
        <w:trPr>
          <w:trHeight w:val="206" w:hRule="atLeast"/>
        </w:trPr>
        <w:tc>
          <w:tcPr>
            <w:tcW w:w="1322" w:type="dxa"/>
          </w:tcPr>
          <w:p>
            <w:pPr>
              <w:pStyle w:val="TableParagraph"/>
              <w:spacing w:line="186" w:lineRule="exact"/>
              <w:ind w:left="7"/>
              <w:jc w:val="center"/>
              <w:rPr>
                <w:sz w:val="18"/>
              </w:rPr>
            </w:pPr>
            <w:r>
              <w:rPr>
                <w:spacing w:val="-2"/>
                <w:sz w:val="18"/>
              </w:rPr>
              <w:t>3402.31.00.00</w:t>
            </w:r>
          </w:p>
        </w:tc>
        <w:tc>
          <w:tcPr>
            <w:tcW w:w="1265" w:type="dxa"/>
          </w:tcPr>
          <w:p>
            <w:pPr>
              <w:pStyle w:val="TableParagraph"/>
              <w:spacing w:line="186" w:lineRule="exact"/>
              <w:ind w:left="13" w:right="3"/>
              <w:jc w:val="center"/>
              <w:rPr>
                <w:sz w:val="18"/>
              </w:rPr>
            </w:pPr>
            <w:r>
              <w:rPr>
                <w:spacing w:val="-2"/>
                <w:sz w:val="18"/>
              </w:rPr>
              <w:t>163,698.50</w:t>
            </w:r>
          </w:p>
        </w:tc>
        <w:tc>
          <w:tcPr>
            <w:tcW w:w="1192" w:type="dxa"/>
          </w:tcPr>
          <w:p>
            <w:pPr>
              <w:pStyle w:val="TableParagraph"/>
              <w:spacing w:line="186" w:lineRule="exact"/>
              <w:ind w:left="14" w:right="2"/>
              <w:jc w:val="center"/>
              <w:rPr>
                <w:sz w:val="18"/>
              </w:rPr>
            </w:pPr>
            <w:r>
              <w:rPr>
                <w:spacing w:val="-2"/>
                <w:sz w:val="18"/>
              </w:rPr>
              <w:t>118,813.30</w:t>
            </w:r>
          </w:p>
        </w:tc>
        <w:tc>
          <w:tcPr>
            <w:tcW w:w="950" w:type="dxa"/>
          </w:tcPr>
          <w:p>
            <w:pPr>
              <w:pStyle w:val="TableParagraph"/>
              <w:spacing w:line="186" w:lineRule="exact"/>
              <w:ind w:left="11"/>
              <w:jc w:val="center"/>
              <w:rPr>
                <w:sz w:val="18"/>
              </w:rPr>
            </w:pPr>
            <w:r>
              <w:rPr>
                <w:spacing w:val="-4"/>
                <w:sz w:val="18"/>
              </w:rPr>
              <w:t>3.10%</w:t>
            </w:r>
          </w:p>
        </w:tc>
        <w:tc>
          <w:tcPr>
            <w:tcW w:w="4049" w:type="dxa"/>
          </w:tcPr>
          <w:p>
            <w:pPr>
              <w:pStyle w:val="TableParagraph"/>
              <w:spacing w:line="186" w:lineRule="exact"/>
              <w:ind w:left="71"/>
              <w:rPr>
                <w:sz w:val="18"/>
              </w:rPr>
            </w:pPr>
            <w:r>
              <w:rPr>
                <w:color w:val="1F1F1F"/>
                <w:sz w:val="18"/>
              </w:rPr>
              <w:t>Agentes</w:t>
            </w:r>
            <w:r>
              <w:rPr>
                <w:color w:val="1F1F1F"/>
                <w:spacing w:val="-4"/>
                <w:sz w:val="18"/>
              </w:rPr>
              <w:t> </w:t>
            </w:r>
            <w:r>
              <w:rPr>
                <w:color w:val="1F1F1F"/>
                <w:sz w:val="18"/>
              </w:rPr>
              <w:t>de</w:t>
            </w:r>
            <w:r>
              <w:rPr>
                <w:color w:val="1F1F1F"/>
                <w:spacing w:val="-4"/>
                <w:sz w:val="18"/>
              </w:rPr>
              <w:t> </w:t>
            </w:r>
            <w:r>
              <w:rPr>
                <w:color w:val="1F1F1F"/>
                <w:sz w:val="18"/>
              </w:rPr>
              <w:t>superficie</w:t>
            </w:r>
            <w:r>
              <w:rPr>
                <w:color w:val="1F1F1F"/>
                <w:spacing w:val="-4"/>
                <w:sz w:val="18"/>
              </w:rPr>
              <w:t> </w:t>
            </w:r>
            <w:r>
              <w:rPr>
                <w:color w:val="1F1F1F"/>
                <w:sz w:val="18"/>
              </w:rPr>
              <w:t>orgánicos</w:t>
            </w:r>
            <w:r>
              <w:rPr>
                <w:color w:val="1F1F1F"/>
                <w:spacing w:val="-3"/>
                <w:sz w:val="18"/>
              </w:rPr>
              <w:t> </w:t>
            </w:r>
            <w:r>
              <w:rPr>
                <w:color w:val="1F1F1F"/>
                <w:spacing w:val="-2"/>
                <w:sz w:val="18"/>
              </w:rPr>
              <w:t>aniónicos.</w:t>
            </w:r>
          </w:p>
        </w:tc>
      </w:tr>
      <w:tr>
        <w:trPr>
          <w:trHeight w:val="414" w:hRule="atLeast"/>
        </w:trPr>
        <w:tc>
          <w:tcPr>
            <w:tcW w:w="1322" w:type="dxa"/>
          </w:tcPr>
          <w:p>
            <w:pPr>
              <w:pStyle w:val="TableParagraph"/>
              <w:spacing w:before="104"/>
              <w:ind w:left="7"/>
              <w:jc w:val="center"/>
              <w:rPr>
                <w:sz w:val="18"/>
              </w:rPr>
            </w:pPr>
            <w:r>
              <w:rPr>
                <w:spacing w:val="-2"/>
                <w:sz w:val="18"/>
              </w:rPr>
              <w:t>3907.29.20.00</w:t>
            </w:r>
          </w:p>
        </w:tc>
        <w:tc>
          <w:tcPr>
            <w:tcW w:w="1265" w:type="dxa"/>
          </w:tcPr>
          <w:p>
            <w:pPr>
              <w:pStyle w:val="TableParagraph"/>
              <w:spacing w:before="104"/>
              <w:ind w:left="13" w:right="3"/>
              <w:jc w:val="center"/>
              <w:rPr>
                <w:sz w:val="18"/>
              </w:rPr>
            </w:pPr>
            <w:r>
              <w:rPr>
                <w:spacing w:val="-2"/>
                <w:sz w:val="18"/>
              </w:rPr>
              <w:t>213,624.10</w:t>
            </w:r>
          </w:p>
        </w:tc>
        <w:tc>
          <w:tcPr>
            <w:tcW w:w="1192" w:type="dxa"/>
          </w:tcPr>
          <w:p>
            <w:pPr>
              <w:pStyle w:val="TableParagraph"/>
              <w:spacing w:before="104"/>
              <w:ind w:left="14"/>
              <w:jc w:val="center"/>
              <w:rPr>
                <w:sz w:val="18"/>
              </w:rPr>
            </w:pPr>
            <w:r>
              <w:rPr>
                <w:spacing w:val="-2"/>
                <w:sz w:val="18"/>
              </w:rPr>
              <w:t>38,534.60</w:t>
            </w:r>
          </w:p>
        </w:tc>
        <w:tc>
          <w:tcPr>
            <w:tcW w:w="950" w:type="dxa"/>
          </w:tcPr>
          <w:p>
            <w:pPr>
              <w:pStyle w:val="TableParagraph"/>
              <w:spacing w:before="104"/>
              <w:ind w:left="11"/>
              <w:jc w:val="center"/>
              <w:rPr>
                <w:sz w:val="18"/>
              </w:rPr>
            </w:pPr>
            <w:r>
              <w:rPr>
                <w:spacing w:val="-4"/>
                <w:sz w:val="18"/>
              </w:rPr>
              <w:t>2.77%</w:t>
            </w:r>
          </w:p>
        </w:tc>
        <w:tc>
          <w:tcPr>
            <w:tcW w:w="4049" w:type="dxa"/>
          </w:tcPr>
          <w:p>
            <w:pPr>
              <w:pStyle w:val="TableParagraph"/>
              <w:spacing w:line="208" w:lineRule="exact"/>
              <w:ind w:left="71" w:right="106"/>
              <w:rPr>
                <w:sz w:val="18"/>
              </w:rPr>
            </w:pPr>
            <w:r>
              <w:rPr>
                <w:color w:val="1F1F1F"/>
                <w:sz w:val="18"/>
              </w:rPr>
              <w:t>Polipropilenglicol</w:t>
            </w:r>
            <w:r>
              <w:rPr>
                <w:color w:val="1F1F1F"/>
                <w:spacing w:val="-13"/>
                <w:sz w:val="18"/>
              </w:rPr>
              <w:t> </w:t>
            </w:r>
            <w:r>
              <w:rPr>
                <w:color w:val="1F1F1F"/>
                <w:sz w:val="18"/>
              </w:rPr>
              <w:t>(poliéteres</w:t>
            </w:r>
            <w:r>
              <w:rPr>
                <w:color w:val="1F1F1F"/>
                <w:spacing w:val="-12"/>
                <w:sz w:val="18"/>
              </w:rPr>
              <w:t> </w:t>
            </w:r>
            <w:r>
              <w:rPr>
                <w:color w:val="1F1F1F"/>
                <w:sz w:val="18"/>
              </w:rPr>
              <w:t>en</w:t>
            </w:r>
            <w:r>
              <w:rPr>
                <w:color w:val="1F1F1F"/>
                <w:spacing w:val="-13"/>
                <w:sz w:val="18"/>
              </w:rPr>
              <w:t> </w:t>
            </w:r>
            <w:r>
              <w:rPr>
                <w:color w:val="1F1F1F"/>
                <w:sz w:val="18"/>
              </w:rPr>
              <w:t>formas </w:t>
            </w:r>
            <w:r>
              <w:rPr>
                <w:color w:val="1F1F1F"/>
                <w:spacing w:val="-2"/>
                <w:sz w:val="18"/>
              </w:rPr>
              <w:t>primarias).</w:t>
            </w:r>
          </w:p>
        </w:tc>
      </w:tr>
      <w:tr>
        <w:trPr>
          <w:trHeight w:val="413" w:hRule="atLeast"/>
        </w:trPr>
        <w:tc>
          <w:tcPr>
            <w:tcW w:w="1322" w:type="dxa"/>
          </w:tcPr>
          <w:p>
            <w:pPr>
              <w:pStyle w:val="TableParagraph"/>
              <w:spacing w:before="101"/>
              <w:ind w:left="7"/>
              <w:jc w:val="center"/>
              <w:rPr>
                <w:sz w:val="18"/>
              </w:rPr>
            </w:pPr>
            <w:r>
              <w:rPr>
                <w:spacing w:val="-2"/>
                <w:sz w:val="18"/>
              </w:rPr>
              <w:t>8537.10.90.90</w:t>
            </w:r>
          </w:p>
        </w:tc>
        <w:tc>
          <w:tcPr>
            <w:tcW w:w="1265" w:type="dxa"/>
          </w:tcPr>
          <w:p>
            <w:pPr>
              <w:pStyle w:val="TableParagraph"/>
              <w:spacing w:before="101"/>
              <w:ind w:left="13"/>
              <w:jc w:val="center"/>
              <w:rPr>
                <w:sz w:val="18"/>
              </w:rPr>
            </w:pPr>
            <w:r>
              <w:rPr>
                <w:spacing w:val="-2"/>
                <w:sz w:val="18"/>
              </w:rPr>
              <w:t>77,703.60</w:t>
            </w:r>
          </w:p>
        </w:tc>
        <w:tc>
          <w:tcPr>
            <w:tcW w:w="1192" w:type="dxa"/>
          </w:tcPr>
          <w:p>
            <w:pPr>
              <w:pStyle w:val="TableParagraph"/>
              <w:spacing w:before="101"/>
              <w:ind w:left="14" w:right="2"/>
              <w:jc w:val="center"/>
              <w:rPr>
                <w:sz w:val="18"/>
              </w:rPr>
            </w:pPr>
            <w:r>
              <w:rPr>
                <w:spacing w:val="-2"/>
                <w:sz w:val="18"/>
              </w:rPr>
              <w:t>171,794.10</w:t>
            </w:r>
          </w:p>
        </w:tc>
        <w:tc>
          <w:tcPr>
            <w:tcW w:w="950" w:type="dxa"/>
          </w:tcPr>
          <w:p>
            <w:pPr>
              <w:pStyle w:val="TableParagraph"/>
              <w:spacing w:before="101"/>
              <w:ind w:left="11"/>
              <w:jc w:val="center"/>
              <w:rPr>
                <w:sz w:val="18"/>
              </w:rPr>
            </w:pPr>
            <w:r>
              <w:rPr>
                <w:spacing w:val="-4"/>
                <w:sz w:val="18"/>
              </w:rPr>
              <w:t>2.74%</w:t>
            </w:r>
          </w:p>
        </w:tc>
        <w:tc>
          <w:tcPr>
            <w:tcW w:w="4049" w:type="dxa"/>
          </w:tcPr>
          <w:p>
            <w:pPr>
              <w:pStyle w:val="TableParagraph"/>
              <w:spacing w:line="206" w:lineRule="exact"/>
              <w:ind w:left="71" w:right="106"/>
              <w:rPr>
                <w:sz w:val="18"/>
              </w:rPr>
            </w:pPr>
            <w:r>
              <w:rPr>
                <w:color w:val="1F1F1F"/>
                <w:sz w:val="18"/>
              </w:rPr>
              <w:t>Cuadros</w:t>
            </w:r>
            <w:r>
              <w:rPr>
                <w:color w:val="1F1F1F"/>
                <w:spacing w:val="-8"/>
                <w:sz w:val="18"/>
              </w:rPr>
              <w:t> </w:t>
            </w:r>
            <w:r>
              <w:rPr>
                <w:color w:val="1F1F1F"/>
                <w:sz w:val="18"/>
              </w:rPr>
              <w:t>y</w:t>
            </w:r>
            <w:r>
              <w:rPr>
                <w:color w:val="1F1F1F"/>
                <w:spacing w:val="-7"/>
                <w:sz w:val="18"/>
              </w:rPr>
              <w:t> </w:t>
            </w:r>
            <w:r>
              <w:rPr>
                <w:color w:val="1F1F1F"/>
                <w:sz w:val="18"/>
              </w:rPr>
              <w:t>paneles</w:t>
            </w:r>
            <w:r>
              <w:rPr>
                <w:color w:val="1F1F1F"/>
                <w:spacing w:val="-5"/>
                <w:sz w:val="18"/>
              </w:rPr>
              <w:t> </w:t>
            </w:r>
            <w:r>
              <w:rPr>
                <w:color w:val="1F1F1F"/>
                <w:sz w:val="18"/>
              </w:rPr>
              <w:t>para</w:t>
            </w:r>
            <w:r>
              <w:rPr>
                <w:color w:val="1F1F1F"/>
                <w:spacing w:val="-6"/>
                <w:sz w:val="18"/>
              </w:rPr>
              <w:t> </w:t>
            </w:r>
            <w:r>
              <w:rPr>
                <w:color w:val="1F1F1F"/>
                <w:sz w:val="18"/>
              </w:rPr>
              <w:t>control</w:t>
            </w:r>
            <w:r>
              <w:rPr>
                <w:color w:val="1F1F1F"/>
                <w:spacing w:val="-6"/>
                <w:sz w:val="18"/>
              </w:rPr>
              <w:t> </w:t>
            </w:r>
            <w:r>
              <w:rPr>
                <w:color w:val="1F1F1F"/>
                <w:sz w:val="18"/>
              </w:rPr>
              <w:t>eléctrico</w:t>
            </w:r>
            <w:r>
              <w:rPr>
                <w:color w:val="1F1F1F"/>
                <w:spacing w:val="-8"/>
                <w:sz w:val="18"/>
              </w:rPr>
              <w:t> </w:t>
            </w:r>
            <w:r>
              <w:rPr>
                <w:color w:val="1F1F1F"/>
                <w:sz w:val="18"/>
              </w:rPr>
              <w:t>(&lt;= 1,000 V).</w:t>
            </w:r>
          </w:p>
        </w:tc>
      </w:tr>
      <w:tr>
        <w:trPr>
          <w:trHeight w:val="206" w:hRule="atLeast"/>
        </w:trPr>
        <w:tc>
          <w:tcPr>
            <w:tcW w:w="1322" w:type="dxa"/>
          </w:tcPr>
          <w:p>
            <w:pPr>
              <w:pStyle w:val="TableParagraph"/>
              <w:spacing w:line="186" w:lineRule="exact"/>
              <w:ind w:left="7"/>
              <w:jc w:val="center"/>
              <w:rPr>
                <w:sz w:val="18"/>
              </w:rPr>
            </w:pPr>
            <w:r>
              <w:rPr>
                <w:spacing w:val="-2"/>
                <w:sz w:val="18"/>
              </w:rPr>
              <w:t>8413.81.90.90</w:t>
            </w:r>
          </w:p>
        </w:tc>
        <w:tc>
          <w:tcPr>
            <w:tcW w:w="1265" w:type="dxa"/>
          </w:tcPr>
          <w:p>
            <w:pPr>
              <w:pStyle w:val="TableParagraph"/>
              <w:spacing w:line="186" w:lineRule="exact"/>
              <w:ind w:left="13" w:right="3"/>
              <w:jc w:val="center"/>
              <w:rPr>
                <w:sz w:val="18"/>
              </w:rPr>
            </w:pPr>
            <w:r>
              <w:rPr>
                <w:spacing w:val="-2"/>
                <w:sz w:val="18"/>
              </w:rPr>
              <w:t>179,849.30</w:t>
            </w:r>
          </w:p>
        </w:tc>
        <w:tc>
          <w:tcPr>
            <w:tcW w:w="1192" w:type="dxa"/>
          </w:tcPr>
          <w:p>
            <w:pPr>
              <w:pStyle w:val="TableParagraph"/>
              <w:spacing w:line="186" w:lineRule="exact"/>
              <w:ind w:left="14"/>
              <w:jc w:val="center"/>
              <w:rPr>
                <w:sz w:val="18"/>
              </w:rPr>
            </w:pPr>
            <w:r>
              <w:rPr>
                <w:spacing w:val="-2"/>
                <w:sz w:val="18"/>
              </w:rPr>
              <w:t>55,189.00</w:t>
            </w:r>
          </w:p>
        </w:tc>
        <w:tc>
          <w:tcPr>
            <w:tcW w:w="950" w:type="dxa"/>
          </w:tcPr>
          <w:p>
            <w:pPr>
              <w:pStyle w:val="TableParagraph"/>
              <w:spacing w:line="186" w:lineRule="exact"/>
              <w:ind w:left="11"/>
              <w:jc w:val="center"/>
              <w:rPr>
                <w:sz w:val="18"/>
              </w:rPr>
            </w:pPr>
            <w:r>
              <w:rPr>
                <w:spacing w:val="-4"/>
                <w:sz w:val="18"/>
              </w:rPr>
              <w:t>2.58%</w:t>
            </w:r>
          </w:p>
        </w:tc>
        <w:tc>
          <w:tcPr>
            <w:tcW w:w="4049" w:type="dxa"/>
          </w:tcPr>
          <w:p>
            <w:pPr>
              <w:pStyle w:val="TableParagraph"/>
              <w:spacing w:line="186" w:lineRule="exact"/>
              <w:ind w:left="71"/>
              <w:rPr>
                <w:sz w:val="18"/>
              </w:rPr>
            </w:pPr>
            <w:r>
              <w:rPr>
                <w:color w:val="1F1F1F"/>
                <w:sz w:val="18"/>
              </w:rPr>
              <w:t>Las</w:t>
            </w:r>
            <w:r>
              <w:rPr>
                <w:color w:val="1F1F1F"/>
                <w:spacing w:val="-3"/>
                <w:sz w:val="18"/>
              </w:rPr>
              <w:t> </w:t>
            </w:r>
            <w:r>
              <w:rPr>
                <w:color w:val="1F1F1F"/>
                <w:sz w:val="18"/>
              </w:rPr>
              <w:t>demás</w:t>
            </w:r>
            <w:r>
              <w:rPr>
                <w:color w:val="1F1F1F"/>
                <w:spacing w:val="-2"/>
                <w:sz w:val="18"/>
              </w:rPr>
              <w:t> </w:t>
            </w:r>
            <w:r>
              <w:rPr>
                <w:color w:val="1F1F1F"/>
                <w:sz w:val="18"/>
              </w:rPr>
              <w:t>bombas</w:t>
            </w:r>
            <w:r>
              <w:rPr>
                <w:color w:val="1F1F1F"/>
                <w:spacing w:val="-3"/>
                <w:sz w:val="18"/>
              </w:rPr>
              <w:t> </w:t>
            </w:r>
            <w:r>
              <w:rPr>
                <w:color w:val="1F1F1F"/>
                <w:sz w:val="18"/>
              </w:rPr>
              <w:t>para</w:t>
            </w:r>
            <w:r>
              <w:rPr>
                <w:color w:val="1F1F1F"/>
                <w:spacing w:val="-3"/>
                <w:sz w:val="18"/>
              </w:rPr>
              <w:t> </w:t>
            </w:r>
            <w:r>
              <w:rPr>
                <w:color w:val="1F1F1F"/>
                <w:spacing w:val="-2"/>
                <w:sz w:val="18"/>
              </w:rPr>
              <w:t>líquidos.</w:t>
            </w:r>
          </w:p>
        </w:tc>
      </w:tr>
      <w:tr>
        <w:trPr>
          <w:trHeight w:val="206" w:hRule="atLeast"/>
        </w:trPr>
        <w:tc>
          <w:tcPr>
            <w:tcW w:w="1322" w:type="dxa"/>
          </w:tcPr>
          <w:p>
            <w:pPr>
              <w:pStyle w:val="TableParagraph"/>
              <w:spacing w:line="186" w:lineRule="exact"/>
              <w:ind w:left="7"/>
              <w:jc w:val="center"/>
              <w:rPr>
                <w:sz w:val="18"/>
              </w:rPr>
            </w:pPr>
            <w:r>
              <w:rPr>
                <w:spacing w:val="-2"/>
                <w:sz w:val="18"/>
              </w:rPr>
              <w:t>6910.10.00.00</w:t>
            </w:r>
          </w:p>
        </w:tc>
        <w:tc>
          <w:tcPr>
            <w:tcW w:w="1265" w:type="dxa"/>
          </w:tcPr>
          <w:p>
            <w:pPr>
              <w:pStyle w:val="TableParagraph"/>
              <w:spacing w:line="186" w:lineRule="exact"/>
              <w:ind w:left="13"/>
              <w:jc w:val="center"/>
              <w:rPr>
                <w:sz w:val="18"/>
              </w:rPr>
            </w:pPr>
            <w:r>
              <w:rPr>
                <w:spacing w:val="-2"/>
                <w:sz w:val="18"/>
              </w:rPr>
              <w:t>79,771.30</w:t>
            </w:r>
          </w:p>
        </w:tc>
        <w:tc>
          <w:tcPr>
            <w:tcW w:w="1192" w:type="dxa"/>
          </w:tcPr>
          <w:p>
            <w:pPr>
              <w:pStyle w:val="TableParagraph"/>
              <w:spacing w:line="186" w:lineRule="exact"/>
              <w:ind w:left="14" w:right="2"/>
              <w:jc w:val="center"/>
              <w:rPr>
                <w:sz w:val="18"/>
              </w:rPr>
            </w:pPr>
            <w:r>
              <w:rPr>
                <w:spacing w:val="-2"/>
                <w:sz w:val="18"/>
              </w:rPr>
              <w:t>145,427.80</w:t>
            </w:r>
          </w:p>
        </w:tc>
        <w:tc>
          <w:tcPr>
            <w:tcW w:w="950" w:type="dxa"/>
          </w:tcPr>
          <w:p>
            <w:pPr>
              <w:pStyle w:val="TableParagraph"/>
              <w:spacing w:line="186" w:lineRule="exact"/>
              <w:ind w:left="11"/>
              <w:jc w:val="center"/>
              <w:rPr>
                <w:sz w:val="18"/>
              </w:rPr>
            </w:pPr>
            <w:r>
              <w:rPr>
                <w:spacing w:val="-4"/>
                <w:sz w:val="18"/>
              </w:rPr>
              <w:t>2.47%</w:t>
            </w:r>
          </w:p>
        </w:tc>
        <w:tc>
          <w:tcPr>
            <w:tcW w:w="4049" w:type="dxa"/>
          </w:tcPr>
          <w:p>
            <w:pPr>
              <w:pStyle w:val="TableParagraph"/>
              <w:spacing w:line="186" w:lineRule="exact"/>
              <w:ind w:left="71"/>
              <w:rPr>
                <w:sz w:val="18"/>
              </w:rPr>
            </w:pPr>
            <w:r>
              <w:rPr>
                <w:color w:val="1F1F1F"/>
                <w:sz w:val="18"/>
              </w:rPr>
              <w:t>Aparatos</w:t>
            </w:r>
            <w:r>
              <w:rPr>
                <w:color w:val="1F1F1F"/>
                <w:spacing w:val="-4"/>
                <w:sz w:val="18"/>
              </w:rPr>
              <w:t> </w:t>
            </w:r>
            <w:r>
              <w:rPr>
                <w:color w:val="1F1F1F"/>
                <w:sz w:val="18"/>
              </w:rPr>
              <w:t>sanitarios</w:t>
            </w:r>
            <w:r>
              <w:rPr>
                <w:color w:val="1F1F1F"/>
                <w:spacing w:val="-4"/>
                <w:sz w:val="18"/>
              </w:rPr>
              <w:t> </w:t>
            </w:r>
            <w:r>
              <w:rPr>
                <w:color w:val="1F1F1F"/>
                <w:sz w:val="18"/>
              </w:rPr>
              <w:t>de</w:t>
            </w:r>
            <w:r>
              <w:rPr>
                <w:color w:val="1F1F1F"/>
                <w:spacing w:val="-4"/>
                <w:sz w:val="18"/>
              </w:rPr>
              <w:t> </w:t>
            </w:r>
            <w:r>
              <w:rPr>
                <w:color w:val="1F1F1F"/>
                <w:spacing w:val="-2"/>
                <w:sz w:val="18"/>
              </w:rPr>
              <w:t>porcelana.</w:t>
            </w:r>
          </w:p>
        </w:tc>
      </w:tr>
      <w:tr>
        <w:trPr>
          <w:trHeight w:val="208" w:hRule="atLeast"/>
        </w:trPr>
        <w:tc>
          <w:tcPr>
            <w:tcW w:w="1322" w:type="dxa"/>
          </w:tcPr>
          <w:p>
            <w:pPr>
              <w:pStyle w:val="TableParagraph"/>
              <w:spacing w:line="187" w:lineRule="exact" w:before="1"/>
              <w:ind w:left="7"/>
              <w:jc w:val="center"/>
              <w:rPr>
                <w:sz w:val="18"/>
              </w:rPr>
            </w:pPr>
            <w:r>
              <w:rPr>
                <w:spacing w:val="-2"/>
                <w:sz w:val="18"/>
              </w:rPr>
              <w:t>8421.99.90.00</w:t>
            </w:r>
          </w:p>
        </w:tc>
        <w:tc>
          <w:tcPr>
            <w:tcW w:w="1265" w:type="dxa"/>
          </w:tcPr>
          <w:p>
            <w:pPr>
              <w:pStyle w:val="TableParagraph"/>
              <w:spacing w:line="187" w:lineRule="exact" w:before="1"/>
              <w:ind w:left="13" w:right="3"/>
              <w:jc w:val="center"/>
              <w:rPr>
                <w:sz w:val="18"/>
              </w:rPr>
            </w:pPr>
            <w:r>
              <w:rPr>
                <w:spacing w:val="-2"/>
                <w:sz w:val="18"/>
              </w:rPr>
              <w:t>156,634.20</w:t>
            </w:r>
          </w:p>
        </w:tc>
        <w:tc>
          <w:tcPr>
            <w:tcW w:w="1192" w:type="dxa"/>
          </w:tcPr>
          <w:p>
            <w:pPr>
              <w:pStyle w:val="TableParagraph"/>
              <w:spacing w:line="187" w:lineRule="exact" w:before="1"/>
              <w:ind w:left="14"/>
              <w:jc w:val="center"/>
              <w:rPr>
                <w:sz w:val="18"/>
              </w:rPr>
            </w:pPr>
            <w:r>
              <w:rPr>
                <w:spacing w:val="-2"/>
                <w:sz w:val="18"/>
              </w:rPr>
              <w:t>37,040.50</w:t>
            </w:r>
          </w:p>
        </w:tc>
        <w:tc>
          <w:tcPr>
            <w:tcW w:w="950" w:type="dxa"/>
          </w:tcPr>
          <w:p>
            <w:pPr>
              <w:pStyle w:val="TableParagraph"/>
              <w:spacing w:line="187" w:lineRule="exact" w:before="1"/>
              <w:ind w:left="11"/>
              <w:jc w:val="center"/>
              <w:rPr>
                <w:sz w:val="18"/>
              </w:rPr>
            </w:pPr>
            <w:r>
              <w:rPr>
                <w:spacing w:val="-4"/>
                <w:sz w:val="18"/>
              </w:rPr>
              <w:t>2.13%</w:t>
            </w:r>
          </w:p>
        </w:tc>
        <w:tc>
          <w:tcPr>
            <w:tcW w:w="4049" w:type="dxa"/>
          </w:tcPr>
          <w:p>
            <w:pPr>
              <w:pStyle w:val="TableParagraph"/>
              <w:spacing w:line="187" w:lineRule="exact" w:before="1"/>
              <w:ind w:left="71"/>
              <w:rPr>
                <w:sz w:val="18"/>
              </w:rPr>
            </w:pPr>
            <w:r>
              <w:rPr>
                <w:color w:val="1F1F1F"/>
                <w:sz w:val="18"/>
              </w:rPr>
              <w:t>Partes</w:t>
            </w:r>
            <w:r>
              <w:rPr>
                <w:color w:val="1F1F1F"/>
                <w:spacing w:val="-3"/>
                <w:sz w:val="18"/>
              </w:rPr>
              <w:t> </w:t>
            </w:r>
            <w:r>
              <w:rPr>
                <w:color w:val="1F1F1F"/>
                <w:sz w:val="18"/>
              </w:rPr>
              <w:t>de</w:t>
            </w:r>
            <w:r>
              <w:rPr>
                <w:color w:val="1F1F1F"/>
                <w:spacing w:val="-3"/>
                <w:sz w:val="18"/>
              </w:rPr>
              <w:t> </w:t>
            </w:r>
            <w:r>
              <w:rPr>
                <w:color w:val="1F1F1F"/>
                <w:sz w:val="18"/>
              </w:rPr>
              <w:t>aparatos</w:t>
            </w:r>
            <w:r>
              <w:rPr>
                <w:color w:val="1F1F1F"/>
                <w:spacing w:val="-3"/>
                <w:sz w:val="18"/>
              </w:rPr>
              <w:t> </w:t>
            </w:r>
            <w:r>
              <w:rPr>
                <w:color w:val="1F1F1F"/>
                <w:sz w:val="18"/>
              </w:rPr>
              <w:t>para</w:t>
            </w:r>
            <w:r>
              <w:rPr>
                <w:color w:val="1F1F1F"/>
                <w:spacing w:val="-4"/>
                <w:sz w:val="18"/>
              </w:rPr>
              <w:t> </w:t>
            </w:r>
            <w:r>
              <w:rPr>
                <w:color w:val="1F1F1F"/>
                <w:sz w:val="18"/>
              </w:rPr>
              <w:t>filtrar</w:t>
            </w:r>
            <w:r>
              <w:rPr>
                <w:color w:val="1F1F1F"/>
                <w:spacing w:val="-3"/>
                <w:sz w:val="18"/>
              </w:rPr>
              <w:t> </w:t>
            </w:r>
            <w:r>
              <w:rPr>
                <w:color w:val="1F1F1F"/>
                <w:sz w:val="18"/>
              </w:rPr>
              <w:t>líquidos</w:t>
            </w:r>
            <w:r>
              <w:rPr>
                <w:color w:val="1F1F1F"/>
                <w:spacing w:val="-4"/>
                <w:sz w:val="18"/>
              </w:rPr>
              <w:t> </w:t>
            </w:r>
            <w:r>
              <w:rPr>
                <w:color w:val="1F1F1F"/>
                <w:sz w:val="18"/>
              </w:rPr>
              <w:t>o</w:t>
            </w:r>
            <w:r>
              <w:rPr>
                <w:color w:val="1F1F1F"/>
                <w:spacing w:val="-2"/>
                <w:sz w:val="18"/>
              </w:rPr>
              <w:t> gases.</w:t>
            </w:r>
          </w:p>
        </w:tc>
      </w:tr>
      <w:tr>
        <w:trPr>
          <w:trHeight w:val="206" w:hRule="atLeast"/>
        </w:trPr>
        <w:tc>
          <w:tcPr>
            <w:tcW w:w="1322" w:type="dxa"/>
          </w:tcPr>
          <w:p>
            <w:pPr>
              <w:pStyle w:val="TableParagraph"/>
              <w:spacing w:line="186" w:lineRule="exact"/>
              <w:ind w:left="7"/>
              <w:jc w:val="center"/>
              <w:rPr>
                <w:sz w:val="18"/>
              </w:rPr>
            </w:pPr>
            <w:r>
              <w:rPr>
                <w:spacing w:val="-2"/>
                <w:sz w:val="18"/>
              </w:rPr>
              <w:t>8413.70.29.00</w:t>
            </w:r>
          </w:p>
        </w:tc>
        <w:tc>
          <w:tcPr>
            <w:tcW w:w="1265" w:type="dxa"/>
          </w:tcPr>
          <w:p>
            <w:pPr>
              <w:pStyle w:val="TableParagraph"/>
              <w:spacing w:line="186" w:lineRule="exact"/>
              <w:ind w:left="290" w:right="277"/>
              <w:jc w:val="center"/>
              <w:rPr>
                <w:sz w:val="18"/>
              </w:rPr>
            </w:pPr>
            <w:r>
              <w:rPr>
                <w:spacing w:val="-2"/>
                <w:sz w:val="18"/>
              </w:rPr>
              <w:t>821.7</w:t>
            </w:r>
          </w:p>
        </w:tc>
        <w:tc>
          <w:tcPr>
            <w:tcW w:w="1192" w:type="dxa"/>
          </w:tcPr>
          <w:p>
            <w:pPr>
              <w:pStyle w:val="TableParagraph"/>
              <w:spacing w:line="186" w:lineRule="exact"/>
              <w:ind w:left="14" w:right="2"/>
              <w:jc w:val="center"/>
              <w:rPr>
                <w:sz w:val="18"/>
              </w:rPr>
            </w:pPr>
            <w:r>
              <w:rPr>
                <w:spacing w:val="-2"/>
                <w:sz w:val="18"/>
              </w:rPr>
              <w:t>170,694.50</w:t>
            </w:r>
          </w:p>
        </w:tc>
        <w:tc>
          <w:tcPr>
            <w:tcW w:w="950" w:type="dxa"/>
          </w:tcPr>
          <w:p>
            <w:pPr>
              <w:pStyle w:val="TableParagraph"/>
              <w:spacing w:line="186" w:lineRule="exact"/>
              <w:ind w:left="11"/>
              <w:jc w:val="center"/>
              <w:rPr>
                <w:sz w:val="18"/>
              </w:rPr>
            </w:pPr>
            <w:r>
              <w:rPr>
                <w:spacing w:val="-4"/>
                <w:sz w:val="18"/>
              </w:rPr>
              <w:t>1.88%</w:t>
            </w:r>
          </w:p>
        </w:tc>
        <w:tc>
          <w:tcPr>
            <w:tcW w:w="4049" w:type="dxa"/>
          </w:tcPr>
          <w:p>
            <w:pPr>
              <w:pStyle w:val="TableParagraph"/>
              <w:spacing w:line="186" w:lineRule="exact"/>
              <w:ind w:left="71"/>
              <w:rPr>
                <w:sz w:val="18"/>
              </w:rPr>
            </w:pPr>
            <w:r>
              <w:rPr>
                <w:color w:val="1F1F1F"/>
                <w:sz w:val="18"/>
              </w:rPr>
              <w:t>Las</w:t>
            </w:r>
            <w:r>
              <w:rPr>
                <w:color w:val="1F1F1F"/>
                <w:spacing w:val="-4"/>
                <w:sz w:val="18"/>
              </w:rPr>
              <w:t> </w:t>
            </w:r>
            <w:r>
              <w:rPr>
                <w:color w:val="1F1F1F"/>
                <w:sz w:val="18"/>
              </w:rPr>
              <w:t>demás</w:t>
            </w:r>
            <w:r>
              <w:rPr>
                <w:color w:val="1F1F1F"/>
                <w:spacing w:val="-3"/>
                <w:sz w:val="18"/>
              </w:rPr>
              <w:t> </w:t>
            </w:r>
            <w:r>
              <w:rPr>
                <w:color w:val="1F1F1F"/>
                <w:sz w:val="18"/>
              </w:rPr>
              <w:t>bombas</w:t>
            </w:r>
            <w:r>
              <w:rPr>
                <w:color w:val="1F1F1F"/>
                <w:spacing w:val="-5"/>
                <w:sz w:val="18"/>
              </w:rPr>
              <w:t> </w:t>
            </w:r>
            <w:r>
              <w:rPr>
                <w:color w:val="1F1F1F"/>
                <w:sz w:val="18"/>
              </w:rPr>
              <w:t>centrífugas</w:t>
            </w:r>
            <w:r>
              <w:rPr>
                <w:color w:val="1F1F1F"/>
                <w:spacing w:val="-1"/>
                <w:sz w:val="18"/>
              </w:rPr>
              <w:t> </w:t>
            </w:r>
            <w:r>
              <w:rPr>
                <w:color w:val="1F1F1F"/>
                <w:spacing w:val="-2"/>
                <w:sz w:val="18"/>
              </w:rPr>
              <w:t>multicelulares.</w:t>
            </w:r>
          </w:p>
        </w:tc>
      </w:tr>
      <w:tr>
        <w:trPr>
          <w:trHeight w:val="208" w:hRule="atLeast"/>
        </w:trPr>
        <w:tc>
          <w:tcPr>
            <w:tcW w:w="1322" w:type="dxa"/>
          </w:tcPr>
          <w:p>
            <w:pPr>
              <w:pStyle w:val="TableParagraph"/>
              <w:spacing w:line="188" w:lineRule="exact"/>
              <w:ind w:left="7"/>
              <w:jc w:val="center"/>
              <w:rPr>
                <w:sz w:val="18"/>
              </w:rPr>
            </w:pPr>
            <w:r>
              <w:rPr>
                <w:spacing w:val="-2"/>
                <w:sz w:val="18"/>
              </w:rPr>
              <w:t>8413.70.19.00</w:t>
            </w:r>
          </w:p>
        </w:tc>
        <w:tc>
          <w:tcPr>
            <w:tcW w:w="1265" w:type="dxa"/>
          </w:tcPr>
          <w:p>
            <w:pPr>
              <w:pStyle w:val="TableParagraph"/>
              <w:spacing w:line="188" w:lineRule="exact"/>
              <w:ind w:left="13"/>
              <w:jc w:val="center"/>
              <w:rPr>
                <w:sz w:val="18"/>
              </w:rPr>
            </w:pPr>
            <w:r>
              <w:rPr>
                <w:spacing w:val="-2"/>
                <w:sz w:val="18"/>
              </w:rPr>
              <w:t>69,310.20</w:t>
            </w:r>
          </w:p>
        </w:tc>
        <w:tc>
          <w:tcPr>
            <w:tcW w:w="1192" w:type="dxa"/>
          </w:tcPr>
          <w:p>
            <w:pPr>
              <w:pStyle w:val="TableParagraph"/>
              <w:spacing w:line="188" w:lineRule="exact"/>
              <w:ind w:left="14"/>
              <w:jc w:val="center"/>
              <w:rPr>
                <w:sz w:val="18"/>
              </w:rPr>
            </w:pPr>
            <w:r>
              <w:rPr>
                <w:spacing w:val="-2"/>
                <w:sz w:val="18"/>
              </w:rPr>
              <w:t>97,736.40</w:t>
            </w:r>
          </w:p>
        </w:tc>
        <w:tc>
          <w:tcPr>
            <w:tcW w:w="950" w:type="dxa"/>
          </w:tcPr>
          <w:p>
            <w:pPr>
              <w:pStyle w:val="TableParagraph"/>
              <w:spacing w:line="188" w:lineRule="exact"/>
              <w:ind w:left="11"/>
              <w:jc w:val="center"/>
              <w:rPr>
                <w:sz w:val="18"/>
              </w:rPr>
            </w:pPr>
            <w:r>
              <w:rPr>
                <w:spacing w:val="-4"/>
                <w:sz w:val="18"/>
              </w:rPr>
              <w:t>1.83%</w:t>
            </w:r>
          </w:p>
        </w:tc>
        <w:tc>
          <w:tcPr>
            <w:tcW w:w="4049" w:type="dxa"/>
          </w:tcPr>
          <w:p>
            <w:pPr>
              <w:pStyle w:val="TableParagraph"/>
              <w:spacing w:line="188" w:lineRule="exact"/>
              <w:ind w:left="71"/>
              <w:rPr>
                <w:sz w:val="18"/>
              </w:rPr>
            </w:pPr>
            <w:r>
              <w:rPr>
                <w:color w:val="1F1F1F"/>
                <w:sz w:val="18"/>
              </w:rPr>
              <w:t>Las</w:t>
            </w:r>
            <w:r>
              <w:rPr>
                <w:color w:val="1F1F1F"/>
                <w:spacing w:val="-4"/>
                <w:sz w:val="18"/>
              </w:rPr>
              <w:t> </w:t>
            </w:r>
            <w:r>
              <w:rPr>
                <w:color w:val="1F1F1F"/>
                <w:sz w:val="18"/>
              </w:rPr>
              <w:t>demás</w:t>
            </w:r>
            <w:r>
              <w:rPr>
                <w:color w:val="1F1F1F"/>
                <w:spacing w:val="-3"/>
                <w:sz w:val="18"/>
              </w:rPr>
              <w:t> </w:t>
            </w:r>
            <w:r>
              <w:rPr>
                <w:color w:val="1F1F1F"/>
                <w:sz w:val="18"/>
              </w:rPr>
              <w:t>bombas</w:t>
            </w:r>
            <w:r>
              <w:rPr>
                <w:color w:val="1F1F1F"/>
                <w:spacing w:val="-5"/>
                <w:sz w:val="18"/>
              </w:rPr>
              <w:t> </w:t>
            </w:r>
            <w:r>
              <w:rPr>
                <w:color w:val="1F1F1F"/>
                <w:sz w:val="18"/>
              </w:rPr>
              <w:t>centrífugas</w:t>
            </w:r>
            <w:r>
              <w:rPr>
                <w:color w:val="1F1F1F"/>
                <w:spacing w:val="-1"/>
                <w:sz w:val="18"/>
              </w:rPr>
              <w:t> </w:t>
            </w:r>
            <w:r>
              <w:rPr>
                <w:color w:val="1F1F1F"/>
                <w:spacing w:val="-2"/>
                <w:sz w:val="18"/>
              </w:rPr>
              <w:t>monocelulares.</w:t>
            </w:r>
          </w:p>
        </w:tc>
      </w:tr>
      <w:tr>
        <w:trPr>
          <w:trHeight w:val="412" w:hRule="atLeast"/>
        </w:trPr>
        <w:tc>
          <w:tcPr>
            <w:tcW w:w="1322" w:type="dxa"/>
          </w:tcPr>
          <w:p>
            <w:pPr>
              <w:pStyle w:val="TableParagraph"/>
              <w:spacing w:before="102"/>
              <w:ind w:left="7"/>
              <w:jc w:val="center"/>
              <w:rPr>
                <w:sz w:val="18"/>
              </w:rPr>
            </w:pPr>
            <w:r>
              <w:rPr>
                <w:spacing w:val="-2"/>
                <w:sz w:val="18"/>
              </w:rPr>
              <w:t>3824.99.60.00</w:t>
            </w:r>
          </w:p>
        </w:tc>
        <w:tc>
          <w:tcPr>
            <w:tcW w:w="1265" w:type="dxa"/>
          </w:tcPr>
          <w:p>
            <w:pPr>
              <w:pStyle w:val="TableParagraph"/>
              <w:spacing w:before="102"/>
              <w:ind w:left="13"/>
              <w:jc w:val="center"/>
              <w:rPr>
                <w:sz w:val="18"/>
              </w:rPr>
            </w:pPr>
            <w:r>
              <w:rPr>
                <w:spacing w:val="-2"/>
                <w:sz w:val="18"/>
              </w:rPr>
              <w:t>90,464.70</w:t>
            </w:r>
          </w:p>
        </w:tc>
        <w:tc>
          <w:tcPr>
            <w:tcW w:w="1192" w:type="dxa"/>
          </w:tcPr>
          <w:p>
            <w:pPr>
              <w:pStyle w:val="TableParagraph"/>
              <w:spacing w:before="102"/>
              <w:ind w:left="14"/>
              <w:jc w:val="center"/>
              <w:rPr>
                <w:sz w:val="18"/>
              </w:rPr>
            </w:pPr>
            <w:r>
              <w:rPr>
                <w:spacing w:val="-2"/>
                <w:sz w:val="18"/>
              </w:rPr>
              <w:t>53,566.20</w:t>
            </w:r>
          </w:p>
        </w:tc>
        <w:tc>
          <w:tcPr>
            <w:tcW w:w="950" w:type="dxa"/>
          </w:tcPr>
          <w:p>
            <w:pPr>
              <w:pStyle w:val="TableParagraph"/>
              <w:spacing w:before="102"/>
              <w:ind w:left="11"/>
              <w:jc w:val="center"/>
              <w:rPr>
                <w:sz w:val="18"/>
              </w:rPr>
            </w:pPr>
            <w:r>
              <w:rPr>
                <w:spacing w:val="-4"/>
                <w:sz w:val="18"/>
              </w:rPr>
              <w:t>1.58%</w:t>
            </w:r>
          </w:p>
        </w:tc>
        <w:tc>
          <w:tcPr>
            <w:tcW w:w="4049" w:type="dxa"/>
          </w:tcPr>
          <w:p>
            <w:pPr>
              <w:pStyle w:val="TableParagraph"/>
              <w:spacing w:line="206" w:lineRule="exact"/>
              <w:ind w:left="71"/>
              <w:rPr>
                <w:sz w:val="18"/>
              </w:rPr>
            </w:pPr>
            <w:r>
              <w:rPr>
                <w:color w:val="1F1F1F"/>
                <w:sz w:val="18"/>
              </w:rPr>
              <w:t>Mezclas</w:t>
            </w:r>
            <w:r>
              <w:rPr>
                <w:color w:val="1F1F1F"/>
                <w:spacing w:val="-7"/>
                <w:sz w:val="18"/>
              </w:rPr>
              <w:t> </w:t>
            </w:r>
            <w:r>
              <w:rPr>
                <w:color w:val="1F1F1F"/>
                <w:sz w:val="18"/>
              </w:rPr>
              <w:t>con</w:t>
            </w:r>
            <w:r>
              <w:rPr>
                <w:color w:val="1F1F1F"/>
                <w:spacing w:val="-8"/>
                <w:sz w:val="18"/>
              </w:rPr>
              <w:t> </w:t>
            </w:r>
            <w:r>
              <w:rPr>
                <w:color w:val="1F1F1F"/>
                <w:sz w:val="18"/>
              </w:rPr>
              <w:t>derivados</w:t>
            </w:r>
            <w:r>
              <w:rPr>
                <w:color w:val="1F1F1F"/>
                <w:spacing w:val="-7"/>
                <w:sz w:val="18"/>
              </w:rPr>
              <w:t> </w:t>
            </w:r>
            <w:r>
              <w:rPr>
                <w:color w:val="1F1F1F"/>
                <w:sz w:val="18"/>
              </w:rPr>
              <w:t>clorados</w:t>
            </w:r>
            <w:r>
              <w:rPr>
                <w:color w:val="1F1F1F"/>
                <w:spacing w:val="-5"/>
                <w:sz w:val="18"/>
              </w:rPr>
              <w:t> </w:t>
            </w:r>
            <w:r>
              <w:rPr>
                <w:color w:val="1F1F1F"/>
                <w:sz w:val="18"/>
              </w:rPr>
              <w:t>de</w:t>
            </w:r>
            <w:r>
              <w:rPr>
                <w:color w:val="1F1F1F"/>
                <w:spacing w:val="-6"/>
                <w:sz w:val="18"/>
              </w:rPr>
              <w:t> </w:t>
            </w:r>
            <w:r>
              <w:rPr>
                <w:color w:val="1F1F1F"/>
                <w:sz w:val="18"/>
              </w:rPr>
              <w:t>metano</w:t>
            </w:r>
            <w:r>
              <w:rPr>
                <w:color w:val="1F1F1F"/>
                <w:spacing w:val="-8"/>
                <w:sz w:val="18"/>
              </w:rPr>
              <w:t> </w:t>
            </w:r>
            <w:r>
              <w:rPr>
                <w:color w:val="1F1F1F"/>
                <w:sz w:val="18"/>
              </w:rPr>
              <w:t>o </w:t>
            </w:r>
            <w:r>
              <w:rPr>
                <w:color w:val="1F1F1F"/>
                <w:spacing w:val="-2"/>
                <w:sz w:val="18"/>
              </w:rPr>
              <w:t>etano.</w:t>
            </w:r>
          </w:p>
        </w:tc>
      </w:tr>
    </w:tbl>
    <w:p>
      <w:pPr>
        <w:spacing w:before="6"/>
        <w:ind w:left="568" w:right="955" w:firstLine="0"/>
        <w:jc w:val="left"/>
        <w:rPr>
          <w:sz w:val="18"/>
        </w:rPr>
      </w:pPr>
      <w:r>
        <w:rPr>
          <w:sz w:val="18"/>
        </w:rPr>
        <w:t>Fuente:</w:t>
      </w:r>
      <w:r>
        <w:rPr>
          <w:spacing w:val="-3"/>
          <w:sz w:val="18"/>
        </w:rPr>
        <w:t> </w:t>
      </w:r>
      <w:r>
        <w:rPr>
          <w:sz w:val="18"/>
        </w:rPr>
        <w:t>En</w:t>
      </w:r>
      <w:r>
        <w:rPr>
          <w:spacing w:val="-4"/>
          <w:sz w:val="18"/>
        </w:rPr>
        <w:t> </w:t>
      </w:r>
      <w:r>
        <w:rPr>
          <w:sz w:val="18"/>
        </w:rPr>
        <w:t>base</w:t>
      </w:r>
      <w:r>
        <w:rPr>
          <w:spacing w:val="-3"/>
          <w:sz w:val="18"/>
        </w:rPr>
        <w:t> </w:t>
      </w:r>
      <w:r>
        <w:rPr>
          <w:sz w:val="18"/>
        </w:rPr>
        <w:t>a</w:t>
      </w:r>
      <w:r>
        <w:rPr>
          <w:spacing w:val="-3"/>
          <w:sz w:val="18"/>
        </w:rPr>
        <w:t> </w:t>
      </w:r>
      <w:r>
        <w:rPr>
          <w:sz w:val="18"/>
        </w:rPr>
        <w:t>datos proporcionados</w:t>
      </w:r>
      <w:r>
        <w:rPr>
          <w:spacing w:val="-4"/>
          <w:sz w:val="18"/>
        </w:rPr>
        <w:t> </w:t>
      </w:r>
      <w:r>
        <w:rPr>
          <w:sz w:val="18"/>
        </w:rPr>
        <w:t>por</w:t>
      </w:r>
      <w:r>
        <w:rPr>
          <w:spacing w:val="-3"/>
          <w:sz w:val="18"/>
        </w:rPr>
        <w:t> </w:t>
      </w:r>
      <w:r>
        <w:rPr>
          <w:sz w:val="18"/>
        </w:rPr>
        <w:t>el</w:t>
      </w:r>
      <w:r>
        <w:rPr>
          <w:spacing w:val="-3"/>
          <w:sz w:val="18"/>
        </w:rPr>
        <w:t> </w:t>
      </w:r>
      <w:r>
        <w:rPr>
          <w:sz w:val="18"/>
        </w:rPr>
        <w:t>Viceministerio</w:t>
      </w:r>
      <w:r>
        <w:rPr>
          <w:spacing w:val="-3"/>
          <w:sz w:val="18"/>
        </w:rPr>
        <w:t> </w:t>
      </w:r>
      <w:r>
        <w:rPr>
          <w:sz w:val="18"/>
        </w:rPr>
        <w:t>de</w:t>
      </w:r>
      <w:r>
        <w:rPr>
          <w:spacing w:val="-3"/>
          <w:sz w:val="18"/>
        </w:rPr>
        <w:t> </w:t>
      </w:r>
      <w:r>
        <w:rPr>
          <w:sz w:val="18"/>
        </w:rPr>
        <w:t>Comercio</w:t>
      </w:r>
      <w:r>
        <w:rPr>
          <w:spacing w:val="-3"/>
          <w:sz w:val="18"/>
        </w:rPr>
        <w:t> </w:t>
      </w:r>
      <w:r>
        <w:rPr>
          <w:sz w:val="18"/>
        </w:rPr>
        <w:t>Exterior</w:t>
      </w:r>
      <w:r>
        <w:rPr>
          <w:spacing w:val="-3"/>
          <w:sz w:val="18"/>
        </w:rPr>
        <w:t> </w:t>
      </w:r>
      <w:r>
        <w:rPr>
          <w:sz w:val="18"/>
        </w:rPr>
        <w:t>de</w:t>
      </w:r>
      <w:r>
        <w:rPr>
          <w:spacing w:val="-3"/>
          <w:sz w:val="18"/>
        </w:rPr>
        <w:t> </w:t>
      </w:r>
      <w:r>
        <w:rPr>
          <w:sz w:val="18"/>
        </w:rPr>
        <w:t>la</w:t>
      </w:r>
      <w:r>
        <w:rPr>
          <w:spacing w:val="-6"/>
          <w:sz w:val="18"/>
        </w:rPr>
        <w:t> </w:t>
      </w:r>
      <w:r>
        <w:rPr>
          <w:sz w:val="18"/>
        </w:rPr>
        <w:t>República</w:t>
      </w:r>
      <w:r>
        <w:rPr>
          <w:spacing w:val="-4"/>
          <w:sz w:val="18"/>
        </w:rPr>
        <w:t> </w:t>
      </w:r>
      <w:r>
        <w:rPr>
          <w:sz w:val="18"/>
        </w:rPr>
        <w:t>del</w:t>
      </w:r>
      <w:r>
        <w:rPr>
          <w:spacing w:val="-5"/>
          <w:sz w:val="18"/>
        </w:rPr>
        <w:t> </w:t>
      </w:r>
      <w:r>
        <w:rPr>
          <w:sz w:val="18"/>
        </w:rPr>
        <w:t>Ecuador. Elaboración: SGCAN.</w:t>
      </w:r>
    </w:p>
    <w:p>
      <w:pPr>
        <w:pStyle w:val="BodyText"/>
        <w:spacing w:before="47"/>
        <w:rPr>
          <w:sz w:val="18"/>
        </w:rPr>
      </w:pPr>
    </w:p>
    <w:p>
      <w:pPr>
        <w:pStyle w:val="ListParagraph"/>
        <w:numPr>
          <w:ilvl w:val="0"/>
          <w:numId w:val="2"/>
        </w:numPr>
        <w:tabs>
          <w:tab w:pos="1416" w:val="left" w:leader="none"/>
          <w:tab w:pos="1420" w:val="left" w:leader="none"/>
        </w:tabs>
        <w:spacing w:line="240" w:lineRule="auto" w:before="0" w:after="0"/>
        <w:ind w:left="1420" w:right="977" w:hanging="852"/>
        <w:jc w:val="both"/>
        <w:rPr>
          <w:sz w:val="22"/>
        </w:rPr>
      </w:pPr>
      <w:r>
        <w:rPr>
          <w:sz w:val="22"/>
        </w:rPr>
        <w:t>La Tabla N.°3 presenta las principales subpartidas arancelarias cuyo ingreso fue registrado a través del paso fronterizo CEBAF San Miguel durante el periodo 2024–2025, las</w:t>
      </w:r>
      <w:r>
        <w:rPr>
          <w:spacing w:val="-2"/>
          <w:sz w:val="22"/>
        </w:rPr>
        <w:t> </w:t>
      </w:r>
      <w:r>
        <w:rPr>
          <w:sz w:val="22"/>
        </w:rPr>
        <w:t>cuales,</w:t>
      </w:r>
      <w:r>
        <w:rPr>
          <w:spacing w:val="-1"/>
          <w:sz w:val="22"/>
        </w:rPr>
        <w:t> </w:t>
      </w:r>
      <w:r>
        <w:rPr>
          <w:sz w:val="22"/>
        </w:rPr>
        <w:t>en</w:t>
      </w:r>
      <w:r>
        <w:rPr>
          <w:spacing w:val="-2"/>
          <w:sz w:val="22"/>
        </w:rPr>
        <w:t> </w:t>
      </w:r>
      <w:r>
        <w:rPr>
          <w:sz w:val="22"/>
        </w:rPr>
        <w:t>conjunto,</w:t>
      </w:r>
      <w:r>
        <w:rPr>
          <w:spacing w:val="-3"/>
          <w:sz w:val="22"/>
        </w:rPr>
        <w:t> </w:t>
      </w:r>
      <w:r>
        <w:rPr>
          <w:sz w:val="22"/>
        </w:rPr>
        <w:t>representan</w:t>
      </w:r>
      <w:r>
        <w:rPr>
          <w:spacing w:val="-2"/>
          <w:sz w:val="22"/>
        </w:rPr>
        <w:t> </w:t>
      </w:r>
      <w:r>
        <w:rPr>
          <w:sz w:val="22"/>
        </w:rPr>
        <w:t>el</w:t>
      </w:r>
      <w:r>
        <w:rPr>
          <w:spacing w:val="-3"/>
          <w:sz w:val="22"/>
        </w:rPr>
        <w:t> </w:t>
      </w:r>
      <w:r>
        <w:rPr>
          <w:sz w:val="22"/>
        </w:rPr>
        <w:t>64.79%</w:t>
      </w:r>
      <w:r>
        <w:rPr>
          <w:spacing w:val="-1"/>
          <w:sz w:val="22"/>
        </w:rPr>
        <w:t> </w:t>
      </w:r>
      <w:r>
        <w:rPr>
          <w:sz w:val="22"/>
        </w:rPr>
        <w:t>del</w:t>
      </w:r>
      <w:r>
        <w:rPr>
          <w:spacing w:val="-2"/>
          <w:sz w:val="22"/>
        </w:rPr>
        <w:t> </w:t>
      </w:r>
      <w:r>
        <w:rPr>
          <w:sz w:val="22"/>
        </w:rPr>
        <w:t>total</w:t>
      </w:r>
      <w:r>
        <w:rPr>
          <w:spacing w:val="-2"/>
          <w:sz w:val="22"/>
        </w:rPr>
        <w:t> </w:t>
      </w:r>
      <w:r>
        <w:rPr>
          <w:sz w:val="22"/>
        </w:rPr>
        <w:t>importado</w:t>
      </w:r>
      <w:r>
        <w:rPr>
          <w:spacing w:val="-2"/>
          <w:sz w:val="22"/>
        </w:rPr>
        <w:t> </w:t>
      </w:r>
      <w:r>
        <w:rPr>
          <w:sz w:val="22"/>
        </w:rPr>
        <w:t>a</w:t>
      </w:r>
      <w:r>
        <w:rPr>
          <w:spacing w:val="-6"/>
          <w:sz w:val="22"/>
        </w:rPr>
        <w:t> </w:t>
      </w:r>
      <w:r>
        <w:rPr>
          <w:sz w:val="22"/>
        </w:rPr>
        <w:t>través</w:t>
      </w:r>
      <w:r>
        <w:rPr>
          <w:spacing w:val="-1"/>
          <w:sz w:val="22"/>
        </w:rPr>
        <w:t> </w:t>
      </w:r>
      <w:r>
        <w:rPr>
          <w:sz w:val="22"/>
        </w:rPr>
        <w:t>de dicho</w:t>
      </w:r>
      <w:r>
        <w:rPr>
          <w:spacing w:val="-4"/>
          <w:sz w:val="22"/>
        </w:rPr>
        <w:t> </w:t>
      </w:r>
      <w:r>
        <w:rPr>
          <w:sz w:val="22"/>
        </w:rPr>
        <w:t>punto</w:t>
      </w:r>
      <w:r>
        <w:rPr>
          <w:spacing w:val="-3"/>
          <w:sz w:val="22"/>
        </w:rPr>
        <w:t> </w:t>
      </w:r>
      <w:r>
        <w:rPr>
          <w:sz w:val="22"/>
        </w:rPr>
        <w:t>de</w:t>
      </w:r>
      <w:r>
        <w:rPr>
          <w:spacing w:val="-4"/>
          <w:sz w:val="22"/>
        </w:rPr>
        <w:t> </w:t>
      </w:r>
      <w:r>
        <w:rPr>
          <w:sz w:val="22"/>
        </w:rPr>
        <w:t>acceso.</w:t>
      </w:r>
      <w:r>
        <w:rPr>
          <w:spacing w:val="-7"/>
          <w:sz w:val="22"/>
        </w:rPr>
        <w:t> </w:t>
      </w:r>
      <w:r>
        <w:rPr>
          <w:sz w:val="22"/>
        </w:rPr>
        <w:t>Entre</w:t>
      </w:r>
      <w:r>
        <w:rPr>
          <w:spacing w:val="-4"/>
          <w:sz w:val="22"/>
        </w:rPr>
        <w:t> </w:t>
      </w:r>
      <w:r>
        <w:rPr>
          <w:sz w:val="22"/>
        </w:rPr>
        <w:t>los</w:t>
      </w:r>
      <w:r>
        <w:rPr>
          <w:spacing w:val="-4"/>
          <w:sz w:val="22"/>
        </w:rPr>
        <w:t> </w:t>
      </w:r>
      <w:r>
        <w:rPr>
          <w:sz w:val="22"/>
        </w:rPr>
        <w:t>productos</w:t>
      </w:r>
      <w:r>
        <w:rPr>
          <w:spacing w:val="-6"/>
          <w:sz w:val="22"/>
        </w:rPr>
        <w:t> </w:t>
      </w:r>
      <w:r>
        <w:rPr>
          <w:sz w:val="22"/>
        </w:rPr>
        <w:t>más</w:t>
      </w:r>
      <w:r>
        <w:rPr>
          <w:spacing w:val="-6"/>
          <w:sz w:val="22"/>
        </w:rPr>
        <w:t> </w:t>
      </w:r>
      <w:r>
        <w:rPr>
          <w:sz w:val="22"/>
        </w:rPr>
        <w:t>relevantes</w:t>
      </w:r>
      <w:r>
        <w:rPr>
          <w:spacing w:val="-3"/>
          <w:sz w:val="22"/>
        </w:rPr>
        <w:t> </w:t>
      </w:r>
      <w:r>
        <w:rPr>
          <w:sz w:val="22"/>
        </w:rPr>
        <w:t>destacan</w:t>
      </w:r>
      <w:r>
        <w:rPr>
          <w:spacing w:val="-6"/>
          <w:sz w:val="22"/>
        </w:rPr>
        <w:t> </w:t>
      </w:r>
      <w:r>
        <w:rPr>
          <w:sz w:val="22"/>
        </w:rPr>
        <w:t>los</w:t>
      </w:r>
      <w:r>
        <w:rPr>
          <w:spacing w:val="-6"/>
          <w:sz w:val="22"/>
        </w:rPr>
        <w:t> </w:t>
      </w:r>
      <w:r>
        <w:rPr>
          <w:sz w:val="22"/>
        </w:rPr>
        <w:t>depósitos</w:t>
      </w:r>
      <w:r>
        <w:rPr>
          <w:spacing w:val="-4"/>
          <w:sz w:val="22"/>
        </w:rPr>
        <w:t> </w:t>
      </w:r>
      <w:r>
        <w:rPr>
          <w:sz w:val="22"/>
        </w:rPr>
        <w:t>y barriles de hierro o acero (14.92%), los aparatos de destilación o rectificación (12.14%) y las placas y baldosas de cerámica (9.76%), seguidos por aceites lubricantes (3.53%) y diversos productos químicos, como aminas y agentes de </w:t>
      </w:r>
      <w:r>
        <w:rPr>
          <w:spacing w:val="-2"/>
          <w:sz w:val="22"/>
        </w:rPr>
        <w:t>superficie.</w:t>
      </w:r>
    </w:p>
    <w:p>
      <w:pPr>
        <w:pStyle w:val="BodyText"/>
        <w:spacing w:before="1"/>
      </w:pPr>
    </w:p>
    <w:p>
      <w:pPr>
        <w:pStyle w:val="ListParagraph"/>
        <w:numPr>
          <w:ilvl w:val="0"/>
          <w:numId w:val="2"/>
        </w:numPr>
        <w:tabs>
          <w:tab w:pos="1416" w:val="left" w:leader="none"/>
          <w:tab w:pos="1420" w:val="left" w:leader="none"/>
        </w:tabs>
        <w:spacing w:line="240" w:lineRule="auto" w:before="0" w:after="0"/>
        <w:ind w:left="1420" w:right="980" w:hanging="852"/>
        <w:jc w:val="both"/>
        <w:rPr>
          <w:sz w:val="22"/>
        </w:rPr>
      </w:pPr>
      <w:r>
        <w:rPr>
          <w:sz w:val="22"/>
        </w:rPr>
        <w:t>Asimismo, se observa una participación relevante de bienes de capital y componentes industriales, tales como bombas para líquidos, partes de equipos de filtración</w:t>
      </w:r>
      <w:r>
        <w:rPr>
          <w:spacing w:val="-16"/>
          <w:sz w:val="22"/>
        </w:rPr>
        <w:t> </w:t>
      </w:r>
      <w:r>
        <w:rPr>
          <w:sz w:val="22"/>
        </w:rPr>
        <w:t>y</w:t>
      </w:r>
      <w:r>
        <w:rPr>
          <w:spacing w:val="-15"/>
          <w:sz w:val="22"/>
        </w:rPr>
        <w:t> </w:t>
      </w:r>
      <w:r>
        <w:rPr>
          <w:sz w:val="22"/>
        </w:rPr>
        <w:t>bombas</w:t>
      </w:r>
      <w:r>
        <w:rPr>
          <w:spacing w:val="-15"/>
          <w:sz w:val="22"/>
        </w:rPr>
        <w:t> </w:t>
      </w:r>
      <w:r>
        <w:rPr>
          <w:sz w:val="22"/>
        </w:rPr>
        <w:t>centrífugas,</w:t>
      </w:r>
      <w:r>
        <w:rPr>
          <w:spacing w:val="-16"/>
          <w:sz w:val="22"/>
        </w:rPr>
        <w:t> </w:t>
      </w:r>
      <w:r>
        <w:rPr>
          <w:sz w:val="22"/>
        </w:rPr>
        <w:t>los</w:t>
      </w:r>
      <w:r>
        <w:rPr>
          <w:spacing w:val="-15"/>
          <w:sz w:val="22"/>
        </w:rPr>
        <w:t> </w:t>
      </w:r>
      <w:r>
        <w:rPr>
          <w:sz w:val="22"/>
        </w:rPr>
        <w:t>cuales</w:t>
      </w:r>
      <w:r>
        <w:rPr>
          <w:spacing w:val="-15"/>
          <w:sz w:val="22"/>
        </w:rPr>
        <w:t> </w:t>
      </w:r>
      <w:r>
        <w:rPr>
          <w:sz w:val="22"/>
        </w:rPr>
        <w:t>en</w:t>
      </w:r>
      <w:r>
        <w:rPr>
          <w:spacing w:val="-15"/>
          <w:sz w:val="22"/>
        </w:rPr>
        <w:t> </w:t>
      </w:r>
      <w:r>
        <w:rPr>
          <w:sz w:val="22"/>
        </w:rPr>
        <w:t>conjunto</w:t>
      </w:r>
      <w:r>
        <w:rPr>
          <w:spacing w:val="-16"/>
          <w:sz w:val="22"/>
        </w:rPr>
        <w:t> </w:t>
      </w:r>
      <w:r>
        <w:rPr>
          <w:sz w:val="22"/>
        </w:rPr>
        <w:t>representan</w:t>
      </w:r>
      <w:r>
        <w:rPr>
          <w:spacing w:val="-15"/>
          <w:sz w:val="22"/>
        </w:rPr>
        <w:t> </w:t>
      </w:r>
      <w:r>
        <w:rPr>
          <w:sz w:val="22"/>
        </w:rPr>
        <w:t>aproximadamente</w:t>
      </w:r>
    </w:p>
    <w:p>
      <w:pPr>
        <w:pStyle w:val="BodyText"/>
        <w:spacing w:before="117"/>
        <w:rPr>
          <w:sz w:val="20"/>
        </w:rPr>
      </w:pPr>
      <w:r>
        <w:rPr>
          <w:sz w:val="20"/>
        </w:rPr>
        <mc:AlternateContent>
          <mc:Choice Requires="wps">
            <w:drawing>
              <wp:anchor distT="0" distB="0" distL="0" distR="0" allowOverlap="1" layoutInCell="1" locked="0" behindDoc="1" simplePos="0" relativeHeight="487608832">
                <wp:simplePos x="0" y="0"/>
                <wp:positionH relativeFrom="page">
                  <wp:posOffset>990904</wp:posOffset>
                </wp:positionH>
                <wp:positionV relativeFrom="paragraph">
                  <wp:posOffset>236112</wp:posOffset>
                </wp:positionV>
                <wp:extent cx="1829435" cy="7620"/>
                <wp:effectExtent l="0" t="0" r="0" b="0"/>
                <wp:wrapTopAndBottom/>
                <wp:docPr id="226" name="Graphic 226"/>
                <wp:cNvGraphicFramePr>
                  <a:graphicFrameLocks/>
                </wp:cNvGraphicFramePr>
                <a:graphic>
                  <a:graphicData uri="http://schemas.microsoft.com/office/word/2010/wordprocessingShape">
                    <wps:wsp>
                      <wps:cNvPr id="226" name="Graphic 226"/>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8.591572pt;width:144.020pt;height:.599980pt;mso-position-horizontal-relative:page;mso-position-vertical-relative:paragraph;z-index:-15707648;mso-wrap-distance-left:0;mso-wrap-distance-right:0" id="docshape177" filled="true" fillcolor="#000000" stroked="false">
                <v:fill type="solid"/>
                <w10:wrap type="topAndBottom"/>
              </v:rect>
            </w:pict>
          </mc:Fallback>
        </mc:AlternateContent>
      </w:r>
    </w:p>
    <w:p>
      <w:pPr>
        <w:spacing w:before="87"/>
        <w:ind w:left="568" w:right="980" w:firstLine="0"/>
        <w:jc w:val="both"/>
        <w:rPr>
          <w:sz w:val="18"/>
        </w:rPr>
      </w:pPr>
      <w:bookmarkStart w:name="_bookmark32" w:id="33"/>
      <w:bookmarkEnd w:id="33"/>
      <w:r>
        <w:rPr/>
      </w:r>
      <w:r>
        <w:rPr>
          <w:position w:val="6"/>
          <w:sz w:val="12"/>
        </w:rPr>
        <w:t>33</w:t>
      </w:r>
      <w:r>
        <w:rPr>
          <w:spacing w:val="10"/>
          <w:position w:val="6"/>
          <w:sz w:val="12"/>
        </w:rPr>
        <w:t> </w:t>
      </w:r>
      <w:r>
        <w:rPr>
          <w:sz w:val="18"/>
        </w:rPr>
        <w:t>Para</w:t>
      </w:r>
      <w:r>
        <w:rPr>
          <w:spacing w:val="-6"/>
          <w:sz w:val="18"/>
        </w:rPr>
        <w:t> </w:t>
      </w:r>
      <w:r>
        <w:rPr>
          <w:sz w:val="18"/>
        </w:rPr>
        <w:t>el</w:t>
      </w:r>
      <w:r>
        <w:rPr>
          <w:spacing w:val="-6"/>
          <w:sz w:val="18"/>
        </w:rPr>
        <w:t> </w:t>
      </w:r>
      <w:r>
        <w:rPr>
          <w:sz w:val="18"/>
        </w:rPr>
        <w:t>análisis</w:t>
      </w:r>
      <w:r>
        <w:rPr>
          <w:spacing w:val="-6"/>
          <w:sz w:val="18"/>
        </w:rPr>
        <w:t> </w:t>
      </w:r>
      <w:r>
        <w:rPr>
          <w:sz w:val="18"/>
        </w:rPr>
        <w:t>económico</w:t>
      </w:r>
      <w:r>
        <w:rPr>
          <w:spacing w:val="-9"/>
          <w:sz w:val="18"/>
        </w:rPr>
        <w:t> </w:t>
      </w:r>
      <w:r>
        <w:rPr>
          <w:sz w:val="18"/>
        </w:rPr>
        <w:t>del</w:t>
      </w:r>
      <w:r>
        <w:rPr>
          <w:spacing w:val="-6"/>
          <w:sz w:val="18"/>
        </w:rPr>
        <w:t> </w:t>
      </w:r>
      <w:r>
        <w:rPr>
          <w:sz w:val="18"/>
        </w:rPr>
        <w:t>comercio</w:t>
      </w:r>
      <w:r>
        <w:rPr>
          <w:spacing w:val="-6"/>
          <w:sz w:val="18"/>
        </w:rPr>
        <w:t> </w:t>
      </w:r>
      <w:r>
        <w:rPr>
          <w:sz w:val="18"/>
        </w:rPr>
        <w:t>exterior</w:t>
      </w:r>
      <w:r>
        <w:rPr>
          <w:spacing w:val="-7"/>
          <w:sz w:val="18"/>
        </w:rPr>
        <w:t> </w:t>
      </w:r>
      <w:r>
        <w:rPr>
          <w:sz w:val="18"/>
        </w:rPr>
        <w:t>esta</w:t>
      </w:r>
      <w:r>
        <w:rPr>
          <w:spacing w:val="-6"/>
          <w:sz w:val="18"/>
        </w:rPr>
        <w:t> </w:t>
      </w:r>
      <w:r>
        <w:rPr>
          <w:sz w:val="18"/>
        </w:rPr>
        <w:t>Secretaría</w:t>
      </w:r>
      <w:r>
        <w:rPr>
          <w:spacing w:val="-6"/>
          <w:sz w:val="18"/>
        </w:rPr>
        <w:t> </w:t>
      </w:r>
      <w:r>
        <w:rPr>
          <w:sz w:val="18"/>
        </w:rPr>
        <w:t>General</w:t>
      </w:r>
      <w:r>
        <w:rPr>
          <w:spacing w:val="-6"/>
          <w:sz w:val="18"/>
        </w:rPr>
        <w:t> </w:t>
      </w:r>
      <w:r>
        <w:rPr>
          <w:sz w:val="18"/>
        </w:rPr>
        <w:t>considera</w:t>
      </w:r>
      <w:r>
        <w:rPr>
          <w:spacing w:val="-6"/>
          <w:sz w:val="18"/>
        </w:rPr>
        <w:t> </w:t>
      </w:r>
      <w:r>
        <w:rPr>
          <w:sz w:val="18"/>
        </w:rPr>
        <w:t>que trabajar</w:t>
      </w:r>
      <w:r>
        <w:rPr>
          <w:spacing w:val="-7"/>
          <w:sz w:val="18"/>
        </w:rPr>
        <w:t> </w:t>
      </w:r>
      <w:r>
        <w:rPr>
          <w:sz w:val="18"/>
        </w:rPr>
        <w:t>con</w:t>
      </w:r>
      <w:r>
        <w:rPr>
          <w:spacing w:val="-6"/>
          <w:sz w:val="18"/>
        </w:rPr>
        <w:t> </w:t>
      </w:r>
      <w:r>
        <w:rPr>
          <w:sz w:val="18"/>
        </w:rPr>
        <w:t>el</w:t>
      </w:r>
      <w:r>
        <w:rPr>
          <w:spacing w:val="-9"/>
          <w:sz w:val="18"/>
        </w:rPr>
        <w:t> </w:t>
      </w:r>
      <w:r>
        <w:rPr>
          <w:sz w:val="18"/>
        </w:rPr>
        <w:t>100%</w:t>
      </w:r>
      <w:r>
        <w:rPr>
          <w:spacing w:val="-6"/>
          <w:sz w:val="18"/>
        </w:rPr>
        <w:t> </w:t>
      </w:r>
      <w:r>
        <w:rPr>
          <w:sz w:val="18"/>
        </w:rPr>
        <w:t>de las partidas arancelarias que registraron</w:t>
      </w:r>
      <w:r>
        <w:rPr>
          <w:spacing w:val="-3"/>
          <w:sz w:val="18"/>
        </w:rPr>
        <w:t> </w:t>
      </w:r>
      <w:r>
        <w:rPr>
          <w:sz w:val="18"/>
        </w:rPr>
        <w:t>comercio histórico suele incluir</w:t>
      </w:r>
      <w:r>
        <w:rPr>
          <w:spacing w:val="-1"/>
          <w:sz w:val="18"/>
        </w:rPr>
        <w:t> </w:t>
      </w:r>
      <w:r>
        <w:rPr>
          <w:sz w:val="18"/>
        </w:rPr>
        <w:t>productos con participación muy</w:t>
      </w:r>
      <w:r>
        <w:rPr>
          <w:spacing w:val="-2"/>
          <w:sz w:val="18"/>
        </w:rPr>
        <w:t> </w:t>
      </w:r>
      <w:r>
        <w:rPr>
          <w:sz w:val="18"/>
        </w:rPr>
        <w:t>cercana al</w:t>
      </w:r>
      <w:r>
        <w:rPr>
          <w:spacing w:val="18"/>
          <w:sz w:val="18"/>
        </w:rPr>
        <w:t> </w:t>
      </w:r>
      <w:r>
        <w:rPr>
          <w:sz w:val="18"/>
        </w:rPr>
        <w:t>0%,</w:t>
      </w:r>
      <w:r>
        <w:rPr>
          <w:spacing w:val="17"/>
          <w:sz w:val="18"/>
        </w:rPr>
        <w:t> </w:t>
      </w:r>
      <w:r>
        <w:rPr>
          <w:sz w:val="18"/>
        </w:rPr>
        <w:t>por</w:t>
      </w:r>
      <w:r>
        <w:rPr>
          <w:spacing w:val="17"/>
          <w:sz w:val="18"/>
        </w:rPr>
        <w:t> </w:t>
      </w:r>
      <w:r>
        <w:rPr>
          <w:sz w:val="18"/>
        </w:rPr>
        <w:t>lo</w:t>
      </w:r>
      <w:r>
        <w:rPr>
          <w:spacing w:val="17"/>
          <w:sz w:val="18"/>
        </w:rPr>
        <w:t> </w:t>
      </w:r>
      <w:r>
        <w:rPr>
          <w:sz w:val="18"/>
        </w:rPr>
        <w:t>que</w:t>
      </w:r>
      <w:r>
        <w:rPr>
          <w:spacing w:val="15"/>
          <w:sz w:val="18"/>
        </w:rPr>
        <w:t> </w:t>
      </w:r>
      <w:r>
        <w:rPr>
          <w:sz w:val="18"/>
        </w:rPr>
        <w:t>corresponde</w:t>
      </w:r>
      <w:r>
        <w:rPr>
          <w:spacing w:val="17"/>
          <w:sz w:val="18"/>
        </w:rPr>
        <w:t> </w:t>
      </w:r>
      <w:r>
        <w:rPr>
          <w:sz w:val="18"/>
        </w:rPr>
        <w:t>solo</w:t>
      </w:r>
      <w:r>
        <w:rPr>
          <w:spacing w:val="15"/>
          <w:sz w:val="18"/>
        </w:rPr>
        <w:t> </w:t>
      </w:r>
      <w:r>
        <w:rPr>
          <w:sz w:val="18"/>
        </w:rPr>
        <w:t>evaluar</w:t>
      </w:r>
      <w:r>
        <w:rPr>
          <w:spacing w:val="15"/>
          <w:sz w:val="18"/>
        </w:rPr>
        <w:t> </w:t>
      </w:r>
      <w:r>
        <w:rPr>
          <w:sz w:val="18"/>
        </w:rPr>
        <w:t>el</w:t>
      </w:r>
      <w:r>
        <w:rPr>
          <w:spacing w:val="15"/>
          <w:sz w:val="18"/>
        </w:rPr>
        <w:t> </w:t>
      </w:r>
      <w:r>
        <w:rPr>
          <w:sz w:val="18"/>
        </w:rPr>
        <w:t>porcentaje</w:t>
      </w:r>
      <w:r>
        <w:rPr>
          <w:spacing w:val="17"/>
          <w:sz w:val="18"/>
        </w:rPr>
        <w:t> </w:t>
      </w:r>
      <w:r>
        <w:rPr>
          <w:sz w:val="18"/>
        </w:rPr>
        <w:t>de</w:t>
      </w:r>
      <w:r>
        <w:rPr>
          <w:spacing w:val="17"/>
          <w:sz w:val="18"/>
        </w:rPr>
        <w:t> </w:t>
      </w:r>
      <w:r>
        <w:rPr>
          <w:sz w:val="18"/>
        </w:rPr>
        <w:t>las</w:t>
      </w:r>
      <w:r>
        <w:rPr>
          <w:spacing w:val="16"/>
          <w:sz w:val="18"/>
        </w:rPr>
        <w:t> </w:t>
      </w:r>
      <w:r>
        <w:rPr>
          <w:sz w:val="18"/>
        </w:rPr>
        <w:t>subpartidas</w:t>
      </w:r>
      <w:r>
        <w:rPr>
          <w:spacing w:val="16"/>
          <w:sz w:val="18"/>
        </w:rPr>
        <w:t> </w:t>
      </w:r>
      <w:r>
        <w:rPr>
          <w:sz w:val="18"/>
        </w:rPr>
        <w:t>más</w:t>
      </w:r>
      <w:r>
        <w:rPr>
          <w:spacing w:val="16"/>
          <w:sz w:val="18"/>
        </w:rPr>
        <w:t> </w:t>
      </w:r>
      <w:r>
        <w:rPr>
          <w:sz w:val="18"/>
        </w:rPr>
        <w:t>representativas</w:t>
      </w:r>
      <w:r>
        <w:rPr>
          <w:spacing w:val="18"/>
          <w:sz w:val="18"/>
        </w:rPr>
        <w:t> </w:t>
      </w:r>
      <w:r>
        <w:rPr>
          <w:sz w:val="18"/>
        </w:rPr>
        <w:t>en</w:t>
      </w:r>
      <w:r>
        <w:rPr>
          <w:spacing w:val="17"/>
          <w:sz w:val="18"/>
        </w:rPr>
        <w:t> </w:t>
      </w:r>
      <w:r>
        <w:rPr>
          <w:sz w:val="18"/>
        </w:rPr>
        <w:t>función</w:t>
      </w:r>
      <w:r>
        <w:rPr>
          <w:spacing w:val="15"/>
          <w:sz w:val="18"/>
        </w:rPr>
        <w:t> </w:t>
      </w:r>
      <w:r>
        <w:rPr>
          <w:sz w:val="18"/>
        </w:rPr>
        <w:t>al</w:t>
      </w:r>
    </w:p>
    <w:p>
      <w:pPr>
        <w:tabs>
          <w:tab w:pos="9816" w:val="left" w:leader="none"/>
        </w:tabs>
        <w:spacing w:before="0"/>
        <w:ind w:left="160" w:right="0" w:firstLine="0"/>
        <w:jc w:val="both"/>
        <w:rPr>
          <w:sz w:val="18"/>
        </w:rPr>
      </w:pPr>
      <w:r>
        <w:rPr>
          <w:spacing w:val="59"/>
          <w:w w:val="150"/>
          <w:sz w:val="18"/>
          <w:u w:val="single"/>
        </w:rPr>
        <w:t>   </w:t>
      </w:r>
      <w:r>
        <w:rPr>
          <w:sz w:val="18"/>
          <w:u w:val="single"/>
        </w:rPr>
        <w:t>escenario de</w:t>
      </w:r>
      <w:r>
        <w:rPr>
          <w:spacing w:val="-1"/>
          <w:sz w:val="18"/>
          <w:u w:val="single"/>
        </w:rPr>
        <w:t> </w:t>
      </w:r>
      <w:r>
        <w:rPr>
          <w:spacing w:val="-2"/>
          <w:sz w:val="18"/>
          <w:u w:val="single"/>
        </w:rPr>
        <w:t>análisis.</w:t>
      </w:r>
      <w:r>
        <w:rPr>
          <w:sz w:val="18"/>
          <w:u w:val="single"/>
        </w:rPr>
        <w:tab/>
      </w:r>
    </w:p>
    <w:p>
      <w:pPr>
        <w:spacing w:after="0"/>
        <w:jc w:val="both"/>
        <w:rPr>
          <w:sz w:val="18"/>
        </w:rPr>
        <w:sectPr>
          <w:pgSz w:w="11900" w:h="16850"/>
          <w:pgMar w:header="370" w:footer="597" w:top="1380" w:bottom="780" w:left="992" w:right="283"/>
        </w:sectPr>
      </w:pPr>
    </w:p>
    <w:p>
      <w:pPr>
        <w:pStyle w:val="BodyText"/>
        <w:spacing w:before="176"/>
      </w:pPr>
    </w:p>
    <w:p>
      <w:pPr>
        <w:pStyle w:val="BodyText"/>
        <w:ind w:left="1420" w:right="977"/>
        <w:jc w:val="both"/>
      </w:pPr>
      <w:r>
        <w:rPr/>
        <w:t>el 8.42% del total analizado. Si se incorporan otros equipos industriales complementarios, como cuadros y paneles de control eléctrico, dicha participación asciende</w:t>
      </w:r>
      <w:r>
        <w:rPr>
          <w:spacing w:val="-5"/>
        </w:rPr>
        <w:t> </w:t>
      </w:r>
      <w:r>
        <w:rPr/>
        <w:t>alrededor</w:t>
      </w:r>
      <w:r>
        <w:rPr>
          <w:spacing w:val="-6"/>
        </w:rPr>
        <w:t> </w:t>
      </w:r>
      <w:r>
        <w:rPr/>
        <w:t>del</w:t>
      </w:r>
      <w:r>
        <w:rPr>
          <w:spacing w:val="-6"/>
        </w:rPr>
        <w:t> </w:t>
      </w:r>
      <w:r>
        <w:rPr/>
        <w:t>11.16%,</w:t>
      </w:r>
      <w:r>
        <w:rPr>
          <w:spacing w:val="-6"/>
        </w:rPr>
        <w:t> </w:t>
      </w:r>
      <w:r>
        <w:rPr/>
        <w:t>lo</w:t>
      </w:r>
      <w:r>
        <w:rPr>
          <w:spacing w:val="-5"/>
        </w:rPr>
        <w:t> </w:t>
      </w:r>
      <w:r>
        <w:rPr/>
        <w:t>que</w:t>
      </w:r>
      <w:r>
        <w:rPr>
          <w:spacing w:val="-7"/>
        </w:rPr>
        <w:t> </w:t>
      </w:r>
      <w:r>
        <w:rPr/>
        <w:t>evidencia</w:t>
      </w:r>
      <w:r>
        <w:rPr>
          <w:spacing w:val="-7"/>
        </w:rPr>
        <w:t> </w:t>
      </w:r>
      <w:r>
        <w:rPr/>
        <w:t>que</w:t>
      </w:r>
      <w:r>
        <w:rPr>
          <w:spacing w:val="-5"/>
        </w:rPr>
        <w:t> </w:t>
      </w:r>
      <w:r>
        <w:rPr/>
        <w:t>el</w:t>
      </w:r>
      <w:r>
        <w:rPr>
          <w:spacing w:val="-8"/>
        </w:rPr>
        <w:t> </w:t>
      </w:r>
      <w:r>
        <w:rPr/>
        <w:t>flujo</w:t>
      </w:r>
      <w:r>
        <w:rPr>
          <w:spacing w:val="-7"/>
        </w:rPr>
        <w:t> </w:t>
      </w:r>
      <w:r>
        <w:rPr/>
        <w:t>comercial</w:t>
      </w:r>
      <w:r>
        <w:rPr>
          <w:spacing w:val="-6"/>
        </w:rPr>
        <w:t> </w:t>
      </w:r>
      <w:r>
        <w:rPr/>
        <w:t>por</w:t>
      </w:r>
      <w:r>
        <w:rPr>
          <w:spacing w:val="-6"/>
        </w:rPr>
        <w:t> </w:t>
      </w:r>
      <w:r>
        <w:rPr/>
        <w:t>este</w:t>
      </w:r>
      <w:r>
        <w:rPr>
          <w:spacing w:val="-7"/>
        </w:rPr>
        <w:t> </w:t>
      </w:r>
      <w:r>
        <w:rPr/>
        <w:t>paso no</w:t>
      </w:r>
      <w:r>
        <w:rPr>
          <w:spacing w:val="-3"/>
        </w:rPr>
        <w:t> </w:t>
      </w:r>
      <w:r>
        <w:rPr/>
        <w:t>solo</w:t>
      </w:r>
      <w:r>
        <w:rPr>
          <w:spacing w:val="-5"/>
        </w:rPr>
        <w:t> </w:t>
      </w:r>
      <w:r>
        <w:rPr/>
        <w:t>comprendía</w:t>
      </w:r>
      <w:r>
        <w:rPr>
          <w:spacing w:val="-3"/>
        </w:rPr>
        <w:t> </w:t>
      </w:r>
      <w:r>
        <w:rPr/>
        <w:t>bienes</w:t>
      </w:r>
      <w:r>
        <w:rPr>
          <w:spacing w:val="-3"/>
        </w:rPr>
        <w:t> </w:t>
      </w:r>
      <w:r>
        <w:rPr/>
        <w:t>de</w:t>
      </w:r>
      <w:r>
        <w:rPr>
          <w:spacing w:val="-5"/>
        </w:rPr>
        <w:t> </w:t>
      </w:r>
      <w:r>
        <w:rPr/>
        <w:t>consumo,</w:t>
      </w:r>
      <w:r>
        <w:rPr>
          <w:spacing w:val="-4"/>
        </w:rPr>
        <w:t> </w:t>
      </w:r>
      <w:r>
        <w:rPr/>
        <w:t>sino</w:t>
      </w:r>
      <w:r>
        <w:rPr>
          <w:spacing w:val="-5"/>
        </w:rPr>
        <w:t> </w:t>
      </w:r>
      <w:r>
        <w:rPr/>
        <w:t>también</w:t>
      </w:r>
      <w:r>
        <w:rPr>
          <w:spacing w:val="-3"/>
        </w:rPr>
        <w:t> </w:t>
      </w:r>
      <w:r>
        <w:rPr/>
        <w:t>insumos</w:t>
      </w:r>
      <w:r>
        <w:rPr>
          <w:spacing w:val="-5"/>
        </w:rPr>
        <w:t> </w:t>
      </w:r>
      <w:r>
        <w:rPr/>
        <w:t>y</w:t>
      </w:r>
      <w:r>
        <w:rPr>
          <w:spacing w:val="-5"/>
        </w:rPr>
        <w:t> </w:t>
      </w:r>
      <w:r>
        <w:rPr/>
        <w:t>equipos</w:t>
      </w:r>
      <w:r>
        <w:rPr>
          <w:spacing w:val="-5"/>
        </w:rPr>
        <w:t> </w:t>
      </w:r>
      <w:r>
        <w:rPr/>
        <w:t>relevantes para actividades productivas.</w:t>
      </w:r>
    </w:p>
    <w:p>
      <w:pPr>
        <w:pStyle w:val="BodyText"/>
        <w:spacing w:before="1"/>
      </w:pPr>
    </w:p>
    <w:p>
      <w:pPr>
        <w:pStyle w:val="ListParagraph"/>
        <w:numPr>
          <w:ilvl w:val="0"/>
          <w:numId w:val="2"/>
        </w:numPr>
        <w:tabs>
          <w:tab w:pos="1416" w:val="left" w:leader="none"/>
          <w:tab w:pos="1420" w:val="left" w:leader="none"/>
        </w:tabs>
        <w:spacing w:line="240" w:lineRule="auto" w:before="1" w:after="0"/>
        <w:ind w:left="1420" w:right="975" w:hanging="852"/>
        <w:jc w:val="both"/>
        <w:rPr>
          <w:sz w:val="22"/>
        </w:rPr>
      </w:pPr>
      <w:r>
        <w:rPr>
          <w:sz w:val="22"/>
        </w:rPr>
        <w:t>A través de la Tabla N°4 a continuación, se procede con el análisis destinado a verificar</w:t>
      </w:r>
      <w:r>
        <w:rPr>
          <w:spacing w:val="-4"/>
          <w:sz w:val="22"/>
        </w:rPr>
        <w:t> </w:t>
      </w:r>
      <w:r>
        <w:rPr>
          <w:sz w:val="22"/>
        </w:rPr>
        <w:t>si</w:t>
      </w:r>
      <w:r>
        <w:rPr>
          <w:spacing w:val="-6"/>
          <w:sz w:val="22"/>
        </w:rPr>
        <w:t> </w:t>
      </w:r>
      <w:r>
        <w:rPr>
          <w:sz w:val="22"/>
        </w:rPr>
        <w:t>las</w:t>
      </w:r>
      <w:r>
        <w:rPr>
          <w:spacing w:val="-3"/>
          <w:sz w:val="22"/>
        </w:rPr>
        <w:t> </w:t>
      </w:r>
      <w:r>
        <w:rPr>
          <w:sz w:val="22"/>
        </w:rPr>
        <w:t>subpartidas</w:t>
      </w:r>
      <w:r>
        <w:rPr>
          <w:spacing w:val="-2"/>
          <w:sz w:val="22"/>
        </w:rPr>
        <w:t> </w:t>
      </w:r>
      <w:r>
        <w:rPr>
          <w:sz w:val="22"/>
        </w:rPr>
        <w:t>arancelarias</w:t>
      </w:r>
      <w:r>
        <w:rPr>
          <w:spacing w:val="-5"/>
          <w:sz w:val="22"/>
        </w:rPr>
        <w:t> </w:t>
      </w:r>
      <w:r>
        <w:rPr>
          <w:sz w:val="22"/>
        </w:rPr>
        <w:t>identificadas</w:t>
      </w:r>
      <w:r>
        <w:rPr>
          <w:spacing w:val="-3"/>
          <w:sz w:val="22"/>
        </w:rPr>
        <w:t> </w:t>
      </w:r>
      <w:r>
        <w:rPr>
          <w:sz w:val="22"/>
        </w:rPr>
        <w:t>en</w:t>
      </w:r>
      <w:r>
        <w:rPr>
          <w:spacing w:val="-5"/>
          <w:sz w:val="22"/>
        </w:rPr>
        <w:t> </w:t>
      </w:r>
      <w:r>
        <w:rPr>
          <w:sz w:val="22"/>
        </w:rPr>
        <w:t>el</w:t>
      </w:r>
      <w:r>
        <w:rPr>
          <w:spacing w:val="-6"/>
          <w:sz w:val="22"/>
        </w:rPr>
        <w:t> </w:t>
      </w:r>
      <w:r>
        <w:rPr>
          <w:sz w:val="22"/>
        </w:rPr>
        <w:t>registro</w:t>
      </w:r>
      <w:r>
        <w:rPr>
          <w:spacing w:val="-5"/>
          <w:sz w:val="22"/>
        </w:rPr>
        <w:t> </w:t>
      </w:r>
      <w:r>
        <w:rPr>
          <w:sz w:val="22"/>
        </w:rPr>
        <w:t>del</w:t>
      </w:r>
      <w:r>
        <w:rPr>
          <w:spacing w:val="-3"/>
          <w:sz w:val="22"/>
        </w:rPr>
        <w:t> </w:t>
      </w:r>
      <w:r>
        <w:rPr>
          <w:sz w:val="22"/>
        </w:rPr>
        <w:t>periodo</w:t>
      </w:r>
      <w:r>
        <w:rPr>
          <w:spacing w:val="-3"/>
          <w:sz w:val="22"/>
        </w:rPr>
        <w:t> </w:t>
      </w:r>
      <w:r>
        <w:rPr>
          <w:sz w:val="22"/>
        </w:rPr>
        <w:t>2024–2025</w:t>
      </w:r>
      <w:r>
        <w:rPr>
          <w:spacing w:val="-3"/>
          <w:sz w:val="22"/>
        </w:rPr>
        <w:t> </w:t>
      </w:r>
      <w:r>
        <w:rPr>
          <w:sz w:val="22"/>
        </w:rPr>
        <w:t>mantuvieron</w:t>
      </w:r>
      <w:r>
        <w:rPr>
          <w:spacing w:val="-5"/>
          <w:sz w:val="22"/>
        </w:rPr>
        <w:t> </w:t>
      </w:r>
      <w:r>
        <w:rPr>
          <w:sz w:val="22"/>
        </w:rPr>
        <w:t>flujos</w:t>
      </w:r>
      <w:r>
        <w:rPr>
          <w:spacing w:val="-5"/>
          <w:sz w:val="22"/>
        </w:rPr>
        <w:t> </w:t>
      </w:r>
      <w:r>
        <w:rPr>
          <w:sz w:val="22"/>
        </w:rPr>
        <w:t>de</w:t>
      </w:r>
      <w:r>
        <w:rPr>
          <w:spacing w:val="-1"/>
          <w:sz w:val="22"/>
        </w:rPr>
        <w:t> </w:t>
      </w:r>
      <w:r>
        <w:rPr>
          <w:sz w:val="22"/>
        </w:rPr>
        <w:t>comercio</w:t>
      </w:r>
      <w:r>
        <w:rPr>
          <w:spacing w:val="-4"/>
          <w:sz w:val="22"/>
        </w:rPr>
        <w:t> </w:t>
      </w:r>
      <w:r>
        <w:rPr>
          <w:sz w:val="22"/>
        </w:rPr>
        <w:t>durante</w:t>
      </w:r>
      <w:r>
        <w:rPr>
          <w:spacing w:val="-3"/>
          <w:sz w:val="22"/>
        </w:rPr>
        <w:t> </w:t>
      </w:r>
      <w:r>
        <w:rPr>
          <w:sz w:val="22"/>
        </w:rPr>
        <w:t>los</w:t>
      </w:r>
      <w:r>
        <w:rPr>
          <w:spacing w:val="-3"/>
          <w:sz w:val="22"/>
        </w:rPr>
        <w:t> </w:t>
      </w:r>
      <w:r>
        <w:rPr>
          <w:sz w:val="22"/>
        </w:rPr>
        <w:t>meses</w:t>
      </w:r>
      <w:r>
        <w:rPr>
          <w:spacing w:val="-3"/>
          <w:sz w:val="22"/>
        </w:rPr>
        <w:t> </w:t>
      </w:r>
      <w:r>
        <w:rPr>
          <w:sz w:val="22"/>
        </w:rPr>
        <w:t>de</w:t>
      </w:r>
      <w:r>
        <w:rPr>
          <w:spacing w:val="-3"/>
          <w:sz w:val="22"/>
        </w:rPr>
        <w:t> </w:t>
      </w:r>
      <w:r>
        <w:rPr>
          <w:sz w:val="22"/>
        </w:rPr>
        <w:t>enero</w:t>
      </w:r>
      <w:r>
        <w:rPr>
          <w:spacing w:val="-3"/>
          <w:sz w:val="22"/>
        </w:rPr>
        <w:t> </w:t>
      </w:r>
      <w:r>
        <w:rPr>
          <w:sz w:val="22"/>
        </w:rPr>
        <w:t>y</w:t>
      </w:r>
      <w:r>
        <w:rPr>
          <w:spacing w:val="-5"/>
          <w:sz w:val="22"/>
        </w:rPr>
        <w:t> </w:t>
      </w:r>
      <w:r>
        <w:rPr>
          <w:sz w:val="22"/>
        </w:rPr>
        <w:t>febrero</w:t>
      </w:r>
      <w:r>
        <w:rPr>
          <w:spacing w:val="-1"/>
          <w:sz w:val="22"/>
        </w:rPr>
        <w:t> </w:t>
      </w:r>
      <w:r>
        <w:rPr>
          <w:sz w:val="22"/>
        </w:rPr>
        <w:t>de</w:t>
      </w:r>
      <w:r>
        <w:rPr>
          <w:spacing w:val="-3"/>
          <w:sz w:val="22"/>
        </w:rPr>
        <w:t> </w:t>
      </w:r>
      <w:r>
        <w:rPr>
          <w:sz w:val="22"/>
        </w:rPr>
        <w:t>2026, a través de su reencauzamiento por el paso internacional de Rumichaca o si, en su defecto, dejaron de registrar operaciones de importación.</w:t>
      </w:r>
    </w:p>
    <w:p>
      <w:pPr>
        <w:spacing w:before="252"/>
        <w:ind w:left="-1" w:right="409" w:firstLine="0"/>
        <w:jc w:val="center"/>
        <w:rPr>
          <w:rFonts w:ascii="Arial" w:hAnsi="Arial"/>
          <w:b/>
          <w:sz w:val="22"/>
        </w:rPr>
      </w:pPr>
      <w:r>
        <w:rPr>
          <w:rFonts w:ascii="Arial" w:hAnsi="Arial"/>
          <w:b/>
          <w:sz w:val="22"/>
        </w:rPr>
        <w:t>Tabla</w:t>
      </w:r>
      <w:r>
        <w:rPr>
          <w:rFonts w:ascii="Arial" w:hAnsi="Arial"/>
          <w:b/>
          <w:spacing w:val="-5"/>
          <w:sz w:val="22"/>
        </w:rPr>
        <w:t> </w:t>
      </w:r>
      <w:r>
        <w:rPr>
          <w:rFonts w:ascii="Arial" w:hAnsi="Arial"/>
          <w:b/>
          <w:sz w:val="22"/>
        </w:rPr>
        <w:t>N.°</w:t>
      </w:r>
      <w:r>
        <w:rPr>
          <w:rFonts w:ascii="Arial" w:hAnsi="Arial"/>
          <w:b/>
          <w:spacing w:val="-1"/>
          <w:sz w:val="22"/>
        </w:rPr>
        <w:t> </w:t>
      </w:r>
      <w:r>
        <w:rPr>
          <w:rFonts w:ascii="Arial" w:hAnsi="Arial"/>
          <w:b/>
          <w:spacing w:val="-10"/>
          <w:sz w:val="22"/>
        </w:rPr>
        <w:t>4</w:t>
      </w:r>
    </w:p>
    <w:p>
      <w:pPr>
        <w:spacing w:before="2"/>
        <w:ind w:left="2565" w:right="2980" w:hanging="3"/>
        <w:jc w:val="center"/>
        <w:rPr>
          <w:rFonts w:ascii="Arial" w:hAnsi="Arial"/>
          <w:i/>
          <w:sz w:val="22"/>
        </w:rPr>
      </w:pPr>
      <w:r>
        <w:rPr>
          <w:rFonts w:ascii="Arial" w:hAnsi="Arial"/>
          <w:i/>
          <w:sz w:val="22"/>
        </w:rPr>
        <w:t>Subpartidas arancelarias con ingreso histórico por CEBAF</w:t>
      </w:r>
      <w:r>
        <w:rPr>
          <w:rFonts w:ascii="Arial" w:hAnsi="Arial"/>
          <w:i/>
          <w:spacing w:val="-4"/>
          <w:sz w:val="22"/>
        </w:rPr>
        <w:t> </w:t>
      </w:r>
      <w:r>
        <w:rPr>
          <w:rFonts w:ascii="Arial" w:hAnsi="Arial"/>
          <w:i/>
          <w:sz w:val="22"/>
        </w:rPr>
        <w:t>San</w:t>
      </w:r>
      <w:r>
        <w:rPr>
          <w:rFonts w:ascii="Arial" w:hAnsi="Arial"/>
          <w:i/>
          <w:spacing w:val="-4"/>
          <w:sz w:val="22"/>
        </w:rPr>
        <w:t> </w:t>
      </w:r>
      <w:r>
        <w:rPr>
          <w:rFonts w:ascii="Arial" w:hAnsi="Arial"/>
          <w:i/>
          <w:sz w:val="22"/>
        </w:rPr>
        <w:t>Miguel</w:t>
      </w:r>
      <w:r>
        <w:rPr>
          <w:rFonts w:ascii="Arial" w:hAnsi="Arial"/>
          <w:i/>
          <w:spacing w:val="-5"/>
          <w:sz w:val="22"/>
        </w:rPr>
        <w:t> </w:t>
      </w:r>
      <w:r>
        <w:rPr>
          <w:rFonts w:ascii="Arial" w:hAnsi="Arial"/>
          <w:i/>
          <w:sz w:val="22"/>
        </w:rPr>
        <w:t>y</w:t>
      </w:r>
      <w:r>
        <w:rPr>
          <w:rFonts w:ascii="Arial" w:hAnsi="Arial"/>
          <w:i/>
          <w:spacing w:val="-3"/>
          <w:sz w:val="22"/>
        </w:rPr>
        <w:t> </w:t>
      </w:r>
      <w:r>
        <w:rPr>
          <w:rFonts w:ascii="Arial" w:hAnsi="Arial"/>
          <w:i/>
          <w:sz w:val="22"/>
        </w:rPr>
        <w:t>su</w:t>
      </w:r>
      <w:r>
        <w:rPr>
          <w:rFonts w:ascii="Arial" w:hAnsi="Arial"/>
          <w:i/>
          <w:spacing w:val="-6"/>
          <w:sz w:val="22"/>
        </w:rPr>
        <w:t> </w:t>
      </w:r>
      <w:r>
        <w:rPr>
          <w:rFonts w:ascii="Arial" w:hAnsi="Arial"/>
          <w:i/>
          <w:sz w:val="22"/>
        </w:rPr>
        <w:t>comportamiento</w:t>
      </w:r>
      <w:r>
        <w:rPr>
          <w:rFonts w:ascii="Arial" w:hAnsi="Arial"/>
          <w:i/>
          <w:spacing w:val="-4"/>
          <w:sz w:val="22"/>
        </w:rPr>
        <w:t> </w:t>
      </w:r>
      <w:r>
        <w:rPr>
          <w:rFonts w:ascii="Arial" w:hAnsi="Arial"/>
          <w:i/>
          <w:sz w:val="22"/>
        </w:rPr>
        <w:t>en</w:t>
      </w:r>
      <w:r>
        <w:rPr>
          <w:rFonts w:ascii="Arial" w:hAnsi="Arial"/>
          <w:i/>
          <w:spacing w:val="-6"/>
          <w:sz w:val="22"/>
        </w:rPr>
        <w:t> </w:t>
      </w:r>
      <w:r>
        <w:rPr>
          <w:rFonts w:ascii="Arial" w:hAnsi="Arial"/>
          <w:i/>
          <w:sz w:val="22"/>
        </w:rPr>
        <w:t>el</w:t>
      </w:r>
      <w:r>
        <w:rPr>
          <w:rFonts w:ascii="Arial" w:hAnsi="Arial"/>
          <w:i/>
          <w:spacing w:val="-5"/>
          <w:sz w:val="22"/>
        </w:rPr>
        <w:t> </w:t>
      </w:r>
      <w:r>
        <w:rPr>
          <w:rFonts w:ascii="Arial" w:hAnsi="Arial"/>
          <w:i/>
          <w:sz w:val="22"/>
        </w:rPr>
        <w:t>paso internacional de Rumichaca (enero–febrero 2026) (En volumen, Kg)</w:t>
      </w:r>
    </w:p>
    <w:tbl>
      <w:tblPr>
        <w:tblW w:w="0" w:type="auto"/>
        <w:jc w:val="left"/>
        <w:tblInd w:w="26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48"/>
        <w:gridCol w:w="1119"/>
        <w:gridCol w:w="960"/>
        <w:gridCol w:w="1210"/>
      </w:tblGrid>
      <w:tr>
        <w:trPr>
          <w:trHeight w:val="506" w:hRule="atLeast"/>
        </w:trPr>
        <w:tc>
          <w:tcPr>
            <w:tcW w:w="1548" w:type="dxa"/>
          </w:tcPr>
          <w:p>
            <w:pPr>
              <w:pStyle w:val="TableParagraph"/>
              <w:spacing w:line="254" w:lineRule="exact"/>
              <w:ind w:left="150" w:firstLine="48"/>
              <w:rPr>
                <w:rFonts w:ascii="Arial" w:hAnsi="Arial"/>
                <w:b/>
                <w:sz w:val="22"/>
              </w:rPr>
            </w:pPr>
            <w:r>
              <w:rPr>
                <w:rFonts w:ascii="Arial" w:hAnsi="Arial"/>
                <w:b/>
                <w:spacing w:val="-2"/>
                <w:sz w:val="22"/>
              </w:rPr>
              <w:t>Subpartida </w:t>
            </w:r>
            <w:r>
              <w:rPr>
                <w:rFonts w:ascii="Arial" w:hAnsi="Arial"/>
                <w:b/>
                <w:sz w:val="22"/>
              </w:rPr>
              <w:t>(10</w:t>
            </w:r>
            <w:r>
              <w:rPr>
                <w:rFonts w:ascii="Arial" w:hAnsi="Arial"/>
                <w:b/>
                <w:spacing w:val="-1"/>
                <w:sz w:val="22"/>
              </w:rPr>
              <w:t> </w:t>
            </w:r>
            <w:r>
              <w:rPr>
                <w:rFonts w:ascii="Arial" w:hAnsi="Arial"/>
                <w:b/>
                <w:spacing w:val="-2"/>
                <w:sz w:val="22"/>
              </w:rPr>
              <w:t>dígitos)</w:t>
            </w:r>
          </w:p>
        </w:tc>
        <w:tc>
          <w:tcPr>
            <w:tcW w:w="1119" w:type="dxa"/>
          </w:tcPr>
          <w:p>
            <w:pPr>
              <w:pStyle w:val="TableParagraph"/>
              <w:spacing w:line="254" w:lineRule="exact"/>
              <w:ind w:left="338" w:hanging="92"/>
              <w:rPr>
                <w:rFonts w:ascii="Arial"/>
                <w:b/>
                <w:sz w:val="22"/>
              </w:rPr>
            </w:pPr>
            <w:r>
              <w:rPr>
                <w:rFonts w:ascii="Arial"/>
                <w:b/>
                <w:spacing w:val="-4"/>
                <w:sz w:val="22"/>
              </w:rPr>
              <w:t>Enero (Kg)</w:t>
            </w:r>
          </w:p>
        </w:tc>
        <w:tc>
          <w:tcPr>
            <w:tcW w:w="960" w:type="dxa"/>
          </w:tcPr>
          <w:p>
            <w:pPr>
              <w:pStyle w:val="TableParagraph"/>
              <w:spacing w:line="254" w:lineRule="exact"/>
              <w:ind w:left="258" w:right="56" w:hanging="190"/>
              <w:rPr>
                <w:rFonts w:ascii="Arial"/>
                <w:b/>
                <w:sz w:val="22"/>
              </w:rPr>
            </w:pPr>
            <w:r>
              <w:rPr>
                <w:rFonts w:ascii="Arial"/>
                <w:b/>
                <w:spacing w:val="-2"/>
                <w:sz w:val="22"/>
              </w:rPr>
              <w:t>Febrero </w:t>
            </w:r>
            <w:r>
              <w:rPr>
                <w:rFonts w:ascii="Arial"/>
                <w:b/>
                <w:spacing w:val="-4"/>
                <w:sz w:val="22"/>
              </w:rPr>
              <w:t>(Kg)</w:t>
            </w:r>
          </w:p>
        </w:tc>
        <w:tc>
          <w:tcPr>
            <w:tcW w:w="1210" w:type="dxa"/>
          </w:tcPr>
          <w:p>
            <w:pPr>
              <w:pStyle w:val="TableParagraph"/>
              <w:spacing w:line="254" w:lineRule="exact"/>
              <w:ind w:left="69" w:firstLine="271"/>
              <w:rPr>
                <w:rFonts w:ascii="Arial"/>
                <w:b/>
                <w:sz w:val="22"/>
              </w:rPr>
            </w:pPr>
            <w:r>
              <w:rPr>
                <w:rFonts w:ascii="Arial"/>
                <w:b/>
                <w:spacing w:val="-4"/>
                <w:sz w:val="22"/>
              </w:rPr>
              <w:t>Total </w:t>
            </w:r>
            <w:r>
              <w:rPr>
                <w:rFonts w:ascii="Arial"/>
                <w:b/>
                <w:spacing w:val="-2"/>
                <w:sz w:val="22"/>
              </w:rPr>
              <w:t>(Ene+Feb)</w:t>
            </w:r>
          </w:p>
        </w:tc>
      </w:tr>
      <w:tr>
        <w:trPr>
          <w:trHeight w:val="251" w:hRule="atLeast"/>
        </w:trPr>
        <w:tc>
          <w:tcPr>
            <w:tcW w:w="1548" w:type="dxa"/>
          </w:tcPr>
          <w:p>
            <w:pPr>
              <w:pStyle w:val="TableParagraph"/>
              <w:spacing w:line="232" w:lineRule="exact"/>
              <w:ind w:left="14"/>
              <w:jc w:val="center"/>
              <w:rPr>
                <w:sz w:val="22"/>
              </w:rPr>
            </w:pPr>
            <w:r>
              <w:rPr>
                <w:spacing w:val="-2"/>
                <w:sz w:val="22"/>
              </w:rPr>
              <w:t>6907.22.00.90</w:t>
            </w:r>
          </w:p>
        </w:tc>
        <w:tc>
          <w:tcPr>
            <w:tcW w:w="1119" w:type="dxa"/>
          </w:tcPr>
          <w:p>
            <w:pPr>
              <w:pStyle w:val="TableParagraph"/>
              <w:spacing w:line="232" w:lineRule="exact"/>
              <w:ind w:left="11"/>
              <w:jc w:val="center"/>
              <w:rPr>
                <w:sz w:val="22"/>
              </w:rPr>
            </w:pPr>
            <w:r>
              <w:rPr>
                <w:spacing w:val="-2"/>
                <w:sz w:val="22"/>
              </w:rPr>
              <w:t>2,686,154</w:t>
            </w:r>
          </w:p>
        </w:tc>
        <w:tc>
          <w:tcPr>
            <w:tcW w:w="960" w:type="dxa"/>
          </w:tcPr>
          <w:p>
            <w:pPr>
              <w:pStyle w:val="TableParagraph"/>
              <w:spacing w:line="232" w:lineRule="exact"/>
              <w:ind w:left="9" w:right="4"/>
              <w:jc w:val="center"/>
              <w:rPr>
                <w:sz w:val="22"/>
              </w:rPr>
            </w:pPr>
            <w:r>
              <w:rPr>
                <w:spacing w:val="-10"/>
                <w:sz w:val="22"/>
              </w:rPr>
              <w:t>-</w:t>
            </w:r>
          </w:p>
        </w:tc>
        <w:tc>
          <w:tcPr>
            <w:tcW w:w="1210" w:type="dxa"/>
          </w:tcPr>
          <w:p>
            <w:pPr>
              <w:pStyle w:val="TableParagraph"/>
              <w:spacing w:line="232" w:lineRule="exact"/>
              <w:ind w:left="11"/>
              <w:jc w:val="center"/>
              <w:rPr>
                <w:sz w:val="22"/>
              </w:rPr>
            </w:pPr>
            <w:r>
              <w:rPr>
                <w:spacing w:val="-2"/>
                <w:sz w:val="22"/>
              </w:rPr>
              <w:t>2,686,154</w:t>
            </w:r>
          </w:p>
        </w:tc>
      </w:tr>
      <w:tr>
        <w:trPr>
          <w:trHeight w:val="251" w:hRule="atLeast"/>
        </w:trPr>
        <w:tc>
          <w:tcPr>
            <w:tcW w:w="1548" w:type="dxa"/>
          </w:tcPr>
          <w:p>
            <w:pPr>
              <w:pStyle w:val="TableParagraph"/>
              <w:spacing w:line="232" w:lineRule="exact"/>
              <w:ind w:left="14"/>
              <w:jc w:val="center"/>
              <w:rPr>
                <w:sz w:val="22"/>
              </w:rPr>
            </w:pPr>
            <w:r>
              <w:rPr>
                <w:spacing w:val="-2"/>
                <w:sz w:val="22"/>
              </w:rPr>
              <w:t>3402.31.00.00</w:t>
            </w:r>
          </w:p>
        </w:tc>
        <w:tc>
          <w:tcPr>
            <w:tcW w:w="1119" w:type="dxa"/>
          </w:tcPr>
          <w:p>
            <w:pPr>
              <w:pStyle w:val="TableParagraph"/>
              <w:spacing w:line="232" w:lineRule="exact"/>
              <w:ind w:left="11" w:right="2"/>
              <w:jc w:val="center"/>
              <w:rPr>
                <w:sz w:val="22"/>
              </w:rPr>
            </w:pPr>
            <w:r>
              <w:rPr>
                <w:spacing w:val="-2"/>
                <w:sz w:val="22"/>
              </w:rPr>
              <w:t>479,120</w:t>
            </w:r>
          </w:p>
        </w:tc>
        <w:tc>
          <w:tcPr>
            <w:tcW w:w="960" w:type="dxa"/>
          </w:tcPr>
          <w:p>
            <w:pPr>
              <w:pStyle w:val="TableParagraph"/>
              <w:spacing w:line="232" w:lineRule="exact"/>
              <w:ind w:left="9" w:right="3"/>
              <w:jc w:val="center"/>
              <w:rPr>
                <w:sz w:val="22"/>
              </w:rPr>
            </w:pPr>
            <w:r>
              <w:rPr>
                <w:spacing w:val="-5"/>
                <w:sz w:val="22"/>
              </w:rPr>
              <w:t>800</w:t>
            </w:r>
          </w:p>
        </w:tc>
        <w:tc>
          <w:tcPr>
            <w:tcW w:w="1210" w:type="dxa"/>
          </w:tcPr>
          <w:p>
            <w:pPr>
              <w:pStyle w:val="TableParagraph"/>
              <w:spacing w:line="232" w:lineRule="exact"/>
              <w:ind w:left="11" w:right="2"/>
              <w:jc w:val="center"/>
              <w:rPr>
                <w:sz w:val="22"/>
              </w:rPr>
            </w:pPr>
            <w:r>
              <w:rPr>
                <w:spacing w:val="-2"/>
                <w:sz w:val="22"/>
              </w:rPr>
              <w:t>479,920</w:t>
            </w:r>
          </w:p>
        </w:tc>
      </w:tr>
      <w:tr>
        <w:trPr>
          <w:trHeight w:val="253" w:hRule="atLeast"/>
        </w:trPr>
        <w:tc>
          <w:tcPr>
            <w:tcW w:w="1548" w:type="dxa"/>
          </w:tcPr>
          <w:p>
            <w:pPr>
              <w:pStyle w:val="TableParagraph"/>
              <w:spacing w:line="234" w:lineRule="exact"/>
              <w:ind w:left="14"/>
              <w:jc w:val="center"/>
              <w:rPr>
                <w:sz w:val="22"/>
              </w:rPr>
            </w:pPr>
            <w:r>
              <w:rPr>
                <w:spacing w:val="-2"/>
                <w:sz w:val="22"/>
              </w:rPr>
              <w:t>3824.99.60.00</w:t>
            </w:r>
          </w:p>
        </w:tc>
        <w:tc>
          <w:tcPr>
            <w:tcW w:w="1119" w:type="dxa"/>
          </w:tcPr>
          <w:p>
            <w:pPr>
              <w:pStyle w:val="TableParagraph"/>
              <w:spacing w:line="234" w:lineRule="exact"/>
              <w:ind w:left="11"/>
              <w:jc w:val="center"/>
              <w:rPr>
                <w:sz w:val="22"/>
              </w:rPr>
            </w:pPr>
            <w:r>
              <w:rPr>
                <w:spacing w:val="-2"/>
                <w:sz w:val="22"/>
              </w:rPr>
              <w:t>51,552</w:t>
            </w:r>
          </w:p>
        </w:tc>
        <w:tc>
          <w:tcPr>
            <w:tcW w:w="960" w:type="dxa"/>
          </w:tcPr>
          <w:p>
            <w:pPr>
              <w:pStyle w:val="TableParagraph"/>
              <w:spacing w:line="234" w:lineRule="exact"/>
              <w:ind w:left="9"/>
              <w:jc w:val="center"/>
              <w:rPr>
                <w:sz w:val="22"/>
              </w:rPr>
            </w:pPr>
            <w:r>
              <w:rPr>
                <w:spacing w:val="-2"/>
                <w:sz w:val="22"/>
              </w:rPr>
              <w:t>7,323</w:t>
            </w:r>
          </w:p>
        </w:tc>
        <w:tc>
          <w:tcPr>
            <w:tcW w:w="1210" w:type="dxa"/>
          </w:tcPr>
          <w:p>
            <w:pPr>
              <w:pStyle w:val="TableParagraph"/>
              <w:spacing w:line="234" w:lineRule="exact"/>
              <w:ind w:left="11"/>
              <w:jc w:val="center"/>
              <w:rPr>
                <w:sz w:val="22"/>
              </w:rPr>
            </w:pPr>
            <w:r>
              <w:rPr>
                <w:spacing w:val="-2"/>
                <w:sz w:val="22"/>
              </w:rPr>
              <w:t>58,875</w:t>
            </w:r>
          </w:p>
        </w:tc>
      </w:tr>
      <w:tr>
        <w:trPr>
          <w:trHeight w:val="251" w:hRule="atLeast"/>
        </w:trPr>
        <w:tc>
          <w:tcPr>
            <w:tcW w:w="1548" w:type="dxa"/>
          </w:tcPr>
          <w:p>
            <w:pPr>
              <w:pStyle w:val="TableParagraph"/>
              <w:spacing w:line="232" w:lineRule="exact"/>
              <w:ind w:left="14"/>
              <w:jc w:val="center"/>
              <w:rPr>
                <w:sz w:val="22"/>
              </w:rPr>
            </w:pPr>
            <w:r>
              <w:rPr>
                <w:spacing w:val="-2"/>
                <w:sz w:val="22"/>
              </w:rPr>
              <w:t>6910.10.00.00</w:t>
            </w:r>
          </w:p>
        </w:tc>
        <w:tc>
          <w:tcPr>
            <w:tcW w:w="1119" w:type="dxa"/>
          </w:tcPr>
          <w:p>
            <w:pPr>
              <w:pStyle w:val="TableParagraph"/>
              <w:spacing w:line="232" w:lineRule="exact"/>
              <w:ind w:left="11"/>
              <w:jc w:val="center"/>
              <w:rPr>
                <w:sz w:val="22"/>
              </w:rPr>
            </w:pPr>
            <w:r>
              <w:rPr>
                <w:spacing w:val="-2"/>
                <w:sz w:val="22"/>
              </w:rPr>
              <w:t>30,874</w:t>
            </w:r>
          </w:p>
        </w:tc>
        <w:tc>
          <w:tcPr>
            <w:tcW w:w="960" w:type="dxa"/>
          </w:tcPr>
          <w:p>
            <w:pPr>
              <w:pStyle w:val="TableParagraph"/>
              <w:spacing w:line="232" w:lineRule="exact"/>
              <w:ind w:left="9" w:right="4"/>
              <w:jc w:val="center"/>
              <w:rPr>
                <w:sz w:val="22"/>
              </w:rPr>
            </w:pPr>
            <w:r>
              <w:rPr>
                <w:spacing w:val="-10"/>
                <w:sz w:val="22"/>
              </w:rPr>
              <w:t>-</w:t>
            </w:r>
          </w:p>
        </w:tc>
        <w:tc>
          <w:tcPr>
            <w:tcW w:w="1210" w:type="dxa"/>
          </w:tcPr>
          <w:p>
            <w:pPr>
              <w:pStyle w:val="TableParagraph"/>
              <w:spacing w:line="232" w:lineRule="exact"/>
              <w:ind w:left="11"/>
              <w:jc w:val="center"/>
              <w:rPr>
                <w:sz w:val="22"/>
              </w:rPr>
            </w:pPr>
            <w:r>
              <w:rPr>
                <w:spacing w:val="-2"/>
                <w:sz w:val="22"/>
              </w:rPr>
              <w:t>30,874</w:t>
            </w:r>
          </w:p>
        </w:tc>
      </w:tr>
      <w:tr>
        <w:trPr>
          <w:trHeight w:val="253" w:hRule="atLeast"/>
        </w:trPr>
        <w:tc>
          <w:tcPr>
            <w:tcW w:w="1548" w:type="dxa"/>
          </w:tcPr>
          <w:p>
            <w:pPr>
              <w:pStyle w:val="TableParagraph"/>
              <w:spacing w:line="232" w:lineRule="exact" w:before="2"/>
              <w:ind w:left="14"/>
              <w:jc w:val="center"/>
              <w:rPr>
                <w:sz w:val="22"/>
              </w:rPr>
            </w:pPr>
            <w:r>
              <w:rPr>
                <w:spacing w:val="-2"/>
                <w:sz w:val="22"/>
              </w:rPr>
              <w:t>8413.70.29.00</w:t>
            </w:r>
          </w:p>
        </w:tc>
        <w:tc>
          <w:tcPr>
            <w:tcW w:w="1119" w:type="dxa"/>
          </w:tcPr>
          <w:p>
            <w:pPr>
              <w:pStyle w:val="TableParagraph"/>
              <w:spacing w:line="232" w:lineRule="exact" w:before="2"/>
              <w:ind w:left="11" w:right="2"/>
              <w:jc w:val="center"/>
              <w:rPr>
                <w:sz w:val="22"/>
              </w:rPr>
            </w:pPr>
            <w:r>
              <w:rPr>
                <w:spacing w:val="-2"/>
                <w:sz w:val="22"/>
              </w:rPr>
              <w:t>3,798</w:t>
            </w:r>
          </w:p>
        </w:tc>
        <w:tc>
          <w:tcPr>
            <w:tcW w:w="960" w:type="dxa"/>
          </w:tcPr>
          <w:p>
            <w:pPr>
              <w:pStyle w:val="TableParagraph"/>
              <w:spacing w:line="232" w:lineRule="exact" w:before="2"/>
              <w:ind w:left="9"/>
              <w:jc w:val="center"/>
              <w:rPr>
                <w:sz w:val="22"/>
              </w:rPr>
            </w:pPr>
            <w:r>
              <w:rPr>
                <w:spacing w:val="-2"/>
                <w:sz w:val="22"/>
              </w:rPr>
              <w:t>1,526</w:t>
            </w:r>
          </w:p>
        </w:tc>
        <w:tc>
          <w:tcPr>
            <w:tcW w:w="1210" w:type="dxa"/>
          </w:tcPr>
          <w:p>
            <w:pPr>
              <w:pStyle w:val="TableParagraph"/>
              <w:spacing w:line="232" w:lineRule="exact" w:before="2"/>
              <w:ind w:left="11" w:right="2"/>
              <w:jc w:val="center"/>
              <w:rPr>
                <w:sz w:val="22"/>
              </w:rPr>
            </w:pPr>
            <w:r>
              <w:rPr>
                <w:spacing w:val="-2"/>
                <w:sz w:val="22"/>
              </w:rPr>
              <w:t>5,324</w:t>
            </w:r>
          </w:p>
        </w:tc>
      </w:tr>
      <w:tr>
        <w:trPr>
          <w:trHeight w:val="253" w:hRule="atLeast"/>
        </w:trPr>
        <w:tc>
          <w:tcPr>
            <w:tcW w:w="1548" w:type="dxa"/>
          </w:tcPr>
          <w:p>
            <w:pPr>
              <w:pStyle w:val="TableParagraph"/>
              <w:spacing w:line="234" w:lineRule="exact"/>
              <w:ind w:left="14"/>
              <w:jc w:val="center"/>
              <w:rPr>
                <w:sz w:val="22"/>
              </w:rPr>
            </w:pPr>
            <w:r>
              <w:rPr>
                <w:spacing w:val="-2"/>
                <w:sz w:val="22"/>
              </w:rPr>
              <w:t>2921.29.00.00</w:t>
            </w:r>
          </w:p>
        </w:tc>
        <w:tc>
          <w:tcPr>
            <w:tcW w:w="1119" w:type="dxa"/>
          </w:tcPr>
          <w:p>
            <w:pPr>
              <w:pStyle w:val="TableParagraph"/>
              <w:spacing w:line="234" w:lineRule="exact"/>
              <w:ind w:left="11" w:right="2"/>
              <w:jc w:val="center"/>
              <w:rPr>
                <w:sz w:val="22"/>
              </w:rPr>
            </w:pPr>
            <w:r>
              <w:rPr>
                <w:spacing w:val="-2"/>
                <w:sz w:val="22"/>
              </w:rPr>
              <w:t>2,300</w:t>
            </w:r>
          </w:p>
        </w:tc>
        <w:tc>
          <w:tcPr>
            <w:tcW w:w="960" w:type="dxa"/>
          </w:tcPr>
          <w:p>
            <w:pPr>
              <w:pStyle w:val="TableParagraph"/>
              <w:spacing w:line="234" w:lineRule="exact"/>
              <w:ind w:left="9" w:right="4"/>
              <w:jc w:val="center"/>
              <w:rPr>
                <w:sz w:val="22"/>
              </w:rPr>
            </w:pPr>
            <w:r>
              <w:rPr>
                <w:spacing w:val="-10"/>
                <w:sz w:val="22"/>
              </w:rPr>
              <w:t>-</w:t>
            </w:r>
          </w:p>
        </w:tc>
        <w:tc>
          <w:tcPr>
            <w:tcW w:w="1210" w:type="dxa"/>
          </w:tcPr>
          <w:p>
            <w:pPr>
              <w:pStyle w:val="TableParagraph"/>
              <w:spacing w:line="234" w:lineRule="exact"/>
              <w:ind w:left="11" w:right="2"/>
              <w:jc w:val="center"/>
              <w:rPr>
                <w:sz w:val="22"/>
              </w:rPr>
            </w:pPr>
            <w:r>
              <w:rPr>
                <w:spacing w:val="-2"/>
                <w:sz w:val="22"/>
              </w:rPr>
              <w:t>2,300</w:t>
            </w:r>
          </w:p>
        </w:tc>
      </w:tr>
      <w:tr>
        <w:trPr>
          <w:trHeight w:val="252" w:hRule="atLeast"/>
        </w:trPr>
        <w:tc>
          <w:tcPr>
            <w:tcW w:w="1548" w:type="dxa"/>
          </w:tcPr>
          <w:p>
            <w:pPr>
              <w:pStyle w:val="TableParagraph"/>
              <w:spacing w:line="232" w:lineRule="exact"/>
              <w:ind w:left="14"/>
              <w:jc w:val="center"/>
              <w:rPr>
                <w:sz w:val="22"/>
              </w:rPr>
            </w:pPr>
            <w:r>
              <w:rPr>
                <w:spacing w:val="-2"/>
                <w:sz w:val="22"/>
              </w:rPr>
              <w:t>8413.70.19.00</w:t>
            </w:r>
          </w:p>
        </w:tc>
        <w:tc>
          <w:tcPr>
            <w:tcW w:w="1119" w:type="dxa"/>
          </w:tcPr>
          <w:p>
            <w:pPr>
              <w:pStyle w:val="TableParagraph"/>
              <w:spacing w:line="232" w:lineRule="exact"/>
              <w:ind w:left="11" w:right="2"/>
              <w:jc w:val="center"/>
              <w:rPr>
                <w:sz w:val="22"/>
              </w:rPr>
            </w:pPr>
            <w:r>
              <w:rPr>
                <w:spacing w:val="-2"/>
                <w:sz w:val="22"/>
              </w:rPr>
              <w:t>2,054</w:t>
            </w:r>
          </w:p>
        </w:tc>
        <w:tc>
          <w:tcPr>
            <w:tcW w:w="960" w:type="dxa"/>
          </w:tcPr>
          <w:p>
            <w:pPr>
              <w:pStyle w:val="TableParagraph"/>
              <w:spacing w:line="232" w:lineRule="exact"/>
              <w:ind w:left="9"/>
              <w:jc w:val="center"/>
              <w:rPr>
                <w:sz w:val="22"/>
              </w:rPr>
            </w:pPr>
            <w:r>
              <w:rPr>
                <w:spacing w:val="-5"/>
                <w:sz w:val="22"/>
              </w:rPr>
              <w:t>94</w:t>
            </w:r>
          </w:p>
        </w:tc>
        <w:tc>
          <w:tcPr>
            <w:tcW w:w="1210" w:type="dxa"/>
          </w:tcPr>
          <w:p>
            <w:pPr>
              <w:pStyle w:val="TableParagraph"/>
              <w:spacing w:line="232" w:lineRule="exact"/>
              <w:ind w:left="11" w:right="2"/>
              <w:jc w:val="center"/>
              <w:rPr>
                <w:sz w:val="22"/>
              </w:rPr>
            </w:pPr>
            <w:r>
              <w:rPr>
                <w:spacing w:val="-2"/>
                <w:sz w:val="22"/>
              </w:rPr>
              <w:t>2,148</w:t>
            </w:r>
          </w:p>
        </w:tc>
      </w:tr>
      <w:tr>
        <w:trPr>
          <w:trHeight w:val="254" w:hRule="atLeast"/>
        </w:trPr>
        <w:tc>
          <w:tcPr>
            <w:tcW w:w="1548" w:type="dxa"/>
          </w:tcPr>
          <w:p>
            <w:pPr>
              <w:pStyle w:val="TableParagraph"/>
              <w:spacing w:line="234" w:lineRule="exact"/>
              <w:ind w:left="14"/>
              <w:jc w:val="center"/>
              <w:rPr>
                <w:sz w:val="22"/>
              </w:rPr>
            </w:pPr>
            <w:r>
              <w:rPr>
                <w:spacing w:val="-2"/>
                <w:sz w:val="22"/>
              </w:rPr>
              <w:t>8421.99.90.00</w:t>
            </w:r>
          </w:p>
        </w:tc>
        <w:tc>
          <w:tcPr>
            <w:tcW w:w="1119" w:type="dxa"/>
          </w:tcPr>
          <w:p>
            <w:pPr>
              <w:pStyle w:val="TableParagraph"/>
              <w:spacing w:line="234" w:lineRule="exact"/>
              <w:ind w:left="11" w:right="5"/>
              <w:jc w:val="center"/>
              <w:rPr>
                <w:sz w:val="22"/>
              </w:rPr>
            </w:pPr>
            <w:r>
              <w:rPr>
                <w:spacing w:val="-5"/>
                <w:sz w:val="22"/>
              </w:rPr>
              <w:t>188</w:t>
            </w:r>
          </w:p>
        </w:tc>
        <w:tc>
          <w:tcPr>
            <w:tcW w:w="960" w:type="dxa"/>
          </w:tcPr>
          <w:p>
            <w:pPr>
              <w:pStyle w:val="TableParagraph"/>
              <w:spacing w:line="234" w:lineRule="exact"/>
              <w:ind w:left="9" w:right="3"/>
              <w:jc w:val="center"/>
              <w:rPr>
                <w:sz w:val="22"/>
              </w:rPr>
            </w:pPr>
            <w:r>
              <w:rPr>
                <w:spacing w:val="-5"/>
                <w:sz w:val="22"/>
              </w:rPr>
              <w:t>382</w:t>
            </w:r>
          </w:p>
        </w:tc>
        <w:tc>
          <w:tcPr>
            <w:tcW w:w="1210" w:type="dxa"/>
          </w:tcPr>
          <w:p>
            <w:pPr>
              <w:pStyle w:val="TableParagraph"/>
              <w:spacing w:line="234" w:lineRule="exact"/>
              <w:ind w:left="11" w:right="5"/>
              <w:jc w:val="center"/>
              <w:rPr>
                <w:sz w:val="22"/>
              </w:rPr>
            </w:pPr>
            <w:r>
              <w:rPr>
                <w:spacing w:val="-5"/>
                <w:sz w:val="22"/>
              </w:rPr>
              <w:t>570</w:t>
            </w:r>
          </w:p>
        </w:tc>
      </w:tr>
      <w:tr>
        <w:trPr>
          <w:trHeight w:val="311" w:hRule="atLeast"/>
        </w:trPr>
        <w:tc>
          <w:tcPr>
            <w:tcW w:w="1548" w:type="dxa"/>
          </w:tcPr>
          <w:p>
            <w:pPr>
              <w:pStyle w:val="TableParagraph"/>
              <w:spacing w:before="28"/>
              <w:ind w:left="14"/>
              <w:jc w:val="center"/>
              <w:rPr>
                <w:sz w:val="22"/>
              </w:rPr>
            </w:pPr>
            <w:r>
              <w:rPr>
                <w:spacing w:val="-2"/>
                <w:sz w:val="22"/>
              </w:rPr>
              <w:t>8537.10.90.90</w:t>
            </w:r>
          </w:p>
        </w:tc>
        <w:tc>
          <w:tcPr>
            <w:tcW w:w="1119" w:type="dxa"/>
          </w:tcPr>
          <w:p>
            <w:pPr>
              <w:pStyle w:val="TableParagraph"/>
              <w:spacing w:before="28"/>
              <w:ind w:left="11" w:right="6"/>
              <w:jc w:val="center"/>
              <w:rPr>
                <w:sz w:val="22"/>
              </w:rPr>
            </w:pPr>
            <w:r>
              <w:rPr>
                <w:spacing w:val="-10"/>
                <w:sz w:val="22"/>
              </w:rPr>
              <w:t>-</w:t>
            </w:r>
          </w:p>
        </w:tc>
        <w:tc>
          <w:tcPr>
            <w:tcW w:w="960" w:type="dxa"/>
          </w:tcPr>
          <w:p>
            <w:pPr>
              <w:pStyle w:val="TableParagraph"/>
              <w:spacing w:before="28"/>
              <w:ind w:left="9" w:right="4"/>
              <w:jc w:val="center"/>
              <w:rPr>
                <w:sz w:val="22"/>
              </w:rPr>
            </w:pPr>
            <w:r>
              <w:rPr>
                <w:spacing w:val="-10"/>
                <w:sz w:val="22"/>
              </w:rPr>
              <w:t>-</w:t>
            </w:r>
          </w:p>
        </w:tc>
        <w:tc>
          <w:tcPr>
            <w:tcW w:w="1210" w:type="dxa"/>
          </w:tcPr>
          <w:p>
            <w:pPr>
              <w:pStyle w:val="TableParagraph"/>
              <w:spacing w:before="28"/>
              <w:ind w:left="11" w:right="6"/>
              <w:jc w:val="center"/>
              <w:rPr>
                <w:sz w:val="22"/>
              </w:rPr>
            </w:pPr>
            <w:r>
              <w:rPr>
                <w:spacing w:val="-10"/>
                <w:sz w:val="22"/>
              </w:rPr>
              <w:t>-</w:t>
            </w:r>
          </w:p>
        </w:tc>
      </w:tr>
      <w:tr>
        <w:trPr>
          <w:trHeight w:val="254" w:hRule="atLeast"/>
        </w:trPr>
        <w:tc>
          <w:tcPr>
            <w:tcW w:w="1548" w:type="dxa"/>
          </w:tcPr>
          <w:p>
            <w:pPr>
              <w:pStyle w:val="TableParagraph"/>
              <w:spacing w:line="234" w:lineRule="exact"/>
              <w:ind w:left="14"/>
              <w:jc w:val="center"/>
              <w:rPr>
                <w:sz w:val="22"/>
              </w:rPr>
            </w:pPr>
            <w:r>
              <w:rPr>
                <w:spacing w:val="-2"/>
                <w:sz w:val="22"/>
              </w:rPr>
              <w:t>8419.40.00.90</w:t>
            </w:r>
          </w:p>
        </w:tc>
        <w:tc>
          <w:tcPr>
            <w:tcW w:w="1119" w:type="dxa"/>
          </w:tcPr>
          <w:p>
            <w:pPr>
              <w:pStyle w:val="TableParagraph"/>
              <w:spacing w:line="234" w:lineRule="exact"/>
              <w:ind w:left="11" w:right="6"/>
              <w:jc w:val="center"/>
              <w:rPr>
                <w:sz w:val="22"/>
              </w:rPr>
            </w:pPr>
            <w:r>
              <w:rPr>
                <w:spacing w:val="-10"/>
                <w:sz w:val="22"/>
              </w:rPr>
              <w:t>-</w:t>
            </w:r>
          </w:p>
        </w:tc>
        <w:tc>
          <w:tcPr>
            <w:tcW w:w="960" w:type="dxa"/>
          </w:tcPr>
          <w:p>
            <w:pPr>
              <w:pStyle w:val="TableParagraph"/>
              <w:spacing w:line="234" w:lineRule="exact"/>
              <w:ind w:left="9" w:right="4"/>
              <w:jc w:val="center"/>
              <w:rPr>
                <w:sz w:val="22"/>
              </w:rPr>
            </w:pPr>
            <w:r>
              <w:rPr>
                <w:spacing w:val="-10"/>
                <w:sz w:val="22"/>
              </w:rPr>
              <w:t>-</w:t>
            </w:r>
          </w:p>
        </w:tc>
        <w:tc>
          <w:tcPr>
            <w:tcW w:w="1210" w:type="dxa"/>
          </w:tcPr>
          <w:p>
            <w:pPr>
              <w:pStyle w:val="TableParagraph"/>
              <w:spacing w:line="234" w:lineRule="exact"/>
              <w:ind w:left="11" w:right="6"/>
              <w:jc w:val="center"/>
              <w:rPr>
                <w:sz w:val="22"/>
              </w:rPr>
            </w:pPr>
            <w:r>
              <w:rPr>
                <w:spacing w:val="-10"/>
                <w:sz w:val="22"/>
              </w:rPr>
              <w:t>-</w:t>
            </w:r>
          </w:p>
        </w:tc>
      </w:tr>
      <w:tr>
        <w:trPr>
          <w:trHeight w:val="251" w:hRule="atLeast"/>
        </w:trPr>
        <w:tc>
          <w:tcPr>
            <w:tcW w:w="1548" w:type="dxa"/>
          </w:tcPr>
          <w:p>
            <w:pPr>
              <w:pStyle w:val="TableParagraph"/>
              <w:spacing w:line="232" w:lineRule="exact"/>
              <w:ind w:left="14"/>
              <w:jc w:val="center"/>
              <w:rPr>
                <w:sz w:val="22"/>
              </w:rPr>
            </w:pPr>
            <w:r>
              <w:rPr>
                <w:spacing w:val="-2"/>
                <w:sz w:val="22"/>
              </w:rPr>
              <w:t>8413.81.90.90</w:t>
            </w:r>
          </w:p>
        </w:tc>
        <w:tc>
          <w:tcPr>
            <w:tcW w:w="1119" w:type="dxa"/>
          </w:tcPr>
          <w:p>
            <w:pPr>
              <w:pStyle w:val="TableParagraph"/>
              <w:spacing w:line="232" w:lineRule="exact"/>
              <w:ind w:left="11" w:right="6"/>
              <w:jc w:val="center"/>
              <w:rPr>
                <w:sz w:val="22"/>
              </w:rPr>
            </w:pPr>
            <w:r>
              <w:rPr>
                <w:spacing w:val="-10"/>
                <w:sz w:val="22"/>
              </w:rPr>
              <w:t>-</w:t>
            </w:r>
          </w:p>
        </w:tc>
        <w:tc>
          <w:tcPr>
            <w:tcW w:w="960" w:type="dxa"/>
          </w:tcPr>
          <w:p>
            <w:pPr>
              <w:pStyle w:val="TableParagraph"/>
              <w:spacing w:line="232" w:lineRule="exact"/>
              <w:ind w:left="9" w:right="4"/>
              <w:jc w:val="center"/>
              <w:rPr>
                <w:sz w:val="22"/>
              </w:rPr>
            </w:pPr>
            <w:r>
              <w:rPr>
                <w:spacing w:val="-10"/>
                <w:sz w:val="22"/>
              </w:rPr>
              <w:t>-</w:t>
            </w:r>
          </w:p>
        </w:tc>
        <w:tc>
          <w:tcPr>
            <w:tcW w:w="1210" w:type="dxa"/>
          </w:tcPr>
          <w:p>
            <w:pPr>
              <w:pStyle w:val="TableParagraph"/>
              <w:spacing w:line="232" w:lineRule="exact"/>
              <w:ind w:left="11" w:right="6"/>
              <w:jc w:val="center"/>
              <w:rPr>
                <w:sz w:val="22"/>
              </w:rPr>
            </w:pPr>
            <w:r>
              <w:rPr>
                <w:spacing w:val="-10"/>
                <w:sz w:val="22"/>
              </w:rPr>
              <w:t>-</w:t>
            </w:r>
          </w:p>
        </w:tc>
      </w:tr>
      <w:tr>
        <w:trPr>
          <w:trHeight w:val="254" w:hRule="atLeast"/>
        </w:trPr>
        <w:tc>
          <w:tcPr>
            <w:tcW w:w="1548" w:type="dxa"/>
          </w:tcPr>
          <w:p>
            <w:pPr>
              <w:pStyle w:val="TableParagraph"/>
              <w:spacing w:line="232" w:lineRule="exact" w:before="2"/>
              <w:ind w:left="14"/>
              <w:jc w:val="center"/>
              <w:rPr>
                <w:sz w:val="22"/>
              </w:rPr>
            </w:pPr>
            <w:r>
              <w:rPr>
                <w:spacing w:val="-2"/>
                <w:sz w:val="22"/>
              </w:rPr>
              <w:t>7310.10.00.00</w:t>
            </w:r>
          </w:p>
        </w:tc>
        <w:tc>
          <w:tcPr>
            <w:tcW w:w="1119" w:type="dxa"/>
          </w:tcPr>
          <w:p>
            <w:pPr>
              <w:pStyle w:val="TableParagraph"/>
              <w:spacing w:line="232" w:lineRule="exact" w:before="2"/>
              <w:ind w:left="11" w:right="6"/>
              <w:jc w:val="center"/>
              <w:rPr>
                <w:sz w:val="22"/>
              </w:rPr>
            </w:pPr>
            <w:r>
              <w:rPr>
                <w:spacing w:val="-10"/>
                <w:sz w:val="22"/>
              </w:rPr>
              <w:t>-</w:t>
            </w:r>
          </w:p>
        </w:tc>
        <w:tc>
          <w:tcPr>
            <w:tcW w:w="960" w:type="dxa"/>
          </w:tcPr>
          <w:p>
            <w:pPr>
              <w:pStyle w:val="TableParagraph"/>
              <w:spacing w:line="232" w:lineRule="exact" w:before="2"/>
              <w:ind w:left="9" w:right="4"/>
              <w:jc w:val="center"/>
              <w:rPr>
                <w:sz w:val="22"/>
              </w:rPr>
            </w:pPr>
            <w:r>
              <w:rPr>
                <w:spacing w:val="-10"/>
                <w:sz w:val="22"/>
              </w:rPr>
              <w:t>-</w:t>
            </w:r>
          </w:p>
        </w:tc>
        <w:tc>
          <w:tcPr>
            <w:tcW w:w="1210" w:type="dxa"/>
          </w:tcPr>
          <w:p>
            <w:pPr>
              <w:pStyle w:val="TableParagraph"/>
              <w:spacing w:line="232" w:lineRule="exact" w:before="2"/>
              <w:ind w:left="11" w:right="6"/>
              <w:jc w:val="center"/>
              <w:rPr>
                <w:sz w:val="22"/>
              </w:rPr>
            </w:pPr>
            <w:r>
              <w:rPr>
                <w:spacing w:val="-10"/>
                <w:sz w:val="22"/>
              </w:rPr>
              <w:t>-</w:t>
            </w:r>
          </w:p>
        </w:tc>
      </w:tr>
      <w:tr>
        <w:trPr>
          <w:trHeight w:val="253" w:hRule="atLeast"/>
        </w:trPr>
        <w:tc>
          <w:tcPr>
            <w:tcW w:w="1548" w:type="dxa"/>
          </w:tcPr>
          <w:p>
            <w:pPr>
              <w:pStyle w:val="TableParagraph"/>
              <w:spacing w:line="234" w:lineRule="exact"/>
              <w:ind w:left="14"/>
              <w:jc w:val="center"/>
              <w:rPr>
                <w:sz w:val="22"/>
              </w:rPr>
            </w:pPr>
            <w:r>
              <w:rPr>
                <w:spacing w:val="-2"/>
                <w:sz w:val="22"/>
              </w:rPr>
              <w:t>3907.29.20.00</w:t>
            </w:r>
          </w:p>
        </w:tc>
        <w:tc>
          <w:tcPr>
            <w:tcW w:w="1119" w:type="dxa"/>
          </w:tcPr>
          <w:p>
            <w:pPr>
              <w:pStyle w:val="TableParagraph"/>
              <w:spacing w:line="234" w:lineRule="exact"/>
              <w:ind w:left="11" w:right="6"/>
              <w:jc w:val="center"/>
              <w:rPr>
                <w:sz w:val="22"/>
              </w:rPr>
            </w:pPr>
            <w:r>
              <w:rPr>
                <w:spacing w:val="-10"/>
                <w:sz w:val="22"/>
              </w:rPr>
              <w:t>-</w:t>
            </w:r>
          </w:p>
        </w:tc>
        <w:tc>
          <w:tcPr>
            <w:tcW w:w="960" w:type="dxa"/>
          </w:tcPr>
          <w:p>
            <w:pPr>
              <w:pStyle w:val="TableParagraph"/>
              <w:spacing w:line="234" w:lineRule="exact"/>
              <w:ind w:left="9" w:right="4"/>
              <w:jc w:val="center"/>
              <w:rPr>
                <w:sz w:val="22"/>
              </w:rPr>
            </w:pPr>
            <w:r>
              <w:rPr>
                <w:spacing w:val="-10"/>
                <w:sz w:val="22"/>
              </w:rPr>
              <w:t>-</w:t>
            </w:r>
          </w:p>
        </w:tc>
        <w:tc>
          <w:tcPr>
            <w:tcW w:w="1210" w:type="dxa"/>
          </w:tcPr>
          <w:p>
            <w:pPr>
              <w:pStyle w:val="TableParagraph"/>
              <w:spacing w:line="234" w:lineRule="exact"/>
              <w:ind w:left="11" w:right="6"/>
              <w:jc w:val="center"/>
              <w:rPr>
                <w:sz w:val="22"/>
              </w:rPr>
            </w:pPr>
            <w:r>
              <w:rPr>
                <w:spacing w:val="-10"/>
                <w:sz w:val="22"/>
              </w:rPr>
              <w:t>-</w:t>
            </w:r>
          </w:p>
        </w:tc>
      </w:tr>
      <w:tr>
        <w:trPr>
          <w:trHeight w:val="251" w:hRule="atLeast"/>
        </w:trPr>
        <w:tc>
          <w:tcPr>
            <w:tcW w:w="1548" w:type="dxa"/>
          </w:tcPr>
          <w:p>
            <w:pPr>
              <w:pStyle w:val="TableParagraph"/>
              <w:spacing w:line="232" w:lineRule="exact"/>
              <w:ind w:left="14"/>
              <w:jc w:val="center"/>
              <w:rPr>
                <w:sz w:val="22"/>
              </w:rPr>
            </w:pPr>
            <w:r>
              <w:rPr>
                <w:spacing w:val="-2"/>
                <w:sz w:val="22"/>
              </w:rPr>
              <w:t>2710.19.35.90</w:t>
            </w:r>
          </w:p>
        </w:tc>
        <w:tc>
          <w:tcPr>
            <w:tcW w:w="1119" w:type="dxa"/>
          </w:tcPr>
          <w:p>
            <w:pPr>
              <w:pStyle w:val="TableParagraph"/>
              <w:spacing w:line="232" w:lineRule="exact"/>
              <w:ind w:left="11" w:right="6"/>
              <w:jc w:val="center"/>
              <w:rPr>
                <w:sz w:val="22"/>
              </w:rPr>
            </w:pPr>
            <w:r>
              <w:rPr>
                <w:spacing w:val="-10"/>
                <w:sz w:val="22"/>
              </w:rPr>
              <w:t>-</w:t>
            </w:r>
          </w:p>
        </w:tc>
        <w:tc>
          <w:tcPr>
            <w:tcW w:w="960" w:type="dxa"/>
          </w:tcPr>
          <w:p>
            <w:pPr>
              <w:pStyle w:val="TableParagraph"/>
              <w:spacing w:line="232" w:lineRule="exact"/>
              <w:ind w:left="9" w:right="4"/>
              <w:jc w:val="center"/>
              <w:rPr>
                <w:sz w:val="22"/>
              </w:rPr>
            </w:pPr>
            <w:r>
              <w:rPr>
                <w:spacing w:val="-10"/>
                <w:sz w:val="22"/>
              </w:rPr>
              <w:t>-</w:t>
            </w:r>
          </w:p>
        </w:tc>
        <w:tc>
          <w:tcPr>
            <w:tcW w:w="1210" w:type="dxa"/>
          </w:tcPr>
          <w:p>
            <w:pPr>
              <w:pStyle w:val="TableParagraph"/>
              <w:spacing w:line="232" w:lineRule="exact"/>
              <w:ind w:left="11" w:right="6"/>
              <w:jc w:val="center"/>
              <w:rPr>
                <w:sz w:val="22"/>
              </w:rPr>
            </w:pPr>
            <w:r>
              <w:rPr>
                <w:spacing w:val="-10"/>
                <w:sz w:val="22"/>
              </w:rPr>
              <w:t>-</w:t>
            </w:r>
          </w:p>
        </w:tc>
      </w:tr>
    </w:tbl>
    <w:p>
      <w:pPr>
        <w:spacing w:before="5"/>
        <w:ind w:left="2553" w:right="2686" w:firstLine="0"/>
        <w:jc w:val="left"/>
        <w:rPr>
          <w:sz w:val="18"/>
        </w:rPr>
      </w:pPr>
      <w:r>
        <w:rPr>
          <w:sz w:val="18"/>
        </w:rPr>
        <w:t>Fuente:</w:t>
      </w:r>
      <w:r>
        <w:rPr>
          <w:spacing w:val="-13"/>
          <w:sz w:val="18"/>
        </w:rPr>
        <w:t> </w:t>
      </w:r>
      <w:r>
        <w:rPr>
          <w:sz w:val="18"/>
        </w:rPr>
        <w:t>En</w:t>
      </w:r>
      <w:r>
        <w:rPr>
          <w:spacing w:val="-12"/>
          <w:sz w:val="18"/>
        </w:rPr>
        <w:t> </w:t>
      </w:r>
      <w:r>
        <w:rPr>
          <w:sz w:val="18"/>
        </w:rPr>
        <w:t>base</w:t>
      </w:r>
      <w:r>
        <w:rPr>
          <w:spacing w:val="-13"/>
          <w:sz w:val="18"/>
        </w:rPr>
        <w:t> </w:t>
      </w:r>
      <w:r>
        <w:rPr>
          <w:sz w:val="18"/>
        </w:rPr>
        <w:t>a</w:t>
      </w:r>
      <w:r>
        <w:rPr>
          <w:spacing w:val="-12"/>
          <w:sz w:val="18"/>
        </w:rPr>
        <w:t> </w:t>
      </w:r>
      <w:r>
        <w:rPr>
          <w:sz w:val="18"/>
        </w:rPr>
        <w:t>datos</w:t>
      </w:r>
      <w:r>
        <w:rPr>
          <w:spacing w:val="-11"/>
          <w:sz w:val="18"/>
        </w:rPr>
        <w:t> </w:t>
      </w:r>
      <w:r>
        <w:rPr>
          <w:sz w:val="18"/>
        </w:rPr>
        <w:t>proporcionados</w:t>
      </w:r>
      <w:r>
        <w:rPr>
          <w:spacing w:val="-11"/>
          <w:sz w:val="18"/>
        </w:rPr>
        <w:t> </w:t>
      </w:r>
      <w:r>
        <w:rPr>
          <w:sz w:val="18"/>
        </w:rPr>
        <w:t>por</w:t>
      </w:r>
      <w:r>
        <w:rPr>
          <w:spacing w:val="-12"/>
          <w:sz w:val="18"/>
        </w:rPr>
        <w:t> </w:t>
      </w:r>
      <w:r>
        <w:rPr>
          <w:sz w:val="18"/>
        </w:rPr>
        <w:t>el</w:t>
      </w:r>
      <w:r>
        <w:rPr>
          <w:spacing w:val="-12"/>
          <w:sz w:val="18"/>
        </w:rPr>
        <w:t> </w:t>
      </w:r>
      <w:r>
        <w:rPr>
          <w:sz w:val="18"/>
        </w:rPr>
        <w:t>Viceministerio</w:t>
      </w:r>
      <w:r>
        <w:rPr>
          <w:spacing w:val="-13"/>
          <w:sz w:val="18"/>
        </w:rPr>
        <w:t> </w:t>
      </w:r>
      <w:r>
        <w:rPr>
          <w:sz w:val="18"/>
        </w:rPr>
        <w:t>de Comercio Exterior de la República del Ecuador.</w:t>
      </w:r>
    </w:p>
    <w:p>
      <w:pPr>
        <w:spacing w:before="1"/>
        <w:ind w:left="2553" w:right="0" w:firstLine="0"/>
        <w:jc w:val="left"/>
        <w:rPr>
          <w:sz w:val="18"/>
        </w:rPr>
      </w:pPr>
      <w:r>
        <w:rPr>
          <w:sz w:val="18"/>
        </w:rPr>
        <w:t>Elaboración:</w:t>
      </w:r>
      <w:r>
        <w:rPr>
          <w:spacing w:val="-7"/>
          <w:sz w:val="18"/>
        </w:rPr>
        <w:t> </w:t>
      </w:r>
      <w:r>
        <w:rPr>
          <w:spacing w:val="-2"/>
          <w:sz w:val="18"/>
        </w:rPr>
        <w:t>SGCAN.</w:t>
      </w:r>
    </w:p>
    <w:p>
      <w:pPr>
        <w:pStyle w:val="BodyText"/>
        <w:spacing w:before="45"/>
        <w:rPr>
          <w:sz w:val="18"/>
        </w:rPr>
      </w:pPr>
    </w:p>
    <w:p>
      <w:pPr>
        <w:pStyle w:val="ListParagraph"/>
        <w:numPr>
          <w:ilvl w:val="0"/>
          <w:numId w:val="2"/>
        </w:numPr>
        <w:tabs>
          <w:tab w:pos="1416" w:val="left" w:leader="none"/>
          <w:tab w:pos="1420" w:val="left" w:leader="none"/>
        </w:tabs>
        <w:spacing w:line="240" w:lineRule="auto" w:before="0" w:after="0"/>
        <w:ind w:left="1420" w:right="975" w:hanging="852"/>
        <w:jc w:val="both"/>
        <w:rPr>
          <w:sz w:val="22"/>
        </w:rPr>
      </w:pPr>
      <w:r>
        <w:rPr>
          <w:sz w:val="22"/>
        </w:rPr>
        <w:t>Como</w:t>
      </w:r>
      <w:r>
        <w:rPr>
          <w:spacing w:val="-14"/>
          <w:sz w:val="22"/>
        </w:rPr>
        <w:t> </w:t>
      </w:r>
      <w:r>
        <w:rPr>
          <w:sz w:val="22"/>
        </w:rPr>
        <w:t>se</w:t>
      </w:r>
      <w:r>
        <w:rPr>
          <w:spacing w:val="-14"/>
          <w:sz w:val="22"/>
        </w:rPr>
        <w:t> </w:t>
      </w:r>
      <w:r>
        <w:rPr>
          <w:sz w:val="22"/>
        </w:rPr>
        <w:t>puede</w:t>
      </w:r>
      <w:r>
        <w:rPr>
          <w:spacing w:val="-14"/>
          <w:sz w:val="22"/>
        </w:rPr>
        <w:t> </w:t>
      </w:r>
      <w:r>
        <w:rPr>
          <w:sz w:val="22"/>
        </w:rPr>
        <w:t>apreciar,</w:t>
      </w:r>
      <w:r>
        <w:rPr>
          <w:spacing w:val="-15"/>
          <w:sz w:val="22"/>
        </w:rPr>
        <w:t> </w:t>
      </w:r>
      <w:r>
        <w:rPr>
          <w:sz w:val="22"/>
        </w:rPr>
        <w:t>la</w:t>
      </w:r>
      <w:r>
        <w:rPr>
          <w:spacing w:val="-14"/>
          <w:sz w:val="22"/>
        </w:rPr>
        <w:t> </w:t>
      </w:r>
      <w:r>
        <w:rPr>
          <w:sz w:val="22"/>
        </w:rPr>
        <w:t>Tabla</w:t>
      </w:r>
      <w:r>
        <w:rPr>
          <w:spacing w:val="-14"/>
          <w:sz w:val="22"/>
        </w:rPr>
        <w:t> </w:t>
      </w:r>
      <w:r>
        <w:rPr>
          <w:sz w:val="22"/>
        </w:rPr>
        <w:t>N°.4</w:t>
      </w:r>
      <w:r>
        <w:rPr>
          <w:spacing w:val="-13"/>
          <w:sz w:val="22"/>
        </w:rPr>
        <w:t> </w:t>
      </w:r>
      <w:r>
        <w:rPr>
          <w:sz w:val="22"/>
        </w:rPr>
        <w:t>presenta</w:t>
      </w:r>
      <w:r>
        <w:rPr>
          <w:spacing w:val="-14"/>
          <w:sz w:val="22"/>
        </w:rPr>
        <w:t> </w:t>
      </w:r>
      <w:r>
        <w:rPr>
          <w:sz w:val="22"/>
        </w:rPr>
        <w:t>el</w:t>
      </w:r>
      <w:r>
        <w:rPr>
          <w:spacing w:val="-16"/>
          <w:sz w:val="22"/>
        </w:rPr>
        <w:t> </w:t>
      </w:r>
      <w:r>
        <w:rPr>
          <w:sz w:val="22"/>
        </w:rPr>
        <w:t>comportamiento</w:t>
      </w:r>
      <w:r>
        <w:rPr>
          <w:spacing w:val="-13"/>
          <w:sz w:val="22"/>
        </w:rPr>
        <w:t> </w:t>
      </w:r>
      <w:r>
        <w:rPr>
          <w:sz w:val="22"/>
        </w:rPr>
        <w:t>de</w:t>
      </w:r>
      <w:r>
        <w:rPr>
          <w:spacing w:val="-14"/>
          <w:sz w:val="22"/>
        </w:rPr>
        <w:t> </w:t>
      </w:r>
      <w:r>
        <w:rPr>
          <w:sz w:val="22"/>
        </w:rPr>
        <w:t>las</w:t>
      </w:r>
      <w:r>
        <w:rPr>
          <w:spacing w:val="-13"/>
          <w:sz w:val="22"/>
        </w:rPr>
        <w:t> </w:t>
      </w:r>
      <w:r>
        <w:rPr>
          <w:sz w:val="22"/>
        </w:rPr>
        <w:t>principales subpartidas arancelarias que habiendo registrado ingresos a través del paso fronterizo</w:t>
      </w:r>
      <w:r>
        <w:rPr>
          <w:spacing w:val="-16"/>
          <w:sz w:val="22"/>
        </w:rPr>
        <w:t> </w:t>
      </w:r>
      <w:r>
        <w:rPr>
          <w:sz w:val="22"/>
        </w:rPr>
        <w:t>CEBAF</w:t>
      </w:r>
      <w:r>
        <w:rPr>
          <w:spacing w:val="-15"/>
          <w:sz w:val="22"/>
        </w:rPr>
        <w:t> </w:t>
      </w:r>
      <w:r>
        <w:rPr>
          <w:sz w:val="22"/>
        </w:rPr>
        <w:t>San</w:t>
      </w:r>
      <w:r>
        <w:rPr>
          <w:spacing w:val="-15"/>
          <w:sz w:val="22"/>
        </w:rPr>
        <w:t> </w:t>
      </w:r>
      <w:r>
        <w:rPr>
          <w:sz w:val="22"/>
        </w:rPr>
        <w:t>Miguel</w:t>
      </w:r>
      <w:r>
        <w:rPr>
          <w:spacing w:val="-16"/>
          <w:sz w:val="22"/>
        </w:rPr>
        <w:t> </w:t>
      </w:r>
      <w:r>
        <w:rPr>
          <w:sz w:val="22"/>
        </w:rPr>
        <w:t>durante</w:t>
      </w:r>
      <w:r>
        <w:rPr>
          <w:spacing w:val="-15"/>
          <w:sz w:val="22"/>
        </w:rPr>
        <w:t> </w:t>
      </w:r>
      <w:r>
        <w:rPr>
          <w:sz w:val="22"/>
        </w:rPr>
        <w:t>el</w:t>
      </w:r>
      <w:r>
        <w:rPr>
          <w:spacing w:val="-15"/>
          <w:sz w:val="22"/>
        </w:rPr>
        <w:t> </w:t>
      </w:r>
      <w:r>
        <w:rPr>
          <w:sz w:val="22"/>
        </w:rPr>
        <w:t>periodo</w:t>
      </w:r>
      <w:r>
        <w:rPr>
          <w:spacing w:val="-15"/>
          <w:sz w:val="22"/>
        </w:rPr>
        <w:t> </w:t>
      </w:r>
      <w:r>
        <w:rPr>
          <w:sz w:val="22"/>
        </w:rPr>
        <w:t>2024–2025,</w:t>
      </w:r>
      <w:r>
        <w:rPr>
          <w:spacing w:val="-16"/>
          <w:sz w:val="22"/>
        </w:rPr>
        <w:t> </w:t>
      </w:r>
      <w:r>
        <w:rPr>
          <w:sz w:val="22"/>
        </w:rPr>
        <w:t>fueron</w:t>
      </w:r>
      <w:r>
        <w:rPr>
          <w:spacing w:val="-15"/>
          <w:sz w:val="22"/>
        </w:rPr>
        <w:t> </w:t>
      </w:r>
      <w:r>
        <w:rPr>
          <w:sz w:val="22"/>
        </w:rPr>
        <w:t>contrastadas</w:t>
      </w:r>
      <w:r>
        <w:rPr>
          <w:spacing w:val="-15"/>
          <w:sz w:val="22"/>
        </w:rPr>
        <w:t> </w:t>
      </w:r>
      <w:r>
        <w:rPr>
          <w:sz w:val="22"/>
        </w:rPr>
        <w:t>con los</w:t>
      </w:r>
      <w:r>
        <w:rPr>
          <w:spacing w:val="-7"/>
          <w:sz w:val="22"/>
        </w:rPr>
        <w:t> </w:t>
      </w:r>
      <w:r>
        <w:rPr>
          <w:sz w:val="22"/>
        </w:rPr>
        <w:t>registros</w:t>
      </w:r>
      <w:r>
        <w:rPr>
          <w:spacing w:val="-7"/>
          <w:sz w:val="22"/>
        </w:rPr>
        <w:t> </w:t>
      </w:r>
      <w:r>
        <w:rPr>
          <w:sz w:val="22"/>
        </w:rPr>
        <w:t>de</w:t>
      </w:r>
      <w:r>
        <w:rPr>
          <w:spacing w:val="-7"/>
          <w:sz w:val="22"/>
        </w:rPr>
        <w:t> </w:t>
      </w:r>
      <w:r>
        <w:rPr>
          <w:sz w:val="22"/>
        </w:rPr>
        <w:t>importación</w:t>
      </w:r>
      <w:r>
        <w:rPr>
          <w:spacing w:val="-7"/>
          <w:sz w:val="22"/>
        </w:rPr>
        <w:t> </w:t>
      </w:r>
      <w:r>
        <w:rPr>
          <w:sz w:val="22"/>
        </w:rPr>
        <w:t>por</w:t>
      </w:r>
      <w:r>
        <w:rPr>
          <w:spacing w:val="-6"/>
          <w:sz w:val="22"/>
        </w:rPr>
        <w:t> </w:t>
      </w:r>
      <w:r>
        <w:rPr>
          <w:sz w:val="22"/>
        </w:rPr>
        <w:t>el</w:t>
      </w:r>
      <w:r>
        <w:rPr>
          <w:spacing w:val="-7"/>
          <w:sz w:val="22"/>
        </w:rPr>
        <w:t> </w:t>
      </w:r>
      <w:r>
        <w:rPr>
          <w:sz w:val="22"/>
        </w:rPr>
        <w:t>paso</w:t>
      </w:r>
      <w:r>
        <w:rPr>
          <w:spacing w:val="-7"/>
          <w:sz w:val="22"/>
        </w:rPr>
        <w:t> </w:t>
      </w:r>
      <w:r>
        <w:rPr>
          <w:sz w:val="22"/>
        </w:rPr>
        <w:t>internacional</w:t>
      </w:r>
      <w:r>
        <w:rPr>
          <w:spacing w:val="-7"/>
          <w:sz w:val="22"/>
        </w:rPr>
        <w:t> </w:t>
      </w:r>
      <w:r>
        <w:rPr>
          <w:sz w:val="22"/>
        </w:rPr>
        <w:t>de</w:t>
      </w:r>
      <w:r>
        <w:rPr>
          <w:spacing w:val="-7"/>
          <w:sz w:val="22"/>
        </w:rPr>
        <w:t> </w:t>
      </w:r>
      <w:r>
        <w:rPr>
          <w:sz w:val="22"/>
        </w:rPr>
        <w:t>Rumichaca</w:t>
      </w:r>
      <w:r>
        <w:rPr>
          <w:spacing w:val="-7"/>
          <w:sz w:val="22"/>
        </w:rPr>
        <w:t> </w:t>
      </w:r>
      <w:r>
        <w:rPr>
          <w:sz w:val="22"/>
        </w:rPr>
        <w:t>en</w:t>
      </w:r>
      <w:r>
        <w:rPr>
          <w:spacing w:val="-9"/>
          <w:sz w:val="22"/>
        </w:rPr>
        <w:t> </w:t>
      </w:r>
      <w:r>
        <w:rPr>
          <w:sz w:val="22"/>
        </w:rPr>
        <w:t>los</w:t>
      </w:r>
      <w:r>
        <w:rPr>
          <w:spacing w:val="-9"/>
          <w:sz w:val="22"/>
        </w:rPr>
        <w:t> </w:t>
      </w:r>
      <w:r>
        <w:rPr>
          <w:sz w:val="22"/>
        </w:rPr>
        <w:t>meses</w:t>
      </w:r>
      <w:r>
        <w:rPr>
          <w:spacing w:val="-7"/>
          <w:sz w:val="22"/>
        </w:rPr>
        <w:t> </w:t>
      </w:r>
      <w:r>
        <w:rPr>
          <w:sz w:val="22"/>
        </w:rPr>
        <w:t>de enero y febrero de 2026.</w:t>
      </w:r>
    </w:p>
    <w:p>
      <w:pPr>
        <w:pStyle w:val="BodyText"/>
        <w:spacing w:before="2"/>
      </w:pPr>
    </w:p>
    <w:p>
      <w:pPr>
        <w:pStyle w:val="ListParagraph"/>
        <w:numPr>
          <w:ilvl w:val="0"/>
          <w:numId w:val="2"/>
        </w:numPr>
        <w:tabs>
          <w:tab w:pos="1416" w:val="left" w:leader="none"/>
          <w:tab w:pos="1420" w:val="left" w:leader="none"/>
        </w:tabs>
        <w:spacing w:line="240" w:lineRule="auto" w:before="0" w:after="0"/>
        <w:ind w:left="1420" w:right="978" w:hanging="852"/>
        <w:jc w:val="both"/>
        <w:rPr>
          <w:sz w:val="22"/>
        </w:rPr>
      </w:pPr>
      <w:r>
        <w:rPr>
          <w:sz w:val="22"/>
        </w:rPr>
        <w:t>De</w:t>
      </w:r>
      <w:r>
        <w:rPr>
          <w:spacing w:val="-7"/>
          <w:sz w:val="22"/>
        </w:rPr>
        <w:t> </w:t>
      </w:r>
      <w:r>
        <w:rPr>
          <w:sz w:val="22"/>
        </w:rPr>
        <w:t>este</w:t>
      </w:r>
      <w:r>
        <w:rPr>
          <w:spacing w:val="-7"/>
          <w:sz w:val="22"/>
        </w:rPr>
        <w:t> </w:t>
      </w:r>
      <w:r>
        <w:rPr>
          <w:sz w:val="22"/>
        </w:rPr>
        <w:t>análisis,</w:t>
      </w:r>
      <w:r>
        <w:rPr>
          <w:spacing w:val="-6"/>
          <w:sz w:val="22"/>
        </w:rPr>
        <w:t> </w:t>
      </w:r>
      <w:r>
        <w:rPr>
          <w:sz w:val="22"/>
        </w:rPr>
        <w:t>se</w:t>
      </w:r>
      <w:r>
        <w:rPr>
          <w:spacing w:val="-7"/>
          <w:sz w:val="22"/>
        </w:rPr>
        <w:t> </w:t>
      </w:r>
      <w:r>
        <w:rPr>
          <w:sz w:val="22"/>
        </w:rPr>
        <w:t>observa</w:t>
      </w:r>
      <w:r>
        <w:rPr>
          <w:spacing w:val="-7"/>
          <w:sz w:val="22"/>
        </w:rPr>
        <w:t> </w:t>
      </w:r>
      <w:r>
        <w:rPr>
          <w:sz w:val="22"/>
        </w:rPr>
        <w:t>que</w:t>
      </w:r>
      <w:r>
        <w:rPr>
          <w:spacing w:val="-7"/>
          <w:sz w:val="22"/>
        </w:rPr>
        <w:t> </w:t>
      </w:r>
      <w:r>
        <w:rPr>
          <w:sz w:val="22"/>
        </w:rPr>
        <w:t>únicamente</w:t>
      </w:r>
      <w:r>
        <w:rPr>
          <w:spacing w:val="-7"/>
          <w:sz w:val="22"/>
        </w:rPr>
        <w:t> </w:t>
      </w:r>
      <w:r>
        <w:rPr>
          <w:sz w:val="22"/>
        </w:rPr>
        <w:t>un</w:t>
      </w:r>
      <w:r>
        <w:rPr>
          <w:spacing w:val="-8"/>
          <w:sz w:val="22"/>
        </w:rPr>
        <w:t> </w:t>
      </w:r>
      <w:r>
        <w:rPr>
          <w:sz w:val="22"/>
        </w:rPr>
        <w:t>grupo</w:t>
      </w:r>
      <w:r>
        <w:rPr>
          <w:spacing w:val="-7"/>
          <w:sz w:val="22"/>
        </w:rPr>
        <w:t> </w:t>
      </w:r>
      <w:r>
        <w:rPr>
          <w:sz w:val="22"/>
        </w:rPr>
        <w:t>reducido</w:t>
      </w:r>
      <w:r>
        <w:rPr>
          <w:spacing w:val="-8"/>
          <w:sz w:val="22"/>
        </w:rPr>
        <w:t> </w:t>
      </w:r>
      <w:r>
        <w:rPr>
          <w:sz w:val="22"/>
        </w:rPr>
        <w:t>de</w:t>
      </w:r>
      <w:r>
        <w:rPr>
          <w:spacing w:val="-8"/>
          <w:sz w:val="22"/>
        </w:rPr>
        <w:t> </w:t>
      </w:r>
      <w:r>
        <w:rPr>
          <w:sz w:val="22"/>
        </w:rPr>
        <w:t>subpartidas</w:t>
      </w:r>
      <w:r>
        <w:rPr>
          <w:spacing w:val="-7"/>
          <w:sz w:val="22"/>
        </w:rPr>
        <w:t> </w:t>
      </w:r>
      <w:r>
        <w:rPr>
          <w:sz w:val="22"/>
        </w:rPr>
        <w:t>logró mantener flujos de importación a través de Rumichaca, destacando las correspondientes a baldosas cerámicas (6907.22.00.90), agentes de superficie orgánicos (3402.31.00.00) y mezclas químicas (3824.99.60.00), las cuales concentran los mayores valores registrados.</w:t>
      </w:r>
    </w:p>
    <w:p>
      <w:pPr>
        <w:pStyle w:val="BodyText"/>
        <w:spacing w:before="1"/>
      </w:pPr>
    </w:p>
    <w:p>
      <w:pPr>
        <w:pStyle w:val="ListParagraph"/>
        <w:numPr>
          <w:ilvl w:val="0"/>
          <w:numId w:val="2"/>
        </w:numPr>
        <w:tabs>
          <w:tab w:pos="1416" w:val="left" w:leader="none"/>
          <w:tab w:pos="1420" w:val="left" w:leader="none"/>
        </w:tabs>
        <w:spacing w:line="259" w:lineRule="auto" w:before="1" w:after="0"/>
        <w:ind w:left="1420" w:right="980" w:hanging="852"/>
        <w:jc w:val="both"/>
        <w:rPr>
          <w:sz w:val="22"/>
        </w:rPr>
      </w:pPr>
      <w:r>
        <w:rPr>
          <w:sz w:val="22"/>
        </w:rPr>
        <w:t>No obstante, el 43% de las principales subpartidas dejó de registrar operaciones de importación en el periodo analizado, incluyendo bienes de capital y componentes industriales, tales como bombas para líquidos, equipos eléctricos, polímeros y derivados del petróleo.</w:t>
      </w:r>
    </w:p>
    <w:p>
      <w:pPr>
        <w:pStyle w:val="ListParagraph"/>
        <w:spacing w:after="0" w:line="259" w:lineRule="auto"/>
        <w:jc w:val="both"/>
        <w:rPr>
          <w:sz w:val="22"/>
        </w:rPr>
        <w:sectPr>
          <w:headerReference w:type="default" r:id="rId30"/>
          <w:footerReference w:type="default" r:id="rId31"/>
          <w:pgSz w:w="11900" w:h="16850"/>
          <w:pgMar w:header="370" w:footer="651" w:top="1380" w:bottom="840" w:left="992" w:right="283"/>
        </w:sectPr>
      </w:pPr>
    </w:p>
    <w:p>
      <w:pPr>
        <w:pStyle w:val="BodyText"/>
        <w:spacing w:before="178"/>
      </w:pPr>
    </w:p>
    <w:p>
      <w:pPr>
        <w:pStyle w:val="ListParagraph"/>
        <w:numPr>
          <w:ilvl w:val="0"/>
          <w:numId w:val="2"/>
        </w:numPr>
        <w:tabs>
          <w:tab w:pos="1416" w:val="left" w:leader="none"/>
          <w:tab w:pos="1420" w:val="left" w:leader="none"/>
        </w:tabs>
        <w:spacing w:line="259" w:lineRule="auto" w:before="1" w:after="0"/>
        <w:ind w:left="1420" w:right="982" w:hanging="852"/>
        <w:jc w:val="both"/>
        <w:rPr>
          <w:sz w:val="22"/>
        </w:rPr>
      </w:pPr>
      <w:r>
        <w:rPr>
          <w:sz w:val="22"/>
        </w:rPr>
        <w:t>Este comportamiento evidencia que la canalización del comercio no implicó una sustitución plena de rutas logísticas, sino que generó una afectación directa en el ingreso de determinadas mercancías.</w:t>
      </w:r>
    </w:p>
    <w:p>
      <w:pPr>
        <w:pStyle w:val="BodyText"/>
        <w:spacing w:before="72"/>
      </w:pPr>
    </w:p>
    <w:p>
      <w:pPr>
        <w:pStyle w:val="Heading6"/>
        <w:numPr>
          <w:ilvl w:val="1"/>
          <w:numId w:val="1"/>
        </w:numPr>
        <w:tabs>
          <w:tab w:pos="1276" w:val="left" w:leader="none"/>
        </w:tabs>
        <w:spacing w:line="240" w:lineRule="auto" w:before="0" w:after="0"/>
        <w:ind w:left="1276" w:right="978" w:hanging="708"/>
        <w:jc w:val="left"/>
      </w:pPr>
      <w:r>
        <w:rPr/>
        <w:t>Sobre</w:t>
      </w:r>
      <w:r>
        <w:rPr>
          <w:spacing w:val="-13"/>
        </w:rPr>
        <w:t> </w:t>
      </w:r>
      <w:r>
        <w:rPr/>
        <w:t>el</w:t>
      </w:r>
      <w:r>
        <w:rPr>
          <w:spacing w:val="-12"/>
        </w:rPr>
        <w:t> </w:t>
      </w:r>
      <w:r>
        <w:rPr/>
        <w:t>Informe</w:t>
      </w:r>
      <w:r>
        <w:rPr>
          <w:spacing w:val="-15"/>
        </w:rPr>
        <w:t> </w:t>
      </w:r>
      <w:r>
        <w:rPr/>
        <w:t>Técnico</w:t>
      </w:r>
      <w:r>
        <w:rPr>
          <w:spacing w:val="-14"/>
        </w:rPr>
        <w:t> </w:t>
      </w:r>
      <w:r>
        <w:rPr/>
        <w:t>CCFFAA-J2-PL-PFNA-2025-112</w:t>
      </w:r>
      <w:r>
        <w:rPr>
          <w:spacing w:val="-13"/>
        </w:rPr>
        <w:t> </w:t>
      </w:r>
      <w:r>
        <w:rPr/>
        <w:t>del</w:t>
      </w:r>
      <w:r>
        <w:rPr>
          <w:spacing w:val="-12"/>
        </w:rPr>
        <w:t> </w:t>
      </w:r>
      <w:r>
        <w:rPr/>
        <w:t>Comando</w:t>
      </w:r>
      <w:r>
        <w:rPr>
          <w:spacing w:val="-14"/>
        </w:rPr>
        <w:t> </w:t>
      </w:r>
      <w:r>
        <w:rPr/>
        <w:t>Conjunto de las Fuerzas Armadas de la República del Ecuador</w:t>
      </w:r>
      <w:hyperlink w:history="true" w:anchor="_bookmark33">
        <w:r>
          <w:rPr>
            <w:vertAlign w:val="superscript"/>
          </w:rPr>
          <w:t>34</w:t>
        </w:r>
      </w:hyperlink>
    </w:p>
    <w:p>
      <w:pPr>
        <w:pStyle w:val="ListParagraph"/>
        <w:numPr>
          <w:ilvl w:val="0"/>
          <w:numId w:val="2"/>
        </w:numPr>
        <w:tabs>
          <w:tab w:pos="1416" w:val="left" w:leader="none"/>
          <w:tab w:pos="1420" w:val="left" w:leader="none"/>
        </w:tabs>
        <w:spacing w:line="240" w:lineRule="auto" w:before="252" w:after="0"/>
        <w:ind w:left="1420" w:right="978" w:hanging="852"/>
        <w:jc w:val="both"/>
        <w:rPr>
          <w:sz w:val="22"/>
        </w:rPr>
      </w:pPr>
      <w:r>
        <w:rPr>
          <w:sz w:val="22"/>
        </w:rPr>
        <w:t>De acuerdo con la información que obra en el expediente, la Nota Verbal Nro. MREMH/MREMH/2025/0020/N se encuentra respaldada y principalmente motivada por</w:t>
      </w:r>
      <w:r>
        <w:rPr>
          <w:spacing w:val="-16"/>
          <w:sz w:val="22"/>
        </w:rPr>
        <w:t> </w:t>
      </w:r>
      <w:r>
        <w:rPr>
          <w:sz w:val="22"/>
        </w:rPr>
        <w:t>el</w:t>
      </w:r>
      <w:r>
        <w:rPr>
          <w:spacing w:val="-15"/>
          <w:sz w:val="22"/>
        </w:rPr>
        <w:t> </w:t>
      </w:r>
      <w:r>
        <w:rPr>
          <w:sz w:val="22"/>
        </w:rPr>
        <w:t>Informe</w:t>
      </w:r>
      <w:r>
        <w:rPr>
          <w:spacing w:val="-15"/>
          <w:sz w:val="22"/>
        </w:rPr>
        <w:t> </w:t>
      </w:r>
      <w:r>
        <w:rPr>
          <w:sz w:val="22"/>
        </w:rPr>
        <w:t>Técnico</w:t>
      </w:r>
      <w:r>
        <w:rPr>
          <w:spacing w:val="-16"/>
          <w:sz w:val="22"/>
        </w:rPr>
        <w:t> </w:t>
      </w:r>
      <w:r>
        <w:rPr>
          <w:sz w:val="22"/>
        </w:rPr>
        <w:t>CCFFAA-J2-PL-PFNA-2025-112</w:t>
      </w:r>
      <w:hyperlink w:history="true" w:anchor="_bookmark34">
        <w:r>
          <w:rPr>
            <w:sz w:val="22"/>
            <w:vertAlign w:val="superscript"/>
          </w:rPr>
          <w:t>35</w:t>
        </w:r>
        <w:r>
          <w:rPr>
            <w:sz w:val="22"/>
            <w:vertAlign w:val="baseline"/>
          </w:rPr>
          <w:t>,</w:t>
        </w:r>
      </w:hyperlink>
      <w:r>
        <w:rPr>
          <w:spacing w:val="-15"/>
          <w:sz w:val="22"/>
          <w:vertAlign w:val="baseline"/>
        </w:rPr>
        <w:t> </w:t>
      </w:r>
      <w:r>
        <w:rPr>
          <w:sz w:val="22"/>
          <w:vertAlign w:val="baseline"/>
        </w:rPr>
        <w:t>elaborado</w:t>
      </w:r>
      <w:r>
        <w:rPr>
          <w:spacing w:val="-15"/>
          <w:sz w:val="22"/>
          <w:vertAlign w:val="baseline"/>
        </w:rPr>
        <w:t> </w:t>
      </w:r>
      <w:r>
        <w:rPr>
          <w:sz w:val="22"/>
          <w:vertAlign w:val="baseline"/>
        </w:rPr>
        <w:t>por</w:t>
      </w:r>
      <w:r>
        <w:rPr>
          <w:spacing w:val="-15"/>
          <w:sz w:val="22"/>
          <w:vertAlign w:val="baseline"/>
        </w:rPr>
        <w:t> </w:t>
      </w:r>
      <w:r>
        <w:rPr>
          <w:sz w:val="22"/>
          <w:vertAlign w:val="baseline"/>
        </w:rPr>
        <w:t>el</w:t>
      </w:r>
      <w:r>
        <w:rPr>
          <w:spacing w:val="-16"/>
          <w:sz w:val="22"/>
          <w:vertAlign w:val="baseline"/>
        </w:rPr>
        <w:t> </w:t>
      </w:r>
      <w:r>
        <w:rPr>
          <w:sz w:val="22"/>
          <w:vertAlign w:val="baseline"/>
        </w:rPr>
        <w:t>Comando Conjunto de las Fuerzas Armadas el 23 de diciembre de 2025.</w:t>
      </w:r>
    </w:p>
    <w:p>
      <w:pPr>
        <w:pStyle w:val="BodyText"/>
        <w:spacing w:before="1"/>
      </w:pPr>
    </w:p>
    <w:p>
      <w:pPr>
        <w:pStyle w:val="ListParagraph"/>
        <w:numPr>
          <w:ilvl w:val="0"/>
          <w:numId w:val="2"/>
        </w:numPr>
        <w:tabs>
          <w:tab w:pos="1416" w:val="left" w:leader="none"/>
          <w:tab w:pos="1420" w:val="left" w:leader="none"/>
        </w:tabs>
        <w:spacing w:line="240" w:lineRule="auto" w:before="0" w:after="0"/>
        <w:ind w:left="1420" w:right="979" w:hanging="852"/>
        <w:jc w:val="both"/>
        <w:rPr>
          <w:sz w:val="22"/>
        </w:rPr>
      </w:pPr>
      <w:r>
        <w:rPr>
          <w:sz w:val="22"/>
        </w:rPr>
        <w:t>El informe técnico elaborado por el Comando Conjunto de las Fuerzas Armadas presenta un análisis de la situación de las zonas de frontera de la República del Ecuador,</w:t>
      </w:r>
      <w:r>
        <w:rPr>
          <w:spacing w:val="-1"/>
          <w:sz w:val="22"/>
        </w:rPr>
        <w:t> </w:t>
      </w:r>
      <w:r>
        <w:rPr>
          <w:sz w:val="22"/>
        </w:rPr>
        <w:t>tanto en</w:t>
      </w:r>
      <w:r>
        <w:rPr>
          <w:spacing w:val="-1"/>
          <w:sz w:val="22"/>
        </w:rPr>
        <w:t> </w:t>
      </w:r>
      <w:r>
        <w:rPr>
          <w:sz w:val="22"/>
        </w:rPr>
        <w:t>el</w:t>
      </w:r>
      <w:r>
        <w:rPr>
          <w:spacing w:val="-2"/>
          <w:sz w:val="22"/>
        </w:rPr>
        <w:t> </w:t>
      </w:r>
      <w:r>
        <w:rPr>
          <w:sz w:val="22"/>
        </w:rPr>
        <w:t>límite con la República de Colombia como</w:t>
      </w:r>
      <w:r>
        <w:rPr>
          <w:spacing w:val="-2"/>
          <w:sz w:val="22"/>
        </w:rPr>
        <w:t> </w:t>
      </w:r>
      <w:r>
        <w:rPr>
          <w:sz w:val="22"/>
        </w:rPr>
        <w:t>con la República del Perú. En</w:t>
      </w:r>
      <w:r>
        <w:rPr>
          <w:spacing w:val="-1"/>
          <w:sz w:val="22"/>
        </w:rPr>
        <w:t> </w:t>
      </w:r>
      <w:r>
        <w:rPr>
          <w:sz w:val="22"/>
        </w:rPr>
        <w:t>dicho documento se</w:t>
      </w:r>
      <w:r>
        <w:rPr>
          <w:spacing w:val="-1"/>
          <w:sz w:val="22"/>
        </w:rPr>
        <w:t> </w:t>
      </w:r>
      <w:r>
        <w:rPr>
          <w:sz w:val="22"/>
        </w:rPr>
        <w:t>describe la extensión y características</w:t>
      </w:r>
      <w:r>
        <w:rPr>
          <w:spacing w:val="-1"/>
          <w:sz w:val="22"/>
        </w:rPr>
        <w:t> </w:t>
      </w:r>
      <w:r>
        <w:rPr>
          <w:sz w:val="22"/>
        </w:rPr>
        <w:t>geográficas</w:t>
      </w:r>
      <w:r>
        <w:rPr>
          <w:spacing w:val="-1"/>
          <w:sz w:val="22"/>
        </w:rPr>
        <w:t> </w:t>
      </w:r>
      <w:r>
        <w:rPr>
          <w:sz w:val="22"/>
        </w:rPr>
        <w:t>de las fronteras, así como la dinámica de seguridad en estas áreas, señalando la presencia de</w:t>
      </w:r>
      <w:r>
        <w:rPr>
          <w:spacing w:val="-1"/>
          <w:sz w:val="22"/>
        </w:rPr>
        <w:t> </w:t>
      </w:r>
      <w:r>
        <w:rPr>
          <w:sz w:val="22"/>
        </w:rPr>
        <w:t>diversas actividades ilícitas,</w:t>
      </w:r>
      <w:r>
        <w:rPr>
          <w:spacing w:val="-2"/>
          <w:sz w:val="22"/>
        </w:rPr>
        <w:t> </w:t>
      </w:r>
      <w:r>
        <w:rPr>
          <w:sz w:val="22"/>
        </w:rPr>
        <w:t>entre ellas el</w:t>
      </w:r>
      <w:r>
        <w:rPr>
          <w:spacing w:val="-2"/>
          <w:sz w:val="22"/>
        </w:rPr>
        <w:t> </w:t>
      </w:r>
      <w:r>
        <w:rPr>
          <w:sz w:val="22"/>
        </w:rPr>
        <w:t>contrabando</w:t>
      </w:r>
      <w:r>
        <w:rPr>
          <w:spacing w:val="-1"/>
          <w:sz w:val="22"/>
        </w:rPr>
        <w:t> </w:t>
      </w:r>
      <w:r>
        <w:rPr>
          <w:sz w:val="22"/>
        </w:rPr>
        <w:t>de</w:t>
      </w:r>
      <w:r>
        <w:rPr>
          <w:spacing w:val="-3"/>
          <w:sz w:val="22"/>
        </w:rPr>
        <w:t> </w:t>
      </w:r>
      <w:r>
        <w:rPr>
          <w:sz w:val="22"/>
        </w:rPr>
        <w:t>mercancías, el</w:t>
      </w:r>
      <w:r>
        <w:rPr>
          <w:spacing w:val="-11"/>
          <w:sz w:val="22"/>
        </w:rPr>
        <w:t> </w:t>
      </w:r>
      <w:r>
        <w:rPr>
          <w:sz w:val="22"/>
        </w:rPr>
        <w:t>tráfico</w:t>
      </w:r>
      <w:r>
        <w:rPr>
          <w:spacing w:val="-12"/>
          <w:sz w:val="22"/>
        </w:rPr>
        <w:t> </w:t>
      </w:r>
      <w:r>
        <w:rPr>
          <w:sz w:val="22"/>
        </w:rPr>
        <w:t>de</w:t>
      </w:r>
      <w:r>
        <w:rPr>
          <w:spacing w:val="-13"/>
          <w:sz w:val="22"/>
        </w:rPr>
        <w:t> </w:t>
      </w:r>
      <w:r>
        <w:rPr>
          <w:sz w:val="22"/>
        </w:rPr>
        <w:t>hidrocarburos,</w:t>
      </w:r>
      <w:r>
        <w:rPr>
          <w:spacing w:val="-11"/>
          <w:sz w:val="22"/>
        </w:rPr>
        <w:t> </w:t>
      </w:r>
      <w:r>
        <w:rPr>
          <w:sz w:val="22"/>
        </w:rPr>
        <w:t>el</w:t>
      </w:r>
      <w:r>
        <w:rPr>
          <w:spacing w:val="-11"/>
          <w:sz w:val="22"/>
        </w:rPr>
        <w:t> </w:t>
      </w:r>
      <w:r>
        <w:rPr>
          <w:sz w:val="22"/>
        </w:rPr>
        <w:t>narcotráfico,</w:t>
      </w:r>
      <w:r>
        <w:rPr>
          <w:spacing w:val="-11"/>
          <w:sz w:val="22"/>
        </w:rPr>
        <w:t> </w:t>
      </w:r>
      <w:r>
        <w:rPr>
          <w:sz w:val="22"/>
        </w:rPr>
        <w:t>el</w:t>
      </w:r>
      <w:r>
        <w:rPr>
          <w:spacing w:val="-13"/>
          <w:sz w:val="22"/>
        </w:rPr>
        <w:t> </w:t>
      </w:r>
      <w:r>
        <w:rPr>
          <w:sz w:val="22"/>
        </w:rPr>
        <w:t>tráfico</w:t>
      </w:r>
      <w:r>
        <w:rPr>
          <w:spacing w:val="-10"/>
          <w:sz w:val="22"/>
        </w:rPr>
        <w:t> </w:t>
      </w:r>
      <w:r>
        <w:rPr>
          <w:sz w:val="22"/>
        </w:rPr>
        <w:t>de</w:t>
      </w:r>
      <w:r>
        <w:rPr>
          <w:spacing w:val="-13"/>
          <w:sz w:val="22"/>
        </w:rPr>
        <w:t> </w:t>
      </w:r>
      <w:r>
        <w:rPr>
          <w:sz w:val="22"/>
        </w:rPr>
        <w:t>armas</w:t>
      </w:r>
      <w:r>
        <w:rPr>
          <w:spacing w:val="-12"/>
          <w:sz w:val="22"/>
        </w:rPr>
        <w:t> </w:t>
      </w:r>
      <w:r>
        <w:rPr>
          <w:sz w:val="22"/>
        </w:rPr>
        <w:t>y</w:t>
      </w:r>
      <w:r>
        <w:rPr>
          <w:spacing w:val="-12"/>
          <w:sz w:val="22"/>
        </w:rPr>
        <w:t> </w:t>
      </w:r>
      <w:r>
        <w:rPr>
          <w:sz w:val="22"/>
        </w:rPr>
        <w:t>la</w:t>
      </w:r>
      <w:r>
        <w:rPr>
          <w:spacing w:val="-12"/>
          <w:sz w:val="22"/>
        </w:rPr>
        <w:t> </w:t>
      </w:r>
      <w:r>
        <w:rPr>
          <w:sz w:val="22"/>
        </w:rPr>
        <w:t>migración</w:t>
      </w:r>
      <w:r>
        <w:rPr>
          <w:spacing w:val="-10"/>
          <w:sz w:val="22"/>
        </w:rPr>
        <w:t> </w:t>
      </w:r>
      <w:r>
        <w:rPr>
          <w:sz w:val="22"/>
        </w:rPr>
        <w:t>irregular.</w:t>
      </w:r>
    </w:p>
    <w:p>
      <w:pPr>
        <w:pStyle w:val="ListParagraph"/>
        <w:numPr>
          <w:ilvl w:val="0"/>
          <w:numId w:val="2"/>
        </w:numPr>
        <w:tabs>
          <w:tab w:pos="1416" w:val="left" w:leader="none"/>
          <w:tab w:pos="1420" w:val="left" w:leader="none"/>
        </w:tabs>
        <w:spacing w:line="240" w:lineRule="auto" w:before="252" w:after="0"/>
        <w:ind w:left="1420" w:right="977" w:hanging="852"/>
        <w:jc w:val="both"/>
        <w:rPr>
          <w:sz w:val="22"/>
        </w:rPr>
      </w:pPr>
      <w:r>
        <w:rPr>
          <w:sz w:val="22"/>
        </w:rPr>
        <w:t>Asimismo, el informe identifica la existencia de múltiples pasos fronterizos no autorizados</w:t>
      </w:r>
      <w:r>
        <w:rPr>
          <w:spacing w:val="-7"/>
          <w:sz w:val="22"/>
        </w:rPr>
        <w:t> </w:t>
      </w:r>
      <w:r>
        <w:rPr>
          <w:sz w:val="22"/>
        </w:rPr>
        <w:t>a</w:t>
      </w:r>
      <w:r>
        <w:rPr>
          <w:spacing w:val="-5"/>
          <w:sz w:val="22"/>
        </w:rPr>
        <w:t> </w:t>
      </w:r>
      <w:r>
        <w:rPr>
          <w:sz w:val="22"/>
        </w:rPr>
        <w:t>lo</w:t>
      </w:r>
      <w:r>
        <w:rPr>
          <w:spacing w:val="-7"/>
          <w:sz w:val="22"/>
        </w:rPr>
        <w:t> </w:t>
      </w:r>
      <w:r>
        <w:rPr>
          <w:sz w:val="22"/>
        </w:rPr>
        <w:t>largo</w:t>
      </w:r>
      <w:r>
        <w:rPr>
          <w:spacing w:val="-5"/>
          <w:sz w:val="22"/>
        </w:rPr>
        <w:t> </w:t>
      </w:r>
      <w:r>
        <w:rPr>
          <w:sz w:val="22"/>
        </w:rPr>
        <w:t>del</w:t>
      </w:r>
      <w:r>
        <w:rPr>
          <w:spacing w:val="-7"/>
          <w:sz w:val="22"/>
        </w:rPr>
        <w:t> </w:t>
      </w:r>
      <w:r>
        <w:rPr>
          <w:sz w:val="22"/>
        </w:rPr>
        <w:t>cordón</w:t>
      </w:r>
      <w:r>
        <w:rPr>
          <w:spacing w:val="-7"/>
          <w:sz w:val="22"/>
        </w:rPr>
        <w:t> </w:t>
      </w:r>
      <w:r>
        <w:rPr>
          <w:sz w:val="22"/>
        </w:rPr>
        <w:t>fronterizo,</w:t>
      </w:r>
      <w:r>
        <w:rPr>
          <w:spacing w:val="-6"/>
          <w:sz w:val="22"/>
        </w:rPr>
        <w:t> </w:t>
      </w:r>
      <w:r>
        <w:rPr>
          <w:sz w:val="22"/>
        </w:rPr>
        <w:t>los</w:t>
      </w:r>
      <w:r>
        <w:rPr>
          <w:spacing w:val="-5"/>
          <w:sz w:val="22"/>
        </w:rPr>
        <w:t> </w:t>
      </w:r>
      <w:r>
        <w:rPr>
          <w:sz w:val="22"/>
        </w:rPr>
        <w:t>cuales</w:t>
      </w:r>
      <w:r>
        <w:rPr>
          <w:spacing w:val="-5"/>
          <w:sz w:val="22"/>
        </w:rPr>
        <w:t> </w:t>
      </w:r>
      <w:r>
        <w:rPr>
          <w:sz w:val="22"/>
        </w:rPr>
        <w:t>son</w:t>
      </w:r>
      <w:r>
        <w:rPr>
          <w:spacing w:val="-5"/>
          <w:sz w:val="22"/>
        </w:rPr>
        <w:t> </w:t>
      </w:r>
      <w:r>
        <w:rPr>
          <w:sz w:val="22"/>
        </w:rPr>
        <w:t>descritos</w:t>
      </w:r>
      <w:r>
        <w:rPr>
          <w:spacing w:val="-7"/>
          <w:sz w:val="22"/>
        </w:rPr>
        <w:t> </w:t>
      </w:r>
      <w:r>
        <w:rPr>
          <w:sz w:val="22"/>
        </w:rPr>
        <w:t>como</w:t>
      </w:r>
      <w:r>
        <w:rPr>
          <w:spacing w:val="-7"/>
          <w:sz w:val="22"/>
        </w:rPr>
        <w:t> </w:t>
      </w:r>
      <w:r>
        <w:rPr>
          <w:sz w:val="22"/>
        </w:rPr>
        <w:t>puntos</w:t>
      </w:r>
      <w:r>
        <w:rPr>
          <w:spacing w:val="-4"/>
          <w:sz w:val="22"/>
        </w:rPr>
        <w:t> </w:t>
      </w:r>
      <w:r>
        <w:rPr>
          <w:sz w:val="22"/>
        </w:rPr>
        <w:t>de tránsito</w:t>
      </w:r>
      <w:r>
        <w:rPr>
          <w:spacing w:val="-16"/>
          <w:sz w:val="22"/>
        </w:rPr>
        <w:t> </w:t>
      </w:r>
      <w:r>
        <w:rPr>
          <w:sz w:val="22"/>
        </w:rPr>
        <w:t>utilizados</w:t>
      </w:r>
      <w:r>
        <w:rPr>
          <w:spacing w:val="-15"/>
          <w:sz w:val="22"/>
        </w:rPr>
        <w:t> </w:t>
      </w:r>
      <w:r>
        <w:rPr>
          <w:sz w:val="22"/>
        </w:rPr>
        <w:t>para</w:t>
      </w:r>
      <w:r>
        <w:rPr>
          <w:spacing w:val="-15"/>
          <w:sz w:val="22"/>
        </w:rPr>
        <w:t> </w:t>
      </w:r>
      <w:r>
        <w:rPr>
          <w:sz w:val="22"/>
        </w:rPr>
        <w:t>el</w:t>
      </w:r>
      <w:r>
        <w:rPr>
          <w:spacing w:val="-16"/>
          <w:sz w:val="22"/>
        </w:rPr>
        <w:t> </w:t>
      </w:r>
      <w:r>
        <w:rPr>
          <w:sz w:val="22"/>
        </w:rPr>
        <w:t>desplazamiento</w:t>
      </w:r>
      <w:r>
        <w:rPr>
          <w:spacing w:val="-15"/>
          <w:sz w:val="22"/>
        </w:rPr>
        <w:t> </w:t>
      </w:r>
      <w:r>
        <w:rPr>
          <w:sz w:val="22"/>
        </w:rPr>
        <w:t>de</w:t>
      </w:r>
      <w:r>
        <w:rPr>
          <w:spacing w:val="-15"/>
          <w:sz w:val="22"/>
        </w:rPr>
        <w:t> </w:t>
      </w:r>
      <w:r>
        <w:rPr>
          <w:sz w:val="22"/>
        </w:rPr>
        <w:t>personas</w:t>
      </w:r>
      <w:r>
        <w:rPr>
          <w:spacing w:val="-15"/>
          <w:sz w:val="22"/>
        </w:rPr>
        <w:t> </w:t>
      </w:r>
      <w:r>
        <w:rPr>
          <w:sz w:val="22"/>
        </w:rPr>
        <w:t>y</w:t>
      </w:r>
      <w:r>
        <w:rPr>
          <w:spacing w:val="-16"/>
          <w:sz w:val="22"/>
        </w:rPr>
        <w:t> </w:t>
      </w:r>
      <w:r>
        <w:rPr>
          <w:sz w:val="22"/>
        </w:rPr>
        <w:t>mercancías.</w:t>
      </w:r>
      <w:r>
        <w:rPr>
          <w:spacing w:val="-15"/>
          <w:sz w:val="22"/>
        </w:rPr>
        <w:t> </w:t>
      </w:r>
      <w:r>
        <w:rPr>
          <w:sz w:val="22"/>
        </w:rPr>
        <w:t>En</w:t>
      </w:r>
      <w:r>
        <w:rPr>
          <w:spacing w:val="-15"/>
          <w:sz w:val="22"/>
        </w:rPr>
        <w:t> </w:t>
      </w:r>
      <w:r>
        <w:rPr>
          <w:sz w:val="22"/>
        </w:rPr>
        <w:t>este</w:t>
      </w:r>
      <w:r>
        <w:rPr>
          <w:spacing w:val="-16"/>
          <w:sz w:val="22"/>
        </w:rPr>
        <w:t> </w:t>
      </w:r>
      <w:r>
        <w:rPr>
          <w:sz w:val="22"/>
        </w:rPr>
        <w:t>sentido, se indica que estos pasos se encuentran distribuidos en diversas provincias fronterizas y que, en algunos casos, son utilizados para el desarrollo de</w:t>
      </w:r>
      <w:r>
        <w:rPr>
          <w:spacing w:val="-1"/>
          <w:sz w:val="22"/>
        </w:rPr>
        <w:t> </w:t>
      </w:r>
      <w:r>
        <w:rPr>
          <w:sz w:val="22"/>
        </w:rPr>
        <w:t>actividades ilícitas y para evadir los controles de las autoridades competentes.</w:t>
      </w:r>
    </w:p>
    <w:p>
      <w:pPr>
        <w:pStyle w:val="BodyText"/>
        <w:spacing w:before="1"/>
      </w:pPr>
    </w:p>
    <w:p>
      <w:pPr>
        <w:pStyle w:val="ListParagraph"/>
        <w:numPr>
          <w:ilvl w:val="0"/>
          <w:numId w:val="2"/>
        </w:numPr>
        <w:tabs>
          <w:tab w:pos="1416" w:val="left" w:leader="none"/>
          <w:tab w:pos="1420" w:val="left" w:leader="none"/>
        </w:tabs>
        <w:spacing w:line="240" w:lineRule="auto" w:before="0" w:after="0"/>
        <w:ind w:left="1420" w:right="974" w:hanging="852"/>
        <w:jc w:val="both"/>
        <w:rPr>
          <w:sz w:val="22"/>
        </w:rPr>
      </w:pPr>
      <w:r>
        <w:rPr>
          <w:sz w:val="22"/>
        </w:rPr>
        <w:t>Por otra parte, el</w:t>
      </w:r>
      <w:r>
        <w:rPr>
          <w:spacing w:val="-4"/>
          <w:sz w:val="22"/>
        </w:rPr>
        <w:t> </w:t>
      </w:r>
      <w:r>
        <w:rPr>
          <w:sz w:val="22"/>
        </w:rPr>
        <w:t>documento detalla los principales pasos</w:t>
      </w:r>
      <w:r>
        <w:rPr>
          <w:spacing w:val="-3"/>
          <w:sz w:val="22"/>
        </w:rPr>
        <w:t> </w:t>
      </w:r>
      <w:r>
        <w:rPr>
          <w:sz w:val="22"/>
        </w:rPr>
        <w:t>fronterizos autorizados en la</w:t>
      </w:r>
      <w:r>
        <w:rPr>
          <w:spacing w:val="-4"/>
          <w:sz w:val="22"/>
        </w:rPr>
        <w:t> </w:t>
      </w:r>
      <w:r>
        <w:rPr>
          <w:sz w:val="22"/>
        </w:rPr>
        <w:t>frontera</w:t>
      </w:r>
      <w:r>
        <w:rPr>
          <w:spacing w:val="-6"/>
          <w:sz w:val="22"/>
        </w:rPr>
        <w:t> </w:t>
      </w:r>
      <w:r>
        <w:rPr>
          <w:sz w:val="22"/>
        </w:rPr>
        <w:t>norte</w:t>
      </w:r>
      <w:r>
        <w:rPr>
          <w:spacing w:val="-4"/>
          <w:sz w:val="22"/>
        </w:rPr>
        <w:t> </w:t>
      </w:r>
      <w:r>
        <w:rPr>
          <w:sz w:val="22"/>
        </w:rPr>
        <w:t>y</w:t>
      </w:r>
      <w:r>
        <w:rPr>
          <w:spacing w:val="-6"/>
          <w:sz w:val="22"/>
        </w:rPr>
        <w:t> </w:t>
      </w:r>
      <w:r>
        <w:rPr>
          <w:sz w:val="22"/>
        </w:rPr>
        <w:t>sur</w:t>
      </w:r>
      <w:r>
        <w:rPr>
          <w:spacing w:val="-6"/>
          <w:sz w:val="22"/>
        </w:rPr>
        <w:t> </w:t>
      </w:r>
      <w:r>
        <w:rPr>
          <w:sz w:val="22"/>
        </w:rPr>
        <w:t>de</w:t>
      </w:r>
      <w:r>
        <w:rPr>
          <w:spacing w:val="-7"/>
          <w:sz w:val="22"/>
        </w:rPr>
        <w:t> </w:t>
      </w:r>
      <w:r>
        <w:rPr>
          <w:sz w:val="22"/>
        </w:rPr>
        <w:t>la</w:t>
      </w:r>
      <w:r>
        <w:rPr>
          <w:spacing w:val="-4"/>
          <w:sz w:val="22"/>
        </w:rPr>
        <w:t> </w:t>
      </w:r>
      <w:r>
        <w:rPr>
          <w:sz w:val="22"/>
        </w:rPr>
        <w:t>República</w:t>
      </w:r>
      <w:r>
        <w:rPr>
          <w:spacing w:val="-4"/>
          <w:sz w:val="22"/>
        </w:rPr>
        <w:t> </w:t>
      </w:r>
      <w:r>
        <w:rPr>
          <w:sz w:val="22"/>
        </w:rPr>
        <w:t>del</w:t>
      </w:r>
      <w:r>
        <w:rPr>
          <w:spacing w:val="-5"/>
          <w:sz w:val="22"/>
        </w:rPr>
        <w:t> </w:t>
      </w:r>
      <w:r>
        <w:rPr>
          <w:sz w:val="22"/>
        </w:rPr>
        <w:t>Ecuador,</w:t>
      </w:r>
      <w:r>
        <w:rPr>
          <w:spacing w:val="-3"/>
          <w:sz w:val="22"/>
        </w:rPr>
        <w:t> </w:t>
      </w:r>
      <w:r>
        <w:rPr>
          <w:sz w:val="22"/>
        </w:rPr>
        <w:t>entre</w:t>
      </w:r>
      <w:r>
        <w:rPr>
          <w:spacing w:val="-6"/>
          <w:sz w:val="22"/>
        </w:rPr>
        <w:t> </w:t>
      </w:r>
      <w:r>
        <w:rPr>
          <w:sz w:val="22"/>
        </w:rPr>
        <w:t>los</w:t>
      </w:r>
      <w:r>
        <w:rPr>
          <w:spacing w:val="-4"/>
          <w:sz w:val="22"/>
        </w:rPr>
        <w:t> </w:t>
      </w:r>
      <w:r>
        <w:rPr>
          <w:sz w:val="22"/>
        </w:rPr>
        <w:t>cuales</w:t>
      </w:r>
      <w:r>
        <w:rPr>
          <w:spacing w:val="-4"/>
          <w:sz w:val="22"/>
        </w:rPr>
        <w:t> </w:t>
      </w:r>
      <w:r>
        <w:rPr>
          <w:sz w:val="22"/>
        </w:rPr>
        <w:t>se</w:t>
      </w:r>
      <w:r>
        <w:rPr>
          <w:spacing w:val="-6"/>
          <w:sz w:val="22"/>
        </w:rPr>
        <w:t> </w:t>
      </w:r>
      <w:r>
        <w:rPr>
          <w:sz w:val="22"/>
        </w:rPr>
        <w:t>encuentran</w:t>
      </w:r>
      <w:r>
        <w:rPr>
          <w:spacing w:val="-7"/>
          <w:sz w:val="22"/>
        </w:rPr>
        <w:t> </w:t>
      </w:r>
      <w:r>
        <w:rPr>
          <w:sz w:val="22"/>
        </w:rPr>
        <w:t>el puente</w:t>
      </w:r>
      <w:r>
        <w:rPr>
          <w:spacing w:val="-16"/>
          <w:sz w:val="22"/>
        </w:rPr>
        <w:t> </w:t>
      </w:r>
      <w:r>
        <w:rPr>
          <w:sz w:val="22"/>
        </w:rPr>
        <w:t>internacional</w:t>
      </w:r>
      <w:r>
        <w:rPr>
          <w:spacing w:val="-15"/>
          <w:sz w:val="22"/>
        </w:rPr>
        <w:t> </w:t>
      </w:r>
      <w:r>
        <w:rPr>
          <w:sz w:val="22"/>
        </w:rPr>
        <w:t>de</w:t>
      </w:r>
      <w:r>
        <w:rPr>
          <w:spacing w:val="-15"/>
          <w:sz w:val="22"/>
        </w:rPr>
        <w:t> </w:t>
      </w:r>
      <w:r>
        <w:rPr>
          <w:sz w:val="22"/>
        </w:rPr>
        <w:t>Rumichaca</w:t>
      </w:r>
      <w:r>
        <w:rPr>
          <w:spacing w:val="-16"/>
          <w:sz w:val="22"/>
        </w:rPr>
        <w:t> </w:t>
      </w:r>
      <w:r>
        <w:rPr>
          <w:sz w:val="22"/>
        </w:rPr>
        <w:t>y</w:t>
      </w:r>
      <w:r>
        <w:rPr>
          <w:spacing w:val="-15"/>
          <w:sz w:val="22"/>
        </w:rPr>
        <w:t> </w:t>
      </w:r>
      <w:r>
        <w:rPr>
          <w:sz w:val="22"/>
        </w:rPr>
        <w:t>el</w:t>
      </w:r>
      <w:r>
        <w:rPr>
          <w:spacing w:val="-15"/>
          <w:sz w:val="22"/>
        </w:rPr>
        <w:t> </w:t>
      </w:r>
      <w:r>
        <w:rPr>
          <w:sz w:val="22"/>
        </w:rPr>
        <w:t>CEBAF</w:t>
      </w:r>
      <w:r>
        <w:rPr>
          <w:spacing w:val="-15"/>
          <w:sz w:val="22"/>
        </w:rPr>
        <w:t> </w:t>
      </w:r>
      <w:r>
        <w:rPr>
          <w:sz w:val="22"/>
        </w:rPr>
        <w:t>de</w:t>
      </w:r>
      <w:r>
        <w:rPr>
          <w:spacing w:val="-16"/>
          <w:sz w:val="22"/>
        </w:rPr>
        <w:t> </w:t>
      </w:r>
      <w:r>
        <w:rPr>
          <w:sz w:val="22"/>
        </w:rPr>
        <w:t>San</w:t>
      </w:r>
      <w:r>
        <w:rPr>
          <w:spacing w:val="-15"/>
          <w:sz w:val="22"/>
        </w:rPr>
        <w:t> </w:t>
      </w:r>
      <w:r>
        <w:rPr>
          <w:sz w:val="22"/>
        </w:rPr>
        <w:t>Miguel,</w:t>
      </w:r>
      <w:r>
        <w:rPr>
          <w:spacing w:val="-15"/>
          <w:sz w:val="22"/>
        </w:rPr>
        <w:t> </w:t>
      </w:r>
      <w:r>
        <w:rPr>
          <w:sz w:val="22"/>
        </w:rPr>
        <w:t>los</w:t>
      </w:r>
      <w:r>
        <w:rPr>
          <w:spacing w:val="-16"/>
          <w:sz w:val="22"/>
        </w:rPr>
        <w:t> </w:t>
      </w:r>
      <w:r>
        <w:rPr>
          <w:sz w:val="22"/>
        </w:rPr>
        <w:t>cuales</w:t>
      </w:r>
      <w:r>
        <w:rPr>
          <w:spacing w:val="-15"/>
          <w:sz w:val="22"/>
        </w:rPr>
        <w:t> </w:t>
      </w:r>
      <w:r>
        <w:rPr>
          <w:sz w:val="22"/>
        </w:rPr>
        <w:t>constituyen puntos</w:t>
      </w:r>
      <w:r>
        <w:rPr>
          <w:spacing w:val="-3"/>
          <w:sz w:val="22"/>
        </w:rPr>
        <w:t> </w:t>
      </w:r>
      <w:r>
        <w:rPr>
          <w:sz w:val="22"/>
        </w:rPr>
        <w:t>habilitados</w:t>
      </w:r>
      <w:r>
        <w:rPr>
          <w:spacing w:val="-4"/>
          <w:sz w:val="22"/>
        </w:rPr>
        <w:t> </w:t>
      </w:r>
      <w:r>
        <w:rPr>
          <w:sz w:val="22"/>
        </w:rPr>
        <w:t>para</w:t>
      </w:r>
      <w:r>
        <w:rPr>
          <w:spacing w:val="-6"/>
          <w:sz w:val="22"/>
        </w:rPr>
        <w:t> </w:t>
      </w:r>
      <w:r>
        <w:rPr>
          <w:sz w:val="22"/>
        </w:rPr>
        <w:t>el</w:t>
      </w:r>
      <w:r>
        <w:rPr>
          <w:spacing w:val="-5"/>
          <w:sz w:val="22"/>
        </w:rPr>
        <w:t> </w:t>
      </w:r>
      <w:r>
        <w:rPr>
          <w:sz w:val="22"/>
        </w:rPr>
        <w:t>tránsito</w:t>
      </w:r>
      <w:r>
        <w:rPr>
          <w:spacing w:val="-6"/>
          <w:sz w:val="22"/>
        </w:rPr>
        <w:t> </w:t>
      </w:r>
      <w:r>
        <w:rPr>
          <w:sz w:val="22"/>
        </w:rPr>
        <w:t>formal</w:t>
      </w:r>
      <w:r>
        <w:rPr>
          <w:spacing w:val="-5"/>
          <w:sz w:val="22"/>
        </w:rPr>
        <w:t> </w:t>
      </w:r>
      <w:r>
        <w:rPr>
          <w:sz w:val="22"/>
        </w:rPr>
        <w:t>de</w:t>
      </w:r>
      <w:r>
        <w:rPr>
          <w:spacing w:val="-4"/>
          <w:sz w:val="22"/>
        </w:rPr>
        <w:t> </w:t>
      </w:r>
      <w:r>
        <w:rPr>
          <w:sz w:val="22"/>
        </w:rPr>
        <w:t>personas</w:t>
      </w:r>
      <w:r>
        <w:rPr>
          <w:spacing w:val="-4"/>
          <w:sz w:val="22"/>
        </w:rPr>
        <w:t> </w:t>
      </w:r>
      <w:r>
        <w:rPr>
          <w:sz w:val="22"/>
        </w:rPr>
        <w:t>y</w:t>
      </w:r>
      <w:r>
        <w:rPr>
          <w:spacing w:val="-6"/>
          <w:sz w:val="22"/>
        </w:rPr>
        <w:t> </w:t>
      </w:r>
      <w:r>
        <w:rPr>
          <w:sz w:val="22"/>
        </w:rPr>
        <w:t>mercancías.</w:t>
      </w:r>
      <w:r>
        <w:rPr>
          <w:spacing w:val="-3"/>
          <w:sz w:val="22"/>
        </w:rPr>
        <w:t> </w:t>
      </w:r>
      <w:r>
        <w:rPr>
          <w:sz w:val="22"/>
        </w:rPr>
        <w:t>En</w:t>
      </w:r>
      <w:r>
        <w:rPr>
          <w:spacing w:val="-4"/>
          <w:sz w:val="22"/>
        </w:rPr>
        <w:t> </w:t>
      </w:r>
      <w:r>
        <w:rPr>
          <w:sz w:val="22"/>
        </w:rPr>
        <w:t>relación</w:t>
      </w:r>
      <w:r>
        <w:rPr>
          <w:spacing w:val="-4"/>
          <w:sz w:val="22"/>
        </w:rPr>
        <w:t> </w:t>
      </w:r>
      <w:r>
        <w:rPr>
          <w:sz w:val="22"/>
        </w:rPr>
        <w:t>con estos, se describe su ubicación, características operativas y su función en el intercambio comercial entre los países involucrados.</w:t>
      </w:r>
    </w:p>
    <w:p>
      <w:pPr>
        <w:pStyle w:val="BodyText"/>
      </w:pPr>
    </w:p>
    <w:p>
      <w:pPr>
        <w:pStyle w:val="ListParagraph"/>
        <w:numPr>
          <w:ilvl w:val="0"/>
          <w:numId w:val="2"/>
        </w:numPr>
        <w:tabs>
          <w:tab w:pos="1416" w:val="left" w:leader="none"/>
          <w:tab w:pos="1420" w:val="left" w:leader="none"/>
        </w:tabs>
        <w:spacing w:line="240" w:lineRule="auto" w:before="0" w:after="0"/>
        <w:ind w:left="1420" w:right="977" w:hanging="852"/>
        <w:jc w:val="both"/>
        <w:rPr>
          <w:sz w:val="22"/>
        </w:rPr>
      </w:pPr>
      <w:r>
        <w:rPr>
          <w:sz w:val="22"/>
        </w:rPr>
        <w:t>El referido informe del Comando Conjunto de las Fuerzas Armadas de la República del Ecuador concluye que, debido a la extensión y características de las fronteras, existe</w:t>
      </w:r>
      <w:r>
        <w:rPr>
          <w:spacing w:val="-6"/>
          <w:sz w:val="22"/>
        </w:rPr>
        <w:t> </w:t>
      </w:r>
      <w:r>
        <w:rPr>
          <w:sz w:val="22"/>
        </w:rPr>
        <w:t>un</w:t>
      </w:r>
      <w:r>
        <w:rPr>
          <w:spacing w:val="-9"/>
          <w:sz w:val="22"/>
        </w:rPr>
        <w:t> </w:t>
      </w:r>
      <w:r>
        <w:rPr>
          <w:sz w:val="22"/>
        </w:rPr>
        <w:t>número</w:t>
      </w:r>
      <w:r>
        <w:rPr>
          <w:spacing w:val="-8"/>
          <w:sz w:val="22"/>
        </w:rPr>
        <w:t> </w:t>
      </w:r>
      <w:r>
        <w:rPr>
          <w:sz w:val="22"/>
        </w:rPr>
        <w:t>significativo</w:t>
      </w:r>
      <w:r>
        <w:rPr>
          <w:spacing w:val="-7"/>
          <w:sz w:val="22"/>
        </w:rPr>
        <w:t> </w:t>
      </w:r>
      <w:r>
        <w:rPr>
          <w:sz w:val="22"/>
        </w:rPr>
        <w:t>de</w:t>
      </w:r>
      <w:r>
        <w:rPr>
          <w:spacing w:val="-9"/>
          <w:sz w:val="22"/>
        </w:rPr>
        <w:t> </w:t>
      </w:r>
      <w:r>
        <w:rPr>
          <w:sz w:val="22"/>
        </w:rPr>
        <w:t>pasos</w:t>
      </w:r>
      <w:r>
        <w:rPr>
          <w:spacing w:val="-9"/>
          <w:sz w:val="22"/>
        </w:rPr>
        <w:t> </w:t>
      </w:r>
      <w:r>
        <w:rPr>
          <w:sz w:val="22"/>
        </w:rPr>
        <w:t>no</w:t>
      </w:r>
      <w:r>
        <w:rPr>
          <w:spacing w:val="-9"/>
          <w:sz w:val="22"/>
        </w:rPr>
        <w:t> </w:t>
      </w:r>
      <w:r>
        <w:rPr>
          <w:sz w:val="22"/>
        </w:rPr>
        <w:t>autorizados,</w:t>
      </w:r>
      <w:r>
        <w:rPr>
          <w:spacing w:val="-8"/>
          <w:sz w:val="22"/>
        </w:rPr>
        <w:t> </w:t>
      </w:r>
      <w:r>
        <w:rPr>
          <w:sz w:val="22"/>
        </w:rPr>
        <w:t>los</w:t>
      </w:r>
      <w:r>
        <w:rPr>
          <w:spacing w:val="-6"/>
          <w:sz w:val="22"/>
        </w:rPr>
        <w:t> </w:t>
      </w:r>
      <w:r>
        <w:rPr>
          <w:sz w:val="22"/>
        </w:rPr>
        <w:t>cuales</w:t>
      </w:r>
      <w:r>
        <w:rPr>
          <w:spacing w:val="-9"/>
          <w:sz w:val="22"/>
        </w:rPr>
        <w:t> </w:t>
      </w:r>
      <w:r>
        <w:rPr>
          <w:sz w:val="22"/>
        </w:rPr>
        <w:t>forman</w:t>
      </w:r>
      <w:r>
        <w:rPr>
          <w:spacing w:val="-9"/>
          <w:sz w:val="22"/>
        </w:rPr>
        <w:t> </w:t>
      </w:r>
      <w:r>
        <w:rPr>
          <w:sz w:val="22"/>
        </w:rPr>
        <w:t>parte</w:t>
      </w:r>
      <w:r>
        <w:rPr>
          <w:spacing w:val="-9"/>
          <w:sz w:val="22"/>
        </w:rPr>
        <w:t> </w:t>
      </w:r>
      <w:r>
        <w:rPr>
          <w:sz w:val="22"/>
        </w:rPr>
        <w:t>de</w:t>
      </w:r>
      <w:r>
        <w:rPr>
          <w:spacing w:val="-9"/>
          <w:sz w:val="22"/>
        </w:rPr>
        <w:t> </w:t>
      </w:r>
      <w:r>
        <w:rPr>
          <w:sz w:val="22"/>
        </w:rPr>
        <w:t>la dinámica territorial de las zonas limítrofes. De lo anterior el citado informe contiene información que se presenta en la siguiente tabla de resumen:</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4"/>
        <w:rPr>
          <w:sz w:val="20"/>
        </w:rPr>
      </w:pPr>
      <w:r>
        <w:rPr>
          <w:sz w:val="20"/>
        </w:rPr>
        <mc:AlternateContent>
          <mc:Choice Requires="wps">
            <w:drawing>
              <wp:anchor distT="0" distB="0" distL="0" distR="0" allowOverlap="1" layoutInCell="1" locked="0" behindDoc="1" simplePos="0" relativeHeight="487609344">
                <wp:simplePos x="0" y="0"/>
                <wp:positionH relativeFrom="page">
                  <wp:posOffset>990904</wp:posOffset>
                </wp:positionH>
                <wp:positionV relativeFrom="paragraph">
                  <wp:posOffset>208835</wp:posOffset>
                </wp:positionV>
                <wp:extent cx="1829435" cy="7620"/>
                <wp:effectExtent l="0" t="0" r="0" b="0"/>
                <wp:wrapTopAndBottom/>
                <wp:docPr id="242" name="Graphic 242"/>
                <wp:cNvGraphicFramePr>
                  <a:graphicFrameLocks/>
                </wp:cNvGraphicFramePr>
                <a:graphic>
                  <a:graphicData uri="http://schemas.microsoft.com/office/word/2010/wordprocessingShape">
                    <wps:wsp>
                      <wps:cNvPr id="242" name="Graphic 242"/>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6.44371pt;width:144.020pt;height:.60004pt;mso-position-horizontal-relative:page;mso-position-vertical-relative:paragraph;z-index:-15707136;mso-wrap-distance-left:0;mso-wrap-distance-right:0" id="docshape186" filled="true" fillcolor="#000000" stroked="false">
                <v:fill type="solid"/>
                <w10:wrap type="topAndBottom"/>
              </v:rect>
            </w:pict>
          </mc:Fallback>
        </mc:AlternateContent>
      </w:r>
    </w:p>
    <w:p>
      <w:pPr>
        <w:spacing w:before="86"/>
        <w:ind w:left="568" w:right="0" w:firstLine="0"/>
        <w:jc w:val="left"/>
        <w:rPr>
          <w:sz w:val="18"/>
        </w:rPr>
      </w:pPr>
      <w:bookmarkStart w:name="_bookmark33" w:id="34"/>
      <w:bookmarkEnd w:id="34"/>
      <w:r>
        <w:rPr/>
      </w:r>
      <w:r>
        <w:rPr>
          <w:position w:val="8"/>
          <w:sz w:val="14"/>
        </w:rPr>
        <w:t>34</w:t>
      </w:r>
      <w:r>
        <w:rPr>
          <w:spacing w:val="-4"/>
          <w:position w:val="8"/>
          <w:sz w:val="14"/>
        </w:rPr>
        <w:t> </w:t>
      </w:r>
      <w:r>
        <w:rPr>
          <w:sz w:val="18"/>
        </w:rPr>
        <w:t>Resumen</w:t>
      </w:r>
      <w:r>
        <w:rPr>
          <w:spacing w:val="-3"/>
          <w:sz w:val="18"/>
        </w:rPr>
        <w:t> </w:t>
      </w:r>
      <w:r>
        <w:rPr>
          <w:sz w:val="18"/>
        </w:rPr>
        <w:t>no</w:t>
      </w:r>
      <w:r>
        <w:rPr>
          <w:spacing w:val="-3"/>
          <w:sz w:val="18"/>
        </w:rPr>
        <w:t> </w:t>
      </w:r>
      <w:r>
        <w:rPr>
          <w:sz w:val="18"/>
        </w:rPr>
        <w:t>confidencial</w:t>
      </w:r>
      <w:r>
        <w:rPr>
          <w:spacing w:val="-2"/>
          <w:sz w:val="18"/>
        </w:rPr>
        <w:t> </w:t>
      </w:r>
      <w:r>
        <w:rPr>
          <w:sz w:val="18"/>
        </w:rPr>
        <w:t>de</w:t>
      </w:r>
      <w:r>
        <w:rPr>
          <w:spacing w:val="-5"/>
          <w:sz w:val="18"/>
        </w:rPr>
        <w:t> </w:t>
      </w:r>
      <w:r>
        <w:rPr>
          <w:sz w:val="18"/>
        </w:rPr>
        <w:t>informe</w:t>
      </w:r>
      <w:r>
        <w:rPr>
          <w:spacing w:val="-2"/>
          <w:sz w:val="18"/>
        </w:rPr>
        <w:t> </w:t>
      </w:r>
      <w:r>
        <w:rPr>
          <w:sz w:val="18"/>
        </w:rPr>
        <w:t>técnico</w:t>
      </w:r>
      <w:r>
        <w:rPr>
          <w:spacing w:val="-5"/>
          <w:sz w:val="18"/>
        </w:rPr>
        <w:t> </w:t>
      </w:r>
      <w:r>
        <w:rPr>
          <w:sz w:val="18"/>
        </w:rPr>
        <w:t>del</w:t>
      </w:r>
      <w:r>
        <w:rPr>
          <w:spacing w:val="-4"/>
          <w:sz w:val="18"/>
        </w:rPr>
        <w:t> </w:t>
      </w:r>
      <w:r>
        <w:rPr>
          <w:sz w:val="18"/>
        </w:rPr>
        <w:t>expediente</w:t>
      </w:r>
      <w:r>
        <w:rPr>
          <w:spacing w:val="1"/>
          <w:sz w:val="18"/>
        </w:rPr>
        <w:t> </w:t>
      </w:r>
      <w:r>
        <w:rPr>
          <w:spacing w:val="-2"/>
          <w:sz w:val="18"/>
        </w:rPr>
        <w:t>DGCOM/REST/001/2026.</w:t>
      </w:r>
    </w:p>
    <w:p>
      <w:pPr>
        <w:spacing w:before="5"/>
        <w:ind w:left="568" w:right="0" w:firstLine="0"/>
        <w:jc w:val="left"/>
        <w:rPr>
          <w:sz w:val="18"/>
        </w:rPr>
      </w:pPr>
      <w:bookmarkStart w:name="_bookmark34" w:id="35"/>
      <w:bookmarkEnd w:id="35"/>
      <w:r>
        <w:rPr/>
      </w:r>
      <w:r>
        <w:rPr>
          <w:position w:val="6"/>
          <w:sz w:val="12"/>
        </w:rPr>
        <w:t>35</w:t>
      </w:r>
      <w:r>
        <w:rPr>
          <w:spacing w:val="14"/>
          <w:position w:val="6"/>
          <w:sz w:val="12"/>
        </w:rPr>
        <w:t> </w:t>
      </w:r>
      <w:r>
        <w:rPr>
          <w:sz w:val="18"/>
        </w:rPr>
        <w:t>Véase</w:t>
      </w:r>
      <w:r>
        <w:rPr>
          <w:spacing w:val="-4"/>
          <w:sz w:val="18"/>
        </w:rPr>
        <w:t> </w:t>
      </w:r>
      <w:r>
        <w:rPr>
          <w:sz w:val="18"/>
        </w:rPr>
        <w:t>Folios</w:t>
      </w:r>
      <w:r>
        <w:rPr>
          <w:spacing w:val="-2"/>
          <w:sz w:val="18"/>
        </w:rPr>
        <w:t> </w:t>
      </w:r>
      <w:r>
        <w:rPr>
          <w:sz w:val="18"/>
        </w:rPr>
        <w:t>639 -642</w:t>
      </w:r>
      <w:r>
        <w:rPr>
          <w:spacing w:val="-3"/>
          <w:sz w:val="18"/>
        </w:rPr>
        <w:t> </w:t>
      </w:r>
      <w:r>
        <w:rPr>
          <w:sz w:val="18"/>
        </w:rPr>
        <w:t>del</w:t>
      </w:r>
      <w:r>
        <w:rPr>
          <w:spacing w:val="-2"/>
          <w:sz w:val="18"/>
        </w:rPr>
        <w:t> </w:t>
      </w:r>
      <w:r>
        <w:rPr>
          <w:sz w:val="18"/>
        </w:rPr>
        <w:t>expediente</w:t>
      </w:r>
      <w:r>
        <w:rPr>
          <w:spacing w:val="-2"/>
          <w:sz w:val="18"/>
        </w:rPr>
        <w:t> DGCOM/REST/001/2026.</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243" name="Group 243"/>
                <wp:cNvGraphicFramePr>
                  <a:graphicFrameLocks/>
                </wp:cNvGraphicFramePr>
                <a:graphic>
                  <a:graphicData uri="http://schemas.microsoft.com/office/word/2010/wordprocessingGroup">
                    <wpg:wgp>
                      <wpg:cNvPr id="243" name="Group 243"/>
                      <wpg:cNvGrpSpPr/>
                      <wpg:grpSpPr>
                        <a:xfrm>
                          <a:off x="0" y="0"/>
                          <a:ext cx="6131560" cy="9525"/>
                          <a:chExt cx="6131560" cy="9525"/>
                        </a:xfrm>
                      </wpg:grpSpPr>
                      <wps:wsp>
                        <wps:cNvPr id="244" name="Graphic 244"/>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187"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32"/>
          <w:footerReference w:type="default" r:id="rId33"/>
          <w:pgSz w:w="11900" w:h="16850"/>
          <w:pgMar w:header="370" w:footer="637" w:top="1380" w:bottom="820" w:left="992" w:right="283"/>
        </w:sectPr>
      </w:pPr>
    </w:p>
    <w:p>
      <w:pPr>
        <w:pStyle w:val="BodyText"/>
        <w:spacing w:before="176"/>
      </w:pPr>
    </w:p>
    <w:p>
      <w:pPr>
        <w:pStyle w:val="Heading6"/>
        <w:ind w:right="267"/>
        <w:jc w:val="center"/>
      </w:pPr>
      <w:r>
        <w:rPr/>
        <w:t>Tabla</w:t>
      </w:r>
      <w:r>
        <w:rPr>
          <w:spacing w:val="-3"/>
        </w:rPr>
        <w:t> </w:t>
      </w:r>
      <w:r>
        <w:rPr/>
        <w:t>N.º </w:t>
      </w:r>
      <w:r>
        <w:rPr>
          <w:spacing w:val="-10"/>
        </w:rPr>
        <w:t>5</w:t>
      </w:r>
    </w:p>
    <w:p>
      <w:pPr>
        <w:spacing w:before="2" w:after="3"/>
        <w:ind w:left="1516" w:right="2074" w:firstLine="0"/>
        <w:jc w:val="center"/>
        <w:rPr>
          <w:rFonts w:ascii="Arial"/>
          <w:i/>
          <w:sz w:val="22"/>
        </w:rPr>
      </w:pPr>
      <w:r>
        <w:rPr>
          <w:rFonts w:ascii="Arial"/>
          <w:i/>
          <w:sz w:val="22"/>
        </w:rPr>
        <w:t>Informe</w:t>
      </w:r>
      <w:r>
        <w:rPr>
          <w:rFonts w:ascii="Arial"/>
          <w:i/>
          <w:spacing w:val="-5"/>
          <w:sz w:val="22"/>
        </w:rPr>
        <w:t> </w:t>
      </w:r>
      <w:r>
        <w:rPr>
          <w:rFonts w:ascii="Arial"/>
          <w:i/>
          <w:sz w:val="22"/>
        </w:rPr>
        <w:t>sobre</w:t>
      </w:r>
      <w:r>
        <w:rPr>
          <w:rFonts w:ascii="Arial"/>
          <w:i/>
          <w:spacing w:val="-5"/>
          <w:sz w:val="22"/>
        </w:rPr>
        <w:t> </w:t>
      </w:r>
      <w:r>
        <w:rPr>
          <w:rFonts w:ascii="Arial"/>
          <w:i/>
          <w:sz w:val="22"/>
        </w:rPr>
        <w:t>los</w:t>
      </w:r>
      <w:r>
        <w:rPr>
          <w:rFonts w:ascii="Arial"/>
          <w:i/>
          <w:spacing w:val="-3"/>
          <w:sz w:val="22"/>
        </w:rPr>
        <w:t> </w:t>
      </w:r>
      <w:r>
        <w:rPr>
          <w:rFonts w:ascii="Arial"/>
          <w:i/>
          <w:sz w:val="22"/>
        </w:rPr>
        <w:t>Pasos</w:t>
      </w:r>
      <w:r>
        <w:rPr>
          <w:rFonts w:ascii="Arial"/>
          <w:i/>
          <w:spacing w:val="-5"/>
          <w:sz w:val="22"/>
        </w:rPr>
        <w:t> </w:t>
      </w:r>
      <w:r>
        <w:rPr>
          <w:rFonts w:ascii="Arial"/>
          <w:i/>
          <w:sz w:val="22"/>
        </w:rPr>
        <w:t>Fronterizos</w:t>
      </w:r>
      <w:r>
        <w:rPr>
          <w:rFonts w:ascii="Arial"/>
          <w:i/>
          <w:spacing w:val="-3"/>
          <w:sz w:val="22"/>
        </w:rPr>
        <w:t> </w:t>
      </w:r>
      <w:r>
        <w:rPr>
          <w:rFonts w:ascii="Arial"/>
          <w:i/>
          <w:sz w:val="22"/>
        </w:rPr>
        <w:t>Autorizados</w:t>
      </w:r>
      <w:r>
        <w:rPr>
          <w:rFonts w:ascii="Arial"/>
          <w:i/>
          <w:spacing w:val="-5"/>
          <w:sz w:val="22"/>
        </w:rPr>
        <w:t> </w:t>
      </w:r>
      <w:r>
        <w:rPr>
          <w:rFonts w:ascii="Arial"/>
          <w:i/>
          <w:sz w:val="22"/>
        </w:rPr>
        <w:t>y</w:t>
      </w:r>
      <w:r>
        <w:rPr>
          <w:rFonts w:ascii="Arial"/>
          <w:i/>
          <w:spacing w:val="-2"/>
          <w:sz w:val="22"/>
        </w:rPr>
        <w:t> </w:t>
      </w:r>
      <w:r>
        <w:rPr>
          <w:rFonts w:ascii="Arial"/>
          <w:i/>
          <w:sz w:val="22"/>
        </w:rPr>
        <w:t>No</w:t>
      </w:r>
      <w:r>
        <w:rPr>
          <w:rFonts w:ascii="Arial"/>
          <w:i/>
          <w:spacing w:val="-3"/>
          <w:sz w:val="22"/>
        </w:rPr>
        <w:t> </w:t>
      </w:r>
      <w:r>
        <w:rPr>
          <w:rFonts w:ascii="Arial"/>
          <w:i/>
          <w:sz w:val="22"/>
        </w:rPr>
        <w:t>Autorizados</w:t>
      </w:r>
      <w:r>
        <w:rPr>
          <w:rFonts w:ascii="Arial"/>
          <w:i/>
          <w:spacing w:val="-3"/>
          <w:sz w:val="22"/>
        </w:rPr>
        <w:t> </w:t>
      </w:r>
      <w:r>
        <w:rPr>
          <w:rFonts w:ascii="Arial"/>
          <w:i/>
          <w:sz w:val="22"/>
        </w:rPr>
        <w:t>en</w:t>
      </w:r>
      <w:r>
        <w:rPr>
          <w:rFonts w:ascii="Arial"/>
          <w:i/>
          <w:spacing w:val="-5"/>
          <w:sz w:val="22"/>
        </w:rPr>
        <w:t> </w:t>
      </w:r>
      <w:r>
        <w:rPr>
          <w:rFonts w:ascii="Arial"/>
          <w:i/>
          <w:sz w:val="22"/>
        </w:rPr>
        <w:t>la frontera norte y sur del Ecuador</w:t>
      </w:r>
    </w:p>
    <w:tbl>
      <w:tblPr>
        <w:tblW w:w="0" w:type="auto"/>
        <w:jc w:val="left"/>
        <w:tblInd w:w="1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3"/>
        <w:gridCol w:w="2131"/>
        <w:gridCol w:w="1531"/>
        <w:gridCol w:w="1658"/>
        <w:gridCol w:w="1782"/>
      </w:tblGrid>
      <w:tr>
        <w:trPr>
          <w:trHeight w:val="255" w:hRule="atLeast"/>
        </w:trPr>
        <w:tc>
          <w:tcPr>
            <w:tcW w:w="4235" w:type="dxa"/>
            <w:gridSpan w:val="3"/>
            <w:tcBorders>
              <w:top w:val="single" w:sz="4" w:space="0" w:color="000000"/>
            </w:tcBorders>
          </w:tcPr>
          <w:p>
            <w:pPr>
              <w:pStyle w:val="TableParagraph"/>
              <w:tabs>
                <w:tab w:pos="1163" w:val="left" w:leader="none"/>
                <w:tab w:pos="3175" w:val="left" w:leader="none"/>
              </w:tabs>
              <w:spacing w:line="228" w:lineRule="exact" w:before="7"/>
              <w:ind w:left="115"/>
              <w:rPr>
                <w:rFonts w:ascii="Arial"/>
                <w:b/>
                <w:position w:val="12"/>
                <w:sz w:val="22"/>
              </w:rPr>
            </w:pPr>
            <w:r>
              <w:rPr>
                <w:rFonts w:ascii="Arial"/>
                <w:b/>
                <w:spacing w:val="-4"/>
                <w:sz w:val="22"/>
              </w:rPr>
              <w:t>Ord.</w:t>
            </w:r>
            <w:r>
              <w:rPr>
                <w:rFonts w:ascii="Arial"/>
                <w:b/>
                <w:sz w:val="22"/>
              </w:rPr>
              <w:tab/>
            </w:r>
            <w:r>
              <w:rPr>
                <w:rFonts w:ascii="Arial"/>
                <w:b/>
                <w:spacing w:val="-2"/>
                <w:sz w:val="22"/>
              </w:rPr>
              <w:t>Provincias</w:t>
            </w:r>
            <w:r>
              <w:rPr>
                <w:rFonts w:ascii="Arial"/>
                <w:b/>
                <w:sz w:val="22"/>
              </w:rPr>
              <w:tab/>
            </w:r>
            <w:r>
              <w:rPr>
                <w:rFonts w:ascii="Arial"/>
                <w:b/>
                <w:spacing w:val="-2"/>
                <w:position w:val="12"/>
                <w:sz w:val="22"/>
              </w:rPr>
              <w:t>Pasos</w:t>
            </w:r>
          </w:p>
        </w:tc>
        <w:tc>
          <w:tcPr>
            <w:tcW w:w="1658" w:type="dxa"/>
            <w:tcBorders>
              <w:top w:val="single" w:sz="4" w:space="0" w:color="000000"/>
            </w:tcBorders>
          </w:tcPr>
          <w:p>
            <w:pPr>
              <w:pStyle w:val="TableParagraph"/>
              <w:spacing w:line="233" w:lineRule="exact" w:before="2"/>
              <w:ind w:left="1" w:right="2"/>
              <w:jc w:val="center"/>
              <w:rPr>
                <w:rFonts w:ascii="Arial"/>
                <w:b/>
                <w:sz w:val="22"/>
              </w:rPr>
            </w:pPr>
            <w:r>
              <w:rPr>
                <w:rFonts w:ascii="Arial"/>
                <w:b/>
                <w:spacing w:val="-2"/>
                <w:sz w:val="22"/>
              </w:rPr>
              <w:t>Pasos</w:t>
            </w:r>
          </w:p>
        </w:tc>
        <w:tc>
          <w:tcPr>
            <w:tcW w:w="1782" w:type="dxa"/>
            <w:tcBorders>
              <w:top w:val="single" w:sz="4" w:space="0" w:color="000000"/>
            </w:tcBorders>
          </w:tcPr>
          <w:p>
            <w:pPr>
              <w:pStyle w:val="TableParagraph"/>
              <w:spacing w:line="233" w:lineRule="exact" w:before="2"/>
              <w:ind w:left="1" w:right="7"/>
              <w:jc w:val="center"/>
              <w:rPr>
                <w:rFonts w:ascii="Arial"/>
                <w:b/>
                <w:sz w:val="22"/>
              </w:rPr>
            </w:pPr>
            <w:r>
              <w:rPr>
                <w:rFonts w:ascii="Arial"/>
                <w:b/>
                <w:spacing w:val="-2"/>
                <w:sz w:val="22"/>
              </w:rPr>
              <w:t>Pasos</w:t>
            </w:r>
          </w:p>
        </w:tc>
      </w:tr>
      <w:tr>
        <w:trPr>
          <w:trHeight w:val="250" w:hRule="atLeast"/>
        </w:trPr>
        <w:tc>
          <w:tcPr>
            <w:tcW w:w="573" w:type="dxa"/>
            <w:tcBorders>
              <w:bottom w:val="single" w:sz="4" w:space="0" w:color="000000"/>
            </w:tcBorders>
          </w:tcPr>
          <w:p>
            <w:pPr>
              <w:pStyle w:val="TableParagraph"/>
              <w:rPr>
                <w:rFonts w:ascii="Times New Roman"/>
                <w:sz w:val="16"/>
              </w:rPr>
            </w:pPr>
          </w:p>
        </w:tc>
        <w:tc>
          <w:tcPr>
            <w:tcW w:w="2131" w:type="dxa"/>
            <w:tcBorders>
              <w:bottom w:val="single" w:sz="4" w:space="0" w:color="000000"/>
            </w:tcBorders>
          </w:tcPr>
          <w:p>
            <w:pPr>
              <w:pStyle w:val="TableParagraph"/>
              <w:rPr>
                <w:rFonts w:ascii="Times New Roman"/>
                <w:sz w:val="16"/>
              </w:rPr>
            </w:pPr>
          </w:p>
        </w:tc>
        <w:tc>
          <w:tcPr>
            <w:tcW w:w="1531" w:type="dxa"/>
            <w:tcBorders>
              <w:bottom w:val="single" w:sz="4" w:space="0" w:color="000000"/>
            </w:tcBorders>
          </w:tcPr>
          <w:p>
            <w:pPr>
              <w:pStyle w:val="TableParagraph"/>
              <w:spacing w:line="225" w:lineRule="exact"/>
              <w:ind w:left="63"/>
              <w:jc w:val="center"/>
              <w:rPr>
                <w:rFonts w:ascii="Arial"/>
                <w:b/>
                <w:sz w:val="22"/>
              </w:rPr>
            </w:pPr>
            <w:r>
              <w:rPr>
                <w:rFonts w:ascii="Arial"/>
                <w:b/>
                <w:spacing w:val="-2"/>
                <w:sz w:val="22"/>
              </w:rPr>
              <w:t>Autorizados</w:t>
            </w:r>
          </w:p>
        </w:tc>
        <w:tc>
          <w:tcPr>
            <w:tcW w:w="1658" w:type="dxa"/>
            <w:tcBorders>
              <w:bottom w:val="single" w:sz="4" w:space="0" w:color="000000"/>
            </w:tcBorders>
          </w:tcPr>
          <w:p>
            <w:pPr>
              <w:pStyle w:val="TableParagraph"/>
              <w:spacing w:line="225" w:lineRule="exact"/>
              <w:ind w:left="2" w:right="2"/>
              <w:jc w:val="center"/>
              <w:rPr>
                <w:rFonts w:ascii="Arial"/>
                <w:b/>
                <w:sz w:val="22"/>
              </w:rPr>
            </w:pPr>
            <w:r>
              <w:rPr>
                <w:rFonts w:ascii="Arial"/>
                <w:b/>
                <w:spacing w:val="-2"/>
                <w:sz w:val="22"/>
              </w:rPr>
              <w:t>Homologados</w:t>
            </w:r>
          </w:p>
        </w:tc>
        <w:tc>
          <w:tcPr>
            <w:tcW w:w="1782" w:type="dxa"/>
            <w:tcBorders>
              <w:bottom w:val="single" w:sz="4" w:space="0" w:color="000000"/>
            </w:tcBorders>
          </w:tcPr>
          <w:p>
            <w:pPr>
              <w:pStyle w:val="TableParagraph"/>
              <w:spacing w:line="225" w:lineRule="exact"/>
              <w:ind w:left="3" w:right="7"/>
              <w:jc w:val="center"/>
              <w:rPr>
                <w:rFonts w:ascii="Arial"/>
                <w:b/>
                <w:sz w:val="22"/>
              </w:rPr>
            </w:pPr>
            <w:r>
              <w:rPr>
                <w:rFonts w:ascii="Arial"/>
                <w:b/>
                <w:sz w:val="22"/>
              </w:rPr>
              <w:t>No</w:t>
            </w:r>
            <w:r>
              <w:rPr>
                <w:rFonts w:ascii="Arial"/>
                <w:b/>
                <w:spacing w:val="-2"/>
                <w:sz w:val="22"/>
              </w:rPr>
              <w:t> autorizados</w:t>
            </w:r>
          </w:p>
        </w:tc>
      </w:tr>
      <w:tr>
        <w:trPr>
          <w:trHeight w:val="302" w:hRule="atLeast"/>
        </w:trPr>
        <w:tc>
          <w:tcPr>
            <w:tcW w:w="573" w:type="dxa"/>
            <w:tcBorders>
              <w:top w:val="single" w:sz="4" w:space="0" w:color="000000"/>
            </w:tcBorders>
          </w:tcPr>
          <w:p>
            <w:pPr>
              <w:pStyle w:val="TableParagraph"/>
              <w:spacing w:before="24"/>
              <w:ind w:right="169"/>
              <w:jc w:val="right"/>
              <w:rPr>
                <w:sz w:val="22"/>
              </w:rPr>
            </w:pPr>
            <w:r>
              <w:rPr>
                <w:spacing w:val="-10"/>
                <w:sz w:val="22"/>
              </w:rPr>
              <w:t>1</w:t>
            </w:r>
          </w:p>
        </w:tc>
        <w:tc>
          <w:tcPr>
            <w:tcW w:w="2131" w:type="dxa"/>
            <w:tcBorders>
              <w:top w:val="single" w:sz="4" w:space="0" w:color="000000"/>
            </w:tcBorders>
          </w:tcPr>
          <w:p>
            <w:pPr>
              <w:pStyle w:val="TableParagraph"/>
              <w:spacing w:before="24"/>
              <w:ind w:left="170"/>
              <w:rPr>
                <w:sz w:val="22"/>
              </w:rPr>
            </w:pPr>
            <w:r>
              <w:rPr>
                <w:spacing w:val="-2"/>
                <w:sz w:val="22"/>
              </w:rPr>
              <w:t>Esmeraldas</w:t>
            </w:r>
          </w:p>
        </w:tc>
        <w:tc>
          <w:tcPr>
            <w:tcW w:w="1531" w:type="dxa"/>
            <w:tcBorders>
              <w:top w:val="single" w:sz="4" w:space="0" w:color="000000"/>
            </w:tcBorders>
          </w:tcPr>
          <w:p>
            <w:pPr>
              <w:pStyle w:val="TableParagraph"/>
              <w:spacing w:before="24"/>
              <w:ind w:left="63"/>
              <w:jc w:val="center"/>
              <w:rPr>
                <w:sz w:val="22"/>
              </w:rPr>
            </w:pPr>
            <w:r>
              <w:rPr>
                <w:spacing w:val="-10"/>
                <w:sz w:val="22"/>
              </w:rPr>
              <w:t>1</w:t>
            </w:r>
          </w:p>
        </w:tc>
        <w:tc>
          <w:tcPr>
            <w:tcW w:w="1658" w:type="dxa"/>
            <w:tcBorders>
              <w:top w:val="single" w:sz="4" w:space="0" w:color="000000"/>
            </w:tcBorders>
          </w:tcPr>
          <w:p>
            <w:pPr>
              <w:pStyle w:val="TableParagraph"/>
              <w:rPr>
                <w:rFonts w:ascii="Times New Roman"/>
                <w:sz w:val="20"/>
              </w:rPr>
            </w:pPr>
          </w:p>
        </w:tc>
        <w:tc>
          <w:tcPr>
            <w:tcW w:w="1782" w:type="dxa"/>
            <w:tcBorders>
              <w:top w:val="single" w:sz="4" w:space="0" w:color="000000"/>
            </w:tcBorders>
          </w:tcPr>
          <w:p>
            <w:pPr>
              <w:pStyle w:val="TableParagraph"/>
              <w:spacing w:before="24"/>
              <w:ind w:right="7"/>
              <w:jc w:val="center"/>
              <w:rPr>
                <w:sz w:val="22"/>
              </w:rPr>
            </w:pPr>
            <w:r>
              <w:rPr>
                <w:spacing w:val="-5"/>
                <w:sz w:val="22"/>
              </w:rPr>
              <w:t>13</w:t>
            </w:r>
          </w:p>
        </w:tc>
      </w:tr>
      <w:tr>
        <w:trPr>
          <w:trHeight w:val="301" w:hRule="atLeast"/>
        </w:trPr>
        <w:tc>
          <w:tcPr>
            <w:tcW w:w="573" w:type="dxa"/>
            <w:shd w:val="clear" w:color="auto" w:fill="DEEAF6"/>
          </w:tcPr>
          <w:p>
            <w:pPr>
              <w:pStyle w:val="TableParagraph"/>
              <w:spacing w:before="21"/>
              <w:ind w:right="169"/>
              <w:jc w:val="right"/>
              <w:rPr>
                <w:sz w:val="22"/>
              </w:rPr>
            </w:pPr>
            <w:r>
              <w:rPr>
                <w:spacing w:val="-10"/>
                <w:sz w:val="22"/>
              </w:rPr>
              <w:t>2</w:t>
            </w:r>
          </w:p>
        </w:tc>
        <w:tc>
          <w:tcPr>
            <w:tcW w:w="2131" w:type="dxa"/>
            <w:shd w:val="clear" w:color="auto" w:fill="DEEAF6"/>
          </w:tcPr>
          <w:p>
            <w:pPr>
              <w:pStyle w:val="TableParagraph"/>
              <w:spacing w:before="21"/>
              <w:ind w:left="170"/>
              <w:rPr>
                <w:sz w:val="22"/>
              </w:rPr>
            </w:pPr>
            <w:r>
              <w:rPr>
                <w:spacing w:val="-2"/>
                <w:sz w:val="22"/>
              </w:rPr>
              <w:t>Carchi</w:t>
            </w:r>
          </w:p>
        </w:tc>
        <w:tc>
          <w:tcPr>
            <w:tcW w:w="1531" w:type="dxa"/>
            <w:shd w:val="clear" w:color="auto" w:fill="DEEAF6"/>
          </w:tcPr>
          <w:p>
            <w:pPr>
              <w:pStyle w:val="TableParagraph"/>
              <w:spacing w:before="21"/>
              <w:ind w:left="63"/>
              <w:jc w:val="center"/>
              <w:rPr>
                <w:sz w:val="22"/>
              </w:rPr>
            </w:pPr>
            <w:r>
              <w:rPr>
                <w:spacing w:val="-10"/>
                <w:sz w:val="22"/>
              </w:rPr>
              <w:t>1</w:t>
            </w:r>
          </w:p>
        </w:tc>
        <w:tc>
          <w:tcPr>
            <w:tcW w:w="1658" w:type="dxa"/>
            <w:shd w:val="clear" w:color="auto" w:fill="DEEAF6"/>
          </w:tcPr>
          <w:p>
            <w:pPr>
              <w:pStyle w:val="TableParagraph"/>
              <w:spacing w:before="21"/>
              <w:ind w:right="2"/>
              <w:jc w:val="center"/>
              <w:rPr>
                <w:sz w:val="22"/>
              </w:rPr>
            </w:pPr>
            <w:r>
              <w:rPr>
                <w:spacing w:val="-10"/>
                <w:sz w:val="22"/>
              </w:rPr>
              <w:t>2</w:t>
            </w:r>
          </w:p>
        </w:tc>
        <w:tc>
          <w:tcPr>
            <w:tcW w:w="1782" w:type="dxa"/>
            <w:shd w:val="clear" w:color="auto" w:fill="DEEAF6"/>
          </w:tcPr>
          <w:p>
            <w:pPr>
              <w:pStyle w:val="TableParagraph"/>
              <w:spacing w:before="21"/>
              <w:ind w:right="7"/>
              <w:jc w:val="center"/>
              <w:rPr>
                <w:sz w:val="22"/>
              </w:rPr>
            </w:pPr>
            <w:r>
              <w:rPr>
                <w:spacing w:val="-5"/>
                <w:sz w:val="22"/>
              </w:rPr>
              <w:t>34</w:t>
            </w:r>
          </w:p>
        </w:tc>
      </w:tr>
      <w:tr>
        <w:trPr>
          <w:trHeight w:val="298" w:hRule="atLeast"/>
        </w:trPr>
        <w:tc>
          <w:tcPr>
            <w:tcW w:w="573" w:type="dxa"/>
            <w:shd w:val="clear" w:color="auto" w:fill="DEEAF6"/>
          </w:tcPr>
          <w:p>
            <w:pPr>
              <w:pStyle w:val="TableParagraph"/>
              <w:spacing w:before="20"/>
              <w:ind w:right="169"/>
              <w:jc w:val="right"/>
              <w:rPr>
                <w:sz w:val="22"/>
              </w:rPr>
            </w:pPr>
            <w:r>
              <w:rPr>
                <w:spacing w:val="-10"/>
                <w:sz w:val="22"/>
              </w:rPr>
              <w:t>3</w:t>
            </w:r>
          </w:p>
        </w:tc>
        <w:tc>
          <w:tcPr>
            <w:tcW w:w="2131" w:type="dxa"/>
            <w:shd w:val="clear" w:color="auto" w:fill="DEEAF6"/>
          </w:tcPr>
          <w:p>
            <w:pPr>
              <w:pStyle w:val="TableParagraph"/>
              <w:spacing w:before="20"/>
              <w:ind w:left="170"/>
              <w:rPr>
                <w:sz w:val="22"/>
              </w:rPr>
            </w:pPr>
            <w:r>
              <w:rPr>
                <w:spacing w:val="-2"/>
                <w:sz w:val="22"/>
              </w:rPr>
              <w:t>Sucumbíos</w:t>
            </w:r>
          </w:p>
        </w:tc>
        <w:tc>
          <w:tcPr>
            <w:tcW w:w="1531" w:type="dxa"/>
            <w:shd w:val="clear" w:color="auto" w:fill="DEEAF6"/>
          </w:tcPr>
          <w:p>
            <w:pPr>
              <w:pStyle w:val="TableParagraph"/>
              <w:spacing w:before="20"/>
              <w:ind w:left="63"/>
              <w:jc w:val="center"/>
              <w:rPr>
                <w:sz w:val="22"/>
              </w:rPr>
            </w:pPr>
            <w:r>
              <w:rPr>
                <w:spacing w:val="-10"/>
                <w:sz w:val="22"/>
              </w:rPr>
              <w:t>1</w:t>
            </w:r>
          </w:p>
        </w:tc>
        <w:tc>
          <w:tcPr>
            <w:tcW w:w="1658" w:type="dxa"/>
            <w:shd w:val="clear" w:color="auto" w:fill="DEEAF6"/>
          </w:tcPr>
          <w:p>
            <w:pPr>
              <w:pStyle w:val="TableParagraph"/>
              <w:rPr>
                <w:rFonts w:ascii="Times New Roman"/>
                <w:sz w:val="20"/>
              </w:rPr>
            </w:pPr>
          </w:p>
        </w:tc>
        <w:tc>
          <w:tcPr>
            <w:tcW w:w="1782" w:type="dxa"/>
            <w:shd w:val="clear" w:color="auto" w:fill="DEEAF6"/>
          </w:tcPr>
          <w:p>
            <w:pPr>
              <w:pStyle w:val="TableParagraph"/>
              <w:spacing w:before="20"/>
              <w:ind w:right="7"/>
              <w:jc w:val="center"/>
              <w:rPr>
                <w:sz w:val="22"/>
              </w:rPr>
            </w:pPr>
            <w:r>
              <w:rPr>
                <w:spacing w:val="-5"/>
                <w:sz w:val="22"/>
              </w:rPr>
              <w:t>21</w:t>
            </w:r>
          </w:p>
        </w:tc>
      </w:tr>
      <w:tr>
        <w:trPr>
          <w:trHeight w:val="301" w:hRule="atLeast"/>
        </w:trPr>
        <w:tc>
          <w:tcPr>
            <w:tcW w:w="573" w:type="dxa"/>
          </w:tcPr>
          <w:p>
            <w:pPr>
              <w:pStyle w:val="TableParagraph"/>
              <w:spacing w:before="21"/>
              <w:ind w:right="169"/>
              <w:jc w:val="right"/>
              <w:rPr>
                <w:sz w:val="22"/>
              </w:rPr>
            </w:pPr>
            <w:r>
              <w:rPr>
                <w:spacing w:val="-10"/>
                <w:sz w:val="22"/>
              </w:rPr>
              <w:t>4</w:t>
            </w:r>
          </w:p>
        </w:tc>
        <w:tc>
          <w:tcPr>
            <w:tcW w:w="2131" w:type="dxa"/>
          </w:tcPr>
          <w:p>
            <w:pPr>
              <w:pStyle w:val="TableParagraph"/>
              <w:spacing w:before="21"/>
              <w:ind w:left="170"/>
              <w:rPr>
                <w:sz w:val="22"/>
              </w:rPr>
            </w:pPr>
            <w:r>
              <w:rPr>
                <w:spacing w:val="-2"/>
                <w:sz w:val="22"/>
              </w:rPr>
              <w:t>Orellana</w:t>
            </w:r>
          </w:p>
        </w:tc>
        <w:tc>
          <w:tcPr>
            <w:tcW w:w="1531" w:type="dxa"/>
          </w:tcPr>
          <w:p>
            <w:pPr>
              <w:pStyle w:val="TableParagraph"/>
              <w:rPr>
                <w:rFonts w:ascii="Times New Roman"/>
                <w:sz w:val="20"/>
              </w:rPr>
            </w:pPr>
          </w:p>
        </w:tc>
        <w:tc>
          <w:tcPr>
            <w:tcW w:w="1658" w:type="dxa"/>
          </w:tcPr>
          <w:p>
            <w:pPr>
              <w:pStyle w:val="TableParagraph"/>
              <w:rPr>
                <w:rFonts w:ascii="Times New Roman"/>
                <w:sz w:val="20"/>
              </w:rPr>
            </w:pPr>
          </w:p>
        </w:tc>
        <w:tc>
          <w:tcPr>
            <w:tcW w:w="1782" w:type="dxa"/>
          </w:tcPr>
          <w:p>
            <w:pPr>
              <w:pStyle w:val="TableParagraph"/>
              <w:spacing w:before="21"/>
              <w:ind w:left="3" w:right="7"/>
              <w:jc w:val="center"/>
              <w:rPr>
                <w:sz w:val="22"/>
              </w:rPr>
            </w:pPr>
            <w:r>
              <w:rPr>
                <w:spacing w:val="-10"/>
                <w:sz w:val="22"/>
              </w:rPr>
              <w:t>4</w:t>
            </w:r>
          </w:p>
        </w:tc>
      </w:tr>
      <w:tr>
        <w:trPr>
          <w:trHeight w:val="300" w:hRule="atLeast"/>
        </w:trPr>
        <w:tc>
          <w:tcPr>
            <w:tcW w:w="573" w:type="dxa"/>
          </w:tcPr>
          <w:p>
            <w:pPr>
              <w:pStyle w:val="TableParagraph"/>
              <w:spacing w:before="20"/>
              <w:ind w:right="169"/>
              <w:jc w:val="right"/>
              <w:rPr>
                <w:sz w:val="22"/>
              </w:rPr>
            </w:pPr>
            <w:r>
              <w:rPr>
                <w:spacing w:val="-10"/>
                <w:sz w:val="22"/>
              </w:rPr>
              <w:t>5</w:t>
            </w:r>
          </w:p>
        </w:tc>
        <w:tc>
          <w:tcPr>
            <w:tcW w:w="2131" w:type="dxa"/>
          </w:tcPr>
          <w:p>
            <w:pPr>
              <w:pStyle w:val="TableParagraph"/>
              <w:spacing w:before="20"/>
              <w:ind w:left="170"/>
              <w:rPr>
                <w:sz w:val="22"/>
              </w:rPr>
            </w:pPr>
            <w:r>
              <w:rPr>
                <w:spacing w:val="-2"/>
                <w:sz w:val="22"/>
              </w:rPr>
              <w:t>Pastaza</w:t>
            </w:r>
          </w:p>
        </w:tc>
        <w:tc>
          <w:tcPr>
            <w:tcW w:w="1531" w:type="dxa"/>
          </w:tcPr>
          <w:p>
            <w:pPr>
              <w:pStyle w:val="TableParagraph"/>
              <w:rPr>
                <w:rFonts w:ascii="Times New Roman"/>
                <w:sz w:val="20"/>
              </w:rPr>
            </w:pPr>
          </w:p>
        </w:tc>
        <w:tc>
          <w:tcPr>
            <w:tcW w:w="1658" w:type="dxa"/>
          </w:tcPr>
          <w:p>
            <w:pPr>
              <w:pStyle w:val="TableParagraph"/>
              <w:rPr>
                <w:rFonts w:ascii="Times New Roman"/>
                <w:sz w:val="20"/>
              </w:rPr>
            </w:pPr>
          </w:p>
        </w:tc>
        <w:tc>
          <w:tcPr>
            <w:tcW w:w="1782" w:type="dxa"/>
          </w:tcPr>
          <w:p>
            <w:pPr>
              <w:pStyle w:val="TableParagraph"/>
              <w:spacing w:before="20"/>
              <w:ind w:left="3" w:right="7"/>
              <w:jc w:val="center"/>
              <w:rPr>
                <w:sz w:val="22"/>
              </w:rPr>
            </w:pPr>
            <w:r>
              <w:rPr>
                <w:spacing w:val="-10"/>
                <w:sz w:val="22"/>
              </w:rPr>
              <w:t>5</w:t>
            </w:r>
          </w:p>
        </w:tc>
      </w:tr>
      <w:tr>
        <w:trPr>
          <w:trHeight w:val="300" w:hRule="atLeast"/>
        </w:trPr>
        <w:tc>
          <w:tcPr>
            <w:tcW w:w="573" w:type="dxa"/>
          </w:tcPr>
          <w:p>
            <w:pPr>
              <w:pStyle w:val="TableParagraph"/>
              <w:spacing w:before="20"/>
              <w:ind w:right="169"/>
              <w:jc w:val="right"/>
              <w:rPr>
                <w:sz w:val="22"/>
              </w:rPr>
            </w:pPr>
            <w:r>
              <w:rPr>
                <w:spacing w:val="-10"/>
                <w:sz w:val="22"/>
              </w:rPr>
              <w:t>6</w:t>
            </w:r>
          </w:p>
        </w:tc>
        <w:tc>
          <w:tcPr>
            <w:tcW w:w="2131" w:type="dxa"/>
          </w:tcPr>
          <w:p>
            <w:pPr>
              <w:pStyle w:val="TableParagraph"/>
              <w:spacing w:before="20"/>
              <w:ind w:left="170"/>
              <w:rPr>
                <w:sz w:val="22"/>
              </w:rPr>
            </w:pPr>
            <w:r>
              <w:rPr>
                <w:sz w:val="22"/>
              </w:rPr>
              <w:t>Morona</w:t>
            </w:r>
            <w:r>
              <w:rPr>
                <w:spacing w:val="-6"/>
                <w:sz w:val="22"/>
              </w:rPr>
              <w:t> </w:t>
            </w:r>
            <w:r>
              <w:rPr>
                <w:spacing w:val="-2"/>
                <w:sz w:val="22"/>
              </w:rPr>
              <w:t>Santiago</w:t>
            </w:r>
          </w:p>
        </w:tc>
        <w:tc>
          <w:tcPr>
            <w:tcW w:w="1531" w:type="dxa"/>
          </w:tcPr>
          <w:p>
            <w:pPr>
              <w:pStyle w:val="TableParagraph"/>
              <w:rPr>
                <w:rFonts w:ascii="Times New Roman"/>
                <w:sz w:val="20"/>
              </w:rPr>
            </w:pPr>
          </w:p>
        </w:tc>
        <w:tc>
          <w:tcPr>
            <w:tcW w:w="1658" w:type="dxa"/>
          </w:tcPr>
          <w:p>
            <w:pPr>
              <w:pStyle w:val="TableParagraph"/>
              <w:rPr>
                <w:rFonts w:ascii="Times New Roman"/>
                <w:sz w:val="20"/>
              </w:rPr>
            </w:pPr>
          </w:p>
        </w:tc>
        <w:tc>
          <w:tcPr>
            <w:tcW w:w="1782" w:type="dxa"/>
          </w:tcPr>
          <w:p>
            <w:pPr>
              <w:pStyle w:val="TableParagraph"/>
              <w:spacing w:before="20"/>
              <w:ind w:left="3" w:right="7"/>
              <w:jc w:val="center"/>
              <w:rPr>
                <w:sz w:val="22"/>
              </w:rPr>
            </w:pPr>
            <w:r>
              <w:rPr>
                <w:spacing w:val="-10"/>
                <w:sz w:val="22"/>
              </w:rPr>
              <w:t>6</w:t>
            </w:r>
          </w:p>
        </w:tc>
      </w:tr>
      <w:tr>
        <w:trPr>
          <w:trHeight w:val="300" w:hRule="atLeast"/>
        </w:trPr>
        <w:tc>
          <w:tcPr>
            <w:tcW w:w="573" w:type="dxa"/>
          </w:tcPr>
          <w:p>
            <w:pPr>
              <w:pStyle w:val="TableParagraph"/>
              <w:spacing w:before="20"/>
              <w:ind w:right="169"/>
              <w:jc w:val="right"/>
              <w:rPr>
                <w:sz w:val="22"/>
              </w:rPr>
            </w:pPr>
            <w:r>
              <w:rPr>
                <w:spacing w:val="-10"/>
                <w:sz w:val="22"/>
              </w:rPr>
              <w:t>7</w:t>
            </w:r>
          </w:p>
        </w:tc>
        <w:tc>
          <w:tcPr>
            <w:tcW w:w="2131" w:type="dxa"/>
          </w:tcPr>
          <w:p>
            <w:pPr>
              <w:pStyle w:val="TableParagraph"/>
              <w:spacing w:before="20"/>
              <w:ind w:left="170"/>
              <w:rPr>
                <w:sz w:val="22"/>
              </w:rPr>
            </w:pPr>
            <w:r>
              <w:rPr>
                <w:sz w:val="22"/>
              </w:rPr>
              <w:t>Zamora</w:t>
            </w:r>
            <w:r>
              <w:rPr>
                <w:spacing w:val="-6"/>
                <w:sz w:val="22"/>
              </w:rPr>
              <w:t> </w:t>
            </w:r>
            <w:r>
              <w:rPr>
                <w:spacing w:val="-2"/>
                <w:sz w:val="22"/>
              </w:rPr>
              <w:t>Chinchipe</w:t>
            </w:r>
          </w:p>
        </w:tc>
        <w:tc>
          <w:tcPr>
            <w:tcW w:w="1531" w:type="dxa"/>
          </w:tcPr>
          <w:p>
            <w:pPr>
              <w:pStyle w:val="TableParagraph"/>
              <w:spacing w:before="20"/>
              <w:ind w:left="63"/>
              <w:jc w:val="center"/>
              <w:rPr>
                <w:sz w:val="22"/>
              </w:rPr>
            </w:pPr>
            <w:r>
              <w:rPr>
                <w:spacing w:val="-10"/>
                <w:sz w:val="22"/>
              </w:rPr>
              <w:t>1</w:t>
            </w:r>
          </w:p>
        </w:tc>
        <w:tc>
          <w:tcPr>
            <w:tcW w:w="1658" w:type="dxa"/>
          </w:tcPr>
          <w:p>
            <w:pPr>
              <w:pStyle w:val="TableParagraph"/>
              <w:rPr>
                <w:rFonts w:ascii="Times New Roman"/>
                <w:sz w:val="20"/>
              </w:rPr>
            </w:pPr>
          </w:p>
        </w:tc>
        <w:tc>
          <w:tcPr>
            <w:tcW w:w="1782" w:type="dxa"/>
          </w:tcPr>
          <w:p>
            <w:pPr>
              <w:pStyle w:val="TableParagraph"/>
              <w:spacing w:before="20"/>
              <w:ind w:left="3" w:right="7"/>
              <w:jc w:val="center"/>
              <w:rPr>
                <w:sz w:val="22"/>
              </w:rPr>
            </w:pPr>
            <w:r>
              <w:rPr>
                <w:spacing w:val="-10"/>
                <w:sz w:val="22"/>
              </w:rPr>
              <w:t>6</w:t>
            </w:r>
          </w:p>
        </w:tc>
      </w:tr>
      <w:tr>
        <w:trPr>
          <w:trHeight w:val="300" w:hRule="atLeast"/>
        </w:trPr>
        <w:tc>
          <w:tcPr>
            <w:tcW w:w="573" w:type="dxa"/>
          </w:tcPr>
          <w:p>
            <w:pPr>
              <w:pStyle w:val="TableParagraph"/>
              <w:spacing w:before="20"/>
              <w:ind w:right="169"/>
              <w:jc w:val="right"/>
              <w:rPr>
                <w:sz w:val="22"/>
              </w:rPr>
            </w:pPr>
            <w:r>
              <w:rPr>
                <w:spacing w:val="-10"/>
                <w:sz w:val="22"/>
              </w:rPr>
              <w:t>8</w:t>
            </w:r>
          </w:p>
        </w:tc>
        <w:tc>
          <w:tcPr>
            <w:tcW w:w="2131" w:type="dxa"/>
          </w:tcPr>
          <w:p>
            <w:pPr>
              <w:pStyle w:val="TableParagraph"/>
              <w:spacing w:before="20"/>
              <w:ind w:left="170"/>
              <w:rPr>
                <w:sz w:val="22"/>
              </w:rPr>
            </w:pPr>
            <w:r>
              <w:rPr>
                <w:spacing w:val="-4"/>
                <w:sz w:val="22"/>
              </w:rPr>
              <w:t>Loja</w:t>
            </w:r>
          </w:p>
        </w:tc>
        <w:tc>
          <w:tcPr>
            <w:tcW w:w="1531" w:type="dxa"/>
          </w:tcPr>
          <w:p>
            <w:pPr>
              <w:pStyle w:val="TableParagraph"/>
              <w:spacing w:before="20"/>
              <w:ind w:left="63"/>
              <w:jc w:val="center"/>
              <w:rPr>
                <w:sz w:val="22"/>
              </w:rPr>
            </w:pPr>
            <w:r>
              <w:rPr>
                <w:spacing w:val="-10"/>
                <w:sz w:val="22"/>
              </w:rPr>
              <w:t>1</w:t>
            </w:r>
          </w:p>
        </w:tc>
        <w:tc>
          <w:tcPr>
            <w:tcW w:w="1658" w:type="dxa"/>
          </w:tcPr>
          <w:p>
            <w:pPr>
              <w:pStyle w:val="TableParagraph"/>
              <w:spacing w:before="20"/>
              <w:ind w:right="2"/>
              <w:jc w:val="center"/>
              <w:rPr>
                <w:sz w:val="22"/>
              </w:rPr>
            </w:pPr>
            <w:r>
              <w:rPr>
                <w:spacing w:val="-10"/>
                <w:sz w:val="22"/>
              </w:rPr>
              <w:t>2</w:t>
            </w:r>
          </w:p>
        </w:tc>
        <w:tc>
          <w:tcPr>
            <w:tcW w:w="1782" w:type="dxa"/>
          </w:tcPr>
          <w:p>
            <w:pPr>
              <w:pStyle w:val="TableParagraph"/>
              <w:spacing w:before="20"/>
              <w:ind w:right="7"/>
              <w:jc w:val="center"/>
              <w:rPr>
                <w:sz w:val="22"/>
              </w:rPr>
            </w:pPr>
            <w:r>
              <w:rPr>
                <w:spacing w:val="-5"/>
                <w:sz w:val="22"/>
              </w:rPr>
              <w:t>35</w:t>
            </w:r>
          </w:p>
        </w:tc>
      </w:tr>
      <w:tr>
        <w:trPr>
          <w:trHeight w:val="297" w:hRule="atLeast"/>
        </w:trPr>
        <w:tc>
          <w:tcPr>
            <w:tcW w:w="573" w:type="dxa"/>
            <w:tcBorders>
              <w:bottom w:val="double" w:sz="4" w:space="0" w:color="000000"/>
            </w:tcBorders>
          </w:tcPr>
          <w:p>
            <w:pPr>
              <w:pStyle w:val="TableParagraph"/>
              <w:spacing w:before="20"/>
              <w:ind w:right="169"/>
              <w:jc w:val="right"/>
              <w:rPr>
                <w:sz w:val="22"/>
              </w:rPr>
            </w:pPr>
            <w:r>
              <w:rPr>
                <w:spacing w:val="-10"/>
                <w:sz w:val="22"/>
              </w:rPr>
              <w:t>9</w:t>
            </w:r>
          </w:p>
        </w:tc>
        <w:tc>
          <w:tcPr>
            <w:tcW w:w="2131" w:type="dxa"/>
            <w:tcBorders>
              <w:bottom w:val="double" w:sz="4" w:space="0" w:color="000000"/>
            </w:tcBorders>
          </w:tcPr>
          <w:p>
            <w:pPr>
              <w:pStyle w:val="TableParagraph"/>
              <w:spacing w:before="20"/>
              <w:ind w:left="170"/>
              <w:rPr>
                <w:sz w:val="22"/>
              </w:rPr>
            </w:pPr>
            <w:r>
              <w:rPr>
                <w:sz w:val="22"/>
              </w:rPr>
              <w:t>El</w:t>
            </w:r>
            <w:r>
              <w:rPr>
                <w:spacing w:val="-1"/>
                <w:sz w:val="22"/>
              </w:rPr>
              <w:t> </w:t>
            </w:r>
            <w:r>
              <w:rPr>
                <w:spacing w:val="-5"/>
                <w:sz w:val="22"/>
              </w:rPr>
              <w:t>oro</w:t>
            </w:r>
          </w:p>
        </w:tc>
        <w:tc>
          <w:tcPr>
            <w:tcW w:w="1531" w:type="dxa"/>
            <w:tcBorders>
              <w:bottom w:val="double" w:sz="4" w:space="0" w:color="000000"/>
            </w:tcBorders>
          </w:tcPr>
          <w:p>
            <w:pPr>
              <w:pStyle w:val="TableParagraph"/>
              <w:spacing w:before="20"/>
              <w:ind w:left="63"/>
              <w:jc w:val="center"/>
              <w:rPr>
                <w:sz w:val="22"/>
              </w:rPr>
            </w:pPr>
            <w:r>
              <w:rPr>
                <w:spacing w:val="-10"/>
                <w:sz w:val="22"/>
              </w:rPr>
              <w:t>1</w:t>
            </w:r>
          </w:p>
        </w:tc>
        <w:tc>
          <w:tcPr>
            <w:tcW w:w="1658" w:type="dxa"/>
            <w:tcBorders>
              <w:bottom w:val="double" w:sz="4" w:space="0" w:color="000000"/>
            </w:tcBorders>
          </w:tcPr>
          <w:p>
            <w:pPr>
              <w:pStyle w:val="TableParagraph"/>
              <w:rPr>
                <w:rFonts w:ascii="Times New Roman"/>
                <w:sz w:val="20"/>
              </w:rPr>
            </w:pPr>
          </w:p>
        </w:tc>
        <w:tc>
          <w:tcPr>
            <w:tcW w:w="1782" w:type="dxa"/>
            <w:tcBorders>
              <w:bottom w:val="double" w:sz="4" w:space="0" w:color="000000"/>
            </w:tcBorders>
          </w:tcPr>
          <w:p>
            <w:pPr>
              <w:pStyle w:val="TableParagraph"/>
              <w:spacing w:before="20"/>
              <w:ind w:right="7"/>
              <w:jc w:val="center"/>
              <w:rPr>
                <w:sz w:val="22"/>
              </w:rPr>
            </w:pPr>
            <w:r>
              <w:rPr>
                <w:spacing w:val="-5"/>
                <w:sz w:val="22"/>
              </w:rPr>
              <w:t>18</w:t>
            </w:r>
          </w:p>
        </w:tc>
      </w:tr>
      <w:tr>
        <w:trPr>
          <w:trHeight w:val="299" w:hRule="atLeast"/>
        </w:trPr>
        <w:tc>
          <w:tcPr>
            <w:tcW w:w="573" w:type="dxa"/>
            <w:tcBorders>
              <w:top w:val="double" w:sz="4" w:space="0" w:color="000000"/>
              <w:bottom w:val="single" w:sz="4" w:space="0" w:color="000000"/>
            </w:tcBorders>
          </w:tcPr>
          <w:p>
            <w:pPr>
              <w:pStyle w:val="TableParagraph"/>
              <w:rPr>
                <w:rFonts w:ascii="Times New Roman"/>
                <w:sz w:val="20"/>
              </w:rPr>
            </w:pPr>
          </w:p>
        </w:tc>
        <w:tc>
          <w:tcPr>
            <w:tcW w:w="2131" w:type="dxa"/>
            <w:tcBorders>
              <w:top w:val="double" w:sz="4" w:space="0" w:color="000000"/>
              <w:bottom w:val="single" w:sz="4" w:space="0" w:color="000000"/>
            </w:tcBorders>
          </w:tcPr>
          <w:p>
            <w:pPr>
              <w:pStyle w:val="TableParagraph"/>
              <w:spacing w:before="23"/>
              <w:ind w:left="446"/>
              <w:rPr>
                <w:rFonts w:ascii="Arial"/>
                <w:b/>
                <w:sz w:val="22"/>
              </w:rPr>
            </w:pPr>
            <w:r>
              <w:rPr>
                <w:rFonts w:ascii="Arial"/>
                <w:b/>
                <w:spacing w:val="-2"/>
                <w:sz w:val="22"/>
              </w:rPr>
              <w:t>TOTAL</w:t>
            </w:r>
          </w:p>
        </w:tc>
        <w:tc>
          <w:tcPr>
            <w:tcW w:w="1531" w:type="dxa"/>
            <w:tcBorders>
              <w:top w:val="double" w:sz="4" w:space="0" w:color="000000"/>
              <w:bottom w:val="single" w:sz="4" w:space="0" w:color="000000"/>
            </w:tcBorders>
          </w:tcPr>
          <w:p>
            <w:pPr>
              <w:pStyle w:val="TableParagraph"/>
              <w:spacing w:before="23"/>
              <w:ind w:left="63"/>
              <w:jc w:val="center"/>
              <w:rPr>
                <w:rFonts w:ascii="Arial"/>
                <w:b/>
                <w:sz w:val="22"/>
              </w:rPr>
            </w:pPr>
            <w:r>
              <w:rPr>
                <w:rFonts w:ascii="Arial"/>
                <w:b/>
                <w:spacing w:val="-10"/>
                <w:sz w:val="22"/>
              </w:rPr>
              <w:t>6</w:t>
            </w:r>
          </w:p>
        </w:tc>
        <w:tc>
          <w:tcPr>
            <w:tcW w:w="1658" w:type="dxa"/>
            <w:tcBorders>
              <w:top w:val="double" w:sz="4" w:space="0" w:color="000000"/>
              <w:bottom w:val="single" w:sz="4" w:space="0" w:color="000000"/>
            </w:tcBorders>
          </w:tcPr>
          <w:p>
            <w:pPr>
              <w:pStyle w:val="TableParagraph"/>
              <w:spacing w:before="23"/>
              <w:ind w:right="2"/>
              <w:jc w:val="center"/>
              <w:rPr>
                <w:rFonts w:ascii="Arial"/>
                <w:b/>
                <w:sz w:val="22"/>
              </w:rPr>
            </w:pPr>
            <w:r>
              <w:rPr>
                <w:rFonts w:ascii="Arial"/>
                <w:b/>
                <w:spacing w:val="-10"/>
                <w:sz w:val="22"/>
              </w:rPr>
              <w:t>4</w:t>
            </w:r>
          </w:p>
        </w:tc>
        <w:tc>
          <w:tcPr>
            <w:tcW w:w="1782" w:type="dxa"/>
            <w:tcBorders>
              <w:top w:val="double" w:sz="4" w:space="0" w:color="000000"/>
              <w:bottom w:val="single" w:sz="4" w:space="0" w:color="000000"/>
            </w:tcBorders>
          </w:tcPr>
          <w:p>
            <w:pPr>
              <w:pStyle w:val="TableParagraph"/>
              <w:spacing w:before="23"/>
              <w:ind w:left="2" w:right="7"/>
              <w:jc w:val="center"/>
              <w:rPr>
                <w:rFonts w:ascii="Arial"/>
                <w:b/>
                <w:sz w:val="22"/>
              </w:rPr>
            </w:pPr>
            <w:r>
              <w:rPr>
                <w:rFonts w:ascii="Arial"/>
                <w:b/>
                <w:spacing w:val="-5"/>
                <w:sz w:val="22"/>
              </w:rPr>
              <w:t>142</w:t>
            </w:r>
          </w:p>
        </w:tc>
      </w:tr>
    </w:tbl>
    <w:p>
      <w:pPr>
        <w:spacing w:before="0"/>
        <w:ind w:left="1562" w:right="2021" w:firstLine="0"/>
        <w:jc w:val="left"/>
        <w:rPr>
          <w:sz w:val="18"/>
        </w:rPr>
      </w:pPr>
      <w:r>
        <w:rPr>
          <w:sz w:val="18"/>
        </w:rPr>
        <w:t>Fuente:</w:t>
      </w:r>
      <w:r>
        <w:rPr>
          <w:spacing w:val="-11"/>
          <w:sz w:val="18"/>
        </w:rPr>
        <w:t> </w:t>
      </w:r>
      <w:r>
        <w:rPr>
          <w:sz w:val="18"/>
        </w:rPr>
        <w:t>Comando</w:t>
      </w:r>
      <w:r>
        <w:rPr>
          <w:spacing w:val="-11"/>
          <w:sz w:val="18"/>
        </w:rPr>
        <w:t> </w:t>
      </w:r>
      <w:r>
        <w:rPr>
          <w:sz w:val="18"/>
        </w:rPr>
        <w:t>Conjunto</w:t>
      </w:r>
      <w:r>
        <w:rPr>
          <w:spacing w:val="-13"/>
          <w:sz w:val="18"/>
        </w:rPr>
        <w:t> </w:t>
      </w:r>
      <w:r>
        <w:rPr>
          <w:sz w:val="18"/>
        </w:rPr>
        <w:t>de</w:t>
      </w:r>
      <w:r>
        <w:rPr>
          <w:spacing w:val="-12"/>
          <w:sz w:val="18"/>
        </w:rPr>
        <w:t> </w:t>
      </w:r>
      <w:r>
        <w:rPr>
          <w:sz w:val="18"/>
        </w:rPr>
        <w:t>las</w:t>
      </w:r>
      <w:r>
        <w:rPr>
          <w:spacing w:val="-13"/>
          <w:sz w:val="18"/>
        </w:rPr>
        <w:t> </w:t>
      </w:r>
      <w:r>
        <w:rPr>
          <w:sz w:val="18"/>
        </w:rPr>
        <w:t>Fuerzas</w:t>
      </w:r>
      <w:r>
        <w:rPr>
          <w:spacing w:val="-9"/>
          <w:sz w:val="18"/>
        </w:rPr>
        <w:t> </w:t>
      </w:r>
      <w:r>
        <w:rPr>
          <w:sz w:val="18"/>
        </w:rPr>
        <w:t>Armadas</w:t>
      </w:r>
      <w:r>
        <w:rPr>
          <w:spacing w:val="-13"/>
          <w:sz w:val="18"/>
        </w:rPr>
        <w:t> </w:t>
      </w:r>
      <w:r>
        <w:rPr>
          <w:sz w:val="18"/>
        </w:rPr>
        <w:t>del</w:t>
      </w:r>
      <w:r>
        <w:rPr>
          <w:spacing w:val="-10"/>
          <w:sz w:val="18"/>
        </w:rPr>
        <w:t> </w:t>
      </w:r>
      <w:r>
        <w:rPr>
          <w:sz w:val="18"/>
        </w:rPr>
        <w:t>Ecuador</w:t>
      </w:r>
      <w:r>
        <w:rPr>
          <w:spacing w:val="-5"/>
          <w:sz w:val="18"/>
        </w:rPr>
        <w:t> </w:t>
      </w:r>
      <w:r>
        <w:rPr>
          <w:sz w:val="18"/>
        </w:rPr>
        <w:t>-Dirección</w:t>
      </w:r>
      <w:r>
        <w:rPr>
          <w:spacing w:val="-11"/>
          <w:sz w:val="18"/>
        </w:rPr>
        <w:t> </w:t>
      </w:r>
      <w:r>
        <w:rPr>
          <w:sz w:val="18"/>
        </w:rPr>
        <w:t>General</w:t>
      </w:r>
      <w:r>
        <w:rPr>
          <w:spacing w:val="-9"/>
          <w:sz w:val="18"/>
        </w:rPr>
        <w:t> </w:t>
      </w:r>
      <w:r>
        <w:rPr>
          <w:sz w:val="18"/>
        </w:rPr>
        <w:t>de Inteligencia de la República del Ecuador.</w:t>
      </w:r>
    </w:p>
    <w:p>
      <w:pPr>
        <w:spacing w:before="0"/>
        <w:ind w:left="1562" w:right="0" w:firstLine="0"/>
        <w:jc w:val="left"/>
        <w:rPr>
          <w:sz w:val="18"/>
        </w:rPr>
      </w:pPr>
      <w:r>
        <w:rPr>
          <w:sz w:val="18"/>
        </w:rPr>
        <w:t>Elaboración:</w:t>
      </w:r>
      <w:r>
        <w:rPr>
          <w:spacing w:val="-5"/>
          <w:sz w:val="18"/>
        </w:rPr>
        <w:t> </w:t>
      </w:r>
      <w:r>
        <w:rPr>
          <w:spacing w:val="-2"/>
          <w:sz w:val="18"/>
        </w:rPr>
        <w:t>SGCAN.</w:t>
      </w:r>
    </w:p>
    <w:p>
      <w:pPr>
        <w:pStyle w:val="BodyText"/>
        <w:spacing w:before="44"/>
        <w:rPr>
          <w:sz w:val="18"/>
        </w:rPr>
      </w:pPr>
    </w:p>
    <w:p>
      <w:pPr>
        <w:pStyle w:val="ListParagraph"/>
        <w:numPr>
          <w:ilvl w:val="0"/>
          <w:numId w:val="2"/>
        </w:numPr>
        <w:tabs>
          <w:tab w:pos="1416" w:val="left" w:leader="none"/>
          <w:tab w:pos="1420" w:val="left" w:leader="none"/>
        </w:tabs>
        <w:spacing w:line="240" w:lineRule="auto" w:before="1" w:after="0"/>
        <w:ind w:left="1420" w:right="976" w:hanging="852"/>
        <w:jc w:val="both"/>
        <w:rPr>
          <w:sz w:val="22"/>
        </w:rPr>
      </w:pPr>
      <w:r>
        <w:rPr>
          <w:sz w:val="22"/>
        </w:rPr>
        <w:t>De la Tabla N.°5 se puede observar que, en cuanto a las provincias de Carchi y Sucumbíos, – que concentran los principales puntos de control fronterizo para el análisis</w:t>
      </w:r>
      <w:r>
        <w:rPr>
          <w:spacing w:val="-11"/>
          <w:sz w:val="22"/>
        </w:rPr>
        <w:t> </w:t>
      </w:r>
      <w:r>
        <w:rPr>
          <w:sz w:val="22"/>
        </w:rPr>
        <w:t>de</w:t>
      </w:r>
      <w:r>
        <w:rPr>
          <w:spacing w:val="-12"/>
          <w:sz w:val="22"/>
        </w:rPr>
        <w:t> </w:t>
      </w:r>
      <w:r>
        <w:rPr>
          <w:sz w:val="22"/>
        </w:rPr>
        <w:t>los</w:t>
      </w:r>
      <w:r>
        <w:rPr>
          <w:spacing w:val="-11"/>
          <w:sz w:val="22"/>
        </w:rPr>
        <w:t> </w:t>
      </w:r>
      <w:r>
        <w:rPr>
          <w:sz w:val="22"/>
        </w:rPr>
        <w:t>efectos</w:t>
      </w:r>
      <w:r>
        <w:rPr>
          <w:spacing w:val="-10"/>
          <w:sz w:val="22"/>
        </w:rPr>
        <w:t> </w:t>
      </w:r>
      <w:r>
        <w:rPr>
          <w:sz w:val="22"/>
        </w:rPr>
        <w:t>de</w:t>
      </w:r>
      <w:r>
        <w:rPr>
          <w:spacing w:val="-14"/>
          <w:sz w:val="22"/>
        </w:rPr>
        <w:t> </w:t>
      </w:r>
      <w:r>
        <w:rPr>
          <w:sz w:val="22"/>
        </w:rPr>
        <w:t>la</w:t>
      </w:r>
      <w:r>
        <w:rPr>
          <w:spacing w:val="-11"/>
          <w:sz w:val="22"/>
        </w:rPr>
        <w:t> </w:t>
      </w:r>
      <w:r>
        <w:rPr>
          <w:sz w:val="22"/>
        </w:rPr>
        <w:t>medida</w:t>
      </w:r>
      <w:r>
        <w:rPr>
          <w:spacing w:val="-11"/>
          <w:sz w:val="22"/>
        </w:rPr>
        <w:t> </w:t>
      </w:r>
      <w:r>
        <w:rPr>
          <w:sz w:val="22"/>
        </w:rPr>
        <w:t>objeto</w:t>
      </w:r>
      <w:r>
        <w:rPr>
          <w:spacing w:val="-11"/>
          <w:sz w:val="22"/>
        </w:rPr>
        <w:t> </w:t>
      </w:r>
      <w:r>
        <w:rPr>
          <w:sz w:val="22"/>
        </w:rPr>
        <w:t>de</w:t>
      </w:r>
      <w:r>
        <w:rPr>
          <w:spacing w:val="-11"/>
          <w:sz w:val="22"/>
        </w:rPr>
        <w:t> </w:t>
      </w:r>
      <w:r>
        <w:rPr>
          <w:sz w:val="22"/>
        </w:rPr>
        <w:t>la</w:t>
      </w:r>
      <w:r>
        <w:rPr>
          <w:spacing w:val="-11"/>
          <w:sz w:val="22"/>
        </w:rPr>
        <w:t> </w:t>
      </w:r>
      <w:r>
        <w:rPr>
          <w:sz w:val="22"/>
        </w:rPr>
        <w:t>solicitud–</w:t>
      </w:r>
      <w:r>
        <w:rPr>
          <w:spacing w:val="-11"/>
          <w:sz w:val="22"/>
        </w:rPr>
        <w:t> </w:t>
      </w:r>
      <w:r>
        <w:rPr>
          <w:sz w:val="22"/>
        </w:rPr>
        <w:t>representan</w:t>
      </w:r>
      <w:r>
        <w:rPr>
          <w:spacing w:val="-12"/>
          <w:sz w:val="22"/>
        </w:rPr>
        <w:t> </w:t>
      </w:r>
      <w:r>
        <w:rPr>
          <w:sz w:val="22"/>
        </w:rPr>
        <w:t>el</w:t>
      </w:r>
      <w:r>
        <w:rPr>
          <w:spacing w:val="-12"/>
          <w:sz w:val="22"/>
        </w:rPr>
        <w:t> </w:t>
      </w:r>
      <w:r>
        <w:rPr>
          <w:sz w:val="22"/>
        </w:rPr>
        <w:t>24%</w:t>
      </w:r>
      <w:r>
        <w:rPr>
          <w:spacing w:val="-10"/>
          <w:sz w:val="22"/>
        </w:rPr>
        <w:t> </w:t>
      </w:r>
      <w:r>
        <w:rPr>
          <w:sz w:val="22"/>
        </w:rPr>
        <w:t>y</w:t>
      </w:r>
      <w:r>
        <w:rPr>
          <w:spacing w:val="-11"/>
          <w:sz w:val="22"/>
        </w:rPr>
        <w:t> </w:t>
      </w:r>
      <w:r>
        <w:rPr>
          <w:sz w:val="22"/>
        </w:rPr>
        <w:t>15%, respectivamente, del</w:t>
      </w:r>
      <w:r>
        <w:rPr>
          <w:spacing w:val="-1"/>
          <w:sz w:val="22"/>
        </w:rPr>
        <w:t> </w:t>
      </w:r>
      <w:r>
        <w:rPr>
          <w:sz w:val="22"/>
        </w:rPr>
        <w:t>total</w:t>
      </w:r>
      <w:r>
        <w:rPr>
          <w:spacing w:val="-1"/>
          <w:sz w:val="22"/>
        </w:rPr>
        <w:t> </w:t>
      </w:r>
      <w:r>
        <w:rPr>
          <w:sz w:val="22"/>
        </w:rPr>
        <w:t>de</w:t>
      </w:r>
      <w:r>
        <w:rPr>
          <w:spacing w:val="-1"/>
          <w:sz w:val="22"/>
        </w:rPr>
        <w:t> </w:t>
      </w:r>
      <w:r>
        <w:rPr>
          <w:sz w:val="22"/>
        </w:rPr>
        <w:t>pasos no</w:t>
      </w:r>
      <w:r>
        <w:rPr>
          <w:spacing w:val="-1"/>
          <w:sz w:val="22"/>
        </w:rPr>
        <w:t> </w:t>
      </w:r>
      <w:r>
        <w:rPr>
          <w:sz w:val="22"/>
        </w:rPr>
        <w:t>autorizados (142) identificados en</w:t>
      </w:r>
      <w:r>
        <w:rPr>
          <w:spacing w:val="-2"/>
          <w:sz w:val="22"/>
        </w:rPr>
        <w:t> </w:t>
      </w:r>
      <w:r>
        <w:rPr>
          <w:sz w:val="22"/>
        </w:rPr>
        <w:t>la frontera norte y sur de la República del Ecuador.</w:t>
      </w:r>
    </w:p>
    <w:p>
      <w:pPr>
        <w:pStyle w:val="BodyText"/>
        <w:spacing w:before="1"/>
      </w:pPr>
    </w:p>
    <w:p>
      <w:pPr>
        <w:pStyle w:val="ListParagraph"/>
        <w:numPr>
          <w:ilvl w:val="0"/>
          <w:numId w:val="2"/>
        </w:numPr>
        <w:tabs>
          <w:tab w:pos="1416" w:val="left" w:leader="none"/>
          <w:tab w:pos="1420" w:val="left" w:leader="none"/>
        </w:tabs>
        <w:spacing w:line="240" w:lineRule="auto" w:before="0" w:after="0"/>
        <w:ind w:left="1420" w:right="978" w:hanging="852"/>
        <w:jc w:val="both"/>
        <w:rPr>
          <w:sz w:val="22"/>
        </w:rPr>
      </w:pPr>
      <w:r>
        <w:rPr>
          <w:sz w:val="22"/>
        </w:rPr>
        <w:t>Así</w:t>
      </w:r>
      <w:r>
        <w:rPr>
          <w:spacing w:val="-4"/>
          <w:sz w:val="22"/>
        </w:rPr>
        <w:t> </w:t>
      </w:r>
      <w:r>
        <w:rPr>
          <w:sz w:val="22"/>
        </w:rPr>
        <w:t>mismo,</w:t>
      </w:r>
      <w:r>
        <w:rPr>
          <w:spacing w:val="-1"/>
          <w:sz w:val="22"/>
        </w:rPr>
        <w:t> </w:t>
      </w:r>
      <w:r>
        <w:rPr>
          <w:sz w:val="22"/>
        </w:rPr>
        <w:t>como</w:t>
      </w:r>
      <w:r>
        <w:rPr>
          <w:spacing w:val="-3"/>
          <w:sz w:val="22"/>
        </w:rPr>
        <w:t> </w:t>
      </w:r>
      <w:r>
        <w:rPr>
          <w:sz w:val="22"/>
        </w:rPr>
        <w:t>elementos</w:t>
      </w:r>
      <w:r>
        <w:rPr>
          <w:spacing w:val="-4"/>
          <w:sz w:val="22"/>
        </w:rPr>
        <w:t> </w:t>
      </w:r>
      <w:r>
        <w:rPr>
          <w:sz w:val="22"/>
        </w:rPr>
        <w:t>finales, el</w:t>
      </w:r>
      <w:r>
        <w:rPr>
          <w:spacing w:val="-4"/>
          <w:sz w:val="22"/>
        </w:rPr>
        <w:t> </w:t>
      </w:r>
      <w:r>
        <w:rPr>
          <w:sz w:val="22"/>
        </w:rPr>
        <w:t>informe</w:t>
      </w:r>
      <w:r>
        <w:rPr>
          <w:spacing w:val="-5"/>
          <w:sz w:val="22"/>
        </w:rPr>
        <w:t> </w:t>
      </w:r>
      <w:r>
        <w:rPr>
          <w:sz w:val="22"/>
        </w:rPr>
        <w:t>plantea</w:t>
      </w:r>
      <w:r>
        <w:rPr>
          <w:spacing w:val="-2"/>
          <w:sz w:val="22"/>
        </w:rPr>
        <w:t> </w:t>
      </w:r>
      <w:r>
        <w:rPr>
          <w:sz w:val="22"/>
        </w:rPr>
        <w:t>recomendaciones</w:t>
      </w:r>
      <w:r>
        <w:rPr>
          <w:spacing w:val="-7"/>
          <w:sz w:val="22"/>
        </w:rPr>
        <w:t> </w:t>
      </w:r>
      <w:r>
        <w:rPr>
          <w:sz w:val="22"/>
        </w:rPr>
        <w:t>orientadas al</w:t>
      </w:r>
      <w:r>
        <w:rPr>
          <w:spacing w:val="-12"/>
          <w:sz w:val="22"/>
        </w:rPr>
        <w:t> </w:t>
      </w:r>
      <w:r>
        <w:rPr>
          <w:sz w:val="22"/>
        </w:rPr>
        <w:t>fortalecimiento</w:t>
      </w:r>
      <w:r>
        <w:rPr>
          <w:spacing w:val="-11"/>
          <w:sz w:val="22"/>
        </w:rPr>
        <w:t> </w:t>
      </w:r>
      <w:r>
        <w:rPr>
          <w:sz w:val="22"/>
        </w:rPr>
        <w:t>de</w:t>
      </w:r>
      <w:r>
        <w:rPr>
          <w:spacing w:val="-12"/>
          <w:sz w:val="22"/>
        </w:rPr>
        <w:t> </w:t>
      </w:r>
      <w:r>
        <w:rPr>
          <w:sz w:val="22"/>
        </w:rPr>
        <w:t>los</w:t>
      </w:r>
      <w:r>
        <w:rPr>
          <w:spacing w:val="-13"/>
          <w:sz w:val="22"/>
        </w:rPr>
        <w:t> </w:t>
      </w:r>
      <w:r>
        <w:rPr>
          <w:sz w:val="22"/>
        </w:rPr>
        <w:t>mecanismos</w:t>
      </w:r>
      <w:r>
        <w:rPr>
          <w:spacing w:val="-14"/>
          <w:sz w:val="22"/>
        </w:rPr>
        <w:t> </w:t>
      </w:r>
      <w:r>
        <w:rPr>
          <w:sz w:val="22"/>
        </w:rPr>
        <w:t>de</w:t>
      </w:r>
      <w:r>
        <w:rPr>
          <w:spacing w:val="-12"/>
          <w:sz w:val="22"/>
        </w:rPr>
        <w:t> </w:t>
      </w:r>
      <w:r>
        <w:rPr>
          <w:sz w:val="22"/>
        </w:rPr>
        <w:t>control</w:t>
      </w:r>
      <w:r>
        <w:rPr>
          <w:spacing w:val="-12"/>
          <w:sz w:val="22"/>
        </w:rPr>
        <w:t> </w:t>
      </w:r>
      <w:r>
        <w:rPr>
          <w:sz w:val="22"/>
        </w:rPr>
        <w:t>fronterizo,</w:t>
      </w:r>
      <w:r>
        <w:rPr>
          <w:spacing w:val="-12"/>
          <w:sz w:val="22"/>
        </w:rPr>
        <w:t> </w:t>
      </w:r>
      <w:r>
        <w:rPr>
          <w:sz w:val="22"/>
        </w:rPr>
        <w:t>incluyendo</w:t>
      </w:r>
      <w:r>
        <w:rPr>
          <w:spacing w:val="-11"/>
          <w:sz w:val="22"/>
        </w:rPr>
        <w:t> </w:t>
      </w:r>
      <w:r>
        <w:rPr>
          <w:sz w:val="22"/>
        </w:rPr>
        <w:t>la</w:t>
      </w:r>
      <w:r>
        <w:rPr>
          <w:spacing w:val="-11"/>
          <w:sz w:val="22"/>
        </w:rPr>
        <w:t> </w:t>
      </w:r>
      <w:r>
        <w:rPr>
          <w:sz w:val="22"/>
        </w:rPr>
        <w:t>ejecución</w:t>
      </w:r>
      <w:r>
        <w:rPr>
          <w:spacing w:val="-12"/>
          <w:sz w:val="22"/>
        </w:rPr>
        <w:t> </w:t>
      </w:r>
      <w:r>
        <w:rPr>
          <w:sz w:val="22"/>
        </w:rPr>
        <w:t>de operaciones coordinadas y la consolidación de puntos de control formal, como la implementación de centros de atención fronteriza en determinados pasos </w:t>
      </w:r>
      <w:r>
        <w:rPr>
          <w:spacing w:val="-2"/>
          <w:sz w:val="22"/>
        </w:rPr>
        <w:t>autorizados.</w:t>
      </w:r>
    </w:p>
    <w:p>
      <w:pPr>
        <w:pStyle w:val="ListParagraph"/>
        <w:numPr>
          <w:ilvl w:val="0"/>
          <w:numId w:val="2"/>
        </w:numPr>
        <w:tabs>
          <w:tab w:pos="1416" w:val="left" w:leader="none"/>
          <w:tab w:pos="1420" w:val="left" w:leader="none"/>
        </w:tabs>
        <w:spacing w:line="240" w:lineRule="auto" w:before="252" w:after="0"/>
        <w:ind w:left="1420" w:right="977" w:hanging="852"/>
        <w:jc w:val="both"/>
        <w:rPr>
          <w:sz w:val="22"/>
        </w:rPr>
      </w:pPr>
      <w:r>
        <w:rPr>
          <w:sz w:val="22"/>
        </w:rPr>
        <w:t>Es importante señalar que, como elementos conclusivos del informe, en la sección de recomendaciones señalan particularmente la siguiente</w:t>
      </w:r>
      <w:hyperlink w:history="true" w:anchor="_bookmark35">
        <w:r>
          <w:rPr>
            <w:sz w:val="22"/>
            <w:vertAlign w:val="superscript"/>
          </w:rPr>
          <w:t>36</w:t>
        </w:r>
      </w:hyperlink>
      <w:r>
        <w:rPr>
          <w:sz w:val="22"/>
          <w:vertAlign w:val="baseline"/>
        </w:rPr>
        <w:t>:</w:t>
      </w:r>
    </w:p>
    <w:p>
      <w:pPr>
        <w:pStyle w:val="BodyText"/>
        <w:spacing w:before="2"/>
      </w:pPr>
    </w:p>
    <w:p>
      <w:pPr>
        <w:spacing w:line="240" w:lineRule="auto" w:before="0"/>
        <w:ind w:left="2183" w:right="982" w:hanging="56"/>
        <w:jc w:val="both"/>
        <w:rPr>
          <w:rFonts w:ascii="Arial" w:hAnsi="Arial"/>
          <w:i/>
          <w:sz w:val="22"/>
        </w:rPr>
      </w:pPr>
      <w:r>
        <w:rPr>
          <w:rFonts w:ascii="Arial" w:hAnsi="Arial"/>
          <w:i/>
          <w:sz w:val="22"/>
        </w:rPr>
        <w:t>“Materialización del Centro Nacional de Atención Fronteriza (CENAF) en el Puente de Rumichaca (Ecuador-Colombia) y en el puente internacional de Huaquillas (Ecuador-Perú), como únicos pasos autorizados y reconocidos por el Estado ecuatoriano.”</w:t>
      </w:r>
    </w:p>
    <w:p>
      <w:pPr>
        <w:pStyle w:val="BodyText"/>
        <w:rPr>
          <w:rFonts w:ascii="Arial"/>
          <w:i/>
        </w:rPr>
      </w:pPr>
    </w:p>
    <w:p>
      <w:pPr>
        <w:pStyle w:val="ListParagraph"/>
        <w:numPr>
          <w:ilvl w:val="0"/>
          <w:numId w:val="2"/>
        </w:numPr>
        <w:tabs>
          <w:tab w:pos="1416" w:val="left" w:leader="none"/>
          <w:tab w:pos="1420" w:val="left" w:leader="none"/>
        </w:tabs>
        <w:spacing w:line="240" w:lineRule="auto" w:before="1" w:after="0"/>
        <w:ind w:left="1420" w:right="976" w:hanging="852"/>
        <w:jc w:val="both"/>
        <w:rPr>
          <w:sz w:val="22"/>
        </w:rPr>
      </w:pPr>
      <w:r>
        <w:rPr>
          <w:sz w:val="22"/>
        </w:rPr>
        <w:t>Conforme</w:t>
      </w:r>
      <w:r>
        <w:rPr>
          <w:spacing w:val="-15"/>
          <w:sz w:val="22"/>
        </w:rPr>
        <w:t> </w:t>
      </w:r>
      <w:r>
        <w:rPr>
          <w:sz w:val="22"/>
        </w:rPr>
        <w:t>se</w:t>
      </w:r>
      <w:r>
        <w:rPr>
          <w:spacing w:val="-15"/>
          <w:sz w:val="22"/>
        </w:rPr>
        <w:t> </w:t>
      </w:r>
      <w:r>
        <w:rPr>
          <w:sz w:val="22"/>
        </w:rPr>
        <w:t>ha</w:t>
      </w:r>
      <w:r>
        <w:rPr>
          <w:spacing w:val="-15"/>
          <w:sz w:val="22"/>
        </w:rPr>
        <w:t> </w:t>
      </w:r>
      <w:r>
        <w:rPr>
          <w:sz w:val="22"/>
        </w:rPr>
        <w:t>señalado</w:t>
      </w:r>
      <w:r>
        <w:rPr>
          <w:spacing w:val="-12"/>
          <w:sz w:val="22"/>
        </w:rPr>
        <w:t> </w:t>
      </w:r>
      <w:r>
        <w:rPr>
          <w:sz w:val="22"/>
        </w:rPr>
        <w:t>anteriormente,</w:t>
      </w:r>
      <w:r>
        <w:rPr>
          <w:spacing w:val="-11"/>
          <w:sz w:val="22"/>
        </w:rPr>
        <w:t> </w:t>
      </w:r>
      <w:r>
        <w:rPr>
          <w:sz w:val="22"/>
        </w:rPr>
        <w:t>de</w:t>
      </w:r>
      <w:r>
        <w:rPr>
          <w:spacing w:val="-12"/>
          <w:sz w:val="22"/>
        </w:rPr>
        <w:t> </w:t>
      </w:r>
      <w:r>
        <w:rPr>
          <w:sz w:val="22"/>
        </w:rPr>
        <w:t>acuerdo</w:t>
      </w:r>
      <w:r>
        <w:rPr>
          <w:spacing w:val="-13"/>
          <w:sz w:val="22"/>
        </w:rPr>
        <w:t> </w:t>
      </w:r>
      <w:r>
        <w:rPr>
          <w:sz w:val="22"/>
        </w:rPr>
        <w:t>con</w:t>
      </w:r>
      <w:r>
        <w:rPr>
          <w:spacing w:val="-15"/>
          <w:sz w:val="22"/>
        </w:rPr>
        <w:t> </w:t>
      </w:r>
      <w:r>
        <w:rPr>
          <w:sz w:val="22"/>
        </w:rPr>
        <w:t>la</w:t>
      </w:r>
      <w:r>
        <w:rPr>
          <w:spacing w:val="-12"/>
          <w:sz w:val="22"/>
        </w:rPr>
        <w:t> </w:t>
      </w:r>
      <w:r>
        <w:rPr>
          <w:sz w:val="22"/>
        </w:rPr>
        <w:t>información</w:t>
      </w:r>
      <w:r>
        <w:rPr>
          <w:spacing w:val="-13"/>
          <w:sz w:val="22"/>
        </w:rPr>
        <w:t> </w:t>
      </w:r>
      <w:r>
        <w:rPr>
          <w:sz w:val="22"/>
        </w:rPr>
        <w:t>revisada</w:t>
      </w:r>
      <w:r>
        <w:rPr>
          <w:spacing w:val="-10"/>
          <w:sz w:val="22"/>
        </w:rPr>
        <w:t> </w:t>
      </w:r>
      <w:r>
        <w:rPr>
          <w:sz w:val="22"/>
        </w:rPr>
        <w:t>que obra en</w:t>
      </w:r>
      <w:r>
        <w:rPr>
          <w:spacing w:val="-2"/>
          <w:sz w:val="22"/>
        </w:rPr>
        <w:t> </w:t>
      </w:r>
      <w:r>
        <w:rPr>
          <w:sz w:val="22"/>
        </w:rPr>
        <w:t>el</w:t>
      </w:r>
      <w:r>
        <w:rPr>
          <w:spacing w:val="-1"/>
          <w:sz w:val="22"/>
        </w:rPr>
        <w:t> </w:t>
      </w:r>
      <w:r>
        <w:rPr>
          <w:sz w:val="22"/>
        </w:rPr>
        <w:t>expediente, se advierte que</w:t>
      </w:r>
      <w:r>
        <w:rPr>
          <w:spacing w:val="-2"/>
          <w:sz w:val="22"/>
        </w:rPr>
        <w:t> </w:t>
      </w:r>
      <w:r>
        <w:rPr>
          <w:sz w:val="22"/>
        </w:rPr>
        <w:t>el</w:t>
      </w:r>
      <w:r>
        <w:rPr>
          <w:spacing w:val="-1"/>
          <w:sz w:val="22"/>
        </w:rPr>
        <w:t> </w:t>
      </w:r>
      <w:r>
        <w:rPr>
          <w:sz w:val="22"/>
        </w:rPr>
        <w:t>informe</w:t>
      </w:r>
      <w:r>
        <w:rPr>
          <w:spacing w:val="-2"/>
          <w:sz w:val="22"/>
        </w:rPr>
        <w:t> </w:t>
      </w:r>
      <w:r>
        <w:rPr>
          <w:sz w:val="22"/>
        </w:rPr>
        <w:t>técnico</w:t>
      </w:r>
      <w:r>
        <w:rPr>
          <w:spacing w:val="-2"/>
          <w:sz w:val="22"/>
        </w:rPr>
        <w:t> </w:t>
      </w:r>
      <w:r>
        <w:rPr>
          <w:sz w:val="22"/>
        </w:rPr>
        <w:t>elaborado</w:t>
      </w:r>
      <w:r>
        <w:rPr>
          <w:spacing w:val="-2"/>
          <w:sz w:val="22"/>
        </w:rPr>
        <w:t> </w:t>
      </w:r>
      <w:r>
        <w:rPr>
          <w:sz w:val="22"/>
        </w:rPr>
        <w:t>por</w:t>
      </w:r>
      <w:r>
        <w:rPr>
          <w:spacing w:val="-1"/>
          <w:sz w:val="22"/>
        </w:rPr>
        <w:t> </w:t>
      </w:r>
      <w:r>
        <w:rPr>
          <w:sz w:val="22"/>
        </w:rPr>
        <w:t>el</w:t>
      </w:r>
      <w:r>
        <w:rPr>
          <w:spacing w:val="-3"/>
          <w:sz w:val="22"/>
        </w:rPr>
        <w:t> </w:t>
      </w:r>
      <w:r>
        <w:rPr>
          <w:sz w:val="22"/>
        </w:rPr>
        <w:t>Comando Conjunto</w:t>
      </w:r>
      <w:r>
        <w:rPr>
          <w:spacing w:val="-2"/>
          <w:sz w:val="22"/>
        </w:rPr>
        <w:t> </w:t>
      </w:r>
      <w:r>
        <w:rPr>
          <w:sz w:val="22"/>
        </w:rPr>
        <w:t>de</w:t>
      </w:r>
      <w:r>
        <w:rPr>
          <w:spacing w:val="-2"/>
          <w:sz w:val="22"/>
        </w:rPr>
        <w:t> </w:t>
      </w:r>
      <w:r>
        <w:rPr>
          <w:sz w:val="22"/>
        </w:rPr>
        <w:t>las</w:t>
      </w:r>
      <w:r>
        <w:rPr>
          <w:spacing w:val="-2"/>
          <w:sz w:val="22"/>
        </w:rPr>
        <w:t> </w:t>
      </w:r>
      <w:r>
        <w:rPr>
          <w:sz w:val="22"/>
        </w:rPr>
        <w:t>Fuerzas</w:t>
      </w:r>
      <w:r>
        <w:rPr>
          <w:spacing w:val="-4"/>
          <w:sz w:val="22"/>
        </w:rPr>
        <w:t> </w:t>
      </w:r>
      <w:r>
        <w:rPr>
          <w:sz w:val="22"/>
        </w:rPr>
        <w:t>Armadas</w:t>
      </w:r>
      <w:r>
        <w:rPr>
          <w:spacing w:val="-2"/>
          <w:sz w:val="22"/>
        </w:rPr>
        <w:t> </w:t>
      </w:r>
      <w:r>
        <w:rPr>
          <w:sz w:val="22"/>
        </w:rPr>
        <w:t>el</w:t>
      </w:r>
      <w:r>
        <w:rPr>
          <w:spacing w:val="-2"/>
          <w:sz w:val="22"/>
        </w:rPr>
        <w:t> </w:t>
      </w:r>
      <w:r>
        <w:rPr>
          <w:sz w:val="22"/>
        </w:rPr>
        <w:t>23</w:t>
      </w:r>
      <w:r>
        <w:rPr>
          <w:spacing w:val="-2"/>
          <w:sz w:val="22"/>
        </w:rPr>
        <w:t> </w:t>
      </w:r>
      <w:r>
        <w:rPr>
          <w:sz w:val="22"/>
        </w:rPr>
        <w:t>de</w:t>
      </w:r>
      <w:r>
        <w:rPr>
          <w:spacing w:val="-2"/>
          <w:sz w:val="22"/>
        </w:rPr>
        <w:t> </w:t>
      </w:r>
      <w:r>
        <w:rPr>
          <w:sz w:val="22"/>
        </w:rPr>
        <w:t>diciembre</w:t>
      </w:r>
      <w:r>
        <w:rPr>
          <w:spacing w:val="-1"/>
          <w:sz w:val="22"/>
        </w:rPr>
        <w:t> </w:t>
      </w:r>
      <w:r>
        <w:rPr>
          <w:sz w:val="22"/>
        </w:rPr>
        <w:t>de</w:t>
      </w:r>
      <w:r>
        <w:rPr>
          <w:spacing w:val="-2"/>
          <w:sz w:val="22"/>
        </w:rPr>
        <w:t> </w:t>
      </w:r>
      <w:r>
        <w:rPr>
          <w:sz w:val="22"/>
        </w:rPr>
        <w:t>2025</w:t>
      </w:r>
      <w:r>
        <w:rPr>
          <w:spacing w:val="-2"/>
          <w:sz w:val="22"/>
        </w:rPr>
        <w:t> </w:t>
      </w:r>
      <w:r>
        <w:rPr>
          <w:sz w:val="22"/>
        </w:rPr>
        <w:t>constituye</w:t>
      </w:r>
      <w:r>
        <w:rPr>
          <w:spacing w:val="-2"/>
          <w:sz w:val="22"/>
        </w:rPr>
        <w:t> </w:t>
      </w:r>
      <w:r>
        <w:rPr>
          <w:sz w:val="22"/>
        </w:rPr>
        <w:t>el principal sustento</w:t>
      </w:r>
      <w:r>
        <w:rPr>
          <w:spacing w:val="-10"/>
          <w:sz w:val="22"/>
        </w:rPr>
        <w:t> </w:t>
      </w:r>
      <w:r>
        <w:rPr>
          <w:sz w:val="22"/>
        </w:rPr>
        <w:t>de</w:t>
      </w:r>
      <w:r>
        <w:rPr>
          <w:spacing w:val="-10"/>
          <w:sz w:val="22"/>
        </w:rPr>
        <w:t> </w:t>
      </w:r>
      <w:r>
        <w:rPr>
          <w:sz w:val="22"/>
        </w:rPr>
        <w:t>la</w:t>
      </w:r>
      <w:r>
        <w:rPr>
          <w:spacing w:val="-10"/>
          <w:sz w:val="22"/>
        </w:rPr>
        <w:t> </w:t>
      </w:r>
      <w:r>
        <w:rPr>
          <w:sz w:val="22"/>
        </w:rPr>
        <w:t>medida</w:t>
      </w:r>
      <w:r>
        <w:rPr>
          <w:spacing w:val="-10"/>
          <w:sz w:val="22"/>
        </w:rPr>
        <w:t> </w:t>
      </w:r>
      <w:r>
        <w:rPr>
          <w:sz w:val="22"/>
        </w:rPr>
        <w:t>adoptada</w:t>
      </w:r>
      <w:r>
        <w:rPr>
          <w:spacing w:val="-7"/>
          <w:sz w:val="22"/>
        </w:rPr>
        <w:t> </w:t>
      </w:r>
      <w:r>
        <w:rPr>
          <w:sz w:val="22"/>
        </w:rPr>
        <w:t>por</w:t>
      </w:r>
      <w:r>
        <w:rPr>
          <w:spacing w:val="-9"/>
          <w:sz w:val="22"/>
        </w:rPr>
        <w:t> </w:t>
      </w:r>
      <w:r>
        <w:rPr>
          <w:sz w:val="22"/>
        </w:rPr>
        <w:t>la</w:t>
      </w:r>
      <w:r>
        <w:rPr>
          <w:spacing w:val="-7"/>
          <w:sz w:val="22"/>
        </w:rPr>
        <w:t> </w:t>
      </w:r>
      <w:r>
        <w:rPr>
          <w:sz w:val="22"/>
        </w:rPr>
        <w:t>República</w:t>
      </w:r>
      <w:r>
        <w:rPr>
          <w:spacing w:val="-10"/>
          <w:sz w:val="22"/>
        </w:rPr>
        <w:t> </w:t>
      </w:r>
      <w:r>
        <w:rPr>
          <w:sz w:val="22"/>
        </w:rPr>
        <w:t>del</w:t>
      </w:r>
      <w:r>
        <w:rPr>
          <w:spacing w:val="-8"/>
          <w:sz w:val="22"/>
        </w:rPr>
        <w:t> </w:t>
      </w:r>
      <w:r>
        <w:rPr>
          <w:sz w:val="22"/>
        </w:rPr>
        <w:t>Ecuador.</w:t>
      </w:r>
      <w:r>
        <w:rPr>
          <w:spacing w:val="-6"/>
          <w:sz w:val="22"/>
        </w:rPr>
        <w:t> </w:t>
      </w:r>
      <w:r>
        <w:rPr>
          <w:sz w:val="22"/>
        </w:rPr>
        <w:t>En</w:t>
      </w:r>
      <w:r>
        <w:rPr>
          <w:spacing w:val="-10"/>
          <w:sz w:val="22"/>
        </w:rPr>
        <w:t> </w:t>
      </w:r>
      <w:r>
        <w:rPr>
          <w:sz w:val="22"/>
        </w:rPr>
        <w:t>ese</w:t>
      </w:r>
      <w:r>
        <w:rPr>
          <w:spacing w:val="-10"/>
          <w:sz w:val="22"/>
        </w:rPr>
        <w:t> </w:t>
      </w:r>
      <w:r>
        <w:rPr>
          <w:sz w:val="22"/>
        </w:rPr>
        <w:t>sentido,</w:t>
      </w:r>
      <w:r>
        <w:rPr>
          <w:spacing w:val="-6"/>
          <w:sz w:val="22"/>
        </w:rPr>
        <w:t> </w:t>
      </w:r>
      <w:r>
        <w:rPr>
          <w:sz w:val="22"/>
        </w:rPr>
        <w:t>existe una secuencia temporal y causal entre la emisión del referido informe y la decisión adoptada</w:t>
      </w:r>
      <w:r>
        <w:rPr>
          <w:spacing w:val="-9"/>
          <w:sz w:val="22"/>
        </w:rPr>
        <w:t> </w:t>
      </w:r>
      <w:r>
        <w:rPr>
          <w:sz w:val="22"/>
        </w:rPr>
        <w:t>el</w:t>
      </w:r>
      <w:r>
        <w:rPr>
          <w:spacing w:val="-10"/>
          <w:sz w:val="22"/>
        </w:rPr>
        <w:t> </w:t>
      </w:r>
      <w:r>
        <w:rPr>
          <w:sz w:val="22"/>
        </w:rPr>
        <w:t>24</w:t>
      </w:r>
      <w:r>
        <w:rPr>
          <w:spacing w:val="-9"/>
          <w:sz w:val="22"/>
        </w:rPr>
        <w:t> </w:t>
      </w:r>
      <w:r>
        <w:rPr>
          <w:sz w:val="22"/>
        </w:rPr>
        <w:t>de</w:t>
      </w:r>
      <w:r>
        <w:rPr>
          <w:spacing w:val="-12"/>
          <w:sz w:val="22"/>
        </w:rPr>
        <w:t> </w:t>
      </w:r>
      <w:r>
        <w:rPr>
          <w:sz w:val="22"/>
        </w:rPr>
        <w:t>diciembre</w:t>
      </w:r>
      <w:r>
        <w:rPr>
          <w:spacing w:val="-8"/>
          <w:sz w:val="22"/>
        </w:rPr>
        <w:t> </w:t>
      </w:r>
      <w:r>
        <w:rPr>
          <w:sz w:val="22"/>
        </w:rPr>
        <w:t>de</w:t>
      </w:r>
      <w:r>
        <w:rPr>
          <w:spacing w:val="-12"/>
          <w:sz w:val="22"/>
        </w:rPr>
        <w:t> </w:t>
      </w:r>
      <w:r>
        <w:rPr>
          <w:sz w:val="22"/>
        </w:rPr>
        <w:t>2025</w:t>
      </w:r>
      <w:r>
        <w:rPr>
          <w:spacing w:val="-9"/>
          <w:sz w:val="22"/>
        </w:rPr>
        <w:t> </w:t>
      </w:r>
      <w:r>
        <w:rPr>
          <w:sz w:val="22"/>
        </w:rPr>
        <w:t>de</w:t>
      </w:r>
      <w:r>
        <w:rPr>
          <w:spacing w:val="-12"/>
          <w:sz w:val="22"/>
        </w:rPr>
        <w:t> </w:t>
      </w:r>
      <w:r>
        <w:rPr>
          <w:sz w:val="22"/>
        </w:rPr>
        <w:t>habilitar</w:t>
      </w:r>
      <w:r>
        <w:rPr>
          <w:spacing w:val="-13"/>
          <w:sz w:val="22"/>
        </w:rPr>
        <w:t> </w:t>
      </w:r>
      <w:r>
        <w:rPr>
          <w:sz w:val="22"/>
        </w:rPr>
        <w:t>el</w:t>
      </w:r>
      <w:r>
        <w:rPr>
          <w:spacing w:val="-10"/>
          <w:sz w:val="22"/>
        </w:rPr>
        <w:t> </w:t>
      </w:r>
      <w:r>
        <w:rPr>
          <w:sz w:val="22"/>
        </w:rPr>
        <w:t>paso</w:t>
      </w:r>
      <w:r>
        <w:rPr>
          <w:spacing w:val="-9"/>
          <w:sz w:val="22"/>
        </w:rPr>
        <w:t> </w:t>
      </w:r>
      <w:r>
        <w:rPr>
          <w:sz w:val="22"/>
        </w:rPr>
        <w:t>internacional</w:t>
      </w:r>
      <w:r>
        <w:rPr>
          <w:spacing w:val="-10"/>
          <w:sz w:val="22"/>
        </w:rPr>
        <w:t> </w:t>
      </w:r>
      <w:r>
        <w:rPr>
          <w:sz w:val="22"/>
        </w:rPr>
        <w:t>de</w:t>
      </w:r>
      <w:r>
        <w:rPr>
          <w:spacing w:val="-12"/>
          <w:sz w:val="22"/>
        </w:rPr>
        <w:t> </w:t>
      </w:r>
      <w:r>
        <w:rPr>
          <w:sz w:val="22"/>
        </w:rPr>
        <w:t>Rumichaca como único punto de ingreso para las mercancías procedentes u originarios de Colombia, la cual fue formalizada mediante la Nota Verbal N.° MREMH/MREMH/2025/0020/N dirigida a dicho país.</w:t>
      </w:r>
    </w:p>
    <w:p>
      <w:pPr>
        <w:pStyle w:val="ListParagraph"/>
        <w:numPr>
          <w:ilvl w:val="0"/>
          <w:numId w:val="2"/>
        </w:numPr>
        <w:tabs>
          <w:tab w:pos="1416" w:val="left" w:leader="none"/>
          <w:tab w:pos="1420" w:val="left" w:leader="none"/>
        </w:tabs>
        <w:spacing w:line="240" w:lineRule="auto" w:before="252" w:after="0"/>
        <w:ind w:left="1420" w:right="979" w:hanging="852"/>
        <w:jc w:val="both"/>
        <w:rPr>
          <w:sz w:val="22"/>
        </w:rPr>
      </w:pPr>
      <w:r>
        <w:rPr>
          <w:sz w:val="22"/>
        </w:rPr>
        <w:t>En ese sentido, corresponde a la SGCAN analizar si el informe técnico, como sustento</w:t>
      </w:r>
      <w:r>
        <w:rPr>
          <w:spacing w:val="-10"/>
          <w:sz w:val="22"/>
        </w:rPr>
        <w:t> </w:t>
      </w:r>
      <w:r>
        <w:rPr>
          <w:sz w:val="22"/>
        </w:rPr>
        <w:t>de</w:t>
      </w:r>
      <w:r>
        <w:rPr>
          <w:spacing w:val="-10"/>
          <w:sz w:val="22"/>
        </w:rPr>
        <w:t> </w:t>
      </w:r>
      <w:r>
        <w:rPr>
          <w:sz w:val="22"/>
        </w:rPr>
        <w:t>la</w:t>
      </w:r>
      <w:r>
        <w:rPr>
          <w:spacing w:val="-7"/>
          <w:sz w:val="22"/>
        </w:rPr>
        <w:t> </w:t>
      </w:r>
      <w:r>
        <w:rPr>
          <w:sz w:val="22"/>
        </w:rPr>
        <w:t>medida</w:t>
      </w:r>
      <w:r>
        <w:rPr>
          <w:spacing w:val="-8"/>
          <w:sz w:val="22"/>
        </w:rPr>
        <w:t> </w:t>
      </w:r>
      <w:r>
        <w:rPr>
          <w:sz w:val="22"/>
        </w:rPr>
        <w:t>adoptada,</w:t>
      </w:r>
      <w:r>
        <w:rPr>
          <w:spacing w:val="-9"/>
          <w:sz w:val="22"/>
        </w:rPr>
        <w:t> </w:t>
      </w:r>
      <w:r>
        <w:rPr>
          <w:sz w:val="22"/>
        </w:rPr>
        <w:t>cumple</w:t>
      </w:r>
      <w:r>
        <w:rPr>
          <w:spacing w:val="-7"/>
          <w:sz w:val="22"/>
        </w:rPr>
        <w:t> </w:t>
      </w:r>
      <w:r>
        <w:rPr>
          <w:sz w:val="22"/>
        </w:rPr>
        <w:t>con</w:t>
      </w:r>
      <w:r>
        <w:rPr>
          <w:spacing w:val="-9"/>
          <w:sz w:val="22"/>
        </w:rPr>
        <w:t> </w:t>
      </w:r>
      <w:r>
        <w:rPr>
          <w:sz w:val="22"/>
        </w:rPr>
        <w:t>lo</w:t>
      </w:r>
      <w:r>
        <w:rPr>
          <w:spacing w:val="-7"/>
          <w:sz w:val="22"/>
        </w:rPr>
        <w:t> </w:t>
      </w:r>
      <w:r>
        <w:rPr>
          <w:sz w:val="22"/>
        </w:rPr>
        <w:t>señalado</w:t>
      </w:r>
      <w:r>
        <w:rPr>
          <w:spacing w:val="-7"/>
          <w:sz w:val="22"/>
        </w:rPr>
        <w:t> </w:t>
      </w:r>
      <w:r>
        <w:rPr>
          <w:sz w:val="22"/>
        </w:rPr>
        <w:t>en</w:t>
      </w:r>
      <w:r>
        <w:rPr>
          <w:spacing w:val="-8"/>
          <w:sz w:val="22"/>
        </w:rPr>
        <w:t> </w:t>
      </w:r>
      <w:r>
        <w:rPr>
          <w:sz w:val="22"/>
        </w:rPr>
        <w:t>el</w:t>
      </w:r>
      <w:r>
        <w:rPr>
          <w:spacing w:val="-8"/>
          <w:sz w:val="22"/>
        </w:rPr>
        <w:t> </w:t>
      </w:r>
      <w:r>
        <w:rPr>
          <w:sz w:val="22"/>
        </w:rPr>
        <w:t>ordenamiento</w:t>
      </w:r>
      <w:r>
        <w:rPr>
          <w:spacing w:val="-10"/>
          <w:sz w:val="22"/>
        </w:rPr>
        <w:t> </w:t>
      </w:r>
      <w:r>
        <w:rPr>
          <w:sz w:val="22"/>
        </w:rPr>
        <w:t>jurídico comunitario y</w:t>
      </w:r>
      <w:r>
        <w:rPr>
          <w:spacing w:val="21"/>
          <w:sz w:val="22"/>
        </w:rPr>
        <w:t> </w:t>
      </w:r>
      <w:r>
        <w:rPr>
          <w:sz w:val="22"/>
        </w:rPr>
        <w:t>en</w:t>
      </w:r>
      <w:r>
        <w:rPr>
          <w:spacing w:val="21"/>
          <w:sz w:val="22"/>
        </w:rPr>
        <w:t> </w:t>
      </w:r>
      <w:r>
        <w:rPr>
          <w:sz w:val="22"/>
        </w:rPr>
        <w:t>la</w:t>
      </w:r>
      <w:r>
        <w:rPr>
          <w:spacing w:val="21"/>
          <w:sz w:val="22"/>
        </w:rPr>
        <w:t> </w:t>
      </w:r>
      <w:r>
        <w:rPr>
          <w:sz w:val="22"/>
        </w:rPr>
        <w:t>jurisprudencia</w:t>
      </w:r>
      <w:r>
        <w:rPr>
          <w:spacing w:val="21"/>
          <w:sz w:val="22"/>
        </w:rPr>
        <w:t> </w:t>
      </w:r>
      <w:r>
        <w:rPr>
          <w:sz w:val="22"/>
        </w:rPr>
        <w:t>del</w:t>
      </w:r>
      <w:r>
        <w:rPr>
          <w:spacing w:val="20"/>
          <w:sz w:val="22"/>
        </w:rPr>
        <w:t> </w:t>
      </w:r>
      <w:r>
        <w:rPr>
          <w:sz w:val="22"/>
        </w:rPr>
        <w:t>TJCAN</w:t>
      </w:r>
      <w:r>
        <w:rPr>
          <w:spacing w:val="25"/>
          <w:sz w:val="22"/>
        </w:rPr>
        <w:t> </w:t>
      </w:r>
      <w:r>
        <w:rPr>
          <w:sz w:val="22"/>
        </w:rPr>
        <w:t>para</w:t>
      </w:r>
      <w:r>
        <w:rPr>
          <w:spacing w:val="21"/>
          <w:sz w:val="22"/>
        </w:rPr>
        <w:t> </w:t>
      </w:r>
      <w:r>
        <w:rPr>
          <w:sz w:val="22"/>
        </w:rPr>
        <w:t>justificar</w:t>
      </w:r>
      <w:r>
        <w:rPr>
          <w:spacing w:val="20"/>
          <w:sz w:val="22"/>
        </w:rPr>
        <w:t> </w:t>
      </w:r>
      <w:r>
        <w:rPr>
          <w:sz w:val="22"/>
        </w:rPr>
        <w:t>la</w:t>
      </w:r>
      <w:r>
        <w:rPr>
          <w:spacing w:val="21"/>
          <w:sz w:val="22"/>
        </w:rPr>
        <w:t> </w:t>
      </w:r>
      <w:r>
        <w:rPr>
          <w:sz w:val="22"/>
        </w:rPr>
        <w:t>excepcionalidad</w:t>
      </w:r>
      <w:r>
        <w:rPr>
          <w:spacing w:val="21"/>
          <w:sz w:val="22"/>
        </w:rPr>
        <w:t> </w:t>
      </w:r>
      <w:r>
        <w:rPr>
          <w:sz w:val="22"/>
        </w:rPr>
        <w:t>de</w:t>
      </w:r>
    </w:p>
    <w:p>
      <w:pPr>
        <w:pStyle w:val="BodyText"/>
        <w:spacing w:before="10"/>
        <w:rPr>
          <w:sz w:val="19"/>
        </w:rPr>
      </w:pPr>
      <w:r>
        <w:rPr>
          <w:sz w:val="19"/>
        </w:rPr>
        <mc:AlternateContent>
          <mc:Choice Requires="wps">
            <w:drawing>
              <wp:anchor distT="0" distB="0" distL="0" distR="0" allowOverlap="1" layoutInCell="1" locked="0" behindDoc="1" simplePos="0" relativeHeight="487610368">
                <wp:simplePos x="0" y="0"/>
                <wp:positionH relativeFrom="page">
                  <wp:posOffset>990904</wp:posOffset>
                </wp:positionH>
                <wp:positionV relativeFrom="paragraph">
                  <wp:posOffset>160360</wp:posOffset>
                </wp:positionV>
                <wp:extent cx="1829435" cy="7620"/>
                <wp:effectExtent l="0" t="0" r="0" b="0"/>
                <wp:wrapTopAndBottom/>
                <wp:docPr id="245" name="Graphic 245"/>
                <wp:cNvGraphicFramePr>
                  <a:graphicFrameLocks/>
                </wp:cNvGraphicFramePr>
                <a:graphic>
                  <a:graphicData uri="http://schemas.microsoft.com/office/word/2010/wordprocessingShape">
                    <wps:wsp>
                      <wps:cNvPr id="245" name="Graphic 245"/>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2.626842pt;width:144.020pt;height:.599980pt;mso-position-horizontal-relative:page;mso-position-vertical-relative:paragraph;z-index:-15706112;mso-wrap-distance-left:0;mso-wrap-distance-right:0" id="docshape188" filled="true" fillcolor="#000000" stroked="false">
                <v:fill type="solid"/>
                <w10:wrap type="topAndBottom"/>
              </v:rect>
            </w:pict>
          </mc:Fallback>
        </mc:AlternateContent>
      </w:r>
    </w:p>
    <w:p>
      <w:pPr>
        <w:spacing w:before="89"/>
        <w:ind w:left="568" w:right="0" w:firstLine="0"/>
        <w:jc w:val="left"/>
        <w:rPr>
          <w:sz w:val="18"/>
        </w:rPr>
      </w:pPr>
      <w:bookmarkStart w:name="_bookmark35" w:id="36"/>
      <w:bookmarkEnd w:id="36"/>
      <w:r>
        <w:rPr/>
      </w:r>
      <w:r>
        <w:rPr>
          <w:position w:val="6"/>
          <w:sz w:val="12"/>
        </w:rPr>
        <w:t>36</w:t>
      </w:r>
      <w:r>
        <w:rPr>
          <w:spacing w:val="15"/>
          <w:position w:val="6"/>
          <w:sz w:val="12"/>
        </w:rPr>
        <w:t> </w:t>
      </w:r>
      <w:r>
        <w:rPr>
          <w:sz w:val="18"/>
        </w:rPr>
        <w:t>Revisar</w:t>
      </w:r>
      <w:r>
        <w:rPr>
          <w:spacing w:val="-2"/>
          <w:sz w:val="18"/>
        </w:rPr>
        <w:t> </w:t>
      </w:r>
      <w:r>
        <w:rPr>
          <w:sz w:val="18"/>
        </w:rPr>
        <w:t>Folio</w:t>
      </w:r>
      <w:r>
        <w:rPr>
          <w:spacing w:val="-2"/>
          <w:sz w:val="18"/>
        </w:rPr>
        <w:t> </w:t>
      </w:r>
      <w:r>
        <w:rPr>
          <w:sz w:val="18"/>
        </w:rPr>
        <w:t>N.º</w:t>
      </w:r>
      <w:r>
        <w:rPr>
          <w:spacing w:val="-3"/>
          <w:sz w:val="18"/>
        </w:rPr>
        <w:t> </w:t>
      </w:r>
      <w:r>
        <w:rPr>
          <w:sz w:val="18"/>
        </w:rPr>
        <w:t>642</w:t>
      </w:r>
      <w:r>
        <w:rPr>
          <w:spacing w:val="-4"/>
          <w:sz w:val="18"/>
        </w:rPr>
        <w:t> </w:t>
      </w:r>
      <w:r>
        <w:rPr>
          <w:sz w:val="18"/>
        </w:rPr>
        <w:t>del</w:t>
      </w:r>
      <w:r>
        <w:rPr>
          <w:spacing w:val="-3"/>
          <w:sz w:val="18"/>
        </w:rPr>
        <w:t> </w:t>
      </w:r>
      <w:r>
        <w:rPr>
          <w:sz w:val="18"/>
        </w:rPr>
        <w:t>expediente</w:t>
      </w:r>
      <w:r>
        <w:rPr>
          <w:spacing w:val="2"/>
          <w:sz w:val="18"/>
        </w:rPr>
        <w:t> </w:t>
      </w:r>
      <w:r>
        <w:rPr>
          <w:spacing w:val="-2"/>
          <w:sz w:val="18"/>
        </w:rPr>
        <w:t>DGCOM/REST/001/2026.</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246" name="Group 246"/>
                <wp:cNvGraphicFramePr>
                  <a:graphicFrameLocks/>
                </wp:cNvGraphicFramePr>
                <a:graphic>
                  <a:graphicData uri="http://schemas.microsoft.com/office/word/2010/wordprocessingGroup">
                    <wpg:wgp>
                      <wpg:cNvPr id="246" name="Group 246"/>
                      <wpg:cNvGrpSpPr/>
                      <wpg:grpSpPr>
                        <a:xfrm>
                          <a:off x="0" y="0"/>
                          <a:ext cx="6131560" cy="9525"/>
                          <a:chExt cx="6131560" cy="9525"/>
                        </a:xfrm>
                      </wpg:grpSpPr>
                      <wps:wsp>
                        <wps:cNvPr id="247" name="Graphic 247"/>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189"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637" w:top="1380" w:bottom="820" w:left="992" w:right="283"/>
        </w:sectPr>
      </w:pPr>
    </w:p>
    <w:p>
      <w:pPr>
        <w:pStyle w:val="BodyText"/>
        <w:spacing w:before="176"/>
      </w:pPr>
    </w:p>
    <w:p>
      <w:pPr>
        <w:pStyle w:val="BodyText"/>
        <w:ind w:left="1420" w:right="955"/>
      </w:pPr>
      <w:r>
        <w:rPr/>
        <w:t>una</w:t>
      </w:r>
      <w:r>
        <w:rPr>
          <w:spacing w:val="-11"/>
        </w:rPr>
        <w:t> </w:t>
      </w:r>
      <w:r>
        <w:rPr/>
        <w:t>medida,</w:t>
      </w:r>
      <w:r>
        <w:rPr>
          <w:spacing w:val="-9"/>
        </w:rPr>
        <w:t> </w:t>
      </w:r>
      <w:r>
        <w:rPr/>
        <w:t>particularmente</w:t>
      </w:r>
      <w:r>
        <w:rPr>
          <w:spacing w:val="-11"/>
        </w:rPr>
        <w:t> </w:t>
      </w:r>
      <w:r>
        <w:rPr/>
        <w:t>en</w:t>
      </w:r>
      <w:r>
        <w:rPr>
          <w:spacing w:val="-11"/>
        </w:rPr>
        <w:t> </w:t>
      </w:r>
      <w:r>
        <w:rPr/>
        <w:t>lo</w:t>
      </w:r>
      <w:r>
        <w:rPr>
          <w:spacing w:val="-11"/>
        </w:rPr>
        <w:t> </w:t>
      </w:r>
      <w:r>
        <w:rPr/>
        <w:t>relativo</w:t>
      </w:r>
      <w:r>
        <w:rPr>
          <w:spacing w:val="-11"/>
        </w:rPr>
        <w:t> </w:t>
      </w:r>
      <w:r>
        <w:rPr/>
        <w:t>a</w:t>
      </w:r>
      <w:r>
        <w:rPr>
          <w:spacing w:val="-11"/>
        </w:rPr>
        <w:t> </w:t>
      </w:r>
      <w:r>
        <w:rPr/>
        <w:t>su</w:t>
      </w:r>
      <w:r>
        <w:rPr>
          <w:spacing w:val="-11"/>
        </w:rPr>
        <w:t> </w:t>
      </w:r>
      <w:r>
        <w:rPr/>
        <w:t>finalidad,</w:t>
      </w:r>
      <w:r>
        <w:rPr>
          <w:spacing w:val="-7"/>
        </w:rPr>
        <w:t> </w:t>
      </w:r>
      <w:r>
        <w:rPr/>
        <w:t>idoneidad,</w:t>
      </w:r>
      <w:r>
        <w:rPr>
          <w:spacing w:val="-10"/>
        </w:rPr>
        <w:t> </w:t>
      </w:r>
      <w:r>
        <w:rPr/>
        <w:t>proporcionalidad y trato no discriminatorio.</w:t>
      </w:r>
    </w:p>
    <w:p>
      <w:pPr>
        <w:pStyle w:val="BodyText"/>
        <w:spacing w:before="120"/>
      </w:pPr>
    </w:p>
    <w:p>
      <w:pPr>
        <w:pStyle w:val="Heading6"/>
        <w:numPr>
          <w:ilvl w:val="1"/>
          <w:numId w:val="1"/>
        </w:numPr>
        <w:tabs>
          <w:tab w:pos="1276" w:val="left" w:leader="none"/>
        </w:tabs>
        <w:spacing w:line="240" w:lineRule="auto" w:before="0" w:after="0"/>
        <w:ind w:left="1276" w:right="979" w:hanging="708"/>
        <w:jc w:val="left"/>
      </w:pPr>
      <w:r>
        <w:rPr/>
        <w:t>Sobre</w:t>
      </w:r>
      <w:r>
        <w:rPr>
          <w:spacing w:val="-4"/>
        </w:rPr>
        <w:t> </w:t>
      </w:r>
      <w:r>
        <w:rPr/>
        <w:t>el</w:t>
      </w:r>
      <w:r>
        <w:rPr>
          <w:spacing w:val="-5"/>
        </w:rPr>
        <w:t> </w:t>
      </w:r>
      <w:r>
        <w:rPr/>
        <w:t>criterio</w:t>
      </w:r>
      <w:r>
        <w:rPr>
          <w:spacing w:val="-6"/>
        </w:rPr>
        <w:t> </w:t>
      </w:r>
      <w:r>
        <w:rPr/>
        <w:t>de</w:t>
      </w:r>
      <w:r>
        <w:rPr>
          <w:spacing w:val="-7"/>
        </w:rPr>
        <w:t> </w:t>
      </w:r>
      <w:r>
        <w:rPr/>
        <w:t>protección</w:t>
      </w:r>
      <w:r>
        <w:rPr>
          <w:spacing w:val="-6"/>
        </w:rPr>
        <w:t> </w:t>
      </w:r>
      <w:r>
        <w:rPr/>
        <w:t>de</w:t>
      </w:r>
      <w:r>
        <w:rPr>
          <w:spacing w:val="-7"/>
        </w:rPr>
        <w:t> </w:t>
      </w:r>
      <w:r>
        <w:rPr/>
        <w:t>la</w:t>
      </w:r>
      <w:r>
        <w:rPr>
          <w:spacing w:val="-6"/>
        </w:rPr>
        <w:t> </w:t>
      </w:r>
      <w:r>
        <w:rPr/>
        <w:t>vida</w:t>
      </w:r>
      <w:r>
        <w:rPr>
          <w:spacing w:val="-7"/>
        </w:rPr>
        <w:t> </w:t>
      </w:r>
      <w:r>
        <w:rPr/>
        <w:t>y</w:t>
      </w:r>
      <w:r>
        <w:rPr>
          <w:spacing w:val="-6"/>
        </w:rPr>
        <w:t> </w:t>
      </w:r>
      <w:r>
        <w:rPr/>
        <w:t>salud</w:t>
      </w:r>
      <w:r>
        <w:rPr>
          <w:spacing w:val="-5"/>
        </w:rPr>
        <w:t> </w:t>
      </w:r>
      <w:r>
        <w:rPr/>
        <w:t>de</w:t>
      </w:r>
      <w:r>
        <w:rPr>
          <w:spacing w:val="-7"/>
        </w:rPr>
        <w:t> </w:t>
      </w:r>
      <w:r>
        <w:rPr/>
        <w:t>las</w:t>
      </w:r>
      <w:r>
        <w:rPr>
          <w:spacing w:val="-7"/>
        </w:rPr>
        <w:t> </w:t>
      </w:r>
      <w:r>
        <w:rPr/>
        <w:t>personas,</w:t>
      </w:r>
      <w:r>
        <w:rPr>
          <w:spacing w:val="-7"/>
        </w:rPr>
        <w:t> </w:t>
      </w:r>
      <w:r>
        <w:rPr/>
        <w:t>los</w:t>
      </w:r>
      <w:r>
        <w:rPr>
          <w:spacing w:val="-7"/>
        </w:rPr>
        <w:t> </w:t>
      </w:r>
      <w:r>
        <w:rPr/>
        <w:t>animales</w:t>
      </w:r>
      <w:r>
        <w:rPr>
          <w:spacing w:val="-4"/>
        </w:rPr>
        <w:t> </w:t>
      </w:r>
      <w:r>
        <w:rPr/>
        <w:t>y los vegetales.</w:t>
      </w:r>
    </w:p>
    <w:p>
      <w:pPr>
        <w:pStyle w:val="BodyText"/>
        <w:spacing w:before="1"/>
        <w:rPr>
          <w:rFonts w:ascii="Arial"/>
          <w:b/>
        </w:rPr>
      </w:pPr>
    </w:p>
    <w:p>
      <w:pPr>
        <w:pStyle w:val="ListParagraph"/>
        <w:numPr>
          <w:ilvl w:val="0"/>
          <w:numId w:val="2"/>
        </w:numPr>
        <w:tabs>
          <w:tab w:pos="1416" w:val="left" w:leader="none"/>
          <w:tab w:pos="1420" w:val="left" w:leader="none"/>
        </w:tabs>
        <w:spacing w:line="240" w:lineRule="auto" w:before="1" w:after="0"/>
        <w:ind w:left="1420" w:right="980" w:hanging="852"/>
        <w:jc w:val="both"/>
        <w:rPr>
          <w:sz w:val="22"/>
        </w:rPr>
      </w:pPr>
      <w:r>
        <w:rPr>
          <w:sz w:val="22"/>
        </w:rPr>
        <w:t>Es preciso mencionar que la República del Ecuador, en su respuesta a la solicitud presentada por la República de Colombia, señala en cuanto a los criterios de excepción vinculados a su medida, lo siguiente:</w:t>
      </w:r>
    </w:p>
    <w:p>
      <w:pPr>
        <w:spacing w:before="251"/>
        <w:ind w:left="2270" w:right="981" w:firstLine="0"/>
        <w:jc w:val="both"/>
        <w:rPr>
          <w:rFonts w:ascii="Arial" w:hAnsi="Arial"/>
          <w:i/>
          <w:sz w:val="22"/>
        </w:rPr>
      </w:pPr>
      <w:r>
        <w:rPr>
          <w:rFonts w:ascii="Arial" w:hAnsi="Arial"/>
          <w:i/>
          <w:sz w:val="22"/>
        </w:rPr>
        <w:t>“En síntesis, el marco normativo que sustenta la posición del Ecuador descansa</w:t>
      </w:r>
      <w:r>
        <w:rPr>
          <w:rFonts w:ascii="Arial" w:hAnsi="Arial"/>
          <w:i/>
          <w:spacing w:val="-8"/>
          <w:sz w:val="22"/>
        </w:rPr>
        <w:t> </w:t>
      </w:r>
      <w:r>
        <w:rPr>
          <w:rFonts w:ascii="Arial" w:hAnsi="Arial"/>
          <w:i/>
          <w:sz w:val="22"/>
        </w:rPr>
        <w:t>sobre</w:t>
      </w:r>
      <w:r>
        <w:rPr>
          <w:rFonts w:ascii="Arial" w:hAnsi="Arial"/>
          <w:i/>
          <w:spacing w:val="-11"/>
          <w:sz w:val="22"/>
        </w:rPr>
        <w:t> </w:t>
      </w:r>
      <w:r>
        <w:rPr>
          <w:rFonts w:ascii="Arial" w:hAnsi="Arial"/>
          <w:i/>
          <w:sz w:val="22"/>
        </w:rPr>
        <w:t>cuatro</w:t>
      </w:r>
      <w:r>
        <w:rPr>
          <w:rFonts w:ascii="Arial" w:hAnsi="Arial"/>
          <w:i/>
          <w:spacing w:val="-11"/>
          <w:sz w:val="22"/>
        </w:rPr>
        <w:t> </w:t>
      </w:r>
      <w:r>
        <w:rPr>
          <w:rFonts w:ascii="Arial" w:hAnsi="Arial"/>
          <w:i/>
          <w:sz w:val="22"/>
        </w:rPr>
        <w:t>ideas</w:t>
      </w:r>
      <w:r>
        <w:rPr>
          <w:rFonts w:ascii="Arial" w:hAnsi="Arial"/>
          <w:i/>
          <w:spacing w:val="-8"/>
          <w:sz w:val="22"/>
        </w:rPr>
        <w:t> </w:t>
      </w:r>
      <w:r>
        <w:rPr>
          <w:rFonts w:ascii="Arial" w:hAnsi="Arial"/>
          <w:i/>
          <w:sz w:val="22"/>
        </w:rPr>
        <w:t>concatenadas:</w:t>
      </w:r>
      <w:r>
        <w:rPr>
          <w:rFonts w:ascii="Arial" w:hAnsi="Arial"/>
          <w:i/>
          <w:spacing w:val="-7"/>
          <w:sz w:val="22"/>
        </w:rPr>
        <w:t> </w:t>
      </w:r>
      <w:r>
        <w:rPr>
          <w:rFonts w:ascii="Arial" w:hAnsi="Arial"/>
          <w:i/>
          <w:sz w:val="22"/>
        </w:rPr>
        <w:t>i)</w:t>
      </w:r>
      <w:r>
        <w:rPr>
          <w:rFonts w:ascii="Arial" w:hAnsi="Arial"/>
          <w:i/>
          <w:spacing w:val="-10"/>
          <w:sz w:val="22"/>
        </w:rPr>
        <w:t> </w:t>
      </w:r>
      <w:r>
        <w:rPr>
          <w:rFonts w:ascii="Arial" w:hAnsi="Arial"/>
          <w:i/>
          <w:sz w:val="22"/>
        </w:rPr>
        <w:t>el</w:t>
      </w:r>
      <w:r>
        <w:rPr>
          <w:rFonts w:ascii="Arial" w:hAnsi="Arial"/>
          <w:i/>
          <w:spacing w:val="-9"/>
          <w:sz w:val="22"/>
        </w:rPr>
        <w:t> </w:t>
      </w:r>
      <w:r>
        <w:rPr>
          <w:rFonts w:ascii="Arial" w:hAnsi="Arial"/>
          <w:i/>
          <w:sz w:val="22"/>
        </w:rPr>
        <w:t>Programa</w:t>
      </w:r>
      <w:r>
        <w:rPr>
          <w:rFonts w:ascii="Arial" w:hAnsi="Arial"/>
          <w:i/>
          <w:spacing w:val="-8"/>
          <w:sz w:val="22"/>
        </w:rPr>
        <w:t> </w:t>
      </w:r>
      <w:r>
        <w:rPr>
          <w:rFonts w:ascii="Arial" w:hAnsi="Arial"/>
          <w:i/>
          <w:sz w:val="22"/>
        </w:rPr>
        <w:t>de</w:t>
      </w:r>
      <w:r>
        <w:rPr>
          <w:rFonts w:ascii="Arial" w:hAnsi="Arial"/>
          <w:i/>
          <w:spacing w:val="-11"/>
          <w:sz w:val="22"/>
        </w:rPr>
        <w:t> </w:t>
      </w:r>
      <w:r>
        <w:rPr>
          <w:rFonts w:ascii="Arial" w:hAnsi="Arial"/>
          <w:i/>
          <w:sz w:val="22"/>
        </w:rPr>
        <w:t>Liberación</w:t>
      </w:r>
      <w:r>
        <w:rPr>
          <w:rFonts w:ascii="Arial" w:hAnsi="Arial"/>
          <w:i/>
          <w:spacing w:val="-11"/>
          <w:sz w:val="22"/>
        </w:rPr>
        <w:t> </w:t>
      </w:r>
      <w:r>
        <w:rPr>
          <w:rFonts w:ascii="Arial" w:hAnsi="Arial"/>
          <w:i/>
          <w:sz w:val="22"/>
        </w:rPr>
        <w:t>es un</w:t>
      </w:r>
      <w:r>
        <w:rPr>
          <w:rFonts w:ascii="Arial" w:hAnsi="Arial"/>
          <w:i/>
          <w:spacing w:val="-3"/>
          <w:sz w:val="22"/>
        </w:rPr>
        <w:t> </w:t>
      </w:r>
      <w:r>
        <w:rPr>
          <w:rFonts w:ascii="Arial" w:hAnsi="Arial"/>
          <w:i/>
          <w:sz w:val="22"/>
        </w:rPr>
        <w:t>pilar</w:t>
      </w:r>
      <w:r>
        <w:rPr>
          <w:rFonts w:ascii="Arial" w:hAnsi="Arial"/>
          <w:i/>
          <w:spacing w:val="-2"/>
          <w:sz w:val="22"/>
        </w:rPr>
        <w:t> </w:t>
      </w:r>
      <w:r>
        <w:rPr>
          <w:rFonts w:ascii="Arial" w:hAnsi="Arial"/>
          <w:i/>
          <w:sz w:val="22"/>
        </w:rPr>
        <w:t>central</w:t>
      </w:r>
      <w:r>
        <w:rPr>
          <w:rFonts w:ascii="Arial" w:hAnsi="Arial"/>
          <w:i/>
          <w:spacing w:val="-6"/>
          <w:sz w:val="22"/>
        </w:rPr>
        <w:t> </w:t>
      </w:r>
      <w:r>
        <w:rPr>
          <w:rFonts w:ascii="Arial" w:hAnsi="Arial"/>
          <w:i/>
          <w:sz w:val="22"/>
        </w:rPr>
        <w:t>del</w:t>
      </w:r>
      <w:r>
        <w:rPr>
          <w:rFonts w:ascii="Arial" w:hAnsi="Arial"/>
          <w:i/>
          <w:spacing w:val="-3"/>
          <w:sz w:val="22"/>
        </w:rPr>
        <w:t> </w:t>
      </w:r>
      <w:r>
        <w:rPr>
          <w:rFonts w:ascii="Arial" w:hAnsi="Arial"/>
          <w:i/>
          <w:sz w:val="22"/>
        </w:rPr>
        <w:t>sistema</w:t>
      </w:r>
      <w:r>
        <w:rPr>
          <w:rFonts w:ascii="Arial" w:hAnsi="Arial"/>
          <w:i/>
          <w:spacing w:val="-3"/>
          <w:sz w:val="22"/>
        </w:rPr>
        <w:t> </w:t>
      </w:r>
      <w:r>
        <w:rPr>
          <w:rFonts w:ascii="Arial" w:hAnsi="Arial"/>
          <w:i/>
          <w:sz w:val="22"/>
        </w:rPr>
        <w:t>andino,</w:t>
      </w:r>
      <w:r>
        <w:rPr>
          <w:rFonts w:ascii="Arial" w:hAnsi="Arial"/>
          <w:i/>
          <w:spacing w:val="-1"/>
          <w:sz w:val="22"/>
        </w:rPr>
        <w:t> </w:t>
      </w:r>
      <w:r>
        <w:rPr>
          <w:rFonts w:ascii="Arial" w:hAnsi="Arial"/>
          <w:i/>
          <w:sz w:val="22"/>
        </w:rPr>
        <w:t>pero</w:t>
      </w:r>
      <w:r>
        <w:rPr>
          <w:rFonts w:ascii="Arial" w:hAnsi="Arial"/>
          <w:i/>
          <w:spacing w:val="-3"/>
          <w:sz w:val="22"/>
        </w:rPr>
        <w:t> </w:t>
      </w:r>
      <w:r>
        <w:rPr>
          <w:rFonts w:ascii="Arial" w:hAnsi="Arial"/>
          <w:i/>
          <w:sz w:val="22"/>
        </w:rPr>
        <w:t>no</w:t>
      </w:r>
      <w:r>
        <w:rPr>
          <w:rFonts w:ascii="Arial" w:hAnsi="Arial"/>
          <w:i/>
          <w:spacing w:val="-5"/>
          <w:sz w:val="22"/>
        </w:rPr>
        <w:t> </w:t>
      </w:r>
      <w:r>
        <w:rPr>
          <w:rFonts w:ascii="Arial" w:hAnsi="Arial"/>
          <w:i/>
          <w:sz w:val="22"/>
        </w:rPr>
        <w:t>es</w:t>
      </w:r>
      <w:r>
        <w:rPr>
          <w:rFonts w:ascii="Arial" w:hAnsi="Arial"/>
          <w:i/>
          <w:spacing w:val="-5"/>
          <w:sz w:val="22"/>
        </w:rPr>
        <w:t> </w:t>
      </w:r>
      <w:r>
        <w:rPr>
          <w:rFonts w:ascii="Arial" w:hAnsi="Arial"/>
          <w:i/>
          <w:sz w:val="22"/>
        </w:rPr>
        <w:t>absoluto;</w:t>
      </w:r>
      <w:r>
        <w:rPr>
          <w:rFonts w:ascii="Arial" w:hAnsi="Arial"/>
          <w:i/>
          <w:spacing w:val="-3"/>
          <w:sz w:val="22"/>
        </w:rPr>
        <w:t> </w:t>
      </w:r>
      <w:r>
        <w:rPr>
          <w:rFonts w:ascii="Arial" w:hAnsi="Arial"/>
          <w:i/>
          <w:sz w:val="22"/>
        </w:rPr>
        <w:t>ii)</w:t>
      </w:r>
      <w:r>
        <w:rPr>
          <w:rFonts w:ascii="Arial" w:hAnsi="Arial"/>
          <w:i/>
          <w:spacing w:val="-2"/>
          <w:sz w:val="22"/>
        </w:rPr>
        <w:t> </w:t>
      </w:r>
      <w:r>
        <w:rPr>
          <w:rFonts w:ascii="Arial" w:hAnsi="Arial"/>
          <w:i/>
          <w:sz w:val="22"/>
        </w:rPr>
        <w:t>el</w:t>
      </w:r>
      <w:r>
        <w:rPr>
          <w:rFonts w:ascii="Arial" w:hAnsi="Arial"/>
          <w:i/>
          <w:spacing w:val="-4"/>
          <w:sz w:val="22"/>
        </w:rPr>
        <w:t> </w:t>
      </w:r>
      <w:r>
        <w:rPr>
          <w:rFonts w:ascii="Arial" w:hAnsi="Arial"/>
          <w:i/>
          <w:sz w:val="22"/>
        </w:rPr>
        <w:t>propio</w:t>
      </w:r>
      <w:r>
        <w:rPr>
          <w:rFonts w:ascii="Arial" w:hAnsi="Arial"/>
          <w:i/>
          <w:spacing w:val="-3"/>
          <w:sz w:val="22"/>
        </w:rPr>
        <w:t> </w:t>
      </w:r>
      <w:r>
        <w:rPr>
          <w:rFonts w:ascii="Arial" w:hAnsi="Arial"/>
          <w:i/>
          <w:sz w:val="22"/>
        </w:rPr>
        <w:t>artículo</w:t>
      </w:r>
    </w:p>
    <w:p>
      <w:pPr>
        <w:spacing w:before="3"/>
        <w:ind w:left="2270" w:right="977" w:firstLine="0"/>
        <w:jc w:val="both"/>
        <w:rPr>
          <w:sz w:val="22"/>
        </w:rPr>
      </w:pPr>
      <w:r>
        <w:rPr>
          <w:rFonts w:ascii="Arial" w:hAnsi="Arial"/>
          <w:i/>
          <w:sz w:val="22"/>
        </w:rPr>
        <w:t>73 del Acuerdo de Cartagena excluye del concepto de restricción </w:t>
      </w:r>
      <w:r>
        <w:rPr>
          <w:rFonts w:ascii="Arial" w:hAnsi="Arial"/>
          <w:b/>
          <w:i/>
          <w:sz w:val="22"/>
        </w:rPr>
        <w:t>determinadas medidas vinculadas con seguridad y protección de la vida</w:t>
      </w:r>
      <w:r>
        <w:rPr>
          <w:rFonts w:ascii="Arial" w:hAnsi="Arial"/>
          <w:b/>
          <w:i/>
          <w:spacing w:val="-11"/>
          <w:sz w:val="22"/>
        </w:rPr>
        <w:t> </w:t>
      </w:r>
      <w:r>
        <w:rPr>
          <w:rFonts w:ascii="Arial" w:hAnsi="Arial"/>
          <w:b/>
          <w:i/>
          <w:sz w:val="22"/>
        </w:rPr>
        <w:t>y</w:t>
      </w:r>
      <w:r>
        <w:rPr>
          <w:rFonts w:ascii="Arial" w:hAnsi="Arial"/>
          <w:b/>
          <w:i/>
          <w:spacing w:val="-11"/>
          <w:sz w:val="22"/>
        </w:rPr>
        <w:t> </w:t>
      </w:r>
      <w:r>
        <w:rPr>
          <w:rFonts w:ascii="Arial" w:hAnsi="Arial"/>
          <w:b/>
          <w:i/>
          <w:sz w:val="22"/>
        </w:rPr>
        <w:t>la</w:t>
      </w:r>
      <w:r>
        <w:rPr>
          <w:rFonts w:ascii="Arial" w:hAnsi="Arial"/>
          <w:b/>
          <w:i/>
          <w:spacing w:val="-14"/>
          <w:sz w:val="22"/>
        </w:rPr>
        <w:t> </w:t>
      </w:r>
      <w:r>
        <w:rPr>
          <w:rFonts w:ascii="Arial" w:hAnsi="Arial"/>
          <w:b/>
          <w:i/>
          <w:sz w:val="22"/>
        </w:rPr>
        <w:t>salud;</w:t>
      </w:r>
      <w:r>
        <w:rPr>
          <w:rFonts w:ascii="Arial" w:hAnsi="Arial"/>
          <w:b/>
          <w:i/>
          <w:spacing w:val="-9"/>
          <w:sz w:val="22"/>
        </w:rPr>
        <w:t> </w:t>
      </w:r>
      <w:r>
        <w:rPr>
          <w:rFonts w:ascii="Arial" w:hAnsi="Arial"/>
          <w:i/>
          <w:sz w:val="22"/>
        </w:rPr>
        <w:t>ii)</w:t>
      </w:r>
      <w:r>
        <w:rPr>
          <w:rFonts w:ascii="Arial" w:hAnsi="Arial"/>
          <w:i/>
          <w:spacing w:val="-10"/>
          <w:sz w:val="22"/>
        </w:rPr>
        <w:t> </w:t>
      </w:r>
      <w:r>
        <w:rPr>
          <w:rFonts w:ascii="Arial" w:hAnsi="Arial"/>
          <w:i/>
          <w:sz w:val="22"/>
        </w:rPr>
        <w:t>la</w:t>
      </w:r>
      <w:r>
        <w:rPr>
          <w:rFonts w:ascii="Arial" w:hAnsi="Arial"/>
          <w:i/>
          <w:spacing w:val="-11"/>
          <w:sz w:val="22"/>
        </w:rPr>
        <w:t> </w:t>
      </w:r>
      <w:r>
        <w:rPr>
          <w:rFonts w:ascii="Arial" w:hAnsi="Arial"/>
          <w:i/>
          <w:sz w:val="22"/>
        </w:rPr>
        <w:t>Decisión</w:t>
      </w:r>
      <w:r>
        <w:rPr>
          <w:rFonts w:ascii="Arial" w:hAnsi="Arial"/>
          <w:i/>
          <w:spacing w:val="-12"/>
          <w:sz w:val="22"/>
        </w:rPr>
        <w:t> </w:t>
      </w:r>
      <w:r>
        <w:rPr>
          <w:rFonts w:ascii="Arial" w:hAnsi="Arial"/>
          <w:i/>
          <w:sz w:val="22"/>
        </w:rPr>
        <w:t>502</w:t>
      </w:r>
      <w:r>
        <w:rPr>
          <w:rFonts w:ascii="Arial" w:hAnsi="Arial"/>
          <w:i/>
          <w:spacing w:val="-11"/>
          <w:sz w:val="22"/>
        </w:rPr>
        <w:t> </w:t>
      </w:r>
      <w:r>
        <w:rPr>
          <w:rFonts w:ascii="Arial" w:hAnsi="Arial"/>
          <w:i/>
          <w:sz w:val="22"/>
        </w:rPr>
        <w:t>reconoce</w:t>
      </w:r>
      <w:r>
        <w:rPr>
          <w:rFonts w:ascii="Arial" w:hAnsi="Arial"/>
          <w:i/>
          <w:spacing w:val="-11"/>
          <w:sz w:val="22"/>
        </w:rPr>
        <w:t> </w:t>
      </w:r>
      <w:r>
        <w:rPr>
          <w:rFonts w:ascii="Arial" w:hAnsi="Arial"/>
          <w:i/>
          <w:sz w:val="22"/>
        </w:rPr>
        <w:t>que</w:t>
      </w:r>
      <w:r>
        <w:rPr>
          <w:rFonts w:ascii="Arial" w:hAnsi="Arial"/>
          <w:i/>
          <w:spacing w:val="-11"/>
          <w:sz w:val="22"/>
        </w:rPr>
        <w:t> </w:t>
      </w:r>
      <w:r>
        <w:rPr>
          <w:rFonts w:ascii="Arial" w:hAnsi="Arial"/>
          <w:i/>
          <w:sz w:val="22"/>
        </w:rPr>
        <w:t>el</w:t>
      </w:r>
      <w:r>
        <w:rPr>
          <w:rFonts w:ascii="Arial" w:hAnsi="Arial"/>
          <w:i/>
          <w:spacing w:val="-12"/>
          <w:sz w:val="22"/>
        </w:rPr>
        <w:t> </w:t>
      </w:r>
      <w:r>
        <w:rPr>
          <w:rFonts w:ascii="Arial" w:hAnsi="Arial"/>
          <w:i/>
          <w:sz w:val="22"/>
        </w:rPr>
        <w:t>tránsito</w:t>
      </w:r>
      <w:r>
        <w:rPr>
          <w:rFonts w:ascii="Arial" w:hAnsi="Arial"/>
          <w:i/>
          <w:spacing w:val="-14"/>
          <w:sz w:val="22"/>
        </w:rPr>
        <w:t> </w:t>
      </w:r>
      <w:r>
        <w:rPr>
          <w:rFonts w:ascii="Arial" w:hAnsi="Arial"/>
          <w:i/>
          <w:sz w:val="22"/>
        </w:rPr>
        <w:t>fronterizo</w:t>
      </w:r>
      <w:r>
        <w:rPr>
          <w:rFonts w:ascii="Arial" w:hAnsi="Arial"/>
          <w:i/>
          <w:spacing w:val="-12"/>
          <w:sz w:val="22"/>
        </w:rPr>
        <w:t> </w:t>
      </w:r>
      <w:r>
        <w:rPr>
          <w:rFonts w:ascii="Arial" w:hAnsi="Arial"/>
          <w:i/>
          <w:sz w:val="22"/>
        </w:rPr>
        <w:t>andino se administra mediante control integrado, seguro y adaptado a las peculiaridades</w:t>
      </w:r>
      <w:r>
        <w:rPr>
          <w:rFonts w:ascii="Arial" w:hAnsi="Arial"/>
          <w:i/>
          <w:spacing w:val="-5"/>
          <w:sz w:val="22"/>
        </w:rPr>
        <w:t> </w:t>
      </w:r>
      <w:r>
        <w:rPr>
          <w:rFonts w:ascii="Arial" w:hAnsi="Arial"/>
          <w:i/>
          <w:sz w:val="22"/>
        </w:rPr>
        <w:t>de</w:t>
      </w:r>
      <w:r>
        <w:rPr>
          <w:rFonts w:ascii="Arial" w:hAnsi="Arial"/>
          <w:i/>
          <w:spacing w:val="-5"/>
          <w:sz w:val="22"/>
        </w:rPr>
        <w:t> </w:t>
      </w:r>
      <w:r>
        <w:rPr>
          <w:rFonts w:ascii="Arial" w:hAnsi="Arial"/>
          <w:i/>
          <w:sz w:val="22"/>
        </w:rPr>
        <w:t>cada</w:t>
      </w:r>
      <w:r>
        <w:rPr>
          <w:rFonts w:ascii="Arial" w:hAnsi="Arial"/>
          <w:i/>
          <w:spacing w:val="-5"/>
          <w:sz w:val="22"/>
        </w:rPr>
        <w:t> </w:t>
      </w:r>
      <w:r>
        <w:rPr>
          <w:rFonts w:ascii="Arial" w:hAnsi="Arial"/>
          <w:i/>
          <w:sz w:val="22"/>
        </w:rPr>
        <w:t>paso</w:t>
      </w:r>
      <w:r>
        <w:rPr>
          <w:rFonts w:ascii="Arial" w:hAnsi="Arial"/>
          <w:i/>
          <w:spacing w:val="-5"/>
          <w:sz w:val="22"/>
        </w:rPr>
        <w:t> </w:t>
      </w:r>
      <w:r>
        <w:rPr>
          <w:rFonts w:ascii="Arial" w:hAnsi="Arial"/>
          <w:i/>
          <w:sz w:val="22"/>
        </w:rPr>
        <w:t>de</w:t>
      </w:r>
      <w:r>
        <w:rPr>
          <w:rFonts w:ascii="Arial" w:hAnsi="Arial"/>
          <w:i/>
          <w:spacing w:val="-5"/>
          <w:sz w:val="22"/>
        </w:rPr>
        <w:t> </w:t>
      </w:r>
      <w:r>
        <w:rPr>
          <w:rFonts w:ascii="Arial" w:hAnsi="Arial"/>
          <w:i/>
          <w:sz w:val="22"/>
        </w:rPr>
        <w:t>frontera;</w:t>
      </w:r>
      <w:r>
        <w:rPr>
          <w:rFonts w:ascii="Arial" w:hAnsi="Arial"/>
          <w:i/>
          <w:spacing w:val="-4"/>
          <w:sz w:val="22"/>
        </w:rPr>
        <w:t> </w:t>
      </w:r>
      <w:r>
        <w:rPr>
          <w:rFonts w:ascii="Arial" w:hAnsi="Arial"/>
          <w:i/>
          <w:sz w:val="22"/>
        </w:rPr>
        <w:t>y</w:t>
      </w:r>
      <w:r>
        <w:rPr>
          <w:rFonts w:ascii="Arial" w:hAnsi="Arial"/>
          <w:i/>
          <w:spacing w:val="-7"/>
          <w:sz w:val="22"/>
        </w:rPr>
        <w:t> </w:t>
      </w:r>
      <w:r>
        <w:rPr>
          <w:rFonts w:ascii="Arial" w:hAnsi="Arial"/>
          <w:i/>
          <w:sz w:val="22"/>
        </w:rPr>
        <w:t>iv)</w:t>
      </w:r>
      <w:r>
        <w:rPr>
          <w:rFonts w:ascii="Arial" w:hAnsi="Arial"/>
          <w:i/>
          <w:spacing w:val="-4"/>
          <w:sz w:val="22"/>
        </w:rPr>
        <w:t> </w:t>
      </w:r>
      <w:r>
        <w:rPr>
          <w:rFonts w:ascii="Arial" w:hAnsi="Arial"/>
          <w:i/>
          <w:sz w:val="22"/>
        </w:rPr>
        <w:t>tanto</w:t>
      </w:r>
      <w:r>
        <w:rPr>
          <w:rFonts w:ascii="Arial" w:hAnsi="Arial"/>
          <w:i/>
          <w:spacing w:val="-5"/>
          <w:sz w:val="22"/>
        </w:rPr>
        <w:t> </w:t>
      </w:r>
      <w:r>
        <w:rPr>
          <w:rFonts w:ascii="Arial" w:hAnsi="Arial"/>
          <w:i/>
          <w:sz w:val="22"/>
        </w:rPr>
        <w:t>la</w:t>
      </w:r>
      <w:r>
        <w:rPr>
          <w:rFonts w:ascii="Arial" w:hAnsi="Arial"/>
          <w:i/>
          <w:spacing w:val="-5"/>
          <w:sz w:val="22"/>
        </w:rPr>
        <w:t> </w:t>
      </w:r>
      <w:r>
        <w:rPr>
          <w:rFonts w:ascii="Arial" w:hAnsi="Arial"/>
          <w:i/>
          <w:sz w:val="22"/>
        </w:rPr>
        <w:t>jurisprudencia</w:t>
      </w:r>
      <w:r>
        <w:rPr>
          <w:rFonts w:ascii="Arial" w:hAnsi="Arial"/>
          <w:i/>
          <w:spacing w:val="-5"/>
          <w:sz w:val="22"/>
        </w:rPr>
        <w:t> </w:t>
      </w:r>
      <w:r>
        <w:rPr>
          <w:rFonts w:ascii="Arial" w:hAnsi="Arial"/>
          <w:i/>
          <w:sz w:val="22"/>
        </w:rPr>
        <w:t>andina como la multilateral exigen que la medida excepcional sea demostrablemente legítima, idónea, necesaria, proporcional y no discriminatoria. Ese será, precisamente, el parámetro con el que se defenderá la actuación ecuatoriana en la sección siguiente.” </w:t>
      </w:r>
      <w:r>
        <w:rPr>
          <w:sz w:val="22"/>
        </w:rPr>
        <w:t>(Énfasis fuera del texto)</w:t>
      </w:r>
    </w:p>
    <w:p>
      <w:pPr>
        <w:pStyle w:val="ListParagraph"/>
        <w:numPr>
          <w:ilvl w:val="0"/>
          <w:numId w:val="2"/>
        </w:numPr>
        <w:tabs>
          <w:tab w:pos="1416" w:val="left" w:leader="none"/>
          <w:tab w:pos="1420" w:val="left" w:leader="none"/>
        </w:tabs>
        <w:spacing w:line="240" w:lineRule="auto" w:before="251" w:after="0"/>
        <w:ind w:left="1420" w:right="976" w:hanging="852"/>
        <w:jc w:val="both"/>
        <w:rPr>
          <w:sz w:val="22"/>
        </w:rPr>
      </w:pPr>
      <w:r>
        <w:rPr>
          <w:sz w:val="22"/>
        </w:rPr>
        <w:t>Sobre el particular, se advierte que la República del Ecuador no solo invoca como fundamento de su medida la excepción prevista en el literal b) del artículo 73 del Acuerdo</w:t>
      </w:r>
      <w:r>
        <w:rPr>
          <w:spacing w:val="-16"/>
          <w:sz w:val="22"/>
        </w:rPr>
        <w:t> </w:t>
      </w:r>
      <w:r>
        <w:rPr>
          <w:sz w:val="22"/>
        </w:rPr>
        <w:t>de</w:t>
      </w:r>
      <w:r>
        <w:rPr>
          <w:spacing w:val="-15"/>
          <w:sz w:val="22"/>
        </w:rPr>
        <w:t> </w:t>
      </w:r>
      <w:r>
        <w:rPr>
          <w:sz w:val="22"/>
        </w:rPr>
        <w:t>Cartagena,</w:t>
      </w:r>
      <w:r>
        <w:rPr>
          <w:spacing w:val="-15"/>
          <w:sz w:val="22"/>
        </w:rPr>
        <w:t> </w:t>
      </w:r>
      <w:r>
        <w:rPr>
          <w:sz w:val="22"/>
        </w:rPr>
        <w:t>relativa</w:t>
      </w:r>
      <w:r>
        <w:rPr>
          <w:spacing w:val="-15"/>
          <w:sz w:val="22"/>
        </w:rPr>
        <w:t> </w:t>
      </w:r>
      <w:r>
        <w:rPr>
          <w:sz w:val="22"/>
        </w:rPr>
        <w:t>a</w:t>
      </w:r>
      <w:r>
        <w:rPr>
          <w:spacing w:val="-14"/>
          <w:sz w:val="22"/>
        </w:rPr>
        <w:t> </w:t>
      </w:r>
      <w:r>
        <w:rPr>
          <w:sz w:val="22"/>
        </w:rPr>
        <w:t>la</w:t>
      </w:r>
      <w:r>
        <w:rPr>
          <w:spacing w:val="-16"/>
          <w:sz w:val="22"/>
        </w:rPr>
        <w:t> </w:t>
      </w:r>
      <w:r>
        <w:rPr>
          <w:sz w:val="22"/>
        </w:rPr>
        <w:t>“</w:t>
      </w:r>
      <w:r>
        <w:rPr>
          <w:rFonts w:ascii="Arial" w:hAnsi="Arial"/>
          <w:i/>
          <w:sz w:val="22"/>
        </w:rPr>
        <w:t>aplicación</w:t>
      </w:r>
      <w:r>
        <w:rPr>
          <w:rFonts w:ascii="Arial" w:hAnsi="Arial"/>
          <w:i/>
          <w:spacing w:val="-14"/>
          <w:sz w:val="22"/>
        </w:rPr>
        <w:t> </w:t>
      </w:r>
      <w:r>
        <w:rPr>
          <w:rFonts w:ascii="Arial" w:hAnsi="Arial"/>
          <w:i/>
          <w:sz w:val="22"/>
        </w:rPr>
        <w:t>de</w:t>
      </w:r>
      <w:r>
        <w:rPr>
          <w:rFonts w:ascii="Arial" w:hAnsi="Arial"/>
          <w:i/>
          <w:spacing w:val="-15"/>
          <w:sz w:val="22"/>
        </w:rPr>
        <w:t> </w:t>
      </w:r>
      <w:r>
        <w:rPr>
          <w:rFonts w:ascii="Arial" w:hAnsi="Arial"/>
          <w:i/>
          <w:sz w:val="22"/>
        </w:rPr>
        <w:t>leyes</w:t>
      </w:r>
      <w:r>
        <w:rPr>
          <w:rFonts w:ascii="Arial" w:hAnsi="Arial"/>
          <w:i/>
          <w:spacing w:val="-13"/>
          <w:sz w:val="22"/>
        </w:rPr>
        <w:t> </w:t>
      </w:r>
      <w:r>
        <w:rPr>
          <w:rFonts w:ascii="Arial" w:hAnsi="Arial"/>
          <w:i/>
          <w:sz w:val="22"/>
        </w:rPr>
        <w:t>y</w:t>
      </w:r>
      <w:r>
        <w:rPr>
          <w:rFonts w:ascii="Arial" w:hAnsi="Arial"/>
          <w:i/>
          <w:spacing w:val="-16"/>
          <w:sz w:val="22"/>
        </w:rPr>
        <w:t> </w:t>
      </w:r>
      <w:r>
        <w:rPr>
          <w:rFonts w:ascii="Arial" w:hAnsi="Arial"/>
          <w:i/>
          <w:sz w:val="22"/>
        </w:rPr>
        <w:t>reglamentos</w:t>
      </w:r>
      <w:r>
        <w:rPr>
          <w:rFonts w:ascii="Arial" w:hAnsi="Arial"/>
          <w:i/>
          <w:spacing w:val="-15"/>
          <w:sz w:val="22"/>
        </w:rPr>
        <w:t> </w:t>
      </w:r>
      <w:r>
        <w:rPr>
          <w:rFonts w:ascii="Arial" w:hAnsi="Arial"/>
          <w:i/>
          <w:sz w:val="22"/>
        </w:rPr>
        <w:t>de</w:t>
      </w:r>
      <w:r>
        <w:rPr>
          <w:rFonts w:ascii="Arial" w:hAnsi="Arial"/>
          <w:i/>
          <w:spacing w:val="-14"/>
          <w:sz w:val="22"/>
        </w:rPr>
        <w:t> </w:t>
      </w:r>
      <w:r>
        <w:rPr>
          <w:rFonts w:ascii="Arial" w:hAnsi="Arial"/>
          <w:i/>
          <w:sz w:val="22"/>
        </w:rPr>
        <w:t>seguridad”</w:t>
      </w:r>
      <w:r>
        <w:rPr>
          <w:sz w:val="22"/>
        </w:rPr>
        <w:t>, sino también aquella contenida en el literal d) del mismo artículo, referida a la </w:t>
      </w:r>
      <w:r>
        <w:rPr>
          <w:rFonts w:ascii="Arial" w:hAnsi="Arial"/>
          <w:i/>
          <w:sz w:val="22"/>
        </w:rPr>
        <w:t>“protección de la vida y salud de las personas, los animales y los vegetales.</w:t>
      </w:r>
      <w:r>
        <w:rPr>
          <w:sz w:val="22"/>
        </w:rPr>
        <w:t>”</w:t>
      </w:r>
    </w:p>
    <w:p>
      <w:pPr>
        <w:pStyle w:val="ListParagraph"/>
        <w:numPr>
          <w:ilvl w:val="0"/>
          <w:numId w:val="2"/>
        </w:numPr>
        <w:tabs>
          <w:tab w:pos="1416" w:val="left" w:leader="none"/>
          <w:tab w:pos="1420" w:val="left" w:leader="none"/>
        </w:tabs>
        <w:spacing w:line="240" w:lineRule="auto" w:before="253" w:after="0"/>
        <w:ind w:left="1420" w:right="979" w:hanging="852"/>
        <w:jc w:val="both"/>
        <w:rPr>
          <w:sz w:val="22"/>
        </w:rPr>
      </w:pPr>
      <w:r>
        <w:rPr>
          <w:sz w:val="22"/>
        </w:rPr>
        <w:t>No obstante, esta última excepción se encuentra vinculada, en el marco del ordenamiento andino, a la adopción de medidas</w:t>
      </w:r>
      <w:r>
        <w:rPr>
          <w:spacing w:val="-2"/>
          <w:sz w:val="22"/>
        </w:rPr>
        <w:t> </w:t>
      </w:r>
      <w:r>
        <w:rPr>
          <w:sz w:val="22"/>
        </w:rPr>
        <w:t>de carácter sanitario y fitosanitario, orientadas a prevenir riesgos para la salud pública, la sanidad animal o vegetal, así como a</w:t>
      </w:r>
      <w:r>
        <w:rPr>
          <w:spacing w:val="-3"/>
          <w:sz w:val="22"/>
        </w:rPr>
        <w:t> </w:t>
      </w:r>
      <w:r>
        <w:rPr>
          <w:sz w:val="22"/>
        </w:rPr>
        <w:t>garantizar la inocuidad de</w:t>
      </w:r>
      <w:r>
        <w:rPr>
          <w:spacing w:val="-1"/>
          <w:sz w:val="22"/>
        </w:rPr>
        <w:t> </w:t>
      </w:r>
      <w:r>
        <w:rPr>
          <w:sz w:val="22"/>
        </w:rPr>
        <w:t>los productos.</w:t>
      </w:r>
      <w:r>
        <w:rPr>
          <w:spacing w:val="-1"/>
          <w:sz w:val="22"/>
        </w:rPr>
        <w:t> </w:t>
      </w:r>
      <w:r>
        <w:rPr>
          <w:sz w:val="22"/>
        </w:rPr>
        <w:t>En ese</w:t>
      </w:r>
      <w:r>
        <w:rPr>
          <w:spacing w:val="-1"/>
          <w:sz w:val="22"/>
        </w:rPr>
        <w:t> </w:t>
      </w:r>
      <w:r>
        <w:rPr>
          <w:sz w:val="22"/>
        </w:rPr>
        <w:t>sentido, no</w:t>
      </w:r>
      <w:r>
        <w:rPr>
          <w:spacing w:val="-3"/>
          <w:sz w:val="22"/>
        </w:rPr>
        <w:t> </w:t>
      </w:r>
      <w:r>
        <w:rPr>
          <w:sz w:val="22"/>
        </w:rPr>
        <w:t>se advierte que la República del Ecuador haya desarrollado una justificación específica que vincule la medida objeto de análisis con este tipo de riesgos.</w:t>
      </w:r>
    </w:p>
    <w:p>
      <w:pPr>
        <w:pStyle w:val="BodyText"/>
      </w:pPr>
    </w:p>
    <w:p>
      <w:pPr>
        <w:pStyle w:val="ListParagraph"/>
        <w:numPr>
          <w:ilvl w:val="0"/>
          <w:numId w:val="2"/>
        </w:numPr>
        <w:tabs>
          <w:tab w:pos="1416" w:val="left" w:leader="none"/>
          <w:tab w:pos="1420" w:val="left" w:leader="none"/>
        </w:tabs>
        <w:spacing w:line="240" w:lineRule="auto" w:before="0" w:after="0"/>
        <w:ind w:left="1420" w:right="979" w:hanging="852"/>
        <w:jc w:val="both"/>
        <w:rPr>
          <w:sz w:val="22"/>
        </w:rPr>
      </w:pPr>
      <w:r>
        <w:rPr>
          <w:sz w:val="22"/>
        </w:rPr>
        <w:t>En</w:t>
      </w:r>
      <w:r>
        <w:rPr>
          <w:spacing w:val="-4"/>
          <w:sz w:val="22"/>
        </w:rPr>
        <w:t> </w:t>
      </w:r>
      <w:r>
        <w:rPr>
          <w:sz w:val="22"/>
        </w:rPr>
        <w:t>ese</w:t>
      </w:r>
      <w:r>
        <w:rPr>
          <w:spacing w:val="-4"/>
          <w:sz w:val="22"/>
        </w:rPr>
        <w:t> </w:t>
      </w:r>
      <w:r>
        <w:rPr>
          <w:sz w:val="22"/>
        </w:rPr>
        <w:t>contexto,</w:t>
      </w:r>
      <w:r>
        <w:rPr>
          <w:spacing w:val="-5"/>
          <w:sz w:val="22"/>
        </w:rPr>
        <w:t> </w:t>
      </w:r>
      <w:r>
        <w:rPr>
          <w:sz w:val="22"/>
        </w:rPr>
        <w:t>la</w:t>
      </w:r>
      <w:r>
        <w:rPr>
          <w:spacing w:val="-4"/>
          <w:sz w:val="22"/>
        </w:rPr>
        <w:t> </w:t>
      </w:r>
      <w:r>
        <w:rPr>
          <w:sz w:val="22"/>
        </w:rPr>
        <w:t>invocación</w:t>
      </w:r>
      <w:r>
        <w:rPr>
          <w:spacing w:val="-4"/>
          <w:sz w:val="22"/>
        </w:rPr>
        <w:t> </w:t>
      </w:r>
      <w:r>
        <w:rPr>
          <w:sz w:val="22"/>
        </w:rPr>
        <w:t>del</w:t>
      </w:r>
      <w:r>
        <w:rPr>
          <w:spacing w:val="-5"/>
          <w:sz w:val="22"/>
        </w:rPr>
        <w:t> </w:t>
      </w:r>
      <w:r>
        <w:rPr>
          <w:sz w:val="22"/>
        </w:rPr>
        <w:t>literal</w:t>
      </w:r>
      <w:r>
        <w:rPr>
          <w:spacing w:val="-4"/>
          <w:sz w:val="22"/>
        </w:rPr>
        <w:t> </w:t>
      </w:r>
      <w:r>
        <w:rPr>
          <w:sz w:val="22"/>
        </w:rPr>
        <w:t>d)</w:t>
      </w:r>
      <w:r>
        <w:rPr>
          <w:spacing w:val="-3"/>
          <w:sz w:val="22"/>
        </w:rPr>
        <w:t> </w:t>
      </w:r>
      <w:r>
        <w:rPr>
          <w:sz w:val="22"/>
        </w:rPr>
        <w:t>del</w:t>
      </w:r>
      <w:r>
        <w:rPr>
          <w:spacing w:val="-5"/>
          <w:sz w:val="22"/>
        </w:rPr>
        <w:t> </w:t>
      </w:r>
      <w:r>
        <w:rPr>
          <w:sz w:val="22"/>
        </w:rPr>
        <w:t>artículo</w:t>
      </w:r>
      <w:r>
        <w:rPr>
          <w:spacing w:val="-4"/>
          <w:sz w:val="22"/>
        </w:rPr>
        <w:t> </w:t>
      </w:r>
      <w:r>
        <w:rPr>
          <w:sz w:val="22"/>
        </w:rPr>
        <w:t>73</w:t>
      </w:r>
      <w:r>
        <w:rPr>
          <w:spacing w:val="-4"/>
          <w:sz w:val="22"/>
        </w:rPr>
        <w:t> </w:t>
      </w:r>
      <w:r>
        <w:rPr>
          <w:sz w:val="22"/>
        </w:rPr>
        <w:t>del</w:t>
      </w:r>
      <w:r>
        <w:rPr>
          <w:spacing w:val="-5"/>
          <w:sz w:val="22"/>
        </w:rPr>
        <w:t> </w:t>
      </w:r>
      <w:r>
        <w:rPr>
          <w:sz w:val="22"/>
        </w:rPr>
        <w:t>Acuerdo</w:t>
      </w:r>
      <w:r>
        <w:rPr>
          <w:spacing w:val="-4"/>
          <w:sz w:val="22"/>
        </w:rPr>
        <w:t> </w:t>
      </w:r>
      <w:r>
        <w:rPr>
          <w:sz w:val="22"/>
        </w:rPr>
        <w:t>de</w:t>
      </w:r>
      <w:r>
        <w:rPr>
          <w:spacing w:val="-7"/>
          <w:sz w:val="22"/>
        </w:rPr>
        <w:t> </w:t>
      </w:r>
      <w:r>
        <w:rPr>
          <w:sz w:val="22"/>
        </w:rPr>
        <w:t>Cartagena no</w:t>
      </w:r>
      <w:r>
        <w:rPr>
          <w:spacing w:val="-16"/>
          <w:sz w:val="22"/>
        </w:rPr>
        <w:t> </w:t>
      </w:r>
      <w:r>
        <w:rPr>
          <w:sz w:val="22"/>
        </w:rPr>
        <w:t>resulta</w:t>
      </w:r>
      <w:r>
        <w:rPr>
          <w:spacing w:val="-15"/>
          <w:sz w:val="22"/>
        </w:rPr>
        <w:t> </w:t>
      </w:r>
      <w:r>
        <w:rPr>
          <w:sz w:val="22"/>
        </w:rPr>
        <w:t>pertinente</w:t>
      </w:r>
      <w:r>
        <w:rPr>
          <w:spacing w:val="-15"/>
          <w:sz w:val="22"/>
        </w:rPr>
        <w:t> </w:t>
      </w:r>
      <w:r>
        <w:rPr>
          <w:sz w:val="22"/>
        </w:rPr>
        <w:t>para</w:t>
      </w:r>
      <w:r>
        <w:rPr>
          <w:spacing w:val="-16"/>
          <w:sz w:val="22"/>
        </w:rPr>
        <w:t> </w:t>
      </w:r>
      <w:r>
        <w:rPr>
          <w:sz w:val="22"/>
        </w:rPr>
        <w:t>sustentar</w:t>
      </w:r>
      <w:r>
        <w:rPr>
          <w:spacing w:val="-15"/>
          <w:sz w:val="22"/>
        </w:rPr>
        <w:t> </w:t>
      </w:r>
      <w:r>
        <w:rPr>
          <w:sz w:val="22"/>
        </w:rPr>
        <w:t>lo</w:t>
      </w:r>
      <w:r>
        <w:rPr>
          <w:spacing w:val="-15"/>
          <w:sz w:val="22"/>
        </w:rPr>
        <w:t> </w:t>
      </w:r>
      <w:r>
        <w:rPr>
          <w:sz w:val="22"/>
        </w:rPr>
        <w:t>analizado,</w:t>
      </w:r>
      <w:r>
        <w:rPr>
          <w:spacing w:val="-15"/>
          <w:sz w:val="22"/>
        </w:rPr>
        <w:t> </w:t>
      </w:r>
      <w:r>
        <w:rPr>
          <w:sz w:val="22"/>
        </w:rPr>
        <w:t>en</w:t>
      </w:r>
      <w:r>
        <w:rPr>
          <w:spacing w:val="-16"/>
          <w:sz w:val="22"/>
        </w:rPr>
        <w:t> </w:t>
      </w:r>
      <w:r>
        <w:rPr>
          <w:sz w:val="22"/>
        </w:rPr>
        <w:t>la</w:t>
      </w:r>
      <w:r>
        <w:rPr>
          <w:spacing w:val="-15"/>
          <w:sz w:val="22"/>
        </w:rPr>
        <w:t> </w:t>
      </w:r>
      <w:r>
        <w:rPr>
          <w:sz w:val="22"/>
        </w:rPr>
        <w:t>medida</w:t>
      </w:r>
      <w:r>
        <w:rPr>
          <w:spacing w:val="-15"/>
          <w:sz w:val="22"/>
        </w:rPr>
        <w:t> </w:t>
      </w:r>
      <w:r>
        <w:rPr>
          <w:sz w:val="22"/>
        </w:rPr>
        <w:t>en</w:t>
      </w:r>
      <w:r>
        <w:rPr>
          <w:spacing w:val="-16"/>
          <w:sz w:val="22"/>
        </w:rPr>
        <w:t> </w:t>
      </w:r>
      <w:r>
        <w:rPr>
          <w:sz w:val="22"/>
        </w:rPr>
        <w:t>que</w:t>
      </w:r>
      <w:r>
        <w:rPr>
          <w:spacing w:val="-15"/>
          <w:sz w:val="22"/>
        </w:rPr>
        <w:t> </w:t>
      </w:r>
      <w:r>
        <w:rPr>
          <w:sz w:val="22"/>
        </w:rPr>
        <w:t>dicha</w:t>
      </w:r>
      <w:r>
        <w:rPr>
          <w:spacing w:val="-15"/>
          <w:sz w:val="22"/>
        </w:rPr>
        <w:t> </w:t>
      </w:r>
      <w:r>
        <w:rPr>
          <w:sz w:val="22"/>
        </w:rPr>
        <w:t>actuación no se encuentra orientada a mitigar riesgos sanitarios o fitosanitarios, sino que responde a consideraciones de seguridad fronteriza y control aduanero. Por consiguiente, la eventual justificación de la medida deberá analizarse, a la luz del literal b) del referido artículo.</w:t>
      </w:r>
    </w:p>
    <w:p>
      <w:pPr>
        <w:pStyle w:val="BodyText"/>
        <w:spacing w:before="121"/>
      </w:pPr>
    </w:p>
    <w:p>
      <w:pPr>
        <w:pStyle w:val="Heading6"/>
        <w:numPr>
          <w:ilvl w:val="1"/>
          <w:numId w:val="1"/>
        </w:numPr>
        <w:tabs>
          <w:tab w:pos="1276" w:val="left" w:leader="none"/>
        </w:tabs>
        <w:spacing w:line="240" w:lineRule="auto" w:before="0" w:after="0"/>
        <w:ind w:left="1276" w:right="0" w:hanging="708"/>
        <w:jc w:val="left"/>
      </w:pPr>
      <w:r>
        <w:rPr/>
        <w:t>Sobre</w:t>
      </w:r>
      <w:r>
        <w:rPr>
          <w:spacing w:val="-4"/>
        </w:rPr>
        <w:t> </w:t>
      </w:r>
      <w:r>
        <w:rPr/>
        <w:t>la</w:t>
      </w:r>
      <w:r>
        <w:rPr>
          <w:spacing w:val="-5"/>
        </w:rPr>
        <w:t> </w:t>
      </w:r>
      <w:r>
        <w:rPr/>
        <w:t>legitimidad</w:t>
      </w:r>
      <w:r>
        <w:rPr>
          <w:spacing w:val="-3"/>
        </w:rPr>
        <w:t> </w:t>
      </w:r>
      <w:r>
        <w:rPr/>
        <w:t>de</w:t>
      </w:r>
      <w:r>
        <w:rPr>
          <w:spacing w:val="-5"/>
        </w:rPr>
        <w:t> </w:t>
      </w:r>
      <w:r>
        <w:rPr/>
        <w:t>la</w:t>
      </w:r>
      <w:r>
        <w:rPr>
          <w:spacing w:val="-5"/>
        </w:rPr>
        <w:t> </w:t>
      </w:r>
      <w:r>
        <w:rPr/>
        <w:t>aplicación</w:t>
      </w:r>
      <w:r>
        <w:rPr>
          <w:spacing w:val="-5"/>
        </w:rPr>
        <w:t> </w:t>
      </w:r>
      <w:r>
        <w:rPr/>
        <w:t>de</w:t>
      </w:r>
      <w:r>
        <w:rPr>
          <w:spacing w:val="-5"/>
        </w:rPr>
        <w:t> </w:t>
      </w:r>
      <w:r>
        <w:rPr/>
        <w:t>los</w:t>
      </w:r>
      <w:r>
        <w:rPr>
          <w:spacing w:val="-3"/>
        </w:rPr>
        <w:t> </w:t>
      </w:r>
      <w:r>
        <w:rPr/>
        <w:t>criterios</w:t>
      </w:r>
      <w:r>
        <w:rPr>
          <w:spacing w:val="-6"/>
        </w:rPr>
        <w:t> </w:t>
      </w:r>
      <w:r>
        <w:rPr/>
        <w:t>de</w:t>
      </w:r>
      <w:r>
        <w:rPr>
          <w:spacing w:val="-2"/>
        </w:rPr>
        <w:t> seguridad</w:t>
      </w:r>
    </w:p>
    <w:p>
      <w:pPr>
        <w:pStyle w:val="BodyText"/>
        <w:rPr>
          <w:rFonts w:ascii="Arial"/>
          <w:b/>
        </w:rPr>
      </w:pPr>
    </w:p>
    <w:p>
      <w:pPr>
        <w:pStyle w:val="ListParagraph"/>
        <w:numPr>
          <w:ilvl w:val="0"/>
          <w:numId w:val="2"/>
        </w:numPr>
        <w:tabs>
          <w:tab w:pos="1416" w:val="left" w:leader="none"/>
          <w:tab w:pos="1420" w:val="left" w:leader="none"/>
        </w:tabs>
        <w:spacing w:line="240" w:lineRule="auto" w:before="0" w:after="0"/>
        <w:ind w:left="1420" w:right="976" w:hanging="852"/>
        <w:jc w:val="both"/>
        <w:rPr>
          <w:sz w:val="22"/>
        </w:rPr>
      </w:pPr>
      <w:r>
        <w:rPr>
          <w:sz w:val="22"/>
        </w:rPr>
        <w:t>De</w:t>
      </w:r>
      <w:r>
        <w:rPr>
          <w:spacing w:val="-11"/>
          <w:sz w:val="22"/>
        </w:rPr>
        <w:t> </w:t>
      </w:r>
      <w:r>
        <w:rPr>
          <w:sz w:val="22"/>
        </w:rPr>
        <w:t>acuerdo</w:t>
      </w:r>
      <w:r>
        <w:rPr>
          <w:spacing w:val="-14"/>
          <w:sz w:val="22"/>
        </w:rPr>
        <w:t> </w:t>
      </w:r>
      <w:r>
        <w:rPr>
          <w:sz w:val="22"/>
        </w:rPr>
        <w:t>con</w:t>
      </w:r>
      <w:r>
        <w:rPr>
          <w:spacing w:val="-12"/>
          <w:sz w:val="22"/>
        </w:rPr>
        <w:t> </w:t>
      </w:r>
      <w:r>
        <w:rPr>
          <w:sz w:val="22"/>
        </w:rPr>
        <w:t>lo</w:t>
      </w:r>
      <w:r>
        <w:rPr>
          <w:spacing w:val="-11"/>
          <w:sz w:val="22"/>
        </w:rPr>
        <w:t> </w:t>
      </w:r>
      <w:r>
        <w:rPr>
          <w:sz w:val="22"/>
        </w:rPr>
        <w:t>establecido</w:t>
      </w:r>
      <w:r>
        <w:rPr>
          <w:spacing w:val="-12"/>
          <w:sz w:val="22"/>
        </w:rPr>
        <w:t> </w:t>
      </w:r>
      <w:r>
        <w:rPr>
          <w:sz w:val="22"/>
        </w:rPr>
        <w:t>en</w:t>
      </w:r>
      <w:r>
        <w:rPr>
          <w:spacing w:val="-12"/>
          <w:sz w:val="22"/>
        </w:rPr>
        <w:t> </w:t>
      </w:r>
      <w:r>
        <w:rPr>
          <w:sz w:val="22"/>
        </w:rPr>
        <w:t>el</w:t>
      </w:r>
      <w:r>
        <w:rPr>
          <w:spacing w:val="-12"/>
          <w:sz w:val="22"/>
        </w:rPr>
        <w:t> </w:t>
      </w:r>
      <w:r>
        <w:rPr>
          <w:sz w:val="22"/>
        </w:rPr>
        <w:t>artículo</w:t>
      </w:r>
      <w:r>
        <w:rPr>
          <w:spacing w:val="-11"/>
          <w:sz w:val="22"/>
        </w:rPr>
        <w:t> </w:t>
      </w:r>
      <w:r>
        <w:rPr>
          <w:sz w:val="22"/>
        </w:rPr>
        <w:t>73</w:t>
      </w:r>
      <w:r>
        <w:rPr>
          <w:spacing w:val="-12"/>
          <w:sz w:val="22"/>
        </w:rPr>
        <w:t> </w:t>
      </w:r>
      <w:r>
        <w:rPr>
          <w:sz w:val="22"/>
        </w:rPr>
        <w:t>del</w:t>
      </w:r>
      <w:r>
        <w:rPr>
          <w:spacing w:val="-12"/>
          <w:sz w:val="22"/>
        </w:rPr>
        <w:t> </w:t>
      </w:r>
      <w:r>
        <w:rPr>
          <w:sz w:val="22"/>
        </w:rPr>
        <w:t>Acuerdo</w:t>
      </w:r>
      <w:r>
        <w:rPr>
          <w:spacing w:val="-12"/>
          <w:sz w:val="22"/>
        </w:rPr>
        <w:t> </w:t>
      </w:r>
      <w:r>
        <w:rPr>
          <w:sz w:val="22"/>
        </w:rPr>
        <w:t>de</w:t>
      </w:r>
      <w:r>
        <w:rPr>
          <w:spacing w:val="-14"/>
          <w:sz w:val="22"/>
        </w:rPr>
        <w:t> </w:t>
      </w:r>
      <w:r>
        <w:rPr>
          <w:sz w:val="22"/>
        </w:rPr>
        <w:t>Cartagena,</w:t>
      </w:r>
      <w:r>
        <w:rPr>
          <w:spacing w:val="-12"/>
          <w:sz w:val="22"/>
        </w:rPr>
        <w:t> </w:t>
      </w:r>
      <w:r>
        <w:rPr>
          <w:sz w:val="22"/>
        </w:rPr>
        <w:t>los</w:t>
      </w:r>
      <w:r>
        <w:rPr>
          <w:spacing w:val="-11"/>
          <w:sz w:val="22"/>
        </w:rPr>
        <w:t> </w:t>
      </w:r>
      <w:r>
        <w:rPr>
          <w:sz w:val="22"/>
        </w:rPr>
        <w:t>Países Miembros</w:t>
      </w:r>
      <w:r>
        <w:rPr>
          <w:spacing w:val="-3"/>
          <w:sz w:val="22"/>
        </w:rPr>
        <w:t> </w:t>
      </w:r>
      <w:r>
        <w:rPr>
          <w:sz w:val="22"/>
        </w:rPr>
        <w:t>gozan</w:t>
      </w:r>
      <w:r>
        <w:rPr>
          <w:spacing w:val="-5"/>
          <w:sz w:val="22"/>
        </w:rPr>
        <w:t> </w:t>
      </w:r>
      <w:r>
        <w:rPr>
          <w:sz w:val="22"/>
        </w:rPr>
        <w:t>del</w:t>
      </w:r>
      <w:r>
        <w:rPr>
          <w:spacing w:val="-3"/>
          <w:sz w:val="22"/>
        </w:rPr>
        <w:t> </w:t>
      </w:r>
      <w:r>
        <w:rPr>
          <w:sz w:val="22"/>
        </w:rPr>
        <w:t>derecho</w:t>
      </w:r>
      <w:r>
        <w:rPr>
          <w:spacing w:val="-3"/>
          <w:sz w:val="22"/>
        </w:rPr>
        <w:t> </w:t>
      </w:r>
      <w:r>
        <w:rPr>
          <w:sz w:val="22"/>
        </w:rPr>
        <w:t>de</w:t>
      </w:r>
      <w:r>
        <w:rPr>
          <w:spacing w:val="-3"/>
          <w:sz w:val="22"/>
        </w:rPr>
        <w:t> </w:t>
      </w:r>
      <w:r>
        <w:rPr>
          <w:sz w:val="22"/>
        </w:rPr>
        <w:t>invocar</w:t>
      </w:r>
      <w:r>
        <w:rPr>
          <w:spacing w:val="-3"/>
          <w:sz w:val="22"/>
        </w:rPr>
        <w:t> </w:t>
      </w:r>
      <w:r>
        <w:rPr>
          <w:sz w:val="22"/>
        </w:rPr>
        <w:t>las</w:t>
      </w:r>
      <w:r>
        <w:rPr>
          <w:spacing w:val="-3"/>
          <w:sz w:val="22"/>
        </w:rPr>
        <w:t> </w:t>
      </w:r>
      <w:r>
        <w:rPr>
          <w:sz w:val="22"/>
        </w:rPr>
        <w:t>excepciones</w:t>
      </w:r>
      <w:r>
        <w:rPr>
          <w:spacing w:val="-3"/>
          <w:sz w:val="22"/>
        </w:rPr>
        <w:t> </w:t>
      </w:r>
      <w:r>
        <w:rPr>
          <w:sz w:val="22"/>
        </w:rPr>
        <w:t>previstas</w:t>
      </w:r>
      <w:r>
        <w:rPr>
          <w:spacing w:val="-3"/>
          <w:sz w:val="22"/>
        </w:rPr>
        <w:t> </w:t>
      </w:r>
      <w:r>
        <w:rPr>
          <w:sz w:val="22"/>
        </w:rPr>
        <w:t>en</w:t>
      </w:r>
      <w:r>
        <w:rPr>
          <w:spacing w:val="-2"/>
          <w:sz w:val="22"/>
        </w:rPr>
        <w:t> </w:t>
      </w:r>
      <w:r>
        <w:rPr>
          <w:sz w:val="22"/>
        </w:rPr>
        <w:t>dicho</w:t>
      </w:r>
      <w:r>
        <w:rPr>
          <w:spacing w:val="-3"/>
          <w:sz w:val="22"/>
        </w:rPr>
        <w:t> </w:t>
      </w:r>
      <w:r>
        <w:rPr>
          <w:sz w:val="22"/>
        </w:rPr>
        <w:t>artículo. No obstante, el ejercicio de dicha facultad no es irrestricto, sino que dicho ejercicio conlleva necesariamente el deber de sustentar la medida adoptada conforme a los parámetros desarrollados por la jurisprudencia del TJCAN.</w:t>
      </w:r>
    </w:p>
    <w:p>
      <w:pPr>
        <w:pStyle w:val="BodyText"/>
      </w:pPr>
    </w:p>
    <w:p>
      <w:pPr>
        <w:pStyle w:val="ListParagraph"/>
        <w:numPr>
          <w:ilvl w:val="0"/>
          <w:numId w:val="2"/>
        </w:numPr>
        <w:tabs>
          <w:tab w:pos="1416" w:val="left" w:leader="none"/>
          <w:tab w:pos="1420" w:val="left" w:leader="none"/>
        </w:tabs>
        <w:spacing w:line="240" w:lineRule="auto" w:before="0" w:after="0"/>
        <w:ind w:left="1420" w:right="983" w:hanging="852"/>
        <w:jc w:val="both"/>
        <w:rPr>
          <w:sz w:val="22"/>
        </w:rPr>
      </w:pPr>
      <w:r>
        <w:rPr>
          <w:sz w:val="22"/>
        </w:rPr>
        <w:t>En ese sentido, si bien se reconoce el derecho de los Países Miembros a adoptar medidas orientadas a la protección de su seguridad, la aplicación de tales medidas</w:t>
      </w:r>
    </w:p>
    <w:p>
      <w:pPr>
        <w:pStyle w:val="ListParagraph"/>
        <w:spacing w:after="0" w:line="240" w:lineRule="auto"/>
        <w:jc w:val="both"/>
        <w:rPr>
          <w:sz w:val="22"/>
        </w:rPr>
        <w:sectPr>
          <w:headerReference w:type="default" r:id="rId34"/>
          <w:footerReference w:type="default" r:id="rId35"/>
          <w:pgSz w:w="11900" w:h="16850"/>
          <w:pgMar w:header="370" w:footer="651" w:top="1380" w:bottom="840" w:left="992" w:right="283"/>
        </w:sectPr>
      </w:pPr>
    </w:p>
    <w:p>
      <w:pPr>
        <w:pStyle w:val="BodyText"/>
        <w:spacing w:before="176"/>
      </w:pPr>
    </w:p>
    <w:p>
      <w:pPr>
        <w:pStyle w:val="BodyText"/>
        <w:ind w:left="1420" w:right="978"/>
        <w:jc w:val="both"/>
      </w:pPr>
      <w:r>
        <w:rPr/>
        <w:t>reviste carácter estrictamente excepcional y por ende, deberá ser objeto de una interpretación restrictiva, debiendo acreditarse, de manera concurrente, el cumplimiento de los criterios de finalidad, idoneidad, necesidad, proporcionalidad y no discriminación establecidos por el TJCAN, lo cual constituye el estándar jurídico aplicable</w:t>
      </w:r>
      <w:r>
        <w:rPr>
          <w:spacing w:val="-2"/>
        </w:rPr>
        <w:t> </w:t>
      </w:r>
      <w:r>
        <w:rPr/>
        <w:t>para</w:t>
      </w:r>
      <w:r>
        <w:rPr>
          <w:spacing w:val="-2"/>
        </w:rPr>
        <w:t> </w:t>
      </w:r>
      <w:r>
        <w:rPr/>
        <w:t>evaluar</w:t>
      </w:r>
      <w:r>
        <w:rPr>
          <w:spacing w:val="-1"/>
        </w:rPr>
        <w:t> </w:t>
      </w:r>
      <w:r>
        <w:rPr/>
        <w:t>la</w:t>
      </w:r>
      <w:r>
        <w:rPr>
          <w:spacing w:val="-4"/>
        </w:rPr>
        <w:t> </w:t>
      </w:r>
      <w:r>
        <w:rPr/>
        <w:t>legitimidad</w:t>
      </w:r>
      <w:r>
        <w:rPr>
          <w:spacing w:val="-2"/>
        </w:rPr>
        <w:t> </w:t>
      </w:r>
      <w:r>
        <w:rPr/>
        <w:t>de</w:t>
      </w:r>
      <w:r>
        <w:rPr>
          <w:spacing w:val="-2"/>
        </w:rPr>
        <w:t> </w:t>
      </w:r>
      <w:r>
        <w:rPr/>
        <w:t>la</w:t>
      </w:r>
      <w:r>
        <w:rPr>
          <w:spacing w:val="-2"/>
        </w:rPr>
        <w:t> </w:t>
      </w:r>
      <w:r>
        <w:rPr/>
        <w:t>medida</w:t>
      </w:r>
      <w:r>
        <w:rPr>
          <w:spacing w:val="-7"/>
        </w:rPr>
        <w:t> </w:t>
      </w:r>
      <w:r>
        <w:rPr/>
        <w:t>objeto</w:t>
      </w:r>
      <w:r>
        <w:rPr>
          <w:spacing w:val="-4"/>
        </w:rPr>
        <w:t> </w:t>
      </w:r>
      <w:r>
        <w:rPr/>
        <w:t>de</w:t>
      </w:r>
      <w:r>
        <w:rPr>
          <w:spacing w:val="-2"/>
        </w:rPr>
        <w:t> </w:t>
      </w:r>
      <w:r>
        <w:rPr/>
        <w:t>análisis. En</w:t>
      </w:r>
      <w:r>
        <w:rPr>
          <w:spacing w:val="-4"/>
        </w:rPr>
        <w:t> </w:t>
      </w:r>
      <w:r>
        <w:rPr/>
        <w:t>ese</w:t>
      </w:r>
      <w:r>
        <w:rPr>
          <w:spacing w:val="-2"/>
        </w:rPr>
        <w:t> </w:t>
      </w:r>
      <w:r>
        <w:rPr/>
        <w:t>sentido, bastaría</w:t>
      </w:r>
      <w:r>
        <w:rPr>
          <w:spacing w:val="-7"/>
        </w:rPr>
        <w:t> </w:t>
      </w:r>
      <w:r>
        <w:rPr/>
        <w:t>que</w:t>
      </w:r>
      <w:r>
        <w:rPr>
          <w:spacing w:val="-10"/>
        </w:rPr>
        <w:t> </w:t>
      </w:r>
      <w:r>
        <w:rPr/>
        <w:t>se</w:t>
      </w:r>
      <w:r>
        <w:rPr>
          <w:spacing w:val="-7"/>
        </w:rPr>
        <w:t> </w:t>
      </w:r>
      <w:r>
        <w:rPr/>
        <w:t>incumpla</w:t>
      </w:r>
      <w:r>
        <w:rPr>
          <w:spacing w:val="-7"/>
        </w:rPr>
        <w:t> </w:t>
      </w:r>
      <w:r>
        <w:rPr/>
        <w:t>uno</w:t>
      </w:r>
      <w:r>
        <w:rPr>
          <w:spacing w:val="-7"/>
        </w:rPr>
        <w:t> </w:t>
      </w:r>
      <w:r>
        <w:rPr/>
        <w:t>de</w:t>
      </w:r>
      <w:r>
        <w:rPr>
          <w:spacing w:val="-8"/>
        </w:rPr>
        <w:t> </w:t>
      </w:r>
      <w:r>
        <w:rPr/>
        <w:t>estos</w:t>
      </w:r>
      <w:r>
        <w:rPr>
          <w:spacing w:val="-10"/>
        </w:rPr>
        <w:t> </w:t>
      </w:r>
      <w:r>
        <w:rPr/>
        <w:t>criterios,</w:t>
      </w:r>
      <w:r>
        <w:rPr>
          <w:spacing w:val="-9"/>
        </w:rPr>
        <w:t> </w:t>
      </w:r>
      <w:r>
        <w:rPr/>
        <w:t>para</w:t>
      </w:r>
      <w:r>
        <w:rPr>
          <w:spacing w:val="-7"/>
        </w:rPr>
        <w:t> </w:t>
      </w:r>
      <w:r>
        <w:rPr/>
        <w:t>considerar</w:t>
      </w:r>
      <w:r>
        <w:rPr>
          <w:spacing w:val="-6"/>
        </w:rPr>
        <w:t> </w:t>
      </w:r>
      <w:r>
        <w:rPr/>
        <w:t>que</w:t>
      </w:r>
      <w:r>
        <w:rPr>
          <w:spacing w:val="-10"/>
        </w:rPr>
        <w:t> </w:t>
      </w:r>
      <w:r>
        <w:rPr/>
        <w:t>la</w:t>
      </w:r>
      <w:r>
        <w:rPr>
          <w:spacing w:val="-7"/>
        </w:rPr>
        <w:t> </w:t>
      </w:r>
      <w:r>
        <w:rPr/>
        <w:t>excepción</w:t>
      </w:r>
      <w:r>
        <w:rPr>
          <w:spacing w:val="-8"/>
        </w:rPr>
        <w:t> </w:t>
      </w:r>
      <w:r>
        <w:rPr/>
        <w:t>no se encuentra fundamentada. Sin perjuicio de ello, este órgano comunitario, en el marco de sus competencias, y para mayor claridad, ha determinado completar el </w:t>
      </w:r>
      <w:r>
        <w:rPr>
          <w:spacing w:val="-2"/>
        </w:rPr>
        <w:t>análisis.</w:t>
      </w:r>
    </w:p>
    <w:p>
      <w:pPr>
        <w:pStyle w:val="BodyText"/>
        <w:spacing w:before="120"/>
      </w:pPr>
    </w:p>
    <w:p>
      <w:pPr>
        <w:pStyle w:val="Heading6"/>
        <w:numPr>
          <w:ilvl w:val="1"/>
          <w:numId w:val="1"/>
        </w:numPr>
        <w:tabs>
          <w:tab w:pos="1276" w:val="left" w:leader="none"/>
        </w:tabs>
        <w:spacing w:line="240" w:lineRule="auto" w:before="0" w:after="0"/>
        <w:ind w:left="1276" w:right="0" w:hanging="708"/>
        <w:jc w:val="left"/>
      </w:pPr>
      <w:r>
        <w:rPr/>
        <w:t>Sobre</w:t>
      </w:r>
      <w:r>
        <w:rPr>
          <w:spacing w:val="-2"/>
        </w:rPr>
        <w:t> </w:t>
      </w:r>
      <w:r>
        <w:rPr/>
        <w:t>la</w:t>
      </w:r>
      <w:r>
        <w:rPr>
          <w:spacing w:val="-5"/>
        </w:rPr>
        <w:t> </w:t>
      </w:r>
      <w:r>
        <w:rPr/>
        <w:t>finalidad</w:t>
      </w:r>
      <w:r>
        <w:rPr>
          <w:spacing w:val="-2"/>
        </w:rPr>
        <w:t> </w:t>
      </w:r>
      <w:r>
        <w:rPr/>
        <w:t>de</w:t>
      </w:r>
      <w:r>
        <w:rPr>
          <w:spacing w:val="-7"/>
        </w:rPr>
        <w:t> </w:t>
      </w:r>
      <w:r>
        <w:rPr/>
        <w:t>la</w:t>
      </w:r>
      <w:r>
        <w:rPr>
          <w:spacing w:val="-4"/>
        </w:rPr>
        <w:t> </w:t>
      </w:r>
      <w:r>
        <w:rPr>
          <w:spacing w:val="-2"/>
        </w:rPr>
        <w:t>medida</w:t>
      </w:r>
    </w:p>
    <w:p>
      <w:pPr>
        <w:pStyle w:val="BodyText"/>
        <w:spacing w:before="1"/>
        <w:rPr>
          <w:rFonts w:ascii="Arial"/>
          <w:b/>
        </w:rPr>
      </w:pPr>
    </w:p>
    <w:p>
      <w:pPr>
        <w:pStyle w:val="ListParagraph"/>
        <w:numPr>
          <w:ilvl w:val="0"/>
          <w:numId w:val="2"/>
        </w:numPr>
        <w:tabs>
          <w:tab w:pos="1416" w:val="left" w:leader="none"/>
          <w:tab w:pos="1420" w:val="left" w:leader="none"/>
        </w:tabs>
        <w:spacing w:line="240" w:lineRule="auto" w:before="0" w:after="0"/>
        <w:ind w:left="1420" w:right="976" w:hanging="852"/>
        <w:jc w:val="both"/>
        <w:rPr>
          <w:sz w:val="22"/>
        </w:rPr>
      </w:pPr>
      <w:r>
        <w:rPr>
          <w:sz w:val="22"/>
        </w:rPr>
        <w:t>En</w:t>
      </w:r>
      <w:r>
        <w:rPr>
          <w:spacing w:val="-16"/>
          <w:sz w:val="22"/>
        </w:rPr>
        <w:t> </w:t>
      </w:r>
      <w:r>
        <w:rPr>
          <w:sz w:val="22"/>
        </w:rPr>
        <w:t>cuanto</w:t>
      </w:r>
      <w:r>
        <w:rPr>
          <w:spacing w:val="-15"/>
          <w:sz w:val="22"/>
        </w:rPr>
        <w:t> </w:t>
      </w:r>
      <w:r>
        <w:rPr>
          <w:sz w:val="22"/>
        </w:rPr>
        <w:t>al</w:t>
      </w:r>
      <w:r>
        <w:rPr>
          <w:spacing w:val="-15"/>
          <w:sz w:val="22"/>
        </w:rPr>
        <w:t> </w:t>
      </w:r>
      <w:r>
        <w:rPr>
          <w:sz w:val="22"/>
        </w:rPr>
        <w:t>criterio</w:t>
      </w:r>
      <w:r>
        <w:rPr>
          <w:spacing w:val="-14"/>
          <w:sz w:val="22"/>
        </w:rPr>
        <w:t> </w:t>
      </w:r>
      <w:r>
        <w:rPr>
          <w:sz w:val="22"/>
        </w:rPr>
        <w:t>de</w:t>
      </w:r>
      <w:r>
        <w:rPr>
          <w:spacing w:val="-16"/>
          <w:sz w:val="22"/>
        </w:rPr>
        <w:t> </w:t>
      </w:r>
      <w:r>
        <w:rPr>
          <w:sz w:val="22"/>
        </w:rPr>
        <w:t>finalidad</w:t>
      </w:r>
      <w:r>
        <w:rPr>
          <w:spacing w:val="-13"/>
          <w:sz w:val="22"/>
        </w:rPr>
        <w:t> </w:t>
      </w:r>
      <w:r>
        <w:rPr>
          <w:sz w:val="22"/>
        </w:rPr>
        <w:t>de</w:t>
      </w:r>
      <w:r>
        <w:rPr>
          <w:spacing w:val="-14"/>
          <w:sz w:val="22"/>
        </w:rPr>
        <w:t> </w:t>
      </w:r>
      <w:r>
        <w:rPr>
          <w:sz w:val="22"/>
        </w:rPr>
        <w:t>la</w:t>
      </w:r>
      <w:r>
        <w:rPr>
          <w:spacing w:val="-14"/>
          <w:sz w:val="22"/>
        </w:rPr>
        <w:t> </w:t>
      </w:r>
      <w:r>
        <w:rPr>
          <w:sz w:val="22"/>
        </w:rPr>
        <w:t>medida</w:t>
      </w:r>
      <w:r>
        <w:rPr>
          <w:spacing w:val="-16"/>
          <w:sz w:val="22"/>
        </w:rPr>
        <w:t> </w:t>
      </w:r>
      <w:r>
        <w:rPr>
          <w:sz w:val="22"/>
        </w:rPr>
        <w:t>aplicada,</w:t>
      </w:r>
      <w:r>
        <w:rPr>
          <w:spacing w:val="-12"/>
          <w:sz w:val="22"/>
        </w:rPr>
        <w:t> </w:t>
      </w:r>
      <w:r>
        <w:rPr>
          <w:sz w:val="22"/>
        </w:rPr>
        <w:t>se</w:t>
      </w:r>
      <w:r>
        <w:rPr>
          <w:spacing w:val="-16"/>
          <w:sz w:val="22"/>
        </w:rPr>
        <w:t> </w:t>
      </w:r>
      <w:r>
        <w:rPr>
          <w:sz w:val="22"/>
        </w:rPr>
        <w:t>observa</w:t>
      </w:r>
      <w:r>
        <w:rPr>
          <w:spacing w:val="-13"/>
          <w:sz w:val="22"/>
        </w:rPr>
        <w:t> </w:t>
      </w:r>
      <w:r>
        <w:rPr>
          <w:sz w:val="22"/>
        </w:rPr>
        <w:t>que,</w:t>
      </w:r>
      <w:r>
        <w:rPr>
          <w:spacing w:val="-15"/>
          <w:sz w:val="22"/>
        </w:rPr>
        <w:t> </w:t>
      </w:r>
      <w:r>
        <w:rPr>
          <w:sz w:val="22"/>
        </w:rPr>
        <w:t>del</w:t>
      </w:r>
      <w:r>
        <w:rPr>
          <w:spacing w:val="-14"/>
          <w:sz w:val="22"/>
        </w:rPr>
        <w:t> </w:t>
      </w:r>
      <w:r>
        <w:rPr>
          <w:sz w:val="22"/>
        </w:rPr>
        <w:t>contenido </w:t>
      </w:r>
      <w:r>
        <w:rPr>
          <w:spacing w:val="-2"/>
          <w:sz w:val="22"/>
        </w:rPr>
        <w:t>del informe técnico CCFFAA-J2-PL-PFNA-2025-112 y la información complementaria </w:t>
      </w:r>
      <w:r>
        <w:rPr>
          <w:sz w:val="22"/>
        </w:rPr>
        <w:t>remitida por la República del Ecuador, se identifica como elemento central el señalamiento</w:t>
      </w:r>
      <w:r>
        <w:rPr>
          <w:spacing w:val="-7"/>
          <w:sz w:val="22"/>
        </w:rPr>
        <w:t> </w:t>
      </w:r>
      <w:r>
        <w:rPr>
          <w:sz w:val="22"/>
        </w:rPr>
        <w:t>de</w:t>
      </w:r>
      <w:r>
        <w:rPr>
          <w:spacing w:val="-10"/>
          <w:sz w:val="22"/>
        </w:rPr>
        <w:t> </w:t>
      </w:r>
      <w:r>
        <w:rPr>
          <w:sz w:val="22"/>
        </w:rPr>
        <w:t>la</w:t>
      </w:r>
      <w:r>
        <w:rPr>
          <w:spacing w:val="-10"/>
          <w:sz w:val="22"/>
        </w:rPr>
        <w:t> </w:t>
      </w:r>
      <w:r>
        <w:rPr>
          <w:sz w:val="22"/>
        </w:rPr>
        <w:t>autoridad</w:t>
      </w:r>
      <w:r>
        <w:rPr>
          <w:spacing w:val="-8"/>
          <w:sz w:val="22"/>
        </w:rPr>
        <w:t> </w:t>
      </w:r>
      <w:r>
        <w:rPr>
          <w:sz w:val="22"/>
        </w:rPr>
        <w:t>ecuatoriana</w:t>
      </w:r>
      <w:r>
        <w:rPr>
          <w:spacing w:val="-10"/>
          <w:sz w:val="22"/>
        </w:rPr>
        <w:t> </w:t>
      </w:r>
      <w:r>
        <w:rPr>
          <w:sz w:val="22"/>
        </w:rPr>
        <w:t>respecto</w:t>
      </w:r>
      <w:r>
        <w:rPr>
          <w:spacing w:val="-8"/>
          <w:sz w:val="22"/>
        </w:rPr>
        <w:t> </w:t>
      </w:r>
      <w:r>
        <w:rPr>
          <w:sz w:val="22"/>
        </w:rPr>
        <w:t>a</w:t>
      </w:r>
      <w:r>
        <w:rPr>
          <w:spacing w:val="-10"/>
          <w:sz w:val="22"/>
        </w:rPr>
        <w:t> </w:t>
      </w:r>
      <w:r>
        <w:rPr>
          <w:sz w:val="22"/>
        </w:rPr>
        <w:t>la</w:t>
      </w:r>
      <w:r>
        <w:rPr>
          <w:spacing w:val="-8"/>
          <w:sz w:val="22"/>
        </w:rPr>
        <w:t> </w:t>
      </w:r>
      <w:r>
        <w:rPr>
          <w:sz w:val="22"/>
        </w:rPr>
        <w:t>existencia</w:t>
      </w:r>
      <w:r>
        <w:rPr>
          <w:spacing w:val="-8"/>
          <w:sz w:val="22"/>
        </w:rPr>
        <w:t> </w:t>
      </w:r>
      <w:r>
        <w:rPr>
          <w:sz w:val="22"/>
        </w:rPr>
        <w:t>de</w:t>
      </w:r>
      <w:r>
        <w:rPr>
          <w:spacing w:val="-10"/>
          <w:sz w:val="22"/>
        </w:rPr>
        <w:t> </w:t>
      </w:r>
      <w:r>
        <w:rPr>
          <w:sz w:val="22"/>
        </w:rPr>
        <w:t>múltiples</w:t>
      </w:r>
      <w:r>
        <w:rPr>
          <w:spacing w:val="-8"/>
          <w:sz w:val="22"/>
        </w:rPr>
        <w:t> </w:t>
      </w:r>
      <w:r>
        <w:rPr>
          <w:sz w:val="22"/>
        </w:rPr>
        <w:t>pasos fronterizos no autorizados y su vinculación con diversas actividades ilícitas, tales como el</w:t>
      </w:r>
      <w:r>
        <w:rPr>
          <w:spacing w:val="-3"/>
          <w:sz w:val="22"/>
        </w:rPr>
        <w:t> </w:t>
      </w:r>
      <w:r>
        <w:rPr>
          <w:sz w:val="22"/>
        </w:rPr>
        <w:t>contrabando, el</w:t>
      </w:r>
      <w:r>
        <w:rPr>
          <w:spacing w:val="-3"/>
          <w:sz w:val="22"/>
        </w:rPr>
        <w:t> </w:t>
      </w:r>
      <w:r>
        <w:rPr>
          <w:sz w:val="22"/>
        </w:rPr>
        <w:t>narcotráfico</w:t>
      </w:r>
      <w:r>
        <w:rPr>
          <w:spacing w:val="-2"/>
          <w:sz w:val="22"/>
        </w:rPr>
        <w:t> </w:t>
      </w:r>
      <w:r>
        <w:rPr>
          <w:sz w:val="22"/>
        </w:rPr>
        <w:t>y otros</w:t>
      </w:r>
      <w:r>
        <w:rPr>
          <w:spacing w:val="-2"/>
          <w:sz w:val="22"/>
        </w:rPr>
        <w:t> </w:t>
      </w:r>
      <w:r>
        <w:rPr>
          <w:sz w:val="22"/>
        </w:rPr>
        <w:t>delitos transfronterizos.</w:t>
      </w:r>
      <w:r>
        <w:rPr>
          <w:spacing w:val="-1"/>
          <w:sz w:val="22"/>
        </w:rPr>
        <w:t> </w:t>
      </w:r>
      <w:r>
        <w:rPr>
          <w:sz w:val="22"/>
        </w:rPr>
        <w:t>En ese sentido, la medida adoptada se</w:t>
      </w:r>
      <w:r>
        <w:rPr>
          <w:spacing w:val="-2"/>
          <w:sz w:val="22"/>
        </w:rPr>
        <w:t> </w:t>
      </w:r>
      <w:r>
        <w:rPr>
          <w:sz w:val="22"/>
        </w:rPr>
        <w:t>enmarca</w:t>
      </w:r>
      <w:r>
        <w:rPr>
          <w:spacing w:val="-2"/>
          <w:sz w:val="22"/>
        </w:rPr>
        <w:t> </w:t>
      </w:r>
      <w:r>
        <w:rPr>
          <w:sz w:val="22"/>
        </w:rPr>
        <w:t>en un contexto</w:t>
      </w:r>
      <w:r>
        <w:rPr>
          <w:spacing w:val="-1"/>
          <w:sz w:val="22"/>
        </w:rPr>
        <w:t> </w:t>
      </w:r>
      <w:r>
        <w:rPr>
          <w:sz w:val="22"/>
        </w:rPr>
        <w:t>de seguridad fronteriza, orientado a fortalecer los mecanismos de control estatal en zonas consideradas de alta </w:t>
      </w:r>
      <w:r>
        <w:rPr>
          <w:spacing w:val="-2"/>
          <w:sz w:val="22"/>
        </w:rPr>
        <w:t>vulnerabilidad.</w:t>
      </w:r>
    </w:p>
    <w:p>
      <w:pPr>
        <w:pStyle w:val="BodyText"/>
      </w:pPr>
    </w:p>
    <w:p>
      <w:pPr>
        <w:pStyle w:val="ListParagraph"/>
        <w:numPr>
          <w:ilvl w:val="0"/>
          <w:numId w:val="2"/>
        </w:numPr>
        <w:tabs>
          <w:tab w:pos="1416" w:val="left" w:leader="none"/>
          <w:tab w:pos="1420" w:val="left" w:leader="none"/>
        </w:tabs>
        <w:spacing w:line="240" w:lineRule="auto" w:before="0" w:after="0"/>
        <w:ind w:left="1420" w:right="980" w:hanging="852"/>
        <w:jc w:val="both"/>
        <w:rPr>
          <w:sz w:val="22"/>
        </w:rPr>
      </w:pPr>
      <w:r>
        <w:rPr>
          <w:sz w:val="22"/>
        </w:rPr>
        <w:t>Bajo dicha lógica, la canalización del ingreso de mercancías a través de un único paso internacional habilitado podría entenderse como una acción dirigida a concentrar los recursos institucionales de control —aduaneros, policiales y militares— en un punto específico, con el objetivo de mejorar la capacidad de supervisión, trazabilidad y fiscalización del flujo comercial formal.</w:t>
      </w:r>
    </w:p>
    <w:p>
      <w:pPr>
        <w:pStyle w:val="BodyText"/>
        <w:spacing w:before="1"/>
      </w:pPr>
    </w:p>
    <w:p>
      <w:pPr>
        <w:pStyle w:val="ListParagraph"/>
        <w:numPr>
          <w:ilvl w:val="0"/>
          <w:numId w:val="2"/>
        </w:numPr>
        <w:tabs>
          <w:tab w:pos="1416" w:val="left" w:leader="none"/>
          <w:tab w:pos="1420" w:val="left" w:leader="none"/>
        </w:tabs>
        <w:spacing w:line="240" w:lineRule="auto" w:before="1" w:after="0"/>
        <w:ind w:left="1420" w:right="979" w:hanging="852"/>
        <w:jc w:val="both"/>
        <w:rPr>
          <w:sz w:val="22"/>
        </w:rPr>
      </w:pPr>
      <w:r>
        <w:rPr>
          <w:sz w:val="22"/>
        </w:rPr>
        <w:t>No obstante, en este punto es preciso traer a colación lo señalado por el</w:t>
      </w:r>
      <w:r>
        <w:rPr>
          <w:spacing w:val="-1"/>
          <w:sz w:val="22"/>
        </w:rPr>
        <w:t> </w:t>
      </w:r>
      <w:r>
        <w:rPr>
          <w:sz w:val="22"/>
        </w:rPr>
        <w:t>TJCAN en su</w:t>
      </w:r>
      <w:r>
        <w:rPr>
          <w:spacing w:val="-12"/>
          <w:sz w:val="22"/>
        </w:rPr>
        <w:t> </w:t>
      </w:r>
      <w:r>
        <w:rPr>
          <w:sz w:val="22"/>
        </w:rPr>
        <w:t>sentencia</w:t>
      </w:r>
      <w:r>
        <w:rPr>
          <w:spacing w:val="-11"/>
          <w:sz w:val="22"/>
        </w:rPr>
        <w:t> </w:t>
      </w:r>
      <w:r>
        <w:rPr>
          <w:sz w:val="22"/>
        </w:rPr>
        <w:t>del</w:t>
      </w:r>
      <w:r>
        <w:rPr>
          <w:spacing w:val="-13"/>
          <w:sz w:val="22"/>
        </w:rPr>
        <w:t> </w:t>
      </w:r>
      <w:r>
        <w:rPr>
          <w:sz w:val="22"/>
        </w:rPr>
        <w:t>proceso</w:t>
      </w:r>
      <w:r>
        <w:rPr>
          <w:spacing w:val="-14"/>
          <w:sz w:val="22"/>
        </w:rPr>
        <w:t> </w:t>
      </w:r>
      <w:r>
        <w:rPr>
          <w:sz w:val="22"/>
        </w:rPr>
        <w:t>01-AN-2014</w:t>
      </w:r>
      <w:r>
        <w:rPr>
          <w:spacing w:val="-12"/>
          <w:sz w:val="22"/>
        </w:rPr>
        <w:t> </w:t>
      </w:r>
      <w:r>
        <w:rPr>
          <w:sz w:val="22"/>
        </w:rPr>
        <w:t>al</w:t>
      </w:r>
      <w:r>
        <w:rPr>
          <w:spacing w:val="-15"/>
          <w:sz w:val="22"/>
        </w:rPr>
        <w:t> </w:t>
      </w:r>
      <w:r>
        <w:rPr>
          <w:sz w:val="22"/>
        </w:rPr>
        <w:t>referirse</w:t>
      </w:r>
      <w:r>
        <w:rPr>
          <w:spacing w:val="-11"/>
          <w:sz w:val="22"/>
        </w:rPr>
        <w:t> </w:t>
      </w:r>
      <w:r>
        <w:rPr>
          <w:sz w:val="22"/>
        </w:rPr>
        <w:t>a</w:t>
      </w:r>
      <w:r>
        <w:rPr>
          <w:spacing w:val="-14"/>
          <w:sz w:val="22"/>
        </w:rPr>
        <w:t> </w:t>
      </w:r>
      <w:r>
        <w:rPr>
          <w:sz w:val="22"/>
        </w:rPr>
        <w:t>la</w:t>
      </w:r>
      <w:r>
        <w:rPr>
          <w:spacing w:val="-14"/>
          <w:sz w:val="22"/>
        </w:rPr>
        <w:t> </w:t>
      </w:r>
      <w:r>
        <w:rPr>
          <w:sz w:val="22"/>
        </w:rPr>
        <w:t>finalidad</w:t>
      </w:r>
      <w:r>
        <w:rPr>
          <w:spacing w:val="-11"/>
          <w:sz w:val="22"/>
        </w:rPr>
        <w:t> </w:t>
      </w:r>
      <w:r>
        <w:rPr>
          <w:sz w:val="22"/>
        </w:rPr>
        <w:t>de</w:t>
      </w:r>
      <w:r>
        <w:rPr>
          <w:spacing w:val="-12"/>
          <w:sz w:val="22"/>
        </w:rPr>
        <w:t> </w:t>
      </w:r>
      <w:r>
        <w:rPr>
          <w:sz w:val="22"/>
        </w:rPr>
        <w:t>la</w:t>
      </w:r>
      <w:r>
        <w:rPr>
          <w:spacing w:val="-14"/>
          <w:sz w:val="22"/>
        </w:rPr>
        <w:t> </w:t>
      </w:r>
      <w:r>
        <w:rPr>
          <w:sz w:val="22"/>
        </w:rPr>
        <w:t>medida</w:t>
      </w:r>
      <w:r>
        <w:rPr>
          <w:spacing w:val="-16"/>
          <w:sz w:val="22"/>
        </w:rPr>
        <w:t> </w:t>
      </w:r>
      <w:r>
        <w:rPr>
          <w:sz w:val="22"/>
        </w:rPr>
        <w:t>expedida por un País Miembro al amparo del artículo 73 del Acuerdo de Cartagena:</w:t>
      </w:r>
    </w:p>
    <w:p>
      <w:pPr>
        <w:pStyle w:val="Heading4"/>
        <w:spacing w:before="250"/>
        <w:ind w:left="2128" w:right="977"/>
      </w:pPr>
      <w:r>
        <w:rPr/>
        <w:t>“En ese sentido, tratándose de restricciones de todo orden, se tolera la afectación</w:t>
      </w:r>
      <w:r>
        <w:rPr>
          <w:spacing w:val="-3"/>
        </w:rPr>
        <w:t> </w:t>
      </w:r>
      <w:r>
        <w:rPr/>
        <w:t>del</w:t>
      </w:r>
      <w:r>
        <w:rPr>
          <w:spacing w:val="-3"/>
        </w:rPr>
        <w:t> </w:t>
      </w:r>
      <w:r>
        <w:rPr/>
        <w:t>principio</w:t>
      </w:r>
      <w:r>
        <w:rPr>
          <w:spacing w:val="-1"/>
        </w:rPr>
        <w:t> </w:t>
      </w:r>
      <w:r>
        <w:rPr/>
        <w:t>de</w:t>
      </w:r>
      <w:r>
        <w:rPr>
          <w:spacing w:val="-4"/>
        </w:rPr>
        <w:t> </w:t>
      </w:r>
      <w:r>
        <w:rPr/>
        <w:t>libre</w:t>
      </w:r>
      <w:r>
        <w:rPr>
          <w:spacing w:val="-4"/>
        </w:rPr>
        <w:t> </w:t>
      </w:r>
      <w:r>
        <w:rPr/>
        <w:t>circulación</w:t>
      </w:r>
      <w:r>
        <w:rPr>
          <w:spacing w:val="-3"/>
        </w:rPr>
        <w:t> </w:t>
      </w:r>
      <w:r>
        <w:rPr/>
        <w:t>de</w:t>
      </w:r>
      <w:r>
        <w:rPr>
          <w:spacing w:val="-2"/>
        </w:rPr>
        <w:t> </w:t>
      </w:r>
      <w:r>
        <w:rPr/>
        <w:t>mercancías</w:t>
      </w:r>
      <w:r>
        <w:rPr>
          <w:spacing w:val="-4"/>
        </w:rPr>
        <w:t> </w:t>
      </w:r>
      <w:r>
        <w:rPr/>
        <w:t>únicamente</w:t>
      </w:r>
      <w:r>
        <w:rPr>
          <w:spacing w:val="-3"/>
        </w:rPr>
        <w:t> </w:t>
      </w:r>
      <w:r>
        <w:rPr/>
        <w:t>por</w:t>
      </w:r>
      <w:r>
        <w:rPr>
          <w:spacing w:val="-4"/>
        </w:rPr>
        <w:t> </w:t>
      </w:r>
      <w:r>
        <w:rPr/>
        <w:t>la necesidad de salvaguardar la inminencia de determinadas causales taxativamente</w:t>
      </w:r>
      <w:r>
        <w:rPr>
          <w:spacing w:val="-2"/>
        </w:rPr>
        <w:t> </w:t>
      </w:r>
      <w:r>
        <w:rPr/>
        <w:t>establecidas</w:t>
      </w:r>
      <w:r>
        <w:rPr>
          <w:spacing w:val="-4"/>
        </w:rPr>
        <w:t> </w:t>
      </w:r>
      <w:r>
        <w:rPr/>
        <w:t>en</w:t>
      </w:r>
      <w:r>
        <w:rPr>
          <w:spacing w:val="-3"/>
        </w:rPr>
        <w:t> </w:t>
      </w:r>
      <w:r>
        <w:rPr/>
        <w:t>la</w:t>
      </w:r>
      <w:r>
        <w:rPr>
          <w:spacing w:val="-3"/>
        </w:rPr>
        <w:t> </w:t>
      </w:r>
      <w:r>
        <w:rPr/>
        <w:t>norma</w:t>
      </w:r>
      <w:r>
        <w:rPr>
          <w:spacing w:val="-3"/>
        </w:rPr>
        <w:t> </w:t>
      </w:r>
      <w:r>
        <w:rPr/>
        <w:t>precitada;</w:t>
      </w:r>
      <w:r>
        <w:rPr>
          <w:spacing w:val="-3"/>
        </w:rPr>
        <w:t> </w:t>
      </w:r>
      <w:r>
        <w:rPr/>
        <w:t>esto</w:t>
      </w:r>
      <w:r>
        <w:rPr>
          <w:spacing w:val="-3"/>
        </w:rPr>
        <w:t> </w:t>
      </w:r>
      <w:r>
        <w:rPr/>
        <w:t>es,</w:t>
      </w:r>
      <w:r>
        <w:rPr>
          <w:spacing w:val="-1"/>
        </w:rPr>
        <w:t> </w:t>
      </w:r>
      <w:r>
        <w:rPr/>
        <w:t>la</w:t>
      </w:r>
      <w:r>
        <w:rPr>
          <w:spacing w:val="-3"/>
        </w:rPr>
        <w:t> </w:t>
      </w:r>
      <w:r>
        <w:rPr/>
        <w:t>protección</w:t>
      </w:r>
      <w:r>
        <w:rPr>
          <w:spacing w:val="-1"/>
        </w:rPr>
        <w:t> </w:t>
      </w:r>
      <w:r>
        <w:rPr/>
        <w:t>de</w:t>
      </w:r>
      <w:r>
        <w:rPr>
          <w:spacing w:val="-4"/>
        </w:rPr>
        <w:t> </w:t>
      </w:r>
      <w:r>
        <w:rPr/>
        <w:t>la moralidad pública, </w:t>
      </w:r>
      <w:r>
        <w:rPr>
          <w:b/>
          <w:u w:val="single"/>
        </w:rPr>
        <w:t>la aplicación de leyes y reglamentos de seguridad</w:t>
      </w:r>
      <w:r>
        <w:rPr/>
        <w:t>, protección de la vida y salud de las personas, los animales y los vegetales; protección del patrimonio nacional de valor artístico, histórico o arqueológico, entre otros.</w:t>
      </w:r>
    </w:p>
    <w:p>
      <w:pPr>
        <w:pStyle w:val="BodyText"/>
        <w:spacing w:before="6"/>
        <w:rPr>
          <w:rFonts w:ascii="Times New Roman"/>
          <w:i/>
          <w:sz w:val="24"/>
        </w:rPr>
      </w:pPr>
    </w:p>
    <w:p>
      <w:pPr>
        <w:spacing w:before="0"/>
        <w:ind w:left="2837" w:right="0" w:firstLine="0"/>
        <w:jc w:val="left"/>
        <w:rPr>
          <w:rFonts w:ascii="Times New Roman" w:hAnsi="Times New Roman"/>
          <w:i/>
          <w:sz w:val="24"/>
        </w:rPr>
      </w:pPr>
      <w:r>
        <w:rPr>
          <w:rFonts w:ascii="Times New Roman" w:hAnsi="Times New Roman"/>
          <w:i/>
          <w:spacing w:val="-5"/>
          <w:sz w:val="24"/>
        </w:rPr>
        <w:t>(…)</w:t>
      </w:r>
    </w:p>
    <w:p>
      <w:pPr>
        <w:pStyle w:val="BodyText"/>
        <w:spacing w:before="5"/>
        <w:rPr>
          <w:rFonts w:ascii="Times New Roman"/>
          <w:i/>
          <w:sz w:val="24"/>
        </w:rPr>
      </w:pPr>
    </w:p>
    <w:p>
      <w:pPr>
        <w:spacing w:before="1"/>
        <w:ind w:left="2128" w:right="979" w:firstLine="0"/>
        <w:jc w:val="both"/>
        <w:rPr>
          <w:sz w:val="22"/>
        </w:rPr>
      </w:pPr>
      <w:r>
        <w:rPr>
          <w:rFonts w:ascii="Arial" w:hAnsi="Arial"/>
          <w:i/>
          <w:sz w:val="22"/>
        </w:rPr>
        <w:t>Por tanto, </w:t>
      </w:r>
      <w:r>
        <w:rPr>
          <w:rFonts w:ascii="Arial" w:hAnsi="Arial"/>
          <w:b/>
          <w:i/>
          <w:sz w:val="22"/>
          <w:u w:val="single"/>
        </w:rPr>
        <w:t>no bastaría que un país alegue sin mayor justificación la</w:t>
      </w:r>
      <w:r>
        <w:rPr>
          <w:rFonts w:ascii="Arial" w:hAnsi="Arial"/>
          <w:b/>
          <w:i/>
          <w:sz w:val="22"/>
        </w:rPr>
        <w:t> </w:t>
      </w:r>
      <w:r>
        <w:rPr>
          <w:rFonts w:ascii="Arial" w:hAnsi="Arial"/>
          <w:b/>
          <w:i/>
          <w:sz w:val="22"/>
          <w:u w:val="single"/>
        </w:rPr>
        <w:t>aplicación de algunas de las excepciones del segundo párrafo del</w:t>
      </w:r>
      <w:r>
        <w:rPr>
          <w:rFonts w:ascii="Arial" w:hAnsi="Arial"/>
          <w:b/>
          <w:i/>
          <w:sz w:val="22"/>
        </w:rPr>
        <w:t> </w:t>
      </w:r>
      <w:r>
        <w:rPr>
          <w:rFonts w:ascii="Arial" w:hAnsi="Arial"/>
          <w:b/>
          <w:i/>
          <w:sz w:val="22"/>
          <w:u w:val="single"/>
        </w:rPr>
        <w:t>Artículo 73 precitado para considerar que queda autorizado para</w:t>
      </w:r>
      <w:r>
        <w:rPr>
          <w:rFonts w:ascii="Arial" w:hAnsi="Arial"/>
          <w:b/>
          <w:i/>
          <w:sz w:val="22"/>
        </w:rPr>
        <w:t> </w:t>
      </w:r>
      <w:r>
        <w:rPr>
          <w:rFonts w:ascii="Arial" w:hAnsi="Arial"/>
          <w:b/>
          <w:i/>
          <w:sz w:val="22"/>
          <w:u w:val="single"/>
        </w:rPr>
        <w:t>establecer una restricción al comercio subregional andino</w:t>
      </w:r>
      <w:r>
        <w:rPr>
          <w:rFonts w:ascii="Arial" w:hAnsi="Arial"/>
          <w:i/>
          <w:sz w:val="22"/>
        </w:rPr>
        <w:t>, pues ello vaciaría</w:t>
      </w:r>
      <w:r>
        <w:rPr>
          <w:rFonts w:ascii="Arial" w:hAnsi="Arial"/>
          <w:i/>
          <w:spacing w:val="-11"/>
          <w:sz w:val="22"/>
        </w:rPr>
        <w:t> </w:t>
      </w:r>
      <w:r>
        <w:rPr>
          <w:rFonts w:ascii="Arial" w:hAnsi="Arial"/>
          <w:i/>
          <w:sz w:val="22"/>
        </w:rPr>
        <w:t>de</w:t>
      </w:r>
      <w:r>
        <w:rPr>
          <w:rFonts w:ascii="Arial" w:hAnsi="Arial"/>
          <w:i/>
          <w:spacing w:val="-12"/>
          <w:sz w:val="22"/>
        </w:rPr>
        <w:t> </w:t>
      </w:r>
      <w:r>
        <w:rPr>
          <w:rFonts w:ascii="Arial" w:hAnsi="Arial"/>
          <w:i/>
          <w:sz w:val="22"/>
        </w:rPr>
        <w:t>contenido</w:t>
      </w:r>
      <w:r>
        <w:rPr>
          <w:rFonts w:ascii="Arial" w:hAnsi="Arial"/>
          <w:i/>
          <w:spacing w:val="-12"/>
          <w:sz w:val="22"/>
        </w:rPr>
        <w:t> </w:t>
      </w:r>
      <w:r>
        <w:rPr>
          <w:rFonts w:ascii="Arial" w:hAnsi="Arial"/>
          <w:i/>
          <w:sz w:val="22"/>
        </w:rPr>
        <w:t>al</w:t>
      </w:r>
      <w:r>
        <w:rPr>
          <w:rFonts w:ascii="Arial" w:hAnsi="Arial"/>
          <w:i/>
          <w:spacing w:val="-12"/>
          <w:sz w:val="22"/>
        </w:rPr>
        <w:t> </w:t>
      </w:r>
      <w:r>
        <w:rPr>
          <w:rFonts w:ascii="Arial" w:hAnsi="Arial"/>
          <w:i/>
          <w:sz w:val="22"/>
        </w:rPr>
        <w:t>Programa</w:t>
      </w:r>
      <w:r>
        <w:rPr>
          <w:rFonts w:ascii="Arial" w:hAnsi="Arial"/>
          <w:i/>
          <w:spacing w:val="-11"/>
          <w:sz w:val="22"/>
        </w:rPr>
        <w:t> </w:t>
      </w:r>
      <w:r>
        <w:rPr>
          <w:rFonts w:ascii="Arial" w:hAnsi="Arial"/>
          <w:i/>
          <w:sz w:val="22"/>
        </w:rPr>
        <w:t>de</w:t>
      </w:r>
      <w:r>
        <w:rPr>
          <w:rFonts w:ascii="Arial" w:hAnsi="Arial"/>
          <w:i/>
          <w:spacing w:val="-12"/>
          <w:sz w:val="22"/>
        </w:rPr>
        <w:t> </w:t>
      </w:r>
      <w:r>
        <w:rPr>
          <w:rFonts w:ascii="Arial" w:hAnsi="Arial"/>
          <w:i/>
          <w:sz w:val="22"/>
        </w:rPr>
        <w:t>Liberación</w:t>
      </w:r>
      <w:r>
        <w:rPr>
          <w:rFonts w:ascii="Arial" w:hAnsi="Arial"/>
          <w:i/>
          <w:spacing w:val="-14"/>
          <w:sz w:val="22"/>
        </w:rPr>
        <w:t> </w:t>
      </w:r>
      <w:r>
        <w:rPr>
          <w:rFonts w:ascii="Arial" w:hAnsi="Arial"/>
          <w:i/>
          <w:sz w:val="22"/>
        </w:rPr>
        <w:t>previsto</w:t>
      </w:r>
      <w:r>
        <w:rPr>
          <w:rFonts w:ascii="Arial" w:hAnsi="Arial"/>
          <w:i/>
          <w:spacing w:val="-11"/>
          <w:sz w:val="22"/>
        </w:rPr>
        <w:t> </w:t>
      </w:r>
      <w:r>
        <w:rPr>
          <w:rFonts w:ascii="Arial" w:hAnsi="Arial"/>
          <w:i/>
          <w:sz w:val="22"/>
        </w:rPr>
        <w:t>en</w:t>
      </w:r>
      <w:r>
        <w:rPr>
          <w:rFonts w:ascii="Arial" w:hAnsi="Arial"/>
          <w:i/>
          <w:spacing w:val="-12"/>
          <w:sz w:val="22"/>
        </w:rPr>
        <w:t> </w:t>
      </w:r>
      <w:r>
        <w:rPr>
          <w:rFonts w:ascii="Arial" w:hAnsi="Arial"/>
          <w:i/>
          <w:sz w:val="22"/>
        </w:rPr>
        <w:t>el</w:t>
      </w:r>
      <w:r>
        <w:rPr>
          <w:rFonts w:ascii="Arial" w:hAnsi="Arial"/>
          <w:i/>
          <w:spacing w:val="-10"/>
          <w:sz w:val="22"/>
        </w:rPr>
        <w:t> </w:t>
      </w:r>
      <w:r>
        <w:rPr>
          <w:rFonts w:ascii="Arial" w:hAnsi="Arial"/>
          <w:i/>
          <w:sz w:val="22"/>
        </w:rPr>
        <w:t>Capítulo</w:t>
      </w:r>
      <w:r>
        <w:rPr>
          <w:rFonts w:ascii="Arial" w:hAnsi="Arial"/>
          <w:i/>
          <w:spacing w:val="-11"/>
          <w:sz w:val="22"/>
        </w:rPr>
        <w:t> </w:t>
      </w:r>
      <w:r>
        <w:rPr>
          <w:rFonts w:ascii="Arial" w:hAnsi="Arial"/>
          <w:i/>
          <w:sz w:val="22"/>
        </w:rPr>
        <w:t>VI</w:t>
      </w:r>
      <w:r>
        <w:rPr>
          <w:rFonts w:ascii="Arial" w:hAnsi="Arial"/>
          <w:i/>
          <w:spacing w:val="-10"/>
          <w:sz w:val="22"/>
        </w:rPr>
        <w:t> </w:t>
      </w:r>
      <w:r>
        <w:rPr>
          <w:rFonts w:ascii="Arial" w:hAnsi="Arial"/>
          <w:i/>
          <w:sz w:val="22"/>
        </w:rPr>
        <w:t>del Acuerdo de Cartagena, convirtiéndolo en letra muerta”</w:t>
      </w:r>
      <w:r>
        <w:rPr>
          <w:rFonts w:ascii="Arial" w:hAnsi="Arial"/>
          <w:i/>
          <w:spacing w:val="-9"/>
          <w:sz w:val="22"/>
        </w:rPr>
        <w:t> </w:t>
      </w:r>
      <w:hyperlink w:history="true" w:anchor="_bookmark36">
        <w:r>
          <w:rPr>
            <w:sz w:val="22"/>
            <w:vertAlign w:val="superscript"/>
          </w:rPr>
          <w:t>37</w:t>
        </w:r>
      </w:hyperlink>
      <w:r>
        <w:rPr>
          <w:rFonts w:ascii="Arial" w:hAnsi="Arial"/>
          <w:i/>
          <w:sz w:val="22"/>
          <w:vertAlign w:val="baseline"/>
        </w:rPr>
        <w:t>. </w:t>
      </w:r>
      <w:r>
        <w:rPr>
          <w:sz w:val="22"/>
          <w:vertAlign w:val="baseline"/>
        </w:rPr>
        <w:t>(Énfasis fuera del </w:t>
      </w:r>
      <w:r>
        <w:rPr>
          <w:spacing w:val="-2"/>
          <w:sz w:val="22"/>
          <w:vertAlign w:val="baseline"/>
        </w:rPr>
        <w:t>texto)</w:t>
      </w:r>
    </w:p>
    <w:p>
      <w:pPr>
        <w:pStyle w:val="BodyText"/>
        <w:rPr>
          <w:sz w:val="20"/>
        </w:rPr>
      </w:pPr>
    </w:p>
    <w:p>
      <w:pPr>
        <w:pStyle w:val="BodyText"/>
        <w:spacing w:before="78"/>
        <w:rPr>
          <w:sz w:val="20"/>
        </w:rPr>
      </w:pPr>
      <w:r>
        <w:rPr>
          <w:sz w:val="20"/>
        </w:rPr>
        <mc:AlternateContent>
          <mc:Choice Requires="wps">
            <w:drawing>
              <wp:anchor distT="0" distB="0" distL="0" distR="0" allowOverlap="1" layoutInCell="1" locked="0" behindDoc="1" simplePos="0" relativeHeight="487611392">
                <wp:simplePos x="0" y="0"/>
                <wp:positionH relativeFrom="page">
                  <wp:posOffset>990904</wp:posOffset>
                </wp:positionH>
                <wp:positionV relativeFrom="paragraph">
                  <wp:posOffset>210956</wp:posOffset>
                </wp:positionV>
                <wp:extent cx="1829435" cy="7620"/>
                <wp:effectExtent l="0" t="0" r="0" b="0"/>
                <wp:wrapTopAndBottom/>
                <wp:docPr id="263" name="Graphic 263"/>
                <wp:cNvGraphicFramePr>
                  <a:graphicFrameLocks/>
                </wp:cNvGraphicFramePr>
                <a:graphic>
                  <a:graphicData uri="http://schemas.microsoft.com/office/word/2010/wordprocessingShape">
                    <wps:wsp>
                      <wps:cNvPr id="263" name="Graphic 263"/>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6.610783pt;width:144.020pt;height:.599980pt;mso-position-horizontal-relative:page;mso-position-vertical-relative:paragraph;z-index:-15705088;mso-wrap-distance-left:0;mso-wrap-distance-right:0" id="docshape198" filled="true" fillcolor="#000000" stroked="false">
                <v:fill type="solid"/>
                <w10:wrap type="topAndBottom"/>
              </v:rect>
            </w:pict>
          </mc:Fallback>
        </mc:AlternateContent>
      </w:r>
    </w:p>
    <w:p>
      <w:pPr>
        <w:spacing w:before="86"/>
        <w:ind w:left="568" w:right="0" w:firstLine="0"/>
        <w:jc w:val="left"/>
        <w:rPr>
          <w:sz w:val="18"/>
        </w:rPr>
      </w:pPr>
      <w:bookmarkStart w:name="_bookmark36" w:id="37"/>
      <w:bookmarkEnd w:id="37"/>
      <w:r>
        <w:rPr/>
      </w:r>
      <w:r>
        <w:rPr>
          <w:position w:val="6"/>
          <w:sz w:val="12"/>
        </w:rPr>
        <w:t>37</w:t>
      </w:r>
      <w:r>
        <w:rPr>
          <w:spacing w:val="20"/>
          <w:position w:val="6"/>
          <w:sz w:val="12"/>
        </w:rPr>
        <w:t> </w:t>
      </w:r>
      <w:r>
        <w:rPr>
          <w:sz w:val="18"/>
        </w:rPr>
        <w:t>Acción</w:t>
      </w:r>
      <w:r>
        <w:rPr>
          <w:spacing w:val="4"/>
          <w:sz w:val="18"/>
        </w:rPr>
        <w:t> </w:t>
      </w:r>
      <w:r>
        <w:rPr>
          <w:sz w:val="18"/>
        </w:rPr>
        <w:t>de</w:t>
      </w:r>
      <w:r>
        <w:rPr>
          <w:spacing w:val="4"/>
          <w:sz w:val="18"/>
        </w:rPr>
        <w:t> </w:t>
      </w:r>
      <w:r>
        <w:rPr>
          <w:sz w:val="18"/>
        </w:rPr>
        <w:t>Nulidad</w:t>
      </w:r>
      <w:r>
        <w:rPr>
          <w:spacing w:val="2"/>
          <w:sz w:val="18"/>
        </w:rPr>
        <w:t> </w:t>
      </w:r>
      <w:r>
        <w:rPr>
          <w:sz w:val="18"/>
        </w:rPr>
        <w:t>interpuesta</w:t>
      </w:r>
      <w:r>
        <w:rPr>
          <w:spacing w:val="4"/>
          <w:sz w:val="18"/>
        </w:rPr>
        <w:t> </w:t>
      </w:r>
      <w:r>
        <w:rPr>
          <w:sz w:val="18"/>
        </w:rPr>
        <w:t>por</w:t>
      </w:r>
      <w:r>
        <w:rPr>
          <w:spacing w:val="4"/>
          <w:sz w:val="18"/>
        </w:rPr>
        <w:t> </w:t>
      </w:r>
      <w:r>
        <w:rPr>
          <w:sz w:val="18"/>
        </w:rPr>
        <w:t>la</w:t>
      </w:r>
      <w:r>
        <w:rPr>
          <w:spacing w:val="4"/>
          <w:sz w:val="18"/>
        </w:rPr>
        <w:t> </w:t>
      </w:r>
      <w:r>
        <w:rPr>
          <w:sz w:val="18"/>
        </w:rPr>
        <w:t>República</w:t>
      </w:r>
      <w:r>
        <w:rPr>
          <w:spacing w:val="1"/>
          <w:sz w:val="18"/>
        </w:rPr>
        <w:t> </w:t>
      </w:r>
      <w:r>
        <w:rPr>
          <w:sz w:val="18"/>
        </w:rPr>
        <w:t>del</w:t>
      </w:r>
      <w:r>
        <w:rPr>
          <w:spacing w:val="2"/>
          <w:sz w:val="18"/>
        </w:rPr>
        <w:t> </w:t>
      </w:r>
      <w:r>
        <w:rPr>
          <w:sz w:val="18"/>
        </w:rPr>
        <w:t>Ecuador</w:t>
      </w:r>
      <w:r>
        <w:rPr>
          <w:spacing w:val="4"/>
          <w:sz w:val="18"/>
        </w:rPr>
        <w:t> </w:t>
      </w:r>
      <w:r>
        <w:rPr>
          <w:sz w:val="18"/>
        </w:rPr>
        <w:t>contra</w:t>
      </w:r>
      <w:r>
        <w:rPr>
          <w:spacing w:val="3"/>
          <w:sz w:val="18"/>
        </w:rPr>
        <w:t> </w:t>
      </w:r>
      <w:r>
        <w:rPr>
          <w:sz w:val="18"/>
        </w:rPr>
        <w:t>las</w:t>
      </w:r>
      <w:r>
        <w:rPr>
          <w:spacing w:val="3"/>
          <w:sz w:val="18"/>
        </w:rPr>
        <w:t> </w:t>
      </w:r>
      <w:r>
        <w:rPr>
          <w:sz w:val="18"/>
        </w:rPr>
        <w:t>Resoluciones</w:t>
      </w:r>
      <w:r>
        <w:rPr>
          <w:spacing w:val="3"/>
          <w:sz w:val="18"/>
        </w:rPr>
        <w:t> </w:t>
      </w:r>
      <w:r>
        <w:rPr>
          <w:sz w:val="18"/>
        </w:rPr>
        <w:t>1695</w:t>
      </w:r>
      <w:r>
        <w:rPr>
          <w:spacing w:val="4"/>
          <w:sz w:val="18"/>
        </w:rPr>
        <w:t> </w:t>
      </w:r>
      <w:r>
        <w:rPr>
          <w:sz w:val="18"/>
        </w:rPr>
        <w:t>y</w:t>
      </w:r>
      <w:r>
        <w:rPr>
          <w:spacing w:val="3"/>
          <w:sz w:val="18"/>
        </w:rPr>
        <w:t> </w:t>
      </w:r>
      <w:r>
        <w:rPr>
          <w:sz w:val="18"/>
        </w:rPr>
        <w:t>1716</w:t>
      </w:r>
      <w:r>
        <w:rPr>
          <w:spacing w:val="2"/>
          <w:sz w:val="18"/>
        </w:rPr>
        <w:t> </w:t>
      </w:r>
      <w:r>
        <w:rPr>
          <w:sz w:val="18"/>
        </w:rPr>
        <w:t>emitidas</w:t>
      </w:r>
      <w:r>
        <w:rPr>
          <w:spacing w:val="5"/>
          <w:sz w:val="18"/>
        </w:rPr>
        <w:t> </w:t>
      </w:r>
      <w:r>
        <w:rPr>
          <w:spacing w:val="-5"/>
          <w:sz w:val="18"/>
        </w:rPr>
        <w:t>por</w:t>
      </w:r>
    </w:p>
    <w:p>
      <w:pPr>
        <w:tabs>
          <w:tab w:pos="568" w:val="left" w:leader="none"/>
          <w:tab w:pos="9816" w:val="left" w:leader="none"/>
        </w:tabs>
        <w:spacing w:before="2"/>
        <w:ind w:left="160" w:right="0" w:firstLine="0"/>
        <w:jc w:val="left"/>
        <w:rPr>
          <w:sz w:val="18"/>
        </w:rPr>
      </w:pPr>
      <w:r>
        <w:rPr>
          <w:sz w:val="18"/>
          <w:u w:val="single"/>
        </w:rPr>
        <w:tab/>
        <w:t>la</w:t>
      </w:r>
      <w:r>
        <w:rPr>
          <w:spacing w:val="-3"/>
          <w:sz w:val="18"/>
          <w:u w:val="single"/>
        </w:rPr>
        <w:t> </w:t>
      </w:r>
      <w:r>
        <w:rPr>
          <w:sz w:val="18"/>
          <w:u w:val="single"/>
        </w:rPr>
        <w:t>Secretaría</w:t>
      </w:r>
      <w:r>
        <w:rPr>
          <w:spacing w:val="-3"/>
          <w:sz w:val="18"/>
          <w:u w:val="single"/>
        </w:rPr>
        <w:t> </w:t>
      </w:r>
      <w:r>
        <w:rPr>
          <w:sz w:val="18"/>
          <w:u w:val="single"/>
        </w:rPr>
        <w:t>General</w:t>
      </w:r>
      <w:r>
        <w:rPr>
          <w:spacing w:val="-5"/>
          <w:sz w:val="18"/>
          <w:u w:val="single"/>
        </w:rPr>
        <w:t> </w:t>
      </w:r>
      <w:r>
        <w:rPr>
          <w:sz w:val="18"/>
          <w:u w:val="single"/>
        </w:rPr>
        <w:t>de</w:t>
      </w:r>
      <w:r>
        <w:rPr>
          <w:spacing w:val="-3"/>
          <w:sz w:val="18"/>
          <w:u w:val="single"/>
        </w:rPr>
        <w:t> </w:t>
      </w:r>
      <w:r>
        <w:rPr>
          <w:sz w:val="18"/>
          <w:u w:val="single"/>
        </w:rPr>
        <w:t>la</w:t>
      </w:r>
      <w:r>
        <w:rPr>
          <w:spacing w:val="-3"/>
          <w:sz w:val="18"/>
          <w:u w:val="single"/>
        </w:rPr>
        <w:t> </w:t>
      </w:r>
      <w:r>
        <w:rPr>
          <w:sz w:val="18"/>
          <w:u w:val="single"/>
        </w:rPr>
        <w:t>Comunidad</w:t>
      </w:r>
      <w:r>
        <w:rPr>
          <w:spacing w:val="-2"/>
          <w:sz w:val="18"/>
          <w:u w:val="single"/>
        </w:rPr>
        <w:t> Andina.</w:t>
      </w:r>
      <w:r>
        <w:rPr>
          <w:sz w:val="18"/>
          <w:u w:val="single"/>
        </w:rPr>
        <w:tab/>
      </w:r>
    </w:p>
    <w:p>
      <w:pPr>
        <w:spacing w:after="0"/>
        <w:jc w:val="left"/>
        <w:rPr>
          <w:sz w:val="18"/>
        </w:rPr>
        <w:sectPr>
          <w:headerReference w:type="default" r:id="rId36"/>
          <w:footerReference w:type="default" r:id="rId37"/>
          <w:pgSz w:w="11900" w:h="16850"/>
          <w:pgMar w:header="370" w:footer="597" w:top="1380" w:bottom="780" w:left="992" w:right="283"/>
        </w:sectPr>
      </w:pPr>
    </w:p>
    <w:p>
      <w:pPr>
        <w:pStyle w:val="BodyText"/>
        <w:spacing w:before="176"/>
      </w:pPr>
    </w:p>
    <w:p>
      <w:pPr>
        <w:pStyle w:val="ListParagraph"/>
        <w:numPr>
          <w:ilvl w:val="0"/>
          <w:numId w:val="2"/>
        </w:numPr>
        <w:tabs>
          <w:tab w:pos="1416" w:val="left" w:leader="none"/>
          <w:tab w:pos="1420" w:val="left" w:leader="none"/>
        </w:tabs>
        <w:spacing w:line="240" w:lineRule="auto" w:before="0" w:after="0"/>
        <w:ind w:left="1420" w:right="980" w:hanging="852"/>
        <w:jc w:val="both"/>
        <w:rPr>
          <w:sz w:val="22"/>
        </w:rPr>
      </w:pPr>
      <w:r>
        <w:rPr>
          <w:sz w:val="22"/>
        </w:rPr>
        <w:t>En</w:t>
      </w:r>
      <w:r>
        <w:rPr>
          <w:spacing w:val="-2"/>
          <w:sz w:val="22"/>
        </w:rPr>
        <w:t> </w:t>
      </w:r>
      <w:r>
        <w:rPr>
          <w:sz w:val="22"/>
        </w:rPr>
        <w:t>ese</w:t>
      </w:r>
      <w:r>
        <w:rPr>
          <w:spacing w:val="-2"/>
          <w:sz w:val="22"/>
        </w:rPr>
        <w:t> </w:t>
      </w:r>
      <w:r>
        <w:rPr>
          <w:sz w:val="22"/>
        </w:rPr>
        <w:t>sentido, la</w:t>
      </w:r>
      <w:r>
        <w:rPr>
          <w:spacing w:val="-2"/>
          <w:sz w:val="22"/>
        </w:rPr>
        <w:t> </w:t>
      </w:r>
      <w:r>
        <w:rPr>
          <w:sz w:val="22"/>
        </w:rPr>
        <w:t>lectura</w:t>
      </w:r>
      <w:r>
        <w:rPr>
          <w:spacing w:val="-2"/>
          <w:sz w:val="22"/>
        </w:rPr>
        <w:t> </w:t>
      </w:r>
      <w:r>
        <w:rPr>
          <w:sz w:val="22"/>
        </w:rPr>
        <w:t>de</w:t>
      </w:r>
      <w:r>
        <w:rPr>
          <w:spacing w:val="-2"/>
          <w:sz w:val="22"/>
        </w:rPr>
        <w:t> </w:t>
      </w:r>
      <w:r>
        <w:rPr>
          <w:sz w:val="22"/>
        </w:rPr>
        <w:t>las</w:t>
      </w:r>
      <w:r>
        <w:rPr>
          <w:spacing w:val="-2"/>
          <w:sz w:val="22"/>
        </w:rPr>
        <w:t> </w:t>
      </w:r>
      <w:r>
        <w:rPr>
          <w:sz w:val="22"/>
        </w:rPr>
        <w:t>excepciones</w:t>
      </w:r>
      <w:r>
        <w:rPr>
          <w:spacing w:val="-2"/>
          <w:sz w:val="22"/>
        </w:rPr>
        <w:t> </w:t>
      </w:r>
      <w:r>
        <w:rPr>
          <w:sz w:val="22"/>
        </w:rPr>
        <w:t>al</w:t>
      </w:r>
      <w:r>
        <w:rPr>
          <w:spacing w:val="-2"/>
          <w:sz w:val="22"/>
        </w:rPr>
        <w:t> </w:t>
      </w:r>
      <w:r>
        <w:rPr>
          <w:sz w:val="22"/>
        </w:rPr>
        <w:t>Programa</w:t>
      </w:r>
      <w:r>
        <w:rPr>
          <w:spacing w:val="-4"/>
          <w:sz w:val="22"/>
        </w:rPr>
        <w:t> </w:t>
      </w:r>
      <w:r>
        <w:rPr>
          <w:sz w:val="22"/>
        </w:rPr>
        <w:t>de</w:t>
      </w:r>
      <w:r>
        <w:rPr>
          <w:spacing w:val="-2"/>
          <w:sz w:val="22"/>
        </w:rPr>
        <w:t> </w:t>
      </w:r>
      <w:r>
        <w:rPr>
          <w:sz w:val="22"/>
        </w:rPr>
        <w:t>Liberación</w:t>
      </w:r>
      <w:r>
        <w:rPr>
          <w:spacing w:val="-4"/>
          <w:sz w:val="22"/>
        </w:rPr>
        <w:t> </w:t>
      </w:r>
      <w:r>
        <w:rPr>
          <w:sz w:val="22"/>
        </w:rPr>
        <w:t>amparo</w:t>
      </w:r>
      <w:r>
        <w:rPr>
          <w:spacing w:val="-1"/>
          <w:sz w:val="22"/>
        </w:rPr>
        <w:t> </w:t>
      </w:r>
      <w:r>
        <w:rPr>
          <w:sz w:val="22"/>
        </w:rPr>
        <w:t>del artículo 73 del Acuerdo de Cartagena deben hacerse en forma taxativa y restrictiva.</w:t>
      </w:r>
    </w:p>
    <w:p>
      <w:pPr>
        <w:pStyle w:val="ListParagraph"/>
        <w:numPr>
          <w:ilvl w:val="0"/>
          <w:numId w:val="2"/>
        </w:numPr>
        <w:tabs>
          <w:tab w:pos="1416" w:val="left" w:leader="none"/>
          <w:tab w:pos="1420" w:val="left" w:leader="none"/>
        </w:tabs>
        <w:spacing w:line="240" w:lineRule="auto" w:before="1" w:after="0"/>
        <w:ind w:left="1420" w:right="979" w:hanging="852"/>
        <w:jc w:val="both"/>
        <w:rPr>
          <w:sz w:val="22"/>
        </w:rPr>
      </w:pPr>
      <w:r>
        <w:rPr>
          <w:sz w:val="22"/>
        </w:rPr>
        <w:t>De</w:t>
      </w:r>
      <w:r>
        <w:rPr>
          <w:spacing w:val="-1"/>
          <w:sz w:val="22"/>
        </w:rPr>
        <w:t> </w:t>
      </w:r>
      <w:r>
        <w:rPr>
          <w:sz w:val="22"/>
        </w:rPr>
        <w:t>esta</w:t>
      </w:r>
      <w:r>
        <w:rPr>
          <w:spacing w:val="-3"/>
          <w:sz w:val="22"/>
        </w:rPr>
        <w:t> </w:t>
      </w:r>
      <w:r>
        <w:rPr>
          <w:sz w:val="22"/>
        </w:rPr>
        <w:t>manera,</w:t>
      </w:r>
      <w:r>
        <w:rPr>
          <w:spacing w:val="80"/>
          <w:sz w:val="22"/>
        </w:rPr>
        <w:t>  </w:t>
      </w:r>
      <w:r>
        <w:rPr>
          <w:sz w:val="22"/>
        </w:rPr>
        <w:t>si</w:t>
      </w:r>
      <w:r>
        <w:rPr>
          <w:spacing w:val="-11"/>
          <w:sz w:val="22"/>
        </w:rPr>
        <w:t> </w:t>
      </w:r>
      <w:r>
        <w:rPr>
          <w:sz w:val="22"/>
        </w:rPr>
        <w:t>bien</w:t>
      </w:r>
      <w:r>
        <w:rPr>
          <w:spacing w:val="-11"/>
          <w:sz w:val="22"/>
        </w:rPr>
        <w:t> </w:t>
      </w:r>
      <w:r>
        <w:rPr>
          <w:sz w:val="22"/>
        </w:rPr>
        <w:t>la</w:t>
      </w:r>
      <w:r>
        <w:rPr>
          <w:spacing w:val="-10"/>
          <w:sz w:val="22"/>
        </w:rPr>
        <w:t> </w:t>
      </w:r>
      <w:r>
        <w:rPr>
          <w:sz w:val="22"/>
        </w:rPr>
        <w:t>finalidad</w:t>
      </w:r>
      <w:r>
        <w:rPr>
          <w:spacing w:val="-10"/>
          <w:sz w:val="22"/>
        </w:rPr>
        <w:t> </w:t>
      </w:r>
      <w:r>
        <w:rPr>
          <w:sz w:val="22"/>
        </w:rPr>
        <w:t>invocada</w:t>
      </w:r>
      <w:r>
        <w:rPr>
          <w:spacing w:val="-11"/>
          <w:sz w:val="22"/>
        </w:rPr>
        <w:t> </w:t>
      </w:r>
      <w:r>
        <w:rPr>
          <w:sz w:val="22"/>
        </w:rPr>
        <w:t>se</w:t>
      </w:r>
      <w:r>
        <w:rPr>
          <w:spacing w:val="-10"/>
          <w:sz w:val="22"/>
        </w:rPr>
        <w:t> </w:t>
      </w:r>
      <w:r>
        <w:rPr>
          <w:sz w:val="22"/>
        </w:rPr>
        <w:t>vincula</w:t>
      </w:r>
      <w:r>
        <w:rPr>
          <w:spacing w:val="-10"/>
          <w:sz w:val="22"/>
        </w:rPr>
        <w:t> </w:t>
      </w:r>
      <w:r>
        <w:rPr>
          <w:sz w:val="22"/>
        </w:rPr>
        <w:t>con</w:t>
      </w:r>
      <w:r>
        <w:rPr>
          <w:spacing w:val="-11"/>
          <w:sz w:val="22"/>
        </w:rPr>
        <w:t> </w:t>
      </w:r>
      <w:r>
        <w:rPr>
          <w:sz w:val="22"/>
        </w:rPr>
        <w:t>objetivos</w:t>
      </w:r>
      <w:r>
        <w:rPr>
          <w:spacing w:val="-10"/>
          <w:sz w:val="22"/>
        </w:rPr>
        <w:t> </w:t>
      </w:r>
      <w:r>
        <w:rPr>
          <w:sz w:val="22"/>
        </w:rPr>
        <w:t>legítimos</w:t>
      </w:r>
      <w:r>
        <w:rPr>
          <w:spacing w:val="-13"/>
          <w:sz w:val="22"/>
        </w:rPr>
        <w:t> </w:t>
      </w:r>
      <w:r>
        <w:rPr>
          <w:sz w:val="22"/>
        </w:rPr>
        <w:t>de seguridad fronteriza, el contenido del informe técnico no establece la relación específica entre dicha finalidad y los efectos concretos de la medida sobre el comercio formal, particularmente en lo que respecta a su incidencia en la reducción de las actividades ilícitas que, según el propio diagnóstico, se desarrollan principalmente a través de pasos fronterizos no autorizados. En ese sentido, no se advierte</w:t>
      </w:r>
      <w:r>
        <w:rPr>
          <w:spacing w:val="-7"/>
          <w:sz w:val="22"/>
        </w:rPr>
        <w:t> </w:t>
      </w:r>
      <w:r>
        <w:rPr>
          <w:sz w:val="22"/>
        </w:rPr>
        <w:t>que</w:t>
      </w:r>
      <w:r>
        <w:rPr>
          <w:spacing w:val="-7"/>
          <w:sz w:val="22"/>
        </w:rPr>
        <w:t> </w:t>
      </w:r>
      <w:r>
        <w:rPr>
          <w:sz w:val="22"/>
        </w:rPr>
        <w:t>la</w:t>
      </w:r>
      <w:r>
        <w:rPr>
          <w:spacing w:val="-10"/>
          <w:sz w:val="22"/>
        </w:rPr>
        <w:t> </w:t>
      </w:r>
      <w:r>
        <w:rPr>
          <w:sz w:val="22"/>
        </w:rPr>
        <w:t>finalidad</w:t>
      </w:r>
      <w:r>
        <w:rPr>
          <w:spacing w:val="-6"/>
          <w:sz w:val="22"/>
        </w:rPr>
        <w:t> </w:t>
      </w:r>
      <w:r>
        <w:rPr>
          <w:sz w:val="22"/>
        </w:rPr>
        <w:t>haya</w:t>
      </w:r>
      <w:r>
        <w:rPr>
          <w:spacing w:val="-7"/>
          <w:sz w:val="22"/>
        </w:rPr>
        <w:t> </w:t>
      </w:r>
      <w:r>
        <w:rPr>
          <w:sz w:val="22"/>
        </w:rPr>
        <w:t>sido</w:t>
      </w:r>
      <w:r>
        <w:rPr>
          <w:spacing w:val="-8"/>
          <w:sz w:val="22"/>
        </w:rPr>
        <w:t> </w:t>
      </w:r>
      <w:r>
        <w:rPr>
          <w:sz w:val="22"/>
        </w:rPr>
        <w:t>delimitada</w:t>
      </w:r>
      <w:r>
        <w:rPr>
          <w:spacing w:val="-7"/>
          <w:sz w:val="22"/>
        </w:rPr>
        <w:t> </w:t>
      </w:r>
      <w:r>
        <w:rPr>
          <w:sz w:val="22"/>
        </w:rPr>
        <w:t>en</w:t>
      </w:r>
      <w:r>
        <w:rPr>
          <w:spacing w:val="-10"/>
          <w:sz w:val="22"/>
        </w:rPr>
        <w:t> </w:t>
      </w:r>
      <w:r>
        <w:rPr>
          <w:sz w:val="22"/>
        </w:rPr>
        <w:t>términos</w:t>
      </w:r>
      <w:r>
        <w:rPr>
          <w:spacing w:val="-7"/>
          <w:sz w:val="22"/>
        </w:rPr>
        <w:t> </w:t>
      </w:r>
      <w:r>
        <w:rPr>
          <w:sz w:val="22"/>
        </w:rPr>
        <w:t>específicos</w:t>
      </w:r>
      <w:r>
        <w:rPr>
          <w:spacing w:val="-7"/>
          <w:sz w:val="22"/>
        </w:rPr>
        <w:t> </w:t>
      </w:r>
      <w:r>
        <w:rPr>
          <w:sz w:val="22"/>
        </w:rPr>
        <w:t>ni</w:t>
      </w:r>
      <w:r>
        <w:rPr>
          <w:spacing w:val="-8"/>
          <w:sz w:val="22"/>
        </w:rPr>
        <w:t> </w:t>
      </w:r>
      <w:r>
        <w:rPr>
          <w:sz w:val="22"/>
        </w:rPr>
        <w:t>desarrollada conforme a una interpretación restrictiva de las excepciones previstas en el artículo</w:t>
      </w:r>
    </w:p>
    <w:p>
      <w:pPr>
        <w:pStyle w:val="BodyText"/>
        <w:ind w:left="1420" w:right="977"/>
        <w:jc w:val="both"/>
      </w:pPr>
      <w:r>
        <w:rPr/>
        <w:t>73 del Acuerdo de Cartagena, conforme a la jurisprudencia del TJCAN. En consecuencia, este requisito no se encuentra cumplido.</w:t>
      </w:r>
    </w:p>
    <w:p>
      <w:pPr>
        <w:pStyle w:val="BodyText"/>
        <w:spacing w:before="121"/>
      </w:pPr>
    </w:p>
    <w:p>
      <w:pPr>
        <w:pStyle w:val="Heading6"/>
        <w:numPr>
          <w:ilvl w:val="1"/>
          <w:numId w:val="1"/>
        </w:numPr>
        <w:tabs>
          <w:tab w:pos="1276" w:val="left" w:leader="none"/>
        </w:tabs>
        <w:spacing w:line="240" w:lineRule="auto" w:before="1" w:after="0"/>
        <w:ind w:left="1276" w:right="0" w:hanging="708"/>
        <w:jc w:val="left"/>
      </w:pPr>
      <w:r>
        <w:rPr/>
        <w:t>Sobre</w:t>
      </w:r>
      <w:r>
        <w:rPr>
          <w:spacing w:val="-3"/>
        </w:rPr>
        <w:t> </w:t>
      </w:r>
      <w:r>
        <w:rPr/>
        <w:t>la</w:t>
      </w:r>
      <w:r>
        <w:rPr>
          <w:spacing w:val="-5"/>
        </w:rPr>
        <w:t> </w:t>
      </w:r>
      <w:r>
        <w:rPr/>
        <w:t>idoneidad</w:t>
      </w:r>
      <w:r>
        <w:rPr>
          <w:spacing w:val="-3"/>
        </w:rPr>
        <w:t> </w:t>
      </w:r>
      <w:r>
        <w:rPr/>
        <w:t>de</w:t>
      </w:r>
      <w:r>
        <w:rPr>
          <w:spacing w:val="-7"/>
        </w:rPr>
        <w:t> </w:t>
      </w:r>
      <w:r>
        <w:rPr/>
        <w:t>la</w:t>
      </w:r>
      <w:r>
        <w:rPr>
          <w:spacing w:val="-3"/>
        </w:rPr>
        <w:t> </w:t>
      </w:r>
      <w:r>
        <w:rPr>
          <w:spacing w:val="-2"/>
        </w:rPr>
        <w:t>medida</w:t>
      </w:r>
    </w:p>
    <w:p>
      <w:pPr>
        <w:pStyle w:val="ListParagraph"/>
        <w:numPr>
          <w:ilvl w:val="0"/>
          <w:numId w:val="2"/>
        </w:numPr>
        <w:tabs>
          <w:tab w:pos="1416" w:val="left" w:leader="none"/>
          <w:tab w:pos="1420" w:val="left" w:leader="none"/>
        </w:tabs>
        <w:spacing w:line="240" w:lineRule="auto" w:before="251" w:after="0"/>
        <w:ind w:left="1420" w:right="980" w:hanging="852"/>
        <w:jc w:val="both"/>
        <w:rPr>
          <w:sz w:val="22"/>
        </w:rPr>
      </w:pPr>
      <w:r>
        <w:rPr>
          <w:sz w:val="22"/>
        </w:rPr>
        <w:t>Sobre la idoneidad de la medida, la República del Ecuador en su escrito de contestación señala lo siguiente:</w:t>
      </w:r>
    </w:p>
    <w:p>
      <w:pPr>
        <w:pStyle w:val="BodyText"/>
        <w:spacing w:before="1"/>
      </w:pPr>
    </w:p>
    <w:p>
      <w:pPr>
        <w:spacing w:before="0"/>
        <w:ind w:left="2128" w:right="979" w:firstLine="0"/>
        <w:jc w:val="both"/>
        <w:rPr>
          <w:rFonts w:ascii="Arial" w:hAnsi="Arial"/>
          <w:i/>
          <w:sz w:val="22"/>
        </w:rPr>
      </w:pPr>
      <w:r>
        <w:rPr>
          <w:rFonts w:ascii="Arial" w:hAnsi="Arial"/>
          <w:i/>
          <w:sz w:val="22"/>
        </w:rPr>
        <w:t>"La idoneidad también concurre. En una frontera con altísima porosidad, dispersión de pasos irregulares y fuerte presencia criminal, concentrar el ingreso formal en el paso internacional institucionalmente habilitado incrementa la capacidad de control integrado, tanto en su modalidad secuencial como simultánea, por parte de los funcionarios nacionales competentes designados por los países de salida y de entrada”</w:t>
      </w:r>
      <w:hyperlink w:history="true" w:anchor="_bookmark37">
        <w:r>
          <w:rPr>
            <w:rFonts w:ascii="Arial" w:hAnsi="Arial"/>
            <w:i/>
            <w:sz w:val="22"/>
            <w:vertAlign w:val="superscript"/>
          </w:rPr>
          <w:t>38</w:t>
        </w:r>
      </w:hyperlink>
    </w:p>
    <w:p>
      <w:pPr>
        <w:pStyle w:val="ListParagraph"/>
        <w:numPr>
          <w:ilvl w:val="0"/>
          <w:numId w:val="2"/>
        </w:numPr>
        <w:tabs>
          <w:tab w:pos="1416" w:val="left" w:leader="none"/>
          <w:tab w:pos="1420" w:val="left" w:leader="none"/>
        </w:tabs>
        <w:spacing w:line="240" w:lineRule="auto" w:before="252" w:after="0"/>
        <w:ind w:left="1420" w:right="977" w:hanging="852"/>
        <w:jc w:val="both"/>
        <w:rPr>
          <w:sz w:val="22"/>
        </w:rPr>
      </w:pPr>
      <w:r>
        <w:rPr>
          <w:sz w:val="22"/>
        </w:rPr>
        <w:t>En cuanto al criterio de idoneidad, si bien la República del Ecuador sostiene que la concentración</w:t>
      </w:r>
      <w:r>
        <w:rPr>
          <w:spacing w:val="-3"/>
          <w:sz w:val="22"/>
        </w:rPr>
        <w:t> </w:t>
      </w:r>
      <w:r>
        <w:rPr>
          <w:sz w:val="22"/>
        </w:rPr>
        <w:t>del</w:t>
      </w:r>
      <w:r>
        <w:rPr>
          <w:spacing w:val="-3"/>
          <w:sz w:val="22"/>
        </w:rPr>
        <w:t> </w:t>
      </w:r>
      <w:r>
        <w:rPr>
          <w:sz w:val="22"/>
        </w:rPr>
        <w:t>ingreso</w:t>
      </w:r>
      <w:r>
        <w:rPr>
          <w:spacing w:val="-3"/>
          <w:sz w:val="22"/>
        </w:rPr>
        <w:t> </w:t>
      </w:r>
      <w:r>
        <w:rPr>
          <w:sz w:val="22"/>
        </w:rPr>
        <w:t>formal</w:t>
      </w:r>
      <w:r>
        <w:rPr>
          <w:spacing w:val="-4"/>
          <w:sz w:val="22"/>
        </w:rPr>
        <w:t> </w:t>
      </w:r>
      <w:r>
        <w:rPr>
          <w:sz w:val="22"/>
        </w:rPr>
        <w:t>en</w:t>
      </w:r>
      <w:r>
        <w:rPr>
          <w:spacing w:val="-5"/>
          <w:sz w:val="22"/>
        </w:rPr>
        <w:t> </w:t>
      </w:r>
      <w:r>
        <w:rPr>
          <w:sz w:val="22"/>
        </w:rPr>
        <w:t>un</w:t>
      </w:r>
      <w:r>
        <w:rPr>
          <w:spacing w:val="-3"/>
          <w:sz w:val="22"/>
        </w:rPr>
        <w:t> </w:t>
      </w:r>
      <w:r>
        <w:rPr>
          <w:sz w:val="22"/>
        </w:rPr>
        <w:t>único</w:t>
      </w:r>
      <w:r>
        <w:rPr>
          <w:spacing w:val="-3"/>
          <w:sz w:val="22"/>
        </w:rPr>
        <w:t> </w:t>
      </w:r>
      <w:r>
        <w:rPr>
          <w:sz w:val="22"/>
        </w:rPr>
        <w:t>punto</w:t>
      </w:r>
      <w:r>
        <w:rPr>
          <w:spacing w:val="-3"/>
          <w:sz w:val="22"/>
        </w:rPr>
        <w:t> </w:t>
      </w:r>
      <w:r>
        <w:rPr>
          <w:sz w:val="22"/>
        </w:rPr>
        <w:t>de</w:t>
      </w:r>
      <w:r>
        <w:rPr>
          <w:spacing w:val="-5"/>
          <w:sz w:val="22"/>
        </w:rPr>
        <w:t> </w:t>
      </w:r>
      <w:r>
        <w:rPr>
          <w:sz w:val="22"/>
        </w:rPr>
        <w:t>control</w:t>
      </w:r>
      <w:r>
        <w:rPr>
          <w:spacing w:val="-4"/>
          <w:sz w:val="22"/>
        </w:rPr>
        <w:t> </w:t>
      </w:r>
      <w:r>
        <w:rPr>
          <w:sz w:val="22"/>
        </w:rPr>
        <w:t>permitiría</w:t>
      </w:r>
      <w:r>
        <w:rPr>
          <w:spacing w:val="-3"/>
          <w:sz w:val="22"/>
        </w:rPr>
        <w:t> </w:t>
      </w:r>
      <w:r>
        <w:rPr>
          <w:sz w:val="22"/>
        </w:rPr>
        <w:t>incrementar la capacidad de supervisión estatal en un contexto de alta porosidad fronteriza, del análisis del informe técnico CCFFAA-J2-PL-PFNA-2025-112 y la información complementaria remitida no se advierte que dicha afirmación se encuentre debidamente sustentada. En efecto, el referido informe describe la existencia de múltiples pasos</w:t>
      </w:r>
      <w:r>
        <w:rPr>
          <w:spacing w:val="-3"/>
          <w:sz w:val="22"/>
        </w:rPr>
        <w:t> </w:t>
      </w:r>
      <w:r>
        <w:rPr>
          <w:sz w:val="22"/>
        </w:rPr>
        <w:t>fronterizos no</w:t>
      </w:r>
      <w:r>
        <w:rPr>
          <w:spacing w:val="-1"/>
          <w:sz w:val="22"/>
        </w:rPr>
        <w:t> </w:t>
      </w:r>
      <w:r>
        <w:rPr>
          <w:sz w:val="22"/>
        </w:rPr>
        <w:t>autorizados</w:t>
      </w:r>
      <w:r>
        <w:rPr>
          <w:spacing w:val="-3"/>
          <w:sz w:val="22"/>
        </w:rPr>
        <w:t> </w:t>
      </w:r>
      <w:r>
        <w:rPr>
          <w:sz w:val="22"/>
        </w:rPr>
        <w:t>y</w:t>
      </w:r>
      <w:r>
        <w:rPr>
          <w:spacing w:val="-3"/>
          <w:sz w:val="22"/>
        </w:rPr>
        <w:t> </w:t>
      </w:r>
      <w:r>
        <w:rPr>
          <w:sz w:val="22"/>
        </w:rPr>
        <w:t>la</w:t>
      </w:r>
      <w:r>
        <w:rPr>
          <w:spacing w:val="-3"/>
          <w:sz w:val="22"/>
        </w:rPr>
        <w:t> </w:t>
      </w:r>
      <w:r>
        <w:rPr>
          <w:sz w:val="22"/>
        </w:rPr>
        <w:t>presencia de</w:t>
      </w:r>
      <w:r>
        <w:rPr>
          <w:spacing w:val="-3"/>
          <w:sz w:val="22"/>
        </w:rPr>
        <w:t> </w:t>
      </w:r>
      <w:r>
        <w:rPr>
          <w:sz w:val="22"/>
        </w:rPr>
        <w:t>actividades ilícitas</w:t>
      </w:r>
      <w:r>
        <w:rPr>
          <w:spacing w:val="-3"/>
          <w:sz w:val="22"/>
        </w:rPr>
        <w:t> </w:t>
      </w:r>
      <w:r>
        <w:rPr>
          <w:sz w:val="22"/>
        </w:rPr>
        <w:t>en</w:t>
      </w:r>
      <w:r>
        <w:rPr>
          <w:spacing w:val="-3"/>
          <w:sz w:val="22"/>
        </w:rPr>
        <w:t> </w:t>
      </w:r>
      <w:r>
        <w:rPr>
          <w:sz w:val="22"/>
        </w:rPr>
        <w:t>la zona de frontera, sin demostrar que la operación del comercio formal a través de distintos pasos habilitados contribuya a la generación o expansión de dichos fenómenos, ni que su restricción constituya un mecanismo eficaz para su control.</w:t>
      </w:r>
    </w:p>
    <w:p>
      <w:pPr>
        <w:pStyle w:val="BodyText"/>
        <w:spacing w:before="1"/>
      </w:pPr>
    </w:p>
    <w:p>
      <w:pPr>
        <w:pStyle w:val="ListParagraph"/>
        <w:numPr>
          <w:ilvl w:val="0"/>
          <w:numId w:val="2"/>
        </w:numPr>
        <w:tabs>
          <w:tab w:pos="1416" w:val="left" w:leader="none"/>
          <w:tab w:pos="1420" w:val="left" w:leader="none"/>
        </w:tabs>
        <w:spacing w:line="240" w:lineRule="auto" w:before="0" w:after="0"/>
        <w:ind w:left="1420" w:right="975" w:hanging="852"/>
        <w:jc w:val="both"/>
        <w:rPr>
          <w:sz w:val="22"/>
        </w:rPr>
      </w:pPr>
      <w:r>
        <w:rPr>
          <w:sz w:val="22"/>
        </w:rPr>
        <w:t>Asimismo,</w:t>
      </w:r>
      <w:r>
        <w:rPr>
          <w:spacing w:val="-1"/>
          <w:sz w:val="22"/>
        </w:rPr>
        <w:t> </w:t>
      </w:r>
      <w:r>
        <w:rPr>
          <w:sz w:val="22"/>
        </w:rPr>
        <w:t>del</w:t>
      </w:r>
      <w:r>
        <w:rPr>
          <w:spacing w:val="-2"/>
          <w:sz w:val="22"/>
        </w:rPr>
        <w:t> </w:t>
      </w:r>
      <w:r>
        <w:rPr>
          <w:sz w:val="22"/>
        </w:rPr>
        <w:t>reporte</w:t>
      </w:r>
      <w:r>
        <w:rPr>
          <w:spacing w:val="-2"/>
          <w:sz w:val="22"/>
        </w:rPr>
        <w:t> </w:t>
      </w:r>
      <w:r>
        <w:rPr>
          <w:sz w:val="22"/>
        </w:rPr>
        <w:t>de</w:t>
      </w:r>
      <w:r>
        <w:rPr>
          <w:spacing w:val="-2"/>
          <w:sz w:val="22"/>
        </w:rPr>
        <w:t> </w:t>
      </w:r>
      <w:r>
        <w:rPr>
          <w:sz w:val="22"/>
        </w:rPr>
        <w:t>la</w:t>
      </w:r>
      <w:r>
        <w:rPr>
          <w:spacing w:val="-2"/>
          <w:sz w:val="22"/>
        </w:rPr>
        <w:t> </w:t>
      </w:r>
      <w:r>
        <w:rPr>
          <w:sz w:val="22"/>
        </w:rPr>
        <w:t>visita</w:t>
      </w:r>
      <w:r>
        <w:rPr>
          <w:spacing w:val="-2"/>
          <w:sz w:val="22"/>
        </w:rPr>
        <w:t> </w:t>
      </w:r>
      <w:r>
        <w:rPr>
          <w:sz w:val="22"/>
        </w:rPr>
        <w:t>de</w:t>
      </w:r>
      <w:r>
        <w:rPr>
          <w:spacing w:val="-2"/>
          <w:sz w:val="22"/>
        </w:rPr>
        <w:t> </w:t>
      </w:r>
      <w:r>
        <w:rPr>
          <w:sz w:val="22"/>
        </w:rPr>
        <w:t>verificación</w:t>
      </w:r>
      <w:r>
        <w:rPr>
          <w:spacing w:val="-2"/>
          <w:sz w:val="22"/>
        </w:rPr>
        <w:t> </w:t>
      </w:r>
      <w:r>
        <w:rPr>
          <w:sz w:val="22"/>
        </w:rPr>
        <w:t>in situ</w:t>
      </w:r>
      <w:hyperlink w:history="true" w:anchor="_bookmark38">
        <w:r>
          <w:rPr>
            <w:sz w:val="22"/>
            <w:vertAlign w:val="superscript"/>
          </w:rPr>
          <w:t>39</w:t>
        </w:r>
      </w:hyperlink>
      <w:r>
        <w:rPr>
          <w:spacing w:val="-2"/>
          <w:sz w:val="22"/>
          <w:vertAlign w:val="baseline"/>
        </w:rPr>
        <w:t> </w:t>
      </w:r>
      <w:r>
        <w:rPr>
          <w:sz w:val="22"/>
          <w:vertAlign w:val="baseline"/>
        </w:rPr>
        <w:t>realizada por</w:t>
      </w:r>
      <w:r>
        <w:rPr>
          <w:spacing w:val="-1"/>
          <w:sz w:val="22"/>
          <w:vertAlign w:val="baseline"/>
        </w:rPr>
        <w:t> </w:t>
      </w:r>
      <w:r>
        <w:rPr>
          <w:sz w:val="22"/>
          <w:vertAlign w:val="baseline"/>
        </w:rPr>
        <w:t>la SGCAN en el</w:t>
      </w:r>
      <w:r>
        <w:rPr>
          <w:spacing w:val="-16"/>
          <w:sz w:val="22"/>
          <w:vertAlign w:val="baseline"/>
        </w:rPr>
        <w:t> </w:t>
      </w:r>
      <w:r>
        <w:rPr>
          <w:sz w:val="22"/>
          <w:vertAlign w:val="baseline"/>
        </w:rPr>
        <w:t>puente</w:t>
      </w:r>
      <w:r>
        <w:rPr>
          <w:spacing w:val="-15"/>
          <w:sz w:val="22"/>
          <w:vertAlign w:val="baseline"/>
        </w:rPr>
        <w:t> </w:t>
      </w:r>
      <w:r>
        <w:rPr>
          <w:sz w:val="22"/>
          <w:vertAlign w:val="baseline"/>
        </w:rPr>
        <w:t>internacional</w:t>
      </w:r>
      <w:r>
        <w:rPr>
          <w:spacing w:val="-15"/>
          <w:sz w:val="22"/>
          <w:vertAlign w:val="baseline"/>
        </w:rPr>
        <w:t> </w:t>
      </w:r>
      <w:r>
        <w:rPr>
          <w:sz w:val="22"/>
          <w:vertAlign w:val="baseline"/>
        </w:rPr>
        <w:t>de</w:t>
      </w:r>
      <w:r>
        <w:rPr>
          <w:spacing w:val="-16"/>
          <w:sz w:val="22"/>
          <w:vertAlign w:val="baseline"/>
        </w:rPr>
        <w:t> </w:t>
      </w:r>
      <w:r>
        <w:rPr>
          <w:sz w:val="22"/>
          <w:vertAlign w:val="baseline"/>
        </w:rPr>
        <w:t>Rumichaca</w:t>
      </w:r>
      <w:r>
        <w:rPr>
          <w:spacing w:val="-15"/>
          <w:sz w:val="22"/>
          <w:vertAlign w:val="baseline"/>
        </w:rPr>
        <w:t> </w:t>
      </w:r>
      <w:r>
        <w:rPr>
          <w:sz w:val="22"/>
          <w:vertAlign w:val="baseline"/>
        </w:rPr>
        <w:t>se</w:t>
      </w:r>
      <w:r>
        <w:rPr>
          <w:spacing w:val="-15"/>
          <w:sz w:val="22"/>
          <w:vertAlign w:val="baseline"/>
        </w:rPr>
        <w:t> </w:t>
      </w:r>
      <w:r>
        <w:rPr>
          <w:sz w:val="22"/>
          <w:vertAlign w:val="baseline"/>
        </w:rPr>
        <w:t>observa</w:t>
      </w:r>
      <w:r>
        <w:rPr>
          <w:spacing w:val="-15"/>
          <w:sz w:val="22"/>
          <w:vertAlign w:val="baseline"/>
        </w:rPr>
        <w:t> </w:t>
      </w:r>
      <w:r>
        <w:rPr>
          <w:sz w:val="22"/>
          <w:vertAlign w:val="baseline"/>
        </w:rPr>
        <w:t>que</w:t>
      </w:r>
      <w:r>
        <w:rPr>
          <w:spacing w:val="-16"/>
          <w:sz w:val="22"/>
          <w:vertAlign w:val="baseline"/>
        </w:rPr>
        <w:t> </w:t>
      </w:r>
      <w:r>
        <w:rPr>
          <w:sz w:val="22"/>
          <w:vertAlign w:val="baseline"/>
        </w:rPr>
        <w:t>la</w:t>
      </w:r>
      <w:r>
        <w:rPr>
          <w:spacing w:val="-15"/>
          <w:sz w:val="22"/>
          <w:vertAlign w:val="baseline"/>
        </w:rPr>
        <w:t> </w:t>
      </w:r>
      <w:r>
        <w:rPr>
          <w:sz w:val="22"/>
          <w:vertAlign w:val="baseline"/>
        </w:rPr>
        <w:t>implementación</w:t>
      </w:r>
      <w:r>
        <w:rPr>
          <w:spacing w:val="-15"/>
          <w:sz w:val="22"/>
          <w:vertAlign w:val="baseline"/>
        </w:rPr>
        <w:t> </w:t>
      </w:r>
      <w:r>
        <w:rPr>
          <w:sz w:val="22"/>
          <w:vertAlign w:val="baseline"/>
        </w:rPr>
        <w:t>de</w:t>
      </w:r>
      <w:r>
        <w:rPr>
          <w:spacing w:val="-16"/>
          <w:sz w:val="22"/>
          <w:vertAlign w:val="baseline"/>
        </w:rPr>
        <w:t> </w:t>
      </w:r>
      <w:r>
        <w:rPr>
          <w:sz w:val="22"/>
          <w:vertAlign w:val="baseline"/>
        </w:rPr>
        <w:t>la</w:t>
      </w:r>
      <w:r>
        <w:rPr>
          <w:spacing w:val="-15"/>
          <w:sz w:val="22"/>
          <w:vertAlign w:val="baseline"/>
        </w:rPr>
        <w:t> </w:t>
      </w:r>
      <w:r>
        <w:rPr>
          <w:sz w:val="22"/>
          <w:vertAlign w:val="baseline"/>
        </w:rPr>
        <w:t>medida ha</w:t>
      </w:r>
      <w:r>
        <w:rPr>
          <w:spacing w:val="-9"/>
          <w:sz w:val="22"/>
          <w:vertAlign w:val="baseline"/>
        </w:rPr>
        <w:t> </w:t>
      </w:r>
      <w:r>
        <w:rPr>
          <w:sz w:val="22"/>
          <w:vertAlign w:val="baseline"/>
        </w:rPr>
        <w:t>generado,</w:t>
      </w:r>
      <w:r>
        <w:rPr>
          <w:spacing w:val="-10"/>
          <w:sz w:val="22"/>
          <w:vertAlign w:val="baseline"/>
        </w:rPr>
        <w:t> </w:t>
      </w:r>
      <w:r>
        <w:rPr>
          <w:sz w:val="22"/>
          <w:vertAlign w:val="baseline"/>
        </w:rPr>
        <w:t>por</w:t>
      </w:r>
      <w:r>
        <w:rPr>
          <w:spacing w:val="-8"/>
          <w:sz w:val="22"/>
          <w:vertAlign w:val="baseline"/>
        </w:rPr>
        <w:t> </w:t>
      </w:r>
      <w:r>
        <w:rPr>
          <w:sz w:val="22"/>
          <w:vertAlign w:val="baseline"/>
        </w:rPr>
        <w:t>un</w:t>
      </w:r>
      <w:r>
        <w:rPr>
          <w:spacing w:val="-9"/>
          <w:sz w:val="22"/>
          <w:vertAlign w:val="baseline"/>
        </w:rPr>
        <w:t> </w:t>
      </w:r>
      <w:r>
        <w:rPr>
          <w:sz w:val="22"/>
          <w:vertAlign w:val="baseline"/>
        </w:rPr>
        <w:t>lado,</w:t>
      </w:r>
      <w:r>
        <w:rPr>
          <w:spacing w:val="-7"/>
          <w:sz w:val="22"/>
          <w:vertAlign w:val="baseline"/>
        </w:rPr>
        <w:t> </w:t>
      </w:r>
      <w:r>
        <w:rPr>
          <w:sz w:val="22"/>
          <w:vertAlign w:val="baseline"/>
        </w:rPr>
        <w:t>un</w:t>
      </w:r>
      <w:r>
        <w:rPr>
          <w:spacing w:val="-9"/>
          <w:sz w:val="22"/>
          <w:vertAlign w:val="baseline"/>
        </w:rPr>
        <w:t> </w:t>
      </w:r>
      <w:r>
        <w:rPr>
          <w:sz w:val="22"/>
          <w:vertAlign w:val="baseline"/>
        </w:rPr>
        <w:t>incremento</w:t>
      </w:r>
      <w:r>
        <w:rPr>
          <w:spacing w:val="-11"/>
          <w:sz w:val="22"/>
          <w:vertAlign w:val="baseline"/>
        </w:rPr>
        <w:t> </w:t>
      </w:r>
      <w:r>
        <w:rPr>
          <w:sz w:val="22"/>
          <w:vertAlign w:val="baseline"/>
        </w:rPr>
        <w:t>en</w:t>
      </w:r>
      <w:r>
        <w:rPr>
          <w:spacing w:val="-9"/>
          <w:sz w:val="22"/>
          <w:vertAlign w:val="baseline"/>
        </w:rPr>
        <w:t> </w:t>
      </w:r>
      <w:r>
        <w:rPr>
          <w:sz w:val="22"/>
          <w:vertAlign w:val="baseline"/>
        </w:rPr>
        <w:t>los</w:t>
      </w:r>
      <w:r>
        <w:rPr>
          <w:spacing w:val="-9"/>
          <w:sz w:val="22"/>
          <w:vertAlign w:val="baseline"/>
        </w:rPr>
        <w:t> </w:t>
      </w:r>
      <w:r>
        <w:rPr>
          <w:sz w:val="22"/>
          <w:vertAlign w:val="baseline"/>
        </w:rPr>
        <w:t>tiempos</w:t>
      </w:r>
      <w:r>
        <w:rPr>
          <w:spacing w:val="-8"/>
          <w:sz w:val="22"/>
          <w:vertAlign w:val="baseline"/>
        </w:rPr>
        <w:t> </w:t>
      </w:r>
      <w:r>
        <w:rPr>
          <w:sz w:val="22"/>
          <w:vertAlign w:val="baseline"/>
        </w:rPr>
        <w:t>de</w:t>
      </w:r>
      <w:r>
        <w:rPr>
          <w:spacing w:val="-9"/>
          <w:sz w:val="22"/>
          <w:vertAlign w:val="baseline"/>
        </w:rPr>
        <w:t> </w:t>
      </w:r>
      <w:r>
        <w:rPr>
          <w:sz w:val="22"/>
          <w:vertAlign w:val="baseline"/>
        </w:rPr>
        <w:t>despacho</w:t>
      </w:r>
      <w:r>
        <w:rPr>
          <w:spacing w:val="-9"/>
          <w:sz w:val="22"/>
          <w:vertAlign w:val="baseline"/>
        </w:rPr>
        <w:t> </w:t>
      </w:r>
      <w:r>
        <w:rPr>
          <w:sz w:val="22"/>
          <w:vertAlign w:val="baseline"/>
        </w:rPr>
        <w:t>y,</w:t>
      </w:r>
      <w:r>
        <w:rPr>
          <w:spacing w:val="-7"/>
          <w:sz w:val="22"/>
          <w:vertAlign w:val="baseline"/>
        </w:rPr>
        <w:t> </w:t>
      </w:r>
      <w:r>
        <w:rPr>
          <w:sz w:val="22"/>
          <w:vertAlign w:val="baseline"/>
        </w:rPr>
        <w:t>por</w:t>
      </w:r>
      <w:r>
        <w:rPr>
          <w:spacing w:val="-10"/>
          <w:sz w:val="22"/>
          <w:vertAlign w:val="baseline"/>
        </w:rPr>
        <w:t> </w:t>
      </w:r>
      <w:r>
        <w:rPr>
          <w:sz w:val="22"/>
          <w:vertAlign w:val="baseline"/>
        </w:rPr>
        <w:t>otro,</w:t>
      </w:r>
      <w:r>
        <w:rPr>
          <w:spacing w:val="-7"/>
          <w:sz w:val="22"/>
          <w:vertAlign w:val="baseline"/>
        </w:rPr>
        <w:t> </w:t>
      </w:r>
      <w:r>
        <w:rPr>
          <w:sz w:val="22"/>
          <w:vertAlign w:val="baseline"/>
        </w:rPr>
        <w:t>una concentración del flujo de carga que ha derivado en limitaciones operativas en el punto de control. En efecto, se señala que los tiempos “</w:t>
      </w:r>
      <w:r>
        <w:rPr>
          <w:rFonts w:ascii="Arial" w:hAnsi="Arial"/>
          <w:i/>
          <w:sz w:val="22"/>
          <w:vertAlign w:val="baseline"/>
        </w:rPr>
        <w:t>han aumentado de un promedio</w:t>
      </w:r>
      <w:r>
        <w:rPr>
          <w:rFonts w:ascii="Arial" w:hAnsi="Arial"/>
          <w:i/>
          <w:spacing w:val="-16"/>
          <w:sz w:val="22"/>
          <w:vertAlign w:val="baseline"/>
        </w:rPr>
        <w:t> </w:t>
      </w:r>
      <w:r>
        <w:rPr>
          <w:rFonts w:ascii="Arial" w:hAnsi="Arial"/>
          <w:i/>
          <w:sz w:val="22"/>
          <w:vertAlign w:val="baseline"/>
        </w:rPr>
        <w:t>de</w:t>
      </w:r>
      <w:r>
        <w:rPr>
          <w:rFonts w:ascii="Arial" w:hAnsi="Arial"/>
          <w:i/>
          <w:spacing w:val="-15"/>
          <w:sz w:val="22"/>
          <w:vertAlign w:val="baseline"/>
        </w:rPr>
        <w:t> </w:t>
      </w:r>
      <w:r>
        <w:rPr>
          <w:rFonts w:ascii="Arial" w:hAnsi="Arial"/>
          <w:i/>
          <w:sz w:val="22"/>
          <w:vertAlign w:val="baseline"/>
        </w:rPr>
        <w:t>1</w:t>
      </w:r>
      <w:r>
        <w:rPr>
          <w:rFonts w:ascii="Arial" w:hAnsi="Arial"/>
          <w:i/>
          <w:spacing w:val="-15"/>
          <w:sz w:val="22"/>
          <w:vertAlign w:val="baseline"/>
        </w:rPr>
        <w:t> </w:t>
      </w:r>
      <w:r>
        <w:rPr>
          <w:rFonts w:ascii="Arial" w:hAnsi="Arial"/>
          <w:i/>
          <w:sz w:val="22"/>
          <w:vertAlign w:val="baseline"/>
        </w:rPr>
        <w:t>día</w:t>
      </w:r>
      <w:r>
        <w:rPr>
          <w:rFonts w:ascii="Arial" w:hAnsi="Arial"/>
          <w:i/>
          <w:spacing w:val="-16"/>
          <w:sz w:val="22"/>
          <w:vertAlign w:val="baseline"/>
        </w:rPr>
        <w:t> </w:t>
      </w:r>
      <w:r>
        <w:rPr>
          <w:rFonts w:ascii="Arial" w:hAnsi="Arial"/>
          <w:i/>
          <w:sz w:val="22"/>
          <w:vertAlign w:val="baseline"/>
        </w:rPr>
        <w:t>a</w:t>
      </w:r>
      <w:r>
        <w:rPr>
          <w:rFonts w:ascii="Arial" w:hAnsi="Arial"/>
          <w:i/>
          <w:spacing w:val="-15"/>
          <w:sz w:val="22"/>
          <w:vertAlign w:val="baseline"/>
        </w:rPr>
        <w:t> </w:t>
      </w:r>
      <w:r>
        <w:rPr>
          <w:rFonts w:ascii="Arial" w:hAnsi="Arial"/>
          <w:i/>
          <w:sz w:val="22"/>
          <w:vertAlign w:val="baseline"/>
        </w:rPr>
        <w:t>un</w:t>
      </w:r>
      <w:r>
        <w:rPr>
          <w:rFonts w:ascii="Arial" w:hAnsi="Arial"/>
          <w:i/>
          <w:spacing w:val="-15"/>
          <w:sz w:val="22"/>
          <w:vertAlign w:val="baseline"/>
        </w:rPr>
        <w:t> </w:t>
      </w:r>
      <w:r>
        <w:rPr>
          <w:rFonts w:ascii="Arial" w:hAnsi="Arial"/>
          <w:i/>
          <w:sz w:val="22"/>
          <w:vertAlign w:val="baseline"/>
        </w:rPr>
        <w:t>rango</w:t>
      </w:r>
      <w:r>
        <w:rPr>
          <w:rFonts w:ascii="Arial" w:hAnsi="Arial"/>
          <w:i/>
          <w:spacing w:val="-15"/>
          <w:sz w:val="22"/>
          <w:vertAlign w:val="baseline"/>
        </w:rPr>
        <w:t> </w:t>
      </w:r>
      <w:r>
        <w:rPr>
          <w:rFonts w:ascii="Arial" w:hAnsi="Arial"/>
          <w:i/>
          <w:sz w:val="22"/>
          <w:vertAlign w:val="baseline"/>
        </w:rPr>
        <w:t>de</w:t>
      </w:r>
      <w:r>
        <w:rPr>
          <w:rFonts w:ascii="Arial" w:hAnsi="Arial"/>
          <w:i/>
          <w:spacing w:val="-16"/>
          <w:sz w:val="22"/>
          <w:vertAlign w:val="baseline"/>
        </w:rPr>
        <w:t> </w:t>
      </w:r>
      <w:r>
        <w:rPr>
          <w:rFonts w:ascii="Arial" w:hAnsi="Arial"/>
          <w:i/>
          <w:sz w:val="22"/>
          <w:vertAlign w:val="baseline"/>
        </w:rPr>
        <w:t>2</w:t>
      </w:r>
      <w:r>
        <w:rPr>
          <w:rFonts w:ascii="Arial" w:hAnsi="Arial"/>
          <w:i/>
          <w:spacing w:val="-15"/>
          <w:sz w:val="22"/>
          <w:vertAlign w:val="baseline"/>
        </w:rPr>
        <w:t> </w:t>
      </w:r>
      <w:r>
        <w:rPr>
          <w:rFonts w:ascii="Arial" w:hAnsi="Arial"/>
          <w:i/>
          <w:sz w:val="22"/>
          <w:vertAlign w:val="baseline"/>
        </w:rPr>
        <w:t>a</w:t>
      </w:r>
      <w:r>
        <w:rPr>
          <w:rFonts w:ascii="Arial" w:hAnsi="Arial"/>
          <w:i/>
          <w:spacing w:val="-15"/>
          <w:sz w:val="22"/>
          <w:vertAlign w:val="baseline"/>
        </w:rPr>
        <w:t> </w:t>
      </w:r>
      <w:r>
        <w:rPr>
          <w:rFonts w:ascii="Arial" w:hAnsi="Arial"/>
          <w:i/>
          <w:sz w:val="22"/>
          <w:vertAlign w:val="baseline"/>
        </w:rPr>
        <w:t>3</w:t>
      </w:r>
      <w:r>
        <w:rPr>
          <w:rFonts w:ascii="Arial" w:hAnsi="Arial"/>
          <w:i/>
          <w:spacing w:val="-16"/>
          <w:sz w:val="22"/>
          <w:vertAlign w:val="baseline"/>
        </w:rPr>
        <w:t> </w:t>
      </w:r>
      <w:r>
        <w:rPr>
          <w:rFonts w:ascii="Arial" w:hAnsi="Arial"/>
          <w:i/>
          <w:sz w:val="22"/>
          <w:vertAlign w:val="baseline"/>
        </w:rPr>
        <w:t>días</w:t>
      </w:r>
      <w:r>
        <w:rPr>
          <w:sz w:val="22"/>
          <w:vertAlign w:val="baseline"/>
        </w:rPr>
        <w:t>”,</w:t>
      </w:r>
      <w:r>
        <w:rPr>
          <w:spacing w:val="-15"/>
          <w:sz w:val="22"/>
          <w:vertAlign w:val="baseline"/>
        </w:rPr>
        <w:t> </w:t>
      </w:r>
      <w:r>
        <w:rPr>
          <w:sz w:val="22"/>
          <w:vertAlign w:val="baseline"/>
        </w:rPr>
        <w:t>y</w:t>
      </w:r>
      <w:r>
        <w:rPr>
          <w:spacing w:val="-15"/>
          <w:sz w:val="22"/>
          <w:vertAlign w:val="baseline"/>
        </w:rPr>
        <w:t> </w:t>
      </w:r>
      <w:r>
        <w:rPr>
          <w:sz w:val="22"/>
          <w:vertAlign w:val="baseline"/>
        </w:rPr>
        <w:t>que</w:t>
      </w:r>
      <w:r>
        <w:rPr>
          <w:spacing w:val="-15"/>
          <w:sz w:val="22"/>
          <w:vertAlign w:val="baseline"/>
        </w:rPr>
        <w:t> </w:t>
      </w:r>
      <w:r>
        <w:rPr>
          <w:sz w:val="22"/>
          <w:vertAlign w:val="baseline"/>
        </w:rPr>
        <w:t>“</w:t>
      </w:r>
      <w:r>
        <w:rPr>
          <w:rFonts w:ascii="Arial" w:hAnsi="Arial"/>
          <w:i/>
          <w:sz w:val="22"/>
          <w:vertAlign w:val="baseline"/>
        </w:rPr>
        <w:t>se</w:t>
      </w:r>
      <w:r>
        <w:rPr>
          <w:rFonts w:ascii="Arial" w:hAnsi="Arial"/>
          <w:i/>
          <w:spacing w:val="-16"/>
          <w:sz w:val="22"/>
          <w:vertAlign w:val="baseline"/>
        </w:rPr>
        <w:t> </w:t>
      </w:r>
      <w:r>
        <w:rPr>
          <w:rFonts w:ascii="Arial" w:hAnsi="Arial"/>
          <w:i/>
          <w:sz w:val="22"/>
          <w:vertAlign w:val="baseline"/>
        </w:rPr>
        <w:t>ha</w:t>
      </w:r>
      <w:r>
        <w:rPr>
          <w:rFonts w:ascii="Arial" w:hAnsi="Arial"/>
          <w:i/>
          <w:spacing w:val="-15"/>
          <w:sz w:val="22"/>
          <w:vertAlign w:val="baseline"/>
        </w:rPr>
        <w:t> </w:t>
      </w:r>
      <w:r>
        <w:rPr>
          <w:rFonts w:ascii="Arial" w:hAnsi="Arial"/>
          <w:i/>
          <w:sz w:val="22"/>
          <w:vertAlign w:val="baseline"/>
        </w:rPr>
        <w:t>generado</w:t>
      </w:r>
      <w:r>
        <w:rPr>
          <w:rFonts w:ascii="Arial" w:hAnsi="Arial"/>
          <w:i/>
          <w:spacing w:val="-15"/>
          <w:sz w:val="22"/>
          <w:vertAlign w:val="baseline"/>
        </w:rPr>
        <w:t> </w:t>
      </w:r>
      <w:r>
        <w:rPr>
          <w:rFonts w:ascii="Arial" w:hAnsi="Arial"/>
          <w:i/>
          <w:sz w:val="22"/>
          <w:vertAlign w:val="baseline"/>
        </w:rPr>
        <w:t>una</w:t>
      </w:r>
      <w:r>
        <w:rPr>
          <w:rFonts w:ascii="Arial" w:hAnsi="Arial"/>
          <w:i/>
          <w:spacing w:val="-16"/>
          <w:sz w:val="22"/>
          <w:vertAlign w:val="baseline"/>
        </w:rPr>
        <w:t> </w:t>
      </w:r>
      <w:r>
        <w:rPr>
          <w:rFonts w:ascii="Arial" w:hAnsi="Arial"/>
          <w:i/>
          <w:sz w:val="22"/>
          <w:vertAlign w:val="baseline"/>
        </w:rPr>
        <w:t>concentración del</w:t>
      </w:r>
      <w:r>
        <w:rPr>
          <w:rFonts w:ascii="Arial" w:hAnsi="Arial"/>
          <w:i/>
          <w:spacing w:val="-3"/>
          <w:sz w:val="22"/>
          <w:vertAlign w:val="baseline"/>
        </w:rPr>
        <w:t> </w:t>
      </w:r>
      <w:r>
        <w:rPr>
          <w:rFonts w:ascii="Arial" w:hAnsi="Arial"/>
          <w:i/>
          <w:sz w:val="22"/>
          <w:vertAlign w:val="baseline"/>
        </w:rPr>
        <w:t>tráfico</w:t>
      </w:r>
      <w:r>
        <w:rPr>
          <w:rFonts w:ascii="Arial" w:hAnsi="Arial"/>
          <w:i/>
          <w:spacing w:val="-3"/>
          <w:sz w:val="22"/>
          <w:vertAlign w:val="baseline"/>
        </w:rPr>
        <w:t> </w:t>
      </w:r>
      <w:r>
        <w:rPr>
          <w:rFonts w:ascii="Arial" w:hAnsi="Arial"/>
          <w:i/>
          <w:sz w:val="22"/>
          <w:vertAlign w:val="baseline"/>
        </w:rPr>
        <w:t>que</w:t>
      </w:r>
      <w:r>
        <w:rPr>
          <w:rFonts w:ascii="Arial" w:hAnsi="Arial"/>
          <w:i/>
          <w:spacing w:val="-3"/>
          <w:sz w:val="22"/>
          <w:vertAlign w:val="baseline"/>
        </w:rPr>
        <w:t> </w:t>
      </w:r>
      <w:r>
        <w:rPr>
          <w:rFonts w:ascii="Arial" w:hAnsi="Arial"/>
          <w:i/>
          <w:sz w:val="22"/>
          <w:vertAlign w:val="baseline"/>
        </w:rPr>
        <w:t>demanda</w:t>
      </w:r>
      <w:r>
        <w:rPr>
          <w:rFonts w:ascii="Arial" w:hAnsi="Arial"/>
          <w:i/>
          <w:spacing w:val="-5"/>
          <w:sz w:val="22"/>
          <w:vertAlign w:val="baseline"/>
        </w:rPr>
        <w:t> </w:t>
      </w:r>
      <w:r>
        <w:rPr>
          <w:rFonts w:ascii="Arial" w:hAnsi="Arial"/>
          <w:i/>
          <w:sz w:val="22"/>
          <w:vertAlign w:val="baseline"/>
        </w:rPr>
        <w:t>mayor</w:t>
      </w:r>
      <w:r>
        <w:rPr>
          <w:rFonts w:ascii="Arial" w:hAnsi="Arial"/>
          <w:i/>
          <w:spacing w:val="-4"/>
          <w:sz w:val="22"/>
          <w:vertAlign w:val="baseline"/>
        </w:rPr>
        <w:t> </w:t>
      </w:r>
      <w:r>
        <w:rPr>
          <w:rFonts w:ascii="Arial" w:hAnsi="Arial"/>
          <w:i/>
          <w:sz w:val="22"/>
          <w:vertAlign w:val="baseline"/>
        </w:rPr>
        <w:t>despliegue</w:t>
      </w:r>
      <w:r>
        <w:rPr>
          <w:rFonts w:ascii="Arial" w:hAnsi="Arial"/>
          <w:i/>
          <w:spacing w:val="-3"/>
          <w:sz w:val="22"/>
          <w:vertAlign w:val="baseline"/>
        </w:rPr>
        <w:t> </w:t>
      </w:r>
      <w:r>
        <w:rPr>
          <w:rFonts w:ascii="Arial" w:hAnsi="Arial"/>
          <w:i/>
          <w:sz w:val="22"/>
          <w:vertAlign w:val="baseline"/>
        </w:rPr>
        <w:t>de</w:t>
      </w:r>
      <w:r>
        <w:rPr>
          <w:rFonts w:ascii="Arial" w:hAnsi="Arial"/>
          <w:i/>
          <w:spacing w:val="-3"/>
          <w:sz w:val="22"/>
          <w:vertAlign w:val="baseline"/>
        </w:rPr>
        <w:t> </w:t>
      </w:r>
      <w:r>
        <w:rPr>
          <w:rFonts w:ascii="Arial" w:hAnsi="Arial"/>
          <w:i/>
          <w:sz w:val="22"/>
          <w:vertAlign w:val="baseline"/>
        </w:rPr>
        <w:t>personal</w:t>
      </w:r>
      <w:r>
        <w:rPr>
          <w:rFonts w:ascii="Arial" w:hAnsi="Arial"/>
          <w:i/>
          <w:spacing w:val="-4"/>
          <w:sz w:val="22"/>
          <w:vertAlign w:val="baseline"/>
        </w:rPr>
        <w:t> </w:t>
      </w:r>
      <w:r>
        <w:rPr>
          <w:rFonts w:ascii="Arial" w:hAnsi="Arial"/>
          <w:i/>
          <w:sz w:val="22"/>
          <w:vertAlign w:val="baseline"/>
        </w:rPr>
        <w:t>y</w:t>
      </w:r>
      <w:r>
        <w:rPr>
          <w:rFonts w:ascii="Arial" w:hAnsi="Arial"/>
          <w:i/>
          <w:spacing w:val="-2"/>
          <w:sz w:val="22"/>
          <w:vertAlign w:val="baseline"/>
        </w:rPr>
        <w:t> </w:t>
      </w:r>
      <w:r>
        <w:rPr>
          <w:rFonts w:ascii="Arial" w:hAnsi="Arial"/>
          <w:i/>
          <w:sz w:val="22"/>
          <w:vertAlign w:val="baseline"/>
        </w:rPr>
        <w:t>recursos</w:t>
      </w:r>
      <w:r>
        <w:rPr>
          <w:rFonts w:ascii="Arial" w:hAnsi="Arial"/>
          <w:i/>
          <w:spacing w:val="-5"/>
          <w:sz w:val="22"/>
          <w:vertAlign w:val="baseline"/>
        </w:rPr>
        <w:t> </w:t>
      </w:r>
      <w:r>
        <w:rPr>
          <w:rFonts w:ascii="Arial" w:hAnsi="Arial"/>
          <w:i/>
          <w:sz w:val="22"/>
          <w:vertAlign w:val="baseline"/>
        </w:rPr>
        <w:t>tecnológicos</w:t>
      </w:r>
      <w:r>
        <w:rPr>
          <w:sz w:val="22"/>
          <w:vertAlign w:val="baseline"/>
        </w:rPr>
        <w:t>”,</w:t>
      </w:r>
      <w:r>
        <w:rPr>
          <w:spacing w:val="-1"/>
          <w:sz w:val="22"/>
          <w:vertAlign w:val="baseline"/>
        </w:rPr>
        <w:t> </w:t>
      </w:r>
      <w:r>
        <w:rPr>
          <w:sz w:val="22"/>
          <w:vertAlign w:val="baseline"/>
        </w:rPr>
        <w:t>así como</w:t>
      </w:r>
      <w:r>
        <w:rPr>
          <w:spacing w:val="-5"/>
          <w:sz w:val="22"/>
          <w:vertAlign w:val="baseline"/>
        </w:rPr>
        <w:t> </w:t>
      </w:r>
      <w:r>
        <w:rPr>
          <w:sz w:val="22"/>
          <w:vertAlign w:val="baseline"/>
        </w:rPr>
        <w:t>la</w:t>
      </w:r>
      <w:r>
        <w:rPr>
          <w:spacing w:val="-5"/>
          <w:sz w:val="22"/>
          <w:vertAlign w:val="baseline"/>
        </w:rPr>
        <w:t> </w:t>
      </w:r>
      <w:r>
        <w:rPr>
          <w:sz w:val="22"/>
          <w:vertAlign w:val="baseline"/>
        </w:rPr>
        <w:t>“</w:t>
      </w:r>
      <w:r>
        <w:rPr>
          <w:rFonts w:ascii="Arial" w:hAnsi="Arial"/>
          <w:i/>
          <w:sz w:val="22"/>
          <w:vertAlign w:val="baseline"/>
        </w:rPr>
        <w:t>saturación</w:t>
      </w:r>
      <w:r>
        <w:rPr>
          <w:rFonts w:ascii="Arial" w:hAnsi="Arial"/>
          <w:i/>
          <w:spacing w:val="-3"/>
          <w:sz w:val="22"/>
          <w:vertAlign w:val="baseline"/>
        </w:rPr>
        <w:t> </w:t>
      </w:r>
      <w:r>
        <w:rPr>
          <w:rFonts w:ascii="Arial" w:hAnsi="Arial"/>
          <w:i/>
          <w:sz w:val="22"/>
          <w:vertAlign w:val="baseline"/>
        </w:rPr>
        <w:t>de</w:t>
      </w:r>
      <w:r>
        <w:rPr>
          <w:rFonts w:ascii="Arial" w:hAnsi="Arial"/>
          <w:i/>
          <w:spacing w:val="-1"/>
          <w:sz w:val="22"/>
          <w:vertAlign w:val="baseline"/>
        </w:rPr>
        <w:t> </w:t>
      </w:r>
      <w:r>
        <w:rPr>
          <w:rFonts w:ascii="Arial" w:hAnsi="Arial"/>
          <w:i/>
          <w:sz w:val="22"/>
          <w:vertAlign w:val="baseline"/>
        </w:rPr>
        <w:t>los</w:t>
      </w:r>
      <w:r>
        <w:rPr>
          <w:rFonts w:ascii="Arial" w:hAnsi="Arial"/>
          <w:i/>
          <w:spacing w:val="-2"/>
          <w:sz w:val="22"/>
          <w:vertAlign w:val="baseline"/>
        </w:rPr>
        <w:t> </w:t>
      </w:r>
      <w:r>
        <w:rPr>
          <w:rFonts w:ascii="Arial" w:hAnsi="Arial"/>
          <w:i/>
          <w:sz w:val="22"/>
          <w:vertAlign w:val="baseline"/>
        </w:rPr>
        <w:t>patios</w:t>
      </w:r>
      <w:r>
        <w:rPr>
          <w:rFonts w:ascii="Arial" w:hAnsi="Arial"/>
          <w:i/>
          <w:spacing w:val="-3"/>
          <w:sz w:val="22"/>
          <w:vertAlign w:val="baseline"/>
        </w:rPr>
        <w:t> </w:t>
      </w:r>
      <w:r>
        <w:rPr>
          <w:rFonts w:ascii="Arial" w:hAnsi="Arial"/>
          <w:i/>
          <w:sz w:val="22"/>
          <w:vertAlign w:val="baseline"/>
        </w:rPr>
        <w:t>de</w:t>
      </w:r>
      <w:r>
        <w:rPr>
          <w:rFonts w:ascii="Arial" w:hAnsi="Arial"/>
          <w:i/>
          <w:spacing w:val="-5"/>
          <w:sz w:val="22"/>
          <w:vertAlign w:val="baseline"/>
        </w:rPr>
        <w:t> </w:t>
      </w:r>
      <w:r>
        <w:rPr>
          <w:rFonts w:ascii="Arial" w:hAnsi="Arial"/>
          <w:i/>
          <w:sz w:val="22"/>
          <w:vertAlign w:val="baseline"/>
        </w:rPr>
        <w:t>espera</w:t>
      </w:r>
      <w:r>
        <w:rPr>
          <w:rFonts w:ascii="Arial" w:hAnsi="Arial"/>
          <w:i/>
          <w:spacing w:val="-5"/>
          <w:sz w:val="22"/>
          <w:vertAlign w:val="baseline"/>
        </w:rPr>
        <w:t> </w:t>
      </w:r>
      <w:r>
        <w:rPr>
          <w:rFonts w:ascii="Arial" w:hAnsi="Arial"/>
          <w:i/>
          <w:sz w:val="22"/>
          <w:vertAlign w:val="baseline"/>
        </w:rPr>
        <w:t>debido</w:t>
      </w:r>
      <w:r>
        <w:rPr>
          <w:rFonts w:ascii="Arial" w:hAnsi="Arial"/>
          <w:i/>
          <w:spacing w:val="-3"/>
          <w:sz w:val="22"/>
          <w:vertAlign w:val="baseline"/>
        </w:rPr>
        <w:t> </w:t>
      </w:r>
      <w:r>
        <w:rPr>
          <w:rFonts w:ascii="Arial" w:hAnsi="Arial"/>
          <w:i/>
          <w:sz w:val="22"/>
          <w:vertAlign w:val="baseline"/>
        </w:rPr>
        <w:t>a</w:t>
      </w:r>
      <w:r>
        <w:rPr>
          <w:rFonts w:ascii="Arial" w:hAnsi="Arial"/>
          <w:i/>
          <w:spacing w:val="-5"/>
          <w:sz w:val="22"/>
          <w:vertAlign w:val="baseline"/>
        </w:rPr>
        <w:t> </w:t>
      </w:r>
      <w:r>
        <w:rPr>
          <w:rFonts w:ascii="Arial" w:hAnsi="Arial"/>
          <w:i/>
          <w:sz w:val="22"/>
          <w:vertAlign w:val="baseline"/>
        </w:rPr>
        <w:t>la</w:t>
      </w:r>
      <w:r>
        <w:rPr>
          <w:rFonts w:ascii="Arial" w:hAnsi="Arial"/>
          <w:i/>
          <w:spacing w:val="-3"/>
          <w:sz w:val="22"/>
          <w:vertAlign w:val="baseline"/>
        </w:rPr>
        <w:t> </w:t>
      </w:r>
      <w:r>
        <w:rPr>
          <w:rFonts w:ascii="Arial" w:hAnsi="Arial"/>
          <w:i/>
          <w:sz w:val="22"/>
          <w:vertAlign w:val="baseline"/>
        </w:rPr>
        <w:t>intensificación</w:t>
      </w:r>
      <w:r>
        <w:rPr>
          <w:rFonts w:ascii="Arial" w:hAnsi="Arial"/>
          <w:i/>
          <w:spacing w:val="-3"/>
          <w:sz w:val="22"/>
          <w:vertAlign w:val="baseline"/>
        </w:rPr>
        <w:t> </w:t>
      </w:r>
      <w:r>
        <w:rPr>
          <w:rFonts w:ascii="Arial" w:hAnsi="Arial"/>
          <w:i/>
          <w:sz w:val="22"/>
          <w:vertAlign w:val="baseline"/>
        </w:rPr>
        <w:t>de</w:t>
      </w:r>
      <w:r>
        <w:rPr>
          <w:rFonts w:ascii="Arial" w:hAnsi="Arial"/>
          <w:i/>
          <w:spacing w:val="-5"/>
          <w:sz w:val="22"/>
          <w:vertAlign w:val="baseline"/>
        </w:rPr>
        <w:t> </w:t>
      </w:r>
      <w:r>
        <w:rPr>
          <w:rFonts w:ascii="Arial" w:hAnsi="Arial"/>
          <w:i/>
          <w:sz w:val="22"/>
          <w:vertAlign w:val="baseline"/>
        </w:rPr>
        <w:t>controles</w:t>
      </w:r>
      <w:r>
        <w:rPr>
          <w:sz w:val="22"/>
          <w:vertAlign w:val="baseline"/>
        </w:rPr>
        <w:t>”.</w:t>
      </w:r>
    </w:p>
    <w:p>
      <w:pPr>
        <w:pStyle w:val="ListParagraph"/>
        <w:numPr>
          <w:ilvl w:val="0"/>
          <w:numId w:val="2"/>
        </w:numPr>
        <w:tabs>
          <w:tab w:pos="1416" w:val="left" w:leader="none"/>
          <w:tab w:pos="1420" w:val="left" w:leader="none"/>
        </w:tabs>
        <w:spacing w:line="240" w:lineRule="auto" w:before="0" w:after="0"/>
        <w:ind w:left="1420" w:right="979" w:hanging="852"/>
        <w:jc w:val="both"/>
        <w:rPr>
          <w:sz w:val="22"/>
        </w:rPr>
      </w:pPr>
      <w:r>
        <w:rPr>
          <w:sz w:val="22"/>
        </w:rPr>
        <w:t>De</w:t>
      </w:r>
      <w:r>
        <w:rPr>
          <w:spacing w:val="-3"/>
          <w:sz w:val="22"/>
        </w:rPr>
        <w:t> </w:t>
      </w:r>
      <w:r>
        <w:rPr>
          <w:sz w:val="22"/>
        </w:rPr>
        <w:t>lo</w:t>
      </w:r>
      <w:r>
        <w:rPr>
          <w:spacing w:val="-3"/>
          <w:sz w:val="22"/>
        </w:rPr>
        <w:t> </w:t>
      </w:r>
      <w:r>
        <w:rPr>
          <w:sz w:val="22"/>
        </w:rPr>
        <w:t>anterior</w:t>
      </w:r>
      <w:r>
        <w:rPr>
          <w:spacing w:val="-4"/>
          <w:sz w:val="22"/>
        </w:rPr>
        <w:t> </w:t>
      </w:r>
      <w:r>
        <w:rPr>
          <w:sz w:val="22"/>
        </w:rPr>
        <w:t>se</w:t>
      </w:r>
      <w:r>
        <w:rPr>
          <w:spacing w:val="-5"/>
          <w:sz w:val="22"/>
        </w:rPr>
        <w:t> </w:t>
      </w:r>
      <w:r>
        <w:rPr>
          <w:sz w:val="22"/>
        </w:rPr>
        <w:t>concluye</w:t>
      </w:r>
      <w:r>
        <w:rPr>
          <w:spacing w:val="-3"/>
          <w:sz w:val="22"/>
        </w:rPr>
        <w:t> </w:t>
      </w:r>
      <w:r>
        <w:rPr>
          <w:sz w:val="22"/>
        </w:rPr>
        <w:t>que</w:t>
      </w:r>
      <w:r>
        <w:rPr>
          <w:spacing w:val="-5"/>
          <w:sz w:val="22"/>
        </w:rPr>
        <w:t> </w:t>
      </w:r>
      <w:r>
        <w:rPr>
          <w:sz w:val="22"/>
        </w:rPr>
        <w:t>la</w:t>
      </w:r>
      <w:r>
        <w:rPr>
          <w:spacing w:val="-3"/>
          <w:sz w:val="22"/>
        </w:rPr>
        <w:t> </w:t>
      </w:r>
      <w:r>
        <w:rPr>
          <w:sz w:val="22"/>
        </w:rPr>
        <w:t>implementación</w:t>
      </w:r>
      <w:r>
        <w:rPr>
          <w:spacing w:val="-5"/>
          <w:sz w:val="22"/>
        </w:rPr>
        <w:t> </w:t>
      </w:r>
      <w:r>
        <w:rPr>
          <w:sz w:val="22"/>
        </w:rPr>
        <w:t>de</w:t>
      </w:r>
      <w:r>
        <w:rPr>
          <w:spacing w:val="-3"/>
          <w:sz w:val="22"/>
        </w:rPr>
        <w:t> </w:t>
      </w:r>
      <w:r>
        <w:rPr>
          <w:sz w:val="22"/>
        </w:rPr>
        <w:t>la</w:t>
      </w:r>
      <w:r>
        <w:rPr>
          <w:spacing w:val="-5"/>
          <w:sz w:val="22"/>
        </w:rPr>
        <w:t> </w:t>
      </w:r>
      <w:r>
        <w:rPr>
          <w:sz w:val="22"/>
        </w:rPr>
        <w:t>medida</w:t>
      </w:r>
      <w:r>
        <w:rPr>
          <w:spacing w:val="-5"/>
          <w:sz w:val="22"/>
        </w:rPr>
        <w:t> </w:t>
      </w:r>
      <w:r>
        <w:rPr>
          <w:sz w:val="22"/>
        </w:rPr>
        <w:t>ha</w:t>
      </w:r>
      <w:r>
        <w:rPr>
          <w:spacing w:val="-3"/>
          <w:sz w:val="22"/>
        </w:rPr>
        <w:t> </w:t>
      </w:r>
      <w:r>
        <w:rPr>
          <w:sz w:val="22"/>
        </w:rPr>
        <w:t>producido</w:t>
      </w:r>
      <w:r>
        <w:rPr>
          <w:spacing w:val="-3"/>
          <w:sz w:val="22"/>
        </w:rPr>
        <w:t> </w:t>
      </w:r>
      <w:r>
        <w:rPr>
          <w:sz w:val="22"/>
        </w:rPr>
        <w:t>efectos operativos</w:t>
      </w:r>
      <w:r>
        <w:rPr>
          <w:spacing w:val="-10"/>
          <w:sz w:val="22"/>
        </w:rPr>
        <w:t> </w:t>
      </w:r>
      <w:r>
        <w:rPr>
          <w:sz w:val="22"/>
        </w:rPr>
        <w:t>asociados</w:t>
      </w:r>
      <w:r>
        <w:rPr>
          <w:spacing w:val="-10"/>
          <w:sz w:val="22"/>
        </w:rPr>
        <w:t> </w:t>
      </w:r>
      <w:r>
        <w:rPr>
          <w:sz w:val="22"/>
        </w:rPr>
        <w:t>a</w:t>
      </w:r>
      <w:r>
        <w:rPr>
          <w:spacing w:val="-10"/>
          <w:sz w:val="22"/>
        </w:rPr>
        <w:t> </w:t>
      </w:r>
      <w:r>
        <w:rPr>
          <w:sz w:val="22"/>
        </w:rPr>
        <w:t>la</w:t>
      </w:r>
      <w:r>
        <w:rPr>
          <w:spacing w:val="-7"/>
          <w:sz w:val="22"/>
        </w:rPr>
        <w:t> </w:t>
      </w:r>
      <w:r>
        <w:rPr>
          <w:sz w:val="22"/>
        </w:rPr>
        <w:t>concentración</w:t>
      </w:r>
      <w:r>
        <w:rPr>
          <w:spacing w:val="-10"/>
          <w:sz w:val="22"/>
        </w:rPr>
        <w:t> </w:t>
      </w:r>
      <w:r>
        <w:rPr>
          <w:sz w:val="22"/>
        </w:rPr>
        <w:t>del</w:t>
      </w:r>
      <w:r>
        <w:rPr>
          <w:spacing w:val="-8"/>
          <w:sz w:val="22"/>
        </w:rPr>
        <w:t> </w:t>
      </w:r>
      <w:r>
        <w:rPr>
          <w:sz w:val="22"/>
        </w:rPr>
        <w:t>control</w:t>
      </w:r>
      <w:r>
        <w:rPr>
          <w:spacing w:val="-8"/>
          <w:sz w:val="22"/>
        </w:rPr>
        <w:t> </w:t>
      </w:r>
      <w:r>
        <w:rPr>
          <w:sz w:val="22"/>
        </w:rPr>
        <w:t>en</w:t>
      </w:r>
      <w:r>
        <w:rPr>
          <w:spacing w:val="-8"/>
          <w:sz w:val="22"/>
        </w:rPr>
        <w:t> </w:t>
      </w:r>
      <w:r>
        <w:rPr>
          <w:sz w:val="22"/>
        </w:rPr>
        <w:t>un</w:t>
      </w:r>
      <w:r>
        <w:rPr>
          <w:spacing w:val="-10"/>
          <w:sz w:val="22"/>
        </w:rPr>
        <w:t> </w:t>
      </w:r>
      <w:r>
        <w:rPr>
          <w:sz w:val="22"/>
        </w:rPr>
        <w:t>único</w:t>
      </w:r>
      <w:r>
        <w:rPr>
          <w:spacing w:val="-10"/>
          <w:sz w:val="22"/>
        </w:rPr>
        <w:t> </w:t>
      </w:r>
      <w:r>
        <w:rPr>
          <w:sz w:val="22"/>
        </w:rPr>
        <w:t>punto</w:t>
      </w:r>
      <w:r>
        <w:rPr>
          <w:spacing w:val="-9"/>
          <w:sz w:val="22"/>
        </w:rPr>
        <w:t> </w:t>
      </w:r>
      <w:r>
        <w:rPr>
          <w:sz w:val="22"/>
        </w:rPr>
        <w:t>de</w:t>
      </w:r>
      <w:r>
        <w:rPr>
          <w:spacing w:val="-10"/>
          <w:sz w:val="22"/>
        </w:rPr>
        <w:t> </w:t>
      </w:r>
      <w:r>
        <w:rPr>
          <w:sz w:val="22"/>
        </w:rPr>
        <w:t>ingreso,</w:t>
      </w:r>
      <w:r>
        <w:rPr>
          <w:spacing w:val="-8"/>
          <w:sz w:val="22"/>
        </w:rPr>
        <w:t> </w:t>
      </w:r>
      <w:r>
        <w:rPr>
          <w:sz w:val="22"/>
        </w:rPr>
        <w:t>sin que ello permita evidenciar, de manera verificable, una mejora en la capacidad de control sobre las actividades ilícitas que se pretende mitigar, lo cual limita su valoración en términos de idoneidad.</w:t>
      </w:r>
    </w:p>
    <w:p>
      <w:pPr>
        <w:pStyle w:val="BodyText"/>
        <w:spacing w:before="1"/>
      </w:pPr>
    </w:p>
    <w:p>
      <w:pPr>
        <w:pStyle w:val="ListParagraph"/>
        <w:numPr>
          <w:ilvl w:val="0"/>
          <w:numId w:val="2"/>
        </w:numPr>
        <w:tabs>
          <w:tab w:pos="1416" w:val="left" w:leader="none"/>
          <w:tab w:pos="1420" w:val="left" w:leader="none"/>
        </w:tabs>
        <w:spacing w:line="240" w:lineRule="auto" w:before="0" w:after="0"/>
        <w:ind w:left="1420" w:right="979" w:hanging="852"/>
        <w:jc w:val="both"/>
        <w:rPr>
          <w:sz w:val="22"/>
        </w:rPr>
      </w:pPr>
      <w:r>
        <w:rPr>
          <w:sz w:val="22"/>
        </w:rPr>
        <w:t>Asimismo, resulta relevante considerar que, conforme al marco normativo andino vigente,</w:t>
      </w:r>
      <w:r>
        <w:rPr>
          <w:spacing w:val="20"/>
          <w:sz w:val="22"/>
        </w:rPr>
        <w:t> </w:t>
      </w:r>
      <w:r>
        <w:rPr>
          <w:sz w:val="22"/>
        </w:rPr>
        <w:t>en</w:t>
      </w:r>
      <w:r>
        <w:rPr>
          <w:spacing w:val="21"/>
          <w:sz w:val="22"/>
        </w:rPr>
        <w:t> </w:t>
      </w:r>
      <w:r>
        <w:rPr>
          <w:sz w:val="22"/>
        </w:rPr>
        <w:t>particular</w:t>
      </w:r>
      <w:r>
        <w:rPr>
          <w:spacing w:val="20"/>
          <w:sz w:val="22"/>
        </w:rPr>
        <w:t> </w:t>
      </w:r>
      <w:r>
        <w:rPr>
          <w:sz w:val="22"/>
        </w:rPr>
        <w:t>la</w:t>
      </w:r>
      <w:r>
        <w:rPr>
          <w:spacing w:val="19"/>
          <w:sz w:val="22"/>
        </w:rPr>
        <w:t> </w:t>
      </w:r>
      <w:r>
        <w:rPr>
          <w:sz w:val="22"/>
        </w:rPr>
        <w:t>Decisión</w:t>
      </w:r>
      <w:r>
        <w:rPr>
          <w:spacing w:val="21"/>
          <w:sz w:val="22"/>
        </w:rPr>
        <w:t> </w:t>
      </w:r>
      <w:r>
        <w:rPr>
          <w:sz w:val="22"/>
        </w:rPr>
        <w:t>922</w:t>
      </w:r>
      <w:r>
        <w:rPr>
          <w:spacing w:val="24"/>
          <w:sz w:val="22"/>
        </w:rPr>
        <w:t> </w:t>
      </w:r>
      <w:r>
        <w:rPr>
          <w:sz w:val="22"/>
        </w:rPr>
        <w:t>-</w:t>
      </w:r>
      <w:r>
        <w:rPr>
          <w:spacing w:val="20"/>
          <w:sz w:val="22"/>
        </w:rPr>
        <w:t> </w:t>
      </w:r>
      <w:r>
        <w:rPr>
          <w:sz w:val="22"/>
        </w:rPr>
        <w:t>Acciones</w:t>
      </w:r>
      <w:r>
        <w:rPr>
          <w:spacing w:val="19"/>
          <w:sz w:val="22"/>
        </w:rPr>
        <w:t> </w:t>
      </w:r>
      <w:r>
        <w:rPr>
          <w:sz w:val="22"/>
        </w:rPr>
        <w:t>conjuntas</w:t>
      </w:r>
      <w:r>
        <w:rPr>
          <w:spacing w:val="19"/>
          <w:sz w:val="22"/>
        </w:rPr>
        <w:t> </w:t>
      </w:r>
      <w:r>
        <w:rPr>
          <w:sz w:val="22"/>
        </w:rPr>
        <w:t>urgentes</w:t>
      </w:r>
      <w:r>
        <w:rPr>
          <w:spacing w:val="19"/>
          <w:sz w:val="22"/>
        </w:rPr>
        <w:t> </w:t>
      </w:r>
      <w:r>
        <w:rPr>
          <w:sz w:val="22"/>
        </w:rPr>
        <w:t>para</w:t>
      </w:r>
      <w:r>
        <w:rPr>
          <w:spacing w:val="21"/>
          <w:sz w:val="22"/>
        </w:rPr>
        <w:t> </w:t>
      </w:r>
      <w:r>
        <w:rPr>
          <w:sz w:val="22"/>
        </w:rPr>
        <w:t>la</w:t>
      </w:r>
      <w:r>
        <w:rPr>
          <w:spacing w:val="21"/>
          <w:sz w:val="22"/>
        </w:rPr>
        <w:t> </w:t>
      </w:r>
      <w:r>
        <w:rPr>
          <w:sz w:val="22"/>
        </w:rPr>
        <w:t>lucha</w:t>
      </w:r>
    </w:p>
    <w:p>
      <w:pPr>
        <w:pStyle w:val="BodyText"/>
        <w:spacing w:before="64"/>
        <w:rPr>
          <w:sz w:val="20"/>
        </w:rPr>
      </w:pPr>
      <w:r>
        <w:rPr>
          <w:sz w:val="20"/>
        </w:rPr>
        <mc:AlternateContent>
          <mc:Choice Requires="wps">
            <w:drawing>
              <wp:anchor distT="0" distB="0" distL="0" distR="0" allowOverlap="1" layoutInCell="1" locked="0" behindDoc="1" simplePos="0" relativeHeight="487611904">
                <wp:simplePos x="0" y="0"/>
                <wp:positionH relativeFrom="page">
                  <wp:posOffset>990904</wp:posOffset>
                </wp:positionH>
                <wp:positionV relativeFrom="paragraph">
                  <wp:posOffset>202054</wp:posOffset>
                </wp:positionV>
                <wp:extent cx="1829435" cy="7620"/>
                <wp:effectExtent l="0" t="0" r="0" b="0"/>
                <wp:wrapTopAndBottom/>
                <wp:docPr id="264" name="Graphic 264"/>
                <wp:cNvGraphicFramePr>
                  <a:graphicFrameLocks/>
                </wp:cNvGraphicFramePr>
                <a:graphic>
                  <a:graphicData uri="http://schemas.microsoft.com/office/word/2010/wordprocessingShape">
                    <wps:wsp>
                      <wps:cNvPr id="264" name="Graphic 264"/>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5.909805pt;width:144.020pt;height:.599980pt;mso-position-horizontal-relative:page;mso-position-vertical-relative:paragraph;z-index:-15704576;mso-wrap-distance-left:0;mso-wrap-distance-right:0" id="docshape199" filled="true" fillcolor="#000000" stroked="false">
                <v:fill type="solid"/>
                <w10:wrap type="topAndBottom"/>
              </v:rect>
            </w:pict>
          </mc:Fallback>
        </mc:AlternateContent>
      </w:r>
    </w:p>
    <w:p>
      <w:pPr>
        <w:spacing w:line="210" w:lineRule="exact" w:before="86"/>
        <w:ind w:left="568" w:right="0" w:firstLine="0"/>
        <w:jc w:val="left"/>
        <w:rPr>
          <w:sz w:val="18"/>
        </w:rPr>
      </w:pPr>
      <w:bookmarkStart w:name="_bookmark37" w:id="38"/>
      <w:bookmarkEnd w:id="38"/>
      <w:r>
        <w:rPr/>
      </w:r>
      <w:r>
        <w:rPr>
          <w:position w:val="6"/>
          <w:sz w:val="12"/>
        </w:rPr>
        <w:t>38</w:t>
      </w:r>
      <w:r>
        <w:rPr>
          <w:sz w:val="18"/>
        </w:rPr>
        <w:t>Folio</w:t>
      </w:r>
      <w:r>
        <w:rPr>
          <w:spacing w:val="-5"/>
          <w:sz w:val="18"/>
        </w:rPr>
        <w:t> </w:t>
      </w:r>
      <w:r>
        <w:rPr>
          <w:sz w:val="18"/>
        </w:rPr>
        <w:t>531</w:t>
      </w:r>
      <w:r>
        <w:rPr>
          <w:spacing w:val="-4"/>
          <w:sz w:val="18"/>
        </w:rPr>
        <w:t> </w:t>
      </w:r>
      <w:r>
        <w:rPr>
          <w:sz w:val="18"/>
        </w:rPr>
        <w:t>del</w:t>
      </w:r>
      <w:r>
        <w:rPr>
          <w:spacing w:val="-2"/>
          <w:sz w:val="18"/>
        </w:rPr>
        <w:t> </w:t>
      </w:r>
      <w:r>
        <w:rPr>
          <w:sz w:val="18"/>
        </w:rPr>
        <w:t>expediente</w:t>
      </w:r>
      <w:r>
        <w:rPr>
          <w:spacing w:val="-2"/>
          <w:sz w:val="18"/>
        </w:rPr>
        <w:t> DGCOM/REST/001/2026.</w:t>
      </w:r>
    </w:p>
    <w:p>
      <w:pPr>
        <w:spacing w:line="210" w:lineRule="exact" w:before="0"/>
        <w:ind w:left="568" w:right="0" w:firstLine="0"/>
        <w:jc w:val="left"/>
        <w:rPr>
          <w:sz w:val="18"/>
        </w:rPr>
      </w:pPr>
      <w:bookmarkStart w:name="_bookmark38" w:id="39"/>
      <w:bookmarkEnd w:id="39"/>
      <w:r>
        <w:rPr/>
      </w:r>
      <w:r>
        <w:rPr>
          <w:position w:val="6"/>
          <w:sz w:val="12"/>
        </w:rPr>
        <w:t>39</w:t>
      </w:r>
      <w:r>
        <w:rPr>
          <w:spacing w:val="14"/>
          <w:position w:val="6"/>
          <w:sz w:val="12"/>
        </w:rPr>
        <w:t> </w:t>
      </w:r>
      <w:r>
        <w:rPr>
          <w:sz w:val="18"/>
        </w:rPr>
        <w:t>Véase</w:t>
      </w:r>
      <w:r>
        <w:rPr>
          <w:spacing w:val="-4"/>
          <w:sz w:val="18"/>
        </w:rPr>
        <w:t> </w:t>
      </w:r>
      <w:r>
        <w:rPr>
          <w:sz w:val="18"/>
        </w:rPr>
        <w:t>Folios</w:t>
      </w:r>
      <w:r>
        <w:rPr>
          <w:spacing w:val="-1"/>
          <w:sz w:val="18"/>
        </w:rPr>
        <w:t> </w:t>
      </w:r>
      <w:r>
        <w:rPr>
          <w:sz w:val="18"/>
        </w:rPr>
        <w:t>804-804</w:t>
      </w:r>
      <w:r>
        <w:rPr>
          <w:spacing w:val="-5"/>
          <w:sz w:val="18"/>
        </w:rPr>
        <w:t> </w:t>
      </w:r>
      <w:r>
        <w:rPr>
          <w:sz w:val="18"/>
        </w:rPr>
        <w:t>del</w:t>
      </w:r>
      <w:r>
        <w:rPr>
          <w:spacing w:val="-2"/>
          <w:sz w:val="18"/>
        </w:rPr>
        <w:t> </w:t>
      </w:r>
      <w:r>
        <w:rPr>
          <w:sz w:val="18"/>
        </w:rPr>
        <w:t>expediente</w:t>
      </w:r>
      <w:r>
        <w:rPr>
          <w:spacing w:val="1"/>
          <w:sz w:val="18"/>
        </w:rPr>
        <w:t> </w:t>
      </w:r>
      <w:r>
        <w:rPr>
          <w:spacing w:val="-2"/>
          <w:sz w:val="18"/>
        </w:rPr>
        <w:t>DGCOM/REST/001/2026.</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265" name="Group 265"/>
                <wp:cNvGraphicFramePr>
                  <a:graphicFrameLocks/>
                </wp:cNvGraphicFramePr>
                <a:graphic>
                  <a:graphicData uri="http://schemas.microsoft.com/office/word/2010/wordprocessingGroup">
                    <wpg:wgp>
                      <wpg:cNvPr id="265" name="Group 265"/>
                      <wpg:cNvGrpSpPr/>
                      <wpg:grpSpPr>
                        <a:xfrm>
                          <a:off x="0" y="0"/>
                          <a:ext cx="6131560" cy="9525"/>
                          <a:chExt cx="6131560" cy="9525"/>
                        </a:xfrm>
                      </wpg:grpSpPr>
                      <wps:wsp>
                        <wps:cNvPr id="266" name="Graphic 266"/>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00"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780" w:left="992" w:right="283"/>
        </w:sectPr>
      </w:pPr>
    </w:p>
    <w:p>
      <w:pPr>
        <w:pStyle w:val="BodyText"/>
        <w:spacing w:before="176"/>
      </w:pPr>
    </w:p>
    <w:p>
      <w:pPr>
        <w:pStyle w:val="BodyText"/>
        <w:ind w:left="1420" w:right="977"/>
        <w:jc w:val="both"/>
      </w:pPr>
      <w:r>
        <w:rPr/>
        <w:t>contra</w:t>
      </w:r>
      <w:r>
        <w:rPr>
          <w:spacing w:val="-6"/>
        </w:rPr>
        <w:t> </w:t>
      </w:r>
      <w:r>
        <w:rPr/>
        <w:t>la</w:t>
      </w:r>
      <w:r>
        <w:rPr>
          <w:spacing w:val="-6"/>
        </w:rPr>
        <w:t> </w:t>
      </w:r>
      <w:r>
        <w:rPr/>
        <w:t>delincuencia</w:t>
      </w:r>
      <w:r>
        <w:rPr>
          <w:spacing w:val="-4"/>
        </w:rPr>
        <w:t> </w:t>
      </w:r>
      <w:r>
        <w:rPr/>
        <w:t>organizada</w:t>
      </w:r>
      <w:r>
        <w:rPr>
          <w:spacing w:val="-4"/>
        </w:rPr>
        <w:t> </w:t>
      </w:r>
      <w:r>
        <w:rPr/>
        <w:t>transnacional,</w:t>
      </w:r>
      <w:r>
        <w:rPr>
          <w:spacing w:val="-5"/>
        </w:rPr>
        <w:t> </w:t>
      </w:r>
      <w:r>
        <w:rPr/>
        <w:t>las</w:t>
      </w:r>
      <w:r>
        <w:rPr>
          <w:spacing w:val="-4"/>
        </w:rPr>
        <w:t> </w:t>
      </w:r>
      <w:r>
        <w:rPr/>
        <w:t>acciones</w:t>
      </w:r>
      <w:r>
        <w:rPr>
          <w:spacing w:val="-4"/>
        </w:rPr>
        <w:t> </w:t>
      </w:r>
      <w:r>
        <w:rPr/>
        <w:t>destinadas</w:t>
      </w:r>
      <w:r>
        <w:rPr>
          <w:spacing w:val="-8"/>
        </w:rPr>
        <w:t> </w:t>
      </w:r>
      <w:r>
        <w:rPr/>
        <w:t>a</w:t>
      </w:r>
      <w:r>
        <w:rPr>
          <w:spacing w:val="-4"/>
        </w:rPr>
        <w:t> </w:t>
      </w:r>
      <w:r>
        <w:rPr/>
        <w:t>enfrentar la delincuencia organizada transnacional en zonas de frontera se estructuran sobre un</w:t>
      </w:r>
      <w:r>
        <w:rPr>
          <w:spacing w:val="-8"/>
        </w:rPr>
        <w:t> </w:t>
      </w:r>
      <w:r>
        <w:rPr/>
        <w:t>enfoque</w:t>
      </w:r>
      <w:r>
        <w:rPr>
          <w:spacing w:val="-8"/>
        </w:rPr>
        <w:t> </w:t>
      </w:r>
      <w:r>
        <w:rPr/>
        <w:t>de</w:t>
      </w:r>
      <w:r>
        <w:rPr>
          <w:spacing w:val="-10"/>
        </w:rPr>
        <w:t> </w:t>
      </w:r>
      <w:r>
        <w:rPr/>
        <w:t>cooperación</w:t>
      </w:r>
      <w:r>
        <w:rPr>
          <w:spacing w:val="-8"/>
        </w:rPr>
        <w:t> </w:t>
      </w:r>
      <w:r>
        <w:rPr/>
        <w:t>y</w:t>
      </w:r>
      <w:r>
        <w:rPr>
          <w:spacing w:val="-7"/>
        </w:rPr>
        <w:t> </w:t>
      </w:r>
      <w:r>
        <w:rPr/>
        <w:t>coordinación</w:t>
      </w:r>
      <w:r>
        <w:rPr>
          <w:spacing w:val="-8"/>
        </w:rPr>
        <w:t> </w:t>
      </w:r>
      <w:r>
        <w:rPr/>
        <w:t>entre</w:t>
      </w:r>
      <w:r>
        <w:rPr>
          <w:spacing w:val="-10"/>
        </w:rPr>
        <w:t> </w:t>
      </w:r>
      <w:r>
        <w:rPr/>
        <w:t>los</w:t>
      </w:r>
      <w:r>
        <w:rPr>
          <w:spacing w:val="-7"/>
        </w:rPr>
        <w:t> </w:t>
      </w:r>
      <w:r>
        <w:rPr/>
        <w:t>Países</w:t>
      </w:r>
      <w:r>
        <w:rPr>
          <w:spacing w:val="-9"/>
        </w:rPr>
        <w:t> </w:t>
      </w:r>
      <w:r>
        <w:rPr/>
        <w:t>Miembros,</w:t>
      </w:r>
      <w:r>
        <w:rPr>
          <w:spacing w:val="-6"/>
        </w:rPr>
        <w:t> </w:t>
      </w:r>
      <w:r>
        <w:rPr/>
        <w:t>que</w:t>
      </w:r>
      <w:r>
        <w:rPr>
          <w:spacing w:val="-7"/>
        </w:rPr>
        <w:t> </w:t>
      </w:r>
      <w:r>
        <w:rPr/>
        <w:t>reconoce la naturaleza compartida de dichos espacios. En este sentido, la referida Decisión promueve el fortalecimiento de los puestos de control fronterizo, el desarrollo de operaciones</w:t>
      </w:r>
      <w:r>
        <w:rPr>
          <w:spacing w:val="-8"/>
        </w:rPr>
        <w:t> </w:t>
      </w:r>
      <w:r>
        <w:rPr/>
        <w:t>conjuntas</w:t>
      </w:r>
      <w:r>
        <w:rPr>
          <w:spacing w:val="-8"/>
        </w:rPr>
        <w:t> </w:t>
      </w:r>
      <w:r>
        <w:rPr/>
        <w:t>entre</w:t>
      </w:r>
      <w:r>
        <w:rPr>
          <w:spacing w:val="-8"/>
        </w:rPr>
        <w:t> </w:t>
      </w:r>
      <w:r>
        <w:rPr/>
        <w:t>autoridades</w:t>
      </w:r>
      <w:r>
        <w:rPr>
          <w:spacing w:val="-8"/>
        </w:rPr>
        <w:t> </w:t>
      </w:r>
      <w:r>
        <w:rPr/>
        <w:t>nacionales,</w:t>
      </w:r>
      <w:r>
        <w:rPr>
          <w:spacing w:val="-7"/>
        </w:rPr>
        <w:t> </w:t>
      </w:r>
      <w:r>
        <w:rPr/>
        <w:t>el</w:t>
      </w:r>
      <w:r>
        <w:rPr>
          <w:spacing w:val="-9"/>
        </w:rPr>
        <w:t> </w:t>
      </w:r>
      <w:r>
        <w:rPr/>
        <w:t>intercambio</w:t>
      </w:r>
      <w:r>
        <w:rPr>
          <w:spacing w:val="-8"/>
        </w:rPr>
        <w:t> </w:t>
      </w:r>
      <w:r>
        <w:rPr/>
        <w:t>de</w:t>
      </w:r>
      <w:r>
        <w:rPr>
          <w:spacing w:val="-9"/>
        </w:rPr>
        <w:t> </w:t>
      </w:r>
      <w:r>
        <w:rPr/>
        <w:t>información</w:t>
      </w:r>
      <w:r>
        <w:rPr>
          <w:spacing w:val="-9"/>
        </w:rPr>
        <w:t> </w:t>
      </w:r>
      <w:r>
        <w:rPr/>
        <w:t>y la identificación, control y neutralización de pasos fronterizos no autorizados, todo ello en un esquema de actuación coordinada entre los Países Miembros.</w:t>
      </w:r>
    </w:p>
    <w:p>
      <w:pPr>
        <w:pStyle w:val="BodyText"/>
        <w:spacing w:before="1"/>
      </w:pPr>
    </w:p>
    <w:p>
      <w:pPr>
        <w:pStyle w:val="ListParagraph"/>
        <w:numPr>
          <w:ilvl w:val="0"/>
          <w:numId w:val="2"/>
        </w:numPr>
        <w:tabs>
          <w:tab w:pos="1416" w:val="left" w:leader="none"/>
        </w:tabs>
        <w:spacing w:line="252" w:lineRule="exact" w:before="0" w:after="0"/>
        <w:ind w:left="1416" w:right="0" w:hanging="848"/>
        <w:jc w:val="both"/>
        <w:rPr>
          <w:sz w:val="22"/>
        </w:rPr>
      </w:pPr>
      <w:r>
        <w:rPr>
          <w:sz w:val="22"/>
        </w:rPr>
        <w:t>En</w:t>
      </w:r>
      <w:r>
        <w:rPr>
          <w:spacing w:val="-11"/>
          <w:sz w:val="22"/>
        </w:rPr>
        <w:t> </w:t>
      </w:r>
      <w:r>
        <w:rPr>
          <w:sz w:val="22"/>
        </w:rPr>
        <w:t>ese</w:t>
      </w:r>
      <w:r>
        <w:rPr>
          <w:spacing w:val="-10"/>
          <w:sz w:val="22"/>
        </w:rPr>
        <w:t> </w:t>
      </w:r>
      <w:r>
        <w:rPr>
          <w:sz w:val="22"/>
        </w:rPr>
        <w:t>contexto,</w:t>
      </w:r>
      <w:r>
        <w:rPr>
          <w:spacing w:val="-6"/>
          <w:sz w:val="22"/>
        </w:rPr>
        <w:t> </w:t>
      </w:r>
      <w:r>
        <w:rPr>
          <w:sz w:val="22"/>
        </w:rPr>
        <w:t>el</w:t>
      </w:r>
      <w:r>
        <w:rPr>
          <w:spacing w:val="-12"/>
          <w:sz w:val="22"/>
        </w:rPr>
        <w:t> </w:t>
      </w:r>
      <w:r>
        <w:rPr>
          <w:sz w:val="22"/>
        </w:rPr>
        <w:t>fundamento</w:t>
      </w:r>
      <w:r>
        <w:rPr>
          <w:spacing w:val="-12"/>
          <w:sz w:val="22"/>
        </w:rPr>
        <w:t> </w:t>
      </w:r>
      <w:r>
        <w:rPr>
          <w:sz w:val="22"/>
        </w:rPr>
        <w:t>de</w:t>
      </w:r>
      <w:r>
        <w:rPr>
          <w:spacing w:val="-9"/>
          <w:sz w:val="22"/>
        </w:rPr>
        <w:t> </w:t>
      </w:r>
      <w:r>
        <w:rPr>
          <w:sz w:val="22"/>
        </w:rPr>
        <w:t>la</w:t>
      </w:r>
      <w:r>
        <w:rPr>
          <w:spacing w:val="-12"/>
          <w:sz w:val="22"/>
        </w:rPr>
        <w:t> </w:t>
      </w:r>
      <w:r>
        <w:rPr>
          <w:sz w:val="22"/>
        </w:rPr>
        <w:t>medida</w:t>
      </w:r>
      <w:r>
        <w:rPr>
          <w:spacing w:val="-9"/>
          <w:sz w:val="22"/>
        </w:rPr>
        <w:t> </w:t>
      </w:r>
      <w:r>
        <w:rPr>
          <w:sz w:val="22"/>
        </w:rPr>
        <w:t>adoptada</w:t>
      </w:r>
      <w:r>
        <w:rPr>
          <w:spacing w:val="-9"/>
          <w:sz w:val="22"/>
        </w:rPr>
        <w:t> </w:t>
      </w:r>
      <w:r>
        <w:rPr>
          <w:sz w:val="22"/>
        </w:rPr>
        <w:t>por</w:t>
      </w:r>
      <w:r>
        <w:rPr>
          <w:spacing w:val="-7"/>
          <w:sz w:val="22"/>
        </w:rPr>
        <w:t> </w:t>
      </w:r>
      <w:r>
        <w:rPr>
          <w:sz w:val="22"/>
        </w:rPr>
        <w:t>la</w:t>
      </w:r>
      <w:r>
        <w:rPr>
          <w:spacing w:val="-9"/>
          <w:sz w:val="22"/>
        </w:rPr>
        <w:t> </w:t>
      </w:r>
      <w:r>
        <w:rPr>
          <w:sz w:val="22"/>
        </w:rPr>
        <w:t>República</w:t>
      </w:r>
      <w:r>
        <w:rPr>
          <w:spacing w:val="-11"/>
          <w:sz w:val="22"/>
        </w:rPr>
        <w:t> </w:t>
      </w:r>
      <w:r>
        <w:rPr>
          <w:sz w:val="22"/>
        </w:rPr>
        <w:t>del</w:t>
      </w:r>
      <w:r>
        <w:rPr>
          <w:spacing w:val="-9"/>
          <w:sz w:val="22"/>
        </w:rPr>
        <w:t> </w:t>
      </w:r>
      <w:r>
        <w:rPr>
          <w:spacing w:val="-2"/>
          <w:sz w:val="22"/>
        </w:rPr>
        <w:t>Ecuador</w:t>
      </w:r>
    </w:p>
    <w:p>
      <w:pPr>
        <w:pStyle w:val="BodyText"/>
        <w:ind w:left="1420" w:right="976"/>
        <w:jc w:val="both"/>
      </w:pPr>
      <w:r>
        <w:rPr/>
        <w:t>—consistente en la canalización del comercio formal a un único punto de ingreso—no</w:t>
      </w:r>
      <w:r>
        <w:rPr>
          <w:spacing w:val="-14"/>
        </w:rPr>
        <w:t> </w:t>
      </w:r>
      <w:r>
        <w:rPr/>
        <w:t>se</w:t>
      </w:r>
      <w:r>
        <w:rPr>
          <w:spacing w:val="-14"/>
        </w:rPr>
        <w:t> </w:t>
      </w:r>
      <w:r>
        <w:rPr/>
        <w:t>alinea</w:t>
      </w:r>
      <w:r>
        <w:rPr>
          <w:spacing w:val="-14"/>
        </w:rPr>
        <w:t> </w:t>
      </w:r>
      <w:r>
        <w:rPr/>
        <w:t>con</w:t>
      </w:r>
      <w:r>
        <w:rPr>
          <w:spacing w:val="-14"/>
        </w:rPr>
        <w:t> </w:t>
      </w:r>
      <w:r>
        <w:rPr/>
        <w:t>los</w:t>
      </w:r>
      <w:r>
        <w:rPr>
          <w:spacing w:val="-13"/>
        </w:rPr>
        <w:t> </w:t>
      </w:r>
      <w:r>
        <w:rPr/>
        <w:t>compromisos</w:t>
      </w:r>
      <w:r>
        <w:rPr>
          <w:spacing w:val="-13"/>
        </w:rPr>
        <w:t> </w:t>
      </w:r>
      <w:r>
        <w:rPr/>
        <w:t>asumidos</w:t>
      </w:r>
      <w:r>
        <w:rPr>
          <w:spacing w:val="-13"/>
        </w:rPr>
        <w:t> </w:t>
      </w:r>
      <w:r>
        <w:rPr/>
        <w:t>en</w:t>
      </w:r>
      <w:r>
        <w:rPr>
          <w:spacing w:val="-14"/>
        </w:rPr>
        <w:t> </w:t>
      </w:r>
      <w:r>
        <w:rPr/>
        <w:t>la</w:t>
      </w:r>
      <w:r>
        <w:rPr>
          <w:spacing w:val="-16"/>
        </w:rPr>
        <w:t> </w:t>
      </w:r>
      <w:r>
        <w:rPr/>
        <w:t>referida</w:t>
      </w:r>
      <w:r>
        <w:rPr>
          <w:spacing w:val="-13"/>
        </w:rPr>
        <w:t> </w:t>
      </w:r>
      <w:r>
        <w:rPr/>
        <w:t>Decisión</w:t>
      </w:r>
      <w:r>
        <w:rPr>
          <w:spacing w:val="-14"/>
        </w:rPr>
        <w:t> </w:t>
      </w:r>
      <w:r>
        <w:rPr/>
        <w:t>922,</w:t>
      </w:r>
      <w:r>
        <w:rPr>
          <w:spacing w:val="-12"/>
        </w:rPr>
        <w:t> </w:t>
      </w:r>
      <w:r>
        <w:rPr/>
        <w:t>en</w:t>
      </w:r>
      <w:r>
        <w:rPr>
          <w:spacing w:val="-16"/>
        </w:rPr>
        <w:t> </w:t>
      </w:r>
      <w:r>
        <w:rPr/>
        <w:t>la</w:t>
      </w:r>
      <w:r>
        <w:rPr>
          <w:spacing w:val="-13"/>
        </w:rPr>
        <w:t> </w:t>
      </w:r>
      <w:r>
        <w:rPr/>
        <w:t>medida en que no refuerza los mecanismos de control existentes ni promueve la acción coordinada</w:t>
      </w:r>
      <w:r>
        <w:rPr>
          <w:spacing w:val="-2"/>
        </w:rPr>
        <w:t> </w:t>
      </w:r>
      <w:r>
        <w:rPr/>
        <w:t>con</w:t>
      </w:r>
      <w:r>
        <w:rPr>
          <w:spacing w:val="-2"/>
        </w:rPr>
        <w:t> </w:t>
      </w:r>
      <w:r>
        <w:rPr/>
        <w:t>el</w:t>
      </w:r>
      <w:r>
        <w:rPr>
          <w:spacing w:val="-2"/>
        </w:rPr>
        <w:t> </w:t>
      </w:r>
      <w:r>
        <w:rPr/>
        <w:t>País</w:t>
      </w:r>
      <w:r>
        <w:rPr>
          <w:spacing w:val="-4"/>
        </w:rPr>
        <w:t> </w:t>
      </w:r>
      <w:r>
        <w:rPr/>
        <w:t>Miembro</w:t>
      </w:r>
      <w:r>
        <w:rPr>
          <w:spacing w:val="-3"/>
        </w:rPr>
        <w:t> </w:t>
      </w:r>
      <w:r>
        <w:rPr/>
        <w:t>vecino,</w:t>
      </w:r>
      <w:r>
        <w:rPr>
          <w:spacing w:val="-3"/>
        </w:rPr>
        <w:t> </w:t>
      </w:r>
      <w:r>
        <w:rPr/>
        <w:t>sino</w:t>
      </w:r>
      <w:r>
        <w:rPr>
          <w:spacing w:val="-2"/>
        </w:rPr>
        <w:t> </w:t>
      </w:r>
      <w:r>
        <w:rPr/>
        <w:t>que</w:t>
      </w:r>
      <w:r>
        <w:rPr>
          <w:spacing w:val="-2"/>
        </w:rPr>
        <w:t> </w:t>
      </w:r>
      <w:r>
        <w:rPr/>
        <w:t>introduce</w:t>
      </w:r>
      <w:r>
        <w:rPr>
          <w:spacing w:val="-4"/>
        </w:rPr>
        <w:t> </w:t>
      </w:r>
      <w:r>
        <w:rPr/>
        <w:t>una</w:t>
      </w:r>
      <w:r>
        <w:rPr>
          <w:spacing w:val="-4"/>
        </w:rPr>
        <w:t> </w:t>
      </w:r>
      <w:r>
        <w:rPr/>
        <w:t>restricción</w:t>
      </w:r>
      <w:r>
        <w:rPr>
          <w:spacing w:val="-2"/>
        </w:rPr>
        <w:t> </w:t>
      </w:r>
      <w:r>
        <w:rPr/>
        <w:t>unilateral sobre</w:t>
      </w:r>
      <w:r>
        <w:rPr>
          <w:spacing w:val="-16"/>
        </w:rPr>
        <w:t> </w:t>
      </w:r>
      <w:r>
        <w:rPr/>
        <w:t>el</w:t>
      </w:r>
      <w:r>
        <w:rPr>
          <w:spacing w:val="-15"/>
        </w:rPr>
        <w:t> </w:t>
      </w:r>
      <w:r>
        <w:rPr/>
        <w:t>comercio</w:t>
      </w:r>
      <w:r>
        <w:rPr>
          <w:spacing w:val="-15"/>
        </w:rPr>
        <w:t> </w:t>
      </w:r>
      <w:r>
        <w:rPr/>
        <w:t>formal,</w:t>
      </w:r>
      <w:r>
        <w:rPr>
          <w:spacing w:val="-15"/>
        </w:rPr>
        <w:t> </w:t>
      </w:r>
      <w:r>
        <w:rPr/>
        <w:t>sin</w:t>
      </w:r>
      <w:r>
        <w:rPr>
          <w:spacing w:val="-15"/>
        </w:rPr>
        <w:t> </w:t>
      </w:r>
      <w:r>
        <w:rPr/>
        <w:t>incidir</w:t>
      </w:r>
      <w:r>
        <w:rPr>
          <w:spacing w:val="-14"/>
        </w:rPr>
        <w:t> </w:t>
      </w:r>
      <w:r>
        <w:rPr/>
        <w:t>directamente</w:t>
      </w:r>
      <w:r>
        <w:rPr>
          <w:spacing w:val="-16"/>
        </w:rPr>
        <w:t> </w:t>
      </w:r>
      <w:r>
        <w:rPr/>
        <w:t>sobre</w:t>
      </w:r>
      <w:r>
        <w:rPr>
          <w:spacing w:val="-14"/>
        </w:rPr>
        <w:t> </w:t>
      </w:r>
      <w:r>
        <w:rPr/>
        <w:t>las</w:t>
      </w:r>
      <w:r>
        <w:rPr>
          <w:spacing w:val="-14"/>
        </w:rPr>
        <w:t> </w:t>
      </w:r>
      <w:r>
        <w:rPr/>
        <w:t>dinámicas</w:t>
      </w:r>
      <w:r>
        <w:rPr>
          <w:spacing w:val="-14"/>
        </w:rPr>
        <w:t> </w:t>
      </w:r>
      <w:r>
        <w:rPr/>
        <w:t>de</w:t>
      </w:r>
      <w:r>
        <w:rPr>
          <w:spacing w:val="-16"/>
        </w:rPr>
        <w:t> </w:t>
      </w:r>
      <w:r>
        <w:rPr/>
        <w:t>las</w:t>
      </w:r>
      <w:r>
        <w:rPr>
          <w:spacing w:val="-13"/>
        </w:rPr>
        <w:t> </w:t>
      </w:r>
      <w:r>
        <w:rPr/>
        <w:t>actividad ilícitas que, según el propio diagnóstico, son desarrolladas principalmente a través de</w:t>
      </w:r>
      <w:r>
        <w:rPr>
          <w:spacing w:val="-7"/>
        </w:rPr>
        <w:t> </w:t>
      </w:r>
      <w:r>
        <w:rPr/>
        <w:t>pasos</w:t>
      </w:r>
      <w:r>
        <w:rPr>
          <w:spacing w:val="-6"/>
        </w:rPr>
        <w:t> </w:t>
      </w:r>
      <w:r>
        <w:rPr/>
        <w:t>fronterizos</w:t>
      </w:r>
      <w:r>
        <w:rPr>
          <w:spacing w:val="-6"/>
        </w:rPr>
        <w:t> </w:t>
      </w:r>
      <w:r>
        <w:rPr/>
        <w:t>no</w:t>
      </w:r>
      <w:r>
        <w:rPr>
          <w:spacing w:val="-9"/>
        </w:rPr>
        <w:t> </w:t>
      </w:r>
      <w:r>
        <w:rPr/>
        <w:t>autorizados.</w:t>
      </w:r>
      <w:r>
        <w:rPr>
          <w:spacing w:val="-5"/>
        </w:rPr>
        <w:t> </w:t>
      </w:r>
      <w:r>
        <w:rPr/>
        <w:t>Más</w:t>
      </w:r>
      <w:r>
        <w:rPr>
          <w:spacing w:val="-6"/>
        </w:rPr>
        <w:t> </w:t>
      </w:r>
      <w:r>
        <w:rPr/>
        <w:t>aún,</w:t>
      </w:r>
      <w:r>
        <w:rPr>
          <w:spacing w:val="-8"/>
        </w:rPr>
        <w:t> </w:t>
      </w:r>
      <w:r>
        <w:rPr/>
        <w:t>la</w:t>
      </w:r>
      <w:r>
        <w:rPr>
          <w:spacing w:val="-6"/>
        </w:rPr>
        <w:t> </w:t>
      </w:r>
      <w:r>
        <w:rPr/>
        <w:t>gestión</w:t>
      </w:r>
      <w:r>
        <w:rPr>
          <w:spacing w:val="-6"/>
        </w:rPr>
        <w:t> </w:t>
      </w:r>
      <w:r>
        <w:rPr/>
        <w:t>de</w:t>
      </w:r>
      <w:r>
        <w:rPr>
          <w:spacing w:val="-7"/>
        </w:rPr>
        <w:t> </w:t>
      </w:r>
      <w:r>
        <w:rPr/>
        <w:t>la</w:t>
      </w:r>
      <w:r>
        <w:rPr>
          <w:spacing w:val="-6"/>
        </w:rPr>
        <w:t> </w:t>
      </w:r>
      <w:r>
        <w:rPr/>
        <w:t>frontera,</w:t>
      </w:r>
      <w:r>
        <w:rPr>
          <w:spacing w:val="-8"/>
        </w:rPr>
        <w:t> </w:t>
      </w:r>
      <w:r>
        <w:rPr/>
        <w:t>por</w:t>
      </w:r>
      <w:r>
        <w:rPr>
          <w:spacing w:val="-8"/>
        </w:rPr>
        <w:t> </w:t>
      </w:r>
      <w:r>
        <w:rPr/>
        <w:t>su</w:t>
      </w:r>
      <w:r>
        <w:rPr>
          <w:spacing w:val="-6"/>
        </w:rPr>
        <w:t> </w:t>
      </w:r>
      <w:r>
        <w:rPr/>
        <w:t>propia naturaleza, implica la concurrencia de las autoridades de ambos países, por lo que el control efectivo de los flujos transfronterizos requiere necesariamente de mecanismos</w:t>
      </w:r>
      <w:r>
        <w:rPr>
          <w:spacing w:val="-5"/>
        </w:rPr>
        <w:t> </w:t>
      </w:r>
      <w:r>
        <w:rPr/>
        <w:t>de</w:t>
      </w:r>
      <w:r>
        <w:rPr>
          <w:spacing w:val="-3"/>
        </w:rPr>
        <w:t> </w:t>
      </w:r>
      <w:r>
        <w:rPr/>
        <w:t>cooperación</w:t>
      </w:r>
      <w:r>
        <w:rPr>
          <w:spacing w:val="-3"/>
        </w:rPr>
        <w:t> </w:t>
      </w:r>
      <w:r>
        <w:rPr/>
        <w:t>binacional</w:t>
      </w:r>
      <w:r>
        <w:rPr>
          <w:spacing w:val="-4"/>
        </w:rPr>
        <w:t> </w:t>
      </w:r>
      <w:r>
        <w:rPr/>
        <w:t>y</w:t>
      </w:r>
      <w:r>
        <w:rPr>
          <w:spacing w:val="-2"/>
        </w:rPr>
        <w:t> </w:t>
      </w:r>
      <w:r>
        <w:rPr/>
        <w:t>no</w:t>
      </w:r>
      <w:r>
        <w:rPr>
          <w:spacing w:val="-3"/>
        </w:rPr>
        <w:t> </w:t>
      </w:r>
      <w:r>
        <w:rPr/>
        <w:t>de</w:t>
      </w:r>
      <w:r>
        <w:rPr>
          <w:spacing w:val="-3"/>
        </w:rPr>
        <w:t> </w:t>
      </w:r>
      <w:r>
        <w:rPr/>
        <w:t>la</w:t>
      </w:r>
      <w:r>
        <w:rPr>
          <w:spacing w:val="-3"/>
        </w:rPr>
        <w:t> </w:t>
      </w:r>
      <w:r>
        <w:rPr/>
        <w:t>limitación</w:t>
      </w:r>
      <w:r>
        <w:rPr>
          <w:spacing w:val="-3"/>
        </w:rPr>
        <w:t> </w:t>
      </w:r>
      <w:r>
        <w:rPr/>
        <w:t>de</w:t>
      </w:r>
      <w:r>
        <w:rPr>
          <w:spacing w:val="-3"/>
        </w:rPr>
        <w:t> </w:t>
      </w:r>
      <w:r>
        <w:rPr/>
        <w:t>los</w:t>
      </w:r>
      <w:r>
        <w:rPr>
          <w:spacing w:val="-5"/>
        </w:rPr>
        <w:t> </w:t>
      </w:r>
      <w:r>
        <w:rPr/>
        <w:t>canales</w:t>
      </w:r>
      <w:r>
        <w:rPr>
          <w:spacing w:val="-3"/>
        </w:rPr>
        <w:t> </w:t>
      </w:r>
      <w:r>
        <w:rPr/>
        <w:t>formales de comercio.</w:t>
      </w:r>
    </w:p>
    <w:p>
      <w:pPr>
        <w:pStyle w:val="BodyText"/>
      </w:pPr>
    </w:p>
    <w:p>
      <w:pPr>
        <w:pStyle w:val="ListParagraph"/>
        <w:numPr>
          <w:ilvl w:val="0"/>
          <w:numId w:val="2"/>
        </w:numPr>
        <w:tabs>
          <w:tab w:pos="1416" w:val="left" w:leader="none"/>
          <w:tab w:pos="1420" w:val="left" w:leader="none"/>
        </w:tabs>
        <w:spacing w:line="240" w:lineRule="auto" w:before="0" w:after="0"/>
        <w:ind w:left="1420" w:right="976" w:hanging="852"/>
        <w:jc w:val="both"/>
        <w:rPr>
          <w:sz w:val="22"/>
        </w:rPr>
      </w:pPr>
      <w:r>
        <w:rPr>
          <w:sz w:val="22"/>
        </w:rPr>
        <w:t>En consecuencia, no se evidencia que la concentración del comercio en un único paso</w:t>
      </w:r>
      <w:r>
        <w:rPr>
          <w:spacing w:val="-7"/>
          <w:sz w:val="22"/>
        </w:rPr>
        <w:t> </w:t>
      </w:r>
      <w:r>
        <w:rPr>
          <w:sz w:val="22"/>
        </w:rPr>
        <w:t>constituya</w:t>
      </w:r>
      <w:r>
        <w:rPr>
          <w:spacing w:val="-10"/>
          <w:sz w:val="22"/>
        </w:rPr>
        <w:t> </w:t>
      </w:r>
      <w:r>
        <w:rPr>
          <w:sz w:val="22"/>
        </w:rPr>
        <w:t>un</w:t>
      </w:r>
      <w:r>
        <w:rPr>
          <w:spacing w:val="-10"/>
          <w:sz w:val="22"/>
        </w:rPr>
        <w:t> </w:t>
      </w:r>
      <w:r>
        <w:rPr>
          <w:sz w:val="22"/>
        </w:rPr>
        <w:t>medio</w:t>
      </w:r>
      <w:r>
        <w:rPr>
          <w:spacing w:val="-7"/>
          <w:sz w:val="22"/>
        </w:rPr>
        <w:t> </w:t>
      </w:r>
      <w:r>
        <w:rPr>
          <w:sz w:val="22"/>
        </w:rPr>
        <w:t>adecuado</w:t>
      </w:r>
      <w:r>
        <w:rPr>
          <w:spacing w:val="-7"/>
          <w:sz w:val="22"/>
        </w:rPr>
        <w:t> </w:t>
      </w:r>
      <w:r>
        <w:rPr>
          <w:sz w:val="22"/>
        </w:rPr>
        <w:t>para</w:t>
      </w:r>
      <w:r>
        <w:rPr>
          <w:spacing w:val="-10"/>
          <w:sz w:val="22"/>
        </w:rPr>
        <w:t> </w:t>
      </w:r>
      <w:r>
        <w:rPr>
          <w:sz w:val="22"/>
        </w:rPr>
        <w:t>alcanzar</w:t>
      </w:r>
      <w:r>
        <w:rPr>
          <w:spacing w:val="-6"/>
          <w:sz w:val="22"/>
        </w:rPr>
        <w:t> </w:t>
      </w:r>
      <w:r>
        <w:rPr>
          <w:sz w:val="22"/>
        </w:rPr>
        <w:t>la</w:t>
      </w:r>
      <w:r>
        <w:rPr>
          <w:spacing w:val="-10"/>
          <w:sz w:val="22"/>
        </w:rPr>
        <w:t> </w:t>
      </w:r>
      <w:r>
        <w:rPr>
          <w:sz w:val="22"/>
        </w:rPr>
        <w:t>finalidad</w:t>
      </w:r>
      <w:r>
        <w:rPr>
          <w:spacing w:val="-7"/>
          <w:sz w:val="22"/>
        </w:rPr>
        <w:t> </w:t>
      </w:r>
      <w:r>
        <w:rPr>
          <w:sz w:val="22"/>
        </w:rPr>
        <w:t>invocada,</w:t>
      </w:r>
      <w:r>
        <w:rPr>
          <w:spacing w:val="-9"/>
          <w:sz w:val="22"/>
        </w:rPr>
        <w:t> </w:t>
      </w:r>
      <w:r>
        <w:rPr>
          <w:sz w:val="22"/>
        </w:rPr>
        <w:t>ni</w:t>
      </w:r>
      <w:r>
        <w:rPr>
          <w:spacing w:val="-8"/>
          <w:sz w:val="22"/>
        </w:rPr>
        <w:t> </w:t>
      </w:r>
      <w:r>
        <w:rPr>
          <w:sz w:val="22"/>
        </w:rPr>
        <w:t>que</w:t>
      </w:r>
      <w:r>
        <w:rPr>
          <w:spacing w:val="-7"/>
          <w:sz w:val="22"/>
        </w:rPr>
        <w:t> </w:t>
      </w:r>
      <w:r>
        <w:rPr>
          <w:sz w:val="22"/>
        </w:rPr>
        <w:t>dicha medida resulte plenamente coherente con los instrumentos adoptados en el marco de la Comunidad Andina para enfrentar la criminalidad transnacional. En efecto, el informe técnico CCFFAA-J2-PL-PFNA-2025-112 describe la existencia de múltiples pasos</w:t>
      </w:r>
      <w:r>
        <w:rPr>
          <w:spacing w:val="-12"/>
          <w:sz w:val="22"/>
        </w:rPr>
        <w:t> </w:t>
      </w:r>
      <w:r>
        <w:rPr>
          <w:sz w:val="22"/>
        </w:rPr>
        <w:t>fronterizos</w:t>
      </w:r>
      <w:r>
        <w:rPr>
          <w:spacing w:val="-14"/>
          <w:sz w:val="22"/>
        </w:rPr>
        <w:t> </w:t>
      </w:r>
      <w:r>
        <w:rPr>
          <w:sz w:val="22"/>
        </w:rPr>
        <w:t>no</w:t>
      </w:r>
      <w:r>
        <w:rPr>
          <w:spacing w:val="-13"/>
          <w:sz w:val="22"/>
        </w:rPr>
        <w:t> </w:t>
      </w:r>
      <w:r>
        <w:rPr>
          <w:sz w:val="22"/>
        </w:rPr>
        <w:t>autorizados</w:t>
      </w:r>
      <w:r>
        <w:rPr>
          <w:spacing w:val="-12"/>
          <w:sz w:val="22"/>
        </w:rPr>
        <w:t> </w:t>
      </w:r>
      <w:r>
        <w:rPr>
          <w:sz w:val="22"/>
        </w:rPr>
        <w:t>y</w:t>
      </w:r>
      <w:r>
        <w:rPr>
          <w:spacing w:val="-14"/>
          <w:sz w:val="22"/>
        </w:rPr>
        <w:t> </w:t>
      </w:r>
      <w:r>
        <w:rPr>
          <w:sz w:val="22"/>
        </w:rPr>
        <w:t>su</w:t>
      </w:r>
      <w:r>
        <w:rPr>
          <w:spacing w:val="-15"/>
          <w:sz w:val="22"/>
        </w:rPr>
        <w:t> </w:t>
      </w:r>
      <w:r>
        <w:rPr>
          <w:sz w:val="22"/>
        </w:rPr>
        <w:t>vinculación</w:t>
      </w:r>
      <w:r>
        <w:rPr>
          <w:spacing w:val="-13"/>
          <w:sz w:val="22"/>
        </w:rPr>
        <w:t> </w:t>
      </w:r>
      <w:r>
        <w:rPr>
          <w:sz w:val="22"/>
        </w:rPr>
        <w:t>con</w:t>
      </w:r>
      <w:r>
        <w:rPr>
          <w:spacing w:val="-13"/>
          <w:sz w:val="22"/>
        </w:rPr>
        <w:t> </w:t>
      </w:r>
      <w:r>
        <w:rPr>
          <w:sz w:val="22"/>
        </w:rPr>
        <w:t>diversas</w:t>
      </w:r>
      <w:r>
        <w:rPr>
          <w:spacing w:val="-14"/>
          <w:sz w:val="22"/>
        </w:rPr>
        <w:t> </w:t>
      </w:r>
      <w:r>
        <w:rPr>
          <w:sz w:val="22"/>
        </w:rPr>
        <w:t>actividades</w:t>
      </w:r>
      <w:r>
        <w:rPr>
          <w:spacing w:val="-12"/>
          <w:sz w:val="22"/>
        </w:rPr>
        <w:t> </w:t>
      </w:r>
      <w:r>
        <w:rPr>
          <w:sz w:val="22"/>
        </w:rPr>
        <w:t>ilícitas;</w:t>
      </w:r>
      <w:r>
        <w:rPr>
          <w:spacing w:val="-11"/>
          <w:sz w:val="22"/>
        </w:rPr>
        <w:t> </w:t>
      </w:r>
      <w:r>
        <w:rPr>
          <w:sz w:val="22"/>
        </w:rPr>
        <w:t>sin embargo, no desarrolla un análisis que permita establecer de qué manera la operación del comercio formal a través de distintos pasos habilitados contribuye a dichas dinámicas, ni cómo su restricción incidiría en su reducción o control.</w:t>
      </w:r>
    </w:p>
    <w:p>
      <w:pPr>
        <w:pStyle w:val="BodyText"/>
      </w:pPr>
    </w:p>
    <w:p>
      <w:pPr>
        <w:pStyle w:val="ListParagraph"/>
        <w:numPr>
          <w:ilvl w:val="0"/>
          <w:numId w:val="2"/>
        </w:numPr>
        <w:tabs>
          <w:tab w:pos="1416" w:val="left" w:leader="none"/>
          <w:tab w:pos="1420" w:val="left" w:leader="none"/>
        </w:tabs>
        <w:spacing w:line="240" w:lineRule="auto" w:before="1" w:after="0"/>
        <w:ind w:left="1420" w:right="975" w:hanging="852"/>
        <w:jc w:val="both"/>
        <w:rPr>
          <w:sz w:val="22"/>
        </w:rPr>
      </w:pPr>
      <w:r>
        <w:rPr>
          <w:sz w:val="22"/>
        </w:rPr>
        <w:t>Asimismo,</w:t>
      </w:r>
      <w:r>
        <w:rPr>
          <w:spacing w:val="-16"/>
          <w:sz w:val="22"/>
        </w:rPr>
        <w:t> </w:t>
      </w:r>
      <w:r>
        <w:rPr>
          <w:sz w:val="22"/>
        </w:rPr>
        <w:t>de</w:t>
      </w:r>
      <w:r>
        <w:rPr>
          <w:spacing w:val="-15"/>
          <w:sz w:val="22"/>
        </w:rPr>
        <w:t> </w:t>
      </w:r>
      <w:r>
        <w:rPr>
          <w:sz w:val="22"/>
        </w:rPr>
        <w:t>los</w:t>
      </w:r>
      <w:r>
        <w:rPr>
          <w:spacing w:val="-15"/>
          <w:sz w:val="22"/>
        </w:rPr>
        <w:t> </w:t>
      </w:r>
      <w:r>
        <w:rPr>
          <w:sz w:val="22"/>
        </w:rPr>
        <w:t>elementos</w:t>
      </w:r>
      <w:r>
        <w:rPr>
          <w:spacing w:val="-16"/>
          <w:sz w:val="22"/>
        </w:rPr>
        <w:t> </w:t>
      </w:r>
      <w:r>
        <w:rPr>
          <w:sz w:val="22"/>
        </w:rPr>
        <w:t>recabados</w:t>
      </w:r>
      <w:r>
        <w:rPr>
          <w:spacing w:val="-15"/>
          <w:sz w:val="22"/>
        </w:rPr>
        <w:t> </w:t>
      </w:r>
      <w:r>
        <w:rPr>
          <w:sz w:val="22"/>
        </w:rPr>
        <w:t>en</w:t>
      </w:r>
      <w:r>
        <w:rPr>
          <w:spacing w:val="-15"/>
          <w:sz w:val="22"/>
        </w:rPr>
        <w:t> </w:t>
      </w:r>
      <w:r>
        <w:rPr>
          <w:sz w:val="22"/>
        </w:rPr>
        <w:t>el</w:t>
      </w:r>
      <w:r>
        <w:rPr>
          <w:spacing w:val="-15"/>
          <w:sz w:val="22"/>
        </w:rPr>
        <w:t> </w:t>
      </w:r>
      <w:r>
        <w:rPr>
          <w:sz w:val="22"/>
        </w:rPr>
        <w:t>expediente,</w:t>
      </w:r>
      <w:r>
        <w:rPr>
          <w:spacing w:val="-16"/>
          <w:sz w:val="22"/>
        </w:rPr>
        <w:t> </w:t>
      </w:r>
      <w:r>
        <w:rPr>
          <w:sz w:val="22"/>
        </w:rPr>
        <w:t>incluidas</w:t>
      </w:r>
      <w:r>
        <w:rPr>
          <w:spacing w:val="-15"/>
          <w:sz w:val="22"/>
        </w:rPr>
        <w:t> </w:t>
      </w:r>
      <w:r>
        <w:rPr>
          <w:sz w:val="22"/>
        </w:rPr>
        <w:t>las</w:t>
      </w:r>
      <w:r>
        <w:rPr>
          <w:spacing w:val="-15"/>
          <w:sz w:val="22"/>
        </w:rPr>
        <w:t> </w:t>
      </w:r>
      <w:r>
        <w:rPr>
          <w:sz w:val="22"/>
        </w:rPr>
        <w:t>constataciones efectuadas durante la visita de verificación </w:t>
      </w:r>
      <w:r>
        <w:rPr>
          <w:rFonts w:ascii="Arial" w:hAnsi="Arial"/>
          <w:i/>
          <w:sz w:val="22"/>
        </w:rPr>
        <w:t>in situ </w:t>
      </w:r>
      <w:r>
        <w:rPr>
          <w:sz w:val="22"/>
        </w:rPr>
        <w:t>en el puente internacional de Rumichaca, se advierte que la implementación de la medida ha implicado una concentración del flujo de carga y una intensificación de los controles sobre el comercio</w:t>
      </w:r>
      <w:r>
        <w:rPr>
          <w:spacing w:val="-11"/>
          <w:sz w:val="22"/>
        </w:rPr>
        <w:t> </w:t>
      </w:r>
      <w:r>
        <w:rPr>
          <w:sz w:val="22"/>
        </w:rPr>
        <w:t>formal,</w:t>
      </w:r>
      <w:r>
        <w:rPr>
          <w:spacing w:val="-10"/>
          <w:sz w:val="22"/>
        </w:rPr>
        <w:t> </w:t>
      </w:r>
      <w:r>
        <w:rPr>
          <w:sz w:val="22"/>
        </w:rPr>
        <w:t>sin</w:t>
      </w:r>
      <w:r>
        <w:rPr>
          <w:spacing w:val="-9"/>
          <w:sz w:val="22"/>
        </w:rPr>
        <w:t> </w:t>
      </w:r>
      <w:r>
        <w:rPr>
          <w:sz w:val="22"/>
        </w:rPr>
        <w:t>que</w:t>
      </w:r>
      <w:r>
        <w:rPr>
          <w:spacing w:val="-14"/>
          <w:sz w:val="22"/>
        </w:rPr>
        <w:t> </w:t>
      </w:r>
      <w:r>
        <w:rPr>
          <w:sz w:val="22"/>
        </w:rPr>
        <w:t>de</w:t>
      </w:r>
      <w:r>
        <w:rPr>
          <w:spacing w:val="-9"/>
          <w:sz w:val="22"/>
        </w:rPr>
        <w:t> </w:t>
      </w:r>
      <w:r>
        <w:rPr>
          <w:sz w:val="22"/>
        </w:rPr>
        <w:t>ello</w:t>
      </w:r>
      <w:r>
        <w:rPr>
          <w:spacing w:val="-9"/>
          <w:sz w:val="22"/>
        </w:rPr>
        <w:t> </w:t>
      </w:r>
      <w:r>
        <w:rPr>
          <w:sz w:val="22"/>
        </w:rPr>
        <w:t>se</w:t>
      </w:r>
      <w:r>
        <w:rPr>
          <w:spacing w:val="-11"/>
          <w:sz w:val="22"/>
        </w:rPr>
        <w:t> </w:t>
      </w:r>
      <w:r>
        <w:rPr>
          <w:sz w:val="22"/>
        </w:rPr>
        <w:t>desprenda</w:t>
      </w:r>
      <w:r>
        <w:rPr>
          <w:spacing w:val="-12"/>
          <w:sz w:val="22"/>
        </w:rPr>
        <w:t> </w:t>
      </w:r>
      <w:r>
        <w:rPr>
          <w:sz w:val="22"/>
        </w:rPr>
        <w:t>una</w:t>
      </w:r>
      <w:r>
        <w:rPr>
          <w:spacing w:val="-11"/>
          <w:sz w:val="22"/>
        </w:rPr>
        <w:t> </w:t>
      </w:r>
      <w:r>
        <w:rPr>
          <w:sz w:val="22"/>
        </w:rPr>
        <w:t>mejora</w:t>
      </w:r>
      <w:r>
        <w:rPr>
          <w:spacing w:val="-9"/>
          <w:sz w:val="22"/>
        </w:rPr>
        <w:t> </w:t>
      </w:r>
      <w:r>
        <w:rPr>
          <w:sz w:val="22"/>
        </w:rPr>
        <w:t>verificable</w:t>
      </w:r>
      <w:r>
        <w:rPr>
          <w:spacing w:val="-9"/>
          <w:sz w:val="22"/>
        </w:rPr>
        <w:t> </w:t>
      </w:r>
      <w:r>
        <w:rPr>
          <w:sz w:val="22"/>
        </w:rPr>
        <w:t>en</w:t>
      </w:r>
      <w:r>
        <w:rPr>
          <w:spacing w:val="-12"/>
          <w:sz w:val="22"/>
        </w:rPr>
        <w:t> </w:t>
      </w:r>
      <w:r>
        <w:rPr>
          <w:sz w:val="22"/>
        </w:rPr>
        <w:t>la</w:t>
      </w:r>
      <w:r>
        <w:rPr>
          <w:spacing w:val="-11"/>
          <w:sz w:val="22"/>
        </w:rPr>
        <w:t> </w:t>
      </w:r>
      <w:r>
        <w:rPr>
          <w:sz w:val="22"/>
        </w:rPr>
        <w:t>gestión</w:t>
      </w:r>
      <w:r>
        <w:rPr>
          <w:spacing w:val="-9"/>
          <w:sz w:val="22"/>
        </w:rPr>
        <w:t> </w:t>
      </w:r>
      <w:r>
        <w:rPr>
          <w:sz w:val="22"/>
        </w:rPr>
        <w:t>de los pasos fronterizos no autorizados o en la contención de las actividades ilícitas </w:t>
      </w:r>
      <w:r>
        <w:rPr>
          <w:spacing w:val="-2"/>
          <w:sz w:val="22"/>
        </w:rPr>
        <w:t>identificadas.</w:t>
      </w:r>
    </w:p>
    <w:p>
      <w:pPr>
        <w:pStyle w:val="BodyText"/>
        <w:spacing w:before="2"/>
      </w:pPr>
    </w:p>
    <w:p>
      <w:pPr>
        <w:pStyle w:val="ListParagraph"/>
        <w:numPr>
          <w:ilvl w:val="0"/>
          <w:numId w:val="2"/>
        </w:numPr>
        <w:tabs>
          <w:tab w:pos="1416" w:val="left" w:leader="none"/>
          <w:tab w:pos="1420" w:val="left" w:leader="none"/>
        </w:tabs>
        <w:spacing w:line="240" w:lineRule="auto" w:before="0" w:after="0"/>
        <w:ind w:left="1420" w:right="978" w:hanging="852"/>
        <w:jc w:val="both"/>
        <w:rPr>
          <w:sz w:val="22"/>
        </w:rPr>
      </w:pPr>
      <w:r>
        <w:rPr>
          <w:sz w:val="22"/>
        </w:rPr>
        <w:t>En esa línea, considerando el enfoque promovido por la normativa andina —en particular la Decisión 922—, orientado al fortalecimiento de los controles mediante acciones</w:t>
      </w:r>
      <w:r>
        <w:rPr>
          <w:spacing w:val="-5"/>
          <w:sz w:val="22"/>
        </w:rPr>
        <w:t> </w:t>
      </w:r>
      <w:r>
        <w:rPr>
          <w:sz w:val="22"/>
        </w:rPr>
        <w:t>coordinadas,</w:t>
      </w:r>
      <w:r>
        <w:rPr>
          <w:spacing w:val="-6"/>
          <w:sz w:val="22"/>
        </w:rPr>
        <w:t> </w:t>
      </w:r>
      <w:r>
        <w:rPr>
          <w:sz w:val="22"/>
        </w:rPr>
        <w:t>intercambio</w:t>
      </w:r>
      <w:r>
        <w:rPr>
          <w:spacing w:val="-5"/>
          <w:sz w:val="22"/>
        </w:rPr>
        <w:t> </w:t>
      </w:r>
      <w:r>
        <w:rPr>
          <w:sz w:val="22"/>
        </w:rPr>
        <w:t>de</w:t>
      </w:r>
      <w:r>
        <w:rPr>
          <w:spacing w:val="-6"/>
          <w:sz w:val="22"/>
        </w:rPr>
        <w:t> </w:t>
      </w:r>
      <w:r>
        <w:rPr>
          <w:sz w:val="22"/>
        </w:rPr>
        <w:t>información</w:t>
      </w:r>
      <w:r>
        <w:rPr>
          <w:spacing w:val="-5"/>
          <w:sz w:val="22"/>
        </w:rPr>
        <w:t> </w:t>
      </w:r>
      <w:r>
        <w:rPr>
          <w:sz w:val="22"/>
        </w:rPr>
        <w:t>y</w:t>
      </w:r>
      <w:r>
        <w:rPr>
          <w:spacing w:val="-6"/>
          <w:sz w:val="22"/>
        </w:rPr>
        <w:t> </w:t>
      </w:r>
      <w:r>
        <w:rPr>
          <w:sz w:val="22"/>
        </w:rPr>
        <w:t>operaciones</w:t>
      </w:r>
      <w:r>
        <w:rPr>
          <w:spacing w:val="-6"/>
          <w:sz w:val="22"/>
        </w:rPr>
        <w:t> </w:t>
      </w:r>
      <w:r>
        <w:rPr>
          <w:sz w:val="22"/>
        </w:rPr>
        <w:t>conjuntas</w:t>
      </w:r>
      <w:r>
        <w:rPr>
          <w:spacing w:val="-4"/>
          <w:sz w:val="22"/>
        </w:rPr>
        <w:t> </w:t>
      </w:r>
      <w:r>
        <w:rPr>
          <w:sz w:val="22"/>
        </w:rPr>
        <w:t>entre</w:t>
      </w:r>
      <w:r>
        <w:rPr>
          <w:spacing w:val="-6"/>
          <w:sz w:val="22"/>
        </w:rPr>
        <w:t> </w:t>
      </w:r>
      <w:r>
        <w:rPr>
          <w:sz w:val="22"/>
        </w:rPr>
        <w:t>los Países Miembros, se observa que existen mecanismos alternativos que podrían contribuir</w:t>
      </w:r>
      <w:r>
        <w:rPr>
          <w:spacing w:val="-5"/>
          <w:sz w:val="22"/>
        </w:rPr>
        <w:t> </w:t>
      </w:r>
      <w:r>
        <w:rPr>
          <w:sz w:val="22"/>
        </w:rPr>
        <w:t>de</w:t>
      </w:r>
      <w:r>
        <w:rPr>
          <w:spacing w:val="-9"/>
          <w:sz w:val="22"/>
        </w:rPr>
        <w:t> </w:t>
      </w:r>
      <w:r>
        <w:rPr>
          <w:sz w:val="22"/>
        </w:rPr>
        <w:t>manera</w:t>
      </w:r>
      <w:r>
        <w:rPr>
          <w:spacing w:val="-8"/>
          <w:sz w:val="22"/>
        </w:rPr>
        <w:t> </w:t>
      </w:r>
      <w:r>
        <w:rPr>
          <w:sz w:val="22"/>
        </w:rPr>
        <w:t>más</w:t>
      </w:r>
      <w:r>
        <w:rPr>
          <w:spacing w:val="-6"/>
          <w:sz w:val="22"/>
        </w:rPr>
        <w:t> </w:t>
      </w:r>
      <w:r>
        <w:rPr>
          <w:sz w:val="22"/>
        </w:rPr>
        <w:t>directa</w:t>
      </w:r>
      <w:r>
        <w:rPr>
          <w:spacing w:val="-6"/>
          <w:sz w:val="22"/>
        </w:rPr>
        <w:t> </w:t>
      </w:r>
      <w:r>
        <w:rPr>
          <w:sz w:val="22"/>
        </w:rPr>
        <w:t>y</w:t>
      </w:r>
      <w:r>
        <w:rPr>
          <w:spacing w:val="-8"/>
          <w:sz w:val="22"/>
        </w:rPr>
        <w:t> </w:t>
      </w:r>
      <w:r>
        <w:rPr>
          <w:sz w:val="22"/>
        </w:rPr>
        <w:t>eficaz</w:t>
      </w:r>
      <w:r>
        <w:rPr>
          <w:spacing w:val="-6"/>
          <w:sz w:val="22"/>
        </w:rPr>
        <w:t> </w:t>
      </w:r>
      <w:r>
        <w:rPr>
          <w:sz w:val="22"/>
        </w:rPr>
        <w:t>al</w:t>
      </w:r>
      <w:r>
        <w:rPr>
          <w:spacing w:val="-7"/>
          <w:sz w:val="22"/>
        </w:rPr>
        <w:t> </w:t>
      </w:r>
      <w:r>
        <w:rPr>
          <w:sz w:val="22"/>
        </w:rPr>
        <w:t>abordaje</w:t>
      </w:r>
      <w:r>
        <w:rPr>
          <w:spacing w:val="-6"/>
          <w:sz w:val="22"/>
        </w:rPr>
        <w:t> </w:t>
      </w:r>
      <w:r>
        <w:rPr>
          <w:sz w:val="22"/>
        </w:rPr>
        <w:t>de</w:t>
      </w:r>
      <w:r>
        <w:rPr>
          <w:spacing w:val="-7"/>
          <w:sz w:val="22"/>
        </w:rPr>
        <w:t> </w:t>
      </w:r>
      <w:r>
        <w:rPr>
          <w:sz w:val="22"/>
        </w:rPr>
        <w:t>la</w:t>
      </w:r>
      <w:r>
        <w:rPr>
          <w:spacing w:val="-6"/>
          <w:sz w:val="22"/>
        </w:rPr>
        <w:t> </w:t>
      </w:r>
      <w:r>
        <w:rPr>
          <w:sz w:val="22"/>
        </w:rPr>
        <w:t>problemática</w:t>
      </w:r>
      <w:r>
        <w:rPr>
          <w:spacing w:val="-7"/>
          <w:sz w:val="22"/>
        </w:rPr>
        <w:t> </w:t>
      </w:r>
      <w:r>
        <w:rPr>
          <w:sz w:val="22"/>
        </w:rPr>
        <w:t>identificada, sin incidir de forma equivalente sobre el comercio formal. En tal sentido, la relación entre la medida adoptada y la finalidad invocada</w:t>
      </w:r>
      <w:r>
        <w:rPr>
          <w:spacing w:val="-2"/>
          <w:sz w:val="22"/>
        </w:rPr>
        <w:t> </w:t>
      </w:r>
      <w:r>
        <w:rPr>
          <w:sz w:val="22"/>
        </w:rPr>
        <w:t>no se encuentra desarrollada en el expediente, lo cual limita su valoración en términos de idoneidad conforme a la jurisprudencia</w:t>
      </w:r>
      <w:r>
        <w:rPr>
          <w:spacing w:val="-16"/>
          <w:sz w:val="22"/>
        </w:rPr>
        <w:t> </w:t>
      </w:r>
      <w:r>
        <w:rPr>
          <w:sz w:val="22"/>
        </w:rPr>
        <w:t>del</w:t>
      </w:r>
      <w:r>
        <w:rPr>
          <w:spacing w:val="-15"/>
          <w:sz w:val="22"/>
        </w:rPr>
        <w:t> </w:t>
      </w:r>
      <w:r>
        <w:rPr>
          <w:sz w:val="22"/>
        </w:rPr>
        <w:t>TJCAN.</w:t>
      </w:r>
      <w:r>
        <w:rPr>
          <w:spacing w:val="-15"/>
          <w:sz w:val="22"/>
        </w:rPr>
        <w:t> </w:t>
      </w:r>
      <w:r>
        <w:rPr>
          <w:sz w:val="22"/>
        </w:rPr>
        <w:t>En</w:t>
      </w:r>
      <w:r>
        <w:rPr>
          <w:spacing w:val="-16"/>
          <w:sz w:val="22"/>
        </w:rPr>
        <w:t> </w:t>
      </w:r>
      <w:r>
        <w:rPr>
          <w:sz w:val="22"/>
        </w:rPr>
        <w:t>consecuencia,</w:t>
      </w:r>
      <w:r>
        <w:rPr>
          <w:spacing w:val="-15"/>
          <w:sz w:val="22"/>
        </w:rPr>
        <w:t> </w:t>
      </w:r>
      <w:r>
        <w:rPr>
          <w:sz w:val="22"/>
        </w:rPr>
        <w:t>este</w:t>
      </w:r>
      <w:r>
        <w:rPr>
          <w:spacing w:val="-16"/>
          <w:sz w:val="22"/>
        </w:rPr>
        <w:t> </w:t>
      </w:r>
      <w:r>
        <w:rPr>
          <w:sz w:val="22"/>
        </w:rPr>
        <w:t>requisito</w:t>
      </w:r>
      <w:r>
        <w:rPr>
          <w:spacing w:val="-17"/>
          <w:sz w:val="22"/>
        </w:rPr>
        <w:t> </w:t>
      </w:r>
      <w:r>
        <w:rPr>
          <w:sz w:val="22"/>
        </w:rPr>
        <w:t>no</w:t>
      </w:r>
      <w:r>
        <w:rPr>
          <w:spacing w:val="-15"/>
          <w:sz w:val="22"/>
        </w:rPr>
        <w:t> </w:t>
      </w:r>
      <w:r>
        <w:rPr>
          <w:sz w:val="22"/>
        </w:rPr>
        <w:t>se</w:t>
      </w:r>
      <w:r>
        <w:rPr>
          <w:spacing w:val="-17"/>
          <w:sz w:val="22"/>
        </w:rPr>
        <w:t> </w:t>
      </w:r>
      <w:r>
        <w:rPr>
          <w:sz w:val="22"/>
        </w:rPr>
        <w:t>encuentra</w:t>
      </w:r>
      <w:r>
        <w:rPr>
          <w:spacing w:val="-15"/>
          <w:sz w:val="22"/>
        </w:rPr>
        <w:t> </w:t>
      </w:r>
      <w:r>
        <w:rPr>
          <w:sz w:val="22"/>
        </w:rPr>
        <w:t>cumplido.</w:t>
      </w:r>
    </w:p>
    <w:p>
      <w:pPr>
        <w:pStyle w:val="BodyText"/>
        <w:spacing w:before="120"/>
      </w:pPr>
    </w:p>
    <w:p>
      <w:pPr>
        <w:pStyle w:val="Heading6"/>
        <w:numPr>
          <w:ilvl w:val="1"/>
          <w:numId w:val="1"/>
        </w:numPr>
        <w:tabs>
          <w:tab w:pos="1275" w:val="left" w:leader="none"/>
        </w:tabs>
        <w:spacing w:line="240" w:lineRule="auto" w:before="0" w:after="0"/>
        <w:ind w:left="1275" w:right="0" w:hanging="707"/>
        <w:jc w:val="both"/>
      </w:pPr>
      <w:r>
        <w:rPr/>
        <w:t>Sobre</w:t>
      </w:r>
      <w:r>
        <w:rPr>
          <w:spacing w:val="-2"/>
        </w:rPr>
        <w:t> </w:t>
      </w:r>
      <w:r>
        <w:rPr/>
        <w:t>la</w:t>
      </w:r>
      <w:r>
        <w:rPr>
          <w:spacing w:val="-4"/>
        </w:rPr>
        <w:t> </w:t>
      </w:r>
      <w:r>
        <w:rPr/>
        <w:t>necesidad</w:t>
      </w:r>
      <w:r>
        <w:rPr>
          <w:spacing w:val="-4"/>
        </w:rPr>
        <w:t> </w:t>
      </w:r>
      <w:r>
        <w:rPr/>
        <w:t>de</w:t>
      </w:r>
      <w:r>
        <w:rPr>
          <w:spacing w:val="-4"/>
        </w:rPr>
        <w:t> </w:t>
      </w:r>
      <w:r>
        <w:rPr/>
        <w:t>la</w:t>
      </w:r>
      <w:r>
        <w:rPr>
          <w:spacing w:val="-2"/>
        </w:rPr>
        <w:t> medida</w:t>
      </w:r>
    </w:p>
    <w:p>
      <w:pPr>
        <w:pStyle w:val="ListParagraph"/>
        <w:numPr>
          <w:ilvl w:val="0"/>
          <w:numId w:val="2"/>
        </w:numPr>
        <w:tabs>
          <w:tab w:pos="1416" w:val="left" w:leader="none"/>
          <w:tab w:pos="1420" w:val="left" w:leader="none"/>
        </w:tabs>
        <w:spacing w:line="240" w:lineRule="auto" w:before="251" w:after="0"/>
        <w:ind w:left="1420" w:right="979" w:hanging="852"/>
        <w:jc w:val="both"/>
        <w:rPr>
          <w:sz w:val="22"/>
        </w:rPr>
      </w:pPr>
      <w:r>
        <w:rPr>
          <w:sz w:val="22"/>
        </w:rPr>
        <w:t>Con</w:t>
      </w:r>
      <w:r>
        <w:rPr>
          <w:spacing w:val="-8"/>
          <w:sz w:val="22"/>
        </w:rPr>
        <w:t> </w:t>
      </w:r>
      <w:r>
        <w:rPr>
          <w:sz w:val="22"/>
        </w:rPr>
        <w:t>relación</w:t>
      </w:r>
      <w:r>
        <w:rPr>
          <w:spacing w:val="-7"/>
          <w:sz w:val="22"/>
        </w:rPr>
        <w:t> </w:t>
      </w:r>
      <w:r>
        <w:rPr>
          <w:sz w:val="22"/>
        </w:rPr>
        <w:t>al</w:t>
      </w:r>
      <w:r>
        <w:rPr>
          <w:spacing w:val="-8"/>
          <w:sz w:val="22"/>
        </w:rPr>
        <w:t> </w:t>
      </w:r>
      <w:r>
        <w:rPr>
          <w:sz w:val="22"/>
        </w:rPr>
        <w:t>criterio</w:t>
      </w:r>
      <w:r>
        <w:rPr>
          <w:spacing w:val="-10"/>
          <w:sz w:val="22"/>
        </w:rPr>
        <w:t> </w:t>
      </w:r>
      <w:r>
        <w:rPr>
          <w:sz w:val="22"/>
        </w:rPr>
        <w:t>de</w:t>
      </w:r>
      <w:r>
        <w:rPr>
          <w:spacing w:val="-7"/>
          <w:sz w:val="22"/>
        </w:rPr>
        <w:t> </w:t>
      </w:r>
      <w:r>
        <w:rPr>
          <w:sz w:val="22"/>
        </w:rPr>
        <w:t>necesidad,</w:t>
      </w:r>
      <w:r>
        <w:rPr>
          <w:spacing w:val="-9"/>
          <w:sz w:val="22"/>
        </w:rPr>
        <w:t> </w:t>
      </w:r>
      <w:r>
        <w:rPr>
          <w:sz w:val="22"/>
        </w:rPr>
        <w:t>corresponde</w:t>
      </w:r>
      <w:r>
        <w:rPr>
          <w:spacing w:val="-7"/>
          <w:sz w:val="22"/>
        </w:rPr>
        <w:t> </w:t>
      </w:r>
      <w:r>
        <w:rPr>
          <w:sz w:val="22"/>
        </w:rPr>
        <w:t>evaluar</w:t>
      </w:r>
      <w:r>
        <w:rPr>
          <w:spacing w:val="-9"/>
          <w:sz w:val="22"/>
        </w:rPr>
        <w:t> </w:t>
      </w:r>
      <w:r>
        <w:rPr>
          <w:sz w:val="22"/>
        </w:rPr>
        <w:t>si</w:t>
      </w:r>
      <w:r>
        <w:rPr>
          <w:spacing w:val="-8"/>
          <w:sz w:val="22"/>
        </w:rPr>
        <w:t> </w:t>
      </w:r>
      <w:r>
        <w:rPr>
          <w:sz w:val="22"/>
        </w:rPr>
        <w:t>la</w:t>
      </w:r>
      <w:r>
        <w:rPr>
          <w:spacing w:val="-10"/>
          <w:sz w:val="22"/>
        </w:rPr>
        <w:t> </w:t>
      </w:r>
      <w:r>
        <w:rPr>
          <w:sz w:val="22"/>
        </w:rPr>
        <w:t>medida</w:t>
      </w:r>
      <w:r>
        <w:rPr>
          <w:spacing w:val="-8"/>
          <w:sz w:val="22"/>
        </w:rPr>
        <w:t> </w:t>
      </w:r>
      <w:r>
        <w:rPr>
          <w:sz w:val="22"/>
        </w:rPr>
        <w:t>adoptada</w:t>
      </w:r>
      <w:r>
        <w:rPr>
          <w:spacing w:val="-7"/>
          <w:sz w:val="22"/>
        </w:rPr>
        <w:t> </w:t>
      </w:r>
      <w:r>
        <w:rPr>
          <w:sz w:val="22"/>
        </w:rPr>
        <w:t>por la República del Ecuador constituye la alternativa menos lesiva al comercio subregional</w:t>
      </w:r>
      <w:r>
        <w:rPr>
          <w:spacing w:val="-11"/>
          <w:sz w:val="22"/>
        </w:rPr>
        <w:t> </w:t>
      </w:r>
      <w:r>
        <w:rPr>
          <w:sz w:val="22"/>
        </w:rPr>
        <w:t>andino</w:t>
      </w:r>
      <w:r>
        <w:rPr>
          <w:spacing w:val="-10"/>
          <w:sz w:val="22"/>
        </w:rPr>
        <w:t> </w:t>
      </w:r>
      <w:r>
        <w:rPr>
          <w:sz w:val="22"/>
        </w:rPr>
        <w:t>para</w:t>
      </w:r>
      <w:r>
        <w:rPr>
          <w:spacing w:val="-12"/>
          <w:sz w:val="22"/>
        </w:rPr>
        <w:t> </w:t>
      </w:r>
      <w:r>
        <w:rPr>
          <w:sz w:val="22"/>
        </w:rPr>
        <w:t>alcanzar</w:t>
      </w:r>
      <w:r>
        <w:rPr>
          <w:spacing w:val="-9"/>
          <w:sz w:val="22"/>
        </w:rPr>
        <w:t> </w:t>
      </w:r>
      <w:r>
        <w:rPr>
          <w:sz w:val="22"/>
        </w:rPr>
        <w:t>la</w:t>
      </w:r>
      <w:r>
        <w:rPr>
          <w:spacing w:val="-12"/>
          <w:sz w:val="22"/>
        </w:rPr>
        <w:t> </w:t>
      </w:r>
      <w:r>
        <w:rPr>
          <w:sz w:val="22"/>
        </w:rPr>
        <w:t>finalidad</w:t>
      </w:r>
      <w:r>
        <w:rPr>
          <w:spacing w:val="-10"/>
          <w:sz w:val="22"/>
        </w:rPr>
        <w:t> </w:t>
      </w:r>
      <w:r>
        <w:rPr>
          <w:sz w:val="22"/>
        </w:rPr>
        <w:t>invocada.</w:t>
      </w:r>
      <w:r>
        <w:rPr>
          <w:spacing w:val="-9"/>
          <w:sz w:val="22"/>
        </w:rPr>
        <w:t> </w:t>
      </w:r>
      <w:r>
        <w:rPr>
          <w:sz w:val="22"/>
        </w:rPr>
        <w:t>Al</w:t>
      </w:r>
      <w:r>
        <w:rPr>
          <w:spacing w:val="-13"/>
          <w:sz w:val="22"/>
        </w:rPr>
        <w:t> </w:t>
      </w:r>
      <w:r>
        <w:rPr>
          <w:sz w:val="22"/>
        </w:rPr>
        <w:t>respecto,</w:t>
      </w:r>
      <w:r>
        <w:rPr>
          <w:spacing w:val="-8"/>
          <w:sz w:val="22"/>
        </w:rPr>
        <w:t> </w:t>
      </w:r>
      <w:r>
        <w:rPr>
          <w:sz w:val="22"/>
        </w:rPr>
        <w:t>de</w:t>
      </w:r>
      <w:r>
        <w:rPr>
          <w:spacing w:val="-13"/>
          <w:sz w:val="22"/>
        </w:rPr>
        <w:t> </w:t>
      </w:r>
      <w:r>
        <w:rPr>
          <w:sz w:val="22"/>
        </w:rPr>
        <w:t>la</w:t>
      </w:r>
      <w:r>
        <w:rPr>
          <w:spacing w:val="-10"/>
          <w:sz w:val="22"/>
        </w:rPr>
        <w:t> </w:t>
      </w:r>
      <w:r>
        <w:rPr>
          <w:sz w:val="22"/>
        </w:rPr>
        <w:t>revisión</w:t>
      </w:r>
      <w:r>
        <w:rPr>
          <w:spacing w:val="-10"/>
          <w:sz w:val="22"/>
        </w:rPr>
        <w:t> </w:t>
      </w:r>
      <w:r>
        <w:rPr>
          <w:sz w:val="22"/>
        </w:rPr>
        <w:t>del</w:t>
      </w:r>
    </w:p>
    <w:p>
      <w:pPr>
        <w:pStyle w:val="ListParagraph"/>
        <w:spacing w:after="0" w:line="240" w:lineRule="auto"/>
        <w:jc w:val="both"/>
        <w:rPr>
          <w:sz w:val="22"/>
        </w:rPr>
        <w:sectPr>
          <w:headerReference w:type="default" r:id="rId38"/>
          <w:footerReference w:type="default" r:id="rId39"/>
          <w:pgSz w:w="11900" w:h="16850"/>
          <w:pgMar w:header="370" w:footer="651" w:top="1380" w:bottom="840" w:left="992" w:right="283"/>
        </w:sectPr>
      </w:pPr>
    </w:p>
    <w:p>
      <w:pPr>
        <w:pStyle w:val="BodyText"/>
        <w:spacing w:before="176"/>
      </w:pPr>
    </w:p>
    <w:p>
      <w:pPr>
        <w:pStyle w:val="BodyText"/>
        <w:ind w:left="1420" w:right="978"/>
        <w:jc w:val="both"/>
      </w:pPr>
      <w:r>
        <w:rPr/>
        <w:t>informe técnico CCFFAA-J2-PL-PFNA-2025-112 y la información complementaria remitida por la República del Ecuador, no se advierte que se haya realizado un análisis</w:t>
      </w:r>
      <w:r>
        <w:rPr>
          <w:spacing w:val="-2"/>
        </w:rPr>
        <w:t> </w:t>
      </w:r>
      <w:r>
        <w:rPr/>
        <w:t>comparativo</w:t>
      </w:r>
      <w:r>
        <w:rPr>
          <w:spacing w:val="-5"/>
        </w:rPr>
        <w:t> </w:t>
      </w:r>
      <w:r>
        <w:rPr/>
        <w:t>de</w:t>
      </w:r>
      <w:r>
        <w:rPr>
          <w:spacing w:val="-8"/>
        </w:rPr>
        <w:t> </w:t>
      </w:r>
      <w:r>
        <w:rPr/>
        <w:t>medidas</w:t>
      </w:r>
      <w:r>
        <w:rPr>
          <w:spacing w:val="-2"/>
        </w:rPr>
        <w:t> </w:t>
      </w:r>
      <w:r>
        <w:rPr/>
        <w:t>alternativas,</w:t>
      </w:r>
      <w:r>
        <w:rPr>
          <w:spacing w:val="-4"/>
        </w:rPr>
        <w:t> </w:t>
      </w:r>
      <w:r>
        <w:rPr/>
        <w:t>ni</w:t>
      </w:r>
      <w:r>
        <w:rPr>
          <w:spacing w:val="-6"/>
        </w:rPr>
        <w:t> </w:t>
      </w:r>
      <w:r>
        <w:rPr/>
        <w:t>que</w:t>
      </w:r>
      <w:r>
        <w:rPr>
          <w:spacing w:val="-3"/>
        </w:rPr>
        <w:t> </w:t>
      </w:r>
      <w:r>
        <w:rPr/>
        <w:t>se</w:t>
      </w:r>
      <w:r>
        <w:rPr>
          <w:spacing w:val="-5"/>
        </w:rPr>
        <w:t> </w:t>
      </w:r>
      <w:r>
        <w:rPr/>
        <w:t>haya</w:t>
      </w:r>
      <w:r>
        <w:rPr>
          <w:spacing w:val="-5"/>
        </w:rPr>
        <w:t> </w:t>
      </w:r>
      <w:r>
        <w:rPr/>
        <w:t>evaluado</w:t>
      </w:r>
      <w:r>
        <w:rPr>
          <w:spacing w:val="-5"/>
        </w:rPr>
        <w:t> </w:t>
      </w:r>
      <w:r>
        <w:rPr/>
        <w:t>la</w:t>
      </w:r>
      <w:r>
        <w:rPr>
          <w:spacing w:val="-5"/>
        </w:rPr>
        <w:t> </w:t>
      </w:r>
      <w:r>
        <w:rPr/>
        <w:t>eficacia</w:t>
      </w:r>
      <w:r>
        <w:rPr>
          <w:spacing w:val="-3"/>
        </w:rPr>
        <w:t> </w:t>
      </w:r>
      <w:r>
        <w:rPr/>
        <w:t>de mecanismos menos restrictivos sobre el comercio formal. En efecto, el referido informe se limita a proponer la concentración del tránsito en un único punto de ingreso, sin considerar otras opciones que permitan atender la problemática identificada sin restringir los canales formales del comercio.</w:t>
      </w:r>
    </w:p>
    <w:p>
      <w:pPr>
        <w:pStyle w:val="ListParagraph"/>
        <w:numPr>
          <w:ilvl w:val="0"/>
          <w:numId w:val="2"/>
        </w:numPr>
        <w:tabs>
          <w:tab w:pos="1416" w:val="left" w:leader="none"/>
          <w:tab w:pos="1420" w:val="left" w:leader="none"/>
        </w:tabs>
        <w:spacing w:line="240" w:lineRule="auto" w:before="253" w:after="0"/>
        <w:ind w:left="1420" w:right="978" w:hanging="852"/>
        <w:jc w:val="both"/>
        <w:rPr>
          <w:sz w:val="22"/>
        </w:rPr>
      </w:pPr>
      <w:r>
        <w:rPr>
          <w:sz w:val="22"/>
        </w:rPr>
        <w:t>En</w:t>
      </w:r>
      <w:r>
        <w:rPr>
          <w:spacing w:val="-10"/>
          <w:sz w:val="22"/>
        </w:rPr>
        <w:t> </w:t>
      </w:r>
      <w:r>
        <w:rPr>
          <w:sz w:val="22"/>
        </w:rPr>
        <w:t>este</w:t>
      </w:r>
      <w:r>
        <w:rPr>
          <w:spacing w:val="-12"/>
          <w:sz w:val="22"/>
        </w:rPr>
        <w:t> </w:t>
      </w:r>
      <w:r>
        <w:rPr>
          <w:sz w:val="22"/>
        </w:rPr>
        <w:t>sentido,</w:t>
      </w:r>
      <w:r>
        <w:rPr>
          <w:spacing w:val="-11"/>
          <w:sz w:val="22"/>
        </w:rPr>
        <w:t> </w:t>
      </w:r>
      <w:r>
        <w:rPr>
          <w:sz w:val="22"/>
        </w:rPr>
        <w:t>el</w:t>
      </w:r>
      <w:r>
        <w:rPr>
          <w:spacing w:val="-13"/>
          <w:sz w:val="22"/>
        </w:rPr>
        <w:t> </w:t>
      </w:r>
      <w:r>
        <w:rPr>
          <w:sz w:val="22"/>
        </w:rPr>
        <w:t>ordenamiento</w:t>
      </w:r>
      <w:r>
        <w:rPr>
          <w:spacing w:val="-10"/>
          <w:sz w:val="22"/>
        </w:rPr>
        <w:t> </w:t>
      </w:r>
      <w:r>
        <w:rPr>
          <w:sz w:val="22"/>
        </w:rPr>
        <w:t>jurídico</w:t>
      </w:r>
      <w:r>
        <w:rPr>
          <w:spacing w:val="-11"/>
          <w:sz w:val="22"/>
        </w:rPr>
        <w:t> </w:t>
      </w:r>
      <w:r>
        <w:rPr>
          <w:sz w:val="22"/>
        </w:rPr>
        <w:t>andino,</w:t>
      </w:r>
      <w:r>
        <w:rPr>
          <w:spacing w:val="-11"/>
          <w:sz w:val="22"/>
        </w:rPr>
        <w:t> </w:t>
      </w:r>
      <w:r>
        <w:rPr>
          <w:sz w:val="22"/>
        </w:rPr>
        <w:t>en</w:t>
      </w:r>
      <w:r>
        <w:rPr>
          <w:spacing w:val="-10"/>
          <w:sz w:val="22"/>
        </w:rPr>
        <w:t> </w:t>
      </w:r>
      <w:r>
        <w:rPr>
          <w:sz w:val="22"/>
        </w:rPr>
        <w:t>particular</w:t>
      </w:r>
      <w:r>
        <w:rPr>
          <w:spacing w:val="-11"/>
          <w:sz w:val="22"/>
        </w:rPr>
        <w:t> </w:t>
      </w:r>
      <w:r>
        <w:rPr>
          <w:sz w:val="22"/>
        </w:rPr>
        <w:t>a</w:t>
      </w:r>
      <w:r>
        <w:rPr>
          <w:spacing w:val="-12"/>
          <w:sz w:val="22"/>
        </w:rPr>
        <w:t> </w:t>
      </w:r>
      <w:r>
        <w:rPr>
          <w:sz w:val="22"/>
        </w:rPr>
        <w:t>través</w:t>
      </w:r>
      <w:r>
        <w:rPr>
          <w:spacing w:val="-12"/>
          <w:sz w:val="22"/>
        </w:rPr>
        <w:t> </w:t>
      </w:r>
      <w:r>
        <w:rPr>
          <w:sz w:val="22"/>
        </w:rPr>
        <w:t>de</w:t>
      </w:r>
      <w:r>
        <w:rPr>
          <w:spacing w:val="-13"/>
          <w:sz w:val="22"/>
        </w:rPr>
        <w:t> </w:t>
      </w:r>
      <w:r>
        <w:rPr>
          <w:sz w:val="22"/>
        </w:rPr>
        <w:t>la</w:t>
      </w:r>
      <w:r>
        <w:rPr>
          <w:spacing w:val="-10"/>
          <w:sz w:val="22"/>
        </w:rPr>
        <w:t> </w:t>
      </w:r>
      <w:r>
        <w:rPr>
          <w:sz w:val="22"/>
        </w:rPr>
        <w:t>Decisión 922, prevé un conjunto de instrumentos orientados a enfrentar la delincuencia organizada transnacional en zonas de frontera mediante el fortalecimiento de los controles, la cooperación interinstitucional, el intercambio de información y la ejecución de operaciones coordinadas entre los Países Miembros, incluyendo la identificación,</w:t>
      </w:r>
      <w:r>
        <w:rPr>
          <w:spacing w:val="-14"/>
          <w:sz w:val="22"/>
        </w:rPr>
        <w:t> </w:t>
      </w:r>
      <w:r>
        <w:rPr>
          <w:sz w:val="22"/>
        </w:rPr>
        <w:t>control</w:t>
      </w:r>
      <w:r>
        <w:rPr>
          <w:spacing w:val="-16"/>
          <w:sz w:val="22"/>
        </w:rPr>
        <w:t> </w:t>
      </w:r>
      <w:r>
        <w:rPr>
          <w:sz w:val="22"/>
        </w:rPr>
        <w:t>y</w:t>
      </w:r>
      <w:r>
        <w:rPr>
          <w:spacing w:val="-14"/>
          <w:sz w:val="22"/>
        </w:rPr>
        <w:t> </w:t>
      </w:r>
      <w:r>
        <w:rPr>
          <w:sz w:val="22"/>
        </w:rPr>
        <w:t>neutralización</w:t>
      </w:r>
      <w:r>
        <w:rPr>
          <w:spacing w:val="-13"/>
          <w:sz w:val="22"/>
        </w:rPr>
        <w:t> </w:t>
      </w:r>
      <w:r>
        <w:rPr>
          <w:sz w:val="22"/>
        </w:rPr>
        <w:t>de</w:t>
      </w:r>
      <w:r>
        <w:rPr>
          <w:spacing w:val="-15"/>
          <w:sz w:val="22"/>
        </w:rPr>
        <w:t> </w:t>
      </w:r>
      <w:r>
        <w:rPr>
          <w:sz w:val="22"/>
        </w:rPr>
        <w:t>los</w:t>
      </w:r>
      <w:r>
        <w:rPr>
          <w:spacing w:val="-15"/>
          <w:sz w:val="22"/>
        </w:rPr>
        <w:t> </w:t>
      </w:r>
      <w:r>
        <w:rPr>
          <w:sz w:val="22"/>
        </w:rPr>
        <w:t>pasos</w:t>
      </w:r>
      <w:r>
        <w:rPr>
          <w:spacing w:val="-14"/>
          <w:sz w:val="22"/>
        </w:rPr>
        <w:t> </w:t>
      </w:r>
      <w:r>
        <w:rPr>
          <w:sz w:val="22"/>
        </w:rPr>
        <w:t>fronterizos</w:t>
      </w:r>
      <w:r>
        <w:rPr>
          <w:spacing w:val="-14"/>
          <w:sz w:val="22"/>
        </w:rPr>
        <w:t> </w:t>
      </w:r>
      <w:r>
        <w:rPr>
          <w:sz w:val="22"/>
        </w:rPr>
        <w:t>no</w:t>
      </w:r>
      <w:r>
        <w:rPr>
          <w:spacing w:val="-15"/>
          <w:sz w:val="22"/>
        </w:rPr>
        <w:t> </w:t>
      </w:r>
      <w:r>
        <w:rPr>
          <w:sz w:val="22"/>
        </w:rPr>
        <w:t>autorizados.</w:t>
      </w:r>
      <w:r>
        <w:rPr>
          <w:spacing w:val="-14"/>
          <w:sz w:val="22"/>
        </w:rPr>
        <w:t> </w:t>
      </w:r>
      <w:r>
        <w:rPr>
          <w:sz w:val="22"/>
        </w:rPr>
        <w:t>Dichos mecanismos evidencian la existencia de alternativas que podrían atender directamente la problemática identificada, sin afectar el comercio formal </w:t>
      </w:r>
      <w:r>
        <w:rPr>
          <w:spacing w:val="-2"/>
          <w:sz w:val="22"/>
        </w:rPr>
        <w:t>intracomunitario.</w:t>
      </w:r>
    </w:p>
    <w:p>
      <w:pPr>
        <w:pStyle w:val="BodyText"/>
        <w:spacing w:before="2"/>
      </w:pPr>
    </w:p>
    <w:p>
      <w:pPr>
        <w:pStyle w:val="ListParagraph"/>
        <w:numPr>
          <w:ilvl w:val="0"/>
          <w:numId w:val="2"/>
        </w:numPr>
        <w:tabs>
          <w:tab w:pos="1416" w:val="left" w:leader="none"/>
          <w:tab w:pos="1420" w:val="left" w:leader="none"/>
        </w:tabs>
        <w:spacing w:line="240" w:lineRule="auto" w:before="0" w:after="0"/>
        <w:ind w:left="1420" w:right="979" w:hanging="852"/>
        <w:jc w:val="both"/>
        <w:rPr>
          <w:sz w:val="22"/>
        </w:rPr>
      </w:pPr>
      <w:r>
        <w:rPr>
          <w:sz w:val="22"/>
        </w:rPr>
        <w:t>En consecuencia, no se evidencia que la restricción del comercio a un único punto de ingreso constituya una medida insustituible en los términos exigidos por la jurisprudencia</w:t>
      </w:r>
      <w:r>
        <w:rPr>
          <w:spacing w:val="-4"/>
          <w:sz w:val="22"/>
        </w:rPr>
        <w:t> </w:t>
      </w:r>
      <w:r>
        <w:rPr>
          <w:sz w:val="22"/>
        </w:rPr>
        <w:t>del</w:t>
      </w:r>
      <w:r>
        <w:rPr>
          <w:spacing w:val="-5"/>
          <w:sz w:val="22"/>
        </w:rPr>
        <w:t> </w:t>
      </w:r>
      <w:r>
        <w:rPr>
          <w:sz w:val="22"/>
        </w:rPr>
        <w:t>TJCAN.</w:t>
      </w:r>
      <w:r>
        <w:rPr>
          <w:spacing w:val="-3"/>
          <w:sz w:val="22"/>
        </w:rPr>
        <w:t> </w:t>
      </w:r>
      <w:r>
        <w:rPr>
          <w:sz w:val="22"/>
        </w:rPr>
        <w:t>Por</w:t>
      </w:r>
      <w:r>
        <w:rPr>
          <w:spacing w:val="-3"/>
          <w:sz w:val="22"/>
        </w:rPr>
        <w:t> </w:t>
      </w:r>
      <w:r>
        <w:rPr>
          <w:sz w:val="22"/>
        </w:rPr>
        <w:t>el</w:t>
      </w:r>
      <w:r>
        <w:rPr>
          <w:spacing w:val="-5"/>
          <w:sz w:val="22"/>
        </w:rPr>
        <w:t> </w:t>
      </w:r>
      <w:r>
        <w:rPr>
          <w:sz w:val="22"/>
        </w:rPr>
        <w:t>contrario,</w:t>
      </w:r>
      <w:r>
        <w:rPr>
          <w:spacing w:val="-3"/>
          <w:sz w:val="22"/>
        </w:rPr>
        <w:t> </w:t>
      </w:r>
      <w:r>
        <w:rPr>
          <w:sz w:val="22"/>
        </w:rPr>
        <w:t>la</w:t>
      </w:r>
      <w:r>
        <w:rPr>
          <w:spacing w:val="-4"/>
          <w:sz w:val="22"/>
        </w:rPr>
        <w:t> </w:t>
      </w:r>
      <w:r>
        <w:rPr>
          <w:sz w:val="22"/>
        </w:rPr>
        <w:t>existencia</w:t>
      </w:r>
      <w:r>
        <w:rPr>
          <w:spacing w:val="-4"/>
          <w:sz w:val="22"/>
        </w:rPr>
        <w:t> </w:t>
      </w:r>
      <w:r>
        <w:rPr>
          <w:sz w:val="22"/>
        </w:rPr>
        <w:t>de</w:t>
      </w:r>
      <w:r>
        <w:rPr>
          <w:spacing w:val="-7"/>
          <w:sz w:val="22"/>
        </w:rPr>
        <w:t> </w:t>
      </w:r>
      <w:r>
        <w:rPr>
          <w:sz w:val="22"/>
        </w:rPr>
        <w:t>mecanismos</w:t>
      </w:r>
      <w:r>
        <w:rPr>
          <w:spacing w:val="-9"/>
          <w:sz w:val="22"/>
        </w:rPr>
        <w:t> </w:t>
      </w:r>
      <w:r>
        <w:rPr>
          <w:sz w:val="22"/>
        </w:rPr>
        <w:t>de</w:t>
      </w:r>
      <w:r>
        <w:rPr>
          <w:spacing w:val="-4"/>
          <w:sz w:val="22"/>
        </w:rPr>
        <w:t> </w:t>
      </w:r>
      <w:r>
        <w:rPr>
          <w:sz w:val="22"/>
        </w:rPr>
        <w:t>control</w:t>
      </w:r>
      <w:r>
        <w:rPr>
          <w:spacing w:val="-7"/>
          <w:sz w:val="22"/>
        </w:rPr>
        <w:t> </w:t>
      </w:r>
      <w:r>
        <w:rPr>
          <w:sz w:val="22"/>
        </w:rPr>
        <w:t>y cooperación previstos en el marco andino demuestran que era posible alcanzar la finalidad</w:t>
      </w:r>
      <w:r>
        <w:rPr>
          <w:spacing w:val="-6"/>
          <w:sz w:val="22"/>
        </w:rPr>
        <w:t> </w:t>
      </w:r>
      <w:r>
        <w:rPr>
          <w:sz w:val="22"/>
        </w:rPr>
        <w:t>invocada</w:t>
      </w:r>
      <w:r>
        <w:rPr>
          <w:spacing w:val="-6"/>
          <w:sz w:val="22"/>
        </w:rPr>
        <w:t> </w:t>
      </w:r>
      <w:r>
        <w:rPr>
          <w:sz w:val="22"/>
        </w:rPr>
        <w:t>mediante</w:t>
      </w:r>
      <w:r>
        <w:rPr>
          <w:spacing w:val="-8"/>
          <w:sz w:val="22"/>
        </w:rPr>
        <w:t> </w:t>
      </w:r>
      <w:r>
        <w:rPr>
          <w:sz w:val="22"/>
        </w:rPr>
        <w:t>medidas</w:t>
      </w:r>
      <w:r>
        <w:rPr>
          <w:spacing w:val="-8"/>
          <w:sz w:val="22"/>
        </w:rPr>
        <w:t> </w:t>
      </w:r>
      <w:r>
        <w:rPr>
          <w:sz w:val="22"/>
        </w:rPr>
        <w:t>menos</w:t>
      </w:r>
      <w:r>
        <w:rPr>
          <w:spacing w:val="-6"/>
          <w:sz w:val="22"/>
        </w:rPr>
        <w:t> </w:t>
      </w:r>
      <w:r>
        <w:rPr>
          <w:sz w:val="22"/>
        </w:rPr>
        <w:t>gravosas</w:t>
      </w:r>
      <w:r>
        <w:rPr>
          <w:spacing w:val="-6"/>
          <w:sz w:val="22"/>
        </w:rPr>
        <w:t> </w:t>
      </w:r>
      <w:r>
        <w:rPr>
          <w:sz w:val="22"/>
        </w:rPr>
        <w:t>para</w:t>
      </w:r>
      <w:r>
        <w:rPr>
          <w:spacing w:val="-8"/>
          <w:sz w:val="22"/>
        </w:rPr>
        <w:t> </w:t>
      </w:r>
      <w:r>
        <w:rPr>
          <w:sz w:val="22"/>
        </w:rPr>
        <w:t>el</w:t>
      </w:r>
      <w:r>
        <w:rPr>
          <w:spacing w:val="-7"/>
          <w:sz w:val="22"/>
        </w:rPr>
        <w:t> </w:t>
      </w:r>
      <w:r>
        <w:rPr>
          <w:sz w:val="22"/>
        </w:rPr>
        <w:t>comercio</w:t>
      </w:r>
      <w:r>
        <w:rPr>
          <w:spacing w:val="-6"/>
          <w:sz w:val="22"/>
        </w:rPr>
        <w:t> </w:t>
      </w:r>
      <w:r>
        <w:rPr>
          <w:sz w:val="22"/>
        </w:rPr>
        <w:t>subregional, lo cual impide considerar que la medida adoptada cumpla con el criterio de necesidad. En consecuencia, este requisito no se encuentra cumplido.</w:t>
      </w:r>
    </w:p>
    <w:p>
      <w:pPr>
        <w:pStyle w:val="BodyText"/>
        <w:spacing w:before="134"/>
      </w:pPr>
    </w:p>
    <w:p>
      <w:pPr>
        <w:pStyle w:val="Heading6"/>
        <w:numPr>
          <w:ilvl w:val="1"/>
          <w:numId w:val="1"/>
        </w:numPr>
        <w:tabs>
          <w:tab w:pos="1276" w:val="left" w:leader="none"/>
        </w:tabs>
        <w:spacing w:line="240" w:lineRule="auto" w:before="1" w:after="0"/>
        <w:ind w:left="1276" w:right="0" w:hanging="708"/>
        <w:jc w:val="left"/>
      </w:pPr>
      <w:r>
        <w:rPr/>
        <w:t>Sobre</w:t>
      </w:r>
      <w:r>
        <w:rPr>
          <w:spacing w:val="-5"/>
        </w:rPr>
        <w:t> </w:t>
      </w:r>
      <w:r>
        <w:rPr/>
        <w:t>proporcionalidad</w:t>
      </w:r>
      <w:r>
        <w:rPr>
          <w:spacing w:val="-5"/>
        </w:rPr>
        <w:t> </w:t>
      </w:r>
      <w:r>
        <w:rPr/>
        <w:t>de</w:t>
      </w:r>
      <w:r>
        <w:rPr>
          <w:spacing w:val="-7"/>
        </w:rPr>
        <w:t> </w:t>
      </w:r>
      <w:r>
        <w:rPr/>
        <w:t>la</w:t>
      </w:r>
      <w:r>
        <w:rPr>
          <w:spacing w:val="-7"/>
        </w:rPr>
        <w:t> </w:t>
      </w:r>
      <w:r>
        <w:rPr>
          <w:spacing w:val="-2"/>
        </w:rPr>
        <w:t>medida</w:t>
      </w:r>
    </w:p>
    <w:p>
      <w:pPr>
        <w:pStyle w:val="BodyText"/>
        <w:rPr>
          <w:rFonts w:ascii="Arial"/>
          <w:b/>
        </w:rPr>
      </w:pPr>
    </w:p>
    <w:p>
      <w:pPr>
        <w:pStyle w:val="ListParagraph"/>
        <w:numPr>
          <w:ilvl w:val="0"/>
          <w:numId w:val="2"/>
        </w:numPr>
        <w:tabs>
          <w:tab w:pos="1416" w:val="left" w:leader="none"/>
          <w:tab w:pos="1420" w:val="left" w:leader="none"/>
        </w:tabs>
        <w:spacing w:line="240" w:lineRule="auto" w:before="0" w:after="0"/>
        <w:ind w:left="1420" w:right="980" w:hanging="852"/>
        <w:jc w:val="both"/>
        <w:rPr>
          <w:sz w:val="22"/>
        </w:rPr>
      </w:pPr>
      <w:r>
        <w:rPr>
          <w:sz w:val="22"/>
        </w:rPr>
        <w:t>En su</w:t>
      </w:r>
      <w:r>
        <w:rPr>
          <w:spacing w:val="-2"/>
          <w:sz w:val="22"/>
        </w:rPr>
        <w:t> </w:t>
      </w:r>
      <w:r>
        <w:rPr>
          <w:sz w:val="22"/>
        </w:rPr>
        <w:t>respuesta,</w:t>
      </w:r>
      <w:r>
        <w:rPr>
          <w:spacing w:val="-1"/>
          <w:sz w:val="22"/>
        </w:rPr>
        <w:t> </w:t>
      </w:r>
      <w:r>
        <w:rPr>
          <w:sz w:val="22"/>
        </w:rPr>
        <w:t>la República del</w:t>
      </w:r>
      <w:r>
        <w:rPr>
          <w:spacing w:val="-1"/>
          <w:sz w:val="22"/>
        </w:rPr>
        <w:t> </w:t>
      </w:r>
      <w:r>
        <w:rPr>
          <w:sz w:val="22"/>
        </w:rPr>
        <w:t>Ecuador sostiene lo siguiente</w:t>
      </w:r>
      <w:r>
        <w:rPr>
          <w:spacing w:val="-3"/>
          <w:sz w:val="22"/>
        </w:rPr>
        <w:t> </w:t>
      </w:r>
      <w:r>
        <w:rPr>
          <w:sz w:val="22"/>
        </w:rPr>
        <w:t>en</w:t>
      </w:r>
      <w:r>
        <w:rPr>
          <w:spacing w:val="-3"/>
          <w:sz w:val="22"/>
        </w:rPr>
        <w:t> </w:t>
      </w:r>
      <w:r>
        <w:rPr>
          <w:sz w:val="22"/>
        </w:rPr>
        <w:t>cuanto</w:t>
      </w:r>
      <w:r>
        <w:rPr>
          <w:spacing w:val="-2"/>
          <w:sz w:val="22"/>
        </w:rPr>
        <w:t> </w:t>
      </w:r>
      <w:r>
        <w:rPr>
          <w:sz w:val="22"/>
        </w:rPr>
        <w:t>al</w:t>
      </w:r>
      <w:r>
        <w:rPr>
          <w:spacing w:val="-2"/>
          <w:sz w:val="22"/>
        </w:rPr>
        <w:t> </w:t>
      </w:r>
      <w:r>
        <w:rPr>
          <w:sz w:val="22"/>
        </w:rPr>
        <w:t>criterio de proporcionalidad:</w:t>
      </w:r>
    </w:p>
    <w:p>
      <w:pPr>
        <w:spacing w:before="252"/>
        <w:ind w:left="2128" w:right="977" w:firstLine="0"/>
        <w:jc w:val="both"/>
        <w:rPr>
          <w:rFonts w:ascii="Arial" w:hAnsi="Arial"/>
          <w:i/>
          <w:sz w:val="22"/>
        </w:rPr>
      </w:pPr>
      <w:r>
        <w:rPr>
          <w:rFonts w:ascii="Arial" w:hAnsi="Arial"/>
          <w:i/>
          <w:sz w:val="22"/>
        </w:rPr>
        <w:t>“La proporcionalidad de la medida también se encuentra satisfecha. En efecto, el</w:t>
      </w:r>
      <w:r>
        <w:rPr>
          <w:rFonts w:ascii="Arial" w:hAnsi="Arial"/>
          <w:i/>
          <w:spacing w:val="-1"/>
          <w:sz w:val="22"/>
        </w:rPr>
        <w:t> </w:t>
      </w:r>
      <w:r>
        <w:rPr>
          <w:rFonts w:ascii="Arial" w:hAnsi="Arial"/>
          <w:i/>
          <w:sz w:val="22"/>
        </w:rPr>
        <w:t>artículo XX del</w:t>
      </w:r>
      <w:r>
        <w:rPr>
          <w:rFonts w:ascii="Arial" w:hAnsi="Arial"/>
          <w:i/>
          <w:spacing w:val="-2"/>
          <w:sz w:val="22"/>
        </w:rPr>
        <w:t> </w:t>
      </w:r>
      <w:r>
        <w:rPr>
          <w:rFonts w:ascii="Arial" w:hAnsi="Arial"/>
          <w:i/>
          <w:sz w:val="22"/>
        </w:rPr>
        <w:t>GATT de 1994 dispone, en su párrafo introductorio, que las medidas comprendidas en dicha disposición no deben aplicarse “en forma que constituya un medio de discriminación arbitrario o injustificable entre</w:t>
      </w:r>
      <w:r>
        <w:rPr>
          <w:rFonts w:ascii="Arial" w:hAnsi="Arial"/>
          <w:i/>
          <w:spacing w:val="-16"/>
          <w:sz w:val="22"/>
        </w:rPr>
        <w:t> </w:t>
      </w:r>
      <w:r>
        <w:rPr>
          <w:rFonts w:ascii="Arial" w:hAnsi="Arial"/>
          <w:i/>
          <w:sz w:val="22"/>
        </w:rPr>
        <w:t>los</w:t>
      </w:r>
      <w:r>
        <w:rPr>
          <w:rFonts w:ascii="Arial" w:hAnsi="Arial"/>
          <w:i/>
          <w:spacing w:val="-15"/>
          <w:sz w:val="22"/>
        </w:rPr>
        <w:t> </w:t>
      </w:r>
      <w:r>
        <w:rPr>
          <w:rFonts w:ascii="Arial" w:hAnsi="Arial"/>
          <w:i/>
          <w:sz w:val="22"/>
        </w:rPr>
        <w:t>países</w:t>
      </w:r>
      <w:r>
        <w:rPr>
          <w:rFonts w:ascii="Arial" w:hAnsi="Arial"/>
          <w:i/>
          <w:spacing w:val="-15"/>
          <w:sz w:val="22"/>
        </w:rPr>
        <w:t> </w:t>
      </w:r>
      <w:r>
        <w:rPr>
          <w:rFonts w:ascii="Arial" w:hAnsi="Arial"/>
          <w:i/>
          <w:sz w:val="22"/>
        </w:rPr>
        <w:t>en</w:t>
      </w:r>
      <w:r>
        <w:rPr>
          <w:rFonts w:ascii="Arial" w:hAnsi="Arial"/>
          <w:i/>
          <w:spacing w:val="-16"/>
          <w:sz w:val="22"/>
        </w:rPr>
        <w:t> </w:t>
      </w:r>
      <w:r>
        <w:rPr>
          <w:rFonts w:ascii="Arial" w:hAnsi="Arial"/>
          <w:i/>
          <w:sz w:val="22"/>
        </w:rPr>
        <w:t>que</w:t>
      </w:r>
      <w:r>
        <w:rPr>
          <w:rFonts w:ascii="Arial" w:hAnsi="Arial"/>
          <w:i/>
          <w:spacing w:val="-15"/>
          <w:sz w:val="22"/>
        </w:rPr>
        <w:t> </w:t>
      </w:r>
      <w:r>
        <w:rPr>
          <w:rFonts w:ascii="Arial" w:hAnsi="Arial"/>
          <w:i/>
          <w:sz w:val="22"/>
        </w:rPr>
        <w:t>prevalezcan</w:t>
      </w:r>
      <w:r>
        <w:rPr>
          <w:rFonts w:ascii="Arial" w:hAnsi="Arial"/>
          <w:i/>
          <w:spacing w:val="-15"/>
          <w:sz w:val="22"/>
        </w:rPr>
        <w:t> </w:t>
      </w:r>
      <w:r>
        <w:rPr>
          <w:rFonts w:ascii="Arial" w:hAnsi="Arial"/>
          <w:i/>
          <w:sz w:val="22"/>
        </w:rPr>
        <w:t>las</w:t>
      </w:r>
      <w:r>
        <w:rPr>
          <w:rFonts w:ascii="Arial" w:hAnsi="Arial"/>
          <w:i/>
          <w:spacing w:val="-15"/>
          <w:sz w:val="22"/>
        </w:rPr>
        <w:t> </w:t>
      </w:r>
      <w:r>
        <w:rPr>
          <w:rFonts w:ascii="Arial" w:hAnsi="Arial"/>
          <w:i/>
          <w:sz w:val="22"/>
        </w:rPr>
        <w:t>mismas</w:t>
      </w:r>
      <w:r>
        <w:rPr>
          <w:rFonts w:ascii="Arial" w:hAnsi="Arial"/>
          <w:i/>
          <w:spacing w:val="-16"/>
          <w:sz w:val="22"/>
        </w:rPr>
        <w:t> </w:t>
      </w:r>
      <w:r>
        <w:rPr>
          <w:rFonts w:ascii="Arial" w:hAnsi="Arial"/>
          <w:i/>
          <w:sz w:val="22"/>
        </w:rPr>
        <w:t>condiciones,</w:t>
      </w:r>
      <w:r>
        <w:rPr>
          <w:rFonts w:ascii="Arial" w:hAnsi="Arial"/>
          <w:i/>
          <w:spacing w:val="-15"/>
          <w:sz w:val="22"/>
        </w:rPr>
        <w:t> </w:t>
      </w:r>
      <w:r>
        <w:rPr>
          <w:rFonts w:ascii="Arial" w:hAnsi="Arial"/>
          <w:i/>
          <w:sz w:val="22"/>
        </w:rPr>
        <w:t>o</w:t>
      </w:r>
      <w:r>
        <w:rPr>
          <w:rFonts w:ascii="Arial" w:hAnsi="Arial"/>
          <w:i/>
          <w:spacing w:val="-15"/>
          <w:sz w:val="22"/>
        </w:rPr>
        <w:t> </w:t>
      </w:r>
      <w:r>
        <w:rPr>
          <w:rFonts w:ascii="Arial" w:hAnsi="Arial"/>
          <w:i/>
          <w:sz w:val="22"/>
        </w:rPr>
        <w:t>una</w:t>
      </w:r>
      <w:r>
        <w:rPr>
          <w:rFonts w:ascii="Arial" w:hAnsi="Arial"/>
          <w:i/>
          <w:spacing w:val="-16"/>
          <w:sz w:val="22"/>
        </w:rPr>
        <w:t> </w:t>
      </w:r>
      <w:r>
        <w:rPr>
          <w:rFonts w:ascii="Arial" w:hAnsi="Arial"/>
          <w:i/>
          <w:sz w:val="22"/>
        </w:rPr>
        <w:t>restricción encubierta al comercio internacional”; y reconoce, entre otras, las medidas “necesarias</w:t>
      </w:r>
      <w:r>
        <w:rPr>
          <w:rFonts w:ascii="Arial" w:hAnsi="Arial"/>
          <w:i/>
          <w:spacing w:val="-9"/>
          <w:sz w:val="22"/>
        </w:rPr>
        <w:t> </w:t>
      </w:r>
      <w:r>
        <w:rPr>
          <w:rFonts w:ascii="Arial" w:hAnsi="Arial"/>
          <w:i/>
          <w:sz w:val="22"/>
        </w:rPr>
        <w:t>para</w:t>
      </w:r>
      <w:r>
        <w:rPr>
          <w:rFonts w:ascii="Arial" w:hAnsi="Arial"/>
          <w:i/>
          <w:spacing w:val="-9"/>
          <w:sz w:val="22"/>
        </w:rPr>
        <w:t> </w:t>
      </w:r>
      <w:r>
        <w:rPr>
          <w:rFonts w:ascii="Arial" w:hAnsi="Arial"/>
          <w:i/>
          <w:sz w:val="22"/>
        </w:rPr>
        <w:t>proteger</w:t>
      </w:r>
      <w:r>
        <w:rPr>
          <w:rFonts w:ascii="Arial" w:hAnsi="Arial"/>
          <w:i/>
          <w:spacing w:val="-5"/>
          <w:sz w:val="22"/>
        </w:rPr>
        <w:t> </w:t>
      </w:r>
      <w:r>
        <w:rPr>
          <w:rFonts w:ascii="Arial" w:hAnsi="Arial"/>
          <w:i/>
          <w:sz w:val="22"/>
        </w:rPr>
        <w:t>la</w:t>
      </w:r>
      <w:r>
        <w:rPr>
          <w:rFonts w:ascii="Arial" w:hAnsi="Arial"/>
          <w:i/>
          <w:spacing w:val="-9"/>
          <w:sz w:val="22"/>
        </w:rPr>
        <w:t> </w:t>
      </w:r>
      <w:r>
        <w:rPr>
          <w:rFonts w:ascii="Arial" w:hAnsi="Arial"/>
          <w:i/>
          <w:sz w:val="22"/>
        </w:rPr>
        <w:t>salud</w:t>
      </w:r>
      <w:r>
        <w:rPr>
          <w:rFonts w:ascii="Arial" w:hAnsi="Arial"/>
          <w:i/>
          <w:spacing w:val="-7"/>
          <w:sz w:val="22"/>
        </w:rPr>
        <w:t> </w:t>
      </w:r>
      <w:r>
        <w:rPr>
          <w:rFonts w:ascii="Arial" w:hAnsi="Arial"/>
          <w:i/>
          <w:sz w:val="22"/>
        </w:rPr>
        <w:t>y</w:t>
      </w:r>
      <w:r>
        <w:rPr>
          <w:rFonts w:ascii="Arial" w:hAnsi="Arial"/>
          <w:i/>
          <w:spacing w:val="-8"/>
          <w:sz w:val="22"/>
        </w:rPr>
        <w:t> </w:t>
      </w:r>
      <w:r>
        <w:rPr>
          <w:rFonts w:ascii="Arial" w:hAnsi="Arial"/>
          <w:i/>
          <w:sz w:val="22"/>
        </w:rPr>
        <w:t>la</w:t>
      </w:r>
      <w:r>
        <w:rPr>
          <w:rFonts w:ascii="Arial" w:hAnsi="Arial"/>
          <w:i/>
          <w:spacing w:val="-6"/>
          <w:sz w:val="22"/>
        </w:rPr>
        <w:t> </w:t>
      </w:r>
      <w:r>
        <w:rPr>
          <w:rFonts w:ascii="Arial" w:hAnsi="Arial"/>
          <w:i/>
          <w:sz w:val="22"/>
        </w:rPr>
        <w:t>vida</w:t>
      </w:r>
      <w:r>
        <w:rPr>
          <w:rFonts w:ascii="Arial" w:hAnsi="Arial"/>
          <w:i/>
          <w:spacing w:val="-7"/>
          <w:sz w:val="22"/>
        </w:rPr>
        <w:t> </w:t>
      </w:r>
      <w:r>
        <w:rPr>
          <w:rFonts w:ascii="Arial" w:hAnsi="Arial"/>
          <w:i/>
          <w:sz w:val="22"/>
        </w:rPr>
        <w:t>de</w:t>
      </w:r>
      <w:r>
        <w:rPr>
          <w:rFonts w:ascii="Arial" w:hAnsi="Arial"/>
          <w:i/>
          <w:spacing w:val="-9"/>
          <w:sz w:val="22"/>
        </w:rPr>
        <w:t> </w:t>
      </w:r>
      <w:r>
        <w:rPr>
          <w:rFonts w:ascii="Arial" w:hAnsi="Arial"/>
          <w:i/>
          <w:sz w:val="22"/>
        </w:rPr>
        <w:t>las</w:t>
      </w:r>
      <w:r>
        <w:rPr>
          <w:rFonts w:ascii="Arial" w:hAnsi="Arial"/>
          <w:i/>
          <w:spacing w:val="-9"/>
          <w:sz w:val="22"/>
        </w:rPr>
        <w:t> </w:t>
      </w:r>
      <w:r>
        <w:rPr>
          <w:rFonts w:ascii="Arial" w:hAnsi="Arial"/>
          <w:i/>
          <w:sz w:val="22"/>
        </w:rPr>
        <w:t>personas</w:t>
      </w:r>
      <w:r>
        <w:rPr>
          <w:rFonts w:ascii="Arial" w:hAnsi="Arial"/>
          <w:i/>
          <w:spacing w:val="-9"/>
          <w:sz w:val="22"/>
        </w:rPr>
        <w:t> </w:t>
      </w:r>
      <w:r>
        <w:rPr>
          <w:rFonts w:ascii="Arial" w:hAnsi="Arial"/>
          <w:i/>
          <w:sz w:val="22"/>
        </w:rPr>
        <w:t>y</w:t>
      </w:r>
      <w:r>
        <w:rPr>
          <w:rFonts w:ascii="Arial" w:hAnsi="Arial"/>
          <w:i/>
          <w:spacing w:val="-3"/>
          <w:sz w:val="22"/>
        </w:rPr>
        <w:t> </w:t>
      </w:r>
      <w:r>
        <w:rPr>
          <w:rFonts w:ascii="Arial" w:hAnsi="Arial"/>
          <w:i/>
          <w:sz w:val="22"/>
        </w:rPr>
        <w:t>de</w:t>
      </w:r>
      <w:r>
        <w:rPr>
          <w:rFonts w:ascii="Arial" w:hAnsi="Arial"/>
          <w:i/>
          <w:spacing w:val="-9"/>
          <w:sz w:val="22"/>
        </w:rPr>
        <w:t> </w:t>
      </w:r>
      <w:r>
        <w:rPr>
          <w:rFonts w:ascii="Arial" w:hAnsi="Arial"/>
          <w:i/>
          <w:sz w:val="22"/>
        </w:rPr>
        <w:t>los</w:t>
      </w:r>
      <w:r>
        <w:rPr>
          <w:rFonts w:ascii="Arial" w:hAnsi="Arial"/>
          <w:i/>
          <w:spacing w:val="-6"/>
          <w:sz w:val="22"/>
        </w:rPr>
        <w:t> </w:t>
      </w:r>
      <w:r>
        <w:rPr>
          <w:rFonts w:ascii="Arial" w:hAnsi="Arial"/>
          <w:i/>
          <w:sz w:val="22"/>
        </w:rPr>
        <w:t>animales o</w:t>
      </w:r>
      <w:r>
        <w:rPr>
          <w:rFonts w:ascii="Arial" w:hAnsi="Arial"/>
          <w:i/>
          <w:spacing w:val="-15"/>
          <w:sz w:val="22"/>
        </w:rPr>
        <w:t> </w:t>
      </w:r>
      <w:r>
        <w:rPr>
          <w:rFonts w:ascii="Arial" w:hAnsi="Arial"/>
          <w:i/>
          <w:sz w:val="22"/>
        </w:rPr>
        <w:t>para</w:t>
      </w:r>
      <w:r>
        <w:rPr>
          <w:rFonts w:ascii="Arial" w:hAnsi="Arial"/>
          <w:i/>
          <w:spacing w:val="-16"/>
          <w:sz w:val="22"/>
        </w:rPr>
        <w:t> </w:t>
      </w:r>
      <w:r>
        <w:rPr>
          <w:rFonts w:ascii="Arial" w:hAnsi="Arial"/>
          <w:i/>
          <w:sz w:val="22"/>
        </w:rPr>
        <w:t>preservar</w:t>
      </w:r>
      <w:r>
        <w:rPr>
          <w:rFonts w:ascii="Arial" w:hAnsi="Arial"/>
          <w:i/>
          <w:spacing w:val="-14"/>
          <w:sz w:val="22"/>
        </w:rPr>
        <w:t> </w:t>
      </w:r>
      <w:r>
        <w:rPr>
          <w:rFonts w:ascii="Arial" w:hAnsi="Arial"/>
          <w:i/>
          <w:sz w:val="22"/>
        </w:rPr>
        <w:t>los</w:t>
      </w:r>
      <w:r>
        <w:rPr>
          <w:rFonts w:ascii="Arial" w:hAnsi="Arial"/>
          <w:i/>
          <w:spacing w:val="-13"/>
          <w:sz w:val="22"/>
        </w:rPr>
        <w:t> </w:t>
      </w:r>
      <w:r>
        <w:rPr>
          <w:rFonts w:ascii="Arial" w:hAnsi="Arial"/>
          <w:i/>
          <w:sz w:val="22"/>
        </w:rPr>
        <w:t>vegetales”,</w:t>
      </w:r>
      <w:r>
        <w:rPr>
          <w:rFonts w:ascii="Arial" w:hAnsi="Arial"/>
          <w:i/>
          <w:spacing w:val="-14"/>
          <w:sz w:val="22"/>
        </w:rPr>
        <w:t> </w:t>
      </w:r>
      <w:r>
        <w:rPr>
          <w:rFonts w:ascii="Arial" w:hAnsi="Arial"/>
          <w:i/>
          <w:sz w:val="22"/>
        </w:rPr>
        <w:t>previstas</w:t>
      </w:r>
      <w:r>
        <w:rPr>
          <w:rFonts w:ascii="Arial" w:hAnsi="Arial"/>
          <w:i/>
          <w:spacing w:val="-16"/>
          <w:sz w:val="22"/>
        </w:rPr>
        <w:t> </w:t>
      </w:r>
      <w:r>
        <w:rPr>
          <w:rFonts w:ascii="Arial" w:hAnsi="Arial"/>
          <w:i/>
          <w:sz w:val="22"/>
        </w:rPr>
        <w:t>en</w:t>
      </w:r>
      <w:r>
        <w:rPr>
          <w:rFonts w:ascii="Arial" w:hAnsi="Arial"/>
          <w:i/>
          <w:spacing w:val="-13"/>
          <w:sz w:val="22"/>
        </w:rPr>
        <w:t> </w:t>
      </w:r>
      <w:r>
        <w:rPr>
          <w:rFonts w:ascii="Arial" w:hAnsi="Arial"/>
          <w:i/>
          <w:sz w:val="22"/>
        </w:rPr>
        <w:t>el</w:t>
      </w:r>
      <w:r>
        <w:rPr>
          <w:rFonts w:ascii="Arial" w:hAnsi="Arial"/>
          <w:i/>
          <w:spacing w:val="-15"/>
          <w:sz w:val="22"/>
        </w:rPr>
        <w:t> </w:t>
      </w:r>
      <w:r>
        <w:rPr>
          <w:rFonts w:ascii="Arial" w:hAnsi="Arial"/>
          <w:i/>
          <w:sz w:val="22"/>
        </w:rPr>
        <w:t>literal</w:t>
      </w:r>
      <w:r>
        <w:rPr>
          <w:rFonts w:ascii="Arial" w:hAnsi="Arial"/>
          <w:i/>
          <w:spacing w:val="-15"/>
          <w:sz w:val="22"/>
        </w:rPr>
        <w:t> </w:t>
      </w:r>
      <w:r>
        <w:rPr>
          <w:rFonts w:ascii="Arial" w:hAnsi="Arial"/>
          <w:i/>
          <w:sz w:val="22"/>
        </w:rPr>
        <w:t>b),</w:t>
      </w:r>
      <w:r>
        <w:rPr>
          <w:rFonts w:ascii="Arial" w:hAnsi="Arial"/>
          <w:i/>
          <w:spacing w:val="-14"/>
          <w:sz w:val="22"/>
        </w:rPr>
        <w:t> </w:t>
      </w:r>
      <w:r>
        <w:rPr>
          <w:rFonts w:ascii="Arial" w:hAnsi="Arial"/>
          <w:i/>
          <w:sz w:val="22"/>
        </w:rPr>
        <w:t>así</w:t>
      </w:r>
      <w:r>
        <w:rPr>
          <w:rFonts w:ascii="Arial" w:hAnsi="Arial"/>
          <w:i/>
          <w:spacing w:val="-15"/>
          <w:sz w:val="22"/>
        </w:rPr>
        <w:t> </w:t>
      </w:r>
      <w:r>
        <w:rPr>
          <w:rFonts w:ascii="Arial" w:hAnsi="Arial"/>
          <w:i/>
          <w:sz w:val="22"/>
        </w:rPr>
        <w:t>como</w:t>
      </w:r>
      <w:r>
        <w:rPr>
          <w:rFonts w:ascii="Arial" w:hAnsi="Arial"/>
          <w:i/>
          <w:spacing w:val="-14"/>
          <w:sz w:val="22"/>
        </w:rPr>
        <w:t> </w:t>
      </w:r>
      <w:r>
        <w:rPr>
          <w:rFonts w:ascii="Arial" w:hAnsi="Arial"/>
          <w:i/>
          <w:sz w:val="22"/>
        </w:rPr>
        <w:t>las</w:t>
      </w:r>
      <w:r>
        <w:rPr>
          <w:rFonts w:ascii="Arial" w:hAnsi="Arial"/>
          <w:i/>
          <w:spacing w:val="-16"/>
          <w:sz w:val="22"/>
        </w:rPr>
        <w:t> </w:t>
      </w:r>
      <w:r>
        <w:rPr>
          <w:rFonts w:ascii="Arial" w:hAnsi="Arial"/>
          <w:i/>
          <w:sz w:val="22"/>
        </w:rPr>
        <w:t>medidas “necesarias para lograr la observancia de las leyes y de los reglamentos”, incluidas las relativas a “la aplicación de las medidas aduaneras”, previstas en</w:t>
      </w:r>
      <w:r>
        <w:rPr>
          <w:rFonts w:ascii="Arial" w:hAnsi="Arial"/>
          <w:i/>
          <w:spacing w:val="-8"/>
          <w:sz w:val="22"/>
        </w:rPr>
        <w:t> </w:t>
      </w:r>
      <w:r>
        <w:rPr>
          <w:rFonts w:ascii="Arial" w:hAnsi="Arial"/>
          <w:i/>
          <w:sz w:val="22"/>
        </w:rPr>
        <w:t>el</w:t>
      </w:r>
      <w:r>
        <w:rPr>
          <w:rFonts w:ascii="Arial" w:hAnsi="Arial"/>
          <w:i/>
          <w:spacing w:val="-8"/>
          <w:sz w:val="22"/>
        </w:rPr>
        <w:t> </w:t>
      </w:r>
      <w:r>
        <w:rPr>
          <w:rFonts w:ascii="Arial" w:hAnsi="Arial"/>
          <w:i/>
          <w:sz w:val="22"/>
        </w:rPr>
        <w:t>literal</w:t>
      </w:r>
      <w:r>
        <w:rPr>
          <w:rFonts w:ascii="Arial" w:hAnsi="Arial"/>
          <w:i/>
          <w:spacing w:val="-8"/>
          <w:sz w:val="22"/>
        </w:rPr>
        <w:t> </w:t>
      </w:r>
      <w:r>
        <w:rPr>
          <w:rFonts w:ascii="Arial" w:hAnsi="Arial"/>
          <w:i/>
          <w:sz w:val="22"/>
        </w:rPr>
        <w:t>d).</w:t>
      </w:r>
      <w:r>
        <w:rPr>
          <w:rFonts w:ascii="Arial" w:hAnsi="Arial"/>
          <w:i/>
          <w:spacing w:val="-8"/>
          <w:sz w:val="22"/>
        </w:rPr>
        <w:t> </w:t>
      </w:r>
      <w:r>
        <w:rPr>
          <w:rFonts w:ascii="Arial" w:hAnsi="Arial"/>
          <w:i/>
          <w:sz w:val="22"/>
        </w:rPr>
        <w:t>A</w:t>
      </w:r>
      <w:r>
        <w:rPr>
          <w:rFonts w:ascii="Arial" w:hAnsi="Arial"/>
          <w:i/>
          <w:spacing w:val="-8"/>
          <w:sz w:val="22"/>
        </w:rPr>
        <w:t> </w:t>
      </w:r>
      <w:r>
        <w:rPr>
          <w:rFonts w:ascii="Arial" w:hAnsi="Arial"/>
          <w:i/>
          <w:sz w:val="22"/>
        </w:rPr>
        <w:t>partir</w:t>
      </w:r>
      <w:r>
        <w:rPr>
          <w:rFonts w:ascii="Arial" w:hAnsi="Arial"/>
          <w:i/>
          <w:spacing w:val="-9"/>
          <w:sz w:val="22"/>
        </w:rPr>
        <w:t> </w:t>
      </w:r>
      <w:r>
        <w:rPr>
          <w:rFonts w:ascii="Arial" w:hAnsi="Arial"/>
          <w:i/>
          <w:sz w:val="22"/>
        </w:rPr>
        <w:t>de</w:t>
      </w:r>
      <w:r>
        <w:rPr>
          <w:rFonts w:ascii="Arial" w:hAnsi="Arial"/>
          <w:i/>
          <w:spacing w:val="-10"/>
          <w:sz w:val="22"/>
        </w:rPr>
        <w:t> </w:t>
      </w:r>
      <w:r>
        <w:rPr>
          <w:rFonts w:ascii="Arial" w:hAnsi="Arial"/>
          <w:i/>
          <w:sz w:val="22"/>
        </w:rPr>
        <w:t>ese</w:t>
      </w:r>
      <w:r>
        <w:rPr>
          <w:rFonts w:ascii="Arial" w:hAnsi="Arial"/>
          <w:i/>
          <w:spacing w:val="-10"/>
          <w:sz w:val="22"/>
        </w:rPr>
        <w:t> </w:t>
      </w:r>
      <w:r>
        <w:rPr>
          <w:rFonts w:ascii="Arial" w:hAnsi="Arial"/>
          <w:i/>
          <w:sz w:val="22"/>
        </w:rPr>
        <w:t>texto,</w:t>
      </w:r>
      <w:r>
        <w:rPr>
          <w:rFonts w:ascii="Arial" w:hAnsi="Arial"/>
          <w:i/>
          <w:spacing w:val="-6"/>
          <w:sz w:val="22"/>
        </w:rPr>
        <w:t> </w:t>
      </w:r>
      <w:r>
        <w:rPr>
          <w:rFonts w:ascii="Arial" w:hAnsi="Arial"/>
          <w:i/>
          <w:sz w:val="22"/>
        </w:rPr>
        <w:t>la</w:t>
      </w:r>
      <w:r>
        <w:rPr>
          <w:rFonts w:ascii="Arial" w:hAnsi="Arial"/>
          <w:i/>
          <w:spacing w:val="-10"/>
          <w:sz w:val="22"/>
        </w:rPr>
        <w:t> </w:t>
      </w:r>
      <w:r>
        <w:rPr>
          <w:rFonts w:ascii="Arial" w:hAnsi="Arial"/>
          <w:i/>
          <w:sz w:val="22"/>
        </w:rPr>
        <w:t>jurisprudencia</w:t>
      </w:r>
      <w:r>
        <w:rPr>
          <w:rFonts w:ascii="Arial" w:hAnsi="Arial"/>
          <w:i/>
          <w:spacing w:val="-7"/>
          <w:sz w:val="22"/>
        </w:rPr>
        <w:t> </w:t>
      </w:r>
      <w:r>
        <w:rPr>
          <w:rFonts w:ascii="Arial" w:hAnsi="Arial"/>
          <w:i/>
          <w:sz w:val="22"/>
        </w:rPr>
        <w:t>multilateral</w:t>
      </w:r>
      <w:r>
        <w:rPr>
          <w:rFonts w:ascii="Arial" w:hAnsi="Arial"/>
          <w:i/>
          <w:spacing w:val="-8"/>
          <w:sz w:val="22"/>
        </w:rPr>
        <w:t> </w:t>
      </w:r>
      <w:r>
        <w:rPr>
          <w:rFonts w:ascii="Arial" w:hAnsi="Arial"/>
          <w:i/>
          <w:sz w:val="22"/>
        </w:rPr>
        <w:t>ha</w:t>
      </w:r>
      <w:r>
        <w:rPr>
          <w:rFonts w:ascii="Arial" w:hAnsi="Arial"/>
          <w:i/>
          <w:spacing w:val="-10"/>
          <w:sz w:val="22"/>
        </w:rPr>
        <w:t> </w:t>
      </w:r>
      <w:r>
        <w:rPr>
          <w:rFonts w:ascii="Arial" w:hAnsi="Arial"/>
          <w:i/>
          <w:sz w:val="22"/>
        </w:rPr>
        <w:t>precisado que el examen de necesidad y de compatibilidad con el párrafo introductorio del artículo XX exige una valoración integral de la medida. Así, en Brazil – Retreaded</w:t>
      </w:r>
      <w:r>
        <w:rPr>
          <w:rFonts w:ascii="Arial" w:hAnsi="Arial"/>
          <w:i/>
          <w:spacing w:val="-3"/>
          <w:sz w:val="22"/>
        </w:rPr>
        <w:t> </w:t>
      </w:r>
      <w:r>
        <w:rPr>
          <w:rFonts w:ascii="Arial" w:hAnsi="Arial"/>
          <w:i/>
          <w:sz w:val="22"/>
        </w:rPr>
        <w:t>Tyres,</w:t>
      </w:r>
      <w:r>
        <w:rPr>
          <w:rFonts w:ascii="Arial" w:hAnsi="Arial"/>
          <w:i/>
          <w:spacing w:val="-1"/>
          <w:sz w:val="22"/>
        </w:rPr>
        <w:t> </w:t>
      </w:r>
      <w:r>
        <w:rPr>
          <w:rFonts w:ascii="Arial" w:hAnsi="Arial"/>
          <w:i/>
          <w:sz w:val="22"/>
        </w:rPr>
        <w:t>el</w:t>
      </w:r>
      <w:r>
        <w:rPr>
          <w:rFonts w:ascii="Arial" w:hAnsi="Arial"/>
          <w:i/>
          <w:spacing w:val="-6"/>
          <w:sz w:val="22"/>
        </w:rPr>
        <w:t> </w:t>
      </w:r>
      <w:r>
        <w:rPr>
          <w:rFonts w:ascii="Arial" w:hAnsi="Arial"/>
          <w:i/>
          <w:sz w:val="22"/>
        </w:rPr>
        <w:t>Órgano</w:t>
      </w:r>
      <w:r>
        <w:rPr>
          <w:rFonts w:ascii="Arial" w:hAnsi="Arial"/>
          <w:i/>
          <w:spacing w:val="-3"/>
          <w:sz w:val="22"/>
        </w:rPr>
        <w:t> </w:t>
      </w:r>
      <w:r>
        <w:rPr>
          <w:rFonts w:ascii="Arial" w:hAnsi="Arial"/>
          <w:i/>
          <w:sz w:val="22"/>
        </w:rPr>
        <w:t>de</w:t>
      </w:r>
      <w:r>
        <w:rPr>
          <w:rFonts w:ascii="Arial" w:hAnsi="Arial"/>
          <w:i/>
          <w:spacing w:val="-3"/>
          <w:sz w:val="22"/>
        </w:rPr>
        <w:t> </w:t>
      </w:r>
      <w:r>
        <w:rPr>
          <w:rFonts w:ascii="Arial" w:hAnsi="Arial"/>
          <w:i/>
          <w:sz w:val="22"/>
        </w:rPr>
        <w:t>Apelación</w:t>
      </w:r>
      <w:r>
        <w:rPr>
          <w:rFonts w:ascii="Arial" w:hAnsi="Arial"/>
          <w:i/>
          <w:spacing w:val="-3"/>
          <w:sz w:val="22"/>
        </w:rPr>
        <w:t> </w:t>
      </w:r>
      <w:r>
        <w:rPr>
          <w:rFonts w:ascii="Arial" w:hAnsi="Arial"/>
          <w:i/>
          <w:sz w:val="22"/>
        </w:rPr>
        <w:t>sostuvo</w:t>
      </w:r>
      <w:r>
        <w:rPr>
          <w:rFonts w:ascii="Arial" w:hAnsi="Arial"/>
          <w:i/>
          <w:spacing w:val="-3"/>
          <w:sz w:val="22"/>
        </w:rPr>
        <w:t> </w:t>
      </w:r>
      <w:r>
        <w:rPr>
          <w:rFonts w:ascii="Arial" w:hAnsi="Arial"/>
          <w:i/>
          <w:sz w:val="22"/>
        </w:rPr>
        <w:t>que</w:t>
      </w:r>
      <w:r>
        <w:rPr>
          <w:rFonts w:ascii="Arial" w:hAnsi="Arial"/>
          <w:i/>
          <w:spacing w:val="-3"/>
          <w:sz w:val="22"/>
        </w:rPr>
        <w:t> </w:t>
      </w:r>
      <w:r>
        <w:rPr>
          <w:rFonts w:ascii="Arial" w:hAnsi="Arial"/>
          <w:i/>
          <w:sz w:val="22"/>
        </w:rPr>
        <w:t>la</w:t>
      </w:r>
      <w:r>
        <w:rPr>
          <w:rFonts w:ascii="Arial" w:hAnsi="Arial"/>
          <w:i/>
          <w:spacing w:val="-3"/>
          <w:sz w:val="22"/>
        </w:rPr>
        <w:t> </w:t>
      </w:r>
      <w:r>
        <w:rPr>
          <w:rFonts w:ascii="Arial" w:hAnsi="Arial"/>
          <w:i/>
          <w:sz w:val="22"/>
        </w:rPr>
        <w:t>determinación</w:t>
      </w:r>
      <w:r>
        <w:rPr>
          <w:rFonts w:ascii="Arial" w:hAnsi="Arial"/>
          <w:i/>
          <w:spacing w:val="-3"/>
          <w:sz w:val="22"/>
        </w:rPr>
        <w:t> </w:t>
      </w:r>
      <w:r>
        <w:rPr>
          <w:rFonts w:ascii="Arial" w:hAnsi="Arial"/>
          <w:i/>
          <w:sz w:val="22"/>
        </w:rPr>
        <w:t>de</w:t>
      </w:r>
      <w:r>
        <w:rPr>
          <w:rFonts w:ascii="Arial" w:hAnsi="Arial"/>
          <w:i/>
          <w:spacing w:val="-3"/>
          <w:sz w:val="22"/>
        </w:rPr>
        <w:t> </w:t>
      </w:r>
      <w:r>
        <w:rPr>
          <w:rFonts w:ascii="Arial" w:hAnsi="Arial"/>
          <w:i/>
          <w:sz w:val="22"/>
        </w:rPr>
        <w:t>si una medida es “necesaria” requiere ponderar conjuntamente la contribución de la medida al objetivo perseguido, su grado de restricción comercial y la existencia</w:t>
      </w:r>
      <w:r>
        <w:rPr>
          <w:rFonts w:ascii="Arial" w:hAnsi="Arial"/>
          <w:i/>
          <w:spacing w:val="-1"/>
          <w:sz w:val="22"/>
        </w:rPr>
        <w:t> </w:t>
      </w:r>
      <w:r>
        <w:rPr>
          <w:rFonts w:ascii="Arial" w:hAnsi="Arial"/>
          <w:i/>
          <w:sz w:val="22"/>
        </w:rPr>
        <w:t>de</w:t>
      </w:r>
      <w:r>
        <w:rPr>
          <w:rFonts w:ascii="Arial" w:hAnsi="Arial"/>
          <w:i/>
          <w:spacing w:val="-4"/>
          <w:sz w:val="22"/>
        </w:rPr>
        <w:t> </w:t>
      </w:r>
      <w:r>
        <w:rPr>
          <w:rFonts w:ascii="Arial" w:hAnsi="Arial"/>
          <w:i/>
          <w:sz w:val="22"/>
        </w:rPr>
        <w:t>alternativas</w:t>
      </w:r>
      <w:r>
        <w:rPr>
          <w:rFonts w:ascii="Arial" w:hAnsi="Arial"/>
          <w:i/>
          <w:spacing w:val="-1"/>
          <w:sz w:val="22"/>
        </w:rPr>
        <w:t> </w:t>
      </w:r>
      <w:r>
        <w:rPr>
          <w:rFonts w:ascii="Arial" w:hAnsi="Arial"/>
          <w:i/>
          <w:sz w:val="22"/>
        </w:rPr>
        <w:t>razonablemente</w:t>
      </w:r>
      <w:r>
        <w:rPr>
          <w:rFonts w:ascii="Arial" w:hAnsi="Arial"/>
          <w:i/>
          <w:spacing w:val="-4"/>
          <w:sz w:val="22"/>
        </w:rPr>
        <w:t> </w:t>
      </w:r>
      <w:r>
        <w:rPr>
          <w:rFonts w:ascii="Arial" w:hAnsi="Arial"/>
          <w:i/>
          <w:sz w:val="22"/>
        </w:rPr>
        <w:t>disponibles, dentro</w:t>
      </w:r>
      <w:r>
        <w:rPr>
          <w:rFonts w:ascii="Arial" w:hAnsi="Arial"/>
          <w:i/>
          <w:spacing w:val="-4"/>
          <w:sz w:val="22"/>
        </w:rPr>
        <w:t> </w:t>
      </w:r>
      <w:r>
        <w:rPr>
          <w:rFonts w:ascii="Arial" w:hAnsi="Arial"/>
          <w:i/>
          <w:sz w:val="22"/>
        </w:rPr>
        <w:t>de</w:t>
      </w:r>
      <w:r>
        <w:rPr>
          <w:rFonts w:ascii="Arial" w:hAnsi="Arial"/>
          <w:i/>
          <w:spacing w:val="-2"/>
          <w:sz w:val="22"/>
        </w:rPr>
        <w:t> </w:t>
      </w:r>
      <w:r>
        <w:rPr>
          <w:rFonts w:ascii="Arial" w:hAnsi="Arial"/>
          <w:i/>
          <w:sz w:val="22"/>
        </w:rPr>
        <w:t>un</w:t>
      </w:r>
      <w:r>
        <w:rPr>
          <w:rFonts w:ascii="Arial" w:hAnsi="Arial"/>
          <w:i/>
          <w:spacing w:val="-4"/>
          <w:sz w:val="22"/>
        </w:rPr>
        <w:t> </w:t>
      </w:r>
      <w:r>
        <w:rPr>
          <w:rFonts w:ascii="Arial" w:hAnsi="Arial"/>
          <w:i/>
          <w:sz w:val="22"/>
        </w:rPr>
        <w:t>ejercicio de apreciación “holístico”.[sic] Por su parte, en US – Gasoline, el Órgano de Apelación explicó que los conceptos de discriminación arbitraria o injustificable y de restricción encubierta al comercio internacional deben leerse conjuntamente, pues su finalidad es evitar el abuso o uso ilegítimo de las excepciones del artículo XX.[sic] Aplicado ese estándar, la medida ecuatoriana no suprimió ni bloqueó el comercio andino con Colombia, sino que</w:t>
      </w:r>
      <w:r>
        <w:rPr>
          <w:rFonts w:ascii="Arial" w:hAnsi="Arial"/>
          <w:i/>
          <w:spacing w:val="27"/>
          <w:sz w:val="22"/>
        </w:rPr>
        <w:t>  </w:t>
      </w:r>
      <w:r>
        <w:rPr>
          <w:rFonts w:ascii="Arial" w:hAnsi="Arial"/>
          <w:i/>
          <w:sz w:val="22"/>
        </w:rPr>
        <w:t>preservó</w:t>
      </w:r>
      <w:r>
        <w:rPr>
          <w:rFonts w:ascii="Arial" w:hAnsi="Arial"/>
          <w:i/>
          <w:spacing w:val="28"/>
          <w:sz w:val="22"/>
        </w:rPr>
        <w:t>  </w:t>
      </w:r>
      <w:r>
        <w:rPr>
          <w:rFonts w:ascii="Arial" w:hAnsi="Arial"/>
          <w:i/>
          <w:sz w:val="22"/>
        </w:rPr>
        <w:t>un</w:t>
      </w:r>
      <w:r>
        <w:rPr>
          <w:rFonts w:ascii="Arial" w:hAnsi="Arial"/>
          <w:i/>
          <w:spacing w:val="27"/>
          <w:sz w:val="22"/>
        </w:rPr>
        <w:t>  </w:t>
      </w:r>
      <w:r>
        <w:rPr>
          <w:rFonts w:ascii="Arial" w:hAnsi="Arial"/>
          <w:i/>
          <w:sz w:val="22"/>
        </w:rPr>
        <w:t>canal</w:t>
      </w:r>
      <w:r>
        <w:rPr>
          <w:rFonts w:ascii="Arial" w:hAnsi="Arial"/>
          <w:i/>
          <w:spacing w:val="27"/>
          <w:sz w:val="22"/>
        </w:rPr>
        <w:t>  </w:t>
      </w:r>
      <w:r>
        <w:rPr>
          <w:rFonts w:ascii="Arial" w:hAnsi="Arial"/>
          <w:i/>
          <w:sz w:val="22"/>
        </w:rPr>
        <w:t>formal</w:t>
      </w:r>
      <w:r>
        <w:rPr>
          <w:rFonts w:ascii="Arial" w:hAnsi="Arial"/>
          <w:i/>
          <w:spacing w:val="28"/>
          <w:sz w:val="22"/>
        </w:rPr>
        <w:t>  </w:t>
      </w:r>
      <w:r>
        <w:rPr>
          <w:rFonts w:ascii="Arial" w:hAnsi="Arial"/>
          <w:i/>
          <w:sz w:val="22"/>
        </w:rPr>
        <w:t>de</w:t>
      </w:r>
      <w:r>
        <w:rPr>
          <w:rFonts w:ascii="Arial" w:hAnsi="Arial"/>
          <w:i/>
          <w:spacing w:val="28"/>
          <w:sz w:val="22"/>
        </w:rPr>
        <w:t>  </w:t>
      </w:r>
      <w:r>
        <w:rPr>
          <w:rFonts w:ascii="Arial" w:hAnsi="Arial"/>
          <w:i/>
          <w:sz w:val="22"/>
        </w:rPr>
        <w:t>ingreso</w:t>
      </w:r>
      <w:r>
        <w:rPr>
          <w:rFonts w:ascii="Arial" w:hAnsi="Arial"/>
          <w:i/>
          <w:spacing w:val="26"/>
          <w:sz w:val="22"/>
        </w:rPr>
        <w:t>  </w:t>
      </w:r>
      <w:r>
        <w:rPr>
          <w:rFonts w:ascii="Arial" w:hAnsi="Arial"/>
          <w:i/>
          <w:sz w:val="22"/>
        </w:rPr>
        <w:t>a</w:t>
      </w:r>
      <w:r>
        <w:rPr>
          <w:rFonts w:ascii="Arial" w:hAnsi="Arial"/>
          <w:i/>
          <w:spacing w:val="28"/>
          <w:sz w:val="22"/>
        </w:rPr>
        <w:t>  </w:t>
      </w:r>
      <w:r>
        <w:rPr>
          <w:rFonts w:ascii="Arial" w:hAnsi="Arial"/>
          <w:i/>
          <w:sz w:val="22"/>
        </w:rPr>
        <w:t>través</w:t>
      </w:r>
      <w:r>
        <w:rPr>
          <w:rFonts w:ascii="Arial" w:hAnsi="Arial"/>
          <w:i/>
          <w:spacing w:val="27"/>
          <w:sz w:val="22"/>
        </w:rPr>
        <w:t>  </w:t>
      </w:r>
      <w:r>
        <w:rPr>
          <w:rFonts w:ascii="Arial" w:hAnsi="Arial"/>
          <w:i/>
          <w:sz w:val="22"/>
        </w:rPr>
        <w:t>de</w:t>
      </w:r>
      <w:r>
        <w:rPr>
          <w:rFonts w:ascii="Arial" w:hAnsi="Arial"/>
          <w:i/>
          <w:spacing w:val="28"/>
          <w:sz w:val="22"/>
        </w:rPr>
        <w:t>  </w:t>
      </w:r>
      <w:r>
        <w:rPr>
          <w:rFonts w:ascii="Arial" w:hAnsi="Arial"/>
          <w:i/>
          <w:spacing w:val="-2"/>
          <w:sz w:val="22"/>
        </w:rPr>
        <w:t>Rumichaca,</w:t>
      </w:r>
    </w:p>
    <w:p>
      <w:pPr>
        <w:spacing w:after="0"/>
        <w:jc w:val="both"/>
        <w:rPr>
          <w:rFonts w:ascii="Arial" w:hAnsi="Arial"/>
          <w:i/>
          <w:sz w:val="22"/>
        </w:rPr>
        <w:sectPr>
          <w:pgSz w:w="11900" w:h="16850"/>
          <w:pgMar w:header="370" w:footer="651" w:top="1380" w:bottom="840" w:left="992" w:right="283"/>
        </w:sectPr>
      </w:pPr>
    </w:p>
    <w:p>
      <w:pPr>
        <w:pStyle w:val="BodyText"/>
        <w:spacing w:before="176"/>
        <w:rPr>
          <w:rFonts w:ascii="Arial"/>
          <w:i/>
        </w:rPr>
      </w:pPr>
    </w:p>
    <w:p>
      <w:pPr>
        <w:spacing w:before="0"/>
        <w:ind w:left="2128" w:right="978" w:firstLine="0"/>
        <w:jc w:val="both"/>
        <w:rPr>
          <w:sz w:val="22"/>
        </w:rPr>
      </w:pPr>
      <w:r>
        <w:rPr>
          <w:rFonts w:ascii="Arial" w:hAnsi="Arial"/>
          <w:i/>
          <w:sz w:val="22"/>
        </w:rPr>
        <w:t>concentrando allí el control estatal del flujo comercial en un entorno de alta vulnerabilidad fronteriza. Por ello, el costo logístico derivado de la canalización del tránsito por un paso habilitado resulta razonablemente inferior al beneficio institucional obtenido en términos de trazabilidad, control aduanero y reducción de la exposición al contrabando y a la infiltración criminal.”</w:t>
      </w:r>
      <w:r>
        <w:rPr>
          <w:rFonts w:ascii="Arial" w:hAnsi="Arial"/>
          <w:i/>
          <w:spacing w:val="-25"/>
          <w:sz w:val="22"/>
        </w:rPr>
        <w:t> </w:t>
      </w:r>
      <w:hyperlink w:history="true" w:anchor="_bookmark39">
        <w:r>
          <w:rPr>
            <w:sz w:val="22"/>
            <w:vertAlign w:val="superscript"/>
          </w:rPr>
          <w:t>40</w:t>
        </w:r>
      </w:hyperlink>
    </w:p>
    <w:p>
      <w:pPr>
        <w:pStyle w:val="BodyText"/>
        <w:spacing w:before="17"/>
      </w:pPr>
    </w:p>
    <w:p>
      <w:pPr>
        <w:pStyle w:val="ListParagraph"/>
        <w:numPr>
          <w:ilvl w:val="0"/>
          <w:numId w:val="2"/>
        </w:numPr>
        <w:tabs>
          <w:tab w:pos="1416" w:val="left" w:leader="none"/>
          <w:tab w:pos="1420" w:val="left" w:leader="none"/>
        </w:tabs>
        <w:spacing w:line="240" w:lineRule="auto" w:before="0" w:after="0"/>
        <w:ind w:left="1420" w:right="976" w:hanging="852"/>
        <w:jc w:val="both"/>
        <w:rPr>
          <w:sz w:val="22"/>
        </w:rPr>
      </w:pPr>
      <w:r>
        <w:rPr>
          <w:sz w:val="22"/>
        </w:rPr>
        <w:t>Del argumento expuesto por la República del Ecuador, corresponde señalar que el análisis aplicable al presente caso debe regirse en lo establecido en por el ordenamiento jurídico comunitario andino, al respecto, el TJCAN ha señalado en reiterada jurisprudencia:</w:t>
      </w:r>
    </w:p>
    <w:p>
      <w:pPr>
        <w:pStyle w:val="BodyText"/>
        <w:spacing w:before="15"/>
      </w:pPr>
    </w:p>
    <w:p>
      <w:pPr>
        <w:spacing w:before="0"/>
        <w:ind w:left="2128" w:right="980" w:firstLine="0"/>
        <w:jc w:val="both"/>
        <w:rPr>
          <w:sz w:val="22"/>
        </w:rPr>
      </w:pPr>
      <w:r>
        <w:rPr>
          <w:rFonts w:ascii="Arial" w:hAnsi="Arial"/>
          <w:i/>
          <w:sz w:val="22"/>
        </w:rPr>
        <w:t>“La circunstancia de que los Países Miembros de la Comunidad Andina pertenezcan</w:t>
      </w:r>
      <w:r>
        <w:rPr>
          <w:rFonts w:ascii="Arial" w:hAnsi="Arial"/>
          <w:i/>
          <w:spacing w:val="-12"/>
          <w:sz w:val="22"/>
        </w:rPr>
        <w:t> </w:t>
      </w:r>
      <w:r>
        <w:rPr>
          <w:rFonts w:ascii="Arial" w:hAnsi="Arial"/>
          <w:i/>
          <w:sz w:val="22"/>
        </w:rPr>
        <w:t>a</w:t>
      </w:r>
      <w:r>
        <w:rPr>
          <w:rFonts w:ascii="Arial" w:hAnsi="Arial"/>
          <w:i/>
          <w:spacing w:val="-12"/>
          <w:sz w:val="22"/>
        </w:rPr>
        <w:t> </w:t>
      </w:r>
      <w:r>
        <w:rPr>
          <w:rFonts w:ascii="Arial" w:hAnsi="Arial"/>
          <w:i/>
          <w:sz w:val="22"/>
        </w:rPr>
        <w:t>su</w:t>
      </w:r>
      <w:r>
        <w:rPr>
          <w:rFonts w:ascii="Arial" w:hAnsi="Arial"/>
          <w:i/>
          <w:spacing w:val="-10"/>
          <w:sz w:val="22"/>
        </w:rPr>
        <w:t> </w:t>
      </w:r>
      <w:r>
        <w:rPr>
          <w:rFonts w:ascii="Arial" w:hAnsi="Arial"/>
          <w:i/>
          <w:sz w:val="22"/>
        </w:rPr>
        <w:t>vez</w:t>
      </w:r>
      <w:r>
        <w:rPr>
          <w:rFonts w:ascii="Arial" w:hAnsi="Arial"/>
          <w:i/>
          <w:spacing w:val="-9"/>
          <w:sz w:val="22"/>
        </w:rPr>
        <w:t> </w:t>
      </w:r>
      <w:r>
        <w:rPr>
          <w:rFonts w:ascii="Arial" w:hAnsi="Arial"/>
          <w:i/>
          <w:sz w:val="22"/>
        </w:rPr>
        <w:t>a</w:t>
      </w:r>
      <w:r>
        <w:rPr>
          <w:rFonts w:ascii="Arial" w:hAnsi="Arial"/>
          <w:i/>
          <w:spacing w:val="-12"/>
          <w:sz w:val="22"/>
        </w:rPr>
        <w:t> </w:t>
      </w:r>
      <w:r>
        <w:rPr>
          <w:rFonts w:ascii="Arial" w:hAnsi="Arial"/>
          <w:i/>
          <w:sz w:val="22"/>
        </w:rPr>
        <w:t>la</w:t>
      </w:r>
      <w:r>
        <w:rPr>
          <w:rFonts w:ascii="Arial" w:hAnsi="Arial"/>
          <w:i/>
          <w:spacing w:val="-10"/>
          <w:sz w:val="22"/>
        </w:rPr>
        <w:t> </w:t>
      </w:r>
      <w:r>
        <w:rPr>
          <w:rFonts w:ascii="Arial" w:hAnsi="Arial"/>
          <w:i/>
          <w:sz w:val="22"/>
        </w:rPr>
        <w:t>Organización</w:t>
      </w:r>
      <w:r>
        <w:rPr>
          <w:rFonts w:ascii="Arial" w:hAnsi="Arial"/>
          <w:i/>
          <w:spacing w:val="-10"/>
          <w:sz w:val="22"/>
        </w:rPr>
        <w:t> </w:t>
      </w:r>
      <w:r>
        <w:rPr>
          <w:rFonts w:ascii="Arial" w:hAnsi="Arial"/>
          <w:i/>
          <w:sz w:val="22"/>
        </w:rPr>
        <w:t>Mundial</w:t>
      </w:r>
      <w:r>
        <w:rPr>
          <w:rFonts w:ascii="Arial" w:hAnsi="Arial"/>
          <w:i/>
          <w:spacing w:val="-11"/>
          <w:sz w:val="22"/>
        </w:rPr>
        <w:t> </w:t>
      </w:r>
      <w:r>
        <w:rPr>
          <w:rFonts w:ascii="Arial" w:hAnsi="Arial"/>
          <w:i/>
          <w:sz w:val="22"/>
        </w:rPr>
        <w:t>de</w:t>
      </w:r>
      <w:r>
        <w:rPr>
          <w:rFonts w:ascii="Arial" w:hAnsi="Arial"/>
          <w:i/>
          <w:spacing w:val="-10"/>
          <w:sz w:val="22"/>
        </w:rPr>
        <w:t> </w:t>
      </w:r>
      <w:r>
        <w:rPr>
          <w:rFonts w:ascii="Arial" w:hAnsi="Arial"/>
          <w:i/>
          <w:sz w:val="22"/>
        </w:rPr>
        <w:t>Comercio</w:t>
      </w:r>
      <w:r>
        <w:rPr>
          <w:rFonts w:ascii="Arial" w:hAnsi="Arial"/>
          <w:i/>
          <w:spacing w:val="-10"/>
          <w:sz w:val="22"/>
        </w:rPr>
        <w:t> </w:t>
      </w:r>
      <w:r>
        <w:rPr>
          <w:rFonts w:ascii="Arial" w:hAnsi="Arial"/>
          <w:i/>
          <w:sz w:val="22"/>
        </w:rPr>
        <w:t>no</w:t>
      </w:r>
      <w:r>
        <w:rPr>
          <w:rFonts w:ascii="Arial" w:hAnsi="Arial"/>
          <w:i/>
          <w:spacing w:val="-10"/>
          <w:sz w:val="22"/>
        </w:rPr>
        <w:t> </w:t>
      </w:r>
      <w:r>
        <w:rPr>
          <w:rFonts w:ascii="Arial" w:hAnsi="Arial"/>
          <w:i/>
          <w:sz w:val="22"/>
        </w:rPr>
        <w:t>los</w:t>
      </w:r>
      <w:r>
        <w:rPr>
          <w:rFonts w:ascii="Arial" w:hAnsi="Arial"/>
          <w:i/>
          <w:spacing w:val="-12"/>
          <w:sz w:val="22"/>
        </w:rPr>
        <w:t> </w:t>
      </w:r>
      <w:r>
        <w:rPr>
          <w:rFonts w:ascii="Arial" w:hAnsi="Arial"/>
          <w:i/>
          <w:sz w:val="22"/>
        </w:rPr>
        <w:t>exime</w:t>
      </w:r>
      <w:r>
        <w:rPr>
          <w:rFonts w:ascii="Arial" w:hAnsi="Arial"/>
          <w:i/>
          <w:spacing w:val="-10"/>
          <w:sz w:val="22"/>
        </w:rPr>
        <w:t> </w:t>
      </w:r>
      <w:r>
        <w:rPr>
          <w:rFonts w:ascii="Arial" w:hAnsi="Arial"/>
          <w:i/>
          <w:sz w:val="22"/>
        </w:rPr>
        <w:t>de obedecer las normas comunitarias andinas so pretexto de que se está cumpliendo con las de dicha organización o que</w:t>
      </w:r>
      <w:r>
        <w:rPr>
          <w:rFonts w:ascii="Arial" w:hAnsi="Arial"/>
          <w:i/>
          <w:spacing w:val="-2"/>
          <w:sz w:val="22"/>
        </w:rPr>
        <w:t> </w:t>
      </w:r>
      <w:r>
        <w:rPr>
          <w:rFonts w:ascii="Arial" w:hAnsi="Arial"/>
          <w:i/>
          <w:sz w:val="22"/>
        </w:rPr>
        <w:t>se pretende cumplir con los compromisos adquiridos con ella. Ello sería ni más ni menos que negar la supremacía del ordenamiento comunitario andino que como se ha dicho es preponderante no sólo respecto de los ordenamientos jurídicos internos de los</w:t>
      </w:r>
      <w:r>
        <w:rPr>
          <w:rFonts w:ascii="Arial" w:hAnsi="Arial"/>
          <w:i/>
          <w:spacing w:val="-16"/>
          <w:sz w:val="22"/>
        </w:rPr>
        <w:t> </w:t>
      </w:r>
      <w:r>
        <w:rPr>
          <w:rFonts w:ascii="Arial" w:hAnsi="Arial"/>
          <w:i/>
          <w:sz w:val="22"/>
        </w:rPr>
        <w:t>Países</w:t>
      </w:r>
      <w:r>
        <w:rPr>
          <w:rFonts w:ascii="Arial" w:hAnsi="Arial"/>
          <w:i/>
          <w:spacing w:val="-15"/>
          <w:sz w:val="22"/>
        </w:rPr>
        <w:t> </w:t>
      </w:r>
      <w:r>
        <w:rPr>
          <w:rFonts w:ascii="Arial" w:hAnsi="Arial"/>
          <w:i/>
          <w:sz w:val="22"/>
        </w:rPr>
        <w:t>Miembros</w:t>
      </w:r>
      <w:r>
        <w:rPr>
          <w:rFonts w:ascii="Arial" w:hAnsi="Arial"/>
          <w:i/>
          <w:spacing w:val="-15"/>
          <w:sz w:val="22"/>
        </w:rPr>
        <w:t> </w:t>
      </w:r>
      <w:r>
        <w:rPr>
          <w:rFonts w:ascii="Arial" w:hAnsi="Arial"/>
          <w:i/>
          <w:sz w:val="22"/>
        </w:rPr>
        <w:t>sino</w:t>
      </w:r>
      <w:r>
        <w:rPr>
          <w:rFonts w:ascii="Arial" w:hAnsi="Arial"/>
          <w:i/>
          <w:spacing w:val="-16"/>
          <w:sz w:val="22"/>
        </w:rPr>
        <w:t> </w:t>
      </w:r>
      <w:r>
        <w:rPr>
          <w:rFonts w:ascii="Arial" w:hAnsi="Arial"/>
          <w:i/>
          <w:sz w:val="22"/>
        </w:rPr>
        <w:t>de</w:t>
      </w:r>
      <w:r>
        <w:rPr>
          <w:rFonts w:ascii="Arial" w:hAnsi="Arial"/>
          <w:i/>
          <w:spacing w:val="-15"/>
          <w:sz w:val="22"/>
        </w:rPr>
        <w:t> </w:t>
      </w:r>
      <w:r>
        <w:rPr>
          <w:rFonts w:ascii="Arial" w:hAnsi="Arial"/>
          <w:i/>
          <w:sz w:val="22"/>
        </w:rPr>
        <w:t>los</w:t>
      </w:r>
      <w:r>
        <w:rPr>
          <w:rFonts w:ascii="Arial" w:hAnsi="Arial"/>
          <w:i/>
          <w:spacing w:val="-15"/>
          <w:sz w:val="22"/>
        </w:rPr>
        <w:t> </w:t>
      </w:r>
      <w:r>
        <w:rPr>
          <w:rFonts w:ascii="Arial" w:hAnsi="Arial"/>
          <w:i/>
          <w:sz w:val="22"/>
        </w:rPr>
        <w:t>otros</w:t>
      </w:r>
      <w:r>
        <w:rPr>
          <w:rFonts w:ascii="Arial" w:hAnsi="Arial"/>
          <w:i/>
          <w:spacing w:val="-15"/>
          <w:sz w:val="22"/>
        </w:rPr>
        <w:t> </w:t>
      </w:r>
      <w:r>
        <w:rPr>
          <w:rFonts w:ascii="Arial" w:hAnsi="Arial"/>
          <w:i/>
          <w:sz w:val="22"/>
        </w:rPr>
        <w:t>ordenamientos</w:t>
      </w:r>
      <w:r>
        <w:rPr>
          <w:rFonts w:ascii="Arial" w:hAnsi="Arial"/>
          <w:i/>
          <w:spacing w:val="-16"/>
          <w:sz w:val="22"/>
        </w:rPr>
        <w:t> </w:t>
      </w:r>
      <w:r>
        <w:rPr>
          <w:rFonts w:ascii="Arial" w:hAnsi="Arial"/>
          <w:i/>
          <w:sz w:val="22"/>
        </w:rPr>
        <w:t>jurídicos</w:t>
      </w:r>
      <w:r>
        <w:rPr>
          <w:rFonts w:ascii="Arial" w:hAnsi="Arial"/>
          <w:i/>
          <w:spacing w:val="-15"/>
          <w:sz w:val="22"/>
        </w:rPr>
        <w:t> </w:t>
      </w:r>
      <w:r>
        <w:rPr>
          <w:rFonts w:ascii="Arial" w:hAnsi="Arial"/>
          <w:i/>
          <w:sz w:val="22"/>
        </w:rPr>
        <w:t>internacionales a que estos pertenezcan</w:t>
      </w:r>
      <w:r>
        <w:rPr>
          <w:sz w:val="22"/>
        </w:rPr>
        <w:t>.”</w:t>
      </w:r>
      <w:hyperlink w:history="true" w:anchor="_bookmark40">
        <w:r>
          <w:rPr>
            <w:sz w:val="22"/>
            <w:vertAlign w:val="superscript"/>
          </w:rPr>
          <w:t>41</w:t>
        </w:r>
      </w:hyperlink>
    </w:p>
    <w:p>
      <w:pPr>
        <w:pStyle w:val="BodyText"/>
      </w:pPr>
    </w:p>
    <w:p>
      <w:pPr>
        <w:pStyle w:val="ListParagraph"/>
        <w:numPr>
          <w:ilvl w:val="0"/>
          <w:numId w:val="2"/>
        </w:numPr>
        <w:tabs>
          <w:tab w:pos="1416" w:val="left" w:leader="none"/>
          <w:tab w:pos="1420" w:val="left" w:leader="none"/>
        </w:tabs>
        <w:spacing w:line="240" w:lineRule="auto" w:before="0" w:after="0"/>
        <w:ind w:left="1420" w:right="982" w:hanging="852"/>
        <w:jc w:val="both"/>
        <w:rPr>
          <w:sz w:val="22"/>
        </w:rPr>
      </w:pPr>
      <w:r>
        <w:rPr>
          <w:sz w:val="22"/>
        </w:rPr>
        <w:t>En ese sentido, el TJCAN ha señalado con relación al criterio de proporcionalidad </w:t>
      </w:r>
      <w:r>
        <w:rPr>
          <w:spacing w:val="-4"/>
          <w:sz w:val="22"/>
        </w:rPr>
        <w:t>que:</w:t>
      </w:r>
    </w:p>
    <w:p>
      <w:pPr>
        <w:pStyle w:val="BodyText"/>
      </w:pPr>
    </w:p>
    <w:p>
      <w:pPr>
        <w:spacing w:before="0"/>
        <w:ind w:left="2128" w:right="982" w:firstLine="0"/>
        <w:jc w:val="both"/>
        <w:rPr>
          <w:rFonts w:ascii="Arial" w:hAnsi="Arial"/>
          <w:i/>
          <w:sz w:val="22"/>
        </w:rPr>
      </w:pPr>
      <w:r>
        <w:rPr>
          <w:rFonts w:ascii="Arial" w:hAnsi="Arial"/>
          <w:i/>
          <w:sz w:val="22"/>
        </w:rPr>
        <w:t>“En ese orden de ideas, este Tribunal considera que para que una medida adoptada por un país miembro [sic] se justifique como una excepción de las previstas en el segundo párrafo del Artículo 73 del Acuerdo de Cartagena, debe cumplir, de manera concurrente, con los siguientes requisitos:</w:t>
      </w:r>
    </w:p>
    <w:p>
      <w:pPr>
        <w:pStyle w:val="BodyText"/>
        <w:rPr>
          <w:rFonts w:ascii="Arial"/>
          <w:i/>
        </w:rPr>
      </w:pPr>
    </w:p>
    <w:p>
      <w:pPr>
        <w:pStyle w:val="ListParagraph"/>
        <w:numPr>
          <w:ilvl w:val="0"/>
          <w:numId w:val="9"/>
        </w:numPr>
        <w:tabs>
          <w:tab w:pos="3401" w:val="left" w:leader="none"/>
          <w:tab w:pos="3403" w:val="left" w:leader="none"/>
        </w:tabs>
        <w:spacing w:line="240" w:lineRule="auto" w:before="0" w:after="0"/>
        <w:ind w:left="3403" w:right="982" w:hanging="360"/>
        <w:jc w:val="both"/>
        <w:rPr>
          <w:rFonts w:ascii="Arial" w:hAnsi="Arial"/>
          <w:i/>
          <w:sz w:val="22"/>
        </w:rPr>
      </w:pPr>
      <w:r>
        <w:rPr>
          <w:rFonts w:ascii="Arial" w:hAnsi="Arial"/>
          <w:i/>
          <w:sz w:val="22"/>
        </w:rPr>
        <w:t>La</w:t>
      </w:r>
      <w:r>
        <w:rPr>
          <w:rFonts w:ascii="Arial" w:hAnsi="Arial"/>
          <w:i/>
          <w:spacing w:val="-1"/>
          <w:sz w:val="22"/>
        </w:rPr>
        <w:t> </w:t>
      </w:r>
      <w:r>
        <w:rPr>
          <w:rFonts w:ascii="Arial" w:hAnsi="Arial"/>
          <w:i/>
          <w:sz w:val="22"/>
        </w:rPr>
        <w:t>finalidad de</w:t>
      </w:r>
      <w:r>
        <w:rPr>
          <w:rFonts w:ascii="Arial" w:hAnsi="Arial"/>
          <w:i/>
          <w:spacing w:val="-1"/>
          <w:sz w:val="22"/>
        </w:rPr>
        <w:t> </w:t>
      </w:r>
      <w:r>
        <w:rPr>
          <w:rFonts w:ascii="Arial" w:hAnsi="Arial"/>
          <w:i/>
          <w:sz w:val="22"/>
        </w:rPr>
        <w:t>la medida</w:t>
      </w:r>
      <w:r>
        <w:rPr>
          <w:rFonts w:ascii="Arial" w:hAnsi="Arial"/>
          <w:i/>
          <w:spacing w:val="-1"/>
          <w:sz w:val="22"/>
        </w:rPr>
        <w:t> </w:t>
      </w:r>
      <w:r>
        <w:rPr>
          <w:rFonts w:ascii="Arial" w:hAnsi="Arial"/>
          <w:i/>
          <w:sz w:val="22"/>
        </w:rPr>
        <w:t>debe</w:t>
      </w:r>
      <w:r>
        <w:rPr>
          <w:rFonts w:ascii="Arial" w:hAnsi="Arial"/>
          <w:i/>
          <w:spacing w:val="-1"/>
          <w:sz w:val="22"/>
        </w:rPr>
        <w:t> </w:t>
      </w:r>
      <w:r>
        <w:rPr>
          <w:rFonts w:ascii="Arial" w:hAnsi="Arial"/>
          <w:i/>
          <w:sz w:val="22"/>
        </w:rPr>
        <w:t>fundamentarse en alguna</w:t>
      </w:r>
      <w:r>
        <w:rPr>
          <w:rFonts w:ascii="Arial" w:hAnsi="Arial"/>
          <w:i/>
          <w:spacing w:val="-1"/>
          <w:sz w:val="22"/>
        </w:rPr>
        <w:t> </w:t>
      </w:r>
      <w:r>
        <w:rPr>
          <w:rFonts w:ascii="Arial" w:hAnsi="Arial"/>
          <w:i/>
          <w:sz w:val="22"/>
        </w:rPr>
        <w:t>de</w:t>
      </w:r>
      <w:r>
        <w:rPr>
          <w:rFonts w:ascii="Arial" w:hAnsi="Arial"/>
          <w:i/>
          <w:spacing w:val="-1"/>
          <w:sz w:val="22"/>
        </w:rPr>
        <w:t> </w:t>
      </w:r>
      <w:r>
        <w:rPr>
          <w:rFonts w:ascii="Arial" w:hAnsi="Arial"/>
          <w:i/>
          <w:sz w:val="22"/>
        </w:rPr>
        <w:t>las excepciones</w:t>
      </w:r>
      <w:r>
        <w:rPr>
          <w:rFonts w:ascii="Arial" w:hAnsi="Arial"/>
          <w:i/>
          <w:spacing w:val="-15"/>
          <w:sz w:val="22"/>
        </w:rPr>
        <w:t> </w:t>
      </w:r>
      <w:r>
        <w:rPr>
          <w:rFonts w:ascii="Arial" w:hAnsi="Arial"/>
          <w:i/>
          <w:sz w:val="22"/>
        </w:rPr>
        <w:t>(taxativamente)</w:t>
      </w:r>
      <w:r>
        <w:rPr>
          <w:rFonts w:ascii="Arial" w:hAnsi="Arial"/>
          <w:i/>
          <w:spacing w:val="-13"/>
          <w:sz w:val="22"/>
        </w:rPr>
        <w:t> </w:t>
      </w:r>
      <w:r>
        <w:rPr>
          <w:rFonts w:ascii="Arial" w:hAnsi="Arial"/>
          <w:i/>
          <w:sz w:val="22"/>
        </w:rPr>
        <w:t>previstas</w:t>
      </w:r>
      <w:r>
        <w:rPr>
          <w:rFonts w:ascii="Arial" w:hAnsi="Arial"/>
          <w:i/>
          <w:spacing w:val="-16"/>
          <w:sz w:val="22"/>
        </w:rPr>
        <w:t> </w:t>
      </w:r>
      <w:r>
        <w:rPr>
          <w:rFonts w:ascii="Arial" w:hAnsi="Arial"/>
          <w:i/>
          <w:sz w:val="22"/>
        </w:rPr>
        <w:t>en</w:t>
      </w:r>
      <w:r>
        <w:rPr>
          <w:rFonts w:ascii="Arial" w:hAnsi="Arial"/>
          <w:i/>
          <w:spacing w:val="-14"/>
          <w:sz w:val="22"/>
        </w:rPr>
        <w:t> </w:t>
      </w:r>
      <w:r>
        <w:rPr>
          <w:rFonts w:ascii="Arial" w:hAnsi="Arial"/>
          <w:i/>
          <w:sz w:val="22"/>
        </w:rPr>
        <w:t>el</w:t>
      </w:r>
      <w:r>
        <w:rPr>
          <w:rFonts w:ascii="Arial" w:hAnsi="Arial"/>
          <w:i/>
          <w:spacing w:val="-15"/>
          <w:sz w:val="22"/>
        </w:rPr>
        <w:t> </w:t>
      </w:r>
      <w:r>
        <w:rPr>
          <w:rFonts w:ascii="Arial" w:hAnsi="Arial"/>
          <w:i/>
          <w:sz w:val="22"/>
        </w:rPr>
        <w:t>segundo</w:t>
      </w:r>
      <w:r>
        <w:rPr>
          <w:rFonts w:ascii="Arial" w:hAnsi="Arial"/>
          <w:i/>
          <w:spacing w:val="-14"/>
          <w:sz w:val="22"/>
        </w:rPr>
        <w:t> </w:t>
      </w:r>
      <w:r>
        <w:rPr>
          <w:rFonts w:ascii="Arial" w:hAnsi="Arial"/>
          <w:i/>
          <w:sz w:val="22"/>
        </w:rPr>
        <w:t>párrafo</w:t>
      </w:r>
      <w:r>
        <w:rPr>
          <w:rFonts w:ascii="Arial" w:hAnsi="Arial"/>
          <w:i/>
          <w:spacing w:val="-14"/>
          <w:sz w:val="22"/>
        </w:rPr>
        <w:t> </w:t>
      </w:r>
      <w:r>
        <w:rPr>
          <w:rFonts w:ascii="Arial" w:hAnsi="Arial"/>
          <w:i/>
          <w:sz w:val="22"/>
        </w:rPr>
        <w:t>del Artículo 73 del Acuerdo de Cartagena, las que deben ser interpretadas de manera restrictiva.</w:t>
      </w:r>
    </w:p>
    <w:p>
      <w:pPr>
        <w:pStyle w:val="ListParagraph"/>
        <w:numPr>
          <w:ilvl w:val="0"/>
          <w:numId w:val="9"/>
        </w:numPr>
        <w:tabs>
          <w:tab w:pos="3401" w:val="left" w:leader="none"/>
        </w:tabs>
        <w:spacing w:line="252" w:lineRule="exact" w:before="1" w:after="0"/>
        <w:ind w:left="3401" w:right="0" w:hanging="358"/>
        <w:jc w:val="both"/>
        <w:rPr>
          <w:rFonts w:ascii="Arial" w:hAnsi="Arial"/>
          <w:i/>
          <w:sz w:val="22"/>
        </w:rPr>
      </w:pPr>
      <w:r>
        <w:rPr>
          <w:rFonts w:ascii="Arial" w:hAnsi="Arial"/>
          <w:i/>
          <w:spacing w:val="-2"/>
          <w:sz w:val="22"/>
        </w:rPr>
        <w:t>La</w:t>
      </w:r>
      <w:r>
        <w:rPr>
          <w:rFonts w:ascii="Arial" w:hAnsi="Arial"/>
          <w:i/>
          <w:spacing w:val="-9"/>
          <w:sz w:val="22"/>
        </w:rPr>
        <w:t> </w:t>
      </w:r>
      <w:r>
        <w:rPr>
          <w:rFonts w:ascii="Arial" w:hAnsi="Arial"/>
          <w:i/>
          <w:spacing w:val="-2"/>
          <w:sz w:val="22"/>
        </w:rPr>
        <w:t>medida</w:t>
      </w:r>
      <w:r>
        <w:rPr>
          <w:rFonts w:ascii="Arial" w:hAnsi="Arial"/>
          <w:i/>
          <w:spacing w:val="-12"/>
          <w:sz w:val="22"/>
        </w:rPr>
        <w:t> </w:t>
      </w:r>
      <w:r>
        <w:rPr>
          <w:rFonts w:ascii="Arial" w:hAnsi="Arial"/>
          <w:i/>
          <w:spacing w:val="-2"/>
          <w:sz w:val="22"/>
        </w:rPr>
        <w:t>debe</w:t>
      </w:r>
      <w:r>
        <w:rPr>
          <w:rFonts w:ascii="Arial" w:hAnsi="Arial"/>
          <w:i/>
          <w:spacing w:val="-12"/>
          <w:sz w:val="22"/>
        </w:rPr>
        <w:t> </w:t>
      </w:r>
      <w:r>
        <w:rPr>
          <w:rFonts w:ascii="Arial" w:hAnsi="Arial"/>
          <w:i/>
          <w:spacing w:val="-2"/>
          <w:sz w:val="22"/>
        </w:rPr>
        <w:t>ser</w:t>
      </w:r>
      <w:r>
        <w:rPr>
          <w:rFonts w:ascii="Arial" w:hAnsi="Arial"/>
          <w:i/>
          <w:spacing w:val="-11"/>
          <w:sz w:val="22"/>
        </w:rPr>
        <w:t> </w:t>
      </w:r>
      <w:r>
        <w:rPr>
          <w:rFonts w:ascii="Arial" w:hAnsi="Arial"/>
          <w:i/>
          <w:spacing w:val="-2"/>
          <w:sz w:val="22"/>
        </w:rPr>
        <w:t>idónea</w:t>
      </w:r>
      <w:r>
        <w:rPr>
          <w:rFonts w:ascii="Arial" w:hAnsi="Arial"/>
          <w:i/>
          <w:spacing w:val="-8"/>
          <w:sz w:val="22"/>
        </w:rPr>
        <w:t> </w:t>
      </w:r>
      <w:r>
        <w:rPr>
          <w:rFonts w:ascii="Arial" w:hAnsi="Arial"/>
          <w:i/>
          <w:spacing w:val="-2"/>
          <w:sz w:val="22"/>
        </w:rPr>
        <w:t>para</w:t>
      </w:r>
      <w:r>
        <w:rPr>
          <w:rFonts w:ascii="Arial" w:hAnsi="Arial"/>
          <w:i/>
          <w:spacing w:val="-12"/>
          <w:sz w:val="22"/>
        </w:rPr>
        <w:t> </w:t>
      </w:r>
      <w:r>
        <w:rPr>
          <w:rFonts w:ascii="Arial" w:hAnsi="Arial"/>
          <w:i/>
          <w:spacing w:val="-2"/>
          <w:sz w:val="22"/>
        </w:rPr>
        <w:t>cumplir</w:t>
      </w:r>
      <w:r>
        <w:rPr>
          <w:rFonts w:ascii="Arial" w:hAnsi="Arial"/>
          <w:i/>
          <w:spacing w:val="-8"/>
          <w:sz w:val="22"/>
        </w:rPr>
        <w:t> </w:t>
      </w:r>
      <w:r>
        <w:rPr>
          <w:rFonts w:ascii="Arial" w:hAnsi="Arial"/>
          <w:i/>
          <w:spacing w:val="-2"/>
          <w:sz w:val="22"/>
        </w:rPr>
        <w:t>la</w:t>
      </w:r>
      <w:r>
        <w:rPr>
          <w:rFonts w:ascii="Arial" w:hAnsi="Arial"/>
          <w:i/>
          <w:spacing w:val="-12"/>
          <w:sz w:val="22"/>
        </w:rPr>
        <w:t> </w:t>
      </w:r>
      <w:r>
        <w:rPr>
          <w:rFonts w:ascii="Arial" w:hAnsi="Arial"/>
          <w:i/>
          <w:spacing w:val="-2"/>
          <w:sz w:val="22"/>
        </w:rPr>
        <w:t>mencionada</w:t>
      </w:r>
      <w:r>
        <w:rPr>
          <w:rFonts w:ascii="Arial" w:hAnsi="Arial"/>
          <w:i/>
          <w:spacing w:val="-8"/>
          <w:sz w:val="22"/>
        </w:rPr>
        <w:t> </w:t>
      </w:r>
      <w:r>
        <w:rPr>
          <w:rFonts w:ascii="Arial" w:hAnsi="Arial"/>
          <w:i/>
          <w:spacing w:val="-2"/>
          <w:sz w:val="22"/>
        </w:rPr>
        <w:t>finalidad.</w:t>
      </w:r>
    </w:p>
    <w:p>
      <w:pPr>
        <w:pStyle w:val="ListParagraph"/>
        <w:numPr>
          <w:ilvl w:val="0"/>
          <w:numId w:val="9"/>
        </w:numPr>
        <w:tabs>
          <w:tab w:pos="3403" w:val="left" w:leader="none"/>
        </w:tabs>
        <w:spacing w:line="240" w:lineRule="auto" w:before="0" w:after="0"/>
        <w:ind w:left="3403" w:right="980" w:hanging="360"/>
        <w:jc w:val="both"/>
        <w:rPr>
          <w:rFonts w:ascii="Arial" w:hAnsi="Arial"/>
          <w:i/>
          <w:sz w:val="22"/>
        </w:rPr>
      </w:pPr>
      <w:r>
        <w:rPr>
          <w:rFonts w:ascii="Arial" w:hAnsi="Arial"/>
          <w:i/>
          <w:sz w:val="22"/>
        </w:rPr>
        <w:t>La medida debe ser necesaria (o insustituible); es decir, no debería haber otra medida menos lesiva o gravosa al comercio subregional andino que podría cumplir con la mencionada </w:t>
      </w:r>
      <w:r>
        <w:rPr>
          <w:rFonts w:ascii="Arial" w:hAnsi="Arial"/>
          <w:i/>
          <w:spacing w:val="-2"/>
          <w:sz w:val="22"/>
        </w:rPr>
        <w:t>finalidad.</w:t>
      </w:r>
    </w:p>
    <w:p>
      <w:pPr>
        <w:pStyle w:val="Heading7"/>
        <w:numPr>
          <w:ilvl w:val="0"/>
          <w:numId w:val="9"/>
        </w:numPr>
        <w:tabs>
          <w:tab w:pos="3401" w:val="left" w:leader="none"/>
          <w:tab w:pos="3403" w:val="left" w:leader="none"/>
        </w:tabs>
        <w:spacing w:line="240" w:lineRule="auto" w:before="1" w:after="0"/>
        <w:ind w:left="3403" w:right="983" w:hanging="360"/>
        <w:jc w:val="both"/>
        <w:rPr>
          <w:u w:val="none"/>
        </w:rPr>
      </w:pPr>
      <w:r>
        <w:rPr>
          <w:u w:val="none"/>
        </w:rPr>
        <w:t>La medida deber ser proporcional; esto es, que sus beneficios son superiores a sus costos, tanto a nivel cuantitativo como cualitativo.</w:t>
      </w:r>
    </w:p>
    <w:p>
      <w:pPr>
        <w:pStyle w:val="ListParagraph"/>
        <w:numPr>
          <w:ilvl w:val="0"/>
          <w:numId w:val="9"/>
        </w:numPr>
        <w:tabs>
          <w:tab w:pos="3401" w:val="left" w:leader="none"/>
          <w:tab w:pos="3403" w:val="left" w:leader="none"/>
        </w:tabs>
        <w:spacing w:line="240" w:lineRule="auto" w:before="0" w:after="0"/>
        <w:ind w:left="3403" w:right="976" w:hanging="360"/>
        <w:jc w:val="both"/>
        <w:rPr>
          <w:rFonts w:ascii="Arial" w:hAnsi="Arial"/>
          <w:i/>
          <w:sz w:val="22"/>
        </w:rPr>
      </w:pPr>
      <w:r>
        <w:rPr>
          <w:rFonts w:ascii="Arial" w:hAnsi="Arial"/>
          <w:i/>
          <w:sz w:val="22"/>
        </w:rPr>
        <w:t>La medida no debe de ser discriminatoria.” </w:t>
      </w:r>
      <w:r>
        <w:rPr>
          <w:sz w:val="22"/>
        </w:rPr>
        <w:t>(Énfasis fuera del </w:t>
      </w:r>
      <w:r>
        <w:rPr>
          <w:spacing w:val="-2"/>
          <w:sz w:val="22"/>
        </w:rPr>
        <w:t>texto)</w:t>
      </w:r>
    </w:p>
    <w:p>
      <w:pPr>
        <w:pStyle w:val="BodyText"/>
        <w:spacing w:before="15"/>
      </w:pPr>
    </w:p>
    <w:p>
      <w:pPr>
        <w:pStyle w:val="ListParagraph"/>
        <w:numPr>
          <w:ilvl w:val="0"/>
          <w:numId w:val="2"/>
        </w:numPr>
        <w:tabs>
          <w:tab w:pos="1416" w:val="left" w:leader="none"/>
          <w:tab w:pos="1420" w:val="left" w:leader="none"/>
        </w:tabs>
        <w:spacing w:line="240" w:lineRule="auto" w:before="1" w:after="0"/>
        <w:ind w:left="1420" w:right="980" w:hanging="852"/>
        <w:jc w:val="both"/>
        <w:rPr>
          <w:sz w:val="22"/>
        </w:rPr>
      </w:pPr>
      <w:r>
        <w:rPr>
          <w:sz w:val="22"/>
        </w:rPr>
        <w:t>De lo anterior, queda claro que tanto el informe técnico como el escrito de sustentación de la medida no verifican que los beneficios de la medida superen sus costos, tanto en términos cuantitativos como cualitativos.</w:t>
      </w:r>
    </w:p>
    <w:p>
      <w:pPr>
        <w:pStyle w:val="BodyText"/>
      </w:pPr>
    </w:p>
    <w:p>
      <w:pPr>
        <w:pStyle w:val="ListParagraph"/>
        <w:numPr>
          <w:ilvl w:val="0"/>
          <w:numId w:val="2"/>
        </w:numPr>
        <w:tabs>
          <w:tab w:pos="1416" w:val="left" w:leader="none"/>
          <w:tab w:pos="1420" w:val="left" w:leader="none"/>
        </w:tabs>
        <w:spacing w:line="240" w:lineRule="auto" w:before="0" w:after="0"/>
        <w:ind w:left="1420" w:right="978" w:hanging="852"/>
        <w:jc w:val="both"/>
        <w:rPr>
          <w:sz w:val="22"/>
        </w:rPr>
      </w:pPr>
      <w:r>
        <w:rPr>
          <w:sz w:val="22"/>
        </w:rPr>
        <w:t>En particular, si bien la República del Ecuador sostiene que la medida genera beneficios</w:t>
      </w:r>
      <w:r>
        <w:rPr>
          <w:spacing w:val="40"/>
          <w:sz w:val="22"/>
        </w:rPr>
        <w:t> </w:t>
      </w:r>
      <w:r>
        <w:rPr>
          <w:sz w:val="22"/>
        </w:rPr>
        <w:t>en</w:t>
      </w:r>
      <w:r>
        <w:rPr>
          <w:spacing w:val="40"/>
          <w:sz w:val="22"/>
        </w:rPr>
        <w:t> </w:t>
      </w:r>
      <w:r>
        <w:rPr>
          <w:sz w:val="22"/>
        </w:rPr>
        <w:t>términos</w:t>
      </w:r>
      <w:r>
        <w:rPr>
          <w:spacing w:val="40"/>
          <w:sz w:val="22"/>
        </w:rPr>
        <w:t> </w:t>
      </w:r>
      <w:r>
        <w:rPr>
          <w:sz w:val="22"/>
        </w:rPr>
        <w:t>de</w:t>
      </w:r>
      <w:r>
        <w:rPr>
          <w:spacing w:val="40"/>
          <w:sz w:val="22"/>
        </w:rPr>
        <w:t> </w:t>
      </w:r>
      <w:r>
        <w:rPr>
          <w:sz w:val="22"/>
        </w:rPr>
        <w:t>trazabilidad,</w:t>
      </w:r>
      <w:r>
        <w:rPr>
          <w:spacing w:val="40"/>
          <w:sz w:val="22"/>
        </w:rPr>
        <w:t> </w:t>
      </w:r>
      <w:r>
        <w:rPr>
          <w:sz w:val="22"/>
        </w:rPr>
        <w:t>control</w:t>
      </w:r>
      <w:r>
        <w:rPr>
          <w:spacing w:val="40"/>
          <w:sz w:val="22"/>
        </w:rPr>
        <w:t> </w:t>
      </w:r>
      <w:r>
        <w:rPr>
          <w:sz w:val="22"/>
        </w:rPr>
        <w:t>aduanero</w:t>
      </w:r>
      <w:r>
        <w:rPr>
          <w:spacing w:val="40"/>
          <w:sz w:val="22"/>
        </w:rPr>
        <w:t> </w:t>
      </w:r>
      <w:r>
        <w:rPr>
          <w:sz w:val="22"/>
        </w:rPr>
        <w:t>y</w:t>
      </w:r>
      <w:r>
        <w:rPr>
          <w:spacing w:val="40"/>
          <w:sz w:val="22"/>
        </w:rPr>
        <w:t> </w:t>
      </w:r>
      <w:r>
        <w:rPr>
          <w:sz w:val="22"/>
        </w:rPr>
        <w:t>reducción</w:t>
      </w:r>
      <w:r>
        <w:rPr>
          <w:spacing w:val="40"/>
          <w:sz w:val="22"/>
        </w:rPr>
        <w:t> </w:t>
      </w:r>
      <w:r>
        <w:rPr>
          <w:sz w:val="22"/>
        </w:rPr>
        <w:t>de</w:t>
      </w:r>
      <w:r>
        <w:rPr>
          <w:spacing w:val="40"/>
          <w:sz w:val="22"/>
        </w:rPr>
        <w:t> </w:t>
      </w:r>
      <w:r>
        <w:rPr>
          <w:sz w:val="22"/>
        </w:rPr>
        <w:t>riesgos</w:t>
      </w:r>
    </w:p>
    <w:p>
      <w:pPr>
        <w:pStyle w:val="BodyText"/>
        <w:rPr>
          <w:sz w:val="18"/>
        </w:rPr>
      </w:pPr>
      <w:r>
        <w:rPr>
          <w:sz w:val="18"/>
        </w:rPr>
        <mc:AlternateContent>
          <mc:Choice Requires="wps">
            <w:drawing>
              <wp:anchor distT="0" distB="0" distL="0" distR="0" allowOverlap="1" layoutInCell="1" locked="0" behindDoc="1" simplePos="0" relativeHeight="487612928">
                <wp:simplePos x="0" y="0"/>
                <wp:positionH relativeFrom="page">
                  <wp:posOffset>990904</wp:posOffset>
                </wp:positionH>
                <wp:positionV relativeFrom="paragraph">
                  <wp:posOffset>146956</wp:posOffset>
                </wp:positionV>
                <wp:extent cx="1829435" cy="7620"/>
                <wp:effectExtent l="0" t="0" r="0" b="0"/>
                <wp:wrapTopAndBottom/>
                <wp:docPr id="282" name="Graphic 282"/>
                <wp:cNvGraphicFramePr>
                  <a:graphicFrameLocks/>
                </wp:cNvGraphicFramePr>
                <a:graphic>
                  <a:graphicData uri="http://schemas.microsoft.com/office/word/2010/wordprocessingShape">
                    <wps:wsp>
                      <wps:cNvPr id="282" name="Graphic 282"/>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1.57134pt;width:144.020pt;height:.599980pt;mso-position-horizontal-relative:page;mso-position-vertical-relative:paragraph;z-index:-15703552;mso-wrap-distance-left:0;mso-wrap-distance-right:0" id="docshape209" filled="true" fillcolor="#000000" stroked="false">
                <v:fill type="solid"/>
                <w10:wrap type="topAndBottom"/>
              </v:rect>
            </w:pict>
          </mc:Fallback>
        </mc:AlternateContent>
      </w:r>
    </w:p>
    <w:p>
      <w:pPr>
        <w:spacing w:line="209" w:lineRule="exact" w:before="87"/>
        <w:ind w:left="568" w:right="0" w:firstLine="0"/>
        <w:jc w:val="left"/>
        <w:rPr>
          <w:sz w:val="18"/>
        </w:rPr>
      </w:pPr>
      <w:bookmarkStart w:name="_bookmark39" w:id="40"/>
      <w:bookmarkEnd w:id="40"/>
      <w:r>
        <w:rPr/>
      </w:r>
      <w:r>
        <w:rPr>
          <w:position w:val="6"/>
          <w:sz w:val="12"/>
        </w:rPr>
        <w:t>40</w:t>
      </w:r>
      <w:r>
        <w:rPr>
          <w:spacing w:val="14"/>
          <w:position w:val="6"/>
          <w:sz w:val="12"/>
        </w:rPr>
        <w:t> </w:t>
      </w:r>
      <w:r>
        <w:rPr>
          <w:sz w:val="18"/>
        </w:rPr>
        <w:t>Folio</w:t>
      </w:r>
      <w:r>
        <w:rPr>
          <w:spacing w:val="-3"/>
          <w:sz w:val="18"/>
        </w:rPr>
        <w:t> </w:t>
      </w:r>
      <w:r>
        <w:rPr>
          <w:sz w:val="18"/>
        </w:rPr>
        <w:t>532</w:t>
      </w:r>
      <w:r>
        <w:rPr>
          <w:spacing w:val="-2"/>
          <w:sz w:val="18"/>
        </w:rPr>
        <w:t> </w:t>
      </w:r>
      <w:r>
        <w:rPr>
          <w:sz w:val="18"/>
        </w:rPr>
        <w:t>del</w:t>
      </w:r>
      <w:r>
        <w:rPr>
          <w:spacing w:val="-3"/>
          <w:sz w:val="18"/>
        </w:rPr>
        <w:t> </w:t>
      </w:r>
      <w:r>
        <w:rPr>
          <w:sz w:val="18"/>
        </w:rPr>
        <w:t>expediente</w:t>
      </w:r>
      <w:r>
        <w:rPr>
          <w:spacing w:val="-2"/>
          <w:sz w:val="18"/>
        </w:rPr>
        <w:t> DGCOM/REST/001/2026.</w:t>
      </w:r>
    </w:p>
    <w:p>
      <w:pPr>
        <w:spacing w:line="240" w:lineRule="auto" w:before="0"/>
        <w:ind w:left="568" w:right="955" w:firstLine="0"/>
        <w:jc w:val="left"/>
        <w:rPr>
          <w:sz w:val="18"/>
        </w:rPr>
      </w:pPr>
      <w:bookmarkStart w:name="_bookmark40" w:id="41"/>
      <w:bookmarkEnd w:id="41"/>
      <w:r>
        <w:rPr/>
      </w:r>
      <w:r>
        <w:rPr>
          <w:position w:val="6"/>
          <w:sz w:val="12"/>
        </w:rPr>
        <w:t>41</w:t>
      </w:r>
      <w:r>
        <w:rPr>
          <w:spacing w:val="39"/>
          <w:position w:val="6"/>
          <w:sz w:val="12"/>
        </w:rPr>
        <w:t> </w:t>
      </w:r>
      <w:r>
        <w:rPr>
          <w:sz w:val="18"/>
        </w:rPr>
        <w:t>Sentencia</w:t>
      </w:r>
      <w:r>
        <w:rPr>
          <w:spacing w:val="22"/>
          <w:sz w:val="18"/>
        </w:rPr>
        <w:t> </w:t>
      </w:r>
      <w:r>
        <w:rPr>
          <w:sz w:val="18"/>
        </w:rPr>
        <w:t>del</w:t>
      </w:r>
      <w:r>
        <w:rPr>
          <w:spacing w:val="22"/>
          <w:sz w:val="18"/>
        </w:rPr>
        <w:t> </w:t>
      </w:r>
      <w:r>
        <w:rPr>
          <w:sz w:val="18"/>
        </w:rPr>
        <w:t>Proceso</w:t>
      </w:r>
      <w:r>
        <w:rPr>
          <w:spacing w:val="22"/>
          <w:sz w:val="18"/>
        </w:rPr>
        <w:t> </w:t>
      </w:r>
      <w:r>
        <w:rPr>
          <w:sz w:val="18"/>
        </w:rPr>
        <w:t>7-AI-98,</w:t>
      </w:r>
      <w:r>
        <w:rPr>
          <w:spacing w:val="22"/>
          <w:sz w:val="18"/>
        </w:rPr>
        <w:t> </w:t>
      </w:r>
      <w:r>
        <w:rPr>
          <w:sz w:val="18"/>
        </w:rPr>
        <w:t>publicada</w:t>
      </w:r>
      <w:r>
        <w:rPr>
          <w:spacing w:val="22"/>
          <w:sz w:val="18"/>
        </w:rPr>
        <w:t> </w:t>
      </w:r>
      <w:r>
        <w:rPr>
          <w:sz w:val="18"/>
        </w:rPr>
        <w:t>en</w:t>
      </w:r>
      <w:r>
        <w:rPr>
          <w:spacing w:val="22"/>
          <w:sz w:val="18"/>
        </w:rPr>
        <w:t> </w:t>
      </w:r>
      <w:r>
        <w:rPr>
          <w:sz w:val="18"/>
        </w:rPr>
        <w:t>la</w:t>
      </w:r>
      <w:r>
        <w:rPr>
          <w:spacing w:val="20"/>
          <w:sz w:val="18"/>
        </w:rPr>
        <w:t> </w:t>
      </w:r>
      <w:r>
        <w:rPr>
          <w:sz w:val="18"/>
        </w:rPr>
        <w:t>GOAC</w:t>
      </w:r>
      <w:r>
        <w:rPr>
          <w:spacing w:val="21"/>
          <w:sz w:val="18"/>
        </w:rPr>
        <w:t> </w:t>
      </w:r>
      <w:r>
        <w:rPr>
          <w:sz w:val="18"/>
        </w:rPr>
        <w:t>No.</w:t>
      </w:r>
      <w:r>
        <w:rPr>
          <w:spacing w:val="22"/>
          <w:sz w:val="18"/>
        </w:rPr>
        <w:t> </w:t>
      </w:r>
      <w:r>
        <w:rPr>
          <w:sz w:val="18"/>
        </w:rPr>
        <w:t>490</w:t>
      </w:r>
      <w:r>
        <w:rPr>
          <w:spacing w:val="22"/>
          <w:sz w:val="18"/>
        </w:rPr>
        <w:t> </w:t>
      </w:r>
      <w:r>
        <w:rPr>
          <w:sz w:val="18"/>
        </w:rPr>
        <w:t>del</w:t>
      </w:r>
      <w:r>
        <w:rPr>
          <w:spacing w:val="22"/>
          <w:sz w:val="18"/>
        </w:rPr>
        <w:t> </w:t>
      </w:r>
      <w:r>
        <w:rPr>
          <w:sz w:val="18"/>
        </w:rPr>
        <w:t>4</w:t>
      </w:r>
      <w:r>
        <w:rPr>
          <w:spacing w:val="20"/>
          <w:sz w:val="18"/>
        </w:rPr>
        <w:t> </w:t>
      </w:r>
      <w:r>
        <w:rPr>
          <w:sz w:val="18"/>
        </w:rPr>
        <w:t>de</w:t>
      </w:r>
      <w:r>
        <w:rPr>
          <w:spacing w:val="22"/>
          <w:sz w:val="18"/>
        </w:rPr>
        <w:t> </w:t>
      </w:r>
      <w:r>
        <w:rPr>
          <w:sz w:val="18"/>
        </w:rPr>
        <w:t>octubre</w:t>
      </w:r>
      <w:r>
        <w:rPr>
          <w:spacing w:val="22"/>
          <w:sz w:val="18"/>
        </w:rPr>
        <w:t> </w:t>
      </w:r>
      <w:r>
        <w:rPr>
          <w:sz w:val="18"/>
        </w:rPr>
        <w:t>de</w:t>
      </w:r>
      <w:r>
        <w:rPr>
          <w:spacing w:val="22"/>
          <w:sz w:val="18"/>
        </w:rPr>
        <w:t> </w:t>
      </w:r>
      <w:r>
        <w:rPr>
          <w:sz w:val="18"/>
        </w:rPr>
        <w:t>1999,</w:t>
      </w:r>
      <w:r>
        <w:rPr>
          <w:spacing w:val="20"/>
          <w:sz w:val="18"/>
        </w:rPr>
        <w:t> </w:t>
      </w:r>
      <w:r>
        <w:rPr>
          <w:sz w:val="18"/>
        </w:rPr>
        <w:t>el</w:t>
      </w:r>
      <w:r>
        <w:rPr>
          <w:spacing w:val="22"/>
          <w:sz w:val="18"/>
        </w:rPr>
        <w:t> </w:t>
      </w:r>
      <w:r>
        <w:rPr>
          <w:sz w:val="18"/>
        </w:rPr>
        <w:t>Tribunal</w:t>
      </w:r>
      <w:r>
        <w:rPr>
          <w:spacing w:val="20"/>
          <w:sz w:val="18"/>
        </w:rPr>
        <w:t> </w:t>
      </w:r>
      <w:r>
        <w:rPr>
          <w:sz w:val="18"/>
        </w:rPr>
        <w:t>hace </w:t>
      </w:r>
      <w:r>
        <w:rPr>
          <w:spacing w:val="-2"/>
          <w:sz w:val="18"/>
        </w:rPr>
        <w:t>referencia</w:t>
      </w:r>
      <w:r>
        <w:rPr>
          <w:spacing w:val="-5"/>
          <w:sz w:val="18"/>
        </w:rPr>
        <w:t> </w:t>
      </w:r>
      <w:r>
        <w:rPr>
          <w:spacing w:val="-2"/>
          <w:sz w:val="18"/>
        </w:rPr>
        <w:t>exacta</w:t>
      </w:r>
      <w:r>
        <w:rPr>
          <w:sz w:val="18"/>
        </w:rPr>
        <w:t> </w:t>
      </w:r>
      <w:r>
        <w:rPr>
          <w:spacing w:val="-2"/>
          <w:sz w:val="18"/>
        </w:rPr>
        <w:t>a</w:t>
      </w:r>
      <w:r>
        <w:rPr>
          <w:spacing w:val="-4"/>
          <w:sz w:val="18"/>
        </w:rPr>
        <w:t> </w:t>
      </w:r>
      <w:r>
        <w:rPr>
          <w:spacing w:val="-2"/>
          <w:sz w:val="18"/>
        </w:rPr>
        <w:t>la</w:t>
      </w:r>
      <w:r>
        <w:rPr>
          <w:sz w:val="18"/>
        </w:rPr>
        <w:t> </w:t>
      </w:r>
      <w:r>
        <w:rPr>
          <w:spacing w:val="-2"/>
          <w:sz w:val="18"/>
        </w:rPr>
        <w:t>imposibilidad</w:t>
      </w:r>
      <w:r>
        <w:rPr>
          <w:spacing w:val="-3"/>
          <w:sz w:val="18"/>
        </w:rPr>
        <w:t> </w:t>
      </w:r>
      <w:r>
        <w:rPr>
          <w:spacing w:val="-2"/>
          <w:sz w:val="18"/>
        </w:rPr>
        <w:t>de</w:t>
      </w:r>
      <w:r>
        <w:rPr>
          <w:spacing w:val="-1"/>
          <w:sz w:val="18"/>
        </w:rPr>
        <w:t> </w:t>
      </w:r>
      <w:r>
        <w:rPr>
          <w:spacing w:val="-2"/>
          <w:sz w:val="18"/>
        </w:rPr>
        <w:t>que</w:t>
      </w:r>
      <w:r>
        <w:rPr>
          <w:sz w:val="18"/>
        </w:rPr>
        <w:t> </w:t>
      </w:r>
      <w:r>
        <w:rPr>
          <w:spacing w:val="-2"/>
          <w:sz w:val="18"/>
        </w:rPr>
        <w:t>los</w:t>
      </w:r>
      <w:r>
        <w:rPr>
          <w:sz w:val="18"/>
        </w:rPr>
        <w:t> </w:t>
      </w:r>
      <w:r>
        <w:rPr>
          <w:spacing w:val="-2"/>
          <w:sz w:val="18"/>
        </w:rPr>
        <w:t>Países Miembros</w:t>
      </w:r>
      <w:r>
        <w:rPr>
          <w:sz w:val="18"/>
        </w:rPr>
        <w:t> </w:t>
      </w:r>
      <w:r>
        <w:rPr>
          <w:spacing w:val="-2"/>
          <w:sz w:val="18"/>
        </w:rPr>
        <w:t>puedan</w:t>
      </w:r>
      <w:r>
        <w:rPr>
          <w:sz w:val="18"/>
        </w:rPr>
        <w:t> </w:t>
      </w:r>
      <w:r>
        <w:rPr>
          <w:spacing w:val="-2"/>
          <w:sz w:val="18"/>
        </w:rPr>
        <w:t>alegar</w:t>
      </w:r>
      <w:r>
        <w:rPr>
          <w:spacing w:val="-4"/>
          <w:sz w:val="18"/>
        </w:rPr>
        <w:t> </w:t>
      </w:r>
      <w:r>
        <w:rPr>
          <w:spacing w:val="-2"/>
          <w:sz w:val="18"/>
        </w:rPr>
        <w:t>el incumplimiento</w:t>
      </w:r>
      <w:r>
        <w:rPr>
          <w:sz w:val="18"/>
        </w:rPr>
        <w:t> </w:t>
      </w:r>
      <w:r>
        <w:rPr>
          <w:spacing w:val="-2"/>
          <w:sz w:val="18"/>
        </w:rPr>
        <w:t>del</w:t>
      </w:r>
      <w:r>
        <w:rPr>
          <w:sz w:val="18"/>
        </w:rPr>
        <w:t> </w:t>
      </w:r>
      <w:r>
        <w:rPr>
          <w:spacing w:val="-2"/>
          <w:sz w:val="18"/>
        </w:rPr>
        <w:t>ordenamiento</w:t>
      </w:r>
    </w:p>
    <w:p>
      <w:pPr>
        <w:tabs>
          <w:tab w:pos="568" w:val="left" w:leader="none"/>
          <w:tab w:pos="9816" w:val="left" w:leader="none"/>
        </w:tabs>
        <w:spacing w:before="0"/>
        <w:ind w:left="160" w:right="0" w:firstLine="0"/>
        <w:jc w:val="left"/>
        <w:rPr>
          <w:sz w:val="18"/>
        </w:rPr>
      </w:pPr>
      <w:r>
        <w:rPr>
          <w:sz w:val="18"/>
          <w:u w:val="single"/>
        </w:rPr>
        <w:tab/>
        <w:t>jurídico</w:t>
      </w:r>
      <w:r>
        <w:rPr>
          <w:spacing w:val="-4"/>
          <w:sz w:val="18"/>
          <w:u w:val="single"/>
        </w:rPr>
        <w:t> </w:t>
      </w:r>
      <w:r>
        <w:rPr>
          <w:sz w:val="18"/>
          <w:u w:val="single"/>
        </w:rPr>
        <w:t>andino,</w:t>
      </w:r>
      <w:r>
        <w:rPr>
          <w:spacing w:val="-4"/>
          <w:sz w:val="18"/>
          <w:u w:val="single"/>
        </w:rPr>
        <w:t> </w:t>
      </w:r>
      <w:r>
        <w:rPr>
          <w:sz w:val="18"/>
          <w:u w:val="single"/>
        </w:rPr>
        <w:t>so</w:t>
      </w:r>
      <w:r>
        <w:rPr>
          <w:spacing w:val="-3"/>
          <w:sz w:val="18"/>
          <w:u w:val="single"/>
        </w:rPr>
        <w:t> </w:t>
      </w:r>
      <w:r>
        <w:rPr>
          <w:sz w:val="18"/>
          <w:u w:val="single"/>
        </w:rPr>
        <w:t>pretexto</w:t>
      </w:r>
      <w:r>
        <w:rPr>
          <w:spacing w:val="-4"/>
          <w:sz w:val="18"/>
          <w:u w:val="single"/>
        </w:rPr>
        <w:t> </w:t>
      </w:r>
      <w:r>
        <w:rPr>
          <w:sz w:val="18"/>
          <w:u w:val="single"/>
        </w:rPr>
        <w:t>de</w:t>
      </w:r>
      <w:r>
        <w:rPr>
          <w:spacing w:val="-3"/>
          <w:sz w:val="18"/>
          <w:u w:val="single"/>
        </w:rPr>
        <w:t> </w:t>
      </w:r>
      <w:r>
        <w:rPr>
          <w:sz w:val="18"/>
          <w:u w:val="single"/>
        </w:rPr>
        <w:t>regirse</w:t>
      </w:r>
      <w:r>
        <w:rPr>
          <w:spacing w:val="2"/>
          <w:sz w:val="18"/>
          <w:u w:val="single"/>
        </w:rPr>
        <w:t> </w:t>
      </w:r>
      <w:r>
        <w:rPr>
          <w:sz w:val="18"/>
          <w:u w:val="single"/>
        </w:rPr>
        <w:t>por</w:t>
      </w:r>
      <w:r>
        <w:rPr>
          <w:spacing w:val="-2"/>
          <w:sz w:val="18"/>
          <w:u w:val="single"/>
        </w:rPr>
        <w:t> </w:t>
      </w:r>
      <w:r>
        <w:rPr>
          <w:sz w:val="18"/>
          <w:u w:val="single"/>
        </w:rPr>
        <w:t>las</w:t>
      </w:r>
      <w:r>
        <w:rPr>
          <w:spacing w:val="-1"/>
          <w:sz w:val="18"/>
          <w:u w:val="single"/>
        </w:rPr>
        <w:t> </w:t>
      </w:r>
      <w:r>
        <w:rPr>
          <w:sz w:val="18"/>
          <w:u w:val="single"/>
        </w:rPr>
        <w:t>normas de</w:t>
      </w:r>
      <w:r>
        <w:rPr>
          <w:spacing w:val="-2"/>
          <w:sz w:val="18"/>
          <w:u w:val="single"/>
        </w:rPr>
        <w:t> </w:t>
      </w:r>
      <w:r>
        <w:rPr>
          <w:sz w:val="18"/>
          <w:u w:val="single"/>
        </w:rPr>
        <w:t>la</w:t>
      </w:r>
      <w:r>
        <w:rPr>
          <w:spacing w:val="-5"/>
          <w:sz w:val="18"/>
          <w:u w:val="single"/>
        </w:rPr>
        <w:t> </w:t>
      </w:r>
      <w:r>
        <w:rPr>
          <w:spacing w:val="-4"/>
          <w:sz w:val="18"/>
          <w:u w:val="single"/>
        </w:rPr>
        <w:t>OMC.</w:t>
      </w:r>
      <w:r>
        <w:rPr>
          <w:sz w:val="18"/>
          <w:u w:val="single"/>
        </w:rPr>
        <w:tab/>
      </w:r>
    </w:p>
    <w:p>
      <w:pPr>
        <w:spacing w:after="0"/>
        <w:jc w:val="left"/>
        <w:rPr>
          <w:sz w:val="18"/>
        </w:rPr>
        <w:sectPr>
          <w:headerReference w:type="default" r:id="rId40"/>
          <w:footerReference w:type="default" r:id="rId41"/>
          <w:pgSz w:w="11900" w:h="16850"/>
          <w:pgMar w:header="370" w:footer="597" w:top="1380" w:bottom="780" w:left="992" w:right="283"/>
        </w:sectPr>
      </w:pPr>
    </w:p>
    <w:p>
      <w:pPr>
        <w:pStyle w:val="BodyText"/>
        <w:spacing w:before="176"/>
      </w:pPr>
    </w:p>
    <w:p>
      <w:pPr>
        <w:pStyle w:val="BodyText"/>
        <w:ind w:left="1420" w:right="977"/>
        <w:jc w:val="both"/>
      </w:pPr>
      <w:r>
        <w:rPr/>
        <w:t>asociados a actividades ilícitas, tales efectos no han sido demostrados mediante evidencia empírica en el expediente, ni se ha acreditado que la concentración del comercio formal en un único punto de ingreso produzca una mejora efectiva en las condiciones de seguridad en la zona de frontera. Por el</w:t>
      </w:r>
      <w:r>
        <w:rPr>
          <w:spacing w:val="-1"/>
        </w:rPr>
        <w:t> </w:t>
      </w:r>
      <w:r>
        <w:rPr/>
        <w:t>contrario, el informe técnico CCFFAA-J2-PL-PFNA-2025-112 que sustenta la medida describe la problemática existente, sin evaluar el impacto concreto de la medida adoptada sobre dichos </w:t>
      </w:r>
      <w:r>
        <w:rPr>
          <w:spacing w:val="-2"/>
        </w:rPr>
        <w:t>fenómenos.</w:t>
      </w:r>
    </w:p>
    <w:p>
      <w:pPr>
        <w:pStyle w:val="ListParagraph"/>
        <w:numPr>
          <w:ilvl w:val="0"/>
          <w:numId w:val="2"/>
        </w:numPr>
        <w:tabs>
          <w:tab w:pos="1416" w:val="left" w:leader="none"/>
          <w:tab w:pos="1420" w:val="left" w:leader="none"/>
        </w:tabs>
        <w:spacing w:line="240" w:lineRule="auto" w:before="253" w:after="0"/>
        <w:ind w:left="1420" w:right="979" w:hanging="852"/>
        <w:jc w:val="both"/>
        <w:rPr>
          <w:sz w:val="22"/>
        </w:rPr>
      </w:pPr>
      <w:r>
        <w:rPr>
          <w:sz w:val="22"/>
        </w:rPr>
        <w:t>Complementariamente, el TJCAN, en el marco del Proceso 3-AI-96</w:t>
      </w:r>
      <w:hyperlink w:history="true" w:anchor="_bookmark41">
        <w:r>
          <w:rPr>
            <w:sz w:val="22"/>
            <w:vertAlign w:val="superscript"/>
          </w:rPr>
          <w:t>42</w:t>
        </w:r>
      </w:hyperlink>
      <w:r>
        <w:rPr>
          <w:sz w:val="22"/>
          <w:vertAlign w:val="baseline"/>
        </w:rPr>
        <w:t>, ha señalado que para que una medida restrictiva pueda ser considerada justificable, debe encontrarse</w:t>
      </w:r>
      <w:r>
        <w:rPr>
          <w:spacing w:val="-7"/>
          <w:sz w:val="22"/>
          <w:vertAlign w:val="baseline"/>
        </w:rPr>
        <w:t> </w:t>
      </w:r>
      <w:r>
        <w:rPr>
          <w:sz w:val="22"/>
          <w:vertAlign w:val="baseline"/>
        </w:rPr>
        <w:t>inspirada</w:t>
      </w:r>
      <w:r>
        <w:rPr>
          <w:spacing w:val="-7"/>
          <w:sz w:val="22"/>
          <w:vertAlign w:val="baseline"/>
        </w:rPr>
        <w:t> </w:t>
      </w:r>
      <w:r>
        <w:rPr>
          <w:sz w:val="22"/>
          <w:vertAlign w:val="baseline"/>
        </w:rPr>
        <w:t>en</w:t>
      </w:r>
      <w:r>
        <w:rPr>
          <w:spacing w:val="-8"/>
          <w:sz w:val="22"/>
          <w:vertAlign w:val="baseline"/>
        </w:rPr>
        <w:t> </w:t>
      </w:r>
      <w:r>
        <w:rPr>
          <w:sz w:val="22"/>
          <w:vertAlign w:val="baseline"/>
        </w:rPr>
        <w:t>el</w:t>
      </w:r>
      <w:r>
        <w:rPr>
          <w:spacing w:val="-6"/>
          <w:sz w:val="22"/>
          <w:vertAlign w:val="baseline"/>
        </w:rPr>
        <w:t> </w:t>
      </w:r>
      <w:r>
        <w:rPr>
          <w:sz w:val="22"/>
          <w:vertAlign w:val="baseline"/>
        </w:rPr>
        <w:t>principio</w:t>
      </w:r>
      <w:r>
        <w:rPr>
          <w:spacing w:val="-5"/>
          <w:sz w:val="22"/>
          <w:vertAlign w:val="baseline"/>
        </w:rPr>
        <w:t> </w:t>
      </w:r>
      <w:r>
        <w:rPr>
          <w:sz w:val="22"/>
          <w:vertAlign w:val="baseline"/>
        </w:rPr>
        <w:t>de</w:t>
      </w:r>
      <w:r>
        <w:rPr>
          <w:spacing w:val="-8"/>
          <w:sz w:val="22"/>
          <w:vertAlign w:val="baseline"/>
        </w:rPr>
        <w:t> </w:t>
      </w:r>
      <w:r>
        <w:rPr>
          <w:sz w:val="22"/>
          <w:vertAlign w:val="baseline"/>
        </w:rPr>
        <w:t>proporcionalidad</w:t>
      </w:r>
      <w:r>
        <w:rPr>
          <w:spacing w:val="-5"/>
          <w:sz w:val="22"/>
          <w:vertAlign w:val="baseline"/>
        </w:rPr>
        <w:t> </w:t>
      </w:r>
      <w:r>
        <w:rPr>
          <w:sz w:val="22"/>
          <w:vertAlign w:val="baseline"/>
        </w:rPr>
        <w:t>entre</w:t>
      </w:r>
      <w:r>
        <w:rPr>
          <w:spacing w:val="-7"/>
          <w:sz w:val="22"/>
          <w:vertAlign w:val="baseline"/>
        </w:rPr>
        <w:t> </w:t>
      </w:r>
      <w:r>
        <w:rPr>
          <w:sz w:val="22"/>
          <w:vertAlign w:val="baseline"/>
        </w:rPr>
        <w:t>la</w:t>
      </w:r>
      <w:r>
        <w:rPr>
          <w:spacing w:val="-7"/>
          <w:sz w:val="22"/>
          <w:vertAlign w:val="baseline"/>
        </w:rPr>
        <w:t> </w:t>
      </w:r>
      <w:r>
        <w:rPr>
          <w:sz w:val="22"/>
          <w:vertAlign w:val="baseline"/>
        </w:rPr>
        <w:t>medida</w:t>
      </w:r>
      <w:r>
        <w:rPr>
          <w:spacing w:val="-10"/>
          <w:sz w:val="22"/>
          <w:vertAlign w:val="baseline"/>
        </w:rPr>
        <w:t> </w:t>
      </w:r>
      <w:r>
        <w:rPr>
          <w:sz w:val="22"/>
          <w:vertAlign w:val="baseline"/>
        </w:rPr>
        <w:t>adoptada</w:t>
      </w:r>
      <w:r>
        <w:rPr>
          <w:spacing w:val="-7"/>
          <w:sz w:val="22"/>
          <w:vertAlign w:val="baseline"/>
        </w:rPr>
        <w:t> </w:t>
      </w:r>
      <w:r>
        <w:rPr>
          <w:sz w:val="22"/>
          <w:vertAlign w:val="baseline"/>
        </w:rPr>
        <w:t>y el objetivo específico que persigue, el cual debe constituir su causa directa e inmediata.</w:t>
      </w:r>
      <w:r>
        <w:rPr>
          <w:spacing w:val="-8"/>
          <w:sz w:val="22"/>
          <w:vertAlign w:val="baseline"/>
        </w:rPr>
        <w:t> </w:t>
      </w:r>
      <w:r>
        <w:rPr>
          <w:sz w:val="22"/>
          <w:vertAlign w:val="baseline"/>
        </w:rPr>
        <w:t>En</w:t>
      </w:r>
      <w:r>
        <w:rPr>
          <w:spacing w:val="-7"/>
          <w:sz w:val="22"/>
          <w:vertAlign w:val="baseline"/>
        </w:rPr>
        <w:t> </w:t>
      </w:r>
      <w:r>
        <w:rPr>
          <w:sz w:val="22"/>
          <w:vertAlign w:val="baseline"/>
        </w:rPr>
        <w:t>ese</w:t>
      </w:r>
      <w:r>
        <w:rPr>
          <w:spacing w:val="-10"/>
          <w:sz w:val="22"/>
          <w:vertAlign w:val="baseline"/>
        </w:rPr>
        <w:t> </w:t>
      </w:r>
      <w:r>
        <w:rPr>
          <w:sz w:val="22"/>
          <w:vertAlign w:val="baseline"/>
        </w:rPr>
        <w:t>sentido,</w:t>
      </w:r>
      <w:r>
        <w:rPr>
          <w:spacing w:val="-6"/>
          <w:sz w:val="22"/>
          <w:vertAlign w:val="baseline"/>
        </w:rPr>
        <w:t> </w:t>
      </w:r>
      <w:r>
        <w:rPr>
          <w:sz w:val="22"/>
          <w:vertAlign w:val="baseline"/>
        </w:rPr>
        <w:t>no</w:t>
      </w:r>
      <w:r>
        <w:rPr>
          <w:spacing w:val="-10"/>
          <w:sz w:val="22"/>
          <w:vertAlign w:val="baseline"/>
        </w:rPr>
        <w:t> </w:t>
      </w:r>
      <w:r>
        <w:rPr>
          <w:sz w:val="22"/>
          <w:vertAlign w:val="baseline"/>
        </w:rPr>
        <w:t>basta</w:t>
      </w:r>
      <w:r>
        <w:rPr>
          <w:spacing w:val="-10"/>
          <w:sz w:val="22"/>
          <w:vertAlign w:val="baseline"/>
        </w:rPr>
        <w:t> </w:t>
      </w:r>
      <w:r>
        <w:rPr>
          <w:sz w:val="22"/>
          <w:vertAlign w:val="baseline"/>
        </w:rPr>
        <w:t>con</w:t>
      </w:r>
      <w:r>
        <w:rPr>
          <w:spacing w:val="-10"/>
          <w:sz w:val="22"/>
          <w:vertAlign w:val="baseline"/>
        </w:rPr>
        <w:t> </w:t>
      </w:r>
      <w:r>
        <w:rPr>
          <w:sz w:val="22"/>
          <w:vertAlign w:val="baseline"/>
        </w:rPr>
        <w:t>la</w:t>
      </w:r>
      <w:r>
        <w:rPr>
          <w:spacing w:val="-7"/>
          <w:sz w:val="22"/>
          <w:vertAlign w:val="baseline"/>
        </w:rPr>
        <w:t> </w:t>
      </w:r>
      <w:r>
        <w:rPr>
          <w:sz w:val="22"/>
          <w:vertAlign w:val="baseline"/>
        </w:rPr>
        <w:t>invocación</w:t>
      </w:r>
      <w:r>
        <w:rPr>
          <w:spacing w:val="-8"/>
          <w:sz w:val="22"/>
          <w:vertAlign w:val="baseline"/>
        </w:rPr>
        <w:t> </w:t>
      </w:r>
      <w:r>
        <w:rPr>
          <w:sz w:val="22"/>
          <w:vertAlign w:val="baseline"/>
        </w:rPr>
        <w:t>general</w:t>
      </w:r>
      <w:r>
        <w:rPr>
          <w:spacing w:val="-8"/>
          <w:sz w:val="22"/>
          <w:vertAlign w:val="baseline"/>
        </w:rPr>
        <w:t> </w:t>
      </w:r>
      <w:r>
        <w:rPr>
          <w:sz w:val="22"/>
          <w:vertAlign w:val="baseline"/>
        </w:rPr>
        <w:t>de</w:t>
      </w:r>
      <w:r>
        <w:rPr>
          <w:spacing w:val="-10"/>
          <w:sz w:val="22"/>
          <w:vertAlign w:val="baseline"/>
        </w:rPr>
        <w:t> </w:t>
      </w:r>
      <w:r>
        <w:rPr>
          <w:sz w:val="22"/>
          <w:vertAlign w:val="baseline"/>
        </w:rPr>
        <w:t>objetivos</w:t>
      </w:r>
      <w:r>
        <w:rPr>
          <w:spacing w:val="-10"/>
          <w:sz w:val="22"/>
          <w:vertAlign w:val="baseline"/>
        </w:rPr>
        <w:t> </w:t>
      </w:r>
      <w:r>
        <w:rPr>
          <w:sz w:val="22"/>
          <w:vertAlign w:val="baseline"/>
        </w:rPr>
        <w:t>legítimos, sino que resulta necesario que exista una relación directa, verificable y suficientemente acreditada entre la medida y los efectos que se pretende alcanzar.</w:t>
      </w:r>
    </w:p>
    <w:p>
      <w:pPr>
        <w:pStyle w:val="BodyText"/>
        <w:spacing w:before="2"/>
      </w:pPr>
    </w:p>
    <w:p>
      <w:pPr>
        <w:pStyle w:val="ListParagraph"/>
        <w:numPr>
          <w:ilvl w:val="0"/>
          <w:numId w:val="2"/>
        </w:numPr>
        <w:tabs>
          <w:tab w:pos="1416" w:val="left" w:leader="none"/>
          <w:tab w:pos="1420" w:val="left" w:leader="none"/>
        </w:tabs>
        <w:spacing w:line="240" w:lineRule="auto" w:before="0" w:after="0"/>
        <w:ind w:left="1420" w:right="974" w:hanging="852"/>
        <w:jc w:val="both"/>
        <w:rPr>
          <w:sz w:val="22"/>
        </w:rPr>
      </w:pPr>
      <w:r>
        <w:rPr>
          <w:sz w:val="22"/>
        </w:rPr>
        <w:t>Asimismo, la afirmación relativa a que los costos logísticos derivados de la medida serían inferiores a los beneficios obtenidos, no se encuentra sustentada en un análisis cuantitativo o cualitativo verificable. En efecto, del análisis realizado por la SGCAN, se desprende que la canalización hacia un único punto de ingreso ha generado efectos adversos sobre el comercio. Ello queda evidenciado en el Gráfico N.°2 y verificado en la Tabla N.°4 de la presente Resolución.</w:t>
      </w:r>
    </w:p>
    <w:p>
      <w:pPr>
        <w:pStyle w:val="BodyText"/>
      </w:pPr>
    </w:p>
    <w:p>
      <w:pPr>
        <w:pStyle w:val="ListParagraph"/>
        <w:numPr>
          <w:ilvl w:val="0"/>
          <w:numId w:val="2"/>
        </w:numPr>
        <w:tabs>
          <w:tab w:pos="1416" w:val="left" w:leader="none"/>
          <w:tab w:pos="1420" w:val="left" w:leader="none"/>
        </w:tabs>
        <w:spacing w:line="240" w:lineRule="auto" w:before="0" w:after="0"/>
        <w:ind w:left="1420" w:right="977" w:hanging="852"/>
        <w:jc w:val="both"/>
        <w:rPr>
          <w:sz w:val="22"/>
        </w:rPr>
      </w:pPr>
      <w:r>
        <w:rPr>
          <w:sz w:val="22"/>
        </w:rPr>
        <w:t>En</w:t>
      </w:r>
      <w:r>
        <w:rPr>
          <w:spacing w:val="-9"/>
          <w:sz w:val="22"/>
        </w:rPr>
        <w:t> </w:t>
      </w:r>
      <w:r>
        <w:rPr>
          <w:sz w:val="22"/>
        </w:rPr>
        <w:t>ese</w:t>
      </w:r>
      <w:r>
        <w:rPr>
          <w:spacing w:val="-9"/>
          <w:sz w:val="22"/>
        </w:rPr>
        <w:t> </w:t>
      </w:r>
      <w:r>
        <w:rPr>
          <w:sz w:val="22"/>
        </w:rPr>
        <w:t>contexto,</w:t>
      </w:r>
      <w:r>
        <w:rPr>
          <w:spacing w:val="-10"/>
          <w:sz w:val="22"/>
        </w:rPr>
        <w:t> </w:t>
      </w:r>
      <w:r>
        <w:rPr>
          <w:sz w:val="22"/>
        </w:rPr>
        <w:t>no</w:t>
      </w:r>
      <w:r>
        <w:rPr>
          <w:spacing w:val="-9"/>
          <w:sz w:val="22"/>
        </w:rPr>
        <w:t> </w:t>
      </w:r>
      <w:r>
        <w:rPr>
          <w:sz w:val="22"/>
        </w:rPr>
        <w:t>se</w:t>
      </w:r>
      <w:r>
        <w:rPr>
          <w:spacing w:val="-9"/>
          <w:sz w:val="22"/>
        </w:rPr>
        <w:t> </w:t>
      </w:r>
      <w:r>
        <w:rPr>
          <w:sz w:val="22"/>
        </w:rPr>
        <w:t>advierte</w:t>
      </w:r>
      <w:r>
        <w:rPr>
          <w:spacing w:val="-9"/>
          <w:sz w:val="22"/>
        </w:rPr>
        <w:t> </w:t>
      </w:r>
      <w:r>
        <w:rPr>
          <w:sz w:val="22"/>
        </w:rPr>
        <w:t>que</w:t>
      </w:r>
      <w:r>
        <w:rPr>
          <w:spacing w:val="-9"/>
          <w:sz w:val="22"/>
        </w:rPr>
        <w:t> </w:t>
      </w:r>
      <w:r>
        <w:rPr>
          <w:sz w:val="22"/>
        </w:rPr>
        <w:t>exista</w:t>
      </w:r>
      <w:r>
        <w:rPr>
          <w:spacing w:val="-9"/>
          <w:sz w:val="22"/>
        </w:rPr>
        <w:t> </w:t>
      </w:r>
      <w:r>
        <w:rPr>
          <w:sz w:val="22"/>
        </w:rPr>
        <w:t>una</w:t>
      </w:r>
      <w:r>
        <w:rPr>
          <w:spacing w:val="-11"/>
          <w:sz w:val="22"/>
        </w:rPr>
        <w:t> </w:t>
      </w:r>
      <w:r>
        <w:rPr>
          <w:sz w:val="22"/>
        </w:rPr>
        <w:t>relación</w:t>
      </w:r>
      <w:r>
        <w:rPr>
          <w:spacing w:val="-9"/>
          <w:sz w:val="22"/>
        </w:rPr>
        <w:t> </w:t>
      </w:r>
      <w:r>
        <w:rPr>
          <w:sz w:val="22"/>
        </w:rPr>
        <w:t>de</w:t>
      </w:r>
      <w:r>
        <w:rPr>
          <w:spacing w:val="-9"/>
          <w:sz w:val="22"/>
        </w:rPr>
        <w:t> </w:t>
      </w:r>
      <w:r>
        <w:rPr>
          <w:sz w:val="22"/>
        </w:rPr>
        <w:t>proporcionalidad</w:t>
      </w:r>
      <w:r>
        <w:rPr>
          <w:spacing w:val="-9"/>
          <w:sz w:val="22"/>
        </w:rPr>
        <w:t> </w:t>
      </w:r>
      <w:r>
        <w:rPr>
          <w:sz w:val="22"/>
        </w:rPr>
        <w:t>entre</w:t>
      </w:r>
      <w:r>
        <w:rPr>
          <w:spacing w:val="-9"/>
          <w:sz w:val="22"/>
        </w:rPr>
        <w:t> </w:t>
      </w:r>
      <w:r>
        <w:rPr>
          <w:sz w:val="22"/>
        </w:rPr>
        <w:t>los beneficios invocados y los costos generados por la medida, en cuanto que los primeros no han sido debidamente acreditados,</w:t>
      </w:r>
      <w:r>
        <w:rPr>
          <w:spacing w:val="-1"/>
          <w:sz w:val="22"/>
        </w:rPr>
        <w:t> </w:t>
      </w:r>
      <w:r>
        <w:rPr>
          <w:sz w:val="22"/>
        </w:rPr>
        <w:t>mientras que los segundos resultan evidentes y verificables. En consecuencia, la medida no supera el test de proporcionalidad exigido por la jurisprudencia del TJCAN.</w:t>
      </w:r>
    </w:p>
    <w:p>
      <w:pPr>
        <w:pStyle w:val="BodyText"/>
        <w:spacing w:before="119"/>
      </w:pPr>
    </w:p>
    <w:p>
      <w:pPr>
        <w:pStyle w:val="Heading6"/>
        <w:numPr>
          <w:ilvl w:val="1"/>
          <w:numId w:val="1"/>
        </w:numPr>
        <w:tabs>
          <w:tab w:pos="1276" w:val="left" w:leader="none"/>
        </w:tabs>
        <w:spacing w:line="240" w:lineRule="auto" w:before="1" w:after="0"/>
        <w:ind w:left="1276" w:right="0" w:hanging="708"/>
        <w:jc w:val="left"/>
      </w:pPr>
      <w:r>
        <w:rPr/>
        <w:t>Sobre</w:t>
      </w:r>
      <w:r>
        <w:rPr>
          <w:spacing w:val="-1"/>
        </w:rPr>
        <w:t> </w:t>
      </w:r>
      <w:r>
        <w:rPr/>
        <w:t>el</w:t>
      </w:r>
      <w:r>
        <w:rPr>
          <w:spacing w:val="-3"/>
        </w:rPr>
        <w:t> </w:t>
      </w:r>
      <w:r>
        <w:rPr/>
        <w:t>trato</w:t>
      </w:r>
      <w:r>
        <w:rPr>
          <w:spacing w:val="-3"/>
        </w:rPr>
        <w:t> </w:t>
      </w:r>
      <w:r>
        <w:rPr/>
        <w:t>no</w:t>
      </w:r>
      <w:r>
        <w:rPr>
          <w:spacing w:val="-1"/>
        </w:rPr>
        <w:t> </w:t>
      </w:r>
      <w:r>
        <w:rPr>
          <w:spacing w:val="-2"/>
        </w:rPr>
        <w:t>discriminatorio</w:t>
      </w:r>
    </w:p>
    <w:p>
      <w:pPr>
        <w:pStyle w:val="BodyText"/>
        <w:rPr>
          <w:rFonts w:ascii="Arial"/>
          <w:b/>
        </w:rPr>
      </w:pPr>
    </w:p>
    <w:p>
      <w:pPr>
        <w:pStyle w:val="ListParagraph"/>
        <w:numPr>
          <w:ilvl w:val="0"/>
          <w:numId w:val="2"/>
        </w:numPr>
        <w:tabs>
          <w:tab w:pos="1416" w:val="left" w:leader="none"/>
          <w:tab w:pos="1420" w:val="left" w:leader="none"/>
        </w:tabs>
        <w:spacing w:line="240" w:lineRule="auto" w:before="0" w:after="0"/>
        <w:ind w:left="1420" w:right="975" w:hanging="852"/>
        <w:jc w:val="both"/>
        <w:rPr>
          <w:sz w:val="22"/>
        </w:rPr>
      </w:pPr>
      <w:r>
        <w:rPr>
          <w:sz w:val="22"/>
        </w:rPr>
        <w:t>En</w:t>
      </w:r>
      <w:r>
        <w:rPr>
          <w:spacing w:val="-3"/>
          <w:sz w:val="22"/>
        </w:rPr>
        <w:t> </w:t>
      </w:r>
      <w:r>
        <w:rPr>
          <w:sz w:val="22"/>
        </w:rPr>
        <w:t>relación</w:t>
      </w:r>
      <w:r>
        <w:rPr>
          <w:spacing w:val="-4"/>
          <w:sz w:val="22"/>
        </w:rPr>
        <w:t> </w:t>
      </w:r>
      <w:r>
        <w:rPr>
          <w:sz w:val="22"/>
        </w:rPr>
        <w:t>con</w:t>
      </w:r>
      <w:r>
        <w:rPr>
          <w:spacing w:val="-3"/>
          <w:sz w:val="22"/>
        </w:rPr>
        <w:t> </w:t>
      </w:r>
      <w:r>
        <w:rPr>
          <w:sz w:val="22"/>
        </w:rPr>
        <w:t>el</w:t>
      </w:r>
      <w:r>
        <w:rPr>
          <w:spacing w:val="-5"/>
          <w:sz w:val="22"/>
        </w:rPr>
        <w:t> </w:t>
      </w:r>
      <w:r>
        <w:rPr>
          <w:sz w:val="22"/>
        </w:rPr>
        <w:t>criterio</w:t>
      </w:r>
      <w:r>
        <w:rPr>
          <w:spacing w:val="-3"/>
          <w:sz w:val="22"/>
        </w:rPr>
        <w:t> </w:t>
      </w:r>
      <w:r>
        <w:rPr>
          <w:sz w:val="22"/>
        </w:rPr>
        <w:t>de</w:t>
      </w:r>
      <w:r>
        <w:rPr>
          <w:spacing w:val="-4"/>
          <w:sz w:val="22"/>
        </w:rPr>
        <w:t> </w:t>
      </w:r>
      <w:r>
        <w:rPr>
          <w:sz w:val="22"/>
        </w:rPr>
        <w:t>trato</w:t>
      </w:r>
      <w:r>
        <w:rPr>
          <w:spacing w:val="-4"/>
          <w:sz w:val="22"/>
        </w:rPr>
        <w:t> </w:t>
      </w:r>
      <w:r>
        <w:rPr>
          <w:sz w:val="22"/>
        </w:rPr>
        <w:t>no</w:t>
      </w:r>
      <w:r>
        <w:rPr>
          <w:spacing w:val="-4"/>
          <w:sz w:val="22"/>
        </w:rPr>
        <w:t> </w:t>
      </w:r>
      <w:r>
        <w:rPr>
          <w:sz w:val="22"/>
        </w:rPr>
        <w:t>discriminatorio,</w:t>
      </w:r>
      <w:r>
        <w:rPr>
          <w:spacing w:val="-1"/>
          <w:sz w:val="22"/>
        </w:rPr>
        <w:t> </w:t>
      </w:r>
      <w:r>
        <w:rPr>
          <w:sz w:val="22"/>
        </w:rPr>
        <w:t>la</w:t>
      </w:r>
      <w:r>
        <w:rPr>
          <w:spacing w:val="-4"/>
          <w:sz w:val="22"/>
        </w:rPr>
        <w:t> </w:t>
      </w:r>
      <w:r>
        <w:rPr>
          <w:sz w:val="22"/>
        </w:rPr>
        <w:t>República</w:t>
      </w:r>
      <w:r>
        <w:rPr>
          <w:spacing w:val="-3"/>
          <w:sz w:val="22"/>
        </w:rPr>
        <w:t> </w:t>
      </w:r>
      <w:r>
        <w:rPr>
          <w:sz w:val="22"/>
        </w:rPr>
        <w:t>del</w:t>
      </w:r>
      <w:r>
        <w:rPr>
          <w:spacing w:val="-3"/>
          <w:sz w:val="22"/>
        </w:rPr>
        <w:t> </w:t>
      </w:r>
      <w:r>
        <w:rPr>
          <w:sz w:val="22"/>
        </w:rPr>
        <w:t>Ecuador en</w:t>
      </w:r>
      <w:r>
        <w:rPr>
          <w:spacing w:val="-4"/>
          <w:sz w:val="22"/>
        </w:rPr>
        <w:t> </w:t>
      </w:r>
      <w:r>
        <w:rPr>
          <w:sz w:val="22"/>
        </w:rPr>
        <w:t>su respuesta</w:t>
      </w:r>
      <w:r>
        <w:rPr>
          <w:spacing w:val="-16"/>
          <w:sz w:val="22"/>
        </w:rPr>
        <w:t> </w:t>
      </w:r>
      <w:r>
        <w:rPr>
          <w:sz w:val="22"/>
        </w:rPr>
        <w:t>a</w:t>
      </w:r>
      <w:r>
        <w:rPr>
          <w:spacing w:val="-13"/>
          <w:sz w:val="22"/>
        </w:rPr>
        <w:t> </w:t>
      </w:r>
      <w:r>
        <w:rPr>
          <w:sz w:val="22"/>
        </w:rPr>
        <w:t>la</w:t>
      </w:r>
      <w:r>
        <w:rPr>
          <w:spacing w:val="-14"/>
          <w:sz w:val="22"/>
        </w:rPr>
        <w:t> </w:t>
      </w:r>
      <w:r>
        <w:rPr>
          <w:sz w:val="22"/>
        </w:rPr>
        <w:t>solicitud</w:t>
      </w:r>
      <w:r>
        <w:rPr>
          <w:spacing w:val="-14"/>
          <w:sz w:val="22"/>
        </w:rPr>
        <w:t> </w:t>
      </w:r>
      <w:r>
        <w:rPr>
          <w:sz w:val="22"/>
        </w:rPr>
        <w:t>presentada</w:t>
      </w:r>
      <w:r>
        <w:rPr>
          <w:spacing w:val="-14"/>
          <w:sz w:val="22"/>
        </w:rPr>
        <w:t> </w:t>
      </w:r>
      <w:r>
        <w:rPr>
          <w:sz w:val="22"/>
        </w:rPr>
        <w:t>por</w:t>
      </w:r>
      <w:r>
        <w:rPr>
          <w:spacing w:val="-15"/>
          <w:sz w:val="22"/>
        </w:rPr>
        <w:t> </w:t>
      </w:r>
      <w:r>
        <w:rPr>
          <w:sz w:val="22"/>
        </w:rPr>
        <w:t>la</w:t>
      </w:r>
      <w:r>
        <w:rPr>
          <w:spacing w:val="-14"/>
          <w:sz w:val="22"/>
        </w:rPr>
        <w:t> </w:t>
      </w:r>
      <w:r>
        <w:rPr>
          <w:sz w:val="22"/>
        </w:rPr>
        <w:t>República</w:t>
      </w:r>
      <w:r>
        <w:rPr>
          <w:spacing w:val="-14"/>
          <w:sz w:val="22"/>
        </w:rPr>
        <w:t> </w:t>
      </w:r>
      <w:r>
        <w:rPr>
          <w:sz w:val="22"/>
        </w:rPr>
        <w:t>de</w:t>
      </w:r>
      <w:r>
        <w:rPr>
          <w:spacing w:val="-14"/>
          <w:sz w:val="22"/>
        </w:rPr>
        <w:t> </w:t>
      </w:r>
      <w:r>
        <w:rPr>
          <w:sz w:val="22"/>
        </w:rPr>
        <w:t>Colombia,</w:t>
      </w:r>
      <w:r>
        <w:rPr>
          <w:spacing w:val="-12"/>
          <w:sz w:val="22"/>
        </w:rPr>
        <w:t> </w:t>
      </w:r>
      <w:r>
        <w:rPr>
          <w:sz w:val="22"/>
        </w:rPr>
        <w:t>señaló</w:t>
      </w:r>
      <w:r>
        <w:rPr>
          <w:spacing w:val="-14"/>
          <w:sz w:val="22"/>
        </w:rPr>
        <w:t> </w:t>
      </w:r>
      <w:r>
        <w:rPr>
          <w:sz w:val="22"/>
        </w:rPr>
        <w:t>lo</w:t>
      </w:r>
      <w:r>
        <w:rPr>
          <w:spacing w:val="-14"/>
          <w:sz w:val="22"/>
        </w:rPr>
        <w:t> </w:t>
      </w:r>
      <w:r>
        <w:rPr>
          <w:sz w:val="22"/>
        </w:rPr>
        <w:t>siguiente:</w:t>
      </w:r>
    </w:p>
    <w:p>
      <w:pPr>
        <w:spacing w:before="253"/>
        <w:ind w:left="2128" w:right="981" w:firstLine="0"/>
        <w:jc w:val="both"/>
        <w:rPr>
          <w:rFonts w:ascii="Arial" w:hAnsi="Arial"/>
          <w:i/>
          <w:sz w:val="22"/>
        </w:rPr>
      </w:pPr>
      <w:r>
        <w:rPr>
          <w:rFonts w:ascii="Arial" w:hAnsi="Arial"/>
          <w:i/>
          <w:sz w:val="22"/>
        </w:rPr>
        <w:t>“El</w:t>
      </w:r>
      <w:r>
        <w:rPr>
          <w:rFonts w:ascii="Arial" w:hAnsi="Arial"/>
          <w:i/>
          <w:spacing w:val="-2"/>
          <w:sz w:val="22"/>
        </w:rPr>
        <w:t> </w:t>
      </w:r>
      <w:r>
        <w:rPr>
          <w:rFonts w:ascii="Arial" w:hAnsi="Arial"/>
          <w:i/>
          <w:sz w:val="22"/>
        </w:rPr>
        <w:t>argumento</w:t>
      </w:r>
      <w:r>
        <w:rPr>
          <w:rFonts w:ascii="Arial" w:hAnsi="Arial"/>
          <w:i/>
          <w:spacing w:val="-4"/>
          <w:sz w:val="22"/>
        </w:rPr>
        <w:t> </w:t>
      </w:r>
      <w:r>
        <w:rPr>
          <w:rFonts w:ascii="Arial" w:hAnsi="Arial"/>
          <w:i/>
          <w:sz w:val="22"/>
        </w:rPr>
        <w:t>central</w:t>
      </w:r>
      <w:r>
        <w:rPr>
          <w:rFonts w:ascii="Arial" w:hAnsi="Arial"/>
          <w:i/>
          <w:spacing w:val="-3"/>
          <w:sz w:val="22"/>
        </w:rPr>
        <w:t> </w:t>
      </w:r>
      <w:r>
        <w:rPr>
          <w:rFonts w:ascii="Arial" w:hAnsi="Arial"/>
          <w:i/>
          <w:sz w:val="22"/>
        </w:rPr>
        <w:t>de</w:t>
      </w:r>
      <w:r>
        <w:rPr>
          <w:rFonts w:ascii="Arial" w:hAnsi="Arial"/>
          <w:i/>
          <w:spacing w:val="-4"/>
          <w:sz w:val="22"/>
        </w:rPr>
        <w:t> </w:t>
      </w:r>
      <w:r>
        <w:rPr>
          <w:rFonts w:ascii="Arial" w:hAnsi="Arial"/>
          <w:i/>
          <w:sz w:val="22"/>
        </w:rPr>
        <w:t>Colombia</w:t>
      </w:r>
      <w:r>
        <w:rPr>
          <w:rFonts w:ascii="Arial" w:hAnsi="Arial"/>
          <w:i/>
          <w:spacing w:val="-1"/>
          <w:sz w:val="22"/>
        </w:rPr>
        <w:t> </w:t>
      </w:r>
      <w:r>
        <w:rPr>
          <w:rFonts w:ascii="Arial" w:hAnsi="Arial"/>
          <w:i/>
          <w:sz w:val="22"/>
        </w:rPr>
        <w:t>presupone,</w:t>
      </w:r>
      <w:r>
        <w:rPr>
          <w:rFonts w:ascii="Arial" w:hAnsi="Arial"/>
          <w:i/>
          <w:spacing w:val="-2"/>
          <w:sz w:val="22"/>
        </w:rPr>
        <w:t> </w:t>
      </w:r>
      <w:r>
        <w:rPr>
          <w:rFonts w:ascii="Arial" w:hAnsi="Arial"/>
          <w:i/>
          <w:sz w:val="22"/>
        </w:rPr>
        <w:t>sin</w:t>
      </w:r>
      <w:r>
        <w:rPr>
          <w:rFonts w:ascii="Arial" w:hAnsi="Arial"/>
          <w:i/>
          <w:spacing w:val="-1"/>
          <w:sz w:val="22"/>
        </w:rPr>
        <w:t> </w:t>
      </w:r>
      <w:r>
        <w:rPr>
          <w:rFonts w:ascii="Arial" w:hAnsi="Arial"/>
          <w:i/>
          <w:sz w:val="22"/>
        </w:rPr>
        <w:t>demostrarlo,</w:t>
      </w:r>
      <w:r>
        <w:rPr>
          <w:rFonts w:ascii="Arial" w:hAnsi="Arial"/>
          <w:i/>
          <w:spacing w:val="-2"/>
          <w:sz w:val="22"/>
        </w:rPr>
        <w:t> </w:t>
      </w:r>
      <w:r>
        <w:rPr>
          <w:rFonts w:ascii="Arial" w:hAnsi="Arial"/>
          <w:i/>
          <w:sz w:val="22"/>
        </w:rPr>
        <w:t>que</w:t>
      </w:r>
      <w:r>
        <w:rPr>
          <w:rFonts w:ascii="Arial" w:hAnsi="Arial"/>
          <w:i/>
          <w:spacing w:val="-4"/>
          <w:sz w:val="22"/>
        </w:rPr>
        <w:t> </w:t>
      </w:r>
      <w:r>
        <w:rPr>
          <w:rFonts w:ascii="Arial" w:hAnsi="Arial"/>
          <w:i/>
          <w:sz w:val="22"/>
        </w:rPr>
        <w:t>Ecuador mantuvo</w:t>
      </w:r>
      <w:r>
        <w:rPr>
          <w:rFonts w:ascii="Arial" w:hAnsi="Arial"/>
          <w:i/>
          <w:spacing w:val="-10"/>
          <w:sz w:val="22"/>
        </w:rPr>
        <w:t> </w:t>
      </w:r>
      <w:r>
        <w:rPr>
          <w:rFonts w:ascii="Arial" w:hAnsi="Arial"/>
          <w:i/>
          <w:sz w:val="22"/>
        </w:rPr>
        <w:t>abiertos</w:t>
      </w:r>
      <w:r>
        <w:rPr>
          <w:rFonts w:ascii="Arial" w:hAnsi="Arial"/>
          <w:i/>
          <w:spacing w:val="-7"/>
          <w:sz w:val="22"/>
        </w:rPr>
        <w:t> </w:t>
      </w:r>
      <w:r>
        <w:rPr>
          <w:rFonts w:ascii="Arial" w:hAnsi="Arial"/>
          <w:i/>
          <w:sz w:val="22"/>
        </w:rPr>
        <w:t>y</w:t>
      </w:r>
      <w:r>
        <w:rPr>
          <w:rFonts w:ascii="Arial" w:hAnsi="Arial"/>
          <w:i/>
          <w:spacing w:val="-9"/>
          <w:sz w:val="22"/>
        </w:rPr>
        <w:t> </w:t>
      </w:r>
      <w:r>
        <w:rPr>
          <w:rFonts w:ascii="Arial" w:hAnsi="Arial"/>
          <w:i/>
          <w:sz w:val="22"/>
        </w:rPr>
        <w:t>sin</w:t>
      </w:r>
      <w:r>
        <w:rPr>
          <w:rFonts w:ascii="Arial" w:hAnsi="Arial"/>
          <w:i/>
          <w:spacing w:val="-7"/>
          <w:sz w:val="22"/>
        </w:rPr>
        <w:t> </w:t>
      </w:r>
      <w:r>
        <w:rPr>
          <w:rFonts w:ascii="Arial" w:hAnsi="Arial"/>
          <w:i/>
          <w:sz w:val="22"/>
        </w:rPr>
        <w:t>restricciones</w:t>
      </w:r>
      <w:r>
        <w:rPr>
          <w:rFonts w:ascii="Arial" w:hAnsi="Arial"/>
          <w:i/>
          <w:spacing w:val="-7"/>
          <w:sz w:val="22"/>
        </w:rPr>
        <w:t> </w:t>
      </w:r>
      <w:r>
        <w:rPr>
          <w:rFonts w:ascii="Arial" w:hAnsi="Arial"/>
          <w:i/>
          <w:sz w:val="22"/>
        </w:rPr>
        <w:t>los</w:t>
      </w:r>
      <w:r>
        <w:rPr>
          <w:rFonts w:ascii="Arial" w:hAnsi="Arial"/>
          <w:i/>
          <w:spacing w:val="-10"/>
          <w:sz w:val="22"/>
        </w:rPr>
        <w:t> </w:t>
      </w:r>
      <w:r>
        <w:rPr>
          <w:rFonts w:ascii="Arial" w:hAnsi="Arial"/>
          <w:i/>
          <w:sz w:val="22"/>
        </w:rPr>
        <w:t>pasos</w:t>
      </w:r>
      <w:r>
        <w:rPr>
          <w:rFonts w:ascii="Arial" w:hAnsi="Arial"/>
          <w:i/>
          <w:spacing w:val="-10"/>
          <w:sz w:val="22"/>
        </w:rPr>
        <w:t> </w:t>
      </w:r>
      <w:r>
        <w:rPr>
          <w:rFonts w:ascii="Arial" w:hAnsi="Arial"/>
          <w:i/>
          <w:sz w:val="22"/>
        </w:rPr>
        <w:t>fronterizos</w:t>
      </w:r>
      <w:r>
        <w:rPr>
          <w:rFonts w:ascii="Arial" w:hAnsi="Arial"/>
          <w:i/>
          <w:spacing w:val="-10"/>
          <w:sz w:val="22"/>
        </w:rPr>
        <w:t> </w:t>
      </w:r>
      <w:r>
        <w:rPr>
          <w:rFonts w:ascii="Arial" w:hAnsi="Arial"/>
          <w:i/>
          <w:sz w:val="22"/>
        </w:rPr>
        <w:t>con</w:t>
      </w:r>
      <w:r>
        <w:rPr>
          <w:rFonts w:ascii="Arial" w:hAnsi="Arial"/>
          <w:i/>
          <w:spacing w:val="-10"/>
          <w:sz w:val="22"/>
        </w:rPr>
        <w:t> </w:t>
      </w:r>
      <w:r>
        <w:rPr>
          <w:rFonts w:ascii="Arial" w:hAnsi="Arial"/>
          <w:i/>
          <w:sz w:val="22"/>
        </w:rPr>
        <w:t>terceros</w:t>
      </w:r>
      <w:r>
        <w:rPr>
          <w:rFonts w:ascii="Arial" w:hAnsi="Arial"/>
          <w:i/>
          <w:spacing w:val="-7"/>
          <w:sz w:val="22"/>
        </w:rPr>
        <w:t> </w:t>
      </w:r>
      <w:r>
        <w:rPr>
          <w:rFonts w:ascii="Arial" w:hAnsi="Arial"/>
          <w:i/>
          <w:sz w:val="22"/>
        </w:rPr>
        <w:t>países o con otros Países Miembros mientras clausuraba los pasos con Colombia. Esa premisa es factualmente incorrecta.</w:t>
      </w:r>
    </w:p>
    <w:p>
      <w:pPr>
        <w:pStyle w:val="BodyText"/>
        <w:rPr>
          <w:rFonts w:ascii="Arial"/>
          <w:i/>
        </w:rPr>
      </w:pPr>
    </w:p>
    <w:p>
      <w:pPr>
        <w:spacing w:before="0"/>
        <w:ind w:left="2128" w:right="978" w:firstLine="0"/>
        <w:jc w:val="both"/>
        <w:rPr>
          <w:rFonts w:ascii="Arial" w:hAnsi="Arial"/>
          <w:i/>
          <w:sz w:val="22"/>
        </w:rPr>
      </w:pPr>
      <w:r>
        <w:rPr>
          <w:rFonts w:ascii="Arial" w:hAnsi="Arial"/>
          <w:i/>
          <w:sz w:val="22"/>
        </w:rPr>
        <w:t>De la información que el Ecuador consigna a la Secretaría General, se acredita</w:t>
      </w:r>
      <w:r>
        <w:rPr>
          <w:rFonts w:ascii="Arial" w:hAnsi="Arial"/>
          <w:i/>
          <w:spacing w:val="-16"/>
          <w:sz w:val="22"/>
        </w:rPr>
        <w:t> </w:t>
      </w:r>
      <w:r>
        <w:rPr>
          <w:rFonts w:ascii="Arial" w:hAnsi="Arial"/>
          <w:i/>
          <w:sz w:val="22"/>
        </w:rPr>
        <w:t>que,</w:t>
      </w:r>
      <w:r>
        <w:rPr>
          <w:rFonts w:ascii="Arial" w:hAnsi="Arial"/>
          <w:i/>
          <w:spacing w:val="-15"/>
          <w:sz w:val="22"/>
        </w:rPr>
        <w:t> </w:t>
      </w:r>
      <w:r>
        <w:rPr>
          <w:rFonts w:ascii="Arial" w:hAnsi="Arial"/>
          <w:i/>
          <w:sz w:val="22"/>
        </w:rPr>
        <w:t>mediante</w:t>
      </w:r>
      <w:r>
        <w:rPr>
          <w:rFonts w:ascii="Arial" w:hAnsi="Arial"/>
          <w:i/>
          <w:spacing w:val="-15"/>
          <w:sz w:val="22"/>
        </w:rPr>
        <w:t> </w:t>
      </w:r>
      <w:r>
        <w:rPr>
          <w:rFonts w:ascii="Arial" w:hAnsi="Arial"/>
          <w:i/>
          <w:sz w:val="22"/>
        </w:rPr>
        <w:t>la</w:t>
      </w:r>
      <w:r>
        <w:rPr>
          <w:rFonts w:ascii="Arial" w:hAnsi="Arial"/>
          <w:i/>
          <w:spacing w:val="-16"/>
          <w:sz w:val="22"/>
        </w:rPr>
        <w:t> </w:t>
      </w:r>
      <w:r>
        <w:rPr>
          <w:rFonts w:ascii="Arial" w:hAnsi="Arial"/>
          <w:i/>
          <w:sz w:val="22"/>
        </w:rPr>
        <w:t>Nota</w:t>
      </w:r>
      <w:r>
        <w:rPr>
          <w:rFonts w:ascii="Arial" w:hAnsi="Arial"/>
          <w:i/>
          <w:spacing w:val="-15"/>
          <w:sz w:val="22"/>
        </w:rPr>
        <w:t> </w:t>
      </w:r>
      <w:r>
        <w:rPr>
          <w:rFonts w:ascii="Arial" w:hAnsi="Arial"/>
          <w:i/>
          <w:sz w:val="22"/>
        </w:rPr>
        <w:t>Verbal</w:t>
      </w:r>
      <w:r>
        <w:rPr>
          <w:rFonts w:ascii="Arial" w:hAnsi="Arial"/>
          <w:i/>
          <w:spacing w:val="-15"/>
          <w:sz w:val="22"/>
        </w:rPr>
        <w:t> </w:t>
      </w:r>
      <w:r>
        <w:rPr>
          <w:rFonts w:ascii="Arial" w:hAnsi="Arial"/>
          <w:i/>
          <w:sz w:val="22"/>
        </w:rPr>
        <w:t>Nro.</w:t>
      </w:r>
      <w:r>
        <w:rPr>
          <w:rFonts w:ascii="Arial" w:hAnsi="Arial"/>
          <w:i/>
          <w:spacing w:val="-15"/>
          <w:sz w:val="22"/>
        </w:rPr>
        <w:t> </w:t>
      </w:r>
      <w:r>
        <w:rPr>
          <w:rFonts w:ascii="Arial" w:hAnsi="Arial"/>
          <w:i/>
          <w:sz w:val="22"/>
        </w:rPr>
        <w:t>MREMH/MREMH/2025/0021/N</w:t>
      </w:r>
      <w:r>
        <w:rPr>
          <w:rFonts w:ascii="Arial" w:hAnsi="Arial"/>
          <w:i/>
          <w:spacing w:val="-16"/>
          <w:sz w:val="22"/>
        </w:rPr>
        <w:t> </w:t>
      </w:r>
      <w:r>
        <w:rPr>
          <w:rFonts w:ascii="Arial" w:hAnsi="Arial"/>
          <w:i/>
          <w:sz w:val="22"/>
        </w:rPr>
        <w:t>del 24 de diciembre de 2025, el Ministerio de Relaciones Exteriores y Movilidad Humana</w:t>
      </w:r>
      <w:r>
        <w:rPr>
          <w:rFonts w:ascii="Arial" w:hAnsi="Arial"/>
          <w:i/>
          <w:spacing w:val="-5"/>
          <w:sz w:val="22"/>
        </w:rPr>
        <w:t> </w:t>
      </w:r>
      <w:r>
        <w:rPr>
          <w:rFonts w:ascii="Arial" w:hAnsi="Arial"/>
          <w:i/>
          <w:sz w:val="22"/>
        </w:rPr>
        <w:t>de</w:t>
      </w:r>
      <w:r>
        <w:rPr>
          <w:rFonts w:ascii="Arial" w:hAnsi="Arial"/>
          <w:i/>
          <w:spacing w:val="-8"/>
          <w:sz w:val="22"/>
        </w:rPr>
        <w:t> </w:t>
      </w:r>
      <w:r>
        <w:rPr>
          <w:rFonts w:ascii="Arial" w:hAnsi="Arial"/>
          <w:i/>
          <w:sz w:val="22"/>
        </w:rPr>
        <w:t>la</w:t>
      </w:r>
      <w:r>
        <w:rPr>
          <w:rFonts w:ascii="Arial" w:hAnsi="Arial"/>
          <w:i/>
          <w:spacing w:val="-5"/>
          <w:sz w:val="22"/>
        </w:rPr>
        <w:t> </w:t>
      </w:r>
      <w:r>
        <w:rPr>
          <w:rFonts w:ascii="Arial" w:hAnsi="Arial"/>
          <w:i/>
          <w:sz w:val="22"/>
        </w:rPr>
        <w:t>República</w:t>
      </w:r>
      <w:r>
        <w:rPr>
          <w:rFonts w:ascii="Arial" w:hAnsi="Arial"/>
          <w:i/>
          <w:spacing w:val="-7"/>
          <w:sz w:val="22"/>
        </w:rPr>
        <w:t> </w:t>
      </w:r>
      <w:r>
        <w:rPr>
          <w:rFonts w:ascii="Arial" w:hAnsi="Arial"/>
          <w:i/>
          <w:sz w:val="22"/>
        </w:rPr>
        <w:t>del</w:t>
      </w:r>
      <w:r>
        <w:rPr>
          <w:rFonts w:ascii="Arial" w:hAnsi="Arial"/>
          <w:i/>
          <w:spacing w:val="-6"/>
          <w:sz w:val="22"/>
        </w:rPr>
        <w:t> </w:t>
      </w:r>
      <w:r>
        <w:rPr>
          <w:rFonts w:ascii="Arial" w:hAnsi="Arial"/>
          <w:i/>
          <w:sz w:val="22"/>
        </w:rPr>
        <w:t>Ecuador,</w:t>
      </w:r>
      <w:r>
        <w:rPr>
          <w:rFonts w:ascii="Arial" w:hAnsi="Arial"/>
          <w:i/>
          <w:spacing w:val="-6"/>
          <w:sz w:val="22"/>
        </w:rPr>
        <w:t> </w:t>
      </w:r>
      <w:r>
        <w:rPr>
          <w:rFonts w:ascii="Arial" w:hAnsi="Arial"/>
          <w:i/>
          <w:sz w:val="22"/>
        </w:rPr>
        <w:t>notificó</w:t>
      </w:r>
      <w:r>
        <w:rPr>
          <w:rFonts w:ascii="Arial" w:hAnsi="Arial"/>
          <w:i/>
          <w:spacing w:val="-5"/>
          <w:sz w:val="22"/>
        </w:rPr>
        <w:t> </w:t>
      </w:r>
      <w:r>
        <w:rPr>
          <w:rFonts w:ascii="Arial" w:hAnsi="Arial"/>
          <w:i/>
          <w:sz w:val="22"/>
        </w:rPr>
        <w:t>a</w:t>
      </w:r>
      <w:r>
        <w:rPr>
          <w:rFonts w:ascii="Arial" w:hAnsi="Arial"/>
          <w:i/>
          <w:spacing w:val="-7"/>
          <w:sz w:val="22"/>
        </w:rPr>
        <w:t> </w:t>
      </w:r>
      <w:r>
        <w:rPr>
          <w:rFonts w:ascii="Arial" w:hAnsi="Arial"/>
          <w:i/>
          <w:sz w:val="22"/>
        </w:rPr>
        <w:t>la</w:t>
      </w:r>
      <w:r>
        <w:rPr>
          <w:rFonts w:ascii="Arial" w:hAnsi="Arial"/>
          <w:i/>
          <w:spacing w:val="-5"/>
          <w:sz w:val="22"/>
        </w:rPr>
        <w:t> </w:t>
      </w:r>
      <w:r>
        <w:rPr>
          <w:rFonts w:ascii="Arial" w:hAnsi="Arial"/>
          <w:i/>
          <w:sz w:val="22"/>
        </w:rPr>
        <w:t>Honorable</w:t>
      </w:r>
      <w:r>
        <w:rPr>
          <w:rFonts w:ascii="Arial" w:hAnsi="Arial"/>
          <w:i/>
          <w:spacing w:val="-5"/>
          <w:sz w:val="22"/>
        </w:rPr>
        <w:t> </w:t>
      </w:r>
      <w:r>
        <w:rPr>
          <w:rFonts w:ascii="Arial" w:hAnsi="Arial"/>
          <w:i/>
          <w:sz w:val="22"/>
        </w:rPr>
        <w:t>Embajada</w:t>
      </w:r>
      <w:r>
        <w:rPr>
          <w:rFonts w:ascii="Arial" w:hAnsi="Arial"/>
          <w:i/>
          <w:spacing w:val="-5"/>
          <w:sz w:val="22"/>
        </w:rPr>
        <w:t> </w:t>
      </w:r>
      <w:r>
        <w:rPr>
          <w:rFonts w:ascii="Arial" w:hAnsi="Arial"/>
          <w:i/>
          <w:sz w:val="22"/>
        </w:rPr>
        <w:t>de</w:t>
      </w:r>
      <w:r>
        <w:rPr>
          <w:rFonts w:ascii="Arial" w:hAnsi="Arial"/>
          <w:i/>
          <w:spacing w:val="-5"/>
          <w:sz w:val="22"/>
        </w:rPr>
        <w:t> </w:t>
      </w:r>
      <w:r>
        <w:rPr>
          <w:rFonts w:ascii="Arial" w:hAnsi="Arial"/>
          <w:i/>
          <w:sz w:val="22"/>
        </w:rPr>
        <w:t>la República del Perú que "en atención a decisiones adoptadas por las autoridades competentes del</w:t>
      </w:r>
      <w:r>
        <w:rPr>
          <w:rFonts w:ascii="Arial" w:hAnsi="Arial"/>
          <w:i/>
          <w:spacing w:val="-1"/>
          <w:sz w:val="22"/>
        </w:rPr>
        <w:t> </w:t>
      </w:r>
      <w:r>
        <w:rPr>
          <w:rFonts w:ascii="Arial" w:hAnsi="Arial"/>
          <w:i/>
          <w:sz w:val="22"/>
        </w:rPr>
        <w:t>Estado ecuatoriano</w:t>
      </w:r>
      <w:r>
        <w:rPr>
          <w:rFonts w:ascii="Arial" w:hAnsi="Arial"/>
          <w:i/>
          <w:spacing w:val="-3"/>
          <w:sz w:val="22"/>
        </w:rPr>
        <w:t> </w:t>
      </w:r>
      <w:r>
        <w:rPr>
          <w:rFonts w:ascii="Arial" w:hAnsi="Arial"/>
          <w:i/>
          <w:sz w:val="22"/>
        </w:rPr>
        <w:t>y considerando</w:t>
      </w:r>
      <w:r>
        <w:rPr>
          <w:rFonts w:ascii="Arial" w:hAnsi="Arial"/>
          <w:i/>
          <w:spacing w:val="-3"/>
          <w:sz w:val="22"/>
        </w:rPr>
        <w:t> </w:t>
      </w:r>
      <w:r>
        <w:rPr>
          <w:rFonts w:ascii="Arial" w:hAnsi="Arial"/>
          <w:i/>
          <w:sz w:val="22"/>
        </w:rPr>
        <w:t>razones</w:t>
      </w:r>
      <w:r>
        <w:rPr>
          <w:rFonts w:ascii="Arial" w:hAnsi="Arial"/>
          <w:i/>
          <w:spacing w:val="-3"/>
          <w:sz w:val="22"/>
        </w:rPr>
        <w:t> </w:t>
      </w:r>
      <w:r>
        <w:rPr>
          <w:rFonts w:ascii="Arial" w:hAnsi="Arial"/>
          <w:i/>
          <w:sz w:val="22"/>
        </w:rPr>
        <w:t>de seguridad, a partir del 24 de diciembre de 2025 se mantendrá habilitado únicamente</w:t>
      </w:r>
      <w:r>
        <w:rPr>
          <w:rFonts w:ascii="Arial" w:hAnsi="Arial"/>
          <w:i/>
          <w:spacing w:val="-10"/>
          <w:sz w:val="22"/>
        </w:rPr>
        <w:t> </w:t>
      </w:r>
      <w:r>
        <w:rPr>
          <w:rFonts w:ascii="Arial" w:hAnsi="Arial"/>
          <w:i/>
          <w:sz w:val="22"/>
        </w:rPr>
        <w:t>el</w:t>
      </w:r>
      <w:r>
        <w:rPr>
          <w:rFonts w:ascii="Arial" w:hAnsi="Arial"/>
          <w:i/>
          <w:spacing w:val="-11"/>
          <w:sz w:val="22"/>
        </w:rPr>
        <w:t> </w:t>
      </w:r>
      <w:r>
        <w:rPr>
          <w:rFonts w:ascii="Arial" w:hAnsi="Arial"/>
          <w:i/>
          <w:sz w:val="22"/>
        </w:rPr>
        <w:t>Centro</w:t>
      </w:r>
      <w:r>
        <w:rPr>
          <w:rFonts w:ascii="Arial" w:hAnsi="Arial"/>
          <w:i/>
          <w:spacing w:val="-10"/>
          <w:sz w:val="22"/>
        </w:rPr>
        <w:t> </w:t>
      </w:r>
      <w:r>
        <w:rPr>
          <w:rFonts w:ascii="Arial" w:hAnsi="Arial"/>
          <w:i/>
          <w:sz w:val="22"/>
        </w:rPr>
        <w:t>Nacional</w:t>
      </w:r>
      <w:r>
        <w:rPr>
          <w:rFonts w:ascii="Arial" w:hAnsi="Arial"/>
          <w:i/>
          <w:spacing w:val="-11"/>
          <w:sz w:val="22"/>
        </w:rPr>
        <w:t> </w:t>
      </w:r>
      <w:r>
        <w:rPr>
          <w:rFonts w:ascii="Arial" w:hAnsi="Arial"/>
          <w:i/>
          <w:sz w:val="22"/>
        </w:rPr>
        <w:t>de</w:t>
      </w:r>
      <w:r>
        <w:rPr>
          <w:rFonts w:ascii="Arial" w:hAnsi="Arial"/>
          <w:i/>
          <w:spacing w:val="-10"/>
          <w:sz w:val="22"/>
        </w:rPr>
        <w:t> </w:t>
      </w:r>
      <w:r>
        <w:rPr>
          <w:rFonts w:ascii="Arial" w:hAnsi="Arial"/>
          <w:i/>
          <w:sz w:val="22"/>
        </w:rPr>
        <w:t>Atención</w:t>
      </w:r>
      <w:r>
        <w:rPr>
          <w:rFonts w:ascii="Arial" w:hAnsi="Arial"/>
          <w:i/>
          <w:spacing w:val="-10"/>
          <w:sz w:val="22"/>
        </w:rPr>
        <w:t> </w:t>
      </w:r>
      <w:r>
        <w:rPr>
          <w:rFonts w:ascii="Arial" w:hAnsi="Arial"/>
          <w:i/>
          <w:sz w:val="22"/>
        </w:rPr>
        <w:t>Fronteriza</w:t>
      </w:r>
      <w:r>
        <w:rPr>
          <w:rFonts w:ascii="Arial" w:hAnsi="Arial"/>
          <w:i/>
          <w:spacing w:val="-10"/>
          <w:sz w:val="22"/>
        </w:rPr>
        <w:t> </w:t>
      </w:r>
      <w:r>
        <w:rPr>
          <w:rFonts w:ascii="Arial" w:hAnsi="Arial"/>
          <w:i/>
          <w:sz w:val="22"/>
        </w:rPr>
        <w:t>ubicado</w:t>
      </w:r>
      <w:r>
        <w:rPr>
          <w:rFonts w:ascii="Arial" w:hAnsi="Arial"/>
          <w:i/>
          <w:spacing w:val="-10"/>
          <w:sz w:val="22"/>
        </w:rPr>
        <w:t> </w:t>
      </w:r>
      <w:r>
        <w:rPr>
          <w:rFonts w:ascii="Arial" w:hAnsi="Arial"/>
          <w:i/>
          <w:sz w:val="22"/>
        </w:rPr>
        <w:t>en</w:t>
      </w:r>
      <w:r>
        <w:rPr>
          <w:rFonts w:ascii="Arial" w:hAnsi="Arial"/>
          <w:i/>
          <w:spacing w:val="-10"/>
          <w:sz w:val="22"/>
        </w:rPr>
        <w:t> </w:t>
      </w:r>
      <w:r>
        <w:rPr>
          <w:rFonts w:ascii="Arial" w:hAnsi="Arial"/>
          <w:i/>
          <w:sz w:val="22"/>
        </w:rPr>
        <w:t>Huaquillas, en la frontera ecuatoriano-peruana, como único paso internacional entre ambos</w:t>
      </w:r>
      <w:r>
        <w:rPr>
          <w:rFonts w:ascii="Arial" w:hAnsi="Arial"/>
          <w:i/>
          <w:spacing w:val="-16"/>
          <w:sz w:val="22"/>
        </w:rPr>
        <w:t> </w:t>
      </w:r>
      <w:r>
        <w:rPr>
          <w:rFonts w:ascii="Arial" w:hAnsi="Arial"/>
          <w:i/>
          <w:sz w:val="22"/>
        </w:rPr>
        <w:t>países".[sic]</w:t>
      </w:r>
      <w:r>
        <w:rPr>
          <w:rFonts w:ascii="Arial" w:hAnsi="Arial"/>
          <w:i/>
          <w:spacing w:val="-15"/>
          <w:sz w:val="22"/>
        </w:rPr>
        <w:t> </w:t>
      </w:r>
      <w:r>
        <w:rPr>
          <w:rFonts w:ascii="Arial" w:hAnsi="Arial"/>
          <w:i/>
          <w:sz w:val="22"/>
        </w:rPr>
        <w:t>Esta</w:t>
      </w:r>
      <w:r>
        <w:rPr>
          <w:rFonts w:ascii="Arial" w:hAnsi="Arial"/>
          <w:i/>
          <w:spacing w:val="-15"/>
          <w:sz w:val="22"/>
        </w:rPr>
        <w:t> </w:t>
      </w:r>
      <w:r>
        <w:rPr>
          <w:rFonts w:ascii="Arial" w:hAnsi="Arial"/>
          <w:i/>
          <w:sz w:val="22"/>
        </w:rPr>
        <w:t>comunicación,</w:t>
      </w:r>
      <w:r>
        <w:rPr>
          <w:rFonts w:ascii="Arial" w:hAnsi="Arial"/>
          <w:i/>
          <w:spacing w:val="-16"/>
          <w:sz w:val="22"/>
        </w:rPr>
        <w:t> </w:t>
      </w:r>
      <w:r>
        <w:rPr>
          <w:rFonts w:ascii="Arial" w:hAnsi="Arial"/>
          <w:i/>
          <w:sz w:val="22"/>
        </w:rPr>
        <w:t>emitida</w:t>
      </w:r>
      <w:r>
        <w:rPr>
          <w:rFonts w:ascii="Arial" w:hAnsi="Arial"/>
          <w:i/>
          <w:spacing w:val="-15"/>
          <w:sz w:val="22"/>
        </w:rPr>
        <w:t> </w:t>
      </w:r>
      <w:r>
        <w:rPr>
          <w:rFonts w:ascii="Arial" w:hAnsi="Arial"/>
          <w:i/>
          <w:sz w:val="22"/>
        </w:rPr>
        <w:t>en</w:t>
      </w:r>
      <w:r>
        <w:rPr>
          <w:rFonts w:ascii="Arial" w:hAnsi="Arial"/>
          <w:i/>
          <w:spacing w:val="-15"/>
          <w:sz w:val="22"/>
        </w:rPr>
        <w:t> </w:t>
      </w:r>
      <w:r>
        <w:rPr>
          <w:rFonts w:ascii="Arial" w:hAnsi="Arial"/>
          <w:i/>
          <w:sz w:val="22"/>
        </w:rPr>
        <w:t>la</w:t>
      </w:r>
      <w:r>
        <w:rPr>
          <w:rFonts w:ascii="Arial" w:hAnsi="Arial"/>
          <w:i/>
          <w:spacing w:val="-15"/>
          <w:sz w:val="22"/>
        </w:rPr>
        <w:t> </w:t>
      </w:r>
      <w:r>
        <w:rPr>
          <w:rFonts w:ascii="Arial" w:hAnsi="Arial"/>
          <w:i/>
          <w:sz w:val="22"/>
        </w:rPr>
        <w:t>misma</w:t>
      </w:r>
      <w:r>
        <w:rPr>
          <w:rFonts w:ascii="Arial" w:hAnsi="Arial"/>
          <w:i/>
          <w:spacing w:val="-16"/>
          <w:sz w:val="22"/>
        </w:rPr>
        <w:t> </w:t>
      </w:r>
      <w:r>
        <w:rPr>
          <w:rFonts w:ascii="Arial" w:hAnsi="Arial"/>
          <w:i/>
          <w:sz w:val="22"/>
        </w:rPr>
        <w:t>fecha</w:t>
      </w:r>
      <w:r>
        <w:rPr>
          <w:rFonts w:ascii="Arial" w:hAnsi="Arial"/>
          <w:i/>
          <w:spacing w:val="-15"/>
          <w:sz w:val="22"/>
        </w:rPr>
        <w:t> </w:t>
      </w:r>
      <w:r>
        <w:rPr>
          <w:rFonts w:ascii="Arial" w:hAnsi="Arial"/>
          <w:i/>
          <w:sz w:val="22"/>
        </w:rPr>
        <w:t>que</w:t>
      </w:r>
      <w:r>
        <w:rPr>
          <w:rFonts w:ascii="Arial" w:hAnsi="Arial"/>
          <w:i/>
          <w:spacing w:val="-15"/>
          <w:sz w:val="22"/>
        </w:rPr>
        <w:t> </w:t>
      </w:r>
      <w:r>
        <w:rPr>
          <w:rFonts w:ascii="Arial" w:hAnsi="Arial"/>
          <w:i/>
          <w:sz w:val="22"/>
        </w:rPr>
        <w:t>la</w:t>
      </w:r>
      <w:r>
        <w:rPr>
          <w:rFonts w:ascii="Arial" w:hAnsi="Arial"/>
          <w:i/>
          <w:spacing w:val="-16"/>
          <w:sz w:val="22"/>
        </w:rPr>
        <w:t> </w:t>
      </w:r>
      <w:r>
        <w:rPr>
          <w:rFonts w:ascii="Arial" w:hAnsi="Arial"/>
          <w:i/>
          <w:sz w:val="22"/>
        </w:rPr>
        <w:t>Nota Verbal</w:t>
      </w:r>
      <w:r>
        <w:rPr>
          <w:rFonts w:ascii="Arial" w:hAnsi="Arial"/>
          <w:i/>
          <w:spacing w:val="-8"/>
          <w:sz w:val="22"/>
        </w:rPr>
        <w:t> </w:t>
      </w:r>
      <w:r>
        <w:rPr>
          <w:rFonts w:ascii="Arial" w:hAnsi="Arial"/>
          <w:i/>
          <w:sz w:val="22"/>
        </w:rPr>
        <w:t>dirigida</w:t>
      </w:r>
      <w:r>
        <w:rPr>
          <w:rFonts w:ascii="Arial" w:hAnsi="Arial"/>
          <w:i/>
          <w:spacing w:val="-8"/>
          <w:sz w:val="22"/>
        </w:rPr>
        <w:t> </w:t>
      </w:r>
      <w:r>
        <w:rPr>
          <w:rFonts w:ascii="Arial" w:hAnsi="Arial"/>
          <w:i/>
          <w:sz w:val="22"/>
        </w:rPr>
        <w:t>a</w:t>
      </w:r>
      <w:r>
        <w:rPr>
          <w:rFonts w:ascii="Arial" w:hAnsi="Arial"/>
          <w:i/>
          <w:spacing w:val="-7"/>
          <w:sz w:val="22"/>
        </w:rPr>
        <w:t> </w:t>
      </w:r>
      <w:r>
        <w:rPr>
          <w:rFonts w:ascii="Arial" w:hAnsi="Arial"/>
          <w:i/>
          <w:sz w:val="22"/>
        </w:rPr>
        <w:t>Colombia,</w:t>
      </w:r>
      <w:r>
        <w:rPr>
          <w:rFonts w:ascii="Arial" w:hAnsi="Arial"/>
          <w:i/>
          <w:spacing w:val="-6"/>
          <w:sz w:val="22"/>
        </w:rPr>
        <w:t> </w:t>
      </w:r>
      <w:r>
        <w:rPr>
          <w:rFonts w:ascii="Arial" w:hAnsi="Arial"/>
          <w:i/>
          <w:sz w:val="22"/>
        </w:rPr>
        <w:t>acredita</w:t>
      </w:r>
      <w:r>
        <w:rPr>
          <w:rFonts w:ascii="Arial" w:hAnsi="Arial"/>
          <w:i/>
          <w:spacing w:val="-10"/>
          <w:sz w:val="22"/>
        </w:rPr>
        <w:t> </w:t>
      </w:r>
      <w:r>
        <w:rPr>
          <w:rFonts w:ascii="Arial" w:hAnsi="Arial"/>
          <w:i/>
          <w:sz w:val="22"/>
        </w:rPr>
        <w:t>que</w:t>
      </w:r>
      <w:r>
        <w:rPr>
          <w:rFonts w:ascii="Arial" w:hAnsi="Arial"/>
          <w:i/>
          <w:spacing w:val="-7"/>
          <w:sz w:val="22"/>
        </w:rPr>
        <w:t> </w:t>
      </w:r>
      <w:r>
        <w:rPr>
          <w:rFonts w:ascii="Arial" w:hAnsi="Arial"/>
          <w:i/>
          <w:sz w:val="22"/>
        </w:rPr>
        <w:t>la</w:t>
      </w:r>
      <w:r>
        <w:rPr>
          <w:rFonts w:ascii="Arial" w:hAnsi="Arial"/>
          <w:i/>
          <w:spacing w:val="-7"/>
          <w:sz w:val="22"/>
        </w:rPr>
        <w:t> </w:t>
      </w:r>
      <w:r>
        <w:rPr>
          <w:rFonts w:ascii="Arial" w:hAnsi="Arial"/>
          <w:i/>
          <w:sz w:val="22"/>
        </w:rPr>
        <w:t>política</w:t>
      </w:r>
      <w:r>
        <w:rPr>
          <w:rFonts w:ascii="Arial" w:hAnsi="Arial"/>
          <w:i/>
          <w:spacing w:val="-10"/>
          <w:sz w:val="22"/>
        </w:rPr>
        <w:t> </w:t>
      </w:r>
      <w:r>
        <w:rPr>
          <w:rFonts w:ascii="Arial" w:hAnsi="Arial"/>
          <w:i/>
          <w:sz w:val="22"/>
        </w:rPr>
        <w:t>de</w:t>
      </w:r>
      <w:r>
        <w:rPr>
          <w:rFonts w:ascii="Arial" w:hAnsi="Arial"/>
          <w:i/>
          <w:spacing w:val="-8"/>
          <w:sz w:val="22"/>
        </w:rPr>
        <w:t> </w:t>
      </w:r>
      <w:r>
        <w:rPr>
          <w:rFonts w:ascii="Arial" w:hAnsi="Arial"/>
          <w:i/>
          <w:sz w:val="22"/>
        </w:rPr>
        <w:t>habilitación</w:t>
      </w:r>
      <w:r>
        <w:rPr>
          <w:rFonts w:ascii="Arial" w:hAnsi="Arial"/>
          <w:i/>
          <w:spacing w:val="-8"/>
          <w:sz w:val="22"/>
        </w:rPr>
        <w:t> </w:t>
      </w:r>
      <w:r>
        <w:rPr>
          <w:rFonts w:ascii="Arial" w:hAnsi="Arial"/>
          <w:i/>
          <w:sz w:val="22"/>
        </w:rPr>
        <w:t>de</w:t>
      </w:r>
      <w:r>
        <w:rPr>
          <w:rFonts w:ascii="Arial" w:hAnsi="Arial"/>
          <w:i/>
          <w:spacing w:val="-10"/>
          <w:sz w:val="22"/>
        </w:rPr>
        <w:t> </w:t>
      </w:r>
      <w:r>
        <w:rPr>
          <w:rFonts w:ascii="Arial" w:hAnsi="Arial"/>
          <w:i/>
          <w:sz w:val="22"/>
        </w:rPr>
        <w:t>un</w:t>
      </w:r>
      <w:r>
        <w:rPr>
          <w:rFonts w:ascii="Arial" w:hAnsi="Arial"/>
          <w:i/>
          <w:spacing w:val="-8"/>
          <w:sz w:val="22"/>
        </w:rPr>
        <w:t> </w:t>
      </w:r>
      <w:r>
        <w:rPr>
          <w:rFonts w:ascii="Arial" w:hAnsi="Arial"/>
          <w:i/>
          <w:sz w:val="22"/>
        </w:rPr>
        <w:t>único paso fronterizo autorizado fue adoptada de manera simultánea, con idéntica</w:t>
      </w:r>
    </w:p>
    <w:p>
      <w:pPr>
        <w:pStyle w:val="BodyText"/>
        <w:spacing w:before="8"/>
        <w:rPr>
          <w:rFonts w:ascii="Arial"/>
          <w:i/>
          <w:sz w:val="11"/>
        </w:rPr>
      </w:pPr>
      <w:r>
        <w:rPr>
          <w:rFonts w:ascii="Arial"/>
          <w:i/>
          <w:sz w:val="11"/>
        </w:rPr>
        <mc:AlternateContent>
          <mc:Choice Requires="wps">
            <w:drawing>
              <wp:anchor distT="0" distB="0" distL="0" distR="0" allowOverlap="1" layoutInCell="1" locked="0" behindDoc="1" simplePos="0" relativeHeight="487613440">
                <wp:simplePos x="0" y="0"/>
                <wp:positionH relativeFrom="page">
                  <wp:posOffset>990904</wp:posOffset>
                </wp:positionH>
                <wp:positionV relativeFrom="paragraph">
                  <wp:posOffset>100898</wp:posOffset>
                </wp:positionV>
                <wp:extent cx="1829435" cy="7620"/>
                <wp:effectExtent l="0" t="0" r="0" b="0"/>
                <wp:wrapTopAndBottom/>
                <wp:docPr id="283" name="Graphic 283"/>
                <wp:cNvGraphicFramePr>
                  <a:graphicFrameLocks/>
                </wp:cNvGraphicFramePr>
                <a:graphic>
                  <a:graphicData uri="http://schemas.microsoft.com/office/word/2010/wordprocessingShape">
                    <wps:wsp>
                      <wps:cNvPr id="283" name="Graphic 283"/>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7.944731pt;width:144.020pt;height:.599980pt;mso-position-horizontal-relative:page;mso-position-vertical-relative:paragraph;z-index:-15703040;mso-wrap-distance-left:0;mso-wrap-distance-right:0" id="docshape210" filled="true" fillcolor="#000000" stroked="false">
                <v:fill type="solid"/>
                <w10:wrap type="topAndBottom"/>
              </v:rect>
            </w:pict>
          </mc:Fallback>
        </mc:AlternateContent>
      </w:r>
    </w:p>
    <w:p>
      <w:pPr>
        <w:spacing w:before="87"/>
        <w:ind w:left="568" w:right="983" w:firstLine="0"/>
        <w:jc w:val="both"/>
        <w:rPr>
          <w:rFonts w:ascii="Arial" w:hAnsi="Arial"/>
          <w:i/>
          <w:sz w:val="18"/>
        </w:rPr>
      </w:pPr>
      <w:bookmarkStart w:name="_bookmark41" w:id="42"/>
      <w:bookmarkEnd w:id="42"/>
      <w:r>
        <w:rPr/>
      </w:r>
      <w:r>
        <w:rPr>
          <w:rFonts w:ascii="Arial" w:hAnsi="Arial"/>
          <w:i/>
          <w:position w:val="6"/>
          <w:sz w:val="12"/>
        </w:rPr>
        <w:t>42</w:t>
      </w:r>
      <w:r>
        <w:rPr>
          <w:sz w:val="18"/>
        </w:rPr>
        <w:t>Véase Proceso 3-AI-96: </w:t>
      </w:r>
      <w:r>
        <w:rPr>
          <w:rFonts w:ascii="Arial" w:hAnsi="Arial"/>
          <w:i/>
          <w:sz w:val="18"/>
        </w:rPr>
        <w:t>“Para que la restricción adquiera la categoría de justificatoria, según la competencia asignada a la Junta, es necesario que el acto interno del País Miembro esté inspirado en el principio de proporcionalidad</w:t>
      </w:r>
      <w:r>
        <w:rPr>
          <w:rFonts w:ascii="Arial" w:hAnsi="Arial"/>
          <w:i/>
          <w:spacing w:val="-1"/>
          <w:sz w:val="18"/>
        </w:rPr>
        <w:t> </w:t>
      </w:r>
      <w:r>
        <w:rPr>
          <w:rFonts w:ascii="Arial" w:hAnsi="Arial"/>
          <w:i/>
          <w:sz w:val="18"/>
        </w:rPr>
        <w:t>entre</w:t>
      </w:r>
      <w:r>
        <w:rPr>
          <w:rFonts w:ascii="Arial" w:hAnsi="Arial"/>
          <w:i/>
          <w:spacing w:val="-1"/>
          <w:sz w:val="18"/>
        </w:rPr>
        <w:t> </w:t>
      </w:r>
      <w:r>
        <w:rPr>
          <w:rFonts w:ascii="Arial" w:hAnsi="Arial"/>
          <w:i/>
          <w:sz w:val="18"/>
        </w:rPr>
        <w:t>la</w:t>
      </w:r>
      <w:r>
        <w:rPr>
          <w:rFonts w:ascii="Arial" w:hAnsi="Arial"/>
          <w:i/>
          <w:spacing w:val="-1"/>
          <w:sz w:val="18"/>
        </w:rPr>
        <w:t> </w:t>
      </w:r>
      <w:r>
        <w:rPr>
          <w:rFonts w:ascii="Arial" w:hAnsi="Arial"/>
          <w:i/>
          <w:sz w:val="18"/>
        </w:rPr>
        <w:t>medida</w:t>
      </w:r>
      <w:r>
        <w:rPr>
          <w:rFonts w:ascii="Arial" w:hAnsi="Arial"/>
          <w:i/>
          <w:spacing w:val="-1"/>
          <w:sz w:val="18"/>
        </w:rPr>
        <w:t> </w:t>
      </w:r>
      <w:r>
        <w:rPr>
          <w:rFonts w:ascii="Arial" w:hAnsi="Arial"/>
          <w:i/>
          <w:sz w:val="18"/>
        </w:rPr>
        <w:t>restrictiva</w:t>
      </w:r>
      <w:r>
        <w:rPr>
          <w:rFonts w:ascii="Arial" w:hAnsi="Arial"/>
          <w:i/>
          <w:spacing w:val="-3"/>
          <w:sz w:val="18"/>
        </w:rPr>
        <w:t> </w:t>
      </w:r>
      <w:r>
        <w:rPr>
          <w:rFonts w:ascii="Arial" w:hAnsi="Arial"/>
          <w:i/>
          <w:sz w:val="18"/>
        </w:rPr>
        <w:t>y el</w:t>
      </w:r>
      <w:r>
        <w:rPr>
          <w:rFonts w:ascii="Arial" w:hAnsi="Arial"/>
          <w:i/>
          <w:spacing w:val="-1"/>
          <w:sz w:val="18"/>
        </w:rPr>
        <w:t> </w:t>
      </w:r>
      <w:r>
        <w:rPr>
          <w:rFonts w:ascii="Arial" w:hAnsi="Arial"/>
          <w:i/>
          <w:sz w:val="18"/>
        </w:rPr>
        <w:t>objeto</w:t>
      </w:r>
      <w:r>
        <w:rPr>
          <w:rFonts w:ascii="Arial" w:hAnsi="Arial"/>
          <w:i/>
          <w:spacing w:val="-1"/>
          <w:sz w:val="18"/>
        </w:rPr>
        <w:t> </w:t>
      </w:r>
      <w:r>
        <w:rPr>
          <w:rFonts w:ascii="Arial" w:hAnsi="Arial"/>
          <w:i/>
          <w:sz w:val="18"/>
        </w:rPr>
        <w:t>específico</w:t>
      </w:r>
      <w:r>
        <w:rPr>
          <w:rFonts w:ascii="Arial" w:hAnsi="Arial"/>
          <w:i/>
          <w:spacing w:val="-1"/>
          <w:sz w:val="18"/>
        </w:rPr>
        <w:t> </w:t>
      </w:r>
      <w:r>
        <w:rPr>
          <w:rFonts w:ascii="Arial" w:hAnsi="Arial"/>
          <w:i/>
          <w:sz w:val="18"/>
        </w:rPr>
        <w:t>a</w:t>
      </w:r>
      <w:r>
        <w:rPr>
          <w:rFonts w:ascii="Arial" w:hAnsi="Arial"/>
          <w:i/>
          <w:spacing w:val="-3"/>
          <w:sz w:val="18"/>
        </w:rPr>
        <w:t> </w:t>
      </w:r>
      <w:r>
        <w:rPr>
          <w:rFonts w:ascii="Arial" w:hAnsi="Arial"/>
          <w:i/>
          <w:sz w:val="18"/>
        </w:rPr>
        <w:t>que</w:t>
      </w:r>
      <w:r>
        <w:rPr>
          <w:rFonts w:ascii="Arial" w:hAnsi="Arial"/>
          <w:i/>
          <w:spacing w:val="-1"/>
          <w:sz w:val="18"/>
        </w:rPr>
        <w:t> </w:t>
      </w:r>
      <w:r>
        <w:rPr>
          <w:rFonts w:ascii="Arial" w:hAnsi="Arial"/>
          <w:i/>
          <w:sz w:val="18"/>
        </w:rPr>
        <w:t>ella</w:t>
      </w:r>
      <w:r>
        <w:rPr>
          <w:rFonts w:ascii="Arial" w:hAnsi="Arial"/>
          <w:i/>
          <w:spacing w:val="-1"/>
          <w:sz w:val="18"/>
        </w:rPr>
        <w:t> </w:t>
      </w:r>
      <w:r>
        <w:rPr>
          <w:rFonts w:ascii="Arial" w:hAnsi="Arial"/>
          <w:i/>
          <w:sz w:val="18"/>
        </w:rPr>
        <w:t>vaya</w:t>
      </w:r>
      <w:r>
        <w:rPr>
          <w:rFonts w:ascii="Arial" w:hAnsi="Arial"/>
          <w:i/>
          <w:spacing w:val="-1"/>
          <w:sz w:val="18"/>
        </w:rPr>
        <w:t> </w:t>
      </w:r>
      <w:r>
        <w:rPr>
          <w:rFonts w:ascii="Arial" w:hAnsi="Arial"/>
          <w:i/>
          <w:sz w:val="18"/>
        </w:rPr>
        <w:t>dirigida,</w:t>
      </w:r>
      <w:r>
        <w:rPr>
          <w:rFonts w:ascii="Arial" w:hAnsi="Arial"/>
          <w:i/>
          <w:spacing w:val="-3"/>
          <w:sz w:val="18"/>
        </w:rPr>
        <w:t> </w:t>
      </w:r>
      <w:r>
        <w:rPr>
          <w:rFonts w:ascii="Arial" w:hAnsi="Arial"/>
          <w:i/>
          <w:sz w:val="18"/>
        </w:rPr>
        <w:t>el</w:t>
      </w:r>
      <w:r>
        <w:rPr>
          <w:rFonts w:ascii="Arial" w:hAnsi="Arial"/>
          <w:i/>
          <w:spacing w:val="-1"/>
          <w:sz w:val="18"/>
        </w:rPr>
        <w:t> </w:t>
      </w:r>
      <w:r>
        <w:rPr>
          <w:rFonts w:ascii="Arial" w:hAnsi="Arial"/>
          <w:i/>
          <w:sz w:val="18"/>
        </w:rPr>
        <w:t>cual</w:t>
      </w:r>
      <w:r>
        <w:rPr>
          <w:rFonts w:ascii="Arial" w:hAnsi="Arial"/>
          <w:i/>
          <w:spacing w:val="-3"/>
          <w:sz w:val="18"/>
        </w:rPr>
        <w:t> </w:t>
      </w:r>
      <w:r>
        <w:rPr>
          <w:rFonts w:ascii="Arial" w:hAnsi="Arial"/>
          <w:i/>
          <w:sz w:val="18"/>
        </w:rPr>
        <w:t>deberá</w:t>
      </w:r>
      <w:r>
        <w:rPr>
          <w:rFonts w:ascii="Arial" w:hAnsi="Arial"/>
          <w:i/>
          <w:spacing w:val="-1"/>
          <w:sz w:val="18"/>
        </w:rPr>
        <w:t> </w:t>
      </w:r>
      <w:r>
        <w:rPr>
          <w:rFonts w:ascii="Arial" w:hAnsi="Arial"/>
          <w:i/>
          <w:sz w:val="18"/>
        </w:rPr>
        <w:t>aparecer</w:t>
      </w:r>
    </w:p>
    <w:p>
      <w:pPr>
        <w:tabs>
          <w:tab w:pos="9816" w:val="left" w:leader="none"/>
        </w:tabs>
        <w:spacing w:before="0"/>
        <w:ind w:left="160" w:right="0" w:firstLine="0"/>
        <w:jc w:val="both"/>
        <w:rPr>
          <w:rFonts w:ascii="Arial" w:hAnsi="Arial"/>
          <w:i/>
          <w:sz w:val="18"/>
        </w:rPr>
      </w:pPr>
      <w:r>
        <w:rPr>
          <w:rFonts w:ascii="Times New Roman" w:hAnsi="Times New Roman"/>
          <w:spacing w:val="65"/>
          <w:w w:val="150"/>
          <w:sz w:val="18"/>
          <w:u w:val="single"/>
        </w:rPr>
        <w:t>   </w:t>
      </w:r>
      <w:r>
        <w:rPr>
          <w:rFonts w:ascii="Arial" w:hAnsi="Arial"/>
          <w:i/>
          <w:sz w:val="18"/>
          <w:u w:val="single"/>
        </w:rPr>
        <w:t>como</w:t>
      </w:r>
      <w:r>
        <w:rPr>
          <w:rFonts w:ascii="Arial" w:hAnsi="Arial"/>
          <w:i/>
          <w:spacing w:val="-1"/>
          <w:sz w:val="18"/>
          <w:u w:val="single"/>
        </w:rPr>
        <w:t> </w:t>
      </w:r>
      <w:r>
        <w:rPr>
          <w:rFonts w:ascii="Arial" w:hAnsi="Arial"/>
          <w:i/>
          <w:sz w:val="18"/>
          <w:u w:val="single"/>
        </w:rPr>
        <w:t>causa</w:t>
      </w:r>
      <w:r>
        <w:rPr>
          <w:rFonts w:ascii="Arial" w:hAnsi="Arial"/>
          <w:i/>
          <w:spacing w:val="-1"/>
          <w:sz w:val="18"/>
          <w:u w:val="single"/>
        </w:rPr>
        <w:t> </w:t>
      </w:r>
      <w:r>
        <w:rPr>
          <w:rFonts w:ascii="Arial" w:hAnsi="Arial"/>
          <w:i/>
          <w:sz w:val="18"/>
          <w:u w:val="single"/>
        </w:rPr>
        <w:t>directa</w:t>
      </w:r>
      <w:r>
        <w:rPr>
          <w:rFonts w:ascii="Arial" w:hAnsi="Arial"/>
          <w:i/>
          <w:spacing w:val="-1"/>
          <w:sz w:val="18"/>
          <w:u w:val="single"/>
        </w:rPr>
        <w:t> </w:t>
      </w:r>
      <w:r>
        <w:rPr>
          <w:rFonts w:ascii="Arial" w:hAnsi="Arial"/>
          <w:i/>
          <w:sz w:val="18"/>
          <w:u w:val="single"/>
        </w:rPr>
        <w:t>e</w:t>
      </w:r>
      <w:r>
        <w:rPr>
          <w:rFonts w:ascii="Arial" w:hAnsi="Arial"/>
          <w:i/>
          <w:spacing w:val="-3"/>
          <w:sz w:val="18"/>
          <w:u w:val="single"/>
        </w:rPr>
        <w:t> </w:t>
      </w:r>
      <w:r>
        <w:rPr>
          <w:rFonts w:ascii="Arial" w:hAnsi="Arial"/>
          <w:i/>
          <w:sz w:val="18"/>
          <w:u w:val="single"/>
        </w:rPr>
        <w:t>inmediata</w:t>
      </w:r>
      <w:r>
        <w:rPr>
          <w:rFonts w:ascii="Arial" w:hAnsi="Arial"/>
          <w:i/>
          <w:spacing w:val="-1"/>
          <w:sz w:val="18"/>
          <w:u w:val="single"/>
        </w:rPr>
        <w:t> </w:t>
      </w:r>
      <w:r>
        <w:rPr>
          <w:rFonts w:ascii="Arial" w:hAnsi="Arial"/>
          <w:i/>
          <w:spacing w:val="-2"/>
          <w:sz w:val="18"/>
          <w:u w:val="single"/>
        </w:rPr>
        <w:t>(…)”.</w:t>
      </w:r>
      <w:r>
        <w:rPr>
          <w:rFonts w:ascii="Arial" w:hAnsi="Arial"/>
          <w:i/>
          <w:sz w:val="18"/>
          <w:u w:val="single"/>
        </w:rPr>
        <w:tab/>
      </w:r>
    </w:p>
    <w:p>
      <w:pPr>
        <w:spacing w:after="0"/>
        <w:jc w:val="both"/>
        <w:rPr>
          <w:rFonts w:ascii="Arial" w:hAnsi="Arial"/>
          <w:i/>
          <w:sz w:val="18"/>
        </w:rPr>
        <w:sectPr>
          <w:pgSz w:w="11900" w:h="16850"/>
          <w:pgMar w:header="370" w:footer="597" w:top="1380" w:bottom="780" w:left="992" w:right="283"/>
        </w:sectPr>
      </w:pPr>
    </w:p>
    <w:p>
      <w:pPr>
        <w:pStyle w:val="BodyText"/>
        <w:spacing w:before="176"/>
        <w:rPr>
          <w:rFonts w:ascii="Arial"/>
          <w:i/>
        </w:rPr>
      </w:pPr>
    </w:p>
    <w:p>
      <w:pPr>
        <w:spacing w:before="0"/>
        <w:ind w:left="2128" w:right="981" w:firstLine="0"/>
        <w:jc w:val="both"/>
        <w:rPr>
          <w:rFonts w:ascii="Arial" w:hAnsi="Arial"/>
          <w:i/>
          <w:sz w:val="22"/>
        </w:rPr>
      </w:pPr>
      <w:r>
        <w:rPr>
          <w:rFonts w:ascii="Arial" w:hAnsi="Arial"/>
          <w:i/>
          <w:sz w:val="22"/>
        </w:rPr>
        <w:t>motivación —razones de seguridad— y mediante el mismo instrumento diplomático, tanto para la frontera norte con Colombia como para la frontera sur con el Perú.”</w:t>
      </w:r>
    </w:p>
    <w:p>
      <w:pPr>
        <w:pStyle w:val="BodyText"/>
        <w:spacing w:before="1"/>
        <w:rPr>
          <w:rFonts w:ascii="Arial"/>
          <w:i/>
        </w:rPr>
      </w:pPr>
    </w:p>
    <w:p>
      <w:pPr>
        <w:pStyle w:val="ListParagraph"/>
        <w:numPr>
          <w:ilvl w:val="0"/>
          <w:numId w:val="2"/>
        </w:numPr>
        <w:tabs>
          <w:tab w:pos="1416" w:val="left" w:leader="none"/>
          <w:tab w:pos="1420" w:val="left" w:leader="none"/>
        </w:tabs>
        <w:spacing w:line="240" w:lineRule="auto" w:before="0" w:after="0"/>
        <w:ind w:left="1420" w:right="977" w:hanging="852"/>
        <w:jc w:val="both"/>
        <w:rPr>
          <w:sz w:val="22"/>
        </w:rPr>
      </w:pPr>
      <w:r>
        <w:rPr>
          <w:sz w:val="22"/>
        </w:rPr>
        <w:t>Asimismo, la Resolución 1457, referida a la Decisión 617 sobre Tránsito Aduanero Comunitario,</w:t>
      </w:r>
      <w:r>
        <w:rPr>
          <w:spacing w:val="-6"/>
          <w:sz w:val="22"/>
        </w:rPr>
        <w:t> </w:t>
      </w:r>
      <w:r>
        <w:rPr>
          <w:sz w:val="22"/>
        </w:rPr>
        <w:t>establece</w:t>
      </w:r>
      <w:r>
        <w:rPr>
          <w:spacing w:val="-5"/>
          <w:sz w:val="22"/>
        </w:rPr>
        <w:t> </w:t>
      </w:r>
      <w:r>
        <w:rPr>
          <w:sz w:val="22"/>
        </w:rPr>
        <w:t>en</w:t>
      </w:r>
      <w:r>
        <w:rPr>
          <w:spacing w:val="-5"/>
          <w:sz w:val="22"/>
        </w:rPr>
        <w:t> </w:t>
      </w:r>
      <w:r>
        <w:rPr>
          <w:sz w:val="22"/>
        </w:rPr>
        <w:t>su</w:t>
      </w:r>
      <w:r>
        <w:rPr>
          <w:spacing w:val="-5"/>
          <w:sz w:val="22"/>
        </w:rPr>
        <w:t> </w:t>
      </w:r>
      <w:r>
        <w:rPr>
          <w:sz w:val="22"/>
        </w:rPr>
        <w:t>Anexo</w:t>
      </w:r>
      <w:r>
        <w:rPr>
          <w:spacing w:val="-5"/>
          <w:sz w:val="22"/>
        </w:rPr>
        <w:t> </w:t>
      </w:r>
      <w:r>
        <w:rPr>
          <w:sz w:val="22"/>
        </w:rPr>
        <w:t>I</w:t>
      </w:r>
      <w:r>
        <w:rPr>
          <w:spacing w:val="-6"/>
          <w:sz w:val="22"/>
        </w:rPr>
        <w:t> </w:t>
      </w:r>
      <w:r>
        <w:rPr>
          <w:sz w:val="22"/>
        </w:rPr>
        <w:t>las</w:t>
      </w:r>
      <w:r>
        <w:rPr>
          <w:spacing w:val="-5"/>
          <w:sz w:val="22"/>
        </w:rPr>
        <w:t> </w:t>
      </w:r>
      <w:r>
        <w:rPr>
          <w:sz w:val="22"/>
        </w:rPr>
        <w:t>vías</w:t>
      </w:r>
      <w:r>
        <w:rPr>
          <w:spacing w:val="-5"/>
          <w:sz w:val="22"/>
        </w:rPr>
        <w:t> </w:t>
      </w:r>
      <w:r>
        <w:rPr>
          <w:sz w:val="22"/>
        </w:rPr>
        <w:t>y</w:t>
      </w:r>
      <w:r>
        <w:rPr>
          <w:spacing w:val="-5"/>
          <w:sz w:val="22"/>
        </w:rPr>
        <w:t> </w:t>
      </w:r>
      <w:r>
        <w:rPr>
          <w:sz w:val="22"/>
        </w:rPr>
        <w:t>cruces</w:t>
      </w:r>
      <w:r>
        <w:rPr>
          <w:spacing w:val="-5"/>
          <w:sz w:val="22"/>
        </w:rPr>
        <w:t> </w:t>
      </w:r>
      <w:r>
        <w:rPr>
          <w:sz w:val="22"/>
        </w:rPr>
        <w:t>de</w:t>
      </w:r>
      <w:r>
        <w:rPr>
          <w:spacing w:val="-5"/>
          <w:sz w:val="22"/>
        </w:rPr>
        <w:t> </w:t>
      </w:r>
      <w:r>
        <w:rPr>
          <w:sz w:val="22"/>
        </w:rPr>
        <w:t>frontera</w:t>
      </w:r>
      <w:r>
        <w:rPr>
          <w:spacing w:val="-5"/>
          <w:sz w:val="22"/>
        </w:rPr>
        <w:t> </w:t>
      </w:r>
      <w:r>
        <w:rPr>
          <w:sz w:val="22"/>
        </w:rPr>
        <w:t>habilitados</w:t>
      </w:r>
      <w:r>
        <w:rPr>
          <w:spacing w:val="-5"/>
          <w:sz w:val="22"/>
        </w:rPr>
        <w:t> </w:t>
      </w:r>
      <w:r>
        <w:rPr>
          <w:sz w:val="22"/>
        </w:rPr>
        <w:t>según País</w:t>
      </w:r>
      <w:r>
        <w:rPr>
          <w:spacing w:val="-1"/>
          <w:sz w:val="22"/>
        </w:rPr>
        <w:t> </w:t>
      </w:r>
      <w:r>
        <w:rPr>
          <w:sz w:val="22"/>
        </w:rPr>
        <w:t>Miembro. En</w:t>
      </w:r>
      <w:r>
        <w:rPr>
          <w:spacing w:val="-2"/>
          <w:sz w:val="22"/>
        </w:rPr>
        <w:t> </w:t>
      </w:r>
      <w:r>
        <w:rPr>
          <w:sz w:val="22"/>
        </w:rPr>
        <w:t>ese</w:t>
      </w:r>
      <w:r>
        <w:rPr>
          <w:spacing w:val="-4"/>
          <w:sz w:val="22"/>
        </w:rPr>
        <w:t> </w:t>
      </w:r>
      <w:r>
        <w:rPr>
          <w:sz w:val="22"/>
        </w:rPr>
        <w:t>marco, conforme</w:t>
      </w:r>
      <w:r>
        <w:rPr>
          <w:spacing w:val="-2"/>
          <w:sz w:val="22"/>
        </w:rPr>
        <w:t> </w:t>
      </w:r>
      <w:r>
        <w:rPr>
          <w:sz w:val="22"/>
        </w:rPr>
        <w:t>se</w:t>
      </w:r>
      <w:r>
        <w:rPr>
          <w:spacing w:val="-4"/>
          <w:sz w:val="22"/>
        </w:rPr>
        <w:t> </w:t>
      </w:r>
      <w:r>
        <w:rPr>
          <w:sz w:val="22"/>
        </w:rPr>
        <w:t>detalla</w:t>
      </w:r>
      <w:r>
        <w:rPr>
          <w:spacing w:val="-2"/>
          <w:sz w:val="22"/>
        </w:rPr>
        <w:t> </w:t>
      </w:r>
      <w:r>
        <w:rPr>
          <w:sz w:val="22"/>
        </w:rPr>
        <w:t>en</w:t>
      </w:r>
      <w:r>
        <w:rPr>
          <w:spacing w:val="-2"/>
          <w:sz w:val="22"/>
        </w:rPr>
        <w:t> </w:t>
      </w:r>
      <w:r>
        <w:rPr>
          <w:sz w:val="22"/>
        </w:rPr>
        <w:t>la</w:t>
      </w:r>
      <w:r>
        <w:rPr>
          <w:spacing w:val="-2"/>
          <w:sz w:val="22"/>
        </w:rPr>
        <w:t> </w:t>
      </w:r>
      <w:r>
        <w:rPr>
          <w:sz w:val="22"/>
        </w:rPr>
        <w:t>Tabla</w:t>
      </w:r>
      <w:r>
        <w:rPr>
          <w:spacing w:val="-2"/>
          <w:sz w:val="22"/>
        </w:rPr>
        <w:t> </w:t>
      </w:r>
      <w:r>
        <w:rPr>
          <w:sz w:val="22"/>
        </w:rPr>
        <w:t>N.°6,</w:t>
      </w:r>
      <w:r>
        <w:rPr>
          <w:spacing w:val="-1"/>
          <w:sz w:val="22"/>
        </w:rPr>
        <w:t> </w:t>
      </w:r>
      <w:r>
        <w:rPr>
          <w:sz w:val="22"/>
        </w:rPr>
        <w:t>se</w:t>
      </w:r>
      <w:r>
        <w:rPr>
          <w:spacing w:val="-4"/>
          <w:sz w:val="22"/>
        </w:rPr>
        <w:t> </w:t>
      </w:r>
      <w:r>
        <w:rPr>
          <w:sz w:val="22"/>
        </w:rPr>
        <w:t>observa</w:t>
      </w:r>
      <w:r>
        <w:rPr>
          <w:spacing w:val="-1"/>
          <w:sz w:val="22"/>
        </w:rPr>
        <w:t> </w:t>
      </w:r>
      <w:r>
        <w:rPr>
          <w:sz w:val="22"/>
        </w:rPr>
        <w:t>que, para el caso de la República del Ecuador, con anterioridad a la aplicación de la medida, el tránsito comercial en la frontera con la República del Perú no se encontraba</w:t>
      </w:r>
      <w:r>
        <w:rPr>
          <w:spacing w:val="-12"/>
          <w:sz w:val="22"/>
        </w:rPr>
        <w:t> </w:t>
      </w:r>
      <w:r>
        <w:rPr>
          <w:sz w:val="22"/>
        </w:rPr>
        <w:t>concentrado</w:t>
      </w:r>
      <w:r>
        <w:rPr>
          <w:spacing w:val="-12"/>
          <w:sz w:val="22"/>
        </w:rPr>
        <w:t> </w:t>
      </w:r>
      <w:r>
        <w:rPr>
          <w:sz w:val="22"/>
        </w:rPr>
        <w:t>en</w:t>
      </w:r>
      <w:r>
        <w:rPr>
          <w:spacing w:val="-10"/>
          <w:sz w:val="22"/>
        </w:rPr>
        <w:t> </w:t>
      </w:r>
      <w:r>
        <w:rPr>
          <w:sz w:val="22"/>
        </w:rPr>
        <w:t>un</w:t>
      </w:r>
      <w:r>
        <w:rPr>
          <w:spacing w:val="-12"/>
          <w:sz w:val="22"/>
        </w:rPr>
        <w:t> </w:t>
      </w:r>
      <w:r>
        <w:rPr>
          <w:sz w:val="22"/>
        </w:rPr>
        <w:t>único</w:t>
      </w:r>
      <w:r>
        <w:rPr>
          <w:spacing w:val="-12"/>
          <w:sz w:val="22"/>
        </w:rPr>
        <w:t> </w:t>
      </w:r>
      <w:r>
        <w:rPr>
          <w:sz w:val="22"/>
        </w:rPr>
        <w:t>paso</w:t>
      </w:r>
      <w:r>
        <w:rPr>
          <w:spacing w:val="-12"/>
          <w:sz w:val="22"/>
        </w:rPr>
        <w:t> </w:t>
      </w:r>
      <w:r>
        <w:rPr>
          <w:sz w:val="22"/>
        </w:rPr>
        <w:t>habilitado,</w:t>
      </w:r>
      <w:r>
        <w:rPr>
          <w:spacing w:val="-11"/>
          <w:sz w:val="22"/>
        </w:rPr>
        <w:t> </w:t>
      </w:r>
      <w:r>
        <w:rPr>
          <w:sz w:val="22"/>
        </w:rPr>
        <w:t>sino</w:t>
      </w:r>
      <w:r>
        <w:rPr>
          <w:spacing w:val="-10"/>
          <w:sz w:val="22"/>
        </w:rPr>
        <w:t> </w:t>
      </w:r>
      <w:r>
        <w:rPr>
          <w:sz w:val="22"/>
        </w:rPr>
        <w:t>que</w:t>
      </w:r>
      <w:r>
        <w:rPr>
          <w:spacing w:val="-12"/>
          <w:sz w:val="22"/>
        </w:rPr>
        <w:t> </w:t>
      </w:r>
      <w:r>
        <w:rPr>
          <w:sz w:val="22"/>
        </w:rPr>
        <w:t>se</w:t>
      </w:r>
      <w:r>
        <w:rPr>
          <w:spacing w:val="-12"/>
          <w:sz w:val="22"/>
        </w:rPr>
        <w:t> </w:t>
      </w:r>
      <w:r>
        <w:rPr>
          <w:sz w:val="22"/>
        </w:rPr>
        <w:t>canalizaba</w:t>
      </w:r>
      <w:r>
        <w:rPr>
          <w:spacing w:val="-10"/>
          <w:sz w:val="22"/>
        </w:rPr>
        <w:t> </w:t>
      </w:r>
      <w:r>
        <w:rPr>
          <w:sz w:val="22"/>
        </w:rPr>
        <w:t>a</w:t>
      </w:r>
      <w:r>
        <w:rPr>
          <w:spacing w:val="-12"/>
          <w:sz w:val="22"/>
        </w:rPr>
        <w:t> </w:t>
      </w:r>
      <w:r>
        <w:rPr>
          <w:sz w:val="22"/>
        </w:rPr>
        <w:t>través de</w:t>
      </w:r>
      <w:r>
        <w:rPr>
          <w:spacing w:val="-12"/>
          <w:sz w:val="22"/>
        </w:rPr>
        <w:t> </w:t>
      </w:r>
      <w:r>
        <w:rPr>
          <w:sz w:val="22"/>
        </w:rPr>
        <w:t>más</w:t>
      </w:r>
      <w:r>
        <w:rPr>
          <w:spacing w:val="-14"/>
          <w:sz w:val="22"/>
        </w:rPr>
        <w:t> </w:t>
      </w:r>
      <w:r>
        <w:rPr>
          <w:sz w:val="22"/>
        </w:rPr>
        <w:t>de</w:t>
      </w:r>
      <w:r>
        <w:rPr>
          <w:spacing w:val="-12"/>
          <w:sz w:val="22"/>
        </w:rPr>
        <w:t> </w:t>
      </w:r>
      <w:r>
        <w:rPr>
          <w:sz w:val="22"/>
        </w:rPr>
        <w:t>un</w:t>
      </w:r>
      <w:r>
        <w:rPr>
          <w:spacing w:val="-12"/>
          <w:sz w:val="22"/>
        </w:rPr>
        <w:t> </w:t>
      </w:r>
      <w:r>
        <w:rPr>
          <w:sz w:val="22"/>
        </w:rPr>
        <w:t>cruce</w:t>
      </w:r>
      <w:r>
        <w:rPr>
          <w:spacing w:val="-14"/>
          <w:sz w:val="22"/>
        </w:rPr>
        <w:t> </w:t>
      </w:r>
      <w:r>
        <w:rPr>
          <w:sz w:val="22"/>
        </w:rPr>
        <w:t>fronterizo,</w:t>
      </w:r>
      <w:r>
        <w:rPr>
          <w:spacing w:val="-10"/>
          <w:sz w:val="22"/>
        </w:rPr>
        <w:t> </w:t>
      </w:r>
      <w:r>
        <w:rPr>
          <w:sz w:val="22"/>
        </w:rPr>
        <w:t>particularmente</w:t>
      </w:r>
      <w:r>
        <w:rPr>
          <w:spacing w:val="-14"/>
          <w:sz w:val="22"/>
        </w:rPr>
        <w:t> </w:t>
      </w:r>
      <w:r>
        <w:rPr>
          <w:sz w:val="22"/>
        </w:rPr>
        <w:t>por</w:t>
      </w:r>
      <w:r>
        <w:rPr>
          <w:spacing w:val="-10"/>
          <w:sz w:val="22"/>
        </w:rPr>
        <w:t> </w:t>
      </w:r>
      <w:r>
        <w:rPr>
          <w:sz w:val="22"/>
        </w:rPr>
        <w:t>los</w:t>
      </w:r>
      <w:r>
        <w:rPr>
          <w:spacing w:val="-11"/>
          <w:sz w:val="22"/>
        </w:rPr>
        <w:t> </w:t>
      </w:r>
      <w:r>
        <w:rPr>
          <w:sz w:val="22"/>
        </w:rPr>
        <w:t>pasos</w:t>
      </w:r>
      <w:r>
        <w:rPr>
          <w:spacing w:val="-14"/>
          <w:sz w:val="22"/>
        </w:rPr>
        <w:t> </w:t>
      </w:r>
      <w:r>
        <w:rPr>
          <w:sz w:val="22"/>
        </w:rPr>
        <w:t>de</w:t>
      </w:r>
      <w:r>
        <w:rPr>
          <w:spacing w:val="-12"/>
          <w:sz w:val="22"/>
        </w:rPr>
        <w:t> </w:t>
      </w:r>
      <w:r>
        <w:rPr>
          <w:sz w:val="22"/>
        </w:rPr>
        <w:t>Huaquillas</w:t>
      </w:r>
      <w:r>
        <w:rPr>
          <w:spacing w:val="-11"/>
          <w:sz w:val="22"/>
        </w:rPr>
        <w:t> </w:t>
      </w:r>
      <w:r>
        <w:rPr>
          <w:sz w:val="22"/>
        </w:rPr>
        <w:t>y</w:t>
      </w:r>
      <w:r>
        <w:rPr>
          <w:spacing w:val="-11"/>
          <w:sz w:val="22"/>
        </w:rPr>
        <w:t> </w:t>
      </w:r>
      <w:r>
        <w:rPr>
          <w:sz w:val="22"/>
        </w:rPr>
        <w:t>Macará.</w:t>
      </w:r>
    </w:p>
    <w:p>
      <w:pPr>
        <w:pStyle w:val="BodyText"/>
      </w:pPr>
    </w:p>
    <w:p>
      <w:pPr>
        <w:spacing w:before="0"/>
        <w:ind w:left="-1" w:right="125" w:firstLine="0"/>
        <w:jc w:val="center"/>
        <w:rPr>
          <w:rFonts w:ascii="Arial" w:hAnsi="Arial"/>
          <w:b/>
          <w:sz w:val="22"/>
        </w:rPr>
      </w:pPr>
      <w:r>
        <w:rPr>
          <w:rFonts w:ascii="Arial" w:hAnsi="Arial"/>
          <w:b/>
          <w:sz w:val="22"/>
        </w:rPr>
        <w:t>Tabla</w:t>
      </w:r>
      <w:r>
        <w:rPr>
          <w:rFonts w:ascii="Arial" w:hAnsi="Arial"/>
          <w:b/>
          <w:spacing w:val="-5"/>
          <w:sz w:val="22"/>
        </w:rPr>
        <w:t> </w:t>
      </w:r>
      <w:r>
        <w:rPr>
          <w:rFonts w:ascii="Arial" w:hAnsi="Arial"/>
          <w:b/>
          <w:spacing w:val="-4"/>
          <w:sz w:val="22"/>
        </w:rPr>
        <w:t>N.°6</w:t>
      </w:r>
    </w:p>
    <w:p>
      <w:pPr>
        <w:spacing w:line="252" w:lineRule="exact" w:before="2"/>
        <w:ind w:left="-1" w:right="130" w:firstLine="0"/>
        <w:jc w:val="center"/>
        <w:rPr>
          <w:rFonts w:ascii="Arial" w:hAnsi="Arial"/>
          <w:i/>
          <w:sz w:val="22"/>
        </w:rPr>
      </w:pPr>
      <w:r>
        <w:rPr>
          <w:rFonts w:ascii="Arial" w:hAnsi="Arial"/>
          <w:i/>
          <w:sz w:val="22"/>
        </w:rPr>
        <w:t>Resolución</w:t>
      </w:r>
      <w:r>
        <w:rPr>
          <w:rFonts w:ascii="Arial" w:hAnsi="Arial"/>
          <w:i/>
          <w:spacing w:val="-12"/>
          <w:sz w:val="22"/>
        </w:rPr>
        <w:t> </w:t>
      </w:r>
      <w:r>
        <w:rPr>
          <w:rFonts w:ascii="Arial" w:hAnsi="Arial"/>
          <w:i/>
          <w:spacing w:val="-4"/>
          <w:sz w:val="22"/>
        </w:rPr>
        <w:t>1457</w:t>
      </w:r>
    </w:p>
    <w:p>
      <w:pPr>
        <w:spacing w:before="0" w:after="5"/>
        <w:ind w:left="1710" w:right="1836" w:firstLine="0"/>
        <w:jc w:val="center"/>
        <w:rPr>
          <w:rFonts w:ascii="Arial" w:hAnsi="Arial"/>
          <w:i/>
          <w:sz w:val="22"/>
        </w:rPr>
      </w:pPr>
      <w:r>
        <w:rPr>
          <w:rFonts w:ascii="Arial" w:hAnsi="Arial"/>
          <w:i/>
          <w:sz w:val="22"/>
        </w:rPr>
        <w:t>Vías</w:t>
      </w:r>
      <w:r>
        <w:rPr>
          <w:rFonts w:ascii="Arial" w:hAnsi="Arial"/>
          <w:i/>
          <w:spacing w:val="-3"/>
          <w:sz w:val="22"/>
        </w:rPr>
        <w:t> </w:t>
      </w:r>
      <w:r>
        <w:rPr>
          <w:rFonts w:ascii="Arial" w:hAnsi="Arial"/>
          <w:i/>
          <w:sz w:val="22"/>
        </w:rPr>
        <w:t>y</w:t>
      </w:r>
      <w:r>
        <w:rPr>
          <w:rFonts w:ascii="Arial" w:hAnsi="Arial"/>
          <w:i/>
          <w:spacing w:val="-4"/>
          <w:sz w:val="22"/>
        </w:rPr>
        <w:t> </w:t>
      </w:r>
      <w:r>
        <w:rPr>
          <w:rFonts w:ascii="Arial" w:hAnsi="Arial"/>
          <w:i/>
          <w:sz w:val="22"/>
        </w:rPr>
        <w:t>cruces</w:t>
      </w:r>
      <w:r>
        <w:rPr>
          <w:rFonts w:ascii="Arial" w:hAnsi="Arial"/>
          <w:i/>
          <w:spacing w:val="-3"/>
          <w:sz w:val="22"/>
        </w:rPr>
        <w:t> </w:t>
      </w:r>
      <w:r>
        <w:rPr>
          <w:rFonts w:ascii="Arial" w:hAnsi="Arial"/>
          <w:i/>
          <w:sz w:val="22"/>
        </w:rPr>
        <w:t>de</w:t>
      </w:r>
      <w:r>
        <w:rPr>
          <w:rFonts w:ascii="Arial" w:hAnsi="Arial"/>
          <w:i/>
          <w:spacing w:val="-5"/>
          <w:sz w:val="22"/>
        </w:rPr>
        <w:t> </w:t>
      </w:r>
      <w:r>
        <w:rPr>
          <w:rFonts w:ascii="Arial" w:hAnsi="Arial"/>
          <w:i/>
          <w:sz w:val="22"/>
        </w:rPr>
        <w:t>frontera</w:t>
      </w:r>
      <w:r>
        <w:rPr>
          <w:rFonts w:ascii="Arial" w:hAnsi="Arial"/>
          <w:i/>
          <w:spacing w:val="-5"/>
          <w:sz w:val="22"/>
        </w:rPr>
        <w:t> </w:t>
      </w:r>
      <w:r>
        <w:rPr>
          <w:rFonts w:ascii="Arial" w:hAnsi="Arial"/>
          <w:i/>
          <w:sz w:val="22"/>
        </w:rPr>
        <w:t>habilitados</w:t>
      </w:r>
      <w:r>
        <w:rPr>
          <w:rFonts w:ascii="Arial" w:hAnsi="Arial"/>
          <w:i/>
          <w:spacing w:val="-3"/>
          <w:sz w:val="22"/>
        </w:rPr>
        <w:t> </w:t>
      </w:r>
      <w:r>
        <w:rPr>
          <w:rFonts w:ascii="Arial" w:hAnsi="Arial"/>
          <w:i/>
          <w:sz w:val="22"/>
        </w:rPr>
        <w:t>para</w:t>
      </w:r>
      <w:r>
        <w:rPr>
          <w:rFonts w:ascii="Arial" w:hAnsi="Arial"/>
          <w:i/>
          <w:spacing w:val="-5"/>
          <w:sz w:val="22"/>
        </w:rPr>
        <w:t> </w:t>
      </w:r>
      <w:r>
        <w:rPr>
          <w:rFonts w:ascii="Arial" w:hAnsi="Arial"/>
          <w:i/>
          <w:sz w:val="22"/>
        </w:rPr>
        <w:t>la</w:t>
      </w:r>
      <w:r>
        <w:rPr>
          <w:rFonts w:ascii="Arial" w:hAnsi="Arial"/>
          <w:i/>
          <w:spacing w:val="-3"/>
          <w:sz w:val="22"/>
        </w:rPr>
        <w:t> </w:t>
      </w:r>
      <w:r>
        <w:rPr>
          <w:rFonts w:ascii="Arial" w:hAnsi="Arial"/>
          <w:i/>
          <w:sz w:val="22"/>
        </w:rPr>
        <w:t>República</w:t>
      </w:r>
      <w:r>
        <w:rPr>
          <w:rFonts w:ascii="Arial" w:hAnsi="Arial"/>
          <w:i/>
          <w:spacing w:val="-3"/>
          <w:sz w:val="22"/>
        </w:rPr>
        <w:t> </w:t>
      </w:r>
      <w:r>
        <w:rPr>
          <w:rFonts w:ascii="Arial" w:hAnsi="Arial"/>
          <w:i/>
          <w:sz w:val="22"/>
        </w:rPr>
        <w:t>del</w:t>
      </w:r>
      <w:r>
        <w:rPr>
          <w:rFonts w:ascii="Arial" w:hAnsi="Arial"/>
          <w:i/>
          <w:spacing w:val="-3"/>
          <w:sz w:val="22"/>
        </w:rPr>
        <w:t> </w:t>
      </w:r>
      <w:r>
        <w:rPr>
          <w:rFonts w:ascii="Arial" w:hAnsi="Arial"/>
          <w:i/>
          <w:sz w:val="22"/>
        </w:rPr>
        <w:t>Ecuador con la República del Perú</w:t>
      </w:r>
    </w:p>
    <w:tbl>
      <w:tblPr>
        <w:tblW w:w="0" w:type="auto"/>
        <w:jc w:val="left"/>
        <w:tblInd w:w="18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64"/>
        <w:gridCol w:w="2833"/>
        <w:gridCol w:w="1808"/>
      </w:tblGrid>
      <w:tr>
        <w:trPr>
          <w:trHeight w:val="251" w:hRule="atLeast"/>
        </w:trPr>
        <w:tc>
          <w:tcPr>
            <w:tcW w:w="1864" w:type="dxa"/>
            <w:tcBorders>
              <w:top w:val="single" w:sz="4" w:space="0" w:color="000000"/>
              <w:bottom w:val="single" w:sz="4" w:space="0" w:color="000000"/>
            </w:tcBorders>
          </w:tcPr>
          <w:p>
            <w:pPr>
              <w:pStyle w:val="TableParagraph"/>
              <w:spacing w:line="232" w:lineRule="exact"/>
              <w:ind w:left="115"/>
              <w:rPr>
                <w:rFonts w:ascii="Arial" w:hAnsi="Arial"/>
                <w:b/>
                <w:sz w:val="22"/>
              </w:rPr>
            </w:pPr>
            <w:r>
              <w:rPr>
                <w:rFonts w:ascii="Arial" w:hAnsi="Arial"/>
                <w:b/>
                <w:sz w:val="22"/>
              </w:rPr>
              <w:t>País</w:t>
            </w:r>
            <w:r>
              <w:rPr>
                <w:rFonts w:ascii="Arial" w:hAnsi="Arial"/>
                <w:b/>
                <w:spacing w:val="-2"/>
                <w:sz w:val="22"/>
              </w:rPr>
              <w:t> Declarante</w:t>
            </w:r>
          </w:p>
        </w:tc>
        <w:tc>
          <w:tcPr>
            <w:tcW w:w="2833" w:type="dxa"/>
            <w:tcBorders>
              <w:top w:val="single" w:sz="4" w:space="0" w:color="000000"/>
              <w:bottom w:val="single" w:sz="4" w:space="0" w:color="000000"/>
            </w:tcBorders>
          </w:tcPr>
          <w:p>
            <w:pPr>
              <w:pStyle w:val="TableParagraph"/>
              <w:spacing w:line="232" w:lineRule="exact"/>
              <w:ind w:left="2" w:right="3"/>
              <w:jc w:val="center"/>
              <w:rPr>
                <w:rFonts w:ascii="Arial"/>
                <w:b/>
                <w:sz w:val="22"/>
              </w:rPr>
            </w:pPr>
            <w:r>
              <w:rPr>
                <w:rFonts w:ascii="Arial"/>
                <w:b/>
                <w:sz w:val="22"/>
              </w:rPr>
              <w:t>Cruces</w:t>
            </w:r>
            <w:r>
              <w:rPr>
                <w:rFonts w:ascii="Arial"/>
                <w:b/>
                <w:spacing w:val="-4"/>
                <w:sz w:val="22"/>
              </w:rPr>
              <w:t> </w:t>
            </w:r>
            <w:r>
              <w:rPr>
                <w:rFonts w:ascii="Arial"/>
                <w:b/>
                <w:sz w:val="22"/>
              </w:rPr>
              <w:t>de</w:t>
            </w:r>
            <w:r>
              <w:rPr>
                <w:rFonts w:ascii="Arial"/>
                <w:b/>
                <w:spacing w:val="-3"/>
                <w:sz w:val="22"/>
              </w:rPr>
              <w:t> </w:t>
            </w:r>
            <w:r>
              <w:rPr>
                <w:rFonts w:ascii="Arial"/>
                <w:b/>
                <w:spacing w:val="-2"/>
                <w:sz w:val="22"/>
              </w:rPr>
              <w:t>Frontera</w:t>
            </w:r>
          </w:p>
        </w:tc>
        <w:tc>
          <w:tcPr>
            <w:tcW w:w="1808" w:type="dxa"/>
            <w:tcBorders>
              <w:top w:val="single" w:sz="4" w:space="0" w:color="000000"/>
              <w:bottom w:val="single" w:sz="4" w:space="0" w:color="000000"/>
            </w:tcBorders>
          </w:tcPr>
          <w:p>
            <w:pPr>
              <w:pStyle w:val="TableParagraph"/>
              <w:spacing w:line="232" w:lineRule="exact"/>
              <w:ind w:left="3" w:right="4"/>
              <w:jc w:val="center"/>
              <w:rPr>
                <w:rFonts w:ascii="Arial" w:hAnsi="Arial"/>
                <w:b/>
                <w:sz w:val="22"/>
              </w:rPr>
            </w:pPr>
            <w:r>
              <w:rPr>
                <w:rFonts w:ascii="Arial" w:hAnsi="Arial"/>
                <w:b/>
                <w:sz w:val="22"/>
              </w:rPr>
              <w:t>País</w:t>
            </w:r>
            <w:r>
              <w:rPr>
                <w:rFonts w:ascii="Arial" w:hAnsi="Arial"/>
                <w:b/>
                <w:spacing w:val="-2"/>
                <w:sz w:val="22"/>
              </w:rPr>
              <w:t> Fronterizo</w:t>
            </w:r>
          </w:p>
        </w:tc>
      </w:tr>
      <w:tr>
        <w:trPr>
          <w:trHeight w:val="256" w:hRule="atLeast"/>
        </w:trPr>
        <w:tc>
          <w:tcPr>
            <w:tcW w:w="1864" w:type="dxa"/>
            <w:tcBorders>
              <w:top w:val="single" w:sz="4" w:space="0" w:color="000000"/>
            </w:tcBorders>
          </w:tcPr>
          <w:p>
            <w:pPr>
              <w:pStyle w:val="TableParagraph"/>
              <w:spacing w:line="237" w:lineRule="exact"/>
              <w:ind w:left="115"/>
              <w:rPr>
                <w:sz w:val="22"/>
              </w:rPr>
            </w:pPr>
            <w:r>
              <w:rPr>
                <w:spacing w:val="-2"/>
                <w:sz w:val="22"/>
              </w:rPr>
              <w:t>Ecuador</w:t>
            </w:r>
          </w:p>
        </w:tc>
        <w:tc>
          <w:tcPr>
            <w:tcW w:w="2833" w:type="dxa"/>
            <w:tcBorders>
              <w:top w:val="single" w:sz="4" w:space="0" w:color="000000"/>
            </w:tcBorders>
          </w:tcPr>
          <w:p>
            <w:pPr>
              <w:pStyle w:val="TableParagraph"/>
              <w:spacing w:line="237" w:lineRule="exact"/>
              <w:ind w:left="3" w:right="3"/>
              <w:jc w:val="center"/>
              <w:rPr>
                <w:sz w:val="22"/>
              </w:rPr>
            </w:pPr>
            <w:r>
              <w:rPr>
                <w:spacing w:val="-2"/>
                <w:sz w:val="22"/>
              </w:rPr>
              <w:t>Macará</w:t>
            </w:r>
          </w:p>
        </w:tc>
        <w:tc>
          <w:tcPr>
            <w:tcW w:w="1808" w:type="dxa"/>
            <w:tcBorders>
              <w:top w:val="single" w:sz="4" w:space="0" w:color="000000"/>
            </w:tcBorders>
          </w:tcPr>
          <w:p>
            <w:pPr>
              <w:pStyle w:val="TableParagraph"/>
              <w:spacing w:line="237" w:lineRule="exact"/>
              <w:ind w:right="4"/>
              <w:jc w:val="center"/>
              <w:rPr>
                <w:sz w:val="22"/>
              </w:rPr>
            </w:pPr>
            <w:r>
              <w:rPr>
                <w:spacing w:val="-4"/>
                <w:sz w:val="22"/>
              </w:rPr>
              <w:t>Perú</w:t>
            </w:r>
          </w:p>
        </w:tc>
      </w:tr>
      <w:tr>
        <w:trPr>
          <w:trHeight w:val="253" w:hRule="atLeast"/>
        </w:trPr>
        <w:tc>
          <w:tcPr>
            <w:tcW w:w="1864" w:type="dxa"/>
          </w:tcPr>
          <w:p>
            <w:pPr>
              <w:pStyle w:val="TableParagraph"/>
              <w:spacing w:line="233" w:lineRule="exact"/>
              <w:ind w:left="115"/>
              <w:rPr>
                <w:sz w:val="22"/>
              </w:rPr>
            </w:pPr>
            <w:r>
              <w:rPr>
                <w:spacing w:val="-2"/>
                <w:sz w:val="22"/>
              </w:rPr>
              <w:t>Ecuador</w:t>
            </w:r>
          </w:p>
        </w:tc>
        <w:tc>
          <w:tcPr>
            <w:tcW w:w="2833" w:type="dxa"/>
          </w:tcPr>
          <w:p>
            <w:pPr>
              <w:pStyle w:val="TableParagraph"/>
              <w:spacing w:line="233" w:lineRule="exact"/>
              <w:ind w:right="3"/>
              <w:jc w:val="center"/>
              <w:rPr>
                <w:sz w:val="22"/>
              </w:rPr>
            </w:pPr>
            <w:r>
              <w:rPr>
                <w:spacing w:val="-2"/>
                <w:sz w:val="22"/>
              </w:rPr>
              <w:t>Huaquillas</w:t>
            </w:r>
          </w:p>
        </w:tc>
        <w:tc>
          <w:tcPr>
            <w:tcW w:w="1808" w:type="dxa"/>
          </w:tcPr>
          <w:p>
            <w:pPr>
              <w:pStyle w:val="TableParagraph"/>
              <w:spacing w:line="233" w:lineRule="exact"/>
              <w:ind w:right="4"/>
              <w:jc w:val="center"/>
              <w:rPr>
                <w:sz w:val="22"/>
              </w:rPr>
            </w:pPr>
            <w:r>
              <w:rPr>
                <w:spacing w:val="-4"/>
                <w:sz w:val="22"/>
              </w:rPr>
              <w:t>Perú</w:t>
            </w:r>
          </w:p>
        </w:tc>
      </w:tr>
      <w:tr>
        <w:trPr>
          <w:trHeight w:val="253" w:hRule="atLeast"/>
        </w:trPr>
        <w:tc>
          <w:tcPr>
            <w:tcW w:w="1864" w:type="dxa"/>
          </w:tcPr>
          <w:p>
            <w:pPr>
              <w:pStyle w:val="TableParagraph"/>
              <w:spacing w:line="233" w:lineRule="exact"/>
              <w:ind w:left="115"/>
              <w:rPr>
                <w:sz w:val="22"/>
              </w:rPr>
            </w:pPr>
            <w:r>
              <w:rPr>
                <w:spacing w:val="-4"/>
                <w:sz w:val="22"/>
              </w:rPr>
              <w:t>Perú</w:t>
            </w:r>
          </w:p>
        </w:tc>
        <w:tc>
          <w:tcPr>
            <w:tcW w:w="2833" w:type="dxa"/>
          </w:tcPr>
          <w:p>
            <w:pPr>
              <w:pStyle w:val="TableParagraph"/>
              <w:spacing w:line="233" w:lineRule="exact"/>
              <w:ind w:left="2" w:right="3"/>
              <w:jc w:val="center"/>
              <w:rPr>
                <w:sz w:val="22"/>
              </w:rPr>
            </w:pPr>
            <w:r>
              <w:rPr>
                <w:sz w:val="22"/>
              </w:rPr>
              <w:t>Aguas</w:t>
            </w:r>
            <w:r>
              <w:rPr>
                <w:spacing w:val="-2"/>
                <w:sz w:val="22"/>
              </w:rPr>
              <w:t> </w:t>
            </w:r>
            <w:r>
              <w:rPr>
                <w:sz w:val="22"/>
              </w:rPr>
              <w:t>Verdes</w:t>
            </w:r>
            <w:r>
              <w:rPr>
                <w:spacing w:val="-3"/>
                <w:sz w:val="22"/>
              </w:rPr>
              <w:t> </w:t>
            </w:r>
            <w:r>
              <w:rPr>
                <w:spacing w:val="-2"/>
                <w:sz w:val="22"/>
              </w:rPr>
              <w:t>(Huaquillas)</w:t>
            </w:r>
          </w:p>
        </w:tc>
        <w:tc>
          <w:tcPr>
            <w:tcW w:w="1808" w:type="dxa"/>
          </w:tcPr>
          <w:p>
            <w:pPr>
              <w:pStyle w:val="TableParagraph"/>
              <w:spacing w:line="233" w:lineRule="exact"/>
              <w:ind w:left="4" w:right="4"/>
              <w:jc w:val="center"/>
              <w:rPr>
                <w:sz w:val="22"/>
              </w:rPr>
            </w:pPr>
            <w:r>
              <w:rPr>
                <w:spacing w:val="-2"/>
                <w:sz w:val="22"/>
              </w:rPr>
              <w:t>Ecuador</w:t>
            </w:r>
          </w:p>
        </w:tc>
      </w:tr>
      <w:tr>
        <w:trPr>
          <w:trHeight w:val="249" w:hRule="atLeast"/>
        </w:trPr>
        <w:tc>
          <w:tcPr>
            <w:tcW w:w="1864" w:type="dxa"/>
            <w:tcBorders>
              <w:bottom w:val="single" w:sz="4" w:space="0" w:color="000000"/>
            </w:tcBorders>
          </w:tcPr>
          <w:p>
            <w:pPr>
              <w:pStyle w:val="TableParagraph"/>
              <w:spacing w:line="229" w:lineRule="exact"/>
              <w:ind w:left="115"/>
              <w:rPr>
                <w:sz w:val="22"/>
              </w:rPr>
            </w:pPr>
            <w:r>
              <w:rPr>
                <w:spacing w:val="-4"/>
                <w:sz w:val="22"/>
              </w:rPr>
              <w:t>Perú</w:t>
            </w:r>
          </w:p>
        </w:tc>
        <w:tc>
          <w:tcPr>
            <w:tcW w:w="2833" w:type="dxa"/>
            <w:tcBorders>
              <w:bottom w:val="single" w:sz="4" w:space="0" w:color="000000"/>
            </w:tcBorders>
          </w:tcPr>
          <w:p>
            <w:pPr>
              <w:pStyle w:val="TableParagraph"/>
              <w:spacing w:line="229" w:lineRule="exact"/>
              <w:ind w:left="2" w:right="3"/>
              <w:jc w:val="center"/>
              <w:rPr>
                <w:sz w:val="22"/>
              </w:rPr>
            </w:pPr>
            <w:r>
              <w:rPr>
                <w:sz w:val="22"/>
              </w:rPr>
              <w:t>La</w:t>
            </w:r>
            <w:r>
              <w:rPr>
                <w:spacing w:val="-3"/>
                <w:sz w:val="22"/>
              </w:rPr>
              <w:t> </w:t>
            </w:r>
            <w:r>
              <w:rPr>
                <w:sz w:val="22"/>
              </w:rPr>
              <w:t>Tina</w:t>
            </w:r>
            <w:r>
              <w:rPr>
                <w:spacing w:val="-2"/>
                <w:sz w:val="22"/>
              </w:rPr>
              <w:t> (Macará)</w:t>
            </w:r>
          </w:p>
        </w:tc>
        <w:tc>
          <w:tcPr>
            <w:tcW w:w="1808" w:type="dxa"/>
            <w:tcBorders>
              <w:bottom w:val="single" w:sz="4" w:space="0" w:color="000000"/>
            </w:tcBorders>
          </w:tcPr>
          <w:p>
            <w:pPr>
              <w:pStyle w:val="TableParagraph"/>
              <w:spacing w:line="229" w:lineRule="exact"/>
              <w:ind w:left="4" w:right="4"/>
              <w:jc w:val="center"/>
              <w:rPr>
                <w:sz w:val="22"/>
              </w:rPr>
            </w:pPr>
            <w:r>
              <w:rPr>
                <w:spacing w:val="-2"/>
                <w:sz w:val="22"/>
              </w:rPr>
              <w:t>Ecuador</w:t>
            </w:r>
          </w:p>
        </w:tc>
      </w:tr>
    </w:tbl>
    <w:p>
      <w:pPr>
        <w:spacing w:before="0"/>
        <w:ind w:left="1701" w:right="2021" w:firstLine="0"/>
        <w:jc w:val="left"/>
        <w:rPr>
          <w:rFonts w:ascii="Arial" w:hAnsi="Arial"/>
          <w:i/>
          <w:sz w:val="18"/>
        </w:rPr>
      </w:pPr>
      <w:r>
        <w:rPr>
          <w:sz w:val="18"/>
        </w:rPr>
        <w:t>Fuente:</w:t>
      </w:r>
      <w:r>
        <w:rPr>
          <w:spacing w:val="-4"/>
          <w:sz w:val="18"/>
        </w:rPr>
        <w:t> </w:t>
      </w:r>
      <w:r>
        <w:rPr>
          <w:sz w:val="18"/>
        </w:rPr>
        <w:t>Decisión</w:t>
      </w:r>
      <w:r>
        <w:rPr>
          <w:spacing w:val="-6"/>
          <w:sz w:val="18"/>
        </w:rPr>
        <w:t> </w:t>
      </w:r>
      <w:r>
        <w:rPr>
          <w:sz w:val="18"/>
        </w:rPr>
        <w:t>1457</w:t>
      </w:r>
      <w:r>
        <w:rPr>
          <w:spacing w:val="-3"/>
          <w:sz w:val="18"/>
        </w:rPr>
        <w:t> </w:t>
      </w:r>
      <w:r>
        <w:rPr>
          <w:sz w:val="18"/>
        </w:rPr>
        <w:t>Reglamento</w:t>
      </w:r>
      <w:r>
        <w:rPr>
          <w:spacing w:val="-3"/>
          <w:sz w:val="18"/>
        </w:rPr>
        <w:t> </w:t>
      </w:r>
      <w:r>
        <w:rPr>
          <w:rFonts w:ascii="Arial" w:hAnsi="Arial"/>
          <w:i/>
          <w:sz w:val="18"/>
        </w:rPr>
        <w:t>de</w:t>
      </w:r>
      <w:r>
        <w:rPr>
          <w:rFonts w:ascii="Arial" w:hAnsi="Arial"/>
          <w:i/>
          <w:spacing w:val="-6"/>
          <w:sz w:val="18"/>
        </w:rPr>
        <w:t> </w:t>
      </w:r>
      <w:r>
        <w:rPr>
          <w:rFonts w:ascii="Arial" w:hAnsi="Arial"/>
          <w:i/>
          <w:sz w:val="18"/>
        </w:rPr>
        <w:t>la</w:t>
      </w:r>
      <w:r>
        <w:rPr>
          <w:rFonts w:ascii="Arial" w:hAnsi="Arial"/>
          <w:i/>
          <w:spacing w:val="-4"/>
          <w:sz w:val="18"/>
        </w:rPr>
        <w:t> </w:t>
      </w:r>
      <w:r>
        <w:rPr>
          <w:rFonts w:ascii="Arial" w:hAnsi="Arial"/>
          <w:i/>
          <w:sz w:val="18"/>
        </w:rPr>
        <w:t>Decisión</w:t>
      </w:r>
      <w:r>
        <w:rPr>
          <w:rFonts w:ascii="Arial" w:hAnsi="Arial"/>
          <w:i/>
          <w:spacing w:val="-4"/>
          <w:sz w:val="18"/>
        </w:rPr>
        <w:t> </w:t>
      </w:r>
      <w:r>
        <w:rPr>
          <w:rFonts w:ascii="Arial" w:hAnsi="Arial"/>
          <w:i/>
          <w:sz w:val="18"/>
        </w:rPr>
        <w:t>617</w:t>
      </w:r>
      <w:r>
        <w:rPr>
          <w:rFonts w:ascii="Arial" w:hAnsi="Arial"/>
          <w:i/>
          <w:spacing w:val="-4"/>
          <w:sz w:val="18"/>
        </w:rPr>
        <w:t> </w:t>
      </w:r>
      <w:r>
        <w:rPr>
          <w:rFonts w:ascii="Arial" w:hAnsi="Arial"/>
          <w:i/>
          <w:sz w:val="18"/>
        </w:rPr>
        <w:t>sobre</w:t>
      </w:r>
      <w:r>
        <w:rPr>
          <w:rFonts w:ascii="Arial" w:hAnsi="Arial"/>
          <w:i/>
          <w:spacing w:val="-4"/>
          <w:sz w:val="18"/>
        </w:rPr>
        <w:t> </w:t>
      </w:r>
      <w:r>
        <w:rPr>
          <w:rFonts w:ascii="Arial" w:hAnsi="Arial"/>
          <w:i/>
          <w:sz w:val="18"/>
        </w:rPr>
        <w:t>Tránsito</w:t>
      </w:r>
      <w:r>
        <w:rPr>
          <w:rFonts w:ascii="Arial" w:hAnsi="Arial"/>
          <w:i/>
          <w:spacing w:val="-4"/>
          <w:sz w:val="18"/>
        </w:rPr>
        <w:t> </w:t>
      </w:r>
      <w:r>
        <w:rPr>
          <w:rFonts w:ascii="Arial" w:hAnsi="Arial"/>
          <w:i/>
          <w:sz w:val="18"/>
        </w:rPr>
        <w:t>Aduanero </w:t>
      </w:r>
      <w:r>
        <w:rPr>
          <w:rFonts w:ascii="Arial" w:hAnsi="Arial"/>
          <w:i/>
          <w:spacing w:val="-2"/>
          <w:sz w:val="18"/>
        </w:rPr>
        <w:t>Comunitario</w:t>
      </w:r>
    </w:p>
    <w:p>
      <w:pPr>
        <w:spacing w:before="0"/>
        <w:ind w:left="1701" w:right="0" w:firstLine="0"/>
        <w:jc w:val="left"/>
        <w:rPr>
          <w:sz w:val="18"/>
        </w:rPr>
      </w:pPr>
      <w:r>
        <w:rPr>
          <w:sz w:val="18"/>
        </w:rPr>
        <w:t>Elaboración:</w:t>
      </w:r>
      <w:r>
        <w:rPr>
          <w:spacing w:val="-5"/>
          <w:sz w:val="18"/>
        </w:rPr>
        <w:t> </w:t>
      </w:r>
      <w:r>
        <w:rPr>
          <w:spacing w:val="-2"/>
          <w:sz w:val="18"/>
        </w:rPr>
        <w:t>SGCAN</w:t>
      </w:r>
    </w:p>
    <w:p>
      <w:pPr>
        <w:pStyle w:val="BodyText"/>
        <w:spacing w:before="42"/>
        <w:rPr>
          <w:sz w:val="18"/>
        </w:rPr>
      </w:pPr>
    </w:p>
    <w:p>
      <w:pPr>
        <w:pStyle w:val="ListParagraph"/>
        <w:numPr>
          <w:ilvl w:val="0"/>
          <w:numId w:val="2"/>
        </w:numPr>
        <w:tabs>
          <w:tab w:pos="1416" w:val="left" w:leader="none"/>
          <w:tab w:pos="1420" w:val="left" w:leader="none"/>
        </w:tabs>
        <w:spacing w:line="240" w:lineRule="auto" w:before="0" w:after="0"/>
        <w:ind w:left="1420" w:right="977" w:hanging="852"/>
        <w:jc w:val="both"/>
        <w:rPr>
          <w:sz w:val="22"/>
        </w:rPr>
      </w:pPr>
      <w:r>
        <w:rPr>
          <w:sz w:val="22"/>
        </w:rPr>
        <w:t>En consecuencia, sobre el criterio de no discriminación, corresponde señalar que la medida adoptada por la República del Ecuador no se limita exclusivamente a la canalización con la República de Colombia, en la medida en que también ha sido aplicada</w:t>
      </w:r>
      <w:r>
        <w:rPr>
          <w:spacing w:val="-4"/>
          <w:sz w:val="22"/>
        </w:rPr>
        <w:t> </w:t>
      </w:r>
      <w:r>
        <w:rPr>
          <w:sz w:val="22"/>
        </w:rPr>
        <w:t>en</w:t>
      </w:r>
      <w:r>
        <w:rPr>
          <w:spacing w:val="-4"/>
          <w:sz w:val="22"/>
        </w:rPr>
        <w:t> </w:t>
      </w:r>
      <w:r>
        <w:rPr>
          <w:sz w:val="22"/>
        </w:rPr>
        <w:t>otros</w:t>
      </w:r>
      <w:r>
        <w:rPr>
          <w:spacing w:val="-4"/>
          <w:sz w:val="22"/>
        </w:rPr>
        <w:t> </w:t>
      </w:r>
      <w:r>
        <w:rPr>
          <w:sz w:val="22"/>
        </w:rPr>
        <w:t>puntos</w:t>
      </w:r>
      <w:r>
        <w:rPr>
          <w:spacing w:val="-6"/>
          <w:sz w:val="22"/>
        </w:rPr>
        <w:t> </w:t>
      </w:r>
      <w:r>
        <w:rPr>
          <w:sz w:val="22"/>
        </w:rPr>
        <w:t>fronterizos,</w:t>
      </w:r>
      <w:r>
        <w:rPr>
          <w:spacing w:val="-3"/>
          <w:sz w:val="22"/>
        </w:rPr>
        <w:t> </w:t>
      </w:r>
      <w:r>
        <w:rPr>
          <w:sz w:val="22"/>
        </w:rPr>
        <w:t>como</w:t>
      </w:r>
      <w:r>
        <w:rPr>
          <w:spacing w:val="-4"/>
          <w:sz w:val="22"/>
        </w:rPr>
        <w:t> </w:t>
      </w:r>
      <w:r>
        <w:rPr>
          <w:sz w:val="22"/>
        </w:rPr>
        <w:t>el</w:t>
      </w:r>
      <w:r>
        <w:rPr>
          <w:spacing w:val="-5"/>
          <w:sz w:val="22"/>
        </w:rPr>
        <w:t> </w:t>
      </w:r>
      <w:r>
        <w:rPr>
          <w:sz w:val="22"/>
        </w:rPr>
        <w:t>paso</w:t>
      </w:r>
      <w:r>
        <w:rPr>
          <w:spacing w:val="-6"/>
          <w:sz w:val="22"/>
        </w:rPr>
        <w:t> </w:t>
      </w:r>
      <w:r>
        <w:rPr>
          <w:sz w:val="22"/>
        </w:rPr>
        <w:t>de</w:t>
      </w:r>
      <w:r>
        <w:rPr>
          <w:spacing w:val="-2"/>
          <w:sz w:val="22"/>
        </w:rPr>
        <w:t> </w:t>
      </w:r>
      <w:r>
        <w:rPr>
          <w:sz w:val="22"/>
        </w:rPr>
        <w:t>Huaquillas</w:t>
      </w:r>
      <w:hyperlink w:history="true" w:anchor="_bookmark42">
        <w:r>
          <w:rPr>
            <w:sz w:val="22"/>
            <w:vertAlign w:val="superscript"/>
          </w:rPr>
          <w:t>43</w:t>
        </w:r>
      </w:hyperlink>
      <w:r>
        <w:rPr>
          <w:spacing w:val="-4"/>
          <w:sz w:val="22"/>
          <w:vertAlign w:val="baseline"/>
        </w:rPr>
        <w:t> </w:t>
      </w:r>
      <w:r>
        <w:rPr>
          <w:sz w:val="22"/>
          <w:vertAlign w:val="baseline"/>
        </w:rPr>
        <w:t>en</w:t>
      </w:r>
      <w:r>
        <w:rPr>
          <w:spacing w:val="-4"/>
          <w:sz w:val="22"/>
          <w:vertAlign w:val="baseline"/>
        </w:rPr>
        <w:t> </w:t>
      </w:r>
      <w:r>
        <w:rPr>
          <w:sz w:val="22"/>
          <w:vertAlign w:val="baseline"/>
        </w:rPr>
        <w:t>la</w:t>
      </w:r>
      <w:r>
        <w:rPr>
          <w:spacing w:val="-4"/>
          <w:sz w:val="22"/>
          <w:vertAlign w:val="baseline"/>
        </w:rPr>
        <w:t> </w:t>
      </w:r>
      <w:r>
        <w:rPr>
          <w:sz w:val="22"/>
          <w:vertAlign w:val="baseline"/>
        </w:rPr>
        <w:t>frontera</w:t>
      </w:r>
      <w:r>
        <w:rPr>
          <w:spacing w:val="-4"/>
          <w:sz w:val="22"/>
          <w:vertAlign w:val="baseline"/>
        </w:rPr>
        <w:t> </w:t>
      </w:r>
      <w:r>
        <w:rPr>
          <w:sz w:val="22"/>
          <w:vertAlign w:val="baseline"/>
        </w:rPr>
        <w:t>con la República del Perú. En ese sentido, no se advierte, </w:t>
      </w:r>
      <w:r>
        <w:rPr>
          <w:rFonts w:ascii="Arial" w:hAnsi="Arial"/>
          <w:i/>
          <w:sz w:val="22"/>
          <w:vertAlign w:val="baseline"/>
        </w:rPr>
        <w:t>prima facie</w:t>
      </w:r>
      <w:r>
        <w:rPr>
          <w:sz w:val="22"/>
          <w:vertAlign w:val="baseline"/>
        </w:rPr>
        <w:t>, un trato discriminatorio arbitrario o injustificable entre Países Miembros en los términos desarrollados por la jurisprudencia del TJCAN.</w:t>
      </w:r>
    </w:p>
    <w:p>
      <w:pPr>
        <w:pStyle w:val="BodyText"/>
        <w:spacing w:before="2"/>
      </w:pPr>
    </w:p>
    <w:p>
      <w:pPr>
        <w:pStyle w:val="ListParagraph"/>
        <w:numPr>
          <w:ilvl w:val="0"/>
          <w:numId w:val="2"/>
        </w:numPr>
        <w:tabs>
          <w:tab w:pos="1416" w:val="left" w:leader="none"/>
          <w:tab w:pos="1420" w:val="left" w:leader="none"/>
        </w:tabs>
        <w:spacing w:line="240" w:lineRule="auto" w:before="0" w:after="0"/>
        <w:ind w:left="1420" w:right="978" w:hanging="852"/>
        <w:jc w:val="both"/>
        <w:rPr>
          <w:sz w:val="22"/>
        </w:rPr>
      </w:pPr>
      <w:r>
        <w:rPr>
          <w:sz w:val="22"/>
        </w:rPr>
        <w:t>No obstante, el cumplimiento de este criterio no resulta suficiente para justificar la medida</w:t>
      </w:r>
      <w:r>
        <w:rPr>
          <w:spacing w:val="-16"/>
          <w:sz w:val="22"/>
        </w:rPr>
        <w:t> </w:t>
      </w:r>
      <w:r>
        <w:rPr>
          <w:sz w:val="22"/>
        </w:rPr>
        <w:t>en</w:t>
      </w:r>
      <w:r>
        <w:rPr>
          <w:spacing w:val="-15"/>
          <w:sz w:val="22"/>
        </w:rPr>
        <w:t> </w:t>
      </w:r>
      <w:r>
        <w:rPr>
          <w:sz w:val="22"/>
        </w:rPr>
        <w:t>el</w:t>
      </w:r>
      <w:r>
        <w:rPr>
          <w:spacing w:val="-15"/>
          <w:sz w:val="22"/>
        </w:rPr>
        <w:t> </w:t>
      </w:r>
      <w:r>
        <w:rPr>
          <w:sz w:val="22"/>
        </w:rPr>
        <w:t>marco</w:t>
      </w:r>
      <w:r>
        <w:rPr>
          <w:spacing w:val="-16"/>
          <w:sz w:val="22"/>
        </w:rPr>
        <w:t> </w:t>
      </w:r>
      <w:r>
        <w:rPr>
          <w:sz w:val="22"/>
        </w:rPr>
        <w:t>del</w:t>
      </w:r>
      <w:r>
        <w:rPr>
          <w:spacing w:val="-15"/>
          <w:sz w:val="22"/>
        </w:rPr>
        <w:t> </w:t>
      </w:r>
      <w:r>
        <w:rPr>
          <w:sz w:val="22"/>
        </w:rPr>
        <w:t>artículo</w:t>
      </w:r>
      <w:r>
        <w:rPr>
          <w:spacing w:val="-15"/>
          <w:sz w:val="22"/>
        </w:rPr>
        <w:t> </w:t>
      </w:r>
      <w:r>
        <w:rPr>
          <w:sz w:val="22"/>
        </w:rPr>
        <w:t>73</w:t>
      </w:r>
      <w:r>
        <w:rPr>
          <w:spacing w:val="-15"/>
          <w:sz w:val="22"/>
        </w:rPr>
        <w:t> </w:t>
      </w:r>
      <w:r>
        <w:rPr>
          <w:sz w:val="22"/>
        </w:rPr>
        <w:t>del</w:t>
      </w:r>
      <w:r>
        <w:rPr>
          <w:spacing w:val="-16"/>
          <w:sz w:val="22"/>
        </w:rPr>
        <w:t> </w:t>
      </w:r>
      <w:r>
        <w:rPr>
          <w:sz w:val="22"/>
        </w:rPr>
        <w:t>Acuerdo</w:t>
      </w:r>
      <w:r>
        <w:rPr>
          <w:spacing w:val="-15"/>
          <w:sz w:val="22"/>
        </w:rPr>
        <w:t> </w:t>
      </w:r>
      <w:r>
        <w:rPr>
          <w:sz w:val="22"/>
        </w:rPr>
        <w:t>de</w:t>
      </w:r>
      <w:r>
        <w:rPr>
          <w:spacing w:val="-15"/>
          <w:sz w:val="22"/>
        </w:rPr>
        <w:t> </w:t>
      </w:r>
      <w:r>
        <w:rPr>
          <w:sz w:val="22"/>
        </w:rPr>
        <w:t>Cartagena,</w:t>
      </w:r>
      <w:r>
        <w:rPr>
          <w:spacing w:val="-16"/>
          <w:sz w:val="22"/>
        </w:rPr>
        <w:t> </w:t>
      </w:r>
      <w:r>
        <w:rPr>
          <w:sz w:val="22"/>
        </w:rPr>
        <w:t>toda</w:t>
      </w:r>
      <w:r>
        <w:rPr>
          <w:spacing w:val="-15"/>
          <w:sz w:val="22"/>
        </w:rPr>
        <w:t> </w:t>
      </w:r>
      <w:r>
        <w:rPr>
          <w:sz w:val="22"/>
        </w:rPr>
        <w:t>vez</w:t>
      </w:r>
      <w:r>
        <w:rPr>
          <w:spacing w:val="-15"/>
          <w:sz w:val="22"/>
        </w:rPr>
        <w:t> </w:t>
      </w:r>
      <w:r>
        <w:rPr>
          <w:sz w:val="22"/>
        </w:rPr>
        <w:t>que,</w:t>
      </w:r>
      <w:r>
        <w:rPr>
          <w:spacing w:val="-15"/>
          <w:sz w:val="22"/>
        </w:rPr>
        <w:t> </w:t>
      </w:r>
      <w:r>
        <w:rPr>
          <w:sz w:val="22"/>
        </w:rPr>
        <w:t>conforme a la jurisprudencia del TJCAN, los requisitos para la aplicación de una excepción deben cumplirse de manera concurrente. En consecuencia, aun en ausencia de un trato discriminatorio, la medida no puede considerarse justificada si no supera los criterios de finalidad, idoneidad, necesidad y proporcionalidad previamente </w:t>
      </w:r>
      <w:r>
        <w:rPr>
          <w:spacing w:val="-2"/>
          <w:sz w:val="22"/>
        </w:rPr>
        <w:t>analizados.</w:t>
      </w:r>
    </w:p>
    <w:p>
      <w:pPr>
        <w:pStyle w:val="BodyText"/>
      </w:pPr>
    </w:p>
    <w:p>
      <w:pPr>
        <w:pStyle w:val="ListParagraph"/>
        <w:numPr>
          <w:ilvl w:val="0"/>
          <w:numId w:val="2"/>
        </w:numPr>
        <w:tabs>
          <w:tab w:pos="1420" w:val="left" w:leader="none"/>
        </w:tabs>
        <w:spacing w:line="240" w:lineRule="auto" w:before="0" w:after="0"/>
        <w:ind w:left="1420" w:right="0" w:hanging="852"/>
        <w:jc w:val="left"/>
        <w:rPr>
          <w:sz w:val="22"/>
        </w:rPr>
      </w:pPr>
      <w:r>
        <w:rPr>
          <w:sz w:val="22"/>
        </w:rPr>
        <w:t>Que,</w:t>
      </w:r>
      <w:r>
        <w:rPr>
          <w:spacing w:val="-9"/>
          <w:sz w:val="22"/>
        </w:rPr>
        <w:t> </w:t>
      </w:r>
      <w:r>
        <w:rPr>
          <w:sz w:val="22"/>
        </w:rPr>
        <w:t>por</w:t>
      </w:r>
      <w:r>
        <w:rPr>
          <w:spacing w:val="-7"/>
          <w:sz w:val="22"/>
        </w:rPr>
        <w:t> </w:t>
      </w:r>
      <w:r>
        <w:rPr>
          <w:sz w:val="22"/>
        </w:rPr>
        <w:t>lo</w:t>
      </w:r>
      <w:r>
        <w:rPr>
          <w:spacing w:val="-5"/>
          <w:sz w:val="22"/>
        </w:rPr>
        <w:t> </w:t>
      </w:r>
      <w:r>
        <w:rPr>
          <w:sz w:val="22"/>
        </w:rPr>
        <w:t>anteriormente</w:t>
      </w:r>
      <w:r>
        <w:rPr>
          <w:spacing w:val="-6"/>
          <w:sz w:val="22"/>
        </w:rPr>
        <w:t> </w:t>
      </w:r>
      <w:r>
        <w:rPr>
          <w:sz w:val="22"/>
        </w:rPr>
        <w:t>expuesto,</w:t>
      </w:r>
      <w:r>
        <w:rPr>
          <w:spacing w:val="-6"/>
          <w:sz w:val="22"/>
        </w:rPr>
        <w:t> </w:t>
      </w:r>
      <w:r>
        <w:rPr>
          <w:sz w:val="22"/>
        </w:rPr>
        <w:t>la</w:t>
      </w:r>
      <w:r>
        <w:rPr>
          <w:spacing w:val="-6"/>
          <w:sz w:val="22"/>
        </w:rPr>
        <w:t> </w:t>
      </w:r>
      <w:r>
        <w:rPr>
          <w:sz w:val="22"/>
        </w:rPr>
        <w:t>Secretaría</w:t>
      </w:r>
      <w:r>
        <w:rPr>
          <w:spacing w:val="-7"/>
          <w:sz w:val="22"/>
        </w:rPr>
        <w:t> </w:t>
      </w:r>
      <w:r>
        <w:rPr>
          <w:sz w:val="22"/>
        </w:rPr>
        <w:t>General</w:t>
      </w:r>
      <w:r>
        <w:rPr>
          <w:spacing w:val="-7"/>
          <w:sz w:val="22"/>
        </w:rPr>
        <w:t> </w:t>
      </w:r>
      <w:r>
        <w:rPr>
          <w:sz w:val="22"/>
        </w:rPr>
        <w:t>de</w:t>
      </w:r>
      <w:r>
        <w:rPr>
          <w:spacing w:val="-5"/>
          <w:sz w:val="22"/>
        </w:rPr>
        <w:t> </w:t>
      </w:r>
      <w:r>
        <w:rPr>
          <w:sz w:val="22"/>
        </w:rPr>
        <w:t>la</w:t>
      </w:r>
      <w:r>
        <w:rPr>
          <w:spacing w:val="-8"/>
          <w:sz w:val="22"/>
        </w:rPr>
        <w:t> </w:t>
      </w:r>
      <w:r>
        <w:rPr>
          <w:sz w:val="22"/>
        </w:rPr>
        <w:t>Comunidad</w:t>
      </w:r>
      <w:r>
        <w:rPr>
          <w:spacing w:val="-5"/>
          <w:sz w:val="22"/>
        </w:rPr>
        <w:t> </w:t>
      </w:r>
      <w:r>
        <w:rPr>
          <w:spacing w:val="-2"/>
          <w:sz w:val="22"/>
        </w:rPr>
        <w:t>Andina:</w:t>
      </w:r>
    </w:p>
    <w:p>
      <w:pPr>
        <w:pStyle w:val="BodyText"/>
        <w:spacing w:before="15"/>
      </w:pPr>
    </w:p>
    <w:p>
      <w:pPr>
        <w:pStyle w:val="Heading5"/>
        <w:ind w:left="-1" w:right="418"/>
        <w:jc w:val="center"/>
      </w:pPr>
      <w:r>
        <w:rPr>
          <w:spacing w:val="-2"/>
        </w:rPr>
        <w:t>RESUELVE:</w:t>
      </w:r>
    </w:p>
    <w:p>
      <w:pPr>
        <w:pStyle w:val="BodyText"/>
        <w:rPr>
          <w:rFonts w:ascii="Arial"/>
          <w:b/>
        </w:rPr>
      </w:pPr>
    </w:p>
    <w:p>
      <w:pPr>
        <w:pStyle w:val="BodyText"/>
        <w:spacing w:before="1"/>
        <w:ind w:left="568" w:right="975" w:firstLine="283"/>
        <w:jc w:val="both"/>
      </w:pPr>
      <w:r>
        <w:rPr>
          <w:rFonts w:ascii="Arial" w:hAnsi="Arial"/>
          <w:b/>
        </w:rPr>
        <w:t>Artículo 1.- </w:t>
      </w:r>
      <w:r>
        <w:rPr/>
        <w:t>Calificar como restricción al</w:t>
      </w:r>
      <w:r>
        <w:rPr>
          <w:spacing w:val="-1"/>
        </w:rPr>
        <w:t> </w:t>
      </w:r>
      <w:r>
        <w:rPr/>
        <w:t>comercio subregional andino, en los términos del artículo 73 del Acuerdo de Cartagena, la medida adoptada por la República del Ecuador consistente en la habilitación exclusiva del paso internacional de Rumichaca, como único punto de ingreso para las mercancías de procedencia u origen colombiana por vía terrestre.</w:t>
      </w:r>
    </w:p>
    <w:p>
      <w:pPr>
        <w:pStyle w:val="BodyText"/>
        <w:spacing w:before="253"/>
        <w:ind w:left="568" w:right="975" w:firstLine="283"/>
        <w:jc w:val="both"/>
      </w:pPr>
      <w:r>
        <w:rPr>
          <w:rFonts w:ascii="Arial" w:hAnsi="Arial"/>
          <w:b/>
        </w:rPr>
        <w:t>Artículo</w:t>
      </w:r>
      <w:r>
        <w:rPr>
          <w:rFonts w:ascii="Arial" w:hAnsi="Arial"/>
          <w:b/>
          <w:spacing w:val="-11"/>
        </w:rPr>
        <w:t> </w:t>
      </w:r>
      <w:r>
        <w:rPr>
          <w:rFonts w:ascii="Arial" w:hAnsi="Arial"/>
          <w:b/>
        </w:rPr>
        <w:t>2.-</w:t>
      </w:r>
      <w:r>
        <w:rPr>
          <w:rFonts w:ascii="Arial" w:hAnsi="Arial"/>
          <w:b/>
          <w:spacing w:val="-8"/>
        </w:rPr>
        <w:t> </w:t>
      </w:r>
      <w:r>
        <w:rPr/>
        <w:t>Se</w:t>
      </w:r>
      <w:r>
        <w:rPr>
          <w:spacing w:val="-11"/>
        </w:rPr>
        <w:t> </w:t>
      </w:r>
      <w:r>
        <w:rPr/>
        <w:t>concede</w:t>
      </w:r>
      <w:r>
        <w:rPr>
          <w:spacing w:val="-14"/>
        </w:rPr>
        <w:t> </w:t>
      </w:r>
      <w:r>
        <w:rPr/>
        <w:t>a</w:t>
      </w:r>
      <w:r>
        <w:rPr>
          <w:spacing w:val="-9"/>
        </w:rPr>
        <w:t> </w:t>
      </w:r>
      <w:r>
        <w:rPr/>
        <w:t>la</w:t>
      </w:r>
      <w:r>
        <w:rPr>
          <w:spacing w:val="-9"/>
        </w:rPr>
        <w:t> </w:t>
      </w:r>
      <w:r>
        <w:rPr/>
        <w:t>República</w:t>
      </w:r>
      <w:r>
        <w:rPr>
          <w:spacing w:val="-11"/>
        </w:rPr>
        <w:t> </w:t>
      </w:r>
      <w:r>
        <w:rPr/>
        <w:t>del</w:t>
      </w:r>
      <w:r>
        <w:rPr>
          <w:spacing w:val="-10"/>
        </w:rPr>
        <w:t> </w:t>
      </w:r>
      <w:r>
        <w:rPr/>
        <w:t>Ecuador</w:t>
      </w:r>
      <w:r>
        <w:rPr>
          <w:spacing w:val="-8"/>
        </w:rPr>
        <w:t> </w:t>
      </w:r>
      <w:r>
        <w:rPr/>
        <w:t>un</w:t>
      </w:r>
      <w:r>
        <w:rPr>
          <w:spacing w:val="-12"/>
        </w:rPr>
        <w:t> </w:t>
      </w:r>
      <w:r>
        <w:rPr/>
        <w:t>plazo</w:t>
      </w:r>
      <w:r>
        <w:rPr>
          <w:spacing w:val="-12"/>
        </w:rPr>
        <w:t> </w:t>
      </w:r>
      <w:r>
        <w:rPr/>
        <w:t>de</w:t>
      </w:r>
      <w:r>
        <w:rPr>
          <w:spacing w:val="-10"/>
        </w:rPr>
        <w:t> </w:t>
      </w:r>
      <w:r>
        <w:rPr/>
        <w:t>diez</w:t>
      </w:r>
      <w:r>
        <w:rPr>
          <w:spacing w:val="-11"/>
        </w:rPr>
        <w:t> </w:t>
      </w:r>
      <w:r>
        <w:rPr/>
        <w:t>(10)</w:t>
      </w:r>
      <w:r>
        <w:rPr>
          <w:spacing w:val="-10"/>
        </w:rPr>
        <w:t> </w:t>
      </w:r>
      <w:r>
        <w:rPr/>
        <w:t>días</w:t>
      </w:r>
      <w:r>
        <w:rPr>
          <w:spacing w:val="-11"/>
        </w:rPr>
        <w:t> </w:t>
      </w:r>
      <w:r>
        <w:rPr/>
        <w:t>hábiles</w:t>
      </w:r>
      <w:r>
        <w:rPr>
          <w:spacing w:val="-9"/>
        </w:rPr>
        <w:t> </w:t>
      </w:r>
      <w:r>
        <w:rPr/>
        <w:t>para retirar</w:t>
      </w:r>
      <w:r>
        <w:rPr>
          <w:spacing w:val="-6"/>
        </w:rPr>
        <w:t> </w:t>
      </w:r>
      <w:r>
        <w:rPr/>
        <w:t>la</w:t>
      </w:r>
      <w:r>
        <w:rPr>
          <w:spacing w:val="-7"/>
        </w:rPr>
        <w:t> </w:t>
      </w:r>
      <w:r>
        <w:rPr/>
        <w:t>medida</w:t>
      </w:r>
      <w:r>
        <w:rPr>
          <w:spacing w:val="-8"/>
        </w:rPr>
        <w:t> </w:t>
      </w:r>
      <w:r>
        <w:rPr/>
        <w:t>aplicada</w:t>
      </w:r>
      <w:r>
        <w:rPr>
          <w:spacing w:val="-7"/>
        </w:rPr>
        <w:t> </w:t>
      </w:r>
      <w:r>
        <w:rPr/>
        <w:t>e</w:t>
      </w:r>
      <w:r>
        <w:rPr>
          <w:spacing w:val="-6"/>
        </w:rPr>
        <w:t> </w:t>
      </w:r>
      <w:r>
        <w:rPr/>
        <w:t>informar</w:t>
      </w:r>
      <w:r>
        <w:rPr>
          <w:spacing w:val="-6"/>
        </w:rPr>
        <w:t> </w:t>
      </w:r>
      <w:r>
        <w:rPr/>
        <w:t>acerca</w:t>
      </w:r>
      <w:r>
        <w:rPr>
          <w:spacing w:val="-7"/>
        </w:rPr>
        <w:t> </w:t>
      </w:r>
      <w:r>
        <w:rPr/>
        <w:t>del</w:t>
      </w:r>
      <w:r>
        <w:rPr>
          <w:spacing w:val="-8"/>
        </w:rPr>
        <w:t> </w:t>
      </w:r>
      <w:r>
        <w:rPr/>
        <w:t>levantamiento</w:t>
      </w:r>
      <w:r>
        <w:rPr>
          <w:spacing w:val="-7"/>
        </w:rPr>
        <w:t> </w:t>
      </w:r>
      <w:r>
        <w:rPr/>
        <w:t>de</w:t>
      </w:r>
      <w:r>
        <w:rPr>
          <w:spacing w:val="-8"/>
        </w:rPr>
        <w:t> </w:t>
      </w:r>
      <w:r>
        <w:rPr/>
        <w:t>la</w:t>
      </w:r>
      <w:r>
        <w:rPr>
          <w:spacing w:val="-7"/>
        </w:rPr>
        <w:t> </w:t>
      </w:r>
      <w:r>
        <w:rPr/>
        <w:t>medida</w:t>
      </w:r>
      <w:r>
        <w:rPr>
          <w:spacing w:val="-8"/>
        </w:rPr>
        <w:t> </w:t>
      </w:r>
      <w:r>
        <w:rPr/>
        <w:t>identificada</w:t>
      </w:r>
      <w:r>
        <w:rPr>
          <w:spacing w:val="-8"/>
        </w:rPr>
        <w:t> </w:t>
      </w:r>
      <w:r>
        <w:rPr/>
        <w:t>como restricción al comercio en el artículo anterior.</w:t>
      </w:r>
    </w:p>
    <w:p>
      <w:pPr>
        <w:pStyle w:val="BodyText"/>
        <w:rPr>
          <w:sz w:val="20"/>
        </w:rPr>
      </w:pPr>
    </w:p>
    <w:p>
      <w:pPr>
        <w:pStyle w:val="BodyText"/>
        <w:rPr>
          <w:sz w:val="20"/>
        </w:rPr>
      </w:pPr>
      <w:r>
        <w:rPr>
          <w:sz w:val="20"/>
        </w:rPr>
        <mc:AlternateContent>
          <mc:Choice Requires="wps">
            <w:drawing>
              <wp:anchor distT="0" distB="0" distL="0" distR="0" allowOverlap="1" layoutInCell="1" locked="0" behindDoc="1" simplePos="0" relativeHeight="487613952">
                <wp:simplePos x="0" y="0"/>
                <wp:positionH relativeFrom="page">
                  <wp:posOffset>990904</wp:posOffset>
                </wp:positionH>
                <wp:positionV relativeFrom="paragraph">
                  <wp:posOffset>161588</wp:posOffset>
                </wp:positionV>
                <wp:extent cx="1829435" cy="7620"/>
                <wp:effectExtent l="0" t="0" r="0" b="0"/>
                <wp:wrapTopAndBottom/>
                <wp:docPr id="284" name="Graphic 284"/>
                <wp:cNvGraphicFramePr>
                  <a:graphicFrameLocks/>
                </wp:cNvGraphicFramePr>
                <a:graphic>
                  <a:graphicData uri="http://schemas.microsoft.com/office/word/2010/wordprocessingShape">
                    <wps:wsp>
                      <wps:cNvPr id="284" name="Graphic 284"/>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2.723506pt;width:144.020pt;height:.599980pt;mso-position-horizontal-relative:page;mso-position-vertical-relative:paragraph;z-index:-15702528;mso-wrap-distance-left:0;mso-wrap-distance-right:0" id="docshape211" filled="true" fillcolor="#000000" stroked="false">
                <v:fill type="solid"/>
                <w10:wrap type="topAndBottom"/>
              </v:rect>
            </w:pict>
          </mc:Fallback>
        </mc:AlternateContent>
      </w:r>
    </w:p>
    <w:p>
      <w:pPr>
        <w:spacing w:before="89"/>
        <w:ind w:left="568" w:right="0" w:firstLine="0"/>
        <w:jc w:val="left"/>
        <w:rPr>
          <w:sz w:val="18"/>
        </w:rPr>
      </w:pPr>
      <w:bookmarkStart w:name="_bookmark42" w:id="43"/>
      <w:bookmarkEnd w:id="43"/>
      <w:r>
        <w:rPr/>
      </w:r>
      <w:r>
        <w:rPr>
          <w:position w:val="6"/>
          <w:sz w:val="12"/>
        </w:rPr>
        <w:t>43</w:t>
      </w:r>
      <w:r>
        <w:rPr>
          <w:spacing w:val="15"/>
          <w:position w:val="6"/>
          <w:sz w:val="12"/>
        </w:rPr>
        <w:t> </w:t>
      </w:r>
      <w:r>
        <w:rPr>
          <w:sz w:val="18"/>
        </w:rPr>
        <w:t>Véase</w:t>
      </w:r>
      <w:r>
        <w:rPr>
          <w:spacing w:val="-3"/>
          <w:sz w:val="18"/>
        </w:rPr>
        <w:t> </w:t>
      </w:r>
      <w:r>
        <w:rPr>
          <w:sz w:val="18"/>
        </w:rPr>
        <w:t>Folio</w:t>
      </w:r>
      <w:r>
        <w:rPr>
          <w:spacing w:val="-3"/>
          <w:sz w:val="18"/>
        </w:rPr>
        <w:t> </w:t>
      </w:r>
      <w:r>
        <w:rPr>
          <w:sz w:val="18"/>
        </w:rPr>
        <w:t>633</w:t>
      </w:r>
      <w:r>
        <w:rPr>
          <w:spacing w:val="-3"/>
          <w:sz w:val="18"/>
        </w:rPr>
        <w:t> </w:t>
      </w:r>
      <w:r>
        <w:rPr>
          <w:sz w:val="18"/>
        </w:rPr>
        <w:t>del</w:t>
      </w:r>
      <w:r>
        <w:rPr>
          <w:spacing w:val="-3"/>
          <w:sz w:val="18"/>
        </w:rPr>
        <w:t> </w:t>
      </w:r>
      <w:r>
        <w:rPr>
          <w:sz w:val="18"/>
        </w:rPr>
        <w:t>expediente</w:t>
      </w:r>
      <w:r>
        <w:rPr>
          <w:spacing w:val="-1"/>
          <w:sz w:val="18"/>
        </w:rPr>
        <w:t> </w:t>
      </w:r>
      <w:r>
        <w:rPr>
          <w:spacing w:val="-2"/>
          <w:sz w:val="18"/>
        </w:rPr>
        <w:t>DGCOM/REST/001/2026</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285" name="Group 285"/>
                <wp:cNvGraphicFramePr>
                  <a:graphicFrameLocks/>
                </wp:cNvGraphicFramePr>
                <a:graphic>
                  <a:graphicData uri="http://schemas.microsoft.com/office/word/2010/wordprocessingGroup">
                    <wpg:wgp>
                      <wpg:cNvPr id="285" name="Group 285"/>
                      <wpg:cNvGrpSpPr/>
                      <wpg:grpSpPr>
                        <a:xfrm>
                          <a:off x="0" y="0"/>
                          <a:ext cx="6131560" cy="9525"/>
                          <a:chExt cx="6131560" cy="9525"/>
                        </a:xfrm>
                      </wpg:grpSpPr>
                      <wps:wsp>
                        <wps:cNvPr id="286" name="Graphic 286"/>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12"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780" w:left="992" w:right="283"/>
        </w:sectPr>
      </w:pPr>
    </w:p>
    <w:p>
      <w:pPr>
        <w:pStyle w:val="BodyText"/>
        <w:spacing w:before="176"/>
      </w:pPr>
    </w:p>
    <w:p>
      <w:pPr>
        <w:pStyle w:val="BodyText"/>
        <w:ind w:left="568" w:right="975" w:firstLine="283"/>
        <w:jc w:val="both"/>
      </w:pPr>
      <w:r>
        <w:rPr>
          <w:rFonts w:ascii="Arial" w:hAnsi="Arial"/>
          <w:b/>
        </w:rPr>
        <w:t>Artículo</w:t>
      </w:r>
      <w:r>
        <w:rPr>
          <w:rFonts w:ascii="Arial" w:hAnsi="Arial"/>
          <w:b/>
          <w:spacing w:val="-4"/>
        </w:rPr>
        <w:t> </w:t>
      </w:r>
      <w:r>
        <w:rPr>
          <w:rFonts w:ascii="Arial" w:hAnsi="Arial"/>
          <w:b/>
        </w:rPr>
        <w:t>3.-</w:t>
      </w:r>
      <w:r>
        <w:rPr>
          <w:rFonts w:ascii="Arial" w:hAnsi="Arial"/>
          <w:b/>
          <w:spacing w:val="-3"/>
        </w:rPr>
        <w:t> </w:t>
      </w:r>
      <w:r>
        <w:rPr/>
        <w:t>Exhortar</w:t>
      </w:r>
      <w:r>
        <w:rPr>
          <w:spacing w:val="-3"/>
        </w:rPr>
        <w:t> </w:t>
      </w:r>
      <w:r>
        <w:rPr/>
        <w:t>a</w:t>
      </w:r>
      <w:r>
        <w:rPr>
          <w:spacing w:val="-6"/>
        </w:rPr>
        <w:t> </w:t>
      </w:r>
      <w:r>
        <w:rPr/>
        <w:t>la</w:t>
      </w:r>
      <w:r>
        <w:rPr>
          <w:spacing w:val="-4"/>
        </w:rPr>
        <w:t> </w:t>
      </w:r>
      <w:r>
        <w:rPr/>
        <w:t>República</w:t>
      </w:r>
      <w:r>
        <w:rPr>
          <w:spacing w:val="-4"/>
        </w:rPr>
        <w:t> </w:t>
      </w:r>
      <w:r>
        <w:rPr/>
        <w:t>del</w:t>
      </w:r>
      <w:r>
        <w:rPr>
          <w:spacing w:val="-5"/>
        </w:rPr>
        <w:t> </w:t>
      </w:r>
      <w:r>
        <w:rPr/>
        <w:t>Ecuador</w:t>
      </w:r>
      <w:r>
        <w:rPr>
          <w:spacing w:val="-3"/>
        </w:rPr>
        <w:t> </w:t>
      </w:r>
      <w:r>
        <w:rPr/>
        <w:t>y</w:t>
      </w:r>
      <w:r>
        <w:rPr>
          <w:spacing w:val="-6"/>
        </w:rPr>
        <w:t> </w:t>
      </w:r>
      <w:r>
        <w:rPr/>
        <w:t>a</w:t>
      </w:r>
      <w:r>
        <w:rPr>
          <w:spacing w:val="-4"/>
        </w:rPr>
        <w:t> </w:t>
      </w:r>
      <w:r>
        <w:rPr/>
        <w:t>la</w:t>
      </w:r>
      <w:r>
        <w:rPr>
          <w:spacing w:val="-4"/>
        </w:rPr>
        <w:t> </w:t>
      </w:r>
      <w:r>
        <w:rPr/>
        <w:t>República</w:t>
      </w:r>
      <w:r>
        <w:rPr>
          <w:spacing w:val="-4"/>
        </w:rPr>
        <w:t> </w:t>
      </w:r>
      <w:r>
        <w:rPr/>
        <w:t>de</w:t>
      </w:r>
      <w:r>
        <w:rPr>
          <w:spacing w:val="-4"/>
        </w:rPr>
        <w:t> </w:t>
      </w:r>
      <w:r>
        <w:rPr/>
        <w:t>Colombia</w:t>
      </w:r>
      <w:r>
        <w:rPr>
          <w:spacing w:val="-4"/>
        </w:rPr>
        <w:t> </w:t>
      </w:r>
      <w:r>
        <w:rPr/>
        <w:t>a</w:t>
      </w:r>
      <w:r>
        <w:rPr>
          <w:spacing w:val="-4"/>
        </w:rPr>
        <w:t> </w:t>
      </w:r>
      <w:r>
        <w:rPr/>
        <w:t>fortalecer los mecanismos de cooperación y coordinación bilateral en materia de control fronterizo, en el marco de la normativa andina vigente, en particular la Decisión 922, a fin de atender las problemáticas de seguridad identificadas en las zonas de frontera mediante acciones conjuntas, sin afectar el normal desarrollo del comercio subregional.</w:t>
      </w:r>
    </w:p>
    <w:p>
      <w:pPr>
        <w:pStyle w:val="BodyText"/>
        <w:spacing w:before="1"/>
      </w:pPr>
    </w:p>
    <w:p>
      <w:pPr>
        <w:pStyle w:val="BodyText"/>
        <w:spacing w:before="1"/>
        <w:ind w:left="568" w:right="979" w:firstLine="283"/>
        <w:jc w:val="both"/>
      </w:pPr>
      <w:r>
        <w:rPr/>
        <w:t>Comuníquese</w:t>
      </w:r>
      <w:r>
        <w:rPr>
          <w:spacing w:val="-7"/>
        </w:rPr>
        <w:t> </w:t>
      </w:r>
      <w:r>
        <w:rPr/>
        <w:t>a</w:t>
      </w:r>
      <w:r>
        <w:rPr>
          <w:spacing w:val="-7"/>
        </w:rPr>
        <w:t> </w:t>
      </w:r>
      <w:r>
        <w:rPr/>
        <w:t>los</w:t>
      </w:r>
      <w:r>
        <w:rPr>
          <w:spacing w:val="-7"/>
        </w:rPr>
        <w:t> </w:t>
      </w:r>
      <w:r>
        <w:rPr/>
        <w:t>Países</w:t>
      </w:r>
      <w:r>
        <w:rPr>
          <w:spacing w:val="-7"/>
        </w:rPr>
        <w:t> </w:t>
      </w:r>
      <w:r>
        <w:rPr/>
        <w:t>Miembros</w:t>
      </w:r>
      <w:r>
        <w:rPr>
          <w:spacing w:val="-5"/>
        </w:rPr>
        <w:t> </w:t>
      </w:r>
      <w:r>
        <w:rPr/>
        <w:t>la</w:t>
      </w:r>
      <w:r>
        <w:rPr>
          <w:spacing w:val="-7"/>
        </w:rPr>
        <w:t> </w:t>
      </w:r>
      <w:r>
        <w:rPr/>
        <w:t>presente</w:t>
      </w:r>
      <w:r>
        <w:rPr>
          <w:spacing w:val="-7"/>
        </w:rPr>
        <w:t> </w:t>
      </w:r>
      <w:r>
        <w:rPr/>
        <w:t>Resolución,</w:t>
      </w:r>
      <w:r>
        <w:rPr>
          <w:spacing w:val="-6"/>
        </w:rPr>
        <w:t> </w:t>
      </w:r>
      <w:r>
        <w:rPr/>
        <w:t>la</w:t>
      </w:r>
      <w:r>
        <w:rPr>
          <w:spacing w:val="-5"/>
        </w:rPr>
        <w:t> </w:t>
      </w:r>
      <w:r>
        <w:rPr/>
        <w:t>cual</w:t>
      </w:r>
      <w:r>
        <w:rPr>
          <w:spacing w:val="-7"/>
        </w:rPr>
        <w:t> </w:t>
      </w:r>
      <w:r>
        <w:rPr/>
        <w:t>entrará</w:t>
      </w:r>
      <w:r>
        <w:rPr>
          <w:spacing w:val="-5"/>
        </w:rPr>
        <w:t> </w:t>
      </w:r>
      <w:r>
        <w:rPr/>
        <w:t>en</w:t>
      </w:r>
      <w:r>
        <w:rPr>
          <w:spacing w:val="-7"/>
        </w:rPr>
        <w:t> </w:t>
      </w:r>
      <w:r>
        <w:rPr/>
        <w:t>vigencia</w:t>
      </w:r>
      <w:r>
        <w:rPr>
          <w:spacing w:val="-7"/>
        </w:rPr>
        <w:t> </w:t>
      </w:r>
      <w:r>
        <w:rPr/>
        <w:t>a partir de su publicación en la Gaceta Oficial del Acuerdo de Cartagena.</w:t>
      </w:r>
    </w:p>
    <w:p>
      <w:pPr>
        <w:pStyle w:val="BodyText"/>
        <w:spacing w:before="252"/>
        <w:ind w:left="568" w:right="986" w:firstLine="283"/>
        <w:jc w:val="both"/>
      </w:pPr>
      <w:r>
        <w:rPr/>
        <w:t>Dada en la ciudad de Lima, Perú, a los siete días del mes de mayo del año dos mil </w:t>
      </w:r>
      <w:r>
        <w:rPr>
          <w:spacing w:val="-2"/>
        </w:rPr>
        <w:t>veintiséis.</w:t>
      </w:r>
    </w:p>
    <w:p>
      <w:pPr>
        <w:pStyle w:val="BodyText"/>
      </w:pPr>
    </w:p>
    <w:p>
      <w:pPr>
        <w:pStyle w:val="BodyText"/>
      </w:pPr>
    </w:p>
    <w:p>
      <w:pPr>
        <w:pStyle w:val="BodyText"/>
      </w:pPr>
    </w:p>
    <w:p>
      <w:pPr>
        <w:pStyle w:val="BodyText"/>
        <w:spacing w:before="1"/>
        <w:ind w:left="3383" w:right="3797"/>
        <w:jc w:val="center"/>
      </w:pPr>
      <w:r>
        <w:rPr/>
        <w:t>Gonzalo</w:t>
      </w:r>
      <w:r>
        <w:rPr>
          <w:spacing w:val="-16"/>
        </w:rPr>
        <w:t> </w:t>
      </w:r>
      <w:r>
        <w:rPr/>
        <w:t>Gutiérrez</w:t>
      </w:r>
      <w:r>
        <w:rPr>
          <w:spacing w:val="-15"/>
        </w:rPr>
        <w:t> </w:t>
      </w:r>
      <w:r>
        <w:rPr/>
        <w:t>Reinel </w:t>
      </w:r>
      <w:r>
        <w:rPr>
          <w:spacing w:val="-2"/>
        </w:rPr>
        <w:t>Embajador</w:t>
      </w:r>
    </w:p>
    <w:p>
      <w:pPr>
        <w:pStyle w:val="BodyText"/>
        <w:ind w:left="-1" w:right="411"/>
        <w:jc w:val="center"/>
      </w:pPr>
      <w:r>
        <w:rPr/>
        <w:t>Secretario</w:t>
      </w:r>
      <w:r>
        <w:rPr>
          <w:spacing w:val="-6"/>
        </w:rPr>
        <w:t> </w:t>
      </w:r>
      <w:r>
        <w:rPr>
          <w:spacing w:val="-2"/>
        </w:rPr>
        <w:t>General</w:t>
      </w:r>
    </w:p>
    <w:p>
      <w:pPr>
        <w:pStyle w:val="BodyText"/>
        <w:spacing w:before="180"/>
        <w:rPr>
          <w:sz w:val="20"/>
        </w:rPr>
      </w:pPr>
      <w:r>
        <w:rPr>
          <w:sz w:val="20"/>
        </w:rPr>
        <mc:AlternateContent>
          <mc:Choice Requires="wps">
            <w:drawing>
              <wp:anchor distT="0" distB="0" distL="0" distR="0" allowOverlap="1" layoutInCell="1" locked="0" behindDoc="1" simplePos="0" relativeHeight="487614976">
                <wp:simplePos x="0" y="0"/>
                <wp:positionH relativeFrom="page">
                  <wp:posOffset>966469</wp:posOffset>
                </wp:positionH>
                <wp:positionV relativeFrom="paragraph">
                  <wp:posOffset>276012</wp:posOffset>
                </wp:positionV>
                <wp:extent cx="5788025" cy="1270"/>
                <wp:effectExtent l="0" t="0" r="0" b="0"/>
                <wp:wrapTopAndBottom/>
                <wp:docPr id="287" name="Graphic 287"/>
                <wp:cNvGraphicFramePr>
                  <a:graphicFrameLocks/>
                </wp:cNvGraphicFramePr>
                <a:graphic>
                  <a:graphicData uri="http://schemas.microsoft.com/office/word/2010/wordprocessingShape">
                    <wps:wsp>
                      <wps:cNvPr id="287" name="Graphic 287"/>
                      <wps:cNvSpPr/>
                      <wps:spPr>
                        <a:xfrm>
                          <a:off x="0" y="0"/>
                          <a:ext cx="5788025" cy="1270"/>
                        </a:xfrm>
                        <a:custGeom>
                          <a:avLst/>
                          <a:gdLst/>
                          <a:ahLst/>
                          <a:cxnLst/>
                          <a:rect l="l" t="t" r="r" b="b"/>
                          <a:pathLst>
                            <a:path w="5788025" h="0">
                              <a:moveTo>
                                <a:pt x="0" y="0"/>
                              </a:moveTo>
                              <a:lnTo>
                                <a:pt x="5788025"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6.099998pt;margin-top:21.733261pt;width:455.75pt;height:.1pt;mso-position-horizontal-relative:page;mso-position-vertical-relative:paragraph;z-index:-15701504;mso-wrap-distance-left:0;mso-wrap-distance-right:0" id="docshape213" coordorigin="1522,435" coordsize="9115,0" path="m1522,435l10637,435e" filled="false" stroked="true" strokeweight=".5pt" strokecolor="#000000">
                <v:path arrowok="t"/>
                <v:stroke dashstyle="solid"/>
                <w10:wrap type="topAndBottom"/>
              </v:shape>
            </w:pict>
          </mc:Fallback>
        </mc:AlternateContent>
      </w:r>
    </w:p>
    <w:p>
      <w:pPr>
        <w:pStyle w:val="BodyText"/>
        <w:spacing w:before="43"/>
      </w:pPr>
    </w:p>
    <w:p>
      <w:pPr>
        <w:spacing w:before="0"/>
        <w:ind w:left="-1" w:right="411" w:firstLine="0"/>
        <w:jc w:val="center"/>
        <w:rPr>
          <w:rFonts w:ascii="Arial" w:hAnsi="Arial"/>
          <w:b/>
          <w:sz w:val="22"/>
        </w:rPr>
      </w:pPr>
      <w:r>
        <w:rPr>
          <w:rFonts w:ascii="Arial" w:hAnsi="Arial"/>
          <w:b/>
          <w:sz w:val="22"/>
        </w:rPr>
        <w:t>RESOLUCIÓN</w:t>
      </w:r>
      <w:r>
        <w:rPr>
          <w:rFonts w:ascii="Arial" w:hAnsi="Arial"/>
          <w:b/>
          <w:spacing w:val="-8"/>
          <w:sz w:val="22"/>
        </w:rPr>
        <w:t> </w:t>
      </w:r>
      <w:r>
        <w:rPr>
          <w:rFonts w:ascii="Arial" w:hAnsi="Arial"/>
          <w:b/>
          <w:sz w:val="22"/>
        </w:rPr>
        <w:t>N°</w:t>
      </w:r>
      <w:r>
        <w:rPr>
          <w:rFonts w:ascii="Arial" w:hAnsi="Arial"/>
          <w:b/>
          <w:spacing w:val="-6"/>
          <w:sz w:val="22"/>
        </w:rPr>
        <w:t> </w:t>
      </w:r>
      <w:r>
        <w:rPr>
          <w:rFonts w:ascii="Arial" w:hAnsi="Arial"/>
          <w:b/>
          <w:spacing w:val="-4"/>
          <w:sz w:val="22"/>
        </w:rPr>
        <w:t>2582</w:t>
      </w:r>
    </w:p>
    <w:p>
      <w:pPr>
        <w:pStyle w:val="Heading6"/>
        <w:spacing w:before="114"/>
        <w:ind w:left="652" w:right="1067"/>
        <w:jc w:val="center"/>
      </w:pPr>
      <w:r>
        <w:rPr/>
        <w:t>Resuelve</w:t>
      </w:r>
      <w:r>
        <w:rPr>
          <w:spacing w:val="-2"/>
        </w:rPr>
        <w:t> </w:t>
      </w:r>
      <w:r>
        <w:rPr/>
        <w:t>la</w:t>
      </w:r>
      <w:r>
        <w:rPr>
          <w:spacing w:val="-4"/>
        </w:rPr>
        <w:t> </w:t>
      </w:r>
      <w:r>
        <w:rPr/>
        <w:t>solicitud</w:t>
      </w:r>
      <w:r>
        <w:rPr>
          <w:spacing w:val="-5"/>
        </w:rPr>
        <w:t> </w:t>
      </w:r>
      <w:r>
        <w:rPr/>
        <w:t>de</w:t>
      </w:r>
      <w:r>
        <w:rPr>
          <w:spacing w:val="-2"/>
        </w:rPr>
        <w:t> </w:t>
      </w:r>
      <w:r>
        <w:rPr/>
        <w:t>la</w:t>
      </w:r>
      <w:r>
        <w:rPr>
          <w:spacing w:val="-4"/>
        </w:rPr>
        <w:t> </w:t>
      </w:r>
      <w:r>
        <w:rPr/>
        <w:t>República</w:t>
      </w:r>
      <w:r>
        <w:rPr>
          <w:spacing w:val="-2"/>
        </w:rPr>
        <w:t> </w:t>
      </w:r>
      <w:r>
        <w:rPr/>
        <w:t>de</w:t>
      </w:r>
      <w:r>
        <w:rPr>
          <w:spacing w:val="-5"/>
        </w:rPr>
        <w:t> </w:t>
      </w:r>
      <w:r>
        <w:rPr/>
        <w:t>Colombia</w:t>
      </w:r>
      <w:r>
        <w:rPr>
          <w:spacing w:val="-4"/>
        </w:rPr>
        <w:t> </w:t>
      </w:r>
      <w:r>
        <w:rPr/>
        <w:t>sobre</w:t>
      </w:r>
      <w:r>
        <w:rPr>
          <w:spacing w:val="-2"/>
        </w:rPr>
        <w:t> </w:t>
      </w:r>
      <w:r>
        <w:rPr/>
        <w:t>calificación</w:t>
      </w:r>
      <w:r>
        <w:rPr>
          <w:spacing w:val="-4"/>
        </w:rPr>
        <w:t> </w:t>
      </w:r>
      <w:r>
        <w:rPr/>
        <w:t>como</w:t>
      </w:r>
      <w:r>
        <w:rPr>
          <w:spacing w:val="-4"/>
        </w:rPr>
        <w:t> </w:t>
      </w:r>
      <w:r>
        <w:rPr/>
        <w:t>gravamen de la tasa por servicio aduanero por concepto de control aduanero impuesta por la República del Ecuador a las mercancías que provengan o sean originarias de la República de Colombia.</w:t>
      </w:r>
    </w:p>
    <w:p>
      <w:pPr>
        <w:pStyle w:val="BodyText"/>
        <w:spacing w:before="2"/>
        <w:rPr>
          <w:rFonts w:ascii="Arial"/>
          <w:b/>
          <w:sz w:val="20"/>
        </w:rPr>
      </w:pPr>
      <w:r>
        <w:rPr>
          <w:rFonts w:ascii="Arial"/>
          <w:b/>
          <w:sz w:val="20"/>
        </w:rPr>
        <mc:AlternateContent>
          <mc:Choice Requires="wps">
            <w:drawing>
              <wp:anchor distT="0" distB="0" distL="0" distR="0" allowOverlap="1" layoutInCell="1" locked="0" behindDoc="1" simplePos="0" relativeHeight="487615488">
                <wp:simplePos x="0" y="0"/>
                <wp:positionH relativeFrom="page">
                  <wp:posOffset>972616</wp:posOffset>
                </wp:positionH>
                <wp:positionV relativeFrom="paragraph">
                  <wp:posOffset>162769</wp:posOffset>
                </wp:positionV>
                <wp:extent cx="5798820" cy="6350"/>
                <wp:effectExtent l="0" t="0" r="0" b="0"/>
                <wp:wrapTopAndBottom/>
                <wp:docPr id="288" name="Graphic 288"/>
                <wp:cNvGraphicFramePr>
                  <a:graphicFrameLocks/>
                </wp:cNvGraphicFramePr>
                <a:graphic>
                  <a:graphicData uri="http://schemas.microsoft.com/office/word/2010/wordprocessingShape">
                    <wps:wsp>
                      <wps:cNvPr id="288" name="Graphic 288"/>
                      <wps:cNvSpPr/>
                      <wps:spPr>
                        <a:xfrm>
                          <a:off x="0" y="0"/>
                          <a:ext cx="5798820" cy="6350"/>
                        </a:xfrm>
                        <a:custGeom>
                          <a:avLst/>
                          <a:gdLst/>
                          <a:ahLst/>
                          <a:cxnLst/>
                          <a:rect l="l" t="t" r="r" b="b"/>
                          <a:pathLst>
                            <a:path w="5798820" h="6350">
                              <a:moveTo>
                                <a:pt x="5798566" y="0"/>
                              </a:moveTo>
                              <a:lnTo>
                                <a:pt x="0" y="0"/>
                              </a:lnTo>
                              <a:lnTo>
                                <a:pt x="0" y="6095"/>
                              </a:lnTo>
                              <a:lnTo>
                                <a:pt x="5798566" y="6095"/>
                              </a:lnTo>
                              <a:lnTo>
                                <a:pt x="579856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6.584pt;margin-top:12.816465pt;width:456.58pt;height:.47998pt;mso-position-horizontal-relative:page;mso-position-vertical-relative:paragraph;z-index:-15700992;mso-wrap-distance-left:0;mso-wrap-distance-right:0" id="docshape214" filled="true" fillcolor="#000000" stroked="false">
                <v:fill type="solid"/>
                <w10:wrap type="topAndBottom"/>
              </v:rect>
            </w:pict>
          </mc:Fallback>
        </mc:AlternateContent>
      </w:r>
    </w:p>
    <w:p>
      <w:pPr>
        <w:pStyle w:val="Heading5"/>
        <w:spacing w:before="230"/>
        <w:ind w:left="630"/>
      </w:pPr>
      <w:r>
        <w:rPr/>
        <w:t>LA</w:t>
      </w:r>
      <w:r>
        <w:rPr>
          <w:spacing w:val="-9"/>
        </w:rPr>
        <w:t> </w:t>
      </w:r>
      <w:r>
        <w:rPr/>
        <w:t>SECRETARÍA</w:t>
      </w:r>
      <w:r>
        <w:rPr>
          <w:spacing w:val="-6"/>
        </w:rPr>
        <w:t> </w:t>
      </w:r>
      <w:r>
        <w:rPr/>
        <w:t>GENERAL</w:t>
      </w:r>
      <w:r>
        <w:rPr>
          <w:spacing w:val="-7"/>
        </w:rPr>
        <w:t> </w:t>
      </w:r>
      <w:r>
        <w:rPr/>
        <w:t>DE</w:t>
      </w:r>
      <w:r>
        <w:rPr>
          <w:spacing w:val="-6"/>
        </w:rPr>
        <w:t> </w:t>
      </w:r>
      <w:r>
        <w:rPr/>
        <w:t>LA</w:t>
      </w:r>
      <w:r>
        <w:rPr>
          <w:spacing w:val="-5"/>
        </w:rPr>
        <w:t> </w:t>
      </w:r>
      <w:r>
        <w:rPr/>
        <w:t>COMUNIDAD</w:t>
      </w:r>
      <w:r>
        <w:rPr>
          <w:spacing w:val="-8"/>
        </w:rPr>
        <w:t> </w:t>
      </w:r>
      <w:r>
        <w:rPr>
          <w:spacing w:val="-2"/>
        </w:rPr>
        <w:t>ANDINA,</w:t>
      </w:r>
    </w:p>
    <w:p>
      <w:pPr>
        <w:pStyle w:val="BodyText"/>
        <w:rPr>
          <w:rFonts w:ascii="Arial"/>
          <w:b/>
        </w:rPr>
      </w:pPr>
    </w:p>
    <w:p>
      <w:pPr>
        <w:pStyle w:val="BodyText"/>
        <w:spacing w:before="1"/>
        <w:ind w:left="568" w:right="892"/>
        <w:jc w:val="both"/>
      </w:pPr>
      <w:r>
        <w:rPr>
          <w:rFonts w:ascii="Arial" w:hAnsi="Arial"/>
          <w:b/>
        </w:rPr>
        <w:t>VISTOS:</w:t>
      </w:r>
      <w:r>
        <w:rPr>
          <w:rFonts w:ascii="Arial" w:hAnsi="Arial"/>
          <w:b/>
          <w:spacing w:val="-1"/>
        </w:rPr>
        <w:t> </w:t>
      </w:r>
      <w:r>
        <w:rPr/>
        <w:t>Los</w:t>
      </w:r>
      <w:r>
        <w:rPr>
          <w:spacing w:val="-2"/>
        </w:rPr>
        <w:t> </w:t>
      </w:r>
      <w:r>
        <w:rPr/>
        <w:t>artículos</w:t>
      </w:r>
      <w:r>
        <w:rPr>
          <w:spacing w:val="-2"/>
        </w:rPr>
        <w:t> </w:t>
      </w:r>
      <w:r>
        <w:rPr/>
        <w:t>72,</w:t>
      </w:r>
      <w:r>
        <w:rPr>
          <w:spacing w:val="-1"/>
        </w:rPr>
        <w:t> </w:t>
      </w:r>
      <w:r>
        <w:rPr/>
        <w:t>73, 74, 76</w:t>
      </w:r>
      <w:r>
        <w:rPr>
          <w:spacing w:val="-2"/>
        </w:rPr>
        <w:t> </w:t>
      </w:r>
      <w:r>
        <w:rPr/>
        <w:t>y</w:t>
      </w:r>
      <w:r>
        <w:rPr>
          <w:spacing w:val="-2"/>
        </w:rPr>
        <w:t> </w:t>
      </w:r>
      <w:r>
        <w:rPr/>
        <w:t>77</w:t>
      </w:r>
      <w:r>
        <w:rPr>
          <w:spacing w:val="-2"/>
        </w:rPr>
        <w:t> </w:t>
      </w:r>
      <w:r>
        <w:rPr/>
        <w:t>del Acuerdo</w:t>
      </w:r>
      <w:r>
        <w:rPr>
          <w:spacing w:val="-2"/>
        </w:rPr>
        <w:t> </w:t>
      </w:r>
      <w:r>
        <w:rPr/>
        <w:t>de</w:t>
      </w:r>
      <w:r>
        <w:rPr>
          <w:spacing w:val="-2"/>
        </w:rPr>
        <w:t> </w:t>
      </w:r>
      <w:r>
        <w:rPr/>
        <w:t>Cartagena; el</w:t>
      </w:r>
      <w:r>
        <w:rPr>
          <w:spacing w:val="-3"/>
        </w:rPr>
        <w:t> </w:t>
      </w:r>
      <w:r>
        <w:rPr/>
        <w:t>artículo 4</w:t>
      </w:r>
      <w:r>
        <w:rPr>
          <w:spacing w:val="-2"/>
        </w:rPr>
        <w:t> </w:t>
      </w:r>
      <w:r>
        <w:rPr/>
        <w:t>del</w:t>
      </w:r>
      <w:r>
        <w:rPr>
          <w:spacing w:val="-2"/>
        </w:rPr>
        <w:t> </w:t>
      </w:r>
      <w:r>
        <w:rPr/>
        <w:t>Tratado de Creación del Tribunal</w:t>
      </w:r>
      <w:r>
        <w:rPr>
          <w:spacing w:val="-1"/>
        </w:rPr>
        <w:t> </w:t>
      </w:r>
      <w:r>
        <w:rPr/>
        <w:t>de Justicia de la Comunidad Andina; la Decisión 425 de la Comisión de la Comunidad Andina; y,</w:t>
      </w:r>
    </w:p>
    <w:p>
      <w:pPr>
        <w:pStyle w:val="Heading5"/>
        <w:spacing w:before="251"/>
        <w:ind w:left="568"/>
      </w:pPr>
      <w:r>
        <w:rPr>
          <w:spacing w:val="-2"/>
        </w:rPr>
        <w:t>CONSIDERANDO:</w:t>
      </w:r>
    </w:p>
    <w:p>
      <w:pPr>
        <w:pStyle w:val="BodyText"/>
        <w:rPr>
          <w:rFonts w:ascii="Arial"/>
          <w:b/>
        </w:rPr>
      </w:pPr>
    </w:p>
    <w:p>
      <w:pPr>
        <w:pStyle w:val="ListParagraph"/>
        <w:numPr>
          <w:ilvl w:val="0"/>
          <w:numId w:val="10"/>
        </w:numPr>
        <w:tabs>
          <w:tab w:pos="850" w:val="left" w:leader="none"/>
        </w:tabs>
        <w:spacing w:line="240" w:lineRule="auto" w:before="0" w:after="0"/>
        <w:ind w:left="850" w:right="0" w:hanging="282"/>
        <w:jc w:val="left"/>
        <w:rPr>
          <w:rFonts w:ascii="Arial"/>
          <w:b/>
          <w:sz w:val="22"/>
        </w:rPr>
      </w:pPr>
      <w:r>
        <w:rPr>
          <w:rFonts w:ascii="Arial"/>
          <w:b/>
          <w:spacing w:val="-2"/>
          <w:sz w:val="22"/>
        </w:rPr>
        <w:t>ANTECEDENTES</w:t>
      </w:r>
    </w:p>
    <w:p>
      <w:pPr>
        <w:pStyle w:val="BodyText"/>
        <w:spacing w:before="241"/>
        <w:rPr>
          <w:rFonts w:ascii="Arial"/>
          <w:b/>
        </w:rPr>
      </w:pPr>
    </w:p>
    <w:p>
      <w:pPr>
        <w:pStyle w:val="ListParagraph"/>
        <w:numPr>
          <w:ilvl w:val="0"/>
          <w:numId w:val="11"/>
        </w:numPr>
        <w:tabs>
          <w:tab w:pos="1285" w:val="left" w:leader="none"/>
          <w:tab w:pos="1288" w:val="left" w:leader="none"/>
        </w:tabs>
        <w:spacing w:line="240" w:lineRule="auto" w:before="1" w:after="0"/>
        <w:ind w:left="1288" w:right="976" w:hanging="360"/>
        <w:jc w:val="both"/>
        <w:rPr>
          <w:sz w:val="22"/>
        </w:rPr>
      </w:pPr>
      <w:r>
        <w:rPr>
          <w:sz w:val="22"/>
        </w:rPr>
        <w:t>El 9 de febrero de 2026 la República de Colombia mediante Radicado No. 2-2026-003207, presentó ante la Secretaría General de la Comunidad Andina (en adelante, </w:t>
      </w:r>
      <w:r>
        <w:rPr>
          <w:rFonts w:ascii="Arial" w:hAnsi="Arial"/>
          <w:b/>
          <w:sz w:val="22"/>
        </w:rPr>
        <w:t>SGCAN)</w:t>
      </w:r>
      <w:r>
        <w:rPr>
          <w:sz w:val="22"/>
        </w:rPr>
        <w:t>,</w:t>
      </w:r>
      <w:r>
        <w:rPr>
          <w:spacing w:val="-16"/>
          <w:sz w:val="22"/>
        </w:rPr>
        <w:t> </w:t>
      </w:r>
      <w:r>
        <w:rPr>
          <w:sz w:val="22"/>
        </w:rPr>
        <w:t>una</w:t>
      </w:r>
      <w:r>
        <w:rPr>
          <w:spacing w:val="-15"/>
          <w:sz w:val="22"/>
        </w:rPr>
        <w:t> </w:t>
      </w:r>
      <w:r>
        <w:rPr>
          <w:sz w:val="22"/>
        </w:rPr>
        <w:t>solicitud</w:t>
      </w:r>
      <w:r>
        <w:rPr>
          <w:spacing w:val="-15"/>
          <w:sz w:val="22"/>
        </w:rPr>
        <w:t> </w:t>
      </w:r>
      <w:r>
        <w:rPr>
          <w:sz w:val="22"/>
        </w:rPr>
        <w:t>de</w:t>
      </w:r>
      <w:r>
        <w:rPr>
          <w:spacing w:val="-16"/>
          <w:sz w:val="22"/>
        </w:rPr>
        <w:t> </w:t>
      </w:r>
      <w:r>
        <w:rPr>
          <w:sz w:val="22"/>
        </w:rPr>
        <w:t>calificación</w:t>
      </w:r>
      <w:r>
        <w:rPr>
          <w:spacing w:val="-15"/>
          <w:sz w:val="22"/>
        </w:rPr>
        <w:t> </w:t>
      </w:r>
      <w:r>
        <w:rPr>
          <w:sz w:val="22"/>
        </w:rPr>
        <w:t>como</w:t>
      </w:r>
      <w:r>
        <w:rPr>
          <w:spacing w:val="-15"/>
          <w:sz w:val="22"/>
        </w:rPr>
        <w:t> </w:t>
      </w:r>
      <w:r>
        <w:rPr>
          <w:sz w:val="22"/>
        </w:rPr>
        <w:t>gravamen</w:t>
      </w:r>
      <w:r>
        <w:rPr>
          <w:spacing w:val="-15"/>
          <w:sz w:val="22"/>
        </w:rPr>
        <w:t> </w:t>
      </w:r>
      <w:r>
        <w:rPr>
          <w:sz w:val="22"/>
        </w:rPr>
        <w:t>respecto</w:t>
      </w:r>
      <w:r>
        <w:rPr>
          <w:spacing w:val="-16"/>
          <w:sz w:val="22"/>
        </w:rPr>
        <w:t> </w:t>
      </w:r>
      <w:r>
        <w:rPr>
          <w:sz w:val="22"/>
        </w:rPr>
        <w:t>de</w:t>
      </w:r>
      <w:r>
        <w:rPr>
          <w:spacing w:val="-15"/>
          <w:sz w:val="22"/>
        </w:rPr>
        <w:t> </w:t>
      </w:r>
      <w:r>
        <w:rPr>
          <w:sz w:val="22"/>
        </w:rPr>
        <w:t>la</w:t>
      </w:r>
      <w:r>
        <w:rPr>
          <w:spacing w:val="-15"/>
          <w:sz w:val="22"/>
        </w:rPr>
        <w:t> </w:t>
      </w:r>
      <w:r>
        <w:rPr>
          <w:sz w:val="22"/>
        </w:rPr>
        <w:t>medida</w:t>
      </w:r>
      <w:r>
        <w:rPr>
          <w:spacing w:val="-16"/>
          <w:sz w:val="22"/>
        </w:rPr>
        <w:t> </w:t>
      </w:r>
      <w:r>
        <w:rPr>
          <w:sz w:val="22"/>
        </w:rPr>
        <w:t>adoptada por</w:t>
      </w:r>
      <w:r>
        <w:rPr>
          <w:spacing w:val="-16"/>
          <w:sz w:val="22"/>
        </w:rPr>
        <w:t> </w:t>
      </w:r>
      <w:r>
        <w:rPr>
          <w:sz w:val="22"/>
        </w:rPr>
        <w:t>la</w:t>
      </w:r>
      <w:r>
        <w:rPr>
          <w:spacing w:val="-15"/>
          <w:sz w:val="22"/>
        </w:rPr>
        <w:t> </w:t>
      </w:r>
      <w:r>
        <w:rPr>
          <w:sz w:val="22"/>
        </w:rPr>
        <w:t>República</w:t>
      </w:r>
      <w:r>
        <w:rPr>
          <w:spacing w:val="-15"/>
          <w:sz w:val="22"/>
        </w:rPr>
        <w:t> </w:t>
      </w:r>
      <w:r>
        <w:rPr>
          <w:sz w:val="22"/>
        </w:rPr>
        <w:t>del</w:t>
      </w:r>
      <w:r>
        <w:rPr>
          <w:spacing w:val="-16"/>
          <w:sz w:val="22"/>
        </w:rPr>
        <w:t> </w:t>
      </w:r>
      <w:r>
        <w:rPr>
          <w:sz w:val="22"/>
        </w:rPr>
        <w:t>Ecuador</w:t>
      </w:r>
      <w:r>
        <w:rPr>
          <w:spacing w:val="-15"/>
          <w:sz w:val="22"/>
        </w:rPr>
        <w:t> </w:t>
      </w:r>
      <w:r>
        <w:rPr>
          <w:sz w:val="22"/>
        </w:rPr>
        <w:t>mediante</w:t>
      </w:r>
      <w:r>
        <w:rPr>
          <w:spacing w:val="-15"/>
          <w:sz w:val="22"/>
        </w:rPr>
        <w:t> </w:t>
      </w:r>
      <w:r>
        <w:rPr>
          <w:sz w:val="22"/>
        </w:rPr>
        <w:t>la</w:t>
      </w:r>
      <w:r>
        <w:rPr>
          <w:spacing w:val="-15"/>
          <w:sz w:val="22"/>
        </w:rPr>
        <w:t> </w:t>
      </w:r>
      <w:r>
        <w:rPr>
          <w:sz w:val="22"/>
        </w:rPr>
        <w:t>Resolución</w:t>
      </w:r>
      <w:r>
        <w:rPr>
          <w:spacing w:val="-16"/>
          <w:sz w:val="22"/>
        </w:rPr>
        <w:t> </w:t>
      </w:r>
      <w:r>
        <w:rPr>
          <w:sz w:val="22"/>
        </w:rPr>
        <w:t>Nro.</w:t>
      </w:r>
      <w:r>
        <w:rPr>
          <w:spacing w:val="-15"/>
          <w:sz w:val="22"/>
        </w:rPr>
        <w:t> </w:t>
      </w:r>
      <w:r>
        <w:rPr>
          <w:sz w:val="22"/>
        </w:rPr>
        <w:t>SENAE-SENAE-2026-0006-RE, expedida por el Servicio Nacional de Aduana del Ecuador (en adelante, </w:t>
      </w:r>
      <w:r>
        <w:rPr>
          <w:rFonts w:ascii="Arial" w:hAnsi="Arial"/>
          <w:b/>
          <w:sz w:val="22"/>
        </w:rPr>
        <w:t>SENAE</w:t>
      </w:r>
      <w:r>
        <w:rPr>
          <w:sz w:val="22"/>
        </w:rPr>
        <w:t>) el 24 de enero de 2026, consistente en el establecimiento de una </w:t>
      </w:r>
      <w:r>
        <w:rPr>
          <w:rFonts w:ascii="Arial" w:hAnsi="Arial"/>
          <w:i/>
          <w:sz w:val="22"/>
        </w:rPr>
        <w:t>“tasa por servicio aduanero por concepto de control aduanero” </w:t>
      </w:r>
      <w:r>
        <w:rPr>
          <w:sz w:val="22"/>
        </w:rPr>
        <w:t>(en adelante, </w:t>
      </w:r>
      <w:r>
        <w:rPr>
          <w:rFonts w:ascii="Arial" w:hAnsi="Arial"/>
          <w:b/>
          <w:sz w:val="22"/>
        </w:rPr>
        <w:t>TSCA</w:t>
      </w:r>
      <w:r>
        <w:rPr>
          <w:sz w:val="22"/>
        </w:rPr>
        <w:t>) aplicable a las mercancías que provengan o sean originarias de la República de Colombia (en adelante, </w:t>
      </w:r>
      <w:r>
        <w:rPr>
          <w:rFonts w:ascii="Arial" w:hAnsi="Arial"/>
          <w:b/>
          <w:sz w:val="22"/>
        </w:rPr>
        <w:t>la solicitud</w:t>
      </w:r>
      <w:r>
        <w:rPr>
          <w:sz w:val="22"/>
        </w:rPr>
        <w:t>).</w:t>
      </w:r>
      <w:hyperlink w:history="true" w:anchor="_bookmark43">
        <w:r>
          <w:rPr>
            <w:sz w:val="22"/>
            <w:vertAlign w:val="superscript"/>
          </w:rPr>
          <w:t>1</w:t>
        </w:r>
      </w:hyperlink>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39"/>
        <w:rPr>
          <w:sz w:val="20"/>
        </w:rPr>
      </w:pPr>
      <w:r>
        <w:rPr>
          <w:sz w:val="20"/>
        </w:rPr>
        <mc:AlternateContent>
          <mc:Choice Requires="wps">
            <w:drawing>
              <wp:anchor distT="0" distB="0" distL="0" distR="0" allowOverlap="1" layoutInCell="1" locked="0" behindDoc="1" simplePos="0" relativeHeight="487616000">
                <wp:simplePos x="0" y="0"/>
                <wp:positionH relativeFrom="page">
                  <wp:posOffset>990904</wp:posOffset>
                </wp:positionH>
                <wp:positionV relativeFrom="paragraph">
                  <wp:posOffset>250104</wp:posOffset>
                </wp:positionV>
                <wp:extent cx="1829435" cy="7620"/>
                <wp:effectExtent l="0" t="0" r="0" b="0"/>
                <wp:wrapTopAndBottom/>
                <wp:docPr id="289" name="Graphic 289"/>
                <wp:cNvGraphicFramePr>
                  <a:graphicFrameLocks/>
                </wp:cNvGraphicFramePr>
                <a:graphic>
                  <a:graphicData uri="http://schemas.microsoft.com/office/word/2010/wordprocessingShape">
                    <wps:wsp>
                      <wps:cNvPr id="289" name="Graphic 289"/>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9.693262pt;width:144.020pt;height:.599980pt;mso-position-horizontal-relative:page;mso-position-vertical-relative:paragraph;z-index:-15700480;mso-wrap-distance-left:0;mso-wrap-distance-right:0" id="docshape215" filled="true" fillcolor="#000000" stroked="false">
                <v:fill type="solid"/>
                <w10:wrap type="topAndBottom"/>
              </v:rect>
            </w:pict>
          </mc:Fallback>
        </mc:AlternateContent>
      </w:r>
    </w:p>
    <w:p>
      <w:pPr>
        <w:spacing w:before="92"/>
        <w:ind w:left="568" w:right="955" w:firstLine="0"/>
        <w:jc w:val="left"/>
        <w:rPr>
          <w:sz w:val="16"/>
        </w:rPr>
      </w:pPr>
      <w:bookmarkStart w:name="_bookmark43" w:id="44"/>
      <w:bookmarkEnd w:id="44"/>
      <w:r>
        <w:rPr/>
      </w:r>
      <w:r>
        <w:rPr>
          <w:sz w:val="16"/>
          <w:vertAlign w:val="superscript"/>
        </w:rPr>
        <w:t>1</w:t>
      </w:r>
      <w:r>
        <w:rPr>
          <w:spacing w:val="-10"/>
          <w:sz w:val="16"/>
          <w:vertAlign w:val="baseline"/>
        </w:rPr>
        <w:t> </w:t>
      </w:r>
      <w:r>
        <w:rPr>
          <w:sz w:val="16"/>
          <w:vertAlign w:val="baseline"/>
        </w:rPr>
        <w:t>República</w:t>
      </w:r>
      <w:r>
        <w:rPr>
          <w:spacing w:val="-12"/>
          <w:sz w:val="16"/>
          <w:vertAlign w:val="baseline"/>
        </w:rPr>
        <w:t> </w:t>
      </w:r>
      <w:r>
        <w:rPr>
          <w:sz w:val="16"/>
          <w:vertAlign w:val="baseline"/>
        </w:rPr>
        <w:t>de</w:t>
      </w:r>
      <w:r>
        <w:rPr>
          <w:spacing w:val="-11"/>
          <w:sz w:val="16"/>
          <w:vertAlign w:val="baseline"/>
        </w:rPr>
        <w:t> </w:t>
      </w:r>
      <w:r>
        <w:rPr>
          <w:sz w:val="16"/>
          <w:vertAlign w:val="baseline"/>
        </w:rPr>
        <w:t>Colombia,</w:t>
      </w:r>
      <w:r>
        <w:rPr>
          <w:spacing w:val="26"/>
          <w:sz w:val="16"/>
          <w:vertAlign w:val="baseline"/>
        </w:rPr>
        <w:t> </w:t>
      </w:r>
      <w:r>
        <w:rPr>
          <w:sz w:val="16"/>
          <w:vertAlign w:val="baseline"/>
        </w:rPr>
        <w:t>solicitud</w:t>
      </w:r>
      <w:r>
        <w:rPr>
          <w:spacing w:val="-12"/>
          <w:sz w:val="16"/>
          <w:vertAlign w:val="baseline"/>
        </w:rPr>
        <w:t> </w:t>
      </w:r>
      <w:r>
        <w:rPr>
          <w:sz w:val="16"/>
          <w:vertAlign w:val="baseline"/>
        </w:rPr>
        <w:t>de</w:t>
      </w:r>
      <w:r>
        <w:rPr>
          <w:spacing w:val="-8"/>
          <w:sz w:val="16"/>
          <w:vertAlign w:val="baseline"/>
        </w:rPr>
        <w:t> </w:t>
      </w:r>
      <w:r>
        <w:rPr>
          <w:sz w:val="16"/>
          <w:vertAlign w:val="baseline"/>
        </w:rPr>
        <w:t>calificación</w:t>
      </w:r>
      <w:r>
        <w:rPr>
          <w:spacing w:val="-12"/>
          <w:sz w:val="16"/>
          <w:vertAlign w:val="baseline"/>
        </w:rPr>
        <w:t> </w:t>
      </w:r>
      <w:r>
        <w:rPr>
          <w:sz w:val="16"/>
          <w:vertAlign w:val="baseline"/>
        </w:rPr>
        <w:t>como</w:t>
      </w:r>
      <w:r>
        <w:rPr>
          <w:spacing w:val="-10"/>
          <w:sz w:val="16"/>
          <w:vertAlign w:val="baseline"/>
        </w:rPr>
        <w:t> </w:t>
      </w:r>
      <w:r>
        <w:rPr>
          <w:sz w:val="16"/>
          <w:vertAlign w:val="baseline"/>
        </w:rPr>
        <w:t>gravamen</w:t>
      </w:r>
      <w:r>
        <w:rPr>
          <w:spacing w:val="-12"/>
          <w:sz w:val="16"/>
          <w:vertAlign w:val="baseline"/>
        </w:rPr>
        <w:t> </w:t>
      </w:r>
      <w:r>
        <w:rPr>
          <w:sz w:val="16"/>
          <w:vertAlign w:val="baseline"/>
        </w:rPr>
        <w:t>de</w:t>
      </w:r>
      <w:r>
        <w:rPr>
          <w:spacing w:val="-11"/>
          <w:sz w:val="16"/>
          <w:vertAlign w:val="baseline"/>
        </w:rPr>
        <w:t> </w:t>
      </w:r>
      <w:r>
        <w:rPr>
          <w:sz w:val="16"/>
          <w:vertAlign w:val="baseline"/>
        </w:rPr>
        <w:t>la</w:t>
      </w:r>
      <w:r>
        <w:rPr>
          <w:spacing w:val="-8"/>
          <w:sz w:val="16"/>
          <w:vertAlign w:val="baseline"/>
        </w:rPr>
        <w:t> </w:t>
      </w:r>
      <w:r>
        <w:rPr>
          <w:sz w:val="16"/>
          <w:vertAlign w:val="baseline"/>
        </w:rPr>
        <w:t>medida</w:t>
      </w:r>
      <w:r>
        <w:rPr>
          <w:spacing w:val="-12"/>
          <w:sz w:val="16"/>
          <w:vertAlign w:val="baseline"/>
        </w:rPr>
        <w:t> </w:t>
      </w:r>
      <w:r>
        <w:rPr>
          <w:sz w:val="16"/>
          <w:vertAlign w:val="baseline"/>
        </w:rPr>
        <w:t>adoptada</w:t>
      </w:r>
      <w:r>
        <w:rPr>
          <w:spacing w:val="-11"/>
          <w:sz w:val="16"/>
          <w:vertAlign w:val="baseline"/>
        </w:rPr>
        <w:t> </w:t>
      </w:r>
      <w:r>
        <w:rPr>
          <w:sz w:val="16"/>
          <w:vertAlign w:val="baseline"/>
        </w:rPr>
        <w:t>por</w:t>
      </w:r>
      <w:r>
        <w:rPr>
          <w:spacing w:val="-11"/>
          <w:sz w:val="16"/>
          <w:vertAlign w:val="baseline"/>
        </w:rPr>
        <w:t> </w:t>
      </w:r>
      <w:r>
        <w:rPr>
          <w:sz w:val="16"/>
          <w:vertAlign w:val="baseline"/>
        </w:rPr>
        <w:t>la</w:t>
      </w:r>
      <w:r>
        <w:rPr>
          <w:spacing w:val="-8"/>
          <w:sz w:val="16"/>
          <w:vertAlign w:val="baseline"/>
        </w:rPr>
        <w:t> </w:t>
      </w:r>
      <w:r>
        <w:rPr>
          <w:sz w:val="16"/>
          <w:vertAlign w:val="baseline"/>
        </w:rPr>
        <w:t>República</w:t>
      </w:r>
      <w:r>
        <w:rPr>
          <w:spacing w:val="-9"/>
          <w:sz w:val="16"/>
          <w:vertAlign w:val="baseline"/>
        </w:rPr>
        <w:t> </w:t>
      </w:r>
      <w:r>
        <w:rPr>
          <w:sz w:val="16"/>
          <w:vertAlign w:val="baseline"/>
        </w:rPr>
        <w:t>del</w:t>
      </w:r>
      <w:r>
        <w:rPr>
          <w:spacing w:val="-12"/>
          <w:sz w:val="16"/>
          <w:vertAlign w:val="baseline"/>
        </w:rPr>
        <w:t> </w:t>
      </w:r>
      <w:r>
        <w:rPr>
          <w:sz w:val="16"/>
          <w:vertAlign w:val="baseline"/>
        </w:rPr>
        <w:t>Ecuador,</w:t>
      </w:r>
      <w:r>
        <w:rPr>
          <w:spacing w:val="-11"/>
          <w:sz w:val="16"/>
          <w:vertAlign w:val="baseline"/>
        </w:rPr>
        <w:t> </w:t>
      </w:r>
      <w:r>
        <w:rPr>
          <w:sz w:val="16"/>
          <w:vertAlign w:val="baseline"/>
        </w:rPr>
        <w:t>mediante la</w:t>
      </w:r>
      <w:r>
        <w:rPr>
          <w:spacing w:val="-1"/>
          <w:sz w:val="16"/>
          <w:vertAlign w:val="baseline"/>
        </w:rPr>
        <w:t> </w:t>
      </w:r>
      <w:r>
        <w:rPr>
          <w:sz w:val="16"/>
          <w:vertAlign w:val="baseline"/>
        </w:rPr>
        <w:t>Resolución</w:t>
      </w:r>
      <w:r>
        <w:rPr>
          <w:spacing w:val="-2"/>
          <w:sz w:val="16"/>
          <w:vertAlign w:val="baseline"/>
        </w:rPr>
        <w:t> </w:t>
      </w:r>
      <w:r>
        <w:rPr>
          <w:sz w:val="16"/>
          <w:vertAlign w:val="baseline"/>
        </w:rPr>
        <w:t>número</w:t>
      </w:r>
      <w:r>
        <w:rPr>
          <w:spacing w:val="-1"/>
          <w:sz w:val="16"/>
          <w:vertAlign w:val="baseline"/>
        </w:rPr>
        <w:t> </w:t>
      </w:r>
      <w:r>
        <w:rPr>
          <w:sz w:val="16"/>
          <w:vertAlign w:val="baseline"/>
        </w:rPr>
        <w:t>SENAE-SENAE-2026-0006-RE, del 24</w:t>
      </w:r>
      <w:r>
        <w:rPr>
          <w:spacing w:val="-2"/>
          <w:sz w:val="16"/>
          <w:vertAlign w:val="baseline"/>
        </w:rPr>
        <w:t> </w:t>
      </w:r>
      <w:r>
        <w:rPr>
          <w:sz w:val="16"/>
          <w:vertAlign w:val="baseline"/>
        </w:rPr>
        <w:t>de</w:t>
      </w:r>
      <w:r>
        <w:rPr>
          <w:spacing w:val="-1"/>
          <w:sz w:val="16"/>
          <w:vertAlign w:val="baseline"/>
        </w:rPr>
        <w:t> </w:t>
      </w:r>
      <w:r>
        <w:rPr>
          <w:sz w:val="16"/>
          <w:vertAlign w:val="baseline"/>
        </w:rPr>
        <w:t>enero</w:t>
      </w:r>
      <w:r>
        <w:rPr>
          <w:spacing w:val="-2"/>
          <w:sz w:val="16"/>
          <w:vertAlign w:val="baseline"/>
        </w:rPr>
        <w:t> </w:t>
      </w:r>
      <w:r>
        <w:rPr>
          <w:sz w:val="16"/>
          <w:vertAlign w:val="baseline"/>
        </w:rPr>
        <w:t>de</w:t>
      </w:r>
      <w:r>
        <w:rPr>
          <w:spacing w:val="-1"/>
          <w:sz w:val="16"/>
          <w:vertAlign w:val="baseline"/>
        </w:rPr>
        <w:t> </w:t>
      </w:r>
      <w:r>
        <w:rPr>
          <w:sz w:val="16"/>
          <w:vertAlign w:val="baseline"/>
        </w:rPr>
        <w:t>2026, que</w:t>
      </w:r>
      <w:r>
        <w:rPr>
          <w:spacing w:val="-1"/>
          <w:sz w:val="16"/>
          <w:vertAlign w:val="baseline"/>
        </w:rPr>
        <w:t> </w:t>
      </w:r>
      <w:r>
        <w:rPr>
          <w:sz w:val="16"/>
          <w:vertAlign w:val="baseline"/>
        </w:rPr>
        <w:t>entró</w:t>
      </w:r>
      <w:r>
        <w:rPr>
          <w:spacing w:val="-2"/>
          <w:sz w:val="16"/>
          <w:vertAlign w:val="baseline"/>
        </w:rPr>
        <w:t> </w:t>
      </w:r>
      <w:r>
        <w:rPr>
          <w:sz w:val="16"/>
          <w:vertAlign w:val="baseline"/>
        </w:rPr>
        <w:t>en</w:t>
      </w:r>
      <w:r>
        <w:rPr>
          <w:spacing w:val="-1"/>
          <w:sz w:val="16"/>
          <w:vertAlign w:val="baseline"/>
        </w:rPr>
        <w:t> </w:t>
      </w:r>
      <w:r>
        <w:rPr>
          <w:sz w:val="16"/>
          <w:vertAlign w:val="baseline"/>
        </w:rPr>
        <w:t>vigencia</w:t>
      </w:r>
      <w:r>
        <w:rPr>
          <w:spacing w:val="-2"/>
          <w:sz w:val="16"/>
          <w:vertAlign w:val="baseline"/>
        </w:rPr>
        <w:t> </w:t>
      </w:r>
      <w:r>
        <w:rPr>
          <w:sz w:val="16"/>
          <w:vertAlign w:val="baseline"/>
        </w:rPr>
        <w:t>el 6</w:t>
      </w:r>
      <w:r>
        <w:rPr>
          <w:spacing w:val="-2"/>
          <w:sz w:val="16"/>
          <w:vertAlign w:val="baseline"/>
        </w:rPr>
        <w:t> </w:t>
      </w:r>
      <w:r>
        <w:rPr>
          <w:sz w:val="16"/>
          <w:vertAlign w:val="baseline"/>
        </w:rPr>
        <w:t>de</w:t>
      </w:r>
      <w:r>
        <w:rPr>
          <w:spacing w:val="-1"/>
          <w:sz w:val="16"/>
          <w:vertAlign w:val="baseline"/>
        </w:rPr>
        <w:t> </w:t>
      </w:r>
      <w:r>
        <w:rPr>
          <w:sz w:val="16"/>
          <w:vertAlign w:val="baseline"/>
        </w:rPr>
        <w:t>febrero</w:t>
      </w:r>
      <w:r>
        <w:rPr>
          <w:spacing w:val="-2"/>
          <w:sz w:val="16"/>
          <w:vertAlign w:val="baseline"/>
        </w:rPr>
        <w:t> </w:t>
      </w:r>
      <w:r>
        <w:rPr>
          <w:sz w:val="16"/>
          <w:vertAlign w:val="baseline"/>
        </w:rPr>
        <w:t>de</w:t>
      </w:r>
      <w:r>
        <w:rPr>
          <w:spacing w:val="-1"/>
          <w:sz w:val="16"/>
          <w:vertAlign w:val="baseline"/>
        </w:rPr>
        <w:t> </w:t>
      </w:r>
      <w:r>
        <w:rPr>
          <w:spacing w:val="-2"/>
          <w:sz w:val="16"/>
          <w:vertAlign w:val="baseline"/>
        </w:rPr>
        <w:t>2026,</w:t>
      </w:r>
    </w:p>
    <w:p>
      <w:pPr>
        <w:spacing w:line="183" w:lineRule="exact" w:before="0"/>
        <w:ind w:left="568" w:right="0" w:firstLine="0"/>
        <w:jc w:val="left"/>
        <w:rPr>
          <w:sz w:val="16"/>
        </w:rPr>
      </w:pPr>
      <w:r>
        <w:rPr>
          <w:sz w:val="16"/>
        </w:rPr>
        <w:t>pp.</w:t>
      </w:r>
      <w:r>
        <w:rPr>
          <w:spacing w:val="38"/>
          <w:sz w:val="16"/>
        </w:rPr>
        <w:t>  </w:t>
      </w:r>
      <w:r>
        <w:rPr>
          <w:sz w:val="16"/>
        </w:rPr>
        <w:t>6-7,</w:t>
      </w:r>
      <w:r>
        <w:rPr>
          <w:spacing w:val="39"/>
          <w:sz w:val="16"/>
        </w:rPr>
        <w:t>  </w:t>
      </w:r>
      <w:r>
        <w:rPr>
          <w:sz w:val="16"/>
        </w:rPr>
        <w:t>párrafos</w:t>
      </w:r>
      <w:r>
        <w:rPr>
          <w:spacing w:val="38"/>
          <w:sz w:val="16"/>
        </w:rPr>
        <w:t>  </w:t>
      </w:r>
      <w:r>
        <w:rPr>
          <w:sz w:val="16"/>
        </w:rPr>
        <w:t>[4]-[7],</w:t>
      </w:r>
      <w:r>
        <w:rPr>
          <w:spacing w:val="39"/>
          <w:sz w:val="16"/>
        </w:rPr>
        <w:t>  </w:t>
      </w:r>
      <w:r>
        <w:rPr>
          <w:sz w:val="16"/>
        </w:rPr>
        <w:t>expediente</w:t>
      </w:r>
      <w:r>
        <w:rPr>
          <w:spacing w:val="38"/>
          <w:sz w:val="16"/>
        </w:rPr>
        <w:t>  </w:t>
      </w:r>
      <w:r>
        <w:rPr>
          <w:sz w:val="16"/>
        </w:rPr>
        <w:t>DGCOM/GRAV/001/2026;</w:t>
      </w:r>
      <w:r>
        <w:rPr>
          <w:spacing w:val="39"/>
          <w:sz w:val="16"/>
        </w:rPr>
        <w:t>  </w:t>
      </w:r>
      <w:r>
        <w:rPr>
          <w:sz w:val="16"/>
        </w:rPr>
        <w:t>documento</w:t>
      </w:r>
      <w:r>
        <w:rPr>
          <w:spacing w:val="39"/>
          <w:sz w:val="16"/>
        </w:rPr>
        <w:t>  </w:t>
      </w:r>
      <w:r>
        <w:rPr>
          <w:sz w:val="16"/>
        </w:rPr>
        <w:t>“2.-2026-02-06-Solicitud-calificacion-</w:t>
      </w:r>
      <w:r>
        <w:rPr>
          <w:spacing w:val="-5"/>
          <w:sz w:val="16"/>
        </w:rPr>
        <w:t>de-</w:t>
      </w:r>
    </w:p>
    <w:p>
      <w:pPr>
        <w:tabs>
          <w:tab w:pos="568" w:val="left" w:leader="none"/>
          <w:tab w:pos="9816" w:val="left" w:leader="none"/>
        </w:tabs>
        <w:spacing w:before="1"/>
        <w:ind w:left="160" w:right="0" w:firstLine="0"/>
        <w:jc w:val="left"/>
        <w:rPr>
          <w:sz w:val="16"/>
        </w:rPr>
      </w:pPr>
      <w:r>
        <w:rPr>
          <w:rFonts w:ascii="Times New Roman" w:hAnsi="Times New Roman"/>
          <w:sz w:val="16"/>
          <w:u w:val="single"/>
        </w:rPr>
        <w:tab/>
      </w:r>
      <w:r>
        <w:rPr>
          <w:spacing w:val="-2"/>
          <w:sz w:val="16"/>
          <w:u w:val="single"/>
        </w:rPr>
        <w:t>gravamen.pdf”.</w:t>
      </w:r>
      <w:r>
        <w:rPr>
          <w:sz w:val="16"/>
          <w:u w:val="single"/>
        </w:rPr>
        <w:tab/>
      </w:r>
    </w:p>
    <w:p>
      <w:pPr>
        <w:spacing w:after="0"/>
        <w:jc w:val="left"/>
        <w:rPr>
          <w:sz w:val="16"/>
        </w:rPr>
        <w:sectPr>
          <w:pgSz w:w="11900" w:h="16850"/>
          <w:pgMar w:header="370" w:footer="597" w:top="1380" w:bottom="780" w:left="992" w:right="283"/>
        </w:sectPr>
      </w:pPr>
    </w:p>
    <w:p>
      <w:pPr>
        <w:pStyle w:val="BodyText"/>
        <w:spacing w:before="176"/>
      </w:pPr>
    </w:p>
    <w:p>
      <w:pPr>
        <w:pStyle w:val="ListParagraph"/>
        <w:numPr>
          <w:ilvl w:val="0"/>
          <w:numId w:val="11"/>
        </w:numPr>
        <w:tabs>
          <w:tab w:pos="1131" w:val="left" w:leader="none"/>
          <w:tab w:pos="1134" w:val="left" w:leader="none"/>
        </w:tabs>
        <w:spacing w:line="240" w:lineRule="auto" w:before="0" w:after="0"/>
        <w:ind w:left="1134" w:right="977" w:hanging="567"/>
        <w:jc w:val="both"/>
        <w:rPr>
          <w:sz w:val="22"/>
        </w:rPr>
      </w:pPr>
      <w:r>
        <w:rPr>
          <w:sz w:val="22"/>
        </w:rPr>
        <w:t>Que,</w:t>
      </w:r>
      <w:r>
        <w:rPr>
          <w:spacing w:val="-3"/>
          <w:sz w:val="22"/>
        </w:rPr>
        <w:t> </w:t>
      </w:r>
      <w:r>
        <w:rPr>
          <w:sz w:val="22"/>
        </w:rPr>
        <w:t>el</w:t>
      </w:r>
      <w:r>
        <w:rPr>
          <w:spacing w:val="-3"/>
          <w:sz w:val="22"/>
        </w:rPr>
        <w:t> </w:t>
      </w:r>
      <w:r>
        <w:rPr>
          <w:sz w:val="22"/>
        </w:rPr>
        <w:t>16</w:t>
      </w:r>
      <w:r>
        <w:rPr>
          <w:spacing w:val="-2"/>
          <w:sz w:val="22"/>
        </w:rPr>
        <w:t> </w:t>
      </w:r>
      <w:r>
        <w:rPr>
          <w:sz w:val="22"/>
        </w:rPr>
        <w:t>de</w:t>
      </w:r>
      <w:r>
        <w:rPr>
          <w:spacing w:val="-4"/>
          <w:sz w:val="22"/>
        </w:rPr>
        <w:t> </w:t>
      </w:r>
      <w:r>
        <w:rPr>
          <w:sz w:val="22"/>
        </w:rPr>
        <w:t>febrero</w:t>
      </w:r>
      <w:r>
        <w:rPr>
          <w:spacing w:val="-2"/>
          <w:sz w:val="22"/>
        </w:rPr>
        <w:t> </w:t>
      </w:r>
      <w:r>
        <w:rPr>
          <w:sz w:val="22"/>
        </w:rPr>
        <w:t>de</w:t>
      </w:r>
      <w:r>
        <w:rPr>
          <w:spacing w:val="-4"/>
          <w:sz w:val="22"/>
        </w:rPr>
        <w:t> </w:t>
      </w:r>
      <w:r>
        <w:rPr>
          <w:sz w:val="22"/>
        </w:rPr>
        <w:t>2026,</w:t>
      </w:r>
      <w:r>
        <w:rPr>
          <w:spacing w:val="-3"/>
          <w:sz w:val="22"/>
        </w:rPr>
        <w:t> </w:t>
      </w:r>
      <w:r>
        <w:rPr>
          <w:sz w:val="22"/>
        </w:rPr>
        <w:t>mediante</w:t>
      </w:r>
      <w:r>
        <w:rPr>
          <w:spacing w:val="-2"/>
          <w:sz w:val="22"/>
        </w:rPr>
        <w:t> </w:t>
      </w:r>
      <w:r>
        <w:rPr>
          <w:sz w:val="22"/>
        </w:rPr>
        <w:t>comunicación</w:t>
      </w:r>
      <w:r>
        <w:rPr>
          <w:spacing w:val="-2"/>
          <w:sz w:val="22"/>
        </w:rPr>
        <w:t> </w:t>
      </w:r>
      <w:r>
        <w:rPr>
          <w:sz w:val="22"/>
        </w:rPr>
        <w:t>SG/E/DS/266/2026,</w:t>
      </w:r>
      <w:r>
        <w:rPr>
          <w:spacing w:val="-1"/>
          <w:sz w:val="22"/>
        </w:rPr>
        <w:t> </w:t>
      </w:r>
      <w:r>
        <w:rPr>
          <w:sz w:val="22"/>
        </w:rPr>
        <w:t>la</w:t>
      </w:r>
      <w:r>
        <w:rPr>
          <w:spacing w:val="-2"/>
          <w:sz w:val="22"/>
        </w:rPr>
        <w:t> </w:t>
      </w:r>
      <w:r>
        <w:rPr>
          <w:sz w:val="22"/>
        </w:rPr>
        <w:t>SGCAN, con fundamento en lo previsto en el artículo 49</w:t>
      </w:r>
      <w:hyperlink w:history="true" w:anchor="_bookmark44">
        <w:r>
          <w:rPr>
            <w:sz w:val="22"/>
            <w:vertAlign w:val="superscript"/>
          </w:rPr>
          <w:t>2</w:t>
        </w:r>
      </w:hyperlink>
      <w:r>
        <w:rPr>
          <w:sz w:val="22"/>
          <w:vertAlign w:val="baseline"/>
        </w:rPr>
        <w:t> de la Decisión 425 “</w:t>
      </w:r>
      <w:r>
        <w:rPr>
          <w:rFonts w:ascii="Arial" w:hAnsi="Arial"/>
          <w:i/>
          <w:sz w:val="22"/>
          <w:vertAlign w:val="baseline"/>
        </w:rPr>
        <w:t>Reglamento de Procedimientos</w:t>
      </w:r>
      <w:r>
        <w:rPr>
          <w:rFonts w:ascii="Arial" w:hAnsi="Arial"/>
          <w:i/>
          <w:spacing w:val="-4"/>
          <w:sz w:val="22"/>
          <w:vertAlign w:val="baseline"/>
        </w:rPr>
        <w:t> </w:t>
      </w:r>
      <w:r>
        <w:rPr>
          <w:rFonts w:ascii="Arial" w:hAnsi="Arial"/>
          <w:i/>
          <w:sz w:val="22"/>
          <w:vertAlign w:val="baseline"/>
        </w:rPr>
        <w:t>Administrativos</w:t>
      </w:r>
      <w:r>
        <w:rPr>
          <w:rFonts w:ascii="Arial" w:hAnsi="Arial"/>
          <w:i/>
          <w:spacing w:val="-4"/>
          <w:sz w:val="22"/>
          <w:vertAlign w:val="baseline"/>
        </w:rPr>
        <w:t> </w:t>
      </w:r>
      <w:r>
        <w:rPr>
          <w:rFonts w:ascii="Arial" w:hAnsi="Arial"/>
          <w:i/>
          <w:sz w:val="22"/>
          <w:vertAlign w:val="baseline"/>
        </w:rPr>
        <w:t>de</w:t>
      </w:r>
      <w:r>
        <w:rPr>
          <w:rFonts w:ascii="Arial" w:hAnsi="Arial"/>
          <w:i/>
          <w:spacing w:val="-4"/>
          <w:sz w:val="22"/>
          <w:vertAlign w:val="baseline"/>
        </w:rPr>
        <w:t> </w:t>
      </w:r>
      <w:r>
        <w:rPr>
          <w:rFonts w:ascii="Arial" w:hAnsi="Arial"/>
          <w:i/>
          <w:sz w:val="22"/>
          <w:vertAlign w:val="baseline"/>
        </w:rPr>
        <w:t>la</w:t>
      </w:r>
      <w:r>
        <w:rPr>
          <w:rFonts w:ascii="Arial" w:hAnsi="Arial"/>
          <w:i/>
          <w:spacing w:val="-2"/>
          <w:sz w:val="22"/>
          <w:vertAlign w:val="baseline"/>
        </w:rPr>
        <w:t> </w:t>
      </w:r>
      <w:r>
        <w:rPr>
          <w:rFonts w:ascii="Arial" w:hAnsi="Arial"/>
          <w:i/>
          <w:sz w:val="22"/>
          <w:vertAlign w:val="baseline"/>
        </w:rPr>
        <w:t>Secretaría</w:t>
      </w:r>
      <w:r>
        <w:rPr>
          <w:rFonts w:ascii="Arial" w:hAnsi="Arial"/>
          <w:i/>
          <w:spacing w:val="-6"/>
          <w:sz w:val="22"/>
          <w:vertAlign w:val="baseline"/>
        </w:rPr>
        <w:t> </w:t>
      </w:r>
      <w:r>
        <w:rPr>
          <w:rFonts w:ascii="Arial" w:hAnsi="Arial"/>
          <w:i/>
          <w:sz w:val="22"/>
          <w:vertAlign w:val="baseline"/>
        </w:rPr>
        <w:t>General</w:t>
      </w:r>
      <w:r>
        <w:rPr>
          <w:rFonts w:ascii="Arial" w:hAnsi="Arial"/>
          <w:i/>
          <w:spacing w:val="-5"/>
          <w:sz w:val="22"/>
          <w:vertAlign w:val="baseline"/>
        </w:rPr>
        <w:t> </w:t>
      </w:r>
      <w:r>
        <w:rPr>
          <w:rFonts w:ascii="Arial" w:hAnsi="Arial"/>
          <w:i/>
          <w:sz w:val="22"/>
          <w:vertAlign w:val="baseline"/>
        </w:rPr>
        <w:t>de</w:t>
      </w:r>
      <w:r>
        <w:rPr>
          <w:rFonts w:ascii="Arial" w:hAnsi="Arial"/>
          <w:i/>
          <w:spacing w:val="-2"/>
          <w:sz w:val="22"/>
          <w:vertAlign w:val="baseline"/>
        </w:rPr>
        <w:t> </w:t>
      </w:r>
      <w:r>
        <w:rPr>
          <w:rFonts w:ascii="Arial" w:hAnsi="Arial"/>
          <w:i/>
          <w:sz w:val="22"/>
          <w:vertAlign w:val="baseline"/>
        </w:rPr>
        <w:t>la</w:t>
      </w:r>
      <w:r>
        <w:rPr>
          <w:rFonts w:ascii="Arial" w:hAnsi="Arial"/>
          <w:i/>
          <w:spacing w:val="-4"/>
          <w:sz w:val="22"/>
          <w:vertAlign w:val="baseline"/>
        </w:rPr>
        <w:t> </w:t>
      </w:r>
      <w:r>
        <w:rPr>
          <w:rFonts w:ascii="Arial" w:hAnsi="Arial"/>
          <w:i/>
          <w:sz w:val="22"/>
          <w:vertAlign w:val="baseline"/>
        </w:rPr>
        <w:t>Comunidad</w:t>
      </w:r>
      <w:r>
        <w:rPr>
          <w:rFonts w:ascii="Arial" w:hAnsi="Arial"/>
          <w:i/>
          <w:spacing w:val="-2"/>
          <w:sz w:val="22"/>
          <w:vertAlign w:val="baseline"/>
        </w:rPr>
        <w:t> </w:t>
      </w:r>
      <w:r>
        <w:rPr>
          <w:rFonts w:ascii="Arial" w:hAnsi="Arial"/>
          <w:i/>
          <w:sz w:val="22"/>
          <w:vertAlign w:val="baseline"/>
        </w:rPr>
        <w:t>Andina</w:t>
      </w:r>
      <w:r>
        <w:rPr>
          <w:sz w:val="22"/>
          <w:vertAlign w:val="baseline"/>
        </w:rPr>
        <w:t>”,</w:t>
      </w:r>
      <w:r>
        <w:rPr>
          <w:spacing w:val="-5"/>
          <w:sz w:val="22"/>
          <w:vertAlign w:val="baseline"/>
        </w:rPr>
        <w:t> </w:t>
      </w:r>
      <w:r>
        <w:rPr>
          <w:sz w:val="22"/>
          <w:vertAlign w:val="baseline"/>
        </w:rPr>
        <w:t>(en adelante, </w:t>
      </w:r>
      <w:r>
        <w:rPr>
          <w:rFonts w:ascii="Arial" w:hAnsi="Arial"/>
          <w:b/>
          <w:sz w:val="22"/>
          <w:vertAlign w:val="baseline"/>
        </w:rPr>
        <w:t>Decisión 425</w:t>
      </w:r>
      <w:r>
        <w:rPr>
          <w:sz w:val="22"/>
          <w:vertAlign w:val="baseline"/>
        </w:rPr>
        <w:t>), admitió a trámite la solicitud presentada por el República de Colombia,</w:t>
      </w:r>
      <w:r>
        <w:rPr>
          <w:spacing w:val="-6"/>
          <w:sz w:val="22"/>
          <w:vertAlign w:val="baseline"/>
        </w:rPr>
        <w:t> </w:t>
      </w:r>
      <w:r>
        <w:rPr>
          <w:sz w:val="22"/>
          <w:vertAlign w:val="baseline"/>
        </w:rPr>
        <w:t>dando</w:t>
      </w:r>
      <w:r>
        <w:rPr>
          <w:spacing w:val="-7"/>
          <w:sz w:val="22"/>
          <w:vertAlign w:val="baseline"/>
        </w:rPr>
        <w:t> </w:t>
      </w:r>
      <w:r>
        <w:rPr>
          <w:sz w:val="22"/>
          <w:vertAlign w:val="baseline"/>
        </w:rPr>
        <w:t>inicio</w:t>
      </w:r>
      <w:r>
        <w:rPr>
          <w:spacing w:val="-7"/>
          <w:sz w:val="22"/>
          <w:vertAlign w:val="baseline"/>
        </w:rPr>
        <w:t> </w:t>
      </w:r>
      <w:r>
        <w:rPr>
          <w:sz w:val="22"/>
          <w:vertAlign w:val="baseline"/>
        </w:rPr>
        <w:t>a</w:t>
      </w:r>
      <w:r>
        <w:rPr>
          <w:spacing w:val="-7"/>
          <w:sz w:val="22"/>
          <w:vertAlign w:val="baseline"/>
        </w:rPr>
        <w:t> </w:t>
      </w:r>
      <w:r>
        <w:rPr>
          <w:sz w:val="22"/>
          <w:vertAlign w:val="baseline"/>
        </w:rPr>
        <w:t>la</w:t>
      </w:r>
      <w:r>
        <w:rPr>
          <w:spacing w:val="-7"/>
          <w:sz w:val="22"/>
          <w:vertAlign w:val="baseline"/>
        </w:rPr>
        <w:t> </w:t>
      </w:r>
      <w:r>
        <w:rPr>
          <w:sz w:val="22"/>
          <w:vertAlign w:val="baseline"/>
        </w:rPr>
        <w:t>investigación</w:t>
      </w:r>
      <w:r>
        <w:rPr>
          <w:spacing w:val="-8"/>
          <w:sz w:val="22"/>
          <w:vertAlign w:val="baseline"/>
        </w:rPr>
        <w:t> </w:t>
      </w:r>
      <w:r>
        <w:rPr>
          <w:sz w:val="22"/>
          <w:vertAlign w:val="baseline"/>
        </w:rPr>
        <w:t>correspondiente.</w:t>
      </w:r>
      <w:r>
        <w:rPr>
          <w:spacing w:val="-6"/>
          <w:sz w:val="22"/>
          <w:vertAlign w:val="baseline"/>
        </w:rPr>
        <w:t> </w:t>
      </w:r>
      <w:r>
        <w:rPr>
          <w:sz w:val="22"/>
          <w:vertAlign w:val="baseline"/>
        </w:rPr>
        <w:t>Con</w:t>
      </w:r>
      <w:r>
        <w:rPr>
          <w:spacing w:val="-7"/>
          <w:sz w:val="22"/>
          <w:vertAlign w:val="baseline"/>
        </w:rPr>
        <w:t> </w:t>
      </w:r>
      <w:r>
        <w:rPr>
          <w:sz w:val="22"/>
          <w:vertAlign w:val="baseline"/>
        </w:rPr>
        <w:t>relación</w:t>
      </w:r>
      <w:r>
        <w:rPr>
          <w:spacing w:val="-8"/>
          <w:sz w:val="22"/>
          <w:vertAlign w:val="baseline"/>
        </w:rPr>
        <w:t> </w:t>
      </w:r>
      <w:r>
        <w:rPr>
          <w:sz w:val="22"/>
          <w:vertAlign w:val="baseline"/>
        </w:rPr>
        <w:t>a</w:t>
      </w:r>
      <w:r>
        <w:rPr>
          <w:spacing w:val="-7"/>
          <w:sz w:val="22"/>
          <w:vertAlign w:val="baseline"/>
        </w:rPr>
        <w:t> </w:t>
      </w:r>
      <w:r>
        <w:rPr>
          <w:sz w:val="22"/>
          <w:vertAlign w:val="baseline"/>
        </w:rPr>
        <w:t>la</w:t>
      </w:r>
      <w:r>
        <w:rPr>
          <w:spacing w:val="-7"/>
          <w:sz w:val="22"/>
          <w:vertAlign w:val="baseline"/>
        </w:rPr>
        <w:t> </w:t>
      </w:r>
      <w:r>
        <w:rPr>
          <w:sz w:val="22"/>
          <w:vertAlign w:val="baseline"/>
        </w:rPr>
        <w:t>solicitud</w:t>
      </w:r>
      <w:r>
        <w:rPr>
          <w:spacing w:val="-8"/>
          <w:sz w:val="22"/>
          <w:vertAlign w:val="baseline"/>
        </w:rPr>
        <w:t> </w:t>
      </w:r>
      <w:r>
        <w:rPr>
          <w:sz w:val="22"/>
          <w:vertAlign w:val="baseline"/>
        </w:rPr>
        <w:t>de inicio de una acción de incumplimiento de oficio, la SGCAN indicó que corresponde concluir este procedimiento antes de conocer cualquier otra solicitud.</w:t>
      </w:r>
    </w:p>
    <w:p>
      <w:pPr>
        <w:pStyle w:val="ListParagraph"/>
        <w:numPr>
          <w:ilvl w:val="0"/>
          <w:numId w:val="11"/>
        </w:numPr>
        <w:tabs>
          <w:tab w:pos="1131" w:val="left" w:leader="none"/>
          <w:tab w:pos="1134" w:val="left" w:leader="none"/>
        </w:tabs>
        <w:spacing w:line="240" w:lineRule="auto" w:before="253" w:after="0"/>
        <w:ind w:left="1134" w:right="979" w:hanging="567"/>
        <w:jc w:val="both"/>
        <w:rPr>
          <w:sz w:val="22"/>
        </w:rPr>
      </w:pPr>
      <w:r>
        <w:rPr>
          <w:sz w:val="22"/>
        </w:rPr>
        <w:t>El</w:t>
      </w:r>
      <w:r>
        <w:rPr>
          <w:spacing w:val="-16"/>
          <w:sz w:val="22"/>
        </w:rPr>
        <w:t> </w:t>
      </w:r>
      <w:r>
        <w:rPr>
          <w:sz w:val="22"/>
        </w:rPr>
        <w:t>17</w:t>
      </w:r>
      <w:r>
        <w:rPr>
          <w:spacing w:val="-14"/>
          <w:sz w:val="22"/>
        </w:rPr>
        <w:t> </w:t>
      </w:r>
      <w:r>
        <w:rPr>
          <w:sz w:val="22"/>
        </w:rPr>
        <w:t>de</w:t>
      </w:r>
      <w:r>
        <w:rPr>
          <w:spacing w:val="-16"/>
          <w:sz w:val="22"/>
        </w:rPr>
        <w:t> </w:t>
      </w:r>
      <w:r>
        <w:rPr>
          <w:sz w:val="22"/>
        </w:rPr>
        <w:t>febrero</w:t>
      </w:r>
      <w:r>
        <w:rPr>
          <w:spacing w:val="-13"/>
          <w:sz w:val="22"/>
        </w:rPr>
        <w:t> </w:t>
      </w:r>
      <w:r>
        <w:rPr>
          <w:sz w:val="22"/>
        </w:rPr>
        <w:t>de</w:t>
      </w:r>
      <w:r>
        <w:rPr>
          <w:spacing w:val="-16"/>
          <w:sz w:val="22"/>
        </w:rPr>
        <w:t> </w:t>
      </w:r>
      <w:r>
        <w:rPr>
          <w:sz w:val="22"/>
        </w:rPr>
        <w:t>2026,</w:t>
      </w:r>
      <w:r>
        <w:rPr>
          <w:spacing w:val="-15"/>
          <w:sz w:val="22"/>
        </w:rPr>
        <w:t> </w:t>
      </w:r>
      <w:r>
        <w:rPr>
          <w:sz w:val="22"/>
        </w:rPr>
        <w:t>mediante</w:t>
      </w:r>
      <w:r>
        <w:rPr>
          <w:spacing w:val="-15"/>
          <w:sz w:val="22"/>
        </w:rPr>
        <w:t> </w:t>
      </w:r>
      <w:r>
        <w:rPr>
          <w:sz w:val="22"/>
        </w:rPr>
        <w:t>comunicación</w:t>
      </w:r>
      <w:r>
        <w:rPr>
          <w:spacing w:val="-16"/>
          <w:sz w:val="22"/>
        </w:rPr>
        <w:t> </w:t>
      </w:r>
      <w:r>
        <w:rPr>
          <w:sz w:val="22"/>
        </w:rPr>
        <w:t>N°</w:t>
      </w:r>
      <w:r>
        <w:rPr>
          <w:spacing w:val="-12"/>
          <w:sz w:val="22"/>
        </w:rPr>
        <w:t> </w:t>
      </w:r>
      <w:r>
        <w:rPr>
          <w:sz w:val="22"/>
        </w:rPr>
        <w:t>SG/E/DS/290/2026,</w:t>
      </w:r>
      <w:r>
        <w:rPr>
          <w:spacing w:val="-15"/>
          <w:sz w:val="22"/>
        </w:rPr>
        <w:t> </w:t>
      </w:r>
      <w:r>
        <w:rPr>
          <w:sz w:val="22"/>
        </w:rPr>
        <w:t>se</w:t>
      </w:r>
      <w:r>
        <w:rPr>
          <w:spacing w:val="-14"/>
          <w:sz w:val="22"/>
        </w:rPr>
        <w:t> </w:t>
      </w:r>
      <w:r>
        <w:rPr>
          <w:sz w:val="22"/>
        </w:rPr>
        <w:t>dio</w:t>
      </w:r>
      <w:r>
        <w:rPr>
          <w:spacing w:val="-14"/>
          <w:sz w:val="22"/>
        </w:rPr>
        <w:t> </w:t>
      </w:r>
      <w:r>
        <w:rPr>
          <w:sz w:val="22"/>
        </w:rPr>
        <w:t>traslado de la solicitud de la República de Colombia a la República del Ecuador informándole sobre el</w:t>
      </w:r>
      <w:r>
        <w:rPr>
          <w:spacing w:val="-1"/>
          <w:sz w:val="22"/>
        </w:rPr>
        <w:t> </w:t>
      </w:r>
      <w:r>
        <w:rPr>
          <w:sz w:val="22"/>
        </w:rPr>
        <w:t>inicio de la investigación, y se le concedió un plazo de veinte (20) días hábiles para</w:t>
      </w:r>
      <w:r>
        <w:rPr>
          <w:spacing w:val="-16"/>
          <w:sz w:val="22"/>
        </w:rPr>
        <w:t> </w:t>
      </w:r>
      <w:r>
        <w:rPr>
          <w:sz w:val="22"/>
        </w:rPr>
        <w:t>que</w:t>
      </w:r>
      <w:r>
        <w:rPr>
          <w:spacing w:val="-15"/>
          <w:sz w:val="22"/>
        </w:rPr>
        <w:t> </w:t>
      </w:r>
      <w:r>
        <w:rPr>
          <w:sz w:val="22"/>
        </w:rPr>
        <w:t>presente</w:t>
      </w:r>
      <w:r>
        <w:rPr>
          <w:spacing w:val="-15"/>
          <w:sz w:val="22"/>
        </w:rPr>
        <w:t> </w:t>
      </w:r>
      <w:r>
        <w:rPr>
          <w:sz w:val="22"/>
        </w:rPr>
        <w:t>a</w:t>
      </w:r>
      <w:r>
        <w:rPr>
          <w:spacing w:val="-16"/>
          <w:sz w:val="22"/>
        </w:rPr>
        <w:t> </w:t>
      </w:r>
      <w:r>
        <w:rPr>
          <w:sz w:val="22"/>
        </w:rPr>
        <w:t>este</w:t>
      </w:r>
      <w:r>
        <w:rPr>
          <w:spacing w:val="-15"/>
          <w:sz w:val="22"/>
        </w:rPr>
        <w:t> </w:t>
      </w:r>
      <w:r>
        <w:rPr>
          <w:sz w:val="22"/>
        </w:rPr>
        <w:t>órgano</w:t>
      </w:r>
      <w:r>
        <w:rPr>
          <w:spacing w:val="-15"/>
          <w:sz w:val="22"/>
        </w:rPr>
        <w:t> </w:t>
      </w:r>
      <w:r>
        <w:rPr>
          <w:sz w:val="22"/>
        </w:rPr>
        <w:t>comunitario</w:t>
      </w:r>
      <w:r>
        <w:rPr>
          <w:spacing w:val="-15"/>
          <w:sz w:val="22"/>
        </w:rPr>
        <w:t> </w:t>
      </w:r>
      <w:r>
        <w:rPr>
          <w:sz w:val="22"/>
        </w:rPr>
        <w:t>su</w:t>
      </w:r>
      <w:r>
        <w:rPr>
          <w:spacing w:val="-16"/>
          <w:sz w:val="22"/>
        </w:rPr>
        <w:t> </w:t>
      </w:r>
      <w:r>
        <w:rPr>
          <w:sz w:val="22"/>
        </w:rPr>
        <w:t>respuesta</w:t>
      </w:r>
      <w:r>
        <w:rPr>
          <w:spacing w:val="-15"/>
          <w:sz w:val="22"/>
        </w:rPr>
        <w:t> </w:t>
      </w:r>
      <w:r>
        <w:rPr>
          <w:sz w:val="22"/>
        </w:rPr>
        <w:t>correspondiente.</w:t>
      </w:r>
      <w:r>
        <w:rPr>
          <w:spacing w:val="-15"/>
          <w:sz w:val="22"/>
        </w:rPr>
        <w:t> </w:t>
      </w:r>
      <w:r>
        <w:rPr>
          <w:sz w:val="22"/>
        </w:rPr>
        <w:t>En</w:t>
      </w:r>
      <w:r>
        <w:rPr>
          <w:spacing w:val="-16"/>
          <w:sz w:val="22"/>
        </w:rPr>
        <w:t> </w:t>
      </w:r>
      <w:r>
        <w:rPr>
          <w:sz w:val="22"/>
        </w:rPr>
        <w:t>la</w:t>
      </w:r>
      <w:r>
        <w:rPr>
          <w:spacing w:val="-15"/>
          <w:sz w:val="22"/>
        </w:rPr>
        <w:t> </w:t>
      </w:r>
      <w:r>
        <w:rPr>
          <w:sz w:val="22"/>
        </w:rPr>
        <w:t>misma fecha,</w:t>
      </w:r>
      <w:r>
        <w:rPr>
          <w:spacing w:val="-16"/>
          <w:sz w:val="22"/>
        </w:rPr>
        <w:t> </w:t>
      </w:r>
      <w:r>
        <w:rPr>
          <w:sz w:val="22"/>
        </w:rPr>
        <w:t>la</w:t>
      </w:r>
      <w:r>
        <w:rPr>
          <w:spacing w:val="-15"/>
          <w:sz w:val="22"/>
        </w:rPr>
        <w:t> </w:t>
      </w:r>
      <w:r>
        <w:rPr>
          <w:sz w:val="22"/>
        </w:rPr>
        <w:t>SGCAN,</w:t>
      </w:r>
      <w:r>
        <w:rPr>
          <w:spacing w:val="-15"/>
          <w:sz w:val="22"/>
        </w:rPr>
        <w:t> </w:t>
      </w:r>
      <w:r>
        <w:rPr>
          <w:sz w:val="22"/>
        </w:rPr>
        <w:t>mediante</w:t>
      </w:r>
      <w:r>
        <w:rPr>
          <w:spacing w:val="-16"/>
          <w:sz w:val="22"/>
        </w:rPr>
        <w:t> </w:t>
      </w:r>
      <w:r>
        <w:rPr>
          <w:sz w:val="22"/>
        </w:rPr>
        <w:t>comunicación</w:t>
      </w:r>
      <w:r>
        <w:rPr>
          <w:spacing w:val="-15"/>
          <w:sz w:val="22"/>
        </w:rPr>
        <w:t> </w:t>
      </w:r>
      <w:r>
        <w:rPr>
          <w:sz w:val="22"/>
        </w:rPr>
        <w:t>N°</w:t>
      </w:r>
      <w:r>
        <w:rPr>
          <w:spacing w:val="-15"/>
          <w:sz w:val="22"/>
        </w:rPr>
        <w:t> </w:t>
      </w:r>
      <w:r>
        <w:rPr>
          <w:sz w:val="22"/>
        </w:rPr>
        <w:t>SG/E/DS/291/2026,</w:t>
      </w:r>
      <w:r>
        <w:rPr>
          <w:spacing w:val="-15"/>
          <w:sz w:val="22"/>
        </w:rPr>
        <w:t> </w:t>
      </w:r>
      <w:r>
        <w:rPr>
          <w:sz w:val="22"/>
        </w:rPr>
        <w:t>puso</w:t>
      </w:r>
      <w:r>
        <w:rPr>
          <w:spacing w:val="-16"/>
          <w:sz w:val="22"/>
        </w:rPr>
        <w:t> </w:t>
      </w:r>
      <w:r>
        <w:rPr>
          <w:sz w:val="22"/>
        </w:rPr>
        <w:t>en</w:t>
      </w:r>
      <w:r>
        <w:rPr>
          <w:spacing w:val="-15"/>
          <w:sz w:val="22"/>
        </w:rPr>
        <w:t> </w:t>
      </w:r>
      <w:r>
        <w:rPr>
          <w:sz w:val="22"/>
        </w:rPr>
        <w:t>conocimiento de los demás Países Miembros el inicio de la investigación, otorgándoles igual plazo para que remitan</w:t>
      </w:r>
      <w:r>
        <w:rPr>
          <w:spacing w:val="40"/>
          <w:sz w:val="22"/>
        </w:rPr>
        <w:t> </w:t>
      </w:r>
      <w:r>
        <w:rPr>
          <w:sz w:val="22"/>
        </w:rPr>
        <w:t>información que consideren pertinente.</w:t>
      </w:r>
    </w:p>
    <w:p>
      <w:pPr>
        <w:pStyle w:val="BodyText"/>
        <w:spacing w:before="2"/>
      </w:pPr>
    </w:p>
    <w:p>
      <w:pPr>
        <w:pStyle w:val="ListParagraph"/>
        <w:numPr>
          <w:ilvl w:val="0"/>
          <w:numId w:val="11"/>
        </w:numPr>
        <w:tabs>
          <w:tab w:pos="1131" w:val="left" w:leader="none"/>
          <w:tab w:pos="1134" w:val="left" w:leader="none"/>
        </w:tabs>
        <w:spacing w:line="240" w:lineRule="auto" w:before="0" w:after="0"/>
        <w:ind w:left="1134" w:right="977" w:hanging="567"/>
        <w:jc w:val="both"/>
        <w:rPr>
          <w:sz w:val="22"/>
        </w:rPr>
      </w:pPr>
      <w:r>
        <w:rPr>
          <w:sz w:val="22"/>
        </w:rPr>
        <w:t>El 24 de febrero de 2026,</w:t>
      </w:r>
      <w:r>
        <w:rPr>
          <w:spacing w:val="40"/>
          <w:sz w:val="22"/>
        </w:rPr>
        <w:t> </w:t>
      </w:r>
      <w:r>
        <w:rPr>
          <w:sz w:val="22"/>
        </w:rPr>
        <w:t>la República del Ecuador mediante Oficio N° MPCEI-VCE-2026-0012-O del</w:t>
      </w:r>
      <w:r>
        <w:rPr>
          <w:spacing w:val="-1"/>
          <w:sz w:val="22"/>
        </w:rPr>
        <w:t> </w:t>
      </w:r>
      <w:r>
        <w:rPr>
          <w:sz w:val="22"/>
        </w:rPr>
        <w:t>Ministerio de</w:t>
      </w:r>
      <w:r>
        <w:rPr>
          <w:spacing w:val="-1"/>
          <w:sz w:val="22"/>
        </w:rPr>
        <w:t> </w:t>
      </w:r>
      <w:r>
        <w:rPr>
          <w:sz w:val="22"/>
        </w:rPr>
        <w:t>Producción, Comercio Exterior e</w:t>
      </w:r>
      <w:r>
        <w:rPr>
          <w:spacing w:val="-1"/>
          <w:sz w:val="22"/>
        </w:rPr>
        <w:t> </w:t>
      </w:r>
      <w:r>
        <w:rPr>
          <w:sz w:val="22"/>
        </w:rPr>
        <w:t>Inversiones, solicitó se le otorgue un plazo adicional de diez (10) días hábiles para dar respuesta a la comunicación N° SG/E/DS/290/2026. Por este motivo, mediante comunicaciones N° SG/E/DGCOM/368/2026 de 26 de febrero de 2026, N° SG/E/DGCOM/369/2026 de 27 de febrero de 2026, y N° SG/E/DGCOM/405/2026 de 3 de marzo de 2026, la SGCAN determinó atender el requerimiento de la República del Ecuador otorgando el plazo solicitado, de conformidad con el artículo 52 de la Decisión 425, lo cual puso en conocimiento de los demás Países Miembros.</w:t>
      </w:r>
    </w:p>
    <w:p>
      <w:pPr>
        <w:pStyle w:val="BodyText"/>
      </w:pPr>
    </w:p>
    <w:p>
      <w:pPr>
        <w:pStyle w:val="ListParagraph"/>
        <w:numPr>
          <w:ilvl w:val="0"/>
          <w:numId w:val="11"/>
        </w:numPr>
        <w:tabs>
          <w:tab w:pos="1131" w:val="left" w:leader="none"/>
          <w:tab w:pos="1134" w:val="left" w:leader="none"/>
        </w:tabs>
        <w:spacing w:line="240" w:lineRule="auto" w:before="0" w:after="0"/>
        <w:ind w:left="1134" w:right="981" w:hanging="567"/>
        <w:jc w:val="both"/>
        <w:rPr>
          <w:sz w:val="22"/>
        </w:rPr>
      </w:pPr>
      <w:r>
        <w:rPr>
          <w:sz w:val="22"/>
        </w:rPr>
        <w:t>Que,</w:t>
      </w:r>
      <w:r>
        <w:rPr>
          <w:spacing w:val="-5"/>
          <w:sz w:val="22"/>
        </w:rPr>
        <w:t> </w:t>
      </w:r>
      <w:r>
        <w:rPr>
          <w:sz w:val="22"/>
        </w:rPr>
        <w:t>al</w:t>
      </w:r>
      <w:r>
        <w:rPr>
          <w:spacing w:val="-5"/>
          <w:sz w:val="22"/>
        </w:rPr>
        <w:t> </w:t>
      </w:r>
      <w:r>
        <w:rPr>
          <w:sz w:val="22"/>
        </w:rPr>
        <w:t>amparo</w:t>
      </w:r>
      <w:r>
        <w:rPr>
          <w:spacing w:val="-6"/>
          <w:sz w:val="22"/>
        </w:rPr>
        <w:t> </w:t>
      </w:r>
      <w:r>
        <w:rPr>
          <w:sz w:val="22"/>
        </w:rPr>
        <w:t>de</w:t>
      </w:r>
      <w:r>
        <w:rPr>
          <w:spacing w:val="-7"/>
          <w:sz w:val="22"/>
        </w:rPr>
        <w:t> </w:t>
      </w:r>
      <w:r>
        <w:rPr>
          <w:sz w:val="22"/>
        </w:rPr>
        <w:t>lo</w:t>
      </w:r>
      <w:r>
        <w:rPr>
          <w:spacing w:val="-4"/>
          <w:sz w:val="22"/>
        </w:rPr>
        <w:t> </w:t>
      </w:r>
      <w:r>
        <w:rPr>
          <w:sz w:val="22"/>
        </w:rPr>
        <w:t>dispuesto</w:t>
      </w:r>
      <w:r>
        <w:rPr>
          <w:spacing w:val="-3"/>
          <w:sz w:val="22"/>
        </w:rPr>
        <w:t> </w:t>
      </w:r>
      <w:r>
        <w:rPr>
          <w:sz w:val="22"/>
        </w:rPr>
        <w:t>en</w:t>
      </w:r>
      <w:r>
        <w:rPr>
          <w:spacing w:val="-7"/>
          <w:sz w:val="22"/>
        </w:rPr>
        <w:t> </w:t>
      </w:r>
      <w:r>
        <w:rPr>
          <w:sz w:val="22"/>
        </w:rPr>
        <w:t>los</w:t>
      </w:r>
      <w:r>
        <w:rPr>
          <w:spacing w:val="-4"/>
          <w:sz w:val="22"/>
        </w:rPr>
        <w:t> </w:t>
      </w:r>
      <w:r>
        <w:rPr>
          <w:sz w:val="22"/>
        </w:rPr>
        <w:t>artículos</w:t>
      </w:r>
      <w:r>
        <w:rPr>
          <w:spacing w:val="-6"/>
          <w:sz w:val="22"/>
        </w:rPr>
        <w:t> </w:t>
      </w:r>
      <w:r>
        <w:rPr>
          <w:sz w:val="22"/>
        </w:rPr>
        <w:t>39</w:t>
      </w:r>
      <w:r>
        <w:rPr>
          <w:spacing w:val="-4"/>
          <w:sz w:val="22"/>
        </w:rPr>
        <w:t> </w:t>
      </w:r>
      <w:r>
        <w:rPr>
          <w:sz w:val="22"/>
        </w:rPr>
        <w:t>del</w:t>
      </w:r>
      <w:r>
        <w:rPr>
          <w:spacing w:val="-5"/>
          <w:sz w:val="22"/>
        </w:rPr>
        <w:t> </w:t>
      </w:r>
      <w:r>
        <w:rPr>
          <w:sz w:val="22"/>
        </w:rPr>
        <w:t>Acuerdo</w:t>
      </w:r>
      <w:r>
        <w:rPr>
          <w:spacing w:val="-7"/>
          <w:sz w:val="22"/>
        </w:rPr>
        <w:t> </w:t>
      </w:r>
      <w:r>
        <w:rPr>
          <w:sz w:val="22"/>
        </w:rPr>
        <w:t>de</w:t>
      </w:r>
      <w:r>
        <w:rPr>
          <w:spacing w:val="-7"/>
          <w:sz w:val="22"/>
        </w:rPr>
        <w:t> </w:t>
      </w:r>
      <w:r>
        <w:rPr>
          <w:sz w:val="22"/>
        </w:rPr>
        <w:t>Cartagena</w:t>
      </w:r>
      <w:r>
        <w:rPr>
          <w:spacing w:val="-4"/>
          <w:sz w:val="22"/>
        </w:rPr>
        <w:t> </w:t>
      </w:r>
      <w:r>
        <w:rPr>
          <w:sz w:val="22"/>
        </w:rPr>
        <w:t>y</w:t>
      </w:r>
      <w:r>
        <w:rPr>
          <w:spacing w:val="-4"/>
          <w:sz w:val="22"/>
        </w:rPr>
        <w:t> </w:t>
      </w:r>
      <w:r>
        <w:rPr>
          <w:sz w:val="22"/>
        </w:rPr>
        <w:t>27</w:t>
      </w:r>
      <w:r>
        <w:rPr>
          <w:spacing w:val="-7"/>
          <w:sz w:val="22"/>
        </w:rPr>
        <w:t> </w:t>
      </w:r>
      <w:r>
        <w:rPr>
          <w:sz w:val="22"/>
        </w:rPr>
        <w:t>de</w:t>
      </w:r>
      <w:r>
        <w:rPr>
          <w:spacing w:val="-7"/>
          <w:sz w:val="22"/>
        </w:rPr>
        <w:t> </w:t>
      </w:r>
      <w:r>
        <w:rPr>
          <w:sz w:val="22"/>
        </w:rPr>
        <w:t>la Decisión 425, la SGCAN mediante comunicación SG/E/DGCOM/403/2026 de fecha 3 de marzo de 2026, solicitó a la República del Ecuador información complementaria sobre el procedimiento en curso. Cabe mencionar que, mediante comunicación SG/E/DGCOM/480/2026 del 12 de marzo de 2026 se puso en conocimiento de los Países Miembros esta solicitud de información adicional.</w:t>
      </w:r>
    </w:p>
    <w:p>
      <w:pPr>
        <w:pStyle w:val="BodyText"/>
      </w:pPr>
    </w:p>
    <w:p>
      <w:pPr>
        <w:pStyle w:val="ListParagraph"/>
        <w:numPr>
          <w:ilvl w:val="0"/>
          <w:numId w:val="11"/>
        </w:numPr>
        <w:tabs>
          <w:tab w:pos="1131" w:val="left" w:leader="none"/>
          <w:tab w:pos="1134" w:val="left" w:leader="none"/>
        </w:tabs>
        <w:spacing w:line="240" w:lineRule="auto" w:before="1" w:after="0"/>
        <w:ind w:left="1134" w:right="978" w:hanging="567"/>
        <w:jc w:val="both"/>
        <w:rPr>
          <w:sz w:val="22"/>
        </w:rPr>
      </w:pPr>
      <w:r>
        <w:rPr>
          <w:sz w:val="22"/>
        </w:rPr>
        <w:t>Que, el 6 de marzo de 2026, la SGCAN recibió una comunicación de la Asociación Nacional de Empresarios de Colombia – ANDI a través de la cual manifestó interés legítimo en el marco del procedimiento de calificación de gravámenes iniciado por la República de Colombia</w:t>
      </w:r>
      <w:r>
        <w:rPr>
          <w:spacing w:val="-4"/>
          <w:sz w:val="22"/>
        </w:rPr>
        <w:t> </w:t>
      </w:r>
      <w:r>
        <w:rPr>
          <w:sz w:val="22"/>
        </w:rPr>
        <w:t>con</w:t>
      </w:r>
      <w:r>
        <w:rPr>
          <w:spacing w:val="-2"/>
          <w:sz w:val="22"/>
        </w:rPr>
        <w:t> </w:t>
      </w:r>
      <w:r>
        <w:rPr>
          <w:sz w:val="22"/>
        </w:rPr>
        <w:t>respecto de</w:t>
      </w:r>
      <w:r>
        <w:rPr>
          <w:spacing w:val="-2"/>
          <w:sz w:val="22"/>
        </w:rPr>
        <w:t> </w:t>
      </w:r>
      <w:r>
        <w:rPr>
          <w:sz w:val="22"/>
        </w:rPr>
        <w:t>la Resolución SENAE-SENAE-2026-0006-RE, que fuera derogada por la Resolución SENAE-SENAE-2026-0017-RE, y solicitó a la SGCAN admitir y tener en cuenta su escrito, calificar como gravamen la medida cuestionada, declarar la incompatibilidad de la medida con los artículos 72, 73, 76</w:t>
      </w:r>
      <w:r>
        <w:rPr>
          <w:spacing w:val="-2"/>
          <w:sz w:val="22"/>
        </w:rPr>
        <w:t> </w:t>
      </w:r>
      <w:r>
        <w:rPr>
          <w:sz w:val="22"/>
        </w:rPr>
        <w:t>y 77 del Acuerdo de Cartagena, adoptar las medidas de emergencia para preservar la eficacia</w:t>
      </w:r>
      <w:r>
        <w:rPr>
          <w:spacing w:val="-10"/>
          <w:sz w:val="22"/>
        </w:rPr>
        <w:t> </w:t>
      </w:r>
      <w:r>
        <w:rPr>
          <w:sz w:val="22"/>
        </w:rPr>
        <w:t>de</w:t>
      </w:r>
      <w:r>
        <w:rPr>
          <w:spacing w:val="-13"/>
          <w:sz w:val="22"/>
        </w:rPr>
        <w:t> </w:t>
      </w:r>
      <w:r>
        <w:rPr>
          <w:sz w:val="22"/>
        </w:rPr>
        <w:t>su</w:t>
      </w:r>
      <w:r>
        <w:rPr>
          <w:spacing w:val="-12"/>
          <w:sz w:val="22"/>
        </w:rPr>
        <w:t> </w:t>
      </w:r>
      <w:r>
        <w:rPr>
          <w:sz w:val="22"/>
        </w:rPr>
        <w:t>pronunciamiento</w:t>
      </w:r>
      <w:r>
        <w:rPr>
          <w:spacing w:val="-12"/>
          <w:sz w:val="22"/>
        </w:rPr>
        <w:t> </w:t>
      </w:r>
      <w:r>
        <w:rPr>
          <w:sz w:val="22"/>
        </w:rPr>
        <w:t>final,</w:t>
      </w:r>
      <w:r>
        <w:rPr>
          <w:spacing w:val="-11"/>
          <w:sz w:val="22"/>
        </w:rPr>
        <w:t> </w:t>
      </w:r>
      <w:r>
        <w:rPr>
          <w:sz w:val="22"/>
        </w:rPr>
        <w:t>y</w:t>
      </w:r>
      <w:r>
        <w:rPr>
          <w:spacing w:val="-12"/>
          <w:sz w:val="22"/>
        </w:rPr>
        <w:t> </w:t>
      </w:r>
      <w:r>
        <w:rPr>
          <w:sz w:val="22"/>
        </w:rPr>
        <w:t>se</w:t>
      </w:r>
      <w:r>
        <w:rPr>
          <w:spacing w:val="-10"/>
          <w:sz w:val="22"/>
        </w:rPr>
        <w:t> </w:t>
      </w:r>
      <w:r>
        <w:rPr>
          <w:sz w:val="22"/>
        </w:rPr>
        <w:t>le</w:t>
      </w:r>
      <w:r>
        <w:rPr>
          <w:spacing w:val="-12"/>
          <w:sz w:val="22"/>
        </w:rPr>
        <w:t> </w:t>
      </w:r>
      <w:r>
        <w:rPr>
          <w:sz w:val="22"/>
        </w:rPr>
        <w:t>notifiquen</w:t>
      </w:r>
      <w:r>
        <w:rPr>
          <w:spacing w:val="-10"/>
          <w:sz w:val="22"/>
        </w:rPr>
        <w:t> </w:t>
      </w:r>
      <w:r>
        <w:rPr>
          <w:sz w:val="22"/>
        </w:rPr>
        <w:t>las</w:t>
      </w:r>
      <w:r>
        <w:rPr>
          <w:spacing w:val="-10"/>
          <w:sz w:val="22"/>
        </w:rPr>
        <w:t> </w:t>
      </w:r>
      <w:r>
        <w:rPr>
          <w:sz w:val="22"/>
        </w:rPr>
        <w:t>actuaciones</w:t>
      </w:r>
      <w:r>
        <w:rPr>
          <w:spacing w:val="-12"/>
          <w:sz w:val="22"/>
        </w:rPr>
        <w:t> </w:t>
      </w:r>
      <w:r>
        <w:rPr>
          <w:sz w:val="22"/>
        </w:rPr>
        <w:t>realizadas</w:t>
      </w:r>
      <w:r>
        <w:rPr>
          <w:spacing w:val="-10"/>
          <w:sz w:val="22"/>
        </w:rPr>
        <w:t> </w:t>
      </w:r>
      <w:r>
        <w:rPr>
          <w:sz w:val="22"/>
        </w:rPr>
        <w:t>dentro del procedimiento.</w:t>
      </w:r>
    </w:p>
    <w:p>
      <w:pPr>
        <w:pStyle w:val="ListParagraph"/>
        <w:numPr>
          <w:ilvl w:val="0"/>
          <w:numId w:val="11"/>
        </w:numPr>
        <w:tabs>
          <w:tab w:pos="1131" w:val="left" w:leader="none"/>
          <w:tab w:pos="1134" w:val="left" w:leader="none"/>
        </w:tabs>
        <w:spacing w:line="240" w:lineRule="auto" w:before="252" w:after="0"/>
        <w:ind w:left="1134" w:right="976" w:hanging="567"/>
        <w:jc w:val="both"/>
        <w:rPr>
          <w:sz w:val="22"/>
        </w:rPr>
      </w:pPr>
      <w:r>
        <w:rPr>
          <w:sz w:val="22"/>
        </w:rPr>
        <w:t>Que, el 10 de marzo de 2026, la República de Colombia, mediante Radicado No. 2-2026-007124, comunicó que la República del Ecuador emitió la Resolución Nro. SENAE-SENAE-2026-0017- RE, de fecha 28 de febrero del año en curso, mediante la cual</w:t>
      </w:r>
      <w:r>
        <w:rPr>
          <w:spacing w:val="-7"/>
          <w:sz w:val="22"/>
        </w:rPr>
        <w:t> </w:t>
      </w:r>
      <w:r>
        <w:rPr>
          <w:sz w:val="22"/>
        </w:rPr>
        <w:t>deja</w:t>
      </w:r>
      <w:r>
        <w:rPr>
          <w:spacing w:val="-9"/>
          <w:sz w:val="22"/>
        </w:rPr>
        <w:t> </w:t>
      </w:r>
      <w:r>
        <w:rPr>
          <w:sz w:val="22"/>
        </w:rPr>
        <w:t>sin</w:t>
      </w:r>
      <w:r>
        <w:rPr>
          <w:spacing w:val="-9"/>
          <w:sz w:val="22"/>
        </w:rPr>
        <w:t> </w:t>
      </w:r>
      <w:r>
        <w:rPr>
          <w:sz w:val="22"/>
        </w:rPr>
        <w:t>efecto</w:t>
      </w:r>
      <w:r>
        <w:rPr>
          <w:spacing w:val="-8"/>
          <w:sz w:val="22"/>
        </w:rPr>
        <w:t> </w:t>
      </w:r>
      <w:r>
        <w:rPr>
          <w:sz w:val="22"/>
        </w:rPr>
        <w:t>la</w:t>
      </w:r>
      <w:r>
        <w:rPr>
          <w:spacing w:val="-7"/>
          <w:sz w:val="22"/>
        </w:rPr>
        <w:t> </w:t>
      </w:r>
      <w:r>
        <w:rPr>
          <w:sz w:val="22"/>
        </w:rPr>
        <w:t>Resolución</w:t>
      </w:r>
      <w:r>
        <w:rPr>
          <w:spacing w:val="-7"/>
          <w:sz w:val="22"/>
        </w:rPr>
        <w:t> </w:t>
      </w:r>
      <w:r>
        <w:rPr>
          <w:sz w:val="22"/>
        </w:rPr>
        <w:t>Nro.</w:t>
      </w:r>
      <w:r>
        <w:rPr>
          <w:spacing w:val="-8"/>
          <w:sz w:val="22"/>
        </w:rPr>
        <w:t> </w:t>
      </w:r>
      <w:r>
        <w:rPr>
          <w:sz w:val="22"/>
        </w:rPr>
        <w:t>SENAE-SENAE-2026-0006-R</w:t>
      </w:r>
      <w:r>
        <w:rPr>
          <w:spacing w:val="-9"/>
          <w:sz w:val="22"/>
        </w:rPr>
        <w:t> </w:t>
      </w:r>
      <w:r>
        <w:rPr>
          <w:sz w:val="22"/>
        </w:rPr>
        <w:t>de</w:t>
      </w:r>
      <w:r>
        <w:rPr>
          <w:spacing w:val="-9"/>
          <w:sz w:val="22"/>
        </w:rPr>
        <w:t> </w:t>
      </w:r>
      <w:r>
        <w:rPr>
          <w:sz w:val="22"/>
        </w:rPr>
        <w:t>24</w:t>
      </w:r>
      <w:r>
        <w:rPr>
          <w:spacing w:val="-9"/>
          <w:sz w:val="22"/>
        </w:rPr>
        <w:t> </w:t>
      </w:r>
      <w:r>
        <w:rPr>
          <w:sz w:val="22"/>
        </w:rPr>
        <w:t>de</w:t>
      </w:r>
      <w:r>
        <w:rPr>
          <w:spacing w:val="-9"/>
          <w:sz w:val="22"/>
        </w:rPr>
        <w:t> </w:t>
      </w:r>
      <w:r>
        <w:rPr>
          <w:sz w:val="22"/>
        </w:rPr>
        <w:t>enero</w:t>
      </w:r>
      <w:r>
        <w:rPr>
          <w:spacing w:val="-8"/>
          <w:sz w:val="22"/>
        </w:rPr>
        <w:t> </w:t>
      </w:r>
      <w:r>
        <w:rPr>
          <w:sz w:val="22"/>
        </w:rPr>
        <w:t>de 2026, en lo relativo al incremento del gravamen arancelario aplicable a las mercancías originarias</w:t>
      </w:r>
      <w:r>
        <w:rPr>
          <w:spacing w:val="-10"/>
          <w:sz w:val="22"/>
        </w:rPr>
        <w:t> </w:t>
      </w:r>
      <w:r>
        <w:rPr>
          <w:sz w:val="22"/>
        </w:rPr>
        <w:t>de</w:t>
      </w:r>
      <w:r>
        <w:rPr>
          <w:spacing w:val="-10"/>
          <w:sz w:val="22"/>
        </w:rPr>
        <w:t> </w:t>
      </w:r>
      <w:r>
        <w:rPr>
          <w:sz w:val="22"/>
        </w:rPr>
        <w:t>la</w:t>
      </w:r>
      <w:r>
        <w:rPr>
          <w:spacing w:val="-12"/>
          <w:sz w:val="22"/>
        </w:rPr>
        <w:t> </w:t>
      </w:r>
      <w:r>
        <w:rPr>
          <w:sz w:val="22"/>
        </w:rPr>
        <w:t>República</w:t>
      </w:r>
      <w:r>
        <w:rPr>
          <w:spacing w:val="-10"/>
          <w:sz w:val="22"/>
        </w:rPr>
        <w:t> </w:t>
      </w:r>
      <w:r>
        <w:rPr>
          <w:sz w:val="22"/>
        </w:rPr>
        <w:t>de</w:t>
      </w:r>
      <w:r>
        <w:rPr>
          <w:spacing w:val="-10"/>
          <w:sz w:val="22"/>
        </w:rPr>
        <w:t> </w:t>
      </w:r>
      <w:r>
        <w:rPr>
          <w:sz w:val="22"/>
        </w:rPr>
        <w:t>Colombia,</w:t>
      </w:r>
      <w:r>
        <w:rPr>
          <w:spacing w:val="-8"/>
          <w:sz w:val="22"/>
        </w:rPr>
        <w:t> </w:t>
      </w:r>
      <w:r>
        <w:rPr>
          <w:sz w:val="22"/>
        </w:rPr>
        <w:t>elevando</w:t>
      </w:r>
      <w:r>
        <w:rPr>
          <w:spacing w:val="-12"/>
          <w:sz w:val="22"/>
        </w:rPr>
        <w:t> </w:t>
      </w:r>
      <w:r>
        <w:rPr>
          <w:sz w:val="22"/>
        </w:rPr>
        <w:t>del</w:t>
      </w:r>
      <w:r>
        <w:rPr>
          <w:spacing w:val="-11"/>
          <w:sz w:val="22"/>
        </w:rPr>
        <w:t> </w:t>
      </w:r>
      <w:r>
        <w:rPr>
          <w:sz w:val="22"/>
        </w:rPr>
        <w:t>30%</w:t>
      </w:r>
      <w:r>
        <w:rPr>
          <w:spacing w:val="-11"/>
          <w:sz w:val="22"/>
        </w:rPr>
        <w:t> </w:t>
      </w:r>
      <w:r>
        <w:rPr>
          <w:sz w:val="22"/>
        </w:rPr>
        <w:t>al</w:t>
      </w:r>
      <w:r>
        <w:rPr>
          <w:spacing w:val="-11"/>
          <w:sz w:val="22"/>
        </w:rPr>
        <w:t> </w:t>
      </w:r>
      <w:r>
        <w:rPr>
          <w:sz w:val="22"/>
        </w:rPr>
        <w:t>50%</w:t>
      </w:r>
      <w:r>
        <w:rPr>
          <w:spacing w:val="-9"/>
          <w:sz w:val="22"/>
        </w:rPr>
        <w:t> </w:t>
      </w:r>
      <w:r>
        <w:rPr>
          <w:rFonts w:ascii="Arial" w:hAnsi="Arial"/>
          <w:i/>
          <w:sz w:val="22"/>
        </w:rPr>
        <w:t>ad</w:t>
      </w:r>
      <w:r>
        <w:rPr>
          <w:rFonts w:ascii="Arial" w:hAnsi="Arial"/>
          <w:i/>
          <w:spacing w:val="-10"/>
          <w:sz w:val="22"/>
        </w:rPr>
        <w:t> </w:t>
      </w:r>
      <w:r>
        <w:rPr>
          <w:rFonts w:ascii="Arial" w:hAnsi="Arial"/>
          <w:i/>
          <w:sz w:val="22"/>
        </w:rPr>
        <w:t>valorem,</w:t>
      </w:r>
      <w:r>
        <w:rPr>
          <w:rFonts w:ascii="Arial" w:hAnsi="Arial"/>
          <w:i/>
          <w:spacing w:val="-11"/>
          <w:sz w:val="22"/>
        </w:rPr>
        <w:t> </w:t>
      </w:r>
      <w:r>
        <w:rPr>
          <w:sz w:val="22"/>
        </w:rPr>
        <w:t>y</w:t>
      </w:r>
      <w:r>
        <w:rPr>
          <w:spacing w:val="-12"/>
          <w:sz w:val="22"/>
        </w:rPr>
        <w:t> </w:t>
      </w:r>
      <w:r>
        <w:rPr>
          <w:sz w:val="22"/>
        </w:rPr>
        <w:t>solicitó la</w:t>
      </w:r>
      <w:r>
        <w:rPr>
          <w:spacing w:val="-3"/>
          <w:sz w:val="22"/>
        </w:rPr>
        <w:t> </w:t>
      </w:r>
      <w:r>
        <w:rPr>
          <w:sz w:val="22"/>
        </w:rPr>
        <w:t>incorporación</w:t>
      </w:r>
      <w:r>
        <w:rPr>
          <w:spacing w:val="-3"/>
          <w:sz w:val="22"/>
        </w:rPr>
        <w:t> </w:t>
      </w:r>
      <w:r>
        <w:rPr>
          <w:sz w:val="22"/>
        </w:rPr>
        <w:t>de</w:t>
      </w:r>
      <w:r>
        <w:rPr>
          <w:spacing w:val="-5"/>
          <w:sz w:val="22"/>
        </w:rPr>
        <w:t> </w:t>
      </w:r>
      <w:r>
        <w:rPr>
          <w:sz w:val="22"/>
        </w:rPr>
        <w:t>la</w:t>
      </w:r>
      <w:r>
        <w:rPr>
          <w:spacing w:val="-5"/>
          <w:sz w:val="22"/>
        </w:rPr>
        <w:t> </w:t>
      </w:r>
      <w:r>
        <w:rPr>
          <w:sz w:val="22"/>
        </w:rPr>
        <w:t>mencionada</w:t>
      </w:r>
      <w:r>
        <w:rPr>
          <w:spacing w:val="-3"/>
          <w:sz w:val="22"/>
        </w:rPr>
        <w:t> </w:t>
      </w:r>
      <w:r>
        <w:rPr>
          <w:sz w:val="22"/>
        </w:rPr>
        <w:t>Resolución</w:t>
      </w:r>
      <w:r>
        <w:rPr>
          <w:spacing w:val="-2"/>
          <w:sz w:val="22"/>
        </w:rPr>
        <w:t> </w:t>
      </w:r>
      <w:r>
        <w:rPr>
          <w:sz w:val="22"/>
        </w:rPr>
        <w:t>al</w:t>
      </w:r>
      <w:r>
        <w:rPr>
          <w:spacing w:val="-4"/>
          <w:sz w:val="22"/>
        </w:rPr>
        <w:t> </w:t>
      </w:r>
      <w:r>
        <w:rPr>
          <w:sz w:val="22"/>
        </w:rPr>
        <w:t>expediente</w:t>
      </w:r>
      <w:r>
        <w:rPr>
          <w:spacing w:val="-3"/>
          <w:sz w:val="22"/>
        </w:rPr>
        <w:t> </w:t>
      </w:r>
      <w:r>
        <w:rPr>
          <w:sz w:val="22"/>
        </w:rPr>
        <w:t>DGCOM/GRAV/001/2026.</w:t>
      </w:r>
    </w:p>
    <w:p>
      <w:pPr>
        <w:pStyle w:val="BodyText"/>
        <w:rPr>
          <w:sz w:val="14"/>
        </w:rPr>
      </w:pPr>
      <w:r>
        <w:rPr>
          <w:sz w:val="14"/>
        </w:rPr>
        <mc:AlternateContent>
          <mc:Choice Requires="wps">
            <w:drawing>
              <wp:anchor distT="0" distB="0" distL="0" distR="0" allowOverlap="1" layoutInCell="1" locked="0" behindDoc="1" simplePos="0" relativeHeight="487616512">
                <wp:simplePos x="0" y="0"/>
                <wp:positionH relativeFrom="page">
                  <wp:posOffset>990904</wp:posOffset>
                </wp:positionH>
                <wp:positionV relativeFrom="paragraph">
                  <wp:posOffset>117662</wp:posOffset>
                </wp:positionV>
                <wp:extent cx="1829435" cy="7620"/>
                <wp:effectExtent l="0" t="0" r="0" b="0"/>
                <wp:wrapTopAndBottom/>
                <wp:docPr id="290" name="Graphic 290"/>
                <wp:cNvGraphicFramePr>
                  <a:graphicFrameLocks/>
                </wp:cNvGraphicFramePr>
                <a:graphic>
                  <a:graphicData uri="http://schemas.microsoft.com/office/word/2010/wordprocessingShape">
                    <wps:wsp>
                      <wps:cNvPr id="290" name="Graphic 290"/>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9.264731pt;width:144.020pt;height:.599980pt;mso-position-horizontal-relative:page;mso-position-vertical-relative:paragraph;z-index:-15699968;mso-wrap-distance-left:0;mso-wrap-distance-right:0" id="docshape216" filled="true" fillcolor="#000000" stroked="false">
                <v:fill type="solid"/>
                <w10:wrap type="topAndBottom"/>
              </v:rect>
            </w:pict>
          </mc:Fallback>
        </mc:AlternateContent>
      </w:r>
    </w:p>
    <w:p>
      <w:pPr>
        <w:spacing w:before="93"/>
        <w:ind w:left="568" w:right="0" w:firstLine="0"/>
        <w:jc w:val="both"/>
        <w:rPr>
          <w:sz w:val="16"/>
        </w:rPr>
      </w:pPr>
      <w:bookmarkStart w:name="_bookmark44" w:id="45"/>
      <w:bookmarkEnd w:id="45"/>
      <w:r>
        <w:rPr/>
      </w:r>
      <w:r>
        <w:rPr>
          <w:sz w:val="16"/>
          <w:vertAlign w:val="superscript"/>
        </w:rPr>
        <w:t>2</w:t>
      </w:r>
      <w:r>
        <w:rPr>
          <w:spacing w:val="-6"/>
          <w:sz w:val="16"/>
          <w:vertAlign w:val="baseline"/>
        </w:rPr>
        <w:t> </w:t>
      </w:r>
      <w:r>
        <w:rPr>
          <w:sz w:val="16"/>
          <w:vertAlign w:val="baseline"/>
        </w:rPr>
        <w:t>Decisión</w:t>
      </w:r>
      <w:r>
        <w:rPr>
          <w:spacing w:val="-6"/>
          <w:sz w:val="16"/>
          <w:vertAlign w:val="baseline"/>
        </w:rPr>
        <w:t> </w:t>
      </w:r>
      <w:r>
        <w:rPr>
          <w:sz w:val="16"/>
          <w:vertAlign w:val="baseline"/>
        </w:rPr>
        <w:t>425</w:t>
      </w:r>
      <w:r>
        <w:rPr>
          <w:spacing w:val="-7"/>
          <w:sz w:val="16"/>
          <w:vertAlign w:val="baseline"/>
        </w:rPr>
        <w:t> </w:t>
      </w:r>
      <w:r>
        <w:rPr>
          <w:sz w:val="16"/>
          <w:vertAlign w:val="baseline"/>
        </w:rPr>
        <w:t>–</w:t>
      </w:r>
      <w:r>
        <w:rPr>
          <w:spacing w:val="-6"/>
          <w:sz w:val="16"/>
          <w:vertAlign w:val="baseline"/>
        </w:rPr>
        <w:t> </w:t>
      </w:r>
      <w:r>
        <w:rPr>
          <w:sz w:val="16"/>
          <w:vertAlign w:val="baseline"/>
        </w:rPr>
        <w:t>Reglamento</w:t>
      </w:r>
      <w:r>
        <w:rPr>
          <w:spacing w:val="-8"/>
          <w:sz w:val="16"/>
          <w:vertAlign w:val="baseline"/>
        </w:rPr>
        <w:t> </w:t>
      </w:r>
      <w:r>
        <w:rPr>
          <w:sz w:val="16"/>
          <w:vertAlign w:val="baseline"/>
        </w:rPr>
        <w:t>de</w:t>
      </w:r>
      <w:r>
        <w:rPr>
          <w:spacing w:val="-8"/>
          <w:sz w:val="16"/>
          <w:vertAlign w:val="baseline"/>
        </w:rPr>
        <w:t> </w:t>
      </w:r>
      <w:r>
        <w:rPr>
          <w:sz w:val="16"/>
          <w:vertAlign w:val="baseline"/>
        </w:rPr>
        <w:t>Procedimientos</w:t>
      </w:r>
      <w:r>
        <w:rPr>
          <w:spacing w:val="-6"/>
          <w:sz w:val="16"/>
          <w:vertAlign w:val="baseline"/>
        </w:rPr>
        <w:t> </w:t>
      </w:r>
      <w:r>
        <w:rPr>
          <w:sz w:val="16"/>
          <w:vertAlign w:val="baseline"/>
        </w:rPr>
        <w:t>Administrativos</w:t>
      </w:r>
      <w:r>
        <w:rPr>
          <w:spacing w:val="-4"/>
          <w:sz w:val="16"/>
          <w:vertAlign w:val="baseline"/>
        </w:rPr>
        <w:t> </w:t>
      </w:r>
      <w:r>
        <w:rPr>
          <w:sz w:val="16"/>
          <w:vertAlign w:val="baseline"/>
        </w:rPr>
        <w:t>de</w:t>
      </w:r>
      <w:r>
        <w:rPr>
          <w:spacing w:val="-8"/>
          <w:sz w:val="16"/>
          <w:vertAlign w:val="baseline"/>
        </w:rPr>
        <w:t> </w:t>
      </w:r>
      <w:r>
        <w:rPr>
          <w:sz w:val="16"/>
          <w:vertAlign w:val="baseline"/>
        </w:rPr>
        <w:t>la</w:t>
      </w:r>
      <w:r>
        <w:rPr>
          <w:spacing w:val="-6"/>
          <w:sz w:val="16"/>
          <w:vertAlign w:val="baseline"/>
        </w:rPr>
        <w:t> </w:t>
      </w:r>
      <w:r>
        <w:rPr>
          <w:sz w:val="16"/>
          <w:vertAlign w:val="baseline"/>
        </w:rPr>
        <w:t>Secretaría</w:t>
      </w:r>
      <w:r>
        <w:rPr>
          <w:spacing w:val="-5"/>
          <w:sz w:val="16"/>
          <w:vertAlign w:val="baseline"/>
        </w:rPr>
        <w:t> </w:t>
      </w:r>
      <w:r>
        <w:rPr>
          <w:sz w:val="16"/>
          <w:vertAlign w:val="baseline"/>
        </w:rPr>
        <w:t>General</w:t>
      </w:r>
      <w:r>
        <w:rPr>
          <w:spacing w:val="-8"/>
          <w:sz w:val="16"/>
          <w:vertAlign w:val="baseline"/>
        </w:rPr>
        <w:t> </w:t>
      </w:r>
      <w:r>
        <w:rPr>
          <w:sz w:val="16"/>
          <w:vertAlign w:val="baseline"/>
        </w:rPr>
        <w:t>de</w:t>
      </w:r>
      <w:r>
        <w:rPr>
          <w:spacing w:val="-6"/>
          <w:sz w:val="16"/>
          <w:vertAlign w:val="baseline"/>
        </w:rPr>
        <w:t> </w:t>
      </w:r>
      <w:r>
        <w:rPr>
          <w:sz w:val="16"/>
          <w:vertAlign w:val="baseline"/>
        </w:rPr>
        <w:t>la</w:t>
      </w:r>
      <w:r>
        <w:rPr>
          <w:spacing w:val="-5"/>
          <w:sz w:val="16"/>
          <w:vertAlign w:val="baseline"/>
        </w:rPr>
        <w:t> </w:t>
      </w:r>
      <w:r>
        <w:rPr>
          <w:sz w:val="16"/>
          <w:vertAlign w:val="baseline"/>
        </w:rPr>
        <w:t>Comunidad</w:t>
      </w:r>
      <w:r>
        <w:rPr>
          <w:spacing w:val="-6"/>
          <w:sz w:val="16"/>
          <w:vertAlign w:val="baseline"/>
        </w:rPr>
        <w:t> </w:t>
      </w:r>
      <w:r>
        <w:rPr>
          <w:spacing w:val="-2"/>
          <w:sz w:val="16"/>
          <w:vertAlign w:val="baseline"/>
        </w:rPr>
        <w:t>Andina.</w:t>
      </w:r>
    </w:p>
    <w:p>
      <w:pPr>
        <w:spacing w:before="0"/>
        <w:ind w:left="568" w:right="986" w:firstLine="0"/>
        <w:jc w:val="both"/>
        <w:rPr>
          <w:rFonts w:ascii="Arial" w:hAnsi="Arial"/>
          <w:i/>
          <w:sz w:val="16"/>
        </w:rPr>
      </w:pPr>
      <w:r>
        <w:rPr>
          <w:rFonts w:ascii="Arial" w:hAnsi="Arial"/>
          <w:b/>
          <w:i/>
          <w:sz w:val="16"/>
        </w:rPr>
        <w:t>“Artículo 49.- </w:t>
      </w:r>
      <w:r>
        <w:rPr>
          <w:rFonts w:ascii="Arial" w:hAnsi="Arial"/>
          <w:i/>
          <w:sz w:val="16"/>
        </w:rPr>
        <w:t>Una vez que la Secretaría General encuentre que la solicitud cumple los requisitos contemplados por el artículo 47 del presente Reglamento, dará inicio a la investigación. La Secretaría General podrá igualmente iniciar investigaciones de oficio,</w:t>
      </w:r>
      <w:r>
        <w:rPr>
          <w:rFonts w:ascii="Arial" w:hAnsi="Arial"/>
          <w:i/>
          <w:spacing w:val="14"/>
          <w:sz w:val="16"/>
        </w:rPr>
        <w:t> </w:t>
      </w:r>
      <w:r>
        <w:rPr>
          <w:rFonts w:ascii="Arial" w:hAnsi="Arial"/>
          <w:i/>
          <w:sz w:val="16"/>
        </w:rPr>
        <w:t>cuando</w:t>
      </w:r>
      <w:r>
        <w:rPr>
          <w:rFonts w:ascii="Arial" w:hAnsi="Arial"/>
          <w:i/>
          <w:spacing w:val="15"/>
          <w:sz w:val="16"/>
        </w:rPr>
        <w:t> </w:t>
      </w:r>
      <w:r>
        <w:rPr>
          <w:rFonts w:ascii="Arial" w:hAnsi="Arial"/>
          <w:i/>
          <w:sz w:val="16"/>
        </w:rPr>
        <w:t>disponga</w:t>
      </w:r>
      <w:r>
        <w:rPr>
          <w:rFonts w:ascii="Arial" w:hAnsi="Arial"/>
          <w:i/>
          <w:spacing w:val="15"/>
          <w:sz w:val="16"/>
        </w:rPr>
        <w:t> </w:t>
      </w:r>
      <w:r>
        <w:rPr>
          <w:rFonts w:ascii="Arial" w:hAnsi="Arial"/>
          <w:i/>
          <w:sz w:val="16"/>
        </w:rPr>
        <w:t>de</w:t>
      </w:r>
      <w:r>
        <w:rPr>
          <w:rFonts w:ascii="Arial" w:hAnsi="Arial"/>
          <w:i/>
          <w:spacing w:val="12"/>
          <w:sz w:val="16"/>
        </w:rPr>
        <w:t> </w:t>
      </w:r>
      <w:r>
        <w:rPr>
          <w:rFonts w:ascii="Arial" w:hAnsi="Arial"/>
          <w:i/>
          <w:sz w:val="16"/>
        </w:rPr>
        <w:t>información</w:t>
      </w:r>
      <w:r>
        <w:rPr>
          <w:rFonts w:ascii="Arial" w:hAnsi="Arial"/>
          <w:i/>
          <w:spacing w:val="12"/>
          <w:sz w:val="16"/>
        </w:rPr>
        <w:t> </w:t>
      </w:r>
      <w:r>
        <w:rPr>
          <w:rFonts w:ascii="Arial" w:hAnsi="Arial"/>
          <w:i/>
          <w:sz w:val="16"/>
        </w:rPr>
        <w:t>con</w:t>
      </w:r>
      <w:r>
        <w:rPr>
          <w:rFonts w:ascii="Arial" w:hAnsi="Arial"/>
          <w:i/>
          <w:spacing w:val="15"/>
          <w:sz w:val="16"/>
        </w:rPr>
        <w:t> </w:t>
      </w:r>
      <w:r>
        <w:rPr>
          <w:rFonts w:ascii="Arial" w:hAnsi="Arial"/>
          <w:i/>
          <w:sz w:val="16"/>
        </w:rPr>
        <w:t>respecto</w:t>
      </w:r>
      <w:r>
        <w:rPr>
          <w:rFonts w:ascii="Arial" w:hAnsi="Arial"/>
          <w:i/>
          <w:spacing w:val="15"/>
          <w:sz w:val="16"/>
        </w:rPr>
        <w:t> </w:t>
      </w:r>
      <w:r>
        <w:rPr>
          <w:rFonts w:ascii="Arial" w:hAnsi="Arial"/>
          <w:i/>
          <w:sz w:val="16"/>
        </w:rPr>
        <w:t>a</w:t>
      </w:r>
      <w:r>
        <w:rPr>
          <w:rFonts w:ascii="Arial" w:hAnsi="Arial"/>
          <w:i/>
          <w:spacing w:val="15"/>
          <w:sz w:val="16"/>
        </w:rPr>
        <w:t> </w:t>
      </w:r>
      <w:r>
        <w:rPr>
          <w:rFonts w:ascii="Arial" w:hAnsi="Arial"/>
          <w:i/>
          <w:sz w:val="16"/>
        </w:rPr>
        <w:t>medidas</w:t>
      </w:r>
      <w:r>
        <w:rPr>
          <w:rFonts w:ascii="Arial" w:hAnsi="Arial"/>
          <w:i/>
          <w:spacing w:val="14"/>
          <w:sz w:val="16"/>
        </w:rPr>
        <w:t> </w:t>
      </w:r>
      <w:r>
        <w:rPr>
          <w:rFonts w:ascii="Arial" w:hAnsi="Arial"/>
          <w:i/>
          <w:sz w:val="16"/>
        </w:rPr>
        <w:t>aplicadas</w:t>
      </w:r>
      <w:r>
        <w:rPr>
          <w:rFonts w:ascii="Arial" w:hAnsi="Arial"/>
          <w:i/>
          <w:spacing w:val="14"/>
          <w:sz w:val="16"/>
        </w:rPr>
        <w:t> </w:t>
      </w:r>
      <w:r>
        <w:rPr>
          <w:rFonts w:ascii="Arial" w:hAnsi="Arial"/>
          <w:i/>
          <w:sz w:val="16"/>
        </w:rPr>
        <w:t>unilateralmente</w:t>
      </w:r>
      <w:r>
        <w:rPr>
          <w:rFonts w:ascii="Arial" w:hAnsi="Arial"/>
          <w:i/>
          <w:spacing w:val="15"/>
          <w:sz w:val="16"/>
        </w:rPr>
        <w:t> </w:t>
      </w:r>
      <w:r>
        <w:rPr>
          <w:rFonts w:ascii="Arial" w:hAnsi="Arial"/>
          <w:i/>
          <w:sz w:val="16"/>
        </w:rPr>
        <w:t>por</w:t>
      </w:r>
      <w:r>
        <w:rPr>
          <w:rFonts w:ascii="Arial" w:hAnsi="Arial"/>
          <w:i/>
          <w:spacing w:val="14"/>
          <w:sz w:val="16"/>
        </w:rPr>
        <w:t> </w:t>
      </w:r>
      <w:r>
        <w:rPr>
          <w:rFonts w:ascii="Arial" w:hAnsi="Arial"/>
          <w:i/>
          <w:sz w:val="16"/>
        </w:rPr>
        <w:t>un</w:t>
      </w:r>
      <w:r>
        <w:rPr>
          <w:rFonts w:ascii="Arial" w:hAnsi="Arial"/>
          <w:i/>
          <w:spacing w:val="12"/>
          <w:sz w:val="16"/>
        </w:rPr>
        <w:t> </w:t>
      </w:r>
      <w:r>
        <w:rPr>
          <w:rFonts w:ascii="Arial" w:hAnsi="Arial"/>
          <w:i/>
          <w:sz w:val="16"/>
        </w:rPr>
        <w:t>País</w:t>
      </w:r>
      <w:r>
        <w:rPr>
          <w:rFonts w:ascii="Arial" w:hAnsi="Arial"/>
          <w:i/>
          <w:spacing w:val="16"/>
          <w:sz w:val="16"/>
        </w:rPr>
        <w:t> </w:t>
      </w:r>
      <w:r>
        <w:rPr>
          <w:rFonts w:ascii="Arial" w:hAnsi="Arial"/>
          <w:i/>
          <w:sz w:val="16"/>
        </w:rPr>
        <w:t>Miembro</w:t>
      </w:r>
      <w:r>
        <w:rPr>
          <w:rFonts w:ascii="Arial" w:hAnsi="Arial"/>
          <w:i/>
          <w:spacing w:val="15"/>
          <w:sz w:val="16"/>
        </w:rPr>
        <w:t> </w:t>
      </w:r>
      <w:r>
        <w:rPr>
          <w:rFonts w:ascii="Arial" w:hAnsi="Arial"/>
          <w:i/>
          <w:sz w:val="16"/>
        </w:rPr>
        <w:t>que</w:t>
      </w:r>
      <w:r>
        <w:rPr>
          <w:rFonts w:ascii="Arial" w:hAnsi="Arial"/>
          <w:i/>
          <w:spacing w:val="15"/>
          <w:sz w:val="16"/>
        </w:rPr>
        <w:t> </w:t>
      </w:r>
      <w:r>
        <w:rPr>
          <w:rFonts w:ascii="Arial" w:hAnsi="Arial"/>
          <w:i/>
          <w:sz w:val="16"/>
        </w:rPr>
        <w:t>puedan</w:t>
      </w:r>
    </w:p>
    <w:p>
      <w:pPr>
        <w:tabs>
          <w:tab w:pos="9816" w:val="left" w:leader="none"/>
        </w:tabs>
        <w:spacing w:before="0"/>
        <w:ind w:left="160" w:right="0" w:firstLine="0"/>
        <w:jc w:val="both"/>
        <w:rPr>
          <w:rFonts w:ascii="Arial" w:hAnsi="Arial"/>
          <w:i/>
          <w:sz w:val="16"/>
        </w:rPr>
      </w:pPr>
      <w:r>
        <w:rPr>
          <w:rFonts w:ascii="Times New Roman" w:hAnsi="Times New Roman"/>
          <w:spacing w:val="66"/>
          <w:w w:val="150"/>
          <w:sz w:val="16"/>
          <w:u w:val="single"/>
        </w:rPr>
        <w:t>   </w:t>
      </w:r>
      <w:r>
        <w:rPr>
          <w:rFonts w:ascii="Arial" w:hAnsi="Arial"/>
          <w:i/>
          <w:sz w:val="16"/>
          <w:u w:val="single"/>
        </w:rPr>
        <w:t>constituir</w:t>
      </w:r>
      <w:r>
        <w:rPr>
          <w:rFonts w:ascii="Arial" w:hAnsi="Arial"/>
          <w:i/>
          <w:spacing w:val="-2"/>
          <w:sz w:val="16"/>
          <w:u w:val="single"/>
        </w:rPr>
        <w:t> </w:t>
      </w:r>
      <w:r>
        <w:rPr>
          <w:rFonts w:ascii="Arial" w:hAnsi="Arial"/>
          <w:i/>
          <w:sz w:val="16"/>
          <w:u w:val="single"/>
        </w:rPr>
        <w:t>gravámenes</w:t>
      </w:r>
      <w:r>
        <w:rPr>
          <w:rFonts w:ascii="Arial" w:hAnsi="Arial"/>
          <w:i/>
          <w:spacing w:val="-1"/>
          <w:sz w:val="16"/>
          <w:u w:val="single"/>
        </w:rPr>
        <w:t> </w:t>
      </w:r>
      <w:r>
        <w:rPr>
          <w:rFonts w:ascii="Arial" w:hAnsi="Arial"/>
          <w:i/>
          <w:sz w:val="16"/>
          <w:u w:val="single"/>
        </w:rPr>
        <w:t>o</w:t>
      </w:r>
      <w:r>
        <w:rPr>
          <w:rFonts w:ascii="Arial" w:hAnsi="Arial"/>
          <w:i/>
          <w:spacing w:val="-5"/>
          <w:sz w:val="16"/>
          <w:u w:val="single"/>
        </w:rPr>
        <w:t> </w:t>
      </w:r>
      <w:r>
        <w:rPr>
          <w:rFonts w:ascii="Arial" w:hAnsi="Arial"/>
          <w:i/>
          <w:sz w:val="16"/>
          <w:u w:val="single"/>
        </w:rPr>
        <w:t>restricciones al</w:t>
      </w:r>
      <w:r>
        <w:rPr>
          <w:rFonts w:ascii="Arial" w:hAnsi="Arial"/>
          <w:i/>
          <w:spacing w:val="-4"/>
          <w:sz w:val="16"/>
          <w:u w:val="single"/>
        </w:rPr>
        <w:t> </w:t>
      </w:r>
      <w:r>
        <w:rPr>
          <w:rFonts w:ascii="Arial" w:hAnsi="Arial"/>
          <w:i/>
          <w:sz w:val="16"/>
          <w:u w:val="single"/>
        </w:rPr>
        <w:t>comercio</w:t>
      </w:r>
      <w:r>
        <w:rPr>
          <w:rFonts w:ascii="Arial" w:hAnsi="Arial"/>
          <w:i/>
          <w:spacing w:val="-4"/>
          <w:sz w:val="16"/>
          <w:u w:val="single"/>
        </w:rPr>
        <w:t> </w:t>
      </w:r>
      <w:r>
        <w:rPr>
          <w:rFonts w:ascii="Arial" w:hAnsi="Arial"/>
          <w:i/>
          <w:spacing w:val="-2"/>
          <w:sz w:val="16"/>
          <w:u w:val="single"/>
        </w:rPr>
        <w:t>intrasubregional.”</w:t>
      </w:r>
      <w:r>
        <w:rPr>
          <w:rFonts w:ascii="Arial" w:hAnsi="Arial"/>
          <w:i/>
          <w:sz w:val="16"/>
          <w:u w:val="single"/>
        </w:rPr>
        <w:tab/>
      </w:r>
    </w:p>
    <w:p>
      <w:pPr>
        <w:spacing w:after="0"/>
        <w:jc w:val="both"/>
        <w:rPr>
          <w:rFonts w:ascii="Arial" w:hAnsi="Arial"/>
          <w:i/>
          <w:sz w:val="16"/>
        </w:rPr>
        <w:sectPr>
          <w:pgSz w:w="11900" w:h="16850"/>
          <w:pgMar w:header="370" w:footer="597" w:top="1380" w:bottom="780" w:left="992" w:right="283"/>
        </w:sectPr>
      </w:pPr>
    </w:p>
    <w:p>
      <w:pPr>
        <w:pStyle w:val="BodyText"/>
        <w:spacing w:before="176"/>
        <w:rPr>
          <w:rFonts w:ascii="Arial"/>
          <w:i/>
        </w:rPr>
      </w:pPr>
    </w:p>
    <w:p>
      <w:pPr>
        <w:pStyle w:val="ListParagraph"/>
        <w:numPr>
          <w:ilvl w:val="0"/>
          <w:numId w:val="11"/>
        </w:numPr>
        <w:tabs>
          <w:tab w:pos="1131" w:val="left" w:leader="none"/>
          <w:tab w:pos="1134" w:val="left" w:leader="none"/>
        </w:tabs>
        <w:spacing w:line="240" w:lineRule="auto" w:before="0" w:after="0"/>
        <w:ind w:left="1134" w:right="982" w:hanging="567"/>
        <w:jc w:val="both"/>
        <w:rPr>
          <w:sz w:val="22"/>
        </w:rPr>
      </w:pPr>
      <w:r>
        <w:rPr>
          <w:sz w:val="22"/>
        </w:rPr>
        <w:t>Que, el 13 de marzo de 2026, mediante comunicación N° SG/E/DGCOM/489/2026, la SGCAN solicitó a la República de Ecuador tenga a bien apoyar en la coordinación y realización de visitas de verificación por parte de la SGCAN en el marco del procedimiento de solicitud presentada por la República de Colombia.</w:t>
      </w:r>
    </w:p>
    <w:p>
      <w:pPr>
        <w:pStyle w:val="BodyText"/>
      </w:pPr>
    </w:p>
    <w:p>
      <w:pPr>
        <w:pStyle w:val="ListParagraph"/>
        <w:numPr>
          <w:ilvl w:val="0"/>
          <w:numId w:val="11"/>
        </w:numPr>
        <w:tabs>
          <w:tab w:pos="1131" w:val="left" w:leader="none"/>
          <w:tab w:pos="1134" w:val="left" w:leader="none"/>
        </w:tabs>
        <w:spacing w:line="240" w:lineRule="auto" w:before="0" w:after="0"/>
        <w:ind w:left="1134" w:right="978" w:hanging="567"/>
        <w:jc w:val="both"/>
        <w:rPr>
          <w:sz w:val="22"/>
        </w:rPr>
      </w:pPr>
      <w:r>
        <w:rPr>
          <w:sz w:val="22"/>
        </w:rPr>
        <w:t>Que, el 19 de marzo de 2026, la República del Ecuador mediante Oficio Nro. MPCEI-VCE-2026-0029-O del Ministerio de Producción, Comercio Exterior e Inversiones, dio respuesta a la nota de la SGCAN N°</w:t>
      </w:r>
      <w:r>
        <w:rPr>
          <w:spacing w:val="40"/>
          <w:sz w:val="22"/>
        </w:rPr>
        <w:t> </w:t>
      </w:r>
      <w:r>
        <w:rPr>
          <w:sz w:val="22"/>
        </w:rPr>
        <w:t>SG/E/DGCOM/489/2026, confirmando las visitas de verificación y proponiendo un cronograma de las mismas, en observancia de lo dispuesto en el artículo 27 de la Decisión 425.</w:t>
      </w:r>
    </w:p>
    <w:p>
      <w:pPr>
        <w:pStyle w:val="BodyText"/>
        <w:spacing w:before="1"/>
      </w:pPr>
    </w:p>
    <w:p>
      <w:pPr>
        <w:pStyle w:val="ListParagraph"/>
        <w:numPr>
          <w:ilvl w:val="0"/>
          <w:numId w:val="11"/>
        </w:numPr>
        <w:tabs>
          <w:tab w:pos="1130" w:val="left" w:leader="none"/>
          <w:tab w:pos="1134" w:val="left" w:leader="none"/>
        </w:tabs>
        <w:spacing w:line="240" w:lineRule="auto" w:before="1" w:after="0"/>
        <w:ind w:left="1134" w:right="982" w:hanging="567"/>
        <w:jc w:val="both"/>
        <w:rPr>
          <w:sz w:val="22"/>
        </w:rPr>
      </w:pPr>
      <w:r>
        <w:rPr>
          <w:sz w:val="22"/>
        </w:rPr>
        <w:t>Que, el 19 de marzo de 2026, mediante comunicación N° SG/E/DGCOM/513/2026, la SGCAN solicitó a la República de Colombia tenga a bien apoyar en la coordinación y realización de visitas de verificación por parte de la SGCAN en el marco del procedimiento de solicitud presentada por ese País Miembro.</w:t>
      </w:r>
    </w:p>
    <w:p>
      <w:pPr>
        <w:pStyle w:val="BodyText"/>
      </w:pPr>
    </w:p>
    <w:p>
      <w:pPr>
        <w:pStyle w:val="ListParagraph"/>
        <w:numPr>
          <w:ilvl w:val="0"/>
          <w:numId w:val="11"/>
        </w:numPr>
        <w:tabs>
          <w:tab w:pos="1130" w:val="left" w:leader="none"/>
          <w:tab w:pos="1134" w:val="left" w:leader="none"/>
        </w:tabs>
        <w:spacing w:line="240" w:lineRule="auto" w:before="0" w:after="0"/>
        <w:ind w:left="1134" w:right="976" w:hanging="567"/>
        <w:jc w:val="both"/>
        <w:rPr>
          <w:sz w:val="22"/>
        </w:rPr>
      </w:pPr>
      <w:r>
        <w:rPr>
          <w:sz w:val="22"/>
        </w:rPr>
        <w:t>Que, el 20 de marzo de 2026, mediante comunicación SG/E/DGCOM/542/2026, la SGCAN acusó recibo a la República de Colombia de su Radicado No. 2-2026-007124 de</w:t>
      </w:r>
      <w:r>
        <w:rPr>
          <w:spacing w:val="-3"/>
          <w:sz w:val="22"/>
        </w:rPr>
        <w:t> </w:t>
      </w:r>
      <w:r>
        <w:rPr>
          <w:sz w:val="22"/>
        </w:rPr>
        <w:t>fecha</w:t>
      </w:r>
      <w:r>
        <w:rPr>
          <w:spacing w:val="-3"/>
          <w:sz w:val="22"/>
        </w:rPr>
        <w:t> </w:t>
      </w:r>
      <w:r>
        <w:rPr>
          <w:sz w:val="22"/>
        </w:rPr>
        <w:t>10</w:t>
      </w:r>
      <w:r>
        <w:rPr>
          <w:spacing w:val="-4"/>
          <w:sz w:val="22"/>
        </w:rPr>
        <w:t> </w:t>
      </w:r>
      <w:r>
        <w:rPr>
          <w:sz w:val="22"/>
        </w:rPr>
        <w:t>de</w:t>
      </w:r>
      <w:r>
        <w:rPr>
          <w:spacing w:val="-4"/>
          <w:sz w:val="22"/>
        </w:rPr>
        <w:t> </w:t>
      </w:r>
      <w:r>
        <w:rPr>
          <w:sz w:val="22"/>
        </w:rPr>
        <w:t>marzo</w:t>
      </w:r>
      <w:r>
        <w:rPr>
          <w:spacing w:val="-4"/>
          <w:sz w:val="22"/>
        </w:rPr>
        <w:t> </w:t>
      </w:r>
      <w:r>
        <w:rPr>
          <w:sz w:val="22"/>
        </w:rPr>
        <w:t>de</w:t>
      </w:r>
      <w:r>
        <w:rPr>
          <w:spacing w:val="-4"/>
          <w:sz w:val="22"/>
        </w:rPr>
        <w:t> </w:t>
      </w:r>
      <w:r>
        <w:rPr>
          <w:sz w:val="22"/>
        </w:rPr>
        <w:t>2026</w:t>
      </w:r>
      <w:r>
        <w:rPr>
          <w:spacing w:val="-4"/>
          <w:sz w:val="22"/>
        </w:rPr>
        <w:t> </w:t>
      </w:r>
      <w:r>
        <w:rPr>
          <w:sz w:val="22"/>
        </w:rPr>
        <w:t>e</w:t>
      </w:r>
      <w:r>
        <w:rPr>
          <w:spacing w:val="-3"/>
          <w:sz w:val="22"/>
        </w:rPr>
        <w:t> </w:t>
      </w:r>
      <w:r>
        <w:rPr>
          <w:sz w:val="22"/>
        </w:rPr>
        <w:t>informó</w:t>
      </w:r>
      <w:r>
        <w:rPr>
          <w:spacing w:val="-3"/>
          <w:sz w:val="22"/>
        </w:rPr>
        <w:t> </w:t>
      </w:r>
      <w:r>
        <w:rPr>
          <w:sz w:val="22"/>
        </w:rPr>
        <w:t>que</w:t>
      </w:r>
      <w:r>
        <w:rPr>
          <w:spacing w:val="-4"/>
          <w:sz w:val="22"/>
        </w:rPr>
        <w:t> </w:t>
      </w:r>
      <w:r>
        <w:rPr>
          <w:sz w:val="22"/>
        </w:rPr>
        <w:t>la Resolución</w:t>
      </w:r>
      <w:r>
        <w:rPr>
          <w:spacing w:val="-3"/>
          <w:sz w:val="22"/>
        </w:rPr>
        <w:t> </w:t>
      </w:r>
      <w:r>
        <w:rPr>
          <w:sz w:val="22"/>
        </w:rPr>
        <w:t>Nro.</w:t>
      </w:r>
      <w:r>
        <w:rPr>
          <w:spacing w:val="-4"/>
          <w:sz w:val="22"/>
        </w:rPr>
        <w:t> </w:t>
      </w:r>
      <w:r>
        <w:rPr>
          <w:sz w:val="22"/>
        </w:rPr>
        <w:t>SENAE-SENAE-2026-0017-RE fue incorporada al expediente. Asimismo, mediante comunicación SG/E/DGCOM/546/2026, de la misma fecha, se notificó a los Países Miembros la incorporación de la Resolución antes mencionada al expediente.</w:t>
      </w:r>
    </w:p>
    <w:p>
      <w:pPr>
        <w:pStyle w:val="BodyText"/>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Que, el 20 de marzo de 2026, mediante comunicación SG/E/DGCOM/549/2026, la SGCAN</w:t>
      </w:r>
      <w:r>
        <w:rPr>
          <w:spacing w:val="-12"/>
          <w:sz w:val="22"/>
        </w:rPr>
        <w:t> </w:t>
      </w:r>
      <w:r>
        <w:rPr>
          <w:sz w:val="22"/>
        </w:rPr>
        <w:t>acusó</w:t>
      </w:r>
      <w:r>
        <w:rPr>
          <w:spacing w:val="-11"/>
          <w:sz w:val="22"/>
        </w:rPr>
        <w:t> </w:t>
      </w:r>
      <w:r>
        <w:rPr>
          <w:sz w:val="22"/>
        </w:rPr>
        <w:t>recibo</w:t>
      </w:r>
      <w:r>
        <w:rPr>
          <w:spacing w:val="-10"/>
          <w:sz w:val="22"/>
        </w:rPr>
        <w:t> </w:t>
      </w:r>
      <w:r>
        <w:rPr>
          <w:sz w:val="22"/>
        </w:rPr>
        <w:t>de</w:t>
      </w:r>
      <w:r>
        <w:rPr>
          <w:spacing w:val="-14"/>
          <w:sz w:val="22"/>
        </w:rPr>
        <w:t> </w:t>
      </w:r>
      <w:r>
        <w:rPr>
          <w:sz w:val="22"/>
        </w:rPr>
        <w:t>la</w:t>
      </w:r>
      <w:r>
        <w:rPr>
          <w:spacing w:val="-11"/>
          <w:sz w:val="22"/>
        </w:rPr>
        <w:t> </w:t>
      </w:r>
      <w:r>
        <w:rPr>
          <w:sz w:val="22"/>
        </w:rPr>
        <w:t>comunicación</w:t>
      </w:r>
      <w:r>
        <w:rPr>
          <w:spacing w:val="-12"/>
          <w:sz w:val="22"/>
        </w:rPr>
        <w:t> </w:t>
      </w:r>
      <w:r>
        <w:rPr>
          <w:sz w:val="22"/>
        </w:rPr>
        <w:t>de</w:t>
      </w:r>
      <w:r>
        <w:rPr>
          <w:spacing w:val="-12"/>
          <w:sz w:val="22"/>
        </w:rPr>
        <w:t> </w:t>
      </w:r>
      <w:r>
        <w:rPr>
          <w:sz w:val="22"/>
        </w:rPr>
        <w:t>la</w:t>
      </w:r>
      <w:r>
        <w:rPr>
          <w:spacing w:val="-11"/>
          <w:sz w:val="22"/>
        </w:rPr>
        <w:t> </w:t>
      </w:r>
      <w:r>
        <w:rPr>
          <w:sz w:val="22"/>
        </w:rPr>
        <w:t>ANDI</w:t>
      </w:r>
      <w:r>
        <w:rPr>
          <w:spacing w:val="-10"/>
          <w:sz w:val="22"/>
        </w:rPr>
        <w:t> </w:t>
      </w:r>
      <w:r>
        <w:rPr>
          <w:sz w:val="22"/>
        </w:rPr>
        <w:t>sobre</w:t>
      </w:r>
      <w:r>
        <w:rPr>
          <w:spacing w:val="-14"/>
          <w:sz w:val="22"/>
        </w:rPr>
        <w:t> </w:t>
      </w:r>
      <w:r>
        <w:rPr>
          <w:sz w:val="22"/>
        </w:rPr>
        <w:t>el</w:t>
      </w:r>
      <w:r>
        <w:rPr>
          <w:spacing w:val="-12"/>
          <w:sz w:val="22"/>
        </w:rPr>
        <w:t> </w:t>
      </w:r>
      <w:r>
        <w:rPr>
          <w:sz w:val="22"/>
        </w:rPr>
        <w:t>interés</w:t>
      </w:r>
      <w:r>
        <w:rPr>
          <w:spacing w:val="-11"/>
          <w:sz w:val="22"/>
        </w:rPr>
        <w:t> </w:t>
      </w:r>
      <w:r>
        <w:rPr>
          <w:sz w:val="22"/>
        </w:rPr>
        <w:t>legítimo,</w:t>
      </w:r>
      <w:r>
        <w:rPr>
          <w:spacing w:val="-10"/>
          <w:sz w:val="22"/>
        </w:rPr>
        <w:t> </w:t>
      </w:r>
      <w:r>
        <w:rPr>
          <w:sz w:val="22"/>
        </w:rPr>
        <w:t>indicando que su solicitud sería evaluada y que la información alcanzada se incorporaba al expediente DGCOM/GRAV/001/2026. Mediante nota SG/E/DGCOM/550/2026 de la misma fecha, se trasladó a los Países Miembros la comunicación de la ANDI.</w:t>
      </w:r>
    </w:p>
    <w:p>
      <w:pPr>
        <w:pStyle w:val="ListParagraph"/>
        <w:numPr>
          <w:ilvl w:val="0"/>
          <w:numId w:val="11"/>
        </w:numPr>
        <w:tabs>
          <w:tab w:pos="1130" w:val="left" w:leader="none"/>
          <w:tab w:pos="1134" w:val="left" w:leader="none"/>
        </w:tabs>
        <w:spacing w:line="240" w:lineRule="auto" w:before="253" w:after="0"/>
        <w:ind w:left="1134" w:right="978" w:hanging="567"/>
        <w:jc w:val="both"/>
        <w:rPr>
          <w:sz w:val="22"/>
        </w:rPr>
      </w:pPr>
      <w:r>
        <w:rPr>
          <w:sz w:val="22"/>
        </w:rPr>
        <w:t>Que,</w:t>
      </w:r>
      <w:r>
        <w:rPr>
          <w:spacing w:val="-12"/>
          <w:sz w:val="22"/>
        </w:rPr>
        <w:t> </w:t>
      </w:r>
      <w:r>
        <w:rPr>
          <w:sz w:val="22"/>
        </w:rPr>
        <w:t>el</w:t>
      </w:r>
      <w:r>
        <w:rPr>
          <w:spacing w:val="-15"/>
          <w:sz w:val="22"/>
        </w:rPr>
        <w:t> </w:t>
      </w:r>
      <w:r>
        <w:rPr>
          <w:sz w:val="22"/>
        </w:rPr>
        <w:t>20</w:t>
      </w:r>
      <w:r>
        <w:rPr>
          <w:spacing w:val="-14"/>
          <w:sz w:val="22"/>
        </w:rPr>
        <w:t> </w:t>
      </w:r>
      <w:r>
        <w:rPr>
          <w:sz w:val="22"/>
        </w:rPr>
        <w:t>de</w:t>
      </w:r>
      <w:r>
        <w:rPr>
          <w:spacing w:val="-16"/>
          <w:sz w:val="22"/>
        </w:rPr>
        <w:t> </w:t>
      </w:r>
      <w:r>
        <w:rPr>
          <w:sz w:val="22"/>
        </w:rPr>
        <w:t>marzo</w:t>
      </w:r>
      <w:r>
        <w:rPr>
          <w:spacing w:val="-13"/>
          <w:sz w:val="22"/>
        </w:rPr>
        <w:t> </w:t>
      </w:r>
      <w:r>
        <w:rPr>
          <w:sz w:val="22"/>
        </w:rPr>
        <w:t>de</w:t>
      </w:r>
      <w:r>
        <w:rPr>
          <w:spacing w:val="-14"/>
          <w:sz w:val="22"/>
        </w:rPr>
        <w:t> </w:t>
      </w:r>
      <w:r>
        <w:rPr>
          <w:sz w:val="22"/>
        </w:rPr>
        <w:t>2026,</w:t>
      </w:r>
      <w:r>
        <w:rPr>
          <w:spacing w:val="-11"/>
          <w:sz w:val="22"/>
        </w:rPr>
        <w:t> </w:t>
      </w:r>
      <w:r>
        <w:rPr>
          <w:sz w:val="22"/>
        </w:rPr>
        <w:t>la</w:t>
      </w:r>
      <w:r>
        <w:rPr>
          <w:spacing w:val="-14"/>
          <w:sz w:val="22"/>
        </w:rPr>
        <w:t> </w:t>
      </w:r>
      <w:r>
        <w:rPr>
          <w:sz w:val="22"/>
        </w:rPr>
        <w:t>República</w:t>
      </w:r>
      <w:r>
        <w:rPr>
          <w:spacing w:val="-14"/>
          <w:sz w:val="22"/>
        </w:rPr>
        <w:t> </w:t>
      </w:r>
      <w:r>
        <w:rPr>
          <w:sz w:val="22"/>
        </w:rPr>
        <w:t>de</w:t>
      </w:r>
      <w:r>
        <w:rPr>
          <w:spacing w:val="-14"/>
          <w:sz w:val="22"/>
        </w:rPr>
        <w:t> </w:t>
      </w:r>
      <w:r>
        <w:rPr>
          <w:sz w:val="22"/>
        </w:rPr>
        <w:t>Colombia</w:t>
      </w:r>
      <w:r>
        <w:rPr>
          <w:spacing w:val="-14"/>
          <w:sz w:val="22"/>
        </w:rPr>
        <w:t> </w:t>
      </w:r>
      <w:r>
        <w:rPr>
          <w:sz w:val="22"/>
        </w:rPr>
        <w:t>mediante</w:t>
      </w:r>
      <w:r>
        <w:rPr>
          <w:spacing w:val="-14"/>
          <w:sz w:val="22"/>
        </w:rPr>
        <w:t> </w:t>
      </w:r>
      <w:r>
        <w:rPr>
          <w:sz w:val="22"/>
        </w:rPr>
        <w:t>Radicado</w:t>
      </w:r>
      <w:r>
        <w:rPr>
          <w:spacing w:val="-14"/>
          <w:sz w:val="22"/>
        </w:rPr>
        <w:t> </w:t>
      </w:r>
      <w:r>
        <w:rPr>
          <w:sz w:val="22"/>
        </w:rPr>
        <w:t>No.</w:t>
      </w:r>
      <w:r>
        <w:rPr>
          <w:spacing w:val="-13"/>
          <w:sz w:val="22"/>
        </w:rPr>
        <w:t> </w:t>
      </w:r>
      <w:r>
        <w:rPr>
          <w:sz w:val="22"/>
        </w:rPr>
        <w:t>2-2026-008261,</w:t>
      </w:r>
      <w:r>
        <w:rPr>
          <w:spacing w:val="-4"/>
          <w:sz w:val="22"/>
        </w:rPr>
        <w:t> </w:t>
      </w:r>
      <w:r>
        <w:rPr>
          <w:sz w:val="22"/>
        </w:rPr>
        <w:t>solicitó</w:t>
      </w:r>
      <w:r>
        <w:rPr>
          <w:spacing w:val="-7"/>
          <w:sz w:val="22"/>
        </w:rPr>
        <w:t> </w:t>
      </w:r>
      <w:r>
        <w:rPr>
          <w:sz w:val="22"/>
        </w:rPr>
        <w:t>a</w:t>
      </w:r>
      <w:r>
        <w:rPr>
          <w:spacing w:val="-5"/>
          <w:sz w:val="22"/>
        </w:rPr>
        <w:t> </w:t>
      </w:r>
      <w:r>
        <w:rPr>
          <w:sz w:val="22"/>
        </w:rPr>
        <w:t>la</w:t>
      </w:r>
      <w:r>
        <w:rPr>
          <w:spacing w:val="-5"/>
          <w:sz w:val="22"/>
        </w:rPr>
        <w:t> </w:t>
      </w:r>
      <w:r>
        <w:rPr>
          <w:sz w:val="22"/>
        </w:rPr>
        <w:t>SGCAN</w:t>
      </w:r>
      <w:r>
        <w:rPr>
          <w:spacing w:val="-6"/>
          <w:sz w:val="22"/>
        </w:rPr>
        <w:t> </w:t>
      </w:r>
      <w:r>
        <w:rPr>
          <w:sz w:val="22"/>
        </w:rPr>
        <w:t>el</w:t>
      </w:r>
      <w:r>
        <w:rPr>
          <w:spacing w:val="-6"/>
          <w:sz w:val="22"/>
        </w:rPr>
        <w:t> </w:t>
      </w:r>
      <w:r>
        <w:rPr>
          <w:sz w:val="22"/>
        </w:rPr>
        <w:t>aplazamiento</w:t>
      </w:r>
      <w:r>
        <w:rPr>
          <w:spacing w:val="-7"/>
          <w:sz w:val="22"/>
        </w:rPr>
        <w:t> </w:t>
      </w:r>
      <w:r>
        <w:rPr>
          <w:sz w:val="22"/>
        </w:rPr>
        <w:t>de</w:t>
      </w:r>
      <w:r>
        <w:rPr>
          <w:spacing w:val="-8"/>
          <w:sz w:val="22"/>
        </w:rPr>
        <w:t> </w:t>
      </w:r>
      <w:r>
        <w:rPr>
          <w:sz w:val="22"/>
        </w:rPr>
        <w:t>las</w:t>
      </w:r>
      <w:r>
        <w:rPr>
          <w:spacing w:val="-5"/>
          <w:sz w:val="22"/>
        </w:rPr>
        <w:t> </w:t>
      </w:r>
      <w:r>
        <w:rPr>
          <w:sz w:val="22"/>
        </w:rPr>
        <w:t>visitas</w:t>
      </w:r>
      <w:r>
        <w:rPr>
          <w:spacing w:val="-5"/>
          <w:sz w:val="22"/>
        </w:rPr>
        <w:t> </w:t>
      </w:r>
      <w:r>
        <w:rPr>
          <w:sz w:val="22"/>
        </w:rPr>
        <w:t>de</w:t>
      </w:r>
      <w:r>
        <w:rPr>
          <w:spacing w:val="-8"/>
          <w:sz w:val="22"/>
        </w:rPr>
        <w:t> </w:t>
      </w:r>
      <w:r>
        <w:rPr>
          <w:sz w:val="22"/>
        </w:rPr>
        <w:t>verificación</w:t>
      </w:r>
      <w:r>
        <w:rPr>
          <w:spacing w:val="-5"/>
          <w:sz w:val="22"/>
        </w:rPr>
        <w:t> </w:t>
      </w:r>
      <w:r>
        <w:rPr>
          <w:sz w:val="22"/>
        </w:rPr>
        <w:t>programadas por este órgano comunitario, para una fecha posterior al 13 de abril de 2026.</w:t>
      </w:r>
    </w:p>
    <w:p>
      <w:pPr>
        <w:pStyle w:val="BodyText"/>
      </w:pPr>
    </w:p>
    <w:p>
      <w:pPr>
        <w:pStyle w:val="ListParagraph"/>
        <w:numPr>
          <w:ilvl w:val="0"/>
          <w:numId w:val="11"/>
        </w:numPr>
        <w:tabs>
          <w:tab w:pos="1130" w:val="left" w:leader="none"/>
          <w:tab w:pos="1134" w:val="left" w:leader="none"/>
        </w:tabs>
        <w:spacing w:line="240" w:lineRule="auto" w:before="1" w:after="0"/>
        <w:ind w:left="1134" w:right="982" w:hanging="567"/>
        <w:jc w:val="both"/>
        <w:rPr>
          <w:sz w:val="22"/>
        </w:rPr>
      </w:pPr>
      <w:r>
        <w:rPr>
          <w:sz w:val="22"/>
        </w:rPr>
        <w:t>Que, el 20 de marzo de 2026, mediante comunicación SG/E/DGCOM/660/2026, la SGCAN manifestó a</w:t>
      </w:r>
      <w:r>
        <w:rPr>
          <w:spacing w:val="-1"/>
          <w:sz w:val="22"/>
        </w:rPr>
        <w:t> </w:t>
      </w:r>
      <w:r>
        <w:rPr>
          <w:sz w:val="22"/>
        </w:rPr>
        <w:t>la República de Colombia</w:t>
      </w:r>
      <w:r>
        <w:rPr>
          <w:spacing w:val="-1"/>
          <w:sz w:val="22"/>
        </w:rPr>
        <w:t> </w:t>
      </w:r>
      <w:r>
        <w:rPr>
          <w:sz w:val="22"/>
        </w:rPr>
        <w:t>que, en</w:t>
      </w:r>
      <w:r>
        <w:rPr>
          <w:spacing w:val="-1"/>
          <w:sz w:val="22"/>
        </w:rPr>
        <w:t> </w:t>
      </w:r>
      <w:r>
        <w:rPr>
          <w:sz w:val="22"/>
        </w:rPr>
        <w:t>virtud</w:t>
      </w:r>
      <w:r>
        <w:rPr>
          <w:spacing w:val="-1"/>
          <w:sz w:val="22"/>
        </w:rPr>
        <w:t> </w:t>
      </w:r>
      <w:r>
        <w:rPr>
          <w:sz w:val="22"/>
        </w:rPr>
        <w:t>de</w:t>
      </w:r>
      <w:r>
        <w:rPr>
          <w:spacing w:val="-1"/>
          <w:sz w:val="22"/>
        </w:rPr>
        <w:t> </w:t>
      </w:r>
      <w:r>
        <w:rPr>
          <w:sz w:val="22"/>
        </w:rPr>
        <w:t>los plazos perentorios establecidos en la Decisión 425, no era viable dar curso a su solicitud de postergación de las mencionadas visitas.</w:t>
      </w:r>
    </w:p>
    <w:p>
      <w:pPr>
        <w:pStyle w:val="ListParagraph"/>
        <w:numPr>
          <w:ilvl w:val="0"/>
          <w:numId w:val="11"/>
        </w:numPr>
        <w:tabs>
          <w:tab w:pos="1130" w:val="left" w:leader="none"/>
          <w:tab w:pos="1134" w:val="left" w:leader="none"/>
        </w:tabs>
        <w:spacing w:line="240" w:lineRule="auto" w:before="252" w:after="0"/>
        <w:ind w:left="1134" w:right="980" w:hanging="567"/>
        <w:jc w:val="both"/>
        <w:rPr>
          <w:sz w:val="22"/>
        </w:rPr>
      </w:pPr>
      <w:r>
        <w:rPr>
          <w:sz w:val="22"/>
        </w:rPr>
        <w:t>Que, el 20 de marzo de 2026, mediante comunicación SG/E/DGCOM/552/2026, la SGCAN acusó recibo del Oficio Nro. MPCEI-VCE-2026-0029-O del Ministerio de Producción,</w:t>
      </w:r>
      <w:r>
        <w:rPr>
          <w:spacing w:val="-7"/>
          <w:sz w:val="22"/>
        </w:rPr>
        <w:t> </w:t>
      </w:r>
      <w:r>
        <w:rPr>
          <w:sz w:val="22"/>
        </w:rPr>
        <w:t>Comercio</w:t>
      </w:r>
      <w:r>
        <w:rPr>
          <w:spacing w:val="-8"/>
          <w:sz w:val="22"/>
        </w:rPr>
        <w:t> </w:t>
      </w:r>
      <w:r>
        <w:rPr>
          <w:sz w:val="22"/>
        </w:rPr>
        <w:t>Exterior</w:t>
      </w:r>
      <w:r>
        <w:rPr>
          <w:spacing w:val="-9"/>
          <w:sz w:val="22"/>
        </w:rPr>
        <w:t> </w:t>
      </w:r>
      <w:r>
        <w:rPr>
          <w:sz w:val="22"/>
        </w:rPr>
        <w:t>e</w:t>
      </w:r>
      <w:r>
        <w:rPr>
          <w:spacing w:val="-10"/>
          <w:sz w:val="22"/>
        </w:rPr>
        <w:t> </w:t>
      </w:r>
      <w:r>
        <w:rPr>
          <w:sz w:val="22"/>
        </w:rPr>
        <w:t>Inversiones</w:t>
      </w:r>
      <w:r>
        <w:rPr>
          <w:spacing w:val="-8"/>
          <w:sz w:val="22"/>
        </w:rPr>
        <w:t> </w:t>
      </w:r>
      <w:r>
        <w:rPr>
          <w:sz w:val="22"/>
        </w:rPr>
        <w:t>de</w:t>
      </w:r>
      <w:r>
        <w:rPr>
          <w:spacing w:val="-10"/>
          <w:sz w:val="22"/>
        </w:rPr>
        <w:t> </w:t>
      </w:r>
      <w:r>
        <w:rPr>
          <w:sz w:val="22"/>
        </w:rPr>
        <w:t>la</w:t>
      </w:r>
      <w:r>
        <w:rPr>
          <w:spacing w:val="-8"/>
          <w:sz w:val="22"/>
        </w:rPr>
        <w:t> </w:t>
      </w:r>
      <w:r>
        <w:rPr>
          <w:sz w:val="22"/>
        </w:rPr>
        <w:t>República</w:t>
      </w:r>
      <w:r>
        <w:rPr>
          <w:spacing w:val="-8"/>
          <w:sz w:val="22"/>
        </w:rPr>
        <w:t> </w:t>
      </w:r>
      <w:r>
        <w:rPr>
          <w:sz w:val="22"/>
        </w:rPr>
        <w:t>del</w:t>
      </w:r>
      <w:r>
        <w:rPr>
          <w:spacing w:val="-8"/>
          <w:sz w:val="22"/>
        </w:rPr>
        <w:t> </w:t>
      </w:r>
      <w:r>
        <w:rPr>
          <w:sz w:val="22"/>
        </w:rPr>
        <w:t>Ecuador</w:t>
      </w:r>
      <w:r>
        <w:rPr>
          <w:spacing w:val="-11"/>
          <w:sz w:val="22"/>
        </w:rPr>
        <w:t> </w:t>
      </w:r>
      <w:r>
        <w:rPr>
          <w:sz w:val="22"/>
        </w:rPr>
        <w:t>y</w:t>
      </w:r>
      <w:r>
        <w:rPr>
          <w:spacing w:val="-8"/>
          <w:sz w:val="22"/>
        </w:rPr>
        <w:t> </w:t>
      </w:r>
      <w:r>
        <w:rPr>
          <w:sz w:val="22"/>
        </w:rPr>
        <w:t>confirmaron las actividades</w:t>
      </w:r>
      <w:r>
        <w:rPr>
          <w:spacing w:val="-2"/>
          <w:sz w:val="22"/>
        </w:rPr>
        <w:t> </w:t>
      </w:r>
      <w:r>
        <w:rPr>
          <w:sz w:val="22"/>
        </w:rPr>
        <w:t>y</w:t>
      </w:r>
      <w:r>
        <w:rPr>
          <w:spacing w:val="-4"/>
          <w:sz w:val="22"/>
        </w:rPr>
        <w:t> </w:t>
      </w:r>
      <w:r>
        <w:rPr>
          <w:sz w:val="22"/>
        </w:rPr>
        <w:t>fechas</w:t>
      </w:r>
      <w:r>
        <w:rPr>
          <w:spacing w:val="-4"/>
          <w:sz w:val="22"/>
        </w:rPr>
        <w:t> </w:t>
      </w:r>
      <w:r>
        <w:rPr>
          <w:sz w:val="22"/>
        </w:rPr>
        <w:t>previstas</w:t>
      </w:r>
      <w:r>
        <w:rPr>
          <w:spacing w:val="-2"/>
          <w:sz w:val="22"/>
        </w:rPr>
        <w:t> </w:t>
      </w:r>
      <w:r>
        <w:rPr>
          <w:sz w:val="22"/>
        </w:rPr>
        <w:t>en</w:t>
      </w:r>
      <w:r>
        <w:rPr>
          <w:spacing w:val="-2"/>
          <w:sz w:val="22"/>
        </w:rPr>
        <w:t> </w:t>
      </w:r>
      <w:r>
        <w:rPr>
          <w:sz w:val="22"/>
        </w:rPr>
        <w:t>el</w:t>
      </w:r>
      <w:r>
        <w:rPr>
          <w:spacing w:val="-3"/>
          <w:sz w:val="22"/>
        </w:rPr>
        <w:t> </w:t>
      </w:r>
      <w:r>
        <w:rPr>
          <w:sz w:val="22"/>
        </w:rPr>
        <w:t>cronograma</w:t>
      </w:r>
      <w:r>
        <w:rPr>
          <w:spacing w:val="-2"/>
          <w:sz w:val="22"/>
        </w:rPr>
        <w:t> </w:t>
      </w:r>
      <w:r>
        <w:rPr>
          <w:sz w:val="22"/>
        </w:rPr>
        <w:t>propuesto</w:t>
      </w:r>
      <w:r>
        <w:rPr>
          <w:spacing w:val="-2"/>
          <w:sz w:val="22"/>
        </w:rPr>
        <w:t> </w:t>
      </w:r>
      <w:r>
        <w:rPr>
          <w:sz w:val="22"/>
        </w:rPr>
        <w:t>para</w:t>
      </w:r>
      <w:r>
        <w:rPr>
          <w:spacing w:val="-2"/>
          <w:sz w:val="22"/>
        </w:rPr>
        <w:t> </w:t>
      </w:r>
      <w:r>
        <w:rPr>
          <w:sz w:val="22"/>
        </w:rPr>
        <w:t>el</w:t>
      </w:r>
      <w:r>
        <w:rPr>
          <w:spacing w:val="-3"/>
          <w:sz w:val="22"/>
        </w:rPr>
        <w:t> </w:t>
      </w:r>
      <w:r>
        <w:rPr>
          <w:sz w:val="22"/>
        </w:rPr>
        <w:t>desarrollo de</w:t>
      </w:r>
      <w:r>
        <w:rPr>
          <w:spacing w:val="-2"/>
          <w:sz w:val="22"/>
        </w:rPr>
        <w:t> </w:t>
      </w:r>
      <w:r>
        <w:rPr>
          <w:sz w:val="22"/>
        </w:rPr>
        <w:t>las visitas de verificación.</w:t>
      </w:r>
    </w:p>
    <w:p>
      <w:pPr>
        <w:pStyle w:val="BodyText"/>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Que, el 21 de marzo de 2026, en el marco de las actividades programadas por el Viceministerio de Comercio Exterior de la República del Ecuador, funcionarios de la SGCAN realizaron la visita de inspección y verificación en el puente internacional de Rumichaca, ubicado en la provincia de Carchi, República del Ecuador. El encuentro estuvo presidido por autoridades del SENAE y representantes de los Ministerios de Relaciones Exteriores y Producción, Comercio Exterior e Inversiones de dicho País Miembro. Asimismo, durante la jornada, los funcionarios de la SGCAN sostuvieron un encuentro</w:t>
      </w:r>
      <w:r>
        <w:rPr>
          <w:spacing w:val="-9"/>
          <w:sz w:val="22"/>
        </w:rPr>
        <w:t> </w:t>
      </w:r>
      <w:r>
        <w:rPr>
          <w:sz w:val="22"/>
        </w:rPr>
        <w:t>con</w:t>
      </w:r>
      <w:r>
        <w:rPr>
          <w:spacing w:val="-7"/>
          <w:sz w:val="22"/>
        </w:rPr>
        <w:t> </w:t>
      </w:r>
      <w:r>
        <w:rPr>
          <w:sz w:val="22"/>
        </w:rPr>
        <w:t>representantes</w:t>
      </w:r>
      <w:r>
        <w:rPr>
          <w:spacing w:val="-6"/>
          <w:sz w:val="22"/>
        </w:rPr>
        <w:t> </w:t>
      </w:r>
      <w:r>
        <w:rPr>
          <w:sz w:val="22"/>
        </w:rPr>
        <w:t>del</w:t>
      </w:r>
      <w:r>
        <w:rPr>
          <w:spacing w:val="-7"/>
          <w:sz w:val="22"/>
        </w:rPr>
        <w:t> </w:t>
      </w:r>
      <w:r>
        <w:rPr>
          <w:sz w:val="22"/>
        </w:rPr>
        <w:t>sector</w:t>
      </w:r>
      <w:r>
        <w:rPr>
          <w:spacing w:val="-6"/>
          <w:sz w:val="22"/>
        </w:rPr>
        <w:t> </w:t>
      </w:r>
      <w:r>
        <w:rPr>
          <w:sz w:val="22"/>
        </w:rPr>
        <w:t>de</w:t>
      </w:r>
      <w:r>
        <w:rPr>
          <w:spacing w:val="-9"/>
          <w:sz w:val="22"/>
        </w:rPr>
        <w:t> </w:t>
      </w:r>
      <w:r>
        <w:rPr>
          <w:sz w:val="22"/>
        </w:rPr>
        <w:t>transporte</w:t>
      </w:r>
      <w:r>
        <w:rPr>
          <w:spacing w:val="-6"/>
          <w:sz w:val="22"/>
        </w:rPr>
        <w:t> </w:t>
      </w:r>
      <w:r>
        <w:rPr>
          <w:sz w:val="22"/>
        </w:rPr>
        <w:t>y</w:t>
      </w:r>
      <w:r>
        <w:rPr>
          <w:spacing w:val="-8"/>
          <w:sz w:val="22"/>
        </w:rPr>
        <w:t> </w:t>
      </w:r>
      <w:r>
        <w:rPr>
          <w:sz w:val="22"/>
        </w:rPr>
        <w:t>gremios</w:t>
      </w:r>
      <w:r>
        <w:rPr>
          <w:spacing w:val="-6"/>
          <w:sz w:val="22"/>
        </w:rPr>
        <w:t> </w:t>
      </w:r>
      <w:r>
        <w:rPr>
          <w:sz w:val="22"/>
        </w:rPr>
        <w:t>de</w:t>
      </w:r>
      <w:r>
        <w:rPr>
          <w:spacing w:val="-7"/>
          <w:sz w:val="22"/>
        </w:rPr>
        <w:t> </w:t>
      </w:r>
      <w:r>
        <w:rPr>
          <w:sz w:val="22"/>
        </w:rPr>
        <w:t>comercio</w:t>
      </w:r>
      <w:r>
        <w:rPr>
          <w:spacing w:val="-6"/>
          <w:sz w:val="22"/>
        </w:rPr>
        <w:t> </w:t>
      </w:r>
      <w:r>
        <w:rPr>
          <w:sz w:val="22"/>
        </w:rPr>
        <w:t>fronterizo de ambos países.</w:t>
      </w:r>
    </w:p>
    <w:p>
      <w:pPr>
        <w:pStyle w:val="ListParagraph"/>
        <w:spacing w:after="0" w:line="240" w:lineRule="auto"/>
        <w:jc w:val="both"/>
        <w:rPr>
          <w:sz w:val="22"/>
        </w:rPr>
        <w:sectPr>
          <w:headerReference w:type="default" r:id="rId42"/>
          <w:footerReference w:type="default" r:id="rId43"/>
          <w:pgSz w:w="11900" w:h="16850"/>
          <w:pgMar w:header="370" w:footer="651" w:top="1380" w:bottom="840" w:left="992" w:right="283"/>
        </w:sectPr>
      </w:pPr>
    </w:p>
    <w:p>
      <w:pPr>
        <w:pStyle w:val="BodyText"/>
        <w:spacing w:before="176"/>
      </w:pPr>
    </w:p>
    <w:p>
      <w:pPr>
        <w:pStyle w:val="ListParagraph"/>
        <w:numPr>
          <w:ilvl w:val="0"/>
          <w:numId w:val="11"/>
        </w:numPr>
        <w:tabs>
          <w:tab w:pos="1130" w:val="left" w:leader="none"/>
          <w:tab w:pos="1134" w:val="left" w:leader="none"/>
        </w:tabs>
        <w:spacing w:line="240" w:lineRule="auto" w:before="0" w:after="0"/>
        <w:ind w:left="1134" w:right="982" w:hanging="567"/>
        <w:jc w:val="both"/>
        <w:rPr>
          <w:sz w:val="22"/>
        </w:rPr>
      </w:pPr>
      <w:r>
        <w:rPr>
          <w:sz w:val="22"/>
        </w:rPr>
        <w:t>Que, el</w:t>
      </w:r>
      <w:r>
        <w:rPr>
          <w:spacing w:val="-1"/>
          <w:sz w:val="22"/>
        </w:rPr>
        <w:t> </w:t>
      </w:r>
      <w:r>
        <w:rPr>
          <w:sz w:val="22"/>
        </w:rPr>
        <w:t>24 de</w:t>
      </w:r>
      <w:r>
        <w:rPr>
          <w:spacing w:val="-2"/>
          <w:sz w:val="22"/>
        </w:rPr>
        <w:t> </w:t>
      </w:r>
      <w:r>
        <w:rPr>
          <w:sz w:val="22"/>
        </w:rPr>
        <w:t>marzo de</w:t>
      </w:r>
      <w:r>
        <w:rPr>
          <w:spacing w:val="-2"/>
          <w:sz w:val="22"/>
        </w:rPr>
        <w:t> </w:t>
      </w:r>
      <w:r>
        <w:rPr>
          <w:sz w:val="22"/>
        </w:rPr>
        <w:t>2026, los</w:t>
      </w:r>
      <w:r>
        <w:rPr>
          <w:spacing w:val="-2"/>
          <w:sz w:val="22"/>
        </w:rPr>
        <w:t> </w:t>
      </w:r>
      <w:r>
        <w:rPr>
          <w:sz w:val="22"/>
        </w:rPr>
        <w:t>funcionarios de la SGCAN asistieron en la ciudad de Quito, República del Ecuador, a la reunión programada con autoridades del Viceministerio de Comercio Exterior, Ministerio de Defensa, Ministerio de Relaciones Exteriores y el SENAE. En dicha reunión se informó a la República del Ecuador sobre las actuaciones y actividades desarrolladas en el marco de las visitas de verificación.</w:t>
      </w:r>
    </w:p>
    <w:p>
      <w:pPr>
        <w:pStyle w:val="BodyText"/>
        <w:spacing w:before="1"/>
      </w:pPr>
    </w:p>
    <w:p>
      <w:pPr>
        <w:pStyle w:val="ListParagraph"/>
        <w:numPr>
          <w:ilvl w:val="0"/>
          <w:numId w:val="11"/>
        </w:numPr>
        <w:tabs>
          <w:tab w:pos="1130" w:val="left" w:leader="none"/>
          <w:tab w:pos="1134" w:val="left" w:leader="none"/>
        </w:tabs>
        <w:spacing w:line="240" w:lineRule="auto" w:before="1" w:after="0"/>
        <w:ind w:left="1134" w:right="977" w:hanging="567"/>
        <w:jc w:val="both"/>
        <w:rPr>
          <w:sz w:val="22"/>
        </w:rPr>
      </w:pPr>
      <w:r>
        <w:rPr>
          <w:sz w:val="22"/>
        </w:rPr>
        <w:t>Que, el 31 de marzo de 2026,</w:t>
      </w:r>
      <w:r>
        <w:rPr>
          <w:spacing w:val="40"/>
          <w:sz w:val="22"/>
        </w:rPr>
        <w:t> </w:t>
      </w:r>
      <w:r>
        <w:rPr>
          <w:sz w:val="22"/>
        </w:rPr>
        <w:t>la República del Ecuador, mediante Oficio N° MPCEI-VCE-2026-0039-O del Ministerio de Producción, Comercio Exterior e Inversiones, presentó</w:t>
      </w:r>
      <w:r>
        <w:rPr>
          <w:spacing w:val="-4"/>
          <w:sz w:val="22"/>
        </w:rPr>
        <w:t> </w:t>
      </w:r>
      <w:r>
        <w:rPr>
          <w:sz w:val="22"/>
        </w:rPr>
        <w:t>su</w:t>
      </w:r>
      <w:r>
        <w:rPr>
          <w:spacing w:val="-4"/>
          <w:sz w:val="22"/>
        </w:rPr>
        <w:t> </w:t>
      </w:r>
      <w:r>
        <w:rPr>
          <w:sz w:val="22"/>
        </w:rPr>
        <w:t>respuesta</w:t>
      </w:r>
      <w:r>
        <w:rPr>
          <w:spacing w:val="-4"/>
          <w:sz w:val="22"/>
        </w:rPr>
        <w:t> </w:t>
      </w:r>
      <w:r>
        <w:rPr>
          <w:sz w:val="22"/>
        </w:rPr>
        <w:t>a</w:t>
      </w:r>
      <w:r>
        <w:rPr>
          <w:spacing w:val="-4"/>
          <w:sz w:val="22"/>
        </w:rPr>
        <w:t> </w:t>
      </w:r>
      <w:r>
        <w:rPr>
          <w:sz w:val="22"/>
        </w:rPr>
        <w:t>la</w:t>
      </w:r>
      <w:r>
        <w:rPr>
          <w:spacing w:val="-2"/>
          <w:sz w:val="22"/>
        </w:rPr>
        <w:t> </w:t>
      </w:r>
      <w:r>
        <w:rPr>
          <w:sz w:val="22"/>
        </w:rPr>
        <w:t>solicitud</w:t>
      </w:r>
      <w:r>
        <w:rPr>
          <w:spacing w:val="-2"/>
          <w:sz w:val="22"/>
        </w:rPr>
        <w:t> </w:t>
      </w:r>
      <w:r>
        <w:rPr>
          <w:sz w:val="22"/>
        </w:rPr>
        <w:t>de</w:t>
      </w:r>
      <w:r>
        <w:rPr>
          <w:spacing w:val="-2"/>
          <w:sz w:val="22"/>
        </w:rPr>
        <w:t> </w:t>
      </w:r>
      <w:r>
        <w:rPr>
          <w:sz w:val="22"/>
        </w:rPr>
        <w:t>calificación</w:t>
      </w:r>
      <w:r>
        <w:rPr>
          <w:spacing w:val="-2"/>
          <w:sz w:val="22"/>
        </w:rPr>
        <w:t> </w:t>
      </w:r>
      <w:r>
        <w:rPr>
          <w:sz w:val="22"/>
        </w:rPr>
        <w:t>de</w:t>
      </w:r>
      <w:r>
        <w:rPr>
          <w:spacing w:val="-2"/>
          <w:sz w:val="22"/>
        </w:rPr>
        <w:t> </w:t>
      </w:r>
      <w:r>
        <w:rPr>
          <w:sz w:val="22"/>
        </w:rPr>
        <w:t>gravamen, anexando,</w:t>
      </w:r>
      <w:r>
        <w:rPr>
          <w:spacing w:val="-1"/>
          <w:sz w:val="22"/>
        </w:rPr>
        <w:t> </w:t>
      </w:r>
      <w:r>
        <w:rPr>
          <w:sz w:val="22"/>
        </w:rPr>
        <w:t>el</w:t>
      </w:r>
      <w:r>
        <w:rPr>
          <w:spacing w:val="-3"/>
          <w:sz w:val="22"/>
        </w:rPr>
        <w:t> </w:t>
      </w:r>
      <w:r>
        <w:rPr>
          <w:sz w:val="22"/>
        </w:rPr>
        <w:t>“</w:t>
      </w:r>
      <w:r>
        <w:rPr>
          <w:rFonts w:ascii="Arial" w:hAnsi="Arial"/>
          <w:i/>
          <w:sz w:val="22"/>
        </w:rPr>
        <w:t>Informe Técnico – Jurídico Justificativo de la República del Ecuador dentro del Expediente DGCOM/GRAV/001/2026, en respuesta a la solicitud de calificación de Gravamen presentada por la República de Colombia de las Resoluciones: No SENAE-SENAE-2026-0006-RE – SENAE-SENAE-2026-0017-RE y al requerimiento de información formulado</w:t>
      </w:r>
      <w:r>
        <w:rPr>
          <w:rFonts w:ascii="Arial" w:hAnsi="Arial"/>
          <w:i/>
          <w:spacing w:val="-15"/>
          <w:sz w:val="22"/>
        </w:rPr>
        <w:t> </w:t>
      </w:r>
      <w:r>
        <w:rPr>
          <w:rFonts w:ascii="Arial" w:hAnsi="Arial"/>
          <w:i/>
          <w:sz w:val="22"/>
        </w:rPr>
        <w:t>por</w:t>
      </w:r>
      <w:r>
        <w:rPr>
          <w:rFonts w:ascii="Arial" w:hAnsi="Arial"/>
          <w:i/>
          <w:spacing w:val="-13"/>
          <w:sz w:val="22"/>
        </w:rPr>
        <w:t> </w:t>
      </w:r>
      <w:r>
        <w:rPr>
          <w:rFonts w:ascii="Arial" w:hAnsi="Arial"/>
          <w:i/>
          <w:sz w:val="22"/>
        </w:rPr>
        <w:t>la</w:t>
      </w:r>
      <w:r>
        <w:rPr>
          <w:rFonts w:ascii="Arial" w:hAnsi="Arial"/>
          <w:i/>
          <w:spacing w:val="-14"/>
          <w:sz w:val="22"/>
        </w:rPr>
        <w:t> </w:t>
      </w:r>
      <w:r>
        <w:rPr>
          <w:rFonts w:ascii="Arial" w:hAnsi="Arial"/>
          <w:i/>
          <w:sz w:val="22"/>
        </w:rPr>
        <w:t>Secretaría</w:t>
      </w:r>
      <w:r>
        <w:rPr>
          <w:rFonts w:ascii="Arial" w:hAnsi="Arial"/>
          <w:i/>
          <w:spacing w:val="-14"/>
          <w:sz w:val="22"/>
        </w:rPr>
        <w:t> </w:t>
      </w:r>
      <w:r>
        <w:rPr>
          <w:rFonts w:ascii="Arial" w:hAnsi="Arial"/>
          <w:i/>
          <w:sz w:val="22"/>
        </w:rPr>
        <w:t>General</w:t>
      </w:r>
      <w:r>
        <w:rPr>
          <w:rFonts w:ascii="Arial" w:hAnsi="Arial"/>
          <w:i/>
          <w:spacing w:val="-15"/>
          <w:sz w:val="22"/>
        </w:rPr>
        <w:t> </w:t>
      </w:r>
      <w:r>
        <w:rPr>
          <w:rFonts w:ascii="Arial" w:hAnsi="Arial"/>
          <w:i/>
          <w:sz w:val="22"/>
        </w:rPr>
        <w:t>de</w:t>
      </w:r>
      <w:r>
        <w:rPr>
          <w:rFonts w:ascii="Arial" w:hAnsi="Arial"/>
          <w:i/>
          <w:spacing w:val="-14"/>
          <w:sz w:val="22"/>
        </w:rPr>
        <w:t> </w:t>
      </w:r>
      <w:r>
        <w:rPr>
          <w:rFonts w:ascii="Arial" w:hAnsi="Arial"/>
          <w:i/>
          <w:sz w:val="22"/>
        </w:rPr>
        <w:t>la</w:t>
      </w:r>
      <w:r>
        <w:rPr>
          <w:rFonts w:ascii="Arial" w:hAnsi="Arial"/>
          <w:i/>
          <w:spacing w:val="-14"/>
          <w:sz w:val="22"/>
        </w:rPr>
        <w:t> </w:t>
      </w:r>
      <w:r>
        <w:rPr>
          <w:rFonts w:ascii="Arial" w:hAnsi="Arial"/>
          <w:i/>
          <w:sz w:val="22"/>
        </w:rPr>
        <w:t>Comunidad</w:t>
      </w:r>
      <w:r>
        <w:rPr>
          <w:rFonts w:ascii="Arial" w:hAnsi="Arial"/>
          <w:i/>
          <w:spacing w:val="-14"/>
          <w:sz w:val="22"/>
        </w:rPr>
        <w:t> </w:t>
      </w:r>
      <w:r>
        <w:rPr>
          <w:rFonts w:ascii="Arial" w:hAnsi="Arial"/>
          <w:i/>
          <w:sz w:val="22"/>
        </w:rPr>
        <w:t>Andina,</w:t>
      </w:r>
      <w:r>
        <w:rPr>
          <w:sz w:val="22"/>
        </w:rPr>
        <w:t>”</w:t>
      </w:r>
      <w:hyperlink w:history="true" w:anchor="_bookmark45">
        <w:r>
          <w:rPr>
            <w:sz w:val="22"/>
            <w:vertAlign w:val="superscript"/>
          </w:rPr>
          <w:t>3</w:t>
        </w:r>
      </w:hyperlink>
      <w:r>
        <w:rPr>
          <w:spacing w:val="-13"/>
          <w:sz w:val="22"/>
          <w:vertAlign w:val="baseline"/>
        </w:rPr>
        <w:t> </w:t>
      </w:r>
      <w:r>
        <w:rPr>
          <w:sz w:val="22"/>
          <w:vertAlign w:val="baseline"/>
        </w:rPr>
        <w:t>entre</w:t>
      </w:r>
      <w:r>
        <w:rPr>
          <w:spacing w:val="-14"/>
          <w:sz w:val="22"/>
          <w:vertAlign w:val="baseline"/>
        </w:rPr>
        <w:t> </w:t>
      </w:r>
      <w:r>
        <w:rPr>
          <w:sz w:val="22"/>
          <w:vertAlign w:val="baseline"/>
        </w:rPr>
        <w:t>otros</w:t>
      </w:r>
      <w:r>
        <w:rPr>
          <w:spacing w:val="-16"/>
          <w:sz w:val="22"/>
          <w:vertAlign w:val="baseline"/>
        </w:rPr>
        <w:t> </w:t>
      </w:r>
      <w:r>
        <w:rPr>
          <w:sz w:val="22"/>
          <w:vertAlign w:val="baseline"/>
        </w:rPr>
        <w:t>documentos.</w:t>
      </w:r>
    </w:p>
    <w:p>
      <w:pPr>
        <w:pStyle w:val="ListParagraph"/>
        <w:numPr>
          <w:ilvl w:val="0"/>
          <w:numId w:val="11"/>
        </w:numPr>
        <w:tabs>
          <w:tab w:pos="1130" w:val="left" w:leader="none"/>
          <w:tab w:pos="1134" w:val="left" w:leader="none"/>
        </w:tabs>
        <w:spacing w:line="240" w:lineRule="auto" w:before="252" w:after="0"/>
        <w:ind w:left="1134" w:right="982" w:hanging="567"/>
        <w:jc w:val="both"/>
        <w:rPr>
          <w:sz w:val="22"/>
        </w:rPr>
      </w:pPr>
      <w:r>
        <w:rPr>
          <w:sz w:val="22"/>
        </w:rPr>
        <w:t>Que, el 31 de marzo de 2026, las empresas Colombina S.A., Distribuidora Colombina del Ecuador S.A., y Colombina del</w:t>
      </w:r>
      <w:r>
        <w:rPr>
          <w:spacing w:val="40"/>
          <w:sz w:val="22"/>
        </w:rPr>
        <w:t> </w:t>
      </w:r>
      <w:r>
        <w:rPr>
          <w:sz w:val="22"/>
        </w:rPr>
        <w:t>Cauca S.A., mediante nota aportaron información para que sean tomados en cuenta y valorados en el análisis del presente caso.</w:t>
      </w:r>
    </w:p>
    <w:p>
      <w:pPr>
        <w:pStyle w:val="BodyText"/>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Que, el 15 de abril de 2026, mediante comunicaciones SG/E/DGCOM/726/2026, SG/E/DGCOM/727/2026, y SG/E/DGCOM/728/2026, la SGCAN puso en</w:t>
      </w:r>
      <w:r>
        <w:rPr>
          <w:spacing w:val="-2"/>
          <w:sz w:val="22"/>
        </w:rPr>
        <w:t> </w:t>
      </w:r>
      <w:r>
        <w:rPr>
          <w:sz w:val="22"/>
        </w:rPr>
        <w:t>conocimiento de la República de Colombia, la República del Ecuador, y de los demás Países Miembros, que,</w:t>
      </w:r>
      <w:r>
        <w:rPr>
          <w:spacing w:val="40"/>
          <w:sz w:val="22"/>
        </w:rPr>
        <w:t> </w:t>
      </w:r>
      <w:r>
        <w:rPr>
          <w:sz w:val="22"/>
        </w:rPr>
        <w:t>en virtud a la excepcional complejidad del caso, la abundante información recopilada durante la investigación y los escritos presentados, de conformidad con lo dispuesto en el artículo 29 de la Decisión 425, decidió ampliar el plazo para resolver el expediente en diez (10) días hábiles adicionales.</w:t>
      </w:r>
    </w:p>
    <w:p>
      <w:pPr>
        <w:pStyle w:val="BodyText"/>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Que,</w:t>
      </w:r>
      <w:r>
        <w:rPr>
          <w:spacing w:val="-3"/>
          <w:sz w:val="22"/>
        </w:rPr>
        <w:t> </w:t>
      </w:r>
      <w:r>
        <w:rPr>
          <w:sz w:val="22"/>
        </w:rPr>
        <w:t>el</w:t>
      </w:r>
      <w:r>
        <w:rPr>
          <w:spacing w:val="-5"/>
          <w:sz w:val="22"/>
        </w:rPr>
        <w:t> </w:t>
      </w:r>
      <w:r>
        <w:rPr>
          <w:sz w:val="22"/>
        </w:rPr>
        <w:t>16</w:t>
      </w:r>
      <w:r>
        <w:rPr>
          <w:spacing w:val="-4"/>
          <w:sz w:val="22"/>
        </w:rPr>
        <w:t> </w:t>
      </w:r>
      <w:r>
        <w:rPr>
          <w:sz w:val="22"/>
        </w:rPr>
        <w:t>de</w:t>
      </w:r>
      <w:r>
        <w:rPr>
          <w:spacing w:val="-3"/>
          <w:sz w:val="22"/>
        </w:rPr>
        <w:t> </w:t>
      </w:r>
      <w:r>
        <w:rPr>
          <w:sz w:val="22"/>
        </w:rPr>
        <w:t>abril</w:t>
      </w:r>
      <w:r>
        <w:rPr>
          <w:spacing w:val="-4"/>
          <w:sz w:val="22"/>
        </w:rPr>
        <w:t> </w:t>
      </w:r>
      <w:r>
        <w:rPr>
          <w:sz w:val="22"/>
        </w:rPr>
        <w:t>de</w:t>
      </w:r>
      <w:r>
        <w:rPr>
          <w:spacing w:val="-4"/>
          <w:sz w:val="22"/>
        </w:rPr>
        <w:t> </w:t>
      </w:r>
      <w:r>
        <w:rPr>
          <w:sz w:val="22"/>
        </w:rPr>
        <w:t>2026,</w:t>
      </w:r>
      <w:r>
        <w:rPr>
          <w:spacing w:val="-3"/>
          <w:sz w:val="22"/>
        </w:rPr>
        <w:t> </w:t>
      </w:r>
      <w:r>
        <w:rPr>
          <w:sz w:val="22"/>
        </w:rPr>
        <w:t>la</w:t>
      </w:r>
      <w:r>
        <w:rPr>
          <w:spacing w:val="-4"/>
          <w:sz w:val="22"/>
        </w:rPr>
        <w:t> </w:t>
      </w:r>
      <w:r>
        <w:rPr>
          <w:sz w:val="22"/>
        </w:rPr>
        <w:t>República</w:t>
      </w:r>
      <w:r>
        <w:rPr>
          <w:spacing w:val="-4"/>
          <w:sz w:val="22"/>
        </w:rPr>
        <w:t> </w:t>
      </w:r>
      <w:r>
        <w:rPr>
          <w:sz w:val="22"/>
        </w:rPr>
        <w:t>de</w:t>
      </w:r>
      <w:r>
        <w:rPr>
          <w:spacing w:val="-4"/>
          <w:sz w:val="22"/>
        </w:rPr>
        <w:t> </w:t>
      </w:r>
      <w:r>
        <w:rPr>
          <w:sz w:val="22"/>
        </w:rPr>
        <w:t>Colombia,</w:t>
      </w:r>
      <w:r>
        <w:rPr>
          <w:spacing w:val="-5"/>
          <w:sz w:val="22"/>
        </w:rPr>
        <w:t> </w:t>
      </w:r>
      <w:r>
        <w:rPr>
          <w:sz w:val="22"/>
        </w:rPr>
        <w:t>mediante</w:t>
      </w:r>
      <w:r>
        <w:rPr>
          <w:spacing w:val="-4"/>
          <w:sz w:val="22"/>
        </w:rPr>
        <w:t> </w:t>
      </w:r>
      <w:r>
        <w:rPr>
          <w:sz w:val="22"/>
        </w:rPr>
        <w:t>Radicado</w:t>
      </w:r>
      <w:r>
        <w:rPr>
          <w:spacing w:val="-4"/>
          <w:sz w:val="22"/>
        </w:rPr>
        <w:t> </w:t>
      </w:r>
      <w:r>
        <w:rPr>
          <w:sz w:val="22"/>
        </w:rPr>
        <w:t>No.</w:t>
      </w:r>
      <w:r>
        <w:rPr>
          <w:spacing w:val="-3"/>
          <w:sz w:val="22"/>
        </w:rPr>
        <w:t> </w:t>
      </w:r>
      <w:r>
        <w:rPr>
          <w:sz w:val="22"/>
        </w:rPr>
        <w:t>2-2026-010894, comunicó que la República del Ecuador emitió la Resolución Nro. SENAE-SENAE-2026-0031- RE, de fecha</w:t>
      </w:r>
      <w:r>
        <w:rPr>
          <w:spacing w:val="-1"/>
          <w:sz w:val="22"/>
        </w:rPr>
        <w:t> </w:t>
      </w:r>
      <w:r>
        <w:rPr>
          <w:sz w:val="22"/>
        </w:rPr>
        <w:t>9</w:t>
      </w:r>
      <w:r>
        <w:rPr>
          <w:spacing w:val="-2"/>
          <w:sz w:val="22"/>
        </w:rPr>
        <w:t> </w:t>
      </w:r>
      <w:r>
        <w:rPr>
          <w:sz w:val="22"/>
        </w:rPr>
        <w:t>de</w:t>
      </w:r>
      <w:r>
        <w:rPr>
          <w:spacing w:val="-2"/>
          <w:sz w:val="22"/>
        </w:rPr>
        <w:t> </w:t>
      </w:r>
      <w:r>
        <w:rPr>
          <w:sz w:val="22"/>
        </w:rPr>
        <w:t>abril del año en</w:t>
      </w:r>
      <w:r>
        <w:rPr>
          <w:spacing w:val="-2"/>
          <w:sz w:val="22"/>
        </w:rPr>
        <w:t> </w:t>
      </w:r>
      <w:r>
        <w:rPr>
          <w:sz w:val="22"/>
        </w:rPr>
        <w:t>curso, mediante</w:t>
      </w:r>
      <w:r>
        <w:rPr>
          <w:spacing w:val="-2"/>
          <w:sz w:val="22"/>
        </w:rPr>
        <w:t> </w:t>
      </w:r>
      <w:r>
        <w:rPr>
          <w:sz w:val="22"/>
        </w:rPr>
        <w:t>la</w:t>
      </w:r>
      <w:r>
        <w:rPr>
          <w:spacing w:val="-2"/>
          <w:sz w:val="22"/>
        </w:rPr>
        <w:t> </w:t>
      </w:r>
      <w:r>
        <w:rPr>
          <w:sz w:val="22"/>
        </w:rPr>
        <w:t>cual deja</w:t>
      </w:r>
      <w:r>
        <w:rPr>
          <w:spacing w:val="-2"/>
          <w:sz w:val="22"/>
        </w:rPr>
        <w:t> </w:t>
      </w:r>
      <w:r>
        <w:rPr>
          <w:sz w:val="22"/>
        </w:rPr>
        <w:t>sin efecto</w:t>
      </w:r>
      <w:r>
        <w:rPr>
          <w:spacing w:val="-10"/>
          <w:sz w:val="22"/>
        </w:rPr>
        <w:t> </w:t>
      </w:r>
      <w:r>
        <w:rPr>
          <w:sz w:val="22"/>
        </w:rPr>
        <w:t>la</w:t>
      </w:r>
      <w:r>
        <w:rPr>
          <w:spacing w:val="-10"/>
          <w:sz w:val="22"/>
        </w:rPr>
        <w:t> </w:t>
      </w:r>
      <w:r>
        <w:rPr>
          <w:sz w:val="22"/>
        </w:rPr>
        <w:t>Resolución</w:t>
      </w:r>
      <w:r>
        <w:rPr>
          <w:spacing w:val="-7"/>
          <w:sz w:val="22"/>
        </w:rPr>
        <w:t> </w:t>
      </w:r>
      <w:r>
        <w:rPr>
          <w:sz w:val="22"/>
        </w:rPr>
        <w:t>Nro.</w:t>
      </w:r>
      <w:r>
        <w:rPr>
          <w:spacing w:val="-8"/>
          <w:sz w:val="22"/>
        </w:rPr>
        <w:t> </w:t>
      </w:r>
      <w:r>
        <w:rPr>
          <w:sz w:val="22"/>
        </w:rPr>
        <w:t>SENAE-SENAE-2026-0017-R</w:t>
      </w:r>
      <w:r>
        <w:rPr>
          <w:spacing w:val="-8"/>
          <w:sz w:val="22"/>
        </w:rPr>
        <w:t> </w:t>
      </w:r>
      <w:r>
        <w:rPr>
          <w:sz w:val="22"/>
        </w:rPr>
        <w:t>de</w:t>
      </w:r>
      <w:r>
        <w:rPr>
          <w:spacing w:val="-10"/>
          <w:sz w:val="22"/>
        </w:rPr>
        <w:t> </w:t>
      </w:r>
      <w:r>
        <w:rPr>
          <w:sz w:val="22"/>
        </w:rPr>
        <w:t>28</w:t>
      </w:r>
      <w:r>
        <w:rPr>
          <w:spacing w:val="-10"/>
          <w:sz w:val="22"/>
        </w:rPr>
        <w:t> </w:t>
      </w:r>
      <w:r>
        <w:rPr>
          <w:sz w:val="22"/>
        </w:rPr>
        <w:t>de</w:t>
      </w:r>
      <w:r>
        <w:rPr>
          <w:spacing w:val="-10"/>
          <w:sz w:val="22"/>
        </w:rPr>
        <w:t> </w:t>
      </w:r>
      <w:r>
        <w:rPr>
          <w:sz w:val="22"/>
        </w:rPr>
        <w:t>febrero</w:t>
      </w:r>
      <w:r>
        <w:rPr>
          <w:spacing w:val="-9"/>
          <w:sz w:val="22"/>
        </w:rPr>
        <w:t> </w:t>
      </w:r>
      <w:r>
        <w:rPr>
          <w:sz w:val="22"/>
        </w:rPr>
        <w:t>de</w:t>
      </w:r>
      <w:r>
        <w:rPr>
          <w:spacing w:val="-7"/>
          <w:sz w:val="22"/>
        </w:rPr>
        <w:t> </w:t>
      </w:r>
      <w:r>
        <w:rPr>
          <w:sz w:val="22"/>
        </w:rPr>
        <w:t>2026,</w:t>
      </w:r>
      <w:r>
        <w:rPr>
          <w:spacing w:val="-8"/>
          <w:sz w:val="22"/>
        </w:rPr>
        <w:t> </w:t>
      </w:r>
      <w:r>
        <w:rPr>
          <w:sz w:val="22"/>
        </w:rPr>
        <w:t>en</w:t>
      </w:r>
      <w:r>
        <w:rPr>
          <w:spacing w:val="-10"/>
          <w:sz w:val="22"/>
        </w:rPr>
        <w:t> </w:t>
      </w:r>
      <w:r>
        <w:rPr>
          <w:sz w:val="22"/>
        </w:rPr>
        <w:t>lo relativo al incremento del gravamen arancelario aplicable a las mercancías originarias de la República de Colombia, elevando del 50% al 100% </w:t>
      </w:r>
      <w:r>
        <w:rPr>
          <w:rFonts w:ascii="Arial" w:hAnsi="Arial"/>
          <w:i/>
          <w:sz w:val="22"/>
        </w:rPr>
        <w:t>ad valorem, </w:t>
      </w:r>
      <w:r>
        <w:rPr>
          <w:sz w:val="22"/>
        </w:rPr>
        <w:t>y solicitó la incorporación de la mencionada Resolución al expediente DGCOM/GRAV/001/2026.</w:t>
      </w:r>
    </w:p>
    <w:p>
      <w:pPr>
        <w:pStyle w:val="ListParagraph"/>
        <w:numPr>
          <w:ilvl w:val="0"/>
          <w:numId w:val="11"/>
        </w:numPr>
        <w:tabs>
          <w:tab w:pos="1130" w:val="left" w:leader="none"/>
          <w:tab w:pos="1134" w:val="left" w:leader="none"/>
        </w:tabs>
        <w:spacing w:line="240" w:lineRule="auto" w:before="253" w:after="0"/>
        <w:ind w:left="1134" w:right="977" w:hanging="567"/>
        <w:jc w:val="both"/>
        <w:rPr>
          <w:sz w:val="22"/>
        </w:rPr>
      </w:pPr>
      <w:r>
        <w:rPr>
          <w:sz w:val="22"/>
        </w:rPr>
        <w:t>Que, el 20 de abril de 2026, mediante comunicación SG/E/DGCOM/766/2026, la SGCAN acusó recibo a la República de Colombia de su Radicado No. 2-2026-010894 de fecha 16 de abril de 2026 e informó que la Resolución Nro. SENAE-SENAE-2026-0031-RE fue incorporada al expediente. Asimismo, mediante comunicación SG/E/DGCOM/765/2026, de la misma fecha, se notificó a los Países Miembros la incorporación de la Resolución antes mencionada al expediente.</w:t>
      </w:r>
    </w:p>
    <w:p>
      <w:pPr>
        <w:pStyle w:val="BodyText"/>
      </w:pPr>
    </w:p>
    <w:p>
      <w:pPr>
        <w:pStyle w:val="ListParagraph"/>
        <w:numPr>
          <w:ilvl w:val="0"/>
          <w:numId w:val="11"/>
        </w:numPr>
        <w:tabs>
          <w:tab w:pos="1130" w:val="left" w:leader="none"/>
          <w:tab w:pos="1134" w:val="left" w:leader="none"/>
        </w:tabs>
        <w:spacing w:line="240" w:lineRule="auto" w:before="1" w:after="0"/>
        <w:ind w:left="1134" w:right="980" w:hanging="567"/>
        <w:jc w:val="both"/>
        <w:rPr>
          <w:sz w:val="22"/>
        </w:rPr>
      </w:pPr>
      <w:r>
        <w:rPr>
          <w:sz w:val="22"/>
        </w:rPr>
        <w:t>Que, mediante correo electrónico de fecha 17 de abril de 2026</w:t>
      </w:r>
      <w:hyperlink w:history="true" w:anchor="_bookmark46">
        <w:r>
          <w:rPr>
            <w:sz w:val="22"/>
            <w:vertAlign w:val="superscript"/>
          </w:rPr>
          <w:t>4</w:t>
        </w:r>
      </w:hyperlink>
      <w:r>
        <w:rPr>
          <w:sz w:val="22"/>
          <w:vertAlign w:val="baseline"/>
        </w:rPr>
        <w:t>, la República de Colombia</w:t>
      </w:r>
      <w:r>
        <w:rPr>
          <w:spacing w:val="-5"/>
          <w:sz w:val="22"/>
          <w:vertAlign w:val="baseline"/>
        </w:rPr>
        <w:t> </w:t>
      </w:r>
      <w:r>
        <w:rPr>
          <w:sz w:val="22"/>
          <w:vertAlign w:val="baseline"/>
        </w:rPr>
        <w:t>solicitó</w:t>
      </w:r>
      <w:r>
        <w:rPr>
          <w:spacing w:val="-5"/>
          <w:sz w:val="22"/>
          <w:vertAlign w:val="baseline"/>
        </w:rPr>
        <w:t> </w:t>
      </w:r>
      <w:r>
        <w:rPr>
          <w:sz w:val="22"/>
          <w:vertAlign w:val="baseline"/>
        </w:rPr>
        <w:t>a</w:t>
      </w:r>
      <w:r>
        <w:rPr>
          <w:spacing w:val="-5"/>
          <w:sz w:val="22"/>
          <w:vertAlign w:val="baseline"/>
        </w:rPr>
        <w:t> </w:t>
      </w:r>
      <w:r>
        <w:rPr>
          <w:sz w:val="22"/>
          <w:vertAlign w:val="baseline"/>
        </w:rPr>
        <w:t>la</w:t>
      </w:r>
      <w:r>
        <w:rPr>
          <w:spacing w:val="-5"/>
          <w:sz w:val="22"/>
          <w:vertAlign w:val="baseline"/>
        </w:rPr>
        <w:t> </w:t>
      </w:r>
      <w:r>
        <w:rPr>
          <w:sz w:val="22"/>
          <w:vertAlign w:val="baseline"/>
        </w:rPr>
        <w:t>SGCAN</w:t>
      </w:r>
      <w:r>
        <w:rPr>
          <w:spacing w:val="-6"/>
          <w:sz w:val="22"/>
          <w:vertAlign w:val="baseline"/>
        </w:rPr>
        <w:t> </w:t>
      </w:r>
      <w:r>
        <w:rPr>
          <w:sz w:val="22"/>
          <w:vertAlign w:val="baseline"/>
        </w:rPr>
        <w:t>la</w:t>
      </w:r>
      <w:r>
        <w:rPr>
          <w:spacing w:val="-5"/>
          <w:sz w:val="22"/>
          <w:vertAlign w:val="baseline"/>
        </w:rPr>
        <w:t> </w:t>
      </w:r>
      <w:r>
        <w:rPr>
          <w:sz w:val="22"/>
          <w:vertAlign w:val="baseline"/>
        </w:rPr>
        <w:t>remisión</w:t>
      </w:r>
      <w:r>
        <w:rPr>
          <w:spacing w:val="-5"/>
          <w:sz w:val="22"/>
          <w:vertAlign w:val="baseline"/>
        </w:rPr>
        <w:t> </w:t>
      </w:r>
      <w:r>
        <w:rPr>
          <w:sz w:val="22"/>
          <w:vertAlign w:val="baseline"/>
        </w:rPr>
        <w:t>de</w:t>
      </w:r>
      <w:r>
        <w:rPr>
          <w:spacing w:val="-5"/>
          <w:sz w:val="22"/>
          <w:vertAlign w:val="baseline"/>
        </w:rPr>
        <w:t> </w:t>
      </w:r>
      <w:r>
        <w:rPr>
          <w:sz w:val="22"/>
          <w:vertAlign w:val="baseline"/>
        </w:rPr>
        <w:t>las</w:t>
      </w:r>
      <w:r>
        <w:rPr>
          <w:spacing w:val="-7"/>
          <w:sz w:val="22"/>
          <w:vertAlign w:val="baseline"/>
        </w:rPr>
        <w:t> </w:t>
      </w:r>
      <w:r>
        <w:rPr>
          <w:sz w:val="22"/>
          <w:vertAlign w:val="baseline"/>
        </w:rPr>
        <w:t>actas</w:t>
      </w:r>
      <w:r>
        <w:rPr>
          <w:spacing w:val="-5"/>
          <w:sz w:val="22"/>
          <w:vertAlign w:val="baseline"/>
        </w:rPr>
        <w:t> </w:t>
      </w:r>
      <w:r>
        <w:rPr>
          <w:sz w:val="22"/>
          <w:vertAlign w:val="baseline"/>
        </w:rPr>
        <w:t>correspondientes</w:t>
      </w:r>
      <w:r>
        <w:rPr>
          <w:spacing w:val="-5"/>
          <w:sz w:val="22"/>
          <w:vertAlign w:val="baseline"/>
        </w:rPr>
        <w:t> </w:t>
      </w:r>
      <w:r>
        <w:rPr>
          <w:sz w:val="22"/>
          <w:vertAlign w:val="baseline"/>
        </w:rPr>
        <w:t>a</w:t>
      </w:r>
      <w:r>
        <w:rPr>
          <w:spacing w:val="-7"/>
          <w:sz w:val="22"/>
          <w:vertAlign w:val="baseline"/>
        </w:rPr>
        <w:t> </w:t>
      </w:r>
      <w:r>
        <w:rPr>
          <w:sz w:val="22"/>
          <w:vertAlign w:val="baseline"/>
        </w:rPr>
        <w:t>las</w:t>
      </w:r>
      <w:r>
        <w:rPr>
          <w:spacing w:val="-5"/>
          <w:sz w:val="22"/>
          <w:vertAlign w:val="baseline"/>
        </w:rPr>
        <w:t> </w:t>
      </w:r>
      <w:r>
        <w:rPr>
          <w:sz w:val="22"/>
          <w:vertAlign w:val="baseline"/>
        </w:rPr>
        <w:t>visitas</w:t>
      </w:r>
      <w:r>
        <w:rPr>
          <w:spacing w:val="-5"/>
          <w:sz w:val="22"/>
          <w:vertAlign w:val="baseline"/>
        </w:rPr>
        <w:t> </w:t>
      </w:r>
      <w:r>
        <w:rPr>
          <w:sz w:val="22"/>
          <w:vertAlign w:val="baseline"/>
        </w:rPr>
        <w:t>de verificación realizadas por la SGCAN.</w:t>
      </w:r>
    </w:p>
    <w:p>
      <w:pPr>
        <w:pStyle w:val="BodyText"/>
        <w:spacing w:before="1"/>
        <w:rPr>
          <w:sz w:val="18"/>
        </w:rPr>
      </w:pPr>
      <w:r>
        <w:rPr>
          <w:sz w:val="18"/>
        </w:rPr>
        <mc:AlternateContent>
          <mc:Choice Requires="wps">
            <w:drawing>
              <wp:anchor distT="0" distB="0" distL="0" distR="0" allowOverlap="1" layoutInCell="1" locked="0" behindDoc="1" simplePos="0" relativeHeight="487617024">
                <wp:simplePos x="0" y="0"/>
                <wp:positionH relativeFrom="page">
                  <wp:posOffset>990904</wp:posOffset>
                </wp:positionH>
                <wp:positionV relativeFrom="paragraph">
                  <wp:posOffset>147348</wp:posOffset>
                </wp:positionV>
                <wp:extent cx="1829435" cy="7620"/>
                <wp:effectExtent l="0" t="0" r="0" b="0"/>
                <wp:wrapTopAndBottom/>
                <wp:docPr id="306" name="Graphic 306"/>
                <wp:cNvGraphicFramePr>
                  <a:graphicFrameLocks/>
                </wp:cNvGraphicFramePr>
                <a:graphic>
                  <a:graphicData uri="http://schemas.microsoft.com/office/word/2010/wordprocessingShape">
                    <wps:wsp>
                      <wps:cNvPr id="306" name="Graphic 306"/>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1.602225pt;width:144.020pt;height:.60004pt;mso-position-horizontal-relative:page;mso-position-vertical-relative:paragraph;z-index:-15699456;mso-wrap-distance-left:0;mso-wrap-distance-right:0" id="docshape225" filled="true" fillcolor="#000000" stroked="false">
                <v:fill type="solid"/>
                <w10:wrap type="topAndBottom"/>
              </v:rect>
            </w:pict>
          </mc:Fallback>
        </mc:AlternateContent>
      </w:r>
    </w:p>
    <w:p>
      <w:pPr>
        <w:spacing w:before="92"/>
        <w:ind w:left="568" w:right="0" w:firstLine="0"/>
        <w:jc w:val="left"/>
        <w:rPr>
          <w:sz w:val="16"/>
        </w:rPr>
      </w:pPr>
      <w:bookmarkStart w:name="_bookmark45" w:id="46"/>
      <w:bookmarkEnd w:id="46"/>
      <w:r>
        <w:rPr/>
      </w:r>
      <w:r>
        <w:rPr>
          <w:sz w:val="16"/>
          <w:vertAlign w:val="superscript"/>
        </w:rPr>
        <w:t>3</w:t>
      </w:r>
      <w:r>
        <w:rPr>
          <w:spacing w:val="-4"/>
          <w:sz w:val="16"/>
          <w:vertAlign w:val="baseline"/>
        </w:rPr>
        <w:t> </w:t>
      </w:r>
      <w:r>
        <w:rPr>
          <w:sz w:val="16"/>
          <w:vertAlign w:val="baseline"/>
        </w:rPr>
        <w:t>La</w:t>
      </w:r>
      <w:r>
        <w:rPr>
          <w:spacing w:val="-4"/>
          <w:sz w:val="16"/>
          <w:vertAlign w:val="baseline"/>
        </w:rPr>
        <w:t> </w:t>
      </w:r>
      <w:r>
        <w:rPr>
          <w:sz w:val="16"/>
          <w:vertAlign w:val="baseline"/>
        </w:rPr>
        <w:t>República</w:t>
      </w:r>
      <w:r>
        <w:rPr>
          <w:spacing w:val="-7"/>
          <w:sz w:val="16"/>
          <w:vertAlign w:val="baseline"/>
        </w:rPr>
        <w:t> </w:t>
      </w:r>
      <w:r>
        <w:rPr>
          <w:sz w:val="16"/>
          <w:vertAlign w:val="baseline"/>
        </w:rPr>
        <w:t>del</w:t>
      </w:r>
      <w:r>
        <w:rPr>
          <w:spacing w:val="-5"/>
          <w:sz w:val="16"/>
          <w:vertAlign w:val="baseline"/>
        </w:rPr>
        <w:t> </w:t>
      </w:r>
      <w:r>
        <w:rPr>
          <w:sz w:val="16"/>
          <w:vertAlign w:val="baseline"/>
        </w:rPr>
        <w:t>Ecuador</w:t>
      </w:r>
      <w:r>
        <w:rPr>
          <w:spacing w:val="-4"/>
          <w:sz w:val="16"/>
          <w:vertAlign w:val="baseline"/>
        </w:rPr>
        <w:t> </w:t>
      </w:r>
      <w:r>
        <w:rPr>
          <w:sz w:val="16"/>
          <w:vertAlign w:val="baseline"/>
        </w:rPr>
        <w:t>adjunta</w:t>
      </w:r>
      <w:r>
        <w:rPr>
          <w:spacing w:val="-7"/>
          <w:sz w:val="16"/>
          <w:vertAlign w:val="baseline"/>
        </w:rPr>
        <w:t> </w:t>
      </w:r>
      <w:r>
        <w:rPr>
          <w:sz w:val="16"/>
          <w:vertAlign w:val="baseline"/>
        </w:rPr>
        <w:t>a</w:t>
      </w:r>
      <w:r>
        <w:rPr>
          <w:spacing w:val="-5"/>
          <w:sz w:val="16"/>
          <w:vertAlign w:val="baseline"/>
        </w:rPr>
        <w:t> </w:t>
      </w:r>
      <w:r>
        <w:rPr>
          <w:sz w:val="16"/>
          <w:vertAlign w:val="baseline"/>
        </w:rPr>
        <w:t>su</w:t>
      </w:r>
      <w:r>
        <w:rPr>
          <w:spacing w:val="-4"/>
          <w:sz w:val="16"/>
          <w:vertAlign w:val="baseline"/>
        </w:rPr>
        <w:t> </w:t>
      </w:r>
      <w:r>
        <w:rPr>
          <w:sz w:val="16"/>
          <w:vertAlign w:val="baseline"/>
        </w:rPr>
        <w:t>Oficio</w:t>
      </w:r>
      <w:r>
        <w:rPr>
          <w:spacing w:val="-4"/>
          <w:sz w:val="16"/>
          <w:vertAlign w:val="baseline"/>
        </w:rPr>
        <w:t> </w:t>
      </w:r>
      <w:r>
        <w:rPr>
          <w:sz w:val="16"/>
          <w:vertAlign w:val="baseline"/>
        </w:rPr>
        <w:t>N°</w:t>
      </w:r>
      <w:r>
        <w:rPr>
          <w:spacing w:val="-5"/>
          <w:sz w:val="16"/>
          <w:vertAlign w:val="baseline"/>
        </w:rPr>
        <w:t> </w:t>
      </w:r>
      <w:r>
        <w:rPr>
          <w:sz w:val="16"/>
          <w:vertAlign w:val="baseline"/>
        </w:rPr>
        <w:t>MPCEI-VCE-2026-0039</w:t>
      </w:r>
      <w:r>
        <w:rPr>
          <w:spacing w:val="-4"/>
          <w:sz w:val="16"/>
          <w:vertAlign w:val="baseline"/>
        </w:rPr>
        <w:t> </w:t>
      </w:r>
      <w:r>
        <w:rPr>
          <w:sz w:val="16"/>
          <w:vertAlign w:val="baseline"/>
        </w:rPr>
        <w:t>los</w:t>
      </w:r>
      <w:r>
        <w:rPr>
          <w:spacing w:val="-5"/>
          <w:sz w:val="16"/>
          <w:vertAlign w:val="baseline"/>
        </w:rPr>
        <w:t> </w:t>
      </w:r>
      <w:r>
        <w:rPr>
          <w:sz w:val="16"/>
          <w:vertAlign w:val="baseline"/>
        </w:rPr>
        <w:t>siguientes</w:t>
      </w:r>
      <w:r>
        <w:rPr>
          <w:spacing w:val="-5"/>
          <w:sz w:val="16"/>
          <w:vertAlign w:val="baseline"/>
        </w:rPr>
        <w:t> </w:t>
      </w:r>
      <w:r>
        <w:rPr>
          <w:sz w:val="16"/>
          <w:vertAlign w:val="baseline"/>
        </w:rPr>
        <w:t>anexos</w:t>
      </w:r>
      <w:r>
        <w:rPr>
          <w:spacing w:val="-2"/>
          <w:sz w:val="16"/>
          <w:vertAlign w:val="baseline"/>
        </w:rPr>
        <w:t> denominados:</w:t>
      </w:r>
    </w:p>
    <w:p>
      <w:pPr>
        <w:pStyle w:val="ListParagraph"/>
        <w:numPr>
          <w:ilvl w:val="1"/>
          <w:numId w:val="11"/>
        </w:numPr>
        <w:tabs>
          <w:tab w:pos="850" w:val="left" w:leader="none"/>
        </w:tabs>
        <w:spacing w:line="183" w:lineRule="exact" w:before="1" w:after="0"/>
        <w:ind w:left="850" w:right="0" w:hanging="140"/>
        <w:jc w:val="left"/>
        <w:rPr>
          <w:sz w:val="16"/>
        </w:rPr>
      </w:pPr>
      <w:r>
        <w:rPr>
          <w:spacing w:val="-2"/>
          <w:sz w:val="16"/>
        </w:rPr>
        <w:t>“ARCHIVO</w:t>
      </w:r>
      <w:r>
        <w:rPr>
          <w:spacing w:val="22"/>
          <w:sz w:val="16"/>
        </w:rPr>
        <w:t> </w:t>
      </w:r>
      <w:r>
        <w:rPr>
          <w:spacing w:val="-2"/>
          <w:sz w:val="16"/>
        </w:rPr>
        <w:t>UNIFICADO-</w:t>
      </w:r>
      <w:r>
        <w:rPr>
          <w:spacing w:val="-5"/>
          <w:sz w:val="16"/>
        </w:rPr>
        <w:t>1”</w:t>
      </w:r>
    </w:p>
    <w:p>
      <w:pPr>
        <w:pStyle w:val="ListParagraph"/>
        <w:numPr>
          <w:ilvl w:val="1"/>
          <w:numId w:val="11"/>
        </w:numPr>
        <w:tabs>
          <w:tab w:pos="850" w:val="left" w:leader="none"/>
        </w:tabs>
        <w:spacing w:line="183" w:lineRule="exact" w:before="0" w:after="0"/>
        <w:ind w:left="850" w:right="0" w:hanging="140"/>
        <w:jc w:val="left"/>
        <w:rPr>
          <w:sz w:val="14"/>
        </w:rPr>
      </w:pPr>
      <w:r>
        <w:rPr>
          <w:spacing w:val="-2"/>
          <w:sz w:val="16"/>
        </w:rPr>
        <w:t>“notificacion_electronica_informe_tecnico_juridico_senae-senae-2026-0006-re</w:t>
      </w:r>
      <w:r>
        <w:rPr>
          <w:spacing w:val="63"/>
          <w:w w:val="150"/>
          <w:sz w:val="16"/>
        </w:rPr>
        <w:t> </w:t>
      </w:r>
      <w:r>
        <w:rPr>
          <w:spacing w:val="-2"/>
          <w:sz w:val="16"/>
        </w:rPr>
        <w:t>signed0357279001774569649”</w:t>
      </w:r>
    </w:p>
    <w:p>
      <w:pPr>
        <w:pStyle w:val="ListParagraph"/>
        <w:numPr>
          <w:ilvl w:val="1"/>
          <w:numId w:val="11"/>
        </w:numPr>
        <w:tabs>
          <w:tab w:pos="994" w:val="left" w:leader="none"/>
        </w:tabs>
        <w:spacing w:line="240" w:lineRule="auto" w:before="1" w:after="0"/>
        <w:ind w:left="710" w:right="1461" w:firstLine="0"/>
        <w:jc w:val="left"/>
        <w:rPr>
          <w:sz w:val="16"/>
        </w:rPr>
      </w:pPr>
      <w:r>
        <w:rPr>
          <w:spacing w:val="-2"/>
          <w:sz w:val="16"/>
        </w:rPr>
        <w:t>“informe_planificacion_elasticidad” iv)“INFORME_TECNICOJURIDICO_JUSTIFICATIVO_EXPEDIENTE_DGCOMGRAV0012026_SENAE_signed-signed-</w:t>
      </w:r>
    </w:p>
    <w:p>
      <w:pPr>
        <w:spacing w:before="0"/>
        <w:ind w:left="710" w:right="7793" w:firstLine="285"/>
        <w:jc w:val="left"/>
        <w:rPr>
          <w:sz w:val="16"/>
        </w:rPr>
      </w:pPr>
      <w:r>
        <w:rPr>
          <w:spacing w:val="-2"/>
          <w:sz w:val="16"/>
        </w:rPr>
        <w:t>signed-2-signed” v)“MPCEI-VCE-2026-0053-E”</w:t>
      </w:r>
    </w:p>
    <w:p>
      <w:pPr>
        <w:pStyle w:val="ListParagraph"/>
        <w:numPr>
          <w:ilvl w:val="0"/>
          <w:numId w:val="12"/>
        </w:numPr>
        <w:tabs>
          <w:tab w:pos="994" w:val="left" w:leader="none"/>
        </w:tabs>
        <w:spacing w:line="183" w:lineRule="exact" w:before="0" w:after="0"/>
        <w:ind w:left="994" w:right="0" w:hanging="284"/>
        <w:jc w:val="left"/>
        <w:rPr>
          <w:sz w:val="16"/>
        </w:rPr>
      </w:pPr>
      <w:r>
        <w:rPr>
          <w:spacing w:val="-2"/>
          <w:sz w:val="16"/>
        </w:rPr>
        <w:t>“razon_de_certificacion_electronica_senae-senae-2026-0006-re-signed0056853001774569665”</w:t>
      </w:r>
    </w:p>
    <w:p>
      <w:pPr>
        <w:pStyle w:val="ListParagraph"/>
        <w:numPr>
          <w:ilvl w:val="0"/>
          <w:numId w:val="12"/>
        </w:numPr>
        <w:tabs>
          <w:tab w:pos="992" w:val="left" w:leader="none"/>
          <w:tab w:pos="7757" w:val="left" w:leader="none"/>
        </w:tabs>
        <w:spacing w:line="183" w:lineRule="exact" w:before="0" w:after="0"/>
        <w:ind w:left="992" w:right="0" w:hanging="282"/>
        <w:jc w:val="left"/>
        <w:rPr>
          <w:sz w:val="16"/>
        </w:rPr>
      </w:pPr>
      <w:r>
        <w:rPr>
          <w:sz w:val="16"/>
        </w:rPr>
        <w:t>“RESUMEN_NO_CONFIDENCIAL_Informe_INFORME_Nro</w:t>
      </w:r>
      <w:r>
        <w:rPr>
          <w:rFonts w:ascii="Times New Roman" w:hAnsi="Times New Roman"/>
          <w:spacing w:val="76"/>
          <w:w w:val="150"/>
          <w:sz w:val="16"/>
          <w:u w:val="single"/>
        </w:rPr>
        <w:t> </w:t>
      </w:r>
      <w:r>
        <w:rPr>
          <w:spacing w:val="-2"/>
          <w:sz w:val="16"/>
        </w:rPr>
        <w:t>CCFFAAJ2PLPFNA2026050</w:t>
      </w:r>
      <w:r>
        <w:rPr>
          <w:rFonts w:ascii="Times New Roman" w:hAnsi="Times New Roman"/>
          <w:sz w:val="16"/>
          <w:u w:val="single"/>
        </w:rPr>
        <w:tab/>
      </w:r>
      <w:r>
        <w:rPr>
          <w:spacing w:val="-2"/>
          <w:sz w:val="16"/>
        </w:rPr>
        <w:t>signed-signed-signed”</w:t>
      </w:r>
    </w:p>
    <w:p>
      <w:pPr>
        <w:pStyle w:val="ListParagraph"/>
        <w:numPr>
          <w:ilvl w:val="0"/>
          <w:numId w:val="12"/>
        </w:numPr>
        <w:tabs>
          <w:tab w:pos="992" w:val="left" w:leader="none"/>
        </w:tabs>
        <w:spacing w:line="240" w:lineRule="auto" w:before="1" w:after="0"/>
        <w:ind w:left="992" w:right="0" w:hanging="282"/>
        <w:jc w:val="left"/>
        <w:rPr>
          <w:sz w:val="16"/>
        </w:rPr>
      </w:pPr>
      <w:r>
        <w:rPr>
          <w:spacing w:val="-2"/>
          <w:sz w:val="16"/>
        </w:rPr>
        <w:t>“senae-dnc-2026-0057-</w:t>
      </w:r>
      <w:r>
        <w:rPr>
          <w:spacing w:val="-5"/>
          <w:sz w:val="16"/>
        </w:rPr>
        <w:t>e”</w:t>
      </w:r>
    </w:p>
    <w:p>
      <w:pPr>
        <w:pStyle w:val="ListParagraph"/>
        <w:numPr>
          <w:ilvl w:val="0"/>
          <w:numId w:val="12"/>
        </w:numPr>
        <w:tabs>
          <w:tab w:pos="925" w:val="left" w:leader="none"/>
        </w:tabs>
        <w:spacing w:line="183" w:lineRule="exact" w:before="1" w:after="0"/>
        <w:ind w:left="925" w:right="0" w:hanging="215"/>
        <w:jc w:val="left"/>
        <w:rPr>
          <w:sz w:val="16"/>
        </w:rPr>
      </w:pPr>
      <w:r>
        <w:rPr>
          <w:spacing w:val="-2"/>
          <w:sz w:val="16"/>
        </w:rPr>
        <w:t>“senae-dnc-2026-0064-</w:t>
      </w:r>
      <w:r>
        <w:rPr>
          <w:spacing w:val="-5"/>
          <w:sz w:val="16"/>
        </w:rPr>
        <w:t>of”</w:t>
      </w:r>
    </w:p>
    <w:p>
      <w:pPr>
        <w:pStyle w:val="ListParagraph"/>
        <w:numPr>
          <w:ilvl w:val="0"/>
          <w:numId w:val="12"/>
        </w:numPr>
        <w:tabs>
          <w:tab w:pos="888" w:val="left" w:leader="none"/>
        </w:tabs>
        <w:spacing w:line="183" w:lineRule="exact" w:before="0" w:after="0"/>
        <w:ind w:left="888" w:right="0" w:hanging="178"/>
        <w:jc w:val="left"/>
        <w:rPr>
          <w:sz w:val="16"/>
        </w:rPr>
      </w:pPr>
      <w:r>
        <w:rPr>
          <w:spacing w:val="-2"/>
          <w:sz w:val="16"/>
        </w:rPr>
        <w:t>“senae-senae-2026-0105-of0027831001774570397”</w:t>
      </w:r>
    </w:p>
    <w:p>
      <w:pPr>
        <w:spacing w:before="1"/>
        <w:ind w:left="568" w:right="0" w:firstLine="0"/>
        <w:jc w:val="left"/>
        <w:rPr>
          <w:sz w:val="16"/>
        </w:rPr>
      </w:pPr>
      <w:bookmarkStart w:name="_bookmark46" w:id="47"/>
      <w:bookmarkEnd w:id="47"/>
      <w:r>
        <w:rPr/>
      </w:r>
      <w:r>
        <w:rPr>
          <w:sz w:val="16"/>
          <w:vertAlign w:val="superscript"/>
        </w:rPr>
        <w:t>4</w:t>
      </w:r>
      <w:r>
        <w:rPr>
          <w:spacing w:val="-4"/>
          <w:sz w:val="16"/>
          <w:vertAlign w:val="baseline"/>
        </w:rPr>
        <w:t> </w:t>
      </w:r>
      <w:r>
        <w:rPr>
          <w:sz w:val="16"/>
          <w:vertAlign w:val="baseline"/>
        </w:rPr>
        <w:t>Al</w:t>
      </w:r>
      <w:r>
        <w:rPr>
          <w:spacing w:val="-5"/>
          <w:sz w:val="16"/>
          <w:vertAlign w:val="baseline"/>
        </w:rPr>
        <w:t> </w:t>
      </w:r>
      <w:r>
        <w:rPr>
          <w:sz w:val="16"/>
          <w:vertAlign w:val="baseline"/>
        </w:rPr>
        <w:t>correo</w:t>
      </w:r>
      <w:r>
        <w:rPr>
          <w:spacing w:val="-4"/>
          <w:sz w:val="16"/>
          <w:vertAlign w:val="baseline"/>
        </w:rPr>
        <w:t> </w:t>
      </w:r>
      <w:r>
        <w:rPr>
          <w:sz w:val="16"/>
          <w:vertAlign w:val="baseline"/>
        </w:rPr>
        <w:t>electrónico</w:t>
      </w:r>
      <w:r>
        <w:rPr>
          <w:spacing w:val="-5"/>
          <w:sz w:val="16"/>
          <w:vertAlign w:val="baseline"/>
        </w:rPr>
        <w:t> </w:t>
      </w:r>
      <w:r>
        <w:rPr>
          <w:sz w:val="16"/>
          <w:vertAlign w:val="baseline"/>
        </w:rPr>
        <w:t>se</w:t>
      </w:r>
      <w:r>
        <w:rPr>
          <w:spacing w:val="-4"/>
          <w:sz w:val="16"/>
          <w:vertAlign w:val="baseline"/>
        </w:rPr>
        <w:t> </w:t>
      </w:r>
      <w:r>
        <w:rPr>
          <w:sz w:val="16"/>
          <w:vertAlign w:val="baseline"/>
        </w:rPr>
        <w:t>le</w:t>
      </w:r>
      <w:r>
        <w:rPr>
          <w:spacing w:val="-5"/>
          <w:sz w:val="16"/>
          <w:vertAlign w:val="baseline"/>
        </w:rPr>
        <w:t> </w:t>
      </w:r>
      <w:r>
        <w:rPr>
          <w:sz w:val="16"/>
          <w:vertAlign w:val="baseline"/>
        </w:rPr>
        <w:t>asignó</w:t>
      </w:r>
      <w:r>
        <w:rPr>
          <w:spacing w:val="-5"/>
          <w:sz w:val="16"/>
          <w:vertAlign w:val="baseline"/>
        </w:rPr>
        <w:t> </w:t>
      </w:r>
      <w:r>
        <w:rPr>
          <w:sz w:val="16"/>
          <w:vertAlign w:val="baseline"/>
        </w:rPr>
        <w:t>el</w:t>
      </w:r>
      <w:r>
        <w:rPr>
          <w:spacing w:val="-3"/>
          <w:sz w:val="16"/>
          <w:vertAlign w:val="baseline"/>
        </w:rPr>
        <w:t> </w:t>
      </w:r>
      <w:r>
        <w:rPr>
          <w:sz w:val="16"/>
          <w:vertAlign w:val="baseline"/>
        </w:rPr>
        <w:t>número</w:t>
      </w:r>
      <w:r>
        <w:rPr>
          <w:spacing w:val="-4"/>
          <w:sz w:val="16"/>
          <w:vertAlign w:val="baseline"/>
        </w:rPr>
        <w:t> </w:t>
      </w:r>
      <w:r>
        <w:rPr>
          <w:sz w:val="16"/>
          <w:vertAlign w:val="baseline"/>
        </w:rPr>
        <w:t>de</w:t>
      </w:r>
      <w:r>
        <w:rPr>
          <w:spacing w:val="-3"/>
          <w:sz w:val="16"/>
          <w:vertAlign w:val="baseline"/>
        </w:rPr>
        <w:t> </w:t>
      </w:r>
      <w:r>
        <w:rPr>
          <w:sz w:val="16"/>
          <w:vertAlign w:val="baseline"/>
        </w:rPr>
        <w:t>registro</w:t>
      </w:r>
      <w:r>
        <w:rPr>
          <w:spacing w:val="-4"/>
          <w:sz w:val="16"/>
          <w:vertAlign w:val="baseline"/>
        </w:rPr>
        <w:t> </w:t>
      </w:r>
      <w:r>
        <w:rPr>
          <w:sz w:val="16"/>
          <w:vertAlign w:val="baseline"/>
        </w:rPr>
        <w:t>1132</w:t>
      </w:r>
      <w:r>
        <w:rPr>
          <w:spacing w:val="-6"/>
          <w:sz w:val="16"/>
          <w:vertAlign w:val="baseline"/>
        </w:rPr>
        <w:t> </w:t>
      </w:r>
      <w:r>
        <w:rPr>
          <w:sz w:val="16"/>
          <w:vertAlign w:val="baseline"/>
        </w:rPr>
        <w:t>del</w:t>
      </w:r>
      <w:r>
        <w:rPr>
          <w:spacing w:val="-4"/>
          <w:sz w:val="16"/>
          <w:vertAlign w:val="baseline"/>
        </w:rPr>
        <w:t> </w:t>
      </w:r>
      <w:r>
        <w:rPr>
          <w:sz w:val="16"/>
          <w:vertAlign w:val="baseline"/>
        </w:rPr>
        <w:t>sistema</w:t>
      </w:r>
      <w:r>
        <w:rPr>
          <w:spacing w:val="-4"/>
          <w:sz w:val="16"/>
          <w:vertAlign w:val="baseline"/>
        </w:rPr>
        <w:t> </w:t>
      </w:r>
      <w:r>
        <w:rPr>
          <w:sz w:val="16"/>
          <w:vertAlign w:val="baseline"/>
        </w:rPr>
        <w:t>de</w:t>
      </w:r>
      <w:r>
        <w:rPr>
          <w:spacing w:val="-5"/>
          <w:sz w:val="16"/>
          <w:vertAlign w:val="baseline"/>
        </w:rPr>
        <w:t> </w:t>
      </w:r>
      <w:r>
        <w:rPr>
          <w:sz w:val="16"/>
          <w:vertAlign w:val="baseline"/>
        </w:rPr>
        <w:t>correspondencia</w:t>
      </w:r>
      <w:r>
        <w:rPr>
          <w:spacing w:val="-6"/>
          <w:sz w:val="16"/>
          <w:vertAlign w:val="baseline"/>
        </w:rPr>
        <w:t> </w:t>
      </w:r>
      <w:r>
        <w:rPr>
          <w:sz w:val="16"/>
          <w:vertAlign w:val="baseline"/>
        </w:rPr>
        <w:t>interno</w:t>
      </w:r>
      <w:r>
        <w:rPr>
          <w:spacing w:val="-3"/>
          <w:sz w:val="16"/>
          <w:vertAlign w:val="baseline"/>
        </w:rPr>
        <w:t> </w:t>
      </w:r>
      <w:r>
        <w:rPr>
          <w:sz w:val="16"/>
          <w:vertAlign w:val="baseline"/>
        </w:rPr>
        <w:t>de</w:t>
      </w:r>
      <w:r>
        <w:rPr>
          <w:spacing w:val="-4"/>
          <w:sz w:val="16"/>
          <w:vertAlign w:val="baseline"/>
        </w:rPr>
        <w:t> </w:t>
      </w:r>
      <w:r>
        <w:rPr>
          <w:sz w:val="16"/>
          <w:vertAlign w:val="baseline"/>
        </w:rPr>
        <w:t>la</w:t>
      </w:r>
      <w:r>
        <w:rPr>
          <w:spacing w:val="-5"/>
          <w:sz w:val="16"/>
          <w:vertAlign w:val="baseline"/>
        </w:rPr>
        <w:t> </w:t>
      </w:r>
      <w:r>
        <w:rPr>
          <w:spacing w:val="-2"/>
          <w:sz w:val="16"/>
          <w:vertAlign w:val="baseline"/>
        </w:rPr>
        <w:t>SGCAN.</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307" name="Group 307"/>
                <wp:cNvGraphicFramePr>
                  <a:graphicFrameLocks/>
                </wp:cNvGraphicFramePr>
                <a:graphic>
                  <a:graphicData uri="http://schemas.microsoft.com/office/word/2010/wordprocessingGroup">
                    <wpg:wgp>
                      <wpg:cNvPr id="307" name="Group 307"/>
                      <wpg:cNvGrpSpPr/>
                      <wpg:grpSpPr>
                        <a:xfrm>
                          <a:off x="0" y="0"/>
                          <a:ext cx="6131560" cy="9525"/>
                          <a:chExt cx="6131560" cy="9525"/>
                        </a:xfrm>
                      </wpg:grpSpPr>
                      <wps:wsp>
                        <wps:cNvPr id="308" name="Graphic 308"/>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26"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44"/>
          <w:footerReference w:type="default" r:id="rId45"/>
          <w:pgSz w:w="11900" w:h="16850"/>
          <w:pgMar w:header="370" w:footer="597" w:top="1380" w:bottom="780" w:left="992" w:right="283"/>
        </w:sectPr>
      </w:pPr>
    </w:p>
    <w:p>
      <w:pPr>
        <w:pStyle w:val="BodyText"/>
        <w:spacing w:before="176"/>
      </w:pPr>
    </w:p>
    <w:p>
      <w:pPr>
        <w:pStyle w:val="ListParagraph"/>
        <w:numPr>
          <w:ilvl w:val="0"/>
          <w:numId w:val="11"/>
        </w:numPr>
        <w:tabs>
          <w:tab w:pos="1130" w:val="left" w:leader="none"/>
          <w:tab w:pos="1134" w:val="left" w:leader="none"/>
        </w:tabs>
        <w:spacing w:line="240" w:lineRule="auto" w:before="0" w:after="0"/>
        <w:ind w:left="1134" w:right="980" w:hanging="567"/>
        <w:jc w:val="both"/>
        <w:rPr>
          <w:sz w:val="22"/>
        </w:rPr>
      </w:pPr>
      <w:r>
        <w:rPr>
          <w:sz w:val="22"/>
        </w:rPr>
        <w:t>Que, el 22 de abril de 2026, mediante comunicaciones SG/E/DGCOM/780/2026 y SG/E/DGCOM/781/2026,</w:t>
      </w:r>
      <w:r>
        <w:rPr>
          <w:spacing w:val="-4"/>
          <w:sz w:val="22"/>
        </w:rPr>
        <w:t> </w:t>
      </w:r>
      <w:r>
        <w:rPr>
          <w:sz w:val="22"/>
        </w:rPr>
        <w:t>la</w:t>
      </w:r>
      <w:r>
        <w:rPr>
          <w:spacing w:val="-5"/>
          <w:sz w:val="22"/>
        </w:rPr>
        <w:t> </w:t>
      </w:r>
      <w:r>
        <w:rPr>
          <w:sz w:val="22"/>
        </w:rPr>
        <w:t>SGCAN</w:t>
      </w:r>
      <w:r>
        <w:rPr>
          <w:spacing w:val="-6"/>
          <w:sz w:val="22"/>
        </w:rPr>
        <w:t> </w:t>
      </w:r>
      <w:r>
        <w:rPr>
          <w:sz w:val="22"/>
        </w:rPr>
        <w:t>corrió</w:t>
      </w:r>
      <w:r>
        <w:rPr>
          <w:spacing w:val="-5"/>
          <w:sz w:val="22"/>
        </w:rPr>
        <w:t> </w:t>
      </w:r>
      <w:r>
        <w:rPr>
          <w:sz w:val="22"/>
        </w:rPr>
        <w:t>traslado</w:t>
      </w:r>
      <w:r>
        <w:rPr>
          <w:spacing w:val="-5"/>
          <w:sz w:val="22"/>
        </w:rPr>
        <w:t> </w:t>
      </w:r>
      <w:r>
        <w:rPr>
          <w:sz w:val="22"/>
        </w:rPr>
        <w:t>de</w:t>
      </w:r>
      <w:r>
        <w:rPr>
          <w:spacing w:val="-5"/>
          <w:sz w:val="22"/>
        </w:rPr>
        <w:t> </w:t>
      </w:r>
      <w:r>
        <w:rPr>
          <w:sz w:val="22"/>
        </w:rPr>
        <w:t>las</w:t>
      </w:r>
      <w:r>
        <w:rPr>
          <w:spacing w:val="-5"/>
          <w:sz w:val="22"/>
        </w:rPr>
        <w:t> </w:t>
      </w:r>
      <w:r>
        <w:rPr>
          <w:sz w:val="22"/>
        </w:rPr>
        <w:t>actas</w:t>
      </w:r>
      <w:r>
        <w:rPr>
          <w:spacing w:val="-4"/>
          <w:sz w:val="22"/>
        </w:rPr>
        <w:t> </w:t>
      </w:r>
      <w:r>
        <w:rPr>
          <w:sz w:val="22"/>
        </w:rPr>
        <w:t>de</w:t>
      </w:r>
      <w:r>
        <w:rPr>
          <w:spacing w:val="-8"/>
          <w:sz w:val="22"/>
        </w:rPr>
        <w:t> </w:t>
      </w:r>
      <w:r>
        <w:rPr>
          <w:sz w:val="22"/>
        </w:rPr>
        <w:t>verificación</w:t>
      </w:r>
      <w:r>
        <w:rPr>
          <w:spacing w:val="-5"/>
          <w:sz w:val="22"/>
        </w:rPr>
        <w:t> </w:t>
      </w:r>
      <w:r>
        <w:rPr>
          <w:sz w:val="22"/>
        </w:rPr>
        <w:t>y</w:t>
      </w:r>
      <w:r>
        <w:rPr>
          <w:spacing w:val="-5"/>
          <w:sz w:val="22"/>
        </w:rPr>
        <w:t> </w:t>
      </w:r>
      <w:r>
        <w:rPr>
          <w:sz w:val="22"/>
        </w:rPr>
        <w:t>de</w:t>
      </w:r>
      <w:r>
        <w:rPr>
          <w:spacing w:val="-5"/>
          <w:sz w:val="22"/>
        </w:rPr>
        <w:t> </w:t>
      </w:r>
      <w:r>
        <w:rPr>
          <w:sz w:val="22"/>
        </w:rPr>
        <w:t>los reportes de visita a la República de Colombia y a los demás Países Miembros.</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Que, el 24 de abril de 2026, mediante comunicación SG/E/DGCOM/826/2026, la SGCAN notificó a la Asociación Nacional de Empresarios de Colombia – ANDI, su acreditación como parte interesada en respuesta a su comunicación de 6 de marzo de 2026. Mediante notas SG/E/DGCOM/827/2026, SG/E/DGCOM/828/2026 y SG/E/DGCOM/829/2026, se notificó a la República de Colombia, la República del Ecuador, y los demás Países Miembros, la acreditación de la ANDI como tercero </w:t>
      </w:r>
      <w:r>
        <w:rPr>
          <w:spacing w:val="-2"/>
          <w:sz w:val="22"/>
        </w:rPr>
        <w:t>interesado.</w:t>
      </w:r>
    </w:p>
    <w:p>
      <w:pPr>
        <w:pStyle w:val="BodyText"/>
      </w:pPr>
    </w:p>
    <w:p>
      <w:pPr>
        <w:pStyle w:val="ListParagraph"/>
        <w:numPr>
          <w:ilvl w:val="0"/>
          <w:numId w:val="11"/>
        </w:numPr>
        <w:tabs>
          <w:tab w:pos="1130" w:val="left" w:leader="none"/>
          <w:tab w:pos="1134" w:val="left" w:leader="none"/>
        </w:tabs>
        <w:spacing w:line="240" w:lineRule="auto" w:before="0" w:after="0"/>
        <w:ind w:left="1134" w:right="980" w:hanging="567"/>
        <w:jc w:val="both"/>
        <w:rPr>
          <w:sz w:val="22"/>
        </w:rPr>
      </w:pPr>
      <w:r>
        <w:rPr>
          <w:sz w:val="22"/>
        </w:rPr>
        <w:t>Que, el 27 de abril de 2026, mediante correo electrónico, la República de Colombia remitió</w:t>
      </w:r>
      <w:r>
        <w:rPr>
          <w:spacing w:val="-8"/>
          <w:sz w:val="22"/>
        </w:rPr>
        <w:t> </w:t>
      </w:r>
      <w:r>
        <w:rPr>
          <w:sz w:val="22"/>
        </w:rPr>
        <w:t>a</w:t>
      </w:r>
      <w:r>
        <w:rPr>
          <w:spacing w:val="-5"/>
          <w:sz w:val="22"/>
        </w:rPr>
        <w:t> </w:t>
      </w:r>
      <w:r>
        <w:rPr>
          <w:sz w:val="22"/>
        </w:rPr>
        <w:t>la</w:t>
      </w:r>
      <w:r>
        <w:rPr>
          <w:spacing w:val="-7"/>
          <w:sz w:val="22"/>
        </w:rPr>
        <w:t> </w:t>
      </w:r>
      <w:r>
        <w:rPr>
          <w:sz w:val="22"/>
        </w:rPr>
        <w:t>SGCAN,</w:t>
      </w:r>
      <w:r>
        <w:rPr>
          <w:spacing w:val="-6"/>
          <w:sz w:val="22"/>
        </w:rPr>
        <w:t> </w:t>
      </w:r>
      <w:r>
        <w:rPr>
          <w:sz w:val="22"/>
        </w:rPr>
        <w:t>comentarios</w:t>
      </w:r>
      <w:r>
        <w:rPr>
          <w:spacing w:val="-7"/>
          <w:sz w:val="22"/>
        </w:rPr>
        <w:t> </w:t>
      </w:r>
      <w:r>
        <w:rPr>
          <w:sz w:val="22"/>
        </w:rPr>
        <w:t>al</w:t>
      </w:r>
      <w:r>
        <w:rPr>
          <w:spacing w:val="-6"/>
          <w:sz w:val="22"/>
        </w:rPr>
        <w:t> </w:t>
      </w:r>
      <w:r>
        <w:rPr>
          <w:sz w:val="22"/>
        </w:rPr>
        <w:t>Informe</w:t>
      </w:r>
      <w:r>
        <w:rPr>
          <w:spacing w:val="-7"/>
          <w:sz w:val="22"/>
        </w:rPr>
        <w:t> </w:t>
      </w:r>
      <w:r>
        <w:rPr>
          <w:sz w:val="22"/>
        </w:rPr>
        <w:t>técnico-jurídico</w:t>
      </w:r>
      <w:r>
        <w:rPr>
          <w:spacing w:val="-7"/>
          <w:sz w:val="22"/>
        </w:rPr>
        <w:t> </w:t>
      </w:r>
      <w:r>
        <w:rPr>
          <w:sz w:val="22"/>
        </w:rPr>
        <w:t>justificativo</w:t>
      </w:r>
      <w:r>
        <w:rPr>
          <w:spacing w:val="-8"/>
          <w:sz w:val="22"/>
        </w:rPr>
        <w:t> </w:t>
      </w:r>
      <w:r>
        <w:rPr>
          <w:sz w:val="22"/>
        </w:rPr>
        <w:t>de</w:t>
      </w:r>
      <w:r>
        <w:rPr>
          <w:spacing w:val="-8"/>
          <w:sz w:val="22"/>
        </w:rPr>
        <w:t> </w:t>
      </w:r>
      <w:r>
        <w:rPr>
          <w:sz w:val="22"/>
        </w:rPr>
        <w:t>la</w:t>
      </w:r>
      <w:r>
        <w:rPr>
          <w:spacing w:val="-5"/>
          <w:sz w:val="22"/>
        </w:rPr>
        <w:t> </w:t>
      </w:r>
      <w:r>
        <w:rPr>
          <w:sz w:val="22"/>
        </w:rPr>
        <w:t>República del Ecuador.</w:t>
      </w:r>
      <w:hyperlink w:history="true" w:anchor="_bookmark47">
        <w:r>
          <w:rPr>
            <w:sz w:val="22"/>
            <w:vertAlign w:val="superscript"/>
          </w:rPr>
          <w:t>5</w:t>
        </w:r>
      </w:hyperlink>
      <w:r>
        <w:rPr>
          <w:sz w:val="22"/>
          <w:vertAlign w:val="baseline"/>
        </w:rPr>
        <w:t> En ese sentido, mediante notas SG/E/DGCOM/868/2026, SG/E/DGCOM/869/2026,</w:t>
      </w:r>
      <w:r>
        <w:rPr>
          <w:spacing w:val="-4"/>
          <w:sz w:val="22"/>
          <w:vertAlign w:val="baseline"/>
        </w:rPr>
        <w:t> </w:t>
      </w:r>
      <w:r>
        <w:rPr>
          <w:sz w:val="22"/>
          <w:vertAlign w:val="baseline"/>
        </w:rPr>
        <w:t>SG/E/DGCOM/870/2026</w:t>
      </w:r>
      <w:r>
        <w:rPr>
          <w:spacing w:val="-6"/>
          <w:sz w:val="22"/>
          <w:vertAlign w:val="baseline"/>
        </w:rPr>
        <w:t> </w:t>
      </w:r>
      <w:r>
        <w:rPr>
          <w:sz w:val="22"/>
          <w:vertAlign w:val="baseline"/>
        </w:rPr>
        <w:t>y</w:t>
      </w:r>
      <w:r>
        <w:rPr>
          <w:spacing w:val="-5"/>
          <w:sz w:val="22"/>
          <w:vertAlign w:val="baseline"/>
        </w:rPr>
        <w:t> </w:t>
      </w:r>
      <w:r>
        <w:rPr>
          <w:sz w:val="22"/>
          <w:vertAlign w:val="baseline"/>
        </w:rPr>
        <w:t>SG/E/DGCOM/871/2026</w:t>
      </w:r>
      <w:r>
        <w:rPr>
          <w:spacing w:val="-6"/>
          <w:sz w:val="22"/>
          <w:vertAlign w:val="baseline"/>
        </w:rPr>
        <w:t> </w:t>
      </w:r>
      <w:r>
        <w:rPr>
          <w:sz w:val="22"/>
          <w:vertAlign w:val="baseline"/>
        </w:rPr>
        <w:t>de</w:t>
      </w:r>
      <w:r>
        <w:rPr>
          <w:spacing w:val="-6"/>
          <w:sz w:val="22"/>
          <w:vertAlign w:val="baseline"/>
        </w:rPr>
        <w:t> </w:t>
      </w:r>
      <w:r>
        <w:rPr>
          <w:sz w:val="22"/>
          <w:vertAlign w:val="baseline"/>
        </w:rPr>
        <w:t>29</w:t>
      </w:r>
      <w:r>
        <w:rPr>
          <w:spacing w:val="-6"/>
          <w:sz w:val="22"/>
          <w:vertAlign w:val="baseline"/>
        </w:rPr>
        <w:t> </w:t>
      </w:r>
      <w:r>
        <w:rPr>
          <w:sz w:val="22"/>
          <w:vertAlign w:val="baseline"/>
        </w:rPr>
        <w:t>de</w:t>
      </w:r>
    </w:p>
    <w:p>
      <w:pPr>
        <w:pStyle w:val="BodyText"/>
        <w:spacing w:before="1"/>
        <w:ind w:left="1134" w:right="978"/>
        <w:jc w:val="both"/>
      </w:pPr>
      <w:r>
        <w:rPr/>
        <w:t>abril</w:t>
      </w:r>
      <w:r>
        <w:rPr>
          <w:spacing w:val="-12"/>
        </w:rPr>
        <w:t> </w:t>
      </w:r>
      <w:r>
        <w:rPr/>
        <w:t>de</w:t>
      </w:r>
      <w:r>
        <w:rPr>
          <w:spacing w:val="-12"/>
        </w:rPr>
        <w:t> </w:t>
      </w:r>
      <w:r>
        <w:rPr/>
        <w:t>2026,</w:t>
      </w:r>
      <w:r>
        <w:rPr>
          <w:spacing w:val="-10"/>
        </w:rPr>
        <w:t> </w:t>
      </w:r>
      <w:r>
        <w:rPr/>
        <w:t>se</w:t>
      </w:r>
      <w:r>
        <w:rPr>
          <w:spacing w:val="-11"/>
        </w:rPr>
        <w:t> </w:t>
      </w:r>
      <w:r>
        <w:rPr/>
        <w:t>acusó</w:t>
      </w:r>
      <w:r>
        <w:rPr>
          <w:spacing w:val="-14"/>
        </w:rPr>
        <w:t> </w:t>
      </w:r>
      <w:r>
        <w:rPr/>
        <w:t>recibo</w:t>
      </w:r>
      <w:r>
        <w:rPr>
          <w:spacing w:val="-12"/>
        </w:rPr>
        <w:t> </w:t>
      </w:r>
      <w:r>
        <w:rPr/>
        <w:t>a</w:t>
      </w:r>
      <w:r>
        <w:rPr>
          <w:spacing w:val="-11"/>
        </w:rPr>
        <w:t> </w:t>
      </w:r>
      <w:r>
        <w:rPr/>
        <w:t>la</w:t>
      </w:r>
      <w:r>
        <w:rPr>
          <w:spacing w:val="-11"/>
        </w:rPr>
        <w:t> </w:t>
      </w:r>
      <w:r>
        <w:rPr/>
        <w:t>República</w:t>
      </w:r>
      <w:r>
        <w:rPr>
          <w:spacing w:val="-11"/>
        </w:rPr>
        <w:t> </w:t>
      </w:r>
      <w:r>
        <w:rPr/>
        <w:t>de</w:t>
      </w:r>
      <w:r>
        <w:rPr>
          <w:spacing w:val="-9"/>
        </w:rPr>
        <w:t> </w:t>
      </w:r>
      <w:r>
        <w:rPr/>
        <w:t>Colombia</w:t>
      </w:r>
      <w:r>
        <w:rPr>
          <w:spacing w:val="-11"/>
        </w:rPr>
        <w:t> </w:t>
      </w:r>
      <w:r>
        <w:rPr/>
        <w:t>y</w:t>
      </w:r>
      <w:r>
        <w:rPr>
          <w:spacing w:val="-11"/>
        </w:rPr>
        <w:t> </w:t>
      </w:r>
      <w:r>
        <w:rPr/>
        <w:t>se</w:t>
      </w:r>
      <w:r>
        <w:rPr>
          <w:spacing w:val="-11"/>
        </w:rPr>
        <w:t> </w:t>
      </w:r>
      <w:r>
        <w:rPr/>
        <w:t>trasladó</w:t>
      </w:r>
      <w:r>
        <w:rPr>
          <w:spacing w:val="-11"/>
        </w:rPr>
        <w:t> </w:t>
      </w:r>
      <w:r>
        <w:rPr/>
        <w:t>la</w:t>
      </w:r>
      <w:r>
        <w:rPr>
          <w:spacing w:val="-11"/>
        </w:rPr>
        <w:t> </w:t>
      </w:r>
      <w:r>
        <w:rPr/>
        <w:t>comunicación a</w:t>
      </w:r>
      <w:r>
        <w:rPr>
          <w:spacing w:val="-16"/>
        </w:rPr>
        <w:t> </w:t>
      </w:r>
      <w:r>
        <w:rPr/>
        <w:t>la</w:t>
      </w:r>
      <w:r>
        <w:rPr>
          <w:spacing w:val="-14"/>
        </w:rPr>
        <w:t> </w:t>
      </w:r>
      <w:r>
        <w:rPr/>
        <w:t>República</w:t>
      </w:r>
      <w:r>
        <w:rPr>
          <w:spacing w:val="-14"/>
        </w:rPr>
        <w:t> </w:t>
      </w:r>
      <w:r>
        <w:rPr/>
        <w:t>del</w:t>
      </w:r>
      <w:r>
        <w:rPr>
          <w:spacing w:val="-14"/>
        </w:rPr>
        <w:t> </w:t>
      </w:r>
      <w:r>
        <w:rPr/>
        <w:t>Ecuador,</w:t>
      </w:r>
      <w:r>
        <w:rPr>
          <w:spacing w:val="-12"/>
        </w:rPr>
        <w:t> </w:t>
      </w:r>
      <w:r>
        <w:rPr/>
        <w:t>a</w:t>
      </w:r>
      <w:r>
        <w:rPr>
          <w:spacing w:val="-16"/>
        </w:rPr>
        <w:t> </w:t>
      </w:r>
      <w:r>
        <w:rPr/>
        <w:t>los</w:t>
      </w:r>
      <w:r>
        <w:rPr>
          <w:spacing w:val="-13"/>
        </w:rPr>
        <w:t> </w:t>
      </w:r>
      <w:r>
        <w:rPr/>
        <w:t>demás</w:t>
      </w:r>
      <w:r>
        <w:rPr>
          <w:spacing w:val="-13"/>
        </w:rPr>
        <w:t> </w:t>
      </w:r>
      <w:r>
        <w:rPr/>
        <w:t>Países</w:t>
      </w:r>
      <w:r>
        <w:rPr>
          <w:spacing w:val="-16"/>
        </w:rPr>
        <w:t> </w:t>
      </w:r>
      <w:r>
        <w:rPr/>
        <w:t>Miembros</w:t>
      </w:r>
      <w:r>
        <w:rPr>
          <w:spacing w:val="-15"/>
        </w:rPr>
        <w:t> </w:t>
      </w:r>
      <w:r>
        <w:rPr/>
        <w:t>y</w:t>
      </w:r>
      <w:r>
        <w:rPr>
          <w:spacing w:val="-13"/>
        </w:rPr>
        <w:t> </w:t>
      </w:r>
      <w:r>
        <w:rPr/>
        <w:t>a</w:t>
      </w:r>
      <w:r>
        <w:rPr>
          <w:spacing w:val="-14"/>
        </w:rPr>
        <w:t> </w:t>
      </w:r>
      <w:r>
        <w:rPr/>
        <w:t>la</w:t>
      </w:r>
      <w:r>
        <w:rPr>
          <w:spacing w:val="-14"/>
        </w:rPr>
        <w:t> </w:t>
      </w:r>
      <w:r>
        <w:rPr/>
        <w:t>ANDI,</w:t>
      </w:r>
      <w:r>
        <w:rPr>
          <w:spacing w:val="-15"/>
        </w:rPr>
        <w:t> </w:t>
      </w:r>
      <w:r>
        <w:rPr/>
        <w:t>respectivamente.</w:t>
      </w:r>
    </w:p>
    <w:p>
      <w:pPr>
        <w:pStyle w:val="ListParagraph"/>
        <w:numPr>
          <w:ilvl w:val="0"/>
          <w:numId w:val="11"/>
        </w:numPr>
        <w:tabs>
          <w:tab w:pos="1130" w:val="left" w:leader="none"/>
          <w:tab w:pos="1134" w:val="left" w:leader="none"/>
        </w:tabs>
        <w:spacing w:line="240" w:lineRule="auto" w:before="252" w:after="0"/>
        <w:ind w:left="1134" w:right="978" w:hanging="567"/>
        <w:jc w:val="both"/>
        <w:rPr>
          <w:sz w:val="22"/>
        </w:rPr>
      </w:pPr>
      <w:r>
        <w:rPr>
          <w:sz w:val="22"/>
        </w:rPr>
        <w:t>Que,</w:t>
      </w:r>
      <w:r>
        <w:rPr>
          <w:spacing w:val="-12"/>
          <w:sz w:val="22"/>
        </w:rPr>
        <w:t> </w:t>
      </w:r>
      <w:r>
        <w:rPr>
          <w:sz w:val="22"/>
        </w:rPr>
        <w:t>mediante</w:t>
      </w:r>
      <w:r>
        <w:rPr>
          <w:spacing w:val="-15"/>
          <w:sz w:val="22"/>
        </w:rPr>
        <w:t> </w:t>
      </w:r>
      <w:r>
        <w:rPr>
          <w:sz w:val="22"/>
        </w:rPr>
        <w:t>Oficio</w:t>
      </w:r>
      <w:r>
        <w:rPr>
          <w:spacing w:val="-11"/>
          <w:sz w:val="22"/>
        </w:rPr>
        <w:t> </w:t>
      </w:r>
      <w:r>
        <w:rPr>
          <w:sz w:val="22"/>
        </w:rPr>
        <w:t>P-CEE-064-2026</w:t>
      </w:r>
      <w:r>
        <w:rPr>
          <w:spacing w:val="-12"/>
          <w:sz w:val="22"/>
        </w:rPr>
        <w:t> </w:t>
      </w:r>
      <w:r>
        <w:rPr>
          <w:sz w:val="22"/>
        </w:rPr>
        <w:t>de</w:t>
      </w:r>
      <w:r>
        <w:rPr>
          <w:spacing w:val="-13"/>
          <w:sz w:val="22"/>
        </w:rPr>
        <w:t> </w:t>
      </w:r>
      <w:r>
        <w:rPr>
          <w:sz w:val="22"/>
        </w:rPr>
        <w:t>fecha</w:t>
      </w:r>
      <w:r>
        <w:rPr>
          <w:spacing w:val="-13"/>
          <w:sz w:val="22"/>
        </w:rPr>
        <w:t> </w:t>
      </w:r>
      <w:r>
        <w:rPr>
          <w:sz w:val="22"/>
        </w:rPr>
        <w:t>4</w:t>
      </w:r>
      <w:r>
        <w:rPr>
          <w:spacing w:val="-11"/>
          <w:sz w:val="22"/>
        </w:rPr>
        <w:t> </w:t>
      </w:r>
      <w:r>
        <w:rPr>
          <w:sz w:val="22"/>
        </w:rPr>
        <w:t>de</w:t>
      </w:r>
      <w:r>
        <w:rPr>
          <w:spacing w:val="-12"/>
          <w:sz w:val="22"/>
        </w:rPr>
        <w:t> </w:t>
      </w:r>
      <w:r>
        <w:rPr>
          <w:sz w:val="22"/>
        </w:rPr>
        <w:t>mayo</w:t>
      </w:r>
      <w:r>
        <w:rPr>
          <w:spacing w:val="-11"/>
          <w:sz w:val="22"/>
        </w:rPr>
        <w:t> </w:t>
      </w:r>
      <w:r>
        <w:rPr>
          <w:sz w:val="22"/>
        </w:rPr>
        <w:t>de</w:t>
      </w:r>
      <w:r>
        <w:rPr>
          <w:spacing w:val="-12"/>
          <w:sz w:val="22"/>
        </w:rPr>
        <w:t> </w:t>
      </w:r>
      <w:r>
        <w:rPr>
          <w:sz w:val="22"/>
        </w:rPr>
        <w:t>2026,</w:t>
      </w:r>
      <w:r>
        <w:rPr>
          <w:spacing w:val="-12"/>
          <w:sz w:val="22"/>
        </w:rPr>
        <w:t> </w:t>
      </w:r>
      <w:r>
        <w:rPr>
          <w:sz w:val="22"/>
        </w:rPr>
        <w:t>recibido</w:t>
      </w:r>
      <w:r>
        <w:rPr>
          <w:spacing w:val="-12"/>
          <w:sz w:val="22"/>
        </w:rPr>
        <w:t> </w:t>
      </w:r>
      <w:r>
        <w:rPr>
          <w:sz w:val="22"/>
        </w:rPr>
        <w:t>por</w:t>
      </w:r>
      <w:r>
        <w:rPr>
          <w:spacing w:val="-10"/>
          <w:sz w:val="22"/>
        </w:rPr>
        <w:t> </w:t>
      </w:r>
      <w:r>
        <w:rPr>
          <w:sz w:val="22"/>
        </w:rPr>
        <w:t>el</w:t>
      </w:r>
      <w:r>
        <w:rPr>
          <w:spacing w:val="-12"/>
          <w:sz w:val="22"/>
        </w:rPr>
        <w:t> </w:t>
      </w:r>
      <w:r>
        <w:rPr>
          <w:sz w:val="22"/>
        </w:rPr>
        <w:t>este órgano comunitario el 5 de mayo de 2026, el Comité Empresarial Ecuatoriano – CEE, solicitó a la SGCAN su incorporación al procedimiento como parte interesada. La SGCAN mediante comunicación SG/E/DGCOM/918/2026, notificó al Comité Empresarial Ecuatoriano - CEE, su acreditación como parte interesada en respuesta a su comunicación de 5 de mayo de 2026. Mediante notas SG/E/DGCOM/919/2026, SG/E/DGCOM/920/2026,</w:t>
      </w:r>
      <w:r>
        <w:rPr>
          <w:spacing w:val="80"/>
          <w:w w:val="150"/>
          <w:sz w:val="22"/>
        </w:rPr>
        <w:t> </w:t>
      </w:r>
      <w:r>
        <w:rPr>
          <w:sz w:val="22"/>
        </w:rPr>
        <w:t>SG/E/DGCOM/921/2026</w:t>
      </w:r>
      <w:r>
        <w:rPr>
          <w:spacing w:val="80"/>
          <w:w w:val="150"/>
          <w:sz w:val="22"/>
        </w:rPr>
        <w:t> </w:t>
      </w:r>
      <w:r>
        <w:rPr>
          <w:sz w:val="22"/>
        </w:rPr>
        <w:t>y</w:t>
      </w:r>
      <w:r>
        <w:rPr>
          <w:spacing w:val="80"/>
          <w:w w:val="150"/>
          <w:sz w:val="22"/>
        </w:rPr>
        <w:t> </w:t>
      </w:r>
      <w:r>
        <w:rPr>
          <w:sz w:val="22"/>
        </w:rPr>
        <w:t>SG/E/DGCOM/922/2026</w:t>
      </w:r>
      <w:r>
        <w:rPr>
          <w:spacing w:val="80"/>
          <w:w w:val="150"/>
          <w:sz w:val="22"/>
        </w:rPr>
        <w:t> </w:t>
      </w:r>
      <w:r>
        <w:rPr>
          <w:sz w:val="22"/>
        </w:rPr>
        <w:t>se</w:t>
      </w:r>
    </w:p>
    <w:p>
      <w:pPr>
        <w:pStyle w:val="BodyText"/>
        <w:spacing w:before="1"/>
        <w:ind w:left="1134" w:right="980"/>
        <w:jc w:val="both"/>
      </w:pPr>
      <w:r>
        <w:rPr/>
        <w:t>notificó a la República de Colombia, la República del Ecuador, los demás Países Miembros y a la ANDI, la acreditación del CEE como tercero interesado </w:t>
      </w:r>
      <w:r>
        <w:rPr>
          <w:spacing w:val="-2"/>
        </w:rPr>
        <w:t>respectivamente.</w:t>
      </w:r>
    </w:p>
    <w:p>
      <w:pPr>
        <w:pStyle w:val="Heading5"/>
        <w:numPr>
          <w:ilvl w:val="0"/>
          <w:numId w:val="10"/>
        </w:numPr>
        <w:tabs>
          <w:tab w:pos="850" w:val="left" w:leader="none"/>
        </w:tabs>
        <w:spacing w:line="240" w:lineRule="auto" w:before="252" w:after="0"/>
        <w:ind w:left="850" w:right="0" w:hanging="282"/>
        <w:jc w:val="left"/>
      </w:pPr>
      <w:r>
        <w:rPr/>
        <w:t>SOLICITUD</w:t>
      </w:r>
      <w:r>
        <w:rPr>
          <w:spacing w:val="-11"/>
        </w:rPr>
        <w:t> </w:t>
      </w:r>
      <w:r>
        <w:rPr/>
        <w:t>PRESENTADA</w:t>
      </w:r>
      <w:r>
        <w:rPr>
          <w:spacing w:val="-5"/>
        </w:rPr>
        <w:t> </w:t>
      </w:r>
      <w:r>
        <w:rPr/>
        <w:t>POR</w:t>
      </w:r>
      <w:r>
        <w:rPr>
          <w:spacing w:val="-6"/>
        </w:rPr>
        <w:t> </w:t>
      </w:r>
      <w:r>
        <w:rPr/>
        <w:t>LA</w:t>
      </w:r>
      <w:r>
        <w:rPr>
          <w:spacing w:val="-4"/>
        </w:rPr>
        <w:t> </w:t>
      </w:r>
      <w:r>
        <w:rPr/>
        <w:t>REPÚBLICA</w:t>
      </w:r>
      <w:r>
        <w:rPr>
          <w:spacing w:val="-5"/>
        </w:rPr>
        <w:t> </w:t>
      </w:r>
      <w:r>
        <w:rPr/>
        <w:t>DE</w:t>
      </w:r>
      <w:r>
        <w:rPr>
          <w:spacing w:val="-8"/>
        </w:rPr>
        <w:t> </w:t>
      </w:r>
      <w:r>
        <w:rPr>
          <w:spacing w:val="-2"/>
        </w:rPr>
        <w:t>COLOMBIA</w:t>
      </w:r>
    </w:p>
    <w:p>
      <w:pPr>
        <w:pStyle w:val="BodyText"/>
        <w:spacing w:before="240"/>
        <w:rPr>
          <w:rFonts w:ascii="Arial"/>
          <w:b/>
        </w:rPr>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Mediante Radicado No. 2-2026-003207, la República de Colombia presentó ante la SGCAN una solicitud de calificación como gravamen de la TSCA, a una medida adoptada por la República del Ecuador mediante la Resolución Nro. SENAE-SENAE-2026-0006-RE</w:t>
      </w:r>
      <w:hyperlink w:history="true" w:anchor="_bookmark48">
        <w:r>
          <w:rPr>
            <w:sz w:val="22"/>
            <w:vertAlign w:val="superscript"/>
          </w:rPr>
          <w:t>6</w:t>
        </w:r>
        <w:r>
          <w:rPr>
            <w:sz w:val="22"/>
            <w:vertAlign w:val="baseline"/>
          </w:rPr>
          <w:t>,</w:t>
        </w:r>
      </w:hyperlink>
      <w:r>
        <w:rPr>
          <w:spacing w:val="-5"/>
          <w:sz w:val="22"/>
          <w:vertAlign w:val="baseline"/>
        </w:rPr>
        <w:t> </w:t>
      </w:r>
      <w:r>
        <w:rPr>
          <w:sz w:val="22"/>
          <w:vertAlign w:val="baseline"/>
        </w:rPr>
        <w:t>la</w:t>
      </w:r>
      <w:r>
        <w:rPr>
          <w:spacing w:val="-6"/>
          <w:sz w:val="22"/>
          <w:vertAlign w:val="baseline"/>
        </w:rPr>
        <w:t> </w:t>
      </w:r>
      <w:r>
        <w:rPr>
          <w:sz w:val="22"/>
          <w:vertAlign w:val="baseline"/>
        </w:rPr>
        <w:t>cual</w:t>
      </w:r>
      <w:r>
        <w:rPr>
          <w:spacing w:val="-7"/>
          <w:sz w:val="22"/>
          <w:vertAlign w:val="baseline"/>
        </w:rPr>
        <w:t> </w:t>
      </w:r>
      <w:r>
        <w:rPr>
          <w:sz w:val="22"/>
          <w:vertAlign w:val="baseline"/>
        </w:rPr>
        <w:t>se</w:t>
      </w:r>
      <w:r>
        <w:rPr>
          <w:spacing w:val="-6"/>
          <w:sz w:val="22"/>
          <w:vertAlign w:val="baseline"/>
        </w:rPr>
        <w:t> </w:t>
      </w:r>
      <w:r>
        <w:rPr>
          <w:sz w:val="22"/>
          <w:vertAlign w:val="baseline"/>
        </w:rPr>
        <w:t>aplica</w:t>
      </w:r>
      <w:r>
        <w:rPr>
          <w:spacing w:val="-6"/>
          <w:sz w:val="22"/>
          <w:vertAlign w:val="baseline"/>
        </w:rPr>
        <w:t> </w:t>
      </w:r>
      <w:r>
        <w:rPr>
          <w:sz w:val="22"/>
          <w:vertAlign w:val="baseline"/>
        </w:rPr>
        <w:t>a</w:t>
      </w:r>
      <w:r>
        <w:rPr>
          <w:spacing w:val="-6"/>
          <w:sz w:val="22"/>
          <w:vertAlign w:val="baseline"/>
        </w:rPr>
        <w:t> </w:t>
      </w:r>
      <w:r>
        <w:rPr>
          <w:sz w:val="22"/>
          <w:vertAlign w:val="baseline"/>
        </w:rPr>
        <w:t>las</w:t>
      </w:r>
      <w:r>
        <w:rPr>
          <w:spacing w:val="-6"/>
          <w:sz w:val="22"/>
          <w:vertAlign w:val="baseline"/>
        </w:rPr>
        <w:t> </w:t>
      </w:r>
      <w:r>
        <w:rPr>
          <w:sz w:val="22"/>
          <w:vertAlign w:val="baseline"/>
        </w:rPr>
        <w:t>mercancías</w:t>
      </w:r>
      <w:r>
        <w:rPr>
          <w:spacing w:val="-6"/>
          <w:sz w:val="22"/>
          <w:vertAlign w:val="baseline"/>
        </w:rPr>
        <w:t> </w:t>
      </w:r>
      <w:r>
        <w:rPr>
          <w:sz w:val="22"/>
          <w:vertAlign w:val="baseline"/>
        </w:rPr>
        <w:t>que</w:t>
      </w:r>
      <w:r>
        <w:rPr>
          <w:spacing w:val="-6"/>
          <w:sz w:val="22"/>
          <w:vertAlign w:val="baseline"/>
        </w:rPr>
        <w:t> </w:t>
      </w:r>
      <w:r>
        <w:rPr>
          <w:sz w:val="22"/>
          <w:vertAlign w:val="baseline"/>
        </w:rPr>
        <w:t>provengan</w:t>
      </w:r>
      <w:r>
        <w:rPr>
          <w:spacing w:val="-7"/>
          <w:sz w:val="22"/>
          <w:vertAlign w:val="baseline"/>
        </w:rPr>
        <w:t> </w:t>
      </w:r>
      <w:r>
        <w:rPr>
          <w:sz w:val="22"/>
          <w:vertAlign w:val="baseline"/>
        </w:rPr>
        <w:t>o</w:t>
      </w:r>
      <w:r>
        <w:rPr>
          <w:spacing w:val="-6"/>
          <w:sz w:val="22"/>
          <w:vertAlign w:val="baseline"/>
        </w:rPr>
        <w:t> </w:t>
      </w:r>
      <w:r>
        <w:rPr>
          <w:sz w:val="22"/>
          <w:vertAlign w:val="baseline"/>
        </w:rPr>
        <w:t>sean</w:t>
      </w:r>
      <w:r>
        <w:rPr>
          <w:spacing w:val="-11"/>
          <w:sz w:val="22"/>
          <w:vertAlign w:val="baseline"/>
        </w:rPr>
        <w:t> </w:t>
      </w:r>
      <w:r>
        <w:rPr>
          <w:sz w:val="22"/>
          <w:vertAlign w:val="baseline"/>
        </w:rPr>
        <w:t>originarias</w:t>
      </w:r>
      <w:r>
        <w:rPr>
          <w:spacing w:val="-6"/>
          <w:sz w:val="22"/>
          <w:vertAlign w:val="baseline"/>
        </w:rPr>
        <w:t> </w:t>
      </w:r>
      <w:r>
        <w:rPr>
          <w:sz w:val="22"/>
          <w:vertAlign w:val="baseline"/>
        </w:rPr>
        <w:t>de la República de Colombia.</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El 10 de marzo de 2026, la República de Colombia, mediante Radicado No. 2-2026-007124, comunicó que la República del Ecuador emitió la Resolución Nro. SENAE-SENAE-2026-0017- RE de fecha 28 de febrero del año en curso, mediante la cual se deja</w:t>
      </w:r>
      <w:r>
        <w:rPr>
          <w:spacing w:val="-7"/>
          <w:sz w:val="22"/>
        </w:rPr>
        <w:t> </w:t>
      </w:r>
      <w:r>
        <w:rPr>
          <w:sz w:val="22"/>
        </w:rPr>
        <w:t>sin</w:t>
      </w:r>
      <w:r>
        <w:rPr>
          <w:spacing w:val="-7"/>
          <w:sz w:val="22"/>
        </w:rPr>
        <w:t> </w:t>
      </w:r>
      <w:r>
        <w:rPr>
          <w:sz w:val="22"/>
        </w:rPr>
        <w:t>efecto</w:t>
      </w:r>
      <w:r>
        <w:rPr>
          <w:spacing w:val="-7"/>
          <w:sz w:val="22"/>
        </w:rPr>
        <w:t> </w:t>
      </w:r>
      <w:r>
        <w:rPr>
          <w:sz w:val="22"/>
        </w:rPr>
        <w:t>la</w:t>
      </w:r>
      <w:r>
        <w:rPr>
          <w:spacing w:val="-6"/>
          <w:sz w:val="22"/>
        </w:rPr>
        <w:t> </w:t>
      </w:r>
      <w:r>
        <w:rPr>
          <w:sz w:val="22"/>
        </w:rPr>
        <w:t>Resolución</w:t>
      </w:r>
      <w:r>
        <w:rPr>
          <w:spacing w:val="-7"/>
          <w:sz w:val="22"/>
        </w:rPr>
        <w:t> </w:t>
      </w:r>
      <w:r>
        <w:rPr>
          <w:sz w:val="22"/>
        </w:rPr>
        <w:t>Nro.</w:t>
      </w:r>
      <w:r>
        <w:rPr>
          <w:spacing w:val="-6"/>
          <w:sz w:val="22"/>
        </w:rPr>
        <w:t> </w:t>
      </w:r>
      <w:r>
        <w:rPr>
          <w:sz w:val="22"/>
        </w:rPr>
        <w:t>SENAE-SENAE-2026-0006-RE</w:t>
      </w:r>
      <w:r>
        <w:rPr>
          <w:spacing w:val="-8"/>
          <w:sz w:val="22"/>
        </w:rPr>
        <w:t> </w:t>
      </w:r>
      <w:r>
        <w:rPr>
          <w:sz w:val="22"/>
        </w:rPr>
        <w:t>de</w:t>
      </w:r>
      <w:r>
        <w:rPr>
          <w:spacing w:val="-10"/>
          <w:sz w:val="22"/>
        </w:rPr>
        <w:t> </w:t>
      </w:r>
      <w:r>
        <w:rPr>
          <w:sz w:val="22"/>
        </w:rPr>
        <w:t>fecha</w:t>
      </w:r>
      <w:r>
        <w:rPr>
          <w:spacing w:val="-7"/>
          <w:sz w:val="22"/>
        </w:rPr>
        <w:t> </w:t>
      </w:r>
      <w:r>
        <w:rPr>
          <w:sz w:val="22"/>
        </w:rPr>
        <w:t>24</w:t>
      </w:r>
      <w:r>
        <w:rPr>
          <w:spacing w:val="-8"/>
          <w:sz w:val="22"/>
        </w:rPr>
        <w:t> </w:t>
      </w:r>
      <w:r>
        <w:rPr>
          <w:sz w:val="22"/>
        </w:rPr>
        <w:t>de</w:t>
      </w:r>
      <w:r>
        <w:rPr>
          <w:spacing w:val="-8"/>
          <w:sz w:val="22"/>
        </w:rPr>
        <w:t> </w:t>
      </w:r>
      <w:r>
        <w:rPr>
          <w:sz w:val="22"/>
        </w:rPr>
        <w:t>enero de 2026, en lo relativo al incremento del gravamen arancelario aplicable a las mercancías originarias de la República de Colombia, del 30% al 50% </w:t>
      </w:r>
      <w:r>
        <w:rPr>
          <w:rFonts w:ascii="Arial" w:hAnsi="Arial"/>
          <w:i/>
          <w:sz w:val="22"/>
        </w:rPr>
        <w:t>ad valorem </w:t>
      </w:r>
      <w:r>
        <w:rPr>
          <w:sz w:val="22"/>
        </w:rPr>
        <w:t>y solicitó la incorporación de la mencionada Resolución al expediente </w:t>
      </w:r>
      <w:r>
        <w:rPr>
          <w:spacing w:val="-2"/>
          <w:sz w:val="22"/>
        </w:rPr>
        <w:t>DGCOM/GRAV/001/2026.</w:t>
      </w:r>
    </w:p>
    <w:p>
      <w:pPr>
        <w:pStyle w:val="ListParagraph"/>
        <w:numPr>
          <w:ilvl w:val="0"/>
          <w:numId w:val="11"/>
        </w:numPr>
        <w:tabs>
          <w:tab w:pos="1130" w:val="left" w:leader="none"/>
          <w:tab w:pos="1134" w:val="left" w:leader="none"/>
        </w:tabs>
        <w:spacing w:line="240" w:lineRule="auto" w:before="251" w:after="0"/>
        <w:ind w:left="1134" w:right="978" w:hanging="567"/>
        <w:jc w:val="both"/>
        <w:rPr>
          <w:sz w:val="22"/>
        </w:rPr>
      </w:pPr>
      <w:r>
        <w:rPr>
          <w:sz w:val="22"/>
        </w:rPr>
        <w:t>La</w:t>
      </w:r>
      <w:r>
        <w:rPr>
          <w:spacing w:val="-7"/>
          <w:sz w:val="22"/>
        </w:rPr>
        <w:t> </w:t>
      </w:r>
      <w:r>
        <w:rPr>
          <w:sz w:val="22"/>
        </w:rPr>
        <w:t>República</w:t>
      </w:r>
      <w:r>
        <w:rPr>
          <w:spacing w:val="-6"/>
          <w:sz w:val="22"/>
        </w:rPr>
        <w:t> </w:t>
      </w:r>
      <w:r>
        <w:rPr>
          <w:sz w:val="22"/>
        </w:rPr>
        <w:t>de</w:t>
      </w:r>
      <w:r>
        <w:rPr>
          <w:spacing w:val="-7"/>
          <w:sz w:val="22"/>
        </w:rPr>
        <w:t> </w:t>
      </w:r>
      <w:r>
        <w:rPr>
          <w:sz w:val="22"/>
        </w:rPr>
        <w:t>Colombia</w:t>
      </w:r>
      <w:r>
        <w:rPr>
          <w:spacing w:val="-6"/>
          <w:sz w:val="22"/>
        </w:rPr>
        <w:t> </w:t>
      </w:r>
      <w:r>
        <w:rPr>
          <w:sz w:val="22"/>
        </w:rPr>
        <w:t>sustenta</w:t>
      </w:r>
      <w:r>
        <w:rPr>
          <w:spacing w:val="-6"/>
          <w:sz w:val="22"/>
        </w:rPr>
        <w:t> </w:t>
      </w:r>
      <w:r>
        <w:rPr>
          <w:sz w:val="22"/>
        </w:rPr>
        <w:t>su</w:t>
      </w:r>
      <w:r>
        <w:rPr>
          <w:spacing w:val="-9"/>
          <w:sz w:val="22"/>
        </w:rPr>
        <w:t> </w:t>
      </w:r>
      <w:r>
        <w:rPr>
          <w:sz w:val="22"/>
        </w:rPr>
        <w:t>solicitud</w:t>
      </w:r>
      <w:r>
        <w:rPr>
          <w:spacing w:val="-5"/>
          <w:sz w:val="22"/>
        </w:rPr>
        <w:t> </w:t>
      </w:r>
      <w:r>
        <w:rPr>
          <w:sz w:val="22"/>
        </w:rPr>
        <w:t>principalmente</w:t>
      </w:r>
      <w:r>
        <w:rPr>
          <w:spacing w:val="-6"/>
          <w:sz w:val="22"/>
        </w:rPr>
        <w:t> </w:t>
      </w:r>
      <w:r>
        <w:rPr>
          <w:sz w:val="22"/>
        </w:rPr>
        <w:t>sobre</w:t>
      </w:r>
      <w:r>
        <w:rPr>
          <w:spacing w:val="-6"/>
          <w:sz w:val="22"/>
        </w:rPr>
        <w:t> </w:t>
      </w:r>
      <w:r>
        <w:rPr>
          <w:sz w:val="22"/>
        </w:rPr>
        <w:t>la</w:t>
      </w:r>
      <w:r>
        <w:rPr>
          <w:spacing w:val="-6"/>
          <w:sz w:val="22"/>
        </w:rPr>
        <w:t> </w:t>
      </w:r>
      <w:r>
        <w:rPr>
          <w:sz w:val="22"/>
        </w:rPr>
        <w:t>base</w:t>
      </w:r>
      <w:r>
        <w:rPr>
          <w:spacing w:val="-6"/>
          <w:sz w:val="22"/>
        </w:rPr>
        <w:t> </w:t>
      </w:r>
      <w:r>
        <w:rPr>
          <w:sz w:val="22"/>
        </w:rPr>
        <w:t>de</w:t>
      </w:r>
      <w:r>
        <w:rPr>
          <w:spacing w:val="-7"/>
          <w:sz w:val="22"/>
        </w:rPr>
        <w:t> </w:t>
      </w:r>
      <w:r>
        <w:rPr>
          <w:sz w:val="22"/>
        </w:rPr>
        <w:t>tres</w:t>
      </w:r>
      <w:r>
        <w:rPr>
          <w:spacing w:val="-9"/>
          <w:sz w:val="22"/>
        </w:rPr>
        <w:t> </w:t>
      </w:r>
      <w:r>
        <w:rPr>
          <w:sz w:val="22"/>
        </w:rPr>
        <w:t>(3) </w:t>
      </w:r>
      <w:r>
        <w:rPr>
          <w:spacing w:val="-2"/>
          <w:sz w:val="22"/>
        </w:rPr>
        <w:t>argumentos:</w:t>
      </w:r>
    </w:p>
    <w:p>
      <w:pPr>
        <w:pStyle w:val="BodyText"/>
        <w:rPr>
          <w:sz w:val="20"/>
        </w:rPr>
      </w:pPr>
    </w:p>
    <w:p>
      <w:pPr>
        <w:pStyle w:val="BodyText"/>
        <w:spacing w:before="153"/>
        <w:rPr>
          <w:sz w:val="20"/>
        </w:rPr>
      </w:pPr>
      <w:r>
        <w:rPr>
          <w:sz w:val="20"/>
        </w:rPr>
        <mc:AlternateContent>
          <mc:Choice Requires="wps">
            <w:drawing>
              <wp:anchor distT="0" distB="0" distL="0" distR="0" allowOverlap="1" layoutInCell="1" locked="0" behindDoc="1" simplePos="0" relativeHeight="487618048">
                <wp:simplePos x="0" y="0"/>
                <wp:positionH relativeFrom="page">
                  <wp:posOffset>990904</wp:posOffset>
                </wp:positionH>
                <wp:positionV relativeFrom="paragraph">
                  <wp:posOffset>258781</wp:posOffset>
                </wp:positionV>
                <wp:extent cx="1829435" cy="7620"/>
                <wp:effectExtent l="0" t="0" r="0" b="0"/>
                <wp:wrapTopAndBottom/>
                <wp:docPr id="309" name="Graphic 309"/>
                <wp:cNvGraphicFramePr>
                  <a:graphicFrameLocks/>
                </wp:cNvGraphicFramePr>
                <a:graphic>
                  <a:graphicData uri="http://schemas.microsoft.com/office/word/2010/wordprocessingShape">
                    <wps:wsp>
                      <wps:cNvPr id="309" name="Graphic 309"/>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0.376484pt;width:144.020pt;height:.599980pt;mso-position-horizontal-relative:page;mso-position-vertical-relative:paragraph;z-index:-15698432;mso-wrap-distance-left:0;mso-wrap-distance-right:0" id="docshape227" filled="true" fillcolor="#000000" stroked="false">
                <v:fill type="solid"/>
                <w10:wrap type="topAndBottom"/>
              </v:rect>
            </w:pict>
          </mc:Fallback>
        </mc:AlternateContent>
      </w:r>
    </w:p>
    <w:p>
      <w:pPr>
        <w:spacing w:before="92"/>
        <w:ind w:left="568" w:right="0" w:firstLine="0"/>
        <w:jc w:val="left"/>
        <w:rPr>
          <w:sz w:val="16"/>
        </w:rPr>
      </w:pPr>
      <w:bookmarkStart w:name="_bookmark47" w:id="48"/>
      <w:bookmarkEnd w:id="48"/>
      <w:r>
        <w:rPr/>
      </w:r>
      <w:r>
        <w:rPr>
          <w:sz w:val="16"/>
          <w:vertAlign w:val="superscript"/>
        </w:rPr>
        <w:t>5</w:t>
      </w:r>
      <w:r>
        <w:rPr>
          <w:spacing w:val="-4"/>
          <w:sz w:val="16"/>
          <w:vertAlign w:val="baseline"/>
        </w:rPr>
        <w:t> </w:t>
      </w:r>
      <w:r>
        <w:rPr>
          <w:sz w:val="16"/>
          <w:vertAlign w:val="superscript"/>
        </w:rPr>
        <w:t>5</w:t>
      </w:r>
      <w:r>
        <w:rPr>
          <w:spacing w:val="-3"/>
          <w:sz w:val="16"/>
          <w:vertAlign w:val="baseline"/>
        </w:rPr>
        <w:t> </w:t>
      </w:r>
      <w:r>
        <w:rPr>
          <w:sz w:val="16"/>
          <w:vertAlign w:val="baseline"/>
        </w:rPr>
        <w:t>Al</w:t>
      </w:r>
      <w:r>
        <w:rPr>
          <w:spacing w:val="-4"/>
          <w:sz w:val="16"/>
          <w:vertAlign w:val="baseline"/>
        </w:rPr>
        <w:t> </w:t>
      </w:r>
      <w:r>
        <w:rPr>
          <w:sz w:val="16"/>
          <w:vertAlign w:val="baseline"/>
        </w:rPr>
        <w:t>correo</w:t>
      </w:r>
      <w:r>
        <w:rPr>
          <w:spacing w:val="-3"/>
          <w:sz w:val="16"/>
          <w:vertAlign w:val="baseline"/>
        </w:rPr>
        <w:t> </w:t>
      </w:r>
      <w:r>
        <w:rPr>
          <w:sz w:val="16"/>
          <w:vertAlign w:val="baseline"/>
        </w:rPr>
        <w:t>electrónico</w:t>
      </w:r>
      <w:r>
        <w:rPr>
          <w:spacing w:val="-7"/>
          <w:sz w:val="16"/>
          <w:vertAlign w:val="baseline"/>
        </w:rPr>
        <w:t> </w:t>
      </w:r>
      <w:r>
        <w:rPr>
          <w:sz w:val="16"/>
          <w:vertAlign w:val="baseline"/>
        </w:rPr>
        <w:t>se</w:t>
      </w:r>
      <w:r>
        <w:rPr>
          <w:spacing w:val="-6"/>
          <w:sz w:val="16"/>
          <w:vertAlign w:val="baseline"/>
        </w:rPr>
        <w:t> </w:t>
      </w:r>
      <w:r>
        <w:rPr>
          <w:sz w:val="16"/>
          <w:vertAlign w:val="baseline"/>
        </w:rPr>
        <w:t>le</w:t>
      </w:r>
      <w:r>
        <w:rPr>
          <w:spacing w:val="-3"/>
          <w:sz w:val="16"/>
          <w:vertAlign w:val="baseline"/>
        </w:rPr>
        <w:t> </w:t>
      </w:r>
      <w:r>
        <w:rPr>
          <w:sz w:val="16"/>
          <w:vertAlign w:val="baseline"/>
        </w:rPr>
        <w:t>asignó</w:t>
      </w:r>
      <w:r>
        <w:rPr>
          <w:spacing w:val="-6"/>
          <w:sz w:val="16"/>
          <w:vertAlign w:val="baseline"/>
        </w:rPr>
        <w:t> </w:t>
      </w:r>
      <w:r>
        <w:rPr>
          <w:sz w:val="16"/>
          <w:vertAlign w:val="baseline"/>
        </w:rPr>
        <w:t>el</w:t>
      </w:r>
      <w:r>
        <w:rPr>
          <w:spacing w:val="-2"/>
          <w:sz w:val="16"/>
          <w:vertAlign w:val="baseline"/>
        </w:rPr>
        <w:t> </w:t>
      </w:r>
      <w:r>
        <w:rPr>
          <w:sz w:val="16"/>
          <w:vertAlign w:val="baseline"/>
        </w:rPr>
        <w:t>número</w:t>
      </w:r>
      <w:r>
        <w:rPr>
          <w:spacing w:val="-3"/>
          <w:sz w:val="16"/>
          <w:vertAlign w:val="baseline"/>
        </w:rPr>
        <w:t> </w:t>
      </w:r>
      <w:r>
        <w:rPr>
          <w:sz w:val="16"/>
          <w:vertAlign w:val="baseline"/>
        </w:rPr>
        <w:t>de</w:t>
      </w:r>
      <w:r>
        <w:rPr>
          <w:spacing w:val="-7"/>
          <w:sz w:val="16"/>
          <w:vertAlign w:val="baseline"/>
        </w:rPr>
        <w:t> </w:t>
      </w:r>
      <w:r>
        <w:rPr>
          <w:sz w:val="16"/>
          <w:vertAlign w:val="baseline"/>
        </w:rPr>
        <w:t>registro</w:t>
      </w:r>
      <w:r>
        <w:rPr>
          <w:spacing w:val="-3"/>
          <w:sz w:val="16"/>
          <w:vertAlign w:val="baseline"/>
        </w:rPr>
        <w:t> </w:t>
      </w:r>
      <w:r>
        <w:rPr>
          <w:sz w:val="16"/>
          <w:vertAlign w:val="baseline"/>
        </w:rPr>
        <w:t>1206</w:t>
      </w:r>
      <w:r>
        <w:rPr>
          <w:spacing w:val="-3"/>
          <w:sz w:val="16"/>
          <w:vertAlign w:val="baseline"/>
        </w:rPr>
        <w:t> </w:t>
      </w:r>
      <w:r>
        <w:rPr>
          <w:sz w:val="16"/>
          <w:vertAlign w:val="baseline"/>
        </w:rPr>
        <w:t>del</w:t>
      </w:r>
      <w:r>
        <w:rPr>
          <w:spacing w:val="-5"/>
          <w:sz w:val="16"/>
          <w:vertAlign w:val="baseline"/>
        </w:rPr>
        <w:t> </w:t>
      </w:r>
      <w:r>
        <w:rPr>
          <w:sz w:val="16"/>
          <w:vertAlign w:val="baseline"/>
        </w:rPr>
        <w:t>sistema</w:t>
      </w:r>
      <w:r>
        <w:rPr>
          <w:spacing w:val="-3"/>
          <w:sz w:val="16"/>
          <w:vertAlign w:val="baseline"/>
        </w:rPr>
        <w:t> </w:t>
      </w:r>
      <w:r>
        <w:rPr>
          <w:sz w:val="16"/>
          <w:vertAlign w:val="baseline"/>
        </w:rPr>
        <w:t>de</w:t>
      </w:r>
      <w:r>
        <w:rPr>
          <w:spacing w:val="-6"/>
          <w:sz w:val="16"/>
          <w:vertAlign w:val="baseline"/>
        </w:rPr>
        <w:t> </w:t>
      </w:r>
      <w:r>
        <w:rPr>
          <w:sz w:val="16"/>
          <w:vertAlign w:val="baseline"/>
        </w:rPr>
        <w:t>correspondencia</w:t>
      </w:r>
      <w:r>
        <w:rPr>
          <w:spacing w:val="-4"/>
          <w:sz w:val="16"/>
          <w:vertAlign w:val="baseline"/>
        </w:rPr>
        <w:t> </w:t>
      </w:r>
      <w:r>
        <w:rPr>
          <w:sz w:val="16"/>
          <w:vertAlign w:val="baseline"/>
        </w:rPr>
        <w:t>interno</w:t>
      </w:r>
      <w:r>
        <w:rPr>
          <w:spacing w:val="-5"/>
          <w:sz w:val="16"/>
          <w:vertAlign w:val="baseline"/>
        </w:rPr>
        <w:t> </w:t>
      </w:r>
      <w:r>
        <w:rPr>
          <w:sz w:val="16"/>
          <w:vertAlign w:val="baseline"/>
        </w:rPr>
        <w:t>de</w:t>
      </w:r>
      <w:r>
        <w:rPr>
          <w:spacing w:val="-3"/>
          <w:sz w:val="16"/>
          <w:vertAlign w:val="baseline"/>
        </w:rPr>
        <w:t> </w:t>
      </w:r>
      <w:r>
        <w:rPr>
          <w:sz w:val="16"/>
          <w:vertAlign w:val="baseline"/>
        </w:rPr>
        <w:t>la</w:t>
      </w:r>
      <w:r>
        <w:rPr>
          <w:spacing w:val="-3"/>
          <w:sz w:val="16"/>
          <w:vertAlign w:val="baseline"/>
        </w:rPr>
        <w:t> </w:t>
      </w:r>
      <w:r>
        <w:rPr>
          <w:spacing w:val="-2"/>
          <w:sz w:val="16"/>
          <w:vertAlign w:val="baseline"/>
        </w:rPr>
        <w:t>SGCAN.</w:t>
      </w:r>
    </w:p>
    <w:p>
      <w:pPr>
        <w:spacing w:before="1"/>
        <w:ind w:left="568" w:right="955" w:firstLine="0"/>
        <w:jc w:val="left"/>
        <w:rPr>
          <w:sz w:val="16"/>
        </w:rPr>
      </w:pPr>
      <w:bookmarkStart w:name="_bookmark48" w:id="49"/>
      <w:bookmarkEnd w:id="49"/>
      <w:r>
        <w:rPr/>
      </w:r>
      <w:r>
        <w:rPr>
          <w:sz w:val="16"/>
          <w:vertAlign w:val="superscript"/>
        </w:rPr>
        <w:t>6</w:t>
      </w:r>
      <w:r>
        <w:rPr>
          <w:spacing w:val="-8"/>
          <w:sz w:val="16"/>
          <w:vertAlign w:val="baseline"/>
        </w:rPr>
        <w:t> </w:t>
      </w:r>
      <w:r>
        <w:rPr>
          <w:sz w:val="16"/>
          <w:vertAlign w:val="baseline"/>
        </w:rPr>
        <w:t>República</w:t>
      </w:r>
      <w:r>
        <w:rPr>
          <w:spacing w:val="-11"/>
          <w:sz w:val="16"/>
          <w:vertAlign w:val="baseline"/>
        </w:rPr>
        <w:t> </w:t>
      </w:r>
      <w:r>
        <w:rPr>
          <w:sz w:val="16"/>
          <w:vertAlign w:val="baseline"/>
        </w:rPr>
        <w:t>de</w:t>
      </w:r>
      <w:r>
        <w:rPr>
          <w:spacing w:val="-8"/>
          <w:sz w:val="16"/>
          <w:vertAlign w:val="baseline"/>
        </w:rPr>
        <w:t> </w:t>
      </w:r>
      <w:r>
        <w:rPr>
          <w:sz w:val="16"/>
          <w:vertAlign w:val="baseline"/>
        </w:rPr>
        <w:t>Colombia,</w:t>
      </w:r>
      <w:r>
        <w:rPr>
          <w:spacing w:val="-9"/>
          <w:sz w:val="16"/>
          <w:vertAlign w:val="baseline"/>
        </w:rPr>
        <w:t> </w:t>
      </w:r>
      <w:r>
        <w:rPr>
          <w:sz w:val="16"/>
          <w:vertAlign w:val="baseline"/>
        </w:rPr>
        <w:t>Solicitud</w:t>
      </w:r>
      <w:r>
        <w:rPr>
          <w:spacing w:val="-11"/>
          <w:sz w:val="16"/>
          <w:vertAlign w:val="baseline"/>
        </w:rPr>
        <w:t> </w:t>
      </w:r>
      <w:r>
        <w:rPr>
          <w:sz w:val="16"/>
          <w:vertAlign w:val="baseline"/>
        </w:rPr>
        <w:t>de</w:t>
      </w:r>
      <w:r>
        <w:rPr>
          <w:spacing w:val="-8"/>
          <w:sz w:val="16"/>
          <w:vertAlign w:val="baseline"/>
        </w:rPr>
        <w:t> </w:t>
      </w:r>
      <w:r>
        <w:rPr>
          <w:sz w:val="16"/>
          <w:vertAlign w:val="baseline"/>
        </w:rPr>
        <w:t>calificación</w:t>
      </w:r>
      <w:r>
        <w:rPr>
          <w:spacing w:val="-11"/>
          <w:sz w:val="16"/>
          <w:vertAlign w:val="baseline"/>
        </w:rPr>
        <w:t> </w:t>
      </w:r>
      <w:r>
        <w:rPr>
          <w:sz w:val="16"/>
          <w:vertAlign w:val="baseline"/>
        </w:rPr>
        <w:t>como</w:t>
      </w:r>
      <w:r>
        <w:rPr>
          <w:spacing w:val="-10"/>
          <w:sz w:val="16"/>
          <w:vertAlign w:val="baseline"/>
        </w:rPr>
        <w:t> </w:t>
      </w:r>
      <w:r>
        <w:rPr>
          <w:sz w:val="16"/>
          <w:vertAlign w:val="baseline"/>
        </w:rPr>
        <w:t>gravamen</w:t>
      </w:r>
      <w:r>
        <w:rPr>
          <w:spacing w:val="-11"/>
          <w:sz w:val="16"/>
          <w:vertAlign w:val="baseline"/>
        </w:rPr>
        <w:t> </w:t>
      </w:r>
      <w:r>
        <w:rPr>
          <w:sz w:val="16"/>
          <w:vertAlign w:val="baseline"/>
        </w:rPr>
        <w:t>de</w:t>
      </w:r>
      <w:r>
        <w:rPr>
          <w:spacing w:val="-11"/>
          <w:sz w:val="16"/>
          <w:vertAlign w:val="baseline"/>
        </w:rPr>
        <w:t> </w:t>
      </w:r>
      <w:r>
        <w:rPr>
          <w:sz w:val="16"/>
          <w:vertAlign w:val="baseline"/>
        </w:rPr>
        <w:t>la</w:t>
      </w:r>
      <w:r>
        <w:rPr>
          <w:spacing w:val="-8"/>
          <w:sz w:val="16"/>
          <w:vertAlign w:val="baseline"/>
        </w:rPr>
        <w:t> </w:t>
      </w:r>
      <w:r>
        <w:rPr>
          <w:sz w:val="16"/>
          <w:vertAlign w:val="baseline"/>
        </w:rPr>
        <w:t>medida</w:t>
      </w:r>
      <w:r>
        <w:rPr>
          <w:spacing w:val="-11"/>
          <w:sz w:val="16"/>
          <w:vertAlign w:val="baseline"/>
        </w:rPr>
        <w:t> </w:t>
      </w:r>
      <w:r>
        <w:rPr>
          <w:sz w:val="16"/>
          <w:vertAlign w:val="baseline"/>
        </w:rPr>
        <w:t>adoptada</w:t>
      </w:r>
      <w:r>
        <w:rPr>
          <w:spacing w:val="-8"/>
          <w:sz w:val="16"/>
          <w:vertAlign w:val="baseline"/>
        </w:rPr>
        <w:t> </w:t>
      </w:r>
      <w:r>
        <w:rPr>
          <w:sz w:val="16"/>
          <w:vertAlign w:val="baseline"/>
        </w:rPr>
        <w:t>por</w:t>
      </w:r>
      <w:r>
        <w:rPr>
          <w:spacing w:val="-11"/>
          <w:sz w:val="16"/>
          <w:vertAlign w:val="baseline"/>
        </w:rPr>
        <w:t> </w:t>
      </w:r>
      <w:r>
        <w:rPr>
          <w:sz w:val="16"/>
          <w:vertAlign w:val="baseline"/>
        </w:rPr>
        <w:t>la</w:t>
      </w:r>
      <w:r>
        <w:rPr>
          <w:spacing w:val="-8"/>
          <w:sz w:val="16"/>
          <w:vertAlign w:val="baseline"/>
        </w:rPr>
        <w:t> </w:t>
      </w:r>
      <w:r>
        <w:rPr>
          <w:sz w:val="16"/>
          <w:vertAlign w:val="baseline"/>
        </w:rPr>
        <w:t>República</w:t>
      </w:r>
      <w:r>
        <w:rPr>
          <w:spacing w:val="-8"/>
          <w:sz w:val="16"/>
          <w:vertAlign w:val="baseline"/>
        </w:rPr>
        <w:t> </w:t>
      </w:r>
      <w:r>
        <w:rPr>
          <w:sz w:val="16"/>
          <w:vertAlign w:val="baseline"/>
        </w:rPr>
        <w:t>del</w:t>
      </w:r>
      <w:r>
        <w:rPr>
          <w:spacing w:val="-10"/>
          <w:sz w:val="16"/>
          <w:vertAlign w:val="baseline"/>
        </w:rPr>
        <w:t> </w:t>
      </w:r>
      <w:r>
        <w:rPr>
          <w:sz w:val="16"/>
          <w:vertAlign w:val="baseline"/>
        </w:rPr>
        <w:t>Ecuador,</w:t>
      </w:r>
      <w:r>
        <w:rPr>
          <w:spacing w:val="-9"/>
          <w:sz w:val="16"/>
          <w:vertAlign w:val="baseline"/>
        </w:rPr>
        <w:t> </w:t>
      </w:r>
      <w:r>
        <w:rPr>
          <w:sz w:val="16"/>
          <w:vertAlign w:val="baseline"/>
        </w:rPr>
        <w:t>mediante la</w:t>
      </w:r>
      <w:r>
        <w:rPr>
          <w:spacing w:val="-1"/>
          <w:sz w:val="16"/>
          <w:vertAlign w:val="baseline"/>
        </w:rPr>
        <w:t> </w:t>
      </w:r>
      <w:r>
        <w:rPr>
          <w:sz w:val="16"/>
          <w:vertAlign w:val="baseline"/>
        </w:rPr>
        <w:t>Resolución</w:t>
      </w:r>
      <w:r>
        <w:rPr>
          <w:spacing w:val="-2"/>
          <w:sz w:val="16"/>
          <w:vertAlign w:val="baseline"/>
        </w:rPr>
        <w:t> </w:t>
      </w:r>
      <w:r>
        <w:rPr>
          <w:sz w:val="16"/>
          <w:vertAlign w:val="baseline"/>
        </w:rPr>
        <w:t>número</w:t>
      </w:r>
      <w:r>
        <w:rPr>
          <w:spacing w:val="-1"/>
          <w:sz w:val="16"/>
          <w:vertAlign w:val="baseline"/>
        </w:rPr>
        <w:t> </w:t>
      </w:r>
      <w:r>
        <w:rPr>
          <w:sz w:val="16"/>
          <w:vertAlign w:val="baseline"/>
        </w:rPr>
        <w:t>SENAE-SENAE-2026-0006-RE, del 24</w:t>
      </w:r>
      <w:r>
        <w:rPr>
          <w:spacing w:val="-2"/>
          <w:sz w:val="16"/>
          <w:vertAlign w:val="baseline"/>
        </w:rPr>
        <w:t> </w:t>
      </w:r>
      <w:r>
        <w:rPr>
          <w:sz w:val="16"/>
          <w:vertAlign w:val="baseline"/>
        </w:rPr>
        <w:t>de</w:t>
      </w:r>
      <w:r>
        <w:rPr>
          <w:spacing w:val="-1"/>
          <w:sz w:val="16"/>
          <w:vertAlign w:val="baseline"/>
        </w:rPr>
        <w:t> </w:t>
      </w:r>
      <w:r>
        <w:rPr>
          <w:sz w:val="16"/>
          <w:vertAlign w:val="baseline"/>
        </w:rPr>
        <w:t>enero</w:t>
      </w:r>
      <w:r>
        <w:rPr>
          <w:spacing w:val="-2"/>
          <w:sz w:val="16"/>
          <w:vertAlign w:val="baseline"/>
        </w:rPr>
        <w:t> </w:t>
      </w:r>
      <w:r>
        <w:rPr>
          <w:sz w:val="16"/>
          <w:vertAlign w:val="baseline"/>
        </w:rPr>
        <w:t>de</w:t>
      </w:r>
      <w:r>
        <w:rPr>
          <w:spacing w:val="-1"/>
          <w:sz w:val="16"/>
          <w:vertAlign w:val="baseline"/>
        </w:rPr>
        <w:t> </w:t>
      </w:r>
      <w:r>
        <w:rPr>
          <w:sz w:val="16"/>
          <w:vertAlign w:val="baseline"/>
        </w:rPr>
        <w:t>2026, que</w:t>
      </w:r>
      <w:r>
        <w:rPr>
          <w:spacing w:val="-1"/>
          <w:sz w:val="16"/>
          <w:vertAlign w:val="baseline"/>
        </w:rPr>
        <w:t> </w:t>
      </w:r>
      <w:r>
        <w:rPr>
          <w:sz w:val="16"/>
          <w:vertAlign w:val="baseline"/>
        </w:rPr>
        <w:t>entró</w:t>
      </w:r>
      <w:r>
        <w:rPr>
          <w:spacing w:val="-2"/>
          <w:sz w:val="16"/>
          <w:vertAlign w:val="baseline"/>
        </w:rPr>
        <w:t> </w:t>
      </w:r>
      <w:r>
        <w:rPr>
          <w:sz w:val="16"/>
          <w:vertAlign w:val="baseline"/>
        </w:rPr>
        <w:t>en</w:t>
      </w:r>
      <w:r>
        <w:rPr>
          <w:spacing w:val="-1"/>
          <w:sz w:val="16"/>
          <w:vertAlign w:val="baseline"/>
        </w:rPr>
        <w:t> </w:t>
      </w:r>
      <w:r>
        <w:rPr>
          <w:sz w:val="16"/>
          <w:vertAlign w:val="baseline"/>
        </w:rPr>
        <w:t>vigencia</w:t>
      </w:r>
      <w:r>
        <w:rPr>
          <w:spacing w:val="-2"/>
          <w:sz w:val="16"/>
          <w:vertAlign w:val="baseline"/>
        </w:rPr>
        <w:t> </w:t>
      </w:r>
      <w:r>
        <w:rPr>
          <w:sz w:val="16"/>
          <w:vertAlign w:val="baseline"/>
        </w:rPr>
        <w:t>el 6</w:t>
      </w:r>
      <w:r>
        <w:rPr>
          <w:spacing w:val="-2"/>
          <w:sz w:val="16"/>
          <w:vertAlign w:val="baseline"/>
        </w:rPr>
        <w:t> </w:t>
      </w:r>
      <w:r>
        <w:rPr>
          <w:sz w:val="16"/>
          <w:vertAlign w:val="baseline"/>
        </w:rPr>
        <w:t>de</w:t>
      </w:r>
      <w:r>
        <w:rPr>
          <w:spacing w:val="-1"/>
          <w:sz w:val="16"/>
          <w:vertAlign w:val="baseline"/>
        </w:rPr>
        <w:t> </w:t>
      </w:r>
      <w:r>
        <w:rPr>
          <w:sz w:val="16"/>
          <w:vertAlign w:val="baseline"/>
        </w:rPr>
        <w:t>febrero</w:t>
      </w:r>
      <w:r>
        <w:rPr>
          <w:spacing w:val="-2"/>
          <w:sz w:val="16"/>
          <w:vertAlign w:val="baseline"/>
        </w:rPr>
        <w:t> </w:t>
      </w:r>
      <w:r>
        <w:rPr>
          <w:sz w:val="16"/>
          <w:vertAlign w:val="baseline"/>
        </w:rPr>
        <w:t>de</w:t>
      </w:r>
      <w:r>
        <w:rPr>
          <w:spacing w:val="-1"/>
          <w:sz w:val="16"/>
          <w:vertAlign w:val="baseline"/>
        </w:rPr>
        <w:t> </w:t>
      </w:r>
      <w:r>
        <w:rPr>
          <w:spacing w:val="-2"/>
          <w:sz w:val="16"/>
          <w:vertAlign w:val="baseline"/>
        </w:rPr>
        <w:t>2026,</w:t>
      </w:r>
    </w:p>
    <w:p>
      <w:pPr>
        <w:tabs>
          <w:tab w:pos="568" w:val="left" w:leader="none"/>
          <w:tab w:pos="9816" w:val="left" w:leader="none"/>
        </w:tabs>
        <w:spacing w:line="183" w:lineRule="exact" w:before="0"/>
        <w:ind w:left="160" w:right="0" w:firstLine="0"/>
        <w:jc w:val="left"/>
        <w:rPr>
          <w:sz w:val="16"/>
        </w:rPr>
      </w:pPr>
      <w:r>
        <w:rPr>
          <w:sz w:val="16"/>
          <w:u w:val="single"/>
        </w:rPr>
        <w:tab/>
        <w:t>cit.,</w:t>
      </w:r>
      <w:r>
        <w:rPr>
          <w:spacing w:val="-6"/>
          <w:sz w:val="16"/>
          <w:u w:val="single"/>
        </w:rPr>
        <w:t> </w:t>
      </w:r>
      <w:r>
        <w:rPr>
          <w:sz w:val="16"/>
          <w:u w:val="single"/>
        </w:rPr>
        <w:t>pp.</w:t>
      </w:r>
      <w:r>
        <w:rPr>
          <w:spacing w:val="-6"/>
          <w:sz w:val="16"/>
          <w:u w:val="single"/>
        </w:rPr>
        <w:t> </w:t>
      </w:r>
      <w:r>
        <w:rPr>
          <w:sz w:val="16"/>
          <w:u w:val="single"/>
        </w:rPr>
        <w:t>9-10,</w:t>
      </w:r>
      <w:r>
        <w:rPr>
          <w:spacing w:val="-4"/>
          <w:sz w:val="16"/>
          <w:u w:val="single"/>
        </w:rPr>
        <w:t> </w:t>
      </w:r>
      <w:r>
        <w:rPr>
          <w:sz w:val="16"/>
          <w:u w:val="single"/>
        </w:rPr>
        <w:t>párrafos</w:t>
      </w:r>
      <w:r>
        <w:rPr>
          <w:spacing w:val="-5"/>
          <w:sz w:val="16"/>
          <w:u w:val="single"/>
        </w:rPr>
        <w:t> </w:t>
      </w:r>
      <w:r>
        <w:rPr>
          <w:sz w:val="16"/>
          <w:u w:val="single"/>
        </w:rPr>
        <w:t>[16]-</w:t>
      </w:r>
      <w:r>
        <w:rPr>
          <w:spacing w:val="-2"/>
          <w:sz w:val="16"/>
          <w:u w:val="single"/>
        </w:rPr>
        <w:t>[24].</w:t>
      </w:r>
      <w:r>
        <w:rPr>
          <w:sz w:val="16"/>
          <w:u w:val="single"/>
        </w:rPr>
        <w:tab/>
      </w:r>
    </w:p>
    <w:p>
      <w:pPr>
        <w:spacing w:after="0" w:line="183" w:lineRule="exact"/>
        <w:jc w:val="left"/>
        <w:rPr>
          <w:sz w:val="16"/>
        </w:rPr>
        <w:sectPr>
          <w:pgSz w:w="11900" w:h="16850"/>
          <w:pgMar w:header="370" w:footer="597" w:top="1380" w:bottom="780" w:left="992" w:right="283"/>
        </w:sectPr>
      </w:pPr>
    </w:p>
    <w:p>
      <w:pPr>
        <w:pStyle w:val="BodyText"/>
        <w:spacing w:before="176"/>
      </w:pPr>
    </w:p>
    <w:p>
      <w:pPr>
        <w:pStyle w:val="ListParagraph"/>
        <w:numPr>
          <w:ilvl w:val="0"/>
          <w:numId w:val="13"/>
        </w:numPr>
        <w:tabs>
          <w:tab w:pos="2729" w:val="left" w:leader="none"/>
        </w:tabs>
        <w:spacing w:line="240" w:lineRule="auto" w:before="0" w:after="0"/>
        <w:ind w:left="2729" w:right="976" w:hanging="291"/>
        <w:jc w:val="both"/>
        <w:rPr>
          <w:sz w:val="22"/>
        </w:rPr>
      </w:pPr>
      <w:r>
        <w:rPr>
          <w:rFonts w:ascii="Arial" w:hAnsi="Arial"/>
          <w:b/>
          <w:sz w:val="22"/>
        </w:rPr>
        <w:t>naturaleza del gravamen arancelario:</w:t>
      </w:r>
      <w:r>
        <w:rPr>
          <w:rFonts w:ascii="Arial" w:hAnsi="Arial"/>
          <w:b/>
          <w:spacing w:val="40"/>
          <w:sz w:val="22"/>
        </w:rPr>
        <w:t> </w:t>
      </w:r>
      <w:r>
        <w:rPr>
          <w:sz w:val="22"/>
        </w:rPr>
        <w:t>sostiene que la medida no busca</w:t>
      </w:r>
      <w:r>
        <w:rPr>
          <w:spacing w:val="-2"/>
          <w:sz w:val="22"/>
        </w:rPr>
        <w:t> </w:t>
      </w:r>
      <w:r>
        <w:rPr>
          <w:sz w:val="22"/>
        </w:rPr>
        <w:t>recuperar</w:t>
      </w:r>
      <w:r>
        <w:rPr>
          <w:spacing w:val="-1"/>
          <w:sz w:val="22"/>
        </w:rPr>
        <w:t> </w:t>
      </w:r>
      <w:r>
        <w:rPr>
          <w:sz w:val="22"/>
        </w:rPr>
        <w:t>costos</w:t>
      </w:r>
      <w:r>
        <w:rPr>
          <w:spacing w:val="-4"/>
          <w:sz w:val="22"/>
        </w:rPr>
        <w:t> </w:t>
      </w:r>
      <w:r>
        <w:rPr>
          <w:sz w:val="22"/>
        </w:rPr>
        <w:t>de un</w:t>
      </w:r>
      <w:r>
        <w:rPr>
          <w:spacing w:val="-2"/>
          <w:sz w:val="22"/>
        </w:rPr>
        <w:t> </w:t>
      </w:r>
      <w:r>
        <w:rPr>
          <w:sz w:val="22"/>
        </w:rPr>
        <w:t>servicio,</w:t>
      </w:r>
      <w:r>
        <w:rPr>
          <w:spacing w:val="-1"/>
          <w:sz w:val="22"/>
        </w:rPr>
        <w:t> </w:t>
      </w:r>
      <w:r>
        <w:rPr>
          <w:sz w:val="22"/>
        </w:rPr>
        <w:t>sino</w:t>
      </w:r>
      <w:r>
        <w:rPr>
          <w:spacing w:val="-2"/>
          <w:sz w:val="22"/>
        </w:rPr>
        <w:t> </w:t>
      </w:r>
      <w:r>
        <w:rPr>
          <w:sz w:val="22"/>
        </w:rPr>
        <w:t>que</w:t>
      </w:r>
      <w:r>
        <w:rPr>
          <w:spacing w:val="-4"/>
          <w:sz w:val="22"/>
        </w:rPr>
        <w:t> </w:t>
      </w:r>
      <w:r>
        <w:rPr>
          <w:sz w:val="22"/>
        </w:rPr>
        <w:t>es un</w:t>
      </w:r>
      <w:r>
        <w:rPr>
          <w:spacing w:val="-2"/>
          <w:sz w:val="22"/>
        </w:rPr>
        <w:t> </w:t>
      </w:r>
      <w:r>
        <w:rPr>
          <w:sz w:val="22"/>
        </w:rPr>
        <w:t>arancel</w:t>
      </w:r>
      <w:r>
        <w:rPr>
          <w:spacing w:val="-3"/>
          <w:sz w:val="22"/>
        </w:rPr>
        <w:t> </w:t>
      </w:r>
      <w:r>
        <w:rPr>
          <w:sz w:val="22"/>
        </w:rPr>
        <w:t>del 30% disfrazado de tasa para eludir obligaciones comunitarias. Asimismo, señala</w:t>
      </w:r>
      <w:r>
        <w:rPr>
          <w:spacing w:val="-4"/>
          <w:sz w:val="22"/>
        </w:rPr>
        <w:t> </w:t>
      </w:r>
      <w:r>
        <w:rPr>
          <w:sz w:val="22"/>
        </w:rPr>
        <w:t>que</w:t>
      </w:r>
      <w:r>
        <w:rPr>
          <w:spacing w:val="-4"/>
          <w:sz w:val="22"/>
        </w:rPr>
        <w:t> </w:t>
      </w:r>
      <w:r>
        <w:rPr>
          <w:sz w:val="22"/>
        </w:rPr>
        <w:t>la</w:t>
      </w:r>
      <w:r>
        <w:rPr>
          <w:spacing w:val="-4"/>
          <w:sz w:val="22"/>
        </w:rPr>
        <w:t> </w:t>
      </w:r>
      <w:r>
        <w:rPr>
          <w:sz w:val="22"/>
        </w:rPr>
        <w:t>medida</w:t>
      </w:r>
      <w:r>
        <w:rPr>
          <w:spacing w:val="-4"/>
          <w:sz w:val="22"/>
        </w:rPr>
        <w:t> </w:t>
      </w:r>
      <w:r>
        <w:rPr>
          <w:sz w:val="22"/>
        </w:rPr>
        <w:t>es</w:t>
      </w:r>
      <w:r>
        <w:rPr>
          <w:spacing w:val="-9"/>
          <w:sz w:val="22"/>
        </w:rPr>
        <w:t> </w:t>
      </w:r>
      <w:r>
        <w:rPr>
          <w:sz w:val="22"/>
        </w:rPr>
        <w:t>obligatoria,</w:t>
      </w:r>
      <w:r>
        <w:rPr>
          <w:spacing w:val="-4"/>
          <w:sz w:val="22"/>
        </w:rPr>
        <w:t> </w:t>
      </w:r>
      <w:r>
        <w:rPr>
          <w:sz w:val="22"/>
        </w:rPr>
        <w:t>no</w:t>
      </w:r>
      <w:r>
        <w:rPr>
          <w:spacing w:val="-4"/>
          <w:sz w:val="22"/>
        </w:rPr>
        <w:t> </w:t>
      </w:r>
      <w:r>
        <w:rPr>
          <w:sz w:val="22"/>
        </w:rPr>
        <w:t>optativa,</w:t>
      </w:r>
      <w:r>
        <w:rPr>
          <w:spacing w:val="-4"/>
          <w:sz w:val="22"/>
        </w:rPr>
        <w:t> </w:t>
      </w:r>
      <w:r>
        <w:rPr>
          <w:sz w:val="22"/>
        </w:rPr>
        <w:t>y</w:t>
      </w:r>
      <w:r>
        <w:rPr>
          <w:spacing w:val="-6"/>
          <w:sz w:val="22"/>
        </w:rPr>
        <w:t> </w:t>
      </w:r>
      <w:r>
        <w:rPr>
          <w:sz w:val="22"/>
        </w:rPr>
        <w:t>su</w:t>
      </w:r>
      <w:r>
        <w:rPr>
          <w:spacing w:val="-4"/>
          <w:sz w:val="22"/>
        </w:rPr>
        <w:t> </w:t>
      </w:r>
      <w:r>
        <w:rPr>
          <w:sz w:val="22"/>
        </w:rPr>
        <w:t>valor</w:t>
      </w:r>
      <w:r>
        <w:rPr>
          <w:spacing w:val="-6"/>
          <w:sz w:val="22"/>
        </w:rPr>
        <w:t> </w:t>
      </w:r>
      <w:r>
        <w:rPr>
          <w:sz w:val="22"/>
        </w:rPr>
        <w:t>varía</w:t>
      </w:r>
      <w:r>
        <w:rPr>
          <w:spacing w:val="-4"/>
          <w:sz w:val="22"/>
        </w:rPr>
        <w:t> </w:t>
      </w:r>
      <w:r>
        <w:rPr>
          <w:sz w:val="22"/>
        </w:rPr>
        <w:t>según el valor de la mercancía (</w:t>
      </w:r>
      <w:r>
        <w:rPr>
          <w:rFonts w:ascii="Arial" w:hAnsi="Arial"/>
          <w:i/>
          <w:sz w:val="22"/>
        </w:rPr>
        <w:t>ad valorem</w:t>
      </w:r>
      <w:r>
        <w:rPr>
          <w:sz w:val="22"/>
        </w:rPr>
        <w:t>), características propias de un gravamen y no de una tasa.</w:t>
      </w:r>
    </w:p>
    <w:p>
      <w:pPr>
        <w:pStyle w:val="BodyText"/>
      </w:pPr>
    </w:p>
    <w:p>
      <w:pPr>
        <w:pStyle w:val="ListParagraph"/>
        <w:numPr>
          <w:ilvl w:val="0"/>
          <w:numId w:val="13"/>
        </w:numPr>
        <w:tabs>
          <w:tab w:pos="2729" w:val="left" w:leader="none"/>
        </w:tabs>
        <w:spacing w:line="240" w:lineRule="auto" w:before="1" w:after="0"/>
        <w:ind w:left="2729" w:right="977" w:hanging="339"/>
        <w:jc w:val="both"/>
        <w:rPr>
          <w:sz w:val="22"/>
        </w:rPr>
      </w:pPr>
      <w:r>
        <w:rPr>
          <w:rFonts w:ascii="Arial" w:hAnsi="Arial"/>
          <w:b/>
          <w:sz w:val="22"/>
        </w:rPr>
        <w:t>inexistencia de un servicio individualizado: </w:t>
      </w:r>
      <w:r>
        <w:rPr>
          <w:sz w:val="22"/>
        </w:rPr>
        <w:t>la medida ecuatoriana se</w:t>
      </w:r>
      <w:r>
        <w:rPr>
          <w:spacing w:val="-16"/>
          <w:sz w:val="22"/>
        </w:rPr>
        <w:t> </w:t>
      </w:r>
      <w:r>
        <w:rPr>
          <w:sz w:val="22"/>
        </w:rPr>
        <w:t>justificaría</w:t>
      </w:r>
      <w:r>
        <w:rPr>
          <w:spacing w:val="-15"/>
          <w:sz w:val="22"/>
        </w:rPr>
        <w:t> </w:t>
      </w:r>
      <w:r>
        <w:rPr>
          <w:sz w:val="22"/>
        </w:rPr>
        <w:t>debido</w:t>
      </w:r>
      <w:r>
        <w:rPr>
          <w:spacing w:val="-15"/>
          <w:sz w:val="22"/>
        </w:rPr>
        <w:t> </w:t>
      </w:r>
      <w:r>
        <w:rPr>
          <w:sz w:val="22"/>
        </w:rPr>
        <w:t>a</w:t>
      </w:r>
      <w:r>
        <w:rPr>
          <w:spacing w:val="-16"/>
          <w:sz w:val="22"/>
        </w:rPr>
        <w:t> </w:t>
      </w:r>
      <w:r>
        <w:rPr>
          <w:sz w:val="22"/>
        </w:rPr>
        <w:t>la</w:t>
      </w:r>
      <w:r>
        <w:rPr>
          <w:spacing w:val="-15"/>
          <w:sz w:val="22"/>
        </w:rPr>
        <w:t> </w:t>
      </w:r>
      <w:r>
        <w:rPr>
          <w:sz w:val="22"/>
        </w:rPr>
        <w:t>supuesta</w:t>
      </w:r>
      <w:r>
        <w:rPr>
          <w:spacing w:val="-15"/>
          <w:sz w:val="22"/>
        </w:rPr>
        <w:t> </w:t>
      </w:r>
      <w:r>
        <w:rPr>
          <w:sz w:val="22"/>
        </w:rPr>
        <w:t>"omisión</w:t>
      </w:r>
      <w:r>
        <w:rPr>
          <w:spacing w:val="-15"/>
          <w:sz w:val="22"/>
        </w:rPr>
        <w:t> </w:t>
      </w:r>
      <w:r>
        <w:rPr>
          <w:sz w:val="22"/>
        </w:rPr>
        <w:t>sistemática</w:t>
      </w:r>
      <w:r>
        <w:rPr>
          <w:spacing w:val="-16"/>
          <w:sz w:val="22"/>
        </w:rPr>
        <w:t> </w:t>
      </w:r>
      <w:r>
        <w:rPr>
          <w:sz w:val="22"/>
        </w:rPr>
        <w:t>en</w:t>
      </w:r>
      <w:r>
        <w:rPr>
          <w:spacing w:val="-15"/>
          <w:sz w:val="22"/>
        </w:rPr>
        <w:t> </w:t>
      </w:r>
      <w:r>
        <w:rPr>
          <w:sz w:val="22"/>
        </w:rPr>
        <w:t>los</w:t>
      </w:r>
      <w:r>
        <w:rPr>
          <w:spacing w:val="-15"/>
          <w:sz w:val="22"/>
        </w:rPr>
        <w:t> </w:t>
      </w:r>
      <w:r>
        <w:rPr>
          <w:sz w:val="22"/>
        </w:rPr>
        <w:t>controles de salida" por parte de la República de Colombia y la necesidad de seguridad nacional contra el crimen organizado. La República de Colombia argumenta que el fortalecimiento del control aduanero y la seguridad</w:t>
      </w:r>
      <w:r>
        <w:rPr>
          <w:spacing w:val="-16"/>
          <w:sz w:val="22"/>
        </w:rPr>
        <w:t> </w:t>
      </w:r>
      <w:r>
        <w:rPr>
          <w:sz w:val="22"/>
        </w:rPr>
        <w:t>nacional</w:t>
      </w:r>
      <w:r>
        <w:rPr>
          <w:spacing w:val="-15"/>
          <w:sz w:val="22"/>
        </w:rPr>
        <w:t> </w:t>
      </w:r>
      <w:r>
        <w:rPr>
          <w:sz w:val="22"/>
        </w:rPr>
        <w:t>son</w:t>
      </w:r>
      <w:r>
        <w:rPr>
          <w:spacing w:val="-15"/>
          <w:sz w:val="22"/>
        </w:rPr>
        <w:t> </w:t>
      </w:r>
      <w:r>
        <w:rPr>
          <w:sz w:val="22"/>
        </w:rPr>
        <w:t>funciones</w:t>
      </w:r>
      <w:r>
        <w:rPr>
          <w:spacing w:val="-16"/>
          <w:sz w:val="22"/>
        </w:rPr>
        <w:t> </w:t>
      </w:r>
      <w:r>
        <w:rPr>
          <w:sz w:val="22"/>
        </w:rPr>
        <w:t>inherentes</w:t>
      </w:r>
      <w:r>
        <w:rPr>
          <w:spacing w:val="-15"/>
          <w:sz w:val="22"/>
        </w:rPr>
        <w:t> </w:t>
      </w:r>
      <w:r>
        <w:rPr>
          <w:sz w:val="22"/>
        </w:rPr>
        <w:t>al</w:t>
      </w:r>
      <w:r>
        <w:rPr>
          <w:spacing w:val="-15"/>
          <w:sz w:val="22"/>
        </w:rPr>
        <w:t> </w:t>
      </w:r>
      <w:r>
        <w:rPr>
          <w:sz w:val="22"/>
        </w:rPr>
        <w:t>Estado,</w:t>
      </w:r>
      <w:r>
        <w:rPr>
          <w:spacing w:val="-15"/>
          <w:sz w:val="22"/>
        </w:rPr>
        <w:t> </w:t>
      </w:r>
      <w:r>
        <w:rPr>
          <w:sz w:val="22"/>
        </w:rPr>
        <w:t>y</w:t>
      </w:r>
      <w:r>
        <w:rPr>
          <w:spacing w:val="-16"/>
          <w:sz w:val="22"/>
        </w:rPr>
        <w:t> </w:t>
      </w:r>
      <w:r>
        <w:rPr>
          <w:sz w:val="22"/>
        </w:rPr>
        <w:t>no</w:t>
      </w:r>
      <w:r>
        <w:rPr>
          <w:spacing w:val="-15"/>
          <w:sz w:val="22"/>
        </w:rPr>
        <w:t> </w:t>
      </w:r>
      <w:r>
        <w:rPr>
          <w:sz w:val="22"/>
        </w:rPr>
        <w:t>constituyen un servicio directo ni facilitan la operación al importador.</w:t>
      </w:r>
    </w:p>
    <w:p>
      <w:pPr>
        <w:pStyle w:val="ListParagraph"/>
        <w:numPr>
          <w:ilvl w:val="0"/>
          <w:numId w:val="13"/>
        </w:numPr>
        <w:tabs>
          <w:tab w:pos="2727" w:val="left" w:leader="none"/>
          <w:tab w:pos="2729" w:val="left" w:leader="none"/>
        </w:tabs>
        <w:spacing w:line="240" w:lineRule="auto" w:before="253" w:after="0"/>
        <w:ind w:left="2729" w:right="976" w:hanging="390"/>
        <w:jc w:val="both"/>
        <w:rPr>
          <w:sz w:val="22"/>
        </w:rPr>
      </w:pPr>
      <w:r>
        <w:rPr>
          <w:rFonts w:ascii="Arial" w:hAnsi="Arial"/>
          <w:b/>
          <w:sz w:val="22"/>
        </w:rPr>
        <w:t>uso de la medida como sanción ilegítima: </w:t>
      </w:r>
      <w:r>
        <w:rPr>
          <w:sz w:val="22"/>
        </w:rPr>
        <w:t>afirma que la República del Ecuador pretende "sancionar" unilateralmente un supuesto incumplimiento de la Decisión 778 sobre</w:t>
      </w:r>
      <w:r>
        <w:rPr>
          <w:spacing w:val="40"/>
          <w:sz w:val="22"/>
        </w:rPr>
        <w:t> </w:t>
      </w:r>
      <w:r>
        <w:rPr>
          <w:sz w:val="22"/>
        </w:rPr>
        <w:t>Régimen Andino sobre Control</w:t>
      </w:r>
      <w:r>
        <w:rPr>
          <w:spacing w:val="-11"/>
          <w:sz w:val="22"/>
        </w:rPr>
        <w:t> </w:t>
      </w:r>
      <w:r>
        <w:rPr>
          <w:sz w:val="22"/>
        </w:rPr>
        <w:t>Aduanero.</w:t>
      </w:r>
      <w:r>
        <w:rPr>
          <w:spacing w:val="-8"/>
          <w:sz w:val="22"/>
        </w:rPr>
        <w:t> </w:t>
      </w:r>
      <w:r>
        <w:rPr>
          <w:sz w:val="22"/>
        </w:rPr>
        <w:t>A</w:t>
      </w:r>
      <w:r>
        <w:rPr>
          <w:spacing w:val="-13"/>
          <w:sz w:val="22"/>
        </w:rPr>
        <w:t> </w:t>
      </w:r>
      <w:r>
        <w:rPr>
          <w:sz w:val="22"/>
        </w:rPr>
        <w:t>juicio</w:t>
      </w:r>
      <w:r>
        <w:rPr>
          <w:spacing w:val="-10"/>
          <w:sz w:val="22"/>
        </w:rPr>
        <w:t> </w:t>
      </w:r>
      <w:r>
        <w:rPr>
          <w:sz w:val="22"/>
        </w:rPr>
        <w:t>de</w:t>
      </w:r>
      <w:r>
        <w:rPr>
          <w:spacing w:val="-10"/>
          <w:sz w:val="22"/>
        </w:rPr>
        <w:t> </w:t>
      </w:r>
      <w:r>
        <w:rPr>
          <w:sz w:val="22"/>
        </w:rPr>
        <w:t>la</w:t>
      </w:r>
      <w:r>
        <w:rPr>
          <w:spacing w:val="-10"/>
          <w:sz w:val="22"/>
        </w:rPr>
        <w:t> </w:t>
      </w:r>
      <w:r>
        <w:rPr>
          <w:sz w:val="22"/>
        </w:rPr>
        <w:t>República</w:t>
      </w:r>
      <w:r>
        <w:rPr>
          <w:spacing w:val="-10"/>
          <w:sz w:val="22"/>
        </w:rPr>
        <w:t> </w:t>
      </w:r>
      <w:r>
        <w:rPr>
          <w:sz w:val="22"/>
        </w:rPr>
        <w:t>de</w:t>
      </w:r>
      <w:r>
        <w:rPr>
          <w:spacing w:val="-10"/>
          <w:sz w:val="22"/>
        </w:rPr>
        <w:t> </w:t>
      </w:r>
      <w:r>
        <w:rPr>
          <w:sz w:val="22"/>
        </w:rPr>
        <w:t>Colombia,</w:t>
      </w:r>
      <w:r>
        <w:rPr>
          <w:spacing w:val="-9"/>
          <w:sz w:val="22"/>
        </w:rPr>
        <w:t> </w:t>
      </w:r>
      <w:r>
        <w:rPr>
          <w:sz w:val="22"/>
        </w:rPr>
        <w:t>si</w:t>
      </w:r>
      <w:r>
        <w:rPr>
          <w:spacing w:val="-11"/>
          <w:sz w:val="22"/>
        </w:rPr>
        <w:t> </w:t>
      </w:r>
      <w:r>
        <w:rPr>
          <w:sz w:val="22"/>
        </w:rPr>
        <w:t>la</w:t>
      </w:r>
      <w:r>
        <w:rPr>
          <w:spacing w:val="-10"/>
          <w:sz w:val="22"/>
        </w:rPr>
        <w:t> </w:t>
      </w:r>
      <w:r>
        <w:rPr>
          <w:sz w:val="22"/>
        </w:rPr>
        <w:t>República del Ecuador considera que existe un incumplimiento, debe acudir al sistema de solución de controversias andino (acción de incumplimiento),</w:t>
      </w:r>
      <w:r>
        <w:rPr>
          <w:spacing w:val="-16"/>
          <w:sz w:val="22"/>
        </w:rPr>
        <w:t> </w:t>
      </w:r>
      <w:r>
        <w:rPr>
          <w:sz w:val="22"/>
        </w:rPr>
        <w:t>en</w:t>
      </w:r>
      <w:r>
        <w:rPr>
          <w:spacing w:val="-15"/>
          <w:sz w:val="22"/>
        </w:rPr>
        <w:t> </w:t>
      </w:r>
      <w:r>
        <w:rPr>
          <w:sz w:val="22"/>
        </w:rPr>
        <w:t>lugar</w:t>
      </w:r>
      <w:r>
        <w:rPr>
          <w:spacing w:val="-16"/>
          <w:sz w:val="22"/>
        </w:rPr>
        <w:t> </w:t>
      </w:r>
      <w:r>
        <w:rPr>
          <w:sz w:val="22"/>
        </w:rPr>
        <w:t>de</w:t>
      </w:r>
      <w:r>
        <w:rPr>
          <w:spacing w:val="-15"/>
          <w:sz w:val="22"/>
        </w:rPr>
        <w:t> </w:t>
      </w:r>
      <w:r>
        <w:rPr>
          <w:sz w:val="22"/>
        </w:rPr>
        <w:t>imponer</w:t>
      </w:r>
      <w:r>
        <w:rPr>
          <w:spacing w:val="-16"/>
          <w:sz w:val="22"/>
        </w:rPr>
        <w:t> </w:t>
      </w:r>
      <w:r>
        <w:rPr>
          <w:sz w:val="22"/>
        </w:rPr>
        <w:t>barreras</w:t>
      </w:r>
      <w:r>
        <w:rPr>
          <w:spacing w:val="-15"/>
          <w:sz w:val="22"/>
        </w:rPr>
        <w:t> </w:t>
      </w:r>
      <w:r>
        <w:rPr>
          <w:sz w:val="22"/>
        </w:rPr>
        <w:t>arancelarias</w:t>
      </w:r>
      <w:r>
        <w:rPr>
          <w:spacing w:val="-15"/>
          <w:sz w:val="22"/>
        </w:rPr>
        <w:t> </w:t>
      </w:r>
      <w:r>
        <w:rPr>
          <w:sz w:val="22"/>
        </w:rPr>
        <w:t>unilaterales.</w:t>
      </w:r>
    </w:p>
    <w:p>
      <w:pPr>
        <w:pStyle w:val="BodyText"/>
        <w:spacing w:before="23"/>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La República Colombia fundamenta su solicitud en los </w:t>
      </w:r>
      <w:r>
        <w:rPr>
          <w:rFonts w:ascii="Arial" w:hAnsi="Arial"/>
          <w:b/>
          <w:sz w:val="22"/>
        </w:rPr>
        <w:t>artículos 72, 73, 76 y 77 del Acuerdo</w:t>
      </w:r>
      <w:r>
        <w:rPr>
          <w:rFonts w:ascii="Arial" w:hAnsi="Arial"/>
          <w:b/>
          <w:spacing w:val="-4"/>
          <w:sz w:val="22"/>
        </w:rPr>
        <w:t> </w:t>
      </w:r>
      <w:r>
        <w:rPr>
          <w:rFonts w:ascii="Arial" w:hAnsi="Arial"/>
          <w:b/>
          <w:sz w:val="22"/>
        </w:rPr>
        <w:t>de</w:t>
      </w:r>
      <w:r>
        <w:rPr>
          <w:rFonts w:ascii="Arial" w:hAnsi="Arial"/>
          <w:b/>
          <w:spacing w:val="-7"/>
          <w:sz w:val="22"/>
        </w:rPr>
        <w:t> </w:t>
      </w:r>
      <w:r>
        <w:rPr>
          <w:rFonts w:ascii="Arial" w:hAnsi="Arial"/>
          <w:b/>
          <w:sz w:val="22"/>
        </w:rPr>
        <w:t>Cartagena</w:t>
      </w:r>
      <w:r>
        <w:rPr>
          <w:sz w:val="22"/>
        </w:rPr>
        <w:t>,</w:t>
      </w:r>
      <w:r>
        <w:rPr>
          <w:spacing w:val="-5"/>
          <w:sz w:val="22"/>
        </w:rPr>
        <w:t> </w:t>
      </w:r>
      <w:r>
        <w:rPr>
          <w:sz w:val="22"/>
        </w:rPr>
        <w:t>relativos</w:t>
      </w:r>
      <w:r>
        <w:rPr>
          <w:spacing w:val="-4"/>
          <w:sz w:val="22"/>
        </w:rPr>
        <w:t> </w:t>
      </w:r>
      <w:r>
        <w:rPr>
          <w:sz w:val="22"/>
        </w:rPr>
        <w:t>al</w:t>
      </w:r>
      <w:r>
        <w:rPr>
          <w:spacing w:val="-5"/>
          <w:sz w:val="22"/>
        </w:rPr>
        <w:t> </w:t>
      </w:r>
      <w:r>
        <w:rPr>
          <w:sz w:val="22"/>
        </w:rPr>
        <w:t>carácter</w:t>
      </w:r>
      <w:r>
        <w:rPr>
          <w:spacing w:val="-3"/>
          <w:sz w:val="22"/>
        </w:rPr>
        <w:t> </w:t>
      </w:r>
      <w:r>
        <w:rPr>
          <w:sz w:val="22"/>
        </w:rPr>
        <w:t>automático</w:t>
      </w:r>
      <w:r>
        <w:rPr>
          <w:spacing w:val="-4"/>
          <w:sz w:val="22"/>
        </w:rPr>
        <w:t> </w:t>
      </w:r>
      <w:r>
        <w:rPr>
          <w:sz w:val="22"/>
        </w:rPr>
        <w:t>e</w:t>
      </w:r>
      <w:r>
        <w:rPr>
          <w:spacing w:val="-4"/>
          <w:sz w:val="22"/>
        </w:rPr>
        <w:t> </w:t>
      </w:r>
      <w:r>
        <w:rPr>
          <w:sz w:val="22"/>
        </w:rPr>
        <w:t>irrevocable</w:t>
      </w:r>
      <w:r>
        <w:rPr>
          <w:spacing w:val="-4"/>
          <w:sz w:val="22"/>
        </w:rPr>
        <w:t> </w:t>
      </w:r>
      <w:r>
        <w:rPr>
          <w:sz w:val="22"/>
        </w:rPr>
        <w:t>del</w:t>
      </w:r>
      <w:r>
        <w:rPr>
          <w:spacing w:val="-5"/>
          <w:sz w:val="22"/>
        </w:rPr>
        <w:t> </w:t>
      </w:r>
      <w:r>
        <w:rPr>
          <w:sz w:val="22"/>
        </w:rPr>
        <w:t>Programa</w:t>
      </w:r>
      <w:r>
        <w:rPr>
          <w:spacing w:val="-6"/>
          <w:sz w:val="22"/>
        </w:rPr>
        <w:t> </w:t>
      </w:r>
      <w:r>
        <w:rPr>
          <w:sz w:val="22"/>
        </w:rPr>
        <w:t>de Liberación, así como a su universalidad respecto de los productos originarios de la Subregión,</w:t>
      </w:r>
      <w:r>
        <w:rPr>
          <w:spacing w:val="-6"/>
          <w:sz w:val="22"/>
        </w:rPr>
        <w:t> </w:t>
      </w:r>
      <w:r>
        <w:rPr>
          <w:sz w:val="22"/>
        </w:rPr>
        <w:t>que</w:t>
      </w:r>
      <w:r>
        <w:rPr>
          <w:spacing w:val="-9"/>
          <w:sz w:val="22"/>
        </w:rPr>
        <w:t> </w:t>
      </w:r>
      <w:r>
        <w:rPr>
          <w:sz w:val="22"/>
        </w:rPr>
        <w:t>obliga</w:t>
      </w:r>
      <w:r>
        <w:rPr>
          <w:spacing w:val="-8"/>
          <w:sz w:val="22"/>
        </w:rPr>
        <w:t> </w:t>
      </w:r>
      <w:r>
        <w:rPr>
          <w:sz w:val="22"/>
        </w:rPr>
        <w:t>a</w:t>
      </w:r>
      <w:r>
        <w:rPr>
          <w:spacing w:val="-10"/>
          <w:sz w:val="22"/>
        </w:rPr>
        <w:t> </w:t>
      </w:r>
      <w:r>
        <w:rPr>
          <w:sz w:val="22"/>
        </w:rPr>
        <w:t>los</w:t>
      </w:r>
      <w:r>
        <w:rPr>
          <w:spacing w:val="-7"/>
          <w:sz w:val="22"/>
        </w:rPr>
        <w:t> </w:t>
      </w:r>
      <w:r>
        <w:rPr>
          <w:sz w:val="22"/>
        </w:rPr>
        <w:t>Países</w:t>
      </w:r>
      <w:r>
        <w:rPr>
          <w:spacing w:val="-9"/>
          <w:sz w:val="22"/>
        </w:rPr>
        <w:t> </w:t>
      </w:r>
      <w:r>
        <w:rPr>
          <w:sz w:val="22"/>
        </w:rPr>
        <w:t>Miembros</w:t>
      </w:r>
      <w:r>
        <w:rPr>
          <w:spacing w:val="-10"/>
          <w:sz w:val="22"/>
        </w:rPr>
        <w:t> </w:t>
      </w:r>
      <w:r>
        <w:rPr>
          <w:sz w:val="22"/>
        </w:rPr>
        <w:t>a</w:t>
      </w:r>
      <w:r>
        <w:rPr>
          <w:spacing w:val="-7"/>
          <w:sz w:val="22"/>
        </w:rPr>
        <w:t> </w:t>
      </w:r>
      <w:r>
        <w:rPr>
          <w:sz w:val="22"/>
        </w:rPr>
        <w:t>abstenerse</w:t>
      </w:r>
      <w:r>
        <w:rPr>
          <w:spacing w:val="-9"/>
          <w:sz w:val="22"/>
        </w:rPr>
        <w:t> </w:t>
      </w:r>
      <w:r>
        <w:rPr>
          <w:sz w:val="22"/>
        </w:rPr>
        <w:t>de</w:t>
      </w:r>
      <w:r>
        <w:rPr>
          <w:spacing w:val="-10"/>
          <w:sz w:val="22"/>
        </w:rPr>
        <w:t> </w:t>
      </w:r>
      <w:r>
        <w:rPr>
          <w:sz w:val="22"/>
        </w:rPr>
        <w:t>aplicar</w:t>
      </w:r>
      <w:r>
        <w:rPr>
          <w:spacing w:val="-7"/>
          <w:sz w:val="22"/>
        </w:rPr>
        <w:t> </w:t>
      </w:r>
      <w:r>
        <w:rPr>
          <w:sz w:val="22"/>
        </w:rPr>
        <w:t>gravámenes</w:t>
      </w:r>
      <w:r>
        <w:rPr>
          <w:spacing w:val="-10"/>
          <w:sz w:val="22"/>
        </w:rPr>
        <w:t> </w:t>
      </w:r>
      <w:r>
        <w:rPr>
          <w:sz w:val="22"/>
        </w:rPr>
        <w:t>a</w:t>
      </w:r>
      <w:r>
        <w:rPr>
          <w:spacing w:val="-7"/>
          <w:sz w:val="22"/>
        </w:rPr>
        <w:t> </w:t>
      </w:r>
      <w:r>
        <w:rPr>
          <w:sz w:val="22"/>
        </w:rPr>
        <w:t>las importaciones de bienes originarios de la Subregión. En ese marco, la República de Colombia sostiene que la tasa por servicio aduanero establecida por la República del Ecuador constituye un gravamen incompatible con dicho Programa de Liberación. Asimismo, menciona la </w:t>
      </w:r>
      <w:r>
        <w:rPr>
          <w:rFonts w:ascii="Arial" w:hAnsi="Arial"/>
          <w:b/>
          <w:sz w:val="22"/>
        </w:rPr>
        <w:t>Decisión 425 </w:t>
      </w:r>
      <w:r>
        <w:rPr>
          <w:sz w:val="22"/>
        </w:rPr>
        <w:t>respecto a los procedimientos administrativos ante la SGCAN.</w:t>
      </w:r>
    </w:p>
    <w:p>
      <w:pPr>
        <w:pStyle w:val="BodyText"/>
      </w:pPr>
    </w:p>
    <w:p>
      <w:pPr>
        <w:pStyle w:val="Heading3"/>
        <w:numPr>
          <w:ilvl w:val="0"/>
          <w:numId w:val="11"/>
        </w:numPr>
        <w:tabs>
          <w:tab w:pos="1130" w:val="left" w:leader="none"/>
          <w:tab w:pos="1134" w:val="left" w:leader="none"/>
        </w:tabs>
        <w:spacing w:line="240" w:lineRule="auto" w:before="1" w:after="0"/>
        <w:ind w:left="1134" w:right="980" w:hanging="567"/>
        <w:jc w:val="both"/>
      </w:pPr>
      <w:r>
        <w:rPr/>
        <w:t>Además, la República de Colombia en su solicitud hace referencia al pronunciamiento del Tribunal de Justicia de la Comunidad</w:t>
      </w:r>
      <w:r>
        <w:rPr>
          <w:spacing w:val="-1"/>
        </w:rPr>
        <w:t> </w:t>
      </w:r>
      <w:r>
        <w:rPr/>
        <w:t>Andina (en adelante, </w:t>
      </w:r>
      <w:r>
        <w:rPr>
          <w:rFonts w:ascii="Arial" w:hAnsi="Arial"/>
          <w:b/>
        </w:rPr>
        <w:t>TJCAN</w:t>
      </w:r>
      <w:r>
        <w:rPr/>
        <w:t>), específicamente al Proceso 12-AN-99, con relación al alcance de los términos gravamen y tasas, así como a la existencia de proporcionalidad de la tasa con el costo del servicio</w:t>
      </w:r>
      <w:hyperlink w:history="true" w:anchor="_bookmark49">
        <w:r>
          <w:rPr>
            <w:position w:val="8"/>
            <w:sz w:val="14"/>
          </w:rPr>
          <w:t>7</w:t>
        </w:r>
      </w:hyperlink>
      <w:r>
        <w:rPr/>
        <w:t>, tal como se describe</w:t>
      </w:r>
      <w:r>
        <w:rPr>
          <w:spacing w:val="40"/>
        </w:rPr>
        <w:t> </w:t>
      </w:r>
      <w:r>
        <w:rPr/>
        <w:t>a continuación:</w:t>
      </w:r>
    </w:p>
    <w:p>
      <w:pPr>
        <w:pStyle w:val="BodyText"/>
        <w:rPr>
          <w:sz w:val="24"/>
        </w:rPr>
      </w:pPr>
    </w:p>
    <w:p>
      <w:pPr>
        <w:pStyle w:val="Heading4"/>
        <w:ind w:left="2553" w:right="983"/>
        <w:rPr>
          <w:rFonts w:ascii="Arial" w:hAnsi="Arial"/>
        </w:rPr>
      </w:pPr>
      <w:r>
        <w:rPr>
          <w:rFonts w:ascii="Arial" w:hAnsi="Arial"/>
        </w:rPr>
        <w:t>“(…)</w:t>
      </w:r>
      <w:r>
        <w:rPr>
          <w:rFonts w:ascii="Arial" w:hAnsi="Arial"/>
          <w:spacing w:val="-14"/>
        </w:rPr>
        <w:t> </w:t>
      </w:r>
      <w:r>
        <w:rPr>
          <w:rFonts w:ascii="Arial" w:hAnsi="Arial"/>
        </w:rPr>
        <w:t>el</w:t>
      </w:r>
      <w:r>
        <w:rPr>
          <w:rFonts w:ascii="Arial" w:hAnsi="Arial"/>
          <w:spacing w:val="-14"/>
        </w:rPr>
        <w:t> </w:t>
      </w:r>
      <w:r>
        <w:rPr>
          <w:rFonts w:ascii="Arial" w:hAnsi="Arial"/>
        </w:rPr>
        <w:t>concepto</w:t>
      </w:r>
      <w:r>
        <w:rPr>
          <w:rFonts w:ascii="Arial" w:hAnsi="Arial"/>
          <w:spacing w:val="-13"/>
        </w:rPr>
        <w:t> </w:t>
      </w:r>
      <w:r>
        <w:rPr>
          <w:rFonts w:ascii="Arial" w:hAnsi="Arial"/>
        </w:rPr>
        <w:t>de</w:t>
      </w:r>
      <w:r>
        <w:rPr>
          <w:rFonts w:ascii="Arial" w:hAnsi="Arial"/>
          <w:spacing w:val="-13"/>
        </w:rPr>
        <w:t> </w:t>
      </w:r>
      <w:r>
        <w:rPr>
          <w:rFonts w:ascii="Arial" w:hAnsi="Arial"/>
        </w:rPr>
        <w:t>gravamen,</w:t>
      </w:r>
      <w:r>
        <w:rPr>
          <w:rFonts w:ascii="Arial" w:hAnsi="Arial"/>
          <w:spacing w:val="-14"/>
        </w:rPr>
        <w:t> </w:t>
      </w:r>
      <w:r>
        <w:rPr>
          <w:rFonts w:ascii="Arial" w:hAnsi="Arial"/>
        </w:rPr>
        <w:t>tal</w:t>
      </w:r>
      <w:r>
        <w:rPr>
          <w:rFonts w:ascii="Arial" w:hAnsi="Arial"/>
          <w:spacing w:val="-14"/>
        </w:rPr>
        <w:t> </w:t>
      </w:r>
      <w:r>
        <w:rPr>
          <w:rFonts w:ascii="Arial" w:hAnsi="Arial"/>
        </w:rPr>
        <w:t>como</w:t>
      </w:r>
      <w:r>
        <w:rPr>
          <w:rFonts w:ascii="Arial" w:hAnsi="Arial"/>
          <w:spacing w:val="-13"/>
        </w:rPr>
        <w:t> </w:t>
      </w:r>
      <w:r>
        <w:rPr>
          <w:rFonts w:ascii="Arial" w:hAnsi="Arial"/>
        </w:rPr>
        <w:t>lo</w:t>
      </w:r>
      <w:r>
        <w:rPr>
          <w:rFonts w:ascii="Arial" w:hAnsi="Arial"/>
          <w:spacing w:val="-13"/>
        </w:rPr>
        <w:t> </w:t>
      </w:r>
      <w:r>
        <w:rPr>
          <w:rFonts w:ascii="Arial" w:hAnsi="Arial"/>
        </w:rPr>
        <w:t>considera</w:t>
      </w:r>
      <w:r>
        <w:rPr>
          <w:rFonts w:ascii="Arial" w:hAnsi="Arial"/>
          <w:spacing w:val="-15"/>
        </w:rPr>
        <w:t> </w:t>
      </w:r>
      <w:r>
        <w:rPr>
          <w:rFonts w:ascii="Arial" w:hAnsi="Arial"/>
        </w:rPr>
        <w:t>el</w:t>
      </w:r>
      <w:r>
        <w:rPr>
          <w:rFonts w:ascii="Arial" w:hAnsi="Arial"/>
          <w:spacing w:val="-14"/>
        </w:rPr>
        <w:t> </w:t>
      </w:r>
      <w:r>
        <w:rPr>
          <w:rFonts w:ascii="Arial" w:hAnsi="Arial"/>
        </w:rPr>
        <w:t>Acuerdo</w:t>
      </w:r>
      <w:r>
        <w:rPr>
          <w:rFonts w:ascii="Arial" w:hAnsi="Arial"/>
          <w:spacing w:val="-13"/>
        </w:rPr>
        <w:t> </w:t>
      </w:r>
      <w:r>
        <w:rPr>
          <w:rFonts w:ascii="Arial" w:hAnsi="Arial"/>
        </w:rPr>
        <w:t>de Cartagena, sólo tenga en la práctica, una excepción, cual es la referente a las tasas y recargos análogos, los cuales no quedan comprendidos dentro de dicho concepto pero con la condición ineluctable de que tales tasas o recargos correspondan al costo aproximado de los servicios que se le prestan al importador, en relación</w:t>
      </w:r>
      <w:r>
        <w:rPr>
          <w:rFonts w:ascii="Arial" w:hAnsi="Arial"/>
          <w:spacing w:val="-8"/>
        </w:rPr>
        <w:t> </w:t>
      </w:r>
      <w:r>
        <w:rPr>
          <w:rFonts w:ascii="Arial" w:hAnsi="Arial"/>
        </w:rPr>
        <w:t>con</w:t>
      </w:r>
      <w:r>
        <w:rPr>
          <w:rFonts w:ascii="Arial" w:hAnsi="Arial"/>
          <w:spacing w:val="-10"/>
        </w:rPr>
        <w:t> </w:t>
      </w:r>
      <w:r>
        <w:rPr>
          <w:rFonts w:ascii="Arial" w:hAnsi="Arial"/>
        </w:rPr>
        <w:t>el</w:t>
      </w:r>
      <w:r>
        <w:rPr>
          <w:rFonts w:ascii="Arial" w:hAnsi="Arial"/>
          <w:spacing w:val="-9"/>
        </w:rPr>
        <w:t> </w:t>
      </w:r>
      <w:r>
        <w:rPr>
          <w:rFonts w:ascii="Arial" w:hAnsi="Arial"/>
        </w:rPr>
        <w:t>hecho</w:t>
      </w:r>
      <w:r>
        <w:rPr>
          <w:rFonts w:ascii="Arial" w:hAnsi="Arial"/>
          <w:spacing w:val="-12"/>
        </w:rPr>
        <w:t> </w:t>
      </w:r>
      <w:r>
        <w:rPr>
          <w:rFonts w:ascii="Arial" w:hAnsi="Arial"/>
        </w:rPr>
        <w:t>mismo</w:t>
      </w:r>
      <w:r>
        <w:rPr>
          <w:rFonts w:ascii="Arial" w:hAnsi="Arial"/>
          <w:spacing w:val="-8"/>
        </w:rPr>
        <w:t> </w:t>
      </w:r>
      <w:r>
        <w:rPr>
          <w:rFonts w:ascii="Arial" w:hAnsi="Arial"/>
        </w:rPr>
        <w:t>de</w:t>
      </w:r>
      <w:r>
        <w:rPr>
          <w:rFonts w:ascii="Arial" w:hAnsi="Arial"/>
          <w:spacing w:val="-8"/>
        </w:rPr>
        <w:t> </w:t>
      </w:r>
      <w:r>
        <w:rPr>
          <w:rFonts w:ascii="Arial" w:hAnsi="Arial"/>
        </w:rPr>
        <w:t>la</w:t>
      </w:r>
      <w:r>
        <w:rPr>
          <w:rFonts w:ascii="Arial" w:hAnsi="Arial"/>
          <w:spacing w:val="-11"/>
        </w:rPr>
        <w:t> </w:t>
      </w:r>
      <w:r>
        <w:rPr>
          <w:rFonts w:ascii="Arial" w:hAnsi="Arial"/>
        </w:rPr>
        <w:t>importación.</w:t>
      </w:r>
      <w:r>
        <w:rPr>
          <w:rFonts w:ascii="Arial" w:hAnsi="Arial"/>
          <w:spacing w:val="-8"/>
        </w:rPr>
        <w:t> </w:t>
      </w:r>
      <w:r>
        <w:rPr>
          <w:rFonts w:ascii="Arial" w:hAnsi="Arial"/>
        </w:rPr>
        <w:t>Se</w:t>
      </w:r>
      <w:r>
        <w:rPr>
          <w:rFonts w:ascii="Arial" w:hAnsi="Arial"/>
          <w:spacing w:val="-8"/>
        </w:rPr>
        <w:t> </w:t>
      </w:r>
      <w:r>
        <w:rPr>
          <w:rFonts w:ascii="Arial" w:hAnsi="Arial"/>
        </w:rPr>
        <w:t>trata,</w:t>
      </w:r>
      <w:r>
        <w:rPr>
          <w:rFonts w:ascii="Arial" w:hAnsi="Arial"/>
          <w:spacing w:val="-11"/>
        </w:rPr>
        <w:t> </w:t>
      </w:r>
      <w:r>
        <w:rPr>
          <w:rFonts w:ascii="Arial" w:hAnsi="Arial"/>
        </w:rPr>
        <w:t>de</w:t>
      </w:r>
      <w:r>
        <w:rPr>
          <w:rFonts w:ascii="Arial" w:hAnsi="Arial"/>
          <w:spacing w:val="-10"/>
        </w:rPr>
        <w:t> </w:t>
      </w:r>
      <w:r>
        <w:rPr>
          <w:rFonts w:ascii="Arial" w:hAnsi="Arial"/>
        </w:rPr>
        <w:t>que</w:t>
      </w:r>
      <w:r>
        <w:rPr>
          <w:rFonts w:ascii="Arial" w:hAnsi="Arial"/>
          <w:spacing w:val="-8"/>
        </w:rPr>
        <w:t> </w:t>
      </w:r>
      <w:r>
        <w:rPr>
          <w:rFonts w:ascii="Arial" w:hAnsi="Arial"/>
        </w:rPr>
        <w:t>los Países Miembros puedan razonablemente recuperar a través de este</w:t>
      </w:r>
      <w:r>
        <w:rPr>
          <w:rFonts w:ascii="Arial" w:hAnsi="Arial"/>
          <w:spacing w:val="-5"/>
        </w:rPr>
        <w:t> </w:t>
      </w:r>
      <w:r>
        <w:rPr>
          <w:rFonts w:ascii="Arial" w:hAnsi="Arial"/>
        </w:rPr>
        <w:t>mecanismo</w:t>
      </w:r>
      <w:r>
        <w:rPr>
          <w:rFonts w:ascii="Arial" w:hAnsi="Arial"/>
          <w:spacing w:val="-6"/>
        </w:rPr>
        <w:t> </w:t>
      </w:r>
      <w:r>
        <w:rPr>
          <w:rFonts w:ascii="Arial" w:hAnsi="Arial"/>
        </w:rPr>
        <w:t>los</w:t>
      </w:r>
      <w:r>
        <w:rPr>
          <w:rFonts w:ascii="Arial" w:hAnsi="Arial"/>
          <w:spacing w:val="-7"/>
        </w:rPr>
        <w:t> </w:t>
      </w:r>
      <w:r>
        <w:rPr>
          <w:rFonts w:ascii="Arial" w:hAnsi="Arial"/>
        </w:rPr>
        <w:t>costos</w:t>
      </w:r>
      <w:r>
        <w:rPr>
          <w:rFonts w:ascii="Arial" w:hAnsi="Arial"/>
          <w:spacing w:val="-6"/>
        </w:rPr>
        <w:t> </w:t>
      </w:r>
      <w:r>
        <w:rPr>
          <w:rFonts w:ascii="Arial" w:hAnsi="Arial"/>
        </w:rPr>
        <w:t>que</w:t>
      </w:r>
      <w:r>
        <w:rPr>
          <w:rFonts w:ascii="Arial" w:hAnsi="Arial"/>
          <w:spacing w:val="-6"/>
        </w:rPr>
        <w:t> </w:t>
      </w:r>
      <w:r>
        <w:rPr>
          <w:rFonts w:ascii="Arial" w:hAnsi="Arial"/>
        </w:rPr>
        <w:t>asumen</w:t>
      </w:r>
      <w:r>
        <w:rPr>
          <w:rFonts w:ascii="Arial" w:hAnsi="Arial"/>
          <w:spacing w:val="-6"/>
        </w:rPr>
        <w:t> </w:t>
      </w:r>
      <w:r>
        <w:rPr>
          <w:rFonts w:ascii="Arial" w:hAnsi="Arial"/>
        </w:rPr>
        <w:t>al</w:t>
      </w:r>
      <w:r>
        <w:rPr>
          <w:rFonts w:ascii="Arial" w:hAnsi="Arial"/>
          <w:spacing w:val="-7"/>
        </w:rPr>
        <w:t> </w:t>
      </w:r>
      <w:r>
        <w:rPr>
          <w:rFonts w:ascii="Arial" w:hAnsi="Arial"/>
        </w:rPr>
        <w:t>facilitar</w:t>
      </w:r>
      <w:r>
        <w:rPr>
          <w:rFonts w:ascii="Arial" w:hAnsi="Arial"/>
          <w:spacing w:val="-4"/>
        </w:rPr>
        <w:t> </w:t>
      </w:r>
      <w:r>
        <w:rPr>
          <w:rFonts w:ascii="Arial" w:hAnsi="Arial"/>
        </w:rPr>
        <w:t>las</w:t>
      </w:r>
      <w:r>
        <w:rPr>
          <w:rFonts w:ascii="Arial" w:hAnsi="Arial"/>
          <w:spacing w:val="-6"/>
        </w:rPr>
        <w:t> </w:t>
      </w:r>
      <w:r>
        <w:rPr>
          <w:rFonts w:ascii="Arial" w:hAnsi="Arial"/>
        </w:rPr>
        <w:t>operaciones de importación mediante el concurso de su infraestructura física y administrativa.</w:t>
      </w:r>
      <w:r>
        <w:rPr>
          <w:rFonts w:ascii="Arial" w:hAnsi="Arial"/>
          <w:spacing w:val="-1"/>
        </w:rPr>
        <w:t> </w:t>
      </w:r>
      <w:r>
        <w:rPr>
          <w:rFonts w:ascii="Arial" w:hAnsi="Arial"/>
        </w:rPr>
        <w:t>Por</w:t>
      </w:r>
      <w:r>
        <w:rPr>
          <w:rFonts w:ascii="Arial" w:hAnsi="Arial"/>
          <w:spacing w:val="2"/>
        </w:rPr>
        <w:t> </w:t>
      </w:r>
      <w:r>
        <w:rPr>
          <w:rFonts w:ascii="Arial" w:hAnsi="Arial"/>
        </w:rPr>
        <w:t>lo</w:t>
      </w:r>
      <w:r>
        <w:rPr>
          <w:rFonts w:ascii="Arial" w:hAnsi="Arial"/>
          <w:spacing w:val="1"/>
        </w:rPr>
        <w:t> </w:t>
      </w:r>
      <w:r>
        <w:rPr>
          <w:rFonts w:ascii="Arial" w:hAnsi="Arial"/>
        </w:rPr>
        <w:t>demás,</w:t>
      </w:r>
      <w:r>
        <w:rPr>
          <w:rFonts w:ascii="Arial" w:hAnsi="Arial"/>
          <w:spacing w:val="4"/>
        </w:rPr>
        <w:t> </w:t>
      </w:r>
      <w:r>
        <w:rPr>
          <w:rFonts w:ascii="Arial" w:hAnsi="Arial"/>
        </w:rPr>
        <w:t>a</w:t>
      </w:r>
      <w:r>
        <w:rPr>
          <w:rFonts w:ascii="Arial" w:hAnsi="Arial"/>
          <w:spacing w:val="1"/>
        </w:rPr>
        <w:t> </w:t>
      </w:r>
      <w:r>
        <w:rPr>
          <w:rFonts w:ascii="Arial" w:hAnsi="Arial"/>
        </w:rPr>
        <w:t>diferencia</w:t>
      </w:r>
      <w:r>
        <w:rPr>
          <w:rFonts w:ascii="Arial" w:hAnsi="Arial"/>
          <w:spacing w:val="3"/>
        </w:rPr>
        <w:t> </w:t>
      </w:r>
      <w:r>
        <w:rPr>
          <w:rFonts w:ascii="Arial" w:hAnsi="Arial"/>
        </w:rPr>
        <w:t>de</w:t>
      </w:r>
      <w:r>
        <w:rPr>
          <w:rFonts w:ascii="Arial" w:hAnsi="Arial"/>
          <w:spacing w:val="1"/>
        </w:rPr>
        <w:t> </w:t>
      </w:r>
      <w:r>
        <w:rPr>
          <w:rFonts w:ascii="Arial" w:hAnsi="Arial"/>
        </w:rPr>
        <w:t>lo</w:t>
      </w:r>
      <w:r>
        <w:rPr>
          <w:rFonts w:ascii="Arial" w:hAnsi="Arial"/>
          <w:spacing w:val="4"/>
        </w:rPr>
        <w:t> </w:t>
      </w:r>
      <w:r>
        <w:rPr>
          <w:rFonts w:ascii="Arial" w:hAnsi="Arial"/>
        </w:rPr>
        <w:t>que</w:t>
      </w:r>
      <w:r>
        <w:rPr>
          <w:rFonts w:ascii="Arial" w:hAnsi="Arial"/>
          <w:spacing w:val="1"/>
        </w:rPr>
        <w:t> </w:t>
      </w:r>
      <w:r>
        <w:rPr>
          <w:rFonts w:ascii="Arial" w:hAnsi="Arial"/>
        </w:rPr>
        <w:t>ocurre</w:t>
      </w:r>
      <w:r>
        <w:rPr>
          <w:rFonts w:ascii="Arial" w:hAnsi="Arial"/>
          <w:spacing w:val="3"/>
        </w:rPr>
        <w:t> </w:t>
      </w:r>
      <w:r>
        <w:rPr>
          <w:rFonts w:ascii="Arial" w:hAnsi="Arial"/>
        </w:rPr>
        <w:t>con</w:t>
      </w:r>
      <w:r>
        <w:rPr>
          <w:rFonts w:ascii="Arial" w:hAnsi="Arial"/>
          <w:spacing w:val="4"/>
        </w:rPr>
        <w:t> </w:t>
      </w:r>
      <w:r>
        <w:rPr>
          <w:rFonts w:ascii="Arial" w:hAnsi="Arial"/>
          <w:spacing w:val="-5"/>
        </w:rPr>
        <w:t>los</w:t>
      </w:r>
    </w:p>
    <w:p>
      <w:pPr>
        <w:pStyle w:val="BodyText"/>
        <w:spacing w:before="1"/>
        <w:rPr>
          <w:rFonts w:ascii="Arial"/>
          <w:i/>
          <w:sz w:val="16"/>
        </w:rPr>
      </w:pPr>
      <w:r>
        <w:rPr>
          <w:rFonts w:ascii="Arial"/>
          <w:i/>
          <w:sz w:val="16"/>
        </w:rPr>
        <mc:AlternateContent>
          <mc:Choice Requires="wps">
            <w:drawing>
              <wp:anchor distT="0" distB="0" distL="0" distR="0" allowOverlap="1" layoutInCell="1" locked="0" behindDoc="1" simplePos="0" relativeHeight="487618560">
                <wp:simplePos x="0" y="0"/>
                <wp:positionH relativeFrom="page">
                  <wp:posOffset>990904</wp:posOffset>
                </wp:positionH>
                <wp:positionV relativeFrom="paragraph">
                  <wp:posOffset>133100</wp:posOffset>
                </wp:positionV>
                <wp:extent cx="1829435" cy="7620"/>
                <wp:effectExtent l="0" t="0" r="0" b="0"/>
                <wp:wrapTopAndBottom/>
                <wp:docPr id="310" name="Graphic 310"/>
                <wp:cNvGraphicFramePr>
                  <a:graphicFrameLocks/>
                </wp:cNvGraphicFramePr>
                <a:graphic>
                  <a:graphicData uri="http://schemas.microsoft.com/office/word/2010/wordprocessingShape">
                    <wps:wsp>
                      <wps:cNvPr id="310" name="Graphic 310"/>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0.480392pt;width:144.020pt;height:.599980pt;mso-position-horizontal-relative:page;mso-position-vertical-relative:paragraph;z-index:-15697920;mso-wrap-distance-left:0;mso-wrap-distance-right:0" id="docshape228" filled="true" fillcolor="#000000" stroked="false">
                <v:fill type="solid"/>
                <w10:wrap type="topAndBottom"/>
              </v:rect>
            </w:pict>
          </mc:Fallback>
        </mc:AlternateContent>
      </w:r>
    </w:p>
    <w:p>
      <w:pPr>
        <w:spacing w:before="92"/>
        <w:ind w:left="568" w:right="982" w:firstLine="0"/>
        <w:jc w:val="both"/>
        <w:rPr>
          <w:sz w:val="16"/>
        </w:rPr>
      </w:pPr>
      <w:bookmarkStart w:name="_bookmark49" w:id="50"/>
      <w:bookmarkEnd w:id="50"/>
      <w:r>
        <w:rPr/>
      </w:r>
      <w:r>
        <w:rPr>
          <w:sz w:val="16"/>
          <w:vertAlign w:val="superscript"/>
        </w:rPr>
        <w:t>7</w:t>
      </w:r>
      <w:r>
        <w:rPr>
          <w:spacing w:val="-8"/>
          <w:sz w:val="16"/>
          <w:vertAlign w:val="baseline"/>
        </w:rPr>
        <w:t> </w:t>
      </w:r>
      <w:r>
        <w:rPr>
          <w:sz w:val="16"/>
          <w:vertAlign w:val="baseline"/>
        </w:rPr>
        <w:t>Sentencia</w:t>
      </w:r>
      <w:r>
        <w:rPr>
          <w:spacing w:val="-8"/>
          <w:sz w:val="16"/>
          <w:vertAlign w:val="baseline"/>
        </w:rPr>
        <w:t> </w:t>
      </w:r>
      <w:r>
        <w:rPr>
          <w:sz w:val="16"/>
          <w:vertAlign w:val="baseline"/>
        </w:rPr>
        <w:t>del</w:t>
      </w:r>
      <w:r>
        <w:rPr>
          <w:spacing w:val="-7"/>
          <w:sz w:val="16"/>
          <w:vertAlign w:val="baseline"/>
        </w:rPr>
        <w:t> </w:t>
      </w:r>
      <w:r>
        <w:rPr>
          <w:sz w:val="16"/>
          <w:vertAlign w:val="baseline"/>
        </w:rPr>
        <w:t>Proceso</w:t>
      </w:r>
      <w:r>
        <w:rPr>
          <w:spacing w:val="-8"/>
          <w:sz w:val="16"/>
          <w:vertAlign w:val="baseline"/>
        </w:rPr>
        <w:t> </w:t>
      </w:r>
      <w:r>
        <w:rPr>
          <w:sz w:val="16"/>
          <w:vertAlign w:val="baseline"/>
        </w:rPr>
        <w:t>12-AN-99,</w:t>
      </w:r>
      <w:r>
        <w:rPr>
          <w:spacing w:val="-9"/>
          <w:sz w:val="16"/>
          <w:vertAlign w:val="baseline"/>
        </w:rPr>
        <w:t> </w:t>
      </w:r>
      <w:r>
        <w:rPr>
          <w:sz w:val="16"/>
          <w:vertAlign w:val="baseline"/>
        </w:rPr>
        <w:t>publicada</w:t>
      </w:r>
      <w:r>
        <w:rPr>
          <w:spacing w:val="-8"/>
          <w:sz w:val="16"/>
          <w:vertAlign w:val="baseline"/>
        </w:rPr>
        <w:t> </w:t>
      </w:r>
      <w:r>
        <w:rPr>
          <w:sz w:val="16"/>
          <w:vertAlign w:val="baseline"/>
        </w:rPr>
        <w:t>en</w:t>
      </w:r>
      <w:r>
        <w:rPr>
          <w:spacing w:val="-8"/>
          <w:sz w:val="16"/>
          <w:vertAlign w:val="baseline"/>
        </w:rPr>
        <w:t> </w:t>
      </w:r>
      <w:r>
        <w:rPr>
          <w:sz w:val="16"/>
          <w:vertAlign w:val="baseline"/>
        </w:rPr>
        <w:t>la</w:t>
      </w:r>
      <w:r>
        <w:rPr>
          <w:spacing w:val="-8"/>
          <w:sz w:val="16"/>
          <w:vertAlign w:val="baseline"/>
        </w:rPr>
        <w:t> </w:t>
      </w:r>
      <w:r>
        <w:rPr>
          <w:sz w:val="16"/>
          <w:vertAlign w:val="baseline"/>
        </w:rPr>
        <w:t>Gaceta</w:t>
      </w:r>
      <w:r>
        <w:rPr>
          <w:spacing w:val="-8"/>
          <w:sz w:val="16"/>
          <w:vertAlign w:val="baseline"/>
        </w:rPr>
        <w:t> </w:t>
      </w:r>
      <w:r>
        <w:rPr>
          <w:sz w:val="16"/>
          <w:vertAlign w:val="baseline"/>
        </w:rPr>
        <w:t>Oficial</w:t>
      </w:r>
      <w:r>
        <w:rPr>
          <w:spacing w:val="-8"/>
          <w:sz w:val="16"/>
          <w:vertAlign w:val="baseline"/>
        </w:rPr>
        <w:t> </w:t>
      </w:r>
      <w:r>
        <w:rPr>
          <w:sz w:val="16"/>
          <w:vertAlign w:val="baseline"/>
        </w:rPr>
        <w:t>del</w:t>
      </w:r>
      <w:r>
        <w:rPr>
          <w:spacing w:val="-10"/>
          <w:sz w:val="16"/>
          <w:vertAlign w:val="baseline"/>
        </w:rPr>
        <w:t> </w:t>
      </w:r>
      <w:r>
        <w:rPr>
          <w:sz w:val="16"/>
          <w:vertAlign w:val="baseline"/>
        </w:rPr>
        <w:t>Acuerdo</w:t>
      </w:r>
      <w:r>
        <w:rPr>
          <w:spacing w:val="-8"/>
          <w:sz w:val="16"/>
          <w:vertAlign w:val="baseline"/>
        </w:rPr>
        <w:t> </w:t>
      </w:r>
      <w:r>
        <w:rPr>
          <w:sz w:val="16"/>
          <w:vertAlign w:val="baseline"/>
        </w:rPr>
        <w:t>de</w:t>
      </w:r>
      <w:r>
        <w:rPr>
          <w:spacing w:val="-8"/>
          <w:sz w:val="16"/>
          <w:vertAlign w:val="baseline"/>
        </w:rPr>
        <w:t> </w:t>
      </w:r>
      <w:r>
        <w:rPr>
          <w:sz w:val="16"/>
          <w:vertAlign w:val="baseline"/>
        </w:rPr>
        <w:t>Cartagena</w:t>
      </w:r>
      <w:r>
        <w:rPr>
          <w:spacing w:val="-8"/>
          <w:sz w:val="16"/>
          <w:vertAlign w:val="baseline"/>
        </w:rPr>
        <w:t> </w:t>
      </w:r>
      <w:r>
        <w:rPr>
          <w:sz w:val="16"/>
          <w:vertAlign w:val="baseline"/>
        </w:rPr>
        <w:t>N°</w:t>
      </w:r>
      <w:r>
        <w:rPr>
          <w:spacing w:val="-7"/>
          <w:sz w:val="16"/>
          <w:vertAlign w:val="baseline"/>
        </w:rPr>
        <w:t> </w:t>
      </w:r>
      <w:r>
        <w:rPr>
          <w:sz w:val="16"/>
          <w:vertAlign w:val="baseline"/>
        </w:rPr>
        <w:t>520</w:t>
      </w:r>
      <w:r>
        <w:rPr>
          <w:spacing w:val="-8"/>
          <w:sz w:val="16"/>
          <w:vertAlign w:val="baseline"/>
        </w:rPr>
        <w:t> </w:t>
      </w:r>
      <w:r>
        <w:rPr>
          <w:sz w:val="16"/>
          <w:vertAlign w:val="baseline"/>
        </w:rPr>
        <w:t>del</w:t>
      </w:r>
      <w:r>
        <w:rPr>
          <w:spacing w:val="-7"/>
          <w:sz w:val="16"/>
          <w:vertAlign w:val="baseline"/>
        </w:rPr>
        <w:t> </w:t>
      </w:r>
      <w:r>
        <w:rPr>
          <w:sz w:val="16"/>
          <w:vertAlign w:val="baseline"/>
        </w:rPr>
        <w:t>20</w:t>
      </w:r>
      <w:r>
        <w:rPr>
          <w:spacing w:val="-8"/>
          <w:sz w:val="16"/>
          <w:vertAlign w:val="baseline"/>
        </w:rPr>
        <w:t> </w:t>
      </w:r>
      <w:r>
        <w:rPr>
          <w:sz w:val="16"/>
          <w:vertAlign w:val="baseline"/>
        </w:rPr>
        <w:t>de</w:t>
      </w:r>
      <w:r>
        <w:rPr>
          <w:spacing w:val="-8"/>
          <w:sz w:val="16"/>
          <w:vertAlign w:val="baseline"/>
        </w:rPr>
        <w:t> </w:t>
      </w:r>
      <w:r>
        <w:rPr>
          <w:sz w:val="16"/>
          <w:vertAlign w:val="baseline"/>
        </w:rPr>
        <w:t>diciembre</w:t>
      </w:r>
      <w:r>
        <w:rPr>
          <w:spacing w:val="-8"/>
          <w:sz w:val="16"/>
          <w:vertAlign w:val="baseline"/>
        </w:rPr>
        <w:t> </w:t>
      </w:r>
      <w:r>
        <w:rPr>
          <w:sz w:val="16"/>
          <w:vertAlign w:val="baseline"/>
        </w:rPr>
        <w:t>de</w:t>
      </w:r>
      <w:r>
        <w:rPr>
          <w:spacing w:val="-8"/>
          <w:sz w:val="16"/>
          <w:vertAlign w:val="baseline"/>
        </w:rPr>
        <w:t> </w:t>
      </w:r>
      <w:r>
        <w:rPr>
          <w:sz w:val="16"/>
          <w:vertAlign w:val="baseline"/>
        </w:rPr>
        <w:t>1999. Acción de Nulidad interpuesta por la Corporación de Promoción de Exportaciones e Inversiones (CORPEI) contra las Resoluciones</w:t>
      </w:r>
      <w:r>
        <w:rPr>
          <w:spacing w:val="16"/>
          <w:sz w:val="16"/>
          <w:vertAlign w:val="baseline"/>
        </w:rPr>
        <w:t> </w:t>
      </w:r>
      <w:r>
        <w:rPr>
          <w:sz w:val="16"/>
          <w:vertAlign w:val="baseline"/>
        </w:rPr>
        <w:t>N°</w:t>
      </w:r>
      <w:r>
        <w:rPr>
          <w:spacing w:val="16"/>
          <w:sz w:val="16"/>
          <w:vertAlign w:val="baseline"/>
        </w:rPr>
        <w:t> </w:t>
      </w:r>
      <w:r>
        <w:rPr>
          <w:sz w:val="16"/>
          <w:vertAlign w:val="baseline"/>
        </w:rPr>
        <w:t>139</w:t>
      </w:r>
      <w:r>
        <w:rPr>
          <w:spacing w:val="15"/>
          <w:sz w:val="16"/>
          <w:vertAlign w:val="baseline"/>
        </w:rPr>
        <w:t> </w:t>
      </w:r>
      <w:r>
        <w:rPr>
          <w:sz w:val="16"/>
          <w:vertAlign w:val="baseline"/>
        </w:rPr>
        <w:t>del</w:t>
      </w:r>
      <w:r>
        <w:rPr>
          <w:spacing w:val="16"/>
          <w:sz w:val="16"/>
          <w:vertAlign w:val="baseline"/>
        </w:rPr>
        <w:t> </w:t>
      </w:r>
      <w:r>
        <w:rPr>
          <w:sz w:val="16"/>
          <w:vertAlign w:val="baseline"/>
        </w:rPr>
        <w:t>14</w:t>
      </w:r>
      <w:r>
        <w:rPr>
          <w:spacing w:val="15"/>
          <w:sz w:val="16"/>
          <w:vertAlign w:val="baseline"/>
        </w:rPr>
        <w:t> </w:t>
      </w:r>
      <w:r>
        <w:rPr>
          <w:sz w:val="16"/>
          <w:vertAlign w:val="baseline"/>
        </w:rPr>
        <w:t>de</w:t>
      </w:r>
      <w:r>
        <w:rPr>
          <w:spacing w:val="15"/>
          <w:sz w:val="16"/>
          <w:vertAlign w:val="baseline"/>
        </w:rPr>
        <w:t> </w:t>
      </w:r>
      <w:r>
        <w:rPr>
          <w:sz w:val="16"/>
          <w:vertAlign w:val="baseline"/>
        </w:rPr>
        <w:t>octubre</w:t>
      </w:r>
      <w:r>
        <w:rPr>
          <w:spacing w:val="15"/>
          <w:sz w:val="16"/>
          <w:vertAlign w:val="baseline"/>
        </w:rPr>
        <w:t> </w:t>
      </w:r>
      <w:r>
        <w:rPr>
          <w:sz w:val="16"/>
          <w:vertAlign w:val="baseline"/>
        </w:rPr>
        <w:t>de</w:t>
      </w:r>
      <w:r>
        <w:rPr>
          <w:spacing w:val="15"/>
          <w:sz w:val="16"/>
          <w:vertAlign w:val="baseline"/>
        </w:rPr>
        <w:t> </w:t>
      </w:r>
      <w:r>
        <w:rPr>
          <w:sz w:val="16"/>
          <w:vertAlign w:val="baseline"/>
        </w:rPr>
        <w:t>1998</w:t>
      </w:r>
      <w:r>
        <w:rPr>
          <w:spacing w:val="15"/>
          <w:sz w:val="16"/>
          <w:vertAlign w:val="baseline"/>
        </w:rPr>
        <w:t> </w:t>
      </w:r>
      <w:r>
        <w:rPr>
          <w:sz w:val="16"/>
          <w:vertAlign w:val="baseline"/>
        </w:rPr>
        <w:t>y</w:t>
      </w:r>
      <w:r>
        <w:rPr>
          <w:spacing w:val="16"/>
          <w:sz w:val="16"/>
          <w:vertAlign w:val="baseline"/>
        </w:rPr>
        <w:t> </w:t>
      </w:r>
      <w:r>
        <w:rPr>
          <w:sz w:val="16"/>
          <w:vertAlign w:val="baseline"/>
        </w:rPr>
        <w:t>179</w:t>
      </w:r>
      <w:r>
        <w:rPr>
          <w:spacing w:val="15"/>
          <w:sz w:val="16"/>
          <w:vertAlign w:val="baseline"/>
        </w:rPr>
        <w:t> </w:t>
      </w:r>
      <w:r>
        <w:rPr>
          <w:sz w:val="16"/>
          <w:vertAlign w:val="baseline"/>
        </w:rPr>
        <w:t>del</w:t>
      </w:r>
      <w:r>
        <w:rPr>
          <w:spacing w:val="16"/>
          <w:sz w:val="16"/>
          <w:vertAlign w:val="baseline"/>
        </w:rPr>
        <w:t> </w:t>
      </w:r>
      <w:r>
        <w:rPr>
          <w:sz w:val="16"/>
          <w:vertAlign w:val="baseline"/>
        </w:rPr>
        <w:t>14</w:t>
      </w:r>
      <w:r>
        <w:rPr>
          <w:spacing w:val="15"/>
          <w:sz w:val="16"/>
          <w:vertAlign w:val="baseline"/>
        </w:rPr>
        <w:t> </w:t>
      </w:r>
      <w:r>
        <w:rPr>
          <w:sz w:val="16"/>
          <w:vertAlign w:val="baseline"/>
        </w:rPr>
        <w:t>de</w:t>
      </w:r>
      <w:r>
        <w:rPr>
          <w:spacing w:val="13"/>
          <w:sz w:val="16"/>
          <w:vertAlign w:val="baseline"/>
        </w:rPr>
        <w:t> </w:t>
      </w:r>
      <w:r>
        <w:rPr>
          <w:sz w:val="16"/>
          <w:vertAlign w:val="baseline"/>
        </w:rPr>
        <w:t>enero</w:t>
      </w:r>
      <w:r>
        <w:rPr>
          <w:spacing w:val="15"/>
          <w:sz w:val="16"/>
          <w:vertAlign w:val="baseline"/>
        </w:rPr>
        <w:t> </w:t>
      </w:r>
      <w:r>
        <w:rPr>
          <w:sz w:val="16"/>
          <w:vertAlign w:val="baseline"/>
        </w:rPr>
        <w:t>de</w:t>
      </w:r>
      <w:r>
        <w:rPr>
          <w:spacing w:val="15"/>
          <w:sz w:val="16"/>
          <w:vertAlign w:val="baseline"/>
        </w:rPr>
        <w:t> </w:t>
      </w:r>
      <w:r>
        <w:rPr>
          <w:sz w:val="16"/>
          <w:vertAlign w:val="baseline"/>
        </w:rPr>
        <w:t>1999,</w:t>
      </w:r>
      <w:r>
        <w:rPr>
          <w:spacing w:val="16"/>
          <w:sz w:val="16"/>
          <w:vertAlign w:val="baseline"/>
        </w:rPr>
        <w:t> </w:t>
      </w:r>
      <w:r>
        <w:rPr>
          <w:sz w:val="16"/>
          <w:vertAlign w:val="baseline"/>
        </w:rPr>
        <w:t>expedidas</w:t>
      </w:r>
      <w:r>
        <w:rPr>
          <w:spacing w:val="16"/>
          <w:sz w:val="16"/>
          <w:vertAlign w:val="baseline"/>
        </w:rPr>
        <w:t> </w:t>
      </w:r>
      <w:r>
        <w:rPr>
          <w:sz w:val="16"/>
          <w:vertAlign w:val="baseline"/>
        </w:rPr>
        <w:t>por</w:t>
      </w:r>
      <w:r>
        <w:rPr>
          <w:spacing w:val="14"/>
          <w:sz w:val="16"/>
          <w:vertAlign w:val="baseline"/>
        </w:rPr>
        <w:t> </w:t>
      </w:r>
      <w:r>
        <w:rPr>
          <w:sz w:val="16"/>
          <w:vertAlign w:val="baseline"/>
        </w:rPr>
        <w:t>la</w:t>
      </w:r>
      <w:r>
        <w:rPr>
          <w:spacing w:val="14"/>
          <w:sz w:val="16"/>
          <w:vertAlign w:val="baseline"/>
        </w:rPr>
        <w:t> </w:t>
      </w:r>
      <w:r>
        <w:rPr>
          <w:sz w:val="16"/>
          <w:vertAlign w:val="baseline"/>
        </w:rPr>
        <w:t>Secretaría</w:t>
      </w:r>
      <w:r>
        <w:rPr>
          <w:spacing w:val="15"/>
          <w:sz w:val="16"/>
          <w:vertAlign w:val="baseline"/>
        </w:rPr>
        <w:t> </w:t>
      </w:r>
      <w:r>
        <w:rPr>
          <w:sz w:val="16"/>
          <w:vertAlign w:val="baseline"/>
        </w:rPr>
        <w:t>General</w:t>
      </w:r>
      <w:r>
        <w:rPr>
          <w:spacing w:val="16"/>
          <w:sz w:val="16"/>
          <w:vertAlign w:val="baseline"/>
        </w:rPr>
        <w:t> </w:t>
      </w:r>
      <w:r>
        <w:rPr>
          <w:sz w:val="16"/>
          <w:vertAlign w:val="baseline"/>
        </w:rPr>
        <w:t>de</w:t>
      </w:r>
      <w:r>
        <w:rPr>
          <w:spacing w:val="15"/>
          <w:sz w:val="16"/>
          <w:vertAlign w:val="baseline"/>
        </w:rPr>
        <w:t> </w:t>
      </w:r>
      <w:r>
        <w:rPr>
          <w:sz w:val="16"/>
          <w:vertAlign w:val="baseline"/>
        </w:rPr>
        <w:t>la</w:t>
      </w:r>
    </w:p>
    <w:p>
      <w:pPr>
        <w:tabs>
          <w:tab w:pos="9816" w:val="left" w:leader="none"/>
        </w:tabs>
        <w:spacing w:before="0"/>
        <w:ind w:left="160" w:right="0" w:firstLine="0"/>
        <w:jc w:val="both"/>
        <w:rPr>
          <w:sz w:val="16"/>
        </w:rPr>
      </w:pPr>
      <w:r>
        <w:rPr>
          <w:spacing w:val="66"/>
          <w:w w:val="150"/>
          <w:sz w:val="16"/>
          <w:u w:val="single"/>
        </w:rPr>
        <w:t>   </w:t>
      </w:r>
      <w:r>
        <w:rPr>
          <w:sz w:val="16"/>
          <w:u w:val="single"/>
        </w:rPr>
        <w:t>Comunidad </w:t>
      </w:r>
      <w:r>
        <w:rPr>
          <w:spacing w:val="-2"/>
          <w:sz w:val="16"/>
          <w:u w:val="single"/>
        </w:rPr>
        <w:t>Andina.</w:t>
      </w:r>
      <w:r>
        <w:rPr>
          <w:sz w:val="16"/>
          <w:u w:val="single"/>
        </w:rPr>
        <w:tab/>
      </w:r>
    </w:p>
    <w:p>
      <w:pPr>
        <w:spacing w:after="0"/>
        <w:jc w:val="both"/>
        <w:rPr>
          <w:sz w:val="16"/>
        </w:rPr>
        <w:sectPr>
          <w:pgSz w:w="11900" w:h="16850"/>
          <w:pgMar w:header="370" w:footer="597" w:top="1380" w:bottom="780" w:left="992" w:right="283"/>
        </w:sectPr>
      </w:pPr>
    </w:p>
    <w:p>
      <w:pPr>
        <w:pStyle w:val="BodyText"/>
        <w:spacing w:before="156"/>
        <w:rPr>
          <w:sz w:val="24"/>
        </w:rPr>
      </w:pPr>
    </w:p>
    <w:p>
      <w:pPr>
        <w:pStyle w:val="Heading4"/>
        <w:spacing w:line="237" w:lineRule="auto"/>
        <w:ind w:left="2553" w:right="984"/>
        <w:rPr>
          <w:rFonts w:ascii="Arial MT" w:hAnsi="Arial MT"/>
          <w:i w:val="0"/>
          <w:position w:val="8"/>
          <w:sz w:val="16"/>
        </w:rPr>
      </w:pPr>
      <w:r>
        <w:rPr>
          <w:rFonts w:ascii="Arial" w:hAnsi="Arial"/>
        </w:rPr>
        <w:t>impuestos, las tasas son generalmente establecidas para ser pagadas por los usuarios de un servicio determinado y sus tarifas se fijan en proporción o en correspondencia con el costo de tales </w:t>
      </w:r>
      <w:r>
        <w:rPr>
          <w:rFonts w:ascii="Arial" w:hAnsi="Arial"/>
          <w:spacing w:val="-2"/>
        </w:rPr>
        <w:t>servicios.”</w:t>
      </w:r>
      <w:r>
        <w:rPr>
          <w:rFonts w:ascii="Arial MT" w:hAnsi="Arial MT"/>
          <w:i w:val="0"/>
          <w:spacing w:val="-2"/>
          <w:position w:val="8"/>
          <w:sz w:val="16"/>
        </w:rPr>
        <w:t>1</w:t>
      </w:r>
    </w:p>
    <w:p>
      <w:pPr>
        <w:pStyle w:val="BodyText"/>
        <w:spacing w:before="15"/>
        <w:rPr>
          <w:sz w:val="20"/>
        </w:rPr>
      </w:pPr>
      <w:r>
        <w:rPr>
          <w:sz w:val="20"/>
        </w:rPr>
        <mc:AlternateContent>
          <mc:Choice Requires="wps">
            <w:drawing>
              <wp:anchor distT="0" distB="0" distL="0" distR="0" allowOverlap="1" layoutInCell="1" locked="0" behindDoc="1" simplePos="0" relativeHeight="487619072">
                <wp:simplePos x="0" y="0"/>
                <wp:positionH relativeFrom="page">
                  <wp:posOffset>2792602</wp:posOffset>
                </wp:positionH>
                <wp:positionV relativeFrom="paragraph">
                  <wp:posOffset>171014</wp:posOffset>
                </wp:positionV>
                <wp:extent cx="3811270" cy="1270"/>
                <wp:effectExtent l="0" t="0" r="0" b="0"/>
                <wp:wrapTopAndBottom/>
                <wp:docPr id="311" name="Graphic 311"/>
                <wp:cNvGraphicFramePr>
                  <a:graphicFrameLocks/>
                </wp:cNvGraphicFramePr>
                <a:graphic>
                  <a:graphicData uri="http://schemas.microsoft.com/office/word/2010/wordprocessingShape">
                    <wps:wsp>
                      <wps:cNvPr id="311" name="Graphic 311"/>
                      <wps:cNvSpPr/>
                      <wps:spPr>
                        <a:xfrm>
                          <a:off x="0" y="0"/>
                          <a:ext cx="3811270" cy="1270"/>
                        </a:xfrm>
                        <a:custGeom>
                          <a:avLst/>
                          <a:gdLst/>
                          <a:ahLst/>
                          <a:cxnLst/>
                          <a:rect l="l" t="t" r="r" b="b"/>
                          <a:pathLst>
                            <a:path w="3811270" h="0">
                              <a:moveTo>
                                <a:pt x="0" y="0"/>
                              </a:moveTo>
                              <a:lnTo>
                                <a:pt x="3811242" y="0"/>
                              </a:lnTo>
                            </a:path>
                          </a:pathLst>
                        </a:custGeom>
                        <a:ln w="967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19.889999pt;margin-top:13.465674pt;width:300.1pt;height:.1pt;mso-position-horizontal-relative:page;mso-position-vertical-relative:paragraph;z-index:-15697408;mso-wrap-distance-left:0;mso-wrap-distance-right:0" id="docshape229" coordorigin="4398,269" coordsize="6002,0" path="m4398,269l10400,269e" filled="false" stroked="true" strokeweight=".761813pt" strokecolor="#000000">
                <v:path arrowok="t"/>
                <v:stroke dashstyle="solid"/>
                <w10:wrap type="topAndBottom"/>
              </v:shape>
            </w:pict>
          </mc:Fallback>
        </mc:AlternateContent>
      </w:r>
    </w:p>
    <w:p>
      <w:pPr>
        <w:tabs>
          <w:tab w:pos="3777" w:val="left" w:leader="none"/>
          <w:tab w:pos="5778" w:val="left" w:leader="none"/>
          <w:tab w:pos="7469" w:val="left" w:leader="none"/>
          <w:tab w:pos="9390" w:val="left" w:leader="none"/>
        </w:tabs>
        <w:spacing w:line="242" w:lineRule="auto" w:before="0"/>
        <w:ind w:left="2553" w:right="982" w:firstLine="0"/>
        <w:jc w:val="both"/>
        <w:rPr>
          <w:position w:val="6"/>
          <w:sz w:val="12"/>
        </w:rPr>
      </w:pPr>
      <w:r>
        <w:rPr>
          <w:position w:val="8"/>
          <w:sz w:val="16"/>
        </w:rPr>
        <w:t>1</w:t>
      </w:r>
      <w:r>
        <w:rPr>
          <w:spacing w:val="-4"/>
          <w:position w:val="8"/>
          <w:sz w:val="16"/>
        </w:rPr>
        <w:t> </w:t>
      </w:r>
      <w:r>
        <w:rPr>
          <w:sz w:val="18"/>
        </w:rPr>
        <w:t>Proceso</w:t>
      </w:r>
      <w:r>
        <w:rPr>
          <w:spacing w:val="-5"/>
          <w:sz w:val="18"/>
        </w:rPr>
        <w:t> </w:t>
      </w:r>
      <w:r>
        <w:rPr>
          <w:sz w:val="18"/>
        </w:rPr>
        <w:t>12-AN-99.-</w:t>
      </w:r>
      <w:r>
        <w:rPr>
          <w:spacing w:val="-5"/>
          <w:sz w:val="18"/>
        </w:rPr>
        <w:t> </w:t>
      </w:r>
      <w:r>
        <w:rPr>
          <w:sz w:val="18"/>
        </w:rPr>
        <w:t>Acción</w:t>
      </w:r>
      <w:r>
        <w:rPr>
          <w:spacing w:val="-6"/>
          <w:sz w:val="18"/>
        </w:rPr>
        <w:t> </w:t>
      </w:r>
      <w:r>
        <w:rPr>
          <w:sz w:val="18"/>
        </w:rPr>
        <w:t>de</w:t>
      </w:r>
      <w:r>
        <w:rPr>
          <w:spacing w:val="-5"/>
          <w:sz w:val="18"/>
        </w:rPr>
        <w:t> </w:t>
      </w:r>
      <w:r>
        <w:rPr>
          <w:sz w:val="18"/>
        </w:rPr>
        <w:t>Nulidad</w:t>
      </w:r>
      <w:r>
        <w:rPr>
          <w:spacing w:val="-5"/>
          <w:sz w:val="18"/>
        </w:rPr>
        <w:t> </w:t>
      </w:r>
      <w:r>
        <w:rPr>
          <w:sz w:val="18"/>
        </w:rPr>
        <w:t>interpuesta</w:t>
      </w:r>
      <w:r>
        <w:rPr>
          <w:spacing w:val="-5"/>
          <w:sz w:val="18"/>
        </w:rPr>
        <w:t> </w:t>
      </w:r>
      <w:r>
        <w:rPr>
          <w:sz w:val="18"/>
        </w:rPr>
        <w:t>por</w:t>
      </w:r>
      <w:r>
        <w:rPr>
          <w:spacing w:val="-7"/>
          <w:sz w:val="18"/>
        </w:rPr>
        <w:t> </w:t>
      </w:r>
      <w:r>
        <w:rPr>
          <w:sz w:val="18"/>
        </w:rPr>
        <w:t>la</w:t>
      </w:r>
      <w:r>
        <w:rPr>
          <w:spacing w:val="-6"/>
          <w:sz w:val="18"/>
        </w:rPr>
        <w:t> </w:t>
      </w:r>
      <w:r>
        <w:rPr>
          <w:sz w:val="18"/>
        </w:rPr>
        <w:t>Corporación</w:t>
      </w:r>
      <w:r>
        <w:rPr>
          <w:spacing w:val="-6"/>
          <w:sz w:val="18"/>
        </w:rPr>
        <w:t> </w:t>
      </w:r>
      <w:r>
        <w:rPr>
          <w:sz w:val="18"/>
        </w:rPr>
        <w:t>de</w:t>
      </w:r>
      <w:r>
        <w:rPr>
          <w:spacing w:val="-5"/>
          <w:sz w:val="18"/>
        </w:rPr>
        <w:t> </w:t>
      </w:r>
      <w:r>
        <w:rPr>
          <w:sz w:val="18"/>
        </w:rPr>
        <w:t>Promoción</w:t>
      </w:r>
      <w:r>
        <w:rPr>
          <w:spacing w:val="-5"/>
          <w:sz w:val="18"/>
        </w:rPr>
        <w:t> </w:t>
      </w:r>
      <w:r>
        <w:rPr>
          <w:sz w:val="18"/>
        </w:rPr>
        <w:t>de Exportaciones e Inversiones (CORPEI) contra las Resoluciones Nos. 139 del 14 de octubre de 1998 y</w:t>
      </w:r>
      <w:r>
        <w:rPr>
          <w:spacing w:val="-1"/>
          <w:sz w:val="18"/>
        </w:rPr>
        <w:t> </w:t>
      </w:r>
      <w:r>
        <w:rPr>
          <w:sz w:val="18"/>
        </w:rPr>
        <w:t>179 del 14</w:t>
      </w:r>
      <w:r>
        <w:rPr>
          <w:spacing w:val="-2"/>
          <w:sz w:val="18"/>
        </w:rPr>
        <w:t> </w:t>
      </w:r>
      <w:r>
        <w:rPr>
          <w:sz w:val="18"/>
        </w:rPr>
        <w:t>de enero de 1999, expedidas</w:t>
      </w:r>
      <w:r>
        <w:rPr>
          <w:spacing w:val="-1"/>
          <w:sz w:val="18"/>
        </w:rPr>
        <w:t> </w:t>
      </w:r>
      <w:r>
        <w:rPr>
          <w:sz w:val="18"/>
        </w:rPr>
        <w:t>por la Secretaría General de </w:t>
      </w:r>
      <w:r>
        <w:rPr>
          <w:spacing w:val="-6"/>
          <w:sz w:val="18"/>
        </w:rPr>
        <w:t>la</w:t>
      </w:r>
      <w:r>
        <w:rPr>
          <w:sz w:val="18"/>
        </w:rPr>
        <w:tab/>
      </w:r>
      <w:r>
        <w:rPr>
          <w:spacing w:val="-2"/>
          <w:sz w:val="18"/>
        </w:rPr>
        <w:t>Comunidad</w:t>
      </w:r>
      <w:r>
        <w:rPr>
          <w:sz w:val="18"/>
        </w:rPr>
        <w:tab/>
      </w:r>
      <w:r>
        <w:rPr>
          <w:spacing w:val="-2"/>
          <w:sz w:val="18"/>
        </w:rPr>
        <w:t>Andina.</w:t>
      </w:r>
      <w:r>
        <w:rPr>
          <w:sz w:val="18"/>
        </w:rPr>
        <w:tab/>
      </w:r>
      <w:r>
        <w:rPr>
          <w:spacing w:val="-2"/>
          <w:sz w:val="18"/>
        </w:rPr>
        <w:t>Disponible</w:t>
      </w:r>
      <w:r>
        <w:rPr>
          <w:sz w:val="18"/>
        </w:rPr>
        <w:tab/>
      </w:r>
      <w:r>
        <w:rPr>
          <w:spacing w:val="-4"/>
          <w:sz w:val="18"/>
        </w:rPr>
        <w:t>en</w:t>
      </w:r>
      <w:r>
        <w:rPr>
          <w:spacing w:val="-4"/>
          <w:sz w:val="18"/>
        </w:rPr>
        <w:t>:</w:t>
      </w:r>
      <w:r>
        <w:rPr>
          <w:spacing w:val="-4"/>
          <w:sz w:val="18"/>
        </w:rPr>
        <w:t> </w:t>
      </w:r>
      <w:hyperlink r:id="rId46">
        <w:r>
          <w:rPr>
            <w:spacing w:val="-2"/>
            <w:sz w:val="18"/>
          </w:rPr>
          <w:t>https://www.comunidadandina.org/DocOficialesFiles/Gacetas/gace520.pdf</w:t>
        </w:r>
      </w:hyperlink>
      <w:r>
        <w:rPr>
          <w:spacing w:val="-2"/>
          <w:sz w:val="18"/>
        </w:rPr>
        <w:t>”</w:t>
      </w:r>
      <w:hyperlink w:history="true" w:anchor="_bookmark50">
        <w:r>
          <w:rPr>
            <w:spacing w:val="-2"/>
            <w:position w:val="6"/>
            <w:sz w:val="12"/>
          </w:rPr>
          <w:t>8</w:t>
        </w:r>
      </w:hyperlink>
    </w:p>
    <w:p>
      <w:pPr>
        <w:pStyle w:val="BodyText"/>
        <w:spacing w:before="66"/>
        <w:rPr>
          <w:sz w:val="18"/>
        </w:rPr>
      </w:pPr>
    </w:p>
    <w:p>
      <w:pPr>
        <w:pStyle w:val="Heading3"/>
        <w:numPr>
          <w:ilvl w:val="0"/>
          <w:numId w:val="11"/>
        </w:numPr>
        <w:tabs>
          <w:tab w:pos="1130" w:val="left" w:leader="none"/>
          <w:tab w:pos="1134" w:val="left" w:leader="none"/>
        </w:tabs>
        <w:spacing w:line="240" w:lineRule="auto" w:before="0" w:after="0"/>
        <w:ind w:left="1134" w:right="984" w:hanging="567"/>
        <w:jc w:val="both"/>
      </w:pPr>
      <w:r>
        <w:rPr/>
        <w:t>Asimismo, la República de Colombia hizo referencia a lo señalado en la Resolución 1999</w:t>
      </w:r>
      <w:hyperlink w:history="true" w:anchor="_bookmark51">
        <w:r>
          <w:rPr>
            <w:position w:val="8"/>
            <w:sz w:val="14"/>
          </w:rPr>
          <w:t>9</w:t>
        </w:r>
      </w:hyperlink>
      <w:r>
        <w:rPr>
          <w:spacing w:val="40"/>
          <w:position w:val="8"/>
          <w:sz w:val="14"/>
        </w:rPr>
        <w:t> </w:t>
      </w:r>
      <w:r>
        <w:rPr/>
        <w:t>de la SGCAN, con relación al artículo 73 del Acuerdo de Cartagena, que indica lo siguiente:</w:t>
      </w:r>
    </w:p>
    <w:p>
      <w:pPr>
        <w:pStyle w:val="BodyText"/>
        <w:rPr>
          <w:sz w:val="24"/>
        </w:rPr>
      </w:pPr>
    </w:p>
    <w:p>
      <w:pPr>
        <w:pStyle w:val="Heading4"/>
        <w:ind w:left="2693" w:right="983"/>
        <w:rPr>
          <w:rFonts w:ascii="Arial" w:hAnsi="Arial"/>
        </w:rPr>
      </w:pPr>
      <w:r>
        <w:rPr>
          <w:rFonts w:ascii="Arial" w:hAnsi="Arial"/>
        </w:rPr>
        <w:t>“[24]</w:t>
      </w:r>
      <w:r>
        <w:rPr>
          <w:rFonts w:ascii="Arial" w:hAnsi="Arial"/>
          <w:spacing w:val="-17"/>
        </w:rPr>
        <w:t> </w:t>
      </w:r>
      <w:r>
        <w:rPr>
          <w:rFonts w:ascii="Arial" w:hAnsi="Arial"/>
        </w:rPr>
        <w:t>Por</w:t>
      </w:r>
      <w:r>
        <w:rPr>
          <w:rFonts w:ascii="Arial" w:hAnsi="Arial"/>
          <w:spacing w:val="-16"/>
        </w:rPr>
        <w:t> </w:t>
      </w:r>
      <w:r>
        <w:rPr>
          <w:rFonts w:ascii="Arial" w:hAnsi="Arial"/>
        </w:rPr>
        <w:t>lo</w:t>
      </w:r>
      <w:r>
        <w:rPr>
          <w:rFonts w:ascii="Arial" w:hAnsi="Arial"/>
          <w:spacing w:val="-17"/>
        </w:rPr>
        <w:t> </w:t>
      </w:r>
      <w:r>
        <w:rPr>
          <w:rFonts w:ascii="Arial" w:hAnsi="Arial"/>
        </w:rPr>
        <w:t>tanto,</w:t>
      </w:r>
      <w:r>
        <w:rPr>
          <w:rFonts w:ascii="Arial" w:hAnsi="Arial"/>
          <w:spacing w:val="-16"/>
        </w:rPr>
        <w:t> </w:t>
      </w:r>
      <w:r>
        <w:rPr>
          <w:rFonts w:ascii="Arial" w:hAnsi="Arial"/>
        </w:rPr>
        <w:t>la</w:t>
      </w:r>
      <w:r>
        <w:rPr>
          <w:rFonts w:ascii="Arial" w:hAnsi="Arial"/>
          <w:spacing w:val="-17"/>
        </w:rPr>
        <w:t> </w:t>
      </w:r>
      <w:r>
        <w:rPr>
          <w:rFonts w:ascii="Arial" w:hAnsi="Arial"/>
        </w:rPr>
        <w:t>tasa</w:t>
      </w:r>
      <w:r>
        <w:rPr>
          <w:rFonts w:ascii="Arial" w:hAnsi="Arial"/>
          <w:spacing w:val="-14"/>
        </w:rPr>
        <w:t> </w:t>
      </w:r>
      <w:r>
        <w:rPr>
          <w:rFonts w:ascii="Arial" w:hAnsi="Arial"/>
        </w:rPr>
        <w:t>debe</w:t>
      </w:r>
      <w:r>
        <w:rPr>
          <w:rFonts w:ascii="Arial" w:hAnsi="Arial"/>
          <w:spacing w:val="-16"/>
        </w:rPr>
        <w:t> </w:t>
      </w:r>
      <w:r>
        <w:rPr>
          <w:rFonts w:ascii="Arial" w:hAnsi="Arial"/>
        </w:rPr>
        <w:t>corresponder</w:t>
      </w:r>
      <w:r>
        <w:rPr>
          <w:rFonts w:ascii="Arial" w:hAnsi="Arial"/>
          <w:spacing w:val="-16"/>
        </w:rPr>
        <w:t> </w:t>
      </w:r>
      <w:r>
        <w:rPr>
          <w:rFonts w:ascii="Arial" w:hAnsi="Arial"/>
        </w:rPr>
        <w:t>al</w:t>
      </w:r>
      <w:r>
        <w:rPr>
          <w:rFonts w:ascii="Arial" w:hAnsi="Arial"/>
          <w:spacing w:val="-17"/>
        </w:rPr>
        <w:t> </w:t>
      </w:r>
      <w:r>
        <w:rPr>
          <w:rFonts w:ascii="Arial" w:hAnsi="Arial"/>
        </w:rPr>
        <w:t>pago</w:t>
      </w:r>
      <w:r>
        <w:rPr>
          <w:rFonts w:ascii="Arial" w:hAnsi="Arial"/>
          <w:spacing w:val="-16"/>
        </w:rPr>
        <w:t> </w:t>
      </w:r>
      <w:r>
        <w:rPr>
          <w:rFonts w:ascii="Arial" w:hAnsi="Arial"/>
        </w:rPr>
        <w:t>de</w:t>
      </w:r>
      <w:r>
        <w:rPr>
          <w:rFonts w:ascii="Arial" w:hAnsi="Arial"/>
          <w:spacing w:val="-16"/>
        </w:rPr>
        <w:t> </w:t>
      </w:r>
      <w:r>
        <w:rPr>
          <w:rFonts w:ascii="Arial" w:hAnsi="Arial"/>
        </w:rPr>
        <w:t>un</w:t>
      </w:r>
      <w:r>
        <w:rPr>
          <w:rFonts w:ascii="Arial" w:hAnsi="Arial"/>
          <w:spacing w:val="-16"/>
        </w:rPr>
        <w:t> </w:t>
      </w:r>
      <w:r>
        <w:rPr>
          <w:rFonts w:ascii="Arial" w:hAnsi="Arial"/>
        </w:rPr>
        <w:t>servicio directo y únicamente vinculado a la operación de importación. Mientras la República del Ecuador no demuestre que el cobro realizado a las importaciones de bienes colombianos es proporcional</w:t>
      </w:r>
      <w:r>
        <w:rPr>
          <w:rFonts w:ascii="Arial" w:hAnsi="Arial"/>
          <w:spacing w:val="-10"/>
        </w:rPr>
        <w:t> </w:t>
      </w:r>
      <w:r>
        <w:rPr>
          <w:rFonts w:ascii="Arial" w:hAnsi="Arial"/>
        </w:rPr>
        <w:t>al</w:t>
      </w:r>
      <w:r>
        <w:rPr>
          <w:rFonts w:ascii="Arial" w:hAnsi="Arial"/>
          <w:spacing w:val="-10"/>
        </w:rPr>
        <w:t> </w:t>
      </w:r>
      <w:r>
        <w:rPr>
          <w:rFonts w:ascii="Arial" w:hAnsi="Arial"/>
        </w:rPr>
        <w:t>costo</w:t>
      </w:r>
      <w:r>
        <w:rPr>
          <w:rFonts w:ascii="Arial" w:hAnsi="Arial"/>
          <w:spacing w:val="-11"/>
        </w:rPr>
        <w:t> </w:t>
      </w:r>
      <w:r>
        <w:rPr>
          <w:rFonts w:ascii="Arial" w:hAnsi="Arial"/>
        </w:rPr>
        <w:t>de</w:t>
      </w:r>
      <w:r>
        <w:rPr>
          <w:rFonts w:ascii="Arial" w:hAnsi="Arial"/>
          <w:spacing w:val="-9"/>
        </w:rPr>
        <w:t> </w:t>
      </w:r>
      <w:r>
        <w:rPr>
          <w:rFonts w:ascii="Arial" w:hAnsi="Arial"/>
        </w:rPr>
        <w:t>los</w:t>
      </w:r>
      <w:r>
        <w:rPr>
          <w:rFonts w:ascii="Arial" w:hAnsi="Arial"/>
          <w:spacing w:val="-9"/>
        </w:rPr>
        <w:t> </w:t>
      </w:r>
      <w:r>
        <w:rPr>
          <w:rFonts w:ascii="Arial" w:hAnsi="Arial"/>
        </w:rPr>
        <w:t>supuestos</w:t>
      </w:r>
      <w:r>
        <w:rPr>
          <w:rFonts w:ascii="Arial" w:hAnsi="Arial"/>
          <w:spacing w:val="-10"/>
        </w:rPr>
        <w:t> </w:t>
      </w:r>
      <w:r>
        <w:rPr>
          <w:rFonts w:ascii="Arial" w:hAnsi="Arial"/>
        </w:rPr>
        <w:t>servicios</w:t>
      </w:r>
      <w:r>
        <w:rPr>
          <w:rFonts w:ascii="Arial" w:hAnsi="Arial"/>
          <w:spacing w:val="-9"/>
        </w:rPr>
        <w:t> </w:t>
      </w:r>
      <w:r>
        <w:rPr>
          <w:rFonts w:ascii="Arial" w:hAnsi="Arial"/>
        </w:rPr>
        <w:t>prestados</w:t>
      </w:r>
      <w:r>
        <w:rPr>
          <w:rFonts w:ascii="Arial" w:hAnsi="Arial"/>
          <w:spacing w:val="-12"/>
        </w:rPr>
        <w:t> </w:t>
      </w:r>
      <w:r>
        <w:rPr>
          <w:rFonts w:ascii="Arial" w:hAnsi="Arial"/>
        </w:rPr>
        <w:t>a</w:t>
      </w:r>
      <w:r>
        <w:rPr>
          <w:rFonts w:ascii="Arial" w:hAnsi="Arial"/>
          <w:spacing w:val="-9"/>
        </w:rPr>
        <w:t> </w:t>
      </w:r>
      <w:r>
        <w:rPr>
          <w:rFonts w:ascii="Arial" w:hAnsi="Arial"/>
        </w:rPr>
        <w:t>cada una de dichas importaciones, existirá un gravamen en los términos del artículo 73 del AC.</w:t>
      </w:r>
    </w:p>
    <w:p>
      <w:pPr>
        <w:spacing w:before="1"/>
        <w:ind w:left="2693" w:right="979" w:firstLine="0"/>
        <w:jc w:val="both"/>
        <w:rPr>
          <w:rFonts w:ascii="Arial" w:hAnsi="Arial"/>
          <w:i/>
          <w:sz w:val="24"/>
        </w:rPr>
      </w:pPr>
      <w:r>
        <w:rPr>
          <w:rFonts w:ascii="Arial" w:hAnsi="Arial"/>
          <w:i/>
          <w:sz w:val="24"/>
        </w:rPr>
        <w:t>[25] Esta premisa la estableció la SGCAN a través de la Resolución</w:t>
      </w:r>
      <w:r>
        <w:rPr>
          <w:rFonts w:ascii="Arial" w:hAnsi="Arial"/>
          <w:i/>
          <w:spacing w:val="-10"/>
          <w:sz w:val="24"/>
        </w:rPr>
        <w:t> </w:t>
      </w:r>
      <w:r>
        <w:rPr>
          <w:rFonts w:ascii="Arial" w:hAnsi="Arial"/>
          <w:i/>
          <w:sz w:val="24"/>
        </w:rPr>
        <w:t>1999</w:t>
      </w:r>
      <w:r>
        <w:rPr>
          <w:rFonts w:ascii="Arial" w:hAnsi="Arial"/>
          <w:i/>
          <w:spacing w:val="-10"/>
          <w:sz w:val="24"/>
        </w:rPr>
        <w:t> </w:t>
      </w:r>
      <w:r>
        <w:rPr>
          <w:rFonts w:ascii="Arial" w:hAnsi="Arial"/>
          <w:i/>
          <w:sz w:val="24"/>
        </w:rPr>
        <w:t>de</w:t>
      </w:r>
      <w:r>
        <w:rPr>
          <w:rFonts w:ascii="Arial" w:hAnsi="Arial"/>
          <w:i/>
          <w:spacing w:val="-10"/>
          <w:sz w:val="24"/>
        </w:rPr>
        <w:t> </w:t>
      </w:r>
      <w:r>
        <w:rPr>
          <w:rFonts w:ascii="Arial" w:hAnsi="Arial"/>
          <w:i/>
          <w:sz w:val="24"/>
        </w:rPr>
        <w:t>2018,</w:t>
      </w:r>
      <w:r>
        <w:rPr>
          <w:rFonts w:ascii="Arial" w:hAnsi="Arial"/>
          <w:i/>
          <w:spacing w:val="-11"/>
          <w:sz w:val="24"/>
        </w:rPr>
        <w:t> </w:t>
      </w:r>
      <w:r>
        <w:rPr>
          <w:rFonts w:ascii="Arial" w:hAnsi="Arial"/>
          <w:i/>
          <w:sz w:val="24"/>
        </w:rPr>
        <w:t>cuando</w:t>
      </w:r>
      <w:r>
        <w:rPr>
          <w:rFonts w:ascii="Arial" w:hAnsi="Arial"/>
          <w:i/>
          <w:spacing w:val="-10"/>
          <w:sz w:val="24"/>
        </w:rPr>
        <w:t> </w:t>
      </w:r>
      <w:r>
        <w:rPr>
          <w:rFonts w:ascii="Arial" w:hAnsi="Arial"/>
          <w:i/>
          <w:sz w:val="24"/>
        </w:rPr>
        <w:t>analizó</w:t>
      </w:r>
      <w:r>
        <w:rPr>
          <w:rFonts w:ascii="Arial" w:hAnsi="Arial"/>
          <w:i/>
          <w:spacing w:val="-10"/>
          <w:sz w:val="24"/>
        </w:rPr>
        <w:t> </w:t>
      </w:r>
      <w:r>
        <w:rPr>
          <w:rFonts w:ascii="Arial" w:hAnsi="Arial"/>
          <w:i/>
          <w:sz w:val="24"/>
        </w:rPr>
        <w:t>una</w:t>
      </w:r>
      <w:r>
        <w:rPr>
          <w:rFonts w:ascii="Arial" w:hAnsi="Arial"/>
          <w:i/>
          <w:spacing w:val="-8"/>
          <w:sz w:val="24"/>
        </w:rPr>
        <w:t> </w:t>
      </w:r>
      <w:r>
        <w:rPr>
          <w:rFonts w:ascii="Arial" w:hAnsi="Arial"/>
          <w:i/>
          <w:sz w:val="24"/>
        </w:rPr>
        <w:t>tasa</w:t>
      </w:r>
      <w:r>
        <w:rPr>
          <w:rFonts w:ascii="Arial" w:hAnsi="Arial"/>
          <w:i/>
          <w:spacing w:val="-10"/>
          <w:sz w:val="24"/>
        </w:rPr>
        <w:t> </w:t>
      </w:r>
      <w:r>
        <w:rPr>
          <w:rFonts w:ascii="Arial" w:hAnsi="Arial"/>
          <w:i/>
          <w:sz w:val="24"/>
        </w:rPr>
        <w:t>de</w:t>
      </w:r>
      <w:r>
        <w:rPr>
          <w:rFonts w:ascii="Arial" w:hAnsi="Arial"/>
          <w:i/>
          <w:spacing w:val="-10"/>
          <w:sz w:val="24"/>
        </w:rPr>
        <w:t> </w:t>
      </w:r>
      <w:r>
        <w:rPr>
          <w:rFonts w:ascii="Arial" w:hAnsi="Arial"/>
          <w:i/>
          <w:sz w:val="24"/>
        </w:rPr>
        <w:t>servicio</w:t>
      </w:r>
      <w:r>
        <w:rPr>
          <w:rFonts w:ascii="Arial" w:hAnsi="Arial"/>
          <w:i/>
          <w:spacing w:val="-11"/>
          <w:sz w:val="24"/>
        </w:rPr>
        <w:t> </w:t>
      </w:r>
      <w:r>
        <w:rPr>
          <w:rFonts w:ascii="Arial" w:hAnsi="Arial"/>
          <w:i/>
          <w:sz w:val="24"/>
        </w:rPr>
        <w:t>de control</w:t>
      </w:r>
      <w:r>
        <w:rPr>
          <w:rFonts w:ascii="Arial" w:hAnsi="Arial"/>
          <w:i/>
          <w:spacing w:val="-17"/>
          <w:sz w:val="24"/>
        </w:rPr>
        <w:t> </w:t>
      </w:r>
      <w:r>
        <w:rPr>
          <w:rFonts w:ascii="Arial" w:hAnsi="Arial"/>
          <w:i/>
          <w:sz w:val="24"/>
        </w:rPr>
        <w:t>aduanero</w:t>
      </w:r>
      <w:r>
        <w:rPr>
          <w:rFonts w:ascii="Arial" w:hAnsi="Arial"/>
          <w:i/>
          <w:spacing w:val="-17"/>
          <w:sz w:val="24"/>
        </w:rPr>
        <w:t> </w:t>
      </w:r>
      <w:r>
        <w:rPr>
          <w:rFonts w:ascii="Arial" w:hAnsi="Arial"/>
          <w:i/>
          <w:sz w:val="24"/>
        </w:rPr>
        <w:t>y</w:t>
      </w:r>
      <w:r>
        <w:rPr>
          <w:rFonts w:ascii="Arial" w:hAnsi="Arial"/>
          <w:i/>
          <w:spacing w:val="-16"/>
          <w:sz w:val="24"/>
        </w:rPr>
        <w:t> </w:t>
      </w:r>
      <w:r>
        <w:rPr>
          <w:rFonts w:ascii="Arial" w:hAnsi="Arial"/>
          <w:i/>
          <w:sz w:val="24"/>
        </w:rPr>
        <w:t>concluyó</w:t>
      </w:r>
      <w:r>
        <w:rPr>
          <w:rFonts w:ascii="Arial" w:hAnsi="Arial"/>
          <w:i/>
          <w:spacing w:val="-17"/>
          <w:sz w:val="24"/>
        </w:rPr>
        <w:t> </w:t>
      </w:r>
      <w:r>
        <w:rPr>
          <w:rFonts w:ascii="Arial" w:hAnsi="Arial"/>
          <w:i/>
          <w:sz w:val="24"/>
        </w:rPr>
        <w:t>que</w:t>
      </w:r>
      <w:r>
        <w:rPr>
          <w:rFonts w:ascii="Arial" w:hAnsi="Arial"/>
          <w:i/>
          <w:spacing w:val="-16"/>
          <w:sz w:val="24"/>
        </w:rPr>
        <w:t> </w:t>
      </w:r>
      <w:r>
        <w:rPr>
          <w:rFonts w:ascii="Arial" w:hAnsi="Arial"/>
          <w:i/>
          <w:sz w:val="24"/>
        </w:rPr>
        <w:t>la</w:t>
      </w:r>
      <w:r>
        <w:rPr>
          <w:rFonts w:ascii="Arial" w:hAnsi="Arial"/>
          <w:i/>
          <w:spacing w:val="-17"/>
          <w:sz w:val="24"/>
        </w:rPr>
        <w:t> </w:t>
      </w:r>
      <w:r>
        <w:rPr>
          <w:rFonts w:ascii="Arial" w:hAnsi="Arial"/>
          <w:i/>
          <w:sz w:val="24"/>
        </w:rPr>
        <w:t>misma</w:t>
      </w:r>
      <w:r>
        <w:rPr>
          <w:rFonts w:ascii="Arial" w:hAnsi="Arial"/>
          <w:i/>
          <w:spacing w:val="-15"/>
          <w:sz w:val="24"/>
        </w:rPr>
        <w:t> </w:t>
      </w:r>
      <w:r>
        <w:rPr>
          <w:rFonts w:ascii="Arial" w:hAnsi="Arial"/>
          <w:i/>
          <w:sz w:val="24"/>
        </w:rPr>
        <w:t>constituía</w:t>
      </w:r>
      <w:r>
        <w:rPr>
          <w:rFonts w:ascii="Arial" w:hAnsi="Arial"/>
          <w:i/>
          <w:spacing w:val="-16"/>
          <w:sz w:val="24"/>
        </w:rPr>
        <w:t> </w:t>
      </w:r>
      <w:r>
        <w:rPr>
          <w:rFonts w:ascii="Arial" w:hAnsi="Arial"/>
          <w:i/>
          <w:sz w:val="24"/>
        </w:rPr>
        <w:t>un</w:t>
      </w:r>
      <w:r>
        <w:rPr>
          <w:rFonts w:ascii="Arial" w:hAnsi="Arial"/>
          <w:i/>
          <w:spacing w:val="-16"/>
          <w:sz w:val="24"/>
        </w:rPr>
        <w:t> </w:t>
      </w:r>
      <w:r>
        <w:rPr>
          <w:rFonts w:ascii="Arial" w:hAnsi="Arial"/>
          <w:i/>
          <w:sz w:val="24"/>
        </w:rPr>
        <w:t>gravamen que vulneraba el Programa de Liberación de la Comunidad </w:t>
      </w:r>
      <w:r>
        <w:rPr>
          <w:rFonts w:ascii="Arial" w:hAnsi="Arial"/>
          <w:i/>
          <w:spacing w:val="-2"/>
          <w:sz w:val="24"/>
        </w:rPr>
        <w:t>Andina.”</w:t>
      </w:r>
    </w:p>
    <w:p>
      <w:pPr>
        <w:pStyle w:val="Heading5"/>
        <w:numPr>
          <w:ilvl w:val="0"/>
          <w:numId w:val="10"/>
        </w:numPr>
        <w:tabs>
          <w:tab w:pos="850" w:val="left" w:leader="none"/>
        </w:tabs>
        <w:spacing w:line="240" w:lineRule="auto" w:before="252" w:after="0"/>
        <w:ind w:left="850" w:right="0" w:hanging="282"/>
        <w:jc w:val="left"/>
        <w:rPr>
          <w:rFonts w:ascii="Arial MT" w:hAnsi="Arial MT"/>
          <w:b w:val="0"/>
        </w:rPr>
      </w:pPr>
      <w:r>
        <w:rPr/>
        <w:t>RESPUESTA</w:t>
      </w:r>
      <w:r>
        <w:rPr>
          <w:spacing w:val="-4"/>
        </w:rPr>
        <w:t> </w:t>
      </w:r>
      <w:r>
        <w:rPr/>
        <w:t>DE</w:t>
      </w:r>
      <w:r>
        <w:rPr>
          <w:spacing w:val="-5"/>
        </w:rPr>
        <w:t> </w:t>
      </w:r>
      <w:r>
        <w:rPr/>
        <w:t>LA</w:t>
      </w:r>
      <w:r>
        <w:rPr>
          <w:spacing w:val="-7"/>
        </w:rPr>
        <w:t> </w:t>
      </w:r>
      <w:r>
        <w:rPr/>
        <w:t>REPÚBLICA</w:t>
      </w:r>
      <w:r>
        <w:rPr>
          <w:spacing w:val="-3"/>
        </w:rPr>
        <w:t> </w:t>
      </w:r>
      <w:r>
        <w:rPr/>
        <w:t>DEL</w:t>
      </w:r>
      <w:r>
        <w:rPr>
          <w:spacing w:val="-5"/>
        </w:rPr>
        <w:t> </w:t>
      </w:r>
      <w:r>
        <w:rPr>
          <w:spacing w:val="-2"/>
        </w:rPr>
        <w:t>ECUADOR</w:t>
      </w:r>
    </w:p>
    <w:p>
      <w:pPr>
        <w:pStyle w:val="BodyText"/>
        <w:spacing w:before="240"/>
        <w:rPr>
          <w:rFonts w:ascii="Arial"/>
          <w:b/>
        </w:rPr>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Ante la solicitud presentada por la República de Colombia, el 31 de marzo de 2026, mediante Oficio</w:t>
      </w:r>
      <w:r>
        <w:rPr>
          <w:spacing w:val="40"/>
          <w:sz w:val="22"/>
        </w:rPr>
        <w:t> </w:t>
      </w:r>
      <w:r>
        <w:rPr>
          <w:sz w:val="22"/>
        </w:rPr>
        <w:t>MPCEI-VCE-2026-0039-O la República del Ecuador presentó su respuesta en este procedimiento anexando, entre otros documentos, el </w:t>
      </w:r>
      <w:r>
        <w:rPr>
          <w:rFonts w:ascii="Arial" w:hAnsi="Arial"/>
          <w:i/>
          <w:sz w:val="22"/>
        </w:rPr>
        <w:t>“Informe Técnico – Jurídico Justificativo de la República del Ecuador dentro del Expediente DGCOM/GRAV/001/2026, en respuesta a la solicitud de calificación de Gravamen presentada por la República de Colombia de las Resoluciones: No SENAE-SENAE-2026-0006-RE – SENAE-SENAE-2026-0017-RE y al requerimiento de información formulado</w:t>
      </w:r>
      <w:r>
        <w:rPr>
          <w:rFonts w:ascii="Arial" w:hAnsi="Arial"/>
          <w:i/>
          <w:spacing w:val="-9"/>
          <w:sz w:val="22"/>
        </w:rPr>
        <w:t> </w:t>
      </w:r>
      <w:r>
        <w:rPr>
          <w:rFonts w:ascii="Arial" w:hAnsi="Arial"/>
          <w:i/>
          <w:sz w:val="22"/>
        </w:rPr>
        <w:t>por</w:t>
      </w:r>
      <w:r>
        <w:rPr>
          <w:rFonts w:ascii="Arial" w:hAnsi="Arial"/>
          <w:i/>
          <w:spacing w:val="-10"/>
          <w:sz w:val="22"/>
        </w:rPr>
        <w:t> </w:t>
      </w:r>
      <w:r>
        <w:rPr>
          <w:rFonts w:ascii="Arial" w:hAnsi="Arial"/>
          <w:i/>
          <w:sz w:val="22"/>
        </w:rPr>
        <w:t>la</w:t>
      </w:r>
      <w:r>
        <w:rPr>
          <w:rFonts w:ascii="Arial" w:hAnsi="Arial"/>
          <w:i/>
          <w:spacing w:val="-9"/>
          <w:sz w:val="22"/>
        </w:rPr>
        <w:t> </w:t>
      </w:r>
      <w:r>
        <w:rPr>
          <w:rFonts w:ascii="Arial" w:hAnsi="Arial"/>
          <w:i/>
          <w:sz w:val="22"/>
        </w:rPr>
        <w:t>Secretaría</w:t>
      </w:r>
      <w:r>
        <w:rPr>
          <w:rFonts w:ascii="Arial" w:hAnsi="Arial"/>
          <w:i/>
          <w:spacing w:val="-11"/>
          <w:sz w:val="22"/>
        </w:rPr>
        <w:t> </w:t>
      </w:r>
      <w:r>
        <w:rPr>
          <w:rFonts w:ascii="Arial" w:hAnsi="Arial"/>
          <w:i/>
          <w:sz w:val="22"/>
        </w:rPr>
        <w:t>General</w:t>
      </w:r>
      <w:r>
        <w:rPr>
          <w:rFonts w:ascii="Arial" w:hAnsi="Arial"/>
          <w:i/>
          <w:spacing w:val="-10"/>
          <w:sz w:val="22"/>
        </w:rPr>
        <w:t> </w:t>
      </w:r>
      <w:r>
        <w:rPr>
          <w:rFonts w:ascii="Arial" w:hAnsi="Arial"/>
          <w:i/>
          <w:sz w:val="22"/>
        </w:rPr>
        <w:t>de</w:t>
      </w:r>
      <w:r>
        <w:rPr>
          <w:rFonts w:ascii="Arial" w:hAnsi="Arial"/>
          <w:i/>
          <w:spacing w:val="-9"/>
          <w:sz w:val="22"/>
        </w:rPr>
        <w:t> </w:t>
      </w:r>
      <w:r>
        <w:rPr>
          <w:rFonts w:ascii="Arial" w:hAnsi="Arial"/>
          <w:i/>
          <w:sz w:val="22"/>
        </w:rPr>
        <w:t>la</w:t>
      </w:r>
      <w:r>
        <w:rPr>
          <w:rFonts w:ascii="Arial" w:hAnsi="Arial"/>
          <w:i/>
          <w:spacing w:val="-11"/>
          <w:sz w:val="22"/>
        </w:rPr>
        <w:t> </w:t>
      </w:r>
      <w:r>
        <w:rPr>
          <w:rFonts w:ascii="Arial" w:hAnsi="Arial"/>
          <w:i/>
          <w:sz w:val="22"/>
        </w:rPr>
        <w:t>Comunidad</w:t>
      </w:r>
      <w:r>
        <w:rPr>
          <w:rFonts w:ascii="Arial" w:hAnsi="Arial"/>
          <w:i/>
          <w:spacing w:val="-9"/>
          <w:sz w:val="22"/>
        </w:rPr>
        <w:t> </w:t>
      </w:r>
      <w:r>
        <w:rPr>
          <w:rFonts w:ascii="Arial" w:hAnsi="Arial"/>
          <w:i/>
          <w:sz w:val="22"/>
        </w:rPr>
        <w:t>Andina</w:t>
      </w:r>
      <w:r>
        <w:rPr>
          <w:rFonts w:ascii="Arial" w:hAnsi="Arial"/>
          <w:i/>
          <w:spacing w:val="-6"/>
          <w:sz w:val="22"/>
        </w:rPr>
        <w:t> </w:t>
      </w:r>
      <w:r>
        <w:rPr>
          <w:sz w:val="22"/>
        </w:rPr>
        <w:t>(en</w:t>
      </w:r>
      <w:r>
        <w:rPr>
          <w:spacing w:val="-12"/>
          <w:sz w:val="22"/>
        </w:rPr>
        <w:t> </w:t>
      </w:r>
      <w:r>
        <w:rPr>
          <w:sz w:val="22"/>
        </w:rPr>
        <w:t>adelante</w:t>
      </w:r>
      <w:r>
        <w:rPr>
          <w:spacing w:val="-11"/>
          <w:sz w:val="22"/>
        </w:rPr>
        <w:t> </w:t>
      </w:r>
      <w:r>
        <w:rPr>
          <w:sz w:val="22"/>
        </w:rPr>
        <w:t>el</w:t>
      </w:r>
      <w:r>
        <w:rPr>
          <w:spacing w:val="-10"/>
          <w:sz w:val="22"/>
        </w:rPr>
        <w:t> </w:t>
      </w:r>
      <w:r>
        <w:rPr>
          <w:sz w:val="22"/>
        </w:rPr>
        <w:t>informe</w:t>
      </w:r>
      <w:r>
        <w:rPr>
          <w:spacing w:val="-11"/>
          <w:sz w:val="22"/>
        </w:rPr>
        <w:t> </w:t>
      </w:r>
      <w:r>
        <w:rPr>
          <w:sz w:val="22"/>
        </w:rPr>
        <w:t>de Ecuador)</w:t>
      </w:r>
      <w:r>
        <w:rPr>
          <w:rFonts w:ascii="Arial" w:hAnsi="Arial"/>
          <w:i/>
          <w:sz w:val="22"/>
        </w:rPr>
        <w:t>”</w:t>
      </w:r>
      <w:hyperlink w:history="true" w:anchor="_bookmark52">
        <w:r>
          <w:rPr>
            <w:sz w:val="22"/>
            <w:vertAlign w:val="superscript"/>
          </w:rPr>
          <w:t>10</w:t>
        </w:r>
      </w:hyperlink>
      <w:r>
        <w:rPr>
          <w:rFonts w:ascii="Arial" w:hAnsi="Arial"/>
          <w:i/>
          <w:sz w:val="22"/>
          <w:vertAlign w:val="baseline"/>
        </w:rPr>
        <w:t>, </w:t>
      </w:r>
      <w:r>
        <w:rPr>
          <w:sz w:val="22"/>
          <w:vertAlign w:val="baseline"/>
        </w:rPr>
        <w:t>basándose, principalmente seis (6) argumentos :</w:t>
      </w:r>
    </w:p>
    <w:p>
      <w:pPr>
        <w:pStyle w:val="BodyText"/>
        <w:rPr>
          <w:sz w:val="20"/>
        </w:rPr>
      </w:pPr>
    </w:p>
    <w:p>
      <w:pPr>
        <w:pStyle w:val="BodyText"/>
        <w:rPr>
          <w:sz w:val="20"/>
        </w:rPr>
      </w:pPr>
    </w:p>
    <w:p>
      <w:pPr>
        <w:pStyle w:val="BodyText"/>
        <w:spacing w:before="84"/>
        <w:rPr>
          <w:sz w:val="20"/>
        </w:rPr>
      </w:pPr>
      <w:r>
        <w:rPr>
          <w:sz w:val="20"/>
        </w:rPr>
        <mc:AlternateContent>
          <mc:Choice Requires="wps">
            <w:drawing>
              <wp:anchor distT="0" distB="0" distL="0" distR="0" allowOverlap="1" layoutInCell="1" locked="0" behindDoc="1" simplePos="0" relativeHeight="487619584">
                <wp:simplePos x="0" y="0"/>
                <wp:positionH relativeFrom="page">
                  <wp:posOffset>990904</wp:posOffset>
                </wp:positionH>
                <wp:positionV relativeFrom="paragraph">
                  <wp:posOffset>215016</wp:posOffset>
                </wp:positionV>
                <wp:extent cx="1829435" cy="7620"/>
                <wp:effectExtent l="0" t="0" r="0" b="0"/>
                <wp:wrapTopAndBottom/>
                <wp:docPr id="312" name="Graphic 312"/>
                <wp:cNvGraphicFramePr>
                  <a:graphicFrameLocks/>
                </wp:cNvGraphicFramePr>
                <a:graphic>
                  <a:graphicData uri="http://schemas.microsoft.com/office/word/2010/wordprocessingShape">
                    <wps:wsp>
                      <wps:cNvPr id="312" name="Graphic 312"/>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6.930435pt;width:144.020pt;height:.60004pt;mso-position-horizontal-relative:page;mso-position-vertical-relative:paragraph;z-index:-15696896;mso-wrap-distance-left:0;mso-wrap-distance-right:0" id="docshape230" filled="true" fillcolor="#000000" stroked="false">
                <v:fill type="solid"/>
                <w10:wrap type="topAndBottom"/>
              </v:rect>
            </w:pict>
          </mc:Fallback>
        </mc:AlternateContent>
      </w:r>
    </w:p>
    <w:p>
      <w:pPr>
        <w:spacing w:before="92"/>
        <w:ind w:left="568" w:right="982" w:firstLine="0"/>
        <w:jc w:val="both"/>
        <w:rPr>
          <w:sz w:val="16"/>
        </w:rPr>
      </w:pPr>
      <w:bookmarkStart w:name="_bookmark50" w:id="51"/>
      <w:bookmarkEnd w:id="51"/>
      <w:r>
        <w:rPr/>
      </w:r>
      <w:r>
        <w:rPr>
          <w:sz w:val="16"/>
          <w:vertAlign w:val="superscript"/>
        </w:rPr>
        <w:t>8</w:t>
      </w:r>
      <w:r>
        <w:rPr>
          <w:spacing w:val="-8"/>
          <w:sz w:val="16"/>
          <w:vertAlign w:val="baseline"/>
        </w:rPr>
        <w:t> </w:t>
      </w:r>
      <w:r>
        <w:rPr>
          <w:sz w:val="16"/>
          <w:vertAlign w:val="baseline"/>
        </w:rPr>
        <w:t>República</w:t>
      </w:r>
      <w:r>
        <w:rPr>
          <w:spacing w:val="-8"/>
          <w:sz w:val="16"/>
          <w:vertAlign w:val="baseline"/>
        </w:rPr>
        <w:t> </w:t>
      </w:r>
      <w:r>
        <w:rPr>
          <w:sz w:val="16"/>
          <w:vertAlign w:val="baseline"/>
        </w:rPr>
        <w:t>de</w:t>
      </w:r>
      <w:r>
        <w:rPr>
          <w:spacing w:val="-8"/>
          <w:sz w:val="16"/>
          <w:vertAlign w:val="baseline"/>
        </w:rPr>
        <w:t> </w:t>
      </w:r>
      <w:r>
        <w:rPr>
          <w:sz w:val="16"/>
          <w:vertAlign w:val="baseline"/>
        </w:rPr>
        <w:t>Colombia,</w:t>
      </w:r>
      <w:r>
        <w:rPr>
          <w:spacing w:val="-8"/>
          <w:sz w:val="16"/>
          <w:vertAlign w:val="baseline"/>
        </w:rPr>
        <w:t> </w:t>
      </w:r>
      <w:r>
        <w:rPr>
          <w:sz w:val="16"/>
          <w:vertAlign w:val="baseline"/>
        </w:rPr>
        <w:t>solicitud</w:t>
      </w:r>
      <w:r>
        <w:rPr>
          <w:spacing w:val="-11"/>
          <w:sz w:val="16"/>
          <w:vertAlign w:val="baseline"/>
        </w:rPr>
        <w:t> </w:t>
      </w:r>
      <w:r>
        <w:rPr>
          <w:sz w:val="16"/>
          <w:vertAlign w:val="baseline"/>
        </w:rPr>
        <w:t>de</w:t>
      </w:r>
      <w:r>
        <w:rPr>
          <w:spacing w:val="-8"/>
          <w:sz w:val="16"/>
          <w:vertAlign w:val="baseline"/>
        </w:rPr>
        <w:t> </w:t>
      </w:r>
      <w:r>
        <w:rPr>
          <w:sz w:val="16"/>
          <w:vertAlign w:val="baseline"/>
        </w:rPr>
        <w:t>calificación</w:t>
      </w:r>
      <w:r>
        <w:rPr>
          <w:spacing w:val="-9"/>
          <w:sz w:val="16"/>
          <w:vertAlign w:val="baseline"/>
        </w:rPr>
        <w:t> </w:t>
      </w:r>
      <w:r>
        <w:rPr>
          <w:sz w:val="16"/>
          <w:vertAlign w:val="baseline"/>
        </w:rPr>
        <w:t>como</w:t>
      </w:r>
      <w:r>
        <w:rPr>
          <w:spacing w:val="-8"/>
          <w:sz w:val="16"/>
          <w:vertAlign w:val="baseline"/>
        </w:rPr>
        <w:t> </w:t>
      </w:r>
      <w:r>
        <w:rPr>
          <w:sz w:val="16"/>
          <w:vertAlign w:val="baseline"/>
        </w:rPr>
        <w:t>gravamen</w:t>
      </w:r>
      <w:r>
        <w:rPr>
          <w:spacing w:val="-8"/>
          <w:sz w:val="16"/>
          <w:vertAlign w:val="baseline"/>
        </w:rPr>
        <w:t> </w:t>
      </w:r>
      <w:r>
        <w:rPr>
          <w:sz w:val="16"/>
          <w:vertAlign w:val="baseline"/>
        </w:rPr>
        <w:t>de</w:t>
      </w:r>
      <w:r>
        <w:rPr>
          <w:spacing w:val="-11"/>
          <w:sz w:val="16"/>
          <w:vertAlign w:val="baseline"/>
        </w:rPr>
        <w:t> </w:t>
      </w:r>
      <w:r>
        <w:rPr>
          <w:sz w:val="16"/>
          <w:vertAlign w:val="baseline"/>
        </w:rPr>
        <w:t>la</w:t>
      </w:r>
      <w:r>
        <w:rPr>
          <w:spacing w:val="-8"/>
          <w:sz w:val="16"/>
          <w:vertAlign w:val="baseline"/>
        </w:rPr>
        <w:t> </w:t>
      </w:r>
      <w:r>
        <w:rPr>
          <w:sz w:val="16"/>
          <w:vertAlign w:val="baseline"/>
        </w:rPr>
        <w:t>medida</w:t>
      </w:r>
      <w:r>
        <w:rPr>
          <w:spacing w:val="-9"/>
          <w:sz w:val="16"/>
          <w:vertAlign w:val="baseline"/>
        </w:rPr>
        <w:t> </w:t>
      </w:r>
      <w:r>
        <w:rPr>
          <w:sz w:val="16"/>
          <w:vertAlign w:val="baseline"/>
        </w:rPr>
        <w:t>adoptada</w:t>
      </w:r>
      <w:r>
        <w:rPr>
          <w:spacing w:val="-8"/>
          <w:sz w:val="16"/>
          <w:vertAlign w:val="baseline"/>
        </w:rPr>
        <w:t> </w:t>
      </w:r>
      <w:r>
        <w:rPr>
          <w:sz w:val="16"/>
          <w:vertAlign w:val="baseline"/>
        </w:rPr>
        <w:t>por</w:t>
      </w:r>
      <w:r>
        <w:rPr>
          <w:spacing w:val="-8"/>
          <w:sz w:val="16"/>
          <w:vertAlign w:val="baseline"/>
        </w:rPr>
        <w:t> </w:t>
      </w:r>
      <w:r>
        <w:rPr>
          <w:sz w:val="16"/>
          <w:vertAlign w:val="baseline"/>
        </w:rPr>
        <w:t>la</w:t>
      </w:r>
      <w:r>
        <w:rPr>
          <w:spacing w:val="-8"/>
          <w:sz w:val="16"/>
          <w:vertAlign w:val="baseline"/>
        </w:rPr>
        <w:t> </w:t>
      </w:r>
      <w:r>
        <w:rPr>
          <w:sz w:val="16"/>
          <w:vertAlign w:val="baseline"/>
        </w:rPr>
        <w:t>República</w:t>
      </w:r>
      <w:r>
        <w:rPr>
          <w:spacing w:val="-8"/>
          <w:sz w:val="16"/>
          <w:vertAlign w:val="baseline"/>
        </w:rPr>
        <w:t> </w:t>
      </w:r>
      <w:r>
        <w:rPr>
          <w:sz w:val="16"/>
          <w:vertAlign w:val="baseline"/>
        </w:rPr>
        <w:t>del</w:t>
      </w:r>
      <w:r>
        <w:rPr>
          <w:spacing w:val="-7"/>
          <w:sz w:val="16"/>
          <w:vertAlign w:val="baseline"/>
        </w:rPr>
        <w:t> </w:t>
      </w:r>
      <w:r>
        <w:rPr>
          <w:sz w:val="16"/>
          <w:vertAlign w:val="baseline"/>
        </w:rPr>
        <w:t>Ecuador,</w:t>
      </w:r>
      <w:r>
        <w:rPr>
          <w:spacing w:val="-7"/>
          <w:sz w:val="16"/>
          <w:vertAlign w:val="baseline"/>
        </w:rPr>
        <w:t> </w:t>
      </w:r>
      <w:r>
        <w:rPr>
          <w:sz w:val="16"/>
          <w:vertAlign w:val="baseline"/>
        </w:rPr>
        <w:t>mediante la Resolución número SENAE-SENAE-2026-0006-RE, del 24 de enero de 2026, que entró en vigencia el 6 de febrero de 2026, cit., pp. 10, párrafo [23].</w:t>
      </w:r>
    </w:p>
    <w:p>
      <w:pPr>
        <w:spacing w:line="183" w:lineRule="exact" w:before="0"/>
        <w:ind w:left="568" w:right="0" w:firstLine="0"/>
        <w:jc w:val="both"/>
        <w:rPr>
          <w:sz w:val="16"/>
        </w:rPr>
      </w:pPr>
      <w:bookmarkStart w:name="_bookmark51" w:id="52"/>
      <w:bookmarkEnd w:id="52"/>
      <w:r>
        <w:rPr/>
      </w:r>
      <w:r>
        <w:rPr>
          <w:sz w:val="16"/>
          <w:vertAlign w:val="superscript"/>
        </w:rPr>
        <w:t>9</w:t>
      </w:r>
      <w:r>
        <w:rPr>
          <w:spacing w:val="-4"/>
          <w:sz w:val="16"/>
          <w:vertAlign w:val="baseline"/>
        </w:rPr>
        <w:t> </w:t>
      </w:r>
      <w:bookmarkStart w:name="_bookmark52" w:id="53"/>
      <w:bookmarkEnd w:id="53"/>
      <w:r>
        <w:rPr>
          <w:sz w:val="16"/>
          <w:vertAlign w:val="baseline"/>
        </w:rPr>
        <w:t>R</w:t>
      </w:r>
      <w:r>
        <w:rPr>
          <w:sz w:val="16"/>
          <w:vertAlign w:val="baseline"/>
        </w:rPr>
        <w:t>esolución</w:t>
      </w:r>
      <w:r>
        <w:rPr>
          <w:spacing w:val="-3"/>
          <w:sz w:val="16"/>
          <w:vertAlign w:val="baseline"/>
        </w:rPr>
        <w:t> </w:t>
      </w:r>
      <w:r>
        <w:rPr>
          <w:sz w:val="16"/>
          <w:vertAlign w:val="baseline"/>
        </w:rPr>
        <w:t>1999</w:t>
      </w:r>
      <w:r>
        <w:rPr>
          <w:spacing w:val="-3"/>
          <w:sz w:val="16"/>
          <w:vertAlign w:val="baseline"/>
        </w:rPr>
        <w:t> </w:t>
      </w:r>
      <w:r>
        <w:rPr>
          <w:sz w:val="16"/>
          <w:vertAlign w:val="baseline"/>
        </w:rPr>
        <w:t>de</w:t>
      </w:r>
      <w:r>
        <w:rPr>
          <w:spacing w:val="-6"/>
          <w:sz w:val="16"/>
          <w:vertAlign w:val="baseline"/>
        </w:rPr>
        <w:t> </w:t>
      </w:r>
      <w:r>
        <w:rPr>
          <w:sz w:val="16"/>
          <w:vertAlign w:val="baseline"/>
        </w:rPr>
        <w:t>la</w:t>
      </w:r>
      <w:r>
        <w:rPr>
          <w:spacing w:val="-5"/>
          <w:sz w:val="16"/>
          <w:vertAlign w:val="baseline"/>
        </w:rPr>
        <w:t> </w:t>
      </w:r>
      <w:r>
        <w:rPr>
          <w:sz w:val="16"/>
          <w:vertAlign w:val="baseline"/>
        </w:rPr>
        <w:t>SGCAN,</w:t>
      </w:r>
      <w:r>
        <w:rPr>
          <w:spacing w:val="-3"/>
          <w:sz w:val="16"/>
          <w:vertAlign w:val="baseline"/>
        </w:rPr>
        <w:t> </w:t>
      </w:r>
      <w:r>
        <w:rPr>
          <w:sz w:val="16"/>
          <w:vertAlign w:val="baseline"/>
        </w:rPr>
        <w:t>publicada</w:t>
      </w:r>
      <w:r>
        <w:rPr>
          <w:spacing w:val="-3"/>
          <w:sz w:val="16"/>
          <w:vertAlign w:val="baseline"/>
        </w:rPr>
        <w:t> </w:t>
      </w:r>
      <w:r>
        <w:rPr>
          <w:sz w:val="16"/>
          <w:vertAlign w:val="baseline"/>
        </w:rPr>
        <w:t>en</w:t>
      </w:r>
      <w:r>
        <w:rPr>
          <w:spacing w:val="-5"/>
          <w:sz w:val="16"/>
          <w:vertAlign w:val="baseline"/>
        </w:rPr>
        <w:t> </w:t>
      </w:r>
      <w:r>
        <w:rPr>
          <w:sz w:val="16"/>
          <w:vertAlign w:val="baseline"/>
        </w:rPr>
        <w:t>la</w:t>
      </w:r>
      <w:r>
        <w:rPr>
          <w:spacing w:val="-3"/>
          <w:sz w:val="16"/>
          <w:vertAlign w:val="baseline"/>
        </w:rPr>
        <w:t> </w:t>
      </w:r>
      <w:r>
        <w:rPr>
          <w:sz w:val="16"/>
          <w:vertAlign w:val="baseline"/>
        </w:rPr>
        <w:t>Gaceta</w:t>
      </w:r>
      <w:r>
        <w:rPr>
          <w:spacing w:val="-6"/>
          <w:sz w:val="16"/>
          <w:vertAlign w:val="baseline"/>
        </w:rPr>
        <w:t> </w:t>
      </w:r>
      <w:r>
        <w:rPr>
          <w:sz w:val="16"/>
          <w:vertAlign w:val="baseline"/>
        </w:rPr>
        <w:t>Oficial</w:t>
      </w:r>
      <w:r>
        <w:rPr>
          <w:spacing w:val="-5"/>
          <w:sz w:val="16"/>
          <w:vertAlign w:val="baseline"/>
        </w:rPr>
        <w:t> </w:t>
      </w:r>
      <w:r>
        <w:rPr>
          <w:sz w:val="16"/>
          <w:vertAlign w:val="baseline"/>
        </w:rPr>
        <w:t>del</w:t>
      </w:r>
      <w:r>
        <w:rPr>
          <w:spacing w:val="-5"/>
          <w:sz w:val="16"/>
          <w:vertAlign w:val="baseline"/>
        </w:rPr>
        <w:t> </w:t>
      </w:r>
      <w:r>
        <w:rPr>
          <w:sz w:val="16"/>
          <w:vertAlign w:val="baseline"/>
        </w:rPr>
        <w:t>Acuerdo</w:t>
      </w:r>
      <w:r>
        <w:rPr>
          <w:spacing w:val="-3"/>
          <w:sz w:val="16"/>
          <w:vertAlign w:val="baseline"/>
        </w:rPr>
        <w:t> </w:t>
      </w:r>
      <w:r>
        <w:rPr>
          <w:sz w:val="16"/>
          <w:vertAlign w:val="baseline"/>
        </w:rPr>
        <w:t>de</w:t>
      </w:r>
      <w:r>
        <w:rPr>
          <w:spacing w:val="-3"/>
          <w:sz w:val="16"/>
          <w:vertAlign w:val="baseline"/>
        </w:rPr>
        <w:t> </w:t>
      </w:r>
      <w:r>
        <w:rPr>
          <w:sz w:val="16"/>
          <w:vertAlign w:val="baseline"/>
        </w:rPr>
        <w:t>Cartagena</w:t>
      </w:r>
      <w:r>
        <w:rPr>
          <w:spacing w:val="-3"/>
          <w:sz w:val="16"/>
          <w:vertAlign w:val="baseline"/>
        </w:rPr>
        <w:t> </w:t>
      </w:r>
      <w:r>
        <w:rPr>
          <w:sz w:val="16"/>
          <w:vertAlign w:val="baseline"/>
        </w:rPr>
        <w:t>N°</w:t>
      </w:r>
      <w:r>
        <w:rPr>
          <w:spacing w:val="-5"/>
          <w:sz w:val="16"/>
          <w:vertAlign w:val="baseline"/>
        </w:rPr>
        <w:t> </w:t>
      </w:r>
      <w:r>
        <w:rPr>
          <w:sz w:val="16"/>
          <w:vertAlign w:val="baseline"/>
        </w:rPr>
        <w:t>3276</w:t>
      </w:r>
      <w:r>
        <w:rPr>
          <w:spacing w:val="-3"/>
          <w:sz w:val="16"/>
          <w:vertAlign w:val="baseline"/>
        </w:rPr>
        <w:t> </w:t>
      </w:r>
      <w:r>
        <w:rPr>
          <w:sz w:val="16"/>
          <w:vertAlign w:val="baseline"/>
        </w:rPr>
        <w:t>de</w:t>
      </w:r>
      <w:r>
        <w:rPr>
          <w:spacing w:val="-5"/>
          <w:sz w:val="16"/>
          <w:vertAlign w:val="baseline"/>
        </w:rPr>
        <w:t> </w:t>
      </w:r>
      <w:r>
        <w:rPr>
          <w:sz w:val="16"/>
          <w:vertAlign w:val="baseline"/>
        </w:rPr>
        <w:t>20</w:t>
      </w:r>
      <w:r>
        <w:rPr>
          <w:spacing w:val="-3"/>
          <w:sz w:val="16"/>
          <w:vertAlign w:val="baseline"/>
        </w:rPr>
        <w:t> </w:t>
      </w:r>
      <w:r>
        <w:rPr>
          <w:sz w:val="16"/>
          <w:vertAlign w:val="baseline"/>
        </w:rPr>
        <w:t>de</w:t>
      </w:r>
      <w:r>
        <w:rPr>
          <w:spacing w:val="-3"/>
          <w:sz w:val="16"/>
          <w:vertAlign w:val="baseline"/>
        </w:rPr>
        <w:t> </w:t>
      </w:r>
      <w:r>
        <w:rPr>
          <w:sz w:val="16"/>
          <w:vertAlign w:val="baseline"/>
        </w:rPr>
        <w:t>abril</w:t>
      </w:r>
      <w:r>
        <w:rPr>
          <w:spacing w:val="-3"/>
          <w:sz w:val="16"/>
          <w:vertAlign w:val="baseline"/>
        </w:rPr>
        <w:t> </w:t>
      </w:r>
      <w:r>
        <w:rPr>
          <w:sz w:val="16"/>
          <w:vertAlign w:val="baseline"/>
        </w:rPr>
        <w:t>de</w:t>
      </w:r>
      <w:r>
        <w:rPr>
          <w:spacing w:val="-3"/>
          <w:sz w:val="16"/>
          <w:vertAlign w:val="baseline"/>
        </w:rPr>
        <w:t> </w:t>
      </w:r>
      <w:r>
        <w:rPr>
          <w:spacing w:val="-2"/>
          <w:sz w:val="16"/>
          <w:vertAlign w:val="baseline"/>
        </w:rPr>
        <w:t>2018.</w:t>
      </w:r>
    </w:p>
    <w:p>
      <w:pPr>
        <w:spacing w:line="183" w:lineRule="exact" w:before="0"/>
        <w:ind w:left="568" w:right="0" w:firstLine="0"/>
        <w:jc w:val="both"/>
        <w:rPr>
          <w:sz w:val="16"/>
        </w:rPr>
      </w:pPr>
      <w:r>
        <w:rPr>
          <w:sz w:val="16"/>
          <w:vertAlign w:val="superscript"/>
        </w:rPr>
        <w:t>10</w:t>
      </w:r>
      <w:r>
        <w:rPr>
          <w:spacing w:val="-4"/>
          <w:sz w:val="16"/>
          <w:vertAlign w:val="baseline"/>
        </w:rPr>
        <w:t> </w:t>
      </w:r>
      <w:r>
        <w:rPr>
          <w:sz w:val="16"/>
          <w:vertAlign w:val="baseline"/>
        </w:rPr>
        <w:t>La</w:t>
      </w:r>
      <w:r>
        <w:rPr>
          <w:spacing w:val="-4"/>
          <w:sz w:val="16"/>
          <w:vertAlign w:val="baseline"/>
        </w:rPr>
        <w:t> </w:t>
      </w:r>
      <w:r>
        <w:rPr>
          <w:sz w:val="16"/>
          <w:vertAlign w:val="baseline"/>
        </w:rPr>
        <w:t>República</w:t>
      </w:r>
      <w:r>
        <w:rPr>
          <w:spacing w:val="-7"/>
          <w:sz w:val="16"/>
          <w:vertAlign w:val="baseline"/>
        </w:rPr>
        <w:t> </w:t>
      </w:r>
      <w:r>
        <w:rPr>
          <w:sz w:val="16"/>
          <w:vertAlign w:val="baseline"/>
        </w:rPr>
        <w:t>del</w:t>
      </w:r>
      <w:r>
        <w:rPr>
          <w:spacing w:val="-5"/>
          <w:sz w:val="16"/>
          <w:vertAlign w:val="baseline"/>
        </w:rPr>
        <w:t> </w:t>
      </w:r>
      <w:r>
        <w:rPr>
          <w:sz w:val="16"/>
          <w:vertAlign w:val="baseline"/>
        </w:rPr>
        <w:t>Ecuador</w:t>
      </w:r>
      <w:r>
        <w:rPr>
          <w:spacing w:val="-4"/>
          <w:sz w:val="16"/>
          <w:vertAlign w:val="baseline"/>
        </w:rPr>
        <w:t> </w:t>
      </w:r>
      <w:r>
        <w:rPr>
          <w:sz w:val="16"/>
          <w:vertAlign w:val="baseline"/>
        </w:rPr>
        <w:t>adjunta</w:t>
      </w:r>
      <w:r>
        <w:rPr>
          <w:spacing w:val="-7"/>
          <w:sz w:val="16"/>
          <w:vertAlign w:val="baseline"/>
        </w:rPr>
        <w:t> </w:t>
      </w:r>
      <w:r>
        <w:rPr>
          <w:sz w:val="16"/>
          <w:vertAlign w:val="baseline"/>
        </w:rPr>
        <w:t>a</w:t>
      </w:r>
      <w:r>
        <w:rPr>
          <w:spacing w:val="-6"/>
          <w:sz w:val="16"/>
          <w:vertAlign w:val="baseline"/>
        </w:rPr>
        <w:t> </w:t>
      </w:r>
      <w:r>
        <w:rPr>
          <w:sz w:val="16"/>
          <w:vertAlign w:val="baseline"/>
        </w:rPr>
        <w:t>su</w:t>
      </w:r>
      <w:r>
        <w:rPr>
          <w:spacing w:val="-4"/>
          <w:sz w:val="16"/>
          <w:vertAlign w:val="baseline"/>
        </w:rPr>
        <w:t> </w:t>
      </w:r>
      <w:r>
        <w:rPr>
          <w:sz w:val="16"/>
          <w:vertAlign w:val="baseline"/>
        </w:rPr>
        <w:t>Oficio</w:t>
      </w:r>
      <w:r>
        <w:rPr>
          <w:spacing w:val="-4"/>
          <w:sz w:val="16"/>
          <w:vertAlign w:val="baseline"/>
        </w:rPr>
        <w:t> </w:t>
      </w:r>
      <w:r>
        <w:rPr>
          <w:sz w:val="16"/>
          <w:vertAlign w:val="baseline"/>
        </w:rPr>
        <w:t>N°</w:t>
      </w:r>
      <w:r>
        <w:rPr>
          <w:spacing w:val="-4"/>
          <w:sz w:val="16"/>
          <w:vertAlign w:val="baseline"/>
        </w:rPr>
        <w:t> </w:t>
      </w:r>
      <w:r>
        <w:rPr>
          <w:sz w:val="16"/>
          <w:vertAlign w:val="baseline"/>
        </w:rPr>
        <w:t>MPCEI-VCE-2026-0039</w:t>
      </w:r>
      <w:r>
        <w:rPr>
          <w:spacing w:val="-4"/>
          <w:sz w:val="16"/>
          <w:vertAlign w:val="baseline"/>
        </w:rPr>
        <w:t> </w:t>
      </w:r>
      <w:r>
        <w:rPr>
          <w:sz w:val="16"/>
          <w:vertAlign w:val="baseline"/>
        </w:rPr>
        <w:t>los</w:t>
      </w:r>
      <w:r>
        <w:rPr>
          <w:spacing w:val="-5"/>
          <w:sz w:val="16"/>
          <w:vertAlign w:val="baseline"/>
        </w:rPr>
        <w:t> </w:t>
      </w:r>
      <w:r>
        <w:rPr>
          <w:sz w:val="16"/>
          <w:vertAlign w:val="baseline"/>
        </w:rPr>
        <w:t>siguientes</w:t>
      </w:r>
      <w:r>
        <w:rPr>
          <w:spacing w:val="-5"/>
          <w:sz w:val="16"/>
          <w:vertAlign w:val="baseline"/>
        </w:rPr>
        <w:t> </w:t>
      </w:r>
      <w:r>
        <w:rPr>
          <w:sz w:val="16"/>
          <w:vertAlign w:val="baseline"/>
        </w:rPr>
        <w:t>anexos</w:t>
      </w:r>
      <w:r>
        <w:rPr>
          <w:spacing w:val="-2"/>
          <w:sz w:val="16"/>
          <w:vertAlign w:val="baseline"/>
        </w:rPr>
        <w:t> denominados:</w:t>
      </w:r>
    </w:p>
    <w:p>
      <w:pPr>
        <w:pStyle w:val="ListParagraph"/>
        <w:numPr>
          <w:ilvl w:val="1"/>
          <w:numId w:val="11"/>
        </w:numPr>
        <w:tabs>
          <w:tab w:pos="850" w:val="left" w:leader="none"/>
        </w:tabs>
        <w:spacing w:line="240" w:lineRule="auto" w:before="1" w:after="0"/>
        <w:ind w:left="850" w:right="0" w:hanging="140"/>
        <w:jc w:val="left"/>
        <w:rPr>
          <w:sz w:val="16"/>
        </w:rPr>
      </w:pPr>
      <w:r>
        <w:rPr>
          <w:spacing w:val="-2"/>
          <w:sz w:val="16"/>
        </w:rPr>
        <w:t>“ARCHIVO</w:t>
      </w:r>
      <w:r>
        <w:rPr>
          <w:spacing w:val="22"/>
          <w:sz w:val="16"/>
        </w:rPr>
        <w:t> </w:t>
      </w:r>
      <w:r>
        <w:rPr>
          <w:spacing w:val="-2"/>
          <w:sz w:val="16"/>
        </w:rPr>
        <w:t>UNIFICADO-</w:t>
      </w:r>
      <w:r>
        <w:rPr>
          <w:spacing w:val="-5"/>
          <w:sz w:val="16"/>
        </w:rPr>
        <w:t>1”</w:t>
      </w:r>
    </w:p>
    <w:p>
      <w:pPr>
        <w:pStyle w:val="ListParagraph"/>
        <w:numPr>
          <w:ilvl w:val="1"/>
          <w:numId w:val="11"/>
        </w:numPr>
        <w:tabs>
          <w:tab w:pos="850" w:val="left" w:leader="none"/>
        </w:tabs>
        <w:spacing w:line="183" w:lineRule="exact" w:before="1" w:after="0"/>
        <w:ind w:left="850" w:right="0" w:hanging="140"/>
        <w:jc w:val="left"/>
        <w:rPr>
          <w:sz w:val="14"/>
        </w:rPr>
      </w:pPr>
      <w:r>
        <w:rPr>
          <w:spacing w:val="-2"/>
          <w:sz w:val="16"/>
        </w:rPr>
        <w:t>“notificacion_electronica_informe_tecnico_juridico_senae-senae-2026-0006-re</w:t>
      </w:r>
      <w:r>
        <w:rPr>
          <w:spacing w:val="63"/>
          <w:w w:val="150"/>
          <w:sz w:val="16"/>
        </w:rPr>
        <w:t> </w:t>
      </w:r>
      <w:r>
        <w:rPr>
          <w:spacing w:val="-2"/>
          <w:sz w:val="16"/>
        </w:rPr>
        <w:t>signed0357279001774569649”</w:t>
      </w:r>
    </w:p>
    <w:p>
      <w:pPr>
        <w:pStyle w:val="ListParagraph"/>
        <w:numPr>
          <w:ilvl w:val="1"/>
          <w:numId w:val="11"/>
        </w:numPr>
        <w:tabs>
          <w:tab w:pos="994" w:val="left" w:leader="none"/>
        </w:tabs>
        <w:spacing w:line="240" w:lineRule="auto" w:before="0" w:after="0"/>
        <w:ind w:left="710" w:right="1461" w:firstLine="0"/>
        <w:jc w:val="left"/>
        <w:rPr>
          <w:sz w:val="16"/>
        </w:rPr>
      </w:pPr>
      <w:r>
        <w:rPr>
          <w:spacing w:val="-2"/>
          <w:sz w:val="16"/>
        </w:rPr>
        <w:t>“informe_planificacion_elasticidad” iv)“INFORME_TECNICOJURIDICO_JUSTIFICATIVO_EXPEDIENTE_DGCOMGRAV0012026_SENAE_signed-signed-</w:t>
      </w:r>
    </w:p>
    <w:p>
      <w:pPr>
        <w:spacing w:before="0"/>
        <w:ind w:left="710" w:right="7793" w:firstLine="285"/>
        <w:jc w:val="left"/>
        <w:rPr>
          <w:sz w:val="16"/>
        </w:rPr>
      </w:pPr>
      <w:r>
        <w:rPr>
          <w:spacing w:val="-2"/>
          <w:sz w:val="16"/>
        </w:rPr>
        <w:t>signed-2-signed” v)“MPCEI-VCE-2026-0053-E”</w:t>
      </w:r>
    </w:p>
    <w:p>
      <w:pPr>
        <w:pStyle w:val="ListParagraph"/>
        <w:numPr>
          <w:ilvl w:val="0"/>
          <w:numId w:val="14"/>
        </w:numPr>
        <w:tabs>
          <w:tab w:pos="994" w:val="left" w:leader="none"/>
        </w:tabs>
        <w:spacing w:line="184" w:lineRule="exact" w:before="0" w:after="0"/>
        <w:ind w:left="994" w:right="0" w:hanging="284"/>
        <w:jc w:val="left"/>
        <w:rPr>
          <w:sz w:val="16"/>
        </w:rPr>
      </w:pPr>
      <w:r>
        <w:rPr>
          <w:spacing w:val="-2"/>
          <w:sz w:val="16"/>
        </w:rPr>
        <w:t>“razon_de_certificacion_electronica_senae-senae-2026-0006-re-signed0056853001774569665”</w:t>
      </w:r>
    </w:p>
    <w:p>
      <w:pPr>
        <w:pStyle w:val="ListParagraph"/>
        <w:numPr>
          <w:ilvl w:val="0"/>
          <w:numId w:val="14"/>
        </w:numPr>
        <w:tabs>
          <w:tab w:pos="992" w:val="left" w:leader="none"/>
          <w:tab w:pos="7757" w:val="left" w:leader="none"/>
        </w:tabs>
        <w:spacing w:line="183" w:lineRule="exact" w:before="1" w:after="0"/>
        <w:ind w:left="992" w:right="0" w:hanging="282"/>
        <w:jc w:val="left"/>
        <w:rPr>
          <w:sz w:val="16"/>
        </w:rPr>
      </w:pPr>
      <w:r>
        <w:rPr>
          <w:sz w:val="16"/>
        </w:rPr>
        <w:t>“RESUMEN_NO_CONFIDENCIAL_Informe_INFORME_Nro</w:t>
      </w:r>
      <w:r>
        <w:rPr>
          <w:rFonts w:ascii="Times New Roman" w:hAnsi="Times New Roman"/>
          <w:spacing w:val="76"/>
          <w:w w:val="150"/>
          <w:sz w:val="16"/>
          <w:u w:val="single"/>
        </w:rPr>
        <w:t> </w:t>
      </w:r>
      <w:r>
        <w:rPr>
          <w:spacing w:val="-2"/>
          <w:sz w:val="16"/>
        </w:rPr>
        <w:t>CCFFAAJ2PLPFNA2026050</w:t>
      </w:r>
      <w:r>
        <w:rPr>
          <w:rFonts w:ascii="Times New Roman" w:hAnsi="Times New Roman"/>
          <w:sz w:val="16"/>
          <w:u w:val="single"/>
        </w:rPr>
        <w:tab/>
      </w:r>
      <w:r>
        <w:rPr>
          <w:spacing w:val="-2"/>
          <w:sz w:val="16"/>
        </w:rPr>
        <w:t>signed-signed-signed”</w:t>
      </w:r>
    </w:p>
    <w:p>
      <w:pPr>
        <w:pStyle w:val="ListParagraph"/>
        <w:numPr>
          <w:ilvl w:val="0"/>
          <w:numId w:val="14"/>
        </w:numPr>
        <w:tabs>
          <w:tab w:pos="992" w:val="left" w:leader="none"/>
        </w:tabs>
        <w:spacing w:line="183" w:lineRule="exact" w:before="0" w:after="0"/>
        <w:ind w:left="992" w:right="0" w:hanging="282"/>
        <w:jc w:val="left"/>
        <w:rPr>
          <w:sz w:val="16"/>
        </w:rPr>
      </w:pPr>
      <w:r>
        <w:rPr>
          <w:spacing w:val="-2"/>
          <w:sz w:val="16"/>
        </w:rPr>
        <w:t>“senae-dnc-2026-0057-</w:t>
      </w:r>
      <w:r>
        <w:rPr>
          <w:spacing w:val="-5"/>
          <w:sz w:val="16"/>
        </w:rPr>
        <w:t>e”</w:t>
      </w:r>
    </w:p>
    <w:p>
      <w:pPr>
        <w:tabs>
          <w:tab w:pos="709" w:val="left" w:leader="none"/>
          <w:tab w:pos="9816" w:val="left" w:leader="none"/>
        </w:tabs>
        <w:spacing w:before="1"/>
        <w:ind w:left="160" w:right="0" w:firstLine="0"/>
        <w:jc w:val="left"/>
        <w:rPr>
          <w:sz w:val="16"/>
        </w:rPr>
      </w:pPr>
      <w:r>
        <w:rPr>
          <w:rFonts w:ascii="Times New Roman" w:hAnsi="Times New Roman"/>
          <w:sz w:val="16"/>
          <w:u w:val="single"/>
        </w:rPr>
        <w:tab/>
      </w:r>
      <w:r>
        <w:rPr>
          <w:spacing w:val="-2"/>
          <w:sz w:val="16"/>
          <w:u w:val="single"/>
        </w:rPr>
        <w:t>ix)</w:t>
      </w:r>
      <w:r>
        <w:rPr>
          <w:spacing w:val="29"/>
          <w:sz w:val="16"/>
          <w:u w:val="single"/>
        </w:rPr>
        <w:t> </w:t>
      </w:r>
      <w:r>
        <w:rPr>
          <w:spacing w:val="-2"/>
          <w:sz w:val="16"/>
          <w:u w:val="single"/>
        </w:rPr>
        <w:t>“senae-dnc-2026-0064-</w:t>
      </w:r>
      <w:r>
        <w:rPr>
          <w:spacing w:val="-5"/>
          <w:sz w:val="16"/>
          <w:u w:val="single"/>
        </w:rPr>
        <w:t>of”</w:t>
      </w:r>
      <w:r>
        <w:rPr>
          <w:sz w:val="16"/>
          <w:u w:val="single"/>
        </w:rPr>
        <w:tab/>
      </w:r>
    </w:p>
    <w:p>
      <w:pPr>
        <w:spacing w:after="0"/>
        <w:jc w:val="left"/>
        <w:rPr>
          <w:sz w:val="16"/>
        </w:rPr>
        <w:sectPr>
          <w:pgSz w:w="11900" w:h="16850"/>
          <w:pgMar w:header="370" w:footer="597" w:top="1380" w:bottom="780" w:left="992" w:right="283"/>
        </w:sectPr>
      </w:pPr>
    </w:p>
    <w:p>
      <w:pPr>
        <w:pStyle w:val="BodyText"/>
        <w:spacing w:before="176"/>
      </w:pPr>
    </w:p>
    <w:p>
      <w:pPr>
        <w:pStyle w:val="ListParagraph"/>
        <w:numPr>
          <w:ilvl w:val="1"/>
          <w:numId w:val="14"/>
        </w:numPr>
        <w:tabs>
          <w:tab w:pos="2729" w:val="left" w:leader="none"/>
        </w:tabs>
        <w:spacing w:line="240" w:lineRule="auto" w:before="0" w:after="0"/>
        <w:ind w:left="2729" w:right="975" w:hanging="303"/>
        <w:jc w:val="both"/>
        <w:rPr>
          <w:rFonts w:ascii="Arial" w:hAnsi="Arial"/>
          <w:b/>
          <w:sz w:val="22"/>
        </w:rPr>
      </w:pPr>
      <w:r>
        <w:rPr>
          <w:rFonts w:ascii="Arial" w:hAnsi="Arial"/>
          <w:b/>
          <w:sz w:val="22"/>
        </w:rPr>
        <w:t>naturaleza jurídica: tasa, no gravamen, </w:t>
      </w:r>
      <w:r>
        <w:rPr>
          <w:sz w:val="22"/>
        </w:rPr>
        <w:t>la República del Ecuador sostiene que las Resoluciones </w:t>
      </w:r>
      <w:r>
        <w:rPr>
          <w:rFonts w:ascii="Arial" w:hAnsi="Arial"/>
          <w:b/>
          <w:sz w:val="22"/>
        </w:rPr>
        <w:t>SENAE-SENAE-2026-0006-RE </w:t>
      </w:r>
      <w:r>
        <w:rPr>
          <w:sz w:val="22"/>
        </w:rPr>
        <w:t>y </w:t>
      </w:r>
      <w:r>
        <w:rPr>
          <w:rFonts w:ascii="Arial" w:hAnsi="Arial"/>
          <w:b/>
          <w:sz w:val="22"/>
        </w:rPr>
        <w:t>SENAE-SENAE-2026-0017-RE </w:t>
      </w:r>
      <w:r>
        <w:rPr>
          <w:sz w:val="22"/>
        </w:rPr>
        <w:t>no instituyen</w:t>
      </w:r>
      <w:r>
        <w:rPr>
          <w:spacing w:val="-3"/>
          <w:sz w:val="22"/>
        </w:rPr>
        <w:t> </w:t>
      </w:r>
      <w:r>
        <w:rPr>
          <w:sz w:val="22"/>
        </w:rPr>
        <w:t>un</w:t>
      </w:r>
      <w:r>
        <w:rPr>
          <w:spacing w:val="-3"/>
          <w:sz w:val="22"/>
        </w:rPr>
        <w:t> </w:t>
      </w:r>
      <w:r>
        <w:rPr>
          <w:sz w:val="22"/>
        </w:rPr>
        <w:t>gravamen</w:t>
      </w:r>
      <w:r>
        <w:rPr>
          <w:spacing w:val="-2"/>
          <w:sz w:val="22"/>
        </w:rPr>
        <w:t> </w:t>
      </w:r>
      <w:r>
        <w:rPr>
          <w:sz w:val="22"/>
        </w:rPr>
        <w:t>arancelario encubierto, sino una </w:t>
      </w:r>
      <w:r>
        <w:rPr>
          <w:rFonts w:ascii="Arial" w:hAnsi="Arial"/>
          <w:b/>
          <w:sz w:val="22"/>
        </w:rPr>
        <w:t>tasa por servicio aduanero</w:t>
      </w:r>
      <w:r>
        <w:rPr>
          <w:sz w:val="22"/>
        </w:rPr>
        <w:t>, que se basa en el </w:t>
      </w:r>
      <w:r>
        <w:rPr>
          <w:rFonts w:ascii="Arial" w:hAnsi="Arial"/>
          <w:b/>
          <w:sz w:val="22"/>
        </w:rPr>
        <w:t>artículo</w:t>
      </w:r>
      <w:r>
        <w:rPr>
          <w:rFonts w:ascii="Arial" w:hAnsi="Arial"/>
          <w:b/>
          <w:spacing w:val="-12"/>
          <w:sz w:val="22"/>
        </w:rPr>
        <w:t> </w:t>
      </w:r>
      <w:r>
        <w:rPr>
          <w:rFonts w:ascii="Arial" w:hAnsi="Arial"/>
          <w:b/>
          <w:sz w:val="22"/>
        </w:rPr>
        <w:t>73</w:t>
      </w:r>
      <w:r>
        <w:rPr>
          <w:rFonts w:ascii="Arial" w:hAnsi="Arial"/>
          <w:b/>
          <w:spacing w:val="-15"/>
          <w:sz w:val="22"/>
        </w:rPr>
        <w:t> </w:t>
      </w:r>
      <w:r>
        <w:rPr>
          <w:rFonts w:ascii="Arial" w:hAnsi="Arial"/>
          <w:b/>
          <w:sz w:val="22"/>
        </w:rPr>
        <w:t>del</w:t>
      </w:r>
      <w:r>
        <w:rPr>
          <w:rFonts w:ascii="Arial" w:hAnsi="Arial"/>
          <w:b/>
          <w:spacing w:val="-13"/>
          <w:sz w:val="22"/>
        </w:rPr>
        <w:t> </w:t>
      </w:r>
      <w:r>
        <w:rPr>
          <w:rFonts w:ascii="Arial" w:hAnsi="Arial"/>
          <w:b/>
          <w:sz w:val="22"/>
        </w:rPr>
        <w:t>Acuerdo</w:t>
      </w:r>
      <w:r>
        <w:rPr>
          <w:rFonts w:ascii="Arial" w:hAnsi="Arial"/>
          <w:b/>
          <w:spacing w:val="-15"/>
          <w:sz w:val="22"/>
        </w:rPr>
        <w:t> </w:t>
      </w:r>
      <w:r>
        <w:rPr>
          <w:rFonts w:ascii="Arial" w:hAnsi="Arial"/>
          <w:b/>
          <w:sz w:val="22"/>
        </w:rPr>
        <w:t>de</w:t>
      </w:r>
      <w:r>
        <w:rPr>
          <w:rFonts w:ascii="Arial" w:hAnsi="Arial"/>
          <w:b/>
          <w:spacing w:val="-13"/>
          <w:sz w:val="22"/>
        </w:rPr>
        <w:t> </w:t>
      </w:r>
      <w:r>
        <w:rPr>
          <w:rFonts w:ascii="Arial" w:hAnsi="Arial"/>
          <w:b/>
          <w:sz w:val="22"/>
        </w:rPr>
        <w:t>Cartagena</w:t>
      </w:r>
      <w:r>
        <w:rPr>
          <w:sz w:val="22"/>
        </w:rPr>
        <w:t>,</w:t>
      </w:r>
      <w:r>
        <w:rPr>
          <w:spacing w:val="-11"/>
          <w:sz w:val="22"/>
        </w:rPr>
        <w:t> </w:t>
      </w:r>
      <w:r>
        <w:rPr>
          <w:sz w:val="22"/>
        </w:rPr>
        <w:t>que</w:t>
      </w:r>
      <w:r>
        <w:rPr>
          <w:spacing w:val="-15"/>
          <w:sz w:val="22"/>
        </w:rPr>
        <w:t> </w:t>
      </w:r>
      <w:r>
        <w:rPr>
          <w:sz w:val="22"/>
        </w:rPr>
        <w:t>excluye</w:t>
      </w:r>
      <w:r>
        <w:rPr>
          <w:spacing w:val="-13"/>
          <w:sz w:val="22"/>
        </w:rPr>
        <w:t> </w:t>
      </w:r>
      <w:r>
        <w:rPr>
          <w:sz w:val="22"/>
        </w:rPr>
        <w:t>expresamente</w:t>
      </w:r>
      <w:r>
        <w:rPr>
          <w:spacing w:val="-12"/>
          <w:sz w:val="22"/>
        </w:rPr>
        <w:t> </w:t>
      </w:r>
      <w:r>
        <w:rPr>
          <w:sz w:val="22"/>
        </w:rPr>
        <w:t>del concepto de "gravamen" a las tasas y recargos cuando corresponden al costo aproximado de los servicios prestados.</w:t>
      </w:r>
    </w:p>
    <w:p>
      <w:pPr>
        <w:pStyle w:val="BodyText"/>
        <w:spacing w:before="253"/>
        <w:ind w:left="2729" w:right="955"/>
      </w:pPr>
      <w:r>
        <w:rPr/>
        <w:t>La</w:t>
      </w:r>
      <w:r>
        <w:rPr>
          <w:spacing w:val="40"/>
        </w:rPr>
        <w:t> </w:t>
      </w:r>
      <w:r>
        <w:rPr/>
        <w:t>medida</w:t>
      </w:r>
      <w:r>
        <w:rPr>
          <w:spacing w:val="40"/>
        </w:rPr>
        <w:t> </w:t>
      </w:r>
      <w:r>
        <w:rPr/>
        <w:t>es</w:t>
      </w:r>
      <w:r>
        <w:rPr>
          <w:spacing w:val="40"/>
        </w:rPr>
        <w:t> </w:t>
      </w:r>
      <w:r>
        <w:rPr/>
        <w:t>una</w:t>
      </w:r>
      <w:r>
        <w:rPr>
          <w:spacing w:val="40"/>
        </w:rPr>
        <w:t> </w:t>
      </w:r>
      <w:r>
        <w:rPr/>
        <w:t>contraprestación</w:t>
      </w:r>
      <w:r>
        <w:rPr>
          <w:spacing w:val="40"/>
        </w:rPr>
        <w:t> </w:t>
      </w:r>
      <w:r>
        <w:rPr/>
        <w:t>por</w:t>
      </w:r>
      <w:r>
        <w:rPr>
          <w:spacing w:val="40"/>
        </w:rPr>
        <w:t> </w:t>
      </w:r>
      <w:r>
        <w:rPr/>
        <w:t>un</w:t>
      </w:r>
      <w:r>
        <w:rPr>
          <w:spacing w:val="40"/>
        </w:rPr>
        <w:t> </w:t>
      </w:r>
      <w:r>
        <w:rPr/>
        <w:t>servicio</w:t>
      </w:r>
      <w:r>
        <w:rPr>
          <w:spacing w:val="40"/>
        </w:rPr>
        <w:t> </w:t>
      </w:r>
      <w:r>
        <w:rPr/>
        <w:t>efectivamente prestado, técnica y fiscalmente justificado.</w:t>
      </w:r>
    </w:p>
    <w:p>
      <w:pPr>
        <w:pStyle w:val="BodyText"/>
        <w:spacing w:before="1"/>
      </w:pPr>
    </w:p>
    <w:p>
      <w:pPr>
        <w:pStyle w:val="ListParagraph"/>
        <w:numPr>
          <w:ilvl w:val="1"/>
          <w:numId w:val="14"/>
        </w:numPr>
        <w:tabs>
          <w:tab w:pos="2726" w:val="left" w:leader="none"/>
          <w:tab w:pos="2729" w:val="left" w:leader="none"/>
        </w:tabs>
        <w:spacing w:line="240" w:lineRule="auto" w:before="0" w:after="0"/>
        <w:ind w:left="2729" w:right="975" w:hanging="363"/>
        <w:jc w:val="both"/>
        <w:rPr>
          <w:rFonts w:ascii="Arial" w:hAnsi="Arial"/>
          <w:b/>
          <w:sz w:val="22"/>
        </w:rPr>
      </w:pPr>
      <w:r>
        <w:rPr>
          <w:rFonts w:ascii="Arial" w:hAnsi="Arial"/>
          <w:b/>
          <w:sz w:val="22"/>
        </w:rPr>
        <w:t>prestación efectiva de un servicio reforzado: </w:t>
      </w:r>
      <w:r>
        <w:rPr>
          <w:sz w:val="22"/>
        </w:rPr>
        <w:t>el informe de la República de Ecuador acreditaría que el cobro no es una exacción abstracta, sino que está vinculado a un servicio material de </w:t>
      </w:r>
      <w:r>
        <w:rPr>
          <w:rFonts w:ascii="Arial" w:hAnsi="Arial"/>
          <w:b/>
          <w:sz w:val="22"/>
        </w:rPr>
        <w:t>control y aforo integral </w:t>
      </w:r>
      <w:r>
        <w:rPr>
          <w:sz w:val="22"/>
        </w:rPr>
        <w:t>consistente en:</w:t>
      </w:r>
    </w:p>
    <w:p>
      <w:pPr>
        <w:pStyle w:val="BodyText"/>
      </w:pPr>
    </w:p>
    <w:p>
      <w:pPr>
        <w:pStyle w:val="ListParagraph"/>
        <w:numPr>
          <w:ilvl w:val="2"/>
          <w:numId w:val="14"/>
        </w:numPr>
        <w:tabs>
          <w:tab w:pos="3449" w:val="left" w:leader="none"/>
        </w:tabs>
        <w:spacing w:line="240" w:lineRule="auto" w:before="1" w:after="0"/>
        <w:ind w:left="3449" w:right="977" w:hanging="360"/>
        <w:jc w:val="both"/>
        <w:rPr>
          <w:sz w:val="22"/>
        </w:rPr>
      </w:pPr>
      <w:r>
        <w:rPr>
          <w:rFonts w:ascii="Arial" w:hAnsi="Arial"/>
          <w:b/>
          <w:sz w:val="22"/>
        </w:rPr>
        <w:t>transición del modelo: </w:t>
      </w:r>
      <w:r>
        <w:rPr>
          <w:sz w:val="22"/>
        </w:rPr>
        <w:t>el servicio consiste en pasar de una inspección basada en riesgos que cubría solo el 13% de las declaraciones a un esquema de </w:t>
      </w:r>
      <w:r>
        <w:rPr>
          <w:rFonts w:ascii="Arial" w:hAnsi="Arial"/>
          <w:b/>
          <w:sz w:val="22"/>
        </w:rPr>
        <w:t>aforo total (100%) </w:t>
      </w:r>
      <w:r>
        <w:rPr>
          <w:sz w:val="22"/>
        </w:rPr>
        <w:t>para mercancías de origen colombiano.</w:t>
      </w:r>
    </w:p>
    <w:p>
      <w:pPr>
        <w:pStyle w:val="BodyText"/>
        <w:spacing w:before="251"/>
        <w:ind w:left="3449" w:right="977" w:hanging="360"/>
        <w:jc w:val="both"/>
      </w:pPr>
      <w:r>
        <w:rPr/>
        <w:t>a) </w:t>
      </w:r>
      <w:r>
        <w:rPr>
          <w:rFonts w:ascii="Arial" w:hAnsi="Arial"/>
          <w:b/>
        </w:rPr>
        <w:t>contenido material: </w:t>
      </w:r>
      <w:r>
        <w:rPr/>
        <w:t>el servicio incluye reconocimiento, comprobación</w:t>
      </w:r>
      <w:r>
        <w:rPr>
          <w:spacing w:val="-14"/>
        </w:rPr>
        <w:t> </w:t>
      </w:r>
      <w:r>
        <w:rPr/>
        <w:t>y</w:t>
      </w:r>
      <w:r>
        <w:rPr>
          <w:spacing w:val="-13"/>
        </w:rPr>
        <w:t> </w:t>
      </w:r>
      <w:r>
        <w:rPr/>
        <w:t>aforo</w:t>
      </w:r>
      <w:r>
        <w:rPr>
          <w:spacing w:val="-13"/>
        </w:rPr>
        <w:t> </w:t>
      </w:r>
      <w:r>
        <w:rPr/>
        <w:t>a</w:t>
      </w:r>
      <w:r>
        <w:rPr>
          <w:spacing w:val="-13"/>
        </w:rPr>
        <w:t> </w:t>
      </w:r>
      <w:r>
        <w:rPr/>
        <w:t>través</w:t>
      </w:r>
      <w:r>
        <w:rPr>
          <w:spacing w:val="-13"/>
        </w:rPr>
        <w:t> </w:t>
      </w:r>
      <w:r>
        <w:rPr/>
        <w:t>de</w:t>
      </w:r>
      <w:r>
        <w:rPr>
          <w:spacing w:val="-14"/>
        </w:rPr>
        <w:t> </w:t>
      </w:r>
      <w:r>
        <w:rPr/>
        <w:t>canales</w:t>
      </w:r>
      <w:r>
        <w:rPr>
          <w:spacing w:val="-15"/>
        </w:rPr>
        <w:t> </w:t>
      </w:r>
      <w:r>
        <w:rPr/>
        <w:t>físicos,</w:t>
      </w:r>
      <w:r>
        <w:rPr>
          <w:spacing w:val="-14"/>
        </w:rPr>
        <w:t> </w:t>
      </w:r>
      <w:r>
        <w:rPr/>
        <w:t>documentales y físicos no intrusivos (rayos X), integrados en el sistema </w:t>
      </w:r>
      <w:r>
        <w:rPr>
          <w:spacing w:val="-2"/>
        </w:rPr>
        <w:t>ECUAPASS.</w:t>
      </w:r>
    </w:p>
    <w:p>
      <w:pPr>
        <w:pStyle w:val="BodyText"/>
      </w:pPr>
    </w:p>
    <w:p>
      <w:pPr>
        <w:pStyle w:val="ListParagraph"/>
        <w:numPr>
          <w:ilvl w:val="1"/>
          <w:numId w:val="14"/>
        </w:numPr>
        <w:tabs>
          <w:tab w:pos="2727" w:val="left" w:leader="none"/>
          <w:tab w:pos="2729" w:val="left" w:leader="none"/>
        </w:tabs>
        <w:spacing w:line="240" w:lineRule="auto" w:before="0" w:after="0"/>
        <w:ind w:left="2729" w:right="977" w:hanging="390"/>
        <w:jc w:val="both"/>
        <w:rPr>
          <w:sz w:val="22"/>
        </w:rPr>
      </w:pPr>
      <w:r>
        <w:rPr>
          <w:rFonts w:ascii="Arial" w:hAnsi="Arial"/>
          <w:b/>
          <w:sz w:val="22"/>
        </w:rPr>
        <w:t>correspondencia entre costo y tarifa: </w:t>
      </w:r>
      <w:r>
        <w:rPr>
          <w:sz w:val="22"/>
        </w:rPr>
        <w:t>la República del Ecuador justifica</w:t>
      </w:r>
      <w:r>
        <w:rPr>
          <w:spacing w:val="-12"/>
          <w:sz w:val="22"/>
        </w:rPr>
        <w:t> </w:t>
      </w:r>
      <w:r>
        <w:rPr>
          <w:sz w:val="22"/>
        </w:rPr>
        <w:t>que</w:t>
      </w:r>
      <w:r>
        <w:rPr>
          <w:spacing w:val="-14"/>
          <w:sz w:val="22"/>
        </w:rPr>
        <w:t> </w:t>
      </w:r>
      <w:r>
        <w:rPr>
          <w:sz w:val="22"/>
        </w:rPr>
        <w:t>la</w:t>
      </w:r>
      <w:r>
        <w:rPr>
          <w:spacing w:val="-12"/>
          <w:sz w:val="22"/>
        </w:rPr>
        <w:t> </w:t>
      </w:r>
      <w:r>
        <w:rPr>
          <w:sz w:val="22"/>
        </w:rPr>
        <w:t>cuantía</w:t>
      </w:r>
      <w:r>
        <w:rPr>
          <w:spacing w:val="-12"/>
          <w:sz w:val="22"/>
        </w:rPr>
        <w:t> </w:t>
      </w:r>
      <w:r>
        <w:rPr>
          <w:sz w:val="22"/>
        </w:rPr>
        <w:t>de</w:t>
      </w:r>
      <w:r>
        <w:rPr>
          <w:spacing w:val="-14"/>
          <w:sz w:val="22"/>
        </w:rPr>
        <w:t> </w:t>
      </w:r>
      <w:r>
        <w:rPr>
          <w:sz w:val="22"/>
        </w:rPr>
        <w:t>la</w:t>
      </w:r>
      <w:r>
        <w:rPr>
          <w:spacing w:val="-14"/>
          <w:sz w:val="22"/>
        </w:rPr>
        <w:t> </w:t>
      </w:r>
      <w:r>
        <w:rPr>
          <w:sz w:val="22"/>
        </w:rPr>
        <w:t>tasa</w:t>
      </w:r>
      <w:r>
        <w:rPr>
          <w:spacing w:val="-14"/>
          <w:sz w:val="22"/>
        </w:rPr>
        <w:t> </w:t>
      </w:r>
      <w:r>
        <w:rPr>
          <w:sz w:val="22"/>
        </w:rPr>
        <w:t>(inicialmente</w:t>
      </w:r>
      <w:r>
        <w:rPr>
          <w:spacing w:val="-14"/>
          <w:sz w:val="22"/>
        </w:rPr>
        <w:t> </w:t>
      </w:r>
      <w:r>
        <w:rPr>
          <w:sz w:val="22"/>
        </w:rPr>
        <w:t>del</w:t>
      </w:r>
      <w:r>
        <w:rPr>
          <w:spacing w:val="-14"/>
          <w:sz w:val="22"/>
        </w:rPr>
        <w:t> </w:t>
      </w:r>
      <w:r>
        <w:rPr>
          <w:sz w:val="22"/>
        </w:rPr>
        <w:t>30%</w:t>
      </w:r>
      <w:r>
        <w:rPr>
          <w:spacing w:val="-11"/>
          <w:sz w:val="22"/>
        </w:rPr>
        <w:t> </w:t>
      </w:r>
      <w:r>
        <w:rPr>
          <w:sz w:val="22"/>
        </w:rPr>
        <w:t>y</w:t>
      </w:r>
      <w:r>
        <w:rPr>
          <w:spacing w:val="-13"/>
          <w:sz w:val="22"/>
        </w:rPr>
        <w:t> </w:t>
      </w:r>
      <w:r>
        <w:rPr>
          <w:sz w:val="22"/>
        </w:rPr>
        <w:t>luego</w:t>
      </w:r>
      <w:r>
        <w:rPr>
          <w:spacing w:val="-14"/>
          <w:sz w:val="22"/>
        </w:rPr>
        <w:t> </w:t>
      </w:r>
      <w:r>
        <w:rPr>
          <w:sz w:val="22"/>
        </w:rPr>
        <w:t>del</w:t>
      </w:r>
      <w:r>
        <w:rPr>
          <w:spacing w:val="-12"/>
          <w:sz w:val="22"/>
        </w:rPr>
        <w:t> </w:t>
      </w:r>
      <w:r>
        <w:rPr>
          <w:sz w:val="22"/>
        </w:rPr>
        <w:t>50%) no es arbitraria, sino que responde a una </w:t>
      </w:r>
      <w:r>
        <w:rPr>
          <w:rFonts w:ascii="Arial" w:hAnsi="Arial"/>
          <w:b/>
          <w:sz w:val="22"/>
        </w:rPr>
        <w:t>metodología de determinación de la tarifa </w:t>
      </w:r>
      <w:r>
        <w:rPr>
          <w:sz w:val="22"/>
        </w:rPr>
        <w:t>basada en la estimación del costo aproximado del servicio de control aduanero reforzado aplicable a las mercancías provenientes u originarias de la República de Colombia, esto es:</w:t>
      </w:r>
    </w:p>
    <w:p>
      <w:pPr>
        <w:pStyle w:val="ListParagraph"/>
        <w:numPr>
          <w:ilvl w:val="0"/>
          <w:numId w:val="15"/>
        </w:numPr>
        <w:tabs>
          <w:tab w:pos="3447" w:val="left" w:leader="none"/>
          <w:tab w:pos="3449" w:val="left" w:leader="none"/>
        </w:tabs>
        <w:spacing w:line="240" w:lineRule="auto" w:before="252" w:after="0"/>
        <w:ind w:left="3449" w:right="978" w:hanging="360"/>
        <w:jc w:val="both"/>
        <w:rPr>
          <w:sz w:val="22"/>
        </w:rPr>
      </w:pPr>
      <w:r>
        <w:rPr>
          <w:rFonts w:ascii="Arial" w:hAnsi="Arial"/>
          <w:b/>
          <w:sz w:val="22"/>
        </w:rPr>
        <w:t>estructura de costos: </w:t>
      </w:r>
      <w:r>
        <w:rPr>
          <w:sz w:val="22"/>
        </w:rPr>
        <w:t>Se detallan inversiones masivas en talento humano, tecnología de transparencia (scanners, bodycams), infraestructura distrital, núcleo tecnológico (Data Center,</w:t>
      </w:r>
      <w:r>
        <w:rPr>
          <w:spacing w:val="-3"/>
          <w:sz w:val="22"/>
        </w:rPr>
        <w:t> </w:t>
      </w:r>
      <w:r>
        <w:rPr>
          <w:sz w:val="22"/>
        </w:rPr>
        <w:t>IA)</w:t>
      </w:r>
      <w:r>
        <w:rPr>
          <w:spacing w:val="-2"/>
          <w:sz w:val="22"/>
        </w:rPr>
        <w:t> </w:t>
      </w:r>
      <w:r>
        <w:rPr>
          <w:sz w:val="22"/>
        </w:rPr>
        <w:t>y</w:t>
      </w:r>
      <w:r>
        <w:rPr>
          <w:spacing w:val="-5"/>
          <w:sz w:val="22"/>
        </w:rPr>
        <w:t> </w:t>
      </w:r>
      <w:r>
        <w:rPr>
          <w:sz w:val="22"/>
        </w:rPr>
        <w:t>seguridad</w:t>
      </w:r>
      <w:r>
        <w:rPr>
          <w:spacing w:val="-3"/>
          <w:sz w:val="22"/>
        </w:rPr>
        <w:t> </w:t>
      </w:r>
      <w:r>
        <w:rPr>
          <w:sz w:val="22"/>
        </w:rPr>
        <w:t>estratégica</w:t>
      </w:r>
      <w:r>
        <w:rPr>
          <w:spacing w:val="-5"/>
          <w:sz w:val="22"/>
        </w:rPr>
        <w:t> </w:t>
      </w:r>
      <w:r>
        <w:rPr>
          <w:sz w:val="22"/>
        </w:rPr>
        <w:t>(vigilancia</w:t>
      </w:r>
      <w:r>
        <w:rPr>
          <w:spacing w:val="-3"/>
          <w:sz w:val="22"/>
        </w:rPr>
        <w:t> </w:t>
      </w:r>
      <w:r>
        <w:rPr>
          <w:sz w:val="22"/>
        </w:rPr>
        <w:t>satelital,</w:t>
      </w:r>
      <w:r>
        <w:rPr>
          <w:spacing w:val="-1"/>
          <w:sz w:val="22"/>
        </w:rPr>
        <w:t> </w:t>
      </w:r>
      <w:r>
        <w:rPr>
          <w:sz w:val="22"/>
        </w:rPr>
        <w:t>drones).</w:t>
      </w:r>
    </w:p>
    <w:p>
      <w:pPr>
        <w:pStyle w:val="BodyText"/>
        <w:spacing w:before="1"/>
      </w:pPr>
    </w:p>
    <w:p>
      <w:pPr>
        <w:pStyle w:val="ListParagraph"/>
        <w:numPr>
          <w:ilvl w:val="0"/>
          <w:numId w:val="15"/>
        </w:numPr>
        <w:tabs>
          <w:tab w:pos="3447" w:val="left" w:leader="none"/>
          <w:tab w:pos="3449" w:val="left" w:leader="none"/>
        </w:tabs>
        <w:spacing w:line="240" w:lineRule="auto" w:before="0" w:after="0"/>
        <w:ind w:left="3449" w:right="978" w:hanging="360"/>
        <w:jc w:val="both"/>
        <w:rPr>
          <w:sz w:val="22"/>
        </w:rPr>
      </w:pPr>
      <w:r>
        <w:rPr>
          <w:rFonts w:ascii="Arial" w:hAnsi="Arial"/>
          <w:b/>
          <w:sz w:val="22"/>
        </w:rPr>
        <w:t>ecuación financiera: </w:t>
      </w:r>
      <w:r>
        <w:rPr>
          <w:sz w:val="22"/>
        </w:rPr>
        <w:t>El cálculo considera el costo anual estimado del servicio frente a una base imponible efectiva que incorpora la contracción de la demanda por elasticidad-precio.</w:t>
      </w:r>
    </w:p>
    <w:p>
      <w:pPr>
        <w:pStyle w:val="BodyText"/>
        <w:spacing w:before="1"/>
      </w:pPr>
    </w:p>
    <w:p>
      <w:pPr>
        <w:pStyle w:val="ListParagraph"/>
        <w:numPr>
          <w:ilvl w:val="1"/>
          <w:numId w:val="14"/>
        </w:numPr>
        <w:tabs>
          <w:tab w:pos="2727" w:val="left" w:leader="none"/>
          <w:tab w:pos="2729" w:val="left" w:leader="none"/>
        </w:tabs>
        <w:spacing w:line="240" w:lineRule="auto" w:before="0" w:after="0"/>
        <w:ind w:left="2729" w:right="977" w:hanging="402"/>
        <w:jc w:val="both"/>
        <w:rPr>
          <w:sz w:val="22"/>
        </w:rPr>
      </w:pPr>
      <w:r>
        <w:rPr>
          <w:rFonts w:ascii="Arial" w:hAnsi="Arial"/>
          <w:b/>
          <w:sz w:val="22"/>
        </w:rPr>
        <w:t>legitimidad</w:t>
      </w:r>
      <w:r>
        <w:rPr>
          <w:rFonts w:ascii="Arial" w:hAnsi="Arial"/>
          <w:b/>
          <w:spacing w:val="-15"/>
          <w:sz w:val="22"/>
        </w:rPr>
        <w:t> </w:t>
      </w:r>
      <w:r>
        <w:rPr>
          <w:rFonts w:ascii="Arial" w:hAnsi="Arial"/>
          <w:b/>
          <w:sz w:val="22"/>
        </w:rPr>
        <w:t>de</w:t>
      </w:r>
      <w:r>
        <w:rPr>
          <w:rFonts w:ascii="Arial" w:hAnsi="Arial"/>
          <w:b/>
          <w:spacing w:val="-15"/>
          <w:sz w:val="22"/>
        </w:rPr>
        <w:t> </w:t>
      </w:r>
      <w:r>
        <w:rPr>
          <w:rFonts w:ascii="Arial" w:hAnsi="Arial"/>
          <w:b/>
          <w:sz w:val="22"/>
        </w:rPr>
        <w:t>la</w:t>
      </w:r>
      <w:r>
        <w:rPr>
          <w:rFonts w:ascii="Arial" w:hAnsi="Arial"/>
          <w:b/>
          <w:spacing w:val="-12"/>
          <w:sz w:val="22"/>
        </w:rPr>
        <w:t> </w:t>
      </w:r>
      <w:r>
        <w:rPr>
          <w:rFonts w:ascii="Arial" w:hAnsi="Arial"/>
          <w:b/>
          <w:sz w:val="22"/>
        </w:rPr>
        <w:t>selectividad</w:t>
      </w:r>
      <w:r>
        <w:rPr>
          <w:rFonts w:ascii="Arial" w:hAnsi="Arial"/>
          <w:b/>
          <w:spacing w:val="-12"/>
          <w:sz w:val="22"/>
        </w:rPr>
        <w:t> </w:t>
      </w:r>
      <w:r>
        <w:rPr>
          <w:rFonts w:ascii="Arial" w:hAnsi="Arial"/>
          <w:b/>
          <w:sz w:val="22"/>
        </w:rPr>
        <w:t>y</w:t>
      </w:r>
      <w:r>
        <w:rPr>
          <w:rFonts w:ascii="Arial" w:hAnsi="Arial"/>
          <w:b/>
          <w:spacing w:val="-12"/>
          <w:sz w:val="22"/>
        </w:rPr>
        <w:t> </w:t>
      </w:r>
      <w:r>
        <w:rPr>
          <w:rFonts w:ascii="Arial" w:hAnsi="Arial"/>
          <w:b/>
          <w:sz w:val="22"/>
        </w:rPr>
        <w:t>gestión</w:t>
      </w:r>
      <w:r>
        <w:rPr>
          <w:rFonts w:ascii="Arial" w:hAnsi="Arial"/>
          <w:b/>
          <w:spacing w:val="-13"/>
          <w:sz w:val="22"/>
        </w:rPr>
        <w:t> </w:t>
      </w:r>
      <w:r>
        <w:rPr>
          <w:rFonts w:ascii="Arial" w:hAnsi="Arial"/>
          <w:b/>
          <w:sz w:val="22"/>
        </w:rPr>
        <w:t>de</w:t>
      </w:r>
      <w:r>
        <w:rPr>
          <w:rFonts w:ascii="Arial" w:hAnsi="Arial"/>
          <w:b/>
          <w:spacing w:val="-15"/>
          <w:sz w:val="22"/>
        </w:rPr>
        <w:t> </w:t>
      </w:r>
      <w:r>
        <w:rPr>
          <w:rFonts w:ascii="Arial" w:hAnsi="Arial"/>
          <w:b/>
          <w:sz w:val="22"/>
        </w:rPr>
        <w:t>riesgo:</w:t>
      </w:r>
      <w:r>
        <w:rPr>
          <w:rFonts w:ascii="Arial" w:hAnsi="Arial"/>
          <w:b/>
          <w:spacing w:val="-9"/>
          <w:sz w:val="22"/>
        </w:rPr>
        <w:t> </w:t>
      </w:r>
      <w:r>
        <w:rPr>
          <w:sz w:val="22"/>
        </w:rPr>
        <w:t>La</w:t>
      </w:r>
      <w:r>
        <w:rPr>
          <w:spacing w:val="-15"/>
          <w:sz w:val="22"/>
        </w:rPr>
        <w:t> </w:t>
      </w:r>
      <w:r>
        <w:rPr>
          <w:sz w:val="22"/>
        </w:rPr>
        <w:t>focalización</w:t>
      </w:r>
      <w:r>
        <w:rPr>
          <w:spacing w:val="-13"/>
          <w:sz w:val="22"/>
        </w:rPr>
        <w:t> </w:t>
      </w:r>
      <w:r>
        <w:rPr>
          <w:sz w:val="22"/>
        </w:rPr>
        <w:t>de la medida exclusivamente en mercancías que provengan o sean originarias de</w:t>
      </w:r>
      <w:r>
        <w:rPr>
          <w:spacing w:val="-1"/>
          <w:sz w:val="22"/>
        </w:rPr>
        <w:t> </w:t>
      </w:r>
      <w:r>
        <w:rPr>
          <w:sz w:val="22"/>
        </w:rPr>
        <w:t>la República de</w:t>
      </w:r>
      <w:r>
        <w:rPr>
          <w:spacing w:val="-1"/>
          <w:sz w:val="22"/>
        </w:rPr>
        <w:t> </w:t>
      </w:r>
      <w:r>
        <w:rPr>
          <w:sz w:val="22"/>
        </w:rPr>
        <w:t>Colombia (no</w:t>
      </w:r>
      <w:r>
        <w:rPr>
          <w:spacing w:val="-1"/>
          <w:sz w:val="22"/>
        </w:rPr>
        <w:t> </w:t>
      </w:r>
      <w:r>
        <w:rPr>
          <w:sz w:val="22"/>
        </w:rPr>
        <w:t>aplicada a</w:t>
      </w:r>
      <w:r>
        <w:rPr>
          <w:spacing w:val="-1"/>
          <w:sz w:val="22"/>
        </w:rPr>
        <w:t> </w:t>
      </w:r>
      <w:r>
        <w:rPr>
          <w:sz w:val="22"/>
        </w:rPr>
        <w:t>las</w:t>
      </w:r>
      <w:r>
        <w:rPr>
          <w:spacing w:val="-1"/>
          <w:sz w:val="22"/>
        </w:rPr>
        <w:t> </w:t>
      </w:r>
      <w:r>
        <w:rPr>
          <w:sz w:val="22"/>
        </w:rPr>
        <w:t>mercancías sujetas a tránsito aduanero) estaría justificada bajo el amparo de la normativa andina vigente, esto es:</w:t>
      </w:r>
    </w:p>
    <w:p>
      <w:pPr>
        <w:pStyle w:val="BodyText"/>
      </w:pPr>
    </w:p>
    <w:p>
      <w:pPr>
        <w:pStyle w:val="Heading6"/>
        <w:numPr>
          <w:ilvl w:val="2"/>
          <w:numId w:val="14"/>
        </w:numPr>
        <w:tabs>
          <w:tab w:pos="3448" w:val="left" w:leader="none"/>
        </w:tabs>
        <w:spacing w:line="268" w:lineRule="exact" w:before="1" w:after="0"/>
        <w:ind w:left="3448" w:right="0" w:hanging="359"/>
        <w:jc w:val="left"/>
      </w:pPr>
      <w:r>
        <w:rPr/>
        <w:t>Decisión</w:t>
      </w:r>
      <w:r>
        <w:rPr>
          <w:spacing w:val="23"/>
        </w:rPr>
        <w:t> </w:t>
      </w:r>
      <w:r>
        <w:rPr/>
        <w:t>778</w:t>
      </w:r>
      <w:r>
        <w:rPr>
          <w:spacing w:val="23"/>
        </w:rPr>
        <w:t> </w:t>
      </w:r>
      <w:r>
        <w:rPr/>
        <w:t>–</w:t>
      </w:r>
      <w:r>
        <w:rPr>
          <w:spacing w:val="20"/>
        </w:rPr>
        <w:t> </w:t>
      </w:r>
      <w:r>
        <w:rPr/>
        <w:t>Régimen</w:t>
      </w:r>
      <w:r>
        <w:rPr>
          <w:spacing w:val="23"/>
        </w:rPr>
        <w:t> </w:t>
      </w:r>
      <w:r>
        <w:rPr/>
        <w:t>Andino</w:t>
      </w:r>
      <w:r>
        <w:rPr>
          <w:spacing w:val="22"/>
        </w:rPr>
        <w:t> </w:t>
      </w:r>
      <w:r>
        <w:rPr/>
        <w:t>sobre</w:t>
      </w:r>
      <w:r>
        <w:rPr>
          <w:spacing w:val="23"/>
        </w:rPr>
        <w:t> </w:t>
      </w:r>
      <w:r>
        <w:rPr/>
        <w:t>Control</w:t>
      </w:r>
      <w:r>
        <w:rPr>
          <w:spacing w:val="22"/>
        </w:rPr>
        <w:t> </w:t>
      </w:r>
      <w:r>
        <w:rPr>
          <w:spacing w:val="-2"/>
        </w:rPr>
        <w:t>Aduanero:</w:t>
      </w:r>
    </w:p>
    <w:p>
      <w:pPr>
        <w:pStyle w:val="BodyText"/>
        <w:spacing w:line="252" w:lineRule="exact"/>
        <w:ind w:left="3449"/>
      </w:pPr>
      <w:r>
        <w:rPr/>
        <w:t>Los</w:t>
      </w:r>
      <w:r>
        <w:rPr>
          <w:spacing w:val="65"/>
        </w:rPr>
        <w:t> </w:t>
      </w:r>
      <w:r>
        <w:rPr/>
        <w:t>artículos</w:t>
      </w:r>
      <w:r>
        <w:rPr>
          <w:spacing w:val="65"/>
        </w:rPr>
        <w:t> </w:t>
      </w:r>
      <w:r>
        <w:rPr/>
        <w:t>6</w:t>
      </w:r>
      <w:r>
        <w:rPr>
          <w:spacing w:val="61"/>
        </w:rPr>
        <w:t> </w:t>
      </w:r>
      <w:r>
        <w:rPr/>
        <w:t>y</w:t>
      </w:r>
      <w:r>
        <w:rPr>
          <w:spacing w:val="65"/>
        </w:rPr>
        <w:t> </w:t>
      </w:r>
      <w:r>
        <w:rPr/>
        <w:t>8</w:t>
      </w:r>
      <w:hyperlink w:history="true" w:anchor="_bookmark53">
        <w:r>
          <w:rPr>
            <w:vertAlign w:val="superscript"/>
          </w:rPr>
          <w:t>11</w:t>
        </w:r>
      </w:hyperlink>
      <w:r>
        <w:rPr>
          <w:spacing w:val="65"/>
          <w:vertAlign w:val="baseline"/>
        </w:rPr>
        <w:t> </w:t>
      </w:r>
      <w:r>
        <w:rPr>
          <w:vertAlign w:val="baseline"/>
        </w:rPr>
        <w:t>de</w:t>
      </w:r>
      <w:r>
        <w:rPr>
          <w:spacing w:val="63"/>
          <w:vertAlign w:val="baseline"/>
        </w:rPr>
        <w:t> </w:t>
      </w:r>
      <w:r>
        <w:rPr>
          <w:vertAlign w:val="baseline"/>
        </w:rPr>
        <w:t>esta</w:t>
      </w:r>
      <w:r>
        <w:rPr>
          <w:spacing w:val="65"/>
          <w:vertAlign w:val="baseline"/>
        </w:rPr>
        <w:t> </w:t>
      </w:r>
      <w:r>
        <w:rPr>
          <w:vertAlign w:val="baseline"/>
        </w:rPr>
        <w:t>norma</w:t>
      </w:r>
      <w:r>
        <w:rPr>
          <w:spacing w:val="64"/>
          <w:vertAlign w:val="baseline"/>
        </w:rPr>
        <w:t> </w:t>
      </w:r>
      <w:r>
        <w:rPr>
          <w:vertAlign w:val="baseline"/>
        </w:rPr>
        <w:t>comunitaria</w:t>
      </w:r>
      <w:r>
        <w:rPr>
          <w:spacing w:val="65"/>
          <w:vertAlign w:val="baseline"/>
        </w:rPr>
        <w:t> </w:t>
      </w:r>
      <w:r>
        <w:rPr>
          <w:spacing w:val="-2"/>
          <w:vertAlign w:val="baseline"/>
        </w:rPr>
        <w:t>autorizan</w:t>
      </w:r>
    </w:p>
    <w:p>
      <w:pPr>
        <w:pStyle w:val="BodyText"/>
        <w:spacing w:before="16"/>
        <w:rPr>
          <w:sz w:val="20"/>
        </w:rPr>
      </w:pPr>
      <w:r>
        <w:rPr>
          <w:sz w:val="20"/>
        </w:rPr>
        <mc:AlternateContent>
          <mc:Choice Requires="wps">
            <w:drawing>
              <wp:anchor distT="0" distB="0" distL="0" distR="0" allowOverlap="1" layoutInCell="1" locked="0" behindDoc="1" simplePos="0" relativeHeight="487620096">
                <wp:simplePos x="0" y="0"/>
                <wp:positionH relativeFrom="page">
                  <wp:posOffset>990904</wp:posOffset>
                </wp:positionH>
                <wp:positionV relativeFrom="paragraph">
                  <wp:posOffset>171502</wp:posOffset>
                </wp:positionV>
                <wp:extent cx="1829435" cy="7620"/>
                <wp:effectExtent l="0" t="0" r="0" b="0"/>
                <wp:wrapTopAndBottom/>
                <wp:docPr id="313" name="Graphic 313"/>
                <wp:cNvGraphicFramePr>
                  <a:graphicFrameLocks/>
                </wp:cNvGraphicFramePr>
                <a:graphic>
                  <a:graphicData uri="http://schemas.microsoft.com/office/word/2010/wordprocessingShape">
                    <wps:wsp>
                      <wps:cNvPr id="313" name="Graphic 313"/>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3.504165pt;width:144.020pt;height:.60004pt;mso-position-horizontal-relative:page;mso-position-vertical-relative:paragraph;z-index:-15696384;mso-wrap-distance-left:0;mso-wrap-distance-right:0" id="docshape231" filled="true" fillcolor="#000000" stroked="false">
                <v:fill type="solid"/>
                <w10:wrap type="topAndBottom"/>
              </v:rect>
            </w:pict>
          </mc:Fallback>
        </mc:AlternateContent>
      </w:r>
    </w:p>
    <w:p>
      <w:pPr>
        <w:spacing w:before="93"/>
        <w:ind w:left="568" w:right="0" w:firstLine="0"/>
        <w:jc w:val="left"/>
        <w:rPr>
          <w:sz w:val="16"/>
        </w:rPr>
      </w:pPr>
      <w:bookmarkStart w:name="_bookmark53" w:id="54"/>
      <w:bookmarkEnd w:id="54"/>
      <w:r>
        <w:rPr/>
      </w:r>
      <w:r>
        <w:rPr>
          <w:sz w:val="16"/>
          <w:vertAlign w:val="superscript"/>
        </w:rPr>
        <w:t>11</w:t>
      </w:r>
      <w:r>
        <w:rPr>
          <w:spacing w:val="-4"/>
          <w:sz w:val="16"/>
          <w:vertAlign w:val="baseline"/>
        </w:rPr>
        <w:t> </w:t>
      </w:r>
      <w:r>
        <w:rPr>
          <w:sz w:val="16"/>
          <w:vertAlign w:val="baseline"/>
        </w:rPr>
        <w:t>Decisión</w:t>
      </w:r>
      <w:r>
        <w:rPr>
          <w:spacing w:val="-3"/>
          <w:sz w:val="16"/>
          <w:vertAlign w:val="baseline"/>
        </w:rPr>
        <w:t> </w:t>
      </w:r>
      <w:r>
        <w:rPr>
          <w:sz w:val="16"/>
          <w:vertAlign w:val="baseline"/>
        </w:rPr>
        <w:t>778</w:t>
      </w:r>
      <w:r>
        <w:rPr>
          <w:spacing w:val="-5"/>
          <w:sz w:val="16"/>
          <w:vertAlign w:val="baseline"/>
        </w:rPr>
        <w:t> </w:t>
      </w:r>
      <w:r>
        <w:rPr>
          <w:sz w:val="16"/>
          <w:vertAlign w:val="baseline"/>
        </w:rPr>
        <w:t>–</w:t>
      </w:r>
      <w:r>
        <w:rPr>
          <w:spacing w:val="-4"/>
          <w:sz w:val="16"/>
          <w:vertAlign w:val="baseline"/>
        </w:rPr>
        <w:t> </w:t>
      </w:r>
      <w:r>
        <w:rPr>
          <w:sz w:val="16"/>
          <w:vertAlign w:val="baseline"/>
        </w:rPr>
        <w:t>Sustitución</w:t>
      </w:r>
      <w:r>
        <w:rPr>
          <w:spacing w:val="-3"/>
          <w:sz w:val="16"/>
          <w:vertAlign w:val="baseline"/>
        </w:rPr>
        <w:t> </w:t>
      </w:r>
      <w:r>
        <w:rPr>
          <w:sz w:val="16"/>
          <w:vertAlign w:val="baseline"/>
        </w:rPr>
        <w:t>de</w:t>
      </w:r>
      <w:r>
        <w:rPr>
          <w:spacing w:val="-6"/>
          <w:sz w:val="16"/>
          <w:vertAlign w:val="baseline"/>
        </w:rPr>
        <w:t> </w:t>
      </w:r>
      <w:r>
        <w:rPr>
          <w:sz w:val="16"/>
          <w:vertAlign w:val="baseline"/>
        </w:rPr>
        <w:t>la</w:t>
      </w:r>
      <w:r>
        <w:rPr>
          <w:spacing w:val="-5"/>
          <w:sz w:val="16"/>
          <w:vertAlign w:val="baseline"/>
        </w:rPr>
        <w:t> </w:t>
      </w:r>
      <w:r>
        <w:rPr>
          <w:sz w:val="16"/>
          <w:vertAlign w:val="baseline"/>
        </w:rPr>
        <w:t>Decisión</w:t>
      </w:r>
      <w:r>
        <w:rPr>
          <w:spacing w:val="-7"/>
          <w:sz w:val="16"/>
          <w:vertAlign w:val="baseline"/>
        </w:rPr>
        <w:t> </w:t>
      </w:r>
      <w:r>
        <w:rPr>
          <w:sz w:val="16"/>
          <w:vertAlign w:val="baseline"/>
        </w:rPr>
        <w:t>574.</w:t>
      </w:r>
      <w:r>
        <w:rPr>
          <w:spacing w:val="-1"/>
          <w:sz w:val="16"/>
          <w:vertAlign w:val="baseline"/>
        </w:rPr>
        <w:t> </w:t>
      </w:r>
      <w:r>
        <w:rPr>
          <w:sz w:val="16"/>
          <w:vertAlign w:val="baseline"/>
        </w:rPr>
        <w:t>–</w:t>
      </w:r>
      <w:r>
        <w:rPr>
          <w:spacing w:val="-3"/>
          <w:sz w:val="16"/>
          <w:vertAlign w:val="baseline"/>
        </w:rPr>
        <w:t> </w:t>
      </w:r>
      <w:r>
        <w:rPr>
          <w:sz w:val="16"/>
          <w:vertAlign w:val="baseline"/>
        </w:rPr>
        <w:t>Régimen</w:t>
      </w:r>
      <w:r>
        <w:rPr>
          <w:spacing w:val="-6"/>
          <w:sz w:val="16"/>
          <w:vertAlign w:val="baseline"/>
        </w:rPr>
        <w:t> </w:t>
      </w:r>
      <w:r>
        <w:rPr>
          <w:sz w:val="16"/>
          <w:vertAlign w:val="baseline"/>
        </w:rPr>
        <w:t>Andino</w:t>
      </w:r>
      <w:r>
        <w:rPr>
          <w:spacing w:val="-7"/>
          <w:sz w:val="16"/>
          <w:vertAlign w:val="baseline"/>
        </w:rPr>
        <w:t> </w:t>
      </w:r>
      <w:r>
        <w:rPr>
          <w:sz w:val="16"/>
          <w:vertAlign w:val="baseline"/>
        </w:rPr>
        <w:t>sobre</w:t>
      </w:r>
      <w:r>
        <w:rPr>
          <w:spacing w:val="-3"/>
          <w:sz w:val="16"/>
          <w:vertAlign w:val="baseline"/>
        </w:rPr>
        <w:t> </w:t>
      </w:r>
      <w:r>
        <w:rPr>
          <w:sz w:val="16"/>
          <w:vertAlign w:val="baseline"/>
        </w:rPr>
        <w:t>Control</w:t>
      </w:r>
      <w:r>
        <w:rPr>
          <w:spacing w:val="-2"/>
          <w:sz w:val="16"/>
          <w:vertAlign w:val="baseline"/>
        </w:rPr>
        <w:t> Aduanero.</w:t>
      </w:r>
    </w:p>
    <w:p>
      <w:pPr>
        <w:spacing w:before="0"/>
        <w:ind w:left="568" w:right="955" w:firstLine="0"/>
        <w:jc w:val="left"/>
        <w:rPr>
          <w:rFonts w:ascii="Arial" w:hAnsi="Arial"/>
          <w:i/>
          <w:sz w:val="16"/>
        </w:rPr>
      </w:pPr>
      <w:r>
        <w:rPr>
          <w:rFonts w:ascii="Arial" w:hAnsi="Arial"/>
          <w:i/>
          <w:sz w:val="16"/>
        </w:rPr>
        <w:t>“</w:t>
      </w:r>
      <w:r>
        <w:rPr>
          <w:rFonts w:ascii="Arial" w:hAnsi="Arial"/>
          <w:b/>
          <w:i/>
          <w:sz w:val="16"/>
        </w:rPr>
        <w:t>Artículo</w:t>
      </w:r>
      <w:r>
        <w:rPr>
          <w:rFonts w:ascii="Arial" w:hAnsi="Arial"/>
          <w:b/>
          <w:i/>
          <w:spacing w:val="-1"/>
          <w:sz w:val="16"/>
        </w:rPr>
        <w:t> </w:t>
      </w:r>
      <w:r>
        <w:rPr>
          <w:rFonts w:ascii="Arial" w:hAnsi="Arial"/>
          <w:b/>
          <w:i/>
          <w:sz w:val="16"/>
        </w:rPr>
        <w:t>6.-</w:t>
      </w:r>
      <w:r>
        <w:rPr>
          <w:rFonts w:ascii="Arial" w:hAnsi="Arial"/>
          <w:b/>
          <w:i/>
          <w:spacing w:val="-2"/>
          <w:sz w:val="16"/>
        </w:rPr>
        <w:t> </w:t>
      </w:r>
      <w:r>
        <w:rPr>
          <w:rFonts w:ascii="Arial" w:hAnsi="Arial"/>
          <w:i/>
          <w:sz w:val="16"/>
        </w:rPr>
        <w:t>Las labores de</w:t>
      </w:r>
      <w:r>
        <w:rPr>
          <w:rFonts w:ascii="Arial" w:hAnsi="Arial"/>
          <w:i/>
          <w:spacing w:val="-4"/>
          <w:sz w:val="16"/>
        </w:rPr>
        <w:t> </w:t>
      </w:r>
      <w:r>
        <w:rPr>
          <w:rFonts w:ascii="Arial" w:hAnsi="Arial"/>
          <w:i/>
          <w:sz w:val="16"/>
        </w:rPr>
        <w:t>control</w:t>
      </w:r>
      <w:r>
        <w:rPr>
          <w:rFonts w:ascii="Arial" w:hAnsi="Arial"/>
          <w:i/>
          <w:spacing w:val="-1"/>
          <w:sz w:val="16"/>
        </w:rPr>
        <w:t> </w:t>
      </w:r>
      <w:r>
        <w:rPr>
          <w:rFonts w:ascii="Arial" w:hAnsi="Arial"/>
          <w:i/>
          <w:sz w:val="16"/>
        </w:rPr>
        <w:t>e</w:t>
      </w:r>
      <w:r>
        <w:rPr>
          <w:rFonts w:ascii="Arial" w:hAnsi="Arial"/>
          <w:i/>
          <w:spacing w:val="-2"/>
          <w:sz w:val="16"/>
        </w:rPr>
        <w:t> </w:t>
      </w:r>
      <w:r>
        <w:rPr>
          <w:rFonts w:ascii="Arial" w:hAnsi="Arial"/>
          <w:i/>
          <w:sz w:val="16"/>
        </w:rPr>
        <w:t>investigación</w:t>
      </w:r>
      <w:r>
        <w:rPr>
          <w:rFonts w:ascii="Arial" w:hAnsi="Arial"/>
          <w:i/>
          <w:spacing w:val="-2"/>
          <w:sz w:val="16"/>
        </w:rPr>
        <w:t> </w:t>
      </w:r>
      <w:r>
        <w:rPr>
          <w:rFonts w:ascii="Arial" w:hAnsi="Arial"/>
          <w:i/>
          <w:sz w:val="16"/>
        </w:rPr>
        <w:t>tendrán</w:t>
      </w:r>
      <w:r>
        <w:rPr>
          <w:rFonts w:ascii="Arial" w:hAnsi="Arial"/>
          <w:i/>
          <w:spacing w:val="-2"/>
          <w:sz w:val="16"/>
        </w:rPr>
        <w:t> </w:t>
      </w:r>
      <w:r>
        <w:rPr>
          <w:rFonts w:ascii="Arial" w:hAnsi="Arial"/>
          <w:i/>
          <w:sz w:val="16"/>
        </w:rPr>
        <w:t>lugar</w:t>
      </w:r>
      <w:r>
        <w:rPr>
          <w:rFonts w:ascii="Arial" w:hAnsi="Arial"/>
          <w:i/>
          <w:spacing w:val="-2"/>
          <w:sz w:val="16"/>
        </w:rPr>
        <w:t> </w:t>
      </w:r>
      <w:r>
        <w:rPr>
          <w:rFonts w:ascii="Arial" w:hAnsi="Arial"/>
          <w:i/>
          <w:sz w:val="16"/>
        </w:rPr>
        <w:t>conforme</w:t>
      </w:r>
      <w:r>
        <w:rPr>
          <w:rFonts w:ascii="Arial" w:hAnsi="Arial"/>
          <w:i/>
          <w:spacing w:val="-2"/>
          <w:sz w:val="16"/>
        </w:rPr>
        <w:t> </w:t>
      </w:r>
      <w:r>
        <w:rPr>
          <w:rFonts w:ascii="Arial" w:hAnsi="Arial"/>
          <w:i/>
          <w:sz w:val="16"/>
        </w:rPr>
        <w:t>a</w:t>
      </w:r>
      <w:r>
        <w:rPr>
          <w:rFonts w:ascii="Arial" w:hAnsi="Arial"/>
          <w:i/>
          <w:spacing w:val="-2"/>
          <w:sz w:val="16"/>
        </w:rPr>
        <w:t> </w:t>
      </w:r>
      <w:r>
        <w:rPr>
          <w:rFonts w:ascii="Arial" w:hAnsi="Arial"/>
          <w:i/>
          <w:sz w:val="16"/>
        </w:rPr>
        <w:t>un</w:t>
      </w:r>
      <w:r>
        <w:rPr>
          <w:rFonts w:ascii="Arial" w:hAnsi="Arial"/>
          <w:i/>
          <w:spacing w:val="-2"/>
          <w:sz w:val="16"/>
        </w:rPr>
        <w:t> </w:t>
      </w:r>
      <w:r>
        <w:rPr>
          <w:rFonts w:ascii="Arial" w:hAnsi="Arial"/>
          <w:i/>
          <w:sz w:val="16"/>
        </w:rPr>
        <w:t>método</w:t>
      </w:r>
      <w:r>
        <w:rPr>
          <w:rFonts w:ascii="Arial" w:hAnsi="Arial"/>
          <w:i/>
          <w:spacing w:val="-4"/>
          <w:sz w:val="16"/>
        </w:rPr>
        <w:t> </w:t>
      </w:r>
      <w:r>
        <w:rPr>
          <w:rFonts w:ascii="Arial" w:hAnsi="Arial"/>
          <w:i/>
          <w:sz w:val="16"/>
        </w:rPr>
        <w:t>selectivo</w:t>
      </w:r>
      <w:r>
        <w:rPr>
          <w:rFonts w:ascii="Arial" w:hAnsi="Arial"/>
          <w:i/>
          <w:spacing w:val="-2"/>
          <w:sz w:val="16"/>
        </w:rPr>
        <w:t> </w:t>
      </w:r>
      <w:r>
        <w:rPr>
          <w:rFonts w:ascii="Arial" w:hAnsi="Arial"/>
          <w:i/>
          <w:sz w:val="16"/>
        </w:rPr>
        <w:t>basado</w:t>
      </w:r>
      <w:r>
        <w:rPr>
          <w:rFonts w:ascii="Arial" w:hAnsi="Arial"/>
          <w:i/>
          <w:spacing w:val="-2"/>
          <w:sz w:val="16"/>
        </w:rPr>
        <w:t> </w:t>
      </w:r>
      <w:r>
        <w:rPr>
          <w:rFonts w:ascii="Arial" w:hAnsi="Arial"/>
          <w:i/>
          <w:sz w:val="16"/>
        </w:rPr>
        <w:t>en</w:t>
      </w:r>
      <w:r>
        <w:rPr>
          <w:rFonts w:ascii="Arial" w:hAnsi="Arial"/>
          <w:i/>
          <w:spacing w:val="-2"/>
          <w:sz w:val="16"/>
        </w:rPr>
        <w:t> </w:t>
      </w:r>
      <w:r>
        <w:rPr>
          <w:rFonts w:ascii="Arial" w:hAnsi="Arial"/>
          <w:i/>
          <w:sz w:val="16"/>
        </w:rPr>
        <w:t>criterios</w:t>
      </w:r>
      <w:r>
        <w:rPr>
          <w:rFonts w:ascii="Arial" w:hAnsi="Arial"/>
          <w:i/>
          <w:spacing w:val="-1"/>
          <w:sz w:val="16"/>
        </w:rPr>
        <w:t> </w:t>
      </w:r>
      <w:r>
        <w:rPr>
          <w:rFonts w:ascii="Arial" w:hAnsi="Arial"/>
          <w:i/>
          <w:sz w:val="16"/>
        </w:rPr>
        <w:t>de</w:t>
      </w:r>
      <w:r>
        <w:rPr>
          <w:rFonts w:ascii="Arial" w:hAnsi="Arial"/>
          <w:i/>
          <w:spacing w:val="-2"/>
          <w:sz w:val="16"/>
        </w:rPr>
        <w:t> </w:t>
      </w:r>
      <w:r>
        <w:rPr>
          <w:rFonts w:ascii="Arial" w:hAnsi="Arial"/>
          <w:i/>
          <w:sz w:val="16"/>
        </w:rPr>
        <w:t>riesgo, el</w:t>
      </w:r>
      <w:r>
        <w:rPr>
          <w:rFonts w:ascii="Arial" w:hAnsi="Arial"/>
          <w:i/>
          <w:spacing w:val="41"/>
          <w:sz w:val="16"/>
        </w:rPr>
        <w:t> </w:t>
      </w:r>
      <w:r>
        <w:rPr>
          <w:rFonts w:ascii="Arial" w:hAnsi="Arial"/>
          <w:i/>
          <w:sz w:val="16"/>
        </w:rPr>
        <w:t>cual</w:t>
      </w:r>
      <w:r>
        <w:rPr>
          <w:rFonts w:ascii="Arial" w:hAnsi="Arial"/>
          <w:i/>
          <w:spacing w:val="41"/>
          <w:sz w:val="16"/>
        </w:rPr>
        <w:t> </w:t>
      </w:r>
      <w:r>
        <w:rPr>
          <w:rFonts w:ascii="Arial" w:hAnsi="Arial"/>
          <w:i/>
          <w:sz w:val="16"/>
        </w:rPr>
        <w:t>permita</w:t>
      </w:r>
      <w:r>
        <w:rPr>
          <w:rFonts w:ascii="Arial" w:hAnsi="Arial"/>
          <w:i/>
          <w:spacing w:val="38"/>
          <w:sz w:val="16"/>
        </w:rPr>
        <w:t> </w:t>
      </w:r>
      <w:r>
        <w:rPr>
          <w:rFonts w:ascii="Arial" w:hAnsi="Arial"/>
          <w:i/>
          <w:sz w:val="16"/>
        </w:rPr>
        <w:t>la</w:t>
      </w:r>
      <w:r>
        <w:rPr>
          <w:rFonts w:ascii="Arial" w:hAnsi="Arial"/>
          <w:i/>
          <w:spacing w:val="38"/>
          <w:sz w:val="16"/>
        </w:rPr>
        <w:t> </w:t>
      </w:r>
      <w:r>
        <w:rPr>
          <w:rFonts w:ascii="Arial" w:hAnsi="Arial"/>
          <w:i/>
          <w:sz w:val="16"/>
        </w:rPr>
        <w:t>confección</w:t>
      </w:r>
      <w:r>
        <w:rPr>
          <w:rFonts w:ascii="Arial" w:hAnsi="Arial"/>
          <w:i/>
          <w:spacing w:val="40"/>
          <w:sz w:val="16"/>
        </w:rPr>
        <w:t> </w:t>
      </w:r>
      <w:r>
        <w:rPr>
          <w:rFonts w:ascii="Arial" w:hAnsi="Arial"/>
          <w:i/>
          <w:sz w:val="16"/>
        </w:rPr>
        <w:t>de</w:t>
      </w:r>
      <w:r>
        <w:rPr>
          <w:rFonts w:ascii="Arial" w:hAnsi="Arial"/>
          <w:i/>
          <w:spacing w:val="40"/>
          <w:sz w:val="16"/>
        </w:rPr>
        <w:t> </w:t>
      </w:r>
      <w:r>
        <w:rPr>
          <w:rFonts w:ascii="Arial" w:hAnsi="Arial"/>
          <w:i/>
          <w:sz w:val="16"/>
        </w:rPr>
        <w:t>un</w:t>
      </w:r>
      <w:r>
        <w:rPr>
          <w:rFonts w:ascii="Arial" w:hAnsi="Arial"/>
          <w:i/>
          <w:spacing w:val="40"/>
          <w:sz w:val="16"/>
        </w:rPr>
        <w:t> </w:t>
      </w:r>
      <w:r>
        <w:rPr>
          <w:rFonts w:ascii="Arial" w:hAnsi="Arial"/>
          <w:i/>
          <w:sz w:val="16"/>
        </w:rPr>
        <w:t>plan</w:t>
      </w:r>
      <w:r>
        <w:rPr>
          <w:rFonts w:ascii="Arial" w:hAnsi="Arial"/>
          <w:i/>
          <w:spacing w:val="38"/>
          <w:sz w:val="16"/>
        </w:rPr>
        <w:t> </w:t>
      </w:r>
      <w:r>
        <w:rPr>
          <w:rFonts w:ascii="Arial" w:hAnsi="Arial"/>
          <w:i/>
          <w:sz w:val="16"/>
        </w:rPr>
        <w:t>objetivo</w:t>
      </w:r>
      <w:r>
        <w:rPr>
          <w:rFonts w:ascii="Arial" w:hAnsi="Arial"/>
          <w:i/>
          <w:spacing w:val="38"/>
          <w:sz w:val="16"/>
        </w:rPr>
        <w:t> </w:t>
      </w:r>
      <w:r>
        <w:rPr>
          <w:rFonts w:ascii="Arial" w:hAnsi="Arial"/>
          <w:i/>
          <w:sz w:val="16"/>
        </w:rPr>
        <w:t>de</w:t>
      </w:r>
      <w:r>
        <w:rPr>
          <w:rFonts w:ascii="Arial" w:hAnsi="Arial"/>
          <w:i/>
          <w:spacing w:val="40"/>
          <w:sz w:val="16"/>
        </w:rPr>
        <w:t> </w:t>
      </w:r>
      <w:r>
        <w:rPr>
          <w:rFonts w:ascii="Arial" w:hAnsi="Arial"/>
          <w:i/>
          <w:sz w:val="16"/>
        </w:rPr>
        <w:t>revisión.</w:t>
      </w:r>
      <w:r>
        <w:rPr>
          <w:rFonts w:ascii="Arial" w:hAnsi="Arial"/>
          <w:i/>
          <w:spacing w:val="37"/>
          <w:sz w:val="16"/>
        </w:rPr>
        <w:t> </w:t>
      </w:r>
      <w:r>
        <w:rPr>
          <w:rFonts w:ascii="Arial" w:hAnsi="Arial"/>
          <w:i/>
          <w:sz w:val="16"/>
        </w:rPr>
        <w:t>Dicho</w:t>
      </w:r>
      <w:r>
        <w:rPr>
          <w:rFonts w:ascii="Arial" w:hAnsi="Arial"/>
          <w:i/>
          <w:spacing w:val="41"/>
          <w:sz w:val="16"/>
        </w:rPr>
        <w:t> </w:t>
      </w:r>
      <w:r>
        <w:rPr>
          <w:rFonts w:ascii="Arial" w:hAnsi="Arial"/>
          <w:i/>
          <w:sz w:val="16"/>
        </w:rPr>
        <w:t>plan</w:t>
      </w:r>
      <w:r>
        <w:rPr>
          <w:rFonts w:ascii="Arial" w:hAnsi="Arial"/>
          <w:i/>
          <w:spacing w:val="37"/>
          <w:sz w:val="16"/>
        </w:rPr>
        <w:t> </w:t>
      </w:r>
      <w:r>
        <w:rPr>
          <w:rFonts w:ascii="Arial" w:hAnsi="Arial"/>
          <w:i/>
          <w:sz w:val="16"/>
        </w:rPr>
        <w:t>incluirá</w:t>
      </w:r>
      <w:r>
        <w:rPr>
          <w:rFonts w:ascii="Arial" w:hAnsi="Arial"/>
          <w:i/>
          <w:spacing w:val="38"/>
          <w:sz w:val="16"/>
        </w:rPr>
        <w:t> </w:t>
      </w:r>
      <w:r>
        <w:rPr>
          <w:rFonts w:ascii="Arial" w:hAnsi="Arial"/>
          <w:i/>
          <w:sz w:val="16"/>
        </w:rPr>
        <w:t>las</w:t>
      </w:r>
      <w:r>
        <w:rPr>
          <w:rFonts w:ascii="Arial" w:hAnsi="Arial"/>
          <w:i/>
          <w:spacing w:val="40"/>
          <w:sz w:val="16"/>
        </w:rPr>
        <w:t> </w:t>
      </w:r>
      <w:r>
        <w:rPr>
          <w:rFonts w:ascii="Arial" w:hAnsi="Arial"/>
          <w:i/>
          <w:sz w:val="16"/>
        </w:rPr>
        <w:t>declaraciones</w:t>
      </w:r>
      <w:r>
        <w:rPr>
          <w:rFonts w:ascii="Arial" w:hAnsi="Arial"/>
          <w:i/>
          <w:spacing w:val="39"/>
          <w:sz w:val="16"/>
        </w:rPr>
        <w:t> </w:t>
      </w:r>
      <w:r>
        <w:rPr>
          <w:rFonts w:ascii="Arial" w:hAnsi="Arial"/>
          <w:i/>
          <w:sz w:val="16"/>
        </w:rPr>
        <w:t>seleccionadas,</w:t>
      </w:r>
      <w:r>
        <w:rPr>
          <w:rFonts w:ascii="Arial" w:hAnsi="Arial"/>
          <w:i/>
          <w:spacing w:val="40"/>
          <w:sz w:val="16"/>
        </w:rPr>
        <w:t> </w:t>
      </w:r>
      <w:r>
        <w:rPr>
          <w:rFonts w:ascii="Arial" w:hAnsi="Arial"/>
          <w:i/>
          <w:spacing w:val="-5"/>
          <w:sz w:val="16"/>
        </w:rPr>
        <w:t>con</w:t>
      </w:r>
    </w:p>
    <w:p>
      <w:pPr>
        <w:pStyle w:val="BodyText"/>
        <w:spacing w:before="4"/>
        <w:rPr>
          <w:rFonts w:ascii="Arial"/>
          <w:i/>
          <w:sz w:val="19"/>
        </w:rPr>
      </w:pPr>
      <w:r>
        <w:rPr>
          <w:rFonts w:ascii="Arial"/>
          <w:i/>
          <w:sz w:val="19"/>
        </w:rPr>
        <mc:AlternateContent>
          <mc:Choice Requires="wps">
            <w:drawing>
              <wp:anchor distT="0" distB="0" distL="0" distR="0" allowOverlap="1" layoutInCell="1" locked="0" behindDoc="1" simplePos="0" relativeHeight="487620608">
                <wp:simplePos x="0" y="0"/>
                <wp:positionH relativeFrom="page">
                  <wp:posOffset>732155</wp:posOffset>
                </wp:positionH>
                <wp:positionV relativeFrom="paragraph">
                  <wp:posOffset>156569</wp:posOffset>
                </wp:positionV>
                <wp:extent cx="6131560" cy="1270"/>
                <wp:effectExtent l="0" t="0" r="0" b="0"/>
                <wp:wrapTopAndBottom/>
                <wp:docPr id="314" name="Graphic 314"/>
                <wp:cNvGraphicFramePr>
                  <a:graphicFrameLocks/>
                </wp:cNvGraphicFramePr>
                <a:graphic>
                  <a:graphicData uri="http://schemas.microsoft.com/office/word/2010/wordprocessingShape">
                    <wps:wsp>
                      <wps:cNvPr id="314" name="Graphic 314"/>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7.650002pt;margin-top:12.328343pt;width:482.8pt;height:.1pt;mso-position-horizontal-relative:page;mso-position-vertical-relative:paragraph;z-index:-15695872;mso-wrap-distance-left:0;mso-wrap-distance-right:0" id="docshape232" coordorigin="1153,247" coordsize="9656,0" path="m1153,247l10809,247e" filled="false" stroked="true" strokeweight=".75pt" strokecolor="#000000">
                <v:path arrowok="t"/>
                <v:stroke dashstyle="solid"/>
                <w10:wrap type="topAndBottom"/>
              </v:shape>
            </w:pict>
          </mc:Fallback>
        </mc:AlternateContent>
      </w:r>
    </w:p>
    <w:p>
      <w:pPr>
        <w:pStyle w:val="BodyText"/>
        <w:spacing w:after="0"/>
        <w:rPr>
          <w:rFonts w:ascii="Arial"/>
          <w:i/>
          <w:sz w:val="19"/>
        </w:rPr>
        <w:sectPr>
          <w:pgSz w:w="11900" w:h="16850"/>
          <w:pgMar w:header="370" w:footer="597" w:top="1380" w:bottom="780" w:left="992" w:right="283"/>
        </w:sectPr>
      </w:pPr>
    </w:p>
    <w:p>
      <w:pPr>
        <w:pStyle w:val="BodyText"/>
        <w:spacing w:before="176"/>
        <w:rPr>
          <w:rFonts w:ascii="Arial"/>
          <w:i/>
        </w:rPr>
      </w:pPr>
    </w:p>
    <w:p>
      <w:pPr>
        <w:pStyle w:val="BodyText"/>
        <w:ind w:left="3449" w:right="976"/>
        <w:jc w:val="both"/>
      </w:pPr>
      <w:r>
        <w:rPr/>
        <w:t>expresamente</w:t>
      </w:r>
      <w:r>
        <w:rPr>
          <w:spacing w:val="-16"/>
        </w:rPr>
        <w:t> </w:t>
      </w:r>
      <w:r>
        <w:rPr/>
        <w:t>el</w:t>
      </w:r>
      <w:r>
        <w:rPr>
          <w:spacing w:val="-15"/>
        </w:rPr>
        <w:t> </w:t>
      </w:r>
      <w:r>
        <w:rPr/>
        <w:t>uso</w:t>
      </w:r>
      <w:r>
        <w:rPr>
          <w:spacing w:val="-15"/>
        </w:rPr>
        <w:t> </w:t>
      </w:r>
      <w:r>
        <w:rPr/>
        <w:t>de</w:t>
      </w:r>
      <w:r>
        <w:rPr>
          <w:spacing w:val="-16"/>
        </w:rPr>
        <w:t> </w:t>
      </w:r>
      <w:r>
        <w:rPr/>
        <w:t>métodos</w:t>
      </w:r>
      <w:r>
        <w:rPr>
          <w:spacing w:val="-15"/>
        </w:rPr>
        <w:t> </w:t>
      </w:r>
      <w:r>
        <w:rPr/>
        <w:t>selectivos</w:t>
      </w:r>
      <w:r>
        <w:rPr>
          <w:spacing w:val="-15"/>
        </w:rPr>
        <w:t> </w:t>
      </w:r>
      <w:r>
        <w:rPr/>
        <w:t>basados</w:t>
      </w:r>
      <w:r>
        <w:rPr>
          <w:spacing w:val="-15"/>
        </w:rPr>
        <w:t> </w:t>
      </w:r>
      <w:r>
        <w:rPr/>
        <w:t>en</w:t>
      </w:r>
      <w:r>
        <w:rPr>
          <w:spacing w:val="-16"/>
        </w:rPr>
        <w:t> </w:t>
      </w:r>
      <w:r>
        <w:rPr/>
        <w:t>criterios de</w:t>
      </w:r>
      <w:r>
        <w:rPr>
          <w:spacing w:val="-7"/>
        </w:rPr>
        <w:t> </w:t>
      </w:r>
      <w:r>
        <w:rPr/>
        <w:t>riesgo,</w:t>
      </w:r>
      <w:r>
        <w:rPr>
          <w:spacing w:val="-6"/>
        </w:rPr>
        <w:t> </w:t>
      </w:r>
      <w:r>
        <w:rPr/>
        <w:t>permitiendo</w:t>
      </w:r>
      <w:r>
        <w:rPr>
          <w:spacing w:val="-7"/>
        </w:rPr>
        <w:t> </w:t>
      </w:r>
      <w:r>
        <w:rPr/>
        <w:t>acciones</w:t>
      </w:r>
      <w:r>
        <w:rPr>
          <w:spacing w:val="-7"/>
        </w:rPr>
        <w:t> </w:t>
      </w:r>
      <w:r>
        <w:rPr/>
        <w:t>de</w:t>
      </w:r>
      <w:r>
        <w:rPr>
          <w:spacing w:val="-10"/>
        </w:rPr>
        <w:t> </w:t>
      </w:r>
      <w:r>
        <w:rPr/>
        <w:t>investigación</w:t>
      </w:r>
      <w:r>
        <w:rPr>
          <w:spacing w:val="-10"/>
        </w:rPr>
        <w:t> </w:t>
      </w:r>
      <w:r>
        <w:rPr/>
        <w:t>focalizadas</w:t>
      </w:r>
      <w:r>
        <w:rPr>
          <w:spacing w:val="-7"/>
        </w:rPr>
        <w:t> </w:t>
      </w:r>
      <w:r>
        <w:rPr/>
        <w:t>en mercancías de determinados países.</w:t>
      </w:r>
    </w:p>
    <w:p>
      <w:pPr>
        <w:pStyle w:val="BodyText"/>
        <w:spacing w:before="1"/>
      </w:pPr>
    </w:p>
    <w:p>
      <w:pPr>
        <w:pStyle w:val="ListParagraph"/>
        <w:numPr>
          <w:ilvl w:val="2"/>
          <w:numId w:val="14"/>
        </w:numPr>
        <w:tabs>
          <w:tab w:pos="3449" w:val="left" w:leader="none"/>
        </w:tabs>
        <w:spacing w:line="240" w:lineRule="auto" w:before="0" w:after="0"/>
        <w:ind w:left="3449" w:right="976" w:hanging="360"/>
        <w:jc w:val="both"/>
        <w:rPr>
          <w:sz w:val="22"/>
        </w:rPr>
      </w:pPr>
      <w:r>
        <w:rPr>
          <w:rFonts w:ascii="Arial" w:hAnsi="Arial"/>
          <w:b/>
          <w:sz w:val="22"/>
        </w:rPr>
        <w:t>perfil de riesgo objetivo: </w:t>
      </w:r>
      <w:r>
        <w:rPr>
          <w:sz w:val="22"/>
        </w:rPr>
        <w:t>La selectividad responde a una </w:t>
      </w:r>
      <w:r>
        <w:rPr>
          <w:rFonts w:ascii="Arial" w:hAnsi="Arial"/>
          <w:b/>
          <w:sz w:val="22"/>
        </w:rPr>
        <w:t>"omisión sistemática" </w:t>
      </w:r>
      <w:r>
        <w:rPr>
          <w:sz w:val="22"/>
        </w:rPr>
        <w:t>de controles de salida en la República de</w:t>
      </w:r>
      <w:r>
        <w:rPr>
          <w:spacing w:val="-14"/>
          <w:sz w:val="22"/>
        </w:rPr>
        <w:t> </w:t>
      </w:r>
      <w:r>
        <w:rPr>
          <w:sz w:val="22"/>
        </w:rPr>
        <w:t>Colombia,</w:t>
      </w:r>
      <w:r>
        <w:rPr>
          <w:spacing w:val="-12"/>
          <w:sz w:val="22"/>
        </w:rPr>
        <w:t> </w:t>
      </w:r>
      <w:r>
        <w:rPr>
          <w:sz w:val="22"/>
        </w:rPr>
        <w:t>evidenciada</w:t>
      </w:r>
      <w:r>
        <w:rPr>
          <w:spacing w:val="-13"/>
          <w:sz w:val="22"/>
        </w:rPr>
        <w:t> </w:t>
      </w:r>
      <w:r>
        <w:rPr>
          <w:sz w:val="22"/>
        </w:rPr>
        <w:t>por</w:t>
      </w:r>
      <w:r>
        <w:rPr>
          <w:spacing w:val="-12"/>
          <w:sz w:val="22"/>
        </w:rPr>
        <w:t> </w:t>
      </w:r>
      <w:r>
        <w:rPr>
          <w:sz w:val="22"/>
        </w:rPr>
        <w:t>el</w:t>
      </w:r>
      <w:r>
        <w:rPr>
          <w:spacing w:val="-14"/>
          <w:sz w:val="22"/>
        </w:rPr>
        <w:t> </w:t>
      </w:r>
      <w:r>
        <w:rPr>
          <w:sz w:val="22"/>
        </w:rPr>
        <w:t>alto</w:t>
      </w:r>
      <w:r>
        <w:rPr>
          <w:spacing w:val="-13"/>
          <w:sz w:val="22"/>
        </w:rPr>
        <w:t> </w:t>
      </w:r>
      <w:r>
        <w:rPr>
          <w:sz w:val="22"/>
        </w:rPr>
        <w:t>volumen</w:t>
      </w:r>
      <w:r>
        <w:rPr>
          <w:spacing w:val="-14"/>
          <w:sz w:val="22"/>
        </w:rPr>
        <w:t> </w:t>
      </w:r>
      <w:r>
        <w:rPr>
          <w:sz w:val="22"/>
        </w:rPr>
        <w:t>de</w:t>
      </w:r>
      <w:r>
        <w:rPr>
          <w:spacing w:val="-16"/>
          <w:sz w:val="22"/>
        </w:rPr>
        <w:t> </w:t>
      </w:r>
      <w:r>
        <w:rPr>
          <w:sz w:val="22"/>
        </w:rPr>
        <w:t>aprehensiones de</w:t>
      </w:r>
      <w:r>
        <w:rPr>
          <w:spacing w:val="-5"/>
          <w:sz w:val="22"/>
        </w:rPr>
        <w:t> </w:t>
      </w:r>
      <w:r>
        <w:rPr>
          <w:sz w:val="22"/>
        </w:rPr>
        <w:t>contrabando</w:t>
      </w:r>
      <w:r>
        <w:rPr>
          <w:spacing w:val="-8"/>
          <w:sz w:val="22"/>
        </w:rPr>
        <w:t> </w:t>
      </w:r>
      <w:r>
        <w:rPr>
          <w:sz w:val="22"/>
        </w:rPr>
        <w:t>y</w:t>
      </w:r>
      <w:r>
        <w:rPr>
          <w:spacing w:val="-7"/>
          <w:sz w:val="22"/>
        </w:rPr>
        <w:t> </w:t>
      </w:r>
      <w:r>
        <w:rPr>
          <w:sz w:val="22"/>
        </w:rPr>
        <w:t>la</w:t>
      </w:r>
      <w:r>
        <w:rPr>
          <w:spacing w:val="-7"/>
          <w:sz w:val="22"/>
        </w:rPr>
        <w:t> </w:t>
      </w:r>
      <w:r>
        <w:rPr>
          <w:sz w:val="22"/>
        </w:rPr>
        <w:t>existencia</w:t>
      </w:r>
      <w:r>
        <w:rPr>
          <w:spacing w:val="-5"/>
          <w:sz w:val="22"/>
        </w:rPr>
        <w:t> </w:t>
      </w:r>
      <w:r>
        <w:rPr>
          <w:sz w:val="22"/>
        </w:rPr>
        <w:t>de</w:t>
      </w:r>
      <w:r>
        <w:rPr>
          <w:spacing w:val="-8"/>
          <w:sz w:val="22"/>
        </w:rPr>
        <w:t> </w:t>
      </w:r>
      <w:r>
        <w:rPr>
          <w:sz w:val="22"/>
        </w:rPr>
        <w:t>más</w:t>
      </w:r>
      <w:r>
        <w:rPr>
          <w:spacing w:val="-7"/>
          <w:sz w:val="22"/>
        </w:rPr>
        <w:t> </w:t>
      </w:r>
      <w:r>
        <w:rPr>
          <w:sz w:val="22"/>
        </w:rPr>
        <w:t>de</w:t>
      </w:r>
      <w:r>
        <w:rPr>
          <w:spacing w:val="-8"/>
          <w:sz w:val="22"/>
        </w:rPr>
        <w:t> </w:t>
      </w:r>
      <w:r>
        <w:rPr>
          <w:sz w:val="22"/>
        </w:rPr>
        <w:t>100</w:t>
      </w:r>
      <w:r>
        <w:rPr>
          <w:spacing w:val="-7"/>
          <w:sz w:val="22"/>
        </w:rPr>
        <w:t> </w:t>
      </w:r>
      <w:r>
        <w:rPr>
          <w:sz w:val="22"/>
        </w:rPr>
        <w:t>pasos</w:t>
      </w:r>
      <w:r>
        <w:rPr>
          <w:spacing w:val="-7"/>
          <w:sz w:val="22"/>
        </w:rPr>
        <w:t> </w:t>
      </w:r>
      <w:r>
        <w:rPr>
          <w:sz w:val="22"/>
        </w:rPr>
        <w:t>fronterizos no autorizados.</w:t>
      </w:r>
    </w:p>
    <w:p>
      <w:pPr>
        <w:pStyle w:val="ListParagraph"/>
        <w:numPr>
          <w:ilvl w:val="1"/>
          <w:numId w:val="14"/>
        </w:numPr>
        <w:tabs>
          <w:tab w:pos="2727" w:val="left" w:leader="none"/>
          <w:tab w:pos="2729" w:val="left" w:leader="none"/>
        </w:tabs>
        <w:spacing w:line="240" w:lineRule="auto" w:before="250" w:after="0"/>
        <w:ind w:left="2729" w:right="977" w:hanging="363"/>
        <w:jc w:val="both"/>
        <w:rPr>
          <w:rFonts w:ascii="Arial" w:hAnsi="Arial"/>
          <w:b/>
          <w:sz w:val="22"/>
        </w:rPr>
      </w:pPr>
      <w:r>
        <w:rPr>
          <w:rFonts w:ascii="Arial" w:hAnsi="Arial"/>
          <w:b/>
          <w:sz w:val="22"/>
        </w:rPr>
        <w:t>obligatoriedad</w:t>
      </w:r>
      <w:r>
        <w:rPr>
          <w:rFonts w:ascii="Arial" w:hAnsi="Arial"/>
          <w:b/>
          <w:spacing w:val="-1"/>
          <w:sz w:val="22"/>
        </w:rPr>
        <w:t> </w:t>
      </w:r>
      <w:r>
        <w:rPr>
          <w:rFonts w:ascii="Arial" w:hAnsi="Arial"/>
          <w:b/>
          <w:sz w:val="22"/>
        </w:rPr>
        <w:t>del pago no desnaturaliza la tasa:</w:t>
      </w:r>
      <w:r>
        <w:rPr>
          <w:rFonts w:ascii="Arial" w:hAnsi="Arial"/>
          <w:b/>
          <w:spacing w:val="40"/>
          <w:sz w:val="22"/>
        </w:rPr>
        <w:t> </w:t>
      </w:r>
      <w:r>
        <w:rPr>
          <w:sz w:val="22"/>
        </w:rPr>
        <w:t>La República del Ecuador sostiene que el carácter obligatorio del pago de la tasa no la convierte</w:t>
      </w:r>
      <w:r>
        <w:rPr>
          <w:spacing w:val="-1"/>
          <w:sz w:val="22"/>
        </w:rPr>
        <w:t> </w:t>
      </w:r>
      <w:r>
        <w:rPr>
          <w:sz w:val="22"/>
        </w:rPr>
        <w:t>en un gravamen ni desnaturaliza</w:t>
      </w:r>
      <w:r>
        <w:rPr>
          <w:spacing w:val="-1"/>
          <w:sz w:val="22"/>
        </w:rPr>
        <w:t> </w:t>
      </w:r>
      <w:r>
        <w:rPr>
          <w:sz w:val="22"/>
        </w:rPr>
        <w:t>su carácter</w:t>
      </w:r>
      <w:r>
        <w:rPr>
          <w:spacing w:val="-1"/>
          <w:sz w:val="22"/>
        </w:rPr>
        <w:t> </w:t>
      </w:r>
      <w:r>
        <w:rPr>
          <w:sz w:val="22"/>
        </w:rPr>
        <w:t>jurídico, porque esa obligatoriedad deriva del propio régimen aduanero y no de una finalidad fiscal o protectora. Argumenta que, en materia de importaciones,</w:t>
      </w:r>
      <w:r>
        <w:rPr>
          <w:spacing w:val="-12"/>
          <w:sz w:val="22"/>
        </w:rPr>
        <w:t> </w:t>
      </w:r>
      <w:r>
        <w:rPr>
          <w:sz w:val="22"/>
        </w:rPr>
        <w:t>la</w:t>
      </w:r>
      <w:r>
        <w:rPr>
          <w:spacing w:val="-16"/>
          <w:sz w:val="22"/>
        </w:rPr>
        <w:t> </w:t>
      </w:r>
      <w:r>
        <w:rPr>
          <w:sz w:val="22"/>
        </w:rPr>
        <w:t>“opción”</w:t>
      </w:r>
      <w:r>
        <w:rPr>
          <w:spacing w:val="-11"/>
          <w:sz w:val="22"/>
        </w:rPr>
        <w:t> </w:t>
      </w:r>
      <w:r>
        <w:rPr>
          <w:sz w:val="22"/>
        </w:rPr>
        <w:t>relevante</w:t>
      </w:r>
      <w:r>
        <w:rPr>
          <w:spacing w:val="-13"/>
          <w:sz w:val="22"/>
        </w:rPr>
        <w:t> </w:t>
      </w:r>
      <w:r>
        <w:rPr>
          <w:sz w:val="22"/>
        </w:rPr>
        <w:t>del</w:t>
      </w:r>
      <w:r>
        <w:rPr>
          <w:spacing w:val="-14"/>
          <w:sz w:val="22"/>
        </w:rPr>
        <w:t> </w:t>
      </w:r>
      <w:r>
        <w:rPr>
          <w:sz w:val="22"/>
        </w:rPr>
        <w:t>particular</w:t>
      </w:r>
      <w:r>
        <w:rPr>
          <w:spacing w:val="-15"/>
          <w:sz w:val="22"/>
        </w:rPr>
        <w:t> </w:t>
      </w:r>
      <w:r>
        <w:rPr>
          <w:sz w:val="22"/>
        </w:rPr>
        <w:t>es</w:t>
      </w:r>
      <w:r>
        <w:rPr>
          <w:spacing w:val="-13"/>
          <w:sz w:val="22"/>
        </w:rPr>
        <w:t> </w:t>
      </w:r>
      <w:r>
        <w:rPr>
          <w:sz w:val="22"/>
        </w:rPr>
        <w:t>decidir</w:t>
      </w:r>
      <w:r>
        <w:rPr>
          <w:spacing w:val="-12"/>
          <w:sz w:val="22"/>
        </w:rPr>
        <w:t> </w:t>
      </w:r>
      <w:r>
        <w:rPr>
          <w:sz w:val="22"/>
        </w:rPr>
        <w:t>si</w:t>
      </w:r>
      <w:r>
        <w:rPr>
          <w:spacing w:val="-14"/>
          <w:sz w:val="22"/>
        </w:rPr>
        <w:t> </w:t>
      </w:r>
      <w:r>
        <w:rPr>
          <w:sz w:val="22"/>
        </w:rPr>
        <w:t>introduce o no mercancías bajo el régimen alcanzado por la medida; una vez ejercida esa opción y activado el servicio público divisible de control reforzado, resulta normal que el sometimiento al aforo y al pago de la tasa deje de ser facultativo y pase a integrar el haz de obligaciones propias del procedimiento de despacho.</w:t>
      </w:r>
    </w:p>
    <w:p>
      <w:pPr>
        <w:pStyle w:val="BodyText"/>
        <w:spacing w:before="1"/>
      </w:pPr>
    </w:p>
    <w:p>
      <w:pPr>
        <w:pStyle w:val="ListParagraph"/>
        <w:numPr>
          <w:ilvl w:val="1"/>
          <w:numId w:val="14"/>
        </w:numPr>
        <w:tabs>
          <w:tab w:pos="2727" w:val="left" w:leader="none"/>
          <w:tab w:pos="2729" w:val="left" w:leader="none"/>
        </w:tabs>
        <w:spacing w:line="240" w:lineRule="auto" w:before="0" w:after="0"/>
        <w:ind w:left="2729" w:right="979" w:hanging="426"/>
        <w:jc w:val="both"/>
        <w:rPr>
          <w:rFonts w:ascii="Arial" w:hAnsi="Arial"/>
          <w:b/>
          <w:sz w:val="22"/>
        </w:rPr>
      </w:pPr>
      <w:r>
        <w:rPr>
          <w:rFonts w:ascii="Arial" w:hAnsi="Arial"/>
          <w:b/>
          <w:sz w:val="22"/>
        </w:rPr>
        <w:t>compatibilidad con el ordenamiento Multilateral: </w:t>
      </w:r>
      <w:r>
        <w:rPr>
          <w:sz w:val="22"/>
        </w:rPr>
        <w:t>el informe de la República del Ecuador alega que la estructura de la tasa es convergente</w:t>
      </w:r>
      <w:r>
        <w:rPr>
          <w:spacing w:val="-5"/>
          <w:sz w:val="22"/>
        </w:rPr>
        <w:t> </w:t>
      </w:r>
      <w:r>
        <w:rPr>
          <w:sz w:val="22"/>
        </w:rPr>
        <w:t>con</w:t>
      </w:r>
      <w:r>
        <w:rPr>
          <w:spacing w:val="-5"/>
          <w:sz w:val="22"/>
        </w:rPr>
        <w:t> </w:t>
      </w:r>
      <w:r>
        <w:rPr>
          <w:sz w:val="22"/>
        </w:rPr>
        <w:t>las</w:t>
      </w:r>
      <w:r>
        <w:rPr>
          <w:spacing w:val="-5"/>
          <w:sz w:val="22"/>
        </w:rPr>
        <w:t> </w:t>
      </w:r>
      <w:r>
        <w:rPr>
          <w:sz w:val="22"/>
        </w:rPr>
        <w:t>normas</w:t>
      </w:r>
      <w:r>
        <w:rPr>
          <w:spacing w:val="-5"/>
          <w:sz w:val="22"/>
        </w:rPr>
        <w:t> </w:t>
      </w:r>
      <w:r>
        <w:rPr>
          <w:sz w:val="22"/>
        </w:rPr>
        <w:t>de</w:t>
      </w:r>
      <w:r>
        <w:rPr>
          <w:spacing w:val="-5"/>
          <w:sz w:val="22"/>
        </w:rPr>
        <w:t> </w:t>
      </w:r>
      <w:r>
        <w:rPr>
          <w:sz w:val="22"/>
        </w:rPr>
        <w:t>la</w:t>
      </w:r>
      <w:r>
        <w:rPr>
          <w:spacing w:val="-3"/>
          <w:sz w:val="22"/>
        </w:rPr>
        <w:t> </w:t>
      </w:r>
      <w:r>
        <w:rPr>
          <w:rFonts w:ascii="Arial" w:hAnsi="Arial"/>
          <w:b/>
          <w:sz w:val="22"/>
        </w:rPr>
        <w:t>OMC</w:t>
      </w:r>
      <w:r>
        <w:rPr>
          <w:rFonts w:ascii="Arial" w:hAnsi="Arial"/>
          <w:b/>
          <w:spacing w:val="-8"/>
          <w:sz w:val="22"/>
        </w:rPr>
        <w:t> </w:t>
      </w:r>
      <w:r>
        <w:rPr>
          <w:rFonts w:ascii="Arial" w:hAnsi="Arial"/>
          <w:b/>
          <w:sz w:val="22"/>
        </w:rPr>
        <w:t>(GATT</w:t>
      </w:r>
      <w:r>
        <w:rPr>
          <w:rFonts w:ascii="Arial" w:hAnsi="Arial"/>
          <w:b/>
          <w:spacing w:val="-3"/>
          <w:sz w:val="22"/>
        </w:rPr>
        <w:t> </w:t>
      </w:r>
      <w:r>
        <w:rPr>
          <w:rFonts w:ascii="Arial" w:hAnsi="Arial"/>
          <w:b/>
          <w:sz w:val="22"/>
        </w:rPr>
        <w:t>de</w:t>
      </w:r>
      <w:r>
        <w:rPr>
          <w:rFonts w:ascii="Arial" w:hAnsi="Arial"/>
          <w:b/>
          <w:spacing w:val="-3"/>
          <w:sz w:val="22"/>
        </w:rPr>
        <w:t> </w:t>
      </w:r>
      <w:r>
        <w:rPr>
          <w:rFonts w:ascii="Arial" w:hAnsi="Arial"/>
          <w:b/>
          <w:sz w:val="22"/>
        </w:rPr>
        <w:t>1994)</w:t>
      </w:r>
      <w:r>
        <w:rPr>
          <w:sz w:val="22"/>
        </w:rPr>
        <w:t>.</w:t>
      </w:r>
      <w:r>
        <w:rPr>
          <w:spacing w:val="-4"/>
          <w:sz w:val="22"/>
        </w:rPr>
        <w:t> </w:t>
      </w:r>
      <w:r>
        <w:rPr>
          <w:sz w:val="22"/>
        </w:rPr>
        <w:t>Los</w:t>
      </w:r>
      <w:r>
        <w:rPr>
          <w:spacing w:val="-5"/>
          <w:sz w:val="22"/>
        </w:rPr>
        <w:t> </w:t>
      </w:r>
      <w:r>
        <w:rPr>
          <w:sz w:val="22"/>
        </w:rPr>
        <w:t>artículos </w:t>
      </w:r>
      <w:r>
        <w:rPr>
          <w:rFonts w:ascii="Arial" w:hAnsi="Arial"/>
          <w:b/>
          <w:sz w:val="22"/>
        </w:rPr>
        <w:t>II:2(c) y VIII:1(a) del GATT </w:t>
      </w:r>
      <w:r>
        <w:rPr>
          <w:sz w:val="22"/>
        </w:rPr>
        <w:t>permiten cargas que se limiten al costo aproximado de los servicios prestados, distinguiéndolas de los derechos de importación propiamente dichos.</w:t>
      </w:r>
    </w:p>
    <w:p>
      <w:pPr>
        <w:pStyle w:val="BodyText"/>
      </w:pPr>
    </w:p>
    <w:p>
      <w:pPr>
        <w:pStyle w:val="ListParagraph"/>
        <w:numPr>
          <w:ilvl w:val="1"/>
          <w:numId w:val="14"/>
        </w:numPr>
        <w:tabs>
          <w:tab w:pos="2727" w:val="left" w:leader="none"/>
          <w:tab w:pos="2729" w:val="left" w:leader="none"/>
        </w:tabs>
        <w:spacing w:line="240" w:lineRule="auto" w:before="1" w:after="0"/>
        <w:ind w:left="2729" w:right="979" w:hanging="486"/>
        <w:jc w:val="both"/>
        <w:rPr>
          <w:rFonts w:ascii="Arial" w:hAnsi="Arial"/>
          <w:b/>
          <w:sz w:val="22"/>
        </w:rPr>
      </w:pPr>
      <w:r>
        <w:rPr>
          <w:rFonts w:ascii="Arial" w:hAnsi="Arial"/>
          <w:b/>
          <w:sz w:val="22"/>
        </w:rPr>
        <w:t>inexistencia de Sanción Unilateral: </w:t>
      </w:r>
      <w:r>
        <w:rPr>
          <w:sz w:val="22"/>
        </w:rPr>
        <w:t>la República del Ecuador aclara que la medida no</w:t>
      </w:r>
      <w:r>
        <w:rPr>
          <w:spacing w:val="-1"/>
          <w:sz w:val="22"/>
        </w:rPr>
        <w:t> </w:t>
      </w:r>
      <w:r>
        <w:rPr>
          <w:sz w:val="22"/>
        </w:rPr>
        <w:t>es</w:t>
      </w:r>
      <w:r>
        <w:rPr>
          <w:spacing w:val="-1"/>
          <w:sz w:val="22"/>
        </w:rPr>
        <w:t> </w:t>
      </w:r>
      <w:r>
        <w:rPr>
          <w:sz w:val="22"/>
        </w:rPr>
        <w:t>una</w:t>
      </w:r>
      <w:r>
        <w:rPr>
          <w:spacing w:val="-1"/>
          <w:sz w:val="22"/>
        </w:rPr>
        <w:t> </w:t>
      </w:r>
      <w:r>
        <w:rPr>
          <w:sz w:val="22"/>
        </w:rPr>
        <w:t>represalia ni una</w:t>
      </w:r>
      <w:r>
        <w:rPr>
          <w:spacing w:val="-1"/>
          <w:sz w:val="22"/>
        </w:rPr>
        <w:t> </w:t>
      </w:r>
      <w:r>
        <w:rPr>
          <w:sz w:val="22"/>
        </w:rPr>
        <w:t>sanción contra</w:t>
      </w:r>
      <w:r>
        <w:rPr>
          <w:spacing w:val="-1"/>
          <w:sz w:val="22"/>
        </w:rPr>
        <w:t> </w:t>
      </w:r>
      <w:r>
        <w:rPr>
          <w:sz w:val="22"/>
        </w:rPr>
        <w:t>la República de Colombia. Es una respuesta de</w:t>
      </w:r>
      <w:r>
        <w:rPr>
          <w:spacing w:val="-1"/>
          <w:sz w:val="22"/>
        </w:rPr>
        <w:t> </w:t>
      </w:r>
      <w:r>
        <w:rPr>
          <w:sz w:val="22"/>
        </w:rPr>
        <w:t>seguridad nacional frente</w:t>
      </w:r>
      <w:r>
        <w:rPr>
          <w:spacing w:val="-1"/>
          <w:sz w:val="22"/>
        </w:rPr>
        <w:t> </w:t>
      </w:r>
      <w:r>
        <w:rPr>
          <w:sz w:val="22"/>
        </w:rPr>
        <w:t>a riesgos documentados (tráfico de armas, licores, cigarrillos y precursores) que trasladan una carga operativa y financiera adicional al Estado </w:t>
      </w:r>
      <w:r>
        <w:rPr>
          <w:spacing w:val="-2"/>
          <w:sz w:val="22"/>
        </w:rPr>
        <w:t>ecuatoriano.</w:t>
      </w:r>
    </w:p>
    <w:p>
      <w:pPr>
        <w:pStyle w:val="BodyText"/>
        <w:spacing w:before="24"/>
      </w:pPr>
    </w:p>
    <w:p>
      <w:pPr>
        <w:pStyle w:val="Heading5"/>
        <w:numPr>
          <w:ilvl w:val="0"/>
          <w:numId w:val="10"/>
        </w:numPr>
        <w:tabs>
          <w:tab w:pos="850" w:val="left" w:leader="none"/>
        </w:tabs>
        <w:spacing w:line="240" w:lineRule="auto" w:before="0" w:after="0"/>
        <w:ind w:left="850" w:right="0" w:hanging="282"/>
        <w:jc w:val="left"/>
        <w:rPr>
          <w:rFonts w:ascii="Arial MT" w:hAnsi="Arial MT"/>
          <w:b w:val="0"/>
        </w:rPr>
      </w:pPr>
      <w:r>
        <w:rPr/>
        <w:t>INFORMACIÓN</w:t>
      </w:r>
      <w:r>
        <w:rPr>
          <w:spacing w:val="-7"/>
        </w:rPr>
        <w:t> </w:t>
      </w:r>
      <w:r>
        <w:rPr/>
        <w:t>DE</w:t>
      </w:r>
      <w:r>
        <w:rPr>
          <w:spacing w:val="-4"/>
        </w:rPr>
        <w:t> </w:t>
      </w:r>
      <w:r>
        <w:rPr/>
        <w:t>LOS</w:t>
      </w:r>
      <w:r>
        <w:rPr>
          <w:spacing w:val="-3"/>
        </w:rPr>
        <w:t> </w:t>
      </w:r>
      <w:r>
        <w:rPr/>
        <w:t>DEMÁS</w:t>
      </w:r>
      <w:r>
        <w:rPr>
          <w:spacing w:val="-7"/>
        </w:rPr>
        <w:t> </w:t>
      </w:r>
      <w:r>
        <w:rPr/>
        <w:t>PAÍSES</w:t>
      </w:r>
      <w:r>
        <w:rPr>
          <w:spacing w:val="-5"/>
        </w:rPr>
        <w:t> </w:t>
      </w:r>
      <w:r>
        <w:rPr>
          <w:spacing w:val="-2"/>
        </w:rPr>
        <w:t>MIEMBROS</w:t>
      </w:r>
    </w:p>
    <w:p>
      <w:pPr>
        <w:pStyle w:val="ListParagraph"/>
        <w:numPr>
          <w:ilvl w:val="0"/>
          <w:numId w:val="11"/>
        </w:numPr>
        <w:tabs>
          <w:tab w:pos="1130" w:val="left" w:leader="none"/>
          <w:tab w:pos="1134" w:val="left" w:leader="none"/>
        </w:tabs>
        <w:spacing w:line="240" w:lineRule="auto" w:before="251" w:after="0"/>
        <w:ind w:left="1134" w:right="979" w:hanging="567"/>
        <w:jc w:val="both"/>
        <w:rPr>
          <w:sz w:val="22"/>
        </w:rPr>
      </w:pPr>
      <w:r>
        <w:rPr>
          <w:sz w:val="22"/>
        </w:rPr>
        <w:t>Con relación a la presentación de la información adicional, corresponde señalar que el Estado Plurinacional de Bolivia y la República del Perú no presentaron comentarios o información en el marco del presente procedimiento.</w:t>
      </w:r>
    </w:p>
    <w:p>
      <w:pPr>
        <w:pStyle w:val="BodyText"/>
        <w:rPr>
          <w:sz w:val="20"/>
        </w:rPr>
      </w:pPr>
    </w:p>
    <w:p>
      <w:pPr>
        <w:pStyle w:val="BodyText"/>
        <w:rPr>
          <w:sz w:val="20"/>
        </w:rPr>
      </w:pPr>
    </w:p>
    <w:p>
      <w:pPr>
        <w:pStyle w:val="BodyText"/>
        <w:spacing w:before="126"/>
        <w:rPr>
          <w:sz w:val="20"/>
        </w:rPr>
      </w:pPr>
      <w:r>
        <w:rPr>
          <w:sz w:val="20"/>
        </w:rPr>
        <mc:AlternateContent>
          <mc:Choice Requires="wps">
            <w:drawing>
              <wp:anchor distT="0" distB="0" distL="0" distR="0" allowOverlap="1" layoutInCell="1" locked="0" behindDoc="1" simplePos="0" relativeHeight="487621120">
                <wp:simplePos x="0" y="0"/>
                <wp:positionH relativeFrom="page">
                  <wp:posOffset>990904</wp:posOffset>
                </wp:positionH>
                <wp:positionV relativeFrom="paragraph">
                  <wp:posOffset>241461</wp:posOffset>
                </wp:positionV>
                <wp:extent cx="1829435" cy="7620"/>
                <wp:effectExtent l="0" t="0" r="0" b="0"/>
                <wp:wrapTopAndBottom/>
                <wp:docPr id="315" name="Graphic 315"/>
                <wp:cNvGraphicFramePr>
                  <a:graphicFrameLocks/>
                </wp:cNvGraphicFramePr>
                <a:graphic>
                  <a:graphicData uri="http://schemas.microsoft.com/office/word/2010/wordprocessingShape">
                    <wps:wsp>
                      <wps:cNvPr id="315" name="Graphic 315"/>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9.012733pt;width:144.020pt;height:.60004pt;mso-position-horizontal-relative:page;mso-position-vertical-relative:paragraph;z-index:-15695360;mso-wrap-distance-left:0;mso-wrap-distance-right:0" id="docshape233" filled="true" fillcolor="#000000" stroked="false">
                <v:fill type="solid"/>
                <w10:wrap type="topAndBottom"/>
              </v:rect>
            </w:pict>
          </mc:Fallback>
        </mc:AlternateContent>
      </w:r>
    </w:p>
    <w:p>
      <w:pPr>
        <w:spacing w:before="92"/>
        <w:ind w:left="568" w:right="982" w:firstLine="0"/>
        <w:jc w:val="both"/>
        <w:rPr>
          <w:rFonts w:ascii="Arial" w:hAnsi="Arial"/>
          <w:i/>
          <w:sz w:val="16"/>
        </w:rPr>
      </w:pPr>
      <w:r>
        <w:rPr>
          <w:rFonts w:ascii="Arial" w:hAnsi="Arial"/>
          <w:i/>
          <w:sz w:val="16"/>
        </w:rPr>
        <w:t>independencia del tipo de aforo, cualquiera que sea el régimen aduanero solicitado. Las Administraciones Aduaneras de los Países</w:t>
      </w:r>
      <w:r>
        <w:rPr>
          <w:rFonts w:ascii="Arial" w:hAnsi="Arial"/>
          <w:i/>
          <w:spacing w:val="-5"/>
          <w:sz w:val="16"/>
        </w:rPr>
        <w:t> </w:t>
      </w:r>
      <w:r>
        <w:rPr>
          <w:rFonts w:ascii="Arial" w:hAnsi="Arial"/>
          <w:i/>
          <w:sz w:val="16"/>
        </w:rPr>
        <w:t>Miembros</w:t>
      </w:r>
      <w:r>
        <w:rPr>
          <w:rFonts w:ascii="Arial" w:hAnsi="Arial"/>
          <w:i/>
          <w:spacing w:val="-3"/>
          <w:sz w:val="16"/>
        </w:rPr>
        <w:t> </w:t>
      </w:r>
      <w:r>
        <w:rPr>
          <w:rFonts w:ascii="Arial" w:hAnsi="Arial"/>
          <w:i/>
          <w:sz w:val="16"/>
        </w:rPr>
        <w:t>podrán</w:t>
      </w:r>
      <w:r>
        <w:rPr>
          <w:rFonts w:ascii="Arial" w:hAnsi="Arial"/>
          <w:i/>
          <w:spacing w:val="-4"/>
          <w:sz w:val="16"/>
        </w:rPr>
        <w:t> </w:t>
      </w:r>
      <w:r>
        <w:rPr>
          <w:rFonts w:ascii="Arial" w:hAnsi="Arial"/>
          <w:i/>
          <w:sz w:val="16"/>
        </w:rPr>
        <w:t>encomendar</w:t>
      </w:r>
      <w:r>
        <w:rPr>
          <w:rFonts w:ascii="Arial" w:hAnsi="Arial"/>
          <w:i/>
          <w:spacing w:val="-4"/>
          <w:sz w:val="16"/>
        </w:rPr>
        <w:t> </w:t>
      </w:r>
      <w:r>
        <w:rPr>
          <w:rFonts w:ascii="Arial" w:hAnsi="Arial"/>
          <w:i/>
          <w:sz w:val="16"/>
        </w:rPr>
        <w:t>las</w:t>
      </w:r>
      <w:r>
        <w:rPr>
          <w:rFonts w:ascii="Arial" w:hAnsi="Arial"/>
          <w:i/>
          <w:spacing w:val="-3"/>
          <w:sz w:val="16"/>
        </w:rPr>
        <w:t> </w:t>
      </w:r>
      <w:r>
        <w:rPr>
          <w:rFonts w:ascii="Arial" w:hAnsi="Arial"/>
          <w:i/>
          <w:sz w:val="16"/>
        </w:rPr>
        <w:t>labores</w:t>
      </w:r>
      <w:r>
        <w:rPr>
          <w:rFonts w:ascii="Arial" w:hAnsi="Arial"/>
          <w:i/>
          <w:spacing w:val="-3"/>
          <w:sz w:val="16"/>
        </w:rPr>
        <w:t> </w:t>
      </w:r>
      <w:r>
        <w:rPr>
          <w:rFonts w:ascii="Arial" w:hAnsi="Arial"/>
          <w:i/>
          <w:sz w:val="16"/>
        </w:rPr>
        <w:t>de</w:t>
      </w:r>
      <w:r>
        <w:rPr>
          <w:rFonts w:ascii="Arial" w:hAnsi="Arial"/>
          <w:i/>
          <w:spacing w:val="-7"/>
          <w:sz w:val="16"/>
        </w:rPr>
        <w:t> </w:t>
      </w:r>
      <w:r>
        <w:rPr>
          <w:rFonts w:ascii="Arial" w:hAnsi="Arial"/>
          <w:i/>
          <w:sz w:val="16"/>
        </w:rPr>
        <w:t>control</w:t>
      </w:r>
      <w:r>
        <w:rPr>
          <w:rFonts w:ascii="Arial" w:hAnsi="Arial"/>
          <w:i/>
          <w:spacing w:val="-3"/>
          <w:sz w:val="16"/>
        </w:rPr>
        <w:t> </w:t>
      </w:r>
      <w:r>
        <w:rPr>
          <w:rFonts w:ascii="Arial" w:hAnsi="Arial"/>
          <w:i/>
          <w:sz w:val="16"/>
        </w:rPr>
        <w:t>e</w:t>
      </w:r>
      <w:r>
        <w:rPr>
          <w:rFonts w:ascii="Arial" w:hAnsi="Arial"/>
          <w:i/>
          <w:spacing w:val="-4"/>
          <w:sz w:val="16"/>
        </w:rPr>
        <w:t> </w:t>
      </w:r>
      <w:r>
        <w:rPr>
          <w:rFonts w:ascii="Arial" w:hAnsi="Arial"/>
          <w:i/>
          <w:sz w:val="16"/>
        </w:rPr>
        <w:t>investigación</w:t>
      </w:r>
      <w:r>
        <w:rPr>
          <w:rFonts w:ascii="Arial" w:hAnsi="Arial"/>
          <w:i/>
          <w:spacing w:val="-5"/>
          <w:sz w:val="16"/>
        </w:rPr>
        <w:t> </w:t>
      </w:r>
      <w:r>
        <w:rPr>
          <w:rFonts w:ascii="Arial" w:hAnsi="Arial"/>
          <w:i/>
          <w:sz w:val="16"/>
        </w:rPr>
        <w:t>a</w:t>
      </w:r>
      <w:r>
        <w:rPr>
          <w:rFonts w:ascii="Arial" w:hAnsi="Arial"/>
          <w:i/>
          <w:spacing w:val="-4"/>
          <w:sz w:val="16"/>
        </w:rPr>
        <w:t> </w:t>
      </w:r>
      <w:r>
        <w:rPr>
          <w:rFonts w:ascii="Arial" w:hAnsi="Arial"/>
          <w:i/>
          <w:sz w:val="16"/>
        </w:rPr>
        <w:t>las</w:t>
      </w:r>
      <w:r>
        <w:rPr>
          <w:rFonts w:ascii="Arial" w:hAnsi="Arial"/>
          <w:i/>
          <w:spacing w:val="-3"/>
          <w:sz w:val="16"/>
        </w:rPr>
        <w:t> </w:t>
      </w:r>
      <w:r>
        <w:rPr>
          <w:rFonts w:ascii="Arial" w:hAnsi="Arial"/>
          <w:i/>
          <w:sz w:val="16"/>
        </w:rPr>
        <w:t>unidades</w:t>
      </w:r>
      <w:r>
        <w:rPr>
          <w:rFonts w:ascii="Arial" w:hAnsi="Arial"/>
          <w:i/>
          <w:spacing w:val="-3"/>
          <w:sz w:val="16"/>
        </w:rPr>
        <w:t> </w:t>
      </w:r>
      <w:r>
        <w:rPr>
          <w:rFonts w:ascii="Arial" w:hAnsi="Arial"/>
          <w:i/>
          <w:sz w:val="16"/>
        </w:rPr>
        <w:t>establecidas</w:t>
      </w:r>
      <w:r>
        <w:rPr>
          <w:rFonts w:ascii="Arial" w:hAnsi="Arial"/>
          <w:i/>
          <w:spacing w:val="-3"/>
          <w:sz w:val="16"/>
        </w:rPr>
        <w:t> </w:t>
      </w:r>
      <w:r>
        <w:rPr>
          <w:rFonts w:ascii="Arial" w:hAnsi="Arial"/>
          <w:i/>
          <w:sz w:val="16"/>
        </w:rPr>
        <w:t>en</w:t>
      </w:r>
      <w:r>
        <w:rPr>
          <w:rFonts w:ascii="Arial" w:hAnsi="Arial"/>
          <w:i/>
          <w:spacing w:val="-4"/>
          <w:sz w:val="16"/>
        </w:rPr>
        <w:t> </w:t>
      </w:r>
      <w:r>
        <w:rPr>
          <w:rFonts w:ascii="Arial" w:hAnsi="Arial"/>
          <w:i/>
          <w:sz w:val="16"/>
        </w:rPr>
        <w:t>la</w:t>
      </w:r>
      <w:r>
        <w:rPr>
          <w:rFonts w:ascii="Arial" w:hAnsi="Arial"/>
          <w:i/>
          <w:spacing w:val="-4"/>
          <w:sz w:val="16"/>
        </w:rPr>
        <w:t> </w:t>
      </w:r>
      <w:r>
        <w:rPr>
          <w:rFonts w:ascii="Arial" w:hAnsi="Arial"/>
          <w:i/>
          <w:sz w:val="16"/>
        </w:rPr>
        <w:t>misma</w:t>
      </w:r>
      <w:r>
        <w:rPr>
          <w:rFonts w:ascii="Arial" w:hAnsi="Arial"/>
          <w:i/>
          <w:spacing w:val="-4"/>
          <w:sz w:val="16"/>
        </w:rPr>
        <w:t> </w:t>
      </w:r>
      <w:r>
        <w:rPr>
          <w:rFonts w:ascii="Arial" w:hAnsi="Arial"/>
          <w:i/>
          <w:sz w:val="16"/>
        </w:rPr>
        <w:t>aduana</w:t>
      </w:r>
      <w:r>
        <w:rPr>
          <w:rFonts w:ascii="Arial" w:hAnsi="Arial"/>
          <w:i/>
          <w:spacing w:val="-4"/>
          <w:sz w:val="16"/>
        </w:rPr>
        <w:t> </w:t>
      </w:r>
      <w:r>
        <w:rPr>
          <w:rFonts w:ascii="Arial" w:hAnsi="Arial"/>
          <w:i/>
          <w:sz w:val="16"/>
        </w:rPr>
        <w:t>de despacho</w:t>
      </w:r>
      <w:r>
        <w:rPr>
          <w:rFonts w:ascii="Arial" w:hAnsi="Arial"/>
          <w:i/>
          <w:spacing w:val="-7"/>
          <w:sz w:val="16"/>
        </w:rPr>
        <w:t> </w:t>
      </w:r>
      <w:r>
        <w:rPr>
          <w:rFonts w:ascii="Arial" w:hAnsi="Arial"/>
          <w:i/>
          <w:sz w:val="16"/>
        </w:rPr>
        <w:t>en</w:t>
      </w:r>
      <w:r>
        <w:rPr>
          <w:rFonts w:ascii="Arial" w:hAnsi="Arial"/>
          <w:i/>
          <w:spacing w:val="-9"/>
          <w:sz w:val="16"/>
        </w:rPr>
        <w:t> </w:t>
      </w:r>
      <w:r>
        <w:rPr>
          <w:rFonts w:ascii="Arial" w:hAnsi="Arial"/>
          <w:i/>
          <w:sz w:val="16"/>
        </w:rPr>
        <w:t>la</w:t>
      </w:r>
      <w:r>
        <w:rPr>
          <w:rFonts w:ascii="Arial" w:hAnsi="Arial"/>
          <w:i/>
          <w:spacing w:val="-6"/>
          <w:sz w:val="16"/>
        </w:rPr>
        <w:t> </w:t>
      </w:r>
      <w:r>
        <w:rPr>
          <w:rFonts w:ascii="Arial" w:hAnsi="Arial"/>
          <w:i/>
          <w:sz w:val="16"/>
        </w:rPr>
        <w:t>que</w:t>
      </w:r>
      <w:r>
        <w:rPr>
          <w:rFonts w:ascii="Arial" w:hAnsi="Arial"/>
          <w:i/>
          <w:spacing w:val="-9"/>
          <w:sz w:val="16"/>
        </w:rPr>
        <w:t> </w:t>
      </w:r>
      <w:r>
        <w:rPr>
          <w:rFonts w:ascii="Arial" w:hAnsi="Arial"/>
          <w:i/>
          <w:sz w:val="16"/>
        </w:rPr>
        <w:t>tuvo</w:t>
      </w:r>
      <w:r>
        <w:rPr>
          <w:rFonts w:ascii="Arial" w:hAnsi="Arial"/>
          <w:i/>
          <w:spacing w:val="-9"/>
          <w:sz w:val="16"/>
        </w:rPr>
        <w:t> </w:t>
      </w:r>
      <w:r>
        <w:rPr>
          <w:rFonts w:ascii="Arial" w:hAnsi="Arial"/>
          <w:i/>
          <w:sz w:val="16"/>
        </w:rPr>
        <w:t>lugar</w:t>
      </w:r>
      <w:r>
        <w:rPr>
          <w:rFonts w:ascii="Arial" w:hAnsi="Arial"/>
          <w:i/>
          <w:spacing w:val="-7"/>
          <w:sz w:val="16"/>
        </w:rPr>
        <w:t> </w:t>
      </w:r>
      <w:r>
        <w:rPr>
          <w:rFonts w:ascii="Arial" w:hAnsi="Arial"/>
          <w:i/>
          <w:sz w:val="16"/>
        </w:rPr>
        <w:t>el</w:t>
      </w:r>
      <w:r>
        <w:rPr>
          <w:rFonts w:ascii="Arial" w:hAnsi="Arial"/>
          <w:i/>
          <w:spacing w:val="-6"/>
          <w:sz w:val="16"/>
        </w:rPr>
        <w:t> </w:t>
      </w:r>
      <w:r>
        <w:rPr>
          <w:rFonts w:ascii="Arial" w:hAnsi="Arial"/>
          <w:i/>
          <w:sz w:val="16"/>
        </w:rPr>
        <w:t>reconocimiento</w:t>
      </w:r>
      <w:r>
        <w:rPr>
          <w:rFonts w:ascii="Arial" w:hAnsi="Arial"/>
          <w:i/>
          <w:spacing w:val="-9"/>
          <w:sz w:val="16"/>
        </w:rPr>
        <w:t> </w:t>
      </w:r>
      <w:r>
        <w:rPr>
          <w:rFonts w:ascii="Arial" w:hAnsi="Arial"/>
          <w:i/>
          <w:sz w:val="16"/>
        </w:rPr>
        <w:t>y</w:t>
      </w:r>
      <w:r>
        <w:rPr>
          <w:rFonts w:ascii="Arial" w:hAnsi="Arial"/>
          <w:i/>
          <w:spacing w:val="-7"/>
          <w:sz w:val="16"/>
        </w:rPr>
        <w:t> </w:t>
      </w:r>
      <w:r>
        <w:rPr>
          <w:rFonts w:ascii="Arial" w:hAnsi="Arial"/>
          <w:i/>
          <w:sz w:val="16"/>
        </w:rPr>
        <w:t>aforo</w:t>
      </w:r>
      <w:r>
        <w:rPr>
          <w:rFonts w:ascii="Arial" w:hAnsi="Arial"/>
          <w:i/>
          <w:spacing w:val="-7"/>
          <w:sz w:val="16"/>
        </w:rPr>
        <w:t> </w:t>
      </w:r>
      <w:r>
        <w:rPr>
          <w:rFonts w:ascii="Arial" w:hAnsi="Arial"/>
          <w:i/>
          <w:sz w:val="16"/>
        </w:rPr>
        <w:t>de</w:t>
      </w:r>
      <w:r>
        <w:rPr>
          <w:rFonts w:ascii="Arial" w:hAnsi="Arial"/>
          <w:i/>
          <w:spacing w:val="-9"/>
          <w:sz w:val="16"/>
        </w:rPr>
        <w:t> </w:t>
      </w:r>
      <w:r>
        <w:rPr>
          <w:rFonts w:ascii="Arial" w:hAnsi="Arial"/>
          <w:i/>
          <w:sz w:val="16"/>
        </w:rPr>
        <w:t>las</w:t>
      </w:r>
      <w:r>
        <w:rPr>
          <w:rFonts w:ascii="Arial" w:hAnsi="Arial"/>
          <w:i/>
          <w:spacing w:val="-8"/>
          <w:sz w:val="16"/>
        </w:rPr>
        <w:t> </w:t>
      </w:r>
      <w:r>
        <w:rPr>
          <w:rFonts w:ascii="Arial" w:hAnsi="Arial"/>
          <w:i/>
          <w:sz w:val="16"/>
        </w:rPr>
        <w:t>mercancías</w:t>
      </w:r>
      <w:r>
        <w:rPr>
          <w:rFonts w:ascii="Arial" w:hAnsi="Arial"/>
          <w:i/>
          <w:spacing w:val="-5"/>
          <w:sz w:val="16"/>
        </w:rPr>
        <w:t> </w:t>
      </w:r>
      <w:r>
        <w:rPr>
          <w:rFonts w:ascii="Arial" w:hAnsi="Arial"/>
          <w:i/>
          <w:sz w:val="16"/>
        </w:rPr>
        <w:t>declaradas</w:t>
      </w:r>
      <w:r>
        <w:rPr>
          <w:rFonts w:ascii="Arial" w:hAnsi="Arial"/>
          <w:i/>
          <w:spacing w:val="-5"/>
          <w:sz w:val="16"/>
        </w:rPr>
        <w:t> </w:t>
      </w:r>
      <w:r>
        <w:rPr>
          <w:rFonts w:ascii="Arial" w:hAnsi="Arial"/>
          <w:i/>
          <w:sz w:val="16"/>
        </w:rPr>
        <w:t>o</w:t>
      </w:r>
      <w:r>
        <w:rPr>
          <w:rFonts w:ascii="Arial" w:hAnsi="Arial"/>
          <w:i/>
          <w:spacing w:val="-9"/>
          <w:sz w:val="16"/>
        </w:rPr>
        <w:t> </w:t>
      </w:r>
      <w:r>
        <w:rPr>
          <w:rFonts w:ascii="Arial" w:hAnsi="Arial"/>
          <w:i/>
          <w:sz w:val="16"/>
        </w:rPr>
        <w:t>a</w:t>
      </w:r>
      <w:r>
        <w:rPr>
          <w:rFonts w:ascii="Arial" w:hAnsi="Arial"/>
          <w:i/>
          <w:spacing w:val="-7"/>
          <w:sz w:val="16"/>
        </w:rPr>
        <w:t> </w:t>
      </w:r>
      <w:r>
        <w:rPr>
          <w:rFonts w:ascii="Arial" w:hAnsi="Arial"/>
          <w:i/>
          <w:sz w:val="16"/>
        </w:rPr>
        <w:t>las</w:t>
      </w:r>
      <w:r>
        <w:rPr>
          <w:rFonts w:ascii="Arial" w:hAnsi="Arial"/>
          <w:i/>
          <w:spacing w:val="-5"/>
          <w:sz w:val="16"/>
        </w:rPr>
        <w:t> </w:t>
      </w:r>
      <w:r>
        <w:rPr>
          <w:rFonts w:ascii="Arial" w:hAnsi="Arial"/>
          <w:i/>
          <w:sz w:val="16"/>
        </w:rPr>
        <w:t>unidades</w:t>
      </w:r>
      <w:r>
        <w:rPr>
          <w:rFonts w:ascii="Arial" w:hAnsi="Arial"/>
          <w:i/>
          <w:spacing w:val="-5"/>
          <w:sz w:val="16"/>
        </w:rPr>
        <w:t> </w:t>
      </w:r>
      <w:r>
        <w:rPr>
          <w:rFonts w:ascii="Arial" w:hAnsi="Arial"/>
          <w:i/>
          <w:sz w:val="16"/>
        </w:rPr>
        <w:t>pertenecientes</w:t>
      </w:r>
      <w:r>
        <w:rPr>
          <w:rFonts w:ascii="Arial" w:hAnsi="Arial"/>
          <w:i/>
          <w:spacing w:val="-5"/>
          <w:sz w:val="16"/>
        </w:rPr>
        <w:t> </w:t>
      </w:r>
      <w:r>
        <w:rPr>
          <w:rFonts w:ascii="Arial" w:hAnsi="Arial"/>
          <w:i/>
          <w:sz w:val="16"/>
        </w:rPr>
        <w:t>a</w:t>
      </w:r>
      <w:r>
        <w:rPr>
          <w:rFonts w:ascii="Arial" w:hAnsi="Arial"/>
          <w:i/>
          <w:spacing w:val="-7"/>
          <w:sz w:val="16"/>
        </w:rPr>
        <w:t> </w:t>
      </w:r>
      <w:r>
        <w:rPr>
          <w:rFonts w:ascii="Arial" w:hAnsi="Arial"/>
          <w:i/>
          <w:sz w:val="16"/>
        </w:rPr>
        <w:t>un</w:t>
      </w:r>
      <w:r>
        <w:rPr>
          <w:rFonts w:ascii="Arial" w:hAnsi="Arial"/>
          <w:i/>
          <w:spacing w:val="-9"/>
          <w:sz w:val="16"/>
        </w:rPr>
        <w:t> </w:t>
      </w:r>
      <w:r>
        <w:rPr>
          <w:rFonts w:ascii="Arial" w:hAnsi="Arial"/>
          <w:i/>
          <w:sz w:val="16"/>
        </w:rPr>
        <w:t>área centralizada nacional o regional.</w:t>
      </w:r>
    </w:p>
    <w:p>
      <w:pPr>
        <w:spacing w:line="182" w:lineRule="exact" w:before="0"/>
        <w:ind w:left="568" w:right="0" w:firstLine="0"/>
        <w:jc w:val="left"/>
        <w:rPr>
          <w:rFonts w:ascii="Arial" w:hAnsi="Arial"/>
          <w:i/>
          <w:sz w:val="16"/>
        </w:rPr>
      </w:pPr>
      <w:r>
        <w:rPr>
          <w:rFonts w:ascii="Arial" w:hAnsi="Arial"/>
          <w:i/>
          <w:spacing w:val="-4"/>
          <w:sz w:val="16"/>
        </w:rPr>
        <w:t>(….)</w:t>
      </w:r>
    </w:p>
    <w:p>
      <w:pPr>
        <w:spacing w:before="1"/>
        <w:ind w:left="568" w:right="984" w:firstLine="0"/>
        <w:jc w:val="both"/>
        <w:rPr>
          <w:rFonts w:ascii="Arial" w:hAnsi="Arial"/>
          <w:i/>
          <w:sz w:val="16"/>
        </w:rPr>
      </w:pPr>
      <w:r>
        <w:rPr>
          <w:rFonts w:ascii="Arial" w:hAnsi="Arial"/>
          <w:b/>
          <w:i/>
          <w:sz w:val="16"/>
        </w:rPr>
        <w:t>Artículo 8</w:t>
      </w:r>
      <w:r>
        <w:rPr>
          <w:rFonts w:ascii="Arial" w:hAnsi="Arial"/>
          <w:i/>
          <w:sz w:val="16"/>
        </w:rPr>
        <w:t>.- El control anterior o previo se efectuará mediante: a) Acciones de investigación de carácter general sobre: i. Determinados grupos de riesgo y sectores económicos sensibles; ii. Determinados operadores del comercio; iii. Determinadas clases</w:t>
      </w:r>
      <w:r>
        <w:rPr>
          <w:rFonts w:ascii="Arial" w:hAnsi="Arial"/>
          <w:i/>
          <w:spacing w:val="-4"/>
          <w:sz w:val="16"/>
        </w:rPr>
        <w:t> </w:t>
      </w:r>
      <w:r>
        <w:rPr>
          <w:rFonts w:ascii="Arial" w:hAnsi="Arial"/>
          <w:i/>
          <w:sz w:val="16"/>
        </w:rPr>
        <w:t>de</w:t>
      </w:r>
      <w:r>
        <w:rPr>
          <w:rFonts w:ascii="Arial" w:hAnsi="Arial"/>
          <w:i/>
          <w:spacing w:val="-5"/>
          <w:sz w:val="16"/>
        </w:rPr>
        <w:t> </w:t>
      </w:r>
      <w:r>
        <w:rPr>
          <w:rFonts w:ascii="Arial" w:hAnsi="Arial"/>
          <w:i/>
          <w:sz w:val="16"/>
        </w:rPr>
        <w:t>mercancías;</w:t>
      </w:r>
      <w:r>
        <w:rPr>
          <w:rFonts w:ascii="Arial" w:hAnsi="Arial"/>
          <w:i/>
          <w:spacing w:val="-4"/>
          <w:sz w:val="16"/>
        </w:rPr>
        <w:t> </w:t>
      </w:r>
      <w:r>
        <w:rPr>
          <w:rFonts w:ascii="Arial" w:hAnsi="Arial"/>
          <w:i/>
          <w:sz w:val="16"/>
        </w:rPr>
        <w:t>o,</w:t>
      </w:r>
      <w:r>
        <w:rPr>
          <w:rFonts w:ascii="Arial" w:hAnsi="Arial"/>
          <w:i/>
          <w:spacing w:val="-4"/>
          <w:sz w:val="16"/>
        </w:rPr>
        <w:t> </w:t>
      </w:r>
      <w:r>
        <w:rPr>
          <w:rFonts w:ascii="Arial" w:hAnsi="Arial"/>
          <w:i/>
          <w:sz w:val="16"/>
        </w:rPr>
        <w:t>iv.</w:t>
      </w:r>
      <w:r>
        <w:rPr>
          <w:rFonts w:ascii="Arial" w:hAnsi="Arial"/>
          <w:i/>
          <w:spacing w:val="-4"/>
          <w:sz w:val="16"/>
        </w:rPr>
        <w:t> </w:t>
      </w:r>
      <w:r>
        <w:rPr>
          <w:rFonts w:ascii="Arial" w:hAnsi="Arial"/>
          <w:i/>
          <w:sz w:val="16"/>
        </w:rPr>
        <w:t>Mercancías</w:t>
      </w:r>
      <w:r>
        <w:rPr>
          <w:rFonts w:ascii="Arial" w:hAnsi="Arial"/>
          <w:i/>
          <w:spacing w:val="-1"/>
          <w:sz w:val="16"/>
        </w:rPr>
        <w:t> </w:t>
      </w:r>
      <w:r>
        <w:rPr>
          <w:rFonts w:ascii="Arial" w:hAnsi="Arial"/>
          <w:i/>
          <w:sz w:val="16"/>
        </w:rPr>
        <w:t>procedentes</w:t>
      </w:r>
      <w:r>
        <w:rPr>
          <w:rFonts w:ascii="Arial" w:hAnsi="Arial"/>
          <w:i/>
          <w:spacing w:val="-4"/>
          <w:sz w:val="16"/>
        </w:rPr>
        <w:t> </w:t>
      </w:r>
      <w:r>
        <w:rPr>
          <w:rFonts w:ascii="Arial" w:hAnsi="Arial"/>
          <w:i/>
          <w:sz w:val="16"/>
        </w:rPr>
        <w:t>u</w:t>
      </w:r>
      <w:r>
        <w:rPr>
          <w:rFonts w:ascii="Arial" w:hAnsi="Arial"/>
          <w:i/>
          <w:spacing w:val="-6"/>
          <w:sz w:val="16"/>
        </w:rPr>
        <w:t> </w:t>
      </w:r>
      <w:r>
        <w:rPr>
          <w:rFonts w:ascii="Arial" w:hAnsi="Arial"/>
          <w:i/>
          <w:sz w:val="16"/>
        </w:rPr>
        <w:t>originarias</w:t>
      </w:r>
      <w:r>
        <w:rPr>
          <w:rFonts w:ascii="Arial" w:hAnsi="Arial"/>
          <w:i/>
          <w:spacing w:val="-4"/>
          <w:sz w:val="16"/>
        </w:rPr>
        <w:t> </w:t>
      </w:r>
      <w:r>
        <w:rPr>
          <w:rFonts w:ascii="Arial" w:hAnsi="Arial"/>
          <w:i/>
          <w:sz w:val="16"/>
        </w:rPr>
        <w:t>de</w:t>
      </w:r>
      <w:r>
        <w:rPr>
          <w:rFonts w:ascii="Arial" w:hAnsi="Arial"/>
          <w:i/>
          <w:spacing w:val="-3"/>
          <w:sz w:val="16"/>
        </w:rPr>
        <w:t> </w:t>
      </w:r>
      <w:r>
        <w:rPr>
          <w:rFonts w:ascii="Arial" w:hAnsi="Arial"/>
          <w:i/>
          <w:sz w:val="16"/>
        </w:rPr>
        <w:t>determinados</w:t>
      </w:r>
      <w:r>
        <w:rPr>
          <w:rFonts w:ascii="Arial" w:hAnsi="Arial"/>
          <w:i/>
          <w:spacing w:val="-1"/>
          <w:sz w:val="16"/>
        </w:rPr>
        <w:t> </w:t>
      </w:r>
      <w:r>
        <w:rPr>
          <w:rFonts w:ascii="Arial" w:hAnsi="Arial"/>
          <w:i/>
          <w:sz w:val="16"/>
        </w:rPr>
        <w:t>países.</w:t>
      </w:r>
      <w:r>
        <w:rPr>
          <w:rFonts w:ascii="Arial" w:hAnsi="Arial"/>
          <w:i/>
          <w:spacing w:val="-4"/>
          <w:sz w:val="16"/>
        </w:rPr>
        <w:t> </w:t>
      </w:r>
      <w:r>
        <w:rPr>
          <w:rFonts w:ascii="Arial" w:hAnsi="Arial"/>
          <w:i/>
          <w:sz w:val="16"/>
        </w:rPr>
        <w:t>b)</w:t>
      </w:r>
      <w:r>
        <w:rPr>
          <w:rFonts w:ascii="Arial" w:hAnsi="Arial"/>
          <w:i/>
          <w:spacing w:val="-5"/>
          <w:sz w:val="16"/>
        </w:rPr>
        <w:t> </w:t>
      </w:r>
      <w:r>
        <w:rPr>
          <w:rFonts w:ascii="Arial" w:hAnsi="Arial"/>
          <w:i/>
          <w:sz w:val="16"/>
        </w:rPr>
        <w:t>Acciones</w:t>
      </w:r>
      <w:r>
        <w:rPr>
          <w:rFonts w:ascii="Arial" w:hAnsi="Arial"/>
          <w:i/>
          <w:spacing w:val="-1"/>
          <w:sz w:val="16"/>
        </w:rPr>
        <w:t> </w:t>
      </w:r>
      <w:r>
        <w:rPr>
          <w:rFonts w:ascii="Arial" w:hAnsi="Arial"/>
          <w:i/>
          <w:sz w:val="16"/>
        </w:rPr>
        <w:t>de</w:t>
      </w:r>
      <w:r>
        <w:rPr>
          <w:rFonts w:ascii="Arial" w:hAnsi="Arial"/>
          <w:i/>
          <w:spacing w:val="-6"/>
          <w:sz w:val="16"/>
        </w:rPr>
        <w:t> </w:t>
      </w:r>
      <w:r>
        <w:rPr>
          <w:rFonts w:ascii="Arial" w:hAnsi="Arial"/>
          <w:i/>
          <w:sz w:val="16"/>
        </w:rPr>
        <w:t>investigación</w:t>
      </w:r>
      <w:r>
        <w:rPr>
          <w:rFonts w:ascii="Arial" w:hAnsi="Arial"/>
          <w:i/>
          <w:spacing w:val="-3"/>
          <w:sz w:val="16"/>
        </w:rPr>
        <w:t> </w:t>
      </w:r>
      <w:r>
        <w:rPr>
          <w:rFonts w:ascii="Arial" w:hAnsi="Arial"/>
          <w:i/>
          <w:sz w:val="16"/>
        </w:rPr>
        <w:t>directa sobre: i. El consignatario, el importador o exportador de las mercancías, las personas que intervengan en la operación como intermediarios o representantes y demás personas poseedoras de mercancías e información de interés para la Administración Aduanera; ii. La información contenida en los manifiestos, documentos de transporte, declaraciones y demás documentos soporte; iii. Los medios de transporte; iv. Las unidades de carga; v. Las mercancías descargadas; o, vi. Registros informáticos.</w:t>
      </w:r>
    </w:p>
    <w:p>
      <w:pPr>
        <w:pStyle w:val="ListParagraph"/>
        <w:numPr>
          <w:ilvl w:val="0"/>
          <w:numId w:val="15"/>
        </w:numPr>
        <w:tabs>
          <w:tab w:pos="741" w:val="left" w:leader="none"/>
        </w:tabs>
        <w:spacing w:line="240" w:lineRule="auto" w:before="1" w:after="0"/>
        <w:ind w:left="568" w:right="978" w:firstLine="0"/>
        <w:jc w:val="both"/>
        <w:rPr>
          <w:rFonts w:ascii="Arial" w:hAnsi="Arial"/>
          <w:i/>
          <w:sz w:val="16"/>
        </w:rPr>
      </w:pPr>
      <w:r>
        <w:rPr>
          <w:rFonts w:ascii="Arial" w:hAnsi="Arial"/>
          <w:i/>
          <w:sz w:val="16"/>
        </w:rPr>
        <w:t>Acciones</w:t>
      </w:r>
      <w:r>
        <w:rPr>
          <w:rFonts w:ascii="Arial" w:hAnsi="Arial"/>
          <w:i/>
          <w:spacing w:val="-6"/>
          <w:sz w:val="16"/>
        </w:rPr>
        <w:t> </w:t>
      </w:r>
      <w:r>
        <w:rPr>
          <w:rFonts w:ascii="Arial" w:hAnsi="Arial"/>
          <w:i/>
          <w:sz w:val="16"/>
        </w:rPr>
        <w:t>de</w:t>
      </w:r>
      <w:r>
        <w:rPr>
          <w:rFonts w:ascii="Arial" w:hAnsi="Arial"/>
          <w:i/>
          <w:spacing w:val="-6"/>
          <w:sz w:val="16"/>
        </w:rPr>
        <w:t> </w:t>
      </w:r>
      <w:r>
        <w:rPr>
          <w:rFonts w:ascii="Arial" w:hAnsi="Arial"/>
          <w:i/>
          <w:sz w:val="16"/>
        </w:rPr>
        <w:t>comprobación,</w:t>
      </w:r>
      <w:r>
        <w:rPr>
          <w:rFonts w:ascii="Arial" w:hAnsi="Arial"/>
          <w:i/>
          <w:spacing w:val="-7"/>
          <w:sz w:val="16"/>
        </w:rPr>
        <w:t> </w:t>
      </w:r>
      <w:r>
        <w:rPr>
          <w:rFonts w:ascii="Arial" w:hAnsi="Arial"/>
          <w:i/>
          <w:sz w:val="16"/>
        </w:rPr>
        <w:t>vigilancia</w:t>
      </w:r>
      <w:r>
        <w:rPr>
          <w:rFonts w:ascii="Arial" w:hAnsi="Arial"/>
          <w:i/>
          <w:spacing w:val="-8"/>
          <w:sz w:val="16"/>
        </w:rPr>
        <w:t> </w:t>
      </w:r>
      <w:r>
        <w:rPr>
          <w:rFonts w:ascii="Arial" w:hAnsi="Arial"/>
          <w:i/>
          <w:sz w:val="16"/>
        </w:rPr>
        <w:t>y</w:t>
      </w:r>
      <w:r>
        <w:rPr>
          <w:rFonts w:ascii="Arial" w:hAnsi="Arial"/>
          <w:i/>
          <w:spacing w:val="-7"/>
          <w:sz w:val="16"/>
        </w:rPr>
        <w:t> </w:t>
      </w:r>
      <w:r>
        <w:rPr>
          <w:rFonts w:ascii="Arial" w:hAnsi="Arial"/>
          <w:i/>
          <w:sz w:val="16"/>
        </w:rPr>
        <w:t>control:</w:t>
      </w:r>
      <w:r>
        <w:rPr>
          <w:rFonts w:ascii="Arial" w:hAnsi="Arial"/>
          <w:i/>
          <w:spacing w:val="-6"/>
          <w:sz w:val="16"/>
        </w:rPr>
        <w:t> </w:t>
      </w:r>
      <w:r>
        <w:rPr>
          <w:rFonts w:ascii="Arial" w:hAnsi="Arial"/>
          <w:i/>
          <w:sz w:val="16"/>
        </w:rPr>
        <w:t>i.</w:t>
      </w:r>
      <w:r>
        <w:rPr>
          <w:rFonts w:ascii="Arial" w:hAnsi="Arial"/>
          <w:i/>
          <w:spacing w:val="-6"/>
          <w:sz w:val="16"/>
        </w:rPr>
        <w:t> </w:t>
      </w:r>
      <w:r>
        <w:rPr>
          <w:rFonts w:ascii="Arial" w:hAnsi="Arial"/>
          <w:i/>
          <w:sz w:val="16"/>
        </w:rPr>
        <w:t>Del</w:t>
      </w:r>
      <w:r>
        <w:rPr>
          <w:rFonts w:ascii="Arial" w:hAnsi="Arial"/>
          <w:i/>
          <w:spacing w:val="-5"/>
          <w:sz w:val="16"/>
        </w:rPr>
        <w:t> </w:t>
      </w:r>
      <w:r>
        <w:rPr>
          <w:rFonts w:ascii="Arial" w:hAnsi="Arial"/>
          <w:i/>
          <w:sz w:val="16"/>
        </w:rPr>
        <w:t>medio</w:t>
      </w:r>
      <w:r>
        <w:rPr>
          <w:rFonts w:ascii="Arial" w:hAnsi="Arial"/>
          <w:i/>
          <w:spacing w:val="-8"/>
          <w:sz w:val="16"/>
        </w:rPr>
        <w:t> </w:t>
      </w:r>
      <w:r>
        <w:rPr>
          <w:rFonts w:ascii="Arial" w:hAnsi="Arial"/>
          <w:i/>
          <w:sz w:val="16"/>
        </w:rPr>
        <w:t>de</w:t>
      </w:r>
      <w:r>
        <w:rPr>
          <w:rFonts w:ascii="Arial" w:hAnsi="Arial"/>
          <w:i/>
          <w:spacing w:val="-6"/>
          <w:sz w:val="16"/>
        </w:rPr>
        <w:t> </w:t>
      </w:r>
      <w:r>
        <w:rPr>
          <w:rFonts w:ascii="Arial" w:hAnsi="Arial"/>
          <w:i/>
          <w:sz w:val="16"/>
        </w:rPr>
        <w:t>transporte</w:t>
      </w:r>
      <w:r>
        <w:rPr>
          <w:rFonts w:ascii="Arial" w:hAnsi="Arial"/>
          <w:i/>
          <w:spacing w:val="-8"/>
          <w:sz w:val="16"/>
        </w:rPr>
        <w:t> </w:t>
      </w:r>
      <w:r>
        <w:rPr>
          <w:rFonts w:ascii="Arial" w:hAnsi="Arial"/>
          <w:i/>
          <w:sz w:val="16"/>
        </w:rPr>
        <w:t>y</w:t>
      </w:r>
      <w:r>
        <w:rPr>
          <w:rFonts w:ascii="Arial" w:hAnsi="Arial"/>
          <w:i/>
          <w:spacing w:val="-4"/>
          <w:sz w:val="16"/>
        </w:rPr>
        <w:t> </w:t>
      </w:r>
      <w:r>
        <w:rPr>
          <w:rFonts w:ascii="Arial" w:hAnsi="Arial"/>
          <w:i/>
          <w:sz w:val="16"/>
        </w:rPr>
        <w:t>de</w:t>
      </w:r>
      <w:r>
        <w:rPr>
          <w:rFonts w:ascii="Arial" w:hAnsi="Arial"/>
          <w:i/>
          <w:spacing w:val="-6"/>
          <w:sz w:val="16"/>
        </w:rPr>
        <w:t> </w:t>
      </w:r>
      <w:r>
        <w:rPr>
          <w:rFonts w:ascii="Arial" w:hAnsi="Arial"/>
          <w:i/>
          <w:sz w:val="16"/>
        </w:rPr>
        <w:t>las</w:t>
      </w:r>
      <w:r>
        <w:rPr>
          <w:rFonts w:ascii="Arial" w:hAnsi="Arial"/>
          <w:i/>
          <w:spacing w:val="-4"/>
          <w:sz w:val="16"/>
        </w:rPr>
        <w:t> </w:t>
      </w:r>
      <w:r>
        <w:rPr>
          <w:rFonts w:ascii="Arial" w:hAnsi="Arial"/>
          <w:i/>
          <w:sz w:val="16"/>
        </w:rPr>
        <w:t>unidades</w:t>
      </w:r>
      <w:r>
        <w:rPr>
          <w:rFonts w:ascii="Arial" w:hAnsi="Arial"/>
          <w:i/>
          <w:spacing w:val="-4"/>
          <w:sz w:val="16"/>
        </w:rPr>
        <w:t> </w:t>
      </w:r>
      <w:r>
        <w:rPr>
          <w:rFonts w:ascii="Arial" w:hAnsi="Arial"/>
          <w:i/>
          <w:sz w:val="16"/>
        </w:rPr>
        <w:t>de</w:t>
      </w:r>
      <w:r>
        <w:rPr>
          <w:rFonts w:ascii="Arial" w:hAnsi="Arial"/>
          <w:i/>
          <w:spacing w:val="-8"/>
          <w:sz w:val="16"/>
        </w:rPr>
        <w:t> </w:t>
      </w:r>
      <w:r>
        <w:rPr>
          <w:rFonts w:ascii="Arial" w:hAnsi="Arial"/>
          <w:i/>
          <w:sz w:val="16"/>
        </w:rPr>
        <w:t>carga;</w:t>
      </w:r>
      <w:r>
        <w:rPr>
          <w:rFonts w:ascii="Arial" w:hAnsi="Arial"/>
          <w:i/>
          <w:spacing w:val="-4"/>
          <w:sz w:val="16"/>
        </w:rPr>
        <w:t> </w:t>
      </w:r>
      <w:r>
        <w:rPr>
          <w:rFonts w:ascii="Arial" w:hAnsi="Arial"/>
          <w:i/>
          <w:sz w:val="16"/>
        </w:rPr>
        <w:t>o,</w:t>
      </w:r>
      <w:r>
        <w:rPr>
          <w:rFonts w:ascii="Arial" w:hAnsi="Arial"/>
          <w:i/>
          <w:spacing w:val="-7"/>
          <w:sz w:val="16"/>
        </w:rPr>
        <w:t> </w:t>
      </w:r>
      <w:r>
        <w:rPr>
          <w:rFonts w:ascii="Arial" w:hAnsi="Arial"/>
          <w:i/>
          <w:sz w:val="16"/>
        </w:rPr>
        <w:t>ii.</w:t>
      </w:r>
      <w:r>
        <w:rPr>
          <w:rFonts w:ascii="Arial" w:hAnsi="Arial"/>
          <w:i/>
          <w:spacing w:val="-7"/>
          <w:sz w:val="16"/>
        </w:rPr>
        <w:t> </w:t>
      </w:r>
      <w:r>
        <w:rPr>
          <w:rFonts w:ascii="Arial" w:hAnsi="Arial"/>
          <w:i/>
          <w:sz w:val="16"/>
        </w:rPr>
        <w:t>De</w:t>
      </w:r>
      <w:r>
        <w:rPr>
          <w:rFonts w:ascii="Arial" w:hAnsi="Arial"/>
          <w:i/>
          <w:spacing w:val="-6"/>
          <w:sz w:val="16"/>
        </w:rPr>
        <w:t> </w:t>
      </w:r>
      <w:r>
        <w:rPr>
          <w:rFonts w:ascii="Arial" w:hAnsi="Arial"/>
          <w:i/>
          <w:sz w:val="16"/>
        </w:rPr>
        <w:t>las</w:t>
      </w:r>
      <w:r>
        <w:rPr>
          <w:rFonts w:ascii="Arial" w:hAnsi="Arial"/>
          <w:i/>
          <w:spacing w:val="-7"/>
          <w:sz w:val="16"/>
        </w:rPr>
        <w:t> </w:t>
      </w:r>
      <w:r>
        <w:rPr>
          <w:rFonts w:ascii="Arial" w:hAnsi="Arial"/>
          <w:i/>
          <w:sz w:val="16"/>
        </w:rPr>
        <w:t>mercancías, mientras éstas permanezcan a bordo del medio de</w:t>
      </w:r>
      <w:r>
        <w:rPr>
          <w:rFonts w:ascii="Arial" w:hAnsi="Arial"/>
          <w:i/>
          <w:spacing w:val="-2"/>
          <w:sz w:val="16"/>
        </w:rPr>
        <w:t> </w:t>
      </w:r>
      <w:r>
        <w:rPr>
          <w:rFonts w:ascii="Arial" w:hAnsi="Arial"/>
          <w:i/>
          <w:sz w:val="16"/>
        </w:rPr>
        <w:t>transporte, durante la descarga</w:t>
      </w:r>
      <w:r>
        <w:rPr>
          <w:rFonts w:ascii="Arial" w:hAnsi="Arial"/>
          <w:i/>
          <w:spacing w:val="-2"/>
          <w:sz w:val="16"/>
        </w:rPr>
        <w:t> </w:t>
      </w:r>
      <w:r>
        <w:rPr>
          <w:rFonts w:ascii="Arial" w:hAnsi="Arial"/>
          <w:i/>
          <w:sz w:val="16"/>
        </w:rPr>
        <w:t>y del</w:t>
      </w:r>
      <w:r>
        <w:rPr>
          <w:rFonts w:ascii="Arial" w:hAnsi="Arial"/>
          <w:i/>
          <w:spacing w:val="-1"/>
          <w:sz w:val="16"/>
        </w:rPr>
        <w:t> </w:t>
      </w:r>
      <w:r>
        <w:rPr>
          <w:rFonts w:ascii="Arial" w:hAnsi="Arial"/>
          <w:i/>
          <w:sz w:val="16"/>
        </w:rPr>
        <w:t>resultado de</w:t>
      </w:r>
      <w:r>
        <w:rPr>
          <w:rFonts w:ascii="Arial" w:hAnsi="Arial"/>
          <w:i/>
          <w:spacing w:val="-2"/>
          <w:sz w:val="16"/>
        </w:rPr>
        <w:t> </w:t>
      </w:r>
      <w:r>
        <w:rPr>
          <w:rFonts w:ascii="Arial" w:hAnsi="Arial"/>
          <w:i/>
          <w:sz w:val="16"/>
        </w:rPr>
        <w:t>la descarga,</w:t>
      </w:r>
      <w:r>
        <w:rPr>
          <w:rFonts w:ascii="Arial" w:hAnsi="Arial"/>
          <w:i/>
          <w:spacing w:val="-1"/>
          <w:sz w:val="16"/>
        </w:rPr>
        <w:t> </w:t>
      </w:r>
      <w:r>
        <w:rPr>
          <w:rFonts w:ascii="Arial" w:hAnsi="Arial"/>
          <w:i/>
          <w:sz w:val="16"/>
        </w:rPr>
        <w:t>y durante</w:t>
      </w:r>
      <w:r>
        <w:rPr>
          <w:rFonts w:ascii="Arial" w:hAnsi="Arial"/>
          <w:i/>
          <w:spacing w:val="-2"/>
          <w:sz w:val="16"/>
        </w:rPr>
        <w:t> </w:t>
      </w:r>
      <w:r>
        <w:rPr>
          <w:rFonts w:ascii="Arial" w:hAnsi="Arial"/>
          <w:i/>
          <w:sz w:val="16"/>
        </w:rPr>
        <w:t>su</w:t>
      </w:r>
    </w:p>
    <w:p>
      <w:pPr>
        <w:tabs>
          <w:tab w:pos="9816" w:val="left" w:leader="none"/>
        </w:tabs>
        <w:spacing w:line="183" w:lineRule="exact" w:before="0"/>
        <w:ind w:left="160" w:right="0" w:firstLine="0"/>
        <w:jc w:val="both"/>
        <w:rPr>
          <w:rFonts w:ascii="Arial" w:hAnsi="Arial"/>
          <w:i/>
          <w:sz w:val="16"/>
        </w:rPr>
      </w:pPr>
      <w:r>
        <w:rPr>
          <w:rFonts w:ascii="Times New Roman" w:hAnsi="Times New Roman"/>
          <w:spacing w:val="68"/>
          <w:w w:val="150"/>
          <w:sz w:val="16"/>
          <w:u w:val="single"/>
        </w:rPr>
        <w:t>   </w:t>
      </w:r>
      <w:r>
        <w:rPr>
          <w:rFonts w:ascii="Arial" w:hAnsi="Arial"/>
          <w:i/>
          <w:sz w:val="16"/>
          <w:u w:val="single"/>
        </w:rPr>
        <w:t>traslado</w:t>
      </w:r>
      <w:r>
        <w:rPr>
          <w:rFonts w:ascii="Arial" w:hAnsi="Arial"/>
          <w:i/>
          <w:spacing w:val="-2"/>
          <w:sz w:val="16"/>
          <w:u w:val="single"/>
        </w:rPr>
        <w:t> </w:t>
      </w:r>
      <w:r>
        <w:rPr>
          <w:rFonts w:ascii="Arial" w:hAnsi="Arial"/>
          <w:i/>
          <w:sz w:val="16"/>
          <w:u w:val="single"/>
        </w:rPr>
        <w:t>y permanencia</w:t>
      </w:r>
      <w:r>
        <w:rPr>
          <w:rFonts w:ascii="Arial" w:hAnsi="Arial"/>
          <w:i/>
          <w:spacing w:val="-3"/>
          <w:sz w:val="16"/>
          <w:u w:val="single"/>
        </w:rPr>
        <w:t> </w:t>
      </w:r>
      <w:r>
        <w:rPr>
          <w:rFonts w:ascii="Arial" w:hAnsi="Arial"/>
          <w:i/>
          <w:sz w:val="16"/>
          <w:u w:val="single"/>
        </w:rPr>
        <w:t>en</w:t>
      </w:r>
      <w:r>
        <w:rPr>
          <w:rFonts w:ascii="Arial" w:hAnsi="Arial"/>
          <w:i/>
          <w:spacing w:val="-5"/>
          <w:sz w:val="16"/>
          <w:u w:val="single"/>
        </w:rPr>
        <w:t> </w:t>
      </w:r>
      <w:r>
        <w:rPr>
          <w:rFonts w:ascii="Arial" w:hAnsi="Arial"/>
          <w:i/>
          <w:sz w:val="16"/>
          <w:u w:val="single"/>
        </w:rPr>
        <w:t>almacén</w:t>
      </w:r>
      <w:r>
        <w:rPr>
          <w:rFonts w:ascii="Arial" w:hAnsi="Arial"/>
          <w:i/>
          <w:spacing w:val="-2"/>
          <w:sz w:val="16"/>
          <w:u w:val="single"/>
        </w:rPr>
        <w:t> </w:t>
      </w:r>
      <w:r>
        <w:rPr>
          <w:rFonts w:ascii="Arial" w:hAnsi="Arial"/>
          <w:i/>
          <w:sz w:val="16"/>
          <w:u w:val="single"/>
        </w:rPr>
        <w:t>temporal</w:t>
      </w:r>
      <w:r>
        <w:rPr>
          <w:rFonts w:ascii="Arial" w:hAnsi="Arial"/>
          <w:i/>
          <w:spacing w:val="-1"/>
          <w:sz w:val="16"/>
          <w:u w:val="single"/>
        </w:rPr>
        <w:t> </w:t>
      </w:r>
      <w:r>
        <w:rPr>
          <w:rFonts w:ascii="Arial" w:hAnsi="Arial"/>
          <w:i/>
          <w:sz w:val="16"/>
          <w:u w:val="single"/>
        </w:rPr>
        <w:t>o</w:t>
      </w:r>
      <w:r>
        <w:rPr>
          <w:rFonts w:ascii="Arial" w:hAnsi="Arial"/>
          <w:i/>
          <w:spacing w:val="-5"/>
          <w:sz w:val="16"/>
          <w:u w:val="single"/>
        </w:rPr>
        <w:t> </w:t>
      </w:r>
      <w:r>
        <w:rPr>
          <w:rFonts w:ascii="Arial" w:hAnsi="Arial"/>
          <w:i/>
          <w:sz w:val="16"/>
          <w:u w:val="single"/>
        </w:rPr>
        <w:t>en</w:t>
      </w:r>
      <w:r>
        <w:rPr>
          <w:rFonts w:ascii="Arial" w:hAnsi="Arial"/>
          <w:i/>
          <w:spacing w:val="-2"/>
          <w:sz w:val="16"/>
          <w:u w:val="single"/>
        </w:rPr>
        <w:t> </w:t>
      </w:r>
      <w:r>
        <w:rPr>
          <w:rFonts w:ascii="Arial" w:hAnsi="Arial"/>
          <w:i/>
          <w:sz w:val="16"/>
          <w:u w:val="single"/>
        </w:rPr>
        <w:t>depósito</w:t>
      </w:r>
      <w:r>
        <w:rPr>
          <w:rFonts w:ascii="Arial" w:hAnsi="Arial"/>
          <w:i/>
          <w:spacing w:val="-5"/>
          <w:sz w:val="16"/>
          <w:u w:val="single"/>
        </w:rPr>
        <w:t> </w:t>
      </w:r>
      <w:r>
        <w:rPr>
          <w:rFonts w:ascii="Arial" w:hAnsi="Arial"/>
          <w:i/>
          <w:spacing w:val="-2"/>
          <w:sz w:val="16"/>
          <w:u w:val="single"/>
        </w:rPr>
        <w:t>autorizado.”</w:t>
      </w:r>
      <w:r>
        <w:rPr>
          <w:rFonts w:ascii="Arial" w:hAnsi="Arial"/>
          <w:i/>
          <w:sz w:val="16"/>
          <w:u w:val="single"/>
        </w:rPr>
        <w:tab/>
      </w:r>
    </w:p>
    <w:p>
      <w:pPr>
        <w:spacing w:after="0" w:line="183" w:lineRule="exact"/>
        <w:jc w:val="both"/>
        <w:rPr>
          <w:rFonts w:ascii="Arial" w:hAnsi="Arial"/>
          <w:i/>
          <w:sz w:val="16"/>
        </w:rPr>
        <w:sectPr>
          <w:pgSz w:w="11900" w:h="16850"/>
          <w:pgMar w:header="370" w:footer="597" w:top="1380" w:bottom="780" w:left="992" w:right="283"/>
        </w:sectPr>
      </w:pPr>
    </w:p>
    <w:p>
      <w:pPr>
        <w:pStyle w:val="BodyText"/>
        <w:spacing w:before="176"/>
        <w:rPr>
          <w:rFonts w:ascii="Arial"/>
          <w:i/>
        </w:rPr>
      </w:pPr>
    </w:p>
    <w:p>
      <w:pPr>
        <w:pStyle w:val="Heading5"/>
        <w:numPr>
          <w:ilvl w:val="0"/>
          <w:numId w:val="10"/>
        </w:numPr>
        <w:tabs>
          <w:tab w:pos="850" w:val="left" w:leader="none"/>
        </w:tabs>
        <w:spacing w:line="240" w:lineRule="auto" w:before="0" w:after="0"/>
        <w:ind w:left="850" w:right="0" w:hanging="282"/>
        <w:jc w:val="left"/>
        <w:rPr>
          <w:rFonts w:ascii="Arial MT" w:hAnsi="Arial MT"/>
          <w:b w:val="0"/>
        </w:rPr>
      </w:pPr>
      <w:r>
        <w:rPr/>
        <w:t>INFORMACIÓN</w:t>
      </w:r>
      <w:r>
        <w:rPr>
          <w:spacing w:val="-7"/>
        </w:rPr>
        <w:t> </w:t>
      </w:r>
      <w:r>
        <w:rPr/>
        <w:t>Y</w:t>
      </w:r>
      <w:r>
        <w:rPr>
          <w:spacing w:val="-5"/>
        </w:rPr>
        <w:t> </w:t>
      </w:r>
      <w:r>
        <w:rPr/>
        <w:t>PRUEBAS</w:t>
      </w:r>
      <w:r>
        <w:rPr>
          <w:spacing w:val="-6"/>
        </w:rPr>
        <w:t> </w:t>
      </w:r>
      <w:r>
        <w:rPr/>
        <w:t>APORTADAS</w:t>
      </w:r>
      <w:r>
        <w:rPr>
          <w:spacing w:val="-8"/>
        </w:rPr>
        <w:t> </w:t>
      </w:r>
      <w:r>
        <w:rPr/>
        <w:t>POR</w:t>
      </w:r>
      <w:r>
        <w:rPr>
          <w:spacing w:val="-4"/>
        </w:rPr>
        <w:t> </w:t>
      </w:r>
      <w:r>
        <w:rPr>
          <w:spacing w:val="-2"/>
        </w:rPr>
        <w:t>TERCEROS</w:t>
      </w:r>
    </w:p>
    <w:p>
      <w:pPr>
        <w:pStyle w:val="BodyText"/>
        <w:spacing w:before="1"/>
        <w:rPr>
          <w:rFonts w:ascii="Arial"/>
          <w:b/>
        </w:rPr>
      </w:pPr>
    </w:p>
    <w:p>
      <w:pPr>
        <w:pStyle w:val="ListParagraph"/>
        <w:numPr>
          <w:ilvl w:val="1"/>
          <w:numId w:val="10"/>
        </w:numPr>
        <w:tabs>
          <w:tab w:pos="1359" w:val="left" w:leader="none"/>
        </w:tabs>
        <w:spacing w:line="240" w:lineRule="auto" w:before="0" w:after="0"/>
        <w:ind w:left="1359" w:right="0" w:hanging="431"/>
        <w:jc w:val="left"/>
        <w:rPr>
          <w:sz w:val="22"/>
        </w:rPr>
      </w:pPr>
      <w:r>
        <w:rPr>
          <w:rFonts w:ascii="Arial" w:hAnsi="Arial"/>
          <w:b/>
          <w:sz w:val="22"/>
        </w:rPr>
        <w:t>ASOCIACIÓN</w:t>
      </w:r>
      <w:r>
        <w:rPr>
          <w:rFonts w:ascii="Arial" w:hAnsi="Arial"/>
          <w:b/>
          <w:spacing w:val="-8"/>
          <w:sz w:val="22"/>
        </w:rPr>
        <w:t> </w:t>
      </w:r>
      <w:r>
        <w:rPr>
          <w:rFonts w:ascii="Arial" w:hAnsi="Arial"/>
          <w:b/>
          <w:sz w:val="22"/>
        </w:rPr>
        <w:t>NACIONAL</w:t>
      </w:r>
      <w:r>
        <w:rPr>
          <w:rFonts w:ascii="Arial" w:hAnsi="Arial"/>
          <w:b/>
          <w:spacing w:val="-5"/>
          <w:sz w:val="22"/>
        </w:rPr>
        <w:t> </w:t>
      </w:r>
      <w:r>
        <w:rPr>
          <w:rFonts w:ascii="Arial" w:hAnsi="Arial"/>
          <w:b/>
          <w:sz w:val="22"/>
        </w:rPr>
        <w:t>DE</w:t>
      </w:r>
      <w:r>
        <w:rPr>
          <w:rFonts w:ascii="Arial" w:hAnsi="Arial"/>
          <w:b/>
          <w:spacing w:val="-8"/>
          <w:sz w:val="22"/>
        </w:rPr>
        <w:t> </w:t>
      </w:r>
      <w:r>
        <w:rPr>
          <w:rFonts w:ascii="Arial" w:hAnsi="Arial"/>
          <w:b/>
          <w:sz w:val="22"/>
        </w:rPr>
        <w:t>EMPRESARIOS</w:t>
      </w:r>
      <w:r>
        <w:rPr>
          <w:rFonts w:ascii="Arial" w:hAnsi="Arial"/>
          <w:b/>
          <w:spacing w:val="-9"/>
          <w:sz w:val="22"/>
        </w:rPr>
        <w:t> </w:t>
      </w:r>
      <w:r>
        <w:rPr>
          <w:rFonts w:ascii="Arial" w:hAnsi="Arial"/>
          <w:b/>
          <w:sz w:val="22"/>
        </w:rPr>
        <w:t>DE</w:t>
      </w:r>
      <w:r>
        <w:rPr>
          <w:rFonts w:ascii="Arial" w:hAnsi="Arial"/>
          <w:b/>
          <w:spacing w:val="-5"/>
          <w:sz w:val="22"/>
        </w:rPr>
        <w:t> </w:t>
      </w:r>
      <w:r>
        <w:rPr>
          <w:rFonts w:ascii="Arial" w:hAnsi="Arial"/>
          <w:b/>
          <w:sz w:val="22"/>
        </w:rPr>
        <w:t>COLOMBIA</w:t>
      </w:r>
      <w:r>
        <w:rPr>
          <w:rFonts w:ascii="Arial" w:hAnsi="Arial"/>
          <w:b/>
          <w:spacing w:val="-1"/>
          <w:sz w:val="22"/>
        </w:rPr>
        <w:t> </w:t>
      </w:r>
      <w:r>
        <w:rPr>
          <w:rFonts w:ascii="Arial" w:hAnsi="Arial"/>
          <w:b/>
          <w:sz w:val="22"/>
        </w:rPr>
        <w:t>-</w:t>
      </w:r>
      <w:r>
        <w:rPr>
          <w:rFonts w:ascii="Arial" w:hAnsi="Arial"/>
          <w:b/>
          <w:spacing w:val="-5"/>
          <w:sz w:val="22"/>
        </w:rPr>
        <w:t> </w:t>
      </w:r>
      <w:r>
        <w:rPr>
          <w:rFonts w:ascii="Arial" w:hAnsi="Arial"/>
          <w:b/>
          <w:spacing w:val="-4"/>
          <w:sz w:val="22"/>
        </w:rPr>
        <w:t>ANDI</w:t>
      </w:r>
    </w:p>
    <w:p>
      <w:pPr>
        <w:pStyle w:val="BodyText"/>
        <w:rPr>
          <w:rFonts w:ascii="Arial"/>
          <w:b/>
        </w:rPr>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Mediante</w:t>
      </w:r>
      <w:r>
        <w:rPr>
          <w:spacing w:val="-6"/>
          <w:sz w:val="22"/>
        </w:rPr>
        <w:t> </w:t>
      </w:r>
      <w:r>
        <w:rPr>
          <w:sz w:val="22"/>
        </w:rPr>
        <w:t>escrito</w:t>
      </w:r>
      <w:r>
        <w:rPr>
          <w:spacing w:val="-9"/>
          <w:sz w:val="22"/>
        </w:rPr>
        <w:t> </w:t>
      </w:r>
      <w:r>
        <w:rPr>
          <w:sz w:val="22"/>
        </w:rPr>
        <w:t>de</w:t>
      </w:r>
      <w:r>
        <w:rPr>
          <w:spacing w:val="-9"/>
          <w:sz w:val="22"/>
        </w:rPr>
        <w:t> </w:t>
      </w:r>
      <w:r>
        <w:rPr>
          <w:sz w:val="22"/>
        </w:rPr>
        <w:t>fecha</w:t>
      </w:r>
      <w:r>
        <w:rPr>
          <w:spacing w:val="-6"/>
          <w:sz w:val="22"/>
        </w:rPr>
        <w:t> </w:t>
      </w:r>
      <w:r>
        <w:rPr>
          <w:sz w:val="22"/>
        </w:rPr>
        <w:t>4</w:t>
      </w:r>
      <w:r>
        <w:rPr>
          <w:spacing w:val="-6"/>
          <w:sz w:val="22"/>
        </w:rPr>
        <w:t> </w:t>
      </w:r>
      <w:r>
        <w:rPr>
          <w:sz w:val="22"/>
        </w:rPr>
        <w:t>de</w:t>
      </w:r>
      <w:r>
        <w:rPr>
          <w:spacing w:val="-9"/>
          <w:sz w:val="22"/>
        </w:rPr>
        <w:t> </w:t>
      </w:r>
      <w:r>
        <w:rPr>
          <w:sz w:val="22"/>
        </w:rPr>
        <w:t>marzo</w:t>
      </w:r>
      <w:r>
        <w:rPr>
          <w:spacing w:val="-6"/>
          <w:sz w:val="22"/>
        </w:rPr>
        <w:t> </w:t>
      </w:r>
      <w:r>
        <w:rPr>
          <w:sz w:val="22"/>
        </w:rPr>
        <w:t>de</w:t>
      </w:r>
      <w:r>
        <w:rPr>
          <w:spacing w:val="-9"/>
          <w:sz w:val="22"/>
        </w:rPr>
        <w:t> </w:t>
      </w:r>
      <w:r>
        <w:rPr>
          <w:sz w:val="22"/>
        </w:rPr>
        <w:t>2026,</w:t>
      </w:r>
      <w:r>
        <w:rPr>
          <w:spacing w:val="-7"/>
          <w:sz w:val="22"/>
        </w:rPr>
        <w:t> </w:t>
      </w:r>
      <w:r>
        <w:rPr>
          <w:sz w:val="22"/>
        </w:rPr>
        <w:t>recibido</w:t>
      </w:r>
      <w:r>
        <w:rPr>
          <w:spacing w:val="-7"/>
          <w:sz w:val="22"/>
        </w:rPr>
        <w:t> </w:t>
      </w:r>
      <w:r>
        <w:rPr>
          <w:sz w:val="22"/>
        </w:rPr>
        <w:t>por</w:t>
      </w:r>
      <w:r>
        <w:rPr>
          <w:spacing w:val="-5"/>
          <w:sz w:val="22"/>
        </w:rPr>
        <w:t> </w:t>
      </w:r>
      <w:r>
        <w:rPr>
          <w:sz w:val="22"/>
        </w:rPr>
        <w:t>la</w:t>
      </w:r>
      <w:r>
        <w:rPr>
          <w:spacing w:val="-6"/>
          <w:sz w:val="22"/>
        </w:rPr>
        <w:t> </w:t>
      </w:r>
      <w:r>
        <w:rPr>
          <w:sz w:val="22"/>
        </w:rPr>
        <w:t>SGCAN</w:t>
      </w:r>
      <w:r>
        <w:rPr>
          <w:spacing w:val="-7"/>
          <w:sz w:val="22"/>
        </w:rPr>
        <w:t> </w:t>
      </w:r>
      <w:r>
        <w:rPr>
          <w:sz w:val="22"/>
        </w:rPr>
        <w:t>el</w:t>
      </w:r>
      <w:r>
        <w:rPr>
          <w:spacing w:val="-7"/>
          <w:sz w:val="22"/>
        </w:rPr>
        <w:t> </w:t>
      </w:r>
      <w:r>
        <w:rPr>
          <w:sz w:val="22"/>
        </w:rPr>
        <w:t>6</w:t>
      </w:r>
      <w:r>
        <w:rPr>
          <w:spacing w:val="-9"/>
          <w:sz w:val="22"/>
        </w:rPr>
        <w:t> </w:t>
      </w:r>
      <w:r>
        <w:rPr>
          <w:sz w:val="22"/>
        </w:rPr>
        <w:t>de</w:t>
      </w:r>
      <w:r>
        <w:rPr>
          <w:spacing w:val="-9"/>
          <w:sz w:val="22"/>
        </w:rPr>
        <w:t> </w:t>
      </w:r>
      <w:r>
        <w:rPr>
          <w:sz w:val="22"/>
        </w:rPr>
        <w:t>marzo</w:t>
      </w:r>
      <w:r>
        <w:rPr>
          <w:spacing w:val="-8"/>
          <w:sz w:val="22"/>
        </w:rPr>
        <w:t> </w:t>
      </w:r>
      <w:r>
        <w:rPr>
          <w:sz w:val="22"/>
        </w:rPr>
        <w:t>de 2026, la Asociación Nacional de Empresarios de Colombia – ANDI, manifestó tener interés legítimo en el marco del procedimiento de calificación de gravámenes iniciado por</w:t>
      </w:r>
      <w:r>
        <w:rPr>
          <w:spacing w:val="-16"/>
          <w:sz w:val="22"/>
        </w:rPr>
        <w:t> </w:t>
      </w:r>
      <w:r>
        <w:rPr>
          <w:sz w:val="22"/>
        </w:rPr>
        <w:t>la</w:t>
      </w:r>
      <w:r>
        <w:rPr>
          <w:spacing w:val="-15"/>
          <w:sz w:val="22"/>
        </w:rPr>
        <w:t> </w:t>
      </w:r>
      <w:r>
        <w:rPr>
          <w:sz w:val="22"/>
        </w:rPr>
        <w:t>República</w:t>
      </w:r>
      <w:r>
        <w:rPr>
          <w:spacing w:val="-15"/>
          <w:sz w:val="22"/>
        </w:rPr>
        <w:t> </w:t>
      </w:r>
      <w:r>
        <w:rPr>
          <w:sz w:val="22"/>
        </w:rPr>
        <w:t>de</w:t>
      </w:r>
      <w:r>
        <w:rPr>
          <w:spacing w:val="-15"/>
          <w:sz w:val="22"/>
        </w:rPr>
        <w:t> </w:t>
      </w:r>
      <w:r>
        <w:rPr>
          <w:sz w:val="22"/>
        </w:rPr>
        <w:t>Colombia</w:t>
      </w:r>
      <w:r>
        <w:rPr>
          <w:spacing w:val="-14"/>
          <w:sz w:val="22"/>
        </w:rPr>
        <w:t> </w:t>
      </w:r>
      <w:r>
        <w:rPr>
          <w:sz w:val="22"/>
        </w:rPr>
        <w:t>con</w:t>
      </w:r>
      <w:r>
        <w:rPr>
          <w:spacing w:val="-16"/>
          <w:sz w:val="22"/>
        </w:rPr>
        <w:t> </w:t>
      </w:r>
      <w:r>
        <w:rPr>
          <w:sz w:val="22"/>
        </w:rPr>
        <w:t>respecto</w:t>
      </w:r>
      <w:r>
        <w:rPr>
          <w:spacing w:val="-14"/>
          <w:sz w:val="22"/>
        </w:rPr>
        <w:t> </w:t>
      </w:r>
      <w:r>
        <w:rPr>
          <w:sz w:val="22"/>
        </w:rPr>
        <w:t>de</w:t>
      </w:r>
      <w:r>
        <w:rPr>
          <w:spacing w:val="-15"/>
          <w:sz w:val="22"/>
        </w:rPr>
        <w:t> </w:t>
      </w:r>
      <w:r>
        <w:rPr>
          <w:sz w:val="22"/>
        </w:rPr>
        <w:t>la</w:t>
      </w:r>
      <w:r>
        <w:rPr>
          <w:spacing w:val="-16"/>
          <w:sz w:val="22"/>
        </w:rPr>
        <w:t> </w:t>
      </w:r>
      <w:r>
        <w:rPr>
          <w:sz w:val="22"/>
        </w:rPr>
        <w:t>Resolución</w:t>
      </w:r>
      <w:r>
        <w:rPr>
          <w:spacing w:val="-14"/>
          <w:sz w:val="22"/>
        </w:rPr>
        <w:t> </w:t>
      </w:r>
      <w:r>
        <w:rPr>
          <w:sz w:val="22"/>
        </w:rPr>
        <w:t>Nro.</w:t>
      </w:r>
      <w:r>
        <w:rPr>
          <w:spacing w:val="-14"/>
          <w:sz w:val="22"/>
        </w:rPr>
        <w:t> </w:t>
      </w:r>
      <w:r>
        <w:rPr>
          <w:sz w:val="22"/>
        </w:rPr>
        <w:t>SENAE-SENAE-2026-0006-RE derogada por la Resolución. Nro. SENAE-SENAE-2026-0017 RE. Asimismo, presentó información que consideraba pertinente, solicitando su incorporación al </w:t>
      </w:r>
      <w:r>
        <w:rPr>
          <w:spacing w:val="-2"/>
          <w:sz w:val="22"/>
        </w:rPr>
        <w:t>expediente.</w:t>
      </w:r>
    </w:p>
    <w:p>
      <w:pPr>
        <w:pStyle w:val="BodyText"/>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Al</w:t>
      </w:r>
      <w:r>
        <w:rPr>
          <w:spacing w:val="-5"/>
          <w:sz w:val="22"/>
        </w:rPr>
        <w:t> </w:t>
      </w:r>
      <w:r>
        <w:rPr>
          <w:sz w:val="22"/>
        </w:rPr>
        <w:t>respecto,</w:t>
      </w:r>
      <w:r>
        <w:rPr>
          <w:spacing w:val="-5"/>
          <w:sz w:val="22"/>
        </w:rPr>
        <w:t> </w:t>
      </w:r>
      <w:r>
        <w:rPr>
          <w:sz w:val="22"/>
        </w:rPr>
        <w:t>revisada</w:t>
      </w:r>
      <w:r>
        <w:rPr>
          <w:spacing w:val="-4"/>
          <w:sz w:val="22"/>
        </w:rPr>
        <w:t> </w:t>
      </w:r>
      <w:r>
        <w:rPr>
          <w:sz w:val="22"/>
        </w:rPr>
        <w:t>su</w:t>
      </w:r>
      <w:r>
        <w:rPr>
          <w:spacing w:val="-9"/>
          <w:sz w:val="22"/>
        </w:rPr>
        <w:t> </w:t>
      </w:r>
      <w:r>
        <w:rPr>
          <w:sz w:val="22"/>
        </w:rPr>
        <w:t>solicitud</w:t>
      </w:r>
      <w:r>
        <w:rPr>
          <w:spacing w:val="-4"/>
          <w:sz w:val="22"/>
        </w:rPr>
        <w:t> </w:t>
      </w:r>
      <w:r>
        <w:rPr>
          <w:sz w:val="22"/>
        </w:rPr>
        <w:t>en</w:t>
      </w:r>
      <w:r>
        <w:rPr>
          <w:spacing w:val="-4"/>
          <w:sz w:val="22"/>
        </w:rPr>
        <w:t> </w:t>
      </w:r>
      <w:r>
        <w:rPr>
          <w:sz w:val="22"/>
        </w:rPr>
        <w:t>el</w:t>
      </w:r>
      <w:r>
        <w:rPr>
          <w:spacing w:val="-5"/>
          <w:sz w:val="22"/>
        </w:rPr>
        <w:t> </w:t>
      </w:r>
      <w:r>
        <w:rPr>
          <w:sz w:val="22"/>
        </w:rPr>
        <w:t>marco</w:t>
      </w:r>
      <w:r>
        <w:rPr>
          <w:spacing w:val="-4"/>
          <w:sz w:val="22"/>
        </w:rPr>
        <w:t> </w:t>
      </w:r>
      <w:r>
        <w:rPr>
          <w:sz w:val="22"/>
        </w:rPr>
        <w:t>de</w:t>
      </w:r>
      <w:r>
        <w:rPr>
          <w:spacing w:val="-7"/>
          <w:sz w:val="22"/>
        </w:rPr>
        <w:t> </w:t>
      </w:r>
      <w:r>
        <w:rPr>
          <w:sz w:val="22"/>
        </w:rPr>
        <w:t>la</w:t>
      </w:r>
      <w:r>
        <w:rPr>
          <w:spacing w:val="-4"/>
          <w:sz w:val="22"/>
        </w:rPr>
        <w:t> </w:t>
      </w:r>
      <w:r>
        <w:rPr>
          <w:sz w:val="22"/>
        </w:rPr>
        <w:t>Decisión</w:t>
      </w:r>
      <w:r>
        <w:rPr>
          <w:spacing w:val="-4"/>
          <w:sz w:val="22"/>
        </w:rPr>
        <w:t> </w:t>
      </w:r>
      <w:r>
        <w:rPr>
          <w:sz w:val="22"/>
        </w:rPr>
        <w:t>425,</w:t>
      </w:r>
      <w:r>
        <w:rPr>
          <w:spacing w:val="-3"/>
          <w:sz w:val="22"/>
        </w:rPr>
        <w:t> </w:t>
      </w:r>
      <w:r>
        <w:rPr>
          <w:sz w:val="22"/>
        </w:rPr>
        <w:t>y</w:t>
      </w:r>
      <w:r>
        <w:rPr>
          <w:spacing w:val="-6"/>
          <w:sz w:val="22"/>
        </w:rPr>
        <w:t> </w:t>
      </w:r>
      <w:r>
        <w:rPr>
          <w:sz w:val="22"/>
        </w:rPr>
        <w:t>verificada</w:t>
      </w:r>
      <w:r>
        <w:rPr>
          <w:spacing w:val="-4"/>
          <w:sz w:val="22"/>
        </w:rPr>
        <w:t> </w:t>
      </w:r>
      <w:r>
        <w:rPr>
          <w:sz w:val="22"/>
        </w:rPr>
        <w:t>su</w:t>
      </w:r>
      <w:r>
        <w:rPr>
          <w:spacing w:val="-4"/>
          <w:sz w:val="22"/>
        </w:rPr>
        <w:t> </w:t>
      </w:r>
      <w:r>
        <w:rPr>
          <w:sz w:val="22"/>
        </w:rPr>
        <w:t>debida acreditación como parte interesada como representantes del sector productivo colombiano</w:t>
      </w:r>
      <w:r>
        <w:rPr>
          <w:spacing w:val="-12"/>
          <w:sz w:val="22"/>
        </w:rPr>
        <w:t> </w:t>
      </w:r>
      <w:r>
        <w:rPr>
          <w:sz w:val="22"/>
        </w:rPr>
        <w:t>que</w:t>
      </w:r>
      <w:r>
        <w:rPr>
          <w:spacing w:val="-12"/>
          <w:sz w:val="22"/>
        </w:rPr>
        <w:t> </w:t>
      </w:r>
      <w:r>
        <w:rPr>
          <w:sz w:val="22"/>
        </w:rPr>
        <w:t>se</w:t>
      </w:r>
      <w:r>
        <w:rPr>
          <w:spacing w:val="-12"/>
          <w:sz w:val="22"/>
        </w:rPr>
        <w:t> </w:t>
      </w:r>
      <w:r>
        <w:rPr>
          <w:sz w:val="22"/>
        </w:rPr>
        <w:t>siente</w:t>
      </w:r>
      <w:r>
        <w:rPr>
          <w:spacing w:val="-12"/>
          <w:sz w:val="22"/>
        </w:rPr>
        <w:t> </w:t>
      </w:r>
      <w:r>
        <w:rPr>
          <w:sz w:val="22"/>
        </w:rPr>
        <w:t>afectado</w:t>
      </w:r>
      <w:r>
        <w:rPr>
          <w:spacing w:val="-12"/>
          <w:sz w:val="22"/>
        </w:rPr>
        <w:t> </w:t>
      </w:r>
      <w:r>
        <w:rPr>
          <w:sz w:val="22"/>
        </w:rPr>
        <w:t>por</w:t>
      </w:r>
      <w:r>
        <w:rPr>
          <w:spacing w:val="-13"/>
          <w:sz w:val="22"/>
        </w:rPr>
        <w:t> </w:t>
      </w:r>
      <w:r>
        <w:rPr>
          <w:sz w:val="22"/>
        </w:rPr>
        <w:t>la</w:t>
      </w:r>
      <w:r>
        <w:rPr>
          <w:spacing w:val="-12"/>
          <w:sz w:val="22"/>
        </w:rPr>
        <w:t> </w:t>
      </w:r>
      <w:r>
        <w:rPr>
          <w:sz w:val="22"/>
        </w:rPr>
        <w:t>medida</w:t>
      </w:r>
      <w:r>
        <w:rPr>
          <w:spacing w:val="-15"/>
          <w:sz w:val="22"/>
        </w:rPr>
        <w:t> </w:t>
      </w:r>
      <w:r>
        <w:rPr>
          <w:sz w:val="22"/>
        </w:rPr>
        <w:t>aplicada</w:t>
      </w:r>
      <w:r>
        <w:rPr>
          <w:spacing w:val="-12"/>
          <w:sz w:val="22"/>
        </w:rPr>
        <w:t> </w:t>
      </w:r>
      <w:r>
        <w:rPr>
          <w:sz w:val="22"/>
        </w:rPr>
        <w:t>por</w:t>
      </w:r>
      <w:r>
        <w:rPr>
          <w:spacing w:val="-11"/>
          <w:sz w:val="22"/>
        </w:rPr>
        <w:t> </w:t>
      </w:r>
      <w:r>
        <w:rPr>
          <w:sz w:val="22"/>
        </w:rPr>
        <w:t>la</w:t>
      </w:r>
      <w:r>
        <w:rPr>
          <w:spacing w:val="-12"/>
          <w:sz w:val="22"/>
        </w:rPr>
        <w:t> </w:t>
      </w:r>
      <w:r>
        <w:rPr>
          <w:sz w:val="22"/>
        </w:rPr>
        <w:t>República</w:t>
      </w:r>
      <w:r>
        <w:rPr>
          <w:spacing w:val="-12"/>
          <w:sz w:val="22"/>
        </w:rPr>
        <w:t> </w:t>
      </w:r>
      <w:r>
        <w:rPr>
          <w:sz w:val="22"/>
        </w:rPr>
        <w:t>del</w:t>
      </w:r>
      <w:r>
        <w:rPr>
          <w:spacing w:val="-13"/>
          <w:sz w:val="22"/>
        </w:rPr>
        <w:t> </w:t>
      </w:r>
      <w:r>
        <w:rPr>
          <w:sz w:val="22"/>
        </w:rPr>
        <w:t>Ecuador, el 24 de abril de 2026, mediante comunicación SG/E/DGCOM/826/2026, la SGCAN comunicó a la ANDI y mediante notas SG/E/DGCOM/827/2026, SG/E/DGCOM/828/2026 y SG/E/DGCOM/829/2026, se notificó a los demás Países Miembros el reconocimiento de su interés legítimo en el presente caso.</w:t>
      </w:r>
    </w:p>
    <w:p>
      <w:pPr>
        <w:pStyle w:val="ListParagraph"/>
        <w:numPr>
          <w:ilvl w:val="0"/>
          <w:numId w:val="11"/>
        </w:numPr>
        <w:tabs>
          <w:tab w:pos="1130" w:val="left" w:leader="none"/>
          <w:tab w:pos="1134" w:val="left" w:leader="none"/>
        </w:tabs>
        <w:spacing w:line="240" w:lineRule="auto" w:before="252" w:after="0"/>
        <w:ind w:left="1134" w:right="978" w:hanging="567"/>
        <w:jc w:val="both"/>
        <w:rPr>
          <w:sz w:val="22"/>
        </w:rPr>
      </w:pPr>
      <w:r>
        <w:rPr>
          <w:sz w:val="22"/>
        </w:rPr>
        <w:t>Con relación a la información presentada, los argumentos de la ANDI en su escrito pueden</w:t>
      </w:r>
      <w:r>
        <w:rPr>
          <w:spacing w:val="-10"/>
          <w:sz w:val="22"/>
        </w:rPr>
        <w:t> </w:t>
      </w:r>
      <w:r>
        <w:rPr>
          <w:sz w:val="22"/>
        </w:rPr>
        <w:t>agruparse</w:t>
      </w:r>
      <w:r>
        <w:rPr>
          <w:spacing w:val="-10"/>
          <w:sz w:val="22"/>
        </w:rPr>
        <w:t> </w:t>
      </w:r>
      <w:r>
        <w:rPr>
          <w:sz w:val="22"/>
        </w:rPr>
        <w:t>en</w:t>
      </w:r>
      <w:r>
        <w:rPr>
          <w:spacing w:val="-13"/>
          <w:sz w:val="22"/>
        </w:rPr>
        <w:t> </w:t>
      </w:r>
      <w:r>
        <w:rPr>
          <w:sz w:val="22"/>
        </w:rPr>
        <w:t>cuatro</w:t>
      </w:r>
      <w:r>
        <w:rPr>
          <w:spacing w:val="-12"/>
          <w:sz w:val="22"/>
        </w:rPr>
        <w:t> </w:t>
      </w:r>
      <w:r>
        <w:rPr>
          <w:sz w:val="22"/>
        </w:rPr>
        <w:t>bloques:</w:t>
      </w:r>
      <w:r>
        <w:rPr>
          <w:spacing w:val="-11"/>
          <w:sz w:val="22"/>
        </w:rPr>
        <w:t> </w:t>
      </w:r>
      <w:r>
        <w:rPr>
          <w:sz w:val="22"/>
        </w:rPr>
        <w:t>calificación</w:t>
      </w:r>
      <w:r>
        <w:rPr>
          <w:spacing w:val="-13"/>
          <w:sz w:val="22"/>
        </w:rPr>
        <w:t> </w:t>
      </w:r>
      <w:r>
        <w:rPr>
          <w:sz w:val="22"/>
        </w:rPr>
        <w:t>jurídica</w:t>
      </w:r>
      <w:r>
        <w:rPr>
          <w:spacing w:val="-10"/>
          <w:sz w:val="22"/>
        </w:rPr>
        <w:t> </w:t>
      </w:r>
      <w:r>
        <w:rPr>
          <w:sz w:val="22"/>
        </w:rPr>
        <w:t>de</w:t>
      </w:r>
      <w:r>
        <w:rPr>
          <w:spacing w:val="-13"/>
          <w:sz w:val="22"/>
        </w:rPr>
        <w:t> </w:t>
      </w:r>
      <w:r>
        <w:rPr>
          <w:sz w:val="22"/>
        </w:rPr>
        <w:t>la</w:t>
      </w:r>
      <w:r>
        <w:rPr>
          <w:spacing w:val="-10"/>
          <w:sz w:val="22"/>
        </w:rPr>
        <w:t> </w:t>
      </w:r>
      <w:r>
        <w:rPr>
          <w:sz w:val="22"/>
        </w:rPr>
        <w:t>medida</w:t>
      </w:r>
      <w:r>
        <w:rPr>
          <w:spacing w:val="-10"/>
          <w:sz w:val="22"/>
        </w:rPr>
        <w:t> </w:t>
      </w:r>
      <w:r>
        <w:rPr>
          <w:sz w:val="22"/>
        </w:rPr>
        <w:t>como</w:t>
      </w:r>
      <w:r>
        <w:rPr>
          <w:spacing w:val="-10"/>
          <w:sz w:val="22"/>
        </w:rPr>
        <w:t> </w:t>
      </w:r>
      <w:r>
        <w:rPr>
          <w:sz w:val="22"/>
        </w:rPr>
        <w:t>gravamen, cuestionamiento de la excepción de tasa, carácter restrictivo y discriminatorio, y violaciones sistémicas al Programa de Liberación e institucionalidad andina.</w:t>
      </w:r>
    </w:p>
    <w:p>
      <w:pPr>
        <w:pStyle w:val="BodyText"/>
        <w:spacing w:before="1"/>
      </w:pPr>
    </w:p>
    <w:p>
      <w:pPr>
        <w:pStyle w:val="ListParagraph"/>
        <w:numPr>
          <w:ilvl w:val="0"/>
          <w:numId w:val="16"/>
        </w:numPr>
        <w:tabs>
          <w:tab w:pos="2729" w:val="left" w:leader="none"/>
        </w:tabs>
        <w:spacing w:line="240" w:lineRule="auto" w:before="0" w:after="0"/>
        <w:ind w:left="2729" w:right="979" w:hanging="291"/>
        <w:jc w:val="both"/>
        <w:rPr>
          <w:rFonts w:ascii="Arial"/>
          <w:i/>
          <w:sz w:val="22"/>
        </w:rPr>
      </w:pPr>
      <w:r>
        <w:rPr>
          <w:rFonts w:ascii="Arial"/>
          <w:b/>
          <w:sz w:val="22"/>
        </w:rPr>
        <w:t>naturaleza de la medida: </w:t>
      </w:r>
      <w:r>
        <w:rPr>
          <w:sz w:val="22"/>
        </w:rPr>
        <w:t>sostiene que la medida ecuatoriana (Resoluciones</w:t>
      </w:r>
      <w:r>
        <w:rPr>
          <w:spacing w:val="35"/>
          <w:sz w:val="22"/>
        </w:rPr>
        <w:t> </w:t>
      </w:r>
      <w:r>
        <w:rPr>
          <w:rFonts w:ascii="Arial"/>
          <w:i/>
          <w:sz w:val="22"/>
        </w:rPr>
        <w:t>No</w:t>
      </w:r>
      <w:r>
        <w:rPr>
          <w:rFonts w:ascii="Arial"/>
          <w:i/>
          <w:spacing w:val="34"/>
          <w:sz w:val="22"/>
        </w:rPr>
        <w:t> </w:t>
      </w:r>
      <w:r>
        <w:rPr>
          <w:rFonts w:ascii="Arial"/>
          <w:i/>
          <w:sz w:val="22"/>
        </w:rPr>
        <w:t>SENAE-SENAE-2026-0006-RE</w:t>
      </w:r>
      <w:r>
        <w:rPr>
          <w:rFonts w:ascii="Arial"/>
          <w:i/>
          <w:spacing w:val="34"/>
          <w:sz w:val="22"/>
        </w:rPr>
        <w:t> </w:t>
      </w:r>
      <w:r>
        <w:rPr>
          <w:rFonts w:ascii="Arial"/>
          <w:i/>
          <w:sz w:val="22"/>
        </w:rPr>
        <w:t>y</w:t>
      </w:r>
      <w:r>
        <w:rPr>
          <w:rFonts w:ascii="Arial"/>
          <w:i/>
          <w:spacing w:val="35"/>
          <w:sz w:val="22"/>
        </w:rPr>
        <w:t> </w:t>
      </w:r>
      <w:r>
        <w:rPr>
          <w:rFonts w:ascii="Arial"/>
          <w:i/>
          <w:sz w:val="22"/>
        </w:rPr>
        <w:t>SENAE-SENAE-</w:t>
      </w:r>
    </w:p>
    <w:p>
      <w:pPr>
        <w:pStyle w:val="BodyText"/>
        <w:ind w:left="2729" w:right="976"/>
        <w:jc w:val="both"/>
      </w:pPr>
      <w:r>
        <w:rPr>
          <w:rFonts w:ascii="Arial" w:hAnsi="Arial"/>
          <w:i/>
        </w:rPr>
        <w:t>2026-0017-RE</w:t>
      </w:r>
      <w:r>
        <w:rPr/>
        <w:t>) es un </w:t>
      </w:r>
      <w:r>
        <w:rPr>
          <w:rFonts w:ascii="Arial" w:hAnsi="Arial"/>
          <w:b/>
        </w:rPr>
        <w:t>gravamen </w:t>
      </w:r>
      <w:r>
        <w:rPr/>
        <w:t>en el sentido del artículo 73 del Acuerdo</w:t>
      </w:r>
      <w:r>
        <w:rPr>
          <w:spacing w:val="-16"/>
        </w:rPr>
        <w:t> </w:t>
      </w:r>
      <w:r>
        <w:rPr/>
        <w:t>de</w:t>
      </w:r>
      <w:r>
        <w:rPr>
          <w:spacing w:val="-15"/>
        </w:rPr>
        <w:t> </w:t>
      </w:r>
      <w:r>
        <w:rPr/>
        <w:t>Cartagena,</w:t>
      </w:r>
      <w:r>
        <w:rPr>
          <w:spacing w:val="-14"/>
        </w:rPr>
        <w:t> </w:t>
      </w:r>
      <w:r>
        <w:rPr/>
        <w:t>con</w:t>
      </w:r>
      <w:r>
        <w:rPr>
          <w:spacing w:val="-13"/>
        </w:rPr>
        <w:t> </w:t>
      </w:r>
      <w:r>
        <w:rPr/>
        <w:t>independencia</w:t>
      </w:r>
      <w:r>
        <w:rPr>
          <w:spacing w:val="-15"/>
        </w:rPr>
        <w:t> </w:t>
      </w:r>
      <w:r>
        <w:rPr/>
        <w:t>de</w:t>
      </w:r>
      <w:r>
        <w:rPr>
          <w:spacing w:val="-16"/>
        </w:rPr>
        <w:t> </w:t>
      </w:r>
      <w:r>
        <w:rPr/>
        <w:t>la</w:t>
      </w:r>
      <w:r>
        <w:rPr>
          <w:spacing w:val="-12"/>
        </w:rPr>
        <w:t> </w:t>
      </w:r>
      <w:r>
        <w:rPr/>
        <w:t>denominación</w:t>
      </w:r>
      <w:r>
        <w:rPr>
          <w:spacing w:val="-14"/>
        </w:rPr>
        <w:t> </w:t>
      </w:r>
      <w:r>
        <w:rPr/>
        <w:t>de</w:t>
      </w:r>
      <w:r>
        <w:rPr>
          <w:spacing w:val="-16"/>
        </w:rPr>
        <w:t> </w:t>
      </w:r>
      <w:r>
        <w:rPr/>
        <w:t>“tasa por servicio aduanero”. Destaca los elementos esenciales: recargo ad valorem (30% y luego 50%) sobre el valor en aduana, aplicación universal</w:t>
      </w:r>
      <w:r>
        <w:rPr>
          <w:spacing w:val="-16"/>
        </w:rPr>
        <w:t> </w:t>
      </w:r>
      <w:r>
        <w:rPr/>
        <w:t>a</w:t>
      </w:r>
      <w:r>
        <w:rPr>
          <w:spacing w:val="-15"/>
        </w:rPr>
        <w:t> </w:t>
      </w:r>
      <w:r>
        <w:rPr/>
        <w:t>casi</w:t>
      </w:r>
      <w:r>
        <w:rPr>
          <w:spacing w:val="-15"/>
        </w:rPr>
        <w:t> </w:t>
      </w:r>
      <w:r>
        <w:rPr/>
        <w:t>todo</w:t>
      </w:r>
      <w:r>
        <w:rPr>
          <w:spacing w:val="-16"/>
        </w:rPr>
        <w:t> </w:t>
      </w:r>
      <w:r>
        <w:rPr/>
        <w:t>el</w:t>
      </w:r>
      <w:r>
        <w:rPr>
          <w:spacing w:val="-15"/>
        </w:rPr>
        <w:t> </w:t>
      </w:r>
      <w:r>
        <w:rPr/>
        <w:t>universo</w:t>
      </w:r>
      <w:r>
        <w:rPr>
          <w:spacing w:val="-15"/>
        </w:rPr>
        <w:t> </w:t>
      </w:r>
      <w:r>
        <w:rPr/>
        <w:t>arancelario</w:t>
      </w:r>
      <w:r>
        <w:rPr>
          <w:spacing w:val="-15"/>
        </w:rPr>
        <w:t> </w:t>
      </w:r>
      <w:r>
        <w:rPr/>
        <w:t>colombiano,</w:t>
      </w:r>
      <w:r>
        <w:rPr>
          <w:spacing w:val="-16"/>
        </w:rPr>
        <w:t> </w:t>
      </w:r>
      <w:r>
        <w:rPr/>
        <w:t>automaticidad, vigencia</w:t>
      </w:r>
      <w:r>
        <w:rPr>
          <w:spacing w:val="-3"/>
        </w:rPr>
        <w:t> </w:t>
      </w:r>
      <w:r>
        <w:rPr/>
        <w:t>indefinida,</w:t>
      </w:r>
      <w:r>
        <w:rPr>
          <w:spacing w:val="-1"/>
        </w:rPr>
        <w:t> </w:t>
      </w:r>
      <w:r>
        <w:rPr/>
        <w:t>lo</w:t>
      </w:r>
      <w:r>
        <w:rPr>
          <w:spacing w:val="-5"/>
        </w:rPr>
        <w:t> </w:t>
      </w:r>
      <w:r>
        <w:rPr/>
        <w:t>que</w:t>
      </w:r>
      <w:r>
        <w:rPr>
          <w:spacing w:val="-3"/>
        </w:rPr>
        <w:t> </w:t>
      </w:r>
      <w:r>
        <w:rPr/>
        <w:t>la</w:t>
      </w:r>
      <w:r>
        <w:rPr>
          <w:spacing w:val="-3"/>
        </w:rPr>
        <w:t> </w:t>
      </w:r>
      <w:r>
        <w:rPr/>
        <w:t>asemeja</w:t>
      </w:r>
      <w:r>
        <w:rPr>
          <w:spacing w:val="-5"/>
        </w:rPr>
        <w:t> </w:t>
      </w:r>
      <w:r>
        <w:rPr/>
        <w:t>a</w:t>
      </w:r>
      <w:r>
        <w:rPr>
          <w:spacing w:val="-5"/>
        </w:rPr>
        <w:t> </w:t>
      </w:r>
      <w:r>
        <w:rPr/>
        <w:t>un</w:t>
      </w:r>
      <w:r>
        <w:rPr>
          <w:spacing w:val="-1"/>
        </w:rPr>
        <w:t> </w:t>
      </w:r>
      <w:r>
        <w:rPr>
          <w:rFonts w:ascii="Arial" w:hAnsi="Arial"/>
          <w:b/>
        </w:rPr>
        <w:t>arancel</w:t>
      </w:r>
      <w:r>
        <w:rPr>
          <w:rFonts w:ascii="Arial" w:hAnsi="Arial"/>
          <w:b/>
          <w:spacing w:val="-3"/>
        </w:rPr>
        <w:t> </w:t>
      </w:r>
      <w:r>
        <w:rPr/>
        <w:t>y</w:t>
      </w:r>
      <w:r>
        <w:rPr>
          <w:spacing w:val="-2"/>
        </w:rPr>
        <w:t> </w:t>
      </w:r>
      <w:r>
        <w:rPr/>
        <w:t>no</w:t>
      </w:r>
      <w:r>
        <w:rPr>
          <w:spacing w:val="-5"/>
        </w:rPr>
        <w:t> </w:t>
      </w:r>
      <w:r>
        <w:rPr/>
        <w:t>a</w:t>
      </w:r>
      <w:r>
        <w:rPr>
          <w:spacing w:val="-5"/>
        </w:rPr>
        <w:t> </w:t>
      </w:r>
      <w:r>
        <w:rPr/>
        <w:t>una</w:t>
      </w:r>
      <w:r>
        <w:rPr>
          <w:spacing w:val="-7"/>
        </w:rPr>
        <w:t> </w:t>
      </w:r>
      <w:r>
        <w:rPr/>
        <w:t>tasa</w:t>
      </w:r>
      <w:r>
        <w:rPr>
          <w:spacing w:val="-5"/>
        </w:rPr>
        <w:t> </w:t>
      </w:r>
      <w:r>
        <w:rPr/>
        <w:t>por </w:t>
      </w:r>
      <w:r>
        <w:rPr>
          <w:spacing w:val="-2"/>
        </w:rPr>
        <w:t>servicio.</w:t>
      </w:r>
    </w:p>
    <w:p>
      <w:pPr>
        <w:pStyle w:val="ListParagraph"/>
        <w:numPr>
          <w:ilvl w:val="0"/>
          <w:numId w:val="16"/>
        </w:numPr>
        <w:tabs>
          <w:tab w:pos="2729" w:val="left" w:leader="none"/>
        </w:tabs>
        <w:spacing w:line="240" w:lineRule="auto" w:before="253" w:after="0"/>
        <w:ind w:left="2729" w:right="977" w:hanging="339"/>
        <w:jc w:val="both"/>
        <w:rPr>
          <w:sz w:val="22"/>
        </w:rPr>
      </w:pPr>
      <w:r>
        <w:rPr>
          <w:rFonts w:ascii="Arial" w:hAnsi="Arial"/>
          <w:b/>
          <w:sz w:val="22"/>
        </w:rPr>
        <w:t>sobre la excepción de “tasa por servicios”: </w:t>
      </w:r>
      <w:r>
        <w:rPr>
          <w:sz w:val="22"/>
        </w:rPr>
        <w:t>argumenta que la medida </w:t>
      </w:r>
      <w:r>
        <w:rPr>
          <w:rFonts w:ascii="Arial" w:hAnsi="Arial"/>
          <w:b/>
          <w:sz w:val="22"/>
        </w:rPr>
        <w:t>no cumple los requisitos de la excepción </w:t>
      </w:r>
      <w:r>
        <w:rPr>
          <w:sz w:val="22"/>
        </w:rPr>
        <w:t>del segundo párrafo del artículo 73:</w:t>
      </w:r>
    </w:p>
    <w:p>
      <w:pPr>
        <w:pStyle w:val="ListParagraph"/>
        <w:numPr>
          <w:ilvl w:val="1"/>
          <w:numId w:val="16"/>
        </w:numPr>
        <w:tabs>
          <w:tab w:pos="3449" w:val="left" w:leader="none"/>
        </w:tabs>
        <w:spacing w:line="240" w:lineRule="auto" w:before="107" w:after="0"/>
        <w:ind w:left="3449" w:right="978" w:hanging="360"/>
        <w:jc w:val="both"/>
        <w:rPr>
          <w:sz w:val="22"/>
        </w:rPr>
      </w:pPr>
      <w:r>
        <w:rPr>
          <w:sz w:val="22"/>
        </w:rPr>
        <w:t>No existe un servicio efectivamente prestado adicional o diferenciado a las mercancías colombianas; el aforo mencionado es el control aduanero ordinario que la República del Ecuador realiza sobre todas las importaciones.</w:t>
      </w:r>
    </w:p>
    <w:p>
      <w:pPr>
        <w:pStyle w:val="ListParagraph"/>
        <w:numPr>
          <w:ilvl w:val="1"/>
          <w:numId w:val="16"/>
        </w:numPr>
        <w:tabs>
          <w:tab w:pos="3449" w:val="left" w:leader="none"/>
        </w:tabs>
        <w:spacing w:line="237" w:lineRule="auto" w:before="107" w:after="0"/>
        <w:ind w:left="3449" w:right="979" w:hanging="360"/>
        <w:jc w:val="both"/>
        <w:rPr>
          <w:sz w:val="22"/>
        </w:rPr>
      </w:pPr>
      <w:r>
        <w:rPr>
          <w:sz w:val="22"/>
        </w:rPr>
        <w:t>El</w:t>
      </w:r>
      <w:r>
        <w:rPr>
          <w:spacing w:val="-16"/>
          <w:sz w:val="22"/>
        </w:rPr>
        <w:t> </w:t>
      </w:r>
      <w:r>
        <w:rPr>
          <w:sz w:val="22"/>
        </w:rPr>
        <w:t>recargo</w:t>
      </w:r>
      <w:r>
        <w:rPr>
          <w:spacing w:val="-15"/>
          <w:sz w:val="22"/>
        </w:rPr>
        <w:t> </w:t>
      </w:r>
      <w:r>
        <w:rPr>
          <w:sz w:val="22"/>
        </w:rPr>
        <w:t>del</w:t>
      </w:r>
      <w:r>
        <w:rPr>
          <w:spacing w:val="-15"/>
          <w:sz w:val="22"/>
        </w:rPr>
        <w:t> </w:t>
      </w:r>
      <w:r>
        <w:rPr>
          <w:sz w:val="22"/>
        </w:rPr>
        <w:t>30%</w:t>
      </w:r>
      <w:r>
        <w:rPr>
          <w:spacing w:val="-16"/>
          <w:sz w:val="22"/>
        </w:rPr>
        <w:t> </w:t>
      </w:r>
      <w:r>
        <w:rPr>
          <w:sz w:val="22"/>
        </w:rPr>
        <w:t>y</w:t>
      </w:r>
      <w:r>
        <w:rPr>
          <w:spacing w:val="-15"/>
          <w:sz w:val="22"/>
        </w:rPr>
        <w:t> </w:t>
      </w:r>
      <w:r>
        <w:rPr>
          <w:sz w:val="22"/>
        </w:rPr>
        <w:t>luego</w:t>
      </w:r>
      <w:r>
        <w:rPr>
          <w:spacing w:val="-15"/>
          <w:sz w:val="22"/>
        </w:rPr>
        <w:t> </w:t>
      </w:r>
      <w:r>
        <w:rPr>
          <w:sz w:val="22"/>
        </w:rPr>
        <w:t>50%</w:t>
      </w:r>
      <w:r>
        <w:rPr>
          <w:spacing w:val="-15"/>
          <w:sz w:val="22"/>
        </w:rPr>
        <w:t> </w:t>
      </w:r>
      <w:r>
        <w:rPr>
          <w:sz w:val="22"/>
        </w:rPr>
        <w:t>no</w:t>
      </w:r>
      <w:r>
        <w:rPr>
          <w:spacing w:val="-16"/>
          <w:sz w:val="22"/>
        </w:rPr>
        <w:t> </w:t>
      </w:r>
      <w:r>
        <w:rPr>
          <w:sz w:val="22"/>
        </w:rPr>
        <w:t>puede</w:t>
      </w:r>
      <w:r>
        <w:rPr>
          <w:spacing w:val="-15"/>
          <w:sz w:val="22"/>
        </w:rPr>
        <w:t> </w:t>
      </w:r>
      <w:r>
        <w:rPr>
          <w:sz w:val="22"/>
        </w:rPr>
        <w:t>corresponder</w:t>
      </w:r>
      <w:r>
        <w:rPr>
          <w:spacing w:val="-15"/>
          <w:sz w:val="22"/>
        </w:rPr>
        <w:t> </w:t>
      </w:r>
      <w:r>
        <w:rPr>
          <w:sz w:val="22"/>
        </w:rPr>
        <w:t>al</w:t>
      </w:r>
      <w:r>
        <w:rPr>
          <w:spacing w:val="-16"/>
          <w:sz w:val="22"/>
        </w:rPr>
        <w:t> </w:t>
      </w:r>
      <w:r>
        <w:rPr>
          <w:rFonts w:ascii="Arial" w:hAnsi="Arial"/>
          <w:b/>
          <w:sz w:val="22"/>
        </w:rPr>
        <w:t>costo aproximado </w:t>
      </w:r>
      <w:r>
        <w:rPr>
          <w:sz w:val="22"/>
        </w:rPr>
        <w:t>de ningún servicio razonable de inspección, pues se calcula en función del valor en aduana y no del costo operativo por operación.</w:t>
      </w:r>
    </w:p>
    <w:p>
      <w:pPr>
        <w:pStyle w:val="ListParagraph"/>
        <w:numPr>
          <w:ilvl w:val="1"/>
          <w:numId w:val="16"/>
        </w:numPr>
        <w:tabs>
          <w:tab w:pos="3449" w:val="left" w:leader="none"/>
        </w:tabs>
        <w:spacing w:line="240" w:lineRule="auto" w:before="110" w:after="0"/>
        <w:ind w:left="3449" w:right="975" w:hanging="360"/>
        <w:jc w:val="both"/>
        <w:rPr>
          <w:sz w:val="22"/>
        </w:rPr>
      </w:pPr>
      <w:r>
        <w:rPr>
          <w:sz w:val="22"/>
        </w:rPr>
        <w:t>Subraya que, si realmente correspondiera al costo de un servicio,</w:t>
      </w:r>
      <w:r>
        <w:rPr>
          <w:spacing w:val="-8"/>
          <w:sz w:val="22"/>
        </w:rPr>
        <w:t> </w:t>
      </w:r>
      <w:r>
        <w:rPr>
          <w:sz w:val="22"/>
        </w:rPr>
        <w:t>debería</w:t>
      </w:r>
      <w:r>
        <w:rPr>
          <w:spacing w:val="-12"/>
          <w:sz w:val="22"/>
        </w:rPr>
        <w:t> </w:t>
      </w:r>
      <w:r>
        <w:rPr>
          <w:sz w:val="22"/>
        </w:rPr>
        <w:t>aplicarse</w:t>
      </w:r>
      <w:r>
        <w:rPr>
          <w:spacing w:val="-9"/>
          <w:sz w:val="22"/>
        </w:rPr>
        <w:t> </w:t>
      </w:r>
      <w:r>
        <w:rPr>
          <w:sz w:val="22"/>
        </w:rPr>
        <w:t>a</w:t>
      </w:r>
      <w:r>
        <w:rPr>
          <w:spacing w:val="-9"/>
          <w:sz w:val="22"/>
        </w:rPr>
        <w:t> </w:t>
      </w:r>
      <w:r>
        <w:rPr>
          <w:sz w:val="22"/>
        </w:rPr>
        <w:t>todas</w:t>
      </w:r>
      <w:r>
        <w:rPr>
          <w:spacing w:val="-9"/>
          <w:sz w:val="22"/>
        </w:rPr>
        <w:t> </w:t>
      </w:r>
      <w:r>
        <w:rPr>
          <w:sz w:val="22"/>
        </w:rPr>
        <w:t>las</w:t>
      </w:r>
      <w:r>
        <w:rPr>
          <w:spacing w:val="-9"/>
          <w:sz w:val="22"/>
        </w:rPr>
        <w:t> </w:t>
      </w:r>
      <w:r>
        <w:rPr>
          <w:sz w:val="22"/>
        </w:rPr>
        <w:t>importaciones</w:t>
      </w:r>
      <w:r>
        <w:rPr>
          <w:spacing w:val="-9"/>
          <w:sz w:val="22"/>
        </w:rPr>
        <w:t> </w:t>
      </w:r>
      <w:r>
        <w:rPr>
          <w:sz w:val="22"/>
        </w:rPr>
        <w:t>(República del</w:t>
      </w:r>
      <w:r>
        <w:rPr>
          <w:spacing w:val="-16"/>
          <w:sz w:val="22"/>
        </w:rPr>
        <w:t> </w:t>
      </w:r>
      <w:r>
        <w:rPr>
          <w:sz w:val="22"/>
        </w:rPr>
        <w:t>Perú,</w:t>
      </w:r>
      <w:r>
        <w:rPr>
          <w:spacing w:val="-15"/>
          <w:sz w:val="22"/>
        </w:rPr>
        <w:t> </w:t>
      </w:r>
      <w:r>
        <w:rPr>
          <w:sz w:val="22"/>
        </w:rPr>
        <w:t>Estado</w:t>
      </w:r>
      <w:r>
        <w:rPr>
          <w:spacing w:val="-13"/>
          <w:sz w:val="22"/>
        </w:rPr>
        <w:t> </w:t>
      </w:r>
      <w:r>
        <w:rPr>
          <w:sz w:val="22"/>
        </w:rPr>
        <w:t>Plurinacional</w:t>
      </w:r>
      <w:r>
        <w:rPr>
          <w:spacing w:val="-14"/>
          <w:sz w:val="22"/>
        </w:rPr>
        <w:t> </w:t>
      </w:r>
      <w:r>
        <w:rPr>
          <w:sz w:val="22"/>
        </w:rPr>
        <w:t>de</w:t>
      </w:r>
      <w:r>
        <w:rPr>
          <w:spacing w:val="-14"/>
          <w:sz w:val="22"/>
        </w:rPr>
        <w:t> </w:t>
      </w:r>
      <w:r>
        <w:rPr>
          <w:sz w:val="22"/>
        </w:rPr>
        <w:t>Bolivia,</w:t>
      </w:r>
      <w:r>
        <w:rPr>
          <w:spacing w:val="-13"/>
          <w:sz w:val="22"/>
        </w:rPr>
        <w:t> </w:t>
      </w:r>
      <w:r>
        <w:rPr>
          <w:sz w:val="22"/>
        </w:rPr>
        <w:t>otros</w:t>
      </w:r>
      <w:r>
        <w:rPr>
          <w:spacing w:val="-16"/>
          <w:sz w:val="22"/>
        </w:rPr>
        <w:t> </w:t>
      </w:r>
      <w:r>
        <w:rPr>
          <w:sz w:val="22"/>
        </w:rPr>
        <w:t>terceros</w:t>
      </w:r>
      <w:r>
        <w:rPr>
          <w:spacing w:val="-15"/>
          <w:sz w:val="22"/>
        </w:rPr>
        <w:t> </w:t>
      </w:r>
      <w:r>
        <w:rPr>
          <w:sz w:val="22"/>
        </w:rPr>
        <w:t>países), no solo a las provenientes u originarias de la República de </w:t>
      </w:r>
      <w:r>
        <w:rPr>
          <w:spacing w:val="-2"/>
          <w:sz w:val="22"/>
        </w:rPr>
        <w:t>Colombia.</w:t>
      </w:r>
    </w:p>
    <w:p>
      <w:pPr>
        <w:pStyle w:val="BodyText"/>
        <w:rPr>
          <w:sz w:val="20"/>
        </w:rPr>
      </w:pPr>
    </w:p>
    <w:p>
      <w:pPr>
        <w:pStyle w:val="BodyText"/>
        <w:rPr>
          <w:sz w:val="20"/>
        </w:rPr>
      </w:pPr>
    </w:p>
    <w:p>
      <w:pPr>
        <w:pStyle w:val="BodyText"/>
        <w:spacing w:before="127"/>
        <w:rPr>
          <w:sz w:val="20"/>
        </w:rPr>
      </w:pPr>
      <w:r>
        <w:rPr>
          <w:sz w:val="20"/>
        </w:rPr>
        <mc:AlternateContent>
          <mc:Choice Requires="wps">
            <w:drawing>
              <wp:anchor distT="0" distB="0" distL="0" distR="0" allowOverlap="1" layoutInCell="1" locked="0" behindDoc="1" simplePos="0" relativeHeight="487621632">
                <wp:simplePos x="0" y="0"/>
                <wp:positionH relativeFrom="page">
                  <wp:posOffset>732155</wp:posOffset>
                </wp:positionH>
                <wp:positionV relativeFrom="paragraph">
                  <wp:posOffset>241922</wp:posOffset>
                </wp:positionV>
                <wp:extent cx="6131560" cy="1270"/>
                <wp:effectExtent l="0" t="0" r="0" b="0"/>
                <wp:wrapTopAndBottom/>
                <wp:docPr id="316" name="Graphic 316"/>
                <wp:cNvGraphicFramePr>
                  <a:graphicFrameLocks/>
                </wp:cNvGraphicFramePr>
                <a:graphic>
                  <a:graphicData uri="http://schemas.microsoft.com/office/word/2010/wordprocessingShape">
                    <wps:wsp>
                      <wps:cNvPr id="316" name="Graphic 316"/>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7.650002pt;margin-top:19.049023pt;width:482.8pt;height:.1pt;mso-position-horizontal-relative:page;mso-position-vertical-relative:paragraph;z-index:-15694848;mso-wrap-distance-left:0;mso-wrap-distance-right:0" id="docshape234" coordorigin="1153,381" coordsize="9656,0" path="m1153,381l10809,381e" filled="false" stroked="true" strokeweight=".75pt" strokecolor="#000000">
                <v:path arrowok="t"/>
                <v:stroke dashstyle="solid"/>
                <w10:wrap type="topAndBottom"/>
              </v:shape>
            </w:pict>
          </mc:Fallback>
        </mc:AlternateContent>
      </w:r>
    </w:p>
    <w:p>
      <w:pPr>
        <w:pStyle w:val="BodyText"/>
        <w:spacing w:after="0"/>
        <w:rPr>
          <w:sz w:val="20"/>
        </w:rPr>
        <w:sectPr>
          <w:pgSz w:w="11900" w:h="16850"/>
          <w:pgMar w:header="370" w:footer="597" w:top="1380" w:bottom="780" w:left="992" w:right="283"/>
        </w:sectPr>
      </w:pPr>
    </w:p>
    <w:p>
      <w:pPr>
        <w:pStyle w:val="BodyText"/>
        <w:spacing w:before="176"/>
      </w:pPr>
    </w:p>
    <w:p>
      <w:pPr>
        <w:pStyle w:val="Heading5"/>
        <w:numPr>
          <w:ilvl w:val="1"/>
          <w:numId w:val="10"/>
        </w:numPr>
        <w:tabs>
          <w:tab w:pos="1358" w:val="left" w:leader="none"/>
          <w:tab w:pos="1360" w:val="left" w:leader="none"/>
        </w:tabs>
        <w:spacing w:line="240" w:lineRule="auto" w:before="0" w:after="0"/>
        <w:ind w:left="1360" w:right="1758" w:hanging="502"/>
        <w:jc w:val="left"/>
        <w:rPr>
          <w:rFonts w:ascii="Arial MT"/>
          <w:b w:val="0"/>
        </w:rPr>
      </w:pPr>
      <w:r>
        <w:rPr/>
        <w:t>COLOMBINA</w:t>
      </w:r>
      <w:r>
        <w:rPr>
          <w:spacing w:val="-4"/>
        </w:rPr>
        <w:t> </w:t>
      </w:r>
      <w:r>
        <w:rPr/>
        <w:t>S.A.,</w:t>
      </w:r>
      <w:r>
        <w:rPr>
          <w:spacing w:val="-4"/>
        </w:rPr>
        <w:t> </w:t>
      </w:r>
      <w:r>
        <w:rPr/>
        <w:t>DISTRIBUIDORA</w:t>
      </w:r>
      <w:r>
        <w:rPr>
          <w:spacing w:val="-4"/>
        </w:rPr>
        <w:t> </w:t>
      </w:r>
      <w:r>
        <w:rPr/>
        <w:t>COLOMBINA</w:t>
      </w:r>
      <w:r>
        <w:rPr>
          <w:spacing w:val="-6"/>
        </w:rPr>
        <w:t> </w:t>
      </w:r>
      <w:r>
        <w:rPr/>
        <w:t>DEL</w:t>
      </w:r>
      <w:r>
        <w:rPr>
          <w:spacing w:val="-6"/>
        </w:rPr>
        <w:t> </w:t>
      </w:r>
      <w:r>
        <w:rPr/>
        <w:t>ECUADOR</w:t>
      </w:r>
      <w:r>
        <w:rPr>
          <w:spacing w:val="-6"/>
        </w:rPr>
        <w:t> </w:t>
      </w:r>
      <w:r>
        <w:rPr/>
        <w:t>S.A.</w:t>
      </w:r>
      <w:r>
        <w:rPr>
          <w:spacing w:val="-7"/>
        </w:rPr>
        <w:t> </w:t>
      </w:r>
      <w:r>
        <w:rPr/>
        <w:t>Y COLOMBINA DEL CAUCA S.A.</w:t>
      </w:r>
    </w:p>
    <w:p>
      <w:pPr>
        <w:pStyle w:val="BodyText"/>
        <w:rPr>
          <w:rFonts w:ascii="Arial"/>
          <w:b/>
        </w:rPr>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El 31 de marzo de 2026, las empresas Colombina S.A., Distribuidora Colombina del Ecuador S.A.</w:t>
      </w:r>
      <w:r>
        <w:rPr>
          <w:spacing w:val="-1"/>
          <w:sz w:val="22"/>
        </w:rPr>
        <w:t> </w:t>
      </w:r>
      <w:r>
        <w:rPr>
          <w:sz w:val="22"/>
        </w:rPr>
        <w:t>y</w:t>
      </w:r>
      <w:r>
        <w:rPr>
          <w:spacing w:val="-3"/>
          <w:sz w:val="22"/>
        </w:rPr>
        <w:t> </w:t>
      </w:r>
      <w:r>
        <w:rPr>
          <w:sz w:val="22"/>
        </w:rPr>
        <w:t>Colombina</w:t>
      </w:r>
      <w:r>
        <w:rPr>
          <w:spacing w:val="-1"/>
          <w:sz w:val="22"/>
        </w:rPr>
        <w:t> </w:t>
      </w:r>
      <w:r>
        <w:rPr>
          <w:sz w:val="22"/>
        </w:rPr>
        <w:t>del</w:t>
      </w:r>
      <w:r>
        <w:rPr>
          <w:spacing w:val="-1"/>
          <w:sz w:val="22"/>
        </w:rPr>
        <w:t> </w:t>
      </w:r>
      <w:r>
        <w:rPr>
          <w:sz w:val="22"/>
        </w:rPr>
        <w:t>Cauca</w:t>
      </w:r>
      <w:r>
        <w:rPr>
          <w:spacing w:val="-3"/>
          <w:sz w:val="22"/>
        </w:rPr>
        <w:t> </w:t>
      </w:r>
      <w:r>
        <w:rPr>
          <w:sz w:val="22"/>
        </w:rPr>
        <w:t>S.A.</w:t>
      </w:r>
      <w:r>
        <w:rPr>
          <w:spacing w:val="-1"/>
          <w:sz w:val="22"/>
        </w:rPr>
        <w:t> </w:t>
      </w:r>
      <w:r>
        <w:rPr>
          <w:sz w:val="22"/>
        </w:rPr>
        <w:t>(en</w:t>
      </w:r>
      <w:r>
        <w:rPr>
          <w:spacing w:val="-1"/>
          <w:sz w:val="22"/>
        </w:rPr>
        <w:t> </w:t>
      </w:r>
      <w:r>
        <w:rPr>
          <w:sz w:val="22"/>
        </w:rPr>
        <w:t>adelante, </w:t>
      </w:r>
      <w:r>
        <w:rPr>
          <w:rFonts w:ascii="Arial" w:hAnsi="Arial"/>
          <w:b/>
          <w:sz w:val="22"/>
        </w:rPr>
        <w:t>Colombina</w:t>
      </w:r>
      <w:r>
        <w:rPr>
          <w:sz w:val="22"/>
        </w:rPr>
        <w:t>)</w:t>
      </w:r>
      <w:r>
        <w:rPr>
          <w:spacing w:val="-4"/>
          <w:sz w:val="22"/>
        </w:rPr>
        <w:t> </w:t>
      </w:r>
      <w:r>
        <w:rPr>
          <w:sz w:val="22"/>
        </w:rPr>
        <w:t>mediante</w:t>
      </w:r>
      <w:r>
        <w:rPr>
          <w:spacing w:val="-1"/>
          <w:sz w:val="22"/>
        </w:rPr>
        <w:t> </w:t>
      </w:r>
      <w:r>
        <w:rPr>
          <w:sz w:val="22"/>
        </w:rPr>
        <w:t>nota</w:t>
      </w:r>
      <w:r>
        <w:rPr>
          <w:spacing w:val="-3"/>
          <w:sz w:val="22"/>
        </w:rPr>
        <w:t> </w:t>
      </w:r>
      <w:r>
        <w:rPr>
          <w:sz w:val="22"/>
        </w:rPr>
        <w:t>de fecha</w:t>
      </w:r>
      <w:r>
        <w:rPr>
          <w:spacing w:val="-16"/>
          <w:sz w:val="22"/>
        </w:rPr>
        <w:t> </w:t>
      </w:r>
      <w:r>
        <w:rPr>
          <w:sz w:val="22"/>
        </w:rPr>
        <w:t>31</w:t>
      </w:r>
      <w:r>
        <w:rPr>
          <w:spacing w:val="-15"/>
          <w:sz w:val="22"/>
        </w:rPr>
        <w:t> </w:t>
      </w:r>
      <w:r>
        <w:rPr>
          <w:sz w:val="22"/>
        </w:rPr>
        <w:t>de</w:t>
      </w:r>
      <w:r>
        <w:rPr>
          <w:spacing w:val="-15"/>
          <w:sz w:val="22"/>
        </w:rPr>
        <w:t> </w:t>
      </w:r>
      <w:r>
        <w:rPr>
          <w:sz w:val="22"/>
        </w:rPr>
        <w:t>marzo</w:t>
      </w:r>
      <w:r>
        <w:rPr>
          <w:spacing w:val="-16"/>
          <w:sz w:val="22"/>
        </w:rPr>
        <w:t> </w:t>
      </w:r>
      <w:r>
        <w:rPr>
          <w:sz w:val="22"/>
        </w:rPr>
        <w:t>de</w:t>
      </w:r>
      <w:r>
        <w:rPr>
          <w:spacing w:val="-15"/>
          <w:sz w:val="22"/>
        </w:rPr>
        <w:t> </w:t>
      </w:r>
      <w:r>
        <w:rPr>
          <w:sz w:val="22"/>
        </w:rPr>
        <w:t>2026,</w:t>
      </w:r>
      <w:r>
        <w:rPr>
          <w:spacing w:val="-15"/>
          <w:sz w:val="22"/>
        </w:rPr>
        <w:t> </w:t>
      </w:r>
      <w:r>
        <w:rPr>
          <w:sz w:val="22"/>
        </w:rPr>
        <w:t>aportaron</w:t>
      </w:r>
      <w:r>
        <w:rPr>
          <w:spacing w:val="-15"/>
          <w:sz w:val="22"/>
        </w:rPr>
        <w:t> </w:t>
      </w:r>
      <w:r>
        <w:rPr>
          <w:sz w:val="22"/>
        </w:rPr>
        <w:t>información</w:t>
      </w:r>
      <w:r>
        <w:rPr>
          <w:spacing w:val="-14"/>
          <w:sz w:val="22"/>
        </w:rPr>
        <w:t> </w:t>
      </w:r>
      <w:r>
        <w:rPr>
          <w:sz w:val="22"/>
        </w:rPr>
        <w:t>para</w:t>
      </w:r>
      <w:r>
        <w:rPr>
          <w:spacing w:val="-16"/>
          <w:sz w:val="22"/>
        </w:rPr>
        <w:t> </w:t>
      </w:r>
      <w:r>
        <w:rPr>
          <w:sz w:val="22"/>
        </w:rPr>
        <w:t>que</w:t>
      </w:r>
      <w:r>
        <w:rPr>
          <w:spacing w:val="-15"/>
          <w:sz w:val="22"/>
        </w:rPr>
        <w:t> </w:t>
      </w:r>
      <w:r>
        <w:rPr>
          <w:sz w:val="22"/>
        </w:rPr>
        <w:t>sea</w:t>
      </w:r>
      <w:r>
        <w:rPr>
          <w:spacing w:val="-15"/>
          <w:sz w:val="22"/>
        </w:rPr>
        <w:t> </w:t>
      </w:r>
      <w:r>
        <w:rPr>
          <w:sz w:val="22"/>
        </w:rPr>
        <w:t>considerada</w:t>
      </w:r>
      <w:r>
        <w:rPr>
          <w:spacing w:val="-14"/>
          <w:sz w:val="22"/>
        </w:rPr>
        <w:t> </w:t>
      </w:r>
      <w:r>
        <w:rPr>
          <w:sz w:val="22"/>
        </w:rPr>
        <w:t>en</w:t>
      </w:r>
      <w:r>
        <w:rPr>
          <w:spacing w:val="-16"/>
          <w:sz w:val="22"/>
        </w:rPr>
        <w:t> </w:t>
      </w:r>
      <w:r>
        <w:rPr>
          <w:sz w:val="22"/>
        </w:rPr>
        <w:t>el</w:t>
      </w:r>
      <w:r>
        <w:rPr>
          <w:spacing w:val="-14"/>
          <w:sz w:val="22"/>
        </w:rPr>
        <w:t> </w:t>
      </w:r>
      <w:r>
        <w:rPr>
          <w:sz w:val="22"/>
        </w:rPr>
        <w:t>curso del trámite y valorados en el análisis del expediente en el marco del procedimiento de calificación de gravámenes iniciado por la República de Colombia con respecto de la Resolución</w:t>
      </w:r>
      <w:r>
        <w:rPr>
          <w:spacing w:val="40"/>
          <w:sz w:val="22"/>
        </w:rPr>
        <w:t> </w:t>
      </w:r>
      <w:r>
        <w:rPr>
          <w:sz w:val="22"/>
        </w:rPr>
        <w:t>Nro.</w:t>
      </w:r>
      <w:r>
        <w:rPr>
          <w:spacing w:val="70"/>
          <w:sz w:val="22"/>
        </w:rPr>
        <w:t> </w:t>
      </w:r>
      <w:r>
        <w:rPr>
          <w:sz w:val="22"/>
        </w:rPr>
        <w:t>SENAE-SENAE-2026-0006-RE,</w:t>
      </w:r>
      <w:r>
        <w:rPr>
          <w:spacing w:val="70"/>
          <w:sz w:val="22"/>
        </w:rPr>
        <w:t> </w:t>
      </w:r>
      <w:r>
        <w:rPr>
          <w:sz w:val="22"/>
        </w:rPr>
        <w:t>derogada</w:t>
      </w:r>
      <w:r>
        <w:rPr>
          <w:spacing w:val="40"/>
          <w:sz w:val="22"/>
        </w:rPr>
        <w:t> </w:t>
      </w:r>
      <w:r>
        <w:rPr>
          <w:sz w:val="22"/>
        </w:rPr>
        <w:t>por</w:t>
      </w:r>
      <w:r>
        <w:rPr>
          <w:spacing w:val="70"/>
          <w:sz w:val="22"/>
        </w:rPr>
        <w:t> </w:t>
      </w:r>
      <w:r>
        <w:rPr>
          <w:sz w:val="22"/>
        </w:rPr>
        <w:t>la</w:t>
      </w:r>
      <w:r>
        <w:rPr>
          <w:spacing w:val="70"/>
          <w:sz w:val="22"/>
        </w:rPr>
        <w:t> </w:t>
      </w:r>
      <w:r>
        <w:rPr>
          <w:sz w:val="22"/>
        </w:rPr>
        <w:t>Resolución</w:t>
      </w:r>
      <w:r>
        <w:rPr>
          <w:spacing w:val="40"/>
          <w:sz w:val="22"/>
        </w:rPr>
        <w:t> </w:t>
      </w:r>
      <w:r>
        <w:rPr>
          <w:sz w:val="22"/>
        </w:rPr>
        <w:t>Nro.</w:t>
      </w:r>
    </w:p>
    <w:p>
      <w:pPr>
        <w:pStyle w:val="BodyText"/>
        <w:spacing w:before="1"/>
        <w:ind w:left="1134"/>
      </w:pPr>
      <w:r>
        <w:rPr>
          <w:spacing w:val="-2"/>
        </w:rPr>
        <w:t>SENAE-SENAE-2026-0017-</w:t>
      </w:r>
      <w:r>
        <w:rPr>
          <w:spacing w:val="27"/>
        </w:rPr>
        <w:t> </w:t>
      </w:r>
      <w:r>
        <w:rPr>
          <w:spacing w:val="-4"/>
        </w:rPr>
        <w:t>RE.</w:t>
      </w:r>
      <w:hyperlink w:history="true" w:anchor="_bookmark54">
        <w:r>
          <w:rPr>
            <w:spacing w:val="-4"/>
            <w:vertAlign w:val="superscript"/>
          </w:rPr>
          <w:t>12</w:t>
        </w:r>
      </w:hyperlink>
    </w:p>
    <w:p>
      <w:pPr>
        <w:pStyle w:val="BodyText"/>
      </w:pPr>
    </w:p>
    <w:p>
      <w:pPr>
        <w:pStyle w:val="ListParagraph"/>
        <w:numPr>
          <w:ilvl w:val="0"/>
          <w:numId w:val="11"/>
        </w:numPr>
        <w:tabs>
          <w:tab w:pos="1130" w:val="left" w:leader="none"/>
          <w:tab w:pos="1134" w:val="left" w:leader="none"/>
        </w:tabs>
        <w:spacing w:line="240" w:lineRule="auto" w:before="1" w:after="0"/>
        <w:ind w:left="1134" w:right="982" w:hanging="567"/>
        <w:jc w:val="both"/>
        <w:rPr>
          <w:sz w:val="22"/>
        </w:rPr>
      </w:pPr>
      <w:r>
        <w:rPr>
          <w:sz w:val="22"/>
        </w:rPr>
        <w:t>El</w:t>
      </w:r>
      <w:r>
        <w:rPr>
          <w:spacing w:val="-1"/>
          <w:sz w:val="22"/>
        </w:rPr>
        <w:t> </w:t>
      </w:r>
      <w:r>
        <w:rPr>
          <w:sz w:val="22"/>
        </w:rPr>
        <w:t>escrito</w:t>
      </w:r>
      <w:r>
        <w:rPr>
          <w:spacing w:val="-2"/>
          <w:sz w:val="22"/>
        </w:rPr>
        <w:t> </w:t>
      </w:r>
      <w:r>
        <w:rPr>
          <w:sz w:val="22"/>
        </w:rPr>
        <w:t>presentado</w:t>
      </w:r>
      <w:r>
        <w:rPr>
          <w:spacing w:val="-3"/>
          <w:sz w:val="22"/>
        </w:rPr>
        <w:t> </w:t>
      </w:r>
      <w:r>
        <w:rPr>
          <w:sz w:val="22"/>
        </w:rPr>
        <w:t>por</w:t>
      </w:r>
      <w:r>
        <w:rPr>
          <w:spacing w:val="-2"/>
          <w:sz w:val="22"/>
        </w:rPr>
        <w:t> </w:t>
      </w:r>
      <w:r>
        <w:rPr>
          <w:sz w:val="22"/>
        </w:rPr>
        <w:t>Colombina</w:t>
      </w:r>
      <w:r>
        <w:rPr>
          <w:spacing w:val="-1"/>
          <w:sz w:val="22"/>
        </w:rPr>
        <w:t> </w:t>
      </w:r>
      <w:r>
        <w:rPr>
          <w:sz w:val="22"/>
        </w:rPr>
        <w:t>documenta</w:t>
      </w:r>
      <w:r>
        <w:rPr>
          <w:spacing w:val="-3"/>
          <w:sz w:val="22"/>
        </w:rPr>
        <w:t> </w:t>
      </w:r>
      <w:r>
        <w:rPr>
          <w:sz w:val="22"/>
        </w:rPr>
        <w:t>la relevancia</w:t>
      </w:r>
      <w:r>
        <w:rPr>
          <w:spacing w:val="-3"/>
          <w:sz w:val="22"/>
        </w:rPr>
        <w:t> </w:t>
      </w:r>
      <w:r>
        <w:rPr>
          <w:sz w:val="22"/>
        </w:rPr>
        <w:t>del</w:t>
      </w:r>
      <w:r>
        <w:rPr>
          <w:spacing w:val="-3"/>
          <w:sz w:val="22"/>
        </w:rPr>
        <w:t> </w:t>
      </w:r>
      <w:r>
        <w:rPr>
          <w:sz w:val="22"/>
        </w:rPr>
        <w:t>mercado ecuatoriano para dicho grupo empresarial, señalando que</w:t>
      </w:r>
      <w:r>
        <w:rPr>
          <w:spacing w:val="-1"/>
          <w:sz w:val="22"/>
        </w:rPr>
        <w:t> </w:t>
      </w:r>
      <w:r>
        <w:rPr>
          <w:sz w:val="22"/>
        </w:rPr>
        <w:t>la República del Ecuador fue uno de</w:t>
      </w:r>
      <w:r>
        <w:rPr>
          <w:spacing w:val="-1"/>
          <w:sz w:val="22"/>
        </w:rPr>
        <w:t> </w:t>
      </w:r>
      <w:r>
        <w:rPr>
          <w:sz w:val="22"/>
        </w:rPr>
        <w:t>sus principales destinos de exportación entre 2020 y 2025, con exportaciones acumuladas por USD 122.863.948 FOB durante ese período.</w:t>
      </w:r>
      <w:hyperlink w:history="true" w:anchor="_bookmark55">
        <w:r>
          <w:rPr>
            <w:sz w:val="22"/>
            <w:vertAlign w:val="superscript"/>
          </w:rPr>
          <w:t>13</w:t>
        </w:r>
      </w:hyperlink>
    </w:p>
    <w:p>
      <w:pPr>
        <w:pStyle w:val="BodyText"/>
      </w:pPr>
    </w:p>
    <w:p>
      <w:pPr>
        <w:pStyle w:val="ListParagraph"/>
        <w:numPr>
          <w:ilvl w:val="0"/>
          <w:numId w:val="11"/>
        </w:numPr>
        <w:tabs>
          <w:tab w:pos="1130" w:val="left" w:leader="none"/>
          <w:tab w:pos="1134" w:val="left" w:leader="none"/>
        </w:tabs>
        <w:spacing w:line="240" w:lineRule="auto" w:before="0" w:after="0"/>
        <w:ind w:left="1134" w:right="976" w:hanging="567"/>
        <w:jc w:val="both"/>
        <w:rPr>
          <w:sz w:val="22"/>
        </w:rPr>
      </w:pPr>
      <w:r>
        <w:rPr>
          <w:sz w:val="22"/>
        </w:rPr>
        <w:t>El mismo documento indica que cuatro subpartidas [1704.90.10 – Bombones-caramelos-confites</w:t>
      </w:r>
      <w:r>
        <w:rPr>
          <w:spacing w:val="-12"/>
          <w:sz w:val="22"/>
        </w:rPr>
        <w:t> </w:t>
      </w:r>
      <w:r>
        <w:rPr>
          <w:sz w:val="22"/>
        </w:rPr>
        <w:t>y</w:t>
      </w:r>
      <w:r>
        <w:rPr>
          <w:spacing w:val="-12"/>
          <w:sz w:val="22"/>
        </w:rPr>
        <w:t> </w:t>
      </w:r>
      <w:r>
        <w:rPr>
          <w:sz w:val="22"/>
        </w:rPr>
        <w:t>pastillas</w:t>
      </w:r>
      <w:r>
        <w:rPr>
          <w:spacing w:val="-10"/>
          <w:sz w:val="22"/>
        </w:rPr>
        <w:t> </w:t>
      </w:r>
      <w:r>
        <w:rPr>
          <w:sz w:val="22"/>
        </w:rPr>
        <w:t>sin</w:t>
      </w:r>
      <w:r>
        <w:rPr>
          <w:spacing w:val="-10"/>
          <w:sz w:val="22"/>
        </w:rPr>
        <w:t> </w:t>
      </w:r>
      <w:r>
        <w:rPr>
          <w:sz w:val="22"/>
        </w:rPr>
        <w:t>cacao;</w:t>
      </w:r>
      <w:r>
        <w:rPr>
          <w:spacing w:val="-11"/>
          <w:sz w:val="22"/>
        </w:rPr>
        <w:t> </w:t>
      </w:r>
      <w:r>
        <w:rPr>
          <w:sz w:val="22"/>
        </w:rPr>
        <w:t>1905.90.10</w:t>
      </w:r>
      <w:r>
        <w:rPr>
          <w:spacing w:val="-9"/>
          <w:sz w:val="22"/>
        </w:rPr>
        <w:t> </w:t>
      </w:r>
      <w:r>
        <w:rPr>
          <w:sz w:val="22"/>
        </w:rPr>
        <w:t>–</w:t>
      </w:r>
      <w:r>
        <w:rPr>
          <w:spacing w:val="-12"/>
          <w:sz w:val="22"/>
        </w:rPr>
        <w:t> </w:t>
      </w:r>
      <w:r>
        <w:rPr>
          <w:sz w:val="22"/>
        </w:rPr>
        <w:t>Galletas</w:t>
      </w:r>
      <w:r>
        <w:rPr>
          <w:spacing w:val="-12"/>
          <w:sz w:val="22"/>
        </w:rPr>
        <w:t> </w:t>
      </w:r>
      <w:r>
        <w:rPr>
          <w:sz w:val="22"/>
        </w:rPr>
        <w:t>saladas</w:t>
      </w:r>
      <w:r>
        <w:rPr>
          <w:spacing w:val="-12"/>
          <w:sz w:val="22"/>
        </w:rPr>
        <w:t> </w:t>
      </w:r>
      <w:r>
        <w:rPr>
          <w:sz w:val="22"/>
        </w:rPr>
        <w:t>o</w:t>
      </w:r>
      <w:r>
        <w:rPr>
          <w:spacing w:val="-12"/>
          <w:sz w:val="22"/>
        </w:rPr>
        <w:t> </w:t>
      </w:r>
      <w:r>
        <w:rPr>
          <w:sz w:val="22"/>
        </w:rPr>
        <w:t>aromatizadas; 1905.32.00</w:t>
      </w:r>
      <w:r>
        <w:rPr>
          <w:spacing w:val="-10"/>
          <w:sz w:val="22"/>
        </w:rPr>
        <w:t> </w:t>
      </w:r>
      <w:r>
        <w:rPr>
          <w:sz w:val="22"/>
        </w:rPr>
        <w:t>–</w:t>
      </w:r>
      <w:r>
        <w:rPr>
          <w:spacing w:val="-10"/>
          <w:sz w:val="22"/>
        </w:rPr>
        <w:t> </w:t>
      </w:r>
      <w:r>
        <w:rPr>
          <w:sz w:val="22"/>
        </w:rPr>
        <w:t>Barquillos</w:t>
      </w:r>
      <w:r>
        <w:rPr>
          <w:spacing w:val="-10"/>
          <w:sz w:val="22"/>
        </w:rPr>
        <w:t> </w:t>
      </w:r>
      <w:r>
        <w:rPr>
          <w:sz w:val="22"/>
        </w:rPr>
        <w:t>y</w:t>
      </w:r>
      <w:r>
        <w:rPr>
          <w:spacing w:val="-7"/>
          <w:sz w:val="22"/>
        </w:rPr>
        <w:t> </w:t>
      </w:r>
      <w:r>
        <w:rPr>
          <w:sz w:val="22"/>
        </w:rPr>
        <w:t>obleas-incluso</w:t>
      </w:r>
      <w:r>
        <w:rPr>
          <w:spacing w:val="-10"/>
          <w:sz w:val="22"/>
        </w:rPr>
        <w:t> </w:t>
      </w:r>
      <w:r>
        <w:rPr>
          <w:sz w:val="22"/>
        </w:rPr>
        <w:t>rellenos</w:t>
      </w:r>
      <w:r>
        <w:rPr>
          <w:spacing w:val="-10"/>
          <w:sz w:val="22"/>
        </w:rPr>
        <w:t> </w:t>
      </w:r>
      <w:r>
        <w:rPr>
          <w:sz w:val="22"/>
        </w:rPr>
        <w:t>(gaufrettes-waffers)</w:t>
      </w:r>
      <w:r>
        <w:rPr>
          <w:spacing w:val="-9"/>
          <w:sz w:val="22"/>
        </w:rPr>
        <w:t> </w:t>
      </w:r>
      <w:r>
        <w:rPr>
          <w:sz w:val="22"/>
        </w:rPr>
        <w:t>y</w:t>
      </w:r>
      <w:r>
        <w:rPr>
          <w:spacing w:val="-9"/>
          <w:sz w:val="22"/>
        </w:rPr>
        <w:t> </w:t>
      </w:r>
      <w:r>
        <w:rPr>
          <w:sz w:val="22"/>
        </w:rPr>
        <w:t>wafles(gaufres); 1905.31.00 – Galletas dulces (con adición de edulcorante)] concentran aproximadamente el 79% del valor FOB total exportado por Colombina en el período 2020-2025, lo cual hace que cualquier medida que encarezca el acceso al mercado ecuatoriano</w:t>
      </w:r>
      <w:r>
        <w:rPr>
          <w:spacing w:val="-4"/>
          <w:sz w:val="22"/>
        </w:rPr>
        <w:t> </w:t>
      </w:r>
      <w:r>
        <w:rPr>
          <w:sz w:val="22"/>
        </w:rPr>
        <w:t>tenga</w:t>
      </w:r>
      <w:r>
        <w:rPr>
          <w:spacing w:val="-2"/>
          <w:sz w:val="22"/>
        </w:rPr>
        <w:t> </w:t>
      </w:r>
      <w:r>
        <w:rPr>
          <w:sz w:val="22"/>
        </w:rPr>
        <w:t>un</w:t>
      </w:r>
      <w:r>
        <w:rPr>
          <w:spacing w:val="-4"/>
          <w:sz w:val="22"/>
        </w:rPr>
        <w:t> </w:t>
      </w:r>
      <w:r>
        <w:rPr>
          <w:sz w:val="22"/>
        </w:rPr>
        <w:t>efecto</w:t>
      </w:r>
      <w:r>
        <w:rPr>
          <w:spacing w:val="-2"/>
          <w:sz w:val="22"/>
        </w:rPr>
        <w:t> </w:t>
      </w:r>
      <w:r>
        <w:rPr>
          <w:sz w:val="22"/>
        </w:rPr>
        <w:t>directo</w:t>
      </w:r>
      <w:r>
        <w:rPr>
          <w:spacing w:val="-2"/>
          <w:sz w:val="22"/>
        </w:rPr>
        <w:t> </w:t>
      </w:r>
      <w:r>
        <w:rPr>
          <w:sz w:val="22"/>
        </w:rPr>
        <w:t>e</w:t>
      </w:r>
      <w:r>
        <w:rPr>
          <w:spacing w:val="-4"/>
          <w:sz w:val="22"/>
        </w:rPr>
        <w:t> </w:t>
      </w:r>
      <w:r>
        <w:rPr>
          <w:sz w:val="22"/>
        </w:rPr>
        <w:t>inmediato</w:t>
      </w:r>
      <w:r>
        <w:rPr>
          <w:spacing w:val="-3"/>
          <w:sz w:val="22"/>
        </w:rPr>
        <w:t> </w:t>
      </w:r>
      <w:r>
        <w:rPr>
          <w:sz w:val="22"/>
        </w:rPr>
        <w:t>sobre</w:t>
      </w:r>
      <w:r>
        <w:rPr>
          <w:spacing w:val="-2"/>
          <w:sz w:val="22"/>
        </w:rPr>
        <w:t> </w:t>
      </w:r>
      <w:r>
        <w:rPr>
          <w:sz w:val="22"/>
        </w:rPr>
        <w:t>las</w:t>
      </w:r>
      <w:r>
        <w:rPr>
          <w:spacing w:val="-1"/>
          <w:sz w:val="22"/>
        </w:rPr>
        <w:t> </w:t>
      </w:r>
      <w:r>
        <w:rPr>
          <w:sz w:val="22"/>
        </w:rPr>
        <w:t>principales</w:t>
      </w:r>
      <w:r>
        <w:rPr>
          <w:spacing w:val="-2"/>
          <w:sz w:val="22"/>
        </w:rPr>
        <w:t> </w:t>
      </w:r>
      <w:r>
        <w:rPr>
          <w:sz w:val="22"/>
        </w:rPr>
        <w:t>líneas</w:t>
      </w:r>
      <w:r>
        <w:rPr>
          <w:spacing w:val="-2"/>
          <w:sz w:val="22"/>
        </w:rPr>
        <w:t> </w:t>
      </w:r>
      <w:r>
        <w:rPr>
          <w:sz w:val="22"/>
        </w:rPr>
        <w:t>de</w:t>
      </w:r>
      <w:r>
        <w:rPr>
          <w:spacing w:val="-2"/>
          <w:sz w:val="22"/>
        </w:rPr>
        <w:t> </w:t>
      </w:r>
      <w:r>
        <w:rPr>
          <w:sz w:val="22"/>
        </w:rPr>
        <w:t>negocio del grupo.</w:t>
      </w:r>
      <w:hyperlink w:history="true" w:anchor="_bookmark56">
        <w:r>
          <w:rPr>
            <w:sz w:val="22"/>
            <w:vertAlign w:val="superscript"/>
          </w:rPr>
          <w:t>14</w:t>
        </w:r>
      </w:hyperlink>
    </w:p>
    <w:p>
      <w:pPr>
        <w:pStyle w:val="ListParagraph"/>
        <w:numPr>
          <w:ilvl w:val="0"/>
          <w:numId w:val="11"/>
        </w:numPr>
        <w:tabs>
          <w:tab w:pos="1130" w:val="left" w:leader="none"/>
          <w:tab w:pos="1134" w:val="left" w:leader="none"/>
        </w:tabs>
        <w:spacing w:line="240" w:lineRule="auto" w:before="252" w:after="0"/>
        <w:ind w:left="1134" w:right="983" w:hanging="567"/>
        <w:jc w:val="both"/>
        <w:rPr>
          <w:sz w:val="22"/>
        </w:rPr>
      </w:pPr>
      <w:r>
        <w:rPr>
          <w:sz w:val="22"/>
        </w:rPr>
        <w:t>Asimismo, aportó información sobre el aumento del costo total de nacionalización por contenedor,</w:t>
      </w:r>
      <w:r>
        <w:rPr>
          <w:spacing w:val="-11"/>
          <w:sz w:val="22"/>
        </w:rPr>
        <w:t> </w:t>
      </w:r>
      <w:r>
        <w:rPr>
          <w:sz w:val="22"/>
        </w:rPr>
        <w:t>el</w:t>
      </w:r>
      <w:r>
        <w:rPr>
          <w:spacing w:val="-13"/>
          <w:sz w:val="22"/>
        </w:rPr>
        <w:t> </w:t>
      </w:r>
      <w:r>
        <w:rPr>
          <w:sz w:val="22"/>
        </w:rPr>
        <w:t>incremento</w:t>
      </w:r>
      <w:r>
        <w:rPr>
          <w:spacing w:val="-12"/>
          <w:sz w:val="22"/>
        </w:rPr>
        <w:t> </w:t>
      </w:r>
      <w:r>
        <w:rPr>
          <w:sz w:val="22"/>
        </w:rPr>
        <w:t>de</w:t>
      </w:r>
      <w:r>
        <w:rPr>
          <w:spacing w:val="-13"/>
          <w:sz w:val="22"/>
        </w:rPr>
        <w:t> </w:t>
      </w:r>
      <w:r>
        <w:rPr>
          <w:sz w:val="22"/>
        </w:rPr>
        <w:t>la</w:t>
      </w:r>
      <w:r>
        <w:rPr>
          <w:spacing w:val="-12"/>
          <w:sz w:val="22"/>
        </w:rPr>
        <w:t> </w:t>
      </w:r>
      <w:r>
        <w:rPr>
          <w:sz w:val="22"/>
        </w:rPr>
        <w:t>carga</w:t>
      </w:r>
      <w:r>
        <w:rPr>
          <w:spacing w:val="-12"/>
          <w:sz w:val="22"/>
        </w:rPr>
        <w:t> </w:t>
      </w:r>
      <w:r>
        <w:rPr>
          <w:sz w:val="22"/>
        </w:rPr>
        <w:t>económica</w:t>
      </w:r>
      <w:r>
        <w:rPr>
          <w:spacing w:val="-15"/>
          <w:sz w:val="22"/>
        </w:rPr>
        <w:t> </w:t>
      </w:r>
      <w:r>
        <w:rPr>
          <w:sz w:val="22"/>
        </w:rPr>
        <w:t>sobre</w:t>
      </w:r>
      <w:r>
        <w:rPr>
          <w:spacing w:val="-12"/>
          <w:sz w:val="22"/>
        </w:rPr>
        <w:t> </w:t>
      </w:r>
      <w:r>
        <w:rPr>
          <w:sz w:val="22"/>
        </w:rPr>
        <w:t>la</w:t>
      </w:r>
      <w:r>
        <w:rPr>
          <w:spacing w:val="-12"/>
          <w:sz w:val="22"/>
        </w:rPr>
        <w:t> </w:t>
      </w:r>
      <w:r>
        <w:rPr>
          <w:sz w:val="22"/>
        </w:rPr>
        <w:t>factura</w:t>
      </w:r>
      <w:r>
        <w:rPr>
          <w:spacing w:val="-12"/>
          <w:sz w:val="22"/>
        </w:rPr>
        <w:t> </w:t>
      </w:r>
      <w:r>
        <w:rPr>
          <w:sz w:val="22"/>
        </w:rPr>
        <w:t>más</w:t>
      </w:r>
      <w:r>
        <w:rPr>
          <w:spacing w:val="-12"/>
          <w:sz w:val="22"/>
        </w:rPr>
        <w:t> </w:t>
      </w:r>
      <w:r>
        <w:rPr>
          <w:sz w:val="22"/>
        </w:rPr>
        <w:t>flete</w:t>
      </w:r>
      <w:r>
        <w:rPr>
          <w:spacing w:val="-15"/>
          <w:sz w:val="22"/>
        </w:rPr>
        <w:t> </w:t>
      </w:r>
      <w:r>
        <w:rPr>
          <w:sz w:val="22"/>
        </w:rPr>
        <w:t>más</w:t>
      </w:r>
      <w:r>
        <w:rPr>
          <w:spacing w:val="-12"/>
          <w:sz w:val="22"/>
        </w:rPr>
        <w:t> </w:t>
      </w:r>
      <w:r>
        <w:rPr>
          <w:sz w:val="22"/>
        </w:rPr>
        <w:t>seguro, la reducción del número de contenedores importados y las tensiones operativas y financieras derivadas de la medida.</w:t>
      </w:r>
      <w:hyperlink w:history="true" w:anchor="_bookmark57">
        <w:r>
          <w:rPr>
            <w:sz w:val="22"/>
            <w:vertAlign w:val="superscript"/>
          </w:rPr>
          <w:t>15</w:t>
        </w:r>
      </w:hyperlink>
    </w:p>
    <w:p>
      <w:pPr>
        <w:pStyle w:val="Heading5"/>
        <w:numPr>
          <w:ilvl w:val="1"/>
          <w:numId w:val="10"/>
        </w:numPr>
        <w:tabs>
          <w:tab w:pos="1276" w:val="left" w:leader="none"/>
        </w:tabs>
        <w:spacing w:line="240" w:lineRule="auto" w:before="253" w:after="0"/>
        <w:ind w:left="1276" w:right="0" w:hanging="708"/>
        <w:jc w:val="left"/>
      </w:pPr>
      <w:r>
        <w:rPr/>
        <w:t>COMITÉ</w:t>
      </w:r>
      <w:r>
        <w:rPr>
          <w:spacing w:val="-8"/>
        </w:rPr>
        <w:t> </w:t>
      </w:r>
      <w:r>
        <w:rPr/>
        <w:t>EMPRESARIAL</w:t>
      </w:r>
      <w:r>
        <w:rPr>
          <w:spacing w:val="-8"/>
        </w:rPr>
        <w:t> </w:t>
      </w:r>
      <w:r>
        <w:rPr/>
        <w:t>ECUATORIANO</w:t>
      </w:r>
      <w:r>
        <w:rPr>
          <w:spacing w:val="-7"/>
        </w:rPr>
        <w:t> </w:t>
      </w:r>
      <w:r>
        <w:rPr/>
        <w:t>-</w:t>
      </w:r>
      <w:r>
        <w:rPr>
          <w:spacing w:val="-8"/>
        </w:rPr>
        <w:t> </w:t>
      </w:r>
      <w:r>
        <w:rPr>
          <w:spacing w:val="-5"/>
        </w:rPr>
        <w:t>CEE</w:t>
      </w:r>
    </w:p>
    <w:p>
      <w:pPr>
        <w:pStyle w:val="BodyText"/>
        <w:rPr>
          <w:rFonts w:ascii="Arial"/>
          <w:b/>
        </w:rPr>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Mediante</w:t>
      </w:r>
      <w:r>
        <w:rPr>
          <w:spacing w:val="-2"/>
          <w:sz w:val="22"/>
        </w:rPr>
        <w:t> </w:t>
      </w:r>
      <w:r>
        <w:rPr>
          <w:sz w:val="22"/>
        </w:rPr>
        <w:t>Oficio P-CEE-064-2026 de fecha 4 de</w:t>
      </w:r>
      <w:r>
        <w:rPr>
          <w:spacing w:val="-2"/>
          <w:sz w:val="22"/>
        </w:rPr>
        <w:t> </w:t>
      </w:r>
      <w:r>
        <w:rPr>
          <w:sz w:val="22"/>
        </w:rPr>
        <w:t>mayo de 2026, recibido por la SGCAN el</w:t>
      </w:r>
      <w:r>
        <w:rPr>
          <w:spacing w:val="-12"/>
          <w:sz w:val="22"/>
        </w:rPr>
        <w:t> </w:t>
      </w:r>
      <w:r>
        <w:rPr>
          <w:sz w:val="22"/>
        </w:rPr>
        <w:t>5</w:t>
      </w:r>
      <w:r>
        <w:rPr>
          <w:spacing w:val="-11"/>
          <w:sz w:val="22"/>
        </w:rPr>
        <w:t> </w:t>
      </w:r>
      <w:r>
        <w:rPr>
          <w:sz w:val="22"/>
        </w:rPr>
        <w:t>de</w:t>
      </w:r>
      <w:r>
        <w:rPr>
          <w:spacing w:val="-12"/>
          <w:sz w:val="22"/>
        </w:rPr>
        <w:t> </w:t>
      </w:r>
      <w:r>
        <w:rPr>
          <w:sz w:val="22"/>
        </w:rPr>
        <w:t>mayo</w:t>
      </w:r>
      <w:r>
        <w:rPr>
          <w:spacing w:val="-11"/>
          <w:sz w:val="22"/>
        </w:rPr>
        <w:t> </w:t>
      </w:r>
      <w:r>
        <w:rPr>
          <w:sz w:val="22"/>
        </w:rPr>
        <w:t>de</w:t>
      </w:r>
      <w:r>
        <w:rPr>
          <w:spacing w:val="-12"/>
          <w:sz w:val="22"/>
        </w:rPr>
        <w:t> </w:t>
      </w:r>
      <w:r>
        <w:rPr>
          <w:sz w:val="22"/>
        </w:rPr>
        <w:t>2026,</w:t>
      </w:r>
      <w:r>
        <w:rPr>
          <w:spacing w:val="-10"/>
          <w:sz w:val="22"/>
        </w:rPr>
        <w:t> </w:t>
      </w:r>
      <w:r>
        <w:rPr>
          <w:sz w:val="22"/>
        </w:rPr>
        <w:t>el</w:t>
      </w:r>
      <w:r>
        <w:rPr>
          <w:spacing w:val="-15"/>
          <w:sz w:val="22"/>
        </w:rPr>
        <w:t> </w:t>
      </w:r>
      <w:r>
        <w:rPr>
          <w:sz w:val="22"/>
        </w:rPr>
        <w:t>Comité</w:t>
      </w:r>
      <w:r>
        <w:rPr>
          <w:spacing w:val="-11"/>
          <w:sz w:val="22"/>
        </w:rPr>
        <w:t> </w:t>
      </w:r>
      <w:r>
        <w:rPr>
          <w:sz w:val="22"/>
        </w:rPr>
        <w:t>Empresarial</w:t>
      </w:r>
      <w:r>
        <w:rPr>
          <w:spacing w:val="-12"/>
          <w:sz w:val="22"/>
        </w:rPr>
        <w:t> </w:t>
      </w:r>
      <w:r>
        <w:rPr>
          <w:sz w:val="22"/>
        </w:rPr>
        <w:t>Ecuatoriano</w:t>
      </w:r>
      <w:r>
        <w:rPr>
          <w:spacing w:val="-9"/>
          <w:sz w:val="22"/>
        </w:rPr>
        <w:t> </w:t>
      </w:r>
      <w:r>
        <w:rPr>
          <w:sz w:val="22"/>
        </w:rPr>
        <w:t>–</w:t>
      </w:r>
      <w:r>
        <w:rPr>
          <w:spacing w:val="-11"/>
          <w:sz w:val="22"/>
        </w:rPr>
        <w:t> </w:t>
      </w:r>
      <w:r>
        <w:rPr>
          <w:sz w:val="22"/>
        </w:rPr>
        <w:t>CEE</w:t>
      </w:r>
      <w:r>
        <w:rPr>
          <w:spacing w:val="-14"/>
          <w:sz w:val="22"/>
        </w:rPr>
        <w:t> </w:t>
      </w:r>
      <w:r>
        <w:rPr>
          <w:sz w:val="22"/>
        </w:rPr>
        <w:t>manifestó</w:t>
      </w:r>
      <w:r>
        <w:rPr>
          <w:spacing w:val="-11"/>
          <w:sz w:val="22"/>
        </w:rPr>
        <w:t> </w:t>
      </w:r>
      <w:r>
        <w:rPr>
          <w:sz w:val="22"/>
        </w:rPr>
        <w:t>tener</w:t>
      </w:r>
      <w:r>
        <w:rPr>
          <w:spacing w:val="-13"/>
          <w:sz w:val="22"/>
        </w:rPr>
        <w:t> </w:t>
      </w:r>
      <w:r>
        <w:rPr>
          <w:sz w:val="22"/>
        </w:rPr>
        <w:t>interés legítimo en el marco del procedimiento de calificación de gravámenes iniciado por la República</w:t>
      </w:r>
      <w:r>
        <w:rPr>
          <w:spacing w:val="-13"/>
          <w:sz w:val="22"/>
        </w:rPr>
        <w:t> </w:t>
      </w:r>
      <w:r>
        <w:rPr>
          <w:sz w:val="22"/>
        </w:rPr>
        <w:t>de</w:t>
      </w:r>
      <w:r>
        <w:rPr>
          <w:spacing w:val="-14"/>
          <w:sz w:val="22"/>
        </w:rPr>
        <w:t> </w:t>
      </w:r>
      <w:r>
        <w:rPr>
          <w:sz w:val="22"/>
        </w:rPr>
        <w:t>Colombia</w:t>
      </w:r>
      <w:r>
        <w:rPr>
          <w:spacing w:val="-13"/>
          <w:sz w:val="22"/>
        </w:rPr>
        <w:t> </w:t>
      </w:r>
      <w:r>
        <w:rPr>
          <w:sz w:val="22"/>
        </w:rPr>
        <w:t>con</w:t>
      </w:r>
      <w:r>
        <w:rPr>
          <w:spacing w:val="-14"/>
          <w:sz w:val="22"/>
        </w:rPr>
        <w:t> </w:t>
      </w:r>
      <w:r>
        <w:rPr>
          <w:sz w:val="22"/>
        </w:rPr>
        <w:t>respecto</w:t>
      </w:r>
      <w:r>
        <w:rPr>
          <w:spacing w:val="-13"/>
          <w:sz w:val="22"/>
        </w:rPr>
        <w:t> </w:t>
      </w:r>
      <w:r>
        <w:rPr>
          <w:sz w:val="22"/>
        </w:rPr>
        <w:t>de</w:t>
      </w:r>
      <w:r>
        <w:rPr>
          <w:spacing w:val="-14"/>
          <w:sz w:val="22"/>
        </w:rPr>
        <w:t> </w:t>
      </w:r>
      <w:r>
        <w:rPr>
          <w:sz w:val="22"/>
        </w:rPr>
        <w:t>la</w:t>
      </w:r>
      <w:r>
        <w:rPr>
          <w:spacing w:val="-13"/>
          <w:sz w:val="22"/>
        </w:rPr>
        <w:t> </w:t>
      </w:r>
      <w:r>
        <w:rPr>
          <w:sz w:val="22"/>
        </w:rPr>
        <w:t>Resolución</w:t>
      </w:r>
      <w:r>
        <w:rPr>
          <w:spacing w:val="-14"/>
          <w:sz w:val="22"/>
        </w:rPr>
        <w:t> </w:t>
      </w:r>
      <w:r>
        <w:rPr>
          <w:sz w:val="22"/>
        </w:rPr>
        <w:t>Nro.</w:t>
      </w:r>
      <w:r>
        <w:rPr>
          <w:spacing w:val="-12"/>
          <w:sz w:val="22"/>
        </w:rPr>
        <w:t> </w:t>
      </w:r>
      <w:r>
        <w:rPr>
          <w:sz w:val="22"/>
        </w:rPr>
        <w:t>SENAE-SENAE-2026-0006-RE derogada por la Resolución Nro. SENAE-SENAE-2026-0017-RE. Asimismo, presentó información que consideraba pertinente, solicitando su incorporación al </w:t>
      </w:r>
      <w:r>
        <w:rPr>
          <w:spacing w:val="-2"/>
          <w:sz w:val="22"/>
        </w:rPr>
        <w:t>expediente.</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Al</w:t>
      </w:r>
      <w:r>
        <w:rPr>
          <w:spacing w:val="-5"/>
          <w:sz w:val="22"/>
        </w:rPr>
        <w:t> </w:t>
      </w:r>
      <w:r>
        <w:rPr>
          <w:sz w:val="22"/>
        </w:rPr>
        <w:t>respecto,</w:t>
      </w:r>
      <w:r>
        <w:rPr>
          <w:spacing w:val="-5"/>
          <w:sz w:val="22"/>
        </w:rPr>
        <w:t> </w:t>
      </w:r>
      <w:r>
        <w:rPr>
          <w:sz w:val="22"/>
        </w:rPr>
        <w:t>revisada</w:t>
      </w:r>
      <w:r>
        <w:rPr>
          <w:spacing w:val="-4"/>
          <w:sz w:val="22"/>
        </w:rPr>
        <w:t> </w:t>
      </w:r>
      <w:r>
        <w:rPr>
          <w:sz w:val="22"/>
        </w:rPr>
        <w:t>su</w:t>
      </w:r>
      <w:r>
        <w:rPr>
          <w:spacing w:val="-9"/>
          <w:sz w:val="22"/>
        </w:rPr>
        <w:t> </w:t>
      </w:r>
      <w:r>
        <w:rPr>
          <w:sz w:val="22"/>
        </w:rPr>
        <w:t>solicitud</w:t>
      </w:r>
      <w:r>
        <w:rPr>
          <w:spacing w:val="-4"/>
          <w:sz w:val="22"/>
        </w:rPr>
        <w:t> </w:t>
      </w:r>
      <w:r>
        <w:rPr>
          <w:sz w:val="22"/>
        </w:rPr>
        <w:t>en</w:t>
      </w:r>
      <w:r>
        <w:rPr>
          <w:spacing w:val="-4"/>
          <w:sz w:val="22"/>
        </w:rPr>
        <w:t> </w:t>
      </w:r>
      <w:r>
        <w:rPr>
          <w:sz w:val="22"/>
        </w:rPr>
        <w:t>el</w:t>
      </w:r>
      <w:r>
        <w:rPr>
          <w:spacing w:val="-5"/>
          <w:sz w:val="22"/>
        </w:rPr>
        <w:t> </w:t>
      </w:r>
      <w:r>
        <w:rPr>
          <w:sz w:val="22"/>
        </w:rPr>
        <w:t>marco</w:t>
      </w:r>
      <w:r>
        <w:rPr>
          <w:spacing w:val="-4"/>
          <w:sz w:val="22"/>
        </w:rPr>
        <w:t> </w:t>
      </w:r>
      <w:r>
        <w:rPr>
          <w:sz w:val="22"/>
        </w:rPr>
        <w:t>de</w:t>
      </w:r>
      <w:r>
        <w:rPr>
          <w:spacing w:val="-7"/>
          <w:sz w:val="22"/>
        </w:rPr>
        <w:t> </w:t>
      </w:r>
      <w:r>
        <w:rPr>
          <w:sz w:val="22"/>
        </w:rPr>
        <w:t>la</w:t>
      </w:r>
      <w:r>
        <w:rPr>
          <w:spacing w:val="-4"/>
          <w:sz w:val="22"/>
        </w:rPr>
        <w:t> </w:t>
      </w:r>
      <w:r>
        <w:rPr>
          <w:sz w:val="22"/>
        </w:rPr>
        <w:t>Decisión</w:t>
      </w:r>
      <w:r>
        <w:rPr>
          <w:spacing w:val="-4"/>
          <w:sz w:val="22"/>
        </w:rPr>
        <w:t> </w:t>
      </w:r>
      <w:r>
        <w:rPr>
          <w:sz w:val="22"/>
        </w:rPr>
        <w:t>425,</w:t>
      </w:r>
      <w:r>
        <w:rPr>
          <w:spacing w:val="-3"/>
          <w:sz w:val="22"/>
        </w:rPr>
        <w:t> </w:t>
      </w:r>
      <w:r>
        <w:rPr>
          <w:sz w:val="22"/>
        </w:rPr>
        <w:t>y</w:t>
      </w:r>
      <w:r>
        <w:rPr>
          <w:spacing w:val="-6"/>
          <w:sz w:val="22"/>
        </w:rPr>
        <w:t> </w:t>
      </w:r>
      <w:r>
        <w:rPr>
          <w:sz w:val="22"/>
        </w:rPr>
        <w:t>verificada</w:t>
      </w:r>
      <w:r>
        <w:rPr>
          <w:spacing w:val="-4"/>
          <w:sz w:val="22"/>
        </w:rPr>
        <w:t> </w:t>
      </w:r>
      <w:r>
        <w:rPr>
          <w:sz w:val="22"/>
        </w:rPr>
        <w:t>su</w:t>
      </w:r>
      <w:r>
        <w:rPr>
          <w:spacing w:val="-4"/>
          <w:sz w:val="22"/>
        </w:rPr>
        <w:t> </w:t>
      </w:r>
      <w:r>
        <w:rPr>
          <w:sz w:val="22"/>
        </w:rPr>
        <w:t>debida acreditación como parte interesada como representantes del sector productivo ecuatoriano</w:t>
      </w:r>
      <w:r>
        <w:rPr>
          <w:spacing w:val="-5"/>
          <w:sz w:val="22"/>
        </w:rPr>
        <w:t> </w:t>
      </w:r>
      <w:r>
        <w:rPr>
          <w:sz w:val="22"/>
        </w:rPr>
        <w:t>que</w:t>
      </w:r>
      <w:r>
        <w:rPr>
          <w:spacing w:val="-5"/>
          <w:sz w:val="22"/>
        </w:rPr>
        <w:t> </w:t>
      </w:r>
      <w:r>
        <w:rPr>
          <w:sz w:val="22"/>
        </w:rPr>
        <w:t>agrupa</w:t>
      </w:r>
      <w:r>
        <w:rPr>
          <w:spacing w:val="-8"/>
          <w:sz w:val="22"/>
        </w:rPr>
        <w:t> </w:t>
      </w:r>
      <w:r>
        <w:rPr>
          <w:sz w:val="22"/>
        </w:rPr>
        <w:t>a</w:t>
      </w:r>
      <w:r>
        <w:rPr>
          <w:spacing w:val="-5"/>
          <w:sz w:val="22"/>
        </w:rPr>
        <w:t> </w:t>
      </w:r>
      <w:r>
        <w:rPr>
          <w:sz w:val="22"/>
        </w:rPr>
        <w:t>más</w:t>
      </w:r>
      <w:r>
        <w:rPr>
          <w:spacing w:val="-5"/>
          <w:sz w:val="22"/>
        </w:rPr>
        <w:t> </w:t>
      </w:r>
      <w:r>
        <w:rPr>
          <w:sz w:val="22"/>
        </w:rPr>
        <w:t>de</w:t>
      </w:r>
      <w:r>
        <w:rPr>
          <w:spacing w:val="-6"/>
          <w:sz w:val="22"/>
        </w:rPr>
        <w:t> </w:t>
      </w:r>
      <w:r>
        <w:rPr>
          <w:sz w:val="22"/>
        </w:rPr>
        <w:t>130</w:t>
      </w:r>
      <w:r>
        <w:rPr>
          <w:spacing w:val="-5"/>
          <w:sz w:val="22"/>
        </w:rPr>
        <w:t> </w:t>
      </w:r>
      <w:r>
        <w:rPr>
          <w:sz w:val="22"/>
        </w:rPr>
        <w:t>gremios</w:t>
      </w:r>
      <w:r>
        <w:rPr>
          <w:spacing w:val="-5"/>
          <w:sz w:val="22"/>
        </w:rPr>
        <w:t> </w:t>
      </w:r>
      <w:r>
        <w:rPr>
          <w:sz w:val="22"/>
        </w:rPr>
        <w:t>en</w:t>
      </w:r>
      <w:r>
        <w:rPr>
          <w:spacing w:val="-4"/>
          <w:sz w:val="22"/>
        </w:rPr>
        <w:t> </w:t>
      </w:r>
      <w:r>
        <w:rPr>
          <w:sz w:val="22"/>
        </w:rPr>
        <w:t>dicho</w:t>
      </w:r>
      <w:r>
        <w:rPr>
          <w:spacing w:val="-6"/>
          <w:sz w:val="22"/>
        </w:rPr>
        <w:t> </w:t>
      </w:r>
      <w:r>
        <w:rPr>
          <w:sz w:val="22"/>
        </w:rPr>
        <w:t>País</w:t>
      </w:r>
      <w:r>
        <w:rPr>
          <w:spacing w:val="-7"/>
          <w:sz w:val="22"/>
        </w:rPr>
        <w:t> </w:t>
      </w:r>
      <w:r>
        <w:rPr>
          <w:sz w:val="22"/>
        </w:rPr>
        <w:t>Miembro,</w:t>
      </w:r>
      <w:r>
        <w:rPr>
          <w:spacing w:val="-5"/>
          <w:sz w:val="22"/>
        </w:rPr>
        <w:t> </w:t>
      </w:r>
      <w:r>
        <w:rPr>
          <w:sz w:val="22"/>
        </w:rPr>
        <w:t>el</w:t>
      </w:r>
      <w:r>
        <w:rPr>
          <w:spacing w:val="-6"/>
          <w:sz w:val="22"/>
        </w:rPr>
        <w:t> </w:t>
      </w:r>
      <w:r>
        <w:rPr>
          <w:sz w:val="22"/>
        </w:rPr>
        <w:t>5</w:t>
      </w:r>
      <w:r>
        <w:rPr>
          <w:spacing w:val="-5"/>
          <w:sz w:val="22"/>
        </w:rPr>
        <w:t> </w:t>
      </w:r>
      <w:r>
        <w:rPr>
          <w:sz w:val="22"/>
        </w:rPr>
        <w:t>de</w:t>
      </w:r>
      <w:r>
        <w:rPr>
          <w:spacing w:val="-8"/>
          <w:sz w:val="22"/>
        </w:rPr>
        <w:t> </w:t>
      </w:r>
      <w:r>
        <w:rPr>
          <w:sz w:val="22"/>
        </w:rPr>
        <w:t>mayo</w:t>
      </w:r>
      <w:r>
        <w:rPr>
          <w:spacing w:val="-6"/>
          <w:sz w:val="22"/>
        </w:rPr>
        <w:t> </w:t>
      </w:r>
      <w:r>
        <w:rPr>
          <w:sz w:val="22"/>
        </w:rPr>
        <w:t>de 2026, mediante comunicación SG/E/DGCOM/918/2026, la SGCAN comunicó al CEE que sus solicitud era procede; y mediante notas SG/E/DGCOM/919/2026, SG/E/DGCOM/920/2026,</w:t>
      </w:r>
      <w:r>
        <w:rPr>
          <w:spacing w:val="80"/>
          <w:w w:val="150"/>
          <w:sz w:val="22"/>
        </w:rPr>
        <w:t> </w:t>
      </w:r>
      <w:r>
        <w:rPr>
          <w:sz w:val="22"/>
        </w:rPr>
        <w:t>SG/E/DGCOM/921/2026</w:t>
      </w:r>
      <w:r>
        <w:rPr>
          <w:spacing w:val="80"/>
          <w:w w:val="150"/>
          <w:sz w:val="22"/>
        </w:rPr>
        <w:t> </w:t>
      </w:r>
      <w:r>
        <w:rPr>
          <w:sz w:val="22"/>
        </w:rPr>
        <w:t>y</w:t>
      </w:r>
      <w:r>
        <w:rPr>
          <w:spacing w:val="80"/>
          <w:w w:val="150"/>
          <w:sz w:val="22"/>
        </w:rPr>
        <w:t> </w:t>
      </w:r>
      <w:r>
        <w:rPr>
          <w:sz w:val="22"/>
        </w:rPr>
        <w:t>SG/E/DGCOM/922/2026,</w:t>
      </w:r>
      <w:r>
        <w:rPr>
          <w:spacing w:val="80"/>
          <w:w w:val="150"/>
          <w:sz w:val="22"/>
        </w:rPr>
        <w:t> </w:t>
      </w:r>
      <w:r>
        <w:rPr>
          <w:sz w:val="22"/>
        </w:rPr>
        <w:t>se</w:t>
      </w:r>
    </w:p>
    <w:p>
      <w:pPr>
        <w:pStyle w:val="BodyText"/>
        <w:rPr>
          <w:sz w:val="12"/>
        </w:rPr>
      </w:pPr>
      <w:r>
        <w:rPr>
          <w:sz w:val="12"/>
        </w:rPr>
        <mc:AlternateContent>
          <mc:Choice Requires="wps">
            <w:drawing>
              <wp:anchor distT="0" distB="0" distL="0" distR="0" allowOverlap="1" layoutInCell="1" locked="0" behindDoc="1" simplePos="0" relativeHeight="487622144">
                <wp:simplePos x="0" y="0"/>
                <wp:positionH relativeFrom="page">
                  <wp:posOffset>990904</wp:posOffset>
                </wp:positionH>
                <wp:positionV relativeFrom="paragraph">
                  <wp:posOffset>103420</wp:posOffset>
                </wp:positionV>
                <wp:extent cx="1829435" cy="7620"/>
                <wp:effectExtent l="0" t="0" r="0" b="0"/>
                <wp:wrapTopAndBottom/>
                <wp:docPr id="317" name="Graphic 317"/>
                <wp:cNvGraphicFramePr>
                  <a:graphicFrameLocks/>
                </wp:cNvGraphicFramePr>
                <a:graphic>
                  <a:graphicData uri="http://schemas.microsoft.com/office/word/2010/wordprocessingShape">
                    <wps:wsp>
                      <wps:cNvPr id="317" name="Graphic 317"/>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8.14336pt;width:144.020pt;height:.599980pt;mso-position-horizontal-relative:page;mso-position-vertical-relative:paragraph;z-index:-15694336;mso-wrap-distance-left:0;mso-wrap-distance-right:0" id="docshape235" filled="true" fillcolor="#000000" stroked="false">
                <v:fill type="solid"/>
                <w10:wrap type="topAndBottom"/>
              </v:rect>
            </w:pict>
          </mc:Fallback>
        </mc:AlternateContent>
      </w:r>
    </w:p>
    <w:p>
      <w:pPr>
        <w:spacing w:before="92"/>
        <w:ind w:left="568" w:right="955" w:firstLine="0"/>
        <w:jc w:val="left"/>
        <w:rPr>
          <w:sz w:val="16"/>
        </w:rPr>
      </w:pPr>
      <w:bookmarkStart w:name="_bookmark54" w:id="55"/>
      <w:bookmarkEnd w:id="55"/>
      <w:r>
        <w:rPr/>
      </w:r>
      <w:r>
        <w:rPr>
          <w:sz w:val="16"/>
          <w:vertAlign w:val="superscript"/>
        </w:rPr>
        <w:t>12</w:t>
      </w:r>
      <w:r>
        <w:rPr>
          <w:sz w:val="16"/>
          <w:vertAlign w:val="baseline"/>
        </w:rPr>
        <w:t> Colombina S.A., Distribuidora Colombina del Ecuador S.A. y Colombina del Cauca S.A. acompañaron a su escrito con los</w:t>
      </w:r>
      <w:r>
        <w:rPr>
          <w:spacing w:val="40"/>
          <w:sz w:val="16"/>
          <w:vertAlign w:val="baseline"/>
        </w:rPr>
        <w:t> </w:t>
      </w:r>
      <w:r>
        <w:rPr>
          <w:sz w:val="16"/>
          <w:vertAlign w:val="baseline"/>
        </w:rPr>
        <w:t>siguientes anexos:</w:t>
      </w:r>
    </w:p>
    <w:p>
      <w:pPr>
        <w:pStyle w:val="ListParagraph"/>
        <w:numPr>
          <w:ilvl w:val="1"/>
          <w:numId w:val="11"/>
        </w:numPr>
        <w:tabs>
          <w:tab w:pos="1288" w:val="left" w:leader="none"/>
        </w:tabs>
        <w:spacing w:line="183" w:lineRule="exact" w:before="0" w:after="0"/>
        <w:ind w:left="1288" w:right="0" w:hanging="360"/>
        <w:jc w:val="left"/>
        <w:rPr>
          <w:sz w:val="16"/>
        </w:rPr>
      </w:pPr>
      <w:r>
        <w:rPr>
          <w:sz w:val="16"/>
        </w:rPr>
        <w:t>Anexo</w:t>
      </w:r>
      <w:r>
        <w:rPr>
          <w:spacing w:val="-5"/>
          <w:sz w:val="16"/>
        </w:rPr>
        <w:t> </w:t>
      </w:r>
      <w:r>
        <w:rPr>
          <w:sz w:val="16"/>
        </w:rPr>
        <w:t>1.</w:t>
      </w:r>
      <w:r>
        <w:rPr>
          <w:spacing w:val="-4"/>
          <w:sz w:val="16"/>
        </w:rPr>
        <w:t> </w:t>
      </w:r>
      <w:r>
        <w:rPr>
          <w:sz w:val="16"/>
        </w:rPr>
        <w:t>Documentos</w:t>
      </w:r>
      <w:r>
        <w:rPr>
          <w:spacing w:val="-6"/>
          <w:sz w:val="16"/>
        </w:rPr>
        <w:t> </w:t>
      </w:r>
      <w:r>
        <w:rPr>
          <w:sz w:val="16"/>
        </w:rPr>
        <w:t>de</w:t>
      </w:r>
      <w:r>
        <w:rPr>
          <w:spacing w:val="-5"/>
          <w:sz w:val="16"/>
        </w:rPr>
        <w:t> </w:t>
      </w:r>
      <w:r>
        <w:rPr>
          <w:sz w:val="16"/>
        </w:rPr>
        <w:t>existencia</w:t>
      </w:r>
      <w:r>
        <w:rPr>
          <w:spacing w:val="-5"/>
          <w:sz w:val="16"/>
        </w:rPr>
        <w:t> </w:t>
      </w:r>
      <w:r>
        <w:rPr>
          <w:sz w:val="16"/>
        </w:rPr>
        <w:t>y</w:t>
      </w:r>
      <w:r>
        <w:rPr>
          <w:spacing w:val="-5"/>
          <w:sz w:val="16"/>
        </w:rPr>
        <w:t> </w:t>
      </w:r>
      <w:r>
        <w:rPr>
          <w:spacing w:val="-2"/>
          <w:sz w:val="16"/>
        </w:rPr>
        <w:t>poderes</w:t>
      </w:r>
    </w:p>
    <w:p>
      <w:pPr>
        <w:pStyle w:val="ListParagraph"/>
        <w:numPr>
          <w:ilvl w:val="1"/>
          <w:numId w:val="11"/>
        </w:numPr>
        <w:tabs>
          <w:tab w:pos="1288" w:val="left" w:leader="none"/>
        </w:tabs>
        <w:spacing w:line="183" w:lineRule="exact" w:before="1" w:after="0"/>
        <w:ind w:left="1288" w:right="0" w:hanging="360"/>
        <w:jc w:val="left"/>
        <w:rPr>
          <w:sz w:val="16"/>
        </w:rPr>
      </w:pPr>
      <w:r>
        <w:rPr>
          <w:sz w:val="16"/>
        </w:rPr>
        <w:t>Anexo</w:t>
      </w:r>
      <w:r>
        <w:rPr>
          <w:spacing w:val="-5"/>
          <w:sz w:val="16"/>
        </w:rPr>
        <w:t> </w:t>
      </w:r>
      <w:r>
        <w:rPr>
          <w:sz w:val="16"/>
        </w:rPr>
        <w:t>2.</w:t>
      </w:r>
      <w:r>
        <w:rPr>
          <w:spacing w:val="-4"/>
          <w:sz w:val="16"/>
        </w:rPr>
        <w:t> </w:t>
      </w:r>
      <w:r>
        <w:rPr>
          <w:sz w:val="16"/>
        </w:rPr>
        <w:t>Decisión</w:t>
      </w:r>
      <w:r>
        <w:rPr>
          <w:spacing w:val="-4"/>
          <w:sz w:val="16"/>
        </w:rPr>
        <w:t> </w:t>
      </w:r>
      <w:r>
        <w:rPr>
          <w:sz w:val="16"/>
        </w:rPr>
        <w:t>885</w:t>
      </w:r>
      <w:r>
        <w:rPr>
          <w:spacing w:val="-6"/>
          <w:sz w:val="16"/>
        </w:rPr>
        <w:t> </w:t>
      </w:r>
      <w:r>
        <w:rPr>
          <w:sz w:val="16"/>
        </w:rPr>
        <w:t>Aprobación</w:t>
      </w:r>
      <w:r>
        <w:rPr>
          <w:spacing w:val="-8"/>
          <w:sz w:val="16"/>
        </w:rPr>
        <w:t> </w:t>
      </w:r>
      <w:r>
        <w:rPr>
          <w:sz w:val="16"/>
        </w:rPr>
        <w:t>de</w:t>
      </w:r>
      <w:r>
        <w:rPr>
          <w:spacing w:val="-4"/>
          <w:sz w:val="16"/>
        </w:rPr>
        <w:t> </w:t>
      </w:r>
      <w:r>
        <w:rPr>
          <w:sz w:val="16"/>
        </w:rPr>
        <w:t>la</w:t>
      </w:r>
      <w:r>
        <w:rPr>
          <w:spacing w:val="-5"/>
          <w:sz w:val="16"/>
        </w:rPr>
        <w:t> </w:t>
      </w:r>
      <w:r>
        <w:rPr>
          <w:sz w:val="16"/>
        </w:rPr>
        <w:t>Nomenclatura</w:t>
      </w:r>
      <w:r>
        <w:rPr>
          <w:spacing w:val="-4"/>
          <w:sz w:val="16"/>
        </w:rPr>
        <w:t> </w:t>
      </w:r>
      <w:r>
        <w:rPr>
          <w:sz w:val="16"/>
        </w:rPr>
        <w:t>Común</w:t>
      </w:r>
      <w:r>
        <w:rPr>
          <w:spacing w:val="-1"/>
          <w:sz w:val="16"/>
        </w:rPr>
        <w:t> </w:t>
      </w:r>
      <w:r>
        <w:rPr>
          <w:sz w:val="16"/>
        </w:rPr>
        <w:t>–</w:t>
      </w:r>
      <w:r>
        <w:rPr>
          <w:spacing w:val="-6"/>
          <w:sz w:val="16"/>
        </w:rPr>
        <w:t> </w:t>
      </w:r>
      <w:r>
        <w:rPr>
          <w:spacing w:val="-2"/>
          <w:sz w:val="16"/>
        </w:rPr>
        <w:t>NANDINA</w:t>
      </w:r>
    </w:p>
    <w:p>
      <w:pPr>
        <w:pStyle w:val="ListParagraph"/>
        <w:numPr>
          <w:ilvl w:val="1"/>
          <w:numId w:val="11"/>
        </w:numPr>
        <w:tabs>
          <w:tab w:pos="1286" w:val="left" w:leader="none"/>
        </w:tabs>
        <w:spacing w:line="183" w:lineRule="exact" w:before="0" w:after="0"/>
        <w:ind w:left="1286" w:right="0" w:hanging="358"/>
        <w:jc w:val="left"/>
        <w:rPr>
          <w:sz w:val="16"/>
        </w:rPr>
      </w:pPr>
      <w:r>
        <w:rPr>
          <w:spacing w:val="-2"/>
          <w:sz w:val="16"/>
        </w:rPr>
        <w:t>Anexo</w:t>
      </w:r>
      <w:r>
        <w:rPr>
          <w:spacing w:val="21"/>
          <w:sz w:val="16"/>
        </w:rPr>
        <w:t> </w:t>
      </w:r>
      <w:r>
        <w:rPr>
          <w:spacing w:val="-2"/>
          <w:sz w:val="16"/>
        </w:rPr>
        <w:t>3.</w:t>
      </w:r>
      <w:r>
        <w:rPr>
          <w:spacing w:val="26"/>
          <w:sz w:val="16"/>
        </w:rPr>
        <w:t> </w:t>
      </w:r>
      <w:r>
        <w:rPr>
          <w:spacing w:val="-2"/>
          <w:sz w:val="16"/>
        </w:rPr>
        <w:t>DECRETO-1881-DEL-30-DE-DICIEMBRE-DE-</w:t>
      </w:r>
      <w:r>
        <w:rPr>
          <w:spacing w:val="-4"/>
          <w:sz w:val="16"/>
        </w:rPr>
        <w:t>2021</w:t>
      </w:r>
    </w:p>
    <w:p>
      <w:pPr>
        <w:pStyle w:val="ListParagraph"/>
        <w:numPr>
          <w:ilvl w:val="1"/>
          <w:numId w:val="11"/>
        </w:numPr>
        <w:tabs>
          <w:tab w:pos="1287" w:val="left" w:leader="none"/>
        </w:tabs>
        <w:spacing w:line="240" w:lineRule="auto" w:before="1" w:after="0"/>
        <w:ind w:left="1287" w:right="0" w:hanging="359"/>
        <w:jc w:val="left"/>
        <w:rPr>
          <w:sz w:val="16"/>
        </w:rPr>
      </w:pPr>
      <w:r>
        <w:rPr>
          <w:sz w:val="16"/>
        </w:rPr>
        <w:t>Anexo</w:t>
      </w:r>
      <w:r>
        <w:rPr>
          <w:spacing w:val="-4"/>
          <w:sz w:val="16"/>
        </w:rPr>
        <w:t> </w:t>
      </w:r>
      <w:r>
        <w:rPr>
          <w:sz w:val="16"/>
        </w:rPr>
        <w:t>4.</w:t>
      </w:r>
      <w:r>
        <w:rPr>
          <w:spacing w:val="-3"/>
          <w:sz w:val="16"/>
        </w:rPr>
        <w:t> </w:t>
      </w:r>
      <w:r>
        <w:rPr>
          <w:sz w:val="16"/>
        </w:rPr>
        <w:t>Facturas</w:t>
      </w:r>
      <w:r>
        <w:rPr>
          <w:spacing w:val="-2"/>
          <w:sz w:val="16"/>
        </w:rPr>
        <w:t> </w:t>
      </w:r>
      <w:r>
        <w:rPr>
          <w:sz w:val="16"/>
        </w:rPr>
        <w:t>de</w:t>
      </w:r>
      <w:r>
        <w:rPr>
          <w:spacing w:val="-5"/>
          <w:sz w:val="16"/>
        </w:rPr>
        <w:t> </w:t>
      </w:r>
      <w:r>
        <w:rPr>
          <w:sz w:val="16"/>
        </w:rPr>
        <w:t>pago</w:t>
      </w:r>
      <w:r>
        <w:rPr>
          <w:spacing w:val="-3"/>
          <w:sz w:val="16"/>
        </w:rPr>
        <w:t> </w:t>
      </w:r>
      <w:r>
        <w:rPr>
          <w:spacing w:val="-2"/>
          <w:sz w:val="16"/>
        </w:rPr>
        <w:t>arancel</w:t>
      </w:r>
    </w:p>
    <w:p>
      <w:pPr>
        <w:pStyle w:val="ListParagraph"/>
        <w:numPr>
          <w:ilvl w:val="1"/>
          <w:numId w:val="11"/>
        </w:numPr>
        <w:tabs>
          <w:tab w:pos="1288" w:val="left" w:leader="none"/>
        </w:tabs>
        <w:spacing w:line="183" w:lineRule="exact" w:before="0" w:after="0"/>
        <w:ind w:left="1288" w:right="0" w:hanging="360"/>
        <w:jc w:val="left"/>
        <w:rPr>
          <w:sz w:val="16"/>
        </w:rPr>
      </w:pPr>
      <w:r>
        <w:rPr>
          <w:sz w:val="16"/>
        </w:rPr>
        <w:t>Anexo</w:t>
      </w:r>
      <w:r>
        <w:rPr>
          <w:spacing w:val="-7"/>
          <w:sz w:val="16"/>
        </w:rPr>
        <w:t> </w:t>
      </w:r>
      <w:r>
        <w:rPr>
          <w:sz w:val="16"/>
        </w:rPr>
        <w:t>5.</w:t>
      </w:r>
      <w:r>
        <w:rPr>
          <w:spacing w:val="-4"/>
          <w:sz w:val="16"/>
        </w:rPr>
        <w:t> </w:t>
      </w:r>
      <w:r>
        <w:rPr>
          <w:sz w:val="16"/>
        </w:rPr>
        <w:t>Resoluciones</w:t>
      </w:r>
      <w:r>
        <w:rPr>
          <w:spacing w:val="-6"/>
          <w:sz w:val="16"/>
        </w:rPr>
        <w:t> </w:t>
      </w:r>
      <w:r>
        <w:rPr>
          <w:sz w:val="16"/>
        </w:rPr>
        <w:t>de</w:t>
      </w:r>
      <w:r>
        <w:rPr>
          <w:spacing w:val="-5"/>
          <w:sz w:val="16"/>
        </w:rPr>
        <w:t> </w:t>
      </w:r>
      <w:r>
        <w:rPr>
          <w:sz w:val="16"/>
        </w:rPr>
        <w:t>implementacion</w:t>
      </w:r>
      <w:r>
        <w:rPr>
          <w:spacing w:val="-4"/>
          <w:sz w:val="16"/>
        </w:rPr>
        <w:t> </w:t>
      </w:r>
      <w:r>
        <w:rPr>
          <w:sz w:val="16"/>
        </w:rPr>
        <w:t>de</w:t>
      </w:r>
      <w:r>
        <w:rPr>
          <w:spacing w:val="-8"/>
          <w:sz w:val="16"/>
        </w:rPr>
        <w:t> </w:t>
      </w:r>
      <w:r>
        <w:rPr>
          <w:sz w:val="16"/>
        </w:rPr>
        <w:t>la</w:t>
      </w:r>
      <w:r>
        <w:rPr>
          <w:spacing w:val="-6"/>
          <w:sz w:val="16"/>
        </w:rPr>
        <w:t> </w:t>
      </w:r>
      <w:r>
        <w:rPr>
          <w:spacing w:val="-4"/>
          <w:sz w:val="16"/>
        </w:rPr>
        <w:t>Tasa</w:t>
      </w:r>
    </w:p>
    <w:p>
      <w:pPr>
        <w:pStyle w:val="ListParagraph"/>
        <w:numPr>
          <w:ilvl w:val="1"/>
          <w:numId w:val="11"/>
        </w:numPr>
        <w:tabs>
          <w:tab w:pos="1286" w:val="left" w:leader="none"/>
        </w:tabs>
        <w:spacing w:line="183" w:lineRule="exact" w:before="0" w:after="0"/>
        <w:ind w:left="1286" w:right="0" w:hanging="358"/>
        <w:jc w:val="left"/>
        <w:rPr>
          <w:sz w:val="16"/>
        </w:rPr>
      </w:pPr>
      <w:r>
        <w:rPr>
          <w:sz w:val="16"/>
        </w:rPr>
        <w:t>Anexo</w:t>
      </w:r>
      <w:r>
        <w:rPr>
          <w:spacing w:val="-6"/>
          <w:sz w:val="16"/>
        </w:rPr>
        <w:t> </w:t>
      </w:r>
      <w:r>
        <w:rPr>
          <w:sz w:val="16"/>
        </w:rPr>
        <w:t>6.</w:t>
      </w:r>
      <w:r>
        <w:rPr>
          <w:spacing w:val="-6"/>
          <w:sz w:val="16"/>
        </w:rPr>
        <w:t> </w:t>
      </w:r>
      <w:r>
        <w:rPr>
          <w:sz w:val="16"/>
        </w:rPr>
        <w:t>Base</w:t>
      </w:r>
      <w:r>
        <w:rPr>
          <w:spacing w:val="-7"/>
          <w:sz w:val="16"/>
        </w:rPr>
        <w:t> </w:t>
      </w:r>
      <w:r>
        <w:rPr>
          <w:sz w:val="16"/>
        </w:rPr>
        <w:t>de</w:t>
      </w:r>
      <w:r>
        <w:rPr>
          <w:spacing w:val="-5"/>
          <w:sz w:val="16"/>
        </w:rPr>
        <w:t> </w:t>
      </w:r>
      <w:r>
        <w:rPr>
          <w:sz w:val="16"/>
        </w:rPr>
        <w:t>Datos</w:t>
      </w:r>
      <w:r>
        <w:rPr>
          <w:spacing w:val="-6"/>
          <w:sz w:val="16"/>
        </w:rPr>
        <w:t> </w:t>
      </w:r>
      <w:r>
        <w:rPr>
          <w:sz w:val="16"/>
        </w:rPr>
        <w:t>Exportaciones-</w:t>
      </w:r>
      <w:r>
        <w:rPr>
          <w:spacing w:val="-2"/>
          <w:sz w:val="16"/>
        </w:rPr>
        <w:t>DIAN.xlsx</w:t>
      </w:r>
    </w:p>
    <w:p>
      <w:pPr>
        <w:spacing w:before="1"/>
        <w:ind w:left="568" w:right="0" w:firstLine="0"/>
        <w:jc w:val="left"/>
        <w:rPr>
          <w:sz w:val="16"/>
        </w:rPr>
      </w:pPr>
      <w:bookmarkStart w:name="_bookmark55" w:id="56"/>
      <w:bookmarkEnd w:id="56"/>
      <w:r>
        <w:rPr/>
      </w:r>
      <w:r>
        <w:rPr>
          <w:sz w:val="16"/>
          <w:vertAlign w:val="superscript"/>
        </w:rPr>
        <w:t>13</w:t>
      </w:r>
      <w:r>
        <w:rPr>
          <w:spacing w:val="-5"/>
          <w:sz w:val="16"/>
          <w:vertAlign w:val="baseline"/>
        </w:rPr>
        <w:t> </w:t>
      </w:r>
      <w:r>
        <w:rPr>
          <w:sz w:val="16"/>
          <w:vertAlign w:val="baseline"/>
        </w:rPr>
        <w:t>I-972(2026)</w:t>
      </w:r>
      <w:r>
        <w:rPr>
          <w:spacing w:val="-5"/>
          <w:sz w:val="16"/>
          <w:vertAlign w:val="baseline"/>
        </w:rPr>
        <w:t> </w:t>
      </w:r>
      <w:r>
        <w:rPr>
          <w:sz w:val="16"/>
          <w:vertAlign w:val="baseline"/>
        </w:rPr>
        <w:t>Aporte</w:t>
      </w:r>
      <w:r>
        <w:rPr>
          <w:spacing w:val="-5"/>
          <w:sz w:val="16"/>
          <w:vertAlign w:val="baseline"/>
        </w:rPr>
        <w:t> </w:t>
      </w:r>
      <w:r>
        <w:rPr>
          <w:sz w:val="16"/>
          <w:vertAlign w:val="baseline"/>
        </w:rPr>
        <w:t>de</w:t>
      </w:r>
      <w:r>
        <w:rPr>
          <w:spacing w:val="-7"/>
          <w:sz w:val="16"/>
          <w:vertAlign w:val="baseline"/>
        </w:rPr>
        <w:t> </w:t>
      </w:r>
      <w:r>
        <w:rPr>
          <w:sz w:val="16"/>
          <w:vertAlign w:val="baseline"/>
        </w:rPr>
        <w:t>pruebas</w:t>
      </w:r>
      <w:r>
        <w:rPr>
          <w:spacing w:val="-4"/>
          <w:sz w:val="16"/>
          <w:vertAlign w:val="baseline"/>
        </w:rPr>
        <w:t> </w:t>
      </w:r>
      <w:r>
        <w:rPr>
          <w:sz w:val="16"/>
          <w:vertAlign w:val="baseline"/>
        </w:rPr>
        <w:t>adicionales</w:t>
      </w:r>
      <w:r>
        <w:rPr>
          <w:spacing w:val="-4"/>
          <w:sz w:val="16"/>
          <w:vertAlign w:val="baseline"/>
        </w:rPr>
        <w:t> </w:t>
      </w:r>
      <w:r>
        <w:rPr>
          <w:sz w:val="16"/>
          <w:vertAlign w:val="baseline"/>
        </w:rPr>
        <w:t>Colombina,</w:t>
      </w:r>
      <w:r>
        <w:rPr>
          <w:spacing w:val="-5"/>
          <w:sz w:val="16"/>
          <w:vertAlign w:val="baseline"/>
        </w:rPr>
        <w:t> </w:t>
      </w:r>
      <w:r>
        <w:rPr>
          <w:sz w:val="16"/>
          <w:vertAlign w:val="baseline"/>
        </w:rPr>
        <w:t>cit.,</w:t>
      </w:r>
      <w:r>
        <w:rPr>
          <w:spacing w:val="-4"/>
          <w:sz w:val="16"/>
          <w:vertAlign w:val="baseline"/>
        </w:rPr>
        <w:t> </w:t>
      </w:r>
      <w:r>
        <w:rPr>
          <w:sz w:val="16"/>
          <w:vertAlign w:val="baseline"/>
        </w:rPr>
        <w:t>Tabla</w:t>
      </w:r>
      <w:r>
        <w:rPr>
          <w:spacing w:val="-3"/>
          <w:sz w:val="16"/>
          <w:vertAlign w:val="baseline"/>
        </w:rPr>
        <w:t> </w:t>
      </w:r>
      <w:r>
        <w:rPr>
          <w:sz w:val="16"/>
          <w:vertAlign w:val="baseline"/>
        </w:rPr>
        <w:t>N°</w:t>
      </w:r>
      <w:r>
        <w:rPr>
          <w:spacing w:val="-6"/>
          <w:sz w:val="16"/>
          <w:vertAlign w:val="baseline"/>
        </w:rPr>
        <w:t> </w:t>
      </w:r>
      <w:r>
        <w:rPr>
          <w:sz w:val="16"/>
          <w:vertAlign w:val="baseline"/>
        </w:rPr>
        <w:t>1</w:t>
      </w:r>
      <w:r>
        <w:rPr>
          <w:spacing w:val="-6"/>
          <w:sz w:val="16"/>
          <w:vertAlign w:val="baseline"/>
        </w:rPr>
        <w:t> </w:t>
      </w:r>
      <w:r>
        <w:rPr>
          <w:sz w:val="16"/>
          <w:vertAlign w:val="baseline"/>
        </w:rPr>
        <w:t>y</w:t>
      </w:r>
      <w:r>
        <w:rPr>
          <w:spacing w:val="-3"/>
          <w:sz w:val="16"/>
          <w:vertAlign w:val="baseline"/>
        </w:rPr>
        <w:t> </w:t>
      </w:r>
      <w:r>
        <w:rPr>
          <w:sz w:val="16"/>
          <w:vertAlign w:val="baseline"/>
        </w:rPr>
        <w:t>texto</w:t>
      </w:r>
      <w:r>
        <w:rPr>
          <w:spacing w:val="-5"/>
          <w:sz w:val="16"/>
          <w:vertAlign w:val="baseline"/>
        </w:rPr>
        <w:t> </w:t>
      </w:r>
      <w:r>
        <w:rPr>
          <w:sz w:val="16"/>
          <w:vertAlign w:val="baseline"/>
        </w:rPr>
        <w:t>explicativo</w:t>
      </w:r>
      <w:r>
        <w:rPr>
          <w:spacing w:val="-4"/>
          <w:sz w:val="16"/>
          <w:vertAlign w:val="baseline"/>
        </w:rPr>
        <w:t> </w:t>
      </w:r>
      <w:r>
        <w:rPr>
          <w:spacing w:val="-2"/>
          <w:sz w:val="16"/>
          <w:vertAlign w:val="baseline"/>
        </w:rPr>
        <w:t>posterior.</w:t>
      </w:r>
    </w:p>
    <w:p>
      <w:pPr>
        <w:spacing w:line="183" w:lineRule="exact" w:before="1"/>
        <w:ind w:left="568" w:right="0" w:firstLine="0"/>
        <w:jc w:val="left"/>
        <w:rPr>
          <w:sz w:val="16"/>
        </w:rPr>
      </w:pPr>
      <w:bookmarkStart w:name="_bookmark56" w:id="57"/>
      <w:bookmarkEnd w:id="57"/>
      <w:r>
        <w:rPr/>
      </w:r>
      <w:r>
        <w:rPr>
          <w:sz w:val="16"/>
          <w:vertAlign w:val="superscript"/>
        </w:rPr>
        <w:t>14</w:t>
      </w:r>
      <w:r>
        <w:rPr>
          <w:spacing w:val="-4"/>
          <w:sz w:val="16"/>
          <w:vertAlign w:val="baseline"/>
        </w:rPr>
        <w:t> </w:t>
      </w:r>
      <w:r>
        <w:rPr>
          <w:sz w:val="16"/>
          <w:vertAlign w:val="baseline"/>
        </w:rPr>
        <w:t>Ibíd.,</w:t>
      </w:r>
      <w:r>
        <w:rPr>
          <w:spacing w:val="-4"/>
          <w:sz w:val="16"/>
          <w:vertAlign w:val="baseline"/>
        </w:rPr>
        <w:t> </w:t>
      </w:r>
      <w:r>
        <w:rPr>
          <w:sz w:val="16"/>
          <w:vertAlign w:val="baseline"/>
        </w:rPr>
        <w:t>Tabla</w:t>
      </w:r>
      <w:r>
        <w:rPr>
          <w:spacing w:val="-3"/>
          <w:sz w:val="16"/>
          <w:vertAlign w:val="baseline"/>
        </w:rPr>
        <w:t> </w:t>
      </w:r>
      <w:r>
        <w:rPr>
          <w:sz w:val="16"/>
          <w:vertAlign w:val="baseline"/>
        </w:rPr>
        <w:t>N°</w:t>
      </w:r>
      <w:r>
        <w:rPr>
          <w:spacing w:val="-2"/>
          <w:sz w:val="16"/>
          <w:vertAlign w:val="baseline"/>
        </w:rPr>
        <w:t> </w:t>
      </w:r>
      <w:r>
        <w:rPr>
          <w:sz w:val="16"/>
          <w:vertAlign w:val="baseline"/>
        </w:rPr>
        <w:t>2</w:t>
      </w:r>
      <w:r>
        <w:rPr>
          <w:spacing w:val="-5"/>
          <w:sz w:val="16"/>
          <w:vertAlign w:val="baseline"/>
        </w:rPr>
        <w:t> </w:t>
      </w:r>
      <w:r>
        <w:rPr>
          <w:sz w:val="16"/>
          <w:vertAlign w:val="baseline"/>
        </w:rPr>
        <w:t>y</w:t>
      </w:r>
      <w:r>
        <w:rPr>
          <w:spacing w:val="-5"/>
          <w:sz w:val="16"/>
          <w:vertAlign w:val="baseline"/>
        </w:rPr>
        <w:t> </w:t>
      </w:r>
      <w:r>
        <w:rPr>
          <w:sz w:val="16"/>
          <w:vertAlign w:val="baseline"/>
        </w:rPr>
        <w:t>texto</w:t>
      </w:r>
      <w:r>
        <w:rPr>
          <w:spacing w:val="-6"/>
          <w:sz w:val="16"/>
          <w:vertAlign w:val="baseline"/>
        </w:rPr>
        <w:t> </w:t>
      </w:r>
      <w:r>
        <w:rPr>
          <w:sz w:val="16"/>
          <w:vertAlign w:val="baseline"/>
        </w:rPr>
        <w:t>explicativo</w:t>
      </w:r>
      <w:r>
        <w:rPr>
          <w:spacing w:val="-3"/>
          <w:sz w:val="16"/>
          <w:vertAlign w:val="baseline"/>
        </w:rPr>
        <w:t> </w:t>
      </w:r>
      <w:r>
        <w:rPr>
          <w:spacing w:val="-2"/>
          <w:sz w:val="16"/>
          <w:vertAlign w:val="baseline"/>
        </w:rPr>
        <w:t>posterior.</w:t>
      </w:r>
    </w:p>
    <w:p>
      <w:pPr>
        <w:spacing w:line="183" w:lineRule="exact" w:before="0"/>
        <w:ind w:left="568" w:right="0" w:firstLine="0"/>
        <w:jc w:val="left"/>
        <w:rPr>
          <w:sz w:val="16"/>
        </w:rPr>
      </w:pPr>
      <w:bookmarkStart w:name="_bookmark57" w:id="58"/>
      <w:bookmarkEnd w:id="58"/>
      <w:r>
        <w:rPr/>
      </w:r>
      <w:r>
        <w:rPr>
          <w:sz w:val="16"/>
          <w:vertAlign w:val="superscript"/>
        </w:rPr>
        <w:t>15</w:t>
      </w:r>
      <w:r>
        <w:rPr>
          <w:spacing w:val="-3"/>
          <w:sz w:val="16"/>
          <w:vertAlign w:val="baseline"/>
        </w:rPr>
        <w:t> </w:t>
      </w:r>
      <w:r>
        <w:rPr>
          <w:sz w:val="16"/>
          <w:vertAlign w:val="baseline"/>
        </w:rPr>
        <w:t>Ibíd.,</w:t>
      </w:r>
      <w:r>
        <w:rPr>
          <w:spacing w:val="-3"/>
          <w:sz w:val="16"/>
          <w:vertAlign w:val="baseline"/>
        </w:rPr>
        <w:t> </w:t>
      </w:r>
      <w:r>
        <w:rPr>
          <w:sz w:val="16"/>
          <w:vertAlign w:val="baseline"/>
        </w:rPr>
        <w:t>apartados</w:t>
      </w:r>
      <w:r>
        <w:rPr>
          <w:spacing w:val="-3"/>
          <w:sz w:val="16"/>
          <w:vertAlign w:val="baseline"/>
        </w:rPr>
        <w:t> </w:t>
      </w:r>
      <w:r>
        <w:rPr>
          <w:sz w:val="16"/>
          <w:vertAlign w:val="baseline"/>
        </w:rPr>
        <w:t>sobre</w:t>
      </w:r>
      <w:r>
        <w:rPr>
          <w:spacing w:val="-4"/>
          <w:sz w:val="16"/>
          <w:vertAlign w:val="baseline"/>
        </w:rPr>
        <w:t> </w:t>
      </w:r>
      <w:r>
        <w:rPr>
          <w:sz w:val="16"/>
          <w:vertAlign w:val="baseline"/>
        </w:rPr>
        <w:t>impacto</w:t>
      </w:r>
      <w:r>
        <w:rPr>
          <w:spacing w:val="-3"/>
          <w:sz w:val="16"/>
          <w:vertAlign w:val="baseline"/>
        </w:rPr>
        <w:t> </w:t>
      </w:r>
      <w:r>
        <w:rPr>
          <w:sz w:val="16"/>
          <w:vertAlign w:val="baseline"/>
        </w:rPr>
        <w:t>económico</w:t>
      </w:r>
      <w:r>
        <w:rPr>
          <w:spacing w:val="-4"/>
          <w:sz w:val="16"/>
          <w:vertAlign w:val="baseline"/>
        </w:rPr>
        <w:t> </w:t>
      </w:r>
      <w:r>
        <w:rPr>
          <w:sz w:val="16"/>
          <w:vertAlign w:val="baseline"/>
        </w:rPr>
        <w:t>y</w:t>
      </w:r>
      <w:r>
        <w:rPr>
          <w:spacing w:val="-3"/>
          <w:sz w:val="16"/>
          <w:vertAlign w:val="baseline"/>
        </w:rPr>
        <w:t> </w:t>
      </w:r>
      <w:r>
        <w:rPr>
          <w:sz w:val="16"/>
          <w:vertAlign w:val="baseline"/>
        </w:rPr>
        <w:t>operativo</w:t>
      </w:r>
      <w:r>
        <w:rPr>
          <w:spacing w:val="-5"/>
          <w:sz w:val="16"/>
          <w:vertAlign w:val="baseline"/>
        </w:rPr>
        <w:t> </w:t>
      </w:r>
      <w:r>
        <w:rPr>
          <w:sz w:val="16"/>
          <w:vertAlign w:val="baseline"/>
        </w:rPr>
        <w:t>de</w:t>
      </w:r>
      <w:r>
        <w:rPr>
          <w:spacing w:val="-2"/>
          <w:sz w:val="16"/>
          <w:vertAlign w:val="baseline"/>
        </w:rPr>
        <w:t> </w:t>
      </w:r>
      <w:r>
        <w:rPr>
          <w:sz w:val="16"/>
          <w:vertAlign w:val="baseline"/>
        </w:rPr>
        <w:t>la</w:t>
      </w:r>
      <w:r>
        <w:rPr>
          <w:spacing w:val="-5"/>
          <w:sz w:val="16"/>
          <w:vertAlign w:val="baseline"/>
        </w:rPr>
        <w:t> </w:t>
      </w:r>
      <w:r>
        <w:rPr>
          <w:sz w:val="16"/>
          <w:vertAlign w:val="baseline"/>
        </w:rPr>
        <w:t>medida,</w:t>
      </w:r>
      <w:r>
        <w:rPr>
          <w:spacing w:val="-3"/>
          <w:sz w:val="16"/>
          <w:vertAlign w:val="baseline"/>
        </w:rPr>
        <w:t> </w:t>
      </w:r>
      <w:r>
        <w:rPr>
          <w:sz w:val="16"/>
          <w:vertAlign w:val="baseline"/>
        </w:rPr>
        <w:t>incluyendo</w:t>
      </w:r>
      <w:r>
        <w:rPr>
          <w:spacing w:val="-4"/>
          <w:sz w:val="16"/>
          <w:vertAlign w:val="baseline"/>
        </w:rPr>
        <w:t> </w:t>
      </w:r>
      <w:r>
        <w:rPr>
          <w:sz w:val="16"/>
          <w:vertAlign w:val="baseline"/>
        </w:rPr>
        <w:t>costo</w:t>
      </w:r>
      <w:r>
        <w:rPr>
          <w:spacing w:val="-3"/>
          <w:sz w:val="16"/>
          <w:vertAlign w:val="baseline"/>
        </w:rPr>
        <w:t> </w:t>
      </w:r>
      <w:r>
        <w:rPr>
          <w:sz w:val="16"/>
          <w:vertAlign w:val="baseline"/>
        </w:rPr>
        <w:t>de</w:t>
      </w:r>
      <w:r>
        <w:rPr>
          <w:spacing w:val="-4"/>
          <w:sz w:val="16"/>
          <w:vertAlign w:val="baseline"/>
        </w:rPr>
        <w:t> </w:t>
      </w:r>
      <w:r>
        <w:rPr>
          <w:sz w:val="16"/>
          <w:vertAlign w:val="baseline"/>
        </w:rPr>
        <w:t>nacionalización,</w:t>
      </w:r>
      <w:r>
        <w:rPr>
          <w:spacing w:val="-1"/>
          <w:sz w:val="16"/>
          <w:vertAlign w:val="baseline"/>
        </w:rPr>
        <w:t> </w:t>
      </w:r>
      <w:r>
        <w:rPr>
          <w:sz w:val="16"/>
          <w:vertAlign w:val="baseline"/>
        </w:rPr>
        <w:t>carga</w:t>
      </w:r>
      <w:r>
        <w:rPr>
          <w:spacing w:val="-5"/>
          <w:sz w:val="16"/>
          <w:vertAlign w:val="baseline"/>
        </w:rPr>
        <w:t> </w:t>
      </w:r>
      <w:r>
        <w:rPr>
          <w:sz w:val="16"/>
          <w:vertAlign w:val="baseline"/>
        </w:rPr>
        <w:t>sobre</w:t>
      </w:r>
      <w:r>
        <w:rPr>
          <w:spacing w:val="-4"/>
          <w:sz w:val="16"/>
          <w:vertAlign w:val="baseline"/>
        </w:rPr>
        <w:t> </w:t>
      </w:r>
      <w:r>
        <w:rPr>
          <w:spacing w:val="-2"/>
          <w:sz w:val="16"/>
          <w:vertAlign w:val="baseline"/>
        </w:rPr>
        <w:t>factura</w:t>
      </w:r>
    </w:p>
    <w:p>
      <w:pPr>
        <w:tabs>
          <w:tab w:pos="568" w:val="left" w:leader="none"/>
          <w:tab w:pos="9816" w:val="left" w:leader="none"/>
        </w:tabs>
        <w:spacing w:before="1"/>
        <w:ind w:left="160" w:right="0" w:firstLine="0"/>
        <w:jc w:val="left"/>
        <w:rPr>
          <w:sz w:val="16"/>
        </w:rPr>
      </w:pPr>
      <w:r>
        <w:rPr>
          <w:sz w:val="16"/>
          <w:u w:val="single"/>
        </w:rPr>
        <w:tab/>
        <w:t>más</w:t>
      </w:r>
      <w:r>
        <w:rPr>
          <w:spacing w:val="-8"/>
          <w:sz w:val="16"/>
          <w:u w:val="single"/>
        </w:rPr>
        <w:t> </w:t>
      </w:r>
      <w:r>
        <w:rPr>
          <w:sz w:val="16"/>
          <w:u w:val="single"/>
        </w:rPr>
        <w:t>flete</w:t>
      </w:r>
      <w:r>
        <w:rPr>
          <w:spacing w:val="-4"/>
          <w:sz w:val="16"/>
          <w:u w:val="single"/>
        </w:rPr>
        <w:t> </w:t>
      </w:r>
      <w:r>
        <w:rPr>
          <w:sz w:val="16"/>
          <w:u w:val="single"/>
        </w:rPr>
        <w:t>más</w:t>
      </w:r>
      <w:r>
        <w:rPr>
          <w:spacing w:val="-5"/>
          <w:sz w:val="16"/>
          <w:u w:val="single"/>
        </w:rPr>
        <w:t> </w:t>
      </w:r>
      <w:r>
        <w:rPr>
          <w:sz w:val="16"/>
          <w:u w:val="single"/>
        </w:rPr>
        <w:t>seguro,</w:t>
      </w:r>
      <w:r>
        <w:rPr>
          <w:spacing w:val="-6"/>
          <w:sz w:val="16"/>
          <w:u w:val="single"/>
        </w:rPr>
        <w:t> </w:t>
      </w:r>
      <w:r>
        <w:rPr>
          <w:sz w:val="16"/>
          <w:u w:val="single"/>
        </w:rPr>
        <w:t>pagos</w:t>
      </w:r>
      <w:r>
        <w:rPr>
          <w:spacing w:val="-2"/>
          <w:sz w:val="16"/>
          <w:u w:val="single"/>
        </w:rPr>
        <w:t> </w:t>
      </w:r>
      <w:r>
        <w:rPr>
          <w:sz w:val="16"/>
          <w:u w:val="single"/>
        </w:rPr>
        <w:t>efectuados</w:t>
      </w:r>
      <w:r>
        <w:rPr>
          <w:spacing w:val="-3"/>
          <w:sz w:val="16"/>
          <w:u w:val="single"/>
        </w:rPr>
        <w:t> </w:t>
      </w:r>
      <w:r>
        <w:rPr>
          <w:sz w:val="16"/>
          <w:u w:val="single"/>
        </w:rPr>
        <w:t>y</w:t>
      </w:r>
      <w:r>
        <w:rPr>
          <w:spacing w:val="-5"/>
          <w:sz w:val="16"/>
          <w:u w:val="single"/>
        </w:rPr>
        <w:t> </w:t>
      </w:r>
      <w:r>
        <w:rPr>
          <w:sz w:val="16"/>
          <w:u w:val="single"/>
        </w:rPr>
        <w:t>reducción</w:t>
      </w:r>
      <w:r>
        <w:rPr>
          <w:spacing w:val="-4"/>
          <w:sz w:val="16"/>
          <w:u w:val="single"/>
        </w:rPr>
        <w:t> </w:t>
      </w:r>
      <w:r>
        <w:rPr>
          <w:sz w:val="16"/>
          <w:u w:val="single"/>
        </w:rPr>
        <w:t>de</w:t>
      </w:r>
      <w:r>
        <w:rPr>
          <w:spacing w:val="-7"/>
          <w:sz w:val="16"/>
          <w:u w:val="single"/>
        </w:rPr>
        <w:t> </w:t>
      </w:r>
      <w:r>
        <w:rPr>
          <w:spacing w:val="-2"/>
          <w:sz w:val="16"/>
          <w:u w:val="single"/>
        </w:rPr>
        <w:t>contenedores.</w:t>
      </w:r>
      <w:r>
        <w:rPr>
          <w:sz w:val="16"/>
          <w:u w:val="single"/>
        </w:rPr>
        <w:tab/>
      </w:r>
    </w:p>
    <w:p>
      <w:pPr>
        <w:spacing w:after="0"/>
        <w:jc w:val="left"/>
        <w:rPr>
          <w:sz w:val="16"/>
        </w:rPr>
        <w:sectPr>
          <w:pgSz w:w="11900" w:h="16850"/>
          <w:pgMar w:header="370" w:footer="597" w:top="1380" w:bottom="780" w:left="992" w:right="283"/>
        </w:sectPr>
      </w:pPr>
    </w:p>
    <w:p>
      <w:pPr>
        <w:pStyle w:val="BodyText"/>
        <w:spacing w:before="176"/>
      </w:pPr>
    </w:p>
    <w:p>
      <w:pPr>
        <w:pStyle w:val="BodyText"/>
        <w:ind w:left="1134" w:right="986"/>
        <w:jc w:val="both"/>
      </w:pPr>
      <w:r>
        <w:rPr/>
        <w:t>notificó a las partes interesada y demás Países Miembros el reconocimiento de su interés legítimo en el presente caso.</w:t>
      </w:r>
    </w:p>
    <w:p>
      <w:pPr>
        <w:pStyle w:val="BodyText"/>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En</w:t>
      </w:r>
      <w:r>
        <w:rPr>
          <w:spacing w:val="-10"/>
          <w:sz w:val="22"/>
        </w:rPr>
        <w:t> </w:t>
      </w:r>
      <w:r>
        <w:rPr>
          <w:sz w:val="22"/>
        </w:rPr>
        <w:t>su</w:t>
      </w:r>
      <w:r>
        <w:rPr>
          <w:spacing w:val="-10"/>
          <w:sz w:val="22"/>
        </w:rPr>
        <w:t> </w:t>
      </w:r>
      <w:r>
        <w:rPr>
          <w:sz w:val="22"/>
        </w:rPr>
        <w:t>escrito,</w:t>
      </w:r>
      <w:r>
        <w:rPr>
          <w:spacing w:val="-8"/>
          <w:sz w:val="22"/>
        </w:rPr>
        <w:t> </w:t>
      </w:r>
      <w:r>
        <w:rPr>
          <w:sz w:val="22"/>
        </w:rPr>
        <w:t>la</w:t>
      </w:r>
      <w:r>
        <w:rPr>
          <w:spacing w:val="-10"/>
          <w:sz w:val="22"/>
        </w:rPr>
        <w:t> </w:t>
      </w:r>
      <w:r>
        <w:rPr>
          <w:sz w:val="22"/>
        </w:rPr>
        <w:t>CEE</w:t>
      </w:r>
      <w:r>
        <w:rPr>
          <w:spacing w:val="-13"/>
          <w:sz w:val="22"/>
        </w:rPr>
        <w:t> </w:t>
      </w:r>
      <w:r>
        <w:rPr>
          <w:sz w:val="22"/>
        </w:rPr>
        <w:t>manifiesta</w:t>
      </w:r>
      <w:r>
        <w:rPr>
          <w:spacing w:val="-9"/>
          <w:sz w:val="22"/>
        </w:rPr>
        <w:t> </w:t>
      </w:r>
      <w:r>
        <w:rPr>
          <w:sz w:val="22"/>
        </w:rPr>
        <w:t>que</w:t>
      </w:r>
      <w:r>
        <w:rPr>
          <w:spacing w:val="-10"/>
          <w:sz w:val="22"/>
        </w:rPr>
        <w:t> </w:t>
      </w:r>
      <w:r>
        <w:rPr>
          <w:rFonts w:ascii="Arial" w:hAnsi="Arial"/>
          <w:i/>
          <w:sz w:val="22"/>
        </w:rPr>
        <w:t>“la</w:t>
      </w:r>
      <w:r>
        <w:rPr>
          <w:rFonts w:ascii="Arial" w:hAnsi="Arial"/>
          <w:i/>
          <w:spacing w:val="-12"/>
          <w:sz w:val="22"/>
        </w:rPr>
        <w:t> </w:t>
      </w:r>
      <w:r>
        <w:rPr>
          <w:rFonts w:ascii="Arial" w:hAnsi="Arial"/>
          <w:i/>
          <w:sz w:val="22"/>
        </w:rPr>
        <w:t>medida</w:t>
      </w:r>
      <w:r>
        <w:rPr>
          <w:rFonts w:ascii="Arial" w:hAnsi="Arial"/>
          <w:i/>
          <w:spacing w:val="-10"/>
          <w:sz w:val="22"/>
        </w:rPr>
        <w:t> </w:t>
      </w:r>
      <w:r>
        <w:rPr>
          <w:rFonts w:ascii="Arial" w:hAnsi="Arial"/>
          <w:i/>
          <w:sz w:val="22"/>
        </w:rPr>
        <w:t>bajo</w:t>
      </w:r>
      <w:r>
        <w:rPr>
          <w:rFonts w:ascii="Arial" w:hAnsi="Arial"/>
          <w:i/>
          <w:spacing w:val="-10"/>
          <w:sz w:val="22"/>
        </w:rPr>
        <w:t> </w:t>
      </w:r>
      <w:r>
        <w:rPr>
          <w:rFonts w:ascii="Arial" w:hAnsi="Arial"/>
          <w:i/>
          <w:sz w:val="22"/>
        </w:rPr>
        <w:t>investigación</w:t>
      </w:r>
      <w:r>
        <w:rPr>
          <w:rFonts w:ascii="Arial" w:hAnsi="Arial"/>
          <w:i/>
          <w:spacing w:val="-8"/>
          <w:sz w:val="22"/>
        </w:rPr>
        <w:t> </w:t>
      </w:r>
      <w:r>
        <w:rPr>
          <w:rFonts w:ascii="Arial" w:hAnsi="Arial"/>
          <w:i/>
          <w:sz w:val="22"/>
        </w:rPr>
        <w:t>-la</w:t>
      </w:r>
      <w:r>
        <w:rPr>
          <w:rFonts w:ascii="Arial" w:hAnsi="Arial"/>
          <w:i/>
          <w:spacing w:val="-10"/>
          <w:sz w:val="22"/>
        </w:rPr>
        <w:t> </w:t>
      </w:r>
      <w:r>
        <w:rPr>
          <w:rFonts w:ascii="Arial" w:hAnsi="Arial"/>
          <w:i/>
          <w:sz w:val="22"/>
        </w:rPr>
        <w:t>denominada</w:t>
      </w:r>
      <w:r>
        <w:rPr>
          <w:rFonts w:ascii="Arial" w:hAnsi="Arial"/>
          <w:i/>
          <w:spacing w:val="-10"/>
          <w:sz w:val="22"/>
        </w:rPr>
        <w:t> </w:t>
      </w:r>
      <w:r>
        <w:rPr>
          <w:rFonts w:ascii="Arial" w:hAnsi="Arial"/>
          <w:i/>
          <w:sz w:val="22"/>
        </w:rPr>
        <w:t>“tasa por servicio de control aduanero”, creada mediante Resolución N° SENAE-SENAE-2026-0006-RE, vigente desde el 1 de febrero de 2026 inicialmente al 30%, elevada al 50% el 1 de marzo de 2026 y programada para llegar al 100% desde el 1 de mayo de 2026</w:t>
      </w:r>
      <w:r>
        <w:rPr>
          <w:rFonts w:ascii="Arial" w:hAnsi="Arial"/>
          <w:i/>
          <w:spacing w:val="-7"/>
          <w:sz w:val="22"/>
        </w:rPr>
        <w:t> </w:t>
      </w:r>
      <w:r>
        <w:rPr>
          <w:rFonts w:ascii="Arial" w:hAnsi="Arial"/>
          <w:i/>
          <w:sz w:val="22"/>
        </w:rPr>
        <w:t>–</w:t>
      </w:r>
      <w:r>
        <w:rPr>
          <w:rFonts w:ascii="Arial" w:hAnsi="Arial"/>
          <w:i/>
          <w:spacing w:val="-10"/>
          <w:sz w:val="22"/>
        </w:rPr>
        <w:t> </w:t>
      </w:r>
      <w:r>
        <w:rPr>
          <w:rFonts w:ascii="Arial" w:hAnsi="Arial"/>
          <w:i/>
          <w:sz w:val="22"/>
        </w:rPr>
        <w:t>grava</w:t>
      </w:r>
      <w:r>
        <w:rPr>
          <w:rFonts w:ascii="Arial" w:hAnsi="Arial"/>
          <w:i/>
          <w:spacing w:val="-10"/>
          <w:sz w:val="22"/>
        </w:rPr>
        <w:t> </w:t>
      </w:r>
      <w:r>
        <w:rPr>
          <w:rFonts w:ascii="Arial" w:hAnsi="Arial"/>
          <w:i/>
          <w:sz w:val="22"/>
        </w:rPr>
        <w:t>todas</w:t>
      </w:r>
      <w:r>
        <w:rPr>
          <w:rFonts w:ascii="Arial" w:hAnsi="Arial"/>
          <w:i/>
          <w:spacing w:val="-10"/>
          <w:sz w:val="22"/>
        </w:rPr>
        <w:t> </w:t>
      </w:r>
      <w:r>
        <w:rPr>
          <w:rFonts w:ascii="Arial" w:hAnsi="Arial"/>
          <w:i/>
          <w:sz w:val="22"/>
        </w:rPr>
        <w:t>las</w:t>
      </w:r>
      <w:r>
        <w:rPr>
          <w:rFonts w:ascii="Arial" w:hAnsi="Arial"/>
          <w:i/>
          <w:spacing w:val="-10"/>
          <w:sz w:val="22"/>
        </w:rPr>
        <w:t> </w:t>
      </w:r>
      <w:r>
        <w:rPr>
          <w:rFonts w:ascii="Arial" w:hAnsi="Arial"/>
          <w:i/>
          <w:sz w:val="22"/>
        </w:rPr>
        <w:t>mercancías</w:t>
      </w:r>
      <w:r>
        <w:rPr>
          <w:rFonts w:ascii="Arial" w:hAnsi="Arial"/>
          <w:i/>
          <w:spacing w:val="-7"/>
          <w:sz w:val="22"/>
        </w:rPr>
        <w:t> </w:t>
      </w:r>
      <w:r>
        <w:rPr>
          <w:rFonts w:ascii="Arial" w:hAnsi="Arial"/>
          <w:i/>
          <w:sz w:val="22"/>
        </w:rPr>
        <w:t>originarias</w:t>
      </w:r>
      <w:r>
        <w:rPr>
          <w:rFonts w:ascii="Arial" w:hAnsi="Arial"/>
          <w:i/>
          <w:spacing w:val="-10"/>
          <w:sz w:val="22"/>
        </w:rPr>
        <w:t> </w:t>
      </w:r>
      <w:r>
        <w:rPr>
          <w:rFonts w:ascii="Arial" w:hAnsi="Arial"/>
          <w:i/>
          <w:sz w:val="22"/>
        </w:rPr>
        <w:t>y</w:t>
      </w:r>
      <w:r>
        <w:rPr>
          <w:rFonts w:ascii="Arial" w:hAnsi="Arial"/>
          <w:i/>
          <w:spacing w:val="-7"/>
          <w:sz w:val="22"/>
        </w:rPr>
        <w:t> </w:t>
      </w:r>
      <w:r>
        <w:rPr>
          <w:rFonts w:ascii="Arial" w:hAnsi="Arial"/>
          <w:i/>
          <w:sz w:val="22"/>
        </w:rPr>
        <w:t>procedentes</w:t>
      </w:r>
      <w:r>
        <w:rPr>
          <w:rFonts w:ascii="Arial" w:hAnsi="Arial"/>
          <w:i/>
          <w:spacing w:val="-9"/>
          <w:sz w:val="22"/>
        </w:rPr>
        <w:t> </w:t>
      </w:r>
      <w:r>
        <w:rPr>
          <w:rFonts w:ascii="Arial" w:hAnsi="Arial"/>
          <w:i/>
          <w:sz w:val="22"/>
        </w:rPr>
        <w:t>de</w:t>
      </w:r>
      <w:r>
        <w:rPr>
          <w:rFonts w:ascii="Arial" w:hAnsi="Arial"/>
          <w:i/>
          <w:spacing w:val="-10"/>
          <w:sz w:val="22"/>
        </w:rPr>
        <w:t> </w:t>
      </w:r>
      <w:r>
        <w:rPr>
          <w:rFonts w:ascii="Arial" w:hAnsi="Arial"/>
          <w:i/>
          <w:sz w:val="22"/>
        </w:rPr>
        <w:t>Colombia</w:t>
      </w:r>
      <w:r>
        <w:rPr>
          <w:rFonts w:ascii="Arial" w:hAnsi="Arial"/>
          <w:i/>
          <w:spacing w:val="-10"/>
          <w:sz w:val="22"/>
        </w:rPr>
        <w:t> </w:t>
      </w:r>
      <w:r>
        <w:rPr>
          <w:rFonts w:ascii="Arial" w:hAnsi="Arial"/>
          <w:i/>
          <w:sz w:val="22"/>
        </w:rPr>
        <w:t>que</w:t>
      </w:r>
      <w:r>
        <w:rPr>
          <w:rFonts w:ascii="Arial" w:hAnsi="Arial"/>
          <w:i/>
          <w:spacing w:val="-7"/>
          <w:sz w:val="22"/>
        </w:rPr>
        <w:t> </w:t>
      </w:r>
      <w:r>
        <w:rPr>
          <w:rFonts w:ascii="Arial" w:hAnsi="Arial"/>
          <w:i/>
          <w:sz w:val="22"/>
        </w:rPr>
        <w:t>ingresen al Ecuador bajo regímenes de importación, salvo excepciones puntuales. Su impacto recae directamente sobre la práctica totalidad del sector productivo ecuatoriano, tanto en insumos de origen colombiano incorporados en cadenas de valor industriales (alimentos, bebidas, química, textiles, papel, metalmecánica, materiales de construcción) (…)”</w:t>
      </w:r>
      <w:r>
        <w:rPr>
          <w:sz w:val="22"/>
        </w:rPr>
        <w:t>. La CEE añade que su afectación es directa y cuantificable </w:t>
      </w:r>
      <w:r>
        <w:rPr>
          <w:rFonts w:ascii="Arial" w:hAnsi="Arial"/>
          <w:i/>
          <w:sz w:val="22"/>
        </w:rPr>
        <w:t>“sobre los sectores productivos representados, en términos de costos de importación e insumos, contracción de</w:t>
      </w:r>
      <w:r>
        <w:rPr>
          <w:rFonts w:ascii="Arial" w:hAnsi="Arial"/>
          <w:i/>
          <w:spacing w:val="-2"/>
          <w:sz w:val="22"/>
        </w:rPr>
        <w:t> </w:t>
      </w:r>
      <w:r>
        <w:rPr>
          <w:rFonts w:ascii="Arial" w:hAnsi="Arial"/>
          <w:i/>
          <w:sz w:val="22"/>
        </w:rPr>
        <w:t>ventas y alteración de</w:t>
      </w:r>
      <w:r>
        <w:rPr>
          <w:rFonts w:ascii="Arial" w:hAnsi="Arial"/>
          <w:i/>
          <w:spacing w:val="-2"/>
          <w:sz w:val="22"/>
        </w:rPr>
        <w:t> </w:t>
      </w:r>
      <w:r>
        <w:rPr>
          <w:rFonts w:ascii="Arial" w:hAnsi="Arial"/>
          <w:i/>
          <w:sz w:val="22"/>
        </w:rPr>
        <w:t>cadenas de valor</w:t>
      </w:r>
      <w:r>
        <w:rPr>
          <w:rFonts w:ascii="Arial" w:hAnsi="Arial"/>
          <w:i/>
          <w:spacing w:val="-1"/>
          <w:sz w:val="22"/>
        </w:rPr>
        <w:t> </w:t>
      </w:r>
      <w:r>
        <w:rPr>
          <w:rFonts w:ascii="Arial" w:hAnsi="Arial"/>
          <w:i/>
          <w:sz w:val="22"/>
        </w:rPr>
        <w:t>consolidadas durante décadas, así como también las medidas adoptadas por el estado colombiano en retaliación de las medidas ecuatorianas”</w:t>
      </w:r>
      <w:hyperlink w:history="true" w:anchor="_bookmark58">
        <w:r>
          <w:rPr>
            <w:sz w:val="22"/>
          </w:rPr>
          <w:t>.</w:t>
        </w:r>
        <w:r>
          <w:rPr>
            <w:sz w:val="22"/>
            <w:vertAlign w:val="superscript"/>
          </w:rPr>
          <w:t>16</w:t>
        </w:r>
      </w:hyperlink>
    </w:p>
    <w:p>
      <w:pPr>
        <w:pStyle w:val="BodyText"/>
        <w:spacing w:before="2"/>
      </w:pPr>
    </w:p>
    <w:p>
      <w:pPr>
        <w:pStyle w:val="Heading5"/>
        <w:numPr>
          <w:ilvl w:val="0"/>
          <w:numId w:val="10"/>
        </w:numPr>
        <w:tabs>
          <w:tab w:pos="850" w:val="left" w:leader="none"/>
        </w:tabs>
        <w:spacing w:line="240" w:lineRule="auto" w:before="0" w:after="0"/>
        <w:ind w:left="850" w:right="0" w:hanging="282"/>
        <w:jc w:val="left"/>
      </w:pPr>
      <w:r>
        <w:rPr/>
        <w:t>MEDIDA</w:t>
      </w:r>
      <w:r>
        <w:rPr>
          <w:spacing w:val="-7"/>
        </w:rPr>
        <w:t> </w:t>
      </w:r>
      <w:r>
        <w:rPr/>
        <w:t>OBJETO</w:t>
      </w:r>
      <w:r>
        <w:rPr>
          <w:spacing w:val="-5"/>
        </w:rPr>
        <w:t> </w:t>
      </w:r>
      <w:r>
        <w:rPr/>
        <w:t>DE</w:t>
      </w:r>
      <w:r>
        <w:rPr>
          <w:spacing w:val="-3"/>
        </w:rPr>
        <w:t> </w:t>
      </w:r>
      <w:r>
        <w:rPr>
          <w:spacing w:val="-2"/>
        </w:rPr>
        <w:t>ANÁLISIS</w:t>
      </w:r>
    </w:p>
    <w:p>
      <w:pPr>
        <w:pStyle w:val="ListParagraph"/>
        <w:numPr>
          <w:ilvl w:val="0"/>
          <w:numId w:val="11"/>
        </w:numPr>
        <w:tabs>
          <w:tab w:pos="1130" w:val="left" w:leader="none"/>
          <w:tab w:pos="1134" w:val="left" w:leader="none"/>
        </w:tabs>
        <w:spacing w:line="240" w:lineRule="auto" w:before="251" w:after="0"/>
        <w:ind w:left="1134" w:right="979" w:hanging="567"/>
        <w:jc w:val="both"/>
        <w:rPr>
          <w:sz w:val="22"/>
        </w:rPr>
      </w:pPr>
      <w:r>
        <w:rPr>
          <w:sz w:val="22"/>
        </w:rPr>
        <w:t>La Decisión 425 establece que, para determinar sí una medida constituye o no un gravamen, el solicitante deberá, entre otros, identificar y describir la medida que se impugna, acompañada de la mayor información disponible que permita el mejor pronunciamiento de la SGCAN.</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En</w:t>
      </w:r>
      <w:r>
        <w:rPr>
          <w:spacing w:val="-3"/>
          <w:sz w:val="22"/>
        </w:rPr>
        <w:t> </w:t>
      </w:r>
      <w:r>
        <w:rPr>
          <w:sz w:val="22"/>
        </w:rPr>
        <w:t>el</w:t>
      </w:r>
      <w:r>
        <w:rPr>
          <w:spacing w:val="-3"/>
          <w:sz w:val="22"/>
        </w:rPr>
        <w:t> </w:t>
      </w:r>
      <w:r>
        <w:rPr>
          <w:sz w:val="22"/>
        </w:rPr>
        <w:t>presente</w:t>
      </w:r>
      <w:r>
        <w:rPr>
          <w:spacing w:val="-5"/>
          <w:sz w:val="22"/>
        </w:rPr>
        <w:t> </w:t>
      </w:r>
      <w:r>
        <w:rPr>
          <w:sz w:val="22"/>
        </w:rPr>
        <w:t>procedimiento</w:t>
      </w:r>
      <w:r>
        <w:rPr>
          <w:spacing w:val="-3"/>
          <w:sz w:val="22"/>
        </w:rPr>
        <w:t> </w:t>
      </w:r>
      <w:r>
        <w:rPr>
          <w:sz w:val="22"/>
        </w:rPr>
        <w:t>se</w:t>
      </w:r>
      <w:r>
        <w:rPr>
          <w:spacing w:val="-2"/>
          <w:sz w:val="22"/>
        </w:rPr>
        <w:t> </w:t>
      </w:r>
      <w:r>
        <w:rPr>
          <w:sz w:val="22"/>
        </w:rPr>
        <w:t>analizan</w:t>
      </w:r>
      <w:r>
        <w:rPr>
          <w:spacing w:val="-3"/>
          <w:sz w:val="22"/>
        </w:rPr>
        <w:t> </w:t>
      </w:r>
      <w:r>
        <w:rPr>
          <w:sz w:val="22"/>
        </w:rPr>
        <w:t>las</w:t>
      </w:r>
      <w:r>
        <w:rPr>
          <w:spacing w:val="-3"/>
          <w:sz w:val="22"/>
        </w:rPr>
        <w:t> </w:t>
      </w:r>
      <w:r>
        <w:rPr>
          <w:sz w:val="22"/>
        </w:rPr>
        <w:t>Resoluciones</w:t>
      </w:r>
      <w:r>
        <w:rPr>
          <w:spacing w:val="-3"/>
          <w:sz w:val="22"/>
        </w:rPr>
        <w:t> </w:t>
      </w:r>
      <w:r>
        <w:rPr>
          <w:sz w:val="22"/>
        </w:rPr>
        <w:t>Nro.</w:t>
      </w:r>
      <w:r>
        <w:rPr>
          <w:spacing w:val="-1"/>
          <w:sz w:val="22"/>
        </w:rPr>
        <w:t> </w:t>
      </w:r>
      <w:r>
        <w:rPr>
          <w:sz w:val="22"/>
        </w:rPr>
        <w:t>SENAE-SENAE-2026-0006-RE</w:t>
      </w:r>
      <w:r>
        <w:rPr>
          <w:spacing w:val="-6"/>
          <w:sz w:val="22"/>
        </w:rPr>
        <w:t> </w:t>
      </w:r>
      <w:r>
        <w:rPr>
          <w:sz w:val="22"/>
        </w:rPr>
        <w:t>y</w:t>
      </w:r>
      <w:r>
        <w:rPr>
          <w:spacing w:val="-8"/>
          <w:sz w:val="22"/>
        </w:rPr>
        <w:t> </w:t>
      </w:r>
      <w:r>
        <w:rPr>
          <w:sz w:val="22"/>
        </w:rPr>
        <w:t>SENAE-SENAE-2026-0017-RE,</w:t>
      </w:r>
      <w:r>
        <w:rPr>
          <w:spacing w:val="-9"/>
          <w:sz w:val="22"/>
        </w:rPr>
        <w:t> </w:t>
      </w:r>
      <w:r>
        <w:rPr>
          <w:sz w:val="22"/>
        </w:rPr>
        <w:t>mediante</w:t>
      </w:r>
      <w:r>
        <w:rPr>
          <w:spacing w:val="-8"/>
          <w:sz w:val="22"/>
        </w:rPr>
        <w:t> </w:t>
      </w:r>
      <w:r>
        <w:rPr>
          <w:sz w:val="22"/>
        </w:rPr>
        <w:t>las</w:t>
      </w:r>
      <w:r>
        <w:rPr>
          <w:spacing w:val="-6"/>
          <w:sz w:val="22"/>
        </w:rPr>
        <w:t> </w:t>
      </w:r>
      <w:r>
        <w:rPr>
          <w:sz w:val="22"/>
        </w:rPr>
        <w:t>cuales</w:t>
      </w:r>
      <w:r>
        <w:rPr>
          <w:spacing w:val="-8"/>
          <w:sz w:val="22"/>
        </w:rPr>
        <w:t> </w:t>
      </w:r>
      <w:r>
        <w:rPr>
          <w:sz w:val="22"/>
        </w:rPr>
        <w:t>el</w:t>
      </w:r>
      <w:r>
        <w:rPr>
          <w:spacing w:val="-9"/>
          <w:sz w:val="22"/>
        </w:rPr>
        <w:t> </w:t>
      </w:r>
      <w:r>
        <w:rPr>
          <w:sz w:val="22"/>
        </w:rPr>
        <w:t>Servicio</w:t>
      </w:r>
      <w:r>
        <w:rPr>
          <w:spacing w:val="-6"/>
          <w:sz w:val="22"/>
        </w:rPr>
        <w:t> </w:t>
      </w:r>
      <w:r>
        <w:rPr>
          <w:sz w:val="22"/>
        </w:rPr>
        <w:t>Nacional</w:t>
      </w:r>
      <w:r>
        <w:rPr>
          <w:spacing w:val="-7"/>
          <w:sz w:val="22"/>
        </w:rPr>
        <w:t> </w:t>
      </w:r>
      <w:r>
        <w:rPr>
          <w:sz w:val="22"/>
        </w:rPr>
        <w:t>de Aduana de la República del Ecuador reguló la tasa por servicio de control aduanero aplicable a mercancías provenientes u originarias de la República de Colombia. La primera de estas resoluciones fue emitida el 24 de enero de 2026, disponiendo la creación de una tasa del 30% con vigencia a partir del 1 de febrero de 2026; mientras que</w:t>
      </w:r>
      <w:r>
        <w:rPr>
          <w:spacing w:val="-16"/>
          <w:sz w:val="22"/>
        </w:rPr>
        <w:t> </w:t>
      </w:r>
      <w:r>
        <w:rPr>
          <w:sz w:val="22"/>
        </w:rPr>
        <w:t>la</w:t>
      </w:r>
      <w:r>
        <w:rPr>
          <w:spacing w:val="-15"/>
          <w:sz w:val="22"/>
        </w:rPr>
        <w:t> </w:t>
      </w:r>
      <w:r>
        <w:rPr>
          <w:sz w:val="22"/>
        </w:rPr>
        <w:t>segunda</w:t>
      </w:r>
      <w:r>
        <w:rPr>
          <w:spacing w:val="-15"/>
          <w:sz w:val="22"/>
        </w:rPr>
        <w:t> </w:t>
      </w:r>
      <w:r>
        <w:rPr>
          <w:sz w:val="22"/>
        </w:rPr>
        <w:t>Resolución,</w:t>
      </w:r>
      <w:r>
        <w:rPr>
          <w:spacing w:val="-16"/>
          <w:sz w:val="22"/>
        </w:rPr>
        <w:t> </w:t>
      </w:r>
      <w:r>
        <w:rPr>
          <w:sz w:val="22"/>
        </w:rPr>
        <w:t>adoptada</w:t>
      </w:r>
      <w:r>
        <w:rPr>
          <w:spacing w:val="-15"/>
          <w:sz w:val="22"/>
        </w:rPr>
        <w:t> </w:t>
      </w:r>
      <w:r>
        <w:rPr>
          <w:sz w:val="22"/>
        </w:rPr>
        <w:t>el</w:t>
      </w:r>
      <w:r>
        <w:rPr>
          <w:spacing w:val="-15"/>
          <w:sz w:val="22"/>
        </w:rPr>
        <w:t> </w:t>
      </w:r>
      <w:r>
        <w:rPr>
          <w:sz w:val="22"/>
        </w:rPr>
        <w:t>28</w:t>
      </w:r>
      <w:r>
        <w:rPr>
          <w:spacing w:val="-15"/>
          <w:sz w:val="22"/>
        </w:rPr>
        <w:t> </w:t>
      </w:r>
      <w:r>
        <w:rPr>
          <w:sz w:val="22"/>
        </w:rPr>
        <w:t>de</w:t>
      </w:r>
      <w:r>
        <w:rPr>
          <w:spacing w:val="-16"/>
          <w:sz w:val="22"/>
        </w:rPr>
        <w:t> </w:t>
      </w:r>
      <w:r>
        <w:rPr>
          <w:sz w:val="22"/>
        </w:rPr>
        <w:t>febrero</w:t>
      </w:r>
      <w:r>
        <w:rPr>
          <w:spacing w:val="-15"/>
          <w:sz w:val="22"/>
        </w:rPr>
        <w:t> </w:t>
      </w:r>
      <w:r>
        <w:rPr>
          <w:sz w:val="22"/>
        </w:rPr>
        <w:t>de</w:t>
      </w:r>
      <w:r>
        <w:rPr>
          <w:spacing w:val="-15"/>
          <w:sz w:val="22"/>
        </w:rPr>
        <w:t> </w:t>
      </w:r>
      <w:r>
        <w:rPr>
          <w:sz w:val="22"/>
        </w:rPr>
        <w:t>2026,</w:t>
      </w:r>
      <w:r>
        <w:rPr>
          <w:spacing w:val="-16"/>
          <w:sz w:val="22"/>
        </w:rPr>
        <w:t> </w:t>
      </w:r>
      <w:r>
        <w:rPr>
          <w:sz w:val="22"/>
        </w:rPr>
        <w:t>dejó</w:t>
      </w:r>
      <w:r>
        <w:rPr>
          <w:spacing w:val="-15"/>
          <w:sz w:val="22"/>
        </w:rPr>
        <w:t> </w:t>
      </w:r>
      <w:r>
        <w:rPr>
          <w:sz w:val="22"/>
        </w:rPr>
        <w:t>sin</w:t>
      </w:r>
      <w:r>
        <w:rPr>
          <w:spacing w:val="-15"/>
          <w:sz w:val="22"/>
        </w:rPr>
        <w:t> </w:t>
      </w:r>
      <w:r>
        <w:rPr>
          <w:sz w:val="22"/>
        </w:rPr>
        <w:t>efecto</w:t>
      </w:r>
      <w:r>
        <w:rPr>
          <w:spacing w:val="-15"/>
          <w:sz w:val="22"/>
        </w:rPr>
        <w:t> </w:t>
      </w:r>
      <w:r>
        <w:rPr>
          <w:sz w:val="22"/>
        </w:rPr>
        <w:t>la</w:t>
      </w:r>
      <w:r>
        <w:rPr>
          <w:spacing w:val="-16"/>
          <w:sz w:val="22"/>
        </w:rPr>
        <w:t> </w:t>
      </w:r>
      <w:r>
        <w:rPr>
          <w:sz w:val="22"/>
        </w:rPr>
        <w:t>primera y actualizó el porcentaje al 50%, entrando en vigor el 1 de marzo de 2026.</w:t>
      </w:r>
    </w:p>
    <w:p>
      <w:pPr>
        <w:pStyle w:val="BodyText"/>
      </w:pPr>
    </w:p>
    <w:p>
      <w:pPr>
        <w:pStyle w:val="ListParagraph"/>
        <w:numPr>
          <w:ilvl w:val="0"/>
          <w:numId w:val="11"/>
        </w:numPr>
        <w:tabs>
          <w:tab w:pos="1130" w:val="left" w:leader="none"/>
          <w:tab w:pos="1134" w:val="left" w:leader="none"/>
        </w:tabs>
        <w:spacing w:line="240" w:lineRule="auto" w:before="1" w:after="0"/>
        <w:ind w:left="1134" w:right="977" w:hanging="567"/>
        <w:jc w:val="both"/>
        <w:rPr>
          <w:sz w:val="22"/>
        </w:rPr>
      </w:pPr>
      <w:r>
        <w:rPr>
          <w:sz w:val="22"/>
        </w:rPr>
        <w:t>La</w:t>
      </w:r>
      <w:r>
        <w:rPr>
          <w:spacing w:val="-9"/>
          <w:sz w:val="22"/>
        </w:rPr>
        <w:t> </w:t>
      </w:r>
      <w:r>
        <w:rPr>
          <w:sz w:val="22"/>
        </w:rPr>
        <w:t>medida</w:t>
      </w:r>
      <w:r>
        <w:rPr>
          <w:spacing w:val="-9"/>
          <w:sz w:val="22"/>
        </w:rPr>
        <w:t> </w:t>
      </w:r>
      <w:r>
        <w:rPr>
          <w:sz w:val="22"/>
        </w:rPr>
        <w:t>tiene</w:t>
      </w:r>
      <w:r>
        <w:rPr>
          <w:spacing w:val="-9"/>
          <w:sz w:val="22"/>
        </w:rPr>
        <w:t> </w:t>
      </w:r>
      <w:r>
        <w:rPr>
          <w:sz w:val="22"/>
        </w:rPr>
        <w:t>por</w:t>
      </w:r>
      <w:r>
        <w:rPr>
          <w:spacing w:val="-8"/>
          <w:sz w:val="22"/>
        </w:rPr>
        <w:t> </w:t>
      </w:r>
      <w:r>
        <w:rPr>
          <w:sz w:val="22"/>
        </w:rPr>
        <w:t>objeto</w:t>
      </w:r>
      <w:r>
        <w:rPr>
          <w:spacing w:val="-9"/>
          <w:sz w:val="22"/>
        </w:rPr>
        <w:t> </w:t>
      </w:r>
      <w:r>
        <w:rPr>
          <w:sz w:val="22"/>
        </w:rPr>
        <w:t>financiar</w:t>
      </w:r>
      <w:r>
        <w:rPr>
          <w:spacing w:val="-8"/>
          <w:sz w:val="22"/>
        </w:rPr>
        <w:t> </w:t>
      </w:r>
      <w:r>
        <w:rPr>
          <w:sz w:val="22"/>
        </w:rPr>
        <w:t>o</w:t>
      </w:r>
      <w:r>
        <w:rPr>
          <w:spacing w:val="-11"/>
          <w:sz w:val="22"/>
        </w:rPr>
        <w:t> </w:t>
      </w:r>
      <w:r>
        <w:rPr>
          <w:sz w:val="22"/>
        </w:rPr>
        <w:t>retribuir</w:t>
      </w:r>
      <w:r>
        <w:rPr>
          <w:spacing w:val="-8"/>
          <w:sz w:val="22"/>
        </w:rPr>
        <w:t> </w:t>
      </w:r>
      <w:r>
        <w:rPr>
          <w:sz w:val="22"/>
        </w:rPr>
        <w:t>el</w:t>
      </w:r>
      <w:r>
        <w:rPr>
          <w:spacing w:val="-10"/>
          <w:sz w:val="22"/>
        </w:rPr>
        <w:t> </w:t>
      </w:r>
      <w:r>
        <w:rPr>
          <w:sz w:val="22"/>
        </w:rPr>
        <w:t>control</w:t>
      </w:r>
      <w:r>
        <w:rPr>
          <w:spacing w:val="-10"/>
          <w:sz w:val="22"/>
        </w:rPr>
        <w:t> </w:t>
      </w:r>
      <w:r>
        <w:rPr>
          <w:sz w:val="22"/>
        </w:rPr>
        <w:t>aduanero</w:t>
      </w:r>
      <w:r>
        <w:rPr>
          <w:spacing w:val="-11"/>
          <w:sz w:val="22"/>
        </w:rPr>
        <w:t> </w:t>
      </w:r>
      <w:r>
        <w:rPr>
          <w:sz w:val="22"/>
        </w:rPr>
        <w:t>sobre</w:t>
      </w:r>
      <w:r>
        <w:rPr>
          <w:spacing w:val="-9"/>
          <w:sz w:val="22"/>
        </w:rPr>
        <w:t> </w:t>
      </w:r>
      <w:r>
        <w:rPr>
          <w:sz w:val="22"/>
        </w:rPr>
        <w:t>las</w:t>
      </w:r>
      <w:r>
        <w:rPr>
          <w:spacing w:val="-8"/>
          <w:sz w:val="22"/>
        </w:rPr>
        <w:t> </w:t>
      </w:r>
      <w:r>
        <w:rPr>
          <w:sz w:val="22"/>
        </w:rPr>
        <w:t>mercancías que provengan o sean originarias de la República de Colombia y que ingresen al territorio aduanero ecuatoriano bajo regímenes de importación, excepción y otros regímenes aduaneros previstos en la normativa nacional. En el caso de la Resolución Nro. SENAE-SENAE-2026-0006-RE, el SENAE difundió además un boletín de aplicación oficial en el que precisó las condiciones operativas de la tasa, mientras que respecto de la Resolución Nro. SENAE-SENAE-2026-0017-RE, emitió boletines complementarios</w:t>
      </w:r>
      <w:r>
        <w:rPr>
          <w:spacing w:val="-9"/>
          <w:sz w:val="22"/>
        </w:rPr>
        <w:t> </w:t>
      </w:r>
      <w:r>
        <w:rPr>
          <w:sz w:val="22"/>
        </w:rPr>
        <w:t>de</w:t>
      </w:r>
      <w:r>
        <w:rPr>
          <w:spacing w:val="-10"/>
          <w:sz w:val="22"/>
        </w:rPr>
        <w:t> </w:t>
      </w:r>
      <w:r>
        <w:rPr>
          <w:sz w:val="22"/>
        </w:rPr>
        <w:t>aplicación</w:t>
      </w:r>
      <w:r>
        <w:rPr>
          <w:spacing w:val="-8"/>
          <w:sz w:val="22"/>
        </w:rPr>
        <w:t> </w:t>
      </w:r>
      <w:r>
        <w:rPr>
          <w:sz w:val="22"/>
        </w:rPr>
        <w:t>y</w:t>
      </w:r>
      <w:r>
        <w:rPr>
          <w:spacing w:val="-9"/>
          <w:sz w:val="22"/>
        </w:rPr>
        <w:t> </w:t>
      </w:r>
      <w:r>
        <w:rPr>
          <w:sz w:val="22"/>
        </w:rPr>
        <w:t>consideraciones,</w:t>
      </w:r>
      <w:r>
        <w:rPr>
          <w:spacing w:val="-8"/>
          <w:sz w:val="22"/>
        </w:rPr>
        <w:t> </w:t>
      </w:r>
      <w:r>
        <w:rPr>
          <w:sz w:val="22"/>
        </w:rPr>
        <w:t>confirmando</w:t>
      </w:r>
      <w:r>
        <w:rPr>
          <w:spacing w:val="-10"/>
          <w:sz w:val="22"/>
        </w:rPr>
        <w:t> </w:t>
      </w:r>
      <w:r>
        <w:rPr>
          <w:sz w:val="22"/>
        </w:rPr>
        <w:t>su</w:t>
      </w:r>
      <w:r>
        <w:rPr>
          <w:spacing w:val="-10"/>
          <w:sz w:val="22"/>
        </w:rPr>
        <w:t> </w:t>
      </w:r>
      <w:r>
        <w:rPr>
          <w:sz w:val="22"/>
        </w:rPr>
        <w:t>vigencia</w:t>
      </w:r>
      <w:r>
        <w:rPr>
          <w:spacing w:val="-7"/>
          <w:sz w:val="22"/>
        </w:rPr>
        <w:t> </w:t>
      </w:r>
      <w:r>
        <w:rPr>
          <w:sz w:val="22"/>
        </w:rPr>
        <w:t>y</w:t>
      </w:r>
      <w:r>
        <w:rPr>
          <w:spacing w:val="-9"/>
          <w:sz w:val="22"/>
        </w:rPr>
        <w:t> </w:t>
      </w:r>
      <w:r>
        <w:rPr>
          <w:sz w:val="22"/>
        </w:rPr>
        <w:t>el</w:t>
      </w:r>
      <w:r>
        <w:rPr>
          <w:spacing w:val="-8"/>
          <w:sz w:val="22"/>
        </w:rPr>
        <w:t> </w:t>
      </w:r>
      <w:r>
        <w:rPr>
          <w:sz w:val="22"/>
        </w:rPr>
        <w:t>alcance de su implementación</w:t>
      </w:r>
      <w:hyperlink w:history="true" w:anchor="_bookmark59">
        <w:r>
          <w:rPr>
            <w:sz w:val="22"/>
            <w:vertAlign w:val="superscript"/>
          </w:rPr>
          <w:t>17</w:t>
        </w:r>
      </w:hyperlink>
      <w:r>
        <w:rPr>
          <w:sz w:val="22"/>
          <w:vertAlign w:val="baseline"/>
        </w:rPr>
        <w:t>.</w:t>
      </w:r>
    </w:p>
    <w:p>
      <w:pPr>
        <w:pStyle w:val="BodyText"/>
      </w:pPr>
    </w:p>
    <w:p>
      <w:pPr>
        <w:pStyle w:val="BodyText"/>
        <w:ind w:left="1134" w:right="978"/>
        <w:jc w:val="both"/>
      </w:pPr>
      <w:r>
        <w:rPr/>
        <w:t>En cuanto al ámbito de aplicación, la Resolución Nro. SENAE-SENAE-2026-0017-RE, mantiene</w:t>
      </w:r>
      <w:r>
        <w:rPr>
          <w:spacing w:val="-4"/>
        </w:rPr>
        <w:t> </w:t>
      </w:r>
      <w:r>
        <w:rPr/>
        <w:t>la</w:t>
      </w:r>
      <w:r>
        <w:rPr>
          <w:spacing w:val="-4"/>
        </w:rPr>
        <w:t> </w:t>
      </w:r>
      <w:r>
        <w:rPr/>
        <w:t>lógica</w:t>
      </w:r>
      <w:r>
        <w:rPr>
          <w:spacing w:val="-4"/>
        </w:rPr>
        <w:t> </w:t>
      </w:r>
      <w:r>
        <w:rPr/>
        <w:t>de</w:t>
      </w:r>
      <w:r>
        <w:rPr>
          <w:spacing w:val="-4"/>
        </w:rPr>
        <w:t> </w:t>
      </w:r>
      <w:r>
        <w:rPr/>
        <w:t>que</w:t>
      </w:r>
      <w:r>
        <w:rPr>
          <w:spacing w:val="-4"/>
        </w:rPr>
        <w:t> </w:t>
      </w:r>
      <w:r>
        <w:rPr/>
        <w:t>la</w:t>
      </w:r>
      <w:r>
        <w:rPr>
          <w:spacing w:val="-4"/>
        </w:rPr>
        <w:t> </w:t>
      </w:r>
      <w:r>
        <w:rPr/>
        <w:t>tasa</w:t>
      </w:r>
      <w:r>
        <w:rPr>
          <w:spacing w:val="-4"/>
        </w:rPr>
        <w:t> </w:t>
      </w:r>
      <w:r>
        <w:rPr/>
        <w:t>recae</w:t>
      </w:r>
      <w:r>
        <w:rPr>
          <w:spacing w:val="-6"/>
        </w:rPr>
        <w:t> </w:t>
      </w:r>
      <w:r>
        <w:rPr/>
        <w:t>sobre</w:t>
      </w:r>
      <w:r>
        <w:rPr>
          <w:spacing w:val="-6"/>
        </w:rPr>
        <w:t> </w:t>
      </w:r>
      <w:r>
        <w:rPr/>
        <w:t>mercancías</w:t>
      </w:r>
      <w:r>
        <w:rPr>
          <w:spacing w:val="-1"/>
        </w:rPr>
        <w:t> </w:t>
      </w:r>
      <w:r>
        <w:rPr/>
        <w:t>provenientes</w:t>
      </w:r>
      <w:r>
        <w:rPr>
          <w:spacing w:val="-4"/>
        </w:rPr>
        <w:t> </w:t>
      </w:r>
      <w:r>
        <w:rPr/>
        <w:t>u</w:t>
      </w:r>
      <w:r>
        <w:rPr>
          <w:spacing w:val="-6"/>
        </w:rPr>
        <w:t> </w:t>
      </w:r>
      <w:r>
        <w:rPr/>
        <w:t>originarias</w:t>
      </w:r>
      <w:r>
        <w:rPr>
          <w:spacing w:val="-4"/>
        </w:rPr>
        <w:t> </w:t>
      </w:r>
      <w:r>
        <w:rPr/>
        <w:t>de la República de Colombia, y sujetas al control aduanero ecuatoriano.</w:t>
      </w:r>
    </w:p>
    <w:p>
      <w:pPr>
        <w:pStyle w:val="BodyText"/>
        <w:rPr>
          <w:sz w:val="20"/>
        </w:rPr>
      </w:pPr>
    </w:p>
    <w:p>
      <w:pPr>
        <w:pStyle w:val="BodyText"/>
        <w:rPr>
          <w:sz w:val="20"/>
        </w:rPr>
      </w:pPr>
    </w:p>
    <w:p>
      <w:pPr>
        <w:pStyle w:val="BodyText"/>
        <w:spacing w:before="116"/>
        <w:rPr>
          <w:sz w:val="20"/>
        </w:rPr>
      </w:pPr>
      <w:r>
        <w:rPr>
          <w:sz w:val="20"/>
        </w:rPr>
        <mc:AlternateContent>
          <mc:Choice Requires="wps">
            <w:drawing>
              <wp:anchor distT="0" distB="0" distL="0" distR="0" allowOverlap="1" layoutInCell="1" locked="0" behindDoc="1" simplePos="0" relativeHeight="487622656">
                <wp:simplePos x="0" y="0"/>
                <wp:positionH relativeFrom="page">
                  <wp:posOffset>990904</wp:posOffset>
                </wp:positionH>
                <wp:positionV relativeFrom="paragraph">
                  <wp:posOffset>235043</wp:posOffset>
                </wp:positionV>
                <wp:extent cx="1829435" cy="7620"/>
                <wp:effectExtent l="0" t="0" r="0" b="0"/>
                <wp:wrapTopAndBottom/>
                <wp:docPr id="326" name="Graphic 326"/>
                <wp:cNvGraphicFramePr>
                  <a:graphicFrameLocks/>
                </wp:cNvGraphicFramePr>
                <a:graphic>
                  <a:graphicData uri="http://schemas.microsoft.com/office/word/2010/wordprocessingShape">
                    <wps:wsp>
                      <wps:cNvPr id="326" name="Graphic 326"/>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8.507401pt;width:144.020pt;height:.60004pt;mso-position-horizontal-relative:page;mso-position-vertical-relative:paragraph;z-index:-15693824;mso-wrap-distance-left:0;mso-wrap-distance-right:0" id="docshape240" filled="true" fillcolor="#000000" stroked="false">
                <v:fill type="solid"/>
                <w10:wrap type="topAndBottom"/>
              </v:rect>
            </w:pict>
          </mc:Fallback>
        </mc:AlternateContent>
      </w:r>
    </w:p>
    <w:p>
      <w:pPr>
        <w:spacing w:before="92"/>
        <w:ind w:left="568" w:right="987" w:firstLine="0"/>
        <w:jc w:val="both"/>
        <w:rPr>
          <w:sz w:val="16"/>
        </w:rPr>
      </w:pPr>
      <w:bookmarkStart w:name="_bookmark58" w:id="59"/>
      <w:bookmarkEnd w:id="59"/>
      <w:r>
        <w:rPr/>
      </w:r>
      <w:r>
        <w:rPr>
          <w:sz w:val="16"/>
          <w:vertAlign w:val="superscript"/>
        </w:rPr>
        <w:t>16</w:t>
      </w:r>
      <w:r>
        <w:rPr>
          <w:sz w:val="16"/>
          <w:vertAlign w:val="baseline"/>
        </w:rPr>
        <w:t> Oficio P-CEE-064-2026 de fecha 4 de mayo de 2026, recibido por la SGCAN el 5 de mayo de 2026, el Comité Empresarial Ecuatoriano – CEE, pp. 3 y 5.</w:t>
      </w:r>
    </w:p>
    <w:p>
      <w:pPr>
        <w:spacing w:before="0"/>
        <w:ind w:left="568" w:right="977" w:firstLine="0"/>
        <w:jc w:val="both"/>
        <w:rPr>
          <w:sz w:val="16"/>
        </w:rPr>
      </w:pPr>
      <w:bookmarkStart w:name="_bookmark59" w:id="60"/>
      <w:bookmarkEnd w:id="60"/>
      <w:r>
        <w:rPr/>
      </w:r>
      <w:r>
        <w:rPr>
          <w:sz w:val="16"/>
          <w:vertAlign w:val="superscript"/>
        </w:rPr>
        <w:t>17</w:t>
      </w:r>
      <w:r>
        <w:rPr>
          <w:sz w:val="16"/>
          <w:vertAlign w:val="baseline"/>
        </w:rPr>
        <w:t> República del Ecuador, Informe técnico-jurídico justificativo de la República del Ecuador dentro del expediente </w:t>
      </w:r>
      <w:r>
        <w:rPr>
          <w:rFonts w:ascii="Arial" w:hAnsi="Arial"/>
          <w:i/>
          <w:sz w:val="16"/>
          <w:vertAlign w:val="baseline"/>
        </w:rPr>
        <w:t>DGCOM/GRAV/001/2026</w:t>
      </w:r>
      <w:r>
        <w:rPr>
          <w:sz w:val="16"/>
          <w:vertAlign w:val="baseline"/>
        </w:rPr>
        <w:t>, en respuesta a la solicitud de calificación</w:t>
      </w:r>
      <w:r>
        <w:rPr>
          <w:spacing w:val="-1"/>
          <w:sz w:val="16"/>
          <w:vertAlign w:val="baseline"/>
        </w:rPr>
        <w:t> </w:t>
      </w:r>
      <w:r>
        <w:rPr>
          <w:sz w:val="16"/>
          <w:vertAlign w:val="baseline"/>
        </w:rPr>
        <w:t>de gravamen presentada por la República de Colombia de las Resoluciones Nro. SENAE-SENAE-2026-0006-RE y SENAE-SENAE-2026-0017-RE, y al requerimiento de información formulado por la Secretaría General de la Comunidad Andina., cit., pp. 4-23.</w:t>
      </w:r>
    </w:p>
    <w:p>
      <w:pPr>
        <w:spacing w:after="0"/>
        <w:jc w:val="both"/>
        <w:rPr>
          <w:sz w:val="16"/>
        </w:rPr>
        <w:sectPr>
          <w:headerReference w:type="default" r:id="rId47"/>
          <w:footerReference w:type="default" r:id="rId48"/>
          <w:pgSz w:w="11900" w:h="16850"/>
          <w:pgMar w:header="370" w:footer="651" w:top="1380" w:bottom="840" w:left="992" w:right="283"/>
        </w:sectPr>
      </w:pPr>
    </w:p>
    <w:p>
      <w:pPr>
        <w:pStyle w:val="BodyText"/>
        <w:spacing w:before="176"/>
      </w:pPr>
    </w:p>
    <w:p>
      <w:pPr>
        <w:spacing w:before="0"/>
        <w:ind w:left="-1" w:right="414" w:firstLine="0"/>
        <w:jc w:val="center"/>
        <w:rPr>
          <w:rFonts w:ascii="Arial" w:hAnsi="Arial"/>
          <w:b/>
          <w:sz w:val="22"/>
        </w:rPr>
      </w:pPr>
      <w:r>
        <w:rPr>
          <w:rFonts w:ascii="Arial" w:hAnsi="Arial"/>
          <w:b/>
          <w:sz w:val="22"/>
        </w:rPr>
        <w:t>Tabla</w:t>
      </w:r>
      <w:r>
        <w:rPr>
          <w:rFonts w:ascii="Arial" w:hAnsi="Arial"/>
          <w:b/>
          <w:spacing w:val="-2"/>
          <w:sz w:val="22"/>
        </w:rPr>
        <w:t> </w:t>
      </w:r>
      <w:r>
        <w:rPr>
          <w:rFonts w:ascii="Arial" w:hAnsi="Arial"/>
          <w:b/>
          <w:sz w:val="22"/>
        </w:rPr>
        <w:t>N°</w:t>
      </w:r>
      <w:r>
        <w:rPr>
          <w:rFonts w:ascii="Arial" w:hAnsi="Arial"/>
          <w:b/>
          <w:spacing w:val="-3"/>
          <w:sz w:val="22"/>
        </w:rPr>
        <w:t> </w:t>
      </w:r>
      <w:r>
        <w:rPr>
          <w:rFonts w:ascii="Arial" w:hAnsi="Arial"/>
          <w:b/>
          <w:spacing w:val="-10"/>
          <w:sz w:val="22"/>
        </w:rPr>
        <w:t>1</w:t>
      </w:r>
    </w:p>
    <w:p>
      <w:pPr>
        <w:pStyle w:val="Heading6"/>
        <w:spacing w:before="2"/>
        <w:ind w:left="1986" w:right="2396"/>
        <w:jc w:val="center"/>
      </w:pPr>
      <w:r>
        <w:rPr/>
        <w:t>Comparación</w:t>
      </w:r>
      <w:r>
        <w:rPr>
          <w:spacing w:val="-14"/>
        </w:rPr>
        <w:t> </w:t>
      </w:r>
      <w:r>
        <w:rPr/>
        <w:t>Resoluciones</w:t>
      </w:r>
      <w:r>
        <w:rPr>
          <w:spacing w:val="-9"/>
        </w:rPr>
        <w:t> </w:t>
      </w:r>
      <w:r>
        <w:rPr/>
        <w:t>SENAE-SENAE-2026-0006-RE</w:t>
      </w:r>
      <w:r>
        <w:rPr>
          <w:spacing w:val="-11"/>
        </w:rPr>
        <w:t> </w:t>
      </w:r>
      <w:r>
        <w:rPr/>
        <w:t>y </w:t>
      </w:r>
      <w:r>
        <w:rPr>
          <w:spacing w:val="-2"/>
        </w:rPr>
        <w:t>SENAE-SENAE-2026-0017</w:t>
      </w:r>
    </w:p>
    <w:p>
      <w:pPr>
        <w:pStyle w:val="BodyText"/>
        <w:spacing w:before="22"/>
        <w:rPr>
          <w:rFonts w:ascii="Arial"/>
          <w:b/>
          <w:sz w:val="20"/>
        </w:rPr>
      </w:pPr>
    </w:p>
    <w:tbl>
      <w:tblPr>
        <w:tblW w:w="0" w:type="auto"/>
        <w:jc w:val="left"/>
        <w:tblInd w:w="1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25"/>
        <w:gridCol w:w="3402"/>
        <w:gridCol w:w="2983"/>
      </w:tblGrid>
      <w:tr>
        <w:trPr>
          <w:trHeight w:val="460" w:hRule="atLeast"/>
        </w:trPr>
        <w:tc>
          <w:tcPr>
            <w:tcW w:w="2125" w:type="dxa"/>
          </w:tcPr>
          <w:p>
            <w:pPr>
              <w:pStyle w:val="TableParagraph"/>
              <w:spacing w:line="229" w:lineRule="exact"/>
              <w:ind w:left="664"/>
              <w:rPr>
                <w:rFonts w:ascii="Arial"/>
                <w:b/>
                <w:sz w:val="20"/>
              </w:rPr>
            </w:pPr>
            <w:r>
              <w:rPr>
                <w:rFonts w:ascii="Arial"/>
                <w:b/>
                <w:spacing w:val="-2"/>
                <w:sz w:val="20"/>
              </w:rPr>
              <w:t>Aspecto</w:t>
            </w:r>
          </w:p>
        </w:tc>
        <w:tc>
          <w:tcPr>
            <w:tcW w:w="3402" w:type="dxa"/>
          </w:tcPr>
          <w:p>
            <w:pPr>
              <w:pStyle w:val="TableParagraph"/>
              <w:spacing w:line="230" w:lineRule="exact"/>
              <w:ind w:left="1302" w:right="115" w:hanging="1184"/>
              <w:rPr>
                <w:rFonts w:ascii="Arial" w:hAnsi="Arial"/>
                <w:b/>
                <w:sz w:val="20"/>
              </w:rPr>
            </w:pPr>
            <w:r>
              <w:rPr>
                <w:rFonts w:ascii="Arial" w:hAnsi="Arial"/>
                <w:b/>
                <w:sz w:val="20"/>
              </w:rPr>
              <w:t>Resolución</w:t>
            </w:r>
            <w:r>
              <w:rPr>
                <w:rFonts w:ascii="Arial" w:hAnsi="Arial"/>
                <w:b/>
                <w:spacing w:val="-14"/>
                <w:sz w:val="20"/>
              </w:rPr>
              <w:t> </w:t>
            </w:r>
            <w:r>
              <w:rPr>
                <w:rFonts w:ascii="Arial" w:hAnsi="Arial"/>
                <w:b/>
                <w:sz w:val="20"/>
              </w:rPr>
              <w:t>SENAE-SENAE-2026-</w:t>
            </w:r>
            <w:r>
              <w:rPr>
                <w:rFonts w:ascii="Arial" w:hAnsi="Arial"/>
                <w:b/>
                <w:spacing w:val="-2"/>
                <w:sz w:val="20"/>
              </w:rPr>
              <w:t>0006-RE</w:t>
            </w:r>
          </w:p>
        </w:tc>
        <w:tc>
          <w:tcPr>
            <w:tcW w:w="2983" w:type="dxa"/>
          </w:tcPr>
          <w:p>
            <w:pPr>
              <w:pStyle w:val="TableParagraph"/>
              <w:spacing w:line="230" w:lineRule="exact"/>
              <w:ind w:left="839" w:right="159" w:hanging="673"/>
              <w:rPr>
                <w:rFonts w:ascii="Arial" w:hAnsi="Arial"/>
                <w:b/>
                <w:sz w:val="20"/>
              </w:rPr>
            </w:pPr>
            <w:r>
              <w:rPr>
                <w:rFonts w:ascii="Arial" w:hAnsi="Arial"/>
                <w:b/>
                <w:sz w:val="20"/>
              </w:rPr>
              <w:t>Resolución</w:t>
            </w:r>
            <w:r>
              <w:rPr>
                <w:rFonts w:ascii="Arial" w:hAnsi="Arial"/>
                <w:b/>
                <w:spacing w:val="-14"/>
                <w:sz w:val="20"/>
              </w:rPr>
              <w:t> </w:t>
            </w:r>
            <w:r>
              <w:rPr>
                <w:rFonts w:ascii="Arial" w:hAnsi="Arial"/>
                <w:b/>
                <w:sz w:val="20"/>
              </w:rPr>
              <w:t>SENAE-</w:t>
            </w:r>
            <w:r>
              <w:rPr>
                <w:rFonts w:ascii="Arial" w:hAnsi="Arial"/>
                <w:b/>
                <w:sz w:val="20"/>
              </w:rPr>
              <w:t>SENAE-</w:t>
            </w:r>
            <w:r>
              <w:rPr>
                <w:rFonts w:ascii="Arial" w:hAnsi="Arial"/>
                <w:b/>
                <w:spacing w:val="-2"/>
                <w:sz w:val="20"/>
              </w:rPr>
              <w:t>2026-0017-RE</w:t>
            </w:r>
          </w:p>
        </w:tc>
      </w:tr>
      <w:tr>
        <w:trPr>
          <w:trHeight w:val="230" w:hRule="atLeast"/>
        </w:trPr>
        <w:tc>
          <w:tcPr>
            <w:tcW w:w="2125" w:type="dxa"/>
          </w:tcPr>
          <w:p>
            <w:pPr>
              <w:pStyle w:val="TableParagraph"/>
              <w:spacing w:line="210" w:lineRule="exact"/>
              <w:ind w:left="107"/>
              <w:rPr>
                <w:rFonts w:ascii="Arial" w:hAnsi="Arial"/>
                <w:b/>
                <w:sz w:val="20"/>
              </w:rPr>
            </w:pPr>
            <w:r>
              <w:rPr>
                <w:rFonts w:ascii="Arial" w:hAnsi="Arial"/>
                <w:b/>
                <w:sz w:val="20"/>
              </w:rPr>
              <w:t>Fecha</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pacing w:val="-2"/>
                <w:sz w:val="20"/>
              </w:rPr>
              <w:t>emisión</w:t>
            </w:r>
          </w:p>
        </w:tc>
        <w:tc>
          <w:tcPr>
            <w:tcW w:w="3402" w:type="dxa"/>
          </w:tcPr>
          <w:p>
            <w:pPr>
              <w:pStyle w:val="TableParagraph"/>
              <w:spacing w:line="210" w:lineRule="exact"/>
              <w:ind w:left="105"/>
              <w:rPr>
                <w:sz w:val="20"/>
              </w:rPr>
            </w:pPr>
            <w:r>
              <w:rPr>
                <w:sz w:val="20"/>
              </w:rPr>
              <w:t>24</w:t>
            </w:r>
            <w:r>
              <w:rPr>
                <w:spacing w:val="-6"/>
                <w:sz w:val="20"/>
              </w:rPr>
              <w:t> </w:t>
            </w:r>
            <w:r>
              <w:rPr>
                <w:sz w:val="20"/>
              </w:rPr>
              <w:t>de</w:t>
            </w:r>
            <w:r>
              <w:rPr>
                <w:spacing w:val="-4"/>
                <w:sz w:val="20"/>
              </w:rPr>
              <w:t> </w:t>
            </w:r>
            <w:r>
              <w:rPr>
                <w:sz w:val="20"/>
              </w:rPr>
              <w:t>enero</w:t>
            </w:r>
            <w:r>
              <w:rPr>
                <w:spacing w:val="-4"/>
                <w:sz w:val="20"/>
              </w:rPr>
              <w:t> </w:t>
            </w:r>
            <w:r>
              <w:rPr>
                <w:sz w:val="20"/>
              </w:rPr>
              <w:t>de</w:t>
            </w:r>
            <w:r>
              <w:rPr>
                <w:spacing w:val="-4"/>
                <w:sz w:val="20"/>
              </w:rPr>
              <w:t> </w:t>
            </w:r>
            <w:r>
              <w:rPr>
                <w:spacing w:val="-2"/>
                <w:sz w:val="20"/>
              </w:rPr>
              <w:t>2026.</w:t>
            </w:r>
          </w:p>
        </w:tc>
        <w:tc>
          <w:tcPr>
            <w:tcW w:w="2983" w:type="dxa"/>
          </w:tcPr>
          <w:p>
            <w:pPr>
              <w:pStyle w:val="TableParagraph"/>
              <w:spacing w:line="210" w:lineRule="exact"/>
              <w:ind w:left="106"/>
              <w:rPr>
                <w:sz w:val="20"/>
              </w:rPr>
            </w:pPr>
            <w:r>
              <w:rPr>
                <w:sz w:val="20"/>
              </w:rPr>
              <w:t>28</w:t>
            </w:r>
            <w:r>
              <w:rPr>
                <w:spacing w:val="-5"/>
                <w:sz w:val="20"/>
              </w:rPr>
              <w:t> </w:t>
            </w:r>
            <w:r>
              <w:rPr>
                <w:sz w:val="20"/>
              </w:rPr>
              <w:t>de</w:t>
            </w:r>
            <w:r>
              <w:rPr>
                <w:spacing w:val="-4"/>
                <w:sz w:val="20"/>
              </w:rPr>
              <w:t> </w:t>
            </w:r>
            <w:r>
              <w:rPr>
                <w:sz w:val="20"/>
              </w:rPr>
              <w:t>febrero</w:t>
            </w:r>
            <w:r>
              <w:rPr>
                <w:spacing w:val="-4"/>
                <w:sz w:val="20"/>
              </w:rPr>
              <w:t> </w:t>
            </w:r>
            <w:r>
              <w:rPr>
                <w:sz w:val="20"/>
              </w:rPr>
              <w:t>de</w:t>
            </w:r>
            <w:r>
              <w:rPr>
                <w:spacing w:val="-5"/>
                <w:sz w:val="20"/>
              </w:rPr>
              <w:t> </w:t>
            </w:r>
            <w:r>
              <w:rPr>
                <w:spacing w:val="-4"/>
                <w:sz w:val="20"/>
              </w:rPr>
              <w:t>2026.</w:t>
            </w:r>
          </w:p>
        </w:tc>
      </w:tr>
      <w:tr>
        <w:trPr>
          <w:trHeight w:val="3218" w:hRule="atLeast"/>
        </w:trPr>
        <w:tc>
          <w:tcPr>
            <w:tcW w:w="2125" w:type="dxa"/>
          </w:tcPr>
          <w:p>
            <w:pPr>
              <w:pStyle w:val="TableParagraph"/>
              <w:spacing w:line="229" w:lineRule="exact"/>
              <w:ind w:left="107"/>
              <w:rPr>
                <w:rFonts w:ascii="Arial"/>
                <w:b/>
                <w:sz w:val="20"/>
              </w:rPr>
            </w:pPr>
            <w:r>
              <w:rPr>
                <w:rFonts w:ascii="Arial"/>
                <w:b/>
                <w:sz w:val="20"/>
              </w:rPr>
              <w:t>Parte</w:t>
            </w:r>
            <w:r>
              <w:rPr>
                <w:rFonts w:ascii="Arial"/>
                <w:b/>
                <w:spacing w:val="-10"/>
                <w:sz w:val="20"/>
              </w:rPr>
              <w:t> </w:t>
            </w:r>
            <w:r>
              <w:rPr>
                <w:rFonts w:ascii="Arial"/>
                <w:b/>
                <w:spacing w:val="-2"/>
                <w:sz w:val="20"/>
              </w:rPr>
              <w:t>Considerativa</w:t>
            </w:r>
          </w:p>
        </w:tc>
        <w:tc>
          <w:tcPr>
            <w:tcW w:w="3402" w:type="dxa"/>
          </w:tcPr>
          <w:p>
            <w:pPr>
              <w:pStyle w:val="TableParagraph"/>
              <w:ind w:left="105" w:right="101"/>
              <w:jc w:val="both"/>
              <w:rPr>
                <w:sz w:val="20"/>
              </w:rPr>
            </w:pPr>
            <w:r>
              <w:rPr>
                <w:rFonts w:ascii="Arial" w:hAnsi="Arial"/>
                <w:b/>
                <w:sz w:val="20"/>
              </w:rPr>
              <w:t>Sustenta</w:t>
            </w:r>
            <w:r>
              <w:rPr>
                <w:rFonts w:ascii="Arial" w:hAnsi="Arial"/>
                <w:b/>
                <w:spacing w:val="-11"/>
                <w:sz w:val="20"/>
              </w:rPr>
              <w:t> </w:t>
            </w:r>
            <w:r>
              <w:rPr>
                <w:sz w:val="20"/>
              </w:rPr>
              <w:t>la</w:t>
            </w:r>
            <w:r>
              <w:rPr>
                <w:spacing w:val="-12"/>
                <w:sz w:val="20"/>
              </w:rPr>
              <w:t> </w:t>
            </w:r>
            <w:r>
              <w:rPr>
                <w:sz w:val="20"/>
              </w:rPr>
              <w:t>medida</w:t>
            </w:r>
            <w:r>
              <w:rPr>
                <w:spacing w:val="-12"/>
                <w:sz w:val="20"/>
              </w:rPr>
              <w:t> </w:t>
            </w:r>
            <w:r>
              <w:rPr>
                <w:sz w:val="20"/>
              </w:rPr>
              <w:t>en</w:t>
            </w:r>
            <w:r>
              <w:rPr>
                <w:spacing w:val="-10"/>
                <w:sz w:val="20"/>
              </w:rPr>
              <w:t> </w:t>
            </w:r>
            <w:r>
              <w:rPr>
                <w:sz w:val="20"/>
              </w:rPr>
              <w:t>la</w:t>
            </w:r>
            <w:r>
              <w:rPr>
                <w:spacing w:val="-12"/>
                <w:sz w:val="20"/>
              </w:rPr>
              <w:t> </w:t>
            </w:r>
            <w:r>
              <w:rPr>
                <w:sz w:val="20"/>
              </w:rPr>
              <w:t>existencia de una supuesta omisión sistemática de controles de salida en la República de Colombia, que trasladaría a la República del Ecuador la carga operativa, el riesgo fiscal y los costos de inspección, por lo que considera necesario establecer una tasa de control aduanero como medida de seguridad</w:t>
            </w:r>
            <w:r>
              <w:rPr>
                <w:spacing w:val="-5"/>
                <w:sz w:val="20"/>
              </w:rPr>
              <w:t> </w:t>
            </w:r>
            <w:r>
              <w:rPr>
                <w:sz w:val="20"/>
              </w:rPr>
              <w:t>para</w:t>
            </w:r>
            <w:r>
              <w:rPr>
                <w:spacing w:val="-5"/>
                <w:sz w:val="20"/>
              </w:rPr>
              <w:t> </w:t>
            </w:r>
            <w:r>
              <w:rPr>
                <w:sz w:val="20"/>
              </w:rPr>
              <w:t>suplir</w:t>
            </w:r>
            <w:r>
              <w:rPr>
                <w:spacing w:val="-4"/>
                <w:sz w:val="20"/>
              </w:rPr>
              <w:t> </w:t>
            </w:r>
            <w:r>
              <w:rPr>
                <w:sz w:val="20"/>
              </w:rPr>
              <w:t>la</w:t>
            </w:r>
            <w:r>
              <w:rPr>
                <w:spacing w:val="-7"/>
                <w:sz w:val="20"/>
              </w:rPr>
              <w:t> </w:t>
            </w:r>
            <w:r>
              <w:rPr>
                <w:sz w:val="20"/>
              </w:rPr>
              <w:t>carencia</w:t>
            </w:r>
            <w:r>
              <w:rPr>
                <w:spacing w:val="-5"/>
                <w:sz w:val="20"/>
              </w:rPr>
              <w:t> </w:t>
            </w:r>
            <w:r>
              <w:rPr>
                <w:sz w:val="20"/>
              </w:rPr>
              <w:t>de fiscalización y proteger la recaudación</w:t>
            </w:r>
            <w:r>
              <w:rPr>
                <w:spacing w:val="-7"/>
                <w:sz w:val="20"/>
              </w:rPr>
              <w:t> </w:t>
            </w:r>
            <w:r>
              <w:rPr>
                <w:sz w:val="20"/>
              </w:rPr>
              <w:t>fiscal</w:t>
            </w:r>
            <w:r>
              <w:rPr>
                <w:spacing w:val="-7"/>
                <w:sz w:val="20"/>
              </w:rPr>
              <w:t> </w:t>
            </w:r>
            <w:r>
              <w:rPr>
                <w:sz w:val="20"/>
              </w:rPr>
              <w:t>y</w:t>
            </w:r>
            <w:r>
              <w:rPr>
                <w:spacing w:val="-5"/>
                <w:sz w:val="20"/>
              </w:rPr>
              <w:t> </w:t>
            </w:r>
            <w:r>
              <w:rPr>
                <w:sz w:val="20"/>
              </w:rPr>
              <w:t>la</w:t>
            </w:r>
            <w:r>
              <w:rPr>
                <w:spacing w:val="-6"/>
                <w:sz w:val="20"/>
              </w:rPr>
              <w:t> </w:t>
            </w:r>
            <w:r>
              <w:rPr>
                <w:sz w:val="20"/>
              </w:rPr>
              <w:t>seguridad</w:t>
            </w:r>
            <w:r>
              <w:rPr>
                <w:spacing w:val="-5"/>
                <w:sz w:val="20"/>
              </w:rPr>
              <w:t> de</w:t>
            </w:r>
          </w:p>
          <w:p>
            <w:pPr>
              <w:pStyle w:val="TableParagraph"/>
              <w:spacing w:line="209" w:lineRule="exact"/>
              <w:ind w:left="105"/>
              <w:jc w:val="both"/>
              <w:rPr>
                <w:sz w:val="20"/>
              </w:rPr>
            </w:pPr>
            <w:r>
              <w:rPr>
                <w:sz w:val="20"/>
              </w:rPr>
              <w:t>la</w:t>
            </w:r>
            <w:r>
              <w:rPr>
                <w:spacing w:val="-7"/>
                <w:sz w:val="20"/>
              </w:rPr>
              <w:t> </w:t>
            </w:r>
            <w:r>
              <w:rPr>
                <w:sz w:val="20"/>
              </w:rPr>
              <w:t>cadena</w:t>
            </w:r>
            <w:r>
              <w:rPr>
                <w:spacing w:val="-6"/>
                <w:sz w:val="20"/>
              </w:rPr>
              <w:t> </w:t>
            </w:r>
            <w:r>
              <w:rPr>
                <w:spacing w:val="-2"/>
                <w:sz w:val="20"/>
              </w:rPr>
              <w:t>logística.</w:t>
            </w:r>
          </w:p>
        </w:tc>
        <w:tc>
          <w:tcPr>
            <w:tcW w:w="2983" w:type="dxa"/>
          </w:tcPr>
          <w:p>
            <w:pPr>
              <w:pStyle w:val="TableParagraph"/>
              <w:tabs>
                <w:tab w:pos="1187" w:val="left" w:leader="none"/>
                <w:tab w:pos="1341" w:val="left" w:leader="none"/>
                <w:tab w:pos="1746" w:val="left" w:leader="none"/>
                <w:tab w:pos="1910" w:val="left" w:leader="none"/>
                <w:tab w:pos="2413" w:val="left" w:leader="none"/>
              </w:tabs>
              <w:ind w:left="106" w:right="101"/>
              <w:rPr>
                <w:sz w:val="20"/>
              </w:rPr>
            </w:pPr>
            <w:r>
              <w:rPr>
                <w:rFonts w:ascii="Arial" w:hAnsi="Arial"/>
                <w:b/>
                <w:spacing w:val="-2"/>
                <w:sz w:val="20"/>
              </w:rPr>
              <w:t>Reitera</w:t>
            </w:r>
            <w:r>
              <w:rPr>
                <w:rFonts w:ascii="Arial" w:hAnsi="Arial"/>
                <w:b/>
                <w:sz w:val="20"/>
              </w:rPr>
              <w:tab/>
            </w:r>
            <w:r>
              <w:rPr>
                <w:spacing w:val="-6"/>
                <w:sz w:val="20"/>
              </w:rPr>
              <w:t>la</w:t>
            </w:r>
            <w:r>
              <w:rPr>
                <w:sz w:val="20"/>
              </w:rPr>
              <w:tab/>
              <w:tab/>
            </w:r>
            <w:r>
              <w:rPr>
                <w:spacing w:val="-2"/>
                <w:sz w:val="20"/>
              </w:rPr>
              <w:t>sustentación formulada</w:t>
            </w:r>
            <w:r>
              <w:rPr>
                <w:sz w:val="20"/>
              </w:rPr>
              <w:tab/>
              <w:tab/>
            </w:r>
            <w:r>
              <w:rPr>
                <w:spacing w:val="-6"/>
                <w:sz w:val="20"/>
              </w:rPr>
              <w:t>en</w:t>
            </w:r>
            <w:r>
              <w:rPr>
                <w:sz w:val="20"/>
              </w:rPr>
              <w:tab/>
              <w:tab/>
            </w:r>
            <w:r>
              <w:rPr>
                <w:spacing w:val="-6"/>
                <w:sz w:val="20"/>
              </w:rPr>
              <w:t>la</w:t>
            </w:r>
            <w:r>
              <w:rPr>
                <w:sz w:val="20"/>
              </w:rPr>
              <w:tab/>
            </w:r>
            <w:r>
              <w:rPr>
                <w:spacing w:val="-2"/>
                <w:sz w:val="20"/>
              </w:rPr>
              <w:t>parte </w:t>
            </w:r>
            <w:r>
              <w:rPr>
                <w:sz w:val="20"/>
              </w:rPr>
              <w:t>considerativa de la Resolución </w:t>
            </w:r>
            <w:r>
              <w:rPr>
                <w:spacing w:val="-2"/>
                <w:sz w:val="20"/>
              </w:rPr>
              <w:t>SENAE-SENAE-2026-0006-</w:t>
            </w:r>
            <w:r>
              <w:rPr>
                <w:spacing w:val="-4"/>
                <w:sz w:val="20"/>
              </w:rPr>
              <w:t>RE.</w:t>
            </w:r>
          </w:p>
        </w:tc>
      </w:tr>
      <w:tr>
        <w:trPr>
          <w:trHeight w:val="1379" w:hRule="atLeast"/>
        </w:trPr>
        <w:tc>
          <w:tcPr>
            <w:tcW w:w="2125" w:type="dxa"/>
          </w:tcPr>
          <w:p>
            <w:pPr>
              <w:pStyle w:val="TableParagraph"/>
              <w:spacing w:line="229" w:lineRule="exact"/>
              <w:ind w:left="107"/>
              <w:rPr>
                <w:rFonts w:ascii="Arial"/>
                <w:b/>
                <w:sz w:val="20"/>
              </w:rPr>
            </w:pPr>
            <w:r>
              <w:rPr>
                <w:rFonts w:ascii="Arial"/>
                <w:b/>
                <w:spacing w:val="-2"/>
                <w:sz w:val="20"/>
              </w:rPr>
              <w:t>Objeto</w:t>
            </w:r>
          </w:p>
        </w:tc>
        <w:tc>
          <w:tcPr>
            <w:tcW w:w="3402" w:type="dxa"/>
          </w:tcPr>
          <w:p>
            <w:pPr>
              <w:pStyle w:val="TableParagraph"/>
              <w:ind w:left="105" w:right="102"/>
              <w:jc w:val="both"/>
              <w:rPr>
                <w:sz w:val="20"/>
              </w:rPr>
            </w:pPr>
            <w:r>
              <w:rPr>
                <w:rFonts w:ascii="Arial" w:hAnsi="Arial"/>
                <w:b/>
                <w:sz w:val="20"/>
              </w:rPr>
              <w:t>Establecer </w:t>
            </w:r>
            <w:r>
              <w:rPr>
                <w:sz w:val="20"/>
              </w:rPr>
              <w:t>una tasa por servicio aduanero por concepto de control aduanero a las mercancías que ingresen desde la República </w:t>
            </w:r>
            <w:r>
              <w:rPr>
                <w:spacing w:val="-2"/>
                <w:sz w:val="20"/>
              </w:rPr>
              <w:t>Colombia.</w:t>
            </w:r>
          </w:p>
        </w:tc>
        <w:tc>
          <w:tcPr>
            <w:tcW w:w="2983" w:type="dxa"/>
          </w:tcPr>
          <w:p>
            <w:pPr>
              <w:pStyle w:val="TableParagraph"/>
              <w:ind w:left="106" w:right="101"/>
              <w:jc w:val="both"/>
              <w:rPr>
                <w:sz w:val="20"/>
              </w:rPr>
            </w:pPr>
            <w:r>
              <w:rPr>
                <w:rFonts w:ascii="Arial" w:hAnsi="Arial"/>
                <w:b/>
                <w:sz w:val="20"/>
              </w:rPr>
              <w:t>Actualizar </w:t>
            </w:r>
            <w:r>
              <w:rPr>
                <w:sz w:val="20"/>
              </w:rPr>
              <w:t>la tasa por servicio aduanero por concepto de control aduanero a las mercancías</w:t>
            </w:r>
            <w:r>
              <w:rPr>
                <w:spacing w:val="69"/>
                <w:w w:val="150"/>
                <w:sz w:val="20"/>
              </w:rPr>
              <w:t>  </w:t>
            </w:r>
            <w:r>
              <w:rPr>
                <w:sz w:val="20"/>
              </w:rPr>
              <w:t>que</w:t>
            </w:r>
            <w:r>
              <w:rPr>
                <w:spacing w:val="70"/>
                <w:w w:val="150"/>
                <w:sz w:val="20"/>
              </w:rPr>
              <w:t>  </w:t>
            </w:r>
            <w:r>
              <w:rPr>
                <w:spacing w:val="-2"/>
                <w:sz w:val="20"/>
              </w:rPr>
              <w:t>ingresen</w:t>
            </w:r>
          </w:p>
          <w:p>
            <w:pPr>
              <w:pStyle w:val="TableParagraph"/>
              <w:spacing w:line="228" w:lineRule="exact"/>
              <w:ind w:left="106" w:right="103"/>
              <w:jc w:val="both"/>
              <w:rPr>
                <w:sz w:val="20"/>
              </w:rPr>
            </w:pPr>
            <w:r>
              <w:rPr>
                <w:sz w:val="20"/>
              </w:rPr>
              <w:t>desde la República de </w:t>
            </w:r>
            <w:r>
              <w:rPr>
                <w:spacing w:val="-2"/>
                <w:sz w:val="20"/>
              </w:rPr>
              <w:t>Colombia.</w:t>
            </w:r>
          </w:p>
        </w:tc>
      </w:tr>
      <w:tr>
        <w:trPr>
          <w:trHeight w:val="230" w:hRule="atLeast"/>
        </w:trPr>
        <w:tc>
          <w:tcPr>
            <w:tcW w:w="2125" w:type="dxa"/>
          </w:tcPr>
          <w:p>
            <w:pPr>
              <w:pStyle w:val="TableParagraph"/>
              <w:spacing w:line="210" w:lineRule="exact"/>
              <w:ind w:left="107"/>
              <w:rPr>
                <w:rFonts w:ascii="Arial"/>
                <w:b/>
                <w:sz w:val="20"/>
              </w:rPr>
            </w:pPr>
            <w:r>
              <w:rPr>
                <w:rFonts w:ascii="Arial"/>
                <w:b/>
                <w:spacing w:val="-2"/>
                <w:sz w:val="20"/>
              </w:rPr>
              <w:t>Vigencia</w:t>
            </w:r>
          </w:p>
        </w:tc>
        <w:tc>
          <w:tcPr>
            <w:tcW w:w="3402" w:type="dxa"/>
          </w:tcPr>
          <w:p>
            <w:pPr>
              <w:pStyle w:val="TableParagraph"/>
              <w:spacing w:line="210" w:lineRule="exact"/>
              <w:ind w:left="105"/>
              <w:rPr>
                <w:sz w:val="20"/>
              </w:rPr>
            </w:pPr>
            <w:r>
              <w:rPr>
                <w:sz w:val="20"/>
              </w:rPr>
              <w:t>Desde</w:t>
            </w:r>
            <w:r>
              <w:rPr>
                <w:spacing w:val="-7"/>
                <w:sz w:val="20"/>
              </w:rPr>
              <w:t> </w:t>
            </w:r>
            <w:r>
              <w:rPr>
                <w:sz w:val="20"/>
              </w:rPr>
              <w:t>el</w:t>
            </w:r>
            <w:r>
              <w:rPr>
                <w:spacing w:val="-6"/>
                <w:sz w:val="20"/>
              </w:rPr>
              <w:t> </w:t>
            </w:r>
            <w:r>
              <w:rPr>
                <w:sz w:val="20"/>
              </w:rPr>
              <w:t>1</w:t>
            </w:r>
            <w:r>
              <w:rPr>
                <w:spacing w:val="-3"/>
                <w:sz w:val="20"/>
              </w:rPr>
              <w:t> </w:t>
            </w:r>
            <w:r>
              <w:rPr>
                <w:sz w:val="20"/>
              </w:rPr>
              <w:t>de</w:t>
            </w:r>
            <w:r>
              <w:rPr>
                <w:spacing w:val="-5"/>
                <w:sz w:val="20"/>
              </w:rPr>
              <w:t> </w:t>
            </w:r>
            <w:r>
              <w:rPr>
                <w:sz w:val="20"/>
              </w:rPr>
              <w:t>febrero</w:t>
            </w:r>
            <w:r>
              <w:rPr>
                <w:spacing w:val="-2"/>
                <w:sz w:val="20"/>
              </w:rPr>
              <w:t> </w:t>
            </w:r>
            <w:r>
              <w:rPr>
                <w:sz w:val="20"/>
              </w:rPr>
              <w:t>de</w:t>
            </w:r>
            <w:r>
              <w:rPr>
                <w:spacing w:val="-4"/>
                <w:sz w:val="20"/>
              </w:rPr>
              <w:t> </w:t>
            </w:r>
            <w:r>
              <w:rPr>
                <w:spacing w:val="-2"/>
                <w:sz w:val="20"/>
              </w:rPr>
              <w:t>2026.</w:t>
            </w:r>
          </w:p>
        </w:tc>
        <w:tc>
          <w:tcPr>
            <w:tcW w:w="2983" w:type="dxa"/>
          </w:tcPr>
          <w:p>
            <w:pPr>
              <w:pStyle w:val="TableParagraph"/>
              <w:spacing w:line="210" w:lineRule="exact"/>
              <w:ind w:left="106"/>
              <w:rPr>
                <w:sz w:val="20"/>
              </w:rPr>
            </w:pPr>
            <w:r>
              <w:rPr>
                <w:sz w:val="20"/>
              </w:rPr>
              <w:t>Desde</w:t>
            </w:r>
            <w:r>
              <w:rPr>
                <w:spacing w:val="-6"/>
                <w:sz w:val="20"/>
              </w:rPr>
              <w:t> </w:t>
            </w:r>
            <w:r>
              <w:rPr>
                <w:sz w:val="20"/>
              </w:rPr>
              <w:t>el</w:t>
            </w:r>
            <w:r>
              <w:rPr>
                <w:spacing w:val="-5"/>
                <w:sz w:val="20"/>
              </w:rPr>
              <w:t> </w:t>
            </w:r>
            <w:r>
              <w:rPr>
                <w:sz w:val="20"/>
              </w:rPr>
              <w:t>1</w:t>
            </w:r>
            <w:r>
              <w:rPr>
                <w:spacing w:val="-2"/>
                <w:sz w:val="20"/>
              </w:rPr>
              <w:t> </w:t>
            </w:r>
            <w:r>
              <w:rPr>
                <w:sz w:val="20"/>
              </w:rPr>
              <w:t>de</w:t>
            </w:r>
            <w:r>
              <w:rPr>
                <w:spacing w:val="-3"/>
                <w:sz w:val="20"/>
              </w:rPr>
              <w:t> </w:t>
            </w:r>
            <w:r>
              <w:rPr>
                <w:sz w:val="20"/>
              </w:rPr>
              <w:t>marzo</w:t>
            </w:r>
            <w:r>
              <w:rPr>
                <w:spacing w:val="-5"/>
                <w:sz w:val="20"/>
              </w:rPr>
              <w:t> </w:t>
            </w:r>
            <w:r>
              <w:rPr>
                <w:sz w:val="20"/>
              </w:rPr>
              <w:t>de</w:t>
            </w:r>
            <w:r>
              <w:rPr>
                <w:spacing w:val="-4"/>
                <w:sz w:val="20"/>
              </w:rPr>
              <w:t> </w:t>
            </w:r>
            <w:r>
              <w:rPr>
                <w:spacing w:val="-2"/>
                <w:sz w:val="20"/>
              </w:rPr>
              <w:t>2026.</w:t>
            </w:r>
          </w:p>
        </w:tc>
      </w:tr>
      <w:tr>
        <w:trPr>
          <w:trHeight w:val="230" w:hRule="atLeast"/>
        </w:trPr>
        <w:tc>
          <w:tcPr>
            <w:tcW w:w="2125" w:type="dxa"/>
          </w:tcPr>
          <w:p>
            <w:pPr>
              <w:pStyle w:val="TableParagraph"/>
              <w:spacing w:line="210" w:lineRule="exact"/>
              <w:ind w:left="107"/>
              <w:rPr>
                <w:rFonts w:ascii="Arial"/>
                <w:b/>
                <w:sz w:val="20"/>
              </w:rPr>
            </w:pPr>
            <w:r>
              <w:rPr>
                <w:rFonts w:ascii="Arial"/>
                <w:b/>
                <w:spacing w:val="-2"/>
                <w:sz w:val="20"/>
              </w:rPr>
              <w:t>Tarifa</w:t>
            </w:r>
          </w:p>
        </w:tc>
        <w:tc>
          <w:tcPr>
            <w:tcW w:w="3402" w:type="dxa"/>
          </w:tcPr>
          <w:p>
            <w:pPr>
              <w:pStyle w:val="TableParagraph"/>
              <w:spacing w:line="210" w:lineRule="exact"/>
              <w:ind w:left="105"/>
              <w:rPr>
                <w:rFonts w:ascii="Arial"/>
                <w:b/>
                <w:sz w:val="20"/>
              </w:rPr>
            </w:pPr>
            <w:r>
              <w:rPr>
                <w:rFonts w:ascii="Arial"/>
                <w:b/>
                <w:sz w:val="20"/>
              </w:rPr>
              <w:t>30%</w:t>
            </w:r>
            <w:r>
              <w:rPr>
                <w:rFonts w:ascii="Arial"/>
                <w:b/>
                <w:spacing w:val="-9"/>
                <w:sz w:val="20"/>
              </w:rPr>
              <w:t> </w:t>
            </w:r>
            <w:r>
              <w:rPr>
                <w:rFonts w:ascii="Arial"/>
                <w:b/>
                <w:sz w:val="20"/>
              </w:rPr>
              <w:t>del</w:t>
            </w:r>
            <w:r>
              <w:rPr>
                <w:rFonts w:ascii="Arial"/>
                <w:b/>
                <w:spacing w:val="-1"/>
                <w:sz w:val="20"/>
              </w:rPr>
              <w:t> </w:t>
            </w:r>
            <w:r>
              <w:rPr>
                <w:rFonts w:ascii="Arial"/>
                <w:b/>
                <w:sz w:val="20"/>
              </w:rPr>
              <w:t>valor</w:t>
            </w:r>
            <w:r>
              <w:rPr>
                <w:rFonts w:ascii="Arial"/>
                <w:b/>
                <w:spacing w:val="-5"/>
                <w:sz w:val="20"/>
              </w:rPr>
              <w:t> </w:t>
            </w:r>
            <w:r>
              <w:rPr>
                <w:rFonts w:ascii="Arial"/>
                <w:b/>
                <w:sz w:val="20"/>
              </w:rPr>
              <w:t>en</w:t>
            </w:r>
            <w:r>
              <w:rPr>
                <w:rFonts w:ascii="Arial"/>
                <w:b/>
                <w:spacing w:val="-1"/>
                <w:sz w:val="20"/>
              </w:rPr>
              <w:t> </w:t>
            </w:r>
            <w:r>
              <w:rPr>
                <w:rFonts w:ascii="Arial"/>
                <w:b/>
                <w:spacing w:val="-2"/>
                <w:sz w:val="20"/>
              </w:rPr>
              <w:t>aduana.</w:t>
            </w:r>
          </w:p>
        </w:tc>
        <w:tc>
          <w:tcPr>
            <w:tcW w:w="2983" w:type="dxa"/>
          </w:tcPr>
          <w:p>
            <w:pPr>
              <w:pStyle w:val="TableParagraph"/>
              <w:spacing w:line="210" w:lineRule="exact"/>
              <w:ind w:left="106"/>
              <w:rPr>
                <w:rFonts w:ascii="Arial"/>
                <w:b/>
                <w:sz w:val="20"/>
              </w:rPr>
            </w:pPr>
            <w:r>
              <w:rPr>
                <w:rFonts w:ascii="Arial"/>
                <w:b/>
                <w:sz w:val="20"/>
              </w:rPr>
              <w:t>50%</w:t>
            </w:r>
            <w:r>
              <w:rPr>
                <w:rFonts w:ascii="Arial"/>
                <w:b/>
                <w:spacing w:val="-9"/>
                <w:sz w:val="20"/>
              </w:rPr>
              <w:t> </w:t>
            </w:r>
            <w:r>
              <w:rPr>
                <w:rFonts w:ascii="Arial"/>
                <w:b/>
                <w:sz w:val="20"/>
              </w:rPr>
              <w:t>del</w:t>
            </w:r>
            <w:r>
              <w:rPr>
                <w:rFonts w:ascii="Arial"/>
                <w:b/>
                <w:spacing w:val="-1"/>
                <w:sz w:val="20"/>
              </w:rPr>
              <w:t> </w:t>
            </w:r>
            <w:r>
              <w:rPr>
                <w:rFonts w:ascii="Arial"/>
                <w:b/>
                <w:sz w:val="20"/>
              </w:rPr>
              <w:t>valor</w:t>
            </w:r>
            <w:r>
              <w:rPr>
                <w:rFonts w:ascii="Arial"/>
                <w:b/>
                <w:spacing w:val="-5"/>
                <w:sz w:val="20"/>
              </w:rPr>
              <w:t> </w:t>
            </w:r>
            <w:r>
              <w:rPr>
                <w:rFonts w:ascii="Arial"/>
                <w:b/>
                <w:sz w:val="20"/>
              </w:rPr>
              <w:t>en</w:t>
            </w:r>
            <w:r>
              <w:rPr>
                <w:rFonts w:ascii="Arial"/>
                <w:b/>
                <w:spacing w:val="-1"/>
                <w:sz w:val="20"/>
              </w:rPr>
              <w:t> </w:t>
            </w:r>
            <w:r>
              <w:rPr>
                <w:rFonts w:ascii="Arial"/>
                <w:b/>
                <w:spacing w:val="-2"/>
                <w:sz w:val="20"/>
              </w:rPr>
              <w:t>aduana.</w:t>
            </w:r>
          </w:p>
        </w:tc>
      </w:tr>
      <w:tr>
        <w:trPr>
          <w:trHeight w:val="921" w:hRule="atLeast"/>
        </w:trPr>
        <w:tc>
          <w:tcPr>
            <w:tcW w:w="2125" w:type="dxa"/>
          </w:tcPr>
          <w:p>
            <w:pPr>
              <w:pStyle w:val="TableParagraph"/>
              <w:spacing w:line="229" w:lineRule="exact"/>
              <w:ind w:left="107"/>
              <w:rPr>
                <w:rFonts w:ascii="Arial" w:hAnsi="Arial"/>
                <w:b/>
                <w:sz w:val="20"/>
              </w:rPr>
            </w:pPr>
            <w:r>
              <w:rPr>
                <w:rFonts w:ascii="Arial" w:hAnsi="Arial"/>
                <w:b/>
                <w:sz w:val="20"/>
              </w:rPr>
              <w:t>Base</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pacing w:val="-2"/>
                <w:sz w:val="20"/>
              </w:rPr>
              <w:t>cálculo</w:t>
            </w:r>
          </w:p>
        </w:tc>
        <w:tc>
          <w:tcPr>
            <w:tcW w:w="3402" w:type="dxa"/>
          </w:tcPr>
          <w:p>
            <w:pPr>
              <w:pStyle w:val="TableParagraph"/>
              <w:ind w:left="105" w:right="99"/>
              <w:jc w:val="both"/>
              <w:rPr>
                <w:sz w:val="20"/>
              </w:rPr>
            </w:pPr>
            <w:r>
              <w:rPr>
                <w:sz w:val="20"/>
              </w:rPr>
              <w:t>Valor</w:t>
            </w:r>
            <w:r>
              <w:rPr>
                <w:spacing w:val="-1"/>
                <w:sz w:val="20"/>
              </w:rPr>
              <w:t> </w:t>
            </w:r>
            <w:r>
              <w:rPr>
                <w:sz w:val="20"/>
              </w:rPr>
              <w:t>en aduana de</w:t>
            </w:r>
            <w:r>
              <w:rPr>
                <w:spacing w:val="-1"/>
                <w:sz w:val="20"/>
              </w:rPr>
              <w:t> </w:t>
            </w:r>
            <w:r>
              <w:rPr>
                <w:sz w:val="20"/>
              </w:rPr>
              <w:t>las</w:t>
            </w:r>
            <w:r>
              <w:rPr>
                <w:spacing w:val="-1"/>
                <w:sz w:val="20"/>
              </w:rPr>
              <w:t> </w:t>
            </w:r>
            <w:r>
              <w:rPr>
                <w:sz w:val="20"/>
              </w:rPr>
              <w:t>mercancías provenientes u originarias de la República de Colombia.</w:t>
            </w:r>
          </w:p>
        </w:tc>
        <w:tc>
          <w:tcPr>
            <w:tcW w:w="2983" w:type="dxa"/>
          </w:tcPr>
          <w:p>
            <w:pPr>
              <w:pStyle w:val="TableParagraph"/>
              <w:spacing w:line="230" w:lineRule="exact"/>
              <w:ind w:left="106" w:right="99"/>
              <w:jc w:val="both"/>
              <w:rPr>
                <w:sz w:val="20"/>
              </w:rPr>
            </w:pPr>
            <w:r>
              <w:rPr>
                <w:sz w:val="20"/>
              </w:rPr>
              <w:t>Valor en aduana de las mercancías provenientes u originarias de la República de </w:t>
            </w:r>
            <w:r>
              <w:rPr>
                <w:spacing w:val="-2"/>
                <w:sz w:val="20"/>
              </w:rPr>
              <w:t>Colombia.</w:t>
            </w:r>
          </w:p>
        </w:tc>
      </w:tr>
      <w:tr>
        <w:trPr>
          <w:trHeight w:val="918" w:hRule="atLeast"/>
        </w:trPr>
        <w:tc>
          <w:tcPr>
            <w:tcW w:w="2125" w:type="dxa"/>
          </w:tcPr>
          <w:p>
            <w:pPr>
              <w:pStyle w:val="TableParagraph"/>
              <w:spacing w:line="229" w:lineRule="exact"/>
              <w:ind w:left="107"/>
              <w:rPr>
                <w:rFonts w:ascii="Arial" w:hAnsi="Arial"/>
                <w:b/>
                <w:sz w:val="20"/>
              </w:rPr>
            </w:pPr>
            <w:r>
              <w:rPr>
                <w:rFonts w:ascii="Arial" w:hAnsi="Arial"/>
                <w:b/>
                <w:sz w:val="20"/>
              </w:rPr>
              <w:t>Ámbito</w:t>
            </w:r>
            <w:r>
              <w:rPr>
                <w:rFonts w:ascii="Arial" w:hAnsi="Arial"/>
                <w:b/>
                <w:spacing w:val="-8"/>
                <w:sz w:val="20"/>
              </w:rPr>
              <w:t> </w:t>
            </w:r>
            <w:r>
              <w:rPr>
                <w:rFonts w:ascii="Arial" w:hAnsi="Arial"/>
                <w:b/>
                <w:spacing w:val="-2"/>
                <w:sz w:val="20"/>
              </w:rPr>
              <w:t>material</w:t>
            </w:r>
          </w:p>
        </w:tc>
        <w:tc>
          <w:tcPr>
            <w:tcW w:w="3402" w:type="dxa"/>
          </w:tcPr>
          <w:p>
            <w:pPr>
              <w:pStyle w:val="TableParagraph"/>
              <w:ind w:left="105"/>
              <w:rPr>
                <w:sz w:val="20"/>
              </w:rPr>
            </w:pPr>
            <w:r>
              <w:rPr>
                <w:sz w:val="20"/>
              </w:rPr>
              <w:t>Mercancías que provengan o sean originarias</w:t>
            </w:r>
            <w:r>
              <w:rPr>
                <w:spacing w:val="36"/>
                <w:sz w:val="20"/>
              </w:rPr>
              <w:t>  </w:t>
            </w:r>
            <w:r>
              <w:rPr>
                <w:sz w:val="20"/>
              </w:rPr>
              <w:t>de</w:t>
            </w:r>
            <w:r>
              <w:rPr>
                <w:spacing w:val="38"/>
                <w:sz w:val="20"/>
              </w:rPr>
              <w:t>  </w:t>
            </w:r>
            <w:r>
              <w:rPr>
                <w:sz w:val="20"/>
              </w:rPr>
              <w:t>la</w:t>
            </w:r>
            <w:r>
              <w:rPr>
                <w:spacing w:val="37"/>
                <w:sz w:val="20"/>
              </w:rPr>
              <w:t>  </w:t>
            </w:r>
            <w:r>
              <w:rPr>
                <w:sz w:val="20"/>
              </w:rPr>
              <w:t>República</w:t>
            </w:r>
            <w:r>
              <w:rPr>
                <w:spacing w:val="36"/>
                <w:sz w:val="20"/>
              </w:rPr>
              <w:t>  </w:t>
            </w:r>
            <w:r>
              <w:rPr>
                <w:spacing w:val="-5"/>
                <w:sz w:val="20"/>
              </w:rPr>
              <w:t>de</w:t>
            </w:r>
          </w:p>
          <w:p>
            <w:pPr>
              <w:pStyle w:val="TableParagraph"/>
              <w:spacing w:line="228" w:lineRule="exact"/>
              <w:ind w:left="105"/>
              <w:rPr>
                <w:sz w:val="20"/>
              </w:rPr>
            </w:pPr>
            <w:r>
              <w:rPr>
                <w:sz w:val="20"/>
              </w:rPr>
              <w:t>Colombia</w:t>
            </w:r>
            <w:r>
              <w:rPr>
                <w:spacing w:val="40"/>
                <w:sz w:val="20"/>
              </w:rPr>
              <w:t> </w:t>
            </w:r>
            <w:r>
              <w:rPr>
                <w:sz w:val="20"/>
              </w:rPr>
              <w:t>e</w:t>
            </w:r>
            <w:r>
              <w:rPr>
                <w:spacing w:val="40"/>
                <w:sz w:val="20"/>
              </w:rPr>
              <w:t> </w:t>
            </w:r>
            <w:r>
              <w:rPr>
                <w:sz w:val="20"/>
              </w:rPr>
              <w:t>ingresen</w:t>
            </w:r>
            <w:r>
              <w:rPr>
                <w:spacing w:val="40"/>
                <w:sz w:val="20"/>
              </w:rPr>
              <w:t> </w:t>
            </w:r>
            <w:r>
              <w:rPr>
                <w:sz w:val="20"/>
              </w:rPr>
              <w:t>al</w:t>
            </w:r>
            <w:r>
              <w:rPr>
                <w:spacing w:val="40"/>
                <w:sz w:val="20"/>
              </w:rPr>
              <w:t> </w:t>
            </w:r>
            <w:r>
              <w:rPr>
                <w:sz w:val="20"/>
              </w:rPr>
              <w:t>territorio aduanero ecuatoriano.</w:t>
            </w:r>
          </w:p>
        </w:tc>
        <w:tc>
          <w:tcPr>
            <w:tcW w:w="2983" w:type="dxa"/>
          </w:tcPr>
          <w:p>
            <w:pPr>
              <w:pStyle w:val="TableParagraph"/>
              <w:tabs>
                <w:tab w:pos="1031" w:val="left" w:leader="none"/>
                <w:tab w:pos="1433" w:val="left" w:leader="none"/>
                <w:tab w:pos="2268" w:val="left" w:leader="none"/>
              </w:tabs>
              <w:ind w:left="106" w:right="102"/>
              <w:rPr>
                <w:sz w:val="20"/>
              </w:rPr>
            </w:pPr>
            <w:r>
              <w:rPr>
                <w:rFonts w:ascii="Arial" w:hAnsi="Arial"/>
                <w:b/>
                <w:spacing w:val="-2"/>
                <w:sz w:val="20"/>
              </w:rPr>
              <w:t>Reitera</w:t>
            </w:r>
            <w:r>
              <w:rPr>
                <w:rFonts w:ascii="Arial" w:hAnsi="Arial"/>
                <w:b/>
                <w:sz w:val="20"/>
              </w:rPr>
              <w:tab/>
            </w:r>
            <w:r>
              <w:rPr>
                <w:spacing w:val="-6"/>
                <w:sz w:val="20"/>
              </w:rPr>
              <w:t>el</w:t>
            </w:r>
            <w:r>
              <w:rPr>
                <w:sz w:val="20"/>
              </w:rPr>
              <w:tab/>
            </w:r>
            <w:r>
              <w:rPr>
                <w:spacing w:val="-4"/>
                <w:sz w:val="20"/>
              </w:rPr>
              <w:t>mismo</w:t>
            </w:r>
            <w:r>
              <w:rPr>
                <w:sz w:val="20"/>
              </w:rPr>
              <w:tab/>
            </w:r>
            <w:r>
              <w:rPr>
                <w:spacing w:val="-2"/>
                <w:sz w:val="20"/>
              </w:rPr>
              <w:t>ámbito </w:t>
            </w:r>
            <w:r>
              <w:rPr>
                <w:sz w:val="20"/>
              </w:rPr>
              <w:t>material</w:t>
            </w:r>
            <w:r>
              <w:rPr>
                <w:spacing w:val="39"/>
                <w:sz w:val="20"/>
              </w:rPr>
              <w:t>  </w:t>
            </w:r>
            <w:r>
              <w:rPr>
                <w:sz w:val="20"/>
              </w:rPr>
              <w:t>de</w:t>
            </w:r>
            <w:r>
              <w:rPr>
                <w:spacing w:val="39"/>
                <w:sz w:val="20"/>
              </w:rPr>
              <w:t>  </w:t>
            </w:r>
            <w:r>
              <w:rPr>
                <w:sz w:val="20"/>
              </w:rPr>
              <w:t>las</w:t>
            </w:r>
            <w:r>
              <w:rPr>
                <w:spacing w:val="39"/>
                <w:sz w:val="20"/>
              </w:rPr>
              <w:t>  </w:t>
            </w:r>
            <w:r>
              <w:rPr>
                <w:spacing w:val="-2"/>
                <w:sz w:val="20"/>
              </w:rPr>
              <w:t>Resolución</w:t>
            </w:r>
          </w:p>
          <w:p>
            <w:pPr>
              <w:pStyle w:val="TableParagraph"/>
              <w:spacing w:line="228" w:lineRule="exact"/>
              <w:ind w:left="106" w:right="159"/>
              <w:rPr>
                <w:sz w:val="20"/>
              </w:rPr>
            </w:pPr>
            <w:r>
              <w:rPr>
                <w:spacing w:val="-2"/>
                <w:sz w:val="20"/>
              </w:rPr>
              <w:t>SENAE-SENAE-2026-0006-</w:t>
            </w:r>
            <w:r>
              <w:rPr>
                <w:spacing w:val="-4"/>
                <w:sz w:val="20"/>
              </w:rPr>
              <w:t>RE.</w:t>
            </w:r>
          </w:p>
        </w:tc>
      </w:tr>
      <w:tr>
        <w:trPr>
          <w:trHeight w:val="690" w:hRule="atLeast"/>
        </w:trPr>
        <w:tc>
          <w:tcPr>
            <w:tcW w:w="2125" w:type="dxa"/>
          </w:tcPr>
          <w:p>
            <w:pPr>
              <w:pStyle w:val="TableParagraph"/>
              <w:spacing w:line="229" w:lineRule="exact"/>
              <w:ind w:left="107"/>
              <w:rPr>
                <w:rFonts w:ascii="Arial" w:hAnsi="Arial"/>
                <w:b/>
                <w:sz w:val="20"/>
              </w:rPr>
            </w:pPr>
            <w:r>
              <w:rPr>
                <w:rFonts w:ascii="Arial" w:hAnsi="Arial"/>
                <w:b/>
                <w:sz w:val="20"/>
              </w:rPr>
              <w:t>Régimen</w:t>
            </w:r>
            <w:r>
              <w:rPr>
                <w:rFonts w:ascii="Arial" w:hAnsi="Arial"/>
                <w:b/>
                <w:spacing w:val="-14"/>
                <w:sz w:val="20"/>
              </w:rPr>
              <w:t> </w:t>
            </w:r>
            <w:r>
              <w:rPr>
                <w:rFonts w:ascii="Arial" w:hAnsi="Arial"/>
                <w:b/>
                <w:spacing w:val="-2"/>
                <w:sz w:val="20"/>
              </w:rPr>
              <w:t>aplicable</w:t>
            </w:r>
          </w:p>
        </w:tc>
        <w:tc>
          <w:tcPr>
            <w:tcW w:w="3402" w:type="dxa"/>
          </w:tcPr>
          <w:p>
            <w:pPr>
              <w:pStyle w:val="TableParagraph"/>
              <w:tabs>
                <w:tab w:pos="1416" w:val="left" w:leader="none"/>
                <w:tab w:pos="2531" w:val="left" w:leader="none"/>
                <w:tab w:pos="2845" w:val="left" w:leader="none"/>
              </w:tabs>
              <w:ind w:left="105" w:right="101"/>
              <w:rPr>
                <w:sz w:val="20"/>
              </w:rPr>
            </w:pPr>
            <w:r>
              <w:rPr>
                <w:spacing w:val="-2"/>
                <w:sz w:val="20"/>
              </w:rPr>
              <w:t>Importación,</w:t>
            </w:r>
            <w:r>
              <w:rPr>
                <w:sz w:val="20"/>
              </w:rPr>
              <w:tab/>
            </w:r>
            <w:r>
              <w:rPr>
                <w:spacing w:val="-2"/>
                <w:sz w:val="20"/>
              </w:rPr>
              <w:t>excepción</w:t>
            </w:r>
            <w:r>
              <w:rPr>
                <w:sz w:val="20"/>
              </w:rPr>
              <w:tab/>
            </w:r>
            <w:r>
              <w:rPr>
                <w:spacing w:val="-10"/>
                <w:sz w:val="20"/>
              </w:rPr>
              <w:t>y</w:t>
            </w:r>
            <w:r>
              <w:rPr>
                <w:sz w:val="20"/>
              </w:rPr>
              <w:tab/>
            </w:r>
            <w:r>
              <w:rPr>
                <w:spacing w:val="-2"/>
                <w:sz w:val="20"/>
              </w:rPr>
              <w:t>otros </w:t>
            </w:r>
            <w:r>
              <w:rPr>
                <w:sz w:val="20"/>
              </w:rPr>
              <w:t>regímenes aduaneros previstos.</w:t>
            </w:r>
          </w:p>
        </w:tc>
        <w:tc>
          <w:tcPr>
            <w:tcW w:w="2983" w:type="dxa"/>
          </w:tcPr>
          <w:p>
            <w:pPr>
              <w:pStyle w:val="TableParagraph"/>
              <w:spacing w:line="230" w:lineRule="exact"/>
              <w:ind w:left="106" w:right="100"/>
              <w:jc w:val="both"/>
              <w:rPr>
                <w:sz w:val="20"/>
              </w:rPr>
            </w:pPr>
            <w:r>
              <w:rPr>
                <w:rFonts w:ascii="Arial" w:hAnsi="Arial"/>
                <w:b/>
                <w:sz w:val="20"/>
              </w:rPr>
              <w:t>Mantiene </w:t>
            </w:r>
            <w:r>
              <w:rPr>
                <w:sz w:val="20"/>
              </w:rPr>
              <w:t>el régimen aplicable de la Resolución SENAE-</w:t>
            </w:r>
            <w:r>
              <w:rPr>
                <w:spacing w:val="-2"/>
                <w:sz w:val="20"/>
              </w:rPr>
              <w:t>SENAE-2026-0006-RE.</w:t>
            </w:r>
          </w:p>
        </w:tc>
      </w:tr>
      <w:tr>
        <w:trPr>
          <w:trHeight w:val="460" w:hRule="atLeast"/>
        </w:trPr>
        <w:tc>
          <w:tcPr>
            <w:tcW w:w="2125" w:type="dxa"/>
          </w:tcPr>
          <w:p>
            <w:pPr>
              <w:pStyle w:val="TableParagraph"/>
              <w:spacing w:line="230" w:lineRule="exact"/>
              <w:ind w:left="107" w:right="10"/>
              <w:rPr>
                <w:rFonts w:ascii="Arial"/>
                <w:b/>
                <w:sz w:val="20"/>
              </w:rPr>
            </w:pPr>
            <w:r>
              <w:rPr>
                <w:rFonts w:ascii="Arial"/>
                <w:b/>
                <w:sz w:val="20"/>
              </w:rPr>
              <w:t>Efecto</w:t>
            </w:r>
            <w:r>
              <w:rPr>
                <w:rFonts w:ascii="Arial"/>
                <w:b/>
                <w:spacing w:val="-14"/>
                <w:sz w:val="20"/>
              </w:rPr>
              <w:t> </w:t>
            </w:r>
            <w:r>
              <w:rPr>
                <w:rFonts w:ascii="Arial"/>
                <w:b/>
                <w:sz w:val="20"/>
              </w:rPr>
              <w:t>sobre</w:t>
            </w:r>
            <w:r>
              <w:rPr>
                <w:rFonts w:ascii="Arial"/>
                <w:b/>
                <w:spacing w:val="-14"/>
                <w:sz w:val="20"/>
              </w:rPr>
              <w:t> </w:t>
            </w:r>
            <w:r>
              <w:rPr>
                <w:rFonts w:ascii="Arial"/>
                <w:b/>
                <w:sz w:val="20"/>
              </w:rPr>
              <w:t>la norma</w:t>
            </w:r>
            <w:r>
              <w:rPr>
                <w:rFonts w:ascii="Arial"/>
                <w:b/>
                <w:spacing w:val="-10"/>
                <w:sz w:val="20"/>
              </w:rPr>
              <w:t> </w:t>
            </w:r>
            <w:r>
              <w:rPr>
                <w:rFonts w:ascii="Arial"/>
                <w:b/>
                <w:spacing w:val="-2"/>
                <w:sz w:val="20"/>
              </w:rPr>
              <w:t>anterior</w:t>
            </w:r>
          </w:p>
        </w:tc>
        <w:tc>
          <w:tcPr>
            <w:tcW w:w="3402" w:type="dxa"/>
          </w:tcPr>
          <w:p>
            <w:pPr>
              <w:pStyle w:val="TableParagraph"/>
              <w:rPr>
                <w:rFonts w:ascii="Times New Roman"/>
                <w:sz w:val="20"/>
              </w:rPr>
            </w:pPr>
          </w:p>
        </w:tc>
        <w:tc>
          <w:tcPr>
            <w:tcW w:w="2983" w:type="dxa"/>
          </w:tcPr>
          <w:p>
            <w:pPr>
              <w:pStyle w:val="TableParagraph"/>
              <w:tabs>
                <w:tab w:pos="1398" w:val="left" w:leader="none"/>
                <w:tab w:pos="1947" w:val="left" w:leader="none"/>
              </w:tabs>
              <w:spacing w:line="230" w:lineRule="exact"/>
              <w:ind w:left="106" w:right="102"/>
              <w:rPr>
                <w:sz w:val="20"/>
              </w:rPr>
            </w:pPr>
            <w:r>
              <w:rPr>
                <w:rFonts w:ascii="Arial" w:hAnsi="Arial"/>
                <w:b/>
                <w:spacing w:val="-2"/>
                <w:sz w:val="20"/>
              </w:rPr>
              <w:t>Sustituye</w:t>
            </w:r>
            <w:r>
              <w:rPr>
                <w:rFonts w:ascii="Arial" w:hAnsi="Arial"/>
                <w:b/>
                <w:sz w:val="20"/>
              </w:rPr>
              <w:tab/>
            </w:r>
            <w:r>
              <w:rPr>
                <w:spacing w:val="-6"/>
                <w:sz w:val="20"/>
              </w:rPr>
              <w:t>la</w:t>
            </w:r>
            <w:r>
              <w:rPr>
                <w:sz w:val="20"/>
              </w:rPr>
              <w:tab/>
            </w:r>
            <w:r>
              <w:rPr>
                <w:spacing w:val="-2"/>
                <w:sz w:val="20"/>
              </w:rPr>
              <w:t>regulación </w:t>
            </w:r>
            <w:r>
              <w:rPr>
                <w:sz w:val="20"/>
              </w:rPr>
              <w:t>anterior y actualiza la tarifa.</w:t>
            </w:r>
          </w:p>
        </w:tc>
      </w:tr>
    </w:tbl>
    <w:p>
      <w:pPr>
        <w:spacing w:before="4"/>
        <w:ind w:left="1276" w:right="6616" w:firstLine="0"/>
        <w:jc w:val="left"/>
        <w:rPr>
          <w:sz w:val="18"/>
        </w:rPr>
      </w:pPr>
      <w:r>
        <w:rPr>
          <w:sz w:val="18"/>
        </w:rPr>
        <w:t>Fuente:</w:t>
      </w:r>
      <w:r>
        <w:rPr>
          <w:spacing w:val="-15"/>
          <w:sz w:val="18"/>
        </w:rPr>
        <w:t> </w:t>
      </w:r>
      <w:r>
        <w:rPr>
          <w:sz w:val="18"/>
        </w:rPr>
        <w:t>Resoluciones</w:t>
      </w:r>
      <w:r>
        <w:rPr>
          <w:spacing w:val="-12"/>
          <w:sz w:val="18"/>
        </w:rPr>
        <w:t> </w:t>
      </w:r>
      <w:r>
        <w:rPr>
          <w:sz w:val="18"/>
        </w:rPr>
        <w:t>SENAE. Elaboración: SGCAN.</w:t>
      </w:r>
    </w:p>
    <w:p>
      <w:pPr>
        <w:pStyle w:val="BodyText"/>
        <w:spacing w:before="46"/>
        <w:rPr>
          <w:sz w:val="18"/>
        </w:rPr>
      </w:pPr>
    </w:p>
    <w:p>
      <w:pPr>
        <w:pStyle w:val="ListParagraph"/>
        <w:numPr>
          <w:ilvl w:val="0"/>
          <w:numId w:val="11"/>
        </w:numPr>
        <w:tabs>
          <w:tab w:pos="1130" w:val="left" w:leader="none"/>
          <w:tab w:pos="1134" w:val="left" w:leader="none"/>
        </w:tabs>
        <w:spacing w:line="240" w:lineRule="auto" w:before="1" w:after="0"/>
        <w:ind w:left="1134" w:right="977" w:hanging="567"/>
        <w:jc w:val="both"/>
        <w:rPr>
          <w:sz w:val="22"/>
        </w:rPr>
      </w:pPr>
      <w:r>
        <w:rPr>
          <w:sz w:val="22"/>
        </w:rPr>
        <w:t>Conforme a la Tabla N° 1, Comparación Resoluciones SENAE-SENAE-2026-0006-RE y SENAE-SENAE-2026-0017, se evidencia una continuidad sustancial en el diseño normativo</w:t>
      </w:r>
      <w:r>
        <w:rPr>
          <w:spacing w:val="-7"/>
          <w:sz w:val="22"/>
        </w:rPr>
        <w:t> </w:t>
      </w:r>
      <w:r>
        <w:rPr>
          <w:sz w:val="22"/>
        </w:rPr>
        <w:t>de</w:t>
      </w:r>
      <w:r>
        <w:rPr>
          <w:spacing w:val="-7"/>
          <w:sz w:val="22"/>
        </w:rPr>
        <w:t> </w:t>
      </w:r>
      <w:r>
        <w:rPr>
          <w:sz w:val="22"/>
        </w:rPr>
        <w:t>la</w:t>
      </w:r>
      <w:r>
        <w:rPr>
          <w:spacing w:val="-7"/>
          <w:sz w:val="22"/>
        </w:rPr>
        <w:t> </w:t>
      </w:r>
      <w:r>
        <w:rPr>
          <w:sz w:val="22"/>
        </w:rPr>
        <w:t>medida,</w:t>
      </w:r>
      <w:r>
        <w:rPr>
          <w:spacing w:val="-7"/>
          <w:sz w:val="22"/>
        </w:rPr>
        <w:t> </w:t>
      </w:r>
      <w:r>
        <w:rPr>
          <w:sz w:val="22"/>
        </w:rPr>
        <w:t>pues</w:t>
      </w:r>
      <w:r>
        <w:rPr>
          <w:spacing w:val="-5"/>
          <w:sz w:val="22"/>
        </w:rPr>
        <w:t> </w:t>
      </w:r>
      <w:r>
        <w:rPr>
          <w:sz w:val="22"/>
        </w:rPr>
        <w:t>ambas</w:t>
      </w:r>
      <w:r>
        <w:rPr>
          <w:spacing w:val="-7"/>
          <w:sz w:val="22"/>
        </w:rPr>
        <w:t> </w:t>
      </w:r>
      <w:r>
        <w:rPr>
          <w:sz w:val="22"/>
        </w:rPr>
        <w:t>conservan</w:t>
      </w:r>
      <w:r>
        <w:rPr>
          <w:spacing w:val="-7"/>
          <w:sz w:val="22"/>
        </w:rPr>
        <w:t> </w:t>
      </w:r>
      <w:r>
        <w:rPr>
          <w:sz w:val="22"/>
        </w:rPr>
        <w:t>la</w:t>
      </w:r>
      <w:r>
        <w:rPr>
          <w:spacing w:val="-7"/>
          <w:sz w:val="22"/>
        </w:rPr>
        <w:t> </w:t>
      </w:r>
      <w:r>
        <w:rPr>
          <w:sz w:val="22"/>
        </w:rPr>
        <w:t>misma</w:t>
      </w:r>
      <w:r>
        <w:rPr>
          <w:spacing w:val="-7"/>
          <w:sz w:val="22"/>
        </w:rPr>
        <w:t> </w:t>
      </w:r>
      <w:r>
        <w:rPr>
          <w:sz w:val="22"/>
        </w:rPr>
        <w:t>parte</w:t>
      </w:r>
      <w:r>
        <w:rPr>
          <w:spacing w:val="-7"/>
          <w:sz w:val="22"/>
        </w:rPr>
        <w:t> </w:t>
      </w:r>
      <w:r>
        <w:rPr>
          <w:sz w:val="22"/>
        </w:rPr>
        <w:t>considerativa,</w:t>
      </w:r>
      <w:r>
        <w:rPr>
          <w:spacing w:val="-6"/>
          <w:sz w:val="22"/>
        </w:rPr>
        <w:t> </w:t>
      </w:r>
      <w:r>
        <w:rPr>
          <w:sz w:val="22"/>
        </w:rPr>
        <w:t>el</w:t>
      </w:r>
      <w:r>
        <w:rPr>
          <w:spacing w:val="-7"/>
          <w:sz w:val="22"/>
        </w:rPr>
        <w:t> </w:t>
      </w:r>
      <w:r>
        <w:rPr>
          <w:sz w:val="22"/>
        </w:rPr>
        <w:t>mismo objeto regulatorio, la misma base de cálculo </w:t>
      </w:r>
      <w:r>
        <w:rPr>
          <w:rFonts w:ascii="Arial" w:hAnsi="Arial"/>
          <w:i/>
          <w:sz w:val="22"/>
        </w:rPr>
        <w:t>ad valorem</w:t>
      </w:r>
      <w:r>
        <w:rPr>
          <w:sz w:val="22"/>
        </w:rPr>
        <w:t>, el mismo ámbito subjetivo y material de aplicación —mercancías provenientes u originarias de la República de Colombia— y la misma justificación declarada asociada al control aduanero y a la seguridad</w:t>
      </w:r>
      <w:r>
        <w:rPr>
          <w:spacing w:val="-16"/>
          <w:sz w:val="22"/>
        </w:rPr>
        <w:t> </w:t>
      </w:r>
      <w:r>
        <w:rPr>
          <w:sz w:val="22"/>
        </w:rPr>
        <w:t>en</w:t>
      </w:r>
      <w:r>
        <w:rPr>
          <w:spacing w:val="-15"/>
          <w:sz w:val="22"/>
        </w:rPr>
        <w:t> </w:t>
      </w:r>
      <w:r>
        <w:rPr>
          <w:sz w:val="22"/>
        </w:rPr>
        <w:t>frontera.</w:t>
      </w:r>
      <w:r>
        <w:rPr>
          <w:spacing w:val="-15"/>
          <w:sz w:val="22"/>
        </w:rPr>
        <w:t> </w:t>
      </w:r>
      <w:r>
        <w:rPr>
          <w:sz w:val="22"/>
        </w:rPr>
        <w:t>En</w:t>
      </w:r>
      <w:r>
        <w:rPr>
          <w:spacing w:val="-16"/>
          <w:sz w:val="22"/>
        </w:rPr>
        <w:t> </w:t>
      </w:r>
      <w:r>
        <w:rPr>
          <w:sz w:val="22"/>
        </w:rPr>
        <w:t>ese</w:t>
      </w:r>
      <w:r>
        <w:rPr>
          <w:spacing w:val="-15"/>
          <w:sz w:val="22"/>
        </w:rPr>
        <w:t> </w:t>
      </w:r>
      <w:r>
        <w:rPr>
          <w:sz w:val="22"/>
        </w:rPr>
        <w:t>sentido,</w:t>
      </w:r>
      <w:r>
        <w:rPr>
          <w:spacing w:val="-15"/>
          <w:sz w:val="22"/>
        </w:rPr>
        <w:t> </w:t>
      </w:r>
      <w:r>
        <w:rPr>
          <w:sz w:val="22"/>
        </w:rPr>
        <w:t>la</w:t>
      </w:r>
      <w:r>
        <w:rPr>
          <w:spacing w:val="-14"/>
          <w:sz w:val="22"/>
        </w:rPr>
        <w:t> </w:t>
      </w:r>
      <w:r>
        <w:rPr>
          <w:sz w:val="22"/>
        </w:rPr>
        <w:t>Resolución</w:t>
      </w:r>
      <w:r>
        <w:rPr>
          <w:spacing w:val="-15"/>
          <w:sz w:val="22"/>
        </w:rPr>
        <w:t> </w:t>
      </w:r>
      <w:r>
        <w:rPr>
          <w:sz w:val="22"/>
        </w:rPr>
        <w:t>SENAE-SENAE-2026-0017-RE,</w:t>
      </w:r>
      <w:r>
        <w:rPr>
          <w:spacing w:val="-15"/>
          <w:sz w:val="22"/>
        </w:rPr>
        <w:t> </w:t>
      </w:r>
      <w:r>
        <w:rPr>
          <w:sz w:val="22"/>
        </w:rPr>
        <w:t>no introduce</w:t>
      </w:r>
      <w:r>
        <w:rPr>
          <w:spacing w:val="-3"/>
          <w:sz w:val="22"/>
        </w:rPr>
        <w:t> </w:t>
      </w:r>
      <w:r>
        <w:rPr>
          <w:sz w:val="22"/>
        </w:rPr>
        <w:t>una</w:t>
      </w:r>
      <w:r>
        <w:rPr>
          <w:spacing w:val="-5"/>
          <w:sz w:val="22"/>
        </w:rPr>
        <w:t> </w:t>
      </w:r>
      <w:r>
        <w:rPr>
          <w:sz w:val="22"/>
        </w:rPr>
        <w:t>modificación</w:t>
      </w:r>
      <w:r>
        <w:rPr>
          <w:spacing w:val="-3"/>
          <w:sz w:val="22"/>
        </w:rPr>
        <w:t> </w:t>
      </w:r>
      <w:r>
        <w:rPr>
          <w:sz w:val="22"/>
        </w:rPr>
        <w:t>estructural,</w:t>
      </w:r>
      <w:r>
        <w:rPr>
          <w:spacing w:val="-1"/>
          <w:sz w:val="22"/>
        </w:rPr>
        <w:t> </w:t>
      </w:r>
      <w:r>
        <w:rPr>
          <w:sz w:val="22"/>
        </w:rPr>
        <w:t>sino</w:t>
      </w:r>
      <w:r>
        <w:rPr>
          <w:spacing w:val="-3"/>
          <w:sz w:val="22"/>
        </w:rPr>
        <w:t> </w:t>
      </w:r>
      <w:r>
        <w:rPr>
          <w:sz w:val="22"/>
        </w:rPr>
        <w:t>que</w:t>
      </w:r>
      <w:r>
        <w:rPr>
          <w:spacing w:val="-7"/>
          <w:sz w:val="22"/>
        </w:rPr>
        <w:t> </w:t>
      </w:r>
      <w:r>
        <w:rPr>
          <w:sz w:val="22"/>
        </w:rPr>
        <w:t>opera</w:t>
      </w:r>
      <w:r>
        <w:rPr>
          <w:spacing w:val="-2"/>
          <w:sz w:val="22"/>
        </w:rPr>
        <w:t> </w:t>
      </w:r>
      <w:r>
        <w:rPr>
          <w:sz w:val="22"/>
        </w:rPr>
        <w:t>como</w:t>
      </w:r>
      <w:r>
        <w:rPr>
          <w:spacing w:val="-3"/>
          <w:sz w:val="22"/>
        </w:rPr>
        <w:t> </w:t>
      </w:r>
      <w:r>
        <w:rPr>
          <w:sz w:val="22"/>
        </w:rPr>
        <w:t>su</w:t>
      </w:r>
      <w:r>
        <w:rPr>
          <w:spacing w:val="-4"/>
          <w:sz w:val="22"/>
        </w:rPr>
        <w:t> </w:t>
      </w:r>
      <w:r>
        <w:rPr>
          <w:sz w:val="22"/>
        </w:rPr>
        <w:t>continuación</w:t>
      </w:r>
      <w:r>
        <w:rPr>
          <w:spacing w:val="-3"/>
          <w:sz w:val="22"/>
        </w:rPr>
        <w:t> </w:t>
      </w:r>
      <w:r>
        <w:rPr>
          <w:sz w:val="22"/>
        </w:rPr>
        <w:t>normativa agravada, al mantener intactos los elementos esenciales de la medida y elevar únicamente la tarifa aplicable del 30% al 50% del valor en aduana.</w:t>
      </w:r>
    </w:p>
    <w:p>
      <w:pPr>
        <w:pStyle w:val="ListParagraph"/>
        <w:numPr>
          <w:ilvl w:val="0"/>
          <w:numId w:val="11"/>
        </w:numPr>
        <w:tabs>
          <w:tab w:pos="1130" w:val="left" w:leader="none"/>
          <w:tab w:pos="1134" w:val="left" w:leader="none"/>
        </w:tabs>
        <w:spacing w:line="240" w:lineRule="auto" w:before="252" w:after="0"/>
        <w:ind w:left="1134" w:right="977" w:hanging="567"/>
        <w:jc w:val="both"/>
        <w:rPr>
          <w:sz w:val="22"/>
        </w:rPr>
      </w:pPr>
      <w:r>
        <w:rPr>
          <w:sz w:val="22"/>
        </w:rPr>
        <w:t>Desde una perspectiva técnica, la Tabla N° 1, permite advertir, </w:t>
      </w:r>
      <w:r>
        <w:rPr>
          <w:rFonts w:ascii="Arial" w:hAnsi="Arial"/>
          <w:i/>
          <w:sz w:val="22"/>
        </w:rPr>
        <w:t>prima facie</w:t>
      </w:r>
      <w:r>
        <w:rPr>
          <w:sz w:val="22"/>
        </w:rPr>
        <w:t>, que la variación</w:t>
      </w:r>
      <w:r>
        <w:rPr>
          <w:spacing w:val="-4"/>
          <w:sz w:val="22"/>
        </w:rPr>
        <w:t> </w:t>
      </w:r>
      <w:r>
        <w:rPr>
          <w:sz w:val="22"/>
        </w:rPr>
        <w:t>introducida</w:t>
      </w:r>
      <w:r>
        <w:rPr>
          <w:spacing w:val="-4"/>
          <w:sz w:val="22"/>
        </w:rPr>
        <w:t> </w:t>
      </w:r>
      <w:r>
        <w:rPr>
          <w:sz w:val="22"/>
        </w:rPr>
        <w:t>por</w:t>
      </w:r>
      <w:r>
        <w:rPr>
          <w:spacing w:val="-5"/>
          <w:sz w:val="22"/>
        </w:rPr>
        <w:t> </w:t>
      </w:r>
      <w:r>
        <w:rPr>
          <w:sz w:val="22"/>
        </w:rPr>
        <w:t>la</w:t>
      </w:r>
      <w:r>
        <w:rPr>
          <w:spacing w:val="-2"/>
          <w:sz w:val="22"/>
        </w:rPr>
        <w:t> </w:t>
      </w:r>
      <w:r>
        <w:rPr>
          <w:sz w:val="22"/>
        </w:rPr>
        <w:t>Resolución</w:t>
      </w:r>
      <w:r>
        <w:rPr>
          <w:spacing w:val="-3"/>
          <w:sz w:val="22"/>
        </w:rPr>
        <w:t> </w:t>
      </w:r>
      <w:r>
        <w:rPr>
          <w:sz w:val="22"/>
        </w:rPr>
        <w:t>SENAE-SENAE-2026-0017-RE,</w:t>
      </w:r>
      <w:r>
        <w:rPr>
          <w:spacing w:val="-2"/>
          <w:sz w:val="22"/>
        </w:rPr>
        <w:t> </w:t>
      </w:r>
      <w:r>
        <w:rPr>
          <w:sz w:val="22"/>
        </w:rPr>
        <w:t>no</w:t>
      </w:r>
      <w:r>
        <w:rPr>
          <w:spacing w:val="-4"/>
          <w:sz w:val="22"/>
        </w:rPr>
        <w:t> </w:t>
      </w:r>
      <w:r>
        <w:rPr>
          <w:sz w:val="22"/>
        </w:rPr>
        <w:t>recae</w:t>
      </w:r>
      <w:r>
        <w:rPr>
          <w:spacing w:val="-4"/>
          <w:sz w:val="22"/>
        </w:rPr>
        <w:t> </w:t>
      </w:r>
      <w:r>
        <w:rPr>
          <w:sz w:val="22"/>
        </w:rPr>
        <w:t>sobre la naturaleza del supuesto servicio, tampoco sobre la metodología de costeo, ni sobre</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BodyText"/>
        <w:ind w:left="1134" w:right="955"/>
      </w:pPr>
      <w:r>
        <w:rPr/>
        <w:t>la identificación de un nuevo hecho generador, sino exclusivamente sobre la magnitud del recargo exigido al importador.</w:t>
      </w:r>
    </w:p>
    <w:p>
      <w:pPr>
        <w:pStyle w:val="BodyText"/>
      </w:pPr>
    </w:p>
    <w:p>
      <w:pPr>
        <w:pStyle w:val="ListParagraph"/>
        <w:numPr>
          <w:ilvl w:val="0"/>
          <w:numId w:val="11"/>
        </w:numPr>
        <w:tabs>
          <w:tab w:pos="1130" w:val="left" w:leader="none"/>
          <w:tab w:pos="1134" w:val="left" w:leader="none"/>
        </w:tabs>
        <w:spacing w:line="240" w:lineRule="auto" w:before="0" w:after="0"/>
        <w:ind w:left="1134" w:right="981" w:hanging="567"/>
        <w:jc w:val="both"/>
        <w:rPr>
          <w:sz w:val="22"/>
        </w:rPr>
      </w:pPr>
      <w:r>
        <w:rPr>
          <w:sz w:val="22"/>
        </w:rPr>
        <w:t>En efecto, las resoluciones investigadas imponen un cobro pecuniario exigible a las mercancías que provengan o sean originarias de la República de Colombia, calculado como un porcentaje del valor en aduana y exigido dentro del procedimiento de importación, como condición para el despacho de las mercancías.</w:t>
      </w:r>
    </w:p>
    <w:p>
      <w:pPr>
        <w:pStyle w:val="ListParagraph"/>
        <w:numPr>
          <w:ilvl w:val="0"/>
          <w:numId w:val="11"/>
        </w:numPr>
        <w:tabs>
          <w:tab w:pos="1130" w:val="left" w:leader="none"/>
          <w:tab w:pos="1134" w:val="left" w:leader="none"/>
        </w:tabs>
        <w:spacing w:line="240" w:lineRule="auto" w:before="253" w:after="0"/>
        <w:ind w:left="1134" w:right="982" w:hanging="567"/>
        <w:jc w:val="both"/>
        <w:rPr>
          <w:sz w:val="22"/>
        </w:rPr>
      </w:pPr>
      <w:r>
        <w:rPr>
          <w:sz w:val="22"/>
        </w:rPr>
        <w:t>En ese sentido, la Resolución inicial fijó la tarifa en 30% del valor en aduana y la Resolución</w:t>
      </w:r>
      <w:r>
        <w:rPr>
          <w:spacing w:val="-8"/>
          <w:sz w:val="22"/>
        </w:rPr>
        <w:t> </w:t>
      </w:r>
      <w:r>
        <w:rPr>
          <w:sz w:val="22"/>
        </w:rPr>
        <w:t>posterior</w:t>
      </w:r>
      <w:r>
        <w:rPr>
          <w:spacing w:val="-7"/>
          <w:sz w:val="22"/>
        </w:rPr>
        <w:t> </w:t>
      </w:r>
      <w:r>
        <w:rPr>
          <w:sz w:val="22"/>
        </w:rPr>
        <w:t>la</w:t>
      </w:r>
      <w:r>
        <w:rPr>
          <w:spacing w:val="-7"/>
          <w:sz w:val="22"/>
        </w:rPr>
        <w:t> </w:t>
      </w:r>
      <w:r>
        <w:rPr>
          <w:sz w:val="22"/>
        </w:rPr>
        <w:t>elevó</w:t>
      </w:r>
      <w:r>
        <w:rPr>
          <w:spacing w:val="-8"/>
          <w:sz w:val="22"/>
        </w:rPr>
        <w:t> </w:t>
      </w:r>
      <w:r>
        <w:rPr>
          <w:sz w:val="22"/>
        </w:rPr>
        <w:t>a</w:t>
      </w:r>
      <w:r>
        <w:rPr>
          <w:spacing w:val="-7"/>
          <w:sz w:val="22"/>
        </w:rPr>
        <w:t> </w:t>
      </w:r>
      <w:r>
        <w:rPr>
          <w:sz w:val="22"/>
        </w:rPr>
        <w:t>50%,</w:t>
      </w:r>
      <w:r>
        <w:rPr>
          <w:spacing w:val="-7"/>
          <w:sz w:val="22"/>
        </w:rPr>
        <w:t> </w:t>
      </w:r>
      <w:r>
        <w:rPr>
          <w:sz w:val="22"/>
        </w:rPr>
        <w:t>manteniendo</w:t>
      </w:r>
      <w:r>
        <w:rPr>
          <w:spacing w:val="-7"/>
          <w:sz w:val="22"/>
        </w:rPr>
        <w:t> </w:t>
      </w:r>
      <w:r>
        <w:rPr>
          <w:sz w:val="22"/>
        </w:rPr>
        <w:t>la</w:t>
      </w:r>
      <w:r>
        <w:rPr>
          <w:spacing w:val="-7"/>
          <w:sz w:val="22"/>
        </w:rPr>
        <w:t> </w:t>
      </w:r>
      <w:r>
        <w:rPr>
          <w:sz w:val="22"/>
        </w:rPr>
        <w:t>selectividad</w:t>
      </w:r>
      <w:r>
        <w:rPr>
          <w:spacing w:val="-7"/>
          <w:sz w:val="22"/>
        </w:rPr>
        <w:t> </w:t>
      </w:r>
      <w:r>
        <w:rPr>
          <w:sz w:val="22"/>
        </w:rPr>
        <w:t>por</w:t>
      </w:r>
      <w:r>
        <w:rPr>
          <w:spacing w:val="-7"/>
          <w:sz w:val="22"/>
        </w:rPr>
        <w:t> </w:t>
      </w:r>
      <w:r>
        <w:rPr>
          <w:sz w:val="22"/>
        </w:rPr>
        <w:t>origen</w:t>
      </w:r>
      <w:r>
        <w:rPr>
          <w:spacing w:val="-8"/>
          <w:sz w:val="22"/>
        </w:rPr>
        <w:t> </w:t>
      </w:r>
      <w:r>
        <w:rPr>
          <w:sz w:val="22"/>
        </w:rPr>
        <w:t>y</w:t>
      </w:r>
      <w:r>
        <w:rPr>
          <w:spacing w:val="-7"/>
          <w:sz w:val="22"/>
        </w:rPr>
        <w:t> </w:t>
      </w:r>
      <w:r>
        <w:rPr>
          <w:sz w:val="22"/>
        </w:rPr>
        <w:t>el</w:t>
      </w:r>
      <w:r>
        <w:rPr>
          <w:spacing w:val="-8"/>
          <w:sz w:val="22"/>
        </w:rPr>
        <w:t> </w:t>
      </w:r>
      <w:r>
        <w:rPr>
          <w:sz w:val="22"/>
        </w:rPr>
        <w:t>vínculo directo entre el pago y la posibilidad de nacionalizar o despachar la mercancía.</w:t>
      </w:r>
    </w:p>
    <w:p>
      <w:pPr>
        <w:pStyle w:val="BodyText"/>
        <w:spacing w:before="1"/>
      </w:pPr>
    </w:p>
    <w:p>
      <w:pPr>
        <w:pStyle w:val="Heading5"/>
        <w:numPr>
          <w:ilvl w:val="0"/>
          <w:numId w:val="10"/>
        </w:numPr>
        <w:tabs>
          <w:tab w:pos="850" w:val="left" w:leader="none"/>
        </w:tabs>
        <w:spacing w:line="240" w:lineRule="auto" w:before="0" w:after="0"/>
        <w:ind w:left="850" w:right="0" w:hanging="282"/>
        <w:jc w:val="left"/>
      </w:pPr>
      <w:r>
        <w:rPr>
          <w:spacing w:val="-2"/>
        </w:rPr>
        <w:t>CONSIDERACIONES</w:t>
      </w:r>
      <w:r>
        <w:rPr>
          <w:spacing w:val="14"/>
        </w:rPr>
        <w:t> </w:t>
      </w:r>
      <w:r>
        <w:rPr>
          <w:spacing w:val="-2"/>
        </w:rPr>
        <w:t>PRELIMINARES</w:t>
      </w:r>
    </w:p>
    <w:p>
      <w:pPr>
        <w:pStyle w:val="BodyText"/>
        <w:rPr>
          <w:rFonts w:ascii="Arial"/>
          <w:b/>
        </w:rPr>
      </w:pPr>
    </w:p>
    <w:p>
      <w:pPr>
        <w:pStyle w:val="ListParagraph"/>
        <w:numPr>
          <w:ilvl w:val="1"/>
          <w:numId w:val="10"/>
        </w:numPr>
        <w:tabs>
          <w:tab w:pos="1133" w:val="left" w:leader="none"/>
        </w:tabs>
        <w:spacing w:line="240" w:lineRule="auto" w:before="1" w:after="0"/>
        <w:ind w:left="1133" w:right="0" w:hanging="565"/>
        <w:jc w:val="left"/>
        <w:rPr>
          <w:rFonts w:ascii="Arial" w:hAnsi="Arial"/>
          <w:b/>
          <w:sz w:val="22"/>
        </w:rPr>
      </w:pPr>
      <w:r>
        <w:rPr>
          <w:rFonts w:ascii="Arial" w:hAnsi="Arial"/>
          <w:b/>
          <w:sz w:val="22"/>
        </w:rPr>
        <w:t>SOBRE</w:t>
      </w:r>
      <w:r>
        <w:rPr>
          <w:rFonts w:ascii="Arial" w:hAnsi="Arial"/>
          <w:b/>
          <w:spacing w:val="-7"/>
          <w:sz w:val="22"/>
        </w:rPr>
        <w:t> </w:t>
      </w:r>
      <w:r>
        <w:rPr>
          <w:rFonts w:ascii="Arial" w:hAnsi="Arial"/>
          <w:b/>
          <w:sz w:val="22"/>
        </w:rPr>
        <w:t>EL</w:t>
      </w:r>
      <w:r>
        <w:rPr>
          <w:rFonts w:ascii="Arial" w:hAnsi="Arial"/>
          <w:b/>
          <w:spacing w:val="-5"/>
          <w:sz w:val="22"/>
        </w:rPr>
        <w:t> </w:t>
      </w:r>
      <w:r>
        <w:rPr>
          <w:rFonts w:ascii="Arial" w:hAnsi="Arial"/>
          <w:b/>
          <w:sz w:val="22"/>
        </w:rPr>
        <w:t>PROGRAMA</w:t>
      </w:r>
      <w:r>
        <w:rPr>
          <w:rFonts w:ascii="Arial" w:hAnsi="Arial"/>
          <w:b/>
          <w:spacing w:val="-2"/>
          <w:sz w:val="22"/>
        </w:rPr>
        <w:t> </w:t>
      </w:r>
      <w:r>
        <w:rPr>
          <w:rFonts w:ascii="Arial" w:hAnsi="Arial"/>
          <w:b/>
          <w:sz w:val="22"/>
        </w:rPr>
        <w:t>DE</w:t>
      </w:r>
      <w:r>
        <w:rPr>
          <w:rFonts w:ascii="Arial" w:hAnsi="Arial"/>
          <w:b/>
          <w:spacing w:val="-7"/>
          <w:sz w:val="22"/>
        </w:rPr>
        <w:t> </w:t>
      </w:r>
      <w:r>
        <w:rPr>
          <w:rFonts w:ascii="Arial" w:hAnsi="Arial"/>
          <w:b/>
          <w:spacing w:val="-2"/>
          <w:sz w:val="22"/>
        </w:rPr>
        <w:t>LIBERACIÓN</w:t>
      </w:r>
    </w:p>
    <w:p>
      <w:pPr>
        <w:pStyle w:val="BodyText"/>
        <w:rPr>
          <w:rFonts w:ascii="Arial"/>
          <w:b/>
        </w:rPr>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La</w:t>
      </w:r>
      <w:r>
        <w:rPr>
          <w:spacing w:val="-7"/>
          <w:sz w:val="22"/>
        </w:rPr>
        <w:t> </w:t>
      </w:r>
      <w:r>
        <w:rPr>
          <w:sz w:val="22"/>
        </w:rPr>
        <w:t>Comunidad</w:t>
      </w:r>
      <w:r>
        <w:rPr>
          <w:spacing w:val="-7"/>
          <w:sz w:val="22"/>
        </w:rPr>
        <w:t> </w:t>
      </w:r>
      <w:r>
        <w:rPr>
          <w:sz w:val="22"/>
        </w:rPr>
        <w:t>Andina,</w:t>
      </w:r>
      <w:r>
        <w:rPr>
          <w:spacing w:val="-6"/>
          <w:sz w:val="22"/>
        </w:rPr>
        <w:t> </w:t>
      </w:r>
      <w:r>
        <w:rPr>
          <w:sz w:val="22"/>
        </w:rPr>
        <w:t>integrada</w:t>
      </w:r>
      <w:r>
        <w:rPr>
          <w:spacing w:val="-7"/>
          <w:sz w:val="22"/>
        </w:rPr>
        <w:t> </w:t>
      </w:r>
      <w:r>
        <w:rPr>
          <w:sz w:val="22"/>
        </w:rPr>
        <w:t>por</w:t>
      </w:r>
      <w:r>
        <w:rPr>
          <w:spacing w:val="-6"/>
          <w:sz w:val="22"/>
        </w:rPr>
        <w:t> </w:t>
      </w:r>
      <w:r>
        <w:rPr>
          <w:sz w:val="22"/>
        </w:rPr>
        <w:t>el</w:t>
      </w:r>
      <w:r>
        <w:rPr>
          <w:spacing w:val="-8"/>
          <w:sz w:val="22"/>
        </w:rPr>
        <w:t> </w:t>
      </w:r>
      <w:r>
        <w:rPr>
          <w:sz w:val="22"/>
        </w:rPr>
        <w:t>Estado</w:t>
      </w:r>
      <w:r>
        <w:rPr>
          <w:spacing w:val="-7"/>
          <w:sz w:val="22"/>
        </w:rPr>
        <w:t> </w:t>
      </w:r>
      <w:r>
        <w:rPr>
          <w:sz w:val="22"/>
        </w:rPr>
        <w:t>Plurinacional</w:t>
      </w:r>
      <w:r>
        <w:rPr>
          <w:spacing w:val="-8"/>
          <w:sz w:val="22"/>
        </w:rPr>
        <w:t> </w:t>
      </w:r>
      <w:r>
        <w:rPr>
          <w:sz w:val="22"/>
        </w:rPr>
        <w:t>de</w:t>
      </w:r>
      <w:r>
        <w:rPr>
          <w:spacing w:val="-8"/>
          <w:sz w:val="22"/>
        </w:rPr>
        <w:t> </w:t>
      </w:r>
      <w:r>
        <w:rPr>
          <w:sz w:val="22"/>
        </w:rPr>
        <w:t>Bolivia,</w:t>
      </w:r>
      <w:r>
        <w:rPr>
          <w:spacing w:val="-6"/>
          <w:sz w:val="22"/>
        </w:rPr>
        <w:t> </w:t>
      </w:r>
      <w:r>
        <w:rPr>
          <w:sz w:val="22"/>
        </w:rPr>
        <w:t>la</w:t>
      </w:r>
      <w:r>
        <w:rPr>
          <w:spacing w:val="-7"/>
          <w:sz w:val="22"/>
        </w:rPr>
        <w:t> </w:t>
      </w:r>
      <w:r>
        <w:rPr>
          <w:sz w:val="22"/>
        </w:rPr>
        <w:t>República</w:t>
      </w:r>
      <w:r>
        <w:rPr>
          <w:spacing w:val="-7"/>
          <w:sz w:val="22"/>
        </w:rPr>
        <w:t> </w:t>
      </w:r>
      <w:r>
        <w:rPr>
          <w:sz w:val="22"/>
        </w:rPr>
        <w:t>de Colombia, la República del Ecuador y la República del Perú, es un acuerdo de integración subregional, con más de 56 años de existencia, cuyos objetivos tienen la finalidad</w:t>
      </w:r>
      <w:r>
        <w:rPr>
          <w:spacing w:val="-5"/>
          <w:sz w:val="22"/>
        </w:rPr>
        <w:t> </w:t>
      </w:r>
      <w:r>
        <w:rPr>
          <w:sz w:val="22"/>
        </w:rPr>
        <w:t>procurar</w:t>
      </w:r>
      <w:r>
        <w:rPr>
          <w:spacing w:val="-4"/>
          <w:sz w:val="22"/>
        </w:rPr>
        <w:t> </w:t>
      </w:r>
      <w:r>
        <w:rPr>
          <w:sz w:val="22"/>
        </w:rPr>
        <w:t>el</w:t>
      </w:r>
      <w:r>
        <w:rPr>
          <w:spacing w:val="-7"/>
          <w:sz w:val="22"/>
        </w:rPr>
        <w:t> </w:t>
      </w:r>
      <w:r>
        <w:rPr>
          <w:sz w:val="22"/>
        </w:rPr>
        <w:t>mejoramiento</w:t>
      </w:r>
      <w:r>
        <w:rPr>
          <w:spacing w:val="-6"/>
          <w:sz w:val="22"/>
        </w:rPr>
        <w:t> </w:t>
      </w:r>
      <w:r>
        <w:rPr>
          <w:sz w:val="22"/>
        </w:rPr>
        <w:t>de</w:t>
      </w:r>
      <w:r>
        <w:rPr>
          <w:spacing w:val="-5"/>
          <w:sz w:val="22"/>
        </w:rPr>
        <w:t> </w:t>
      </w:r>
      <w:r>
        <w:rPr>
          <w:sz w:val="22"/>
        </w:rPr>
        <w:t>la</w:t>
      </w:r>
      <w:r>
        <w:rPr>
          <w:spacing w:val="-6"/>
          <w:sz w:val="22"/>
        </w:rPr>
        <w:t> </w:t>
      </w:r>
      <w:r>
        <w:rPr>
          <w:sz w:val="22"/>
        </w:rPr>
        <w:t>calidad</w:t>
      </w:r>
      <w:r>
        <w:rPr>
          <w:spacing w:val="-5"/>
          <w:sz w:val="22"/>
        </w:rPr>
        <w:t> </w:t>
      </w:r>
      <w:r>
        <w:rPr>
          <w:sz w:val="22"/>
        </w:rPr>
        <w:t>de</w:t>
      </w:r>
      <w:r>
        <w:rPr>
          <w:spacing w:val="-5"/>
          <w:sz w:val="22"/>
        </w:rPr>
        <w:t> </w:t>
      </w:r>
      <w:r>
        <w:rPr>
          <w:sz w:val="22"/>
        </w:rPr>
        <w:t>vida</w:t>
      </w:r>
      <w:r>
        <w:rPr>
          <w:spacing w:val="-5"/>
          <w:sz w:val="22"/>
        </w:rPr>
        <w:t> </w:t>
      </w:r>
      <w:r>
        <w:rPr>
          <w:sz w:val="22"/>
        </w:rPr>
        <w:t>de</w:t>
      </w:r>
      <w:r>
        <w:rPr>
          <w:spacing w:val="-5"/>
          <w:sz w:val="22"/>
        </w:rPr>
        <w:t> </w:t>
      </w:r>
      <w:r>
        <w:rPr>
          <w:sz w:val="22"/>
        </w:rPr>
        <w:t>la</w:t>
      </w:r>
      <w:r>
        <w:rPr>
          <w:spacing w:val="-5"/>
          <w:sz w:val="22"/>
        </w:rPr>
        <w:t> </w:t>
      </w:r>
      <w:r>
        <w:rPr>
          <w:sz w:val="22"/>
        </w:rPr>
        <w:t>población</w:t>
      </w:r>
      <w:r>
        <w:rPr>
          <w:spacing w:val="-5"/>
          <w:sz w:val="22"/>
        </w:rPr>
        <w:t> </w:t>
      </w:r>
      <w:r>
        <w:rPr>
          <w:sz w:val="22"/>
        </w:rPr>
        <w:t>andina</w:t>
      </w:r>
      <w:r>
        <w:rPr>
          <w:spacing w:val="-5"/>
          <w:sz w:val="22"/>
        </w:rPr>
        <w:t> </w:t>
      </w:r>
      <w:r>
        <w:rPr>
          <w:sz w:val="22"/>
        </w:rPr>
        <w:t>(inciso</w:t>
      </w:r>
      <w:r>
        <w:rPr>
          <w:spacing w:val="-6"/>
          <w:sz w:val="22"/>
        </w:rPr>
        <w:t> </w:t>
      </w:r>
      <w:r>
        <w:rPr>
          <w:sz w:val="22"/>
        </w:rPr>
        <w:t>3 del artículo 1 del Acuerdo de Cartagena).</w:t>
      </w:r>
    </w:p>
    <w:p>
      <w:pPr>
        <w:pStyle w:val="ListParagraph"/>
        <w:numPr>
          <w:ilvl w:val="0"/>
          <w:numId w:val="11"/>
        </w:numPr>
        <w:tabs>
          <w:tab w:pos="1130" w:val="left" w:leader="none"/>
          <w:tab w:pos="1134" w:val="left" w:leader="none"/>
        </w:tabs>
        <w:spacing w:line="240" w:lineRule="auto" w:before="252" w:after="0"/>
        <w:ind w:left="1134" w:right="980" w:hanging="567"/>
        <w:jc w:val="both"/>
        <w:rPr>
          <w:sz w:val="22"/>
        </w:rPr>
      </w:pPr>
      <w:r>
        <w:rPr>
          <w:sz w:val="22"/>
        </w:rPr>
        <w:t>Para el logro de sus objetivos, el artículo 3 del Tratado Fundacional dispone que se emplearán como mecanismos y medidas, entre otros, el Programa de Liberación del intercambio comercial.</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Sobre</w:t>
      </w:r>
      <w:r>
        <w:rPr>
          <w:spacing w:val="-2"/>
          <w:sz w:val="22"/>
        </w:rPr>
        <w:t> </w:t>
      </w:r>
      <w:r>
        <w:rPr>
          <w:sz w:val="22"/>
        </w:rPr>
        <w:t>el</w:t>
      </w:r>
      <w:r>
        <w:rPr>
          <w:spacing w:val="-2"/>
          <w:sz w:val="22"/>
        </w:rPr>
        <w:t> </w:t>
      </w:r>
      <w:r>
        <w:rPr>
          <w:sz w:val="22"/>
        </w:rPr>
        <w:t>particular,</w:t>
      </w:r>
      <w:r>
        <w:rPr>
          <w:spacing w:val="-2"/>
          <w:sz w:val="22"/>
        </w:rPr>
        <w:t> </w:t>
      </w:r>
      <w:r>
        <w:rPr>
          <w:sz w:val="22"/>
        </w:rPr>
        <w:t>es</w:t>
      </w:r>
      <w:r>
        <w:rPr>
          <w:spacing w:val="-4"/>
          <w:sz w:val="22"/>
        </w:rPr>
        <w:t> </w:t>
      </w:r>
      <w:r>
        <w:rPr>
          <w:sz w:val="22"/>
        </w:rPr>
        <w:t>importante</w:t>
      </w:r>
      <w:r>
        <w:rPr>
          <w:spacing w:val="-4"/>
          <w:sz w:val="22"/>
        </w:rPr>
        <w:t> </w:t>
      </w:r>
      <w:r>
        <w:rPr>
          <w:sz w:val="22"/>
        </w:rPr>
        <w:t>traer</w:t>
      </w:r>
      <w:r>
        <w:rPr>
          <w:spacing w:val="-3"/>
          <w:sz w:val="22"/>
        </w:rPr>
        <w:t> </w:t>
      </w:r>
      <w:r>
        <w:rPr>
          <w:sz w:val="22"/>
        </w:rPr>
        <w:t>a</w:t>
      </w:r>
      <w:r>
        <w:rPr>
          <w:spacing w:val="-2"/>
          <w:sz w:val="22"/>
        </w:rPr>
        <w:t> </w:t>
      </w:r>
      <w:r>
        <w:rPr>
          <w:sz w:val="22"/>
        </w:rPr>
        <w:t>colación</w:t>
      </w:r>
      <w:r>
        <w:rPr>
          <w:spacing w:val="-7"/>
          <w:sz w:val="22"/>
        </w:rPr>
        <w:t> </w:t>
      </w:r>
      <w:r>
        <w:rPr>
          <w:sz w:val="22"/>
        </w:rPr>
        <w:t>lo</w:t>
      </w:r>
      <w:r>
        <w:rPr>
          <w:spacing w:val="-2"/>
          <w:sz w:val="22"/>
        </w:rPr>
        <w:t> </w:t>
      </w:r>
      <w:r>
        <w:rPr>
          <w:sz w:val="22"/>
        </w:rPr>
        <w:t>señalado</w:t>
      </w:r>
      <w:r>
        <w:rPr>
          <w:spacing w:val="-2"/>
          <w:sz w:val="22"/>
        </w:rPr>
        <w:t> </w:t>
      </w:r>
      <w:r>
        <w:rPr>
          <w:sz w:val="22"/>
        </w:rPr>
        <w:t>por</w:t>
      </w:r>
      <w:r>
        <w:rPr>
          <w:spacing w:val="-3"/>
          <w:sz w:val="22"/>
        </w:rPr>
        <w:t> </w:t>
      </w:r>
      <w:r>
        <w:rPr>
          <w:sz w:val="22"/>
        </w:rPr>
        <w:t>el</w:t>
      </w:r>
      <w:r>
        <w:rPr>
          <w:spacing w:val="-5"/>
          <w:sz w:val="22"/>
        </w:rPr>
        <w:t> </w:t>
      </w:r>
      <w:r>
        <w:rPr>
          <w:sz w:val="22"/>
        </w:rPr>
        <w:t>Tribunal</w:t>
      </w:r>
      <w:r>
        <w:rPr>
          <w:spacing w:val="-3"/>
          <w:sz w:val="22"/>
        </w:rPr>
        <w:t> </w:t>
      </w:r>
      <w:r>
        <w:rPr>
          <w:sz w:val="22"/>
        </w:rPr>
        <w:t>Andino</w:t>
      </w:r>
      <w:r>
        <w:rPr>
          <w:spacing w:val="-2"/>
          <w:sz w:val="22"/>
        </w:rPr>
        <w:t> </w:t>
      </w:r>
      <w:r>
        <w:rPr>
          <w:sz w:val="22"/>
        </w:rPr>
        <w:t>en la sentencia del Proceso 02-AI-2020, publicada en la Gaceta Oficial del Acuerdo de Cartagena N.° 2520, que resalta la importancia del Programa de Liberación:</w:t>
      </w:r>
    </w:p>
    <w:p>
      <w:pPr>
        <w:spacing w:before="252"/>
        <w:ind w:left="2128" w:right="978" w:firstLine="0"/>
        <w:jc w:val="both"/>
        <w:rPr>
          <w:rFonts w:ascii="Arial" w:hAnsi="Arial"/>
          <w:i/>
          <w:sz w:val="22"/>
        </w:rPr>
      </w:pPr>
      <w:r>
        <w:rPr>
          <w:rFonts w:ascii="Arial" w:hAnsi="Arial"/>
          <w:i/>
          <w:sz w:val="22"/>
        </w:rPr>
        <w:t>“3.3.4.</w:t>
      </w:r>
      <w:r>
        <w:rPr>
          <w:rFonts w:ascii="Arial" w:hAnsi="Arial"/>
          <w:i/>
          <w:spacing w:val="-9"/>
          <w:sz w:val="22"/>
        </w:rPr>
        <w:t> </w:t>
      </w:r>
      <w:r>
        <w:rPr>
          <w:rFonts w:ascii="Arial" w:hAnsi="Arial"/>
          <w:i/>
          <w:sz w:val="22"/>
        </w:rPr>
        <w:t>El</w:t>
      </w:r>
      <w:r>
        <w:rPr>
          <w:rFonts w:ascii="Arial" w:hAnsi="Arial"/>
          <w:i/>
          <w:spacing w:val="-10"/>
          <w:sz w:val="22"/>
        </w:rPr>
        <w:t> </w:t>
      </w:r>
      <w:r>
        <w:rPr>
          <w:rFonts w:ascii="Arial" w:hAnsi="Arial"/>
          <w:i/>
          <w:sz w:val="22"/>
        </w:rPr>
        <w:t>Programa</w:t>
      </w:r>
      <w:r>
        <w:rPr>
          <w:rFonts w:ascii="Arial" w:hAnsi="Arial"/>
          <w:i/>
          <w:spacing w:val="-10"/>
          <w:sz w:val="22"/>
        </w:rPr>
        <w:t> </w:t>
      </w:r>
      <w:r>
        <w:rPr>
          <w:rFonts w:ascii="Arial" w:hAnsi="Arial"/>
          <w:i/>
          <w:sz w:val="22"/>
        </w:rPr>
        <w:t>de</w:t>
      </w:r>
      <w:r>
        <w:rPr>
          <w:rFonts w:ascii="Arial" w:hAnsi="Arial"/>
          <w:i/>
          <w:spacing w:val="-10"/>
          <w:sz w:val="22"/>
        </w:rPr>
        <w:t> </w:t>
      </w:r>
      <w:r>
        <w:rPr>
          <w:rFonts w:ascii="Arial" w:hAnsi="Arial"/>
          <w:i/>
          <w:sz w:val="22"/>
        </w:rPr>
        <w:t>Liberación</w:t>
      </w:r>
      <w:r>
        <w:rPr>
          <w:rFonts w:ascii="Arial" w:hAnsi="Arial"/>
          <w:i/>
          <w:spacing w:val="-8"/>
          <w:sz w:val="22"/>
        </w:rPr>
        <w:t> </w:t>
      </w:r>
      <w:r>
        <w:rPr>
          <w:rFonts w:ascii="Arial" w:hAnsi="Arial"/>
          <w:i/>
          <w:sz w:val="22"/>
        </w:rPr>
        <w:t>de</w:t>
      </w:r>
      <w:r>
        <w:rPr>
          <w:rFonts w:ascii="Arial" w:hAnsi="Arial"/>
          <w:i/>
          <w:spacing w:val="-10"/>
          <w:sz w:val="22"/>
        </w:rPr>
        <w:t> </w:t>
      </w:r>
      <w:r>
        <w:rPr>
          <w:rFonts w:ascii="Arial" w:hAnsi="Arial"/>
          <w:i/>
          <w:sz w:val="22"/>
        </w:rPr>
        <w:t>bienes</w:t>
      </w:r>
      <w:r>
        <w:rPr>
          <w:rFonts w:ascii="Arial" w:hAnsi="Arial"/>
          <w:i/>
          <w:spacing w:val="-10"/>
          <w:sz w:val="22"/>
        </w:rPr>
        <w:t> </w:t>
      </w:r>
      <w:r>
        <w:rPr>
          <w:rFonts w:ascii="Arial" w:hAnsi="Arial"/>
          <w:i/>
          <w:sz w:val="22"/>
        </w:rPr>
        <w:t>sustenta</w:t>
      </w:r>
      <w:r>
        <w:rPr>
          <w:rFonts w:ascii="Arial" w:hAnsi="Arial"/>
          <w:i/>
          <w:spacing w:val="-9"/>
          <w:sz w:val="22"/>
        </w:rPr>
        <w:t> </w:t>
      </w:r>
      <w:r>
        <w:rPr>
          <w:rFonts w:ascii="Arial" w:hAnsi="Arial"/>
          <w:i/>
          <w:sz w:val="22"/>
        </w:rPr>
        <w:t>la</w:t>
      </w:r>
      <w:r>
        <w:rPr>
          <w:rFonts w:ascii="Arial" w:hAnsi="Arial"/>
          <w:i/>
          <w:spacing w:val="-7"/>
          <w:sz w:val="22"/>
        </w:rPr>
        <w:t> </w:t>
      </w:r>
      <w:r>
        <w:rPr>
          <w:rFonts w:ascii="Arial" w:hAnsi="Arial"/>
          <w:i/>
          <w:sz w:val="22"/>
        </w:rPr>
        <w:t>existencia</w:t>
      </w:r>
      <w:r>
        <w:rPr>
          <w:rFonts w:ascii="Arial" w:hAnsi="Arial"/>
          <w:i/>
          <w:spacing w:val="-10"/>
          <w:sz w:val="22"/>
        </w:rPr>
        <w:t> </w:t>
      </w:r>
      <w:r>
        <w:rPr>
          <w:rFonts w:ascii="Arial" w:hAnsi="Arial"/>
          <w:i/>
          <w:sz w:val="22"/>
        </w:rPr>
        <w:t>de</w:t>
      </w:r>
      <w:r>
        <w:rPr>
          <w:rFonts w:ascii="Arial" w:hAnsi="Arial"/>
          <w:i/>
          <w:spacing w:val="-10"/>
          <w:sz w:val="22"/>
        </w:rPr>
        <w:t> </w:t>
      </w:r>
      <w:r>
        <w:rPr>
          <w:rFonts w:ascii="Arial" w:hAnsi="Arial"/>
          <w:i/>
          <w:sz w:val="22"/>
        </w:rPr>
        <w:t>un</w:t>
      </w:r>
      <w:r>
        <w:rPr>
          <w:rFonts w:ascii="Arial" w:hAnsi="Arial"/>
          <w:i/>
          <w:spacing w:val="-10"/>
          <w:sz w:val="22"/>
        </w:rPr>
        <w:t> </w:t>
      </w:r>
      <w:r>
        <w:rPr>
          <w:rFonts w:ascii="Arial" w:hAnsi="Arial"/>
          <w:i/>
          <w:sz w:val="22"/>
        </w:rPr>
        <w:t>área de libre comercio en el</w:t>
      </w:r>
      <w:r>
        <w:rPr>
          <w:rFonts w:ascii="Arial" w:hAnsi="Arial"/>
          <w:i/>
          <w:spacing w:val="-1"/>
          <w:sz w:val="22"/>
        </w:rPr>
        <w:t> </w:t>
      </w:r>
      <w:r>
        <w:rPr>
          <w:rFonts w:ascii="Arial" w:hAnsi="Arial"/>
          <w:i/>
          <w:sz w:val="22"/>
        </w:rPr>
        <w:t>mercado subregional andino, en el que los productos originarios</w:t>
      </w:r>
      <w:r>
        <w:rPr>
          <w:rFonts w:ascii="Arial" w:hAnsi="Arial"/>
          <w:i/>
          <w:spacing w:val="-13"/>
          <w:sz w:val="22"/>
        </w:rPr>
        <w:t> </w:t>
      </w:r>
      <w:r>
        <w:rPr>
          <w:rFonts w:ascii="Arial" w:hAnsi="Arial"/>
          <w:i/>
          <w:sz w:val="22"/>
        </w:rPr>
        <w:t>de</w:t>
      </w:r>
      <w:r>
        <w:rPr>
          <w:rFonts w:ascii="Arial" w:hAnsi="Arial"/>
          <w:i/>
          <w:spacing w:val="-15"/>
          <w:sz w:val="22"/>
        </w:rPr>
        <w:t> </w:t>
      </w:r>
      <w:r>
        <w:rPr>
          <w:rFonts w:ascii="Arial" w:hAnsi="Arial"/>
          <w:i/>
          <w:sz w:val="22"/>
        </w:rPr>
        <w:t>los</w:t>
      </w:r>
      <w:r>
        <w:rPr>
          <w:rFonts w:ascii="Arial" w:hAnsi="Arial"/>
          <w:i/>
          <w:spacing w:val="-15"/>
          <w:sz w:val="22"/>
        </w:rPr>
        <w:t> </w:t>
      </w:r>
      <w:r>
        <w:rPr>
          <w:rFonts w:ascii="Arial" w:hAnsi="Arial"/>
          <w:i/>
          <w:sz w:val="22"/>
        </w:rPr>
        <w:t>Países</w:t>
      </w:r>
      <w:r>
        <w:rPr>
          <w:rFonts w:ascii="Arial" w:hAnsi="Arial"/>
          <w:i/>
          <w:spacing w:val="-14"/>
          <w:sz w:val="22"/>
        </w:rPr>
        <w:t> </w:t>
      </w:r>
      <w:r>
        <w:rPr>
          <w:rFonts w:ascii="Arial" w:hAnsi="Arial"/>
          <w:i/>
          <w:sz w:val="22"/>
        </w:rPr>
        <w:t>Miembros</w:t>
      </w:r>
      <w:r>
        <w:rPr>
          <w:rFonts w:ascii="Arial" w:hAnsi="Arial"/>
          <w:i/>
          <w:spacing w:val="-15"/>
          <w:sz w:val="22"/>
        </w:rPr>
        <w:t> </w:t>
      </w:r>
      <w:r>
        <w:rPr>
          <w:rFonts w:ascii="Arial" w:hAnsi="Arial"/>
          <w:i/>
          <w:sz w:val="22"/>
        </w:rPr>
        <w:t>circulan</w:t>
      </w:r>
      <w:r>
        <w:rPr>
          <w:rFonts w:ascii="Arial" w:hAnsi="Arial"/>
          <w:i/>
          <w:spacing w:val="-15"/>
          <w:sz w:val="22"/>
        </w:rPr>
        <w:t> </w:t>
      </w:r>
      <w:r>
        <w:rPr>
          <w:rFonts w:ascii="Arial" w:hAnsi="Arial"/>
          <w:i/>
          <w:sz w:val="22"/>
        </w:rPr>
        <w:t>libremente</w:t>
      </w:r>
      <w:r>
        <w:rPr>
          <w:rFonts w:ascii="Arial" w:hAnsi="Arial"/>
          <w:i/>
          <w:spacing w:val="-15"/>
          <w:sz w:val="22"/>
        </w:rPr>
        <w:t> </w:t>
      </w:r>
      <w:r>
        <w:rPr>
          <w:rFonts w:ascii="Arial" w:hAnsi="Arial"/>
          <w:i/>
          <w:sz w:val="22"/>
        </w:rPr>
        <w:t>sin</w:t>
      </w:r>
      <w:r>
        <w:rPr>
          <w:rFonts w:ascii="Arial" w:hAnsi="Arial"/>
          <w:i/>
          <w:spacing w:val="-12"/>
          <w:sz w:val="22"/>
        </w:rPr>
        <w:t> </w:t>
      </w:r>
      <w:r>
        <w:rPr>
          <w:rFonts w:ascii="Arial" w:hAnsi="Arial"/>
          <w:i/>
          <w:sz w:val="22"/>
        </w:rPr>
        <w:t>pagar</w:t>
      </w:r>
      <w:r>
        <w:rPr>
          <w:rFonts w:ascii="Arial" w:hAnsi="Arial"/>
          <w:i/>
          <w:spacing w:val="-13"/>
          <w:sz w:val="22"/>
        </w:rPr>
        <w:t> </w:t>
      </w:r>
      <w:r>
        <w:rPr>
          <w:rFonts w:ascii="Arial" w:hAnsi="Arial"/>
          <w:i/>
          <w:sz w:val="22"/>
        </w:rPr>
        <w:t>aranceles</w:t>
      </w:r>
      <w:r>
        <w:rPr>
          <w:rFonts w:ascii="Arial" w:hAnsi="Arial"/>
          <w:i/>
          <w:spacing w:val="-16"/>
          <w:sz w:val="22"/>
        </w:rPr>
        <w:t> </w:t>
      </w:r>
      <w:r>
        <w:rPr>
          <w:rFonts w:ascii="Arial" w:hAnsi="Arial"/>
          <w:i/>
          <w:sz w:val="22"/>
        </w:rPr>
        <w:t>en un mercado ampliado, lo que incrementa el poder de elección de los consumidores</w:t>
      </w:r>
      <w:r>
        <w:rPr>
          <w:rFonts w:ascii="Arial" w:hAnsi="Arial"/>
          <w:i/>
          <w:spacing w:val="-10"/>
          <w:sz w:val="22"/>
        </w:rPr>
        <w:t> </w:t>
      </w:r>
      <w:r>
        <w:rPr>
          <w:rFonts w:ascii="Arial" w:hAnsi="Arial"/>
          <w:i/>
          <w:sz w:val="22"/>
        </w:rPr>
        <w:t>andinos,</w:t>
      </w:r>
      <w:r>
        <w:rPr>
          <w:rFonts w:ascii="Arial" w:hAnsi="Arial"/>
          <w:i/>
          <w:spacing w:val="-9"/>
          <w:sz w:val="22"/>
        </w:rPr>
        <w:t> </w:t>
      </w:r>
      <w:r>
        <w:rPr>
          <w:rFonts w:ascii="Arial" w:hAnsi="Arial"/>
          <w:i/>
          <w:sz w:val="22"/>
        </w:rPr>
        <w:t>pues</w:t>
      </w:r>
      <w:r>
        <w:rPr>
          <w:rFonts w:ascii="Arial" w:hAnsi="Arial"/>
          <w:i/>
          <w:spacing w:val="-8"/>
          <w:sz w:val="22"/>
        </w:rPr>
        <w:t> </w:t>
      </w:r>
      <w:r>
        <w:rPr>
          <w:rFonts w:ascii="Arial" w:hAnsi="Arial"/>
          <w:i/>
          <w:sz w:val="22"/>
        </w:rPr>
        <w:t>al</w:t>
      </w:r>
      <w:r>
        <w:rPr>
          <w:rFonts w:ascii="Arial" w:hAnsi="Arial"/>
          <w:i/>
          <w:spacing w:val="-11"/>
          <w:sz w:val="22"/>
        </w:rPr>
        <w:t> </w:t>
      </w:r>
      <w:r>
        <w:rPr>
          <w:rFonts w:ascii="Arial" w:hAnsi="Arial"/>
          <w:i/>
          <w:sz w:val="22"/>
        </w:rPr>
        <w:t>interior</w:t>
      </w:r>
      <w:r>
        <w:rPr>
          <w:rFonts w:ascii="Arial" w:hAnsi="Arial"/>
          <w:i/>
          <w:spacing w:val="-10"/>
          <w:sz w:val="22"/>
        </w:rPr>
        <w:t> </w:t>
      </w:r>
      <w:r>
        <w:rPr>
          <w:rFonts w:ascii="Arial" w:hAnsi="Arial"/>
          <w:i/>
          <w:sz w:val="22"/>
        </w:rPr>
        <w:t>de</w:t>
      </w:r>
      <w:r>
        <w:rPr>
          <w:rFonts w:ascii="Arial" w:hAnsi="Arial"/>
          <w:i/>
          <w:spacing w:val="-10"/>
          <w:sz w:val="22"/>
        </w:rPr>
        <w:t> </w:t>
      </w:r>
      <w:r>
        <w:rPr>
          <w:rFonts w:ascii="Arial" w:hAnsi="Arial"/>
          <w:i/>
          <w:sz w:val="22"/>
        </w:rPr>
        <w:t>dicho</w:t>
      </w:r>
      <w:r>
        <w:rPr>
          <w:rFonts w:ascii="Arial" w:hAnsi="Arial"/>
          <w:i/>
          <w:spacing w:val="-10"/>
          <w:sz w:val="22"/>
        </w:rPr>
        <w:t> </w:t>
      </w:r>
      <w:r>
        <w:rPr>
          <w:rFonts w:ascii="Arial" w:hAnsi="Arial"/>
          <w:i/>
          <w:sz w:val="22"/>
        </w:rPr>
        <w:t>mercado</w:t>
      </w:r>
      <w:r>
        <w:rPr>
          <w:rFonts w:ascii="Arial" w:hAnsi="Arial"/>
          <w:i/>
          <w:spacing w:val="-10"/>
          <w:sz w:val="22"/>
        </w:rPr>
        <w:t> </w:t>
      </w:r>
      <w:r>
        <w:rPr>
          <w:rFonts w:ascii="Arial" w:hAnsi="Arial"/>
          <w:i/>
          <w:sz w:val="22"/>
        </w:rPr>
        <w:t>tiene</w:t>
      </w:r>
      <w:r>
        <w:rPr>
          <w:rFonts w:ascii="Arial" w:hAnsi="Arial"/>
          <w:i/>
          <w:spacing w:val="-10"/>
          <w:sz w:val="22"/>
        </w:rPr>
        <w:t> </w:t>
      </w:r>
      <w:r>
        <w:rPr>
          <w:rFonts w:ascii="Arial" w:hAnsi="Arial"/>
          <w:i/>
          <w:sz w:val="22"/>
        </w:rPr>
        <w:t>la</w:t>
      </w:r>
      <w:r>
        <w:rPr>
          <w:rFonts w:ascii="Arial" w:hAnsi="Arial"/>
          <w:i/>
          <w:spacing w:val="-8"/>
          <w:sz w:val="22"/>
        </w:rPr>
        <w:t> </w:t>
      </w:r>
      <w:r>
        <w:rPr>
          <w:rFonts w:ascii="Arial" w:hAnsi="Arial"/>
          <w:i/>
          <w:sz w:val="22"/>
        </w:rPr>
        <w:t>oportunidad de elegir entre una mayor variedad de bienes provenientes de los diferentes rincones de Bolivia, Colombia, Ecuador y Perú, lo que a vez incrementa la competencia y el bienestar de los mencionados consumidores, quienes pueden tener a su alcance productos a menores precios y de mejor calidad.</w:t>
      </w:r>
    </w:p>
    <w:p>
      <w:pPr>
        <w:pStyle w:val="BodyText"/>
        <w:spacing w:before="2"/>
        <w:rPr>
          <w:rFonts w:ascii="Arial"/>
          <w:i/>
        </w:rPr>
      </w:pPr>
    </w:p>
    <w:p>
      <w:pPr>
        <w:spacing w:before="0"/>
        <w:ind w:left="2128" w:right="982" w:firstLine="0"/>
        <w:jc w:val="both"/>
        <w:rPr>
          <w:rFonts w:ascii="Arial" w:hAnsi="Arial"/>
          <w:i/>
          <w:sz w:val="22"/>
        </w:rPr>
      </w:pPr>
      <w:r>
        <w:rPr>
          <w:rFonts w:ascii="Arial" w:hAnsi="Arial"/>
          <w:i/>
          <w:sz w:val="22"/>
        </w:rPr>
        <w:t>3.3.5 El aprovechamiento de un área de libre comercio requiere optimizar la integración física, especialmente a través de la facilitación del transporte de mercancías entre los Países Miembros. (…)</w:t>
      </w:r>
    </w:p>
    <w:p>
      <w:pPr>
        <w:spacing w:before="252"/>
        <w:ind w:left="2128" w:right="981" w:firstLine="0"/>
        <w:jc w:val="both"/>
        <w:rPr>
          <w:rFonts w:ascii="Arial" w:hAnsi="Arial"/>
          <w:i/>
          <w:sz w:val="22"/>
        </w:rPr>
      </w:pPr>
      <w:r>
        <w:rPr>
          <w:rFonts w:ascii="Arial" w:hAnsi="Arial"/>
          <w:i/>
          <w:sz w:val="22"/>
        </w:rPr>
        <w:t>3.3.10 Si bien son muchas las formas en las cuales los ciudadanos andinos pueden</w:t>
      </w:r>
      <w:r>
        <w:rPr>
          <w:rFonts w:ascii="Arial" w:hAnsi="Arial"/>
          <w:i/>
          <w:spacing w:val="-16"/>
          <w:sz w:val="22"/>
        </w:rPr>
        <w:t> </w:t>
      </w:r>
      <w:r>
        <w:rPr>
          <w:rFonts w:ascii="Arial" w:hAnsi="Arial"/>
          <w:i/>
          <w:sz w:val="22"/>
        </w:rPr>
        <w:t>ser</w:t>
      </w:r>
      <w:r>
        <w:rPr>
          <w:rFonts w:ascii="Arial" w:hAnsi="Arial"/>
          <w:i/>
          <w:spacing w:val="-15"/>
          <w:sz w:val="22"/>
        </w:rPr>
        <w:t> </w:t>
      </w:r>
      <w:r>
        <w:rPr>
          <w:rFonts w:ascii="Arial" w:hAnsi="Arial"/>
          <w:i/>
          <w:sz w:val="22"/>
        </w:rPr>
        <w:t>partícipes</w:t>
      </w:r>
      <w:r>
        <w:rPr>
          <w:rFonts w:ascii="Arial" w:hAnsi="Arial"/>
          <w:i/>
          <w:spacing w:val="-15"/>
          <w:sz w:val="22"/>
        </w:rPr>
        <w:t> </w:t>
      </w:r>
      <w:r>
        <w:rPr>
          <w:rFonts w:ascii="Arial" w:hAnsi="Arial"/>
          <w:i/>
          <w:sz w:val="22"/>
        </w:rPr>
        <w:t>directos</w:t>
      </w:r>
      <w:r>
        <w:rPr>
          <w:rFonts w:ascii="Arial" w:hAnsi="Arial"/>
          <w:i/>
          <w:spacing w:val="-16"/>
          <w:sz w:val="22"/>
        </w:rPr>
        <w:t> </w:t>
      </w:r>
      <w:r>
        <w:rPr>
          <w:rFonts w:ascii="Arial" w:hAnsi="Arial"/>
          <w:i/>
          <w:sz w:val="22"/>
        </w:rPr>
        <w:t>del</w:t>
      </w:r>
      <w:r>
        <w:rPr>
          <w:rFonts w:ascii="Arial" w:hAnsi="Arial"/>
          <w:i/>
          <w:spacing w:val="-15"/>
          <w:sz w:val="22"/>
        </w:rPr>
        <w:t> </w:t>
      </w:r>
      <w:r>
        <w:rPr>
          <w:rFonts w:ascii="Arial" w:hAnsi="Arial"/>
          <w:i/>
          <w:sz w:val="22"/>
        </w:rPr>
        <w:t>proceso</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integración</w:t>
      </w:r>
      <w:r>
        <w:rPr>
          <w:rFonts w:ascii="Arial" w:hAnsi="Arial"/>
          <w:i/>
          <w:spacing w:val="-16"/>
          <w:sz w:val="22"/>
        </w:rPr>
        <w:t> </w:t>
      </w:r>
      <w:r>
        <w:rPr>
          <w:rFonts w:ascii="Arial" w:hAnsi="Arial"/>
          <w:i/>
          <w:sz w:val="22"/>
        </w:rPr>
        <w:t>y</w:t>
      </w:r>
      <w:r>
        <w:rPr>
          <w:rFonts w:ascii="Arial" w:hAnsi="Arial"/>
          <w:i/>
          <w:spacing w:val="-15"/>
          <w:sz w:val="22"/>
        </w:rPr>
        <w:t> </w:t>
      </w:r>
      <w:r>
        <w:rPr>
          <w:rFonts w:ascii="Arial" w:hAnsi="Arial"/>
          <w:i/>
          <w:sz w:val="22"/>
        </w:rPr>
        <w:t>percibir</w:t>
      </w:r>
      <w:r>
        <w:rPr>
          <w:rFonts w:ascii="Arial" w:hAnsi="Arial"/>
          <w:i/>
          <w:spacing w:val="-15"/>
          <w:sz w:val="22"/>
        </w:rPr>
        <w:t> </w:t>
      </w:r>
      <w:r>
        <w:rPr>
          <w:rFonts w:ascii="Arial" w:hAnsi="Arial"/>
          <w:i/>
          <w:sz w:val="22"/>
        </w:rPr>
        <w:t>de</w:t>
      </w:r>
      <w:r>
        <w:rPr>
          <w:rFonts w:ascii="Arial" w:hAnsi="Arial"/>
          <w:i/>
          <w:spacing w:val="-16"/>
          <w:sz w:val="22"/>
        </w:rPr>
        <w:t> </w:t>
      </w:r>
      <w:r>
        <w:rPr>
          <w:rFonts w:ascii="Arial" w:hAnsi="Arial"/>
          <w:i/>
          <w:sz w:val="22"/>
        </w:rPr>
        <w:t>manera inmediata sus beneficios, no cabe duda de que la posibilidad de circular libremente en el territorio comunitario es una de las más emblemáticas y constituye uno de los principales logros del proceso integrador.”</w:t>
      </w:r>
    </w:p>
    <w:p>
      <w:pPr>
        <w:pStyle w:val="BodyText"/>
        <w:spacing w:before="1"/>
        <w:rPr>
          <w:rFonts w:ascii="Arial"/>
          <w:i/>
        </w:rPr>
      </w:pPr>
    </w:p>
    <w:p>
      <w:pPr>
        <w:pStyle w:val="ListParagraph"/>
        <w:numPr>
          <w:ilvl w:val="0"/>
          <w:numId w:val="11"/>
        </w:numPr>
        <w:tabs>
          <w:tab w:pos="1134" w:val="left" w:leader="none"/>
        </w:tabs>
        <w:spacing w:line="240" w:lineRule="auto" w:before="0" w:after="0"/>
        <w:ind w:left="1134" w:right="0" w:hanging="566"/>
        <w:jc w:val="left"/>
        <w:rPr>
          <w:sz w:val="22"/>
        </w:rPr>
      </w:pPr>
      <w:r>
        <w:rPr>
          <w:sz w:val="22"/>
        </w:rPr>
        <w:t>Asimismo,</w:t>
      </w:r>
      <w:r>
        <w:rPr>
          <w:spacing w:val="-8"/>
          <w:sz w:val="22"/>
        </w:rPr>
        <w:t> </w:t>
      </w:r>
      <w:r>
        <w:rPr>
          <w:sz w:val="22"/>
        </w:rPr>
        <w:t>en</w:t>
      </w:r>
      <w:r>
        <w:rPr>
          <w:spacing w:val="-8"/>
          <w:sz w:val="22"/>
        </w:rPr>
        <w:t> </w:t>
      </w:r>
      <w:r>
        <w:rPr>
          <w:sz w:val="22"/>
        </w:rPr>
        <w:t>su</w:t>
      </w:r>
      <w:r>
        <w:rPr>
          <w:spacing w:val="-6"/>
          <w:sz w:val="22"/>
        </w:rPr>
        <w:t> </w:t>
      </w:r>
      <w:r>
        <w:rPr>
          <w:sz w:val="22"/>
        </w:rPr>
        <w:t>sentencia</w:t>
      </w:r>
      <w:r>
        <w:rPr>
          <w:spacing w:val="-7"/>
          <w:sz w:val="22"/>
        </w:rPr>
        <w:t> </w:t>
      </w:r>
      <w:r>
        <w:rPr>
          <w:sz w:val="22"/>
        </w:rPr>
        <w:t>del</w:t>
      </w:r>
      <w:r>
        <w:rPr>
          <w:spacing w:val="-6"/>
          <w:sz w:val="22"/>
        </w:rPr>
        <w:t> </w:t>
      </w:r>
      <w:r>
        <w:rPr>
          <w:sz w:val="22"/>
        </w:rPr>
        <w:t>Proceso</w:t>
      </w:r>
      <w:r>
        <w:rPr>
          <w:spacing w:val="-8"/>
          <w:sz w:val="22"/>
        </w:rPr>
        <w:t> </w:t>
      </w:r>
      <w:r>
        <w:rPr>
          <w:sz w:val="22"/>
        </w:rPr>
        <w:t>01-AN-2014</w:t>
      </w:r>
      <w:hyperlink w:history="true" w:anchor="_bookmark60">
        <w:r>
          <w:rPr>
            <w:sz w:val="22"/>
            <w:vertAlign w:val="superscript"/>
          </w:rPr>
          <w:t>18</w:t>
        </w:r>
      </w:hyperlink>
      <w:r>
        <w:rPr>
          <w:sz w:val="22"/>
          <w:vertAlign w:val="baseline"/>
        </w:rPr>
        <w:t>,</w:t>
      </w:r>
      <w:r>
        <w:rPr>
          <w:spacing w:val="-5"/>
          <w:sz w:val="22"/>
          <w:vertAlign w:val="baseline"/>
        </w:rPr>
        <w:t> </w:t>
      </w:r>
      <w:r>
        <w:rPr>
          <w:sz w:val="22"/>
          <w:vertAlign w:val="baseline"/>
        </w:rPr>
        <w:t>ese</w:t>
      </w:r>
      <w:r>
        <w:rPr>
          <w:spacing w:val="-8"/>
          <w:sz w:val="22"/>
          <w:vertAlign w:val="baseline"/>
        </w:rPr>
        <w:t> </w:t>
      </w:r>
      <w:r>
        <w:rPr>
          <w:sz w:val="22"/>
          <w:vertAlign w:val="baseline"/>
        </w:rPr>
        <w:t>Honorable</w:t>
      </w:r>
      <w:r>
        <w:rPr>
          <w:spacing w:val="-6"/>
          <w:sz w:val="22"/>
          <w:vertAlign w:val="baseline"/>
        </w:rPr>
        <w:t> </w:t>
      </w:r>
      <w:r>
        <w:rPr>
          <w:sz w:val="22"/>
          <w:vertAlign w:val="baseline"/>
        </w:rPr>
        <w:t>Tribunal</w:t>
      </w:r>
      <w:r>
        <w:rPr>
          <w:spacing w:val="-7"/>
          <w:sz w:val="22"/>
          <w:vertAlign w:val="baseline"/>
        </w:rPr>
        <w:t> </w:t>
      </w:r>
      <w:r>
        <w:rPr>
          <w:spacing w:val="-2"/>
          <w:sz w:val="22"/>
          <w:vertAlign w:val="baseline"/>
        </w:rPr>
        <w:t>añadió:</w:t>
      </w:r>
    </w:p>
    <w:p>
      <w:pPr>
        <w:pStyle w:val="BodyText"/>
        <w:spacing w:before="105"/>
        <w:rPr>
          <w:sz w:val="20"/>
        </w:rPr>
      </w:pPr>
      <w:r>
        <w:rPr>
          <w:sz w:val="20"/>
        </w:rPr>
        <mc:AlternateContent>
          <mc:Choice Requires="wps">
            <w:drawing>
              <wp:anchor distT="0" distB="0" distL="0" distR="0" allowOverlap="1" layoutInCell="1" locked="0" behindDoc="1" simplePos="0" relativeHeight="487623168">
                <wp:simplePos x="0" y="0"/>
                <wp:positionH relativeFrom="page">
                  <wp:posOffset>990904</wp:posOffset>
                </wp:positionH>
                <wp:positionV relativeFrom="paragraph">
                  <wp:posOffset>228556</wp:posOffset>
                </wp:positionV>
                <wp:extent cx="1829435" cy="7620"/>
                <wp:effectExtent l="0" t="0" r="0" b="0"/>
                <wp:wrapTopAndBottom/>
                <wp:docPr id="327" name="Graphic 327"/>
                <wp:cNvGraphicFramePr>
                  <a:graphicFrameLocks/>
                </wp:cNvGraphicFramePr>
                <a:graphic>
                  <a:graphicData uri="http://schemas.microsoft.com/office/word/2010/wordprocessingShape">
                    <wps:wsp>
                      <wps:cNvPr id="327" name="Graphic 327"/>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7.996582pt;width:144.020pt;height:.599980pt;mso-position-horizontal-relative:page;mso-position-vertical-relative:paragraph;z-index:-15693312;mso-wrap-distance-left:0;mso-wrap-distance-right:0" id="docshape241" filled="true" fillcolor="#000000" stroked="false">
                <v:fill type="solid"/>
                <w10:wrap type="topAndBottom"/>
              </v:rect>
            </w:pict>
          </mc:Fallback>
        </mc:AlternateContent>
      </w:r>
    </w:p>
    <w:p>
      <w:pPr>
        <w:pStyle w:val="BodyText"/>
        <w:rPr>
          <w:sz w:val="16"/>
        </w:rPr>
      </w:pPr>
    </w:p>
    <w:p>
      <w:pPr>
        <w:pStyle w:val="BodyText"/>
        <w:spacing w:before="7"/>
        <w:rPr>
          <w:sz w:val="16"/>
        </w:rPr>
      </w:pPr>
    </w:p>
    <w:p>
      <w:pPr>
        <w:spacing w:before="0"/>
        <w:ind w:left="568" w:right="0" w:firstLine="0"/>
        <w:jc w:val="left"/>
        <w:rPr>
          <w:rFonts w:ascii="Times New Roman" w:hAnsi="Times New Roman"/>
          <w:sz w:val="16"/>
        </w:rPr>
      </w:pPr>
      <w:bookmarkStart w:name="_bookmark60" w:id="61"/>
      <w:bookmarkEnd w:id="61"/>
      <w:r>
        <w:rPr/>
      </w:r>
      <w:r>
        <w:rPr>
          <w:sz w:val="16"/>
          <w:vertAlign w:val="superscript"/>
        </w:rPr>
        <w:t>18</w:t>
      </w:r>
      <w:r>
        <w:rPr>
          <w:spacing w:val="-10"/>
          <w:sz w:val="16"/>
          <w:vertAlign w:val="baseline"/>
        </w:rPr>
        <w:t> </w:t>
      </w:r>
      <w:r>
        <w:rPr>
          <w:rFonts w:ascii="Times New Roman" w:hAnsi="Times New Roman"/>
          <w:sz w:val="16"/>
          <w:vertAlign w:val="baseline"/>
        </w:rPr>
        <w:t>Respecto</w:t>
      </w:r>
      <w:r>
        <w:rPr>
          <w:rFonts w:ascii="Times New Roman" w:hAnsi="Times New Roman"/>
          <w:spacing w:val="-6"/>
          <w:sz w:val="16"/>
          <w:vertAlign w:val="baseline"/>
        </w:rPr>
        <w:t> </w:t>
      </w:r>
      <w:r>
        <w:rPr>
          <w:rFonts w:ascii="Times New Roman" w:hAnsi="Times New Roman"/>
          <w:sz w:val="16"/>
          <w:vertAlign w:val="baseline"/>
        </w:rPr>
        <w:t>del</w:t>
      </w:r>
      <w:r>
        <w:rPr>
          <w:rFonts w:ascii="Times New Roman" w:hAnsi="Times New Roman"/>
          <w:spacing w:val="-4"/>
          <w:sz w:val="16"/>
          <w:vertAlign w:val="baseline"/>
        </w:rPr>
        <w:t> </w:t>
      </w:r>
      <w:r>
        <w:rPr>
          <w:rFonts w:ascii="Times New Roman" w:hAnsi="Times New Roman"/>
          <w:sz w:val="16"/>
          <w:vertAlign w:val="baseline"/>
        </w:rPr>
        <w:t>Programa</w:t>
      </w:r>
      <w:r>
        <w:rPr>
          <w:rFonts w:ascii="Times New Roman" w:hAnsi="Times New Roman"/>
          <w:spacing w:val="-7"/>
          <w:sz w:val="16"/>
          <w:vertAlign w:val="baseline"/>
        </w:rPr>
        <w:t> </w:t>
      </w:r>
      <w:r>
        <w:rPr>
          <w:rFonts w:ascii="Times New Roman" w:hAnsi="Times New Roman"/>
          <w:sz w:val="16"/>
          <w:vertAlign w:val="baseline"/>
        </w:rPr>
        <w:t>de</w:t>
      </w:r>
      <w:r>
        <w:rPr>
          <w:rFonts w:ascii="Times New Roman" w:hAnsi="Times New Roman"/>
          <w:spacing w:val="-6"/>
          <w:sz w:val="16"/>
          <w:vertAlign w:val="baseline"/>
        </w:rPr>
        <w:t> </w:t>
      </w:r>
      <w:r>
        <w:rPr>
          <w:rFonts w:ascii="Times New Roman" w:hAnsi="Times New Roman"/>
          <w:sz w:val="16"/>
          <w:vertAlign w:val="baseline"/>
        </w:rPr>
        <w:t>Liberación</w:t>
      </w:r>
      <w:r>
        <w:rPr>
          <w:rFonts w:ascii="Times New Roman" w:hAnsi="Times New Roman"/>
          <w:spacing w:val="-6"/>
          <w:sz w:val="16"/>
          <w:vertAlign w:val="baseline"/>
        </w:rPr>
        <w:t> </w:t>
      </w:r>
      <w:r>
        <w:rPr>
          <w:rFonts w:ascii="Times New Roman" w:hAnsi="Times New Roman"/>
          <w:sz w:val="16"/>
          <w:vertAlign w:val="baseline"/>
        </w:rPr>
        <w:t>y</w:t>
      </w:r>
      <w:r>
        <w:rPr>
          <w:rFonts w:ascii="Times New Roman" w:hAnsi="Times New Roman"/>
          <w:spacing w:val="-6"/>
          <w:sz w:val="16"/>
          <w:vertAlign w:val="baseline"/>
        </w:rPr>
        <w:t> </w:t>
      </w:r>
      <w:r>
        <w:rPr>
          <w:rFonts w:ascii="Times New Roman" w:hAnsi="Times New Roman"/>
          <w:sz w:val="16"/>
          <w:vertAlign w:val="baseline"/>
        </w:rPr>
        <w:t>el</w:t>
      </w:r>
      <w:r>
        <w:rPr>
          <w:rFonts w:ascii="Times New Roman" w:hAnsi="Times New Roman"/>
          <w:spacing w:val="-6"/>
          <w:sz w:val="16"/>
          <w:vertAlign w:val="baseline"/>
        </w:rPr>
        <w:t> </w:t>
      </w:r>
      <w:r>
        <w:rPr>
          <w:rFonts w:ascii="Times New Roman" w:hAnsi="Times New Roman"/>
          <w:sz w:val="16"/>
          <w:vertAlign w:val="baseline"/>
        </w:rPr>
        <w:t>Proceso</w:t>
      </w:r>
      <w:r>
        <w:rPr>
          <w:rFonts w:ascii="Times New Roman" w:hAnsi="Times New Roman"/>
          <w:spacing w:val="-5"/>
          <w:sz w:val="16"/>
          <w:vertAlign w:val="baseline"/>
        </w:rPr>
        <w:t> </w:t>
      </w:r>
      <w:r>
        <w:rPr>
          <w:rFonts w:ascii="Times New Roman" w:hAnsi="Times New Roman"/>
          <w:sz w:val="16"/>
          <w:vertAlign w:val="baseline"/>
        </w:rPr>
        <w:t>de</w:t>
      </w:r>
      <w:r>
        <w:rPr>
          <w:rFonts w:ascii="Times New Roman" w:hAnsi="Times New Roman"/>
          <w:spacing w:val="-4"/>
          <w:sz w:val="16"/>
          <w:vertAlign w:val="baseline"/>
        </w:rPr>
        <w:t> </w:t>
      </w:r>
      <w:r>
        <w:rPr>
          <w:rFonts w:ascii="Times New Roman" w:hAnsi="Times New Roman"/>
          <w:sz w:val="16"/>
          <w:vertAlign w:val="baseline"/>
        </w:rPr>
        <w:t>Integración</w:t>
      </w:r>
      <w:r>
        <w:rPr>
          <w:rFonts w:ascii="Times New Roman" w:hAnsi="Times New Roman"/>
          <w:spacing w:val="-4"/>
          <w:sz w:val="16"/>
          <w:vertAlign w:val="baseline"/>
        </w:rPr>
        <w:t> </w:t>
      </w:r>
      <w:r>
        <w:rPr>
          <w:rFonts w:ascii="Times New Roman" w:hAnsi="Times New Roman"/>
          <w:sz w:val="16"/>
          <w:vertAlign w:val="baseline"/>
        </w:rPr>
        <w:t>Subregional</w:t>
      </w:r>
      <w:r>
        <w:rPr>
          <w:rFonts w:ascii="Times New Roman" w:hAnsi="Times New Roman"/>
          <w:spacing w:val="-4"/>
          <w:sz w:val="16"/>
          <w:vertAlign w:val="baseline"/>
        </w:rPr>
        <w:t> </w:t>
      </w:r>
      <w:r>
        <w:rPr>
          <w:rFonts w:ascii="Times New Roman" w:hAnsi="Times New Roman"/>
          <w:spacing w:val="-2"/>
          <w:sz w:val="16"/>
          <w:vertAlign w:val="baseline"/>
        </w:rPr>
        <w:t>Andino.</w:t>
      </w:r>
    </w:p>
    <w:p>
      <w:pPr>
        <w:spacing w:after="0"/>
        <w:jc w:val="left"/>
        <w:rPr>
          <w:rFonts w:ascii="Times New Roman" w:hAnsi="Times New Roman"/>
          <w:sz w:val="16"/>
        </w:rPr>
        <w:sectPr>
          <w:pgSz w:w="11900" w:h="16850"/>
          <w:pgMar w:header="370" w:footer="651" w:top="1380" w:bottom="840" w:left="992" w:right="283"/>
        </w:sectPr>
      </w:pPr>
    </w:p>
    <w:p>
      <w:pPr>
        <w:pStyle w:val="BodyText"/>
        <w:rPr>
          <w:rFonts w:ascii="Times New Roman"/>
        </w:rPr>
      </w:pPr>
    </w:p>
    <w:p>
      <w:pPr>
        <w:pStyle w:val="BodyText"/>
        <w:spacing w:before="177"/>
        <w:rPr>
          <w:rFonts w:ascii="Times New Roman"/>
        </w:rPr>
      </w:pPr>
    </w:p>
    <w:p>
      <w:pPr>
        <w:spacing w:before="1"/>
        <w:ind w:left="2128" w:right="980" w:firstLine="0"/>
        <w:jc w:val="both"/>
        <w:rPr>
          <w:sz w:val="22"/>
        </w:rPr>
      </w:pPr>
      <w:r>
        <w:rPr>
          <w:sz w:val="22"/>
        </w:rPr>
        <w:t>“</w:t>
      </w:r>
      <w:r>
        <w:rPr>
          <w:rFonts w:ascii="Arial" w:hAnsi="Arial"/>
          <w:i/>
          <w:sz w:val="22"/>
        </w:rPr>
        <w:t>3.2.5. Conforme al Artículo 72 del Acuerdo de Cartagena, el Programa de Liberación tiene por objeto eliminar los gravámenes y restricciones de todo orden que incidan sobre la importación de productos originarios del territorio de</w:t>
      </w:r>
      <w:r>
        <w:rPr>
          <w:rFonts w:ascii="Arial" w:hAnsi="Arial"/>
          <w:i/>
          <w:spacing w:val="-3"/>
          <w:sz w:val="22"/>
        </w:rPr>
        <w:t> </w:t>
      </w:r>
      <w:r>
        <w:rPr>
          <w:rFonts w:ascii="Arial" w:hAnsi="Arial"/>
          <w:i/>
          <w:sz w:val="22"/>
        </w:rPr>
        <w:t>cualquier</w:t>
      </w:r>
      <w:r>
        <w:rPr>
          <w:rFonts w:ascii="Arial" w:hAnsi="Arial"/>
          <w:i/>
          <w:spacing w:val="-2"/>
          <w:sz w:val="22"/>
        </w:rPr>
        <w:t> </w:t>
      </w:r>
      <w:r>
        <w:rPr>
          <w:rFonts w:ascii="Arial" w:hAnsi="Arial"/>
          <w:i/>
          <w:sz w:val="22"/>
        </w:rPr>
        <w:t>país</w:t>
      </w:r>
      <w:r>
        <w:rPr>
          <w:rFonts w:ascii="Arial" w:hAnsi="Arial"/>
          <w:i/>
          <w:spacing w:val="-5"/>
          <w:sz w:val="22"/>
        </w:rPr>
        <w:t> </w:t>
      </w:r>
      <w:r>
        <w:rPr>
          <w:rFonts w:ascii="Arial" w:hAnsi="Arial"/>
          <w:i/>
          <w:sz w:val="22"/>
        </w:rPr>
        <w:t>miembro.</w:t>
      </w:r>
      <w:r>
        <w:rPr>
          <w:rFonts w:ascii="Arial" w:hAnsi="Arial"/>
          <w:i/>
          <w:spacing w:val="-2"/>
          <w:sz w:val="22"/>
        </w:rPr>
        <w:t> </w:t>
      </w:r>
      <w:r>
        <w:rPr>
          <w:rFonts w:ascii="Arial" w:hAnsi="Arial"/>
          <w:i/>
          <w:sz w:val="22"/>
        </w:rPr>
        <w:t>En</w:t>
      </w:r>
      <w:r>
        <w:rPr>
          <w:rFonts w:ascii="Arial" w:hAnsi="Arial"/>
          <w:i/>
          <w:spacing w:val="-5"/>
          <w:sz w:val="22"/>
        </w:rPr>
        <w:t> </w:t>
      </w:r>
      <w:r>
        <w:rPr>
          <w:rFonts w:ascii="Arial" w:hAnsi="Arial"/>
          <w:i/>
          <w:sz w:val="22"/>
        </w:rPr>
        <w:t>ese</w:t>
      </w:r>
      <w:r>
        <w:rPr>
          <w:rFonts w:ascii="Arial" w:hAnsi="Arial"/>
          <w:i/>
          <w:spacing w:val="-1"/>
          <w:sz w:val="22"/>
        </w:rPr>
        <w:t> </w:t>
      </w:r>
      <w:r>
        <w:rPr>
          <w:rFonts w:ascii="Arial" w:hAnsi="Arial"/>
          <w:i/>
          <w:sz w:val="22"/>
        </w:rPr>
        <w:t>sentido,</w:t>
      </w:r>
      <w:r>
        <w:rPr>
          <w:rFonts w:ascii="Arial" w:hAnsi="Arial"/>
          <w:i/>
          <w:spacing w:val="-4"/>
          <w:sz w:val="22"/>
        </w:rPr>
        <w:t> </w:t>
      </w:r>
      <w:r>
        <w:rPr>
          <w:rFonts w:ascii="Arial" w:hAnsi="Arial"/>
          <w:i/>
          <w:sz w:val="22"/>
        </w:rPr>
        <w:t>el</w:t>
      </w:r>
      <w:r>
        <w:rPr>
          <w:rFonts w:ascii="Arial" w:hAnsi="Arial"/>
          <w:i/>
          <w:spacing w:val="-4"/>
          <w:sz w:val="22"/>
        </w:rPr>
        <w:t> </w:t>
      </w:r>
      <w:r>
        <w:rPr>
          <w:rFonts w:ascii="Arial" w:hAnsi="Arial"/>
          <w:i/>
          <w:sz w:val="22"/>
        </w:rPr>
        <w:t>Artículo</w:t>
      </w:r>
      <w:r>
        <w:rPr>
          <w:rFonts w:ascii="Arial" w:hAnsi="Arial"/>
          <w:i/>
          <w:spacing w:val="-3"/>
          <w:sz w:val="22"/>
        </w:rPr>
        <w:t> </w:t>
      </w:r>
      <w:r>
        <w:rPr>
          <w:rFonts w:ascii="Arial" w:hAnsi="Arial"/>
          <w:i/>
          <w:sz w:val="22"/>
        </w:rPr>
        <w:t>73</w:t>
      </w:r>
      <w:r>
        <w:rPr>
          <w:rFonts w:ascii="Arial" w:hAnsi="Arial"/>
          <w:i/>
          <w:spacing w:val="-3"/>
          <w:sz w:val="22"/>
        </w:rPr>
        <w:t> </w:t>
      </w:r>
      <w:r>
        <w:rPr>
          <w:rFonts w:ascii="Arial" w:hAnsi="Arial"/>
          <w:i/>
          <w:sz w:val="22"/>
        </w:rPr>
        <w:t>de</w:t>
      </w:r>
      <w:r>
        <w:rPr>
          <w:rFonts w:ascii="Arial" w:hAnsi="Arial"/>
          <w:i/>
          <w:spacing w:val="-5"/>
          <w:sz w:val="22"/>
        </w:rPr>
        <w:t> </w:t>
      </w:r>
      <w:r>
        <w:rPr>
          <w:rFonts w:ascii="Arial" w:hAnsi="Arial"/>
          <w:i/>
          <w:sz w:val="22"/>
        </w:rPr>
        <w:t>la</w:t>
      </w:r>
      <w:r>
        <w:rPr>
          <w:rFonts w:ascii="Arial" w:hAnsi="Arial"/>
          <w:i/>
          <w:spacing w:val="-3"/>
          <w:sz w:val="22"/>
        </w:rPr>
        <w:t> </w:t>
      </w:r>
      <w:r>
        <w:rPr>
          <w:rFonts w:ascii="Arial" w:hAnsi="Arial"/>
          <w:i/>
          <w:sz w:val="22"/>
        </w:rPr>
        <w:t>misma</w:t>
      </w:r>
      <w:r>
        <w:rPr>
          <w:rFonts w:ascii="Arial" w:hAnsi="Arial"/>
          <w:i/>
          <w:spacing w:val="-3"/>
          <w:sz w:val="22"/>
        </w:rPr>
        <w:t> </w:t>
      </w:r>
      <w:r>
        <w:rPr>
          <w:rFonts w:ascii="Arial" w:hAnsi="Arial"/>
          <w:i/>
          <w:sz w:val="22"/>
        </w:rPr>
        <w:t>norma le otorga carácter automático e irrevocable, precisando que comprende la universalidad de los productos, salvo las disposiciones de excepción que se establezca, a fin de llegar a su liberación total en los plazos y modalidades estipuladas.” </w:t>
      </w:r>
      <w:r>
        <w:rPr>
          <w:sz w:val="22"/>
        </w:rPr>
        <w:t>(Énfasis fuera del texto)</w:t>
      </w:r>
    </w:p>
    <w:p>
      <w:pPr>
        <w:pStyle w:val="ListParagraph"/>
        <w:numPr>
          <w:ilvl w:val="0"/>
          <w:numId w:val="11"/>
        </w:numPr>
        <w:tabs>
          <w:tab w:pos="1130" w:val="left" w:leader="none"/>
          <w:tab w:pos="1134" w:val="left" w:leader="none"/>
        </w:tabs>
        <w:spacing w:line="240" w:lineRule="auto" w:before="251" w:after="0"/>
        <w:ind w:left="1134" w:right="976" w:hanging="567"/>
        <w:jc w:val="both"/>
        <w:rPr>
          <w:sz w:val="22"/>
        </w:rPr>
      </w:pPr>
      <w:r>
        <w:rPr>
          <w:sz w:val="22"/>
        </w:rPr>
        <w:t>En este marco, el análisis de la SGCAN tendrá presente a lo largo del análisis de este caso,</w:t>
      </w:r>
      <w:r>
        <w:rPr>
          <w:spacing w:val="-6"/>
          <w:sz w:val="22"/>
        </w:rPr>
        <w:t> </w:t>
      </w:r>
      <w:r>
        <w:rPr>
          <w:sz w:val="22"/>
        </w:rPr>
        <w:t>fundamentalmente</w:t>
      </w:r>
      <w:r>
        <w:rPr>
          <w:spacing w:val="-7"/>
          <w:sz w:val="22"/>
        </w:rPr>
        <w:t> </w:t>
      </w:r>
      <w:r>
        <w:rPr>
          <w:sz w:val="22"/>
        </w:rPr>
        <w:t>lo</w:t>
      </w:r>
      <w:r>
        <w:rPr>
          <w:spacing w:val="-5"/>
          <w:sz w:val="22"/>
        </w:rPr>
        <w:t> </w:t>
      </w:r>
      <w:r>
        <w:rPr>
          <w:sz w:val="22"/>
        </w:rPr>
        <w:t>señalado</w:t>
      </w:r>
      <w:r>
        <w:rPr>
          <w:spacing w:val="-7"/>
          <w:sz w:val="22"/>
        </w:rPr>
        <w:t> </w:t>
      </w:r>
      <w:r>
        <w:rPr>
          <w:sz w:val="22"/>
        </w:rPr>
        <w:t>en</w:t>
      </w:r>
      <w:r>
        <w:rPr>
          <w:spacing w:val="-8"/>
          <w:sz w:val="22"/>
        </w:rPr>
        <w:t> </w:t>
      </w:r>
      <w:r>
        <w:rPr>
          <w:sz w:val="22"/>
        </w:rPr>
        <w:t>la</w:t>
      </w:r>
      <w:r>
        <w:rPr>
          <w:spacing w:val="-5"/>
          <w:sz w:val="22"/>
        </w:rPr>
        <w:t> </w:t>
      </w:r>
      <w:r>
        <w:rPr>
          <w:sz w:val="22"/>
        </w:rPr>
        <w:t>norma</w:t>
      </w:r>
      <w:r>
        <w:rPr>
          <w:spacing w:val="-10"/>
          <w:sz w:val="22"/>
        </w:rPr>
        <w:t> </w:t>
      </w:r>
      <w:r>
        <w:rPr>
          <w:sz w:val="22"/>
        </w:rPr>
        <w:t>fundacional</w:t>
      </w:r>
      <w:r>
        <w:rPr>
          <w:spacing w:val="-4"/>
          <w:sz w:val="22"/>
        </w:rPr>
        <w:t> </w:t>
      </w:r>
      <w:r>
        <w:rPr>
          <w:sz w:val="22"/>
        </w:rPr>
        <w:t>de</w:t>
      </w:r>
      <w:r>
        <w:rPr>
          <w:spacing w:val="-7"/>
          <w:sz w:val="22"/>
        </w:rPr>
        <w:t> </w:t>
      </w:r>
      <w:r>
        <w:rPr>
          <w:sz w:val="22"/>
        </w:rPr>
        <w:t>la</w:t>
      </w:r>
      <w:r>
        <w:rPr>
          <w:spacing w:val="-5"/>
          <w:sz w:val="22"/>
        </w:rPr>
        <w:t> </w:t>
      </w:r>
      <w:r>
        <w:rPr>
          <w:sz w:val="22"/>
        </w:rPr>
        <w:t>Comunidad</w:t>
      </w:r>
      <w:r>
        <w:rPr>
          <w:spacing w:val="-5"/>
          <w:sz w:val="22"/>
        </w:rPr>
        <w:t> </w:t>
      </w:r>
      <w:r>
        <w:rPr>
          <w:sz w:val="22"/>
        </w:rPr>
        <w:t>Andina, el Programa de Liberación en ella consagrada, así como lo señalado por el TJCAN a este respecto.</w:t>
      </w:r>
    </w:p>
    <w:p>
      <w:pPr>
        <w:pStyle w:val="BodyText"/>
      </w:pPr>
    </w:p>
    <w:p>
      <w:pPr>
        <w:pStyle w:val="Heading5"/>
        <w:numPr>
          <w:ilvl w:val="1"/>
          <w:numId w:val="10"/>
        </w:numPr>
        <w:tabs>
          <w:tab w:pos="1133" w:val="left" w:leader="none"/>
        </w:tabs>
        <w:spacing w:line="240" w:lineRule="auto" w:before="1" w:after="0"/>
        <w:ind w:left="1133" w:right="0" w:hanging="565"/>
        <w:jc w:val="left"/>
      </w:pPr>
      <w:r>
        <w:rPr/>
        <w:t>DE</w:t>
      </w:r>
      <w:r>
        <w:rPr>
          <w:spacing w:val="-6"/>
        </w:rPr>
        <w:t> </w:t>
      </w:r>
      <w:r>
        <w:rPr/>
        <w:t>LOS</w:t>
      </w:r>
      <w:r>
        <w:rPr>
          <w:spacing w:val="-5"/>
        </w:rPr>
        <w:t> </w:t>
      </w:r>
      <w:r>
        <w:rPr/>
        <w:t>ARTÍCULOS</w:t>
      </w:r>
      <w:r>
        <w:rPr>
          <w:spacing w:val="-3"/>
        </w:rPr>
        <w:t> </w:t>
      </w:r>
      <w:r>
        <w:rPr/>
        <w:t>72,</w:t>
      </w:r>
      <w:r>
        <w:rPr>
          <w:spacing w:val="-2"/>
        </w:rPr>
        <w:t> </w:t>
      </w:r>
      <w:r>
        <w:rPr/>
        <w:t>73,</w:t>
      </w:r>
      <w:r>
        <w:rPr>
          <w:spacing w:val="-1"/>
        </w:rPr>
        <w:t> </w:t>
      </w:r>
      <w:r>
        <w:rPr/>
        <w:t>74</w:t>
      </w:r>
      <w:r>
        <w:rPr>
          <w:spacing w:val="-5"/>
        </w:rPr>
        <w:t> </w:t>
      </w:r>
      <w:r>
        <w:rPr/>
        <w:t>Y</w:t>
      </w:r>
      <w:r>
        <w:rPr>
          <w:spacing w:val="-3"/>
        </w:rPr>
        <w:t> </w:t>
      </w:r>
      <w:r>
        <w:rPr/>
        <w:t>77</w:t>
      </w:r>
      <w:r>
        <w:rPr>
          <w:spacing w:val="-5"/>
        </w:rPr>
        <w:t> </w:t>
      </w:r>
      <w:r>
        <w:rPr/>
        <w:t>DEL</w:t>
      </w:r>
      <w:r>
        <w:rPr>
          <w:spacing w:val="-5"/>
        </w:rPr>
        <w:t> </w:t>
      </w:r>
      <w:r>
        <w:rPr/>
        <w:t>ACUERDO</w:t>
      </w:r>
      <w:r>
        <w:rPr>
          <w:spacing w:val="-1"/>
        </w:rPr>
        <w:t> </w:t>
      </w:r>
      <w:r>
        <w:rPr/>
        <w:t>DE</w:t>
      </w:r>
      <w:r>
        <w:rPr>
          <w:spacing w:val="-3"/>
        </w:rPr>
        <w:t> </w:t>
      </w:r>
      <w:r>
        <w:rPr>
          <w:spacing w:val="-2"/>
        </w:rPr>
        <w:t>CARTAGENA</w:t>
      </w:r>
    </w:p>
    <w:p>
      <w:pPr>
        <w:pStyle w:val="BodyText"/>
        <w:rPr>
          <w:rFonts w:ascii="Arial"/>
          <w:b/>
        </w:rPr>
      </w:pPr>
    </w:p>
    <w:p>
      <w:pPr>
        <w:pStyle w:val="ListParagraph"/>
        <w:numPr>
          <w:ilvl w:val="0"/>
          <w:numId w:val="11"/>
        </w:numPr>
        <w:tabs>
          <w:tab w:pos="1134" w:val="left" w:leader="none"/>
        </w:tabs>
        <w:spacing w:line="240" w:lineRule="auto" w:before="0" w:after="0"/>
        <w:ind w:left="1134" w:right="0" w:hanging="566"/>
        <w:jc w:val="left"/>
        <w:rPr>
          <w:sz w:val="22"/>
        </w:rPr>
      </w:pPr>
      <w:r>
        <w:rPr>
          <w:sz w:val="22"/>
        </w:rPr>
        <w:t>Los</w:t>
      </w:r>
      <w:r>
        <w:rPr>
          <w:spacing w:val="-3"/>
          <w:sz w:val="22"/>
        </w:rPr>
        <w:t> </w:t>
      </w:r>
      <w:r>
        <w:rPr>
          <w:sz w:val="22"/>
        </w:rPr>
        <w:t>artículos</w:t>
      </w:r>
      <w:r>
        <w:rPr>
          <w:spacing w:val="-5"/>
          <w:sz w:val="22"/>
        </w:rPr>
        <w:t> </w:t>
      </w:r>
      <w:r>
        <w:rPr>
          <w:sz w:val="22"/>
        </w:rPr>
        <w:t>72,</w:t>
      </w:r>
      <w:r>
        <w:rPr>
          <w:spacing w:val="-4"/>
          <w:sz w:val="22"/>
        </w:rPr>
        <w:t> </w:t>
      </w:r>
      <w:r>
        <w:rPr>
          <w:sz w:val="22"/>
        </w:rPr>
        <w:t>73</w:t>
      </w:r>
      <w:r>
        <w:rPr>
          <w:spacing w:val="-4"/>
          <w:sz w:val="22"/>
        </w:rPr>
        <w:t> </w:t>
      </w:r>
      <w:r>
        <w:rPr>
          <w:sz w:val="22"/>
        </w:rPr>
        <w:t>y</w:t>
      </w:r>
      <w:r>
        <w:rPr>
          <w:spacing w:val="-2"/>
          <w:sz w:val="22"/>
        </w:rPr>
        <w:t> </w:t>
      </w:r>
      <w:r>
        <w:rPr>
          <w:sz w:val="22"/>
        </w:rPr>
        <w:t>74</w:t>
      </w:r>
      <w:r>
        <w:rPr>
          <w:spacing w:val="-5"/>
          <w:sz w:val="22"/>
        </w:rPr>
        <w:t> </w:t>
      </w:r>
      <w:r>
        <w:rPr>
          <w:sz w:val="22"/>
        </w:rPr>
        <w:t>del</w:t>
      </w:r>
      <w:r>
        <w:rPr>
          <w:spacing w:val="-3"/>
          <w:sz w:val="22"/>
        </w:rPr>
        <w:t> </w:t>
      </w:r>
      <w:r>
        <w:rPr>
          <w:sz w:val="22"/>
        </w:rPr>
        <w:t>Acuerdo</w:t>
      </w:r>
      <w:r>
        <w:rPr>
          <w:spacing w:val="-5"/>
          <w:sz w:val="22"/>
        </w:rPr>
        <w:t> </w:t>
      </w:r>
      <w:r>
        <w:rPr>
          <w:sz w:val="22"/>
        </w:rPr>
        <w:t>de</w:t>
      </w:r>
      <w:r>
        <w:rPr>
          <w:spacing w:val="-3"/>
          <w:sz w:val="22"/>
        </w:rPr>
        <w:t> </w:t>
      </w:r>
      <w:r>
        <w:rPr>
          <w:sz w:val="22"/>
        </w:rPr>
        <w:t>Cartagena</w:t>
      </w:r>
      <w:r>
        <w:rPr>
          <w:spacing w:val="-3"/>
          <w:sz w:val="22"/>
        </w:rPr>
        <w:t> </w:t>
      </w:r>
      <w:r>
        <w:rPr>
          <w:spacing w:val="-2"/>
          <w:sz w:val="22"/>
        </w:rPr>
        <w:t>señalan:</w:t>
      </w:r>
    </w:p>
    <w:p>
      <w:pPr>
        <w:pStyle w:val="BodyText"/>
      </w:pPr>
    </w:p>
    <w:p>
      <w:pPr>
        <w:spacing w:before="0"/>
        <w:ind w:left="2270" w:right="1402" w:firstLine="0"/>
        <w:jc w:val="both"/>
        <w:rPr>
          <w:rFonts w:ascii="Arial" w:hAnsi="Arial"/>
          <w:i/>
          <w:sz w:val="22"/>
        </w:rPr>
      </w:pPr>
      <w:r>
        <w:rPr>
          <w:rFonts w:ascii="Arial" w:hAnsi="Arial"/>
          <w:i/>
          <w:sz w:val="22"/>
        </w:rPr>
        <w:t>“Artículo 72.- </w:t>
      </w:r>
      <w:r>
        <w:rPr>
          <w:rFonts w:ascii="Arial" w:hAnsi="Arial"/>
          <w:i/>
          <w:sz w:val="22"/>
          <w:u w:val="single"/>
        </w:rPr>
        <w:t>El Programa de Liberación de bienes tiene por objeto</w:t>
      </w:r>
      <w:r>
        <w:rPr>
          <w:rFonts w:ascii="Arial" w:hAnsi="Arial"/>
          <w:i/>
          <w:sz w:val="22"/>
        </w:rPr>
        <w:t> </w:t>
      </w:r>
      <w:r>
        <w:rPr>
          <w:rFonts w:ascii="Arial" w:hAnsi="Arial"/>
          <w:i/>
          <w:sz w:val="22"/>
          <w:u w:val="single"/>
        </w:rPr>
        <w:t>eliminar los gravámenes</w:t>
      </w:r>
      <w:r>
        <w:rPr>
          <w:rFonts w:ascii="Arial" w:hAnsi="Arial"/>
          <w:i/>
          <w:sz w:val="22"/>
        </w:rPr>
        <w:t> y las restricciones de todo orden que incidan sobre la importación de productos originarios del territorio de cualquier País Miembro.</w:t>
      </w:r>
    </w:p>
    <w:p>
      <w:pPr>
        <w:pStyle w:val="BodyText"/>
        <w:rPr>
          <w:rFonts w:ascii="Arial"/>
          <w:i/>
        </w:rPr>
      </w:pPr>
    </w:p>
    <w:p>
      <w:pPr>
        <w:spacing w:before="0"/>
        <w:ind w:left="2270" w:right="1396" w:firstLine="0"/>
        <w:jc w:val="left"/>
        <w:rPr>
          <w:rFonts w:ascii="Arial" w:hAnsi="Arial"/>
          <w:i/>
          <w:sz w:val="22"/>
        </w:rPr>
      </w:pPr>
      <w:r>
        <w:rPr>
          <w:rFonts w:ascii="Arial" w:hAnsi="Arial"/>
          <w:i/>
          <w:sz w:val="22"/>
        </w:rPr>
        <w:t>Artículo</w:t>
      </w:r>
      <w:r>
        <w:rPr>
          <w:rFonts w:ascii="Arial" w:hAnsi="Arial"/>
          <w:i/>
          <w:spacing w:val="-4"/>
          <w:sz w:val="22"/>
        </w:rPr>
        <w:t> </w:t>
      </w:r>
      <w:r>
        <w:rPr>
          <w:rFonts w:ascii="Arial" w:hAnsi="Arial"/>
          <w:i/>
          <w:sz w:val="22"/>
        </w:rPr>
        <w:t>73.-</w:t>
      </w:r>
      <w:r>
        <w:rPr>
          <w:rFonts w:ascii="Arial" w:hAnsi="Arial"/>
          <w:i/>
          <w:spacing w:val="-2"/>
          <w:sz w:val="22"/>
        </w:rPr>
        <w:t> </w:t>
      </w:r>
      <w:r>
        <w:rPr>
          <w:rFonts w:ascii="Arial" w:hAnsi="Arial"/>
          <w:i/>
          <w:sz w:val="22"/>
          <w:u w:val="single"/>
        </w:rPr>
        <w:t>Se</w:t>
      </w:r>
      <w:r>
        <w:rPr>
          <w:rFonts w:ascii="Arial" w:hAnsi="Arial"/>
          <w:i/>
          <w:spacing w:val="-4"/>
          <w:sz w:val="22"/>
          <w:u w:val="single"/>
        </w:rPr>
        <w:t> </w:t>
      </w:r>
      <w:r>
        <w:rPr>
          <w:rFonts w:ascii="Arial" w:hAnsi="Arial"/>
          <w:i/>
          <w:sz w:val="22"/>
          <w:u w:val="single"/>
        </w:rPr>
        <w:t>entenderá</w:t>
      </w:r>
      <w:r>
        <w:rPr>
          <w:rFonts w:ascii="Arial" w:hAnsi="Arial"/>
          <w:i/>
          <w:spacing w:val="-4"/>
          <w:sz w:val="22"/>
          <w:u w:val="single"/>
        </w:rPr>
        <w:t> </w:t>
      </w:r>
      <w:r>
        <w:rPr>
          <w:rFonts w:ascii="Arial" w:hAnsi="Arial"/>
          <w:i/>
          <w:sz w:val="22"/>
          <w:u w:val="single"/>
        </w:rPr>
        <w:t>por</w:t>
      </w:r>
      <w:r>
        <w:rPr>
          <w:rFonts w:ascii="Arial" w:hAnsi="Arial"/>
          <w:i/>
          <w:spacing w:val="-5"/>
          <w:sz w:val="22"/>
          <w:u w:val="single"/>
        </w:rPr>
        <w:t> </w:t>
      </w:r>
      <w:r>
        <w:rPr>
          <w:rFonts w:ascii="Arial" w:hAnsi="Arial"/>
          <w:i/>
          <w:sz w:val="22"/>
          <w:u w:val="single"/>
        </w:rPr>
        <w:t>“gravámenes”</w:t>
      </w:r>
      <w:r>
        <w:rPr>
          <w:rFonts w:ascii="Arial" w:hAnsi="Arial"/>
          <w:i/>
          <w:spacing w:val="-3"/>
          <w:sz w:val="22"/>
          <w:u w:val="single"/>
        </w:rPr>
        <w:t> </w:t>
      </w:r>
      <w:r>
        <w:rPr>
          <w:rFonts w:ascii="Arial" w:hAnsi="Arial"/>
          <w:i/>
          <w:sz w:val="22"/>
          <w:u w:val="single"/>
        </w:rPr>
        <w:t>los</w:t>
      </w:r>
      <w:r>
        <w:rPr>
          <w:rFonts w:ascii="Arial" w:hAnsi="Arial"/>
          <w:i/>
          <w:spacing w:val="-6"/>
          <w:sz w:val="22"/>
          <w:u w:val="single"/>
        </w:rPr>
        <w:t> </w:t>
      </w:r>
      <w:r>
        <w:rPr>
          <w:rFonts w:ascii="Arial" w:hAnsi="Arial"/>
          <w:i/>
          <w:sz w:val="22"/>
          <w:u w:val="single"/>
        </w:rPr>
        <w:t>derechos</w:t>
      </w:r>
      <w:r>
        <w:rPr>
          <w:rFonts w:ascii="Arial" w:hAnsi="Arial"/>
          <w:i/>
          <w:spacing w:val="-4"/>
          <w:sz w:val="22"/>
          <w:u w:val="single"/>
        </w:rPr>
        <w:t> </w:t>
      </w:r>
      <w:r>
        <w:rPr>
          <w:rFonts w:ascii="Arial" w:hAnsi="Arial"/>
          <w:i/>
          <w:sz w:val="22"/>
          <w:u w:val="single"/>
        </w:rPr>
        <w:t>aduaneros</w:t>
      </w:r>
      <w:r>
        <w:rPr>
          <w:rFonts w:ascii="Arial" w:hAnsi="Arial"/>
          <w:i/>
          <w:spacing w:val="-6"/>
          <w:sz w:val="22"/>
          <w:u w:val="single"/>
        </w:rPr>
        <w:t> </w:t>
      </w:r>
      <w:r>
        <w:rPr>
          <w:rFonts w:ascii="Arial" w:hAnsi="Arial"/>
          <w:i/>
          <w:sz w:val="22"/>
          <w:u w:val="single"/>
        </w:rPr>
        <w:t>y</w:t>
      </w:r>
      <w:r>
        <w:rPr>
          <w:rFonts w:ascii="Arial" w:hAnsi="Arial"/>
          <w:i/>
          <w:sz w:val="22"/>
        </w:rPr>
        <w:t> </w:t>
      </w:r>
      <w:r>
        <w:rPr>
          <w:rFonts w:ascii="Arial" w:hAnsi="Arial"/>
          <w:i/>
          <w:sz w:val="22"/>
          <w:u w:val="single"/>
        </w:rPr>
        <w:t>cualesquier otros recargos de efectos equivalentes</w:t>
      </w:r>
      <w:r>
        <w:rPr>
          <w:rFonts w:ascii="Arial" w:hAnsi="Arial"/>
          <w:i/>
          <w:sz w:val="22"/>
        </w:rPr>
        <w:t>, sean de carácter fiscal, monetario o cambiario, que incidan sobre las importaciones. </w:t>
      </w:r>
      <w:r>
        <w:rPr>
          <w:rFonts w:ascii="Arial" w:hAnsi="Arial"/>
          <w:i/>
          <w:sz w:val="22"/>
          <w:u w:val="single"/>
        </w:rPr>
        <w:t>No</w:t>
      </w:r>
      <w:r>
        <w:rPr>
          <w:rFonts w:ascii="Arial" w:hAnsi="Arial"/>
          <w:i/>
          <w:sz w:val="22"/>
        </w:rPr>
        <w:t> </w:t>
      </w:r>
      <w:r>
        <w:rPr>
          <w:rFonts w:ascii="Arial" w:hAnsi="Arial"/>
          <w:i/>
          <w:sz w:val="22"/>
          <w:u w:val="single"/>
        </w:rPr>
        <w:t>quedarán</w:t>
      </w:r>
      <w:r>
        <w:rPr>
          <w:rFonts w:ascii="Arial" w:hAnsi="Arial"/>
          <w:i/>
          <w:spacing w:val="-16"/>
          <w:sz w:val="22"/>
          <w:u w:val="single"/>
        </w:rPr>
        <w:t> </w:t>
      </w:r>
      <w:r>
        <w:rPr>
          <w:rFonts w:ascii="Arial" w:hAnsi="Arial"/>
          <w:i/>
          <w:sz w:val="22"/>
          <w:u w:val="single"/>
        </w:rPr>
        <w:t>comprendidos</w:t>
      </w:r>
      <w:r>
        <w:rPr>
          <w:rFonts w:ascii="Arial" w:hAnsi="Arial"/>
          <w:i/>
          <w:spacing w:val="-16"/>
          <w:sz w:val="22"/>
          <w:u w:val="single"/>
        </w:rPr>
        <w:t> </w:t>
      </w:r>
      <w:r>
        <w:rPr>
          <w:rFonts w:ascii="Arial" w:hAnsi="Arial"/>
          <w:i/>
          <w:sz w:val="22"/>
          <w:u w:val="single"/>
        </w:rPr>
        <w:t>en</w:t>
      </w:r>
      <w:r>
        <w:rPr>
          <w:rFonts w:ascii="Arial" w:hAnsi="Arial"/>
          <w:i/>
          <w:spacing w:val="-15"/>
          <w:sz w:val="22"/>
          <w:u w:val="single"/>
        </w:rPr>
        <w:t> </w:t>
      </w:r>
      <w:r>
        <w:rPr>
          <w:rFonts w:ascii="Arial" w:hAnsi="Arial"/>
          <w:i/>
          <w:sz w:val="22"/>
          <w:u w:val="single"/>
        </w:rPr>
        <w:t>este</w:t>
      </w:r>
      <w:r>
        <w:rPr>
          <w:rFonts w:ascii="Arial" w:hAnsi="Arial"/>
          <w:i/>
          <w:spacing w:val="-16"/>
          <w:sz w:val="22"/>
          <w:u w:val="single"/>
        </w:rPr>
        <w:t> </w:t>
      </w:r>
      <w:r>
        <w:rPr>
          <w:rFonts w:ascii="Arial" w:hAnsi="Arial"/>
          <w:i/>
          <w:sz w:val="22"/>
          <w:u w:val="single"/>
        </w:rPr>
        <w:t>concepto</w:t>
      </w:r>
      <w:r>
        <w:rPr>
          <w:rFonts w:ascii="Arial" w:hAnsi="Arial"/>
          <w:i/>
          <w:spacing w:val="-17"/>
          <w:sz w:val="22"/>
          <w:u w:val="single"/>
        </w:rPr>
        <w:t> </w:t>
      </w:r>
      <w:r>
        <w:rPr>
          <w:rFonts w:ascii="Arial" w:hAnsi="Arial"/>
          <w:i/>
          <w:sz w:val="22"/>
          <w:u w:val="single"/>
        </w:rPr>
        <w:t>las</w:t>
      </w:r>
      <w:r>
        <w:rPr>
          <w:rFonts w:ascii="Arial" w:hAnsi="Arial"/>
          <w:i/>
          <w:spacing w:val="-16"/>
          <w:sz w:val="22"/>
          <w:u w:val="single"/>
        </w:rPr>
        <w:t> </w:t>
      </w:r>
      <w:r>
        <w:rPr>
          <w:rFonts w:ascii="Arial" w:hAnsi="Arial"/>
          <w:i/>
          <w:sz w:val="22"/>
          <w:u w:val="single"/>
        </w:rPr>
        <w:t>tasas</w:t>
      </w:r>
      <w:r>
        <w:rPr>
          <w:rFonts w:ascii="Arial" w:hAnsi="Arial"/>
          <w:i/>
          <w:spacing w:val="-15"/>
          <w:sz w:val="22"/>
          <w:u w:val="single"/>
        </w:rPr>
        <w:t> </w:t>
      </w:r>
      <w:r>
        <w:rPr>
          <w:rFonts w:ascii="Arial" w:hAnsi="Arial"/>
          <w:i/>
          <w:sz w:val="22"/>
          <w:u w:val="single"/>
        </w:rPr>
        <w:t>y</w:t>
      </w:r>
      <w:r>
        <w:rPr>
          <w:rFonts w:ascii="Arial" w:hAnsi="Arial"/>
          <w:i/>
          <w:spacing w:val="-16"/>
          <w:sz w:val="22"/>
          <w:u w:val="single"/>
        </w:rPr>
        <w:t> </w:t>
      </w:r>
      <w:r>
        <w:rPr>
          <w:rFonts w:ascii="Arial" w:hAnsi="Arial"/>
          <w:i/>
          <w:sz w:val="22"/>
          <w:u w:val="single"/>
        </w:rPr>
        <w:t>recargos</w:t>
      </w:r>
      <w:r>
        <w:rPr>
          <w:rFonts w:ascii="Arial" w:hAnsi="Arial"/>
          <w:i/>
          <w:spacing w:val="-16"/>
          <w:sz w:val="22"/>
          <w:u w:val="single"/>
        </w:rPr>
        <w:t> </w:t>
      </w:r>
      <w:r>
        <w:rPr>
          <w:rFonts w:ascii="Arial" w:hAnsi="Arial"/>
          <w:i/>
          <w:sz w:val="22"/>
          <w:u w:val="single"/>
        </w:rPr>
        <w:t>análogos</w:t>
      </w:r>
      <w:r>
        <w:rPr>
          <w:rFonts w:ascii="Arial" w:hAnsi="Arial"/>
          <w:i/>
          <w:sz w:val="22"/>
        </w:rPr>
        <w:t> </w:t>
      </w:r>
      <w:r>
        <w:rPr>
          <w:rFonts w:ascii="Arial" w:hAnsi="Arial"/>
          <w:i/>
          <w:sz w:val="22"/>
          <w:u w:val="single"/>
        </w:rPr>
        <w:t>cuando correspondan al costo aproximado de los servicios prestados</w:t>
      </w:r>
      <w:r>
        <w:rPr>
          <w:rFonts w:ascii="Arial" w:hAnsi="Arial"/>
          <w:i/>
          <w:sz w:val="22"/>
        </w:rPr>
        <w:t>. </w:t>
      </w:r>
      <w:r>
        <w:rPr>
          <w:rFonts w:ascii="Arial" w:hAnsi="Arial"/>
          <w:i/>
          <w:spacing w:val="-4"/>
          <w:sz w:val="22"/>
        </w:rPr>
        <w:t>(…)</w:t>
      </w:r>
    </w:p>
    <w:p>
      <w:pPr>
        <w:pStyle w:val="BodyText"/>
        <w:spacing w:before="1"/>
        <w:rPr>
          <w:rFonts w:ascii="Arial"/>
          <w:i/>
        </w:rPr>
      </w:pPr>
    </w:p>
    <w:p>
      <w:pPr>
        <w:spacing w:before="0"/>
        <w:ind w:left="2270" w:right="1398" w:firstLine="0"/>
        <w:jc w:val="both"/>
        <w:rPr>
          <w:sz w:val="22"/>
        </w:rPr>
      </w:pPr>
      <w:r>
        <w:rPr>
          <w:rFonts w:ascii="Arial" w:hAnsi="Arial"/>
          <w:i/>
          <w:sz w:val="22"/>
        </w:rPr>
        <w:t>Artículo 74.- Para los efectos de los artículos anteriores, </w:t>
      </w:r>
      <w:r>
        <w:rPr>
          <w:rFonts w:ascii="Arial" w:hAnsi="Arial"/>
          <w:i/>
          <w:sz w:val="22"/>
          <w:u w:val="single"/>
        </w:rPr>
        <w:t>la Secretaría</w:t>
      </w:r>
      <w:r>
        <w:rPr>
          <w:rFonts w:ascii="Arial" w:hAnsi="Arial"/>
          <w:i/>
          <w:sz w:val="22"/>
        </w:rPr>
        <w:t> </w:t>
      </w:r>
      <w:r>
        <w:rPr>
          <w:rFonts w:ascii="Arial" w:hAnsi="Arial"/>
          <w:i/>
          <w:sz w:val="22"/>
          <w:u w:val="single"/>
        </w:rPr>
        <w:t>General</w:t>
      </w:r>
      <w:r>
        <w:rPr>
          <w:rFonts w:ascii="Arial" w:hAnsi="Arial"/>
          <w:i/>
          <w:sz w:val="22"/>
        </w:rPr>
        <w:t>, de oficio o a petición de parte, </w:t>
      </w:r>
      <w:r>
        <w:rPr>
          <w:rFonts w:ascii="Arial" w:hAnsi="Arial"/>
          <w:i/>
          <w:sz w:val="22"/>
          <w:u w:val="single"/>
        </w:rPr>
        <w:t>determinará, en los casos en</w:t>
      </w:r>
      <w:r>
        <w:rPr>
          <w:rFonts w:ascii="Arial" w:hAnsi="Arial"/>
          <w:i/>
          <w:sz w:val="22"/>
        </w:rPr>
        <w:t> </w:t>
      </w:r>
      <w:r>
        <w:rPr>
          <w:rFonts w:ascii="Arial" w:hAnsi="Arial"/>
          <w:i/>
          <w:sz w:val="22"/>
          <w:u w:val="single"/>
        </w:rPr>
        <w:t>que</w:t>
      </w:r>
      <w:r>
        <w:rPr>
          <w:rFonts w:ascii="Arial" w:hAnsi="Arial"/>
          <w:i/>
          <w:spacing w:val="-10"/>
          <w:sz w:val="22"/>
          <w:u w:val="single"/>
        </w:rPr>
        <w:t> </w:t>
      </w:r>
      <w:r>
        <w:rPr>
          <w:rFonts w:ascii="Arial" w:hAnsi="Arial"/>
          <w:i/>
          <w:sz w:val="22"/>
          <w:u w:val="single"/>
        </w:rPr>
        <w:t>sea</w:t>
      </w:r>
      <w:r>
        <w:rPr>
          <w:rFonts w:ascii="Arial" w:hAnsi="Arial"/>
          <w:i/>
          <w:spacing w:val="-10"/>
          <w:sz w:val="22"/>
          <w:u w:val="single"/>
        </w:rPr>
        <w:t> </w:t>
      </w:r>
      <w:r>
        <w:rPr>
          <w:rFonts w:ascii="Arial" w:hAnsi="Arial"/>
          <w:i/>
          <w:sz w:val="22"/>
          <w:u w:val="single"/>
        </w:rPr>
        <w:t>necesario,</w:t>
      </w:r>
      <w:r>
        <w:rPr>
          <w:rFonts w:ascii="Arial" w:hAnsi="Arial"/>
          <w:i/>
          <w:spacing w:val="-11"/>
          <w:sz w:val="22"/>
          <w:u w:val="single"/>
        </w:rPr>
        <w:t> </w:t>
      </w:r>
      <w:r>
        <w:rPr>
          <w:rFonts w:ascii="Arial" w:hAnsi="Arial"/>
          <w:i/>
          <w:sz w:val="22"/>
          <w:u w:val="single"/>
        </w:rPr>
        <w:t>si</w:t>
      </w:r>
      <w:r>
        <w:rPr>
          <w:rFonts w:ascii="Arial" w:hAnsi="Arial"/>
          <w:i/>
          <w:spacing w:val="-11"/>
          <w:sz w:val="22"/>
          <w:u w:val="single"/>
        </w:rPr>
        <w:t> </w:t>
      </w:r>
      <w:r>
        <w:rPr>
          <w:rFonts w:ascii="Arial" w:hAnsi="Arial"/>
          <w:i/>
          <w:sz w:val="22"/>
          <w:u w:val="single"/>
        </w:rPr>
        <w:t>una</w:t>
      </w:r>
      <w:r>
        <w:rPr>
          <w:rFonts w:ascii="Arial" w:hAnsi="Arial"/>
          <w:i/>
          <w:spacing w:val="-10"/>
          <w:sz w:val="22"/>
          <w:u w:val="single"/>
        </w:rPr>
        <w:t> </w:t>
      </w:r>
      <w:r>
        <w:rPr>
          <w:rFonts w:ascii="Arial" w:hAnsi="Arial"/>
          <w:i/>
          <w:sz w:val="22"/>
          <w:u w:val="single"/>
        </w:rPr>
        <w:t>medida</w:t>
      </w:r>
      <w:r>
        <w:rPr>
          <w:rFonts w:ascii="Arial" w:hAnsi="Arial"/>
          <w:i/>
          <w:spacing w:val="-10"/>
          <w:sz w:val="22"/>
          <w:u w:val="single"/>
        </w:rPr>
        <w:t> </w:t>
      </w:r>
      <w:r>
        <w:rPr>
          <w:rFonts w:ascii="Arial" w:hAnsi="Arial"/>
          <w:i/>
          <w:sz w:val="22"/>
          <w:u w:val="single"/>
        </w:rPr>
        <w:t>adoptada</w:t>
      </w:r>
      <w:r>
        <w:rPr>
          <w:rFonts w:ascii="Arial" w:hAnsi="Arial"/>
          <w:i/>
          <w:spacing w:val="-12"/>
          <w:sz w:val="22"/>
          <w:u w:val="single"/>
        </w:rPr>
        <w:t> </w:t>
      </w:r>
      <w:r>
        <w:rPr>
          <w:rFonts w:ascii="Arial" w:hAnsi="Arial"/>
          <w:i/>
          <w:sz w:val="22"/>
          <w:u w:val="single"/>
        </w:rPr>
        <w:t>unilateralmente</w:t>
      </w:r>
      <w:r>
        <w:rPr>
          <w:rFonts w:ascii="Arial" w:hAnsi="Arial"/>
          <w:i/>
          <w:spacing w:val="-12"/>
          <w:sz w:val="22"/>
          <w:u w:val="single"/>
        </w:rPr>
        <w:t> </w:t>
      </w:r>
      <w:r>
        <w:rPr>
          <w:rFonts w:ascii="Arial" w:hAnsi="Arial"/>
          <w:i/>
          <w:sz w:val="22"/>
          <w:u w:val="single"/>
        </w:rPr>
        <w:t>por</w:t>
      </w:r>
      <w:r>
        <w:rPr>
          <w:rFonts w:ascii="Arial" w:hAnsi="Arial"/>
          <w:i/>
          <w:spacing w:val="-11"/>
          <w:sz w:val="22"/>
          <w:u w:val="single"/>
        </w:rPr>
        <w:t> </w:t>
      </w:r>
      <w:r>
        <w:rPr>
          <w:rFonts w:ascii="Arial" w:hAnsi="Arial"/>
          <w:i/>
          <w:sz w:val="22"/>
          <w:u w:val="single"/>
        </w:rPr>
        <w:t>un</w:t>
      </w:r>
      <w:r>
        <w:rPr>
          <w:rFonts w:ascii="Arial" w:hAnsi="Arial"/>
          <w:i/>
          <w:spacing w:val="-13"/>
          <w:sz w:val="22"/>
          <w:u w:val="single"/>
        </w:rPr>
        <w:t> </w:t>
      </w:r>
      <w:r>
        <w:rPr>
          <w:rFonts w:ascii="Arial" w:hAnsi="Arial"/>
          <w:i/>
          <w:sz w:val="22"/>
          <w:u w:val="single"/>
        </w:rPr>
        <w:t>País</w:t>
      </w:r>
      <w:r>
        <w:rPr>
          <w:rFonts w:ascii="Arial" w:hAnsi="Arial"/>
          <w:i/>
          <w:sz w:val="22"/>
        </w:rPr>
        <w:t> </w:t>
      </w:r>
      <w:r>
        <w:rPr>
          <w:rFonts w:ascii="Arial" w:hAnsi="Arial"/>
          <w:i/>
          <w:sz w:val="22"/>
          <w:u w:val="single"/>
        </w:rPr>
        <w:t>Miembro constituye ‘gravamen’ o ‘restricción’</w:t>
      </w:r>
      <w:r>
        <w:rPr>
          <w:rFonts w:ascii="Arial" w:hAnsi="Arial"/>
          <w:i/>
          <w:sz w:val="22"/>
        </w:rPr>
        <w:t>”. </w:t>
      </w:r>
      <w:r>
        <w:rPr>
          <w:sz w:val="22"/>
        </w:rPr>
        <w:t>[énfasis añadido]</w:t>
      </w:r>
    </w:p>
    <w:p>
      <w:pPr>
        <w:pStyle w:val="BodyText"/>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Como</w:t>
      </w:r>
      <w:r>
        <w:rPr>
          <w:spacing w:val="-6"/>
          <w:sz w:val="22"/>
        </w:rPr>
        <w:t> </w:t>
      </w:r>
      <w:r>
        <w:rPr>
          <w:sz w:val="22"/>
        </w:rPr>
        <w:t>se</w:t>
      </w:r>
      <w:r>
        <w:rPr>
          <w:spacing w:val="-6"/>
          <w:sz w:val="22"/>
        </w:rPr>
        <w:t> </w:t>
      </w:r>
      <w:r>
        <w:rPr>
          <w:sz w:val="22"/>
        </w:rPr>
        <w:t>aprecia,</w:t>
      </w:r>
      <w:r>
        <w:rPr>
          <w:spacing w:val="-8"/>
          <w:sz w:val="22"/>
        </w:rPr>
        <w:t> </w:t>
      </w:r>
      <w:r>
        <w:rPr>
          <w:sz w:val="22"/>
        </w:rPr>
        <w:t>los</w:t>
      </w:r>
      <w:r>
        <w:rPr>
          <w:spacing w:val="-6"/>
          <w:sz w:val="22"/>
        </w:rPr>
        <w:t> </w:t>
      </w:r>
      <w:r>
        <w:rPr>
          <w:sz w:val="22"/>
        </w:rPr>
        <w:t>artículos</w:t>
      </w:r>
      <w:r>
        <w:rPr>
          <w:spacing w:val="-6"/>
          <w:sz w:val="22"/>
        </w:rPr>
        <w:t> </w:t>
      </w:r>
      <w:r>
        <w:rPr>
          <w:sz w:val="22"/>
        </w:rPr>
        <w:t>72,</w:t>
      </w:r>
      <w:r>
        <w:rPr>
          <w:spacing w:val="-5"/>
          <w:sz w:val="22"/>
        </w:rPr>
        <w:t> </w:t>
      </w:r>
      <w:r>
        <w:rPr>
          <w:sz w:val="22"/>
        </w:rPr>
        <w:t>73</w:t>
      </w:r>
      <w:r>
        <w:rPr>
          <w:spacing w:val="-9"/>
          <w:sz w:val="22"/>
        </w:rPr>
        <w:t> </w:t>
      </w:r>
      <w:r>
        <w:rPr>
          <w:sz w:val="22"/>
        </w:rPr>
        <w:t>y</w:t>
      </w:r>
      <w:r>
        <w:rPr>
          <w:spacing w:val="-6"/>
          <w:sz w:val="22"/>
        </w:rPr>
        <w:t> </w:t>
      </w:r>
      <w:r>
        <w:rPr>
          <w:sz w:val="22"/>
        </w:rPr>
        <w:t>74</w:t>
      </w:r>
      <w:r>
        <w:rPr>
          <w:spacing w:val="-9"/>
          <w:sz w:val="22"/>
        </w:rPr>
        <w:t> </w:t>
      </w:r>
      <w:r>
        <w:rPr>
          <w:sz w:val="22"/>
        </w:rPr>
        <w:t>del</w:t>
      </w:r>
      <w:r>
        <w:rPr>
          <w:spacing w:val="-7"/>
          <w:sz w:val="22"/>
        </w:rPr>
        <w:t> </w:t>
      </w:r>
      <w:r>
        <w:rPr>
          <w:sz w:val="22"/>
        </w:rPr>
        <w:t>Acuerdo</w:t>
      </w:r>
      <w:r>
        <w:rPr>
          <w:spacing w:val="-6"/>
          <w:sz w:val="22"/>
        </w:rPr>
        <w:t> </w:t>
      </w:r>
      <w:r>
        <w:rPr>
          <w:sz w:val="22"/>
        </w:rPr>
        <w:t>de</w:t>
      </w:r>
      <w:r>
        <w:rPr>
          <w:spacing w:val="-7"/>
          <w:sz w:val="22"/>
        </w:rPr>
        <w:t> </w:t>
      </w:r>
      <w:r>
        <w:rPr>
          <w:sz w:val="22"/>
        </w:rPr>
        <w:t>Cartagena</w:t>
      </w:r>
      <w:r>
        <w:rPr>
          <w:spacing w:val="-9"/>
          <w:sz w:val="22"/>
        </w:rPr>
        <w:t> </w:t>
      </w:r>
      <w:r>
        <w:rPr>
          <w:sz w:val="22"/>
        </w:rPr>
        <w:t>definen</w:t>
      </w:r>
      <w:r>
        <w:rPr>
          <w:spacing w:val="-7"/>
          <w:sz w:val="22"/>
        </w:rPr>
        <w:t> </w:t>
      </w:r>
      <w:r>
        <w:rPr>
          <w:sz w:val="22"/>
        </w:rPr>
        <w:t>el</w:t>
      </w:r>
      <w:r>
        <w:rPr>
          <w:spacing w:val="-7"/>
          <w:sz w:val="22"/>
        </w:rPr>
        <w:t> </w:t>
      </w:r>
      <w:r>
        <w:rPr>
          <w:sz w:val="22"/>
        </w:rPr>
        <w:t>objetivo que persigue el Programa de Liberación de bienes en la Comunidad Andina, así como también </w:t>
      </w:r>
      <w:r>
        <w:rPr>
          <w:sz w:val="22"/>
          <w:u w:val="single"/>
        </w:rPr>
        <w:t>establecen las pautas para que la SGCAN determine sí una medida adoptada</w:t>
      </w:r>
      <w:r>
        <w:rPr>
          <w:sz w:val="22"/>
        </w:rPr>
        <w:t> </w:t>
      </w:r>
      <w:r>
        <w:rPr>
          <w:sz w:val="22"/>
          <w:u w:val="single"/>
        </w:rPr>
        <w:t>por</w:t>
      </w:r>
      <w:r>
        <w:rPr>
          <w:spacing w:val="-10"/>
          <w:sz w:val="22"/>
          <w:u w:val="single"/>
        </w:rPr>
        <w:t> </w:t>
      </w:r>
      <w:r>
        <w:rPr>
          <w:sz w:val="22"/>
          <w:u w:val="single"/>
        </w:rPr>
        <w:t>algún</w:t>
      </w:r>
      <w:r>
        <w:rPr>
          <w:spacing w:val="-9"/>
          <w:sz w:val="22"/>
          <w:u w:val="single"/>
        </w:rPr>
        <w:t> </w:t>
      </w:r>
      <w:r>
        <w:rPr>
          <w:sz w:val="22"/>
          <w:u w:val="single"/>
        </w:rPr>
        <w:t>País</w:t>
      </w:r>
      <w:r>
        <w:rPr>
          <w:spacing w:val="-11"/>
          <w:sz w:val="22"/>
          <w:u w:val="single"/>
        </w:rPr>
        <w:t> </w:t>
      </w:r>
      <w:r>
        <w:rPr>
          <w:sz w:val="22"/>
          <w:u w:val="single"/>
        </w:rPr>
        <w:t>Miembro</w:t>
      </w:r>
      <w:r>
        <w:rPr>
          <w:spacing w:val="-13"/>
          <w:sz w:val="22"/>
          <w:u w:val="single"/>
        </w:rPr>
        <w:t> </w:t>
      </w:r>
      <w:r>
        <w:rPr>
          <w:sz w:val="22"/>
          <w:u w:val="single"/>
        </w:rPr>
        <w:t>constituye</w:t>
      </w:r>
      <w:r>
        <w:rPr>
          <w:spacing w:val="-12"/>
          <w:sz w:val="22"/>
          <w:u w:val="single"/>
        </w:rPr>
        <w:t> </w:t>
      </w:r>
      <w:r>
        <w:rPr>
          <w:sz w:val="22"/>
          <w:u w:val="single"/>
        </w:rPr>
        <w:t>un</w:t>
      </w:r>
      <w:r>
        <w:rPr>
          <w:spacing w:val="-12"/>
          <w:sz w:val="22"/>
          <w:u w:val="single"/>
        </w:rPr>
        <w:t> </w:t>
      </w:r>
      <w:r>
        <w:rPr>
          <w:sz w:val="22"/>
          <w:u w:val="single"/>
        </w:rPr>
        <w:t>gravamen</w:t>
      </w:r>
      <w:r>
        <w:rPr>
          <w:spacing w:val="-11"/>
          <w:sz w:val="22"/>
        </w:rPr>
        <w:t> </w:t>
      </w:r>
      <w:r>
        <w:rPr>
          <w:sz w:val="22"/>
        </w:rPr>
        <w:t>en</w:t>
      </w:r>
      <w:r>
        <w:rPr>
          <w:spacing w:val="-9"/>
          <w:sz w:val="22"/>
        </w:rPr>
        <w:t> </w:t>
      </w:r>
      <w:r>
        <w:rPr>
          <w:sz w:val="22"/>
        </w:rPr>
        <w:t>los</w:t>
      </w:r>
      <w:r>
        <w:rPr>
          <w:spacing w:val="-11"/>
          <w:sz w:val="22"/>
        </w:rPr>
        <w:t> </w:t>
      </w:r>
      <w:r>
        <w:rPr>
          <w:sz w:val="22"/>
        </w:rPr>
        <w:t>términos</w:t>
      </w:r>
      <w:r>
        <w:rPr>
          <w:spacing w:val="-11"/>
          <w:sz w:val="22"/>
        </w:rPr>
        <w:t> </w:t>
      </w:r>
      <w:r>
        <w:rPr>
          <w:sz w:val="22"/>
        </w:rPr>
        <w:t>del</w:t>
      </w:r>
      <w:r>
        <w:rPr>
          <w:spacing w:val="-12"/>
          <w:sz w:val="22"/>
        </w:rPr>
        <w:t> </w:t>
      </w:r>
      <w:r>
        <w:rPr>
          <w:sz w:val="22"/>
        </w:rPr>
        <w:t>artículo</w:t>
      </w:r>
      <w:r>
        <w:rPr>
          <w:spacing w:val="-9"/>
          <w:sz w:val="22"/>
        </w:rPr>
        <w:t> </w:t>
      </w:r>
      <w:r>
        <w:rPr>
          <w:sz w:val="22"/>
        </w:rPr>
        <w:t>73</w:t>
      </w:r>
      <w:r>
        <w:rPr>
          <w:spacing w:val="-12"/>
          <w:sz w:val="22"/>
        </w:rPr>
        <w:t> </w:t>
      </w:r>
      <w:r>
        <w:rPr>
          <w:sz w:val="22"/>
        </w:rPr>
        <w:t>de</w:t>
      </w:r>
      <w:r>
        <w:rPr>
          <w:spacing w:val="-12"/>
          <w:sz w:val="22"/>
        </w:rPr>
        <w:t> </w:t>
      </w:r>
      <w:r>
        <w:rPr>
          <w:sz w:val="22"/>
        </w:rPr>
        <w:t>dicho </w:t>
      </w:r>
      <w:r>
        <w:rPr>
          <w:spacing w:val="-2"/>
          <w:sz w:val="22"/>
        </w:rPr>
        <w:t>Acuerdo.</w:t>
      </w:r>
    </w:p>
    <w:p>
      <w:pPr>
        <w:pStyle w:val="ListParagraph"/>
        <w:numPr>
          <w:ilvl w:val="0"/>
          <w:numId w:val="11"/>
        </w:numPr>
        <w:tabs>
          <w:tab w:pos="1130" w:val="left" w:leader="none"/>
          <w:tab w:pos="1134" w:val="left" w:leader="none"/>
        </w:tabs>
        <w:spacing w:line="240" w:lineRule="auto" w:before="253" w:after="0"/>
        <w:ind w:left="1134" w:right="977" w:hanging="567"/>
        <w:jc w:val="both"/>
        <w:rPr>
          <w:sz w:val="22"/>
        </w:rPr>
      </w:pPr>
      <w:r>
        <w:rPr>
          <w:sz w:val="22"/>
        </w:rPr>
        <w:t>El artículo 72 del Acuerdo de Cartagena dispone que el Programa de Liberación de bienes tiene por objeto eliminar los gravámenes y las restricciones de todo orden que incidan sobre la importación de productos originarios del territorio de cualquier País </w:t>
      </w:r>
      <w:r>
        <w:rPr>
          <w:spacing w:val="-2"/>
          <w:sz w:val="22"/>
        </w:rPr>
        <w:t>Miembro.</w:t>
      </w:r>
    </w:p>
    <w:p>
      <w:pPr>
        <w:pStyle w:val="ListParagraph"/>
        <w:numPr>
          <w:ilvl w:val="0"/>
          <w:numId w:val="11"/>
        </w:numPr>
        <w:tabs>
          <w:tab w:pos="1130" w:val="left" w:leader="none"/>
          <w:tab w:pos="1134" w:val="left" w:leader="none"/>
        </w:tabs>
        <w:spacing w:line="240" w:lineRule="auto" w:before="252" w:after="0"/>
        <w:ind w:left="1134" w:right="979" w:hanging="567"/>
        <w:jc w:val="both"/>
        <w:rPr>
          <w:rFonts w:ascii="Arial" w:hAnsi="Arial"/>
          <w:i/>
          <w:sz w:val="24"/>
        </w:rPr>
      </w:pPr>
      <w:r>
        <w:rPr>
          <w:sz w:val="22"/>
        </w:rPr>
        <w:t>Al suscribir el Acuerdo de Cartagena, los Países Miembros se comprometieron a adelantar un</w:t>
      </w:r>
      <w:r>
        <w:rPr>
          <w:spacing w:val="-1"/>
          <w:sz w:val="22"/>
        </w:rPr>
        <w:t> </w:t>
      </w:r>
      <w:r>
        <w:rPr>
          <w:sz w:val="22"/>
        </w:rPr>
        <w:t>Programa de Liberación del</w:t>
      </w:r>
      <w:r>
        <w:rPr>
          <w:spacing w:val="-1"/>
          <w:sz w:val="22"/>
        </w:rPr>
        <w:t> </w:t>
      </w:r>
      <w:r>
        <w:rPr>
          <w:sz w:val="22"/>
        </w:rPr>
        <w:t>comercio tendiente</w:t>
      </w:r>
      <w:r>
        <w:rPr>
          <w:spacing w:val="-1"/>
          <w:sz w:val="22"/>
        </w:rPr>
        <w:t> </w:t>
      </w:r>
      <w:r>
        <w:rPr>
          <w:sz w:val="22"/>
        </w:rPr>
        <w:t>a</w:t>
      </w:r>
      <w:r>
        <w:rPr>
          <w:spacing w:val="-1"/>
          <w:sz w:val="22"/>
        </w:rPr>
        <w:t> </w:t>
      </w:r>
      <w:r>
        <w:rPr>
          <w:sz w:val="22"/>
        </w:rPr>
        <w:t>eliminar las barreras de todo origen respecto al comercio intrarregional. Es así, como en el artículo 72 del referido Acuerdo se dispone que, “</w:t>
      </w:r>
      <w:r>
        <w:rPr>
          <w:rFonts w:ascii="Arial" w:hAnsi="Arial"/>
          <w:i/>
          <w:sz w:val="22"/>
        </w:rPr>
        <w:t>[e]</w:t>
      </w:r>
      <w:r>
        <w:rPr>
          <w:rFonts w:ascii="Arial" w:hAnsi="Arial"/>
          <w:i/>
          <w:sz w:val="24"/>
        </w:rPr>
        <w:t>l Programa de Liberación de bienes tiene por objeto eliminar los gravámenes y las restricciones de todo origen que incidan sobre la importación de productos originarios del territorio de cualquier País </w:t>
      </w:r>
      <w:r>
        <w:rPr>
          <w:rFonts w:ascii="Arial" w:hAnsi="Arial"/>
          <w:i/>
          <w:spacing w:val="-2"/>
          <w:sz w:val="24"/>
        </w:rPr>
        <w:t>Miembro”.</w:t>
      </w:r>
    </w:p>
    <w:p>
      <w:pPr>
        <w:pStyle w:val="ListParagraph"/>
        <w:spacing w:after="0" w:line="240" w:lineRule="auto"/>
        <w:jc w:val="both"/>
        <w:rPr>
          <w:rFonts w:ascii="Arial" w:hAnsi="Arial"/>
          <w:i/>
          <w:sz w:val="24"/>
        </w:rPr>
        <w:sectPr>
          <w:pgSz w:w="11900" w:h="16850"/>
          <w:pgMar w:header="370" w:footer="651" w:top="1380" w:bottom="840" w:left="992" w:right="283"/>
        </w:sectPr>
      </w:pPr>
    </w:p>
    <w:p>
      <w:pPr>
        <w:pStyle w:val="BodyText"/>
        <w:spacing w:before="176"/>
        <w:rPr>
          <w:rFonts w:ascii="Arial"/>
          <w:i/>
        </w:rPr>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A su turno, en el artículo 73 se define lo que debería entenderse por </w:t>
      </w:r>
      <w:r>
        <w:rPr>
          <w:rFonts w:ascii="Arial" w:hAnsi="Arial"/>
          <w:i/>
          <w:sz w:val="22"/>
        </w:rPr>
        <w:t>“gravámenes” </w:t>
      </w:r>
      <w:r>
        <w:rPr>
          <w:sz w:val="22"/>
        </w:rPr>
        <w:t>y </w:t>
      </w:r>
      <w:r>
        <w:rPr>
          <w:rFonts w:ascii="Arial" w:hAnsi="Arial"/>
          <w:i/>
          <w:sz w:val="22"/>
        </w:rPr>
        <w:t>“restricciones</w:t>
      </w:r>
      <w:r>
        <w:rPr>
          <w:rFonts w:ascii="Arial" w:hAnsi="Arial"/>
          <w:i/>
          <w:spacing w:val="-4"/>
          <w:sz w:val="22"/>
        </w:rPr>
        <w:t> </w:t>
      </w:r>
      <w:r>
        <w:rPr>
          <w:rFonts w:ascii="Arial" w:hAnsi="Arial"/>
          <w:i/>
          <w:sz w:val="22"/>
        </w:rPr>
        <w:t>de</w:t>
      </w:r>
      <w:r>
        <w:rPr>
          <w:rFonts w:ascii="Arial" w:hAnsi="Arial"/>
          <w:i/>
          <w:spacing w:val="-7"/>
          <w:sz w:val="22"/>
        </w:rPr>
        <w:t> </w:t>
      </w:r>
      <w:r>
        <w:rPr>
          <w:rFonts w:ascii="Arial" w:hAnsi="Arial"/>
          <w:i/>
          <w:sz w:val="22"/>
        </w:rPr>
        <w:t>todo</w:t>
      </w:r>
      <w:r>
        <w:rPr>
          <w:rFonts w:ascii="Arial" w:hAnsi="Arial"/>
          <w:i/>
          <w:spacing w:val="-4"/>
          <w:sz w:val="22"/>
        </w:rPr>
        <w:t> </w:t>
      </w:r>
      <w:r>
        <w:rPr>
          <w:rFonts w:ascii="Arial" w:hAnsi="Arial"/>
          <w:i/>
          <w:sz w:val="22"/>
        </w:rPr>
        <w:t>orden”</w:t>
      </w:r>
      <w:r>
        <w:rPr>
          <w:sz w:val="22"/>
        </w:rPr>
        <w:t>,</w:t>
      </w:r>
      <w:r>
        <w:rPr>
          <w:spacing w:val="-3"/>
          <w:sz w:val="22"/>
        </w:rPr>
        <w:t> </w:t>
      </w:r>
      <w:r>
        <w:rPr>
          <w:sz w:val="22"/>
        </w:rPr>
        <w:t>a</w:t>
      </w:r>
      <w:r>
        <w:rPr>
          <w:spacing w:val="-4"/>
          <w:sz w:val="22"/>
        </w:rPr>
        <w:t> </w:t>
      </w:r>
      <w:r>
        <w:rPr>
          <w:sz w:val="22"/>
        </w:rPr>
        <w:t>los</w:t>
      </w:r>
      <w:r>
        <w:rPr>
          <w:spacing w:val="-4"/>
          <w:sz w:val="22"/>
        </w:rPr>
        <w:t> </w:t>
      </w:r>
      <w:r>
        <w:rPr>
          <w:sz w:val="22"/>
        </w:rPr>
        <w:t>efectos</w:t>
      </w:r>
      <w:r>
        <w:rPr>
          <w:spacing w:val="-4"/>
          <w:sz w:val="22"/>
        </w:rPr>
        <w:t> </w:t>
      </w:r>
      <w:r>
        <w:rPr>
          <w:sz w:val="22"/>
        </w:rPr>
        <w:t>del</w:t>
      </w:r>
      <w:r>
        <w:rPr>
          <w:spacing w:val="-5"/>
          <w:sz w:val="22"/>
        </w:rPr>
        <w:t> </w:t>
      </w:r>
      <w:r>
        <w:rPr>
          <w:sz w:val="22"/>
        </w:rPr>
        <w:t>Acuerdo.</w:t>
      </w:r>
      <w:r>
        <w:rPr>
          <w:spacing w:val="-3"/>
          <w:sz w:val="22"/>
        </w:rPr>
        <w:t> </w:t>
      </w:r>
      <w:r>
        <w:rPr>
          <w:sz w:val="22"/>
        </w:rPr>
        <w:t>Con</w:t>
      </w:r>
      <w:r>
        <w:rPr>
          <w:spacing w:val="-7"/>
          <w:sz w:val="22"/>
        </w:rPr>
        <w:t> </w:t>
      </w:r>
      <w:r>
        <w:rPr>
          <w:sz w:val="22"/>
        </w:rPr>
        <w:t>relación</w:t>
      </w:r>
      <w:r>
        <w:rPr>
          <w:spacing w:val="-4"/>
          <w:sz w:val="22"/>
        </w:rPr>
        <w:t> </w:t>
      </w:r>
      <w:r>
        <w:rPr>
          <w:sz w:val="22"/>
        </w:rPr>
        <w:t>al</w:t>
      </w:r>
      <w:r>
        <w:rPr>
          <w:spacing w:val="-5"/>
          <w:sz w:val="22"/>
        </w:rPr>
        <w:t> </w:t>
      </w:r>
      <w:r>
        <w:rPr>
          <w:sz w:val="22"/>
        </w:rPr>
        <w:t>primer</w:t>
      </w:r>
      <w:r>
        <w:rPr>
          <w:spacing w:val="-5"/>
          <w:sz w:val="22"/>
        </w:rPr>
        <w:t> </w:t>
      </w:r>
      <w:r>
        <w:rPr>
          <w:sz w:val="22"/>
        </w:rPr>
        <w:t>término, –</w:t>
      </w:r>
      <w:r>
        <w:rPr>
          <w:rFonts w:ascii="Arial" w:hAnsi="Arial"/>
          <w:i/>
          <w:sz w:val="22"/>
        </w:rPr>
        <w:t>que es el concepto que nos interesa definir en el presente procedimiento</w:t>
      </w:r>
      <w:r>
        <w:rPr>
          <w:sz w:val="22"/>
        </w:rPr>
        <w:t>- la norma comunitaria establece lo siguiente:</w:t>
      </w:r>
    </w:p>
    <w:p>
      <w:pPr>
        <w:pStyle w:val="BodyText"/>
      </w:pPr>
    </w:p>
    <w:p>
      <w:pPr>
        <w:spacing w:before="1"/>
        <w:ind w:left="2270" w:right="976" w:firstLine="0"/>
        <w:jc w:val="both"/>
        <w:rPr>
          <w:sz w:val="24"/>
        </w:rPr>
      </w:pPr>
      <w:r>
        <w:rPr>
          <w:sz w:val="24"/>
        </w:rPr>
        <w:t>“</w:t>
      </w:r>
      <w:r>
        <w:rPr>
          <w:rFonts w:ascii="Arial" w:hAnsi="Arial"/>
          <w:i/>
          <w:sz w:val="24"/>
        </w:rPr>
        <w:t>Se entenderá por ´gravámenes´ los derechos aduaneros y cualesquier</w:t>
      </w:r>
      <w:r>
        <w:rPr>
          <w:rFonts w:ascii="Arial" w:hAnsi="Arial"/>
          <w:i/>
          <w:spacing w:val="-1"/>
          <w:sz w:val="24"/>
        </w:rPr>
        <w:t> </w:t>
      </w:r>
      <w:r>
        <w:rPr>
          <w:rFonts w:ascii="Arial" w:hAnsi="Arial"/>
          <w:i/>
          <w:sz w:val="24"/>
        </w:rPr>
        <w:t>otros recargos de</w:t>
      </w:r>
      <w:r>
        <w:rPr>
          <w:rFonts w:ascii="Arial" w:hAnsi="Arial"/>
          <w:i/>
          <w:spacing w:val="-2"/>
          <w:sz w:val="24"/>
        </w:rPr>
        <w:t> </w:t>
      </w:r>
      <w:r>
        <w:rPr>
          <w:rFonts w:ascii="Arial" w:hAnsi="Arial"/>
          <w:i/>
          <w:sz w:val="24"/>
        </w:rPr>
        <w:t>efectos equivalentes, sean</w:t>
      </w:r>
      <w:r>
        <w:rPr>
          <w:rFonts w:ascii="Arial" w:hAnsi="Arial"/>
          <w:i/>
          <w:spacing w:val="-2"/>
          <w:sz w:val="24"/>
        </w:rPr>
        <w:t> </w:t>
      </w:r>
      <w:r>
        <w:rPr>
          <w:rFonts w:ascii="Arial" w:hAnsi="Arial"/>
          <w:i/>
          <w:sz w:val="24"/>
        </w:rPr>
        <w:t>de carácter fiscal,</w:t>
      </w:r>
      <w:r>
        <w:rPr>
          <w:rFonts w:ascii="Arial" w:hAnsi="Arial"/>
          <w:i/>
          <w:spacing w:val="-15"/>
          <w:sz w:val="24"/>
        </w:rPr>
        <w:t> </w:t>
      </w:r>
      <w:r>
        <w:rPr>
          <w:rFonts w:ascii="Arial" w:hAnsi="Arial"/>
          <w:i/>
          <w:sz w:val="24"/>
        </w:rPr>
        <w:t>monetario</w:t>
      </w:r>
      <w:r>
        <w:rPr>
          <w:rFonts w:ascii="Arial" w:hAnsi="Arial"/>
          <w:i/>
          <w:spacing w:val="-14"/>
          <w:sz w:val="24"/>
        </w:rPr>
        <w:t> </w:t>
      </w:r>
      <w:r>
        <w:rPr>
          <w:rFonts w:ascii="Arial" w:hAnsi="Arial"/>
          <w:i/>
          <w:sz w:val="24"/>
        </w:rPr>
        <w:t>o</w:t>
      </w:r>
      <w:r>
        <w:rPr>
          <w:rFonts w:ascii="Arial" w:hAnsi="Arial"/>
          <w:i/>
          <w:spacing w:val="-14"/>
          <w:sz w:val="24"/>
        </w:rPr>
        <w:t> </w:t>
      </w:r>
      <w:r>
        <w:rPr>
          <w:rFonts w:ascii="Arial" w:hAnsi="Arial"/>
          <w:i/>
          <w:sz w:val="24"/>
        </w:rPr>
        <w:t>cambiario,</w:t>
      </w:r>
      <w:r>
        <w:rPr>
          <w:rFonts w:ascii="Arial" w:hAnsi="Arial"/>
          <w:i/>
          <w:spacing w:val="-14"/>
          <w:sz w:val="24"/>
        </w:rPr>
        <w:t> </w:t>
      </w:r>
      <w:r>
        <w:rPr>
          <w:rFonts w:ascii="Arial" w:hAnsi="Arial"/>
          <w:i/>
          <w:sz w:val="24"/>
        </w:rPr>
        <w:t>que</w:t>
      </w:r>
      <w:r>
        <w:rPr>
          <w:rFonts w:ascii="Arial" w:hAnsi="Arial"/>
          <w:i/>
          <w:spacing w:val="-14"/>
          <w:sz w:val="24"/>
        </w:rPr>
        <w:t> </w:t>
      </w:r>
      <w:r>
        <w:rPr>
          <w:rFonts w:ascii="Arial" w:hAnsi="Arial"/>
          <w:i/>
          <w:sz w:val="24"/>
        </w:rPr>
        <w:t>incidan</w:t>
      </w:r>
      <w:r>
        <w:rPr>
          <w:rFonts w:ascii="Arial" w:hAnsi="Arial"/>
          <w:i/>
          <w:spacing w:val="-14"/>
          <w:sz w:val="24"/>
        </w:rPr>
        <w:t> </w:t>
      </w:r>
      <w:r>
        <w:rPr>
          <w:rFonts w:ascii="Arial" w:hAnsi="Arial"/>
          <w:i/>
          <w:sz w:val="24"/>
        </w:rPr>
        <w:t>sobre</w:t>
      </w:r>
      <w:r>
        <w:rPr>
          <w:rFonts w:ascii="Arial" w:hAnsi="Arial"/>
          <w:i/>
          <w:spacing w:val="-14"/>
          <w:sz w:val="24"/>
        </w:rPr>
        <w:t> </w:t>
      </w:r>
      <w:r>
        <w:rPr>
          <w:rFonts w:ascii="Arial" w:hAnsi="Arial"/>
          <w:i/>
          <w:sz w:val="24"/>
        </w:rPr>
        <w:t>las</w:t>
      </w:r>
      <w:r>
        <w:rPr>
          <w:rFonts w:ascii="Arial" w:hAnsi="Arial"/>
          <w:i/>
          <w:spacing w:val="-14"/>
          <w:sz w:val="24"/>
        </w:rPr>
        <w:t> </w:t>
      </w:r>
      <w:r>
        <w:rPr>
          <w:rFonts w:ascii="Arial" w:hAnsi="Arial"/>
          <w:i/>
          <w:sz w:val="24"/>
        </w:rPr>
        <w:t>importaciones.</w:t>
      </w:r>
      <w:r>
        <w:rPr>
          <w:rFonts w:ascii="Arial" w:hAnsi="Arial"/>
          <w:i/>
          <w:spacing w:val="-8"/>
          <w:sz w:val="24"/>
        </w:rPr>
        <w:t> </w:t>
      </w:r>
      <w:r>
        <w:rPr>
          <w:rFonts w:ascii="Arial" w:hAnsi="Arial"/>
          <w:i/>
          <w:sz w:val="24"/>
          <w:u w:val="single"/>
        </w:rPr>
        <w:t>No</w:t>
      </w:r>
      <w:r>
        <w:rPr>
          <w:rFonts w:ascii="Arial" w:hAnsi="Arial"/>
          <w:i/>
          <w:sz w:val="24"/>
        </w:rPr>
        <w:t> </w:t>
      </w:r>
      <w:r>
        <w:rPr>
          <w:rFonts w:ascii="Arial" w:hAnsi="Arial"/>
          <w:i/>
          <w:sz w:val="24"/>
          <w:u w:val="single"/>
        </w:rPr>
        <w:t>quedarán comprendidos en este concepto las tasas y recargos</w:t>
      </w:r>
      <w:r>
        <w:rPr>
          <w:rFonts w:ascii="Arial" w:hAnsi="Arial"/>
          <w:i/>
          <w:sz w:val="24"/>
        </w:rPr>
        <w:t> </w:t>
      </w:r>
      <w:r>
        <w:rPr>
          <w:rFonts w:ascii="Arial" w:hAnsi="Arial"/>
          <w:i/>
          <w:sz w:val="24"/>
          <w:u w:val="single"/>
        </w:rPr>
        <w:t>análogos cuando correspondan al costo aproximado de los servicios</w:t>
      </w:r>
      <w:r>
        <w:rPr>
          <w:rFonts w:ascii="Arial" w:hAnsi="Arial"/>
          <w:i/>
          <w:sz w:val="24"/>
        </w:rPr>
        <w:t> </w:t>
      </w:r>
      <w:r>
        <w:rPr>
          <w:rFonts w:ascii="Arial" w:hAnsi="Arial"/>
          <w:i/>
          <w:sz w:val="24"/>
          <w:u w:val="single"/>
        </w:rPr>
        <w:t>prestados</w:t>
      </w:r>
      <w:r>
        <w:rPr>
          <w:rFonts w:ascii="Arial" w:hAnsi="Arial"/>
          <w:i/>
          <w:sz w:val="24"/>
        </w:rPr>
        <w:t>. (…)” </w:t>
      </w:r>
      <w:r>
        <w:rPr>
          <w:sz w:val="24"/>
        </w:rPr>
        <w:t>[énfasis añadido]</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En este contexto, se desprende que, para que las tasas y recargos no se encuentren comprendidos dentro del concepto </w:t>
      </w:r>
      <w:r>
        <w:rPr>
          <w:rFonts w:ascii="Arial" w:hAnsi="Arial"/>
          <w:i/>
          <w:sz w:val="22"/>
        </w:rPr>
        <w:t>“gravámenes” </w:t>
      </w:r>
      <w:r>
        <w:rPr>
          <w:sz w:val="22"/>
        </w:rPr>
        <w:t>a la luz del ordenamiento jurídico comunitario, es preciso que se demuestre lo siguiente:</w:t>
      </w:r>
    </w:p>
    <w:p>
      <w:pPr>
        <w:pStyle w:val="ListParagraph"/>
        <w:numPr>
          <w:ilvl w:val="0"/>
          <w:numId w:val="17"/>
        </w:numPr>
        <w:tabs>
          <w:tab w:pos="2553" w:val="left" w:leader="none"/>
        </w:tabs>
        <w:spacing w:line="240" w:lineRule="auto" w:before="252" w:after="0"/>
        <w:ind w:left="2553" w:right="982" w:hanging="361"/>
        <w:jc w:val="left"/>
        <w:rPr>
          <w:sz w:val="22"/>
        </w:rPr>
      </w:pPr>
      <w:r>
        <w:rPr>
          <w:sz w:val="22"/>
        </w:rPr>
        <w:t>Primero,</w:t>
      </w:r>
      <w:r>
        <w:rPr>
          <w:spacing w:val="80"/>
          <w:w w:val="150"/>
          <w:sz w:val="22"/>
        </w:rPr>
        <w:t> </w:t>
      </w:r>
      <w:r>
        <w:rPr>
          <w:sz w:val="22"/>
        </w:rPr>
        <w:t>que</w:t>
      </w:r>
      <w:r>
        <w:rPr>
          <w:spacing w:val="80"/>
          <w:w w:val="150"/>
          <w:sz w:val="22"/>
        </w:rPr>
        <w:t> </w:t>
      </w:r>
      <w:r>
        <w:rPr>
          <w:sz w:val="22"/>
        </w:rPr>
        <w:t>el</w:t>
      </w:r>
      <w:r>
        <w:rPr>
          <w:spacing w:val="80"/>
          <w:w w:val="150"/>
          <w:sz w:val="22"/>
        </w:rPr>
        <w:t> </w:t>
      </w:r>
      <w:r>
        <w:rPr>
          <w:sz w:val="22"/>
        </w:rPr>
        <w:t>cobro</w:t>
      </w:r>
      <w:r>
        <w:rPr>
          <w:spacing w:val="80"/>
          <w:w w:val="150"/>
          <w:sz w:val="22"/>
        </w:rPr>
        <w:t> </w:t>
      </w:r>
      <w:r>
        <w:rPr>
          <w:sz w:val="22"/>
        </w:rPr>
        <w:t>de</w:t>
      </w:r>
      <w:r>
        <w:rPr>
          <w:spacing w:val="80"/>
          <w:w w:val="150"/>
          <w:sz w:val="22"/>
        </w:rPr>
        <w:t> </w:t>
      </w:r>
      <w:r>
        <w:rPr>
          <w:sz w:val="22"/>
        </w:rPr>
        <w:t>una</w:t>
      </w:r>
      <w:r>
        <w:rPr>
          <w:spacing w:val="80"/>
          <w:w w:val="150"/>
          <w:sz w:val="22"/>
        </w:rPr>
        <w:t> </w:t>
      </w:r>
      <w:r>
        <w:rPr>
          <w:sz w:val="22"/>
        </w:rPr>
        <w:t>tasa</w:t>
      </w:r>
      <w:r>
        <w:rPr>
          <w:spacing w:val="80"/>
          <w:w w:val="150"/>
          <w:sz w:val="22"/>
        </w:rPr>
        <w:t> </w:t>
      </w:r>
      <w:r>
        <w:rPr>
          <w:sz w:val="22"/>
        </w:rPr>
        <w:t>corresponda</w:t>
      </w:r>
      <w:r>
        <w:rPr>
          <w:spacing w:val="80"/>
          <w:w w:val="150"/>
          <w:sz w:val="22"/>
        </w:rPr>
        <w:t> </w:t>
      </w:r>
      <w:r>
        <w:rPr>
          <w:sz w:val="22"/>
        </w:rPr>
        <w:t>a</w:t>
      </w:r>
      <w:r>
        <w:rPr>
          <w:spacing w:val="80"/>
          <w:w w:val="150"/>
          <w:sz w:val="22"/>
        </w:rPr>
        <w:t> </w:t>
      </w:r>
      <w:r>
        <w:rPr>
          <w:sz w:val="22"/>
        </w:rPr>
        <w:t>un</w:t>
      </w:r>
      <w:r>
        <w:rPr>
          <w:spacing w:val="80"/>
          <w:w w:val="150"/>
          <w:sz w:val="22"/>
        </w:rPr>
        <w:t> </w:t>
      </w:r>
      <w:r>
        <w:rPr>
          <w:sz w:val="22"/>
        </w:rPr>
        <w:t>servicio efectivamente prestado al importador; y,</w:t>
      </w:r>
    </w:p>
    <w:p>
      <w:pPr>
        <w:pStyle w:val="ListParagraph"/>
        <w:numPr>
          <w:ilvl w:val="0"/>
          <w:numId w:val="17"/>
        </w:numPr>
        <w:tabs>
          <w:tab w:pos="2553" w:val="left" w:leader="none"/>
        </w:tabs>
        <w:spacing w:line="240" w:lineRule="auto" w:before="0" w:after="0"/>
        <w:ind w:left="2553" w:right="982" w:hanging="361"/>
        <w:jc w:val="left"/>
        <w:rPr>
          <w:sz w:val="22"/>
        </w:rPr>
      </w:pPr>
      <w:r>
        <w:rPr>
          <w:sz w:val="22"/>
        </w:rPr>
        <w:t>Segundo,</w:t>
      </w:r>
      <w:r>
        <w:rPr>
          <w:spacing w:val="-8"/>
          <w:sz w:val="22"/>
        </w:rPr>
        <w:t> </w:t>
      </w:r>
      <w:r>
        <w:rPr>
          <w:sz w:val="22"/>
        </w:rPr>
        <w:t>que</w:t>
      </w:r>
      <w:r>
        <w:rPr>
          <w:spacing w:val="-10"/>
          <w:sz w:val="22"/>
        </w:rPr>
        <w:t> </w:t>
      </w:r>
      <w:r>
        <w:rPr>
          <w:sz w:val="22"/>
        </w:rPr>
        <w:t>la</w:t>
      </w:r>
      <w:r>
        <w:rPr>
          <w:spacing w:val="-10"/>
          <w:sz w:val="22"/>
        </w:rPr>
        <w:t> </w:t>
      </w:r>
      <w:r>
        <w:rPr>
          <w:sz w:val="22"/>
        </w:rPr>
        <w:t>tasa</w:t>
      </w:r>
      <w:r>
        <w:rPr>
          <w:spacing w:val="-10"/>
          <w:sz w:val="22"/>
        </w:rPr>
        <w:t> </w:t>
      </w:r>
      <w:r>
        <w:rPr>
          <w:sz w:val="22"/>
        </w:rPr>
        <w:t>a</w:t>
      </w:r>
      <w:r>
        <w:rPr>
          <w:spacing w:val="-12"/>
          <w:sz w:val="22"/>
        </w:rPr>
        <w:t> </w:t>
      </w:r>
      <w:r>
        <w:rPr>
          <w:sz w:val="22"/>
        </w:rPr>
        <w:t>ser</w:t>
      </w:r>
      <w:r>
        <w:rPr>
          <w:spacing w:val="-9"/>
          <w:sz w:val="22"/>
        </w:rPr>
        <w:t> </w:t>
      </w:r>
      <w:r>
        <w:rPr>
          <w:sz w:val="22"/>
        </w:rPr>
        <w:t>cobrada</w:t>
      </w:r>
      <w:r>
        <w:rPr>
          <w:spacing w:val="-10"/>
          <w:sz w:val="22"/>
        </w:rPr>
        <w:t> </w:t>
      </w:r>
      <w:r>
        <w:rPr>
          <w:sz w:val="22"/>
        </w:rPr>
        <w:t>guarde</w:t>
      </w:r>
      <w:r>
        <w:rPr>
          <w:spacing w:val="-10"/>
          <w:sz w:val="22"/>
        </w:rPr>
        <w:t> </w:t>
      </w:r>
      <w:r>
        <w:rPr>
          <w:sz w:val="22"/>
        </w:rPr>
        <w:t>proporcionalidad</w:t>
      </w:r>
      <w:r>
        <w:rPr>
          <w:spacing w:val="-10"/>
          <w:sz w:val="22"/>
        </w:rPr>
        <w:t> </w:t>
      </w:r>
      <w:r>
        <w:rPr>
          <w:sz w:val="22"/>
        </w:rPr>
        <w:t>con</w:t>
      </w:r>
      <w:r>
        <w:rPr>
          <w:spacing w:val="-10"/>
          <w:sz w:val="22"/>
        </w:rPr>
        <w:t> </w:t>
      </w:r>
      <w:r>
        <w:rPr>
          <w:sz w:val="22"/>
        </w:rPr>
        <w:t>el</w:t>
      </w:r>
      <w:r>
        <w:rPr>
          <w:spacing w:val="-11"/>
          <w:sz w:val="22"/>
        </w:rPr>
        <w:t> </w:t>
      </w:r>
      <w:r>
        <w:rPr>
          <w:sz w:val="22"/>
        </w:rPr>
        <w:t>costo de dicho servicio efectivamente prestado al importador.</w:t>
      </w:r>
    </w:p>
    <w:p>
      <w:pPr>
        <w:pStyle w:val="BodyText"/>
      </w:pPr>
    </w:p>
    <w:p>
      <w:pPr>
        <w:pStyle w:val="ListParagraph"/>
        <w:numPr>
          <w:ilvl w:val="0"/>
          <w:numId w:val="11"/>
        </w:numPr>
        <w:tabs>
          <w:tab w:pos="1130" w:val="left" w:leader="none"/>
          <w:tab w:pos="1134" w:val="left" w:leader="none"/>
        </w:tabs>
        <w:spacing w:line="240" w:lineRule="auto" w:before="0" w:after="0"/>
        <w:ind w:left="1134" w:right="981" w:hanging="567"/>
        <w:jc w:val="both"/>
        <w:rPr>
          <w:sz w:val="22"/>
        </w:rPr>
      </w:pPr>
      <w:r>
        <w:rPr>
          <w:sz w:val="22"/>
        </w:rPr>
        <w:t>Cabe</w:t>
      </w:r>
      <w:r>
        <w:rPr>
          <w:spacing w:val="-7"/>
          <w:sz w:val="22"/>
        </w:rPr>
        <w:t> </w:t>
      </w:r>
      <w:r>
        <w:rPr>
          <w:sz w:val="22"/>
        </w:rPr>
        <w:t>señalar</w:t>
      </w:r>
      <w:r>
        <w:rPr>
          <w:spacing w:val="-8"/>
          <w:sz w:val="22"/>
        </w:rPr>
        <w:t> </w:t>
      </w:r>
      <w:r>
        <w:rPr>
          <w:sz w:val="22"/>
        </w:rPr>
        <w:t>que</w:t>
      </w:r>
      <w:r>
        <w:rPr>
          <w:spacing w:val="-7"/>
          <w:sz w:val="22"/>
        </w:rPr>
        <w:t> </w:t>
      </w:r>
      <w:r>
        <w:rPr>
          <w:sz w:val="22"/>
        </w:rPr>
        <w:t>este</w:t>
      </w:r>
      <w:r>
        <w:rPr>
          <w:spacing w:val="-9"/>
          <w:sz w:val="22"/>
        </w:rPr>
        <w:t> </w:t>
      </w:r>
      <w:r>
        <w:rPr>
          <w:sz w:val="22"/>
        </w:rPr>
        <w:t>criterio</w:t>
      </w:r>
      <w:r>
        <w:rPr>
          <w:spacing w:val="-7"/>
          <w:sz w:val="22"/>
        </w:rPr>
        <w:t> </w:t>
      </w:r>
      <w:r>
        <w:rPr>
          <w:sz w:val="22"/>
        </w:rPr>
        <w:t>ha</w:t>
      </w:r>
      <w:r>
        <w:rPr>
          <w:spacing w:val="-9"/>
          <w:sz w:val="22"/>
        </w:rPr>
        <w:t> </w:t>
      </w:r>
      <w:r>
        <w:rPr>
          <w:sz w:val="22"/>
        </w:rPr>
        <w:t>sido</w:t>
      </w:r>
      <w:r>
        <w:rPr>
          <w:spacing w:val="-7"/>
          <w:sz w:val="22"/>
        </w:rPr>
        <w:t> </w:t>
      </w:r>
      <w:r>
        <w:rPr>
          <w:sz w:val="22"/>
        </w:rPr>
        <w:t>sostenido</w:t>
      </w:r>
      <w:r>
        <w:rPr>
          <w:spacing w:val="-7"/>
          <w:sz w:val="22"/>
        </w:rPr>
        <w:t> </w:t>
      </w:r>
      <w:r>
        <w:rPr>
          <w:sz w:val="22"/>
        </w:rPr>
        <w:t>por</w:t>
      </w:r>
      <w:r>
        <w:rPr>
          <w:spacing w:val="-7"/>
          <w:sz w:val="22"/>
        </w:rPr>
        <w:t> </w:t>
      </w:r>
      <w:r>
        <w:rPr>
          <w:sz w:val="22"/>
        </w:rPr>
        <w:t>la</w:t>
      </w:r>
      <w:r>
        <w:rPr>
          <w:spacing w:val="-9"/>
          <w:sz w:val="22"/>
        </w:rPr>
        <w:t> </w:t>
      </w:r>
      <w:r>
        <w:rPr>
          <w:sz w:val="22"/>
        </w:rPr>
        <w:t>SGCAN</w:t>
      </w:r>
      <w:r>
        <w:rPr>
          <w:spacing w:val="-7"/>
          <w:sz w:val="22"/>
        </w:rPr>
        <w:t> </w:t>
      </w:r>
      <w:r>
        <w:rPr>
          <w:sz w:val="22"/>
        </w:rPr>
        <w:t>en</w:t>
      </w:r>
      <w:r>
        <w:rPr>
          <w:spacing w:val="-9"/>
          <w:sz w:val="22"/>
        </w:rPr>
        <w:t> </w:t>
      </w:r>
      <w:r>
        <w:rPr>
          <w:sz w:val="22"/>
        </w:rPr>
        <w:t>otros</w:t>
      </w:r>
      <w:r>
        <w:rPr>
          <w:spacing w:val="-9"/>
          <w:sz w:val="22"/>
        </w:rPr>
        <w:t> </w:t>
      </w:r>
      <w:r>
        <w:rPr>
          <w:sz w:val="22"/>
        </w:rPr>
        <w:t>procedimientos administrativos sobre casos relacionados a gravámenes aplicados a las importaciones andinas</w:t>
      </w:r>
      <w:hyperlink w:history="true" w:anchor="_bookmark61">
        <w:r>
          <w:rPr>
            <w:sz w:val="22"/>
            <w:vertAlign w:val="superscript"/>
          </w:rPr>
          <w:t>19</w:t>
        </w:r>
        <w:r>
          <w:rPr>
            <w:sz w:val="22"/>
            <w:vertAlign w:val="baseline"/>
          </w:rPr>
          <w:t>.</w:t>
        </w:r>
      </w:hyperlink>
      <w:r>
        <w:rPr>
          <w:sz w:val="22"/>
          <w:vertAlign w:val="baseline"/>
        </w:rPr>
        <w:t> En ese sentido, una tasa que no cumpla con los referidos criterios se considerará un gravamen.</w:t>
      </w:r>
    </w:p>
    <w:p>
      <w:pPr>
        <w:pStyle w:val="BodyText"/>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Por su</w:t>
      </w:r>
      <w:r>
        <w:rPr>
          <w:spacing w:val="-1"/>
          <w:sz w:val="22"/>
        </w:rPr>
        <w:t> </w:t>
      </w:r>
      <w:r>
        <w:rPr>
          <w:sz w:val="22"/>
        </w:rPr>
        <w:t>parte, el</w:t>
      </w:r>
      <w:r>
        <w:rPr>
          <w:spacing w:val="-2"/>
          <w:sz w:val="22"/>
        </w:rPr>
        <w:t> </w:t>
      </w:r>
      <w:r>
        <w:rPr>
          <w:sz w:val="22"/>
        </w:rPr>
        <w:t>artículo</w:t>
      </w:r>
      <w:r>
        <w:rPr>
          <w:spacing w:val="-1"/>
          <w:sz w:val="22"/>
        </w:rPr>
        <w:t> </w:t>
      </w:r>
      <w:r>
        <w:rPr>
          <w:sz w:val="22"/>
        </w:rPr>
        <w:t>74</w:t>
      </w:r>
      <w:r>
        <w:rPr>
          <w:spacing w:val="-1"/>
          <w:sz w:val="22"/>
        </w:rPr>
        <w:t> </w:t>
      </w:r>
      <w:r>
        <w:rPr>
          <w:sz w:val="22"/>
        </w:rPr>
        <w:t>del</w:t>
      </w:r>
      <w:r>
        <w:rPr>
          <w:spacing w:val="-1"/>
          <w:sz w:val="22"/>
        </w:rPr>
        <w:t> </w:t>
      </w:r>
      <w:r>
        <w:rPr>
          <w:sz w:val="22"/>
        </w:rPr>
        <w:t>Acuerdo</w:t>
      </w:r>
      <w:r>
        <w:rPr>
          <w:spacing w:val="-1"/>
          <w:sz w:val="22"/>
        </w:rPr>
        <w:t> </w:t>
      </w:r>
      <w:r>
        <w:rPr>
          <w:sz w:val="22"/>
        </w:rPr>
        <w:t>de</w:t>
      </w:r>
      <w:r>
        <w:rPr>
          <w:spacing w:val="-1"/>
          <w:sz w:val="22"/>
        </w:rPr>
        <w:t> </w:t>
      </w:r>
      <w:r>
        <w:rPr>
          <w:sz w:val="22"/>
        </w:rPr>
        <w:t>Cartagena</w:t>
      </w:r>
      <w:r>
        <w:rPr>
          <w:spacing w:val="-1"/>
          <w:sz w:val="22"/>
        </w:rPr>
        <w:t> </w:t>
      </w:r>
      <w:r>
        <w:rPr>
          <w:sz w:val="22"/>
        </w:rPr>
        <w:t>dispone</w:t>
      </w:r>
      <w:r>
        <w:rPr>
          <w:spacing w:val="-1"/>
          <w:sz w:val="22"/>
        </w:rPr>
        <w:t> </w:t>
      </w:r>
      <w:r>
        <w:rPr>
          <w:sz w:val="22"/>
        </w:rPr>
        <w:t>que</w:t>
      </w:r>
      <w:r>
        <w:rPr>
          <w:spacing w:val="-1"/>
          <w:sz w:val="22"/>
        </w:rPr>
        <w:t> </w:t>
      </w:r>
      <w:r>
        <w:rPr>
          <w:sz w:val="22"/>
        </w:rPr>
        <w:t>la</w:t>
      </w:r>
      <w:r>
        <w:rPr>
          <w:spacing w:val="-1"/>
          <w:sz w:val="22"/>
        </w:rPr>
        <w:t> </w:t>
      </w:r>
      <w:r>
        <w:rPr>
          <w:sz w:val="22"/>
        </w:rPr>
        <w:t>SGCAN, de</w:t>
      </w:r>
      <w:r>
        <w:rPr>
          <w:spacing w:val="-1"/>
          <w:sz w:val="22"/>
        </w:rPr>
        <w:t> </w:t>
      </w:r>
      <w:r>
        <w:rPr>
          <w:sz w:val="22"/>
        </w:rPr>
        <w:t>oficio o a petición de parte, es la instancia encargada de determinar si la medida adoptada unilateralmente por un País Miembro, debería considerarse como gravamen o restricción; o si podría considerarse contemplada dentro de las excepciones previstas en el ya citado artículo 73. En consecuencia, se hace necesario determinar si la TSCA aplicada constituye un gravamen en los términos establecidos en el Acuerdo de </w:t>
      </w:r>
      <w:r>
        <w:rPr>
          <w:spacing w:val="-2"/>
          <w:sz w:val="22"/>
        </w:rPr>
        <w:t>Cartagena.</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82" w:hanging="567"/>
        <w:jc w:val="both"/>
        <w:rPr>
          <w:sz w:val="22"/>
        </w:rPr>
      </w:pPr>
      <w:r>
        <w:rPr>
          <w:sz w:val="22"/>
        </w:rPr>
        <w:t>Adicionalmente, es preciso resaltar que el artículo 77 del Acuerdo de Cartagena contiene una prohibición expresa con relación a aplicación de restricciones:</w:t>
      </w:r>
    </w:p>
    <w:p>
      <w:pPr>
        <w:spacing w:before="252"/>
        <w:ind w:left="2270" w:right="978" w:firstLine="0"/>
        <w:jc w:val="both"/>
        <w:rPr>
          <w:sz w:val="22"/>
        </w:rPr>
      </w:pPr>
      <w:r>
        <w:rPr>
          <w:sz w:val="22"/>
        </w:rPr>
        <w:t>“</w:t>
      </w:r>
      <w:r>
        <w:rPr>
          <w:rFonts w:ascii="Arial" w:hAnsi="Arial"/>
          <w:b/>
          <w:i/>
          <w:sz w:val="22"/>
        </w:rPr>
        <w:t>Artículo</w:t>
      </w:r>
      <w:r>
        <w:rPr>
          <w:rFonts w:ascii="Arial" w:hAnsi="Arial"/>
          <w:b/>
          <w:i/>
          <w:spacing w:val="-16"/>
          <w:sz w:val="22"/>
        </w:rPr>
        <w:t> </w:t>
      </w:r>
      <w:r>
        <w:rPr>
          <w:rFonts w:ascii="Arial" w:hAnsi="Arial"/>
          <w:b/>
          <w:i/>
          <w:sz w:val="22"/>
        </w:rPr>
        <w:t>77.-</w:t>
      </w:r>
      <w:r>
        <w:rPr>
          <w:rFonts w:ascii="Arial" w:hAnsi="Arial"/>
          <w:b/>
          <w:i/>
          <w:spacing w:val="-15"/>
          <w:sz w:val="22"/>
        </w:rPr>
        <w:t> </w:t>
      </w:r>
      <w:r>
        <w:rPr>
          <w:rFonts w:ascii="Arial" w:hAnsi="Arial"/>
          <w:b/>
          <w:i/>
          <w:sz w:val="22"/>
        </w:rPr>
        <w:t>Los</w:t>
      </w:r>
      <w:r>
        <w:rPr>
          <w:rFonts w:ascii="Arial" w:hAnsi="Arial"/>
          <w:b/>
          <w:i/>
          <w:spacing w:val="-15"/>
          <w:sz w:val="22"/>
        </w:rPr>
        <w:t> </w:t>
      </w:r>
      <w:r>
        <w:rPr>
          <w:rFonts w:ascii="Arial" w:hAnsi="Arial"/>
          <w:b/>
          <w:i/>
          <w:sz w:val="22"/>
        </w:rPr>
        <w:t>Países</w:t>
      </w:r>
      <w:r>
        <w:rPr>
          <w:rFonts w:ascii="Arial" w:hAnsi="Arial"/>
          <w:b/>
          <w:i/>
          <w:spacing w:val="-16"/>
          <w:sz w:val="22"/>
        </w:rPr>
        <w:t> </w:t>
      </w:r>
      <w:r>
        <w:rPr>
          <w:rFonts w:ascii="Arial" w:hAnsi="Arial"/>
          <w:b/>
          <w:i/>
          <w:sz w:val="22"/>
        </w:rPr>
        <w:t>Miembros</w:t>
      </w:r>
      <w:r>
        <w:rPr>
          <w:rFonts w:ascii="Arial" w:hAnsi="Arial"/>
          <w:b/>
          <w:i/>
          <w:spacing w:val="-15"/>
          <w:sz w:val="22"/>
        </w:rPr>
        <w:t> </w:t>
      </w:r>
      <w:r>
        <w:rPr>
          <w:rFonts w:ascii="Arial" w:hAnsi="Arial"/>
          <w:b/>
          <w:i/>
          <w:sz w:val="22"/>
        </w:rPr>
        <w:t>se</w:t>
      </w:r>
      <w:r>
        <w:rPr>
          <w:rFonts w:ascii="Arial" w:hAnsi="Arial"/>
          <w:b/>
          <w:i/>
          <w:spacing w:val="-15"/>
          <w:sz w:val="22"/>
        </w:rPr>
        <w:t> </w:t>
      </w:r>
      <w:r>
        <w:rPr>
          <w:rFonts w:ascii="Arial" w:hAnsi="Arial"/>
          <w:b/>
          <w:i/>
          <w:sz w:val="22"/>
        </w:rPr>
        <w:t>abstendrán</w:t>
      </w:r>
      <w:r>
        <w:rPr>
          <w:rFonts w:ascii="Arial" w:hAnsi="Arial"/>
          <w:b/>
          <w:i/>
          <w:spacing w:val="-15"/>
          <w:sz w:val="22"/>
        </w:rPr>
        <w:t> </w:t>
      </w:r>
      <w:r>
        <w:rPr>
          <w:rFonts w:ascii="Arial" w:hAnsi="Arial"/>
          <w:i/>
          <w:sz w:val="22"/>
        </w:rPr>
        <w:t>de</w:t>
      </w:r>
      <w:r>
        <w:rPr>
          <w:rFonts w:ascii="Arial" w:hAnsi="Arial"/>
          <w:i/>
          <w:spacing w:val="-16"/>
          <w:sz w:val="22"/>
        </w:rPr>
        <w:t> </w:t>
      </w:r>
      <w:r>
        <w:rPr>
          <w:rFonts w:ascii="Arial" w:hAnsi="Arial"/>
          <w:i/>
          <w:sz w:val="22"/>
        </w:rPr>
        <w:t>aplicar</w:t>
      </w:r>
      <w:r>
        <w:rPr>
          <w:rFonts w:ascii="Arial" w:hAnsi="Arial"/>
          <w:i/>
          <w:spacing w:val="-15"/>
          <w:sz w:val="22"/>
        </w:rPr>
        <w:t> </w:t>
      </w:r>
      <w:r>
        <w:rPr>
          <w:rFonts w:ascii="Arial" w:hAnsi="Arial"/>
          <w:i/>
          <w:sz w:val="22"/>
        </w:rPr>
        <w:t>gravámenes y </w:t>
      </w:r>
      <w:r>
        <w:rPr>
          <w:rFonts w:ascii="Arial" w:hAnsi="Arial"/>
          <w:b/>
          <w:i/>
          <w:sz w:val="22"/>
        </w:rPr>
        <w:t>de introducir restricciones de todo orden a las importaciones </w:t>
      </w:r>
      <w:r>
        <w:rPr>
          <w:rFonts w:ascii="Arial" w:hAnsi="Arial"/>
          <w:i/>
          <w:sz w:val="22"/>
        </w:rPr>
        <w:t>de bienes originarios de la Subregión”. </w:t>
      </w:r>
      <w:r>
        <w:rPr>
          <w:sz w:val="22"/>
        </w:rPr>
        <w:t>(Énfasis añadido)</w:t>
      </w:r>
    </w:p>
    <w:p>
      <w:pPr>
        <w:pStyle w:val="ListParagraph"/>
        <w:numPr>
          <w:ilvl w:val="0"/>
          <w:numId w:val="11"/>
        </w:numPr>
        <w:tabs>
          <w:tab w:pos="1130" w:val="left" w:leader="none"/>
          <w:tab w:pos="1134" w:val="left" w:leader="none"/>
        </w:tabs>
        <w:spacing w:line="240" w:lineRule="auto" w:before="252" w:after="0"/>
        <w:ind w:left="1134" w:right="979" w:hanging="567"/>
        <w:jc w:val="both"/>
        <w:rPr>
          <w:sz w:val="22"/>
        </w:rPr>
      </w:pPr>
      <w:r>
        <w:rPr>
          <w:sz w:val="22"/>
        </w:rPr>
        <w:t>Ello</w:t>
      </w:r>
      <w:r>
        <w:rPr>
          <w:spacing w:val="-14"/>
          <w:sz w:val="22"/>
        </w:rPr>
        <w:t> </w:t>
      </w:r>
      <w:r>
        <w:rPr>
          <w:sz w:val="22"/>
        </w:rPr>
        <w:t>es</w:t>
      </w:r>
      <w:r>
        <w:rPr>
          <w:spacing w:val="-13"/>
          <w:sz w:val="22"/>
        </w:rPr>
        <w:t> </w:t>
      </w:r>
      <w:r>
        <w:rPr>
          <w:sz w:val="22"/>
        </w:rPr>
        <w:t>así,</w:t>
      </w:r>
      <w:r>
        <w:rPr>
          <w:spacing w:val="-12"/>
          <w:sz w:val="22"/>
        </w:rPr>
        <w:t> </w:t>
      </w:r>
      <w:r>
        <w:rPr>
          <w:sz w:val="22"/>
        </w:rPr>
        <w:t>en</w:t>
      </w:r>
      <w:r>
        <w:rPr>
          <w:spacing w:val="-14"/>
          <w:sz w:val="22"/>
        </w:rPr>
        <w:t> </w:t>
      </w:r>
      <w:r>
        <w:rPr>
          <w:sz w:val="22"/>
        </w:rPr>
        <w:t>tanto</w:t>
      </w:r>
      <w:r>
        <w:rPr>
          <w:spacing w:val="-14"/>
          <w:sz w:val="22"/>
        </w:rPr>
        <w:t> </w:t>
      </w:r>
      <w:r>
        <w:rPr>
          <w:sz w:val="22"/>
        </w:rPr>
        <w:t>a</w:t>
      </w:r>
      <w:r>
        <w:rPr>
          <w:spacing w:val="-14"/>
          <w:sz w:val="22"/>
        </w:rPr>
        <w:t> </w:t>
      </w:r>
      <w:r>
        <w:rPr>
          <w:sz w:val="22"/>
        </w:rPr>
        <w:t>que</w:t>
      </w:r>
      <w:r>
        <w:rPr>
          <w:spacing w:val="-14"/>
          <w:sz w:val="22"/>
        </w:rPr>
        <w:t> </w:t>
      </w:r>
      <w:r>
        <w:rPr>
          <w:sz w:val="22"/>
        </w:rPr>
        <w:t>las</w:t>
      </w:r>
      <w:r>
        <w:rPr>
          <w:spacing w:val="-13"/>
          <w:sz w:val="22"/>
        </w:rPr>
        <w:t> </w:t>
      </w:r>
      <w:r>
        <w:rPr>
          <w:sz w:val="22"/>
        </w:rPr>
        <w:t>restricciones</w:t>
      </w:r>
      <w:r>
        <w:rPr>
          <w:spacing w:val="-13"/>
          <w:sz w:val="22"/>
        </w:rPr>
        <w:t> </w:t>
      </w:r>
      <w:r>
        <w:rPr>
          <w:sz w:val="22"/>
        </w:rPr>
        <w:t>constituyen</w:t>
      </w:r>
      <w:r>
        <w:rPr>
          <w:spacing w:val="-14"/>
          <w:sz w:val="22"/>
        </w:rPr>
        <w:t> </w:t>
      </w:r>
      <w:r>
        <w:rPr>
          <w:sz w:val="22"/>
        </w:rPr>
        <w:t>obstáculos</w:t>
      </w:r>
      <w:r>
        <w:rPr>
          <w:spacing w:val="-13"/>
          <w:sz w:val="22"/>
        </w:rPr>
        <w:t> </w:t>
      </w:r>
      <w:r>
        <w:rPr>
          <w:sz w:val="22"/>
        </w:rPr>
        <w:t>que</w:t>
      </w:r>
      <w:r>
        <w:rPr>
          <w:spacing w:val="-14"/>
          <w:sz w:val="22"/>
        </w:rPr>
        <w:t> </w:t>
      </w:r>
      <w:r>
        <w:rPr>
          <w:sz w:val="22"/>
        </w:rPr>
        <w:t>inciden,</w:t>
      </w:r>
      <w:r>
        <w:rPr>
          <w:spacing w:val="-13"/>
          <w:sz w:val="22"/>
        </w:rPr>
        <w:t> </w:t>
      </w:r>
      <w:r>
        <w:rPr>
          <w:sz w:val="22"/>
        </w:rPr>
        <w:t>dificultan o encarecen las importaciones de origen de los Países Miembros teniendo repercusiones</w:t>
      </w:r>
      <w:r>
        <w:rPr>
          <w:spacing w:val="-1"/>
          <w:sz w:val="22"/>
        </w:rPr>
        <w:t> </w:t>
      </w:r>
      <w:r>
        <w:rPr>
          <w:sz w:val="22"/>
        </w:rPr>
        <w:t>económicas en el</w:t>
      </w:r>
      <w:r>
        <w:rPr>
          <w:spacing w:val="-2"/>
          <w:sz w:val="22"/>
        </w:rPr>
        <w:t> </w:t>
      </w:r>
      <w:r>
        <w:rPr>
          <w:sz w:val="22"/>
        </w:rPr>
        <w:t>comercio internacional de mercancías,</w:t>
      </w:r>
      <w:r>
        <w:rPr>
          <w:spacing w:val="-2"/>
          <w:sz w:val="22"/>
        </w:rPr>
        <w:t> </w:t>
      </w:r>
      <w:r>
        <w:rPr>
          <w:sz w:val="22"/>
        </w:rPr>
        <w:t>modificando el</w:t>
      </w:r>
    </w:p>
    <w:p>
      <w:pPr>
        <w:pStyle w:val="BodyText"/>
        <w:rPr>
          <w:sz w:val="20"/>
        </w:rPr>
      </w:pPr>
    </w:p>
    <w:p>
      <w:pPr>
        <w:pStyle w:val="BodyText"/>
        <w:spacing w:before="48"/>
        <w:rPr>
          <w:sz w:val="20"/>
        </w:rPr>
      </w:pPr>
      <w:r>
        <w:rPr>
          <w:sz w:val="20"/>
        </w:rPr>
        <mc:AlternateContent>
          <mc:Choice Requires="wps">
            <w:drawing>
              <wp:anchor distT="0" distB="0" distL="0" distR="0" allowOverlap="1" layoutInCell="1" locked="0" behindDoc="1" simplePos="0" relativeHeight="487623680">
                <wp:simplePos x="0" y="0"/>
                <wp:positionH relativeFrom="page">
                  <wp:posOffset>990904</wp:posOffset>
                </wp:positionH>
                <wp:positionV relativeFrom="paragraph">
                  <wp:posOffset>192299</wp:posOffset>
                </wp:positionV>
                <wp:extent cx="1829435" cy="7620"/>
                <wp:effectExtent l="0" t="0" r="0" b="0"/>
                <wp:wrapTopAndBottom/>
                <wp:docPr id="335" name="Graphic 335"/>
                <wp:cNvGraphicFramePr>
                  <a:graphicFrameLocks/>
                </wp:cNvGraphicFramePr>
                <a:graphic>
                  <a:graphicData uri="http://schemas.microsoft.com/office/word/2010/wordprocessingShape">
                    <wps:wsp>
                      <wps:cNvPr id="335" name="Graphic 335"/>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5.1417pt;width:144.020pt;height:.599980pt;mso-position-horizontal-relative:page;mso-position-vertical-relative:paragraph;z-index:-15692800;mso-wrap-distance-left:0;mso-wrap-distance-right:0" id="docshape246" filled="true" fillcolor="#000000" stroked="false">
                <v:fill type="solid"/>
                <w10:wrap type="topAndBottom"/>
              </v:rect>
            </w:pict>
          </mc:Fallback>
        </mc:AlternateContent>
      </w:r>
    </w:p>
    <w:p>
      <w:pPr>
        <w:spacing w:line="183" w:lineRule="exact" w:before="92"/>
        <w:ind w:left="568" w:right="0" w:firstLine="0"/>
        <w:jc w:val="both"/>
        <w:rPr>
          <w:sz w:val="16"/>
        </w:rPr>
      </w:pPr>
      <w:bookmarkStart w:name="_bookmark61" w:id="62"/>
      <w:bookmarkEnd w:id="62"/>
      <w:r>
        <w:rPr/>
      </w:r>
      <w:r>
        <w:rPr>
          <w:sz w:val="16"/>
          <w:vertAlign w:val="superscript"/>
        </w:rPr>
        <w:t>19</w:t>
      </w:r>
      <w:r>
        <w:rPr>
          <w:spacing w:val="34"/>
          <w:sz w:val="16"/>
          <w:vertAlign w:val="baseline"/>
        </w:rPr>
        <w:t>  </w:t>
      </w:r>
      <w:r>
        <w:rPr>
          <w:sz w:val="16"/>
          <w:vertAlign w:val="baseline"/>
        </w:rPr>
        <w:t>A</w:t>
      </w:r>
      <w:r>
        <w:rPr>
          <w:spacing w:val="-1"/>
          <w:sz w:val="16"/>
          <w:vertAlign w:val="baseline"/>
        </w:rPr>
        <w:t> </w:t>
      </w:r>
      <w:r>
        <w:rPr>
          <w:sz w:val="16"/>
          <w:vertAlign w:val="baseline"/>
        </w:rPr>
        <w:t>modo</w:t>
      </w:r>
      <w:r>
        <w:rPr>
          <w:spacing w:val="-6"/>
          <w:sz w:val="16"/>
          <w:vertAlign w:val="baseline"/>
        </w:rPr>
        <w:t> </w:t>
      </w:r>
      <w:r>
        <w:rPr>
          <w:sz w:val="16"/>
          <w:vertAlign w:val="baseline"/>
        </w:rPr>
        <w:t>de</w:t>
      </w:r>
      <w:r>
        <w:rPr>
          <w:spacing w:val="-3"/>
          <w:sz w:val="16"/>
          <w:vertAlign w:val="baseline"/>
        </w:rPr>
        <w:t> </w:t>
      </w:r>
      <w:r>
        <w:rPr>
          <w:sz w:val="16"/>
          <w:vertAlign w:val="baseline"/>
        </w:rPr>
        <w:t>ejemplo,</w:t>
      </w:r>
      <w:r>
        <w:rPr>
          <w:spacing w:val="-3"/>
          <w:sz w:val="16"/>
          <w:vertAlign w:val="baseline"/>
        </w:rPr>
        <w:t> </w:t>
      </w:r>
      <w:r>
        <w:rPr>
          <w:sz w:val="16"/>
          <w:vertAlign w:val="baseline"/>
        </w:rPr>
        <w:t>puede</w:t>
      </w:r>
      <w:r>
        <w:rPr>
          <w:spacing w:val="-6"/>
          <w:sz w:val="16"/>
          <w:vertAlign w:val="baseline"/>
        </w:rPr>
        <w:t> </w:t>
      </w:r>
      <w:r>
        <w:rPr>
          <w:sz w:val="16"/>
          <w:vertAlign w:val="baseline"/>
        </w:rPr>
        <w:t>consultarse</w:t>
      </w:r>
      <w:r>
        <w:rPr>
          <w:spacing w:val="-3"/>
          <w:sz w:val="16"/>
          <w:vertAlign w:val="baseline"/>
        </w:rPr>
        <w:t> </w:t>
      </w:r>
      <w:r>
        <w:rPr>
          <w:sz w:val="16"/>
          <w:vertAlign w:val="baseline"/>
        </w:rPr>
        <w:t>los</w:t>
      </w:r>
      <w:r>
        <w:rPr>
          <w:spacing w:val="-4"/>
          <w:sz w:val="16"/>
          <w:vertAlign w:val="baseline"/>
        </w:rPr>
        <w:t> </w:t>
      </w:r>
      <w:r>
        <w:rPr>
          <w:sz w:val="16"/>
          <w:vertAlign w:val="baseline"/>
        </w:rPr>
        <w:t>siguientes</w:t>
      </w:r>
      <w:r>
        <w:rPr>
          <w:spacing w:val="-5"/>
          <w:sz w:val="16"/>
          <w:vertAlign w:val="baseline"/>
        </w:rPr>
        <w:t> </w:t>
      </w:r>
      <w:r>
        <w:rPr>
          <w:sz w:val="16"/>
          <w:vertAlign w:val="baseline"/>
        </w:rPr>
        <w:t>actos</w:t>
      </w:r>
      <w:r>
        <w:rPr>
          <w:spacing w:val="-4"/>
          <w:sz w:val="16"/>
          <w:vertAlign w:val="baseline"/>
        </w:rPr>
        <w:t> </w:t>
      </w:r>
      <w:r>
        <w:rPr>
          <w:spacing w:val="-2"/>
          <w:sz w:val="16"/>
          <w:vertAlign w:val="baseline"/>
        </w:rPr>
        <w:t>administrativos:</w:t>
      </w:r>
    </w:p>
    <w:p>
      <w:pPr>
        <w:pStyle w:val="ListParagraph"/>
        <w:numPr>
          <w:ilvl w:val="0"/>
          <w:numId w:val="18"/>
        </w:numPr>
        <w:tabs>
          <w:tab w:pos="1132" w:val="left" w:leader="none"/>
          <w:tab w:pos="1134" w:val="left" w:leader="none"/>
        </w:tabs>
        <w:spacing w:line="240" w:lineRule="auto" w:before="0" w:after="0"/>
        <w:ind w:left="1134" w:right="982" w:hanging="284"/>
        <w:jc w:val="both"/>
        <w:rPr>
          <w:sz w:val="16"/>
        </w:rPr>
      </w:pPr>
      <w:r>
        <w:rPr>
          <w:sz w:val="16"/>
        </w:rPr>
        <w:t>Resolución</w:t>
      </w:r>
      <w:r>
        <w:rPr>
          <w:spacing w:val="-12"/>
          <w:sz w:val="16"/>
        </w:rPr>
        <w:t> </w:t>
      </w:r>
      <w:r>
        <w:rPr>
          <w:sz w:val="16"/>
        </w:rPr>
        <w:t>1254</w:t>
      </w:r>
      <w:r>
        <w:rPr>
          <w:spacing w:val="-11"/>
          <w:sz w:val="16"/>
        </w:rPr>
        <w:t> </w:t>
      </w:r>
      <w:r>
        <w:rPr>
          <w:sz w:val="16"/>
        </w:rPr>
        <w:t>de</w:t>
      </w:r>
      <w:r>
        <w:rPr>
          <w:spacing w:val="-11"/>
          <w:sz w:val="16"/>
        </w:rPr>
        <w:t> </w:t>
      </w:r>
      <w:r>
        <w:rPr>
          <w:sz w:val="16"/>
        </w:rPr>
        <w:t>la</w:t>
      </w:r>
      <w:r>
        <w:rPr>
          <w:spacing w:val="-11"/>
          <w:sz w:val="16"/>
        </w:rPr>
        <w:t> </w:t>
      </w:r>
      <w:r>
        <w:rPr>
          <w:sz w:val="16"/>
        </w:rPr>
        <w:t>SGCAN,</w:t>
      </w:r>
      <w:r>
        <w:rPr>
          <w:spacing w:val="-4"/>
          <w:sz w:val="16"/>
        </w:rPr>
        <w:t> </w:t>
      </w:r>
      <w:r>
        <w:rPr>
          <w:sz w:val="16"/>
        </w:rPr>
        <w:t>reclamo</w:t>
      </w:r>
      <w:r>
        <w:rPr>
          <w:spacing w:val="-11"/>
          <w:sz w:val="16"/>
        </w:rPr>
        <w:t> </w:t>
      </w:r>
      <w:r>
        <w:rPr>
          <w:sz w:val="16"/>
        </w:rPr>
        <w:t>del</w:t>
      </w:r>
      <w:r>
        <w:rPr>
          <w:spacing w:val="-11"/>
          <w:sz w:val="16"/>
        </w:rPr>
        <w:t> </w:t>
      </w:r>
      <w:r>
        <w:rPr>
          <w:sz w:val="16"/>
        </w:rPr>
        <w:t>gobierno</w:t>
      </w:r>
      <w:r>
        <w:rPr>
          <w:spacing w:val="-11"/>
          <w:sz w:val="16"/>
        </w:rPr>
        <w:t> </w:t>
      </w:r>
      <w:r>
        <w:rPr>
          <w:sz w:val="16"/>
        </w:rPr>
        <w:t>del</w:t>
      </w:r>
      <w:r>
        <w:rPr>
          <w:spacing w:val="-11"/>
          <w:sz w:val="16"/>
        </w:rPr>
        <w:t> </w:t>
      </w:r>
      <w:r>
        <w:rPr>
          <w:sz w:val="16"/>
        </w:rPr>
        <w:t>Perú</w:t>
      </w:r>
      <w:r>
        <w:rPr>
          <w:spacing w:val="-11"/>
          <w:sz w:val="16"/>
        </w:rPr>
        <w:t> </w:t>
      </w:r>
      <w:r>
        <w:rPr>
          <w:sz w:val="16"/>
        </w:rPr>
        <w:t>para</w:t>
      </w:r>
      <w:r>
        <w:rPr>
          <w:spacing w:val="-12"/>
          <w:sz w:val="16"/>
        </w:rPr>
        <w:t> </w:t>
      </w:r>
      <w:r>
        <w:rPr>
          <w:sz w:val="16"/>
        </w:rPr>
        <w:t>que</w:t>
      </w:r>
      <w:r>
        <w:rPr>
          <w:spacing w:val="-11"/>
          <w:sz w:val="16"/>
        </w:rPr>
        <w:t> </w:t>
      </w:r>
      <w:r>
        <w:rPr>
          <w:sz w:val="16"/>
        </w:rPr>
        <w:t>se</w:t>
      </w:r>
      <w:r>
        <w:rPr>
          <w:spacing w:val="-11"/>
          <w:sz w:val="16"/>
        </w:rPr>
        <w:t> </w:t>
      </w:r>
      <w:r>
        <w:rPr>
          <w:sz w:val="16"/>
        </w:rPr>
        <w:t>califique</w:t>
      </w:r>
      <w:r>
        <w:rPr>
          <w:spacing w:val="-11"/>
          <w:sz w:val="16"/>
        </w:rPr>
        <w:t> </w:t>
      </w:r>
      <w:r>
        <w:rPr>
          <w:sz w:val="16"/>
        </w:rPr>
        <w:t>como</w:t>
      </w:r>
      <w:r>
        <w:rPr>
          <w:spacing w:val="-10"/>
          <w:sz w:val="16"/>
        </w:rPr>
        <w:t> </w:t>
      </w:r>
      <w:r>
        <w:rPr>
          <w:sz w:val="16"/>
        </w:rPr>
        <w:t>“gravamen”</w:t>
      </w:r>
      <w:r>
        <w:rPr>
          <w:spacing w:val="-12"/>
          <w:sz w:val="16"/>
        </w:rPr>
        <w:t> </w:t>
      </w:r>
      <w:r>
        <w:rPr>
          <w:sz w:val="16"/>
        </w:rPr>
        <w:t>a</w:t>
      </w:r>
      <w:r>
        <w:rPr>
          <w:spacing w:val="-11"/>
          <w:sz w:val="16"/>
        </w:rPr>
        <w:t> </w:t>
      </w:r>
      <w:r>
        <w:rPr>
          <w:sz w:val="16"/>
        </w:rPr>
        <w:t>las</w:t>
      </w:r>
      <w:r>
        <w:rPr>
          <w:spacing w:val="-11"/>
          <w:sz w:val="16"/>
        </w:rPr>
        <w:t> </w:t>
      </w:r>
      <w:r>
        <w:rPr>
          <w:sz w:val="16"/>
        </w:rPr>
        <w:t>importaciones originarias</w:t>
      </w:r>
      <w:r>
        <w:rPr>
          <w:spacing w:val="-3"/>
          <w:sz w:val="16"/>
        </w:rPr>
        <w:t> </w:t>
      </w:r>
      <w:r>
        <w:rPr>
          <w:sz w:val="16"/>
        </w:rPr>
        <w:t>de</w:t>
      </w:r>
      <w:r>
        <w:rPr>
          <w:spacing w:val="-7"/>
          <w:sz w:val="16"/>
        </w:rPr>
        <w:t> </w:t>
      </w:r>
      <w:r>
        <w:rPr>
          <w:sz w:val="16"/>
        </w:rPr>
        <w:t>la</w:t>
      </w:r>
      <w:r>
        <w:rPr>
          <w:spacing w:val="-6"/>
          <w:sz w:val="16"/>
        </w:rPr>
        <w:t> </w:t>
      </w:r>
      <w:r>
        <w:rPr>
          <w:sz w:val="16"/>
        </w:rPr>
        <w:t>Subregión</w:t>
      </w:r>
      <w:r>
        <w:rPr>
          <w:spacing w:val="-7"/>
          <w:sz w:val="16"/>
        </w:rPr>
        <w:t> </w:t>
      </w:r>
      <w:r>
        <w:rPr>
          <w:sz w:val="16"/>
        </w:rPr>
        <w:t>la</w:t>
      </w:r>
      <w:r>
        <w:rPr>
          <w:spacing w:val="-6"/>
          <w:sz w:val="16"/>
        </w:rPr>
        <w:t> </w:t>
      </w:r>
      <w:r>
        <w:rPr>
          <w:sz w:val="16"/>
        </w:rPr>
        <w:t>imposición</w:t>
      </w:r>
      <w:r>
        <w:rPr>
          <w:spacing w:val="-5"/>
          <w:sz w:val="16"/>
        </w:rPr>
        <w:t> </w:t>
      </w:r>
      <w:r>
        <w:rPr>
          <w:sz w:val="16"/>
        </w:rPr>
        <w:t>por</w:t>
      </w:r>
      <w:r>
        <w:rPr>
          <w:spacing w:val="-7"/>
          <w:sz w:val="16"/>
        </w:rPr>
        <w:t> </w:t>
      </w:r>
      <w:r>
        <w:rPr>
          <w:sz w:val="16"/>
        </w:rPr>
        <w:t>parte</w:t>
      </w:r>
      <w:r>
        <w:rPr>
          <w:spacing w:val="-7"/>
          <w:sz w:val="16"/>
        </w:rPr>
        <w:t> </w:t>
      </w:r>
      <w:r>
        <w:rPr>
          <w:sz w:val="16"/>
        </w:rPr>
        <w:t>de</w:t>
      </w:r>
      <w:r>
        <w:rPr>
          <w:spacing w:val="-4"/>
          <w:sz w:val="16"/>
        </w:rPr>
        <w:t> </w:t>
      </w:r>
      <w:r>
        <w:rPr>
          <w:sz w:val="16"/>
        </w:rPr>
        <w:t>la</w:t>
      </w:r>
      <w:r>
        <w:rPr>
          <w:spacing w:val="-6"/>
          <w:sz w:val="16"/>
        </w:rPr>
        <w:t> </w:t>
      </w:r>
      <w:r>
        <w:rPr>
          <w:sz w:val="16"/>
        </w:rPr>
        <w:t>República</w:t>
      </w:r>
      <w:r>
        <w:rPr>
          <w:spacing w:val="-4"/>
          <w:sz w:val="16"/>
        </w:rPr>
        <w:t> </w:t>
      </w:r>
      <w:r>
        <w:rPr>
          <w:sz w:val="16"/>
        </w:rPr>
        <w:t>del</w:t>
      </w:r>
      <w:r>
        <w:rPr>
          <w:spacing w:val="-6"/>
          <w:sz w:val="16"/>
        </w:rPr>
        <w:t> </w:t>
      </w:r>
      <w:r>
        <w:rPr>
          <w:sz w:val="16"/>
        </w:rPr>
        <w:t>Ecuador</w:t>
      </w:r>
      <w:r>
        <w:rPr>
          <w:spacing w:val="-4"/>
          <w:sz w:val="16"/>
        </w:rPr>
        <w:t> </w:t>
      </w:r>
      <w:r>
        <w:rPr>
          <w:sz w:val="16"/>
        </w:rPr>
        <w:t>de</w:t>
      </w:r>
      <w:r>
        <w:rPr>
          <w:spacing w:val="-7"/>
          <w:sz w:val="16"/>
        </w:rPr>
        <w:t> </w:t>
      </w:r>
      <w:r>
        <w:rPr>
          <w:sz w:val="16"/>
        </w:rPr>
        <w:t>una</w:t>
      </w:r>
      <w:r>
        <w:rPr>
          <w:spacing w:val="-7"/>
          <w:sz w:val="16"/>
        </w:rPr>
        <w:t> </w:t>
      </w:r>
      <w:r>
        <w:rPr>
          <w:sz w:val="16"/>
        </w:rPr>
        <w:t>tasa</w:t>
      </w:r>
      <w:r>
        <w:rPr>
          <w:spacing w:val="-4"/>
          <w:sz w:val="16"/>
        </w:rPr>
        <w:t> </w:t>
      </w:r>
      <w:r>
        <w:rPr>
          <w:sz w:val="16"/>
        </w:rPr>
        <w:t>de</w:t>
      </w:r>
      <w:r>
        <w:rPr>
          <w:spacing w:val="-9"/>
          <w:sz w:val="16"/>
        </w:rPr>
        <w:t> </w:t>
      </w:r>
      <w:r>
        <w:rPr>
          <w:sz w:val="16"/>
        </w:rPr>
        <w:t>cinco</w:t>
      </w:r>
      <w:r>
        <w:rPr>
          <w:spacing w:val="-7"/>
          <w:sz w:val="16"/>
        </w:rPr>
        <w:t> </w:t>
      </w:r>
      <w:r>
        <w:rPr>
          <w:sz w:val="16"/>
        </w:rPr>
        <w:t>dólares</w:t>
      </w:r>
      <w:r>
        <w:rPr>
          <w:spacing w:val="-3"/>
          <w:sz w:val="16"/>
        </w:rPr>
        <w:t> </w:t>
      </w:r>
      <w:r>
        <w:rPr>
          <w:sz w:val="16"/>
        </w:rPr>
        <w:t>americanos por la importación de cada cerdo vivo clasificado en la subpartida NANDINA 0103.92.00;</w:t>
      </w:r>
    </w:p>
    <w:p>
      <w:pPr>
        <w:pStyle w:val="ListParagraph"/>
        <w:numPr>
          <w:ilvl w:val="0"/>
          <w:numId w:val="18"/>
        </w:numPr>
        <w:tabs>
          <w:tab w:pos="1132" w:val="left" w:leader="none"/>
          <w:tab w:pos="1134" w:val="left" w:leader="none"/>
        </w:tabs>
        <w:spacing w:line="240" w:lineRule="auto" w:before="0" w:after="0"/>
        <w:ind w:left="1134" w:right="988" w:hanging="284"/>
        <w:jc w:val="both"/>
        <w:rPr>
          <w:sz w:val="16"/>
        </w:rPr>
      </w:pPr>
      <w:r>
        <w:rPr>
          <w:sz w:val="16"/>
        </w:rPr>
        <w:t>Resolución 895 de la SGCAN,</w:t>
      </w:r>
      <w:r>
        <w:rPr>
          <w:spacing w:val="40"/>
          <w:sz w:val="16"/>
        </w:rPr>
        <w:t> </w:t>
      </w:r>
      <w:r>
        <w:rPr>
          <w:sz w:val="16"/>
        </w:rPr>
        <w:t>calificación de la tasa por la prestación del servicio de inspección fitosanitaria aplicada por la República del Ecuador como gravamen para los efectos del Programa de Liberación;</w:t>
      </w:r>
    </w:p>
    <w:p>
      <w:pPr>
        <w:pStyle w:val="ListParagraph"/>
        <w:numPr>
          <w:ilvl w:val="0"/>
          <w:numId w:val="18"/>
        </w:numPr>
        <w:tabs>
          <w:tab w:pos="1132" w:val="left" w:leader="none"/>
          <w:tab w:pos="1134" w:val="left" w:leader="none"/>
        </w:tabs>
        <w:spacing w:line="240" w:lineRule="auto" w:before="0" w:after="0"/>
        <w:ind w:left="1134" w:right="986" w:hanging="284"/>
        <w:jc w:val="both"/>
        <w:rPr>
          <w:sz w:val="16"/>
        </w:rPr>
      </w:pPr>
      <w:r>
        <w:rPr>
          <w:sz w:val="16"/>
        </w:rPr>
        <w:t>Resolución 516 de la SGCAN,</w:t>
      </w:r>
      <w:r>
        <w:rPr>
          <w:spacing w:val="40"/>
          <w:sz w:val="16"/>
        </w:rPr>
        <w:t> </w:t>
      </w:r>
      <w:r>
        <w:rPr>
          <w:sz w:val="16"/>
        </w:rPr>
        <w:t>calificación de la tasa especial por servicios aduaneros aplicada por el gobierno de Colombia como gravamen para los efectos del Programa de Liberación;</w:t>
      </w:r>
    </w:p>
    <w:p>
      <w:pPr>
        <w:pStyle w:val="ListParagraph"/>
        <w:numPr>
          <w:ilvl w:val="0"/>
          <w:numId w:val="18"/>
        </w:numPr>
        <w:tabs>
          <w:tab w:pos="1132" w:val="left" w:leader="none"/>
          <w:tab w:pos="1134" w:val="left" w:leader="none"/>
        </w:tabs>
        <w:spacing w:line="240" w:lineRule="auto" w:before="0" w:after="0"/>
        <w:ind w:left="1134" w:right="988" w:hanging="284"/>
        <w:jc w:val="both"/>
        <w:rPr>
          <w:sz w:val="16"/>
        </w:rPr>
      </w:pPr>
      <w:r>
        <w:rPr>
          <w:sz w:val="16"/>
        </w:rPr>
        <w:t>Resolución</w:t>
      </w:r>
      <w:r>
        <w:rPr>
          <w:spacing w:val="40"/>
          <w:sz w:val="16"/>
        </w:rPr>
        <w:t> </w:t>
      </w:r>
      <w:r>
        <w:rPr>
          <w:sz w:val="16"/>
        </w:rPr>
        <w:t>513 de la SGCAN,</w:t>
      </w:r>
      <w:r>
        <w:rPr>
          <w:spacing w:val="40"/>
          <w:sz w:val="16"/>
        </w:rPr>
        <w:t> </w:t>
      </w:r>
      <w:r>
        <w:rPr>
          <w:sz w:val="16"/>
        </w:rPr>
        <w:t>calificación de las tasas por permisos fitosanitarios y zoosanitarios aplicadas por el gobierno de Venezuela como gravamen para los efectos del Programa de Liberación; y,</w:t>
      </w:r>
    </w:p>
    <w:p>
      <w:pPr>
        <w:pStyle w:val="ListParagraph"/>
        <w:numPr>
          <w:ilvl w:val="0"/>
          <w:numId w:val="18"/>
        </w:numPr>
        <w:tabs>
          <w:tab w:pos="1133" w:val="left" w:leader="none"/>
        </w:tabs>
        <w:spacing w:line="183" w:lineRule="exact" w:before="0" w:after="0"/>
        <w:ind w:left="1133" w:right="0" w:hanging="282"/>
        <w:jc w:val="both"/>
        <w:rPr>
          <w:sz w:val="16"/>
        </w:rPr>
      </w:pPr>
      <w:r>
        <w:rPr>
          <w:sz w:val="16"/>
        </w:rPr>
        <w:t>Resolución</w:t>
      </w:r>
      <w:r>
        <w:rPr>
          <w:spacing w:val="38"/>
          <w:sz w:val="16"/>
        </w:rPr>
        <w:t> </w:t>
      </w:r>
      <w:r>
        <w:rPr>
          <w:sz w:val="16"/>
        </w:rPr>
        <w:t>438</w:t>
      </w:r>
      <w:r>
        <w:rPr>
          <w:spacing w:val="-2"/>
          <w:sz w:val="16"/>
        </w:rPr>
        <w:t> </w:t>
      </w:r>
      <w:r>
        <w:rPr>
          <w:sz w:val="16"/>
        </w:rPr>
        <w:t>de</w:t>
      </w:r>
      <w:r>
        <w:rPr>
          <w:spacing w:val="-3"/>
          <w:sz w:val="16"/>
        </w:rPr>
        <w:t> </w:t>
      </w:r>
      <w:r>
        <w:rPr>
          <w:sz w:val="16"/>
        </w:rPr>
        <w:t>la</w:t>
      </w:r>
      <w:r>
        <w:rPr>
          <w:spacing w:val="-3"/>
          <w:sz w:val="16"/>
        </w:rPr>
        <w:t> </w:t>
      </w:r>
      <w:r>
        <w:rPr>
          <w:sz w:val="16"/>
        </w:rPr>
        <w:t>SGCAN,</w:t>
      </w:r>
      <w:r>
        <w:rPr>
          <w:spacing w:val="42"/>
          <w:sz w:val="16"/>
        </w:rPr>
        <w:t> </w:t>
      </w:r>
      <w:r>
        <w:rPr>
          <w:sz w:val="16"/>
        </w:rPr>
        <w:t>calificación</w:t>
      </w:r>
      <w:r>
        <w:rPr>
          <w:spacing w:val="-4"/>
          <w:sz w:val="16"/>
        </w:rPr>
        <w:t> </w:t>
      </w:r>
      <w:r>
        <w:rPr>
          <w:sz w:val="16"/>
        </w:rPr>
        <w:t>de</w:t>
      </w:r>
      <w:r>
        <w:rPr>
          <w:spacing w:val="-1"/>
          <w:sz w:val="16"/>
        </w:rPr>
        <w:t> </w:t>
      </w:r>
      <w:r>
        <w:rPr>
          <w:sz w:val="16"/>
        </w:rPr>
        <w:t>la</w:t>
      </w:r>
      <w:r>
        <w:rPr>
          <w:spacing w:val="-3"/>
          <w:sz w:val="16"/>
        </w:rPr>
        <w:t> </w:t>
      </w:r>
      <w:r>
        <w:rPr>
          <w:sz w:val="16"/>
        </w:rPr>
        <w:t>medida</w:t>
      </w:r>
      <w:r>
        <w:rPr>
          <w:spacing w:val="-4"/>
          <w:sz w:val="16"/>
        </w:rPr>
        <w:t> </w:t>
      </w:r>
      <w:r>
        <w:rPr>
          <w:sz w:val="16"/>
        </w:rPr>
        <w:t>adoptada</w:t>
      </w:r>
      <w:r>
        <w:rPr>
          <w:spacing w:val="-3"/>
          <w:sz w:val="16"/>
        </w:rPr>
        <w:t> </w:t>
      </w:r>
      <w:r>
        <w:rPr>
          <w:sz w:val="16"/>
        </w:rPr>
        <w:t>por</w:t>
      </w:r>
      <w:r>
        <w:rPr>
          <w:spacing w:val="-1"/>
          <w:sz w:val="16"/>
        </w:rPr>
        <w:t> </w:t>
      </w:r>
      <w:r>
        <w:rPr>
          <w:sz w:val="16"/>
        </w:rPr>
        <w:t>el</w:t>
      </w:r>
      <w:r>
        <w:rPr>
          <w:spacing w:val="-1"/>
          <w:sz w:val="16"/>
        </w:rPr>
        <w:t> </w:t>
      </w:r>
      <w:r>
        <w:rPr>
          <w:sz w:val="16"/>
        </w:rPr>
        <w:t>gobierno</w:t>
      </w:r>
      <w:r>
        <w:rPr>
          <w:spacing w:val="-1"/>
          <w:sz w:val="16"/>
        </w:rPr>
        <w:t> </w:t>
      </w:r>
      <w:r>
        <w:rPr>
          <w:sz w:val="16"/>
        </w:rPr>
        <w:t>de</w:t>
      </w:r>
      <w:r>
        <w:rPr>
          <w:spacing w:val="-4"/>
          <w:sz w:val="16"/>
        </w:rPr>
        <w:t> </w:t>
      </w:r>
      <w:r>
        <w:rPr>
          <w:sz w:val="16"/>
        </w:rPr>
        <w:t>Perú</w:t>
      </w:r>
      <w:r>
        <w:rPr>
          <w:spacing w:val="-1"/>
          <w:sz w:val="16"/>
        </w:rPr>
        <w:t> </w:t>
      </w:r>
      <w:r>
        <w:rPr>
          <w:sz w:val="16"/>
        </w:rPr>
        <w:t>consistente</w:t>
      </w:r>
      <w:r>
        <w:rPr>
          <w:spacing w:val="-2"/>
          <w:sz w:val="16"/>
        </w:rPr>
        <w:t> </w:t>
      </w:r>
      <w:r>
        <w:rPr>
          <w:sz w:val="16"/>
        </w:rPr>
        <w:t>en</w:t>
      </w:r>
      <w:r>
        <w:rPr>
          <w:spacing w:val="-1"/>
          <w:sz w:val="16"/>
        </w:rPr>
        <w:t> </w:t>
      </w:r>
      <w:r>
        <w:rPr>
          <w:sz w:val="16"/>
        </w:rPr>
        <w:t>la </w:t>
      </w:r>
      <w:r>
        <w:rPr>
          <w:spacing w:val="-2"/>
          <w:sz w:val="16"/>
        </w:rPr>
        <w:t>aplicación</w:t>
      </w:r>
    </w:p>
    <w:p>
      <w:pPr>
        <w:tabs>
          <w:tab w:pos="1134" w:val="left" w:leader="none"/>
          <w:tab w:pos="9816" w:val="left" w:leader="none"/>
        </w:tabs>
        <w:spacing w:before="0"/>
        <w:ind w:left="160" w:right="0" w:firstLine="0"/>
        <w:jc w:val="both"/>
        <w:rPr>
          <w:sz w:val="16"/>
        </w:rPr>
      </w:pPr>
      <w:r>
        <w:rPr>
          <w:sz w:val="16"/>
          <w:u w:val="single"/>
        </w:rPr>
        <w:tab/>
        <w:t>de</w:t>
      </w:r>
      <w:r>
        <w:rPr>
          <w:spacing w:val="-6"/>
          <w:sz w:val="16"/>
          <w:u w:val="single"/>
        </w:rPr>
        <w:t> </w:t>
      </w:r>
      <w:r>
        <w:rPr>
          <w:sz w:val="16"/>
          <w:u w:val="single"/>
        </w:rPr>
        <w:t>una</w:t>
      </w:r>
      <w:r>
        <w:rPr>
          <w:spacing w:val="-4"/>
          <w:sz w:val="16"/>
          <w:u w:val="single"/>
        </w:rPr>
        <w:t> </w:t>
      </w:r>
      <w:r>
        <w:rPr>
          <w:sz w:val="16"/>
          <w:u w:val="single"/>
        </w:rPr>
        <w:t>tasa</w:t>
      </w:r>
      <w:r>
        <w:rPr>
          <w:spacing w:val="-4"/>
          <w:sz w:val="16"/>
          <w:u w:val="single"/>
        </w:rPr>
        <w:t> </w:t>
      </w:r>
      <w:r>
        <w:rPr>
          <w:sz w:val="16"/>
          <w:u w:val="single"/>
        </w:rPr>
        <w:t>para</w:t>
      </w:r>
      <w:r>
        <w:rPr>
          <w:spacing w:val="-4"/>
          <w:sz w:val="16"/>
          <w:u w:val="single"/>
        </w:rPr>
        <w:t> </w:t>
      </w:r>
      <w:r>
        <w:rPr>
          <w:sz w:val="16"/>
          <w:u w:val="single"/>
        </w:rPr>
        <w:t>la</w:t>
      </w:r>
      <w:r>
        <w:rPr>
          <w:spacing w:val="-6"/>
          <w:sz w:val="16"/>
          <w:u w:val="single"/>
        </w:rPr>
        <w:t> </w:t>
      </w:r>
      <w:r>
        <w:rPr>
          <w:sz w:val="16"/>
          <w:u w:val="single"/>
        </w:rPr>
        <w:t>importación</w:t>
      </w:r>
      <w:r>
        <w:rPr>
          <w:spacing w:val="-4"/>
          <w:sz w:val="16"/>
          <w:u w:val="single"/>
        </w:rPr>
        <w:t> </w:t>
      </w:r>
      <w:r>
        <w:rPr>
          <w:sz w:val="16"/>
          <w:u w:val="single"/>
        </w:rPr>
        <w:t>de</w:t>
      </w:r>
      <w:r>
        <w:rPr>
          <w:spacing w:val="-3"/>
          <w:sz w:val="16"/>
          <w:u w:val="single"/>
        </w:rPr>
        <w:t> </w:t>
      </w:r>
      <w:r>
        <w:rPr>
          <w:sz w:val="16"/>
          <w:u w:val="single"/>
        </w:rPr>
        <w:t>productos</w:t>
      </w:r>
      <w:r>
        <w:rPr>
          <w:spacing w:val="-2"/>
          <w:sz w:val="16"/>
          <w:u w:val="single"/>
        </w:rPr>
        <w:t> </w:t>
      </w:r>
      <w:r>
        <w:rPr>
          <w:sz w:val="16"/>
          <w:u w:val="single"/>
        </w:rPr>
        <w:t>de</w:t>
      </w:r>
      <w:r>
        <w:rPr>
          <w:spacing w:val="-4"/>
          <w:sz w:val="16"/>
          <w:u w:val="single"/>
        </w:rPr>
        <w:t> </w:t>
      </w:r>
      <w:r>
        <w:rPr>
          <w:sz w:val="16"/>
          <w:u w:val="single"/>
        </w:rPr>
        <w:t>origen</w:t>
      </w:r>
      <w:r>
        <w:rPr>
          <w:spacing w:val="-7"/>
          <w:sz w:val="16"/>
          <w:u w:val="single"/>
        </w:rPr>
        <w:t> </w:t>
      </w:r>
      <w:r>
        <w:rPr>
          <w:sz w:val="16"/>
          <w:u w:val="single"/>
        </w:rPr>
        <w:t>animal</w:t>
      </w:r>
      <w:r>
        <w:rPr>
          <w:spacing w:val="-6"/>
          <w:sz w:val="16"/>
          <w:u w:val="single"/>
        </w:rPr>
        <w:t> </w:t>
      </w:r>
      <w:r>
        <w:rPr>
          <w:sz w:val="16"/>
          <w:u w:val="single"/>
        </w:rPr>
        <w:t>y</w:t>
      </w:r>
      <w:r>
        <w:rPr>
          <w:spacing w:val="-4"/>
          <w:sz w:val="16"/>
          <w:u w:val="single"/>
        </w:rPr>
        <w:t> </w:t>
      </w:r>
      <w:r>
        <w:rPr>
          <w:sz w:val="16"/>
          <w:u w:val="single"/>
        </w:rPr>
        <w:t>vegetal</w:t>
      </w:r>
      <w:r>
        <w:rPr>
          <w:spacing w:val="-5"/>
          <w:sz w:val="16"/>
          <w:u w:val="single"/>
        </w:rPr>
        <w:t> </w:t>
      </w:r>
      <w:r>
        <w:rPr>
          <w:sz w:val="16"/>
          <w:u w:val="single"/>
        </w:rPr>
        <w:t>como</w:t>
      </w:r>
      <w:r>
        <w:rPr>
          <w:spacing w:val="-4"/>
          <w:sz w:val="16"/>
          <w:u w:val="single"/>
        </w:rPr>
        <w:t> </w:t>
      </w:r>
      <w:r>
        <w:rPr>
          <w:sz w:val="16"/>
          <w:u w:val="single"/>
        </w:rPr>
        <w:t>gravamen</w:t>
      </w:r>
      <w:r>
        <w:rPr>
          <w:spacing w:val="-4"/>
          <w:sz w:val="16"/>
          <w:u w:val="single"/>
        </w:rPr>
        <w:t> </w:t>
      </w:r>
      <w:r>
        <w:rPr>
          <w:sz w:val="16"/>
          <w:u w:val="single"/>
        </w:rPr>
        <w:t>al</w:t>
      </w:r>
      <w:r>
        <w:rPr>
          <w:spacing w:val="-7"/>
          <w:sz w:val="16"/>
          <w:u w:val="single"/>
        </w:rPr>
        <w:t> </w:t>
      </w:r>
      <w:r>
        <w:rPr>
          <w:spacing w:val="-2"/>
          <w:sz w:val="16"/>
          <w:u w:val="single"/>
        </w:rPr>
        <w:t>comercio.</w:t>
      </w:r>
      <w:r>
        <w:rPr>
          <w:sz w:val="16"/>
          <w:u w:val="single"/>
        </w:rPr>
        <w:tab/>
      </w:r>
    </w:p>
    <w:p>
      <w:pPr>
        <w:spacing w:after="0"/>
        <w:jc w:val="both"/>
        <w:rPr>
          <w:sz w:val="16"/>
        </w:rPr>
        <w:sectPr>
          <w:headerReference w:type="default" r:id="rId49"/>
          <w:footerReference w:type="default" r:id="rId50"/>
          <w:pgSz w:w="11900" w:h="16850"/>
          <w:pgMar w:header="370" w:footer="597" w:top="1380" w:bottom="780" w:left="992" w:right="283"/>
        </w:sectPr>
      </w:pPr>
    </w:p>
    <w:p>
      <w:pPr>
        <w:pStyle w:val="BodyText"/>
        <w:spacing w:before="176"/>
      </w:pPr>
    </w:p>
    <w:p>
      <w:pPr>
        <w:pStyle w:val="BodyText"/>
        <w:ind w:left="1134" w:right="982"/>
        <w:jc w:val="both"/>
      </w:pPr>
      <w:r>
        <w:rPr/>
        <w:t>volumen de las transacciones, precios o ambas cosas</w:t>
      </w:r>
      <w:hyperlink w:history="true" w:anchor="_bookmark62">
        <w:r>
          <w:rPr>
            <w:vertAlign w:val="superscript"/>
          </w:rPr>
          <w:t>20</w:t>
        </w:r>
        <w:r>
          <w:rPr>
            <w:vertAlign w:val="baseline"/>
          </w:rPr>
          <w:t>.</w:t>
        </w:r>
      </w:hyperlink>
      <w:r>
        <w:rPr>
          <w:vertAlign w:val="baseline"/>
        </w:rPr>
        <w:t> Por este motivo el referido artículo 77 del Acuerdo de Cartagena obliga a los Países Miembros a abstenerse de introducir «restricciones de todo orden» y aquellas que no deben considerarse comprendidas de ese concepto (Baldeón, 2024).</w:t>
      </w:r>
    </w:p>
    <w:p>
      <w:pPr>
        <w:pStyle w:val="BodyText"/>
      </w:pPr>
    </w:p>
    <w:p>
      <w:pPr>
        <w:pStyle w:val="Heading5"/>
        <w:numPr>
          <w:ilvl w:val="1"/>
          <w:numId w:val="10"/>
        </w:numPr>
        <w:tabs>
          <w:tab w:pos="1132" w:val="left" w:leader="none"/>
          <w:tab w:pos="1134" w:val="left" w:leader="none"/>
        </w:tabs>
        <w:spacing w:line="240" w:lineRule="auto" w:before="0" w:after="0"/>
        <w:ind w:left="1134" w:right="986" w:hanging="567"/>
        <w:jc w:val="both"/>
      </w:pPr>
      <w:r>
        <w:rPr/>
        <w:t>DE LA JURISPRUDENCIA DEL TRIBUNAL DE JUSTICIA DE LA COMUNIDAD </w:t>
      </w:r>
      <w:r>
        <w:rPr>
          <w:spacing w:val="-2"/>
        </w:rPr>
        <w:t>ANDINA</w:t>
      </w:r>
    </w:p>
    <w:p>
      <w:pPr>
        <w:pStyle w:val="ListParagraph"/>
        <w:numPr>
          <w:ilvl w:val="0"/>
          <w:numId w:val="11"/>
        </w:numPr>
        <w:tabs>
          <w:tab w:pos="1130" w:val="left" w:leader="none"/>
          <w:tab w:pos="1134" w:val="left" w:leader="none"/>
        </w:tabs>
        <w:spacing w:line="240" w:lineRule="auto" w:before="253" w:after="0"/>
        <w:ind w:left="1134" w:right="981" w:hanging="567"/>
        <w:jc w:val="both"/>
        <w:rPr>
          <w:sz w:val="22"/>
        </w:rPr>
      </w:pPr>
      <w:r>
        <w:rPr>
          <w:sz w:val="22"/>
        </w:rPr>
        <w:t>La jurisprudencia del TJCAN constituye una fuente esencial para la interpretación del ordenamiento jurídico comunitario, particularmente en lo relativo al alcance del Programa de Liberación y la identificación de las restricciones al comercio intracomunitario. En este contexto, los diversos pronunciamientos emitidos por el TJCAN han permitido</w:t>
      </w:r>
      <w:r>
        <w:rPr>
          <w:spacing w:val="-1"/>
          <w:sz w:val="22"/>
        </w:rPr>
        <w:t> </w:t>
      </w:r>
      <w:r>
        <w:rPr>
          <w:sz w:val="22"/>
        </w:rPr>
        <w:t>delimitar qué</w:t>
      </w:r>
      <w:r>
        <w:rPr>
          <w:spacing w:val="-3"/>
          <w:sz w:val="22"/>
        </w:rPr>
        <w:t> </w:t>
      </w:r>
      <w:r>
        <w:rPr>
          <w:sz w:val="22"/>
        </w:rPr>
        <w:t>medidas pueden ser calificadas</w:t>
      </w:r>
      <w:r>
        <w:rPr>
          <w:spacing w:val="-1"/>
          <w:sz w:val="22"/>
        </w:rPr>
        <w:t> </w:t>
      </w:r>
      <w:r>
        <w:rPr>
          <w:sz w:val="22"/>
        </w:rPr>
        <w:t>como</w:t>
      </w:r>
      <w:r>
        <w:rPr>
          <w:spacing w:val="-1"/>
          <w:sz w:val="22"/>
        </w:rPr>
        <w:t> </w:t>
      </w:r>
      <w:r>
        <w:rPr>
          <w:sz w:val="22"/>
        </w:rPr>
        <w:t>restricciones de todo orden y bajo qué supuestos pueden considerarse justificadas. Dichos criterios jurisprudenciales resultan relevantes para el análisis del presente procedimiento.</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En ese orden se abordarán los criterios utilizados por el TJCAN para la calificación de restricciones en los Procesos 1-AI-97, 12-AN-99, 19-AI-99, 25-AI-1999, 192</w:t>
      </w:r>
      <w:r>
        <w:rPr>
          <w:rFonts w:ascii="Cambria Math" w:hAnsi="Cambria Math"/>
          <w:sz w:val="22"/>
        </w:rPr>
        <w:t>‑</w:t>
      </w:r>
      <w:r>
        <w:rPr>
          <w:sz w:val="22"/>
        </w:rPr>
        <w:t>IP</w:t>
      </w:r>
      <w:r>
        <w:rPr>
          <w:rFonts w:ascii="Cambria Math" w:hAnsi="Cambria Math"/>
          <w:sz w:val="22"/>
        </w:rPr>
        <w:t>‑</w:t>
      </w:r>
      <w:r>
        <w:rPr>
          <w:sz w:val="22"/>
        </w:rPr>
        <w:t>2007, 14-IP-2008, 15-IP-2008.</w:t>
      </w:r>
    </w:p>
    <w:p>
      <w:pPr>
        <w:pStyle w:val="Heading5"/>
        <w:numPr>
          <w:ilvl w:val="0"/>
          <w:numId w:val="10"/>
        </w:numPr>
        <w:tabs>
          <w:tab w:pos="850" w:val="left" w:leader="none"/>
        </w:tabs>
        <w:spacing w:line="240" w:lineRule="auto" w:before="251" w:after="0"/>
        <w:ind w:left="850" w:right="0" w:hanging="282"/>
        <w:jc w:val="left"/>
      </w:pPr>
      <w:r>
        <w:rPr/>
        <w:t>ANALISIS</w:t>
      </w:r>
      <w:r>
        <w:rPr>
          <w:spacing w:val="-6"/>
        </w:rPr>
        <w:t> </w:t>
      </w:r>
      <w:r>
        <w:rPr/>
        <w:t>DE</w:t>
      </w:r>
      <w:r>
        <w:rPr>
          <w:spacing w:val="-3"/>
        </w:rPr>
        <w:t> </w:t>
      </w:r>
      <w:r>
        <w:rPr/>
        <w:t>LA</w:t>
      </w:r>
      <w:r>
        <w:rPr>
          <w:spacing w:val="-1"/>
        </w:rPr>
        <w:t> </w:t>
      </w:r>
      <w:r>
        <w:rPr>
          <w:spacing w:val="-2"/>
        </w:rPr>
        <w:t>SGCAN</w:t>
      </w:r>
    </w:p>
    <w:p>
      <w:pPr>
        <w:pStyle w:val="BodyText"/>
        <w:spacing w:before="1"/>
        <w:rPr>
          <w:rFonts w:ascii="Arial"/>
          <w:b/>
        </w:rPr>
      </w:pPr>
    </w:p>
    <w:p>
      <w:pPr>
        <w:pStyle w:val="ListParagraph"/>
        <w:numPr>
          <w:ilvl w:val="0"/>
          <w:numId w:val="11"/>
        </w:numPr>
        <w:tabs>
          <w:tab w:pos="1130" w:val="left" w:leader="none"/>
          <w:tab w:pos="1134" w:val="left" w:leader="none"/>
        </w:tabs>
        <w:spacing w:line="240" w:lineRule="auto" w:before="0" w:after="0"/>
        <w:ind w:left="1134" w:right="982" w:hanging="567"/>
        <w:jc w:val="both"/>
        <w:rPr>
          <w:sz w:val="22"/>
        </w:rPr>
      </w:pPr>
      <w:r>
        <w:rPr>
          <w:sz w:val="22"/>
        </w:rPr>
        <w:t>En este acápite se analizará si la medida sobre el cobro de la TSCA recaudada por la República</w:t>
      </w:r>
      <w:r>
        <w:rPr>
          <w:spacing w:val="-7"/>
          <w:sz w:val="22"/>
        </w:rPr>
        <w:t> </w:t>
      </w:r>
      <w:r>
        <w:rPr>
          <w:sz w:val="22"/>
        </w:rPr>
        <w:t>del</w:t>
      </w:r>
      <w:r>
        <w:rPr>
          <w:spacing w:val="-8"/>
          <w:sz w:val="22"/>
        </w:rPr>
        <w:t> </w:t>
      </w:r>
      <w:r>
        <w:rPr>
          <w:sz w:val="22"/>
        </w:rPr>
        <w:t>Ecuador</w:t>
      </w:r>
      <w:r>
        <w:rPr>
          <w:spacing w:val="-6"/>
          <w:sz w:val="22"/>
        </w:rPr>
        <w:t> </w:t>
      </w:r>
      <w:r>
        <w:rPr>
          <w:sz w:val="22"/>
        </w:rPr>
        <w:t>corresponde</w:t>
      </w:r>
      <w:r>
        <w:rPr>
          <w:spacing w:val="-10"/>
          <w:sz w:val="22"/>
        </w:rPr>
        <w:t> </w:t>
      </w:r>
      <w:r>
        <w:rPr>
          <w:sz w:val="22"/>
        </w:rPr>
        <w:t>a</w:t>
      </w:r>
      <w:r>
        <w:rPr>
          <w:spacing w:val="-7"/>
          <w:sz w:val="22"/>
        </w:rPr>
        <w:t> </w:t>
      </w:r>
      <w:r>
        <w:rPr>
          <w:sz w:val="22"/>
        </w:rPr>
        <w:t>un</w:t>
      </w:r>
      <w:r>
        <w:rPr>
          <w:spacing w:val="-8"/>
          <w:sz w:val="22"/>
        </w:rPr>
        <w:t> </w:t>
      </w:r>
      <w:r>
        <w:rPr>
          <w:sz w:val="22"/>
        </w:rPr>
        <w:t>servicio</w:t>
      </w:r>
      <w:r>
        <w:rPr>
          <w:spacing w:val="-10"/>
          <w:sz w:val="22"/>
        </w:rPr>
        <w:t> </w:t>
      </w:r>
      <w:r>
        <w:rPr>
          <w:sz w:val="22"/>
        </w:rPr>
        <w:t>efectivamente</w:t>
      </w:r>
      <w:r>
        <w:rPr>
          <w:spacing w:val="-10"/>
          <w:sz w:val="22"/>
        </w:rPr>
        <w:t> </w:t>
      </w:r>
      <w:r>
        <w:rPr>
          <w:sz w:val="22"/>
        </w:rPr>
        <w:t>prestado</w:t>
      </w:r>
      <w:r>
        <w:rPr>
          <w:spacing w:val="-10"/>
          <w:sz w:val="22"/>
        </w:rPr>
        <w:t> </w:t>
      </w:r>
      <w:r>
        <w:rPr>
          <w:sz w:val="22"/>
        </w:rPr>
        <w:t>al</w:t>
      </w:r>
      <w:r>
        <w:rPr>
          <w:spacing w:val="-8"/>
          <w:sz w:val="22"/>
        </w:rPr>
        <w:t> </w:t>
      </w:r>
      <w:r>
        <w:rPr>
          <w:sz w:val="22"/>
        </w:rPr>
        <w:t>importador, en el marco de lo establecido en el artículo 73 del Acuerdo de Cartagena y la jurisprudencia del TJCAN relativa a este asunto en particular.</w:t>
      </w:r>
    </w:p>
    <w:p>
      <w:pPr>
        <w:pStyle w:val="BodyText"/>
      </w:pPr>
    </w:p>
    <w:p>
      <w:pPr>
        <w:pStyle w:val="Heading5"/>
        <w:numPr>
          <w:ilvl w:val="1"/>
          <w:numId w:val="10"/>
        </w:numPr>
        <w:tabs>
          <w:tab w:pos="1133" w:val="left" w:leader="none"/>
        </w:tabs>
        <w:spacing w:line="240" w:lineRule="auto" w:before="0" w:after="0"/>
        <w:ind w:left="1133" w:right="0" w:hanging="565"/>
        <w:jc w:val="left"/>
      </w:pPr>
      <w:r>
        <w:rPr/>
        <w:t>SOBRE</w:t>
      </w:r>
      <w:r>
        <w:rPr>
          <w:spacing w:val="-5"/>
        </w:rPr>
        <w:t> </w:t>
      </w:r>
      <w:r>
        <w:rPr/>
        <w:t>LA</w:t>
      </w:r>
      <w:r>
        <w:rPr>
          <w:spacing w:val="-5"/>
        </w:rPr>
        <w:t> </w:t>
      </w:r>
      <w:r>
        <w:rPr/>
        <w:t>CALIFICACIÓN</w:t>
      </w:r>
      <w:r>
        <w:rPr>
          <w:spacing w:val="-5"/>
        </w:rPr>
        <w:t> </w:t>
      </w:r>
      <w:r>
        <w:rPr/>
        <w:t>DE</w:t>
      </w:r>
      <w:r>
        <w:rPr>
          <w:spacing w:val="-4"/>
        </w:rPr>
        <w:t> </w:t>
      </w:r>
      <w:r>
        <w:rPr/>
        <w:t>UN</w:t>
      </w:r>
      <w:r>
        <w:rPr>
          <w:spacing w:val="-7"/>
        </w:rPr>
        <w:t> </w:t>
      </w:r>
      <w:r>
        <w:rPr>
          <w:spacing w:val="-2"/>
        </w:rPr>
        <w:t>GRAVAMEN</w:t>
      </w:r>
    </w:p>
    <w:p>
      <w:pPr>
        <w:pStyle w:val="BodyText"/>
        <w:rPr>
          <w:rFonts w:ascii="Arial"/>
          <w:b/>
        </w:rPr>
      </w:pPr>
    </w:p>
    <w:p>
      <w:pPr>
        <w:pStyle w:val="ListParagraph"/>
        <w:numPr>
          <w:ilvl w:val="0"/>
          <w:numId w:val="11"/>
        </w:numPr>
        <w:tabs>
          <w:tab w:pos="1130" w:val="left" w:leader="none"/>
          <w:tab w:pos="1134" w:val="left" w:leader="none"/>
        </w:tabs>
        <w:spacing w:line="240" w:lineRule="auto" w:before="1" w:after="0"/>
        <w:ind w:left="1134" w:right="976" w:hanging="567"/>
        <w:jc w:val="both"/>
        <w:rPr>
          <w:sz w:val="22"/>
        </w:rPr>
      </w:pPr>
      <w:r>
        <w:rPr>
          <w:sz w:val="22"/>
        </w:rPr>
        <w:t>Cabe mencionar que, los artículos 72 y 73 del Acuerdo de Cartagena no definen el alcance de los términos </w:t>
      </w:r>
      <w:r>
        <w:rPr>
          <w:rFonts w:ascii="Arial" w:hAnsi="Arial"/>
          <w:i/>
          <w:sz w:val="22"/>
        </w:rPr>
        <w:t>tasas </w:t>
      </w:r>
      <w:r>
        <w:rPr>
          <w:sz w:val="22"/>
        </w:rPr>
        <w:t>ni </w:t>
      </w:r>
      <w:r>
        <w:rPr>
          <w:rFonts w:ascii="Arial" w:hAnsi="Arial"/>
          <w:i/>
          <w:sz w:val="22"/>
        </w:rPr>
        <w:t>servicios prestados</w:t>
      </w:r>
      <w:r>
        <w:rPr>
          <w:sz w:val="22"/>
        </w:rPr>
        <w:t>, en el marco del Programa de </w:t>
      </w:r>
      <w:r>
        <w:rPr>
          <w:spacing w:val="-2"/>
          <w:sz w:val="22"/>
        </w:rPr>
        <w:t>Liberación.</w:t>
      </w:r>
    </w:p>
    <w:p>
      <w:pPr>
        <w:pStyle w:val="BodyText"/>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Por su parte, en distintos pronunciamientos referidos a gravámenes en la Comunidad Andina, el TJCAN ha desarrollado algunos criterios que resulta necesario tener en cuenta al momento de evaluar si, en el contexto de la zona de libre comercio de la Comunidad Andina, determinadas actividades vinculadas a las importaciones califican como </w:t>
      </w:r>
      <w:r>
        <w:rPr>
          <w:rFonts w:ascii="Arial" w:hAnsi="Arial"/>
          <w:i/>
          <w:sz w:val="22"/>
        </w:rPr>
        <w:t>servicios prestados, </w:t>
      </w:r>
      <w:r>
        <w:rPr>
          <w:sz w:val="22"/>
        </w:rPr>
        <w:t>sobre los cuales se puede cobrar una tasa; sin que sea considerada un gravamen.</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7" w:hanging="567"/>
        <w:jc w:val="both"/>
        <w:rPr>
          <w:rFonts w:ascii="Arial" w:hAnsi="Arial"/>
          <w:i/>
          <w:sz w:val="22"/>
        </w:rPr>
      </w:pPr>
      <w:r>
        <w:rPr>
          <w:sz w:val="22"/>
        </w:rPr>
        <w:t>Corresponde, asimismo, señalar que el TJCAN, en el Proceso 1-AI-97</w:t>
      </w:r>
      <w:hyperlink w:history="true" w:anchor="_bookmark63">
        <w:r>
          <w:rPr>
            <w:sz w:val="22"/>
            <w:vertAlign w:val="superscript"/>
          </w:rPr>
          <w:t>21</w:t>
        </w:r>
      </w:hyperlink>
      <w:r>
        <w:rPr>
          <w:sz w:val="22"/>
          <w:vertAlign w:val="baseline"/>
        </w:rPr>
        <w:t>, se ha pronunciado sobre </w:t>
      </w:r>
      <w:r>
        <w:rPr>
          <w:sz w:val="22"/>
          <w:u w:val="single"/>
          <w:vertAlign w:val="baseline"/>
        </w:rPr>
        <w:t>el principio de libre circulación de mercancías en la Comunidad</w:t>
      </w:r>
      <w:r>
        <w:rPr>
          <w:sz w:val="22"/>
          <w:vertAlign w:val="baseline"/>
        </w:rPr>
        <w:t> </w:t>
      </w:r>
      <w:r>
        <w:rPr>
          <w:sz w:val="22"/>
          <w:u w:val="single"/>
          <w:vertAlign w:val="baseline"/>
        </w:rPr>
        <w:t>Andina</w:t>
      </w:r>
      <w:r>
        <w:rPr>
          <w:sz w:val="22"/>
          <w:vertAlign w:val="baseline"/>
        </w:rPr>
        <w:t>, al destacar </w:t>
      </w:r>
      <w:r>
        <w:rPr>
          <w:rFonts w:ascii="Arial" w:hAnsi="Arial"/>
          <w:i/>
          <w:sz w:val="22"/>
          <w:vertAlign w:val="baseline"/>
        </w:rPr>
        <w:t>“la libertad esencial de circulación de mercancías como parámetro de</w:t>
      </w:r>
      <w:r>
        <w:rPr>
          <w:rFonts w:ascii="Arial" w:hAnsi="Arial"/>
          <w:i/>
          <w:spacing w:val="-2"/>
          <w:sz w:val="22"/>
          <w:vertAlign w:val="baseline"/>
        </w:rPr>
        <w:t> </w:t>
      </w:r>
      <w:r>
        <w:rPr>
          <w:rFonts w:ascii="Arial" w:hAnsi="Arial"/>
          <w:i/>
          <w:sz w:val="22"/>
          <w:vertAlign w:val="baseline"/>
        </w:rPr>
        <w:t>primer</w:t>
      </w:r>
      <w:r>
        <w:rPr>
          <w:rFonts w:ascii="Arial" w:hAnsi="Arial"/>
          <w:i/>
          <w:spacing w:val="-1"/>
          <w:sz w:val="22"/>
          <w:vertAlign w:val="baseline"/>
        </w:rPr>
        <w:t> </w:t>
      </w:r>
      <w:r>
        <w:rPr>
          <w:rFonts w:ascii="Arial" w:hAnsi="Arial"/>
          <w:i/>
          <w:sz w:val="22"/>
          <w:vertAlign w:val="baseline"/>
        </w:rPr>
        <w:t>orden</w:t>
      </w:r>
      <w:r>
        <w:rPr>
          <w:rFonts w:ascii="Arial" w:hAnsi="Arial"/>
          <w:i/>
          <w:spacing w:val="-2"/>
          <w:sz w:val="22"/>
          <w:vertAlign w:val="baseline"/>
        </w:rPr>
        <w:t> </w:t>
      </w:r>
      <w:r>
        <w:rPr>
          <w:rFonts w:ascii="Arial" w:hAnsi="Arial"/>
          <w:i/>
          <w:sz w:val="22"/>
          <w:vertAlign w:val="baseline"/>
        </w:rPr>
        <w:t>para</w:t>
      </w:r>
      <w:r>
        <w:rPr>
          <w:rFonts w:ascii="Arial" w:hAnsi="Arial"/>
          <w:i/>
          <w:spacing w:val="-2"/>
          <w:sz w:val="22"/>
          <w:vertAlign w:val="baseline"/>
        </w:rPr>
        <w:t> </w:t>
      </w:r>
      <w:r>
        <w:rPr>
          <w:rFonts w:ascii="Arial" w:hAnsi="Arial"/>
          <w:i/>
          <w:sz w:val="22"/>
          <w:vertAlign w:val="baseline"/>
        </w:rPr>
        <w:t>el</w:t>
      </w:r>
      <w:r>
        <w:rPr>
          <w:rFonts w:ascii="Arial" w:hAnsi="Arial"/>
          <w:i/>
          <w:spacing w:val="-3"/>
          <w:sz w:val="22"/>
          <w:vertAlign w:val="baseline"/>
        </w:rPr>
        <w:t> </w:t>
      </w:r>
      <w:r>
        <w:rPr>
          <w:rFonts w:ascii="Arial" w:hAnsi="Arial"/>
          <w:i/>
          <w:sz w:val="22"/>
          <w:vertAlign w:val="baseline"/>
        </w:rPr>
        <w:t>avance</w:t>
      </w:r>
      <w:r>
        <w:rPr>
          <w:rFonts w:ascii="Arial" w:hAnsi="Arial"/>
          <w:i/>
          <w:spacing w:val="-2"/>
          <w:sz w:val="22"/>
          <w:vertAlign w:val="baseline"/>
        </w:rPr>
        <w:t> </w:t>
      </w:r>
      <w:r>
        <w:rPr>
          <w:rFonts w:ascii="Arial" w:hAnsi="Arial"/>
          <w:i/>
          <w:sz w:val="22"/>
          <w:vertAlign w:val="baseline"/>
        </w:rPr>
        <w:t>de</w:t>
      </w:r>
      <w:r>
        <w:rPr>
          <w:rFonts w:ascii="Arial" w:hAnsi="Arial"/>
          <w:i/>
          <w:spacing w:val="-2"/>
          <w:sz w:val="22"/>
          <w:vertAlign w:val="baseline"/>
        </w:rPr>
        <w:t> </w:t>
      </w:r>
      <w:r>
        <w:rPr>
          <w:rFonts w:ascii="Arial" w:hAnsi="Arial"/>
          <w:i/>
          <w:sz w:val="22"/>
          <w:vertAlign w:val="baseline"/>
        </w:rPr>
        <w:t>la</w:t>
      </w:r>
      <w:r>
        <w:rPr>
          <w:rFonts w:ascii="Arial" w:hAnsi="Arial"/>
          <w:i/>
          <w:spacing w:val="-2"/>
          <w:sz w:val="22"/>
          <w:vertAlign w:val="baseline"/>
        </w:rPr>
        <w:t> </w:t>
      </w:r>
      <w:r>
        <w:rPr>
          <w:rFonts w:ascii="Arial" w:hAnsi="Arial"/>
          <w:i/>
          <w:sz w:val="22"/>
          <w:vertAlign w:val="baseline"/>
        </w:rPr>
        <w:t>integración</w:t>
      </w:r>
      <w:r>
        <w:rPr>
          <w:rFonts w:ascii="Arial" w:hAnsi="Arial"/>
          <w:i/>
          <w:spacing w:val="-3"/>
          <w:sz w:val="22"/>
          <w:vertAlign w:val="baseline"/>
        </w:rPr>
        <w:t> </w:t>
      </w:r>
      <w:r>
        <w:rPr>
          <w:rFonts w:ascii="Arial" w:hAnsi="Arial"/>
          <w:i/>
          <w:sz w:val="22"/>
          <w:vertAlign w:val="baseline"/>
        </w:rPr>
        <w:t>a</w:t>
      </w:r>
      <w:r>
        <w:rPr>
          <w:rFonts w:ascii="Arial" w:hAnsi="Arial"/>
          <w:i/>
          <w:spacing w:val="-2"/>
          <w:sz w:val="22"/>
          <w:vertAlign w:val="baseline"/>
        </w:rPr>
        <w:t> </w:t>
      </w:r>
      <w:r>
        <w:rPr>
          <w:rFonts w:ascii="Arial" w:hAnsi="Arial"/>
          <w:i/>
          <w:sz w:val="22"/>
          <w:vertAlign w:val="baseline"/>
        </w:rPr>
        <w:t>nivel</w:t>
      </w:r>
      <w:r>
        <w:rPr>
          <w:rFonts w:ascii="Arial" w:hAnsi="Arial"/>
          <w:i/>
          <w:spacing w:val="-3"/>
          <w:sz w:val="22"/>
          <w:vertAlign w:val="baseline"/>
        </w:rPr>
        <w:t> </w:t>
      </w:r>
      <w:r>
        <w:rPr>
          <w:rFonts w:ascii="Arial" w:hAnsi="Arial"/>
          <w:i/>
          <w:sz w:val="22"/>
          <w:vertAlign w:val="baseline"/>
        </w:rPr>
        <w:t>andino</w:t>
      </w:r>
      <w:r>
        <w:rPr>
          <w:rFonts w:ascii="Arial" w:hAnsi="Arial"/>
          <w:i/>
          <w:spacing w:val="-2"/>
          <w:sz w:val="22"/>
          <w:vertAlign w:val="baseline"/>
        </w:rPr>
        <w:t> </w:t>
      </w:r>
      <w:r>
        <w:rPr>
          <w:rFonts w:ascii="Arial" w:hAnsi="Arial"/>
          <w:i/>
          <w:sz w:val="22"/>
          <w:vertAlign w:val="baseline"/>
        </w:rPr>
        <w:t>y</w:t>
      </w:r>
      <w:r>
        <w:rPr>
          <w:rFonts w:ascii="Arial" w:hAnsi="Arial"/>
          <w:i/>
          <w:spacing w:val="-1"/>
          <w:sz w:val="22"/>
          <w:vertAlign w:val="baseline"/>
        </w:rPr>
        <w:t> </w:t>
      </w:r>
      <w:r>
        <w:rPr>
          <w:rFonts w:ascii="Arial" w:hAnsi="Arial"/>
          <w:i/>
          <w:sz w:val="22"/>
          <w:vertAlign w:val="baseline"/>
        </w:rPr>
        <w:t>latinoamericano” </w:t>
      </w:r>
      <w:r>
        <w:rPr>
          <w:sz w:val="22"/>
          <w:vertAlign w:val="baseline"/>
        </w:rPr>
        <w:t>y</w:t>
      </w:r>
      <w:r>
        <w:rPr>
          <w:spacing w:val="-1"/>
          <w:sz w:val="22"/>
          <w:vertAlign w:val="baseline"/>
        </w:rPr>
        <w:t> </w:t>
      </w:r>
      <w:r>
        <w:rPr>
          <w:sz w:val="22"/>
          <w:vertAlign w:val="baseline"/>
        </w:rPr>
        <w:t>ha indicado que ese principio </w:t>
      </w:r>
      <w:r>
        <w:rPr>
          <w:rFonts w:ascii="Arial" w:hAnsi="Arial"/>
          <w:i/>
          <w:sz w:val="22"/>
          <w:vertAlign w:val="baseline"/>
        </w:rPr>
        <w:t>“se desprende no sólo del Capítulo V sobre Programa de Liberación,</w:t>
      </w:r>
      <w:r>
        <w:rPr>
          <w:rFonts w:ascii="Arial" w:hAnsi="Arial"/>
          <w:i/>
          <w:spacing w:val="-16"/>
          <w:sz w:val="22"/>
          <w:vertAlign w:val="baseline"/>
        </w:rPr>
        <w:t> </w:t>
      </w:r>
      <w:r>
        <w:rPr>
          <w:rFonts w:ascii="Arial" w:hAnsi="Arial"/>
          <w:i/>
          <w:sz w:val="22"/>
          <w:vertAlign w:val="baseline"/>
        </w:rPr>
        <w:t>sino</w:t>
      </w:r>
      <w:r>
        <w:rPr>
          <w:rFonts w:ascii="Arial" w:hAnsi="Arial"/>
          <w:i/>
          <w:spacing w:val="-15"/>
          <w:sz w:val="22"/>
          <w:vertAlign w:val="baseline"/>
        </w:rPr>
        <w:t> </w:t>
      </w:r>
      <w:r>
        <w:rPr>
          <w:rFonts w:ascii="Arial" w:hAnsi="Arial"/>
          <w:i/>
          <w:sz w:val="22"/>
          <w:vertAlign w:val="baseline"/>
        </w:rPr>
        <w:t>fundamentalmente</w:t>
      </w:r>
      <w:r>
        <w:rPr>
          <w:rFonts w:ascii="Arial" w:hAnsi="Arial"/>
          <w:i/>
          <w:spacing w:val="-15"/>
          <w:sz w:val="22"/>
          <w:vertAlign w:val="baseline"/>
        </w:rPr>
        <w:t> </w:t>
      </w:r>
      <w:r>
        <w:rPr>
          <w:rFonts w:ascii="Arial" w:hAnsi="Arial"/>
          <w:i/>
          <w:sz w:val="22"/>
          <w:vertAlign w:val="baseline"/>
        </w:rPr>
        <w:t>de</w:t>
      </w:r>
      <w:r>
        <w:rPr>
          <w:rFonts w:ascii="Arial" w:hAnsi="Arial"/>
          <w:i/>
          <w:spacing w:val="-16"/>
          <w:sz w:val="22"/>
          <w:vertAlign w:val="baseline"/>
        </w:rPr>
        <w:t> </w:t>
      </w:r>
      <w:r>
        <w:rPr>
          <w:rFonts w:ascii="Arial" w:hAnsi="Arial"/>
          <w:i/>
          <w:sz w:val="22"/>
          <w:vertAlign w:val="baseline"/>
        </w:rPr>
        <w:t>los</w:t>
      </w:r>
      <w:r>
        <w:rPr>
          <w:rFonts w:ascii="Arial" w:hAnsi="Arial"/>
          <w:i/>
          <w:spacing w:val="-15"/>
          <w:sz w:val="22"/>
          <w:vertAlign w:val="baseline"/>
        </w:rPr>
        <w:t> </w:t>
      </w:r>
      <w:r>
        <w:rPr>
          <w:rFonts w:ascii="Arial" w:hAnsi="Arial"/>
          <w:i/>
          <w:sz w:val="22"/>
          <w:vertAlign w:val="baseline"/>
        </w:rPr>
        <w:t>objetivos</w:t>
      </w:r>
      <w:r>
        <w:rPr>
          <w:rFonts w:ascii="Arial" w:hAnsi="Arial"/>
          <w:i/>
          <w:spacing w:val="-15"/>
          <w:sz w:val="22"/>
          <w:vertAlign w:val="baseline"/>
        </w:rPr>
        <w:t> </w:t>
      </w:r>
      <w:r>
        <w:rPr>
          <w:rFonts w:ascii="Arial" w:hAnsi="Arial"/>
          <w:i/>
          <w:sz w:val="22"/>
          <w:vertAlign w:val="baseline"/>
        </w:rPr>
        <w:t>esenciales</w:t>
      </w:r>
      <w:r>
        <w:rPr>
          <w:rFonts w:ascii="Arial" w:hAnsi="Arial"/>
          <w:i/>
          <w:spacing w:val="-15"/>
          <w:sz w:val="22"/>
          <w:vertAlign w:val="baseline"/>
        </w:rPr>
        <w:t> </w:t>
      </w:r>
      <w:r>
        <w:rPr>
          <w:rFonts w:ascii="Arial" w:hAnsi="Arial"/>
          <w:i/>
          <w:sz w:val="22"/>
          <w:vertAlign w:val="baseline"/>
        </w:rPr>
        <w:t>del</w:t>
      </w:r>
      <w:r>
        <w:rPr>
          <w:rFonts w:ascii="Arial" w:hAnsi="Arial"/>
          <w:i/>
          <w:spacing w:val="-16"/>
          <w:sz w:val="22"/>
          <w:vertAlign w:val="baseline"/>
        </w:rPr>
        <w:t> </w:t>
      </w:r>
      <w:r>
        <w:rPr>
          <w:rFonts w:ascii="Arial" w:hAnsi="Arial"/>
          <w:i/>
          <w:sz w:val="22"/>
          <w:vertAlign w:val="baseline"/>
        </w:rPr>
        <w:t>Acuerdo</w:t>
      </w:r>
      <w:r>
        <w:rPr>
          <w:rFonts w:ascii="Arial" w:hAnsi="Arial"/>
          <w:i/>
          <w:spacing w:val="-15"/>
          <w:sz w:val="22"/>
          <w:vertAlign w:val="baseline"/>
        </w:rPr>
        <w:t> </w:t>
      </w:r>
      <w:r>
        <w:rPr>
          <w:rFonts w:ascii="Arial" w:hAnsi="Arial"/>
          <w:i/>
          <w:sz w:val="22"/>
          <w:vertAlign w:val="baseline"/>
        </w:rPr>
        <w:t>establecidos en los artículos 1 y 3 del Tratado”.</w:t>
      </w:r>
    </w:p>
    <w:p>
      <w:pPr>
        <w:pStyle w:val="BodyText"/>
        <w:rPr>
          <w:rFonts w:ascii="Arial"/>
          <w:i/>
        </w:rPr>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En</w:t>
      </w:r>
      <w:r>
        <w:rPr>
          <w:spacing w:val="-11"/>
          <w:sz w:val="22"/>
        </w:rPr>
        <w:t> </w:t>
      </w:r>
      <w:r>
        <w:rPr>
          <w:sz w:val="22"/>
        </w:rPr>
        <w:t>ese</w:t>
      </w:r>
      <w:r>
        <w:rPr>
          <w:spacing w:val="-14"/>
          <w:sz w:val="22"/>
        </w:rPr>
        <w:t> </w:t>
      </w:r>
      <w:r>
        <w:rPr>
          <w:sz w:val="22"/>
        </w:rPr>
        <w:t>contexto,</w:t>
      </w:r>
      <w:r>
        <w:rPr>
          <w:spacing w:val="-10"/>
          <w:sz w:val="22"/>
        </w:rPr>
        <w:t> </w:t>
      </w:r>
      <w:r>
        <w:rPr>
          <w:sz w:val="22"/>
        </w:rPr>
        <w:t>el</w:t>
      </w:r>
      <w:r>
        <w:rPr>
          <w:spacing w:val="-15"/>
          <w:sz w:val="22"/>
        </w:rPr>
        <w:t> </w:t>
      </w:r>
      <w:r>
        <w:rPr>
          <w:sz w:val="22"/>
        </w:rPr>
        <w:t>TJCAN</w:t>
      </w:r>
      <w:r>
        <w:rPr>
          <w:spacing w:val="-12"/>
          <w:sz w:val="22"/>
        </w:rPr>
        <w:t> </w:t>
      </w:r>
      <w:r>
        <w:rPr>
          <w:sz w:val="22"/>
        </w:rPr>
        <w:t>ha</w:t>
      </w:r>
      <w:r>
        <w:rPr>
          <w:spacing w:val="-14"/>
          <w:sz w:val="22"/>
        </w:rPr>
        <w:t> </w:t>
      </w:r>
      <w:r>
        <w:rPr>
          <w:sz w:val="22"/>
        </w:rPr>
        <w:t>resaltado</w:t>
      </w:r>
      <w:r>
        <w:rPr>
          <w:spacing w:val="-14"/>
          <w:sz w:val="22"/>
        </w:rPr>
        <w:t> </w:t>
      </w:r>
      <w:r>
        <w:rPr>
          <w:sz w:val="22"/>
        </w:rPr>
        <w:t>que,</w:t>
      </w:r>
      <w:r>
        <w:rPr>
          <w:spacing w:val="-10"/>
          <w:sz w:val="22"/>
        </w:rPr>
        <w:t> </w:t>
      </w:r>
      <w:r>
        <w:rPr>
          <w:sz w:val="22"/>
        </w:rPr>
        <w:t>en</w:t>
      </w:r>
      <w:r>
        <w:rPr>
          <w:spacing w:val="-14"/>
          <w:sz w:val="22"/>
        </w:rPr>
        <w:t> </w:t>
      </w:r>
      <w:r>
        <w:rPr>
          <w:sz w:val="22"/>
        </w:rPr>
        <w:t>principio,</w:t>
      </w:r>
      <w:r>
        <w:rPr>
          <w:spacing w:val="-7"/>
          <w:sz w:val="22"/>
        </w:rPr>
        <w:t> </w:t>
      </w:r>
      <w:r>
        <w:rPr>
          <w:sz w:val="22"/>
          <w:u w:val="single"/>
        </w:rPr>
        <w:t>en</w:t>
      </w:r>
      <w:r>
        <w:rPr>
          <w:spacing w:val="-12"/>
          <w:sz w:val="22"/>
          <w:u w:val="single"/>
        </w:rPr>
        <w:t> </w:t>
      </w:r>
      <w:r>
        <w:rPr>
          <w:sz w:val="22"/>
          <w:u w:val="single"/>
        </w:rPr>
        <w:t>una</w:t>
      </w:r>
      <w:r>
        <w:rPr>
          <w:spacing w:val="-14"/>
          <w:sz w:val="22"/>
          <w:u w:val="single"/>
        </w:rPr>
        <w:t> </w:t>
      </w:r>
      <w:r>
        <w:rPr>
          <w:sz w:val="22"/>
          <w:u w:val="single"/>
        </w:rPr>
        <w:t>zona</w:t>
      </w:r>
      <w:r>
        <w:rPr>
          <w:spacing w:val="-14"/>
          <w:sz w:val="22"/>
          <w:u w:val="single"/>
        </w:rPr>
        <w:t> </w:t>
      </w:r>
      <w:r>
        <w:rPr>
          <w:sz w:val="22"/>
          <w:u w:val="single"/>
        </w:rPr>
        <w:t>de</w:t>
      </w:r>
      <w:r>
        <w:rPr>
          <w:spacing w:val="-14"/>
          <w:sz w:val="22"/>
          <w:u w:val="single"/>
        </w:rPr>
        <w:t> </w:t>
      </w:r>
      <w:r>
        <w:rPr>
          <w:sz w:val="22"/>
          <w:u w:val="single"/>
        </w:rPr>
        <w:t>libre</w:t>
      </w:r>
      <w:r>
        <w:rPr>
          <w:spacing w:val="-11"/>
          <w:sz w:val="22"/>
          <w:u w:val="single"/>
        </w:rPr>
        <w:t> </w:t>
      </w:r>
      <w:r>
        <w:rPr>
          <w:sz w:val="22"/>
          <w:u w:val="single"/>
        </w:rPr>
        <w:t>comercio</w:t>
      </w:r>
      <w:r>
        <w:rPr>
          <w:sz w:val="22"/>
        </w:rPr>
        <w:t> </w:t>
      </w:r>
      <w:r>
        <w:rPr>
          <w:sz w:val="22"/>
          <w:u w:val="single"/>
        </w:rPr>
        <w:t>no</w:t>
      </w:r>
      <w:r>
        <w:rPr>
          <w:spacing w:val="-7"/>
          <w:sz w:val="22"/>
          <w:u w:val="single"/>
        </w:rPr>
        <w:t> </w:t>
      </w:r>
      <w:r>
        <w:rPr>
          <w:sz w:val="22"/>
          <w:u w:val="single"/>
        </w:rPr>
        <w:t>deben</w:t>
      </w:r>
      <w:r>
        <w:rPr>
          <w:spacing w:val="-9"/>
          <w:sz w:val="22"/>
          <w:u w:val="single"/>
        </w:rPr>
        <w:t> </w:t>
      </w:r>
      <w:r>
        <w:rPr>
          <w:sz w:val="22"/>
          <w:u w:val="single"/>
        </w:rPr>
        <w:t>gravarse</w:t>
      </w:r>
      <w:r>
        <w:rPr>
          <w:spacing w:val="-9"/>
          <w:sz w:val="22"/>
          <w:u w:val="single"/>
        </w:rPr>
        <w:t> </w:t>
      </w:r>
      <w:r>
        <w:rPr>
          <w:sz w:val="22"/>
          <w:u w:val="single"/>
        </w:rPr>
        <w:t>las</w:t>
      </w:r>
      <w:r>
        <w:rPr>
          <w:spacing w:val="-6"/>
          <w:sz w:val="22"/>
          <w:u w:val="single"/>
        </w:rPr>
        <w:t> </w:t>
      </w:r>
      <w:r>
        <w:rPr>
          <w:sz w:val="22"/>
          <w:u w:val="single"/>
        </w:rPr>
        <w:t>importaciones</w:t>
      </w:r>
      <w:r>
        <w:rPr>
          <w:sz w:val="22"/>
        </w:rPr>
        <w:t>,</w:t>
      </w:r>
      <w:r>
        <w:rPr>
          <w:spacing w:val="-5"/>
          <w:sz w:val="22"/>
        </w:rPr>
        <w:t> </w:t>
      </w:r>
      <w:r>
        <w:rPr>
          <w:sz w:val="22"/>
        </w:rPr>
        <w:t>por</w:t>
      </w:r>
      <w:r>
        <w:rPr>
          <w:spacing w:val="-8"/>
          <w:sz w:val="22"/>
        </w:rPr>
        <w:t> </w:t>
      </w:r>
      <w:r>
        <w:rPr>
          <w:sz w:val="22"/>
        </w:rPr>
        <w:t>ningún</w:t>
      </w:r>
      <w:r>
        <w:rPr>
          <w:spacing w:val="-9"/>
          <w:sz w:val="22"/>
        </w:rPr>
        <w:t> </w:t>
      </w:r>
      <w:r>
        <w:rPr>
          <w:sz w:val="22"/>
        </w:rPr>
        <w:t>motivo,</w:t>
      </w:r>
      <w:r>
        <w:rPr>
          <w:spacing w:val="-4"/>
          <w:sz w:val="22"/>
        </w:rPr>
        <w:t> </w:t>
      </w:r>
      <w:r>
        <w:rPr>
          <w:sz w:val="22"/>
          <w:u w:val="single"/>
        </w:rPr>
        <w:t>a</w:t>
      </w:r>
      <w:r>
        <w:rPr>
          <w:spacing w:val="-9"/>
          <w:sz w:val="22"/>
          <w:u w:val="single"/>
        </w:rPr>
        <w:t> </w:t>
      </w:r>
      <w:r>
        <w:rPr>
          <w:sz w:val="22"/>
          <w:u w:val="single"/>
        </w:rPr>
        <w:t>no</w:t>
      </w:r>
      <w:r>
        <w:rPr>
          <w:spacing w:val="-9"/>
          <w:sz w:val="22"/>
          <w:u w:val="single"/>
        </w:rPr>
        <w:t> </w:t>
      </w:r>
      <w:r>
        <w:rPr>
          <w:sz w:val="22"/>
          <w:u w:val="single"/>
        </w:rPr>
        <w:t>ser</w:t>
      </w:r>
      <w:r>
        <w:rPr>
          <w:spacing w:val="-8"/>
          <w:sz w:val="22"/>
          <w:u w:val="single"/>
        </w:rPr>
        <w:t> </w:t>
      </w:r>
      <w:r>
        <w:rPr>
          <w:sz w:val="22"/>
          <w:u w:val="single"/>
        </w:rPr>
        <w:t>que</w:t>
      </w:r>
      <w:r>
        <w:rPr>
          <w:spacing w:val="-9"/>
          <w:sz w:val="22"/>
          <w:u w:val="single"/>
        </w:rPr>
        <w:t> </w:t>
      </w:r>
      <w:r>
        <w:rPr>
          <w:sz w:val="22"/>
          <w:u w:val="single"/>
        </w:rPr>
        <w:t>se</w:t>
      </w:r>
      <w:r>
        <w:rPr>
          <w:spacing w:val="-9"/>
          <w:sz w:val="22"/>
          <w:u w:val="single"/>
        </w:rPr>
        <w:t> </w:t>
      </w:r>
      <w:r>
        <w:rPr>
          <w:sz w:val="22"/>
          <w:u w:val="single"/>
        </w:rPr>
        <w:t>trate</w:t>
      </w:r>
      <w:r>
        <w:rPr>
          <w:spacing w:val="-6"/>
          <w:sz w:val="22"/>
          <w:u w:val="single"/>
        </w:rPr>
        <w:t> </w:t>
      </w:r>
      <w:r>
        <w:rPr>
          <w:sz w:val="22"/>
          <w:u w:val="single"/>
        </w:rPr>
        <w:t>del</w:t>
      </w:r>
      <w:r>
        <w:rPr>
          <w:spacing w:val="-9"/>
          <w:sz w:val="22"/>
          <w:u w:val="single"/>
        </w:rPr>
        <w:t> </w:t>
      </w:r>
      <w:r>
        <w:rPr>
          <w:sz w:val="22"/>
          <w:u w:val="single"/>
        </w:rPr>
        <w:t>cobro</w:t>
      </w:r>
    </w:p>
    <w:p>
      <w:pPr>
        <w:pStyle w:val="BodyText"/>
        <w:spacing w:before="178"/>
        <w:rPr>
          <w:sz w:val="20"/>
        </w:rPr>
      </w:pPr>
      <w:r>
        <w:rPr>
          <w:sz w:val="20"/>
        </w:rPr>
        <mc:AlternateContent>
          <mc:Choice Requires="wps">
            <w:drawing>
              <wp:anchor distT="0" distB="0" distL="0" distR="0" allowOverlap="1" layoutInCell="1" locked="0" behindDoc="1" simplePos="0" relativeHeight="487624192">
                <wp:simplePos x="0" y="0"/>
                <wp:positionH relativeFrom="page">
                  <wp:posOffset>990904</wp:posOffset>
                </wp:positionH>
                <wp:positionV relativeFrom="paragraph">
                  <wp:posOffset>274530</wp:posOffset>
                </wp:positionV>
                <wp:extent cx="1829435" cy="7620"/>
                <wp:effectExtent l="0" t="0" r="0" b="0"/>
                <wp:wrapTopAndBottom/>
                <wp:docPr id="336" name="Graphic 336"/>
                <wp:cNvGraphicFramePr>
                  <a:graphicFrameLocks/>
                </wp:cNvGraphicFramePr>
                <a:graphic>
                  <a:graphicData uri="http://schemas.microsoft.com/office/word/2010/wordprocessingShape">
                    <wps:wsp>
                      <wps:cNvPr id="336" name="Graphic 336"/>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1.616587pt;width:144.020pt;height:.599980pt;mso-position-horizontal-relative:page;mso-position-vertical-relative:paragraph;z-index:-15692288;mso-wrap-distance-left:0;mso-wrap-distance-right:0" id="docshape247" filled="true" fillcolor="#000000" stroked="false">
                <v:fill type="solid"/>
                <w10:wrap type="topAndBottom"/>
              </v:rect>
            </w:pict>
          </mc:Fallback>
        </mc:AlternateContent>
      </w:r>
    </w:p>
    <w:p>
      <w:pPr>
        <w:spacing w:before="93"/>
        <w:ind w:left="568" w:right="978" w:firstLine="0"/>
        <w:jc w:val="both"/>
        <w:rPr>
          <w:sz w:val="16"/>
        </w:rPr>
      </w:pPr>
      <w:bookmarkStart w:name="_bookmark62" w:id="63"/>
      <w:bookmarkEnd w:id="63"/>
      <w:r>
        <w:rPr/>
      </w:r>
      <w:r>
        <w:rPr>
          <w:sz w:val="16"/>
          <w:vertAlign w:val="superscript"/>
        </w:rPr>
        <w:t>20</w:t>
      </w:r>
      <w:r>
        <w:rPr>
          <w:sz w:val="16"/>
          <w:vertAlign w:val="baseline"/>
        </w:rPr>
        <w:t> Baldeón recoge la cita de la Conferencia de las Naciones Unidad sobre el Comercio y Desarrollo, UNCTAD, 2010, Non-tariff measures:</w:t>
      </w:r>
      <w:r>
        <w:rPr>
          <w:spacing w:val="-5"/>
          <w:sz w:val="16"/>
          <w:vertAlign w:val="baseline"/>
        </w:rPr>
        <w:t> </w:t>
      </w:r>
      <w:r>
        <w:rPr>
          <w:sz w:val="16"/>
          <w:vertAlign w:val="baseline"/>
        </w:rPr>
        <w:t>evidence</w:t>
      </w:r>
      <w:r>
        <w:rPr>
          <w:spacing w:val="-9"/>
          <w:sz w:val="16"/>
          <w:vertAlign w:val="baseline"/>
        </w:rPr>
        <w:t> </w:t>
      </w:r>
      <w:r>
        <w:rPr>
          <w:sz w:val="16"/>
          <w:vertAlign w:val="baseline"/>
        </w:rPr>
        <w:t>from</w:t>
      </w:r>
      <w:r>
        <w:rPr>
          <w:spacing w:val="-8"/>
          <w:sz w:val="16"/>
          <w:vertAlign w:val="baseline"/>
        </w:rPr>
        <w:t> </w:t>
      </w:r>
      <w:r>
        <w:rPr>
          <w:sz w:val="16"/>
          <w:vertAlign w:val="baseline"/>
        </w:rPr>
        <w:t>selected</w:t>
      </w:r>
      <w:r>
        <w:rPr>
          <w:spacing w:val="-9"/>
          <w:sz w:val="16"/>
          <w:vertAlign w:val="baseline"/>
        </w:rPr>
        <w:t> </w:t>
      </w:r>
      <w:r>
        <w:rPr>
          <w:sz w:val="16"/>
          <w:vertAlign w:val="baseline"/>
        </w:rPr>
        <w:t>developing</w:t>
      </w:r>
      <w:r>
        <w:rPr>
          <w:spacing w:val="-10"/>
          <w:sz w:val="16"/>
          <w:vertAlign w:val="baseline"/>
        </w:rPr>
        <w:t> </w:t>
      </w:r>
      <w:r>
        <w:rPr>
          <w:sz w:val="16"/>
          <w:vertAlign w:val="baseline"/>
        </w:rPr>
        <w:t>countries</w:t>
      </w:r>
      <w:r>
        <w:rPr>
          <w:spacing w:val="-8"/>
          <w:sz w:val="16"/>
          <w:vertAlign w:val="baseline"/>
        </w:rPr>
        <w:t> </w:t>
      </w:r>
      <w:r>
        <w:rPr>
          <w:sz w:val="16"/>
          <w:vertAlign w:val="baseline"/>
        </w:rPr>
        <w:t>and</w:t>
      </w:r>
      <w:r>
        <w:rPr>
          <w:spacing w:val="-7"/>
          <w:sz w:val="16"/>
          <w:vertAlign w:val="baseline"/>
        </w:rPr>
        <w:t> </w:t>
      </w:r>
      <w:r>
        <w:rPr>
          <w:sz w:val="16"/>
          <w:vertAlign w:val="baseline"/>
        </w:rPr>
        <w:t>future</w:t>
      </w:r>
      <w:r>
        <w:rPr>
          <w:spacing w:val="-7"/>
          <w:sz w:val="16"/>
          <w:vertAlign w:val="baseline"/>
        </w:rPr>
        <w:t> </w:t>
      </w:r>
      <w:r>
        <w:rPr>
          <w:sz w:val="16"/>
          <w:vertAlign w:val="baseline"/>
        </w:rPr>
        <w:t>research</w:t>
      </w:r>
      <w:r>
        <w:rPr>
          <w:spacing w:val="-7"/>
          <w:sz w:val="16"/>
          <w:vertAlign w:val="baseline"/>
        </w:rPr>
        <w:t> </w:t>
      </w:r>
      <w:r>
        <w:rPr>
          <w:sz w:val="16"/>
          <w:vertAlign w:val="baseline"/>
        </w:rPr>
        <w:t>agenda</w:t>
      </w:r>
      <w:r>
        <w:rPr>
          <w:spacing w:val="-7"/>
          <w:sz w:val="16"/>
          <w:vertAlign w:val="baseline"/>
        </w:rPr>
        <w:t> </w:t>
      </w:r>
      <w:r>
        <w:rPr>
          <w:sz w:val="16"/>
          <w:vertAlign w:val="baseline"/>
        </w:rPr>
        <w:t>(publicación</w:t>
      </w:r>
      <w:r>
        <w:rPr>
          <w:spacing w:val="-7"/>
          <w:sz w:val="16"/>
          <w:vertAlign w:val="baseline"/>
        </w:rPr>
        <w:t> </w:t>
      </w:r>
      <w:r>
        <w:rPr>
          <w:sz w:val="16"/>
          <w:vertAlign w:val="baseline"/>
        </w:rPr>
        <w:t>de</w:t>
      </w:r>
      <w:r>
        <w:rPr>
          <w:spacing w:val="-7"/>
          <w:sz w:val="16"/>
          <w:vertAlign w:val="baseline"/>
        </w:rPr>
        <w:t> </w:t>
      </w:r>
      <w:r>
        <w:rPr>
          <w:sz w:val="16"/>
          <w:vertAlign w:val="baseline"/>
        </w:rPr>
        <w:t>las</w:t>
      </w:r>
      <w:r>
        <w:rPr>
          <w:spacing w:val="-8"/>
          <w:sz w:val="16"/>
          <w:vertAlign w:val="baseline"/>
        </w:rPr>
        <w:t> </w:t>
      </w:r>
      <w:r>
        <w:rPr>
          <w:sz w:val="16"/>
          <w:vertAlign w:val="baseline"/>
        </w:rPr>
        <w:t>Naciones</w:t>
      </w:r>
      <w:r>
        <w:rPr>
          <w:spacing w:val="-5"/>
          <w:sz w:val="16"/>
          <w:vertAlign w:val="baseline"/>
        </w:rPr>
        <w:t> </w:t>
      </w:r>
      <w:r>
        <w:rPr>
          <w:sz w:val="16"/>
          <w:vertAlign w:val="baseline"/>
        </w:rPr>
        <w:t>Unidas,</w:t>
      </w:r>
      <w:r>
        <w:rPr>
          <w:spacing w:val="-5"/>
          <w:sz w:val="16"/>
          <w:vertAlign w:val="baseline"/>
        </w:rPr>
        <w:t> </w:t>
      </w:r>
      <w:r>
        <w:rPr>
          <w:sz w:val="16"/>
          <w:vertAlign w:val="baseline"/>
        </w:rPr>
        <w:t>Nueva York y Ginebra), p. 99.</w:t>
      </w:r>
    </w:p>
    <w:p>
      <w:pPr>
        <w:spacing w:before="0"/>
        <w:ind w:left="568" w:right="0" w:firstLine="0"/>
        <w:jc w:val="left"/>
        <w:rPr>
          <w:rFonts w:ascii="Arial" w:hAnsi="Arial"/>
          <w:i/>
          <w:sz w:val="16"/>
        </w:rPr>
      </w:pPr>
      <w:bookmarkStart w:name="_bookmark63" w:id="64"/>
      <w:bookmarkEnd w:id="64"/>
      <w:r>
        <w:rPr/>
      </w:r>
      <w:r>
        <w:rPr>
          <w:sz w:val="16"/>
          <w:vertAlign w:val="superscript"/>
        </w:rPr>
        <w:t>21</w:t>
      </w:r>
      <w:r>
        <w:rPr>
          <w:spacing w:val="37"/>
          <w:sz w:val="16"/>
          <w:vertAlign w:val="baseline"/>
        </w:rPr>
        <w:t>  </w:t>
      </w:r>
      <w:r>
        <w:rPr>
          <w:sz w:val="16"/>
          <w:vertAlign w:val="baseline"/>
        </w:rPr>
        <w:t>Proceso</w:t>
      </w:r>
      <w:r>
        <w:rPr>
          <w:spacing w:val="12"/>
          <w:sz w:val="16"/>
          <w:vertAlign w:val="baseline"/>
        </w:rPr>
        <w:t> </w:t>
      </w:r>
      <w:r>
        <w:rPr>
          <w:sz w:val="16"/>
          <w:vertAlign w:val="baseline"/>
        </w:rPr>
        <w:t>1-AI-97,</w:t>
      </w:r>
      <w:r>
        <w:rPr>
          <w:spacing w:val="15"/>
          <w:sz w:val="16"/>
          <w:vertAlign w:val="baseline"/>
        </w:rPr>
        <w:t> </w:t>
      </w:r>
      <w:r>
        <w:rPr>
          <w:rFonts w:ascii="Arial" w:hAnsi="Arial"/>
          <w:i/>
          <w:sz w:val="16"/>
          <w:vertAlign w:val="baseline"/>
        </w:rPr>
        <w:t>publicado</w:t>
      </w:r>
      <w:r>
        <w:rPr>
          <w:rFonts w:ascii="Arial" w:hAnsi="Arial"/>
          <w:i/>
          <w:spacing w:val="14"/>
          <w:sz w:val="16"/>
          <w:vertAlign w:val="baseline"/>
        </w:rPr>
        <w:t> </w:t>
      </w:r>
      <w:r>
        <w:rPr>
          <w:rFonts w:ascii="Arial" w:hAnsi="Arial"/>
          <w:i/>
          <w:sz w:val="16"/>
          <w:vertAlign w:val="baseline"/>
        </w:rPr>
        <w:t>en</w:t>
      </w:r>
      <w:r>
        <w:rPr>
          <w:rFonts w:ascii="Arial" w:hAnsi="Arial"/>
          <w:i/>
          <w:spacing w:val="12"/>
          <w:sz w:val="16"/>
          <w:vertAlign w:val="baseline"/>
        </w:rPr>
        <w:t> </w:t>
      </w:r>
      <w:r>
        <w:rPr>
          <w:rFonts w:ascii="Arial" w:hAnsi="Arial"/>
          <w:i/>
          <w:sz w:val="16"/>
          <w:vertAlign w:val="baseline"/>
        </w:rPr>
        <w:t>la</w:t>
      </w:r>
      <w:r>
        <w:rPr>
          <w:rFonts w:ascii="Arial" w:hAnsi="Arial"/>
          <w:i/>
          <w:spacing w:val="12"/>
          <w:sz w:val="16"/>
          <w:vertAlign w:val="baseline"/>
        </w:rPr>
        <w:t> </w:t>
      </w:r>
      <w:r>
        <w:rPr>
          <w:rFonts w:ascii="Arial" w:hAnsi="Arial"/>
          <w:i/>
          <w:sz w:val="16"/>
          <w:vertAlign w:val="baseline"/>
        </w:rPr>
        <w:t>Gaceta</w:t>
      </w:r>
      <w:r>
        <w:rPr>
          <w:rFonts w:ascii="Arial" w:hAnsi="Arial"/>
          <w:i/>
          <w:spacing w:val="11"/>
          <w:sz w:val="16"/>
          <w:vertAlign w:val="baseline"/>
        </w:rPr>
        <w:t> </w:t>
      </w:r>
      <w:r>
        <w:rPr>
          <w:rFonts w:ascii="Arial" w:hAnsi="Arial"/>
          <w:i/>
          <w:sz w:val="16"/>
          <w:vertAlign w:val="baseline"/>
        </w:rPr>
        <w:t>Oficial</w:t>
      </w:r>
      <w:r>
        <w:rPr>
          <w:rFonts w:ascii="Arial" w:hAnsi="Arial"/>
          <w:i/>
          <w:spacing w:val="13"/>
          <w:sz w:val="16"/>
          <w:vertAlign w:val="baseline"/>
        </w:rPr>
        <w:t> </w:t>
      </w:r>
      <w:r>
        <w:rPr>
          <w:rFonts w:ascii="Arial" w:hAnsi="Arial"/>
          <w:i/>
          <w:sz w:val="16"/>
          <w:vertAlign w:val="baseline"/>
        </w:rPr>
        <w:t>del</w:t>
      </w:r>
      <w:r>
        <w:rPr>
          <w:rFonts w:ascii="Arial" w:hAnsi="Arial"/>
          <w:i/>
          <w:spacing w:val="12"/>
          <w:sz w:val="16"/>
          <w:vertAlign w:val="baseline"/>
        </w:rPr>
        <w:t> </w:t>
      </w:r>
      <w:r>
        <w:rPr>
          <w:rFonts w:ascii="Arial" w:hAnsi="Arial"/>
          <w:i/>
          <w:sz w:val="16"/>
          <w:vertAlign w:val="baseline"/>
        </w:rPr>
        <w:t>Acuerdo</w:t>
      </w:r>
      <w:r>
        <w:rPr>
          <w:rFonts w:ascii="Arial" w:hAnsi="Arial"/>
          <w:i/>
          <w:spacing w:val="14"/>
          <w:sz w:val="16"/>
          <w:vertAlign w:val="baseline"/>
        </w:rPr>
        <w:t> </w:t>
      </w:r>
      <w:r>
        <w:rPr>
          <w:rFonts w:ascii="Arial" w:hAnsi="Arial"/>
          <w:i/>
          <w:sz w:val="16"/>
          <w:vertAlign w:val="baseline"/>
        </w:rPr>
        <w:t>de</w:t>
      </w:r>
      <w:r>
        <w:rPr>
          <w:rFonts w:ascii="Arial" w:hAnsi="Arial"/>
          <w:i/>
          <w:spacing w:val="11"/>
          <w:sz w:val="16"/>
          <w:vertAlign w:val="baseline"/>
        </w:rPr>
        <w:t> </w:t>
      </w:r>
      <w:r>
        <w:rPr>
          <w:rFonts w:ascii="Arial" w:hAnsi="Arial"/>
          <w:i/>
          <w:sz w:val="16"/>
          <w:vertAlign w:val="baseline"/>
        </w:rPr>
        <w:t>Cartagena</w:t>
      </w:r>
      <w:r>
        <w:rPr>
          <w:rFonts w:ascii="Arial" w:hAnsi="Arial"/>
          <w:i/>
          <w:spacing w:val="15"/>
          <w:sz w:val="16"/>
          <w:vertAlign w:val="baseline"/>
        </w:rPr>
        <w:t> </w:t>
      </w:r>
      <w:r>
        <w:rPr>
          <w:rFonts w:ascii="Arial" w:hAnsi="Arial"/>
          <w:i/>
          <w:sz w:val="16"/>
          <w:vertAlign w:val="baseline"/>
        </w:rPr>
        <w:t>N°</w:t>
      </w:r>
      <w:r>
        <w:rPr>
          <w:rFonts w:ascii="Arial" w:hAnsi="Arial"/>
          <w:i/>
          <w:spacing w:val="15"/>
          <w:sz w:val="16"/>
          <w:vertAlign w:val="baseline"/>
        </w:rPr>
        <w:t> </w:t>
      </w:r>
      <w:r>
        <w:rPr>
          <w:rFonts w:ascii="Arial" w:hAnsi="Arial"/>
          <w:i/>
          <w:sz w:val="16"/>
          <w:vertAlign w:val="baseline"/>
        </w:rPr>
        <w:t>329</w:t>
      </w:r>
      <w:r>
        <w:rPr>
          <w:rFonts w:ascii="Arial" w:hAnsi="Arial"/>
          <w:i/>
          <w:spacing w:val="14"/>
          <w:sz w:val="16"/>
          <w:vertAlign w:val="baseline"/>
        </w:rPr>
        <w:t> </w:t>
      </w:r>
      <w:r>
        <w:rPr>
          <w:rFonts w:ascii="Arial" w:hAnsi="Arial"/>
          <w:i/>
          <w:sz w:val="16"/>
          <w:vertAlign w:val="baseline"/>
        </w:rPr>
        <w:t>del</w:t>
      </w:r>
      <w:r>
        <w:rPr>
          <w:rFonts w:ascii="Arial" w:hAnsi="Arial"/>
          <w:i/>
          <w:spacing w:val="12"/>
          <w:sz w:val="16"/>
          <w:vertAlign w:val="baseline"/>
        </w:rPr>
        <w:t> </w:t>
      </w:r>
      <w:r>
        <w:rPr>
          <w:rFonts w:ascii="Arial" w:hAnsi="Arial"/>
          <w:i/>
          <w:sz w:val="16"/>
          <w:vertAlign w:val="baseline"/>
        </w:rPr>
        <w:t>9</w:t>
      </w:r>
      <w:r>
        <w:rPr>
          <w:rFonts w:ascii="Arial" w:hAnsi="Arial"/>
          <w:i/>
          <w:spacing w:val="15"/>
          <w:sz w:val="16"/>
          <w:vertAlign w:val="baseline"/>
        </w:rPr>
        <w:t> </w:t>
      </w:r>
      <w:r>
        <w:rPr>
          <w:rFonts w:ascii="Arial" w:hAnsi="Arial"/>
          <w:i/>
          <w:sz w:val="16"/>
          <w:vertAlign w:val="baseline"/>
        </w:rPr>
        <w:t>de</w:t>
      </w:r>
      <w:r>
        <w:rPr>
          <w:rFonts w:ascii="Arial" w:hAnsi="Arial"/>
          <w:i/>
          <w:spacing w:val="11"/>
          <w:sz w:val="16"/>
          <w:vertAlign w:val="baseline"/>
        </w:rPr>
        <w:t> </w:t>
      </w:r>
      <w:r>
        <w:rPr>
          <w:rFonts w:ascii="Arial" w:hAnsi="Arial"/>
          <w:i/>
          <w:sz w:val="16"/>
          <w:vertAlign w:val="baseline"/>
        </w:rPr>
        <w:t>marzo</w:t>
      </w:r>
      <w:r>
        <w:rPr>
          <w:rFonts w:ascii="Arial" w:hAnsi="Arial"/>
          <w:i/>
          <w:spacing w:val="10"/>
          <w:sz w:val="16"/>
          <w:vertAlign w:val="baseline"/>
        </w:rPr>
        <w:t> </w:t>
      </w:r>
      <w:r>
        <w:rPr>
          <w:rFonts w:ascii="Arial" w:hAnsi="Arial"/>
          <w:i/>
          <w:sz w:val="16"/>
          <w:vertAlign w:val="baseline"/>
        </w:rPr>
        <w:t>de</w:t>
      </w:r>
      <w:r>
        <w:rPr>
          <w:rFonts w:ascii="Arial" w:hAnsi="Arial"/>
          <w:i/>
          <w:spacing w:val="14"/>
          <w:sz w:val="16"/>
          <w:vertAlign w:val="baseline"/>
        </w:rPr>
        <w:t> </w:t>
      </w:r>
      <w:r>
        <w:rPr>
          <w:rFonts w:ascii="Arial" w:hAnsi="Arial"/>
          <w:i/>
          <w:sz w:val="16"/>
          <w:vertAlign w:val="baseline"/>
        </w:rPr>
        <w:t>1999.</w:t>
      </w:r>
      <w:r>
        <w:rPr>
          <w:rFonts w:ascii="Arial" w:hAnsi="Arial"/>
          <w:i/>
          <w:spacing w:val="15"/>
          <w:sz w:val="16"/>
          <w:vertAlign w:val="baseline"/>
        </w:rPr>
        <w:t> </w:t>
      </w:r>
      <w:r>
        <w:rPr>
          <w:rFonts w:ascii="Arial" w:hAnsi="Arial"/>
          <w:i/>
          <w:sz w:val="16"/>
          <w:vertAlign w:val="baseline"/>
        </w:rPr>
        <w:t>Sumario</w:t>
      </w:r>
      <w:r>
        <w:rPr>
          <w:rFonts w:ascii="Arial" w:hAnsi="Arial"/>
          <w:i/>
          <w:spacing w:val="14"/>
          <w:sz w:val="16"/>
          <w:vertAlign w:val="baseline"/>
        </w:rPr>
        <w:t> </w:t>
      </w:r>
      <w:r>
        <w:rPr>
          <w:rFonts w:ascii="Arial" w:hAnsi="Arial"/>
          <w:i/>
          <w:spacing w:val="-5"/>
          <w:sz w:val="16"/>
          <w:vertAlign w:val="baseline"/>
        </w:rPr>
        <w:t>de</w:t>
      </w:r>
    </w:p>
    <w:p>
      <w:pPr>
        <w:tabs>
          <w:tab w:pos="851" w:val="left" w:leader="none"/>
          <w:tab w:pos="9816" w:val="left" w:leader="none"/>
        </w:tabs>
        <w:spacing w:before="0"/>
        <w:ind w:left="160" w:right="0" w:firstLine="0"/>
        <w:jc w:val="left"/>
        <w:rPr>
          <w:sz w:val="16"/>
        </w:rPr>
      </w:pPr>
      <w:r>
        <w:rPr>
          <w:rFonts w:ascii="Arial"/>
          <w:i/>
          <w:sz w:val="16"/>
          <w:u w:val="single"/>
        </w:rPr>
        <w:tab/>
      </w:r>
      <w:r>
        <w:rPr>
          <w:rFonts w:ascii="Arial"/>
          <w:i/>
          <w:spacing w:val="-2"/>
          <w:sz w:val="16"/>
          <w:u w:val="single"/>
        </w:rPr>
        <w:t>Incumplimie</w:t>
      </w:r>
      <w:r>
        <w:rPr>
          <w:spacing w:val="-2"/>
          <w:sz w:val="16"/>
          <w:u w:val="single"/>
        </w:rPr>
        <w:t>nto</w:t>
      </w:r>
      <w:r>
        <w:rPr>
          <w:spacing w:val="14"/>
          <w:sz w:val="16"/>
          <w:u w:val="single"/>
        </w:rPr>
        <w:t> </w:t>
      </w:r>
      <w:r>
        <w:rPr>
          <w:spacing w:val="-2"/>
          <w:sz w:val="16"/>
          <w:u w:val="single"/>
        </w:rPr>
        <w:t>Sentencia.</w:t>
      </w:r>
      <w:r>
        <w:rPr>
          <w:sz w:val="16"/>
          <w:u w:val="single"/>
        </w:rPr>
        <w:tab/>
      </w:r>
    </w:p>
    <w:p>
      <w:pPr>
        <w:spacing w:after="0"/>
        <w:jc w:val="left"/>
        <w:rPr>
          <w:sz w:val="16"/>
        </w:rPr>
        <w:sectPr>
          <w:pgSz w:w="11900" w:h="16850"/>
          <w:pgMar w:header="370" w:footer="597" w:top="1380" w:bottom="780" w:left="992" w:right="283"/>
        </w:sectPr>
      </w:pPr>
    </w:p>
    <w:p>
      <w:pPr>
        <w:pStyle w:val="BodyText"/>
        <w:spacing w:before="176"/>
      </w:pPr>
    </w:p>
    <w:p>
      <w:pPr>
        <w:pStyle w:val="BodyText"/>
        <w:ind w:left="1134" w:right="955"/>
      </w:pPr>
      <w:r>
        <w:rPr>
          <w:u w:val="single"/>
        </w:rPr>
        <w:t>de servicios prestados por actividades directamente vinculadas a las operaciones de</w:t>
      </w:r>
      <w:r>
        <w:rPr/>
        <w:t> </w:t>
      </w:r>
      <w:r>
        <w:rPr>
          <w:u w:val="single"/>
        </w:rPr>
        <w:t>importación</w:t>
      </w:r>
      <w:r>
        <w:rPr/>
        <w:t>.</w:t>
      </w:r>
      <w:r>
        <w:rPr>
          <w:spacing w:val="-16"/>
        </w:rPr>
        <w:t> </w:t>
      </w:r>
      <w:r>
        <w:rPr/>
        <w:t>Así,</w:t>
      </w:r>
      <w:r>
        <w:rPr>
          <w:spacing w:val="-15"/>
        </w:rPr>
        <w:t> </w:t>
      </w:r>
      <w:r>
        <w:rPr/>
        <w:t>en</w:t>
      </w:r>
      <w:r>
        <w:rPr>
          <w:spacing w:val="-15"/>
        </w:rPr>
        <w:t> </w:t>
      </w:r>
      <w:r>
        <w:rPr/>
        <w:t>el</w:t>
      </w:r>
      <w:r>
        <w:rPr>
          <w:spacing w:val="-16"/>
        </w:rPr>
        <w:t> </w:t>
      </w:r>
      <w:r>
        <w:rPr/>
        <w:t>Proceso</w:t>
      </w:r>
      <w:r>
        <w:rPr>
          <w:spacing w:val="-15"/>
        </w:rPr>
        <w:t> </w:t>
      </w:r>
      <w:r>
        <w:rPr/>
        <w:t>12-AN-99</w:t>
      </w:r>
      <w:hyperlink w:history="true" w:anchor="_bookmark64">
        <w:r>
          <w:rPr>
            <w:vertAlign w:val="superscript"/>
          </w:rPr>
          <w:t>22</w:t>
        </w:r>
      </w:hyperlink>
      <w:r>
        <w:rPr>
          <w:vertAlign w:val="baseline"/>
        </w:rPr>
        <w:t>,</w:t>
      </w:r>
      <w:r>
        <w:rPr>
          <w:spacing w:val="-14"/>
          <w:vertAlign w:val="baseline"/>
        </w:rPr>
        <w:t> </w:t>
      </w:r>
      <w:r>
        <w:rPr>
          <w:vertAlign w:val="baseline"/>
        </w:rPr>
        <w:t>dicho</w:t>
      </w:r>
      <w:r>
        <w:rPr>
          <w:spacing w:val="-15"/>
          <w:vertAlign w:val="baseline"/>
        </w:rPr>
        <w:t> </w:t>
      </w:r>
      <w:r>
        <w:rPr>
          <w:vertAlign w:val="baseline"/>
        </w:rPr>
        <w:t>órgano</w:t>
      </w:r>
      <w:r>
        <w:rPr>
          <w:spacing w:val="-15"/>
          <w:vertAlign w:val="baseline"/>
        </w:rPr>
        <w:t> </w:t>
      </w:r>
      <w:r>
        <w:rPr>
          <w:vertAlign w:val="baseline"/>
        </w:rPr>
        <w:t>jurisdiccional</w:t>
      </w:r>
      <w:r>
        <w:rPr>
          <w:spacing w:val="-15"/>
          <w:vertAlign w:val="baseline"/>
        </w:rPr>
        <w:t> </w:t>
      </w:r>
      <w:r>
        <w:rPr>
          <w:vertAlign w:val="baseline"/>
        </w:rPr>
        <w:t>ha</w:t>
      </w:r>
      <w:r>
        <w:rPr>
          <w:spacing w:val="-14"/>
          <w:vertAlign w:val="baseline"/>
        </w:rPr>
        <w:t> </w:t>
      </w:r>
      <w:r>
        <w:rPr>
          <w:vertAlign w:val="baseline"/>
        </w:rPr>
        <w:t>indicado</w:t>
      </w:r>
      <w:r>
        <w:rPr>
          <w:spacing w:val="-15"/>
          <w:vertAlign w:val="baseline"/>
        </w:rPr>
        <w:t> </w:t>
      </w:r>
      <w:r>
        <w:rPr>
          <w:spacing w:val="-4"/>
          <w:vertAlign w:val="baseline"/>
        </w:rPr>
        <w:t>que:</w:t>
      </w:r>
    </w:p>
    <w:p>
      <w:pPr>
        <w:pStyle w:val="BodyText"/>
        <w:spacing w:before="120"/>
        <w:rPr>
          <w:sz w:val="24"/>
        </w:rPr>
      </w:pPr>
    </w:p>
    <w:p>
      <w:pPr>
        <w:pStyle w:val="Heading4"/>
        <w:ind w:left="1984" w:right="1260"/>
      </w:pPr>
      <w:r>
        <w:rPr/>
        <w:t>“Lo primero que debe destacar El Tribunal, en cuanto a la definición del concepto de gravamen que hace la norma comunitaria, es que ella no corresponde al criterio técnico tributario que lo restringe al campo de los impuestos, sino que cubre una generalidad de situaciones y dominios que trascienden el ámbito de la tributación, para cobijar bajo su manto </w:t>
      </w:r>
      <w:r>
        <w:rPr>
          <w:u w:val="single"/>
        </w:rPr>
        <w:t>todas</w:t>
      </w:r>
      <w:r>
        <w:rPr/>
        <w:t> </w:t>
      </w:r>
      <w:r>
        <w:rPr>
          <w:u w:val="single"/>
        </w:rPr>
        <w:t>aquellas situaciones con las cuales se pretenda recargar el valor de las</w:t>
      </w:r>
      <w:r>
        <w:rPr/>
        <w:t> </w:t>
      </w:r>
      <w:r>
        <w:rPr>
          <w:u w:val="single"/>
        </w:rPr>
        <w:t>importaciones que, por estar realizándose dentro de una zona de libre</w:t>
      </w:r>
      <w:r>
        <w:rPr/>
        <w:t> </w:t>
      </w:r>
      <w:r>
        <w:rPr>
          <w:u w:val="single"/>
        </w:rPr>
        <w:t>comercio,</w:t>
      </w:r>
      <w:r>
        <w:rPr>
          <w:spacing w:val="-4"/>
          <w:u w:val="single"/>
        </w:rPr>
        <w:t> </w:t>
      </w:r>
      <w:r>
        <w:rPr>
          <w:u w:val="single"/>
        </w:rPr>
        <w:t>no</w:t>
      </w:r>
      <w:r>
        <w:rPr>
          <w:spacing w:val="-4"/>
          <w:u w:val="single"/>
        </w:rPr>
        <w:t> </w:t>
      </w:r>
      <w:r>
        <w:rPr>
          <w:u w:val="single"/>
        </w:rPr>
        <w:t>deben</w:t>
      </w:r>
      <w:r>
        <w:rPr>
          <w:spacing w:val="-4"/>
          <w:u w:val="single"/>
        </w:rPr>
        <w:t> </w:t>
      </w:r>
      <w:r>
        <w:rPr>
          <w:u w:val="single"/>
        </w:rPr>
        <w:t>gravarse</w:t>
      </w:r>
      <w:r>
        <w:rPr>
          <w:spacing w:val="-4"/>
          <w:u w:val="single"/>
        </w:rPr>
        <w:t> </w:t>
      </w:r>
      <w:r>
        <w:rPr>
          <w:u w:val="single"/>
        </w:rPr>
        <w:t>con</w:t>
      </w:r>
      <w:r>
        <w:rPr>
          <w:spacing w:val="-4"/>
          <w:u w:val="single"/>
        </w:rPr>
        <w:t> </w:t>
      </w:r>
      <w:r>
        <w:rPr>
          <w:u w:val="single"/>
        </w:rPr>
        <w:t>suma</w:t>
      </w:r>
      <w:r>
        <w:rPr>
          <w:spacing w:val="-4"/>
          <w:u w:val="single"/>
        </w:rPr>
        <w:t> </w:t>
      </w:r>
      <w:r>
        <w:rPr>
          <w:u w:val="single"/>
        </w:rPr>
        <w:t>alguna</w:t>
      </w:r>
      <w:r>
        <w:rPr>
          <w:spacing w:val="-4"/>
          <w:u w:val="single"/>
        </w:rPr>
        <w:t> </w:t>
      </w:r>
      <w:r>
        <w:rPr>
          <w:u w:val="single"/>
        </w:rPr>
        <w:t>derivada</w:t>
      </w:r>
      <w:r>
        <w:rPr>
          <w:spacing w:val="-4"/>
          <w:u w:val="single"/>
        </w:rPr>
        <w:t> </w:t>
      </w:r>
      <w:r>
        <w:rPr>
          <w:u w:val="single"/>
        </w:rPr>
        <w:t>del</w:t>
      </w:r>
      <w:r>
        <w:rPr>
          <w:spacing w:val="-4"/>
          <w:u w:val="single"/>
        </w:rPr>
        <w:t> </w:t>
      </w:r>
      <w:r>
        <w:rPr>
          <w:u w:val="single"/>
        </w:rPr>
        <w:t>hecho</w:t>
      </w:r>
      <w:r>
        <w:rPr>
          <w:spacing w:val="-2"/>
          <w:u w:val="single"/>
        </w:rPr>
        <w:t> </w:t>
      </w:r>
      <w:r>
        <w:rPr>
          <w:u w:val="single"/>
        </w:rPr>
        <w:t>mismo</w:t>
      </w:r>
      <w:r>
        <w:rPr>
          <w:spacing w:val="-3"/>
          <w:u w:val="single"/>
        </w:rPr>
        <w:t> </w:t>
      </w:r>
      <w:r>
        <w:rPr>
          <w:u w:val="single"/>
        </w:rPr>
        <w:t>de</w:t>
      </w:r>
      <w:r>
        <w:rPr/>
        <w:t> </w:t>
      </w:r>
      <w:r>
        <w:rPr>
          <w:u w:val="single"/>
        </w:rPr>
        <w:t>la importación, a no ser que se trate del cobro de los servicios que,</w:t>
      </w:r>
      <w:r>
        <w:rPr/>
        <w:t> </w:t>
      </w:r>
      <w:r>
        <w:rPr>
          <w:u w:val="single"/>
        </w:rPr>
        <w:t>directamente</w:t>
      </w:r>
      <w:r>
        <w:rPr>
          <w:spacing w:val="-3"/>
          <w:u w:val="single"/>
        </w:rPr>
        <w:t> </w:t>
      </w:r>
      <w:r>
        <w:rPr>
          <w:u w:val="single"/>
        </w:rPr>
        <w:t>relacionados</w:t>
      </w:r>
      <w:r>
        <w:rPr>
          <w:spacing w:val="-2"/>
          <w:u w:val="single"/>
        </w:rPr>
        <w:t> </w:t>
      </w:r>
      <w:r>
        <w:rPr>
          <w:u w:val="single"/>
        </w:rPr>
        <w:t>con</w:t>
      </w:r>
      <w:r>
        <w:rPr>
          <w:spacing w:val="-2"/>
          <w:u w:val="single"/>
        </w:rPr>
        <w:t> </w:t>
      </w:r>
      <w:r>
        <w:rPr>
          <w:u w:val="single"/>
        </w:rPr>
        <w:t>tal</w:t>
      </w:r>
      <w:r>
        <w:rPr>
          <w:spacing w:val="-2"/>
          <w:u w:val="single"/>
        </w:rPr>
        <w:t> </w:t>
      </w:r>
      <w:r>
        <w:rPr>
          <w:u w:val="single"/>
        </w:rPr>
        <w:t>hecho,</w:t>
      </w:r>
      <w:r>
        <w:rPr>
          <w:spacing w:val="-2"/>
          <w:u w:val="single"/>
        </w:rPr>
        <w:t> </w:t>
      </w:r>
      <w:r>
        <w:rPr>
          <w:u w:val="single"/>
        </w:rPr>
        <w:t>deba</w:t>
      </w:r>
      <w:r>
        <w:rPr>
          <w:spacing w:val="-2"/>
          <w:u w:val="single"/>
        </w:rPr>
        <w:t> </w:t>
      </w:r>
      <w:r>
        <w:rPr>
          <w:u w:val="single"/>
        </w:rPr>
        <w:t>sufragar</w:t>
      </w:r>
      <w:r>
        <w:rPr>
          <w:spacing w:val="-2"/>
          <w:u w:val="single"/>
        </w:rPr>
        <w:t> </w:t>
      </w:r>
      <w:r>
        <w:rPr>
          <w:u w:val="single"/>
        </w:rPr>
        <w:t>el</w:t>
      </w:r>
      <w:r>
        <w:rPr>
          <w:spacing w:val="-2"/>
          <w:u w:val="single"/>
        </w:rPr>
        <w:t> </w:t>
      </w:r>
      <w:r>
        <w:rPr>
          <w:u w:val="single"/>
        </w:rPr>
        <w:t>importador</w:t>
      </w:r>
      <w:r>
        <w:rPr>
          <w:spacing w:val="-2"/>
          <w:u w:val="single"/>
        </w:rPr>
        <w:t> </w:t>
      </w:r>
      <w:r>
        <w:rPr>
          <w:u w:val="single"/>
        </w:rPr>
        <w:t>como</w:t>
      </w:r>
      <w:r>
        <w:rPr/>
        <w:t> </w:t>
      </w:r>
      <w:r>
        <w:rPr>
          <w:u w:val="single"/>
        </w:rPr>
        <w:t>contraprestación por tales servicios, generalmente constituidos por</w:t>
      </w:r>
      <w:r>
        <w:rPr/>
        <w:t> </w:t>
      </w:r>
      <w:r>
        <w:rPr>
          <w:u w:val="single"/>
        </w:rPr>
        <w:t>operaciones de descargue, estiba y desestiba, utilización de puertos y</w:t>
      </w:r>
      <w:r>
        <w:rPr/>
        <w:t> </w:t>
      </w:r>
      <w:r>
        <w:rPr>
          <w:u w:val="single"/>
        </w:rPr>
        <w:t>hangares, bodegajes, trámites concernientes al levante de las mercancías y</w:t>
      </w:r>
      <w:r>
        <w:rPr/>
        <w:t> </w:t>
      </w:r>
      <w:r>
        <w:rPr>
          <w:u w:val="single"/>
        </w:rPr>
        <w:t>demás usuales dentro del comercio internacional de bienes</w:t>
      </w:r>
      <w:r>
        <w:rPr/>
        <w:t>.</w:t>
      </w:r>
    </w:p>
    <w:p>
      <w:pPr>
        <w:pStyle w:val="BodyText"/>
        <w:rPr>
          <w:rFonts w:ascii="Times New Roman"/>
          <w:i/>
        </w:rPr>
      </w:pPr>
    </w:p>
    <w:p>
      <w:pPr>
        <w:pStyle w:val="BodyText"/>
        <w:spacing w:before="100"/>
        <w:rPr>
          <w:rFonts w:ascii="Times New Roman"/>
          <w:i/>
        </w:rPr>
      </w:pPr>
    </w:p>
    <w:p>
      <w:pPr>
        <w:spacing w:before="1"/>
        <w:ind w:left="1984" w:right="1261" w:firstLine="0"/>
        <w:jc w:val="both"/>
        <w:rPr>
          <w:rFonts w:ascii="Arial" w:hAnsi="Arial"/>
          <w:i/>
          <w:sz w:val="22"/>
        </w:rPr>
      </w:pPr>
      <w:r>
        <w:rPr>
          <w:rFonts w:ascii="Arial" w:hAnsi="Arial"/>
          <w:i/>
          <w:sz w:val="22"/>
          <w:u w:val="single"/>
        </w:rPr>
        <w:t>Nótese cómo la definición legal no restringe el concepto de gravámenes a</w:t>
      </w:r>
      <w:r>
        <w:rPr>
          <w:rFonts w:ascii="Arial" w:hAnsi="Arial"/>
          <w:i/>
          <w:sz w:val="22"/>
        </w:rPr>
        <w:t> </w:t>
      </w:r>
      <w:r>
        <w:rPr>
          <w:rFonts w:ascii="Arial" w:hAnsi="Arial"/>
          <w:i/>
          <w:sz w:val="22"/>
          <w:u w:val="single"/>
        </w:rPr>
        <w:t>los derechos aduaneros sino que lo amplía, de una manera bien generosa,</w:t>
      </w:r>
      <w:r>
        <w:rPr>
          <w:rFonts w:ascii="Arial" w:hAnsi="Arial"/>
          <w:i/>
          <w:sz w:val="22"/>
        </w:rPr>
        <w:t> </w:t>
      </w:r>
      <w:r>
        <w:rPr>
          <w:rFonts w:ascii="Arial" w:hAnsi="Arial"/>
          <w:i/>
          <w:sz w:val="22"/>
          <w:u w:val="single"/>
        </w:rPr>
        <w:t>a</w:t>
      </w:r>
      <w:r>
        <w:rPr>
          <w:rFonts w:ascii="Arial" w:hAnsi="Arial"/>
          <w:i/>
          <w:spacing w:val="-16"/>
          <w:sz w:val="22"/>
          <w:u w:val="single"/>
        </w:rPr>
        <w:t> </w:t>
      </w:r>
      <w:r>
        <w:rPr>
          <w:rFonts w:ascii="Arial" w:hAnsi="Arial"/>
          <w:i/>
          <w:sz w:val="22"/>
          <w:u w:val="single"/>
        </w:rPr>
        <w:t>“cualesquier</w:t>
      </w:r>
      <w:r>
        <w:rPr>
          <w:rFonts w:ascii="Arial" w:hAnsi="Arial"/>
          <w:i/>
          <w:spacing w:val="-15"/>
          <w:sz w:val="22"/>
          <w:u w:val="single"/>
        </w:rPr>
        <w:t> </w:t>
      </w:r>
      <w:r>
        <w:rPr>
          <w:rFonts w:ascii="Arial" w:hAnsi="Arial"/>
          <w:i/>
          <w:sz w:val="22"/>
          <w:u w:val="single"/>
        </w:rPr>
        <w:t>otros</w:t>
      </w:r>
      <w:r>
        <w:rPr>
          <w:rFonts w:ascii="Arial" w:hAnsi="Arial"/>
          <w:i/>
          <w:spacing w:val="-15"/>
          <w:sz w:val="22"/>
          <w:u w:val="single"/>
        </w:rPr>
        <w:t> </w:t>
      </w:r>
      <w:r>
        <w:rPr>
          <w:rFonts w:ascii="Arial" w:hAnsi="Arial"/>
          <w:i/>
          <w:sz w:val="22"/>
          <w:u w:val="single"/>
        </w:rPr>
        <w:t>recargos</w:t>
      </w:r>
      <w:r>
        <w:rPr>
          <w:rFonts w:ascii="Arial" w:hAnsi="Arial"/>
          <w:i/>
          <w:spacing w:val="-16"/>
          <w:sz w:val="22"/>
          <w:u w:val="single"/>
        </w:rPr>
        <w:t> </w:t>
      </w:r>
      <w:r>
        <w:rPr>
          <w:rFonts w:ascii="Arial" w:hAnsi="Arial"/>
          <w:i/>
          <w:sz w:val="22"/>
          <w:u w:val="single"/>
        </w:rPr>
        <w:t>de</w:t>
      </w:r>
      <w:r>
        <w:rPr>
          <w:rFonts w:ascii="Arial" w:hAnsi="Arial"/>
          <w:i/>
          <w:spacing w:val="-15"/>
          <w:sz w:val="22"/>
          <w:u w:val="single"/>
        </w:rPr>
        <w:t> </w:t>
      </w:r>
      <w:r>
        <w:rPr>
          <w:rFonts w:ascii="Arial" w:hAnsi="Arial"/>
          <w:i/>
          <w:sz w:val="22"/>
          <w:u w:val="single"/>
        </w:rPr>
        <w:t>efectos</w:t>
      </w:r>
      <w:r>
        <w:rPr>
          <w:rFonts w:ascii="Arial" w:hAnsi="Arial"/>
          <w:i/>
          <w:spacing w:val="-15"/>
          <w:sz w:val="22"/>
          <w:u w:val="single"/>
        </w:rPr>
        <w:t> </w:t>
      </w:r>
      <w:r>
        <w:rPr>
          <w:rFonts w:ascii="Arial" w:hAnsi="Arial"/>
          <w:i/>
          <w:sz w:val="22"/>
          <w:u w:val="single"/>
        </w:rPr>
        <w:t>equivalentes”,</w:t>
      </w:r>
      <w:r>
        <w:rPr>
          <w:rFonts w:ascii="Arial" w:hAnsi="Arial"/>
          <w:i/>
          <w:spacing w:val="-15"/>
          <w:sz w:val="22"/>
          <w:u w:val="single"/>
        </w:rPr>
        <w:t> </w:t>
      </w:r>
      <w:r>
        <w:rPr>
          <w:rFonts w:ascii="Arial" w:hAnsi="Arial"/>
          <w:i/>
          <w:sz w:val="22"/>
          <w:u w:val="single"/>
        </w:rPr>
        <w:t>sin</w:t>
      </w:r>
      <w:r>
        <w:rPr>
          <w:rFonts w:ascii="Arial" w:hAnsi="Arial"/>
          <w:i/>
          <w:spacing w:val="-16"/>
          <w:sz w:val="22"/>
          <w:u w:val="single"/>
        </w:rPr>
        <w:t> </w:t>
      </w:r>
      <w:r>
        <w:rPr>
          <w:rFonts w:ascii="Arial" w:hAnsi="Arial"/>
          <w:i/>
          <w:sz w:val="22"/>
          <w:u w:val="single"/>
        </w:rPr>
        <w:t>importar</w:t>
      </w:r>
      <w:r>
        <w:rPr>
          <w:rFonts w:ascii="Arial" w:hAnsi="Arial"/>
          <w:i/>
          <w:spacing w:val="-15"/>
          <w:sz w:val="22"/>
          <w:u w:val="single"/>
        </w:rPr>
        <w:t> </w:t>
      </w:r>
      <w:r>
        <w:rPr>
          <w:rFonts w:ascii="Arial" w:hAnsi="Arial"/>
          <w:i/>
          <w:sz w:val="22"/>
          <w:u w:val="single"/>
        </w:rPr>
        <w:t>que</w:t>
      </w:r>
      <w:r>
        <w:rPr>
          <w:rFonts w:ascii="Arial" w:hAnsi="Arial"/>
          <w:i/>
          <w:spacing w:val="-15"/>
          <w:sz w:val="22"/>
          <w:u w:val="single"/>
        </w:rPr>
        <w:t> </w:t>
      </w:r>
      <w:r>
        <w:rPr>
          <w:rFonts w:ascii="Arial" w:hAnsi="Arial"/>
          <w:i/>
          <w:sz w:val="22"/>
          <w:u w:val="single"/>
        </w:rPr>
        <w:t>tales</w:t>
      </w:r>
      <w:r>
        <w:rPr>
          <w:rFonts w:ascii="Arial" w:hAnsi="Arial"/>
          <w:i/>
          <w:sz w:val="22"/>
        </w:rPr>
        <w:t> </w:t>
      </w:r>
      <w:r>
        <w:rPr>
          <w:rFonts w:ascii="Arial" w:hAnsi="Arial"/>
          <w:i/>
          <w:sz w:val="22"/>
          <w:u w:val="single"/>
        </w:rPr>
        <w:t>recargos</w:t>
      </w:r>
      <w:r>
        <w:rPr>
          <w:rFonts w:ascii="Arial" w:hAnsi="Arial"/>
          <w:i/>
          <w:spacing w:val="-16"/>
          <w:sz w:val="22"/>
          <w:u w:val="single"/>
        </w:rPr>
        <w:t> </w:t>
      </w:r>
      <w:r>
        <w:rPr>
          <w:rFonts w:ascii="Arial" w:hAnsi="Arial"/>
          <w:i/>
          <w:sz w:val="22"/>
          <w:u w:val="single"/>
        </w:rPr>
        <w:t>tengan</w:t>
      </w:r>
      <w:r>
        <w:rPr>
          <w:rFonts w:ascii="Arial" w:hAnsi="Arial"/>
          <w:i/>
          <w:spacing w:val="-15"/>
          <w:sz w:val="22"/>
          <w:u w:val="single"/>
        </w:rPr>
        <w:t> </w:t>
      </w:r>
      <w:r>
        <w:rPr>
          <w:rFonts w:ascii="Arial" w:hAnsi="Arial"/>
          <w:i/>
          <w:sz w:val="22"/>
          <w:u w:val="single"/>
        </w:rPr>
        <w:t>tal</w:t>
      </w:r>
      <w:r>
        <w:rPr>
          <w:rFonts w:ascii="Arial" w:hAnsi="Arial"/>
          <w:i/>
          <w:spacing w:val="-15"/>
          <w:sz w:val="22"/>
          <w:u w:val="single"/>
        </w:rPr>
        <w:t> </w:t>
      </w:r>
      <w:r>
        <w:rPr>
          <w:rFonts w:ascii="Arial" w:hAnsi="Arial"/>
          <w:i/>
          <w:sz w:val="22"/>
          <w:u w:val="single"/>
        </w:rPr>
        <w:t>o</w:t>
      </w:r>
      <w:r>
        <w:rPr>
          <w:rFonts w:ascii="Arial" w:hAnsi="Arial"/>
          <w:i/>
          <w:spacing w:val="-16"/>
          <w:sz w:val="22"/>
          <w:u w:val="single"/>
        </w:rPr>
        <w:t> </w:t>
      </w:r>
      <w:r>
        <w:rPr>
          <w:rFonts w:ascii="Arial" w:hAnsi="Arial"/>
          <w:i/>
          <w:sz w:val="22"/>
          <w:u w:val="single"/>
        </w:rPr>
        <w:t>cual</w:t>
      </w:r>
      <w:r>
        <w:rPr>
          <w:rFonts w:ascii="Arial" w:hAnsi="Arial"/>
          <w:i/>
          <w:spacing w:val="-15"/>
          <w:sz w:val="22"/>
          <w:u w:val="single"/>
        </w:rPr>
        <w:t> </w:t>
      </w:r>
      <w:r>
        <w:rPr>
          <w:rFonts w:ascii="Arial" w:hAnsi="Arial"/>
          <w:i/>
          <w:sz w:val="22"/>
          <w:u w:val="single"/>
        </w:rPr>
        <w:t>denominación,</w:t>
      </w:r>
      <w:r>
        <w:rPr>
          <w:rFonts w:ascii="Arial" w:hAnsi="Arial"/>
          <w:i/>
          <w:spacing w:val="-15"/>
          <w:sz w:val="22"/>
          <w:u w:val="single"/>
        </w:rPr>
        <w:t> </w:t>
      </w:r>
      <w:r>
        <w:rPr>
          <w:rFonts w:ascii="Arial" w:hAnsi="Arial"/>
          <w:i/>
          <w:sz w:val="22"/>
          <w:u w:val="single"/>
        </w:rPr>
        <w:t>ni</w:t>
      </w:r>
      <w:r>
        <w:rPr>
          <w:rFonts w:ascii="Arial" w:hAnsi="Arial"/>
          <w:i/>
          <w:spacing w:val="-15"/>
          <w:sz w:val="22"/>
          <w:u w:val="single"/>
        </w:rPr>
        <w:t> </w:t>
      </w:r>
      <w:r>
        <w:rPr>
          <w:rFonts w:ascii="Arial" w:hAnsi="Arial"/>
          <w:i/>
          <w:sz w:val="22"/>
          <w:u w:val="single"/>
        </w:rPr>
        <w:t>tampoco</w:t>
      </w:r>
      <w:r>
        <w:rPr>
          <w:rFonts w:ascii="Arial" w:hAnsi="Arial"/>
          <w:i/>
          <w:spacing w:val="-16"/>
          <w:sz w:val="22"/>
          <w:u w:val="single"/>
        </w:rPr>
        <w:t> </w:t>
      </w:r>
      <w:r>
        <w:rPr>
          <w:rFonts w:ascii="Arial" w:hAnsi="Arial"/>
          <w:i/>
          <w:sz w:val="22"/>
          <w:u w:val="single"/>
        </w:rPr>
        <w:t>su</w:t>
      </w:r>
      <w:r>
        <w:rPr>
          <w:rFonts w:ascii="Arial" w:hAnsi="Arial"/>
          <w:i/>
          <w:spacing w:val="-15"/>
          <w:sz w:val="22"/>
          <w:u w:val="single"/>
        </w:rPr>
        <w:t> </w:t>
      </w:r>
      <w:r>
        <w:rPr>
          <w:rFonts w:ascii="Arial" w:hAnsi="Arial"/>
          <w:i/>
          <w:sz w:val="22"/>
          <w:u w:val="single"/>
        </w:rPr>
        <w:t>naturaleza,</w:t>
      </w:r>
      <w:r>
        <w:rPr>
          <w:rFonts w:ascii="Arial" w:hAnsi="Arial"/>
          <w:i/>
          <w:spacing w:val="-15"/>
          <w:sz w:val="22"/>
          <w:u w:val="single"/>
        </w:rPr>
        <w:t> </w:t>
      </w:r>
      <w:r>
        <w:rPr>
          <w:rFonts w:ascii="Arial" w:hAnsi="Arial"/>
          <w:i/>
          <w:sz w:val="22"/>
          <w:u w:val="single"/>
        </w:rPr>
        <w:t>que</w:t>
      </w:r>
      <w:r>
        <w:rPr>
          <w:rFonts w:ascii="Arial" w:hAnsi="Arial"/>
          <w:i/>
          <w:spacing w:val="-16"/>
          <w:sz w:val="22"/>
          <w:u w:val="single"/>
        </w:rPr>
        <w:t> </w:t>
      </w:r>
      <w:r>
        <w:rPr>
          <w:rFonts w:ascii="Arial" w:hAnsi="Arial"/>
          <w:i/>
          <w:sz w:val="22"/>
          <w:u w:val="single"/>
        </w:rPr>
        <w:t>bien</w:t>
      </w:r>
      <w:r>
        <w:rPr>
          <w:rFonts w:ascii="Arial" w:hAnsi="Arial"/>
          <w:i/>
          <w:sz w:val="22"/>
        </w:rPr>
        <w:t> </w:t>
      </w:r>
      <w:r>
        <w:rPr>
          <w:rFonts w:ascii="Arial" w:hAnsi="Arial"/>
          <w:i/>
          <w:sz w:val="22"/>
          <w:u w:val="single"/>
        </w:rPr>
        <w:t>puede ser de</w:t>
      </w:r>
      <w:r>
        <w:rPr>
          <w:rFonts w:ascii="Arial" w:hAnsi="Arial"/>
          <w:i/>
          <w:spacing w:val="-1"/>
          <w:sz w:val="22"/>
          <w:u w:val="single"/>
        </w:rPr>
        <w:t> </w:t>
      </w:r>
      <w:r>
        <w:rPr>
          <w:rFonts w:ascii="Arial" w:hAnsi="Arial"/>
          <w:i/>
          <w:sz w:val="22"/>
          <w:u w:val="single"/>
        </w:rPr>
        <w:t>carácter fiscal, de</w:t>
      </w:r>
      <w:r>
        <w:rPr>
          <w:rFonts w:ascii="Arial" w:hAnsi="Arial"/>
          <w:i/>
          <w:spacing w:val="-1"/>
          <w:sz w:val="22"/>
          <w:u w:val="single"/>
        </w:rPr>
        <w:t> </w:t>
      </w:r>
      <w:r>
        <w:rPr>
          <w:rFonts w:ascii="Arial" w:hAnsi="Arial"/>
          <w:i/>
          <w:sz w:val="22"/>
          <w:u w:val="single"/>
        </w:rPr>
        <w:t>carácter monetario o de</w:t>
      </w:r>
      <w:r>
        <w:rPr>
          <w:rFonts w:ascii="Arial" w:hAnsi="Arial"/>
          <w:i/>
          <w:spacing w:val="-1"/>
          <w:sz w:val="22"/>
          <w:u w:val="single"/>
        </w:rPr>
        <w:t> </w:t>
      </w:r>
      <w:r>
        <w:rPr>
          <w:rFonts w:ascii="Arial" w:hAnsi="Arial"/>
          <w:i/>
          <w:sz w:val="22"/>
          <w:u w:val="single"/>
        </w:rPr>
        <w:t>carácter cambiario</w:t>
      </w:r>
      <w:r>
        <w:rPr>
          <w:rFonts w:ascii="Arial" w:hAnsi="Arial"/>
          <w:i/>
          <w:sz w:val="22"/>
        </w:rPr>
        <w:t> </w:t>
      </w:r>
      <w:r>
        <w:rPr>
          <w:rFonts w:ascii="Arial" w:hAnsi="Arial"/>
          <w:i/>
          <w:sz w:val="22"/>
          <w:u w:val="single"/>
        </w:rPr>
        <w:t>y cuyo único condicionante es que incidan sobre las importaciones,</w:t>
      </w:r>
      <w:r>
        <w:rPr>
          <w:rFonts w:ascii="Arial" w:hAnsi="Arial"/>
          <w:i/>
          <w:sz w:val="22"/>
        </w:rPr>
        <w:t> </w:t>
      </w:r>
      <w:r>
        <w:rPr>
          <w:rFonts w:ascii="Arial" w:hAnsi="Arial"/>
          <w:i/>
          <w:sz w:val="22"/>
          <w:u w:val="single"/>
        </w:rPr>
        <w:t>encareciéndolas o dificultándolas</w:t>
      </w:r>
    </w:p>
    <w:p>
      <w:pPr>
        <w:spacing w:line="252" w:lineRule="exact" w:before="0"/>
        <w:ind w:left="1984" w:right="0" w:firstLine="0"/>
        <w:jc w:val="left"/>
        <w:rPr>
          <w:rFonts w:ascii="Arial" w:hAnsi="Arial"/>
          <w:i/>
          <w:sz w:val="22"/>
        </w:rPr>
      </w:pPr>
      <w:r>
        <w:rPr>
          <w:rFonts w:ascii="Arial" w:hAnsi="Arial"/>
          <w:i/>
          <w:spacing w:val="-5"/>
          <w:sz w:val="22"/>
        </w:rPr>
        <w:t>(…)</w:t>
      </w:r>
    </w:p>
    <w:p>
      <w:pPr>
        <w:spacing w:before="0"/>
        <w:ind w:left="1984" w:right="1261" w:firstLine="0"/>
        <w:jc w:val="both"/>
        <w:rPr>
          <w:sz w:val="22"/>
        </w:rPr>
      </w:pPr>
      <w:r>
        <w:rPr>
          <w:rFonts w:ascii="Arial" w:hAnsi="Arial"/>
          <w:i/>
          <w:sz w:val="22"/>
          <w:u w:val="single"/>
        </w:rPr>
        <w:t>Es perfectamente entendible para El Tribunal el empeño del legislador</w:t>
      </w:r>
      <w:r>
        <w:rPr>
          <w:rFonts w:ascii="Arial" w:hAnsi="Arial"/>
          <w:i/>
          <w:sz w:val="22"/>
        </w:rPr>
        <w:t> </w:t>
      </w:r>
      <w:r>
        <w:rPr>
          <w:rFonts w:ascii="Arial" w:hAnsi="Arial"/>
          <w:i/>
          <w:sz w:val="22"/>
          <w:u w:val="single"/>
        </w:rPr>
        <w:t>andino en prevenir cualquier intento de desviación</w:t>
      </w:r>
      <w:r>
        <w:rPr>
          <w:rFonts w:ascii="Arial" w:hAnsi="Arial"/>
          <w:i/>
          <w:sz w:val="22"/>
        </w:rPr>
        <w:t>, que utilizando la vía de los recargos monetarios, cualquiera fuere su naturaleza, su propósito y su destinación, </w:t>
      </w:r>
      <w:r>
        <w:rPr>
          <w:rFonts w:ascii="Arial" w:hAnsi="Arial"/>
          <w:i/>
          <w:sz w:val="22"/>
          <w:u w:val="single"/>
        </w:rPr>
        <w:t>pudieran realizar los Países Miembros, desnaturalizando con</w:t>
      </w:r>
      <w:r>
        <w:rPr>
          <w:rFonts w:ascii="Arial" w:hAnsi="Arial"/>
          <w:i/>
          <w:sz w:val="22"/>
        </w:rPr>
        <w:t> </w:t>
      </w:r>
      <w:r>
        <w:rPr>
          <w:rFonts w:ascii="Arial" w:hAnsi="Arial"/>
          <w:i/>
          <w:sz w:val="22"/>
          <w:u w:val="single"/>
        </w:rPr>
        <w:t>ello</w:t>
      </w:r>
      <w:r>
        <w:rPr>
          <w:rFonts w:ascii="Arial" w:hAnsi="Arial"/>
          <w:i/>
          <w:spacing w:val="-12"/>
          <w:sz w:val="22"/>
          <w:u w:val="single"/>
        </w:rPr>
        <w:t> </w:t>
      </w:r>
      <w:r>
        <w:rPr>
          <w:rFonts w:ascii="Arial" w:hAnsi="Arial"/>
          <w:i/>
          <w:sz w:val="22"/>
          <w:u w:val="single"/>
        </w:rPr>
        <w:t>el</w:t>
      </w:r>
      <w:r>
        <w:rPr>
          <w:rFonts w:ascii="Arial" w:hAnsi="Arial"/>
          <w:i/>
          <w:spacing w:val="-12"/>
          <w:sz w:val="22"/>
          <w:u w:val="single"/>
        </w:rPr>
        <w:t> </w:t>
      </w:r>
      <w:r>
        <w:rPr>
          <w:rFonts w:ascii="Arial" w:hAnsi="Arial"/>
          <w:i/>
          <w:sz w:val="22"/>
          <w:u w:val="single"/>
        </w:rPr>
        <w:t>programa</w:t>
      </w:r>
      <w:r>
        <w:rPr>
          <w:rFonts w:ascii="Arial" w:hAnsi="Arial"/>
          <w:i/>
          <w:spacing w:val="-14"/>
          <w:sz w:val="22"/>
          <w:u w:val="single"/>
        </w:rPr>
        <w:t> </w:t>
      </w:r>
      <w:r>
        <w:rPr>
          <w:rFonts w:ascii="Arial" w:hAnsi="Arial"/>
          <w:i/>
          <w:sz w:val="22"/>
          <w:u w:val="single"/>
        </w:rPr>
        <w:t>de</w:t>
      </w:r>
      <w:r>
        <w:rPr>
          <w:rFonts w:ascii="Arial" w:hAnsi="Arial"/>
          <w:i/>
          <w:spacing w:val="-15"/>
          <w:sz w:val="22"/>
          <w:u w:val="single"/>
        </w:rPr>
        <w:t> </w:t>
      </w:r>
      <w:r>
        <w:rPr>
          <w:rFonts w:ascii="Arial" w:hAnsi="Arial"/>
          <w:i/>
          <w:sz w:val="22"/>
          <w:u w:val="single"/>
        </w:rPr>
        <w:t>liberación</w:t>
      </w:r>
      <w:r>
        <w:rPr>
          <w:rFonts w:ascii="Arial" w:hAnsi="Arial"/>
          <w:i/>
          <w:spacing w:val="-11"/>
          <w:sz w:val="22"/>
          <w:u w:val="single"/>
        </w:rPr>
        <w:t> </w:t>
      </w:r>
      <w:r>
        <w:rPr>
          <w:rFonts w:ascii="Arial" w:hAnsi="Arial"/>
          <w:i/>
          <w:sz w:val="22"/>
          <w:u w:val="single"/>
        </w:rPr>
        <w:t>que</w:t>
      </w:r>
      <w:r>
        <w:rPr>
          <w:rFonts w:ascii="Arial" w:hAnsi="Arial"/>
          <w:i/>
          <w:spacing w:val="-15"/>
          <w:sz w:val="22"/>
          <w:u w:val="single"/>
        </w:rPr>
        <w:t> </w:t>
      </w:r>
      <w:r>
        <w:rPr>
          <w:rFonts w:ascii="Arial" w:hAnsi="Arial"/>
          <w:i/>
          <w:sz w:val="22"/>
          <w:u w:val="single"/>
        </w:rPr>
        <w:t>es,</w:t>
      </w:r>
      <w:r>
        <w:rPr>
          <w:rFonts w:ascii="Arial" w:hAnsi="Arial"/>
          <w:i/>
          <w:spacing w:val="-14"/>
          <w:sz w:val="22"/>
          <w:u w:val="single"/>
        </w:rPr>
        <w:t> </w:t>
      </w:r>
      <w:r>
        <w:rPr>
          <w:rFonts w:ascii="Arial" w:hAnsi="Arial"/>
          <w:i/>
          <w:sz w:val="22"/>
          <w:u w:val="single"/>
        </w:rPr>
        <w:t>por</w:t>
      </w:r>
      <w:r>
        <w:rPr>
          <w:rFonts w:ascii="Arial" w:hAnsi="Arial"/>
          <w:i/>
          <w:spacing w:val="-13"/>
          <w:sz w:val="22"/>
          <w:u w:val="single"/>
        </w:rPr>
        <w:t> </w:t>
      </w:r>
      <w:r>
        <w:rPr>
          <w:rFonts w:ascii="Arial" w:hAnsi="Arial"/>
          <w:i/>
          <w:sz w:val="22"/>
          <w:u w:val="single"/>
        </w:rPr>
        <w:t>cierto,</w:t>
      </w:r>
      <w:r>
        <w:rPr>
          <w:rFonts w:ascii="Arial" w:hAnsi="Arial"/>
          <w:i/>
          <w:spacing w:val="-14"/>
          <w:sz w:val="22"/>
          <w:u w:val="single"/>
        </w:rPr>
        <w:t> </w:t>
      </w:r>
      <w:r>
        <w:rPr>
          <w:rFonts w:ascii="Arial" w:hAnsi="Arial"/>
          <w:i/>
          <w:sz w:val="22"/>
          <w:u w:val="single"/>
        </w:rPr>
        <w:t>(…)</w:t>
      </w:r>
      <w:r>
        <w:rPr>
          <w:rFonts w:ascii="Arial" w:hAnsi="Arial"/>
          <w:i/>
          <w:spacing w:val="-13"/>
          <w:sz w:val="22"/>
          <w:u w:val="single"/>
        </w:rPr>
        <w:t> </w:t>
      </w:r>
      <w:r>
        <w:rPr>
          <w:rFonts w:ascii="Arial" w:hAnsi="Arial"/>
          <w:i/>
          <w:sz w:val="22"/>
          <w:u w:val="single"/>
        </w:rPr>
        <w:t>uno</w:t>
      </w:r>
      <w:r>
        <w:rPr>
          <w:rFonts w:ascii="Arial" w:hAnsi="Arial"/>
          <w:i/>
          <w:spacing w:val="-15"/>
          <w:sz w:val="22"/>
          <w:u w:val="single"/>
        </w:rPr>
        <w:t> </w:t>
      </w:r>
      <w:r>
        <w:rPr>
          <w:rFonts w:ascii="Arial" w:hAnsi="Arial"/>
          <w:i/>
          <w:sz w:val="22"/>
          <w:u w:val="single"/>
        </w:rPr>
        <w:t>de</w:t>
      </w:r>
      <w:r>
        <w:rPr>
          <w:rFonts w:ascii="Arial" w:hAnsi="Arial"/>
          <w:i/>
          <w:spacing w:val="-15"/>
          <w:sz w:val="22"/>
          <w:u w:val="single"/>
        </w:rPr>
        <w:t> </w:t>
      </w:r>
      <w:r>
        <w:rPr>
          <w:rFonts w:ascii="Arial" w:hAnsi="Arial"/>
          <w:i/>
          <w:sz w:val="22"/>
          <w:u w:val="single"/>
        </w:rPr>
        <w:t>los</w:t>
      </w:r>
      <w:r>
        <w:rPr>
          <w:rFonts w:ascii="Arial" w:hAnsi="Arial"/>
          <w:i/>
          <w:spacing w:val="-14"/>
          <w:sz w:val="22"/>
          <w:u w:val="single"/>
        </w:rPr>
        <w:t> </w:t>
      </w:r>
      <w:r>
        <w:rPr>
          <w:rFonts w:ascii="Arial" w:hAnsi="Arial"/>
          <w:i/>
          <w:sz w:val="22"/>
          <w:u w:val="single"/>
        </w:rPr>
        <w:t>fines</w:t>
      </w:r>
      <w:r>
        <w:rPr>
          <w:rFonts w:ascii="Arial" w:hAnsi="Arial"/>
          <w:i/>
          <w:spacing w:val="-14"/>
          <w:sz w:val="22"/>
          <w:u w:val="single"/>
        </w:rPr>
        <w:t> </w:t>
      </w:r>
      <w:r>
        <w:rPr>
          <w:rFonts w:ascii="Arial" w:hAnsi="Arial"/>
          <w:i/>
          <w:sz w:val="22"/>
          <w:u w:val="single"/>
        </w:rPr>
        <w:t>propios</w:t>
      </w:r>
      <w:r>
        <w:rPr>
          <w:rFonts w:ascii="Arial" w:hAnsi="Arial"/>
          <w:i/>
          <w:sz w:val="22"/>
        </w:rPr>
        <w:t> </w:t>
      </w:r>
      <w:r>
        <w:rPr>
          <w:rFonts w:ascii="Arial" w:hAnsi="Arial"/>
          <w:i/>
          <w:sz w:val="22"/>
          <w:u w:val="single"/>
        </w:rPr>
        <w:t>del Acuerdo de Integración Subregional</w:t>
      </w:r>
      <w:r>
        <w:rPr>
          <w:rFonts w:ascii="Arial" w:hAnsi="Arial"/>
          <w:i/>
          <w:sz w:val="22"/>
        </w:rPr>
        <w:t>.” </w:t>
      </w:r>
      <w:r>
        <w:rPr>
          <w:sz w:val="22"/>
        </w:rPr>
        <w:t>[énfasis añadido]</w:t>
      </w:r>
    </w:p>
    <w:p>
      <w:pPr>
        <w:pStyle w:val="BodyText"/>
      </w:pPr>
    </w:p>
    <w:p>
      <w:pPr>
        <w:pStyle w:val="BodyText"/>
        <w:spacing w:before="169"/>
      </w:pPr>
    </w:p>
    <w:p>
      <w:pPr>
        <w:pStyle w:val="ListParagraph"/>
        <w:numPr>
          <w:ilvl w:val="0"/>
          <w:numId w:val="11"/>
        </w:numPr>
        <w:tabs>
          <w:tab w:pos="1130" w:val="left" w:leader="none"/>
          <w:tab w:pos="1134" w:val="left" w:leader="none"/>
        </w:tabs>
        <w:spacing w:line="240" w:lineRule="auto" w:before="1" w:after="0"/>
        <w:ind w:left="1134" w:right="977" w:hanging="567"/>
        <w:jc w:val="both"/>
        <w:rPr>
          <w:sz w:val="22"/>
        </w:rPr>
      </w:pPr>
      <w:r>
        <w:rPr>
          <w:sz w:val="22"/>
        </w:rPr>
        <w:t>De</w:t>
      </w:r>
      <w:r>
        <w:rPr>
          <w:spacing w:val="-4"/>
          <w:sz w:val="22"/>
        </w:rPr>
        <w:t> </w:t>
      </w:r>
      <w:r>
        <w:rPr>
          <w:sz w:val="22"/>
        </w:rPr>
        <w:t>lo</w:t>
      </w:r>
      <w:r>
        <w:rPr>
          <w:spacing w:val="-4"/>
          <w:sz w:val="22"/>
        </w:rPr>
        <w:t> </w:t>
      </w:r>
      <w:r>
        <w:rPr>
          <w:sz w:val="22"/>
        </w:rPr>
        <w:t>anterior</w:t>
      </w:r>
      <w:r>
        <w:rPr>
          <w:spacing w:val="-5"/>
          <w:sz w:val="22"/>
        </w:rPr>
        <w:t> </w:t>
      </w:r>
      <w:r>
        <w:rPr>
          <w:sz w:val="22"/>
        </w:rPr>
        <w:t>se</w:t>
      </w:r>
      <w:r>
        <w:rPr>
          <w:spacing w:val="-6"/>
          <w:sz w:val="22"/>
        </w:rPr>
        <w:t> </w:t>
      </w:r>
      <w:r>
        <w:rPr>
          <w:sz w:val="22"/>
        </w:rPr>
        <w:t>aprecia</w:t>
      </w:r>
      <w:r>
        <w:rPr>
          <w:spacing w:val="-6"/>
          <w:sz w:val="22"/>
        </w:rPr>
        <w:t> </w:t>
      </w:r>
      <w:r>
        <w:rPr>
          <w:sz w:val="22"/>
        </w:rPr>
        <w:t>que,</w:t>
      </w:r>
      <w:r>
        <w:rPr>
          <w:spacing w:val="-5"/>
          <w:sz w:val="22"/>
        </w:rPr>
        <w:t> </w:t>
      </w:r>
      <w:r>
        <w:rPr>
          <w:sz w:val="22"/>
        </w:rPr>
        <w:t>si</w:t>
      </w:r>
      <w:r>
        <w:rPr>
          <w:spacing w:val="-5"/>
          <w:sz w:val="22"/>
        </w:rPr>
        <w:t> </w:t>
      </w:r>
      <w:r>
        <w:rPr>
          <w:sz w:val="22"/>
        </w:rPr>
        <w:t>bien</w:t>
      </w:r>
      <w:r>
        <w:rPr>
          <w:spacing w:val="-4"/>
          <w:sz w:val="22"/>
        </w:rPr>
        <w:t> </w:t>
      </w:r>
      <w:r>
        <w:rPr>
          <w:sz w:val="22"/>
        </w:rPr>
        <w:t>el</w:t>
      </w:r>
      <w:r>
        <w:rPr>
          <w:spacing w:val="-7"/>
          <w:sz w:val="22"/>
        </w:rPr>
        <w:t> </w:t>
      </w:r>
      <w:r>
        <w:rPr>
          <w:sz w:val="22"/>
        </w:rPr>
        <w:t>TJCAN</w:t>
      </w:r>
      <w:r>
        <w:rPr>
          <w:spacing w:val="-5"/>
          <w:sz w:val="22"/>
        </w:rPr>
        <w:t> </w:t>
      </w:r>
      <w:r>
        <w:rPr>
          <w:sz w:val="22"/>
        </w:rPr>
        <w:t>lista</w:t>
      </w:r>
      <w:r>
        <w:rPr>
          <w:spacing w:val="-4"/>
          <w:sz w:val="22"/>
        </w:rPr>
        <w:t> </w:t>
      </w:r>
      <w:r>
        <w:rPr>
          <w:sz w:val="22"/>
        </w:rPr>
        <w:t>ejemplos</w:t>
      </w:r>
      <w:r>
        <w:rPr>
          <w:spacing w:val="-6"/>
          <w:sz w:val="22"/>
        </w:rPr>
        <w:t> </w:t>
      </w:r>
      <w:r>
        <w:rPr>
          <w:sz w:val="22"/>
        </w:rPr>
        <w:t>de</w:t>
      </w:r>
      <w:r>
        <w:rPr>
          <w:spacing w:val="-7"/>
          <w:sz w:val="22"/>
        </w:rPr>
        <w:t> </w:t>
      </w:r>
      <w:r>
        <w:rPr>
          <w:sz w:val="22"/>
        </w:rPr>
        <w:t>actividades</w:t>
      </w:r>
      <w:r>
        <w:rPr>
          <w:spacing w:val="-4"/>
          <w:sz w:val="22"/>
        </w:rPr>
        <w:t> </w:t>
      </w:r>
      <w:r>
        <w:rPr>
          <w:sz w:val="22"/>
        </w:rPr>
        <w:t>vinculadas directamente a las operaciones de importación que podrían calificar como servicios prestados</w:t>
      </w:r>
      <w:r>
        <w:rPr>
          <w:spacing w:val="-11"/>
          <w:sz w:val="22"/>
        </w:rPr>
        <w:t> </w:t>
      </w:r>
      <w:r>
        <w:rPr>
          <w:sz w:val="22"/>
        </w:rPr>
        <w:t>al</w:t>
      </w:r>
      <w:r>
        <w:rPr>
          <w:spacing w:val="-12"/>
          <w:sz w:val="22"/>
        </w:rPr>
        <w:t> </w:t>
      </w:r>
      <w:r>
        <w:rPr>
          <w:sz w:val="22"/>
        </w:rPr>
        <w:t>importador,</w:t>
      </w:r>
      <w:r>
        <w:rPr>
          <w:spacing w:val="-12"/>
          <w:sz w:val="22"/>
        </w:rPr>
        <w:t> </w:t>
      </w:r>
      <w:r>
        <w:rPr>
          <w:sz w:val="22"/>
        </w:rPr>
        <w:t>y</w:t>
      </w:r>
      <w:r>
        <w:rPr>
          <w:spacing w:val="-8"/>
          <w:sz w:val="22"/>
        </w:rPr>
        <w:t> </w:t>
      </w:r>
      <w:r>
        <w:rPr>
          <w:sz w:val="22"/>
        </w:rPr>
        <w:t>sobre</w:t>
      </w:r>
      <w:r>
        <w:rPr>
          <w:spacing w:val="-11"/>
          <w:sz w:val="22"/>
        </w:rPr>
        <w:t> </w:t>
      </w:r>
      <w:r>
        <w:rPr>
          <w:sz w:val="22"/>
        </w:rPr>
        <w:t>los</w:t>
      </w:r>
      <w:r>
        <w:rPr>
          <w:spacing w:val="-11"/>
          <w:sz w:val="22"/>
        </w:rPr>
        <w:t> </w:t>
      </w:r>
      <w:r>
        <w:rPr>
          <w:sz w:val="22"/>
        </w:rPr>
        <w:t>cuales</w:t>
      </w:r>
      <w:r>
        <w:rPr>
          <w:spacing w:val="-11"/>
          <w:sz w:val="22"/>
        </w:rPr>
        <w:t> </w:t>
      </w:r>
      <w:r>
        <w:rPr>
          <w:sz w:val="22"/>
        </w:rPr>
        <w:t>estaría</w:t>
      </w:r>
      <w:r>
        <w:rPr>
          <w:spacing w:val="-9"/>
          <w:sz w:val="22"/>
        </w:rPr>
        <w:t> </w:t>
      </w:r>
      <w:r>
        <w:rPr>
          <w:sz w:val="22"/>
        </w:rPr>
        <w:t>permitido</w:t>
      </w:r>
      <w:r>
        <w:rPr>
          <w:spacing w:val="-12"/>
          <w:sz w:val="22"/>
        </w:rPr>
        <w:t> </w:t>
      </w:r>
      <w:r>
        <w:rPr>
          <w:sz w:val="22"/>
        </w:rPr>
        <w:t>el</w:t>
      </w:r>
      <w:r>
        <w:rPr>
          <w:spacing w:val="-12"/>
          <w:sz w:val="22"/>
        </w:rPr>
        <w:t> </w:t>
      </w:r>
      <w:r>
        <w:rPr>
          <w:sz w:val="22"/>
        </w:rPr>
        <w:t>cobro</w:t>
      </w:r>
      <w:r>
        <w:rPr>
          <w:spacing w:val="-11"/>
          <w:sz w:val="22"/>
        </w:rPr>
        <w:t> </w:t>
      </w:r>
      <w:r>
        <w:rPr>
          <w:sz w:val="22"/>
        </w:rPr>
        <w:t>de</w:t>
      </w:r>
      <w:r>
        <w:rPr>
          <w:spacing w:val="-14"/>
          <w:sz w:val="22"/>
        </w:rPr>
        <w:t> </w:t>
      </w:r>
      <w:r>
        <w:rPr>
          <w:sz w:val="22"/>
        </w:rPr>
        <w:t>tasas,</w:t>
      </w:r>
      <w:r>
        <w:rPr>
          <w:spacing w:val="-10"/>
          <w:sz w:val="22"/>
        </w:rPr>
        <w:t> </w:t>
      </w:r>
      <w:r>
        <w:rPr>
          <w:sz w:val="22"/>
        </w:rPr>
        <w:t>esta</w:t>
      </w:r>
      <w:r>
        <w:rPr>
          <w:spacing w:val="-11"/>
          <w:sz w:val="22"/>
        </w:rPr>
        <w:t> </w:t>
      </w:r>
      <w:r>
        <w:rPr>
          <w:sz w:val="22"/>
        </w:rPr>
        <w:t>lista de ejemplos no es taxativa.</w:t>
      </w:r>
    </w:p>
    <w:p>
      <w:pPr>
        <w:pStyle w:val="BodyText"/>
      </w:pPr>
    </w:p>
    <w:p>
      <w:pPr>
        <w:pStyle w:val="ListParagraph"/>
        <w:numPr>
          <w:ilvl w:val="0"/>
          <w:numId w:val="11"/>
        </w:numPr>
        <w:tabs>
          <w:tab w:pos="1130" w:val="left" w:leader="none"/>
          <w:tab w:pos="1134" w:val="left" w:leader="none"/>
        </w:tabs>
        <w:spacing w:line="240" w:lineRule="auto" w:before="0" w:after="0"/>
        <w:ind w:left="1134" w:right="981" w:hanging="567"/>
        <w:jc w:val="both"/>
        <w:rPr>
          <w:sz w:val="22"/>
        </w:rPr>
      </w:pPr>
      <w:r>
        <w:rPr>
          <w:sz w:val="22"/>
        </w:rPr>
        <w:t>Ahora bien, resulta relevante conocer el razonamiento que empleó el TJCAN en el Proceso 12-AN-99, para considerar si determinadas actividades, vinculadas directamente con las operaciones de importación, no listadas por el Tribunal Andino, podrían corresponder a servicios prestados al importador:</w:t>
      </w:r>
    </w:p>
    <w:p>
      <w:pPr>
        <w:pStyle w:val="BodyText"/>
      </w:pPr>
    </w:p>
    <w:p>
      <w:pPr>
        <w:spacing w:before="0"/>
        <w:ind w:left="2270" w:right="1262" w:firstLine="0"/>
        <w:jc w:val="both"/>
        <w:rPr>
          <w:rFonts w:ascii="Arial" w:hAnsi="Arial"/>
          <w:i/>
          <w:sz w:val="22"/>
        </w:rPr>
      </w:pPr>
      <w:r>
        <w:rPr>
          <w:rFonts w:ascii="Arial" w:hAnsi="Arial"/>
          <w:i/>
          <w:sz w:val="22"/>
        </w:rPr>
        <w:t>“(…) el concepto de gravamen, tal como lo considera el Acuerdo de Cartagena,</w:t>
      </w:r>
      <w:r>
        <w:rPr>
          <w:rFonts w:ascii="Arial" w:hAnsi="Arial"/>
          <w:i/>
          <w:spacing w:val="-3"/>
          <w:sz w:val="22"/>
        </w:rPr>
        <w:t> </w:t>
      </w:r>
      <w:r>
        <w:rPr>
          <w:rFonts w:ascii="Arial" w:hAnsi="Arial"/>
          <w:i/>
          <w:sz w:val="22"/>
        </w:rPr>
        <w:t>sólo</w:t>
      </w:r>
      <w:r>
        <w:rPr>
          <w:rFonts w:ascii="Arial" w:hAnsi="Arial"/>
          <w:i/>
          <w:spacing w:val="-4"/>
          <w:sz w:val="22"/>
        </w:rPr>
        <w:t> </w:t>
      </w:r>
      <w:r>
        <w:rPr>
          <w:rFonts w:ascii="Arial" w:hAnsi="Arial"/>
          <w:i/>
          <w:sz w:val="22"/>
        </w:rPr>
        <w:t>tenga</w:t>
      </w:r>
      <w:r>
        <w:rPr>
          <w:rFonts w:ascii="Arial" w:hAnsi="Arial"/>
          <w:i/>
          <w:spacing w:val="-4"/>
          <w:sz w:val="22"/>
        </w:rPr>
        <w:t> </w:t>
      </w:r>
      <w:r>
        <w:rPr>
          <w:rFonts w:ascii="Arial" w:hAnsi="Arial"/>
          <w:i/>
          <w:sz w:val="22"/>
        </w:rPr>
        <w:t>en</w:t>
      </w:r>
      <w:r>
        <w:rPr>
          <w:rFonts w:ascii="Arial" w:hAnsi="Arial"/>
          <w:i/>
          <w:spacing w:val="-1"/>
          <w:sz w:val="22"/>
        </w:rPr>
        <w:t> </w:t>
      </w:r>
      <w:r>
        <w:rPr>
          <w:rFonts w:ascii="Arial" w:hAnsi="Arial"/>
          <w:i/>
          <w:sz w:val="22"/>
        </w:rPr>
        <w:t>la</w:t>
      </w:r>
      <w:r>
        <w:rPr>
          <w:rFonts w:ascii="Arial" w:hAnsi="Arial"/>
          <w:i/>
          <w:spacing w:val="-1"/>
          <w:sz w:val="22"/>
        </w:rPr>
        <w:t> </w:t>
      </w:r>
      <w:r>
        <w:rPr>
          <w:rFonts w:ascii="Arial" w:hAnsi="Arial"/>
          <w:i/>
          <w:sz w:val="22"/>
        </w:rPr>
        <w:t>práctica,</w:t>
      </w:r>
      <w:r>
        <w:rPr>
          <w:rFonts w:ascii="Arial" w:hAnsi="Arial"/>
          <w:i/>
          <w:spacing w:val="-2"/>
          <w:sz w:val="22"/>
        </w:rPr>
        <w:t> </w:t>
      </w:r>
      <w:r>
        <w:rPr>
          <w:rFonts w:ascii="Arial" w:hAnsi="Arial"/>
          <w:i/>
          <w:sz w:val="22"/>
        </w:rPr>
        <w:t>una</w:t>
      </w:r>
      <w:r>
        <w:rPr>
          <w:rFonts w:ascii="Arial" w:hAnsi="Arial"/>
          <w:i/>
          <w:spacing w:val="-1"/>
          <w:sz w:val="22"/>
        </w:rPr>
        <w:t> </w:t>
      </w:r>
      <w:r>
        <w:rPr>
          <w:rFonts w:ascii="Arial" w:hAnsi="Arial"/>
          <w:i/>
          <w:sz w:val="22"/>
        </w:rPr>
        <w:t>excepción, cual</w:t>
      </w:r>
      <w:r>
        <w:rPr>
          <w:rFonts w:ascii="Arial" w:hAnsi="Arial"/>
          <w:i/>
          <w:spacing w:val="-4"/>
          <w:sz w:val="22"/>
        </w:rPr>
        <w:t> </w:t>
      </w:r>
      <w:r>
        <w:rPr>
          <w:rFonts w:ascii="Arial" w:hAnsi="Arial"/>
          <w:i/>
          <w:sz w:val="22"/>
        </w:rPr>
        <w:t>es</w:t>
      </w:r>
      <w:r>
        <w:rPr>
          <w:rFonts w:ascii="Arial" w:hAnsi="Arial"/>
          <w:i/>
          <w:spacing w:val="-4"/>
          <w:sz w:val="22"/>
        </w:rPr>
        <w:t> </w:t>
      </w:r>
      <w:r>
        <w:rPr>
          <w:rFonts w:ascii="Arial" w:hAnsi="Arial"/>
          <w:i/>
          <w:sz w:val="22"/>
        </w:rPr>
        <w:t>la</w:t>
      </w:r>
      <w:r>
        <w:rPr>
          <w:rFonts w:ascii="Arial" w:hAnsi="Arial"/>
          <w:i/>
          <w:spacing w:val="-1"/>
          <w:sz w:val="22"/>
        </w:rPr>
        <w:t> </w:t>
      </w:r>
      <w:r>
        <w:rPr>
          <w:rFonts w:ascii="Arial" w:hAnsi="Arial"/>
          <w:i/>
          <w:sz w:val="22"/>
        </w:rPr>
        <w:t>referente a</w:t>
      </w:r>
      <w:r>
        <w:rPr>
          <w:rFonts w:ascii="Arial" w:hAnsi="Arial"/>
          <w:i/>
          <w:spacing w:val="30"/>
          <w:sz w:val="22"/>
        </w:rPr>
        <w:t> </w:t>
      </w:r>
      <w:r>
        <w:rPr>
          <w:rFonts w:ascii="Arial" w:hAnsi="Arial"/>
          <w:i/>
          <w:sz w:val="22"/>
        </w:rPr>
        <w:t>las</w:t>
      </w:r>
      <w:r>
        <w:rPr>
          <w:rFonts w:ascii="Arial" w:hAnsi="Arial"/>
          <w:i/>
          <w:spacing w:val="30"/>
          <w:sz w:val="22"/>
        </w:rPr>
        <w:t> </w:t>
      </w:r>
      <w:r>
        <w:rPr>
          <w:rFonts w:ascii="Arial" w:hAnsi="Arial"/>
          <w:i/>
          <w:sz w:val="22"/>
        </w:rPr>
        <w:t>tasas</w:t>
      </w:r>
      <w:r>
        <w:rPr>
          <w:rFonts w:ascii="Arial" w:hAnsi="Arial"/>
          <w:i/>
          <w:spacing w:val="31"/>
          <w:sz w:val="22"/>
        </w:rPr>
        <w:t> </w:t>
      </w:r>
      <w:r>
        <w:rPr>
          <w:rFonts w:ascii="Arial" w:hAnsi="Arial"/>
          <w:i/>
          <w:sz w:val="22"/>
        </w:rPr>
        <w:t>y</w:t>
      </w:r>
      <w:r>
        <w:rPr>
          <w:rFonts w:ascii="Arial" w:hAnsi="Arial"/>
          <w:i/>
          <w:spacing w:val="30"/>
          <w:sz w:val="22"/>
        </w:rPr>
        <w:t> </w:t>
      </w:r>
      <w:r>
        <w:rPr>
          <w:rFonts w:ascii="Arial" w:hAnsi="Arial"/>
          <w:i/>
          <w:sz w:val="22"/>
        </w:rPr>
        <w:t>recargos</w:t>
      </w:r>
      <w:r>
        <w:rPr>
          <w:rFonts w:ascii="Arial" w:hAnsi="Arial"/>
          <w:i/>
          <w:spacing w:val="29"/>
          <w:sz w:val="22"/>
        </w:rPr>
        <w:t> </w:t>
      </w:r>
      <w:r>
        <w:rPr>
          <w:rFonts w:ascii="Arial" w:hAnsi="Arial"/>
          <w:i/>
          <w:sz w:val="22"/>
        </w:rPr>
        <w:t>análogos,</w:t>
      </w:r>
      <w:r>
        <w:rPr>
          <w:rFonts w:ascii="Arial" w:hAnsi="Arial"/>
          <w:i/>
          <w:spacing w:val="33"/>
          <w:sz w:val="22"/>
        </w:rPr>
        <w:t> </w:t>
      </w:r>
      <w:r>
        <w:rPr>
          <w:rFonts w:ascii="Arial" w:hAnsi="Arial"/>
          <w:i/>
          <w:sz w:val="22"/>
        </w:rPr>
        <w:t>los</w:t>
      </w:r>
      <w:r>
        <w:rPr>
          <w:rFonts w:ascii="Arial" w:hAnsi="Arial"/>
          <w:i/>
          <w:spacing w:val="30"/>
          <w:sz w:val="22"/>
        </w:rPr>
        <w:t> </w:t>
      </w:r>
      <w:r>
        <w:rPr>
          <w:rFonts w:ascii="Arial" w:hAnsi="Arial"/>
          <w:i/>
          <w:sz w:val="22"/>
        </w:rPr>
        <w:t>cuales</w:t>
      </w:r>
      <w:r>
        <w:rPr>
          <w:rFonts w:ascii="Arial" w:hAnsi="Arial"/>
          <w:i/>
          <w:spacing w:val="31"/>
          <w:sz w:val="22"/>
        </w:rPr>
        <w:t> </w:t>
      </w:r>
      <w:r>
        <w:rPr>
          <w:rFonts w:ascii="Arial" w:hAnsi="Arial"/>
          <w:i/>
          <w:sz w:val="22"/>
        </w:rPr>
        <w:t>no</w:t>
      </w:r>
      <w:r>
        <w:rPr>
          <w:rFonts w:ascii="Arial" w:hAnsi="Arial"/>
          <w:i/>
          <w:spacing w:val="29"/>
          <w:sz w:val="22"/>
        </w:rPr>
        <w:t> </w:t>
      </w:r>
      <w:r>
        <w:rPr>
          <w:rFonts w:ascii="Arial" w:hAnsi="Arial"/>
          <w:i/>
          <w:sz w:val="22"/>
        </w:rPr>
        <w:t>quedan</w:t>
      </w:r>
      <w:r>
        <w:rPr>
          <w:rFonts w:ascii="Arial" w:hAnsi="Arial"/>
          <w:i/>
          <w:spacing w:val="30"/>
          <w:sz w:val="22"/>
        </w:rPr>
        <w:t> </w:t>
      </w:r>
      <w:r>
        <w:rPr>
          <w:rFonts w:ascii="Arial" w:hAnsi="Arial"/>
          <w:i/>
          <w:spacing w:val="-2"/>
          <w:sz w:val="22"/>
        </w:rPr>
        <w:t>comprendidos</w:t>
      </w:r>
    </w:p>
    <w:p>
      <w:pPr>
        <w:pStyle w:val="BodyText"/>
        <w:spacing w:before="142"/>
        <w:rPr>
          <w:rFonts w:ascii="Arial"/>
          <w:i/>
          <w:sz w:val="20"/>
        </w:rPr>
      </w:pPr>
      <w:r>
        <w:rPr>
          <w:rFonts w:ascii="Arial"/>
          <w:i/>
          <w:sz w:val="20"/>
        </w:rPr>
        <mc:AlternateContent>
          <mc:Choice Requires="wps">
            <w:drawing>
              <wp:anchor distT="0" distB="0" distL="0" distR="0" allowOverlap="1" layoutInCell="1" locked="0" behindDoc="1" simplePos="0" relativeHeight="487624704">
                <wp:simplePos x="0" y="0"/>
                <wp:positionH relativeFrom="page">
                  <wp:posOffset>990904</wp:posOffset>
                </wp:positionH>
                <wp:positionV relativeFrom="paragraph">
                  <wp:posOffset>251505</wp:posOffset>
                </wp:positionV>
                <wp:extent cx="1829435" cy="7620"/>
                <wp:effectExtent l="0" t="0" r="0" b="0"/>
                <wp:wrapTopAndBottom/>
                <wp:docPr id="337" name="Graphic 337"/>
                <wp:cNvGraphicFramePr>
                  <a:graphicFrameLocks/>
                </wp:cNvGraphicFramePr>
                <a:graphic>
                  <a:graphicData uri="http://schemas.microsoft.com/office/word/2010/wordprocessingShape">
                    <wps:wsp>
                      <wps:cNvPr id="337" name="Graphic 337"/>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9.803596pt;width:144.020pt;height:.599980pt;mso-position-horizontal-relative:page;mso-position-vertical-relative:paragraph;z-index:-15691776;mso-wrap-distance-left:0;mso-wrap-distance-right:0" id="docshape248" filled="true" fillcolor="#000000" stroked="false">
                <v:fill type="solid"/>
                <w10:wrap type="topAndBottom"/>
              </v:rect>
            </w:pict>
          </mc:Fallback>
        </mc:AlternateContent>
      </w:r>
    </w:p>
    <w:p>
      <w:pPr>
        <w:spacing w:before="92"/>
        <w:ind w:left="851" w:right="981" w:hanging="284"/>
        <w:jc w:val="both"/>
        <w:rPr>
          <w:sz w:val="16"/>
        </w:rPr>
      </w:pPr>
      <w:bookmarkStart w:name="_bookmark64" w:id="65"/>
      <w:bookmarkEnd w:id="65"/>
      <w:r>
        <w:rPr/>
      </w:r>
      <w:r>
        <w:rPr>
          <w:sz w:val="16"/>
          <w:vertAlign w:val="superscript"/>
        </w:rPr>
        <w:t>22</w:t>
      </w:r>
      <w:r>
        <w:rPr>
          <w:spacing w:val="80"/>
          <w:sz w:val="16"/>
          <w:vertAlign w:val="baseline"/>
        </w:rPr>
        <w:t> </w:t>
      </w:r>
      <w:r>
        <w:rPr>
          <w:sz w:val="16"/>
          <w:vertAlign w:val="baseline"/>
        </w:rPr>
        <w:t>Proceso</w:t>
      </w:r>
      <w:r>
        <w:rPr>
          <w:spacing w:val="-7"/>
          <w:sz w:val="16"/>
          <w:vertAlign w:val="baseline"/>
        </w:rPr>
        <w:t> </w:t>
      </w:r>
      <w:r>
        <w:rPr>
          <w:sz w:val="16"/>
          <w:vertAlign w:val="baseline"/>
        </w:rPr>
        <w:t>12-AN-99,</w:t>
      </w:r>
      <w:r>
        <w:rPr>
          <w:spacing w:val="-3"/>
          <w:sz w:val="16"/>
          <w:vertAlign w:val="baseline"/>
        </w:rPr>
        <w:t> </w:t>
      </w:r>
      <w:r>
        <w:rPr>
          <w:sz w:val="16"/>
          <w:vertAlign w:val="baseline"/>
        </w:rPr>
        <w:t>publicado</w:t>
      </w:r>
      <w:r>
        <w:rPr>
          <w:spacing w:val="-4"/>
          <w:sz w:val="16"/>
          <w:vertAlign w:val="baseline"/>
        </w:rPr>
        <w:t> </w:t>
      </w:r>
      <w:r>
        <w:rPr>
          <w:sz w:val="16"/>
          <w:vertAlign w:val="baseline"/>
        </w:rPr>
        <w:t>en</w:t>
      </w:r>
      <w:r>
        <w:rPr>
          <w:spacing w:val="-7"/>
          <w:sz w:val="16"/>
          <w:vertAlign w:val="baseline"/>
        </w:rPr>
        <w:t> </w:t>
      </w:r>
      <w:r>
        <w:rPr>
          <w:sz w:val="16"/>
          <w:vertAlign w:val="baseline"/>
        </w:rPr>
        <w:t>la</w:t>
      </w:r>
      <w:r>
        <w:rPr>
          <w:spacing w:val="-4"/>
          <w:sz w:val="16"/>
          <w:vertAlign w:val="baseline"/>
        </w:rPr>
        <w:t> </w:t>
      </w:r>
      <w:r>
        <w:rPr>
          <w:sz w:val="16"/>
          <w:vertAlign w:val="baseline"/>
        </w:rPr>
        <w:t>Gaceta</w:t>
      </w:r>
      <w:r>
        <w:rPr>
          <w:spacing w:val="-7"/>
          <w:sz w:val="16"/>
          <w:vertAlign w:val="baseline"/>
        </w:rPr>
        <w:t> </w:t>
      </w:r>
      <w:r>
        <w:rPr>
          <w:sz w:val="16"/>
          <w:vertAlign w:val="baseline"/>
        </w:rPr>
        <w:t>Oficial</w:t>
      </w:r>
      <w:r>
        <w:rPr>
          <w:spacing w:val="-3"/>
          <w:sz w:val="16"/>
          <w:vertAlign w:val="baseline"/>
        </w:rPr>
        <w:t> </w:t>
      </w:r>
      <w:r>
        <w:rPr>
          <w:sz w:val="16"/>
          <w:vertAlign w:val="baseline"/>
        </w:rPr>
        <w:t>del</w:t>
      </w:r>
      <w:r>
        <w:rPr>
          <w:spacing w:val="-6"/>
          <w:sz w:val="16"/>
          <w:vertAlign w:val="baseline"/>
        </w:rPr>
        <w:t> </w:t>
      </w:r>
      <w:r>
        <w:rPr>
          <w:sz w:val="16"/>
          <w:vertAlign w:val="baseline"/>
        </w:rPr>
        <w:t>Acuerdo</w:t>
      </w:r>
      <w:r>
        <w:rPr>
          <w:spacing w:val="-4"/>
          <w:sz w:val="16"/>
          <w:vertAlign w:val="baseline"/>
        </w:rPr>
        <w:t> </w:t>
      </w:r>
      <w:r>
        <w:rPr>
          <w:sz w:val="16"/>
          <w:vertAlign w:val="baseline"/>
        </w:rPr>
        <w:t>de</w:t>
      </w:r>
      <w:r>
        <w:rPr>
          <w:spacing w:val="-4"/>
          <w:sz w:val="16"/>
          <w:vertAlign w:val="baseline"/>
        </w:rPr>
        <w:t> </w:t>
      </w:r>
      <w:r>
        <w:rPr>
          <w:sz w:val="16"/>
          <w:vertAlign w:val="baseline"/>
        </w:rPr>
        <w:t>Cartagena</w:t>
      </w:r>
      <w:r>
        <w:rPr>
          <w:spacing w:val="-4"/>
          <w:sz w:val="16"/>
          <w:vertAlign w:val="baseline"/>
        </w:rPr>
        <w:t> </w:t>
      </w:r>
      <w:r>
        <w:rPr>
          <w:sz w:val="16"/>
          <w:vertAlign w:val="baseline"/>
        </w:rPr>
        <w:t>N°</w:t>
      </w:r>
      <w:r>
        <w:rPr>
          <w:spacing w:val="-3"/>
          <w:sz w:val="16"/>
          <w:vertAlign w:val="baseline"/>
        </w:rPr>
        <w:t> </w:t>
      </w:r>
      <w:r>
        <w:rPr>
          <w:sz w:val="16"/>
          <w:vertAlign w:val="baseline"/>
        </w:rPr>
        <w:t>520</w:t>
      </w:r>
      <w:r>
        <w:rPr>
          <w:spacing w:val="-4"/>
          <w:sz w:val="16"/>
          <w:vertAlign w:val="baseline"/>
        </w:rPr>
        <w:t> </w:t>
      </w:r>
      <w:r>
        <w:rPr>
          <w:sz w:val="16"/>
          <w:vertAlign w:val="baseline"/>
        </w:rPr>
        <w:t>del</w:t>
      </w:r>
      <w:r>
        <w:rPr>
          <w:spacing w:val="-3"/>
          <w:sz w:val="16"/>
          <w:vertAlign w:val="baseline"/>
        </w:rPr>
        <w:t> </w:t>
      </w:r>
      <w:r>
        <w:rPr>
          <w:sz w:val="16"/>
          <w:vertAlign w:val="baseline"/>
        </w:rPr>
        <w:t>20</w:t>
      </w:r>
      <w:r>
        <w:rPr>
          <w:spacing w:val="-7"/>
          <w:sz w:val="16"/>
          <w:vertAlign w:val="baseline"/>
        </w:rPr>
        <w:t> </w:t>
      </w:r>
      <w:r>
        <w:rPr>
          <w:sz w:val="16"/>
          <w:vertAlign w:val="baseline"/>
        </w:rPr>
        <w:t>de</w:t>
      </w:r>
      <w:r>
        <w:rPr>
          <w:spacing w:val="-4"/>
          <w:sz w:val="16"/>
          <w:vertAlign w:val="baseline"/>
        </w:rPr>
        <w:t> </w:t>
      </w:r>
      <w:r>
        <w:rPr>
          <w:sz w:val="16"/>
          <w:vertAlign w:val="baseline"/>
        </w:rPr>
        <w:t>diciembre</w:t>
      </w:r>
      <w:r>
        <w:rPr>
          <w:spacing w:val="-4"/>
          <w:sz w:val="16"/>
          <w:vertAlign w:val="baseline"/>
        </w:rPr>
        <w:t> </w:t>
      </w:r>
      <w:r>
        <w:rPr>
          <w:sz w:val="16"/>
          <w:vertAlign w:val="baseline"/>
        </w:rPr>
        <w:t>de</w:t>
      </w:r>
      <w:r>
        <w:rPr>
          <w:spacing w:val="-4"/>
          <w:sz w:val="16"/>
          <w:vertAlign w:val="baseline"/>
        </w:rPr>
        <w:t> </w:t>
      </w:r>
      <w:r>
        <w:rPr>
          <w:sz w:val="16"/>
          <w:vertAlign w:val="baseline"/>
        </w:rPr>
        <w:t>1999.</w:t>
      </w:r>
      <w:r>
        <w:rPr>
          <w:spacing w:val="-5"/>
          <w:sz w:val="16"/>
          <w:vertAlign w:val="baseline"/>
        </w:rPr>
        <w:t> </w:t>
      </w:r>
      <w:r>
        <w:rPr>
          <w:sz w:val="16"/>
          <w:vertAlign w:val="baseline"/>
        </w:rPr>
        <w:t>Acción</w:t>
      </w:r>
      <w:r>
        <w:rPr>
          <w:spacing w:val="-5"/>
          <w:sz w:val="16"/>
          <w:vertAlign w:val="baseline"/>
        </w:rPr>
        <w:t> </w:t>
      </w:r>
      <w:r>
        <w:rPr>
          <w:sz w:val="16"/>
          <w:vertAlign w:val="baseline"/>
        </w:rPr>
        <w:t>de Nulidad</w:t>
      </w:r>
      <w:r>
        <w:rPr>
          <w:spacing w:val="-2"/>
          <w:sz w:val="16"/>
          <w:vertAlign w:val="baseline"/>
        </w:rPr>
        <w:t> </w:t>
      </w:r>
      <w:r>
        <w:rPr>
          <w:sz w:val="16"/>
          <w:vertAlign w:val="baseline"/>
        </w:rPr>
        <w:t>interpuesta</w:t>
      </w:r>
      <w:r>
        <w:rPr>
          <w:spacing w:val="-5"/>
          <w:sz w:val="16"/>
          <w:vertAlign w:val="baseline"/>
        </w:rPr>
        <w:t> </w:t>
      </w:r>
      <w:r>
        <w:rPr>
          <w:sz w:val="16"/>
          <w:vertAlign w:val="baseline"/>
        </w:rPr>
        <w:t>por</w:t>
      </w:r>
      <w:r>
        <w:rPr>
          <w:spacing w:val="-2"/>
          <w:sz w:val="16"/>
          <w:vertAlign w:val="baseline"/>
        </w:rPr>
        <w:t> </w:t>
      </w:r>
      <w:r>
        <w:rPr>
          <w:sz w:val="16"/>
          <w:vertAlign w:val="baseline"/>
        </w:rPr>
        <w:t>la</w:t>
      </w:r>
      <w:r>
        <w:rPr>
          <w:spacing w:val="-2"/>
          <w:sz w:val="16"/>
          <w:vertAlign w:val="baseline"/>
        </w:rPr>
        <w:t> </w:t>
      </w:r>
      <w:r>
        <w:rPr>
          <w:sz w:val="16"/>
          <w:vertAlign w:val="baseline"/>
        </w:rPr>
        <w:t>Corporación</w:t>
      </w:r>
      <w:r>
        <w:rPr>
          <w:spacing w:val="-2"/>
          <w:sz w:val="16"/>
          <w:vertAlign w:val="baseline"/>
        </w:rPr>
        <w:t> </w:t>
      </w:r>
      <w:r>
        <w:rPr>
          <w:sz w:val="16"/>
          <w:vertAlign w:val="baseline"/>
        </w:rPr>
        <w:t>de</w:t>
      </w:r>
      <w:r>
        <w:rPr>
          <w:spacing w:val="-4"/>
          <w:sz w:val="16"/>
          <w:vertAlign w:val="baseline"/>
        </w:rPr>
        <w:t> </w:t>
      </w:r>
      <w:r>
        <w:rPr>
          <w:sz w:val="16"/>
          <w:vertAlign w:val="baseline"/>
        </w:rPr>
        <w:t>Promoción</w:t>
      </w:r>
      <w:r>
        <w:rPr>
          <w:spacing w:val="-5"/>
          <w:sz w:val="16"/>
          <w:vertAlign w:val="baseline"/>
        </w:rPr>
        <w:t> </w:t>
      </w:r>
      <w:r>
        <w:rPr>
          <w:sz w:val="16"/>
          <w:vertAlign w:val="baseline"/>
        </w:rPr>
        <w:t>de</w:t>
      </w:r>
      <w:r>
        <w:rPr>
          <w:spacing w:val="-2"/>
          <w:sz w:val="16"/>
          <w:vertAlign w:val="baseline"/>
        </w:rPr>
        <w:t> </w:t>
      </w:r>
      <w:r>
        <w:rPr>
          <w:sz w:val="16"/>
          <w:vertAlign w:val="baseline"/>
        </w:rPr>
        <w:t>Exportaciones e</w:t>
      </w:r>
      <w:r>
        <w:rPr>
          <w:spacing w:val="-2"/>
          <w:sz w:val="16"/>
          <w:vertAlign w:val="baseline"/>
        </w:rPr>
        <w:t> </w:t>
      </w:r>
      <w:r>
        <w:rPr>
          <w:sz w:val="16"/>
          <w:vertAlign w:val="baseline"/>
        </w:rPr>
        <w:t>Inversiones (CORPEI)</w:t>
      </w:r>
      <w:r>
        <w:rPr>
          <w:spacing w:val="-4"/>
          <w:sz w:val="16"/>
          <w:vertAlign w:val="baseline"/>
        </w:rPr>
        <w:t> </w:t>
      </w:r>
      <w:r>
        <w:rPr>
          <w:sz w:val="16"/>
          <w:vertAlign w:val="baseline"/>
        </w:rPr>
        <w:t>contra</w:t>
      </w:r>
      <w:r>
        <w:rPr>
          <w:spacing w:val="-5"/>
          <w:sz w:val="16"/>
          <w:vertAlign w:val="baseline"/>
        </w:rPr>
        <w:t> </w:t>
      </w:r>
      <w:r>
        <w:rPr>
          <w:sz w:val="16"/>
          <w:vertAlign w:val="baseline"/>
        </w:rPr>
        <w:t>las</w:t>
      </w:r>
      <w:r>
        <w:rPr>
          <w:spacing w:val="-1"/>
          <w:sz w:val="16"/>
          <w:vertAlign w:val="baseline"/>
        </w:rPr>
        <w:t> </w:t>
      </w:r>
      <w:r>
        <w:rPr>
          <w:sz w:val="16"/>
          <w:vertAlign w:val="baseline"/>
        </w:rPr>
        <w:t>Resoluciones N° 139</w:t>
      </w:r>
      <w:r>
        <w:rPr>
          <w:spacing w:val="11"/>
          <w:sz w:val="16"/>
          <w:vertAlign w:val="baseline"/>
        </w:rPr>
        <w:t> </w:t>
      </w:r>
      <w:r>
        <w:rPr>
          <w:sz w:val="16"/>
          <w:vertAlign w:val="baseline"/>
        </w:rPr>
        <w:t>del</w:t>
      </w:r>
      <w:r>
        <w:rPr>
          <w:spacing w:val="12"/>
          <w:sz w:val="16"/>
          <w:vertAlign w:val="baseline"/>
        </w:rPr>
        <w:t> </w:t>
      </w:r>
      <w:r>
        <w:rPr>
          <w:sz w:val="16"/>
          <w:vertAlign w:val="baseline"/>
        </w:rPr>
        <w:t>14 de</w:t>
      </w:r>
      <w:r>
        <w:rPr>
          <w:spacing w:val="11"/>
          <w:sz w:val="16"/>
          <w:vertAlign w:val="baseline"/>
        </w:rPr>
        <w:t> </w:t>
      </w:r>
      <w:r>
        <w:rPr>
          <w:sz w:val="16"/>
          <w:vertAlign w:val="baseline"/>
        </w:rPr>
        <w:t>octubre</w:t>
      </w:r>
      <w:r>
        <w:rPr>
          <w:spacing w:val="11"/>
          <w:sz w:val="16"/>
          <w:vertAlign w:val="baseline"/>
        </w:rPr>
        <w:t> </w:t>
      </w:r>
      <w:r>
        <w:rPr>
          <w:sz w:val="16"/>
          <w:vertAlign w:val="baseline"/>
        </w:rPr>
        <w:t>de 1998 y N°</w:t>
      </w:r>
      <w:r>
        <w:rPr>
          <w:spacing w:val="12"/>
          <w:sz w:val="16"/>
          <w:vertAlign w:val="baseline"/>
        </w:rPr>
        <w:t> </w:t>
      </w:r>
      <w:r>
        <w:rPr>
          <w:sz w:val="16"/>
          <w:vertAlign w:val="baseline"/>
        </w:rPr>
        <w:t>179</w:t>
      </w:r>
      <w:r>
        <w:rPr>
          <w:spacing w:val="11"/>
          <w:sz w:val="16"/>
          <w:vertAlign w:val="baseline"/>
        </w:rPr>
        <w:t> </w:t>
      </w:r>
      <w:r>
        <w:rPr>
          <w:sz w:val="16"/>
          <w:vertAlign w:val="baseline"/>
        </w:rPr>
        <w:t>del</w:t>
      </w:r>
      <w:r>
        <w:rPr>
          <w:spacing w:val="9"/>
          <w:sz w:val="16"/>
          <w:vertAlign w:val="baseline"/>
        </w:rPr>
        <w:t> </w:t>
      </w:r>
      <w:r>
        <w:rPr>
          <w:sz w:val="16"/>
          <w:vertAlign w:val="baseline"/>
        </w:rPr>
        <w:t>14 de</w:t>
      </w:r>
      <w:r>
        <w:rPr>
          <w:spacing w:val="11"/>
          <w:sz w:val="16"/>
          <w:vertAlign w:val="baseline"/>
        </w:rPr>
        <w:t> </w:t>
      </w:r>
      <w:r>
        <w:rPr>
          <w:sz w:val="16"/>
          <w:vertAlign w:val="baseline"/>
        </w:rPr>
        <w:t>enero</w:t>
      </w:r>
      <w:r>
        <w:rPr>
          <w:spacing w:val="11"/>
          <w:sz w:val="16"/>
          <w:vertAlign w:val="baseline"/>
        </w:rPr>
        <w:t> </w:t>
      </w:r>
      <w:r>
        <w:rPr>
          <w:sz w:val="16"/>
          <w:vertAlign w:val="baseline"/>
        </w:rPr>
        <w:t>de 1999, expedidas</w:t>
      </w:r>
      <w:r>
        <w:rPr>
          <w:spacing w:val="10"/>
          <w:sz w:val="16"/>
          <w:vertAlign w:val="baseline"/>
        </w:rPr>
        <w:t> </w:t>
      </w:r>
      <w:r>
        <w:rPr>
          <w:sz w:val="16"/>
          <w:vertAlign w:val="baseline"/>
        </w:rPr>
        <w:t>por</w:t>
      </w:r>
      <w:r>
        <w:rPr>
          <w:spacing w:val="11"/>
          <w:sz w:val="16"/>
          <w:vertAlign w:val="baseline"/>
        </w:rPr>
        <w:t> </w:t>
      </w:r>
      <w:r>
        <w:rPr>
          <w:sz w:val="16"/>
          <w:vertAlign w:val="baseline"/>
        </w:rPr>
        <w:t>la</w:t>
      </w:r>
      <w:r>
        <w:rPr>
          <w:spacing w:val="9"/>
          <w:sz w:val="16"/>
          <w:vertAlign w:val="baseline"/>
        </w:rPr>
        <w:t> </w:t>
      </w:r>
      <w:r>
        <w:rPr>
          <w:sz w:val="16"/>
          <w:vertAlign w:val="baseline"/>
        </w:rPr>
        <w:t>Secretaría General</w:t>
      </w:r>
      <w:r>
        <w:rPr>
          <w:spacing w:val="12"/>
          <w:sz w:val="16"/>
          <w:vertAlign w:val="baseline"/>
        </w:rPr>
        <w:t> </w:t>
      </w:r>
      <w:r>
        <w:rPr>
          <w:sz w:val="16"/>
          <w:vertAlign w:val="baseline"/>
        </w:rPr>
        <w:t>de</w:t>
      </w:r>
      <w:r>
        <w:rPr>
          <w:spacing w:val="11"/>
          <w:sz w:val="16"/>
          <w:vertAlign w:val="baseline"/>
        </w:rPr>
        <w:t> </w:t>
      </w:r>
      <w:r>
        <w:rPr>
          <w:sz w:val="16"/>
          <w:vertAlign w:val="baseline"/>
        </w:rPr>
        <w:t>la</w:t>
      </w:r>
      <w:r>
        <w:rPr>
          <w:spacing w:val="9"/>
          <w:sz w:val="16"/>
          <w:vertAlign w:val="baseline"/>
        </w:rPr>
        <w:t> </w:t>
      </w:r>
      <w:r>
        <w:rPr>
          <w:sz w:val="16"/>
          <w:vertAlign w:val="baseline"/>
        </w:rPr>
        <w:t>Comunidad</w:t>
      </w:r>
    </w:p>
    <w:p>
      <w:pPr>
        <w:tabs>
          <w:tab w:pos="851" w:val="left" w:leader="none"/>
          <w:tab w:pos="9816" w:val="left" w:leader="none"/>
        </w:tabs>
        <w:spacing w:before="0"/>
        <w:ind w:left="160" w:right="0" w:firstLine="0"/>
        <w:jc w:val="left"/>
        <w:rPr>
          <w:sz w:val="16"/>
        </w:rPr>
      </w:pPr>
      <w:r>
        <w:rPr>
          <w:sz w:val="16"/>
          <w:u w:val="single"/>
        </w:rPr>
        <w:tab/>
      </w:r>
      <w:r>
        <w:rPr>
          <w:spacing w:val="-2"/>
          <w:sz w:val="16"/>
          <w:u w:val="single"/>
        </w:rPr>
        <w:t>Andina.</w:t>
      </w:r>
      <w:r>
        <w:rPr>
          <w:sz w:val="16"/>
          <w:u w:val="single"/>
        </w:rPr>
        <w:tab/>
      </w:r>
    </w:p>
    <w:p>
      <w:pPr>
        <w:spacing w:after="0"/>
        <w:jc w:val="left"/>
        <w:rPr>
          <w:sz w:val="16"/>
        </w:rPr>
        <w:sectPr>
          <w:pgSz w:w="11900" w:h="16850"/>
          <w:pgMar w:header="370" w:footer="597" w:top="1380" w:bottom="780" w:left="992" w:right="283"/>
        </w:sectPr>
      </w:pPr>
    </w:p>
    <w:p>
      <w:pPr>
        <w:pStyle w:val="BodyText"/>
        <w:spacing w:before="176"/>
      </w:pPr>
    </w:p>
    <w:p>
      <w:pPr>
        <w:spacing w:before="0"/>
        <w:ind w:left="2270" w:right="1260" w:firstLine="0"/>
        <w:jc w:val="both"/>
        <w:rPr>
          <w:sz w:val="22"/>
        </w:rPr>
      </w:pPr>
      <w:r>
        <w:rPr>
          <w:rFonts w:ascii="Arial" w:hAnsi="Arial"/>
          <w:i/>
          <w:sz w:val="22"/>
        </w:rPr>
        <w:t>dentro de dicho concepto pero con la condición ineluctable de que tales tasas o</w:t>
      </w:r>
      <w:r>
        <w:rPr>
          <w:rFonts w:ascii="Arial" w:hAnsi="Arial"/>
          <w:i/>
          <w:spacing w:val="-3"/>
          <w:sz w:val="22"/>
        </w:rPr>
        <w:t> </w:t>
      </w:r>
      <w:r>
        <w:rPr>
          <w:rFonts w:ascii="Arial" w:hAnsi="Arial"/>
          <w:i/>
          <w:sz w:val="22"/>
        </w:rPr>
        <w:t>recargos correspondan al</w:t>
      </w:r>
      <w:r>
        <w:rPr>
          <w:rFonts w:ascii="Arial" w:hAnsi="Arial"/>
          <w:i/>
          <w:spacing w:val="-2"/>
          <w:sz w:val="22"/>
        </w:rPr>
        <w:t> </w:t>
      </w:r>
      <w:r>
        <w:rPr>
          <w:rFonts w:ascii="Arial" w:hAnsi="Arial"/>
          <w:i/>
          <w:sz w:val="22"/>
        </w:rPr>
        <w:t>costo aproximado</w:t>
      </w:r>
      <w:r>
        <w:rPr>
          <w:rFonts w:ascii="Arial" w:hAnsi="Arial"/>
          <w:i/>
          <w:spacing w:val="-1"/>
          <w:sz w:val="22"/>
        </w:rPr>
        <w:t> </w:t>
      </w:r>
      <w:r>
        <w:rPr>
          <w:rFonts w:ascii="Arial" w:hAnsi="Arial"/>
          <w:i/>
          <w:sz w:val="22"/>
        </w:rPr>
        <w:t>de</w:t>
      </w:r>
      <w:r>
        <w:rPr>
          <w:rFonts w:ascii="Arial" w:hAnsi="Arial"/>
          <w:i/>
          <w:spacing w:val="-1"/>
          <w:sz w:val="22"/>
        </w:rPr>
        <w:t> </w:t>
      </w:r>
      <w:r>
        <w:rPr>
          <w:rFonts w:ascii="Arial" w:hAnsi="Arial"/>
          <w:i/>
          <w:sz w:val="22"/>
        </w:rPr>
        <w:t>los servicios que se le prestan al importador, en relación con el hecho mismo de la importación. </w:t>
      </w:r>
      <w:r>
        <w:rPr>
          <w:rFonts w:ascii="Arial" w:hAnsi="Arial"/>
          <w:i/>
          <w:sz w:val="22"/>
          <w:u w:val="single"/>
        </w:rPr>
        <w:t>Se trata, de que los Países Miembros puedan</w:t>
      </w:r>
      <w:r>
        <w:rPr>
          <w:rFonts w:ascii="Arial" w:hAnsi="Arial"/>
          <w:i/>
          <w:sz w:val="22"/>
        </w:rPr>
        <w:t> </w:t>
      </w:r>
      <w:r>
        <w:rPr>
          <w:rFonts w:ascii="Arial" w:hAnsi="Arial"/>
          <w:i/>
          <w:sz w:val="22"/>
          <w:u w:val="single"/>
        </w:rPr>
        <w:t>razonablemente recuperar a través de este mecanismo los costos que</w:t>
      </w:r>
      <w:r>
        <w:rPr>
          <w:rFonts w:ascii="Arial" w:hAnsi="Arial"/>
          <w:i/>
          <w:sz w:val="22"/>
        </w:rPr>
        <w:t> </w:t>
      </w:r>
      <w:r>
        <w:rPr>
          <w:rFonts w:ascii="Arial" w:hAnsi="Arial"/>
          <w:i/>
          <w:sz w:val="22"/>
          <w:u w:val="single"/>
        </w:rPr>
        <w:t>asumen al facilitar las operaciones de importación mediante el concurso</w:t>
      </w:r>
      <w:r>
        <w:rPr>
          <w:rFonts w:ascii="Arial" w:hAnsi="Arial"/>
          <w:i/>
          <w:sz w:val="22"/>
        </w:rPr>
        <w:t> </w:t>
      </w:r>
      <w:r>
        <w:rPr>
          <w:rFonts w:ascii="Arial" w:hAnsi="Arial"/>
          <w:i/>
          <w:sz w:val="22"/>
          <w:u w:val="single"/>
        </w:rPr>
        <w:t>de su infraestructura física y administrativa</w:t>
      </w:r>
      <w:r>
        <w:rPr>
          <w:rFonts w:ascii="Arial" w:hAnsi="Arial"/>
          <w:i/>
          <w:sz w:val="22"/>
        </w:rPr>
        <w:t>. (…)” </w:t>
      </w:r>
      <w:r>
        <w:rPr>
          <w:sz w:val="22"/>
        </w:rPr>
        <w:t>[énfasis añadido]</w:t>
      </w:r>
    </w:p>
    <w:p>
      <w:pPr>
        <w:pStyle w:val="BodyText"/>
      </w:pPr>
    </w:p>
    <w:p>
      <w:pPr>
        <w:pStyle w:val="BodyText"/>
        <w:spacing w:before="78"/>
      </w:pPr>
    </w:p>
    <w:p>
      <w:pPr>
        <w:pStyle w:val="ListParagraph"/>
        <w:numPr>
          <w:ilvl w:val="0"/>
          <w:numId w:val="11"/>
        </w:numPr>
        <w:tabs>
          <w:tab w:pos="1130" w:val="left" w:leader="none"/>
          <w:tab w:pos="1134" w:val="left" w:leader="none"/>
        </w:tabs>
        <w:spacing w:line="240" w:lineRule="auto" w:before="0" w:after="0"/>
        <w:ind w:left="1134" w:right="978" w:hanging="567"/>
        <w:jc w:val="both"/>
        <w:rPr>
          <w:rFonts w:ascii="Arial" w:hAnsi="Arial"/>
          <w:b/>
          <w:sz w:val="22"/>
        </w:rPr>
      </w:pPr>
      <w:r>
        <w:rPr>
          <w:sz w:val="22"/>
        </w:rPr>
        <w:t>Como</w:t>
      </w:r>
      <w:r>
        <w:rPr>
          <w:spacing w:val="-11"/>
          <w:sz w:val="22"/>
        </w:rPr>
        <w:t> </w:t>
      </w:r>
      <w:r>
        <w:rPr>
          <w:sz w:val="22"/>
        </w:rPr>
        <w:t>se</w:t>
      </w:r>
      <w:r>
        <w:rPr>
          <w:spacing w:val="-14"/>
          <w:sz w:val="22"/>
        </w:rPr>
        <w:t> </w:t>
      </w:r>
      <w:r>
        <w:rPr>
          <w:sz w:val="22"/>
        </w:rPr>
        <w:t>aprecia,</w:t>
      </w:r>
      <w:r>
        <w:rPr>
          <w:spacing w:val="-10"/>
          <w:sz w:val="22"/>
        </w:rPr>
        <w:t> </w:t>
      </w:r>
      <w:r>
        <w:rPr>
          <w:sz w:val="22"/>
        </w:rPr>
        <w:t>el</w:t>
      </w:r>
      <w:r>
        <w:rPr>
          <w:spacing w:val="-12"/>
          <w:sz w:val="22"/>
        </w:rPr>
        <w:t> </w:t>
      </w:r>
      <w:r>
        <w:rPr>
          <w:sz w:val="22"/>
        </w:rPr>
        <w:t>TJCAN</w:t>
      </w:r>
      <w:r>
        <w:rPr>
          <w:spacing w:val="-12"/>
          <w:sz w:val="22"/>
        </w:rPr>
        <w:t> </w:t>
      </w:r>
      <w:r>
        <w:rPr>
          <w:sz w:val="22"/>
        </w:rPr>
        <w:t>considera</w:t>
      </w:r>
      <w:r>
        <w:rPr>
          <w:spacing w:val="-14"/>
          <w:sz w:val="22"/>
        </w:rPr>
        <w:t> </w:t>
      </w:r>
      <w:r>
        <w:rPr>
          <w:sz w:val="22"/>
        </w:rPr>
        <w:t>razonable</w:t>
      </w:r>
      <w:r>
        <w:rPr>
          <w:spacing w:val="-14"/>
          <w:sz w:val="22"/>
        </w:rPr>
        <w:t> </w:t>
      </w:r>
      <w:r>
        <w:rPr>
          <w:sz w:val="22"/>
        </w:rPr>
        <w:t>que</w:t>
      </w:r>
      <w:r>
        <w:rPr>
          <w:spacing w:val="-11"/>
          <w:sz w:val="22"/>
        </w:rPr>
        <w:t> </w:t>
      </w:r>
      <w:r>
        <w:rPr>
          <w:sz w:val="22"/>
        </w:rPr>
        <w:t>los</w:t>
      </w:r>
      <w:r>
        <w:rPr>
          <w:spacing w:val="-11"/>
          <w:sz w:val="22"/>
        </w:rPr>
        <w:t> </w:t>
      </w:r>
      <w:r>
        <w:rPr>
          <w:sz w:val="22"/>
        </w:rPr>
        <w:t>Países</w:t>
      </w:r>
      <w:r>
        <w:rPr>
          <w:spacing w:val="-13"/>
          <w:sz w:val="22"/>
        </w:rPr>
        <w:t> </w:t>
      </w:r>
      <w:r>
        <w:rPr>
          <w:sz w:val="22"/>
        </w:rPr>
        <w:t>Miembros</w:t>
      </w:r>
      <w:r>
        <w:rPr>
          <w:spacing w:val="-14"/>
          <w:sz w:val="22"/>
        </w:rPr>
        <w:t> </w:t>
      </w:r>
      <w:r>
        <w:rPr>
          <w:sz w:val="22"/>
        </w:rPr>
        <w:t>cobren</w:t>
      </w:r>
      <w:r>
        <w:rPr>
          <w:spacing w:val="-14"/>
          <w:sz w:val="22"/>
        </w:rPr>
        <w:t> </w:t>
      </w:r>
      <w:r>
        <w:rPr>
          <w:sz w:val="22"/>
        </w:rPr>
        <w:t>tasas por aquellos </w:t>
      </w:r>
      <w:r>
        <w:rPr>
          <w:rFonts w:ascii="Arial" w:hAnsi="Arial"/>
          <w:b/>
          <w:sz w:val="22"/>
          <w:u w:val="single"/>
        </w:rPr>
        <w:t>servicios prestados </w:t>
      </w:r>
      <w:r>
        <w:rPr>
          <w:sz w:val="22"/>
          <w:u w:val="single"/>
        </w:rPr>
        <w:t>al importador siempre que correspondan a</w:t>
      </w:r>
      <w:r>
        <w:rPr>
          <w:sz w:val="22"/>
        </w:rPr>
        <w:t> </w:t>
      </w:r>
      <w:r>
        <w:rPr>
          <w:sz w:val="22"/>
          <w:u w:val="thick"/>
        </w:rPr>
        <w:t>actividades que se</w:t>
      </w:r>
      <w:r>
        <w:rPr>
          <w:spacing w:val="-2"/>
          <w:sz w:val="22"/>
          <w:u w:val="thick"/>
        </w:rPr>
        <w:t> </w:t>
      </w:r>
      <w:r>
        <w:rPr>
          <w:sz w:val="22"/>
          <w:u w:val="thick"/>
        </w:rPr>
        <w:t>hayan implementado </w:t>
      </w:r>
      <w:r>
        <w:rPr>
          <w:rFonts w:ascii="Arial" w:hAnsi="Arial"/>
          <w:b/>
          <w:sz w:val="22"/>
          <w:u w:val="thick"/>
        </w:rPr>
        <w:t>con</w:t>
      </w:r>
      <w:r>
        <w:rPr>
          <w:rFonts w:ascii="Arial" w:hAnsi="Arial"/>
          <w:b/>
          <w:spacing w:val="-2"/>
          <w:sz w:val="22"/>
          <w:u w:val="thick"/>
        </w:rPr>
        <w:t> </w:t>
      </w:r>
      <w:r>
        <w:rPr>
          <w:rFonts w:ascii="Arial" w:hAnsi="Arial"/>
          <w:b/>
          <w:sz w:val="22"/>
          <w:u w:val="thick"/>
        </w:rPr>
        <w:t>la</w:t>
      </w:r>
      <w:r>
        <w:rPr>
          <w:rFonts w:ascii="Arial" w:hAnsi="Arial"/>
          <w:b/>
          <w:spacing w:val="-2"/>
          <w:sz w:val="22"/>
          <w:u w:val="thick"/>
        </w:rPr>
        <w:t> </w:t>
      </w:r>
      <w:r>
        <w:rPr>
          <w:rFonts w:ascii="Arial" w:hAnsi="Arial"/>
          <w:b/>
          <w:sz w:val="22"/>
          <w:u w:val="thick"/>
        </w:rPr>
        <w:t>finalidad de</w:t>
      </w:r>
      <w:r>
        <w:rPr>
          <w:rFonts w:ascii="Arial" w:hAnsi="Arial"/>
          <w:b/>
          <w:spacing w:val="-2"/>
          <w:sz w:val="22"/>
          <w:u w:val="thick"/>
        </w:rPr>
        <w:t> </w:t>
      </w:r>
      <w:r>
        <w:rPr>
          <w:rFonts w:ascii="Arial" w:hAnsi="Arial"/>
          <w:b/>
          <w:sz w:val="22"/>
          <w:u w:val="thick"/>
        </w:rPr>
        <w:t>facilitar</w:t>
      </w:r>
      <w:r>
        <w:rPr>
          <w:rFonts w:ascii="Arial" w:hAnsi="Arial"/>
          <w:b/>
          <w:spacing w:val="-1"/>
          <w:sz w:val="22"/>
          <w:u w:val="thick"/>
        </w:rPr>
        <w:t> </w:t>
      </w:r>
      <w:r>
        <w:rPr>
          <w:rFonts w:ascii="Arial" w:hAnsi="Arial"/>
          <w:b/>
          <w:sz w:val="22"/>
          <w:u w:val="thick"/>
        </w:rPr>
        <w:t>las</w:t>
      </w:r>
      <w:r>
        <w:rPr>
          <w:rFonts w:ascii="Arial" w:hAnsi="Arial"/>
          <w:b/>
          <w:spacing w:val="-4"/>
          <w:sz w:val="22"/>
          <w:u w:val="thick"/>
        </w:rPr>
        <w:t> </w:t>
      </w:r>
      <w:r>
        <w:rPr>
          <w:rFonts w:ascii="Arial" w:hAnsi="Arial"/>
          <w:b/>
          <w:sz w:val="22"/>
          <w:u w:val="thick"/>
        </w:rPr>
        <w:t>operaciones</w:t>
      </w:r>
      <w:r>
        <w:rPr>
          <w:rFonts w:ascii="Arial" w:hAnsi="Arial"/>
          <w:b/>
          <w:sz w:val="22"/>
        </w:rPr>
        <w:t> </w:t>
      </w:r>
      <w:r>
        <w:rPr>
          <w:rFonts w:ascii="Arial" w:hAnsi="Arial"/>
          <w:b/>
          <w:sz w:val="22"/>
          <w:u w:val="single"/>
        </w:rPr>
        <w:t>de importación.</w:t>
      </w:r>
    </w:p>
    <w:p>
      <w:pPr>
        <w:pStyle w:val="BodyText"/>
        <w:rPr>
          <w:rFonts w:ascii="Arial"/>
          <w:b/>
        </w:rPr>
      </w:pPr>
    </w:p>
    <w:p>
      <w:pPr>
        <w:pStyle w:val="Heading5"/>
        <w:numPr>
          <w:ilvl w:val="1"/>
          <w:numId w:val="10"/>
        </w:numPr>
        <w:tabs>
          <w:tab w:pos="431" w:val="left" w:leader="none"/>
        </w:tabs>
        <w:spacing w:line="240" w:lineRule="auto" w:before="0" w:after="0"/>
        <w:ind w:left="431" w:right="1992" w:hanging="431"/>
        <w:jc w:val="right"/>
      </w:pPr>
      <w:r>
        <w:rPr/>
        <w:t>SOBRE</w:t>
      </w:r>
      <w:r>
        <w:rPr>
          <w:spacing w:val="-7"/>
        </w:rPr>
        <w:t> </w:t>
      </w:r>
      <w:r>
        <w:rPr/>
        <w:t>LA</w:t>
      </w:r>
      <w:r>
        <w:rPr>
          <w:spacing w:val="-6"/>
        </w:rPr>
        <w:t> </w:t>
      </w:r>
      <w:r>
        <w:rPr/>
        <w:t>CALIFICACIÓN</w:t>
      </w:r>
      <w:r>
        <w:rPr>
          <w:spacing w:val="-5"/>
        </w:rPr>
        <w:t> </w:t>
      </w:r>
      <w:r>
        <w:rPr/>
        <w:t>DE</w:t>
      </w:r>
      <w:r>
        <w:rPr>
          <w:spacing w:val="-5"/>
        </w:rPr>
        <w:t> </w:t>
      </w:r>
      <w:r>
        <w:rPr/>
        <w:t>LA</w:t>
      </w:r>
      <w:r>
        <w:rPr>
          <w:spacing w:val="-7"/>
        </w:rPr>
        <w:t> </w:t>
      </w:r>
      <w:r>
        <w:rPr/>
        <w:t>TSCA</w:t>
      </w:r>
      <w:r>
        <w:rPr>
          <w:spacing w:val="-5"/>
        </w:rPr>
        <w:t> </w:t>
      </w:r>
      <w:r>
        <w:rPr/>
        <w:t>COMO</w:t>
      </w:r>
      <w:r>
        <w:rPr>
          <w:spacing w:val="-3"/>
        </w:rPr>
        <w:t> </w:t>
      </w:r>
      <w:r>
        <w:rPr/>
        <w:t>POSIBLE</w:t>
      </w:r>
      <w:r>
        <w:rPr>
          <w:spacing w:val="-7"/>
        </w:rPr>
        <w:t> </w:t>
      </w:r>
      <w:r>
        <w:rPr>
          <w:spacing w:val="-2"/>
        </w:rPr>
        <w:t>GRAVAMEN</w:t>
      </w:r>
    </w:p>
    <w:p>
      <w:pPr>
        <w:pStyle w:val="BodyText"/>
        <w:spacing w:before="1"/>
        <w:rPr>
          <w:rFonts w:ascii="Arial"/>
          <w:b/>
        </w:rPr>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Como</w:t>
      </w:r>
      <w:r>
        <w:rPr>
          <w:spacing w:val="-5"/>
          <w:sz w:val="22"/>
        </w:rPr>
        <w:t> </w:t>
      </w:r>
      <w:r>
        <w:rPr>
          <w:sz w:val="22"/>
        </w:rPr>
        <w:t>ha</w:t>
      </w:r>
      <w:r>
        <w:rPr>
          <w:spacing w:val="-5"/>
          <w:sz w:val="22"/>
        </w:rPr>
        <w:t> </w:t>
      </w:r>
      <w:r>
        <w:rPr>
          <w:sz w:val="22"/>
        </w:rPr>
        <w:t>sido</w:t>
      </w:r>
      <w:r>
        <w:rPr>
          <w:spacing w:val="-8"/>
          <w:sz w:val="22"/>
        </w:rPr>
        <w:t> </w:t>
      </w:r>
      <w:r>
        <w:rPr>
          <w:sz w:val="22"/>
        </w:rPr>
        <w:t>mencionado</w:t>
      </w:r>
      <w:r>
        <w:rPr>
          <w:spacing w:val="-5"/>
          <w:sz w:val="22"/>
        </w:rPr>
        <w:t> </w:t>
      </w:r>
      <w:r>
        <w:rPr>
          <w:sz w:val="22"/>
        </w:rPr>
        <w:t>anteriormente,</w:t>
      </w:r>
      <w:r>
        <w:rPr>
          <w:spacing w:val="-6"/>
          <w:sz w:val="22"/>
        </w:rPr>
        <w:t> </w:t>
      </w:r>
      <w:r>
        <w:rPr>
          <w:sz w:val="22"/>
        </w:rPr>
        <w:t>la</w:t>
      </w:r>
      <w:r>
        <w:rPr>
          <w:spacing w:val="-5"/>
          <w:sz w:val="22"/>
        </w:rPr>
        <w:t> </w:t>
      </w:r>
      <w:r>
        <w:rPr>
          <w:sz w:val="22"/>
        </w:rPr>
        <w:t>SGCAN</w:t>
      </w:r>
      <w:r>
        <w:rPr>
          <w:spacing w:val="-6"/>
          <w:sz w:val="22"/>
        </w:rPr>
        <w:t> </w:t>
      </w:r>
      <w:r>
        <w:rPr>
          <w:sz w:val="22"/>
        </w:rPr>
        <w:t>ha</w:t>
      </w:r>
      <w:r>
        <w:rPr>
          <w:spacing w:val="-5"/>
          <w:sz w:val="22"/>
        </w:rPr>
        <w:t> </w:t>
      </w:r>
      <w:r>
        <w:rPr>
          <w:sz w:val="22"/>
        </w:rPr>
        <w:t>recogido</w:t>
      </w:r>
      <w:r>
        <w:rPr>
          <w:spacing w:val="-5"/>
          <w:sz w:val="22"/>
        </w:rPr>
        <w:t> </w:t>
      </w:r>
      <w:r>
        <w:rPr>
          <w:sz w:val="22"/>
        </w:rPr>
        <w:t>los</w:t>
      </w:r>
      <w:r>
        <w:rPr>
          <w:spacing w:val="-5"/>
          <w:sz w:val="22"/>
        </w:rPr>
        <w:t> </w:t>
      </w:r>
      <w:r>
        <w:rPr>
          <w:sz w:val="22"/>
        </w:rPr>
        <w:t>pronunciamientos del TJCAN en su Resolución 1999, al sintetizar dos requisitos acumulativos para que una tasa, no sea considerada dentro del concepto de gravamen:</w:t>
      </w:r>
    </w:p>
    <w:p>
      <w:pPr>
        <w:pStyle w:val="BodyText"/>
        <w:spacing w:before="2"/>
      </w:pPr>
    </w:p>
    <w:p>
      <w:pPr>
        <w:pStyle w:val="ListParagraph"/>
        <w:numPr>
          <w:ilvl w:val="0"/>
          <w:numId w:val="19"/>
        </w:numPr>
        <w:tabs>
          <w:tab w:pos="2553" w:val="left" w:leader="none"/>
        </w:tabs>
        <w:spacing w:line="237" w:lineRule="auto" w:before="0" w:after="0"/>
        <w:ind w:left="2553" w:right="978" w:hanging="361"/>
        <w:jc w:val="left"/>
        <w:rPr>
          <w:sz w:val="22"/>
        </w:rPr>
      </w:pPr>
      <w:r>
        <w:rPr>
          <w:sz w:val="22"/>
        </w:rPr>
        <w:t>Que</w:t>
      </w:r>
      <w:r>
        <w:rPr>
          <w:spacing w:val="80"/>
          <w:sz w:val="22"/>
        </w:rPr>
        <w:t> </w:t>
      </w:r>
      <w:r>
        <w:rPr>
          <w:sz w:val="22"/>
        </w:rPr>
        <w:t>exista</w:t>
      </w:r>
      <w:r>
        <w:rPr>
          <w:spacing w:val="80"/>
          <w:sz w:val="22"/>
        </w:rPr>
        <w:t> </w:t>
      </w:r>
      <w:r>
        <w:rPr>
          <w:sz w:val="22"/>
        </w:rPr>
        <w:t>un</w:t>
      </w:r>
      <w:r>
        <w:rPr>
          <w:spacing w:val="80"/>
          <w:sz w:val="22"/>
        </w:rPr>
        <w:t> </w:t>
      </w:r>
      <w:r>
        <w:rPr>
          <w:rFonts w:ascii="Arial" w:hAnsi="Arial"/>
          <w:b/>
          <w:sz w:val="22"/>
        </w:rPr>
        <w:t>servicio</w:t>
      </w:r>
      <w:r>
        <w:rPr>
          <w:rFonts w:ascii="Arial" w:hAnsi="Arial"/>
          <w:b/>
          <w:spacing w:val="80"/>
          <w:sz w:val="22"/>
        </w:rPr>
        <w:t> </w:t>
      </w:r>
      <w:r>
        <w:rPr>
          <w:rFonts w:ascii="Arial" w:hAnsi="Arial"/>
          <w:b/>
          <w:sz w:val="22"/>
        </w:rPr>
        <w:t>efectivamente</w:t>
      </w:r>
      <w:r>
        <w:rPr>
          <w:rFonts w:ascii="Arial" w:hAnsi="Arial"/>
          <w:b/>
          <w:spacing w:val="80"/>
          <w:sz w:val="22"/>
        </w:rPr>
        <w:t> </w:t>
      </w:r>
      <w:r>
        <w:rPr>
          <w:rFonts w:ascii="Arial" w:hAnsi="Arial"/>
          <w:b/>
          <w:sz w:val="22"/>
        </w:rPr>
        <w:t>prestado</w:t>
      </w:r>
      <w:r>
        <w:rPr>
          <w:rFonts w:ascii="Arial" w:hAnsi="Arial"/>
          <w:b/>
          <w:spacing w:val="80"/>
          <w:sz w:val="22"/>
        </w:rPr>
        <w:t> </w:t>
      </w:r>
      <w:r>
        <w:rPr>
          <w:rFonts w:ascii="Arial" w:hAnsi="Arial"/>
          <w:b/>
          <w:sz w:val="22"/>
        </w:rPr>
        <w:t>al</w:t>
      </w:r>
      <w:r>
        <w:rPr>
          <w:rFonts w:ascii="Arial" w:hAnsi="Arial"/>
          <w:b/>
          <w:spacing w:val="80"/>
          <w:sz w:val="22"/>
        </w:rPr>
        <w:t> </w:t>
      </w:r>
      <w:r>
        <w:rPr>
          <w:rFonts w:ascii="Arial" w:hAnsi="Arial"/>
          <w:b/>
          <w:sz w:val="22"/>
        </w:rPr>
        <w:t>importador</w:t>
      </w:r>
      <w:r>
        <w:rPr>
          <w:sz w:val="22"/>
        </w:rPr>
        <w:t>, directamente relacionado con el hecho mismo de la importación.</w:t>
      </w:r>
    </w:p>
    <w:p>
      <w:pPr>
        <w:pStyle w:val="BodyText"/>
        <w:spacing w:before="3"/>
      </w:pPr>
    </w:p>
    <w:p>
      <w:pPr>
        <w:pStyle w:val="ListParagraph"/>
        <w:numPr>
          <w:ilvl w:val="0"/>
          <w:numId w:val="19"/>
        </w:numPr>
        <w:tabs>
          <w:tab w:pos="2553" w:val="left" w:leader="none"/>
        </w:tabs>
        <w:spacing w:line="237" w:lineRule="auto" w:before="0" w:after="0"/>
        <w:ind w:left="2553" w:right="978" w:hanging="361"/>
        <w:jc w:val="left"/>
        <w:rPr>
          <w:sz w:val="22"/>
        </w:rPr>
      </w:pPr>
      <w:r>
        <w:rPr>
          <w:sz w:val="22"/>
        </w:rPr>
        <w:t>Que</w:t>
      </w:r>
      <w:r>
        <w:rPr>
          <w:spacing w:val="80"/>
          <w:sz w:val="22"/>
        </w:rPr>
        <w:t> </w:t>
      </w:r>
      <w:r>
        <w:rPr>
          <w:sz w:val="22"/>
        </w:rPr>
        <w:t>el</w:t>
      </w:r>
      <w:r>
        <w:rPr>
          <w:spacing w:val="80"/>
          <w:sz w:val="22"/>
        </w:rPr>
        <w:t> </w:t>
      </w:r>
      <w:r>
        <w:rPr>
          <w:sz w:val="22"/>
        </w:rPr>
        <w:t>cobro</w:t>
      </w:r>
      <w:r>
        <w:rPr>
          <w:spacing w:val="80"/>
          <w:sz w:val="22"/>
        </w:rPr>
        <w:t> </w:t>
      </w:r>
      <w:r>
        <w:rPr>
          <w:sz w:val="22"/>
        </w:rPr>
        <w:t>corresponda</w:t>
      </w:r>
      <w:r>
        <w:rPr>
          <w:spacing w:val="80"/>
          <w:sz w:val="22"/>
        </w:rPr>
        <w:t> </w:t>
      </w:r>
      <w:r>
        <w:rPr>
          <w:sz w:val="22"/>
        </w:rPr>
        <w:t>al</w:t>
      </w:r>
      <w:r>
        <w:rPr>
          <w:spacing w:val="80"/>
          <w:sz w:val="22"/>
        </w:rPr>
        <w:t> </w:t>
      </w:r>
      <w:r>
        <w:rPr>
          <w:rFonts w:ascii="Arial" w:hAnsi="Arial"/>
          <w:b/>
          <w:sz w:val="22"/>
        </w:rPr>
        <w:t>costo</w:t>
      </w:r>
      <w:r>
        <w:rPr>
          <w:rFonts w:ascii="Arial" w:hAnsi="Arial"/>
          <w:b/>
          <w:spacing w:val="80"/>
          <w:sz w:val="22"/>
        </w:rPr>
        <w:t> </w:t>
      </w:r>
      <w:r>
        <w:rPr>
          <w:rFonts w:ascii="Arial" w:hAnsi="Arial"/>
          <w:b/>
          <w:sz w:val="22"/>
        </w:rPr>
        <w:t>aproximado</w:t>
      </w:r>
      <w:r>
        <w:rPr>
          <w:rFonts w:ascii="Arial" w:hAnsi="Arial"/>
          <w:b/>
          <w:spacing w:val="80"/>
          <w:sz w:val="22"/>
        </w:rPr>
        <w:t> </w:t>
      </w:r>
      <w:r>
        <w:rPr>
          <w:sz w:val="22"/>
        </w:rPr>
        <w:t>de</w:t>
      </w:r>
      <w:r>
        <w:rPr>
          <w:spacing w:val="80"/>
          <w:sz w:val="22"/>
        </w:rPr>
        <w:t> </w:t>
      </w:r>
      <w:r>
        <w:rPr>
          <w:sz w:val="22"/>
        </w:rPr>
        <w:t>ese</w:t>
      </w:r>
      <w:r>
        <w:rPr>
          <w:spacing w:val="80"/>
          <w:sz w:val="22"/>
        </w:rPr>
        <w:t> </w:t>
      </w:r>
      <w:r>
        <w:rPr>
          <w:sz w:val="22"/>
        </w:rPr>
        <w:t>servicio efectivamente prestado, manteniendo una razonable proporcionalidad.</w:t>
      </w:r>
    </w:p>
    <w:p>
      <w:pPr>
        <w:pStyle w:val="BodyText"/>
        <w:spacing w:before="1"/>
      </w:pPr>
    </w:p>
    <w:p>
      <w:pPr>
        <w:pStyle w:val="Heading1"/>
        <w:numPr>
          <w:ilvl w:val="2"/>
          <w:numId w:val="10"/>
        </w:numPr>
        <w:tabs>
          <w:tab w:pos="695" w:val="left" w:leader="none"/>
        </w:tabs>
        <w:spacing w:line="240" w:lineRule="auto" w:before="1" w:after="0"/>
        <w:ind w:left="695" w:right="1904" w:hanging="695"/>
        <w:jc w:val="right"/>
      </w:pPr>
      <w:r>
        <w:rPr/>
        <w:t>SERVICIO</w:t>
      </w:r>
      <w:r>
        <w:rPr>
          <w:spacing w:val="-5"/>
        </w:rPr>
        <w:t> </w:t>
      </w:r>
      <w:r>
        <w:rPr/>
        <w:t>EFECTIVAMENTE</w:t>
      </w:r>
      <w:r>
        <w:rPr>
          <w:spacing w:val="-2"/>
        </w:rPr>
        <w:t> </w:t>
      </w:r>
      <w:r>
        <w:rPr/>
        <w:t>PRESTADO</w:t>
      </w:r>
      <w:r>
        <w:rPr>
          <w:spacing w:val="-4"/>
        </w:rPr>
        <w:t> </w:t>
      </w:r>
      <w:r>
        <w:rPr/>
        <w:t>AL</w:t>
      </w:r>
      <w:r>
        <w:rPr>
          <w:spacing w:val="-3"/>
        </w:rPr>
        <w:t> </w:t>
      </w:r>
      <w:r>
        <w:rPr>
          <w:spacing w:val="-2"/>
        </w:rPr>
        <w:t>IMPORTADOR</w:t>
      </w:r>
    </w:p>
    <w:p>
      <w:pPr>
        <w:pStyle w:val="ListParagraph"/>
        <w:numPr>
          <w:ilvl w:val="0"/>
          <w:numId w:val="11"/>
        </w:numPr>
        <w:tabs>
          <w:tab w:pos="1130" w:val="left" w:leader="none"/>
          <w:tab w:pos="1134" w:val="left" w:leader="none"/>
        </w:tabs>
        <w:spacing w:line="240" w:lineRule="auto" w:before="254" w:after="0"/>
        <w:ind w:left="1134" w:right="979" w:hanging="567"/>
        <w:jc w:val="both"/>
        <w:rPr>
          <w:sz w:val="22"/>
        </w:rPr>
      </w:pPr>
      <w:r>
        <w:rPr>
          <w:sz w:val="22"/>
        </w:rPr>
        <w:t>La</w:t>
      </w:r>
      <w:r>
        <w:rPr>
          <w:spacing w:val="-8"/>
          <w:sz w:val="22"/>
        </w:rPr>
        <w:t> </w:t>
      </w:r>
      <w:r>
        <w:rPr>
          <w:sz w:val="22"/>
        </w:rPr>
        <w:t>primera</w:t>
      </w:r>
      <w:r>
        <w:rPr>
          <w:spacing w:val="-10"/>
          <w:sz w:val="22"/>
        </w:rPr>
        <w:t> </w:t>
      </w:r>
      <w:r>
        <w:rPr>
          <w:sz w:val="22"/>
        </w:rPr>
        <w:t>cuestión</w:t>
      </w:r>
      <w:r>
        <w:rPr>
          <w:spacing w:val="-7"/>
          <w:sz w:val="22"/>
        </w:rPr>
        <w:t> </w:t>
      </w:r>
      <w:r>
        <w:rPr>
          <w:sz w:val="22"/>
        </w:rPr>
        <w:t>a</w:t>
      </w:r>
      <w:r>
        <w:rPr>
          <w:spacing w:val="-10"/>
          <w:sz w:val="22"/>
        </w:rPr>
        <w:t> </w:t>
      </w:r>
      <w:r>
        <w:rPr>
          <w:sz w:val="22"/>
        </w:rPr>
        <w:t>evaluar</w:t>
      </w:r>
      <w:r>
        <w:rPr>
          <w:spacing w:val="-6"/>
          <w:sz w:val="22"/>
        </w:rPr>
        <w:t> </w:t>
      </w:r>
      <w:r>
        <w:rPr>
          <w:sz w:val="22"/>
        </w:rPr>
        <w:t>consiste</w:t>
      </w:r>
      <w:r>
        <w:rPr>
          <w:spacing w:val="-7"/>
          <w:sz w:val="22"/>
        </w:rPr>
        <w:t> </w:t>
      </w:r>
      <w:r>
        <w:rPr>
          <w:sz w:val="22"/>
        </w:rPr>
        <w:t>en</w:t>
      </w:r>
      <w:r>
        <w:rPr>
          <w:spacing w:val="-10"/>
          <w:sz w:val="22"/>
        </w:rPr>
        <w:t> </w:t>
      </w:r>
      <w:r>
        <w:rPr>
          <w:sz w:val="22"/>
        </w:rPr>
        <w:t>determinar</w:t>
      </w:r>
      <w:r>
        <w:rPr>
          <w:spacing w:val="-6"/>
          <w:sz w:val="22"/>
        </w:rPr>
        <w:t> </w:t>
      </w:r>
      <w:r>
        <w:rPr>
          <w:sz w:val="22"/>
        </w:rPr>
        <w:t>si</w:t>
      </w:r>
      <w:r>
        <w:rPr>
          <w:spacing w:val="-10"/>
          <w:sz w:val="22"/>
        </w:rPr>
        <w:t> </w:t>
      </w:r>
      <w:r>
        <w:rPr>
          <w:sz w:val="22"/>
        </w:rPr>
        <w:t>las</w:t>
      </w:r>
      <w:r>
        <w:rPr>
          <w:spacing w:val="-7"/>
          <w:sz w:val="22"/>
        </w:rPr>
        <w:t> </w:t>
      </w:r>
      <w:r>
        <w:rPr>
          <w:sz w:val="22"/>
        </w:rPr>
        <w:t>actividades</w:t>
      </w:r>
      <w:r>
        <w:rPr>
          <w:spacing w:val="-7"/>
          <w:sz w:val="22"/>
        </w:rPr>
        <w:t> </w:t>
      </w:r>
      <w:r>
        <w:rPr>
          <w:sz w:val="22"/>
        </w:rPr>
        <w:t>invocadas</w:t>
      </w:r>
      <w:r>
        <w:rPr>
          <w:spacing w:val="-7"/>
          <w:sz w:val="22"/>
        </w:rPr>
        <w:t> </w:t>
      </w:r>
      <w:r>
        <w:rPr>
          <w:sz w:val="22"/>
        </w:rPr>
        <w:t>por</w:t>
      </w:r>
      <w:r>
        <w:rPr>
          <w:spacing w:val="-6"/>
          <w:sz w:val="22"/>
        </w:rPr>
        <w:t> </w:t>
      </w:r>
      <w:r>
        <w:rPr>
          <w:sz w:val="22"/>
        </w:rPr>
        <w:t>la República</w:t>
      </w:r>
      <w:r>
        <w:rPr>
          <w:spacing w:val="-8"/>
          <w:sz w:val="22"/>
        </w:rPr>
        <w:t> </w:t>
      </w:r>
      <w:r>
        <w:rPr>
          <w:sz w:val="22"/>
        </w:rPr>
        <w:t>del</w:t>
      </w:r>
      <w:r>
        <w:rPr>
          <w:spacing w:val="-9"/>
          <w:sz w:val="22"/>
        </w:rPr>
        <w:t> </w:t>
      </w:r>
      <w:r>
        <w:rPr>
          <w:sz w:val="22"/>
        </w:rPr>
        <w:t>Ecuador</w:t>
      </w:r>
      <w:r>
        <w:rPr>
          <w:spacing w:val="-10"/>
          <w:sz w:val="22"/>
        </w:rPr>
        <w:t> </w:t>
      </w:r>
      <w:r>
        <w:rPr>
          <w:sz w:val="22"/>
        </w:rPr>
        <w:t>constituyen</w:t>
      </w:r>
      <w:r>
        <w:rPr>
          <w:spacing w:val="-11"/>
          <w:sz w:val="22"/>
        </w:rPr>
        <w:t> </w:t>
      </w:r>
      <w:r>
        <w:rPr>
          <w:sz w:val="22"/>
        </w:rPr>
        <w:t>un</w:t>
      </w:r>
      <w:r>
        <w:rPr>
          <w:spacing w:val="-11"/>
          <w:sz w:val="22"/>
        </w:rPr>
        <w:t> </w:t>
      </w:r>
      <w:r>
        <w:rPr>
          <w:sz w:val="22"/>
        </w:rPr>
        <w:t>servicio</w:t>
      </w:r>
      <w:r>
        <w:rPr>
          <w:spacing w:val="-8"/>
          <w:sz w:val="22"/>
        </w:rPr>
        <w:t> </w:t>
      </w:r>
      <w:r>
        <w:rPr>
          <w:sz w:val="22"/>
        </w:rPr>
        <w:t>efectivamente</w:t>
      </w:r>
      <w:r>
        <w:rPr>
          <w:spacing w:val="-11"/>
          <w:sz w:val="22"/>
        </w:rPr>
        <w:t> </w:t>
      </w:r>
      <w:r>
        <w:rPr>
          <w:sz w:val="22"/>
        </w:rPr>
        <w:t>prestado</w:t>
      </w:r>
      <w:r>
        <w:rPr>
          <w:spacing w:val="-11"/>
          <w:sz w:val="22"/>
        </w:rPr>
        <w:t> </w:t>
      </w:r>
      <w:r>
        <w:rPr>
          <w:sz w:val="22"/>
        </w:rPr>
        <w:t>al</w:t>
      </w:r>
      <w:r>
        <w:rPr>
          <w:spacing w:val="-9"/>
          <w:sz w:val="22"/>
        </w:rPr>
        <w:t> </w:t>
      </w:r>
      <w:r>
        <w:rPr>
          <w:sz w:val="22"/>
        </w:rPr>
        <w:t>importador,</w:t>
      </w:r>
      <w:r>
        <w:rPr>
          <w:spacing w:val="-9"/>
          <w:sz w:val="22"/>
        </w:rPr>
        <w:t> </w:t>
      </w:r>
      <w:r>
        <w:rPr>
          <w:sz w:val="22"/>
        </w:rPr>
        <w:t>en el marco establecido en el artículo 73 del Acuerdo de Cartagena.</w:t>
      </w:r>
    </w:p>
    <w:p>
      <w:pPr>
        <w:pStyle w:val="ListParagraph"/>
        <w:numPr>
          <w:ilvl w:val="0"/>
          <w:numId w:val="11"/>
        </w:numPr>
        <w:tabs>
          <w:tab w:pos="1130" w:val="left" w:leader="none"/>
          <w:tab w:pos="1134" w:val="left" w:leader="none"/>
        </w:tabs>
        <w:spacing w:line="240" w:lineRule="auto" w:before="251" w:after="0"/>
        <w:ind w:left="1134" w:right="984" w:hanging="567"/>
        <w:jc w:val="both"/>
        <w:rPr>
          <w:sz w:val="22"/>
        </w:rPr>
      </w:pPr>
      <w:r>
        <w:rPr>
          <w:sz w:val="22"/>
        </w:rPr>
        <w:t>En</w:t>
      </w:r>
      <w:r>
        <w:rPr>
          <w:spacing w:val="-3"/>
          <w:sz w:val="22"/>
        </w:rPr>
        <w:t> </w:t>
      </w:r>
      <w:r>
        <w:rPr>
          <w:sz w:val="22"/>
        </w:rPr>
        <w:t>ese</w:t>
      </w:r>
      <w:r>
        <w:rPr>
          <w:spacing w:val="-5"/>
          <w:sz w:val="22"/>
        </w:rPr>
        <w:t> </w:t>
      </w:r>
      <w:r>
        <w:rPr>
          <w:sz w:val="22"/>
        </w:rPr>
        <w:t>sentido,</w:t>
      </w:r>
      <w:r>
        <w:rPr>
          <w:spacing w:val="-1"/>
          <w:sz w:val="22"/>
        </w:rPr>
        <w:t> </w:t>
      </w:r>
      <w:r>
        <w:rPr>
          <w:sz w:val="22"/>
        </w:rPr>
        <w:t>se</w:t>
      </w:r>
      <w:r>
        <w:rPr>
          <w:spacing w:val="-5"/>
          <w:sz w:val="22"/>
        </w:rPr>
        <w:t> </w:t>
      </w:r>
      <w:r>
        <w:rPr>
          <w:sz w:val="22"/>
        </w:rPr>
        <w:t>presentarán</w:t>
      </w:r>
      <w:r>
        <w:rPr>
          <w:spacing w:val="-5"/>
          <w:sz w:val="22"/>
        </w:rPr>
        <w:t> </w:t>
      </w:r>
      <w:r>
        <w:rPr>
          <w:sz w:val="22"/>
        </w:rPr>
        <w:t>los</w:t>
      </w:r>
      <w:r>
        <w:rPr>
          <w:spacing w:val="-3"/>
          <w:sz w:val="22"/>
        </w:rPr>
        <w:t> </w:t>
      </w:r>
      <w:r>
        <w:rPr>
          <w:sz w:val="22"/>
        </w:rPr>
        <w:t>argumentos</w:t>
      </w:r>
      <w:r>
        <w:rPr>
          <w:spacing w:val="-7"/>
          <w:sz w:val="22"/>
        </w:rPr>
        <w:t> </w:t>
      </w:r>
      <w:r>
        <w:rPr>
          <w:sz w:val="22"/>
        </w:rPr>
        <w:t>formulados</w:t>
      </w:r>
      <w:r>
        <w:rPr>
          <w:spacing w:val="-5"/>
          <w:sz w:val="22"/>
        </w:rPr>
        <w:t> </w:t>
      </w:r>
      <w:r>
        <w:rPr>
          <w:sz w:val="22"/>
        </w:rPr>
        <w:t>por</w:t>
      </w:r>
      <w:r>
        <w:rPr>
          <w:spacing w:val="-4"/>
          <w:sz w:val="22"/>
        </w:rPr>
        <w:t> </w:t>
      </w:r>
      <w:r>
        <w:rPr>
          <w:sz w:val="22"/>
        </w:rPr>
        <w:t>las</w:t>
      </w:r>
      <w:r>
        <w:rPr>
          <w:spacing w:val="-5"/>
          <w:sz w:val="22"/>
        </w:rPr>
        <w:t> </w:t>
      </w:r>
      <w:r>
        <w:rPr>
          <w:sz w:val="22"/>
        </w:rPr>
        <w:t>partes</w:t>
      </w:r>
      <w:r>
        <w:rPr>
          <w:spacing w:val="-5"/>
          <w:sz w:val="22"/>
        </w:rPr>
        <w:t> </w:t>
      </w:r>
      <w:r>
        <w:rPr>
          <w:sz w:val="22"/>
        </w:rPr>
        <w:t>intervinientes en el procedimiento respecto de este punto específico y posteriormente se realizará el análisis de la SGCAN.</w:t>
      </w:r>
    </w:p>
    <w:p>
      <w:pPr>
        <w:pStyle w:val="BodyText"/>
        <w:spacing w:before="3"/>
      </w:pPr>
    </w:p>
    <w:p>
      <w:pPr>
        <w:pStyle w:val="Heading6"/>
        <w:numPr>
          <w:ilvl w:val="0"/>
          <w:numId w:val="20"/>
        </w:numPr>
        <w:tabs>
          <w:tab w:pos="1854" w:val="left" w:leader="none"/>
        </w:tabs>
        <w:spacing w:line="240" w:lineRule="auto" w:before="0" w:after="0"/>
        <w:ind w:left="1854" w:right="0" w:hanging="360"/>
        <w:jc w:val="left"/>
      </w:pPr>
      <w:r>
        <w:rPr/>
        <w:t>Argumentos</w:t>
      </w:r>
      <w:r>
        <w:rPr>
          <w:spacing w:val="-6"/>
        </w:rPr>
        <w:t> </w:t>
      </w:r>
      <w:r>
        <w:rPr/>
        <w:t>de</w:t>
      </w:r>
      <w:r>
        <w:rPr>
          <w:spacing w:val="-5"/>
        </w:rPr>
        <w:t> </w:t>
      </w:r>
      <w:r>
        <w:rPr/>
        <w:t>la</w:t>
      </w:r>
      <w:r>
        <w:rPr>
          <w:spacing w:val="-4"/>
        </w:rPr>
        <w:t> </w:t>
      </w:r>
      <w:r>
        <w:rPr/>
        <w:t>República</w:t>
      </w:r>
      <w:r>
        <w:rPr>
          <w:spacing w:val="-5"/>
        </w:rPr>
        <w:t> </w:t>
      </w:r>
      <w:r>
        <w:rPr/>
        <w:t>de</w:t>
      </w:r>
      <w:r>
        <w:rPr>
          <w:spacing w:val="-3"/>
        </w:rPr>
        <w:t> </w:t>
      </w:r>
      <w:r>
        <w:rPr>
          <w:spacing w:val="-2"/>
        </w:rPr>
        <w:t>Colombia</w:t>
      </w:r>
    </w:p>
    <w:p>
      <w:pPr>
        <w:pStyle w:val="ListParagraph"/>
        <w:numPr>
          <w:ilvl w:val="0"/>
          <w:numId w:val="11"/>
        </w:numPr>
        <w:tabs>
          <w:tab w:pos="1130" w:val="left" w:leader="none"/>
          <w:tab w:pos="1134" w:val="left" w:leader="none"/>
        </w:tabs>
        <w:spacing w:line="240" w:lineRule="auto" w:before="250" w:after="0"/>
        <w:ind w:left="1134" w:right="977" w:hanging="567"/>
        <w:jc w:val="both"/>
        <w:rPr>
          <w:sz w:val="22"/>
        </w:rPr>
      </w:pPr>
      <w:r>
        <w:rPr>
          <w:sz w:val="22"/>
        </w:rPr>
        <w:t>La República de Colombia sostiene que la medida adoptada por la República del Ecuador</w:t>
      </w:r>
      <w:r>
        <w:rPr>
          <w:spacing w:val="-3"/>
          <w:sz w:val="22"/>
        </w:rPr>
        <w:t> </w:t>
      </w:r>
      <w:r>
        <w:rPr>
          <w:sz w:val="22"/>
        </w:rPr>
        <w:t>no</w:t>
      </w:r>
      <w:r>
        <w:rPr>
          <w:spacing w:val="-4"/>
          <w:sz w:val="22"/>
        </w:rPr>
        <w:t> </w:t>
      </w:r>
      <w:r>
        <w:rPr>
          <w:sz w:val="22"/>
        </w:rPr>
        <w:t>responde</w:t>
      </w:r>
      <w:r>
        <w:rPr>
          <w:spacing w:val="-4"/>
          <w:sz w:val="22"/>
        </w:rPr>
        <w:t> </w:t>
      </w:r>
      <w:r>
        <w:rPr>
          <w:sz w:val="22"/>
        </w:rPr>
        <w:t>al</w:t>
      </w:r>
      <w:r>
        <w:rPr>
          <w:spacing w:val="-7"/>
          <w:sz w:val="22"/>
        </w:rPr>
        <w:t> </w:t>
      </w:r>
      <w:r>
        <w:rPr>
          <w:sz w:val="22"/>
        </w:rPr>
        <w:t>pago</w:t>
      </w:r>
      <w:r>
        <w:rPr>
          <w:spacing w:val="-4"/>
          <w:sz w:val="22"/>
        </w:rPr>
        <w:t> </w:t>
      </w:r>
      <w:r>
        <w:rPr>
          <w:sz w:val="22"/>
        </w:rPr>
        <w:t>de</w:t>
      </w:r>
      <w:r>
        <w:rPr>
          <w:spacing w:val="-4"/>
          <w:sz w:val="22"/>
        </w:rPr>
        <w:t> </w:t>
      </w:r>
      <w:r>
        <w:rPr>
          <w:sz w:val="22"/>
        </w:rPr>
        <w:t>un</w:t>
      </w:r>
      <w:r>
        <w:rPr>
          <w:spacing w:val="-4"/>
          <w:sz w:val="22"/>
        </w:rPr>
        <w:t> </w:t>
      </w:r>
      <w:r>
        <w:rPr>
          <w:sz w:val="22"/>
        </w:rPr>
        <w:t>servicio</w:t>
      </w:r>
      <w:r>
        <w:rPr>
          <w:spacing w:val="-4"/>
          <w:sz w:val="22"/>
        </w:rPr>
        <w:t> </w:t>
      </w:r>
      <w:r>
        <w:rPr>
          <w:sz w:val="22"/>
        </w:rPr>
        <w:t>efectivamente</w:t>
      </w:r>
      <w:r>
        <w:rPr>
          <w:spacing w:val="-4"/>
          <w:sz w:val="22"/>
        </w:rPr>
        <w:t> </w:t>
      </w:r>
      <w:r>
        <w:rPr>
          <w:sz w:val="22"/>
        </w:rPr>
        <w:t>prestado</w:t>
      </w:r>
      <w:r>
        <w:rPr>
          <w:spacing w:val="-6"/>
          <w:sz w:val="22"/>
        </w:rPr>
        <w:t> </w:t>
      </w:r>
      <w:r>
        <w:rPr>
          <w:sz w:val="22"/>
        </w:rPr>
        <w:t>al</w:t>
      </w:r>
      <w:r>
        <w:rPr>
          <w:spacing w:val="-5"/>
          <w:sz w:val="22"/>
        </w:rPr>
        <w:t> </w:t>
      </w:r>
      <w:r>
        <w:rPr>
          <w:sz w:val="22"/>
        </w:rPr>
        <w:t>importador,</w:t>
      </w:r>
      <w:r>
        <w:rPr>
          <w:spacing w:val="-3"/>
          <w:sz w:val="22"/>
        </w:rPr>
        <w:t> </w:t>
      </w:r>
      <w:r>
        <w:rPr>
          <w:sz w:val="22"/>
        </w:rPr>
        <w:t>sino que configura un gravamen arancelario </w:t>
      </w:r>
      <w:r>
        <w:rPr>
          <w:rFonts w:ascii="Arial" w:hAnsi="Arial"/>
          <w:i/>
          <w:sz w:val="22"/>
        </w:rPr>
        <w:t>ad valorem </w:t>
      </w:r>
      <w:r>
        <w:rPr>
          <w:sz w:val="22"/>
        </w:rPr>
        <w:t>prohibido por el Programa de Liberación.</w:t>
      </w:r>
      <w:r>
        <w:rPr>
          <w:spacing w:val="-3"/>
          <w:sz w:val="22"/>
        </w:rPr>
        <w:t> </w:t>
      </w:r>
      <w:r>
        <w:rPr>
          <w:sz w:val="22"/>
        </w:rPr>
        <w:t>A</w:t>
      </w:r>
      <w:r>
        <w:rPr>
          <w:spacing w:val="-9"/>
          <w:sz w:val="22"/>
        </w:rPr>
        <w:t> </w:t>
      </w:r>
      <w:r>
        <w:rPr>
          <w:sz w:val="22"/>
        </w:rPr>
        <w:t>juicio</w:t>
      </w:r>
      <w:r>
        <w:rPr>
          <w:spacing w:val="-4"/>
          <w:sz w:val="22"/>
        </w:rPr>
        <w:t> </w:t>
      </w:r>
      <w:r>
        <w:rPr>
          <w:sz w:val="22"/>
        </w:rPr>
        <w:t>de</w:t>
      </w:r>
      <w:r>
        <w:rPr>
          <w:spacing w:val="-7"/>
          <w:sz w:val="22"/>
        </w:rPr>
        <w:t> </w:t>
      </w:r>
      <w:r>
        <w:rPr>
          <w:sz w:val="22"/>
        </w:rPr>
        <w:t>la</w:t>
      </w:r>
      <w:r>
        <w:rPr>
          <w:spacing w:val="-9"/>
          <w:sz w:val="22"/>
        </w:rPr>
        <w:t> </w:t>
      </w:r>
      <w:r>
        <w:rPr>
          <w:sz w:val="22"/>
        </w:rPr>
        <w:t>República</w:t>
      </w:r>
      <w:r>
        <w:rPr>
          <w:spacing w:val="-4"/>
          <w:sz w:val="22"/>
        </w:rPr>
        <w:t> </w:t>
      </w:r>
      <w:r>
        <w:rPr>
          <w:sz w:val="22"/>
        </w:rPr>
        <w:t>de</w:t>
      </w:r>
      <w:r>
        <w:rPr>
          <w:spacing w:val="-4"/>
          <w:sz w:val="22"/>
        </w:rPr>
        <w:t> </w:t>
      </w:r>
      <w:r>
        <w:rPr>
          <w:sz w:val="22"/>
        </w:rPr>
        <w:t>Colombia,</w:t>
      </w:r>
      <w:r>
        <w:rPr>
          <w:spacing w:val="-5"/>
          <w:sz w:val="22"/>
        </w:rPr>
        <w:t> </w:t>
      </w:r>
      <w:r>
        <w:rPr>
          <w:sz w:val="22"/>
        </w:rPr>
        <w:t>la</w:t>
      </w:r>
      <w:r>
        <w:rPr>
          <w:spacing w:val="-4"/>
          <w:sz w:val="22"/>
        </w:rPr>
        <w:t> </w:t>
      </w:r>
      <w:r>
        <w:rPr>
          <w:sz w:val="22"/>
        </w:rPr>
        <w:t>denominada</w:t>
      </w:r>
      <w:r>
        <w:rPr>
          <w:spacing w:val="-7"/>
          <w:sz w:val="22"/>
        </w:rPr>
        <w:t> </w:t>
      </w:r>
      <w:r>
        <w:rPr>
          <w:sz w:val="22"/>
        </w:rPr>
        <w:t>“tasa</w:t>
      </w:r>
      <w:r>
        <w:rPr>
          <w:spacing w:val="-7"/>
          <w:sz w:val="22"/>
        </w:rPr>
        <w:t> </w:t>
      </w:r>
      <w:r>
        <w:rPr>
          <w:sz w:val="22"/>
        </w:rPr>
        <w:t>de</w:t>
      </w:r>
      <w:r>
        <w:rPr>
          <w:spacing w:val="-9"/>
          <w:sz w:val="22"/>
        </w:rPr>
        <w:t> </w:t>
      </w:r>
      <w:r>
        <w:rPr>
          <w:sz w:val="22"/>
        </w:rPr>
        <w:t>seguridad”</w:t>
      </w:r>
      <w:r>
        <w:rPr>
          <w:spacing w:val="-5"/>
          <w:sz w:val="22"/>
        </w:rPr>
        <w:t> </w:t>
      </w:r>
      <w:r>
        <w:rPr>
          <w:sz w:val="22"/>
        </w:rPr>
        <w:t>no se vincula al costo aproximado de un servicio directo, singularizado y relacionado; con el hecho mismo de la importación, tal como exige el artículo 73 del Acuerdo de Cartagena, la definición de tasa contenida en el artículo 2 de la Decisión 671sobre Armonización</w:t>
      </w:r>
      <w:r>
        <w:rPr>
          <w:spacing w:val="-16"/>
          <w:sz w:val="22"/>
        </w:rPr>
        <w:t> </w:t>
      </w:r>
      <w:r>
        <w:rPr>
          <w:sz w:val="22"/>
        </w:rPr>
        <w:t>de</w:t>
      </w:r>
      <w:r>
        <w:rPr>
          <w:spacing w:val="-15"/>
          <w:sz w:val="22"/>
        </w:rPr>
        <w:t> </w:t>
      </w:r>
      <w:r>
        <w:rPr>
          <w:sz w:val="22"/>
        </w:rPr>
        <w:t>Regímenes</w:t>
      </w:r>
      <w:r>
        <w:rPr>
          <w:spacing w:val="-15"/>
          <w:sz w:val="22"/>
        </w:rPr>
        <w:t> </w:t>
      </w:r>
      <w:r>
        <w:rPr>
          <w:sz w:val="22"/>
        </w:rPr>
        <w:t>Aduaneros</w:t>
      </w:r>
      <w:hyperlink w:history="true" w:anchor="_bookmark65">
        <w:r>
          <w:rPr>
            <w:sz w:val="22"/>
            <w:vertAlign w:val="superscript"/>
          </w:rPr>
          <w:t>23</w:t>
        </w:r>
      </w:hyperlink>
      <w:r>
        <w:rPr>
          <w:spacing w:val="-16"/>
          <w:sz w:val="22"/>
          <w:vertAlign w:val="baseline"/>
        </w:rPr>
        <w:t> </w:t>
      </w:r>
      <w:r>
        <w:rPr>
          <w:sz w:val="22"/>
          <w:vertAlign w:val="baseline"/>
        </w:rPr>
        <w:t>y</w:t>
      </w:r>
      <w:r>
        <w:rPr>
          <w:spacing w:val="-15"/>
          <w:sz w:val="22"/>
          <w:vertAlign w:val="baseline"/>
        </w:rPr>
        <w:t> </w:t>
      </w:r>
      <w:r>
        <w:rPr>
          <w:sz w:val="22"/>
          <w:vertAlign w:val="baseline"/>
        </w:rPr>
        <w:t>con</w:t>
      </w:r>
      <w:r>
        <w:rPr>
          <w:spacing w:val="-15"/>
          <w:sz w:val="22"/>
          <w:vertAlign w:val="baseline"/>
        </w:rPr>
        <w:t> </w:t>
      </w:r>
      <w:r>
        <w:rPr>
          <w:sz w:val="22"/>
          <w:vertAlign w:val="baseline"/>
        </w:rPr>
        <w:t>la</w:t>
      </w:r>
      <w:r>
        <w:rPr>
          <w:spacing w:val="-15"/>
          <w:sz w:val="22"/>
          <w:vertAlign w:val="baseline"/>
        </w:rPr>
        <w:t> </w:t>
      </w:r>
      <w:r>
        <w:rPr>
          <w:sz w:val="22"/>
          <w:vertAlign w:val="baseline"/>
        </w:rPr>
        <w:t>jurisprudencia</w:t>
      </w:r>
      <w:r>
        <w:rPr>
          <w:spacing w:val="-16"/>
          <w:sz w:val="22"/>
          <w:vertAlign w:val="baseline"/>
        </w:rPr>
        <w:t> </w:t>
      </w:r>
      <w:r>
        <w:rPr>
          <w:sz w:val="22"/>
          <w:vertAlign w:val="baseline"/>
        </w:rPr>
        <w:t>del</w:t>
      </w:r>
      <w:r>
        <w:rPr>
          <w:spacing w:val="-15"/>
          <w:sz w:val="22"/>
          <w:vertAlign w:val="baseline"/>
        </w:rPr>
        <w:t> </w:t>
      </w:r>
      <w:r>
        <w:rPr>
          <w:sz w:val="22"/>
          <w:vertAlign w:val="baseline"/>
        </w:rPr>
        <w:t>Tribunal</w:t>
      </w:r>
      <w:r>
        <w:rPr>
          <w:spacing w:val="-15"/>
          <w:sz w:val="22"/>
          <w:vertAlign w:val="baseline"/>
        </w:rPr>
        <w:t> </w:t>
      </w:r>
      <w:r>
        <w:rPr>
          <w:sz w:val="22"/>
          <w:vertAlign w:val="baseline"/>
        </w:rPr>
        <w:t>de</w:t>
      </w:r>
      <w:r>
        <w:rPr>
          <w:spacing w:val="-16"/>
          <w:sz w:val="22"/>
          <w:vertAlign w:val="baseline"/>
        </w:rPr>
        <w:t> </w:t>
      </w:r>
      <w:r>
        <w:rPr>
          <w:sz w:val="22"/>
          <w:vertAlign w:val="baseline"/>
        </w:rPr>
        <w:t>Justicia de la Comunidad Andina en el Proceso 12-AN-99.</w:t>
      </w:r>
    </w:p>
    <w:p>
      <w:pPr>
        <w:pStyle w:val="BodyText"/>
        <w:spacing w:before="190"/>
        <w:rPr>
          <w:sz w:val="20"/>
        </w:rPr>
      </w:pPr>
      <w:r>
        <w:rPr>
          <w:sz w:val="20"/>
        </w:rPr>
        <mc:AlternateContent>
          <mc:Choice Requires="wps">
            <w:drawing>
              <wp:anchor distT="0" distB="0" distL="0" distR="0" allowOverlap="1" layoutInCell="1" locked="0" behindDoc="1" simplePos="0" relativeHeight="487625216">
                <wp:simplePos x="0" y="0"/>
                <wp:positionH relativeFrom="page">
                  <wp:posOffset>990904</wp:posOffset>
                </wp:positionH>
                <wp:positionV relativeFrom="paragraph">
                  <wp:posOffset>282504</wp:posOffset>
                </wp:positionV>
                <wp:extent cx="1829435" cy="7620"/>
                <wp:effectExtent l="0" t="0" r="0" b="0"/>
                <wp:wrapTopAndBottom/>
                <wp:docPr id="346" name="Graphic 346"/>
                <wp:cNvGraphicFramePr>
                  <a:graphicFrameLocks/>
                </wp:cNvGraphicFramePr>
                <a:graphic>
                  <a:graphicData uri="http://schemas.microsoft.com/office/word/2010/wordprocessingShape">
                    <wps:wsp>
                      <wps:cNvPr id="346" name="Graphic 346"/>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2.244452pt;width:144.020pt;height:.60004pt;mso-position-horizontal-relative:page;mso-position-vertical-relative:paragraph;z-index:-15691264;mso-wrap-distance-left:0;mso-wrap-distance-right:0" id="docshape253" filled="true" fillcolor="#000000" stroked="false">
                <v:fill type="solid"/>
                <w10:wrap type="topAndBottom"/>
              </v:rect>
            </w:pict>
          </mc:Fallback>
        </mc:AlternateContent>
      </w:r>
    </w:p>
    <w:p>
      <w:pPr>
        <w:spacing w:before="92"/>
        <w:ind w:left="568" w:right="0" w:firstLine="0"/>
        <w:jc w:val="left"/>
        <w:rPr>
          <w:rFonts w:ascii="Arial" w:hAnsi="Arial"/>
          <w:b/>
          <w:sz w:val="16"/>
        </w:rPr>
      </w:pPr>
      <w:bookmarkStart w:name="_bookmark65" w:id="66"/>
      <w:bookmarkEnd w:id="66"/>
      <w:r>
        <w:rPr/>
      </w:r>
      <w:r>
        <w:rPr>
          <w:rFonts w:ascii="Arial" w:hAnsi="Arial"/>
          <w:b/>
          <w:sz w:val="16"/>
          <w:vertAlign w:val="superscript"/>
        </w:rPr>
        <w:t>23</w:t>
      </w:r>
      <w:r>
        <w:rPr>
          <w:rFonts w:ascii="Arial" w:hAnsi="Arial"/>
          <w:b/>
          <w:spacing w:val="-5"/>
          <w:sz w:val="16"/>
          <w:vertAlign w:val="baseline"/>
        </w:rPr>
        <w:t> </w:t>
      </w:r>
      <w:r>
        <w:rPr>
          <w:rFonts w:ascii="Arial" w:hAnsi="Arial"/>
          <w:b/>
          <w:sz w:val="16"/>
          <w:vertAlign w:val="baseline"/>
        </w:rPr>
        <w:t>Decisión</w:t>
      </w:r>
      <w:r>
        <w:rPr>
          <w:rFonts w:ascii="Arial" w:hAnsi="Arial"/>
          <w:b/>
          <w:spacing w:val="-3"/>
          <w:sz w:val="16"/>
          <w:vertAlign w:val="baseline"/>
        </w:rPr>
        <w:t> </w:t>
      </w:r>
      <w:r>
        <w:rPr>
          <w:rFonts w:ascii="Arial" w:hAnsi="Arial"/>
          <w:b/>
          <w:sz w:val="16"/>
          <w:vertAlign w:val="baseline"/>
        </w:rPr>
        <w:t>671</w:t>
      </w:r>
      <w:r>
        <w:rPr>
          <w:rFonts w:ascii="Arial" w:hAnsi="Arial"/>
          <w:b/>
          <w:spacing w:val="-4"/>
          <w:sz w:val="16"/>
          <w:vertAlign w:val="baseline"/>
        </w:rPr>
        <w:t> </w:t>
      </w:r>
      <w:r>
        <w:rPr>
          <w:rFonts w:ascii="Arial" w:hAnsi="Arial"/>
          <w:b/>
          <w:sz w:val="16"/>
          <w:vertAlign w:val="baseline"/>
        </w:rPr>
        <w:t>–</w:t>
      </w:r>
      <w:r>
        <w:rPr>
          <w:rFonts w:ascii="Arial" w:hAnsi="Arial"/>
          <w:b/>
          <w:spacing w:val="-6"/>
          <w:sz w:val="16"/>
          <w:vertAlign w:val="baseline"/>
        </w:rPr>
        <w:t> </w:t>
      </w:r>
      <w:r>
        <w:rPr>
          <w:rFonts w:ascii="Arial" w:hAnsi="Arial"/>
          <w:b/>
          <w:sz w:val="16"/>
          <w:vertAlign w:val="baseline"/>
        </w:rPr>
        <w:t>Armonización</w:t>
      </w:r>
      <w:r>
        <w:rPr>
          <w:rFonts w:ascii="Arial" w:hAnsi="Arial"/>
          <w:b/>
          <w:spacing w:val="-5"/>
          <w:sz w:val="16"/>
          <w:vertAlign w:val="baseline"/>
        </w:rPr>
        <w:t> </w:t>
      </w:r>
      <w:r>
        <w:rPr>
          <w:rFonts w:ascii="Arial" w:hAnsi="Arial"/>
          <w:b/>
          <w:sz w:val="16"/>
          <w:vertAlign w:val="baseline"/>
        </w:rPr>
        <w:t>de</w:t>
      </w:r>
      <w:r>
        <w:rPr>
          <w:rFonts w:ascii="Arial" w:hAnsi="Arial"/>
          <w:b/>
          <w:spacing w:val="-4"/>
          <w:sz w:val="16"/>
          <w:vertAlign w:val="baseline"/>
        </w:rPr>
        <w:t> </w:t>
      </w:r>
      <w:r>
        <w:rPr>
          <w:rFonts w:ascii="Arial" w:hAnsi="Arial"/>
          <w:b/>
          <w:sz w:val="16"/>
          <w:vertAlign w:val="baseline"/>
        </w:rPr>
        <w:t>Regímenes</w:t>
      </w:r>
      <w:r>
        <w:rPr>
          <w:rFonts w:ascii="Arial" w:hAnsi="Arial"/>
          <w:b/>
          <w:spacing w:val="-5"/>
          <w:sz w:val="16"/>
          <w:vertAlign w:val="baseline"/>
        </w:rPr>
        <w:t> </w:t>
      </w:r>
      <w:r>
        <w:rPr>
          <w:rFonts w:ascii="Arial" w:hAnsi="Arial"/>
          <w:b/>
          <w:spacing w:val="-2"/>
          <w:sz w:val="16"/>
          <w:vertAlign w:val="baseline"/>
        </w:rPr>
        <w:t>Aduaneros.</w:t>
      </w:r>
    </w:p>
    <w:p>
      <w:pPr>
        <w:spacing w:before="121"/>
        <w:ind w:left="568" w:right="0" w:firstLine="0"/>
        <w:jc w:val="left"/>
        <w:rPr>
          <w:rFonts w:ascii="Arial" w:hAnsi="Arial"/>
          <w:b/>
          <w:i/>
          <w:sz w:val="16"/>
        </w:rPr>
      </w:pPr>
      <w:r>
        <w:rPr>
          <w:rFonts w:ascii="Arial" w:hAnsi="Arial"/>
          <w:b/>
          <w:i/>
          <w:sz w:val="16"/>
        </w:rPr>
        <w:t>“Artículo</w:t>
      </w:r>
      <w:r>
        <w:rPr>
          <w:rFonts w:ascii="Arial" w:hAnsi="Arial"/>
          <w:b/>
          <w:i/>
          <w:spacing w:val="-4"/>
          <w:sz w:val="16"/>
        </w:rPr>
        <w:t> </w:t>
      </w:r>
      <w:r>
        <w:rPr>
          <w:rFonts w:ascii="Arial" w:hAnsi="Arial"/>
          <w:b/>
          <w:i/>
          <w:sz w:val="16"/>
        </w:rPr>
        <w:t>2.-</w:t>
      </w:r>
      <w:r>
        <w:rPr>
          <w:rFonts w:ascii="Arial" w:hAnsi="Arial"/>
          <w:b/>
          <w:i/>
          <w:spacing w:val="-4"/>
          <w:sz w:val="16"/>
        </w:rPr>
        <w:t> </w:t>
      </w:r>
      <w:r>
        <w:rPr>
          <w:rFonts w:ascii="Arial" w:hAnsi="Arial"/>
          <w:b/>
          <w:i/>
          <w:spacing w:val="-2"/>
          <w:sz w:val="16"/>
        </w:rPr>
        <w:t>Definiciones</w:t>
      </w:r>
    </w:p>
    <w:p>
      <w:pPr>
        <w:spacing w:before="119"/>
        <w:ind w:left="1108" w:right="0" w:firstLine="0"/>
        <w:jc w:val="left"/>
        <w:rPr>
          <w:rFonts w:ascii="Arial" w:hAnsi="Arial"/>
          <w:i/>
          <w:sz w:val="16"/>
        </w:rPr>
      </w:pPr>
      <w:r>
        <w:rPr>
          <w:rFonts w:ascii="Arial" w:hAnsi="Arial"/>
          <w:i/>
          <w:sz w:val="16"/>
        </w:rPr>
        <w:t>A</w:t>
      </w:r>
      <w:r>
        <w:rPr>
          <w:rFonts w:ascii="Arial" w:hAnsi="Arial"/>
          <w:i/>
          <w:spacing w:val="-4"/>
          <w:sz w:val="16"/>
        </w:rPr>
        <w:t> </w:t>
      </w:r>
      <w:r>
        <w:rPr>
          <w:rFonts w:ascii="Arial" w:hAnsi="Arial"/>
          <w:i/>
          <w:sz w:val="16"/>
        </w:rPr>
        <w:t>efectos</w:t>
      </w:r>
      <w:r>
        <w:rPr>
          <w:rFonts w:ascii="Arial" w:hAnsi="Arial"/>
          <w:i/>
          <w:spacing w:val="-6"/>
          <w:sz w:val="16"/>
        </w:rPr>
        <w:t> </w:t>
      </w:r>
      <w:r>
        <w:rPr>
          <w:rFonts w:ascii="Arial" w:hAnsi="Arial"/>
          <w:i/>
          <w:sz w:val="16"/>
        </w:rPr>
        <w:t>de</w:t>
      </w:r>
      <w:r>
        <w:rPr>
          <w:rFonts w:ascii="Arial" w:hAnsi="Arial"/>
          <w:i/>
          <w:spacing w:val="-4"/>
          <w:sz w:val="16"/>
        </w:rPr>
        <w:t> </w:t>
      </w:r>
      <w:r>
        <w:rPr>
          <w:rFonts w:ascii="Arial" w:hAnsi="Arial"/>
          <w:i/>
          <w:sz w:val="16"/>
        </w:rPr>
        <w:t>la</w:t>
      </w:r>
      <w:r>
        <w:rPr>
          <w:rFonts w:ascii="Arial" w:hAnsi="Arial"/>
          <w:i/>
          <w:spacing w:val="-5"/>
          <w:sz w:val="16"/>
        </w:rPr>
        <w:t> </w:t>
      </w:r>
      <w:r>
        <w:rPr>
          <w:rFonts w:ascii="Arial" w:hAnsi="Arial"/>
          <w:i/>
          <w:sz w:val="16"/>
        </w:rPr>
        <w:t>aplicación</w:t>
      </w:r>
      <w:r>
        <w:rPr>
          <w:rFonts w:ascii="Arial" w:hAnsi="Arial"/>
          <w:i/>
          <w:spacing w:val="-4"/>
          <w:sz w:val="16"/>
        </w:rPr>
        <w:t> </w:t>
      </w:r>
      <w:r>
        <w:rPr>
          <w:rFonts w:ascii="Arial" w:hAnsi="Arial"/>
          <w:i/>
          <w:sz w:val="16"/>
        </w:rPr>
        <w:t>de</w:t>
      </w:r>
      <w:r>
        <w:rPr>
          <w:rFonts w:ascii="Arial" w:hAnsi="Arial"/>
          <w:i/>
          <w:spacing w:val="-7"/>
          <w:sz w:val="16"/>
        </w:rPr>
        <w:t> </w:t>
      </w:r>
      <w:r>
        <w:rPr>
          <w:rFonts w:ascii="Arial" w:hAnsi="Arial"/>
          <w:i/>
          <w:sz w:val="16"/>
        </w:rPr>
        <w:t>la</w:t>
      </w:r>
      <w:r>
        <w:rPr>
          <w:rFonts w:ascii="Arial" w:hAnsi="Arial"/>
          <w:i/>
          <w:spacing w:val="-5"/>
          <w:sz w:val="16"/>
        </w:rPr>
        <w:t> </w:t>
      </w:r>
      <w:r>
        <w:rPr>
          <w:rFonts w:ascii="Arial" w:hAnsi="Arial"/>
          <w:i/>
          <w:sz w:val="16"/>
        </w:rPr>
        <w:t>presente</w:t>
      </w:r>
      <w:r>
        <w:rPr>
          <w:rFonts w:ascii="Arial" w:hAnsi="Arial"/>
          <w:i/>
          <w:spacing w:val="-4"/>
          <w:sz w:val="16"/>
        </w:rPr>
        <w:t> </w:t>
      </w:r>
      <w:r>
        <w:rPr>
          <w:rFonts w:ascii="Arial" w:hAnsi="Arial"/>
          <w:i/>
          <w:sz w:val="16"/>
        </w:rPr>
        <w:t>Decisión</w:t>
      </w:r>
      <w:r>
        <w:rPr>
          <w:rFonts w:ascii="Arial" w:hAnsi="Arial"/>
          <w:i/>
          <w:spacing w:val="-7"/>
          <w:sz w:val="16"/>
        </w:rPr>
        <w:t> </w:t>
      </w:r>
      <w:r>
        <w:rPr>
          <w:rFonts w:ascii="Arial" w:hAnsi="Arial"/>
          <w:i/>
          <w:sz w:val="16"/>
        </w:rPr>
        <w:t>se</w:t>
      </w:r>
      <w:r>
        <w:rPr>
          <w:rFonts w:ascii="Arial" w:hAnsi="Arial"/>
          <w:i/>
          <w:spacing w:val="-5"/>
          <w:sz w:val="16"/>
        </w:rPr>
        <w:t> </w:t>
      </w:r>
      <w:r>
        <w:rPr>
          <w:rFonts w:ascii="Arial" w:hAnsi="Arial"/>
          <w:i/>
          <w:sz w:val="16"/>
        </w:rPr>
        <w:t>entiende</w:t>
      </w:r>
      <w:r>
        <w:rPr>
          <w:rFonts w:ascii="Arial" w:hAnsi="Arial"/>
          <w:i/>
          <w:spacing w:val="-4"/>
          <w:sz w:val="16"/>
        </w:rPr>
        <w:t> por:</w:t>
      </w:r>
    </w:p>
    <w:p>
      <w:pPr>
        <w:spacing w:before="0"/>
        <w:ind w:left="1108" w:right="0" w:firstLine="0"/>
        <w:jc w:val="left"/>
        <w:rPr>
          <w:rFonts w:ascii="Arial" w:hAnsi="Arial"/>
          <w:i/>
          <w:sz w:val="16"/>
        </w:rPr>
      </w:pPr>
      <w:r>
        <w:rPr>
          <w:rFonts w:ascii="Arial" w:hAnsi="Arial"/>
          <w:i/>
          <w:spacing w:val="-5"/>
          <w:sz w:val="16"/>
        </w:rPr>
        <w:t>(…)</w:t>
      </w:r>
    </w:p>
    <w:p>
      <w:pPr>
        <w:spacing w:before="1"/>
        <w:ind w:left="1134" w:right="955" w:firstLine="0"/>
        <w:jc w:val="left"/>
        <w:rPr>
          <w:rFonts w:ascii="Arial" w:hAnsi="Arial"/>
          <w:i/>
          <w:sz w:val="16"/>
        </w:rPr>
      </w:pPr>
      <w:r>
        <w:rPr>
          <w:rFonts w:ascii="Arial" w:hAnsi="Arial"/>
          <w:b/>
          <w:i/>
          <w:sz w:val="16"/>
        </w:rPr>
        <w:t>TASAS.- </w:t>
      </w:r>
      <w:r>
        <w:rPr>
          <w:rFonts w:ascii="Arial" w:hAnsi="Arial"/>
          <w:i/>
          <w:sz w:val="16"/>
        </w:rPr>
        <w:t>Es la contraprestación exigible por el servicio efectivamente prestado por las autoridades aduaneras y que</w:t>
      </w:r>
      <w:r>
        <w:rPr>
          <w:rFonts w:ascii="Arial" w:hAnsi="Arial"/>
          <w:i/>
          <w:spacing w:val="40"/>
          <w:sz w:val="16"/>
        </w:rPr>
        <w:t> </w:t>
      </w:r>
      <w:r>
        <w:rPr>
          <w:rFonts w:ascii="Arial" w:hAnsi="Arial"/>
          <w:i/>
          <w:sz w:val="16"/>
        </w:rPr>
        <w:t>corresponde al costo aproximado por dichos servicios”.</w:t>
      </w:r>
    </w:p>
    <w:p>
      <w:pPr>
        <w:spacing w:after="0"/>
        <w:jc w:val="left"/>
        <w:rPr>
          <w:rFonts w:ascii="Arial" w:hAnsi="Arial"/>
          <w:i/>
          <w:sz w:val="16"/>
        </w:rPr>
        <w:sectPr>
          <w:headerReference w:type="default" r:id="rId51"/>
          <w:footerReference w:type="default" r:id="rId52"/>
          <w:pgSz w:w="11900" w:h="16850"/>
          <w:pgMar w:header="370" w:footer="651" w:top="1380" w:bottom="840" w:left="992" w:right="283"/>
        </w:sectPr>
      </w:pPr>
    </w:p>
    <w:p>
      <w:pPr>
        <w:pStyle w:val="BodyText"/>
        <w:spacing w:before="176"/>
        <w:rPr>
          <w:rFonts w:ascii="Arial"/>
          <w:i/>
        </w:rPr>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En particular, la República de Colombia afirma que el cobro del 30% y luego del 50% aplicado sobre el valor en aduana de las mercancías colombianas, no guarda relación con la prestación de un servicio aduanero específico al operador, sino que financia funciones amplias de control aduanero y seguridad nacional, que son obligaciones generales del Estado ecuatoriano y no prestaciones divisibles a cada importador. Además, subraya que la medida es obligatoria, se calcula en función del valor de la mercancía y no es</w:t>
      </w:r>
      <w:r>
        <w:rPr>
          <w:spacing w:val="-2"/>
          <w:sz w:val="22"/>
        </w:rPr>
        <w:t> </w:t>
      </w:r>
      <w:r>
        <w:rPr>
          <w:sz w:val="22"/>
        </w:rPr>
        <w:t>optativa para el usuario, por lo que no puede considerarse una tasa vinculada a un servicio efectivamente prestado, sino que constituye un gravamen arancelario en los términos del artículo 73 del Acuerdo de Cartagena.</w:t>
      </w:r>
    </w:p>
    <w:p>
      <w:pPr>
        <w:pStyle w:val="BodyText"/>
        <w:spacing w:before="2"/>
      </w:pPr>
    </w:p>
    <w:p>
      <w:pPr>
        <w:pStyle w:val="Heading6"/>
        <w:numPr>
          <w:ilvl w:val="0"/>
          <w:numId w:val="21"/>
        </w:numPr>
        <w:tabs>
          <w:tab w:pos="1854" w:val="left" w:leader="none"/>
        </w:tabs>
        <w:spacing w:line="240" w:lineRule="auto" w:before="0" w:after="0"/>
        <w:ind w:left="1854" w:right="0" w:hanging="360"/>
        <w:jc w:val="left"/>
      </w:pPr>
      <w:r>
        <w:rPr/>
        <w:t>Argumentos</w:t>
      </w:r>
      <w:r>
        <w:rPr>
          <w:spacing w:val="-6"/>
        </w:rPr>
        <w:t> </w:t>
      </w:r>
      <w:r>
        <w:rPr/>
        <w:t>de</w:t>
      </w:r>
      <w:r>
        <w:rPr>
          <w:spacing w:val="-6"/>
        </w:rPr>
        <w:t> </w:t>
      </w:r>
      <w:r>
        <w:rPr/>
        <w:t>la</w:t>
      </w:r>
      <w:r>
        <w:rPr>
          <w:spacing w:val="-3"/>
        </w:rPr>
        <w:t> </w:t>
      </w:r>
      <w:r>
        <w:rPr/>
        <w:t>República</w:t>
      </w:r>
      <w:r>
        <w:rPr>
          <w:spacing w:val="-6"/>
        </w:rPr>
        <w:t> </w:t>
      </w:r>
      <w:r>
        <w:rPr/>
        <w:t>del</w:t>
      </w:r>
      <w:r>
        <w:rPr>
          <w:spacing w:val="-4"/>
        </w:rPr>
        <w:t> </w:t>
      </w:r>
      <w:r>
        <w:rPr>
          <w:spacing w:val="-2"/>
        </w:rPr>
        <w:t>Ecuador</w:t>
      </w:r>
    </w:p>
    <w:p>
      <w:pPr>
        <w:pStyle w:val="ListParagraph"/>
        <w:numPr>
          <w:ilvl w:val="0"/>
          <w:numId w:val="11"/>
        </w:numPr>
        <w:tabs>
          <w:tab w:pos="1130" w:val="left" w:leader="none"/>
          <w:tab w:pos="1134" w:val="left" w:leader="none"/>
        </w:tabs>
        <w:spacing w:line="240" w:lineRule="auto" w:before="250" w:after="0"/>
        <w:ind w:left="1134" w:right="978" w:hanging="567"/>
        <w:jc w:val="both"/>
        <w:rPr>
          <w:sz w:val="22"/>
        </w:rPr>
      </w:pPr>
      <w:r>
        <w:rPr>
          <w:sz w:val="22"/>
        </w:rPr>
        <w:t>La República del Ecuador sostiene que la medida impugnada no constituye un gravamen, sino una tasa vinculada a un servicio aduanero efectivamente prestado por el Servicio Nacional de Aduana del Ecuador - SENAE. Asimismo, señala que dicho servicio consiste en un control aduanero reforzado, real, específico y materialmente identificable respecto de las mercancías procedentes u originarias de la República de Colombia, que comprende el reconocimiento, la comprobación y el aforo de las mercancías a través de canales físico, documental y físico no intrusivo, ejecutados dentro</w:t>
      </w:r>
      <w:r>
        <w:rPr>
          <w:spacing w:val="-16"/>
          <w:sz w:val="22"/>
        </w:rPr>
        <w:t> </w:t>
      </w:r>
      <w:r>
        <w:rPr>
          <w:sz w:val="22"/>
        </w:rPr>
        <w:t>del</w:t>
      </w:r>
      <w:r>
        <w:rPr>
          <w:spacing w:val="-15"/>
          <w:sz w:val="22"/>
        </w:rPr>
        <w:t> </w:t>
      </w:r>
      <w:r>
        <w:rPr>
          <w:sz w:val="22"/>
        </w:rPr>
        <w:t>procedimiento</w:t>
      </w:r>
      <w:r>
        <w:rPr>
          <w:spacing w:val="-15"/>
          <w:sz w:val="22"/>
        </w:rPr>
        <w:t> </w:t>
      </w:r>
      <w:r>
        <w:rPr>
          <w:sz w:val="22"/>
        </w:rPr>
        <w:t>de</w:t>
      </w:r>
      <w:r>
        <w:rPr>
          <w:spacing w:val="-15"/>
          <w:sz w:val="22"/>
        </w:rPr>
        <w:t> </w:t>
      </w:r>
      <w:r>
        <w:rPr>
          <w:sz w:val="22"/>
        </w:rPr>
        <w:t>despacho</w:t>
      </w:r>
      <w:r>
        <w:rPr>
          <w:spacing w:val="-15"/>
          <w:sz w:val="22"/>
        </w:rPr>
        <w:t> </w:t>
      </w:r>
      <w:r>
        <w:rPr>
          <w:sz w:val="22"/>
        </w:rPr>
        <w:t>y</w:t>
      </w:r>
      <w:r>
        <w:rPr>
          <w:spacing w:val="-13"/>
          <w:sz w:val="22"/>
        </w:rPr>
        <w:t> </w:t>
      </w:r>
      <w:r>
        <w:rPr>
          <w:sz w:val="22"/>
        </w:rPr>
        <w:t>bajo</w:t>
      </w:r>
      <w:r>
        <w:rPr>
          <w:spacing w:val="-14"/>
          <w:sz w:val="22"/>
        </w:rPr>
        <w:t> </w:t>
      </w:r>
      <w:r>
        <w:rPr>
          <w:sz w:val="22"/>
        </w:rPr>
        <w:t>el</w:t>
      </w:r>
      <w:r>
        <w:rPr>
          <w:spacing w:val="-16"/>
          <w:sz w:val="22"/>
        </w:rPr>
        <w:t> </w:t>
      </w:r>
      <w:r>
        <w:rPr>
          <w:sz w:val="22"/>
        </w:rPr>
        <w:t>modelo</w:t>
      </w:r>
      <w:r>
        <w:rPr>
          <w:spacing w:val="-13"/>
          <w:sz w:val="22"/>
        </w:rPr>
        <w:t> </w:t>
      </w:r>
      <w:r>
        <w:rPr>
          <w:sz w:val="22"/>
        </w:rPr>
        <w:t>institucional</w:t>
      </w:r>
      <w:r>
        <w:rPr>
          <w:spacing w:val="-15"/>
          <w:sz w:val="22"/>
        </w:rPr>
        <w:t> </w:t>
      </w:r>
      <w:r>
        <w:rPr>
          <w:sz w:val="22"/>
        </w:rPr>
        <w:t>de</w:t>
      </w:r>
      <w:r>
        <w:rPr>
          <w:spacing w:val="-14"/>
          <w:sz w:val="22"/>
        </w:rPr>
        <w:t> </w:t>
      </w:r>
      <w:r>
        <w:rPr>
          <w:sz w:val="22"/>
        </w:rPr>
        <w:t>gestión</w:t>
      </w:r>
      <w:r>
        <w:rPr>
          <w:spacing w:val="-14"/>
          <w:sz w:val="22"/>
        </w:rPr>
        <w:t> </w:t>
      </w:r>
      <w:r>
        <w:rPr>
          <w:sz w:val="22"/>
        </w:rPr>
        <w:t>de</w:t>
      </w:r>
      <w:r>
        <w:rPr>
          <w:spacing w:val="-14"/>
          <w:sz w:val="22"/>
        </w:rPr>
        <w:t> </w:t>
      </w:r>
      <w:r>
        <w:rPr>
          <w:sz w:val="22"/>
        </w:rPr>
        <w:t>riesgo administrado mediante el sistema informático aduanero</w:t>
      </w:r>
      <w:r>
        <w:rPr>
          <w:spacing w:val="40"/>
          <w:sz w:val="22"/>
        </w:rPr>
        <w:t> </w:t>
      </w:r>
      <w:r>
        <w:rPr>
          <w:sz w:val="22"/>
        </w:rPr>
        <w:t>de la República del Ecuador (ECUPASS), que permite realizar de manera electrónica y en línea todos los trámites relacionados con el comercio exterior, y es administrado por (SENAE).</w:t>
      </w:r>
    </w:p>
    <w:p>
      <w:pPr>
        <w:pStyle w:val="BodyText"/>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La</w:t>
      </w:r>
      <w:r>
        <w:rPr>
          <w:spacing w:val="-7"/>
          <w:sz w:val="22"/>
        </w:rPr>
        <w:t> </w:t>
      </w:r>
      <w:r>
        <w:rPr>
          <w:sz w:val="22"/>
        </w:rPr>
        <w:t>República</w:t>
      </w:r>
      <w:r>
        <w:rPr>
          <w:spacing w:val="-6"/>
          <w:sz w:val="22"/>
        </w:rPr>
        <w:t> </w:t>
      </w:r>
      <w:r>
        <w:rPr>
          <w:sz w:val="22"/>
        </w:rPr>
        <w:t>del</w:t>
      </w:r>
      <w:r>
        <w:rPr>
          <w:spacing w:val="-7"/>
          <w:sz w:val="22"/>
        </w:rPr>
        <w:t> </w:t>
      </w:r>
      <w:r>
        <w:rPr>
          <w:sz w:val="22"/>
        </w:rPr>
        <w:t>Ecuador</w:t>
      </w:r>
      <w:r>
        <w:rPr>
          <w:spacing w:val="-5"/>
          <w:sz w:val="22"/>
        </w:rPr>
        <w:t> </w:t>
      </w:r>
      <w:r>
        <w:rPr>
          <w:sz w:val="22"/>
        </w:rPr>
        <w:t>añade</w:t>
      </w:r>
      <w:r>
        <w:rPr>
          <w:spacing w:val="-9"/>
          <w:sz w:val="22"/>
        </w:rPr>
        <w:t> </w:t>
      </w:r>
      <w:r>
        <w:rPr>
          <w:sz w:val="22"/>
        </w:rPr>
        <w:t>que</w:t>
      </w:r>
      <w:r>
        <w:rPr>
          <w:spacing w:val="-9"/>
          <w:sz w:val="22"/>
        </w:rPr>
        <w:t> </w:t>
      </w:r>
      <w:r>
        <w:rPr>
          <w:sz w:val="22"/>
        </w:rPr>
        <w:t>este</w:t>
      </w:r>
      <w:r>
        <w:rPr>
          <w:spacing w:val="-8"/>
          <w:sz w:val="22"/>
        </w:rPr>
        <w:t> </w:t>
      </w:r>
      <w:r>
        <w:rPr>
          <w:sz w:val="22"/>
        </w:rPr>
        <w:t>servicio</w:t>
      </w:r>
      <w:r>
        <w:rPr>
          <w:spacing w:val="-6"/>
          <w:sz w:val="22"/>
        </w:rPr>
        <w:t> </w:t>
      </w:r>
      <w:r>
        <w:rPr>
          <w:sz w:val="22"/>
        </w:rPr>
        <w:t>se</w:t>
      </w:r>
      <w:r>
        <w:rPr>
          <w:spacing w:val="-9"/>
          <w:sz w:val="22"/>
        </w:rPr>
        <w:t> </w:t>
      </w:r>
      <w:r>
        <w:rPr>
          <w:sz w:val="22"/>
        </w:rPr>
        <w:t>diferencia</w:t>
      </w:r>
      <w:r>
        <w:rPr>
          <w:spacing w:val="-9"/>
          <w:sz w:val="22"/>
        </w:rPr>
        <w:t> </w:t>
      </w:r>
      <w:r>
        <w:rPr>
          <w:sz w:val="22"/>
        </w:rPr>
        <w:t>del</w:t>
      </w:r>
      <w:r>
        <w:rPr>
          <w:spacing w:val="-7"/>
          <w:sz w:val="22"/>
        </w:rPr>
        <w:t> </w:t>
      </w:r>
      <w:r>
        <w:rPr>
          <w:sz w:val="22"/>
        </w:rPr>
        <w:t>control</w:t>
      </w:r>
      <w:r>
        <w:rPr>
          <w:spacing w:val="-12"/>
          <w:sz w:val="22"/>
        </w:rPr>
        <w:t> </w:t>
      </w:r>
      <w:r>
        <w:rPr>
          <w:sz w:val="22"/>
        </w:rPr>
        <w:t>ordinario,</w:t>
      </w:r>
      <w:r>
        <w:rPr>
          <w:spacing w:val="-7"/>
          <w:sz w:val="22"/>
        </w:rPr>
        <w:t> </w:t>
      </w:r>
      <w:r>
        <w:rPr>
          <w:sz w:val="22"/>
        </w:rPr>
        <w:t>en la medida en que supone una reingeniería integral del proceso de control para las mercancías de la frontera norte, consistente en pasar de un esquema de selectividad que alcanzaba aproximadamente el 13% de las declaraciones a un modelo de aforo integral del 100%, lo que exige la movilización adicional de recursos humanos, tecnológicos, logísticos y operativos.</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Asimismo, argumenta la</w:t>
      </w:r>
      <w:r>
        <w:rPr>
          <w:spacing w:val="-1"/>
          <w:sz w:val="22"/>
        </w:rPr>
        <w:t> </w:t>
      </w:r>
      <w:r>
        <w:rPr>
          <w:sz w:val="22"/>
        </w:rPr>
        <w:t>República del Ecuador que ese servicio reforzado responde a un</w:t>
      </w:r>
      <w:r>
        <w:rPr>
          <w:spacing w:val="-4"/>
          <w:sz w:val="22"/>
        </w:rPr>
        <w:t> </w:t>
      </w:r>
      <w:r>
        <w:rPr>
          <w:sz w:val="22"/>
        </w:rPr>
        <w:t>incremento</w:t>
      </w:r>
      <w:r>
        <w:rPr>
          <w:spacing w:val="-4"/>
          <w:sz w:val="22"/>
        </w:rPr>
        <w:t> </w:t>
      </w:r>
      <w:r>
        <w:rPr>
          <w:sz w:val="22"/>
        </w:rPr>
        <w:t>sostenido</w:t>
      </w:r>
      <w:r>
        <w:rPr>
          <w:spacing w:val="-7"/>
          <w:sz w:val="22"/>
        </w:rPr>
        <w:t> </w:t>
      </w:r>
      <w:r>
        <w:rPr>
          <w:sz w:val="22"/>
        </w:rPr>
        <w:t>de</w:t>
      </w:r>
      <w:r>
        <w:rPr>
          <w:spacing w:val="-4"/>
          <w:sz w:val="22"/>
        </w:rPr>
        <w:t> </w:t>
      </w:r>
      <w:r>
        <w:rPr>
          <w:sz w:val="22"/>
        </w:rPr>
        <w:t>riesgos</w:t>
      </w:r>
      <w:r>
        <w:rPr>
          <w:spacing w:val="-4"/>
          <w:sz w:val="22"/>
        </w:rPr>
        <w:t> </w:t>
      </w:r>
      <w:r>
        <w:rPr>
          <w:sz w:val="22"/>
        </w:rPr>
        <w:t>asociados</w:t>
      </w:r>
      <w:r>
        <w:rPr>
          <w:spacing w:val="-4"/>
          <w:sz w:val="22"/>
        </w:rPr>
        <w:t> </w:t>
      </w:r>
      <w:r>
        <w:rPr>
          <w:sz w:val="22"/>
        </w:rPr>
        <w:t>al</w:t>
      </w:r>
      <w:r>
        <w:rPr>
          <w:spacing w:val="-5"/>
          <w:sz w:val="22"/>
        </w:rPr>
        <w:t> </w:t>
      </w:r>
      <w:r>
        <w:rPr>
          <w:sz w:val="22"/>
        </w:rPr>
        <w:t>ingreso</w:t>
      </w:r>
      <w:r>
        <w:rPr>
          <w:spacing w:val="-4"/>
          <w:sz w:val="22"/>
        </w:rPr>
        <w:t> </w:t>
      </w:r>
      <w:r>
        <w:rPr>
          <w:sz w:val="22"/>
        </w:rPr>
        <w:t>irregular</w:t>
      </w:r>
      <w:r>
        <w:rPr>
          <w:spacing w:val="-3"/>
          <w:sz w:val="22"/>
        </w:rPr>
        <w:t> </w:t>
      </w:r>
      <w:r>
        <w:rPr>
          <w:sz w:val="22"/>
        </w:rPr>
        <w:t>de</w:t>
      </w:r>
      <w:r>
        <w:rPr>
          <w:spacing w:val="-7"/>
          <w:sz w:val="22"/>
        </w:rPr>
        <w:t> </w:t>
      </w:r>
      <w:r>
        <w:rPr>
          <w:sz w:val="22"/>
        </w:rPr>
        <w:t>mercancías</w:t>
      </w:r>
      <w:r>
        <w:rPr>
          <w:spacing w:val="-4"/>
          <w:sz w:val="22"/>
        </w:rPr>
        <w:t> </w:t>
      </w:r>
      <w:r>
        <w:rPr>
          <w:sz w:val="22"/>
        </w:rPr>
        <w:t>por</w:t>
      </w:r>
      <w:r>
        <w:rPr>
          <w:spacing w:val="-3"/>
          <w:sz w:val="22"/>
        </w:rPr>
        <w:t> </w:t>
      </w:r>
      <w:r>
        <w:rPr>
          <w:sz w:val="22"/>
        </w:rPr>
        <w:t>la frontera norte, derivados de asimetrías en los niveles de control aduanero y fronterizo en el</w:t>
      </w:r>
      <w:r>
        <w:rPr>
          <w:spacing w:val="-3"/>
          <w:sz w:val="22"/>
        </w:rPr>
        <w:t> </w:t>
      </w:r>
      <w:r>
        <w:rPr>
          <w:sz w:val="22"/>
        </w:rPr>
        <w:t>país</w:t>
      </w:r>
      <w:r>
        <w:rPr>
          <w:spacing w:val="-2"/>
          <w:sz w:val="22"/>
        </w:rPr>
        <w:t> </w:t>
      </w:r>
      <w:r>
        <w:rPr>
          <w:sz w:val="22"/>
        </w:rPr>
        <w:t>de</w:t>
      </w:r>
      <w:r>
        <w:rPr>
          <w:spacing w:val="-2"/>
          <w:sz w:val="22"/>
        </w:rPr>
        <w:t> </w:t>
      </w:r>
      <w:r>
        <w:rPr>
          <w:sz w:val="22"/>
        </w:rPr>
        <w:t>procedencia,</w:t>
      </w:r>
      <w:r>
        <w:rPr>
          <w:spacing w:val="-1"/>
          <w:sz w:val="22"/>
        </w:rPr>
        <w:t> </w:t>
      </w:r>
      <w:r>
        <w:rPr>
          <w:sz w:val="22"/>
        </w:rPr>
        <w:t>lo que</w:t>
      </w:r>
      <w:r>
        <w:rPr>
          <w:spacing w:val="-2"/>
          <w:sz w:val="22"/>
        </w:rPr>
        <w:t> </w:t>
      </w:r>
      <w:r>
        <w:rPr>
          <w:sz w:val="22"/>
        </w:rPr>
        <w:t>habría</w:t>
      </w:r>
      <w:r>
        <w:rPr>
          <w:spacing w:val="-2"/>
          <w:sz w:val="22"/>
        </w:rPr>
        <w:t> </w:t>
      </w:r>
      <w:r>
        <w:rPr>
          <w:sz w:val="22"/>
        </w:rPr>
        <w:t>obligado</w:t>
      </w:r>
      <w:r>
        <w:rPr>
          <w:spacing w:val="-2"/>
          <w:sz w:val="22"/>
        </w:rPr>
        <w:t> </w:t>
      </w:r>
      <w:r>
        <w:rPr>
          <w:sz w:val="22"/>
        </w:rPr>
        <w:t>al</w:t>
      </w:r>
      <w:r>
        <w:rPr>
          <w:spacing w:val="-3"/>
          <w:sz w:val="22"/>
        </w:rPr>
        <w:t> </w:t>
      </w:r>
      <w:r>
        <w:rPr>
          <w:sz w:val="22"/>
        </w:rPr>
        <w:t>SENAE a</w:t>
      </w:r>
      <w:r>
        <w:rPr>
          <w:spacing w:val="-2"/>
          <w:sz w:val="22"/>
        </w:rPr>
        <w:t> </w:t>
      </w:r>
      <w:r>
        <w:rPr>
          <w:sz w:val="22"/>
        </w:rPr>
        <w:t>intensificar</w:t>
      </w:r>
      <w:r>
        <w:rPr>
          <w:spacing w:val="-3"/>
          <w:sz w:val="22"/>
        </w:rPr>
        <w:t> </w:t>
      </w:r>
      <w:r>
        <w:rPr>
          <w:sz w:val="22"/>
        </w:rPr>
        <w:t>sus acciones de control, vigilancia y gestión de riesgo para proteger la economía nacional, la recaudación fiscal y el comercio lícito. Desde esa óptica, las acciones adicionales desplegadas por el SENAE serían </w:t>
      </w:r>
      <w:r>
        <w:rPr>
          <w:rFonts w:ascii="Arial" w:hAnsi="Arial"/>
          <w:b/>
          <w:sz w:val="22"/>
        </w:rPr>
        <w:t>servicios administrativos efectivos</w:t>
      </w:r>
      <w:r>
        <w:rPr>
          <w:sz w:val="22"/>
        </w:rPr>
        <w:t>, indispensables</w:t>
      </w:r>
      <w:r>
        <w:rPr>
          <w:spacing w:val="-10"/>
          <w:sz w:val="22"/>
        </w:rPr>
        <w:t> </w:t>
      </w:r>
      <w:r>
        <w:rPr>
          <w:sz w:val="22"/>
        </w:rPr>
        <w:t>para</w:t>
      </w:r>
      <w:r>
        <w:rPr>
          <w:spacing w:val="-10"/>
          <w:sz w:val="22"/>
        </w:rPr>
        <w:t> </w:t>
      </w:r>
      <w:r>
        <w:rPr>
          <w:sz w:val="22"/>
        </w:rPr>
        <w:t>salvaguardar</w:t>
      </w:r>
      <w:r>
        <w:rPr>
          <w:spacing w:val="-11"/>
          <w:sz w:val="22"/>
        </w:rPr>
        <w:t> </w:t>
      </w:r>
      <w:r>
        <w:rPr>
          <w:sz w:val="22"/>
        </w:rPr>
        <w:t>el</w:t>
      </w:r>
      <w:r>
        <w:rPr>
          <w:spacing w:val="-11"/>
          <w:sz w:val="22"/>
        </w:rPr>
        <w:t> </w:t>
      </w:r>
      <w:r>
        <w:rPr>
          <w:sz w:val="22"/>
        </w:rPr>
        <w:t>interés</w:t>
      </w:r>
      <w:r>
        <w:rPr>
          <w:spacing w:val="-9"/>
          <w:sz w:val="22"/>
        </w:rPr>
        <w:t> </w:t>
      </w:r>
      <w:r>
        <w:rPr>
          <w:sz w:val="22"/>
        </w:rPr>
        <w:t>público</w:t>
      </w:r>
      <w:r>
        <w:rPr>
          <w:spacing w:val="-10"/>
          <w:sz w:val="22"/>
        </w:rPr>
        <w:t> </w:t>
      </w:r>
      <w:r>
        <w:rPr>
          <w:sz w:val="22"/>
        </w:rPr>
        <w:t>y</w:t>
      </w:r>
      <w:r>
        <w:rPr>
          <w:spacing w:val="-9"/>
          <w:sz w:val="22"/>
        </w:rPr>
        <w:t> </w:t>
      </w:r>
      <w:r>
        <w:rPr>
          <w:sz w:val="22"/>
        </w:rPr>
        <w:t>el</w:t>
      </w:r>
      <w:r>
        <w:rPr>
          <w:spacing w:val="-11"/>
          <w:sz w:val="22"/>
        </w:rPr>
        <w:t> </w:t>
      </w:r>
      <w:r>
        <w:rPr>
          <w:sz w:val="22"/>
        </w:rPr>
        <w:t>orden</w:t>
      </w:r>
      <w:r>
        <w:rPr>
          <w:spacing w:val="-10"/>
          <w:sz w:val="22"/>
        </w:rPr>
        <w:t> </w:t>
      </w:r>
      <w:r>
        <w:rPr>
          <w:sz w:val="22"/>
        </w:rPr>
        <w:t>económico</w:t>
      </w:r>
      <w:r>
        <w:rPr>
          <w:spacing w:val="-10"/>
          <w:sz w:val="22"/>
        </w:rPr>
        <w:t> </w:t>
      </w:r>
      <w:r>
        <w:rPr>
          <w:sz w:val="22"/>
        </w:rPr>
        <w:t>del</w:t>
      </w:r>
      <w:r>
        <w:rPr>
          <w:spacing w:val="-11"/>
          <w:sz w:val="22"/>
        </w:rPr>
        <w:t> </w:t>
      </w:r>
      <w:r>
        <w:rPr>
          <w:sz w:val="22"/>
        </w:rPr>
        <w:t>país,</w:t>
      </w:r>
      <w:r>
        <w:rPr>
          <w:spacing w:val="-11"/>
          <w:sz w:val="22"/>
        </w:rPr>
        <w:t> </w:t>
      </w:r>
      <w:r>
        <w:rPr>
          <w:sz w:val="22"/>
        </w:rPr>
        <w:t>y</w:t>
      </w:r>
      <w:r>
        <w:rPr>
          <w:spacing w:val="-12"/>
          <w:sz w:val="22"/>
        </w:rPr>
        <w:t> </w:t>
      </w:r>
      <w:r>
        <w:rPr>
          <w:sz w:val="22"/>
        </w:rPr>
        <w:t>por eso podrían ser retribuidas mediante una tasa.</w:t>
      </w:r>
    </w:p>
    <w:p>
      <w:pPr>
        <w:pStyle w:val="BodyText"/>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Para</w:t>
      </w:r>
      <w:r>
        <w:rPr>
          <w:spacing w:val="-4"/>
          <w:sz w:val="22"/>
        </w:rPr>
        <w:t> </w:t>
      </w:r>
      <w:r>
        <w:rPr>
          <w:sz w:val="22"/>
        </w:rPr>
        <w:t>sostener</w:t>
      </w:r>
      <w:r>
        <w:rPr>
          <w:spacing w:val="-3"/>
          <w:sz w:val="22"/>
        </w:rPr>
        <w:t> </w:t>
      </w:r>
      <w:r>
        <w:rPr>
          <w:sz w:val="22"/>
        </w:rPr>
        <w:t>que</w:t>
      </w:r>
      <w:r>
        <w:rPr>
          <w:spacing w:val="-4"/>
          <w:sz w:val="22"/>
        </w:rPr>
        <w:t> </w:t>
      </w:r>
      <w:r>
        <w:rPr>
          <w:sz w:val="22"/>
        </w:rPr>
        <w:t>existe</w:t>
      </w:r>
      <w:r>
        <w:rPr>
          <w:spacing w:val="-6"/>
          <w:sz w:val="22"/>
        </w:rPr>
        <w:t> </w:t>
      </w:r>
      <w:r>
        <w:rPr>
          <w:sz w:val="22"/>
        </w:rPr>
        <w:t>un</w:t>
      </w:r>
      <w:r>
        <w:rPr>
          <w:spacing w:val="-4"/>
          <w:sz w:val="22"/>
        </w:rPr>
        <w:t> </w:t>
      </w:r>
      <w:r>
        <w:rPr>
          <w:sz w:val="22"/>
        </w:rPr>
        <w:t>servicio</w:t>
      </w:r>
      <w:r>
        <w:rPr>
          <w:spacing w:val="-4"/>
          <w:sz w:val="22"/>
        </w:rPr>
        <w:t> </w:t>
      </w:r>
      <w:r>
        <w:rPr>
          <w:sz w:val="22"/>
        </w:rPr>
        <w:t>prestado,</w:t>
      </w:r>
      <w:r>
        <w:rPr>
          <w:spacing w:val="-3"/>
          <w:sz w:val="22"/>
        </w:rPr>
        <w:t> </w:t>
      </w:r>
      <w:r>
        <w:rPr>
          <w:sz w:val="22"/>
        </w:rPr>
        <w:t>la</w:t>
      </w:r>
      <w:r>
        <w:rPr>
          <w:spacing w:val="-6"/>
          <w:sz w:val="22"/>
        </w:rPr>
        <w:t> </w:t>
      </w:r>
      <w:r>
        <w:rPr>
          <w:sz w:val="22"/>
        </w:rPr>
        <w:t>República</w:t>
      </w:r>
      <w:r>
        <w:rPr>
          <w:spacing w:val="-4"/>
          <w:sz w:val="22"/>
        </w:rPr>
        <w:t> </w:t>
      </w:r>
      <w:r>
        <w:rPr>
          <w:sz w:val="22"/>
        </w:rPr>
        <w:t>del</w:t>
      </w:r>
      <w:r>
        <w:rPr>
          <w:spacing w:val="-5"/>
          <w:sz w:val="22"/>
        </w:rPr>
        <w:t> </w:t>
      </w:r>
      <w:r>
        <w:rPr>
          <w:sz w:val="22"/>
        </w:rPr>
        <w:t>Ecuador</w:t>
      </w:r>
      <w:r>
        <w:rPr>
          <w:spacing w:val="-3"/>
          <w:sz w:val="22"/>
        </w:rPr>
        <w:t> </w:t>
      </w:r>
      <w:r>
        <w:rPr>
          <w:sz w:val="22"/>
        </w:rPr>
        <w:t>se</w:t>
      </w:r>
      <w:r>
        <w:rPr>
          <w:spacing w:val="-4"/>
          <w:sz w:val="22"/>
        </w:rPr>
        <w:t> </w:t>
      </w:r>
      <w:r>
        <w:rPr>
          <w:sz w:val="22"/>
        </w:rPr>
        <w:t>apoya</w:t>
      </w:r>
      <w:r>
        <w:rPr>
          <w:spacing w:val="-4"/>
          <w:sz w:val="22"/>
        </w:rPr>
        <w:t> </w:t>
      </w:r>
      <w:r>
        <w:rPr>
          <w:sz w:val="22"/>
        </w:rPr>
        <w:t>en</w:t>
      </w:r>
      <w:r>
        <w:rPr>
          <w:spacing w:val="-4"/>
          <w:sz w:val="22"/>
        </w:rPr>
        <w:t> </w:t>
      </w:r>
      <w:r>
        <w:rPr>
          <w:sz w:val="22"/>
        </w:rPr>
        <w:t>el Código</w:t>
      </w:r>
      <w:r>
        <w:rPr>
          <w:spacing w:val="-5"/>
          <w:sz w:val="22"/>
        </w:rPr>
        <w:t> </w:t>
      </w:r>
      <w:r>
        <w:rPr>
          <w:sz w:val="22"/>
        </w:rPr>
        <w:t>Orgánico</w:t>
      </w:r>
      <w:r>
        <w:rPr>
          <w:spacing w:val="-5"/>
          <w:sz w:val="22"/>
        </w:rPr>
        <w:t> </w:t>
      </w:r>
      <w:r>
        <w:rPr>
          <w:sz w:val="22"/>
        </w:rPr>
        <w:t>de</w:t>
      </w:r>
      <w:r>
        <w:rPr>
          <w:spacing w:val="-5"/>
          <w:sz w:val="22"/>
        </w:rPr>
        <w:t> </w:t>
      </w:r>
      <w:r>
        <w:rPr>
          <w:sz w:val="22"/>
        </w:rPr>
        <w:t>la</w:t>
      </w:r>
      <w:r>
        <w:rPr>
          <w:spacing w:val="-5"/>
          <w:sz w:val="22"/>
        </w:rPr>
        <w:t> </w:t>
      </w:r>
      <w:r>
        <w:rPr>
          <w:sz w:val="22"/>
        </w:rPr>
        <w:t>Producción,</w:t>
      </w:r>
      <w:r>
        <w:rPr>
          <w:spacing w:val="-4"/>
          <w:sz w:val="22"/>
        </w:rPr>
        <w:t> </w:t>
      </w:r>
      <w:r>
        <w:rPr>
          <w:sz w:val="22"/>
        </w:rPr>
        <w:t>Comercio</w:t>
      </w:r>
      <w:r>
        <w:rPr>
          <w:spacing w:val="-5"/>
          <w:sz w:val="22"/>
        </w:rPr>
        <w:t> </w:t>
      </w:r>
      <w:r>
        <w:rPr>
          <w:sz w:val="22"/>
        </w:rPr>
        <w:t>e</w:t>
      </w:r>
      <w:r>
        <w:rPr>
          <w:spacing w:val="-7"/>
          <w:sz w:val="22"/>
        </w:rPr>
        <w:t> </w:t>
      </w:r>
      <w:r>
        <w:rPr>
          <w:sz w:val="22"/>
        </w:rPr>
        <w:t>Inversiones</w:t>
      </w:r>
      <w:r>
        <w:rPr>
          <w:spacing w:val="-2"/>
          <w:sz w:val="22"/>
        </w:rPr>
        <w:t> </w:t>
      </w:r>
      <w:r>
        <w:rPr>
          <w:sz w:val="22"/>
        </w:rPr>
        <w:t>-</w:t>
      </w:r>
      <w:r>
        <w:rPr>
          <w:spacing w:val="-6"/>
          <w:sz w:val="22"/>
        </w:rPr>
        <w:t> </w:t>
      </w:r>
      <w:r>
        <w:rPr>
          <w:sz w:val="22"/>
        </w:rPr>
        <w:t>COPCI,</w:t>
      </w:r>
      <w:r>
        <w:rPr>
          <w:spacing w:val="-4"/>
          <w:sz w:val="22"/>
        </w:rPr>
        <w:t> </w:t>
      </w:r>
      <w:r>
        <w:rPr>
          <w:sz w:val="22"/>
        </w:rPr>
        <w:t>especialmente</w:t>
      </w:r>
      <w:r>
        <w:rPr>
          <w:spacing w:val="-5"/>
          <w:sz w:val="22"/>
        </w:rPr>
        <w:t> </w:t>
      </w:r>
      <w:r>
        <w:rPr>
          <w:sz w:val="22"/>
        </w:rPr>
        <w:t>en las disposiciones sobre</w:t>
      </w:r>
      <w:r>
        <w:rPr>
          <w:spacing w:val="-5"/>
          <w:sz w:val="22"/>
        </w:rPr>
        <w:t> </w:t>
      </w:r>
      <w:r>
        <w:rPr>
          <w:rFonts w:ascii="Arial" w:hAnsi="Arial"/>
          <w:b/>
          <w:sz w:val="22"/>
        </w:rPr>
        <w:t>tasas por servicios aduaneros</w:t>
      </w:r>
      <w:r>
        <w:rPr>
          <w:sz w:val="22"/>
        </w:rPr>
        <w:t>, en la facultad del Director General del SENAE para crearlas y regularlas, y en la noción de “servicios aduaneros” vinculados al almacenamiento, aforo, control y vigilancia de mercancías. Además, invoca</w:t>
      </w:r>
      <w:r>
        <w:rPr>
          <w:spacing w:val="-2"/>
          <w:sz w:val="22"/>
        </w:rPr>
        <w:t> </w:t>
      </w:r>
      <w:r>
        <w:rPr>
          <w:sz w:val="22"/>
        </w:rPr>
        <w:t>la</w:t>
      </w:r>
      <w:r>
        <w:rPr>
          <w:spacing w:val="-2"/>
          <w:sz w:val="22"/>
        </w:rPr>
        <w:t> </w:t>
      </w:r>
      <w:r>
        <w:rPr>
          <w:sz w:val="22"/>
        </w:rPr>
        <w:t>Decisión</w:t>
      </w:r>
      <w:r>
        <w:rPr>
          <w:spacing w:val="-2"/>
          <w:sz w:val="22"/>
        </w:rPr>
        <w:t> </w:t>
      </w:r>
      <w:r>
        <w:rPr>
          <w:sz w:val="22"/>
        </w:rPr>
        <w:t>778</w:t>
      </w:r>
      <w:r>
        <w:rPr>
          <w:spacing w:val="-4"/>
          <w:sz w:val="22"/>
        </w:rPr>
        <w:t> </w:t>
      </w:r>
      <w:r>
        <w:rPr>
          <w:sz w:val="22"/>
        </w:rPr>
        <w:t>para</w:t>
      </w:r>
      <w:r>
        <w:rPr>
          <w:spacing w:val="-1"/>
          <w:sz w:val="22"/>
        </w:rPr>
        <w:t> </w:t>
      </w:r>
      <w:r>
        <w:rPr>
          <w:sz w:val="22"/>
        </w:rPr>
        <w:t>afirmar</w:t>
      </w:r>
      <w:r>
        <w:rPr>
          <w:spacing w:val="-3"/>
          <w:sz w:val="22"/>
        </w:rPr>
        <w:t> </w:t>
      </w:r>
      <w:r>
        <w:rPr>
          <w:sz w:val="22"/>
        </w:rPr>
        <w:t>que</w:t>
      </w:r>
      <w:r>
        <w:rPr>
          <w:spacing w:val="-4"/>
          <w:sz w:val="22"/>
        </w:rPr>
        <w:t> </w:t>
      </w:r>
      <w:r>
        <w:rPr>
          <w:sz w:val="22"/>
        </w:rPr>
        <w:t>el</w:t>
      </w:r>
      <w:r>
        <w:rPr>
          <w:spacing w:val="-3"/>
          <w:sz w:val="22"/>
        </w:rPr>
        <w:t> </w:t>
      </w:r>
      <w:r>
        <w:rPr>
          <w:sz w:val="22"/>
        </w:rPr>
        <w:t>control</w:t>
      </w:r>
      <w:r>
        <w:rPr>
          <w:spacing w:val="-5"/>
          <w:sz w:val="22"/>
        </w:rPr>
        <w:t> </w:t>
      </w:r>
      <w:r>
        <w:rPr>
          <w:sz w:val="22"/>
        </w:rPr>
        <w:t>aduanero</w:t>
      </w:r>
      <w:r>
        <w:rPr>
          <w:spacing w:val="-1"/>
          <w:sz w:val="22"/>
        </w:rPr>
        <w:t> </w:t>
      </w:r>
      <w:r>
        <w:rPr>
          <w:sz w:val="22"/>
        </w:rPr>
        <w:t>es</w:t>
      </w:r>
      <w:r>
        <w:rPr>
          <w:spacing w:val="-4"/>
          <w:sz w:val="22"/>
        </w:rPr>
        <w:t> </w:t>
      </w:r>
      <w:r>
        <w:rPr>
          <w:sz w:val="22"/>
        </w:rPr>
        <w:t>un</w:t>
      </w:r>
      <w:r>
        <w:rPr>
          <w:spacing w:val="-4"/>
          <w:sz w:val="22"/>
        </w:rPr>
        <w:t> </w:t>
      </w:r>
      <w:r>
        <w:rPr>
          <w:sz w:val="22"/>
        </w:rPr>
        <w:t>conjunto</w:t>
      </w:r>
      <w:r>
        <w:rPr>
          <w:spacing w:val="-2"/>
          <w:sz w:val="22"/>
        </w:rPr>
        <w:t> </w:t>
      </w:r>
      <w:r>
        <w:rPr>
          <w:sz w:val="22"/>
        </w:rPr>
        <w:t>de</w:t>
      </w:r>
      <w:r>
        <w:rPr>
          <w:spacing w:val="-4"/>
          <w:sz w:val="22"/>
        </w:rPr>
        <w:t> </w:t>
      </w:r>
      <w:r>
        <w:rPr>
          <w:sz w:val="22"/>
        </w:rPr>
        <w:t>medidas técnicas</w:t>
      </w:r>
      <w:r>
        <w:rPr>
          <w:spacing w:val="-7"/>
          <w:sz w:val="22"/>
        </w:rPr>
        <w:t> </w:t>
      </w:r>
      <w:r>
        <w:rPr>
          <w:sz w:val="22"/>
        </w:rPr>
        <w:t>y</w:t>
      </w:r>
      <w:r>
        <w:rPr>
          <w:spacing w:val="-8"/>
          <w:sz w:val="22"/>
        </w:rPr>
        <w:t> </w:t>
      </w:r>
      <w:r>
        <w:rPr>
          <w:sz w:val="22"/>
        </w:rPr>
        <w:t>operativas</w:t>
      </w:r>
      <w:r>
        <w:rPr>
          <w:spacing w:val="-7"/>
          <w:sz w:val="22"/>
        </w:rPr>
        <w:t> </w:t>
      </w:r>
      <w:r>
        <w:rPr>
          <w:sz w:val="22"/>
        </w:rPr>
        <w:t>de</w:t>
      </w:r>
      <w:r>
        <w:rPr>
          <w:spacing w:val="-7"/>
          <w:sz w:val="22"/>
        </w:rPr>
        <w:t> </w:t>
      </w:r>
      <w:r>
        <w:rPr>
          <w:sz w:val="22"/>
        </w:rPr>
        <w:t>intensidad</w:t>
      </w:r>
      <w:r>
        <w:rPr>
          <w:spacing w:val="-7"/>
          <w:sz w:val="22"/>
        </w:rPr>
        <w:t> </w:t>
      </w:r>
      <w:r>
        <w:rPr>
          <w:sz w:val="22"/>
        </w:rPr>
        <w:t>variable,</w:t>
      </w:r>
      <w:r>
        <w:rPr>
          <w:spacing w:val="-8"/>
          <w:sz w:val="22"/>
        </w:rPr>
        <w:t> </w:t>
      </w:r>
      <w:r>
        <w:rPr>
          <w:sz w:val="22"/>
        </w:rPr>
        <w:t>aplicables</w:t>
      </w:r>
      <w:r>
        <w:rPr>
          <w:spacing w:val="-7"/>
          <w:sz w:val="22"/>
        </w:rPr>
        <w:t> </w:t>
      </w:r>
      <w:r>
        <w:rPr>
          <w:sz w:val="22"/>
        </w:rPr>
        <w:t>con</w:t>
      </w:r>
      <w:r>
        <w:rPr>
          <w:spacing w:val="-7"/>
          <w:sz w:val="22"/>
        </w:rPr>
        <w:t> </w:t>
      </w:r>
      <w:r>
        <w:rPr>
          <w:sz w:val="22"/>
        </w:rPr>
        <w:t>base</w:t>
      </w:r>
      <w:r>
        <w:rPr>
          <w:spacing w:val="-7"/>
          <w:sz w:val="22"/>
        </w:rPr>
        <w:t> </w:t>
      </w:r>
      <w:r>
        <w:rPr>
          <w:sz w:val="22"/>
        </w:rPr>
        <w:t>en</w:t>
      </w:r>
      <w:r>
        <w:rPr>
          <w:spacing w:val="-9"/>
          <w:sz w:val="22"/>
        </w:rPr>
        <w:t> </w:t>
      </w:r>
      <w:r>
        <w:rPr>
          <w:sz w:val="22"/>
        </w:rPr>
        <w:t>análisis</w:t>
      </w:r>
      <w:r>
        <w:rPr>
          <w:spacing w:val="-7"/>
          <w:sz w:val="22"/>
        </w:rPr>
        <w:t> </w:t>
      </w:r>
      <w:r>
        <w:rPr>
          <w:sz w:val="22"/>
        </w:rPr>
        <w:t>de</w:t>
      </w:r>
      <w:r>
        <w:rPr>
          <w:spacing w:val="-7"/>
          <w:sz w:val="22"/>
        </w:rPr>
        <w:t> </w:t>
      </w:r>
      <w:r>
        <w:rPr>
          <w:sz w:val="22"/>
        </w:rPr>
        <w:t>riesgo</w:t>
      </w:r>
      <w:r>
        <w:rPr>
          <w:spacing w:val="-7"/>
          <w:sz w:val="22"/>
        </w:rPr>
        <w:t> </w:t>
      </w:r>
      <w:r>
        <w:rPr>
          <w:sz w:val="22"/>
        </w:rPr>
        <w:t>e incluso respecto de mercancías procedentes u originarias de determinados países, de modo que el control focalizado sobre mercancías colombianas sería una modalidad admitida por el propio derecho andino.</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La República del Ecuador sostiene que la TSCA remunera un </w:t>
      </w:r>
      <w:r>
        <w:rPr>
          <w:rFonts w:ascii="Arial" w:hAnsi="Arial"/>
          <w:b/>
          <w:sz w:val="22"/>
        </w:rPr>
        <w:t>servicio de control aduanero reforzado</w:t>
      </w:r>
      <w:r>
        <w:rPr>
          <w:rFonts w:ascii="Arial" w:hAnsi="Arial"/>
          <w:b/>
          <w:spacing w:val="-1"/>
          <w:sz w:val="22"/>
        </w:rPr>
        <w:t> </w:t>
      </w:r>
      <w:r>
        <w:rPr>
          <w:sz w:val="22"/>
        </w:rPr>
        <w:t>efectivamente prestado al importador, cuya materialización operativa comprende la sujeción de las mercancías que provengan o sean originarias</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BodyText"/>
        <w:ind w:left="1134" w:right="981"/>
        <w:jc w:val="both"/>
      </w:pPr>
      <w:r>
        <w:rPr/>
        <w:t>de</w:t>
      </w:r>
      <w:r>
        <w:rPr>
          <w:spacing w:val="-4"/>
        </w:rPr>
        <w:t> </w:t>
      </w:r>
      <w:r>
        <w:rPr/>
        <w:t>la</w:t>
      </w:r>
      <w:r>
        <w:rPr>
          <w:spacing w:val="-4"/>
        </w:rPr>
        <w:t> </w:t>
      </w:r>
      <w:r>
        <w:rPr/>
        <w:t>República</w:t>
      </w:r>
      <w:r>
        <w:rPr>
          <w:spacing w:val="-4"/>
        </w:rPr>
        <w:t> </w:t>
      </w:r>
      <w:r>
        <w:rPr/>
        <w:t>de</w:t>
      </w:r>
      <w:r>
        <w:rPr>
          <w:spacing w:val="-4"/>
        </w:rPr>
        <w:t> </w:t>
      </w:r>
      <w:r>
        <w:rPr/>
        <w:t>Colombia</w:t>
      </w:r>
      <w:r>
        <w:rPr>
          <w:spacing w:val="-4"/>
        </w:rPr>
        <w:t> </w:t>
      </w:r>
      <w:r>
        <w:rPr/>
        <w:t>a</w:t>
      </w:r>
      <w:r>
        <w:rPr>
          <w:spacing w:val="-4"/>
        </w:rPr>
        <w:t> </w:t>
      </w:r>
      <w:r>
        <w:rPr/>
        <w:t>canales</w:t>
      </w:r>
      <w:r>
        <w:rPr>
          <w:spacing w:val="-4"/>
        </w:rPr>
        <w:t> </w:t>
      </w:r>
      <w:r>
        <w:rPr/>
        <w:t>de</w:t>
      </w:r>
      <w:r>
        <w:rPr>
          <w:spacing w:val="-4"/>
        </w:rPr>
        <w:t> </w:t>
      </w:r>
      <w:r>
        <w:rPr/>
        <w:t>aforo</w:t>
      </w:r>
      <w:r>
        <w:rPr>
          <w:spacing w:val="-6"/>
        </w:rPr>
        <w:t> </w:t>
      </w:r>
      <w:r>
        <w:rPr/>
        <w:t>físico,</w:t>
      </w:r>
      <w:r>
        <w:rPr>
          <w:spacing w:val="-3"/>
        </w:rPr>
        <w:t> </w:t>
      </w:r>
      <w:r>
        <w:rPr/>
        <w:t>documental</w:t>
      </w:r>
      <w:r>
        <w:rPr>
          <w:spacing w:val="-5"/>
        </w:rPr>
        <w:t> </w:t>
      </w:r>
      <w:r>
        <w:rPr/>
        <w:t>o</w:t>
      </w:r>
      <w:r>
        <w:rPr>
          <w:spacing w:val="-4"/>
        </w:rPr>
        <w:t> </w:t>
      </w:r>
      <w:r>
        <w:rPr/>
        <w:t>físico</w:t>
      </w:r>
      <w:r>
        <w:rPr>
          <w:spacing w:val="-4"/>
        </w:rPr>
        <w:t> </w:t>
      </w:r>
      <w:r>
        <w:rPr/>
        <w:t>no</w:t>
      </w:r>
      <w:r>
        <w:rPr>
          <w:spacing w:val="-4"/>
        </w:rPr>
        <w:t> </w:t>
      </w:r>
      <w:r>
        <w:rPr/>
        <w:t>intrusivo, asignados</w:t>
      </w:r>
      <w:r>
        <w:rPr>
          <w:spacing w:val="-10"/>
        </w:rPr>
        <w:t> </w:t>
      </w:r>
      <w:r>
        <w:rPr/>
        <w:t>mediante</w:t>
      </w:r>
      <w:r>
        <w:rPr>
          <w:spacing w:val="-10"/>
        </w:rPr>
        <w:t> </w:t>
      </w:r>
      <w:r>
        <w:rPr/>
        <w:t>el</w:t>
      </w:r>
      <w:r>
        <w:rPr>
          <w:spacing w:val="-11"/>
        </w:rPr>
        <w:t> </w:t>
      </w:r>
      <w:r>
        <w:rPr/>
        <w:t>modelo</w:t>
      </w:r>
      <w:r>
        <w:rPr>
          <w:spacing w:val="-7"/>
        </w:rPr>
        <w:t> </w:t>
      </w:r>
      <w:r>
        <w:rPr/>
        <w:t>institucional</w:t>
      </w:r>
      <w:r>
        <w:rPr>
          <w:spacing w:val="-11"/>
        </w:rPr>
        <w:t> </w:t>
      </w:r>
      <w:r>
        <w:rPr/>
        <w:t>de</w:t>
      </w:r>
      <w:r>
        <w:rPr>
          <w:spacing w:val="-8"/>
        </w:rPr>
        <w:t> </w:t>
      </w:r>
      <w:r>
        <w:rPr/>
        <w:t>gestión</w:t>
      </w:r>
      <w:r>
        <w:rPr>
          <w:spacing w:val="-8"/>
        </w:rPr>
        <w:t> </w:t>
      </w:r>
      <w:r>
        <w:rPr/>
        <w:t>de</w:t>
      </w:r>
      <w:r>
        <w:rPr>
          <w:spacing w:val="-13"/>
        </w:rPr>
        <w:t> </w:t>
      </w:r>
      <w:r>
        <w:rPr/>
        <w:t>riesgo</w:t>
      </w:r>
      <w:r>
        <w:rPr>
          <w:spacing w:val="-7"/>
        </w:rPr>
        <w:t> </w:t>
      </w:r>
      <w:r>
        <w:rPr/>
        <w:t>y</w:t>
      </w:r>
      <w:r>
        <w:rPr>
          <w:spacing w:val="-9"/>
        </w:rPr>
        <w:t> </w:t>
      </w:r>
      <w:r>
        <w:rPr/>
        <w:t>ejecutados</w:t>
      </w:r>
      <w:r>
        <w:rPr>
          <w:spacing w:val="-7"/>
        </w:rPr>
        <w:t> </w:t>
      </w:r>
      <w:r>
        <w:rPr/>
        <w:t>dentro</w:t>
      </w:r>
      <w:r>
        <w:rPr>
          <w:spacing w:val="-10"/>
        </w:rPr>
        <w:t> </w:t>
      </w:r>
      <w:r>
        <w:rPr/>
        <w:t>del procedimiento de despacho.</w:t>
      </w:r>
    </w:p>
    <w:p>
      <w:pPr>
        <w:pStyle w:val="BodyText"/>
        <w:spacing w:before="1"/>
      </w:pPr>
    </w:p>
    <w:p>
      <w:pPr>
        <w:pStyle w:val="Heading6"/>
        <w:numPr>
          <w:ilvl w:val="0"/>
          <w:numId w:val="22"/>
        </w:numPr>
        <w:tabs>
          <w:tab w:pos="1854" w:val="left" w:leader="none"/>
        </w:tabs>
        <w:spacing w:line="240" w:lineRule="auto" w:before="0" w:after="0"/>
        <w:ind w:left="1854" w:right="0" w:hanging="360"/>
        <w:jc w:val="left"/>
      </w:pPr>
      <w:r>
        <w:rPr>
          <w:spacing w:val="-2"/>
        </w:rPr>
        <w:t>Argumentos</w:t>
      </w:r>
      <w:r>
        <w:rPr>
          <w:spacing w:val="-5"/>
        </w:rPr>
        <w:t> </w:t>
      </w:r>
      <w:r>
        <w:rPr>
          <w:spacing w:val="-2"/>
        </w:rPr>
        <w:t>de</w:t>
      </w:r>
      <w:r>
        <w:rPr>
          <w:spacing w:val="-8"/>
        </w:rPr>
        <w:t> </w:t>
      </w:r>
      <w:r>
        <w:rPr>
          <w:spacing w:val="-2"/>
        </w:rPr>
        <w:t>la</w:t>
      </w:r>
      <w:r>
        <w:rPr>
          <w:spacing w:val="-7"/>
        </w:rPr>
        <w:t> </w:t>
      </w:r>
      <w:r>
        <w:rPr>
          <w:spacing w:val="-2"/>
        </w:rPr>
        <w:t>Asociación</w:t>
      </w:r>
      <w:r>
        <w:rPr>
          <w:spacing w:val="-5"/>
        </w:rPr>
        <w:t> </w:t>
      </w:r>
      <w:r>
        <w:rPr>
          <w:spacing w:val="-2"/>
        </w:rPr>
        <w:t>Nacional</w:t>
      </w:r>
      <w:r>
        <w:rPr>
          <w:spacing w:val="-3"/>
        </w:rPr>
        <w:t> </w:t>
      </w:r>
      <w:r>
        <w:rPr>
          <w:spacing w:val="-2"/>
        </w:rPr>
        <w:t>de</w:t>
      </w:r>
      <w:r>
        <w:rPr>
          <w:spacing w:val="-8"/>
        </w:rPr>
        <w:t> </w:t>
      </w:r>
      <w:r>
        <w:rPr>
          <w:spacing w:val="-2"/>
        </w:rPr>
        <w:t>Empresarios</w:t>
      </w:r>
      <w:r>
        <w:rPr>
          <w:spacing w:val="-4"/>
        </w:rPr>
        <w:t> </w:t>
      </w:r>
      <w:r>
        <w:rPr>
          <w:spacing w:val="-2"/>
        </w:rPr>
        <w:t>de</w:t>
      </w:r>
      <w:r>
        <w:rPr>
          <w:spacing w:val="-9"/>
        </w:rPr>
        <w:t> </w:t>
      </w:r>
      <w:r>
        <w:rPr>
          <w:spacing w:val="-2"/>
        </w:rPr>
        <w:t>Colombia -</w:t>
      </w:r>
      <w:r>
        <w:rPr>
          <w:spacing w:val="-5"/>
        </w:rPr>
        <w:t> </w:t>
      </w:r>
      <w:r>
        <w:rPr>
          <w:spacing w:val="-4"/>
        </w:rPr>
        <w:t>ANDI</w:t>
      </w:r>
    </w:p>
    <w:p>
      <w:pPr>
        <w:pStyle w:val="ListParagraph"/>
        <w:numPr>
          <w:ilvl w:val="0"/>
          <w:numId w:val="11"/>
        </w:numPr>
        <w:tabs>
          <w:tab w:pos="1130" w:val="left" w:leader="none"/>
          <w:tab w:pos="1134" w:val="left" w:leader="none"/>
        </w:tabs>
        <w:spacing w:line="240" w:lineRule="auto" w:before="251" w:after="0"/>
        <w:ind w:left="1134" w:right="980" w:hanging="567"/>
        <w:jc w:val="both"/>
        <w:rPr>
          <w:sz w:val="22"/>
        </w:rPr>
      </w:pPr>
      <w:r>
        <w:rPr>
          <w:sz w:val="22"/>
        </w:rPr>
        <w:t>La ANDI sostiene que</w:t>
      </w:r>
      <w:r>
        <w:rPr>
          <w:spacing w:val="-2"/>
          <w:sz w:val="22"/>
        </w:rPr>
        <w:t> </w:t>
      </w:r>
      <w:r>
        <w:rPr>
          <w:rFonts w:ascii="Arial" w:hAnsi="Arial"/>
          <w:b/>
          <w:sz w:val="22"/>
        </w:rPr>
        <w:t>no existe</w:t>
      </w:r>
      <w:r>
        <w:rPr>
          <w:rFonts w:ascii="Arial" w:hAnsi="Arial"/>
          <w:b/>
          <w:spacing w:val="-1"/>
          <w:sz w:val="22"/>
        </w:rPr>
        <w:t> </w:t>
      </w:r>
      <w:r>
        <w:rPr>
          <w:sz w:val="22"/>
        </w:rPr>
        <w:t>un servicio específico y diferenciado que la República del Ecuador preste al importador colombiano que pueda justificar la TSCA como tasa excluida del concepto de gravamen. Al respecto destaca lo siguiente:</w:t>
      </w:r>
    </w:p>
    <w:p>
      <w:pPr>
        <w:pStyle w:val="BodyText"/>
        <w:spacing w:before="3"/>
      </w:pPr>
    </w:p>
    <w:p>
      <w:pPr>
        <w:pStyle w:val="ListParagraph"/>
        <w:numPr>
          <w:ilvl w:val="0"/>
          <w:numId w:val="23"/>
        </w:numPr>
        <w:tabs>
          <w:tab w:pos="2553" w:val="left" w:leader="none"/>
        </w:tabs>
        <w:spacing w:line="237" w:lineRule="auto" w:before="0" w:after="0"/>
        <w:ind w:left="2553" w:right="981" w:hanging="361"/>
        <w:jc w:val="both"/>
        <w:rPr>
          <w:sz w:val="22"/>
        </w:rPr>
      </w:pPr>
      <w:r>
        <w:rPr>
          <w:sz w:val="22"/>
        </w:rPr>
        <w:t>El control aduanero (aforo físico, documental o no intrusivo) es una función soberana ordinaria de la aduana ecuatoriana, que ya se ejerce sobre todas las importaciones, con independencia de su origen.</w:t>
      </w:r>
    </w:p>
    <w:p>
      <w:pPr>
        <w:pStyle w:val="BodyText"/>
        <w:spacing w:before="5"/>
      </w:pPr>
    </w:p>
    <w:p>
      <w:pPr>
        <w:pStyle w:val="ListParagraph"/>
        <w:numPr>
          <w:ilvl w:val="0"/>
          <w:numId w:val="23"/>
        </w:numPr>
        <w:tabs>
          <w:tab w:pos="2553" w:val="left" w:leader="none"/>
        </w:tabs>
        <w:spacing w:line="240" w:lineRule="auto" w:before="0" w:after="0"/>
        <w:ind w:left="2553" w:right="978" w:hanging="361"/>
        <w:jc w:val="both"/>
        <w:rPr>
          <w:sz w:val="22"/>
        </w:rPr>
      </w:pPr>
      <w:r>
        <w:rPr>
          <w:sz w:val="22"/>
        </w:rPr>
        <w:t>La Resolución SENAE-SENAE-2026-0017-RE no crea un servicio adicional, diferenciado o especial para las mercancías colombianas; simplemente somete esas mercancías al mismo tipo de control que la aduana</w:t>
      </w:r>
      <w:r>
        <w:rPr>
          <w:spacing w:val="-9"/>
          <w:sz w:val="22"/>
        </w:rPr>
        <w:t> </w:t>
      </w:r>
      <w:r>
        <w:rPr>
          <w:sz w:val="22"/>
        </w:rPr>
        <w:t>realiza</w:t>
      </w:r>
      <w:r>
        <w:rPr>
          <w:spacing w:val="-6"/>
          <w:sz w:val="22"/>
        </w:rPr>
        <w:t> </w:t>
      </w:r>
      <w:r>
        <w:rPr>
          <w:sz w:val="22"/>
        </w:rPr>
        <w:t>habitualmente,</w:t>
      </w:r>
      <w:r>
        <w:rPr>
          <w:spacing w:val="-7"/>
          <w:sz w:val="22"/>
        </w:rPr>
        <w:t> </w:t>
      </w:r>
      <w:r>
        <w:rPr>
          <w:sz w:val="22"/>
        </w:rPr>
        <w:t>pero</w:t>
      </w:r>
      <w:r>
        <w:rPr>
          <w:spacing w:val="-8"/>
          <w:sz w:val="22"/>
        </w:rPr>
        <w:t> </w:t>
      </w:r>
      <w:r>
        <w:rPr>
          <w:sz w:val="22"/>
        </w:rPr>
        <w:t>añadiendo</w:t>
      </w:r>
      <w:r>
        <w:rPr>
          <w:spacing w:val="-6"/>
          <w:sz w:val="22"/>
        </w:rPr>
        <w:t> </w:t>
      </w:r>
      <w:r>
        <w:rPr>
          <w:sz w:val="22"/>
        </w:rPr>
        <w:t>un</w:t>
      </w:r>
      <w:r>
        <w:rPr>
          <w:spacing w:val="-10"/>
          <w:sz w:val="22"/>
        </w:rPr>
        <w:t> </w:t>
      </w:r>
      <w:r>
        <w:rPr>
          <w:sz w:val="22"/>
        </w:rPr>
        <w:t>recargo</w:t>
      </w:r>
      <w:r>
        <w:rPr>
          <w:spacing w:val="-9"/>
          <w:sz w:val="22"/>
        </w:rPr>
        <w:t> </w:t>
      </w:r>
      <w:r>
        <w:rPr>
          <w:sz w:val="22"/>
        </w:rPr>
        <w:t>del</w:t>
      </w:r>
      <w:r>
        <w:rPr>
          <w:spacing w:val="-9"/>
          <w:sz w:val="22"/>
        </w:rPr>
        <w:t> </w:t>
      </w:r>
      <w:r>
        <w:rPr>
          <w:sz w:val="22"/>
        </w:rPr>
        <w:t>50%</w:t>
      </w:r>
      <w:r>
        <w:rPr>
          <w:spacing w:val="-8"/>
          <w:sz w:val="22"/>
        </w:rPr>
        <w:t> </w:t>
      </w:r>
      <w:r>
        <w:rPr>
          <w:sz w:val="22"/>
        </w:rPr>
        <w:t>sobre el valor en aduana.</w:t>
      </w:r>
    </w:p>
    <w:p>
      <w:pPr>
        <w:pStyle w:val="ListParagraph"/>
        <w:numPr>
          <w:ilvl w:val="0"/>
          <w:numId w:val="11"/>
        </w:numPr>
        <w:tabs>
          <w:tab w:pos="1130" w:val="left" w:leader="none"/>
          <w:tab w:pos="1134" w:val="left" w:leader="none"/>
        </w:tabs>
        <w:spacing w:line="240" w:lineRule="auto" w:before="250" w:after="0"/>
        <w:ind w:left="1134" w:right="984" w:hanging="567"/>
        <w:jc w:val="both"/>
        <w:rPr>
          <w:sz w:val="22"/>
        </w:rPr>
      </w:pPr>
      <w:r>
        <w:rPr>
          <w:sz w:val="22"/>
        </w:rPr>
        <w:t>Por</w:t>
      </w:r>
      <w:r>
        <w:rPr>
          <w:spacing w:val="-14"/>
          <w:sz w:val="22"/>
        </w:rPr>
        <w:t> </w:t>
      </w:r>
      <w:r>
        <w:rPr>
          <w:sz w:val="22"/>
        </w:rPr>
        <w:t>tanto,</w:t>
      </w:r>
      <w:r>
        <w:rPr>
          <w:spacing w:val="-11"/>
          <w:sz w:val="22"/>
        </w:rPr>
        <w:t> </w:t>
      </w:r>
      <w:r>
        <w:rPr>
          <w:sz w:val="22"/>
        </w:rPr>
        <w:t>la</w:t>
      </w:r>
      <w:r>
        <w:rPr>
          <w:spacing w:val="-15"/>
          <w:sz w:val="22"/>
        </w:rPr>
        <w:t> </w:t>
      </w:r>
      <w:r>
        <w:rPr>
          <w:sz w:val="22"/>
        </w:rPr>
        <w:t>República</w:t>
      </w:r>
      <w:r>
        <w:rPr>
          <w:spacing w:val="-12"/>
          <w:sz w:val="22"/>
        </w:rPr>
        <w:t> </w:t>
      </w:r>
      <w:r>
        <w:rPr>
          <w:sz w:val="22"/>
        </w:rPr>
        <w:t>del</w:t>
      </w:r>
      <w:r>
        <w:rPr>
          <w:spacing w:val="-13"/>
          <w:sz w:val="22"/>
        </w:rPr>
        <w:t> </w:t>
      </w:r>
      <w:r>
        <w:rPr>
          <w:sz w:val="22"/>
        </w:rPr>
        <w:t>Ecuador</w:t>
      </w:r>
      <w:r>
        <w:rPr>
          <w:spacing w:val="-13"/>
          <w:sz w:val="22"/>
        </w:rPr>
        <w:t> </w:t>
      </w:r>
      <w:r>
        <w:rPr>
          <w:sz w:val="22"/>
        </w:rPr>
        <w:t>no</w:t>
      </w:r>
      <w:r>
        <w:rPr>
          <w:spacing w:val="-13"/>
          <w:sz w:val="22"/>
        </w:rPr>
        <w:t> </w:t>
      </w:r>
      <w:r>
        <w:rPr>
          <w:sz w:val="22"/>
        </w:rPr>
        <w:t>estaría</w:t>
      </w:r>
      <w:r>
        <w:rPr>
          <w:spacing w:val="-15"/>
          <w:sz w:val="22"/>
        </w:rPr>
        <w:t> </w:t>
      </w:r>
      <w:r>
        <w:rPr>
          <w:sz w:val="22"/>
        </w:rPr>
        <w:t>cumpliendo</w:t>
      </w:r>
      <w:r>
        <w:rPr>
          <w:spacing w:val="-13"/>
          <w:sz w:val="22"/>
        </w:rPr>
        <w:t> </w:t>
      </w:r>
      <w:r>
        <w:rPr>
          <w:sz w:val="22"/>
        </w:rPr>
        <w:t>el</w:t>
      </w:r>
      <w:r>
        <w:rPr>
          <w:spacing w:val="-13"/>
          <w:sz w:val="22"/>
        </w:rPr>
        <w:t> </w:t>
      </w:r>
      <w:r>
        <w:rPr>
          <w:sz w:val="22"/>
        </w:rPr>
        <w:t>primer</w:t>
      </w:r>
      <w:r>
        <w:rPr>
          <w:spacing w:val="-14"/>
          <w:sz w:val="22"/>
        </w:rPr>
        <w:t> </w:t>
      </w:r>
      <w:r>
        <w:rPr>
          <w:sz w:val="22"/>
        </w:rPr>
        <w:t>requisito</w:t>
      </w:r>
      <w:r>
        <w:rPr>
          <w:spacing w:val="-12"/>
          <w:sz w:val="22"/>
        </w:rPr>
        <w:t> </w:t>
      </w:r>
      <w:r>
        <w:rPr>
          <w:sz w:val="22"/>
        </w:rPr>
        <w:t>del</w:t>
      </w:r>
      <w:r>
        <w:rPr>
          <w:spacing w:val="-13"/>
          <w:sz w:val="22"/>
        </w:rPr>
        <w:t> </w:t>
      </w:r>
      <w:r>
        <w:rPr>
          <w:sz w:val="22"/>
        </w:rPr>
        <w:t>artículo 73 del Acuerdo de Cartagena, no hay un servicio efectivamente prestado que sea distinto del ejercicio general de la potestad aduanera.</w:t>
      </w:r>
    </w:p>
    <w:p>
      <w:pPr>
        <w:pStyle w:val="BodyText"/>
      </w:pPr>
    </w:p>
    <w:p>
      <w:pPr>
        <w:pStyle w:val="Heading6"/>
        <w:numPr>
          <w:ilvl w:val="0"/>
          <w:numId w:val="24"/>
        </w:numPr>
        <w:tabs>
          <w:tab w:pos="1854" w:val="left" w:leader="none"/>
        </w:tabs>
        <w:spacing w:line="240" w:lineRule="auto" w:before="1" w:after="0"/>
        <w:ind w:left="1854" w:right="0" w:hanging="360"/>
        <w:jc w:val="left"/>
      </w:pPr>
      <w:r>
        <w:rPr/>
        <w:t>Visitas</w:t>
      </w:r>
      <w:r>
        <w:rPr>
          <w:spacing w:val="-5"/>
        </w:rPr>
        <w:t> </w:t>
      </w:r>
      <w:r>
        <w:rPr/>
        <w:t>de</w:t>
      </w:r>
      <w:r>
        <w:rPr>
          <w:spacing w:val="-6"/>
        </w:rPr>
        <w:t> </w:t>
      </w:r>
      <w:r>
        <w:rPr/>
        <w:t>verificación</w:t>
      </w:r>
      <w:r>
        <w:rPr>
          <w:spacing w:val="-7"/>
        </w:rPr>
        <w:t> </w:t>
      </w:r>
      <w:r>
        <w:rPr/>
        <w:t>realizadas</w:t>
      </w:r>
      <w:r>
        <w:rPr>
          <w:spacing w:val="-3"/>
        </w:rPr>
        <w:t> </w:t>
      </w:r>
      <w:r>
        <w:rPr/>
        <w:t>por</w:t>
      </w:r>
      <w:r>
        <w:rPr>
          <w:spacing w:val="-7"/>
        </w:rPr>
        <w:t> </w:t>
      </w:r>
      <w:r>
        <w:rPr/>
        <w:t>la</w:t>
      </w:r>
      <w:r>
        <w:rPr>
          <w:spacing w:val="-2"/>
        </w:rPr>
        <w:t> SGCAN</w:t>
      </w:r>
    </w:p>
    <w:p>
      <w:pPr>
        <w:pStyle w:val="ListParagraph"/>
        <w:numPr>
          <w:ilvl w:val="0"/>
          <w:numId w:val="11"/>
        </w:numPr>
        <w:tabs>
          <w:tab w:pos="1130" w:val="left" w:leader="none"/>
          <w:tab w:pos="1134" w:val="left" w:leader="none"/>
        </w:tabs>
        <w:spacing w:line="240" w:lineRule="auto" w:before="252" w:after="0"/>
        <w:ind w:left="1134" w:right="977" w:hanging="567"/>
        <w:jc w:val="both"/>
        <w:rPr>
          <w:sz w:val="22"/>
        </w:rPr>
      </w:pPr>
      <w:r>
        <w:rPr>
          <w:sz w:val="22"/>
        </w:rPr>
        <w:t>De</w:t>
      </w:r>
      <w:r>
        <w:rPr>
          <w:spacing w:val="-6"/>
          <w:sz w:val="22"/>
        </w:rPr>
        <w:t> </w:t>
      </w:r>
      <w:r>
        <w:rPr>
          <w:sz w:val="22"/>
        </w:rPr>
        <w:t>la</w:t>
      </w:r>
      <w:r>
        <w:rPr>
          <w:spacing w:val="-6"/>
          <w:sz w:val="22"/>
        </w:rPr>
        <w:t> </w:t>
      </w:r>
      <w:r>
        <w:rPr>
          <w:sz w:val="22"/>
        </w:rPr>
        <w:t>visita</w:t>
      </w:r>
      <w:r>
        <w:rPr>
          <w:spacing w:val="-6"/>
          <w:sz w:val="22"/>
        </w:rPr>
        <w:t> </w:t>
      </w:r>
      <w:r>
        <w:rPr>
          <w:sz w:val="22"/>
        </w:rPr>
        <w:t>de</w:t>
      </w:r>
      <w:r>
        <w:rPr>
          <w:spacing w:val="-7"/>
          <w:sz w:val="22"/>
        </w:rPr>
        <w:t> </w:t>
      </w:r>
      <w:r>
        <w:rPr>
          <w:sz w:val="22"/>
        </w:rPr>
        <w:t>verificación</w:t>
      </w:r>
      <w:r>
        <w:rPr>
          <w:spacing w:val="-5"/>
          <w:sz w:val="22"/>
        </w:rPr>
        <w:t> </w:t>
      </w:r>
      <w:r>
        <w:rPr>
          <w:rFonts w:ascii="Arial" w:hAnsi="Arial"/>
          <w:i/>
          <w:sz w:val="22"/>
        </w:rPr>
        <w:t>in</w:t>
      </w:r>
      <w:r>
        <w:rPr>
          <w:rFonts w:ascii="Arial" w:hAnsi="Arial"/>
          <w:i/>
          <w:spacing w:val="-6"/>
          <w:sz w:val="22"/>
        </w:rPr>
        <w:t> </w:t>
      </w:r>
      <w:r>
        <w:rPr>
          <w:rFonts w:ascii="Arial" w:hAnsi="Arial"/>
          <w:i/>
          <w:sz w:val="22"/>
        </w:rPr>
        <w:t>situ</w:t>
      </w:r>
      <w:r>
        <w:rPr>
          <w:rFonts w:ascii="Arial" w:hAnsi="Arial"/>
          <w:i/>
          <w:spacing w:val="-6"/>
          <w:sz w:val="22"/>
        </w:rPr>
        <w:t> </w:t>
      </w:r>
      <w:r>
        <w:rPr>
          <w:sz w:val="22"/>
        </w:rPr>
        <w:t>realizada</w:t>
      </w:r>
      <w:r>
        <w:rPr>
          <w:spacing w:val="-6"/>
          <w:sz w:val="22"/>
        </w:rPr>
        <w:t> </w:t>
      </w:r>
      <w:r>
        <w:rPr>
          <w:sz w:val="22"/>
        </w:rPr>
        <w:t>en</w:t>
      </w:r>
      <w:r>
        <w:rPr>
          <w:spacing w:val="-7"/>
          <w:sz w:val="22"/>
        </w:rPr>
        <w:t> </w:t>
      </w:r>
      <w:r>
        <w:rPr>
          <w:sz w:val="22"/>
        </w:rPr>
        <w:t>el</w:t>
      </w:r>
      <w:r>
        <w:rPr>
          <w:spacing w:val="-7"/>
          <w:sz w:val="22"/>
        </w:rPr>
        <w:t> </w:t>
      </w:r>
      <w:r>
        <w:rPr>
          <w:sz w:val="22"/>
        </w:rPr>
        <w:t>Distrito</w:t>
      </w:r>
      <w:r>
        <w:rPr>
          <w:spacing w:val="-6"/>
          <w:sz w:val="22"/>
        </w:rPr>
        <w:t> </w:t>
      </w:r>
      <w:r>
        <w:rPr>
          <w:sz w:val="22"/>
        </w:rPr>
        <w:t>Aduanero</w:t>
      </w:r>
      <w:r>
        <w:rPr>
          <w:spacing w:val="-6"/>
          <w:sz w:val="22"/>
        </w:rPr>
        <w:t> </w:t>
      </w:r>
      <w:r>
        <w:rPr>
          <w:sz w:val="22"/>
        </w:rPr>
        <w:t>de</w:t>
      </w:r>
      <w:r>
        <w:rPr>
          <w:spacing w:val="-7"/>
          <w:sz w:val="22"/>
        </w:rPr>
        <w:t> </w:t>
      </w:r>
      <w:r>
        <w:rPr>
          <w:sz w:val="22"/>
        </w:rPr>
        <w:t>Tulcán,</w:t>
      </w:r>
      <w:r>
        <w:rPr>
          <w:spacing w:val="-5"/>
          <w:sz w:val="22"/>
        </w:rPr>
        <w:t> </w:t>
      </w:r>
      <w:r>
        <w:rPr>
          <w:sz w:val="22"/>
        </w:rPr>
        <w:t>República del Ecuador, la SGCAN</w:t>
      </w:r>
      <w:r>
        <w:rPr>
          <w:spacing w:val="40"/>
          <w:sz w:val="22"/>
        </w:rPr>
        <w:t> </w:t>
      </w:r>
      <w:r>
        <w:rPr>
          <w:sz w:val="22"/>
        </w:rPr>
        <w:t>constató que el cobro de la tasa de servicio por concepto de control aduanero se genera automáticamente al momento de la declaración aduanera de importación y se aplica, con carácter general, a las mercancías provenientes u originarias de la República de Colombia.</w:t>
      </w:r>
    </w:p>
    <w:p>
      <w:pPr>
        <w:pStyle w:val="ListParagraph"/>
        <w:numPr>
          <w:ilvl w:val="0"/>
          <w:numId w:val="11"/>
        </w:numPr>
        <w:tabs>
          <w:tab w:pos="1130" w:val="left" w:leader="none"/>
          <w:tab w:pos="1134" w:val="left" w:leader="none"/>
        </w:tabs>
        <w:spacing w:line="240" w:lineRule="auto" w:before="252" w:after="0"/>
        <w:ind w:left="1134" w:right="981" w:hanging="567"/>
        <w:jc w:val="both"/>
        <w:rPr>
          <w:sz w:val="22"/>
        </w:rPr>
      </w:pPr>
      <w:r>
        <w:rPr>
          <w:sz w:val="22"/>
        </w:rPr>
        <w:t>Asimismo, la SGCAN verificó que, una vez efectuado el pago de los tributos y de la referida tasa, el sistema asigna el canal de aforo correspondiente, y que el esquema operativo implementado supone la eliminación del canal automático y el sometimiento generalizado de la carga a aforo documental y, en un número significativo de casos, a aforo físico e inspección intrusiva.</w:t>
      </w:r>
    </w:p>
    <w:p>
      <w:pPr>
        <w:pStyle w:val="ListParagraph"/>
        <w:numPr>
          <w:ilvl w:val="0"/>
          <w:numId w:val="11"/>
        </w:numPr>
        <w:tabs>
          <w:tab w:pos="1130" w:val="left" w:leader="none"/>
          <w:tab w:pos="1134" w:val="left" w:leader="none"/>
        </w:tabs>
        <w:spacing w:line="240" w:lineRule="auto" w:before="252" w:after="0"/>
        <w:ind w:left="1134" w:right="977" w:hanging="567"/>
        <w:jc w:val="both"/>
        <w:rPr>
          <w:sz w:val="22"/>
        </w:rPr>
      </w:pPr>
      <w:r>
        <w:rPr>
          <w:sz w:val="22"/>
        </w:rPr>
        <w:t>De igual manera, la SGCAN constató que, el nivel distrital del Servicio Nacional de Aduana de la República del Ecuador no contaba con información técnica relativa a la metodología</w:t>
      </w:r>
      <w:r>
        <w:rPr>
          <w:spacing w:val="-2"/>
          <w:sz w:val="22"/>
        </w:rPr>
        <w:t> </w:t>
      </w:r>
      <w:r>
        <w:rPr>
          <w:sz w:val="22"/>
        </w:rPr>
        <w:t>empleada</w:t>
      </w:r>
      <w:r>
        <w:rPr>
          <w:spacing w:val="-2"/>
          <w:sz w:val="22"/>
        </w:rPr>
        <w:t> </w:t>
      </w:r>
      <w:r>
        <w:rPr>
          <w:sz w:val="22"/>
        </w:rPr>
        <w:t>para determinar el</w:t>
      </w:r>
      <w:r>
        <w:rPr>
          <w:spacing w:val="-1"/>
          <w:sz w:val="22"/>
        </w:rPr>
        <w:t> </w:t>
      </w:r>
      <w:r>
        <w:rPr>
          <w:sz w:val="22"/>
        </w:rPr>
        <w:t>costo aproximado del</w:t>
      </w:r>
      <w:r>
        <w:rPr>
          <w:spacing w:val="-2"/>
          <w:sz w:val="22"/>
        </w:rPr>
        <w:t> </w:t>
      </w:r>
      <w:r>
        <w:rPr>
          <w:sz w:val="22"/>
        </w:rPr>
        <w:t>supuesto</w:t>
      </w:r>
      <w:r>
        <w:rPr>
          <w:spacing w:val="-4"/>
          <w:sz w:val="22"/>
        </w:rPr>
        <w:t> </w:t>
      </w:r>
      <w:r>
        <w:rPr>
          <w:sz w:val="22"/>
        </w:rPr>
        <w:t>servicio, ni</w:t>
      </w:r>
      <w:r>
        <w:rPr>
          <w:spacing w:val="-1"/>
          <w:sz w:val="22"/>
        </w:rPr>
        <w:t> </w:t>
      </w:r>
      <w:r>
        <w:rPr>
          <w:sz w:val="22"/>
        </w:rPr>
        <w:t>a la justificación específica del porcentaje </w:t>
      </w:r>
      <w:r>
        <w:rPr>
          <w:rFonts w:ascii="Arial" w:hAnsi="Arial"/>
          <w:i/>
          <w:sz w:val="22"/>
        </w:rPr>
        <w:t>ad valorem </w:t>
      </w:r>
      <w:r>
        <w:rPr>
          <w:sz w:val="22"/>
        </w:rPr>
        <w:t>exigido, precisándose que tales aspectos corresponden a la Planta Central. Del mismo modo, la SGCAN identificó que los recursos recaudados estarían destinados al financiamiento de personal adicional, tecnología, inteligencia artificial e infraestructura de seguridad en frontera, lo que evidencia, en principio, una estructura de financiamiento orientada al fortalecimiento institucional y al sostenimiento de funciones generales de control estatal.</w:t>
      </w:r>
    </w:p>
    <w:p>
      <w:pPr>
        <w:pStyle w:val="BodyText"/>
      </w:pPr>
    </w:p>
    <w:p>
      <w:pPr>
        <w:pStyle w:val="ListParagraph"/>
        <w:numPr>
          <w:ilvl w:val="0"/>
          <w:numId w:val="11"/>
        </w:numPr>
        <w:tabs>
          <w:tab w:pos="1130" w:val="left" w:leader="none"/>
          <w:tab w:pos="1134" w:val="left" w:leader="none"/>
        </w:tabs>
        <w:spacing w:line="240" w:lineRule="auto" w:before="0" w:after="0"/>
        <w:ind w:left="1134" w:right="976" w:hanging="567"/>
        <w:jc w:val="both"/>
        <w:rPr>
          <w:sz w:val="22"/>
        </w:rPr>
      </w:pPr>
      <w:r>
        <w:rPr>
          <w:sz w:val="22"/>
        </w:rPr>
        <w:t>Sobre</w:t>
      </w:r>
      <w:r>
        <w:rPr>
          <w:spacing w:val="-5"/>
          <w:sz w:val="22"/>
        </w:rPr>
        <w:t> </w:t>
      </w:r>
      <w:r>
        <w:rPr>
          <w:sz w:val="22"/>
        </w:rPr>
        <w:t>esa</w:t>
      </w:r>
      <w:r>
        <w:rPr>
          <w:spacing w:val="-6"/>
          <w:sz w:val="22"/>
        </w:rPr>
        <w:t> </w:t>
      </w:r>
      <w:r>
        <w:rPr>
          <w:sz w:val="22"/>
        </w:rPr>
        <w:t>base</w:t>
      </w:r>
      <w:r>
        <w:rPr>
          <w:spacing w:val="-8"/>
          <w:sz w:val="22"/>
        </w:rPr>
        <w:t> </w:t>
      </w:r>
      <w:r>
        <w:rPr>
          <w:sz w:val="22"/>
        </w:rPr>
        <w:t>fáctica,</w:t>
      </w:r>
      <w:r>
        <w:rPr>
          <w:spacing w:val="-4"/>
          <w:sz w:val="22"/>
        </w:rPr>
        <w:t> </w:t>
      </w:r>
      <w:r>
        <w:rPr>
          <w:sz w:val="22"/>
        </w:rPr>
        <w:t>la</w:t>
      </w:r>
      <w:r>
        <w:rPr>
          <w:spacing w:val="-5"/>
          <w:sz w:val="22"/>
        </w:rPr>
        <w:t> </w:t>
      </w:r>
      <w:r>
        <w:rPr>
          <w:sz w:val="22"/>
        </w:rPr>
        <w:t>SGCAN</w:t>
      </w:r>
      <w:r>
        <w:rPr>
          <w:spacing w:val="-6"/>
          <w:sz w:val="22"/>
        </w:rPr>
        <w:t> </w:t>
      </w:r>
      <w:r>
        <w:rPr>
          <w:sz w:val="22"/>
        </w:rPr>
        <w:t>observa</w:t>
      </w:r>
      <w:r>
        <w:rPr>
          <w:spacing w:val="-5"/>
          <w:sz w:val="22"/>
        </w:rPr>
        <w:t> </w:t>
      </w:r>
      <w:r>
        <w:rPr>
          <w:sz w:val="22"/>
        </w:rPr>
        <w:t>que</w:t>
      </w:r>
      <w:r>
        <w:rPr>
          <w:spacing w:val="-8"/>
          <w:sz w:val="22"/>
        </w:rPr>
        <w:t> </w:t>
      </w:r>
      <w:r>
        <w:rPr>
          <w:sz w:val="22"/>
        </w:rPr>
        <w:t>los</w:t>
      </w:r>
      <w:r>
        <w:rPr>
          <w:spacing w:val="-5"/>
          <w:sz w:val="22"/>
        </w:rPr>
        <w:t> </w:t>
      </w:r>
      <w:r>
        <w:rPr>
          <w:sz w:val="22"/>
        </w:rPr>
        <w:t>elementos</w:t>
      </w:r>
      <w:r>
        <w:rPr>
          <w:spacing w:val="-8"/>
          <w:sz w:val="22"/>
        </w:rPr>
        <w:t> </w:t>
      </w:r>
      <w:r>
        <w:rPr>
          <w:sz w:val="22"/>
        </w:rPr>
        <w:t>recabados</w:t>
      </w:r>
      <w:r>
        <w:rPr>
          <w:spacing w:val="-7"/>
          <w:sz w:val="22"/>
        </w:rPr>
        <w:t> </w:t>
      </w:r>
      <w:r>
        <w:rPr>
          <w:sz w:val="22"/>
        </w:rPr>
        <w:t>en</w:t>
      </w:r>
      <w:r>
        <w:rPr>
          <w:spacing w:val="-5"/>
          <w:sz w:val="22"/>
        </w:rPr>
        <w:t> </w:t>
      </w:r>
      <w:r>
        <w:rPr>
          <w:sz w:val="22"/>
        </w:rPr>
        <w:t>la</w:t>
      </w:r>
      <w:r>
        <w:rPr>
          <w:spacing w:val="-5"/>
          <w:sz w:val="22"/>
        </w:rPr>
        <w:t> </w:t>
      </w:r>
      <w:r>
        <w:rPr>
          <w:sz w:val="22"/>
        </w:rPr>
        <w:t>visita</w:t>
      </w:r>
      <w:r>
        <w:rPr>
          <w:spacing w:val="-5"/>
          <w:sz w:val="22"/>
        </w:rPr>
        <w:t> </w:t>
      </w:r>
      <w:r>
        <w:rPr>
          <w:sz w:val="22"/>
        </w:rPr>
        <w:t>no permiten identificar un servicio individualizable, divisible y específicamente prestado al importador</w:t>
      </w:r>
      <w:r>
        <w:rPr>
          <w:spacing w:val="-10"/>
          <w:sz w:val="22"/>
        </w:rPr>
        <w:t> </w:t>
      </w:r>
      <w:r>
        <w:rPr>
          <w:sz w:val="22"/>
        </w:rPr>
        <w:t>en</w:t>
      </w:r>
      <w:r>
        <w:rPr>
          <w:spacing w:val="-12"/>
          <w:sz w:val="22"/>
        </w:rPr>
        <w:t> </w:t>
      </w:r>
      <w:r>
        <w:rPr>
          <w:sz w:val="22"/>
        </w:rPr>
        <w:t>relación</w:t>
      </w:r>
      <w:r>
        <w:rPr>
          <w:spacing w:val="-12"/>
          <w:sz w:val="22"/>
        </w:rPr>
        <w:t> </w:t>
      </w:r>
      <w:r>
        <w:rPr>
          <w:sz w:val="22"/>
        </w:rPr>
        <w:t>con</w:t>
      </w:r>
      <w:r>
        <w:rPr>
          <w:spacing w:val="-9"/>
          <w:sz w:val="22"/>
        </w:rPr>
        <w:t> </w:t>
      </w:r>
      <w:r>
        <w:rPr>
          <w:sz w:val="22"/>
        </w:rPr>
        <w:t>el</w:t>
      </w:r>
      <w:r>
        <w:rPr>
          <w:spacing w:val="-12"/>
          <w:sz w:val="22"/>
        </w:rPr>
        <w:t> </w:t>
      </w:r>
      <w:r>
        <w:rPr>
          <w:sz w:val="22"/>
        </w:rPr>
        <w:t>hecho</w:t>
      </w:r>
      <w:r>
        <w:rPr>
          <w:spacing w:val="-14"/>
          <w:sz w:val="22"/>
        </w:rPr>
        <w:t> </w:t>
      </w:r>
      <w:r>
        <w:rPr>
          <w:sz w:val="22"/>
        </w:rPr>
        <w:t>mismo</w:t>
      </w:r>
      <w:r>
        <w:rPr>
          <w:spacing w:val="-11"/>
          <w:sz w:val="22"/>
        </w:rPr>
        <w:t> </w:t>
      </w:r>
      <w:r>
        <w:rPr>
          <w:sz w:val="22"/>
        </w:rPr>
        <w:t>de</w:t>
      </w:r>
      <w:r>
        <w:rPr>
          <w:spacing w:val="-12"/>
          <w:sz w:val="22"/>
        </w:rPr>
        <w:t> </w:t>
      </w:r>
      <w:r>
        <w:rPr>
          <w:sz w:val="22"/>
        </w:rPr>
        <w:t>la</w:t>
      </w:r>
      <w:r>
        <w:rPr>
          <w:spacing w:val="-11"/>
          <w:sz w:val="22"/>
        </w:rPr>
        <w:t> </w:t>
      </w:r>
      <w:r>
        <w:rPr>
          <w:sz w:val="22"/>
        </w:rPr>
        <w:t>importación,</w:t>
      </w:r>
      <w:r>
        <w:rPr>
          <w:spacing w:val="-10"/>
          <w:sz w:val="22"/>
        </w:rPr>
        <w:t> </w:t>
      </w:r>
      <w:r>
        <w:rPr>
          <w:sz w:val="22"/>
        </w:rPr>
        <w:t>sino</w:t>
      </w:r>
      <w:r>
        <w:rPr>
          <w:spacing w:val="-12"/>
          <w:sz w:val="22"/>
        </w:rPr>
        <w:t> </w:t>
      </w:r>
      <w:r>
        <w:rPr>
          <w:sz w:val="22"/>
        </w:rPr>
        <w:t>más</w:t>
      </w:r>
      <w:r>
        <w:rPr>
          <w:spacing w:val="-11"/>
          <w:sz w:val="22"/>
        </w:rPr>
        <w:t> </w:t>
      </w:r>
      <w:r>
        <w:rPr>
          <w:sz w:val="22"/>
        </w:rPr>
        <w:t>bien</w:t>
      </w:r>
      <w:r>
        <w:rPr>
          <w:spacing w:val="-9"/>
          <w:sz w:val="22"/>
        </w:rPr>
        <w:t> </w:t>
      </w:r>
      <w:r>
        <w:rPr>
          <w:sz w:val="22"/>
        </w:rPr>
        <w:t>un</w:t>
      </w:r>
      <w:r>
        <w:rPr>
          <w:spacing w:val="-12"/>
          <w:sz w:val="22"/>
        </w:rPr>
        <w:t> </w:t>
      </w:r>
      <w:r>
        <w:rPr>
          <w:sz w:val="22"/>
        </w:rPr>
        <w:t>conjunto de actuaciones de control, fiscalización y seguridad aduanera de carácter general inherentes al ejercicio de potestades públicas. A partir de lo anterior, y con base en la información</w:t>
      </w:r>
      <w:r>
        <w:rPr>
          <w:spacing w:val="57"/>
          <w:sz w:val="22"/>
        </w:rPr>
        <w:t> </w:t>
      </w:r>
      <w:r>
        <w:rPr>
          <w:sz w:val="22"/>
        </w:rPr>
        <w:t>obtenida</w:t>
      </w:r>
      <w:r>
        <w:rPr>
          <w:spacing w:val="61"/>
          <w:sz w:val="22"/>
        </w:rPr>
        <w:t> </w:t>
      </w:r>
      <w:r>
        <w:rPr>
          <w:rFonts w:ascii="Arial" w:hAnsi="Arial"/>
          <w:i/>
          <w:sz w:val="22"/>
        </w:rPr>
        <w:t>in</w:t>
      </w:r>
      <w:r>
        <w:rPr>
          <w:rFonts w:ascii="Arial" w:hAnsi="Arial"/>
          <w:i/>
          <w:spacing w:val="57"/>
          <w:sz w:val="22"/>
        </w:rPr>
        <w:t> </w:t>
      </w:r>
      <w:r>
        <w:rPr>
          <w:rFonts w:ascii="Arial" w:hAnsi="Arial"/>
          <w:i/>
          <w:sz w:val="22"/>
        </w:rPr>
        <w:t>situ,</w:t>
      </w:r>
      <w:r>
        <w:rPr>
          <w:rFonts w:ascii="Arial" w:hAnsi="Arial"/>
          <w:i/>
          <w:spacing w:val="59"/>
          <w:sz w:val="22"/>
        </w:rPr>
        <w:t> </w:t>
      </w:r>
      <w:r>
        <w:rPr>
          <w:sz w:val="22"/>
        </w:rPr>
        <w:t>no</w:t>
      </w:r>
      <w:r>
        <w:rPr>
          <w:spacing w:val="57"/>
          <w:sz w:val="22"/>
        </w:rPr>
        <w:t> </w:t>
      </w:r>
      <w:r>
        <w:rPr>
          <w:sz w:val="22"/>
        </w:rPr>
        <w:t>se</w:t>
      </w:r>
      <w:r>
        <w:rPr>
          <w:spacing w:val="57"/>
          <w:sz w:val="22"/>
        </w:rPr>
        <w:t> </w:t>
      </w:r>
      <w:r>
        <w:rPr>
          <w:sz w:val="22"/>
        </w:rPr>
        <w:t>ha</w:t>
      </w:r>
      <w:r>
        <w:rPr>
          <w:spacing w:val="59"/>
          <w:sz w:val="22"/>
        </w:rPr>
        <w:t> </w:t>
      </w:r>
      <w:r>
        <w:rPr>
          <w:sz w:val="22"/>
        </w:rPr>
        <w:t>podido</w:t>
      </w:r>
      <w:r>
        <w:rPr>
          <w:spacing w:val="59"/>
          <w:sz w:val="22"/>
        </w:rPr>
        <w:t> </w:t>
      </w:r>
      <w:r>
        <w:rPr>
          <w:sz w:val="22"/>
        </w:rPr>
        <w:t>establecer</w:t>
      </w:r>
      <w:r>
        <w:rPr>
          <w:spacing w:val="60"/>
          <w:sz w:val="22"/>
        </w:rPr>
        <w:t> </w:t>
      </w:r>
      <w:r>
        <w:rPr>
          <w:sz w:val="22"/>
        </w:rPr>
        <w:t>que</w:t>
      </w:r>
      <w:r>
        <w:rPr>
          <w:spacing w:val="57"/>
          <w:sz w:val="22"/>
        </w:rPr>
        <w:t> </w:t>
      </w:r>
      <w:r>
        <w:rPr>
          <w:sz w:val="22"/>
        </w:rPr>
        <w:t>exista</w:t>
      </w:r>
      <w:r>
        <w:rPr>
          <w:spacing w:val="40"/>
          <w:sz w:val="22"/>
        </w:rPr>
        <w:t> </w:t>
      </w:r>
      <w:r>
        <w:rPr>
          <w:sz w:val="22"/>
        </w:rPr>
        <w:t>una</w:t>
      </w:r>
      <w:r>
        <w:rPr>
          <w:spacing w:val="60"/>
          <w:sz w:val="22"/>
        </w:rPr>
        <w:t> </w:t>
      </w:r>
      <w:r>
        <w:rPr>
          <w:sz w:val="22"/>
        </w:rPr>
        <w:t>relación</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BodyText"/>
        <w:ind w:left="1134" w:right="955"/>
      </w:pPr>
      <w:r>
        <w:rPr/>
        <w:t>concreta,</w:t>
      </w:r>
      <w:r>
        <w:rPr>
          <w:spacing w:val="25"/>
        </w:rPr>
        <w:t> </w:t>
      </w:r>
      <w:r>
        <w:rPr/>
        <w:t>directa y</w:t>
      </w:r>
      <w:r>
        <w:rPr>
          <w:spacing w:val="24"/>
        </w:rPr>
        <w:t> </w:t>
      </w:r>
      <w:r>
        <w:rPr/>
        <w:t>proporcional entre el monto exigido en cada</w:t>
      </w:r>
      <w:r>
        <w:rPr>
          <w:spacing w:val="24"/>
        </w:rPr>
        <w:t> </w:t>
      </w:r>
      <w:r>
        <w:rPr/>
        <w:t>operación</w:t>
      </w:r>
      <w:r>
        <w:rPr>
          <w:spacing w:val="29"/>
        </w:rPr>
        <w:t> </w:t>
      </w:r>
      <w:r>
        <w:rPr/>
        <w:t>y</w:t>
      </w:r>
      <w:r>
        <w:rPr>
          <w:spacing w:val="24"/>
        </w:rPr>
        <w:t> </w:t>
      </w:r>
      <w:r>
        <w:rPr/>
        <w:t>el costo aproximado de un servicio efectivamente prestado al importador.</w:t>
      </w:r>
    </w:p>
    <w:p>
      <w:pPr>
        <w:pStyle w:val="BodyText"/>
      </w:pPr>
    </w:p>
    <w:p>
      <w:pPr>
        <w:pStyle w:val="ListParagraph"/>
        <w:numPr>
          <w:ilvl w:val="0"/>
          <w:numId w:val="11"/>
        </w:numPr>
        <w:tabs>
          <w:tab w:pos="1130" w:val="left" w:leader="none"/>
          <w:tab w:pos="1134" w:val="left" w:leader="none"/>
        </w:tabs>
        <w:spacing w:line="240" w:lineRule="auto" w:before="0" w:after="0"/>
        <w:ind w:left="1134" w:right="976" w:hanging="567"/>
        <w:jc w:val="both"/>
        <w:rPr>
          <w:sz w:val="22"/>
        </w:rPr>
      </w:pPr>
      <w:r>
        <w:rPr>
          <w:sz w:val="22"/>
        </w:rPr>
        <w:t>La SGCAN</w:t>
      </w:r>
      <w:r>
        <w:rPr>
          <w:spacing w:val="40"/>
          <w:sz w:val="22"/>
        </w:rPr>
        <w:t> </w:t>
      </w:r>
      <w:r>
        <w:rPr>
          <w:sz w:val="22"/>
        </w:rPr>
        <w:t>ha constatado, además, a partir de la información proporcionada por los representantes de agencias de aduana, representantes del sector transporte de carga terrestre de ambos países, representantes de las cámaras de comercio de Tulcán e Ipiales,</w:t>
      </w:r>
      <w:r>
        <w:rPr>
          <w:spacing w:val="-10"/>
          <w:sz w:val="22"/>
        </w:rPr>
        <w:t> </w:t>
      </w:r>
      <w:r>
        <w:rPr>
          <w:sz w:val="22"/>
        </w:rPr>
        <w:t>representantes</w:t>
      </w:r>
      <w:r>
        <w:rPr>
          <w:spacing w:val="-13"/>
          <w:sz w:val="22"/>
        </w:rPr>
        <w:t> </w:t>
      </w:r>
      <w:r>
        <w:rPr>
          <w:sz w:val="22"/>
        </w:rPr>
        <w:t>del</w:t>
      </w:r>
      <w:r>
        <w:rPr>
          <w:spacing w:val="-12"/>
          <w:sz w:val="22"/>
        </w:rPr>
        <w:t> </w:t>
      </w:r>
      <w:r>
        <w:rPr>
          <w:sz w:val="22"/>
        </w:rPr>
        <w:t>sector</w:t>
      </w:r>
      <w:r>
        <w:rPr>
          <w:spacing w:val="-10"/>
          <w:sz w:val="22"/>
        </w:rPr>
        <w:t> </w:t>
      </w:r>
      <w:r>
        <w:rPr>
          <w:sz w:val="22"/>
        </w:rPr>
        <w:t>de</w:t>
      </w:r>
      <w:r>
        <w:rPr>
          <w:spacing w:val="-11"/>
          <w:sz w:val="22"/>
        </w:rPr>
        <w:t> </w:t>
      </w:r>
      <w:r>
        <w:rPr>
          <w:sz w:val="22"/>
        </w:rPr>
        <w:t>almacenes</w:t>
      </w:r>
      <w:r>
        <w:rPr>
          <w:spacing w:val="-13"/>
          <w:sz w:val="22"/>
        </w:rPr>
        <w:t> </w:t>
      </w:r>
      <w:r>
        <w:rPr>
          <w:sz w:val="22"/>
        </w:rPr>
        <w:t>temporales</w:t>
      </w:r>
      <w:r>
        <w:rPr>
          <w:spacing w:val="-13"/>
          <w:sz w:val="22"/>
        </w:rPr>
        <w:t> </w:t>
      </w:r>
      <w:r>
        <w:rPr>
          <w:sz w:val="22"/>
        </w:rPr>
        <w:t>(almaceneras),</w:t>
      </w:r>
      <w:r>
        <w:rPr>
          <w:spacing w:val="-9"/>
          <w:sz w:val="22"/>
        </w:rPr>
        <w:t> </w:t>
      </w:r>
      <w:r>
        <w:rPr>
          <w:sz w:val="22"/>
        </w:rPr>
        <w:t>autoridades locales</w:t>
      </w:r>
      <w:r>
        <w:rPr>
          <w:spacing w:val="-16"/>
          <w:sz w:val="22"/>
        </w:rPr>
        <w:t> </w:t>
      </w:r>
      <w:r>
        <w:rPr>
          <w:sz w:val="22"/>
        </w:rPr>
        <w:t>y</w:t>
      </w:r>
      <w:r>
        <w:rPr>
          <w:spacing w:val="-15"/>
          <w:sz w:val="22"/>
        </w:rPr>
        <w:t> </w:t>
      </w:r>
      <w:r>
        <w:rPr>
          <w:sz w:val="22"/>
        </w:rPr>
        <w:t>delegados</w:t>
      </w:r>
      <w:r>
        <w:rPr>
          <w:spacing w:val="-15"/>
          <w:sz w:val="22"/>
        </w:rPr>
        <w:t> </w:t>
      </w:r>
      <w:r>
        <w:rPr>
          <w:sz w:val="22"/>
        </w:rPr>
        <w:t>de</w:t>
      </w:r>
      <w:r>
        <w:rPr>
          <w:spacing w:val="-16"/>
          <w:sz w:val="22"/>
        </w:rPr>
        <w:t> </w:t>
      </w:r>
      <w:r>
        <w:rPr>
          <w:sz w:val="22"/>
        </w:rPr>
        <w:t>entidades</w:t>
      </w:r>
      <w:r>
        <w:rPr>
          <w:spacing w:val="-15"/>
          <w:sz w:val="22"/>
        </w:rPr>
        <w:t> </w:t>
      </w:r>
      <w:r>
        <w:rPr>
          <w:sz w:val="22"/>
        </w:rPr>
        <w:t>públicas</w:t>
      </w:r>
      <w:r>
        <w:rPr>
          <w:spacing w:val="-15"/>
          <w:sz w:val="22"/>
        </w:rPr>
        <w:t> </w:t>
      </w:r>
      <w:r>
        <w:rPr>
          <w:sz w:val="22"/>
        </w:rPr>
        <w:t>vinculadas</w:t>
      </w:r>
      <w:r>
        <w:rPr>
          <w:spacing w:val="-15"/>
          <w:sz w:val="22"/>
        </w:rPr>
        <w:t> </w:t>
      </w:r>
      <w:r>
        <w:rPr>
          <w:sz w:val="22"/>
        </w:rPr>
        <w:t>al</w:t>
      </w:r>
      <w:r>
        <w:rPr>
          <w:spacing w:val="-16"/>
          <w:sz w:val="22"/>
        </w:rPr>
        <w:t> </w:t>
      </w:r>
      <w:r>
        <w:rPr>
          <w:sz w:val="22"/>
        </w:rPr>
        <w:t>comercio</w:t>
      </w:r>
      <w:r>
        <w:rPr>
          <w:spacing w:val="-15"/>
          <w:sz w:val="22"/>
        </w:rPr>
        <w:t> </w:t>
      </w:r>
      <w:r>
        <w:rPr>
          <w:sz w:val="22"/>
        </w:rPr>
        <w:t>y</w:t>
      </w:r>
      <w:r>
        <w:rPr>
          <w:spacing w:val="-15"/>
          <w:sz w:val="22"/>
        </w:rPr>
        <w:t> </w:t>
      </w:r>
      <w:r>
        <w:rPr>
          <w:sz w:val="22"/>
        </w:rPr>
        <w:t>seguridad</w:t>
      </w:r>
      <w:r>
        <w:rPr>
          <w:spacing w:val="-16"/>
          <w:sz w:val="22"/>
        </w:rPr>
        <w:t> </w:t>
      </w:r>
      <w:r>
        <w:rPr>
          <w:sz w:val="22"/>
        </w:rPr>
        <w:t>fronteriza, efectos consistentes de una afectación al comercio formal subregional, reflejada en la reducción del número de declaraciones aduaneras, la disminución de los volúmenes transportados,</w:t>
      </w:r>
      <w:r>
        <w:rPr>
          <w:spacing w:val="-8"/>
          <w:sz w:val="22"/>
        </w:rPr>
        <w:t> </w:t>
      </w:r>
      <w:r>
        <w:rPr>
          <w:sz w:val="22"/>
        </w:rPr>
        <w:t>la</w:t>
      </w:r>
      <w:r>
        <w:rPr>
          <w:spacing w:val="-7"/>
          <w:sz w:val="22"/>
        </w:rPr>
        <w:t> </w:t>
      </w:r>
      <w:r>
        <w:rPr>
          <w:sz w:val="22"/>
        </w:rPr>
        <w:t>cancelación</w:t>
      </w:r>
      <w:r>
        <w:rPr>
          <w:spacing w:val="-8"/>
          <w:sz w:val="22"/>
        </w:rPr>
        <w:t> </w:t>
      </w:r>
      <w:r>
        <w:rPr>
          <w:sz w:val="22"/>
        </w:rPr>
        <w:t>de</w:t>
      </w:r>
      <w:r>
        <w:rPr>
          <w:spacing w:val="-8"/>
          <w:sz w:val="22"/>
        </w:rPr>
        <w:t> </w:t>
      </w:r>
      <w:r>
        <w:rPr>
          <w:sz w:val="22"/>
        </w:rPr>
        <w:t>operaciones</w:t>
      </w:r>
      <w:r>
        <w:rPr>
          <w:spacing w:val="-7"/>
          <w:sz w:val="22"/>
        </w:rPr>
        <w:t> </w:t>
      </w:r>
      <w:r>
        <w:rPr>
          <w:sz w:val="22"/>
        </w:rPr>
        <w:t>comerciales</w:t>
      </w:r>
      <w:r>
        <w:rPr>
          <w:spacing w:val="-7"/>
          <w:sz w:val="22"/>
        </w:rPr>
        <w:t> </w:t>
      </w:r>
      <w:r>
        <w:rPr>
          <w:sz w:val="22"/>
        </w:rPr>
        <w:t>y</w:t>
      </w:r>
      <w:r>
        <w:rPr>
          <w:spacing w:val="-9"/>
          <w:sz w:val="22"/>
        </w:rPr>
        <w:t> </w:t>
      </w:r>
      <w:r>
        <w:rPr>
          <w:sz w:val="22"/>
        </w:rPr>
        <w:t>el</w:t>
      </w:r>
      <w:r>
        <w:rPr>
          <w:spacing w:val="-8"/>
          <w:sz w:val="22"/>
        </w:rPr>
        <w:t> </w:t>
      </w:r>
      <w:r>
        <w:rPr>
          <w:sz w:val="22"/>
        </w:rPr>
        <w:t>incremento</w:t>
      </w:r>
      <w:r>
        <w:rPr>
          <w:spacing w:val="-12"/>
          <w:sz w:val="22"/>
        </w:rPr>
        <w:t> </w:t>
      </w:r>
      <w:r>
        <w:rPr>
          <w:sz w:val="22"/>
        </w:rPr>
        <w:t>de</w:t>
      </w:r>
      <w:r>
        <w:rPr>
          <w:spacing w:val="-8"/>
          <w:sz w:val="22"/>
        </w:rPr>
        <w:t> </w:t>
      </w:r>
      <w:r>
        <w:rPr>
          <w:sz w:val="22"/>
        </w:rPr>
        <w:t>los</w:t>
      </w:r>
      <w:r>
        <w:rPr>
          <w:spacing w:val="-7"/>
          <w:sz w:val="22"/>
        </w:rPr>
        <w:t> </w:t>
      </w:r>
      <w:r>
        <w:rPr>
          <w:sz w:val="22"/>
        </w:rPr>
        <w:t>costos logísticos</w:t>
      </w:r>
      <w:r>
        <w:rPr>
          <w:spacing w:val="-9"/>
          <w:sz w:val="22"/>
        </w:rPr>
        <w:t> </w:t>
      </w:r>
      <w:r>
        <w:rPr>
          <w:sz w:val="22"/>
        </w:rPr>
        <w:t>y</w:t>
      </w:r>
      <w:r>
        <w:rPr>
          <w:spacing w:val="-6"/>
          <w:sz w:val="22"/>
        </w:rPr>
        <w:t> </w:t>
      </w:r>
      <w:r>
        <w:rPr>
          <w:sz w:val="22"/>
        </w:rPr>
        <w:t>operativos.</w:t>
      </w:r>
      <w:r>
        <w:rPr>
          <w:spacing w:val="-7"/>
          <w:sz w:val="22"/>
        </w:rPr>
        <w:t> </w:t>
      </w:r>
      <w:r>
        <w:rPr>
          <w:sz w:val="22"/>
        </w:rPr>
        <w:t>Igualmente,</w:t>
      </w:r>
      <w:r>
        <w:rPr>
          <w:spacing w:val="-6"/>
          <w:sz w:val="22"/>
        </w:rPr>
        <w:t> </w:t>
      </w:r>
      <w:r>
        <w:rPr>
          <w:sz w:val="22"/>
        </w:rPr>
        <w:t>la</w:t>
      </w:r>
      <w:r>
        <w:rPr>
          <w:spacing w:val="-6"/>
          <w:sz w:val="22"/>
        </w:rPr>
        <w:t> </w:t>
      </w:r>
      <w:r>
        <w:rPr>
          <w:sz w:val="22"/>
        </w:rPr>
        <w:t>SGCAN</w:t>
      </w:r>
      <w:r>
        <w:rPr>
          <w:spacing w:val="-6"/>
          <w:sz w:val="22"/>
        </w:rPr>
        <w:t> </w:t>
      </w:r>
      <w:r>
        <w:rPr>
          <w:sz w:val="22"/>
        </w:rPr>
        <w:t>ha</w:t>
      </w:r>
      <w:r>
        <w:rPr>
          <w:spacing w:val="-12"/>
          <w:sz w:val="22"/>
        </w:rPr>
        <w:t> </w:t>
      </w:r>
      <w:r>
        <w:rPr>
          <w:sz w:val="22"/>
        </w:rPr>
        <w:t>constatado</w:t>
      </w:r>
      <w:r>
        <w:rPr>
          <w:spacing w:val="-11"/>
          <w:sz w:val="22"/>
        </w:rPr>
        <w:t> </w:t>
      </w:r>
      <w:r>
        <w:rPr>
          <w:sz w:val="22"/>
        </w:rPr>
        <w:t>referencias</w:t>
      </w:r>
      <w:r>
        <w:rPr>
          <w:spacing w:val="-6"/>
          <w:sz w:val="22"/>
        </w:rPr>
        <w:t> </w:t>
      </w:r>
      <w:r>
        <w:rPr>
          <w:sz w:val="22"/>
        </w:rPr>
        <w:t>al</w:t>
      </w:r>
      <w:r>
        <w:rPr>
          <w:spacing w:val="-10"/>
          <w:sz w:val="22"/>
        </w:rPr>
        <w:t> </w:t>
      </w:r>
      <w:r>
        <w:rPr>
          <w:sz w:val="22"/>
        </w:rPr>
        <w:t>aumento</w:t>
      </w:r>
      <w:r>
        <w:rPr>
          <w:spacing w:val="-9"/>
          <w:sz w:val="22"/>
        </w:rPr>
        <w:t> </w:t>
      </w:r>
      <w:r>
        <w:rPr>
          <w:sz w:val="22"/>
        </w:rPr>
        <w:t>de los tiempos de despacho, a la afectación del empleo y de la dinámica económica local en Tulcán e Ipiales, así como a una posible desviación hacia canales informales de comercio, sin que, según lo manifestado por los actores consultados, se evidencien mejoras</w:t>
      </w:r>
      <w:r>
        <w:rPr>
          <w:spacing w:val="-2"/>
          <w:sz w:val="22"/>
        </w:rPr>
        <w:t> </w:t>
      </w:r>
      <w:r>
        <w:rPr>
          <w:sz w:val="22"/>
        </w:rPr>
        <w:t>sustanciales en</w:t>
      </w:r>
      <w:r>
        <w:rPr>
          <w:spacing w:val="-2"/>
          <w:sz w:val="22"/>
        </w:rPr>
        <w:t> </w:t>
      </w:r>
      <w:r>
        <w:rPr>
          <w:sz w:val="22"/>
        </w:rPr>
        <w:t>la prestación de</w:t>
      </w:r>
      <w:r>
        <w:rPr>
          <w:spacing w:val="-2"/>
          <w:sz w:val="22"/>
        </w:rPr>
        <w:t> </w:t>
      </w:r>
      <w:r>
        <w:rPr>
          <w:sz w:val="22"/>
        </w:rPr>
        <w:t>servicios o en</w:t>
      </w:r>
      <w:r>
        <w:rPr>
          <w:spacing w:val="-2"/>
          <w:sz w:val="22"/>
        </w:rPr>
        <w:t> </w:t>
      </w:r>
      <w:r>
        <w:rPr>
          <w:sz w:val="22"/>
        </w:rPr>
        <w:t>la eficacia del control</w:t>
      </w:r>
      <w:r>
        <w:rPr>
          <w:spacing w:val="-3"/>
          <w:sz w:val="22"/>
        </w:rPr>
        <w:t> </w:t>
      </w:r>
      <w:r>
        <w:rPr>
          <w:sz w:val="22"/>
        </w:rPr>
        <w:t>fronterizo que justifiquen materialmente la carga impuesta.</w:t>
      </w:r>
    </w:p>
    <w:p>
      <w:pPr>
        <w:pStyle w:val="BodyText"/>
        <w:spacing w:before="2"/>
      </w:pPr>
    </w:p>
    <w:p>
      <w:pPr>
        <w:pStyle w:val="Heading5"/>
        <w:numPr>
          <w:ilvl w:val="0"/>
          <w:numId w:val="25"/>
        </w:numPr>
        <w:tabs>
          <w:tab w:pos="1854" w:val="left" w:leader="none"/>
        </w:tabs>
        <w:spacing w:line="240" w:lineRule="auto" w:before="0" w:after="0"/>
        <w:ind w:left="1854" w:right="0" w:hanging="360"/>
        <w:jc w:val="left"/>
      </w:pPr>
      <w:r>
        <w:rPr/>
        <w:t>ANÁLISIS</w:t>
      </w:r>
      <w:r>
        <w:rPr>
          <w:spacing w:val="-6"/>
        </w:rPr>
        <w:t> </w:t>
      </w:r>
      <w:r>
        <w:rPr/>
        <w:t>DE</w:t>
      </w:r>
      <w:r>
        <w:rPr>
          <w:spacing w:val="-3"/>
        </w:rPr>
        <w:t> </w:t>
      </w:r>
      <w:r>
        <w:rPr/>
        <w:t>LA</w:t>
      </w:r>
      <w:r>
        <w:rPr>
          <w:spacing w:val="-1"/>
        </w:rPr>
        <w:t> </w:t>
      </w:r>
      <w:r>
        <w:rPr>
          <w:spacing w:val="-2"/>
        </w:rPr>
        <w:t>SGCAN</w:t>
      </w:r>
    </w:p>
    <w:p>
      <w:pPr>
        <w:pStyle w:val="ListParagraph"/>
        <w:numPr>
          <w:ilvl w:val="0"/>
          <w:numId w:val="11"/>
        </w:numPr>
        <w:tabs>
          <w:tab w:pos="1130" w:val="left" w:leader="none"/>
          <w:tab w:pos="1134" w:val="left" w:leader="none"/>
        </w:tabs>
        <w:spacing w:line="240" w:lineRule="auto" w:before="252" w:after="0"/>
        <w:ind w:left="1134" w:right="979" w:hanging="567"/>
        <w:jc w:val="both"/>
        <w:rPr>
          <w:sz w:val="22"/>
        </w:rPr>
      </w:pPr>
      <w:r>
        <w:rPr>
          <w:sz w:val="22"/>
        </w:rPr>
        <w:t>En</w:t>
      </w:r>
      <w:r>
        <w:rPr>
          <w:spacing w:val="-9"/>
          <w:sz w:val="22"/>
        </w:rPr>
        <w:t> </w:t>
      </w:r>
      <w:r>
        <w:rPr>
          <w:sz w:val="22"/>
        </w:rPr>
        <w:t>este</w:t>
      </w:r>
      <w:r>
        <w:rPr>
          <w:spacing w:val="-11"/>
          <w:sz w:val="22"/>
        </w:rPr>
        <w:t> </w:t>
      </w:r>
      <w:r>
        <w:rPr>
          <w:sz w:val="22"/>
        </w:rPr>
        <w:t>acápite,</w:t>
      </w:r>
      <w:r>
        <w:rPr>
          <w:spacing w:val="-10"/>
          <w:sz w:val="22"/>
        </w:rPr>
        <w:t> </w:t>
      </w:r>
      <w:r>
        <w:rPr>
          <w:sz w:val="22"/>
        </w:rPr>
        <w:t>la</w:t>
      </w:r>
      <w:r>
        <w:rPr>
          <w:spacing w:val="-9"/>
          <w:sz w:val="22"/>
        </w:rPr>
        <w:t> </w:t>
      </w:r>
      <w:r>
        <w:rPr>
          <w:sz w:val="22"/>
        </w:rPr>
        <w:t>SGCAN,</w:t>
      </w:r>
      <w:r>
        <w:rPr>
          <w:spacing w:val="-7"/>
          <w:sz w:val="22"/>
        </w:rPr>
        <w:t> </w:t>
      </w:r>
      <w:r>
        <w:rPr>
          <w:sz w:val="22"/>
        </w:rPr>
        <w:t>sobre</w:t>
      </w:r>
      <w:r>
        <w:rPr>
          <w:spacing w:val="-9"/>
          <w:sz w:val="22"/>
        </w:rPr>
        <w:t> </w:t>
      </w:r>
      <w:r>
        <w:rPr>
          <w:sz w:val="22"/>
        </w:rPr>
        <w:t>la</w:t>
      </w:r>
      <w:r>
        <w:rPr>
          <w:spacing w:val="-11"/>
          <w:sz w:val="22"/>
        </w:rPr>
        <w:t> </w:t>
      </w:r>
      <w:r>
        <w:rPr>
          <w:sz w:val="22"/>
        </w:rPr>
        <w:t>base</w:t>
      </w:r>
      <w:r>
        <w:rPr>
          <w:spacing w:val="-11"/>
          <w:sz w:val="22"/>
        </w:rPr>
        <w:t> </w:t>
      </w:r>
      <w:r>
        <w:rPr>
          <w:sz w:val="22"/>
        </w:rPr>
        <w:t>de</w:t>
      </w:r>
      <w:r>
        <w:rPr>
          <w:spacing w:val="-12"/>
          <w:sz w:val="22"/>
        </w:rPr>
        <w:t> </w:t>
      </w:r>
      <w:r>
        <w:rPr>
          <w:sz w:val="22"/>
        </w:rPr>
        <w:t>lo</w:t>
      </w:r>
      <w:r>
        <w:rPr>
          <w:spacing w:val="-9"/>
          <w:sz w:val="22"/>
        </w:rPr>
        <w:t> </w:t>
      </w:r>
      <w:r>
        <w:rPr>
          <w:sz w:val="22"/>
        </w:rPr>
        <w:t>establecido</w:t>
      </w:r>
      <w:r>
        <w:rPr>
          <w:spacing w:val="-9"/>
          <w:sz w:val="22"/>
        </w:rPr>
        <w:t> </w:t>
      </w:r>
      <w:r>
        <w:rPr>
          <w:sz w:val="22"/>
        </w:rPr>
        <w:t>en</w:t>
      </w:r>
      <w:r>
        <w:rPr>
          <w:spacing w:val="-12"/>
          <w:sz w:val="22"/>
        </w:rPr>
        <w:t> </w:t>
      </w:r>
      <w:r>
        <w:rPr>
          <w:sz w:val="22"/>
        </w:rPr>
        <w:t>el</w:t>
      </w:r>
      <w:r>
        <w:rPr>
          <w:spacing w:val="-10"/>
          <w:sz w:val="22"/>
        </w:rPr>
        <w:t> </w:t>
      </w:r>
      <w:r>
        <w:rPr>
          <w:sz w:val="22"/>
        </w:rPr>
        <w:t>Acuerdo</w:t>
      </w:r>
      <w:r>
        <w:rPr>
          <w:spacing w:val="-14"/>
          <w:sz w:val="22"/>
        </w:rPr>
        <w:t> </w:t>
      </w:r>
      <w:r>
        <w:rPr>
          <w:sz w:val="22"/>
        </w:rPr>
        <w:t>de</w:t>
      </w:r>
      <w:r>
        <w:rPr>
          <w:spacing w:val="-9"/>
          <w:sz w:val="22"/>
        </w:rPr>
        <w:t> </w:t>
      </w:r>
      <w:r>
        <w:rPr>
          <w:sz w:val="22"/>
        </w:rPr>
        <w:t>Cartagena y</w:t>
      </w:r>
      <w:r>
        <w:rPr>
          <w:spacing w:val="-9"/>
          <w:sz w:val="22"/>
        </w:rPr>
        <w:t> </w:t>
      </w:r>
      <w:r>
        <w:rPr>
          <w:sz w:val="22"/>
        </w:rPr>
        <w:t>los</w:t>
      </w:r>
      <w:r>
        <w:rPr>
          <w:spacing w:val="-10"/>
          <w:sz w:val="22"/>
        </w:rPr>
        <w:t> </w:t>
      </w:r>
      <w:r>
        <w:rPr>
          <w:sz w:val="22"/>
        </w:rPr>
        <w:t>pronunciamiento</w:t>
      </w:r>
      <w:r>
        <w:rPr>
          <w:spacing w:val="-12"/>
          <w:sz w:val="22"/>
        </w:rPr>
        <w:t> </w:t>
      </w:r>
      <w:r>
        <w:rPr>
          <w:sz w:val="22"/>
        </w:rPr>
        <w:t>del</w:t>
      </w:r>
      <w:r>
        <w:rPr>
          <w:spacing w:val="-11"/>
          <w:sz w:val="22"/>
        </w:rPr>
        <w:t> </w:t>
      </w:r>
      <w:r>
        <w:rPr>
          <w:sz w:val="22"/>
        </w:rPr>
        <w:t>TJCAN,</w:t>
      </w:r>
      <w:r>
        <w:rPr>
          <w:spacing w:val="-7"/>
          <w:sz w:val="22"/>
        </w:rPr>
        <w:t> </w:t>
      </w:r>
      <w:r>
        <w:rPr>
          <w:sz w:val="22"/>
        </w:rPr>
        <w:t>analizará</w:t>
      </w:r>
      <w:r>
        <w:rPr>
          <w:spacing w:val="-9"/>
          <w:sz w:val="22"/>
        </w:rPr>
        <w:t> </w:t>
      </w:r>
      <w:r>
        <w:rPr>
          <w:sz w:val="22"/>
        </w:rPr>
        <w:t>los</w:t>
      </w:r>
      <w:r>
        <w:rPr>
          <w:spacing w:val="-10"/>
          <w:sz w:val="22"/>
        </w:rPr>
        <w:t> </w:t>
      </w:r>
      <w:r>
        <w:rPr>
          <w:sz w:val="22"/>
        </w:rPr>
        <w:t>argumentos</w:t>
      </w:r>
      <w:r>
        <w:rPr>
          <w:spacing w:val="-12"/>
          <w:sz w:val="22"/>
        </w:rPr>
        <w:t> </w:t>
      </w:r>
      <w:r>
        <w:rPr>
          <w:sz w:val="22"/>
        </w:rPr>
        <w:t>de</w:t>
      </w:r>
      <w:r>
        <w:rPr>
          <w:spacing w:val="-10"/>
          <w:sz w:val="22"/>
        </w:rPr>
        <w:t> </w:t>
      </w:r>
      <w:r>
        <w:rPr>
          <w:sz w:val="22"/>
        </w:rPr>
        <w:t>las</w:t>
      </w:r>
      <w:r>
        <w:rPr>
          <w:spacing w:val="-12"/>
          <w:sz w:val="22"/>
        </w:rPr>
        <w:t> </w:t>
      </w:r>
      <w:r>
        <w:rPr>
          <w:sz w:val="22"/>
        </w:rPr>
        <w:t>partes</w:t>
      </w:r>
      <w:r>
        <w:rPr>
          <w:spacing w:val="-11"/>
          <w:sz w:val="22"/>
        </w:rPr>
        <w:t> </w:t>
      </w:r>
      <w:r>
        <w:rPr>
          <w:sz w:val="22"/>
        </w:rPr>
        <w:t>respecto</w:t>
      </w:r>
      <w:r>
        <w:rPr>
          <w:spacing w:val="-9"/>
          <w:sz w:val="22"/>
        </w:rPr>
        <w:t> </w:t>
      </w:r>
      <w:r>
        <w:rPr>
          <w:sz w:val="22"/>
        </w:rPr>
        <w:t>a</w:t>
      </w:r>
      <w:r>
        <w:rPr>
          <w:spacing w:val="-12"/>
          <w:sz w:val="22"/>
        </w:rPr>
        <w:t> </w:t>
      </w:r>
      <w:r>
        <w:rPr>
          <w:sz w:val="22"/>
        </w:rPr>
        <w:t>las definiciones de “gravamen” y “servicio”, siendo para ello necesario tener presente lo </w:t>
      </w:r>
      <w:r>
        <w:rPr>
          <w:spacing w:val="-2"/>
          <w:sz w:val="22"/>
        </w:rPr>
        <w:t>siguiente:</w:t>
      </w:r>
    </w:p>
    <w:p>
      <w:pPr>
        <w:pStyle w:val="ListParagraph"/>
        <w:numPr>
          <w:ilvl w:val="0"/>
          <w:numId w:val="26"/>
        </w:numPr>
        <w:tabs>
          <w:tab w:pos="2553" w:val="left" w:leader="none"/>
        </w:tabs>
        <w:spacing w:line="240" w:lineRule="auto" w:before="253" w:after="0"/>
        <w:ind w:left="2553" w:right="977" w:hanging="361"/>
        <w:jc w:val="both"/>
        <w:rPr>
          <w:sz w:val="22"/>
        </w:rPr>
      </w:pPr>
      <w:r>
        <w:rPr>
          <w:sz w:val="22"/>
        </w:rPr>
        <w:t>El artículo 72 del Acuerdo de Cartagena exige eliminar los </w:t>
      </w:r>
      <w:r>
        <w:rPr>
          <w:rFonts w:ascii="Arial" w:hAnsi="Arial"/>
          <w:b/>
          <w:sz w:val="22"/>
        </w:rPr>
        <w:t>gravámenes </w:t>
      </w:r>
      <w:r>
        <w:rPr>
          <w:sz w:val="22"/>
        </w:rPr>
        <w:t>y las restricciones de</w:t>
      </w:r>
      <w:r>
        <w:rPr>
          <w:spacing w:val="-1"/>
          <w:sz w:val="22"/>
        </w:rPr>
        <w:t> </w:t>
      </w:r>
      <w:r>
        <w:rPr>
          <w:sz w:val="22"/>
        </w:rPr>
        <w:t>todo orden sobre importaciones originarias de otro País Miembro.</w:t>
      </w:r>
    </w:p>
    <w:p>
      <w:pPr>
        <w:pStyle w:val="ListParagraph"/>
        <w:numPr>
          <w:ilvl w:val="0"/>
          <w:numId w:val="26"/>
        </w:numPr>
        <w:tabs>
          <w:tab w:pos="2553" w:val="left" w:leader="none"/>
        </w:tabs>
        <w:spacing w:line="240" w:lineRule="auto" w:before="251" w:after="0"/>
        <w:ind w:left="2553" w:right="977" w:hanging="361"/>
        <w:jc w:val="both"/>
        <w:rPr>
          <w:sz w:val="22"/>
        </w:rPr>
      </w:pPr>
      <w:r>
        <w:rPr>
          <w:sz w:val="22"/>
        </w:rPr>
        <w:t>El artículo 73 del Acuerdo de Cartagena define gravamen como “</w:t>
      </w:r>
      <w:r>
        <w:rPr>
          <w:rFonts w:ascii="Arial" w:hAnsi="Arial"/>
          <w:i/>
          <w:sz w:val="22"/>
        </w:rPr>
        <w:t>derechos aduaneros y cualesquier otros recargos de efectos equivalentes (…) que incidan sobre las importaciones</w:t>
      </w:r>
      <w:r>
        <w:rPr>
          <w:sz w:val="22"/>
        </w:rPr>
        <w:t>”, excluyendo únicamente</w:t>
      </w:r>
      <w:r>
        <w:rPr>
          <w:spacing w:val="-16"/>
          <w:sz w:val="22"/>
        </w:rPr>
        <w:t> </w:t>
      </w:r>
      <w:r>
        <w:rPr>
          <w:sz w:val="22"/>
        </w:rPr>
        <w:t>las</w:t>
      </w:r>
      <w:r>
        <w:rPr>
          <w:spacing w:val="-15"/>
          <w:sz w:val="22"/>
        </w:rPr>
        <w:t> </w:t>
      </w:r>
      <w:r>
        <w:rPr>
          <w:sz w:val="22"/>
        </w:rPr>
        <w:t>tasas</w:t>
      </w:r>
      <w:r>
        <w:rPr>
          <w:spacing w:val="-15"/>
          <w:sz w:val="22"/>
        </w:rPr>
        <w:t> </w:t>
      </w:r>
      <w:r>
        <w:rPr>
          <w:sz w:val="22"/>
        </w:rPr>
        <w:t>y</w:t>
      </w:r>
      <w:r>
        <w:rPr>
          <w:spacing w:val="-16"/>
          <w:sz w:val="22"/>
        </w:rPr>
        <w:t> </w:t>
      </w:r>
      <w:r>
        <w:rPr>
          <w:sz w:val="22"/>
        </w:rPr>
        <w:t>recargos</w:t>
      </w:r>
      <w:r>
        <w:rPr>
          <w:spacing w:val="-15"/>
          <w:sz w:val="22"/>
        </w:rPr>
        <w:t> </w:t>
      </w:r>
      <w:r>
        <w:rPr>
          <w:sz w:val="22"/>
        </w:rPr>
        <w:t>análogos</w:t>
      </w:r>
      <w:r>
        <w:rPr>
          <w:spacing w:val="-15"/>
          <w:sz w:val="22"/>
        </w:rPr>
        <w:t> </w:t>
      </w:r>
      <w:r>
        <w:rPr>
          <w:sz w:val="22"/>
        </w:rPr>
        <w:t>“</w:t>
      </w:r>
      <w:r>
        <w:rPr>
          <w:rFonts w:ascii="Arial" w:hAnsi="Arial"/>
          <w:i/>
          <w:sz w:val="22"/>
        </w:rPr>
        <w:t>cuando</w:t>
      </w:r>
      <w:r>
        <w:rPr>
          <w:rFonts w:ascii="Arial" w:hAnsi="Arial"/>
          <w:i/>
          <w:spacing w:val="-15"/>
          <w:sz w:val="22"/>
        </w:rPr>
        <w:t> </w:t>
      </w:r>
      <w:r>
        <w:rPr>
          <w:rFonts w:ascii="Arial" w:hAnsi="Arial"/>
          <w:i/>
          <w:sz w:val="22"/>
        </w:rPr>
        <w:t>correspondan</w:t>
      </w:r>
      <w:r>
        <w:rPr>
          <w:rFonts w:ascii="Arial" w:hAnsi="Arial"/>
          <w:i/>
          <w:spacing w:val="-15"/>
          <w:sz w:val="22"/>
        </w:rPr>
        <w:t> </w:t>
      </w:r>
      <w:r>
        <w:rPr>
          <w:rFonts w:ascii="Arial" w:hAnsi="Arial"/>
          <w:i/>
          <w:sz w:val="22"/>
        </w:rPr>
        <w:t>al</w:t>
      </w:r>
      <w:r>
        <w:rPr>
          <w:rFonts w:ascii="Arial" w:hAnsi="Arial"/>
          <w:i/>
          <w:spacing w:val="-15"/>
          <w:sz w:val="22"/>
        </w:rPr>
        <w:t> </w:t>
      </w:r>
      <w:r>
        <w:rPr>
          <w:rFonts w:ascii="Arial" w:hAnsi="Arial"/>
          <w:i/>
          <w:sz w:val="22"/>
        </w:rPr>
        <w:t>costo aproximado de los servicios prestados</w:t>
      </w:r>
      <w:r>
        <w:rPr>
          <w:sz w:val="22"/>
        </w:rPr>
        <w:t>”.</w:t>
      </w:r>
    </w:p>
    <w:p>
      <w:pPr>
        <w:pStyle w:val="ListParagraph"/>
        <w:numPr>
          <w:ilvl w:val="0"/>
          <w:numId w:val="11"/>
        </w:numPr>
        <w:tabs>
          <w:tab w:pos="1134" w:val="left" w:leader="none"/>
        </w:tabs>
        <w:spacing w:line="240" w:lineRule="auto" w:before="250" w:after="0"/>
        <w:ind w:left="1134" w:right="976" w:hanging="567"/>
        <w:jc w:val="left"/>
        <w:rPr>
          <w:sz w:val="22"/>
        </w:rPr>
      </w:pPr>
      <w:r>
        <w:rPr>
          <w:sz w:val="22"/>
        </w:rPr>
        <w:t>Al respecto cabe señalar, que el TJCAN se ha pronunciado, en el Proceso 12</w:t>
      </w:r>
      <w:r>
        <w:rPr>
          <w:rFonts w:ascii="Cambria Math" w:hAnsi="Cambria Math"/>
          <w:sz w:val="22"/>
        </w:rPr>
        <w:t>‑</w:t>
      </w:r>
      <w:r>
        <w:rPr>
          <w:sz w:val="22"/>
        </w:rPr>
        <w:t>AN</w:t>
      </w:r>
      <w:r>
        <w:rPr>
          <w:rFonts w:ascii="Cambria Math" w:hAnsi="Cambria Math"/>
          <w:sz w:val="22"/>
        </w:rPr>
        <w:t>‑</w:t>
      </w:r>
      <w:r>
        <w:rPr>
          <w:sz w:val="22"/>
        </w:rPr>
        <w:t>99, ampliando la definición de gravamen, en dos direcciones:</w:t>
      </w:r>
    </w:p>
    <w:p>
      <w:pPr>
        <w:pStyle w:val="BodyText"/>
        <w:spacing w:before="4"/>
      </w:pPr>
    </w:p>
    <w:p>
      <w:pPr>
        <w:pStyle w:val="ListParagraph"/>
        <w:numPr>
          <w:ilvl w:val="0"/>
          <w:numId w:val="27"/>
        </w:numPr>
        <w:tabs>
          <w:tab w:pos="2553" w:val="left" w:leader="none"/>
        </w:tabs>
        <w:spacing w:line="237" w:lineRule="auto" w:before="1" w:after="0"/>
        <w:ind w:left="2553" w:right="981" w:hanging="361"/>
        <w:jc w:val="both"/>
        <w:rPr>
          <w:sz w:val="22"/>
        </w:rPr>
      </w:pPr>
      <w:r>
        <w:rPr>
          <w:sz w:val="22"/>
        </w:rPr>
        <w:t>El</w:t>
      </w:r>
      <w:r>
        <w:rPr>
          <w:spacing w:val="-16"/>
          <w:sz w:val="22"/>
        </w:rPr>
        <w:t> </w:t>
      </w:r>
      <w:r>
        <w:rPr>
          <w:sz w:val="22"/>
        </w:rPr>
        <w:t>concepto</w:t>
      </w:r>
      <w:r>
        <w:rPr>
          <w:spacing w:val="-15"/>
          <w:sz w:val="22"/>
        </w:rPr>
        <w:t> </w:t>
      </w:r>
      <w:r>
        <w:rPr>
          <w:sz w:val="22"/>
        </w:rPr>
        <w:t>de</w:t>
      </w:r>
      <w:r>
        <w:rPr>
          <w:spacing w:val="-15"/>
          <w:sz w:val="22"/>
        </w:rPr>
        <w:t> </w:t>
      </w:r>
      <w:r>
        <w:rPr>
          <w:sz w:val="22"/>
        </w:rPr>
        <w:t>gravamen</w:t>
      </w:r>
      <w:r>
        <w:rPr>
          <w:spacing w:val="-16"/>
          <w:sz w:val="22"/>
        </w:rPr>
        <w:t> </w:t>
      </w:r>
      <w:r>
        <w:rPr>
          <w:rFonts w:ascii="Arial" w:hAnsi="Arial"/>
          <w:b/>
          <w:sz w:val="22"/>
        </w:rPr>
        <w:t>no</w:t>
      </w:r>
      <w:r>
        <w:rPr>
          <w:rFonts w:ascii="Arial" w:hAnsi="Arial"/>
          <w:b/>
          <w:spacing w:val="-15"/>
          <w:sz w:val="22"/>
        </w:rPr>
        <w:t> </w:t>
      </w:r>
      <w:r>
        <w:rPr>
          <w:rFonts w:ascii="Arial" w:hAnsi="Arial"/>
          <w:b/>
          <w:sz w:val="22"/>
        </w:rPr>
        <w:t>se</w:t>
      </w:r>
      <w:r>
        <w:rPr>
          <w:rFonts w:ascii="Arial" w:hAnsi="Arial"/>
          <w:b/>
          <w:spacing w:val="-15"/>
          <w:sz w:val="22"/>
        </w:rPr>
        <w:t> </w:t>
      </w:r>
      <w:r>
        <w:rPr>
          <w:rFonts w:ascii="Arial" w:hAnsi="Arial"/>
          <w:b/>
          <w:sz w:val="22"/>
        </w:rPr>
        <w:t>limita</w:t>
      </w:r>
      <w:r>
        <w:rPr>
          <w:rFonts w:ascii="Arial" w:hAnsi="Arial"/>
          <w:b/>
          <w:spacing w:val="-15"/>
          <w:sz w:val="22"/>
        </w:rPr>
        <w:t> </w:t>
      </w:r>
      <w:r>
        <w:rPr>
          <w:sz w:val="22"/>
        </w:rPr>
        <w:t>al</w:t>
      </w:r>
      <w:r>
        <w:rPr>
          <w:spacing w:val="-16"/>
          <w:sz w:val="22"/>
        </w:rPr>
        <w:t> </w:t>
      </w:r>
      <w:r>
        <w:rPr>
          <w:sz w:val="22"/>
        </w:rPr>
        <w:t>impuesto</w:t>
      </w:r>
      <w:r>
        <w:rPr>
          <w:spacing w:val="-15"/>
          <w:sz w:val="22"/>
        </w:rPr>
        <w:t> </w:t>
      </w:r>
      <w:r>
        <w:rPr>
          <w:sz w:val="22"/>
        </w:rPr>
        <w:t>clásico,</w:t>
      </w:r>
      <w:r>
        <w:rPr>
          <w:spacing w:val="-15"/>
          <w:sz w:val="22"/>
        </w:rPr>
        <w:t> </w:t>
      </w:r>
      <w:r>
        <w:rPr>
          <w:sz w:val="22"/>
        </w:rPr>
        <w:t>sino</w:t>
      </w:r>
      <w:r>
        <w:rPr>
          <w:spacing w:val="-16"/>
          <w:sz w:val="22"/>
        </w:rPr>
        <w:t> </w:t>
      </w:r>
      <w:r>
        <w:rPr>
          <w:sz w:val="22"/>
        </w:rPr>
        <w:t>que</w:t>
      </w:r>
      <w:r>
        <w:rPr>
          <w:spacing w:val="-15"/>
          <w:sz w:val="22"/>
        </w:rPr>
        <w:t> </w:t>
      </w:r>
      <w:r>
        <w:rPr>
          <w:sz w:val="22"/>
        </w:rPr>
        <w:t>cubre “</w:t>
      </w:r>
      <w:r>
        <w:rPr>
          <w:rFonts w:ascii="Arial" w:hAnsi="Arial"/>
          <w:i/>
          <w:sz w:val="22"/>
        </w:rPr>
        <w:t>todas aquellas situaciones con las cuales se pretenda recargar el valor de las importaciones</w:t>
      </w:r>
      <w:r>
        <w:rPr>
          <w:sz w:val="22"/>
        </w:rPr>
        <w:t>” dentro de la zona de libre comercio.</w:t>
      </w:r>
    </w:p>
    <w:p>
      <w:pPr>
        <w:pStyle w:val="BodyText"/>
        <w:spacing w:before="4"/>
      </w:pPr>
    </w:p>
    <w:p>
      <w:pPr>
        <w:pStyle w:val="ListParagraph"/>
        <w:numPr>
          <w:ilvl w:val="0"/>
          <w:numId w:val="27"/>
        </w:numPr>
        <w:tabs>
          <w:tab w:pos="2553" w:val="left" w:leader="none"/>
        </w:tabs>
        <w:spacing w:line="240" w:lineRule="auto" w:before="0" w:after="0"/>
        <w:ind w:left="2553" w:right="977" w:hanging="361"/>
        <w:jc w:val="both"/>
        <w:rPr>
          <w:sz w:val="22"/>
        </w:rPr>
      </w:pPr>
      <w:r>
        <w:rPr>
          <w:sz w:val="22"/>
        </w:rPr>
        <w:t>La única “</w:t>
      </w:r>
      <w:r>
        <w:rPr>
          <w:rFonts w:ascii="Arial" w:hAnsi="Arial"/>
          <w:i/>
          <w:sz w:val="22"/>
        </w:rPr>
        <w:t>excepción práctica</w:t>
      </w:r>
      <w:r>
        <w:rPr>
          <w:sz w:val="22"/>
        </w:rPr>
        <w:t>” son las tasas y recargos análogos que cumplan</w:t>
      </w:r>
      <w:r>
        <w:rPr>
          <w:spacing w:val="-4"/>
          <w:sz w:val="22"/>
        </w:rPr>
        <w:t> </w:t>
      </w:r>
      <w:r>
        <w:rPr>
          <w:sz w:val="22"/>
        </w:rPr>
        <w:t>una</w:t>
      </w:r>
      <w:r>
        <w:rPr>
          <w:spacing w:val="-6"/>
          <w:sz w:val="22"/>
        </w:rPr>
        <w:t> </w:t>
      </w:r>
      <w:r>
        <w:rPr>
          <w:sz w:val="22"/>
        </w:rPr>
        <w:t>condición</w:t>
      </w:r>
      <w:r>
        <w:rPr>
          <w:spacing w:val="-6"/>
          <w:sz w:val="22"/>
        </w:rPr>
        <w:t> </w:t>
      </w:r>
      <w:r>
        <w:rPr>
          <w:rFonts w:ascii="Arial" w:hAnsi="Arial"/>
          <w:b/>
          <w:sz w:val="22"/>
        </w:rPr>
        <w:t>ineludible</w:t>
      </w:r>
      <w:r>
        <w:rPr>
          <w:sz w:val="22"/>
        </w:rPr>
        <w:t>:</w:t>
      </w:r>
      <w:r>
        <w:rPr>
          <w:spacing w:val="-5"/>
          <w:sz w:val="22"/>
        </w:rPr>
        <w:t> </w:t>
      </w:r>
      <w:r>
        <w:rPr>
          <w:sz w:val="22"/>
        </w:rPr>
        <w:t>corresponder</w:t>
      </w:r>
      <w:r>
        <w:rPr>
          <w:spacing w:val="-7"/>
          <w:sz w:val="22"/>
        </w:rPr>
        <w:t> </w:t>
      </w:r>
      <w:r>
        <w:rPr>
          <w:sz w:val="22"/>
        </w:rPr>
        <w:t>al</w:t>
      </w:r>
      <w:r>
        <w:rPr>
          <w:spacing w:val="-5"/>
          <w:sz w:val="22"/>
        </w:rPr>
        <w:t> </w:t>
      </w:r>
      <w:r>
        <w:rPr>
          <w:sz w:val="22"/>
        </w:rPr>
        <w:t>costo</w:t>
      </w:r>
      <w:r>
        <w:rPr>
          <w:spacing w:val="-6"/>
          <w:sz w:val="22"/>
        </w:rPr>
        <w:t> </w:t>
      </w:r>
      <w:r>
        <w:rPr>
          <w:sz w:val="22"/>
        </w:rPr>
        <w:t>aproximado</w:t>
      </w:r>
      <w:r>
        <w:rPr>
          <w:spacing w:val="-6"/>
          <w:sz w:val="22"/>
        </w:rPr>
        <w:t> </w:t>
      </w:r>
      <w:r>
        <w:rPr>
          <w:sz w:val="22"/>
        </w:rPr>
        <w:t>de los</w:t>
      </w:r>
      <w:r>
        <w:rPr>
          <w:spacing w:val="-3"/>
          <w:sz w:val="22"/>
        </w:rPr>
        <w:t> </w:t>
      </w:r>
      <w:r>
        <w:rPr>
          <w:sz w:val="22"/>
        </w:rPr>
        <w:t>servicios</w:t>
      </w:r>
      <w:r>
        <w:rPr>
          <w:spacing w:val="-5"/>
          <w:sz w:val="22"/>
        </w:rPr>
        <w:t> </w:t>
      </w:r>
      <w:r>
        <w:rPr>
          <w:sz w:val="22"/>
        </w:rPr>
        <w:t>prestados</w:t>
      </w:r>
      <w:r>
        <w:rPr>
          <w:spacing w:val="-5"/>
          <w:sz w:val="22"/>
        </w:rPr>
        <w:t> </w:t>
      </w:r>
      <w:r>
        <w:rPr>
          <w:sz w:val="22"/>
        </w:rPr>
        <w:t>al</w:t>
      </w:r>
      <w:r>
        <w:rPr>
          <w:spacing w:val="-3"/>
          <w:sz w:val="22"/>
        </w:rPr>
        <w:t> </w:t>
      </w:r>
      <w:r>
        <w:rPr>
          <w:sz w:val="22"/>
        </w:rPr>
        <w:t>importador,</w:t>
      </w:r>
      <w:r>
        <w:rPr>
          <w:spacing w:val="-1"/>
          <w:sz w:val="22"/>
        </w:rPr>
        <w:t> </w:t>
      </w:r>
      <w:r>
        <w:rPr>
          <w:sz w:val="22"/>
        </w:rPr>
        <w:t>en</w:t>
      </w:r>
      <w:r>
        <w:rPr>
          <w:spacing w:val="-7"/>
          <w:sz w:val="22"/>
        </w:rPr>
        <w:t> </w:t>
      </w:r>
      <w:r>
        <w:rPr>
          <w:sz w:val="22"/>
        </w:rPr>
        <w:t>relación</w:t>
      </w:r>
      <w:r>
        <w:rPr>
          <w:spacing w:val="-5"/>
          <w:sz w:val="22"/>
        </w:rPr>
        <w:t> </w:t>
      </w:r>
      <w:r>
        <w:rPr>
          <w:sz w:val="22"/>
        </w:rPr>
        <w:t>con</w:t>
      </w:r>
      <w:r>
        <w:rPr>
          <w:spacing w:val="-3"/>
          <w:sz w:val="22"/>
        </w:rPr>
        <w:t> </w:t>
      </w:r>
      <w:r>
        <w:rPr>
          <w:sz w:val="22"/>
        </w:rPr>
        <w:t>el</w:t>
      </w:r>
      <w:r>
        <w:rPr>
          <w:spacing w:val="-4"/>
          <w:sz w:val="22"/>
        </w:rPr>
        <w:t> </w:t>
      </w:r>
      <w:r>
        <w:rPr>
          <w:sz w:val="22"/>
        </w:rPr>
        <w:t>hecho</w:t>
      </w:r>
      <w:r>
        <w:rPr>
          <w:spacing w:val="-5"/>
          <w:sz w:val="22"/>
        </w:rPr>
        <w:t> </w:t>
      </w:r>
      <w:r>
        <w:rPr>
          <w:sz w:val="22"/>
        </w:rPr>
        <w:t>mismo</w:t>
      </w:r>
      <w:r>
        <w:rPr>
          <w:spacing w:val="-5"/>
          <w:sz w:val="22"/>
        </w:rPr>
        <w:t> </w:t>
      </w:r>
      <w:r>
        <w:rPr>
          <w:sz w:val="22"/>
        </w:rPr>
        <w:t>de la importación.</w:t>
      </w:r>
    </w:p>
    <w:p>
      <w:pPr>
        <w:pStyle w:val="ListParagraph"/>
        <w:numPr>
          <w:ilvl w:val="0"/>
          <w:numId w:val="11"/>
        </w:numPr>
        <w:tabs>
          <w:tab w:pos="1134" w:val="left" w:leader="none"/>
        </w:tabs>
        <w:spacing w:line="240" w:lineRule="auto" w:before="248" w:after="0"/>
        <w:ind w:left="1134" w:right="0" w:hanging="566"/>
        <w:jc w:val="left"/>
        <w:rPr>
          <w:sz w:val="22"/>
        </w:rPr>
      </w:pPr>
      <w:r>
        <w:rPr>
          <w:sz w:val="22"/>
        </w:rPr>
        <w:t>En</w:t>
      </w:r>
      <w:r>
        <w:rPr>
          <w:spacing w:val="-6"/>
          <w:sz w:val="22"/>
        </w:rPr>
        <w:t> </w:t>
      </w:r>
      <w:r>
        <w:rPr>
          <w:sz w:val="22"/>
        </w:rPr>
        <w:t>ese</w:t>
      </w:r>
      <w:r>
        <w:rPr>
          <w:spacing w:val="-5"/>
          <w:sz w:val="22"/>
        </w:rPr>
        <w:t> </w:t>
      </w:r>
      <w:r>
        <w:rPr>
          <w:sz w:val="22"/>
        </w:rPr>
        <w:t>mismo</w:t>
      </w:r>
      <w:r>
        <w:rPr>
          <w:spacing w:val="-4"/>
          <w:sz w:val="22"/>
        </w:rPr>
        <w:t> </w:t>
      </w:r>
      <w:r>
        <w:rPr>
          <w:sz w:val="22"/>
        </w:rPr>
        <w:t>Proceso</w:t>
      </w:r>
      <w:r>
        <w:rPr>
          <w:spacing w:val="-6"/>
          <w:sz w:val="22"/>
        </w:rPr>
        <w:t> </w:t>
      </w:r>
      <w:r>
        <w:rPr>
          <w:sz w:val="22"/>
        </w:rPr>
        <w:t>12</w:t>
      </w:r>
      <w:r>
        <w:rPr>
          <w:rFonts w:ascii="Cambria Math" w:hAnsi="Cambria Math"/>
          <w:sz w:val="22"/>
        </w:rPr>
        <w:t>‑</w:t>
      </w:r>
      <w:r>
        <w:rPr>
          <w:sz w:val="22"/>
        </w:rPr>
        <w:t>AN</w:t>
      </w:r>
      <w:r>
        <w:rPr>
          <w:rFonts w:ascii="Cambria Math" w:hAnsi="Cambria Math"/>
          <w:sz w:val="22"/>
        </w:rPr>
        <w:t>‑</w:t>
      </w:r>
      <w:r>
        <w:rPr>
          <w:sz w:val="22"/>
        </w:rPr>
        <w:t>99,</w:t>
      </w:r>
      <w:r>
        <w:rPr>
          <w:spacing w:val="-4"/>
          <w:sz w:val="22"/>
        </w:rPr>
        <w:t> </w:t>
      </w:r>
      <w:r>
        <w:rPr>
          <w:sz w:val="22"/>
        </w:rPr>
        <w:t>el</w:t>
      </w:r>
      <w:r>
        <w:rPr>
          <w:spacing w:val="-4"/>
          <w:sz w:val="22"/>
        </w:rPr>
        <w:t> </w:t>
      </w:r>
      <w:r>
        <w:rPr>
          <w:sz w:val="22"/>
        </w:rPr>
        <w:t>TJCAN</w:t>
      </w:r>
      <w:r>
        <w:rPr>
          <w:spacing w:val="-4"/>
          <w:sz w:val="22"/>
        </w:rPr>
        <w:t> </w:t>
      </w:r>
      <w:r>
        <w:rPr>
          <w:sz w:val="22"/>
        </w:rPr>
        <w:t>ha</w:t>
      </w:r>
      <w:r>
        <w:rPr>
          <w:spacing w:val="-5"/>
          <w:sz w:val="22"/>
        </w:rPr>
        <w:t> </w:t>
      </w:r>
      <w:r>
        <w:rPr>
          <w:sz w:val="22"/>
        </w:rPr>
        <w:t>señalado</w:t>
      </w:r>
      <w:r>
        <w:rPr>
          <w:spacing w:val="-3"/>
          <w:sz w:val="22"/>
        </w:rPr>
        <w:t> </w:t>
      </w:r>
      <w:r>
        <w:rPr>
          <w:sz w:val="22"/>
        </w:rPr>
        <w:t>sobre</w:t>
      </w:r>
      <w:r>
        <w:rPr>
          <w:spacing w:val="-4"/>
          <w:sz w:val="22"/>
        </w:rPr>
        <w:t> </w:t>
      </w:r>
      <w:r>
        <w:rPr>
          <w:sz w:val="22"/>
        </w:rPr>
        <w:t>la</w:t>
      </w:r>
      <w:r>
        <w:rPr>
          <w:spacing w:val="-5"/>
          <w:sz w:val="22"/>
        </w:rPr>
        <w:t> </w:t>
      </w:r>
      <w:r>
        <w:rPr>
          <w:sz w:val="22"/>
        </w:rPr>
        <w:t>tasa,</w:t>
      </w:r>
      <w:r>
        <w:rPr>
          <w:spacing w:val="-1"/>
          <w:sz w:val="22"/>
        </w:rPr>
        <w:t> </w:t>
      </w:r>
      <w:r>
        <w:rPr>
          <w:sz w:val="22"/>
        </w:rPr>
        <w:t>lo</w:t>
      </w:r>
      <w:r>
        <w:rPr>
          <w:spacing w:val="-5"/>
          <w:sz w:val="22"/>
        </w:rPr>
        <w:t> </w:t>
      </w:r>
      <w:r>
        <w:rPr>
          <w:spacing w:val="-2"/>
          <w:sz w:val="22"/>
        </w:rPr>
        <w:t>siguiente:</w:t>
      </w:r>
    </w:p>
    <w:p>
      <w:pPr>
        <w:pStyle w:val="BodyText"/>
        <w:spacing w:before="3"/>
      </w:pPr>
    </w:p>
    <w:p>
      <w:pPr>
        <w:pStyle w:val="ListParagraph"/>
        <w:numPr>
          <w:ilvl w:val="0"/>
          <w:numId w:val="28"/>
        </w:numPr>
        <w:tabs>
          <w:tab w:pos="2553" w:val="left" w:leader="none"/>
        </w:tabs>
        <w:spacing w:line="240" w:lineRule="auto" w:before="0" w:after="0"/>
        <w:ind w:left="2553" w:right="0" w:hanging="360"/>
        <w:jc w:val="left"/>
        <w:rPr>
          <w:sz w:val="22"/>
        </w:rPr>
      </w:pPr>
      <w:r>
        <w:rPr>
          <w:sz w:val="22"/>
        </w:rPr>
        <w:t>debe</w:t>
      </w:r>
      <w:r>
        <w:rPr>
          <w:spacing w:val="-6"/>
          <w:sz w:val="22"/>
        </w:rPr>
        <w:t> </w:t>
      </w:r>
      <w:r>
        <w:rPr>
          <w:sz w:val="22"/>
        </w:rPr>
        <w:t>remunerar</w:t>
      </w:r>
      <w:r>
        <w:rPr>
          <w:spacing w:val="-2"/>
          <w:sz w:val="22"/>
        </w:rPr>
        <w:t> </w:t>
      </w:r>
      <w:r>
        <w:rPr>
          <w:sz w:val="22"/>
        </w:rPr>
        <w:t>un</w:t>
      </w:r>
      <w:r>
        <w:rPr>
          <w:spacing w:val="-5"/>
          <w:sz w:val="22"/>
        </w:rPr>
        <w:t> </w:t>
      </w:r>
      <w:r>
        <w:rPr>
          <w:rFonts w:ascii="Arial" w:hAnsi="Arial"/>
          <w:b/>
          <w:sz w:val="22"/>
        </w:rPr>
        <w:t>bien</w:t>
      </w:r>
      <w:r>
        <w:rPr>
          <w:rFonts w:ascii="Arial" w:hAnsi="Arial"/>
          <w:b/>
          <w:spacing w:val="-7"/>
          <w:sz w:val="22"/>
        </w:rPr>
        <w:t> </w:t>
      </w:r>
      <w:r>
        <w:rPr>
          <w:rFonts w:ascii="Arial" w:hAnsi="Arial"/>
          <w:b/>
          <w:sz w:val="22"/>
        </w:rPr>
        <w:t>o</w:t>
      </w:r>
      <w:r>
        <w:rPr>
          <w:rFonts w:ascii="Arial" w:hAnsi="Arial"/>
          <w:b/>
          <w:spacing w:val="-3"/>
          <w:sz w:val="22"/>
        </w:rPr>
        <w:t> </w:t>
      </w:r>
      <w:r>
        <w:rPr>
          <w:rFonts w:ascii="Arial" w:hAnsi="Arial"/>
          <w:b/>
          <w:sz w:val="22"/>
        </w:rPr>
        <w:t>servicio</w:t>
      </w:r>
      <w:r>
        <w:rPr>
          <w:rFonts w:ascii="Arial" w:hAnsi="Arial"/>
          <w:b/>
          <w:spacing w:val="-5"/>
          <w:sz w:val="22"/>
        </w:rPr>
        <w:t> </w:t>
      </w:r>
      <w:r>
        <w:rPr>
          <w:rFonts w:ascii="Arial" w:hAnsi="Arial"/>
          <w:b/>
          <w:sz w:val="22"/>
        </w:rPr>
        <w:t>ofrecido</w:t>
      </w:r>
      <w:r>
        <w:rPr>
          <w:rFonts w:ascii="Arial" w:hAnsi="Arial"/>
          <w:b/>
          <w:spacing w:val="-3"/>
          <w:sz w:val="22"/>
        </w:rPr>
        <w:t> </w:t>
      </w:r>
      <w:r>
        <w:rPr>
          <w:rFonts w:ascii="Arial" w:hAnsi="Arial"/>
          <w:b/>
          <w:sz w:val="22"/>
        </w:rPr>
        <w:t>por</w:t>
      </w:r>
      <w:r>
        <w:rPr>
          <w:rFonts w:ascii="Arial" w:hAnsi="Arial"/>
          <w:b/>
          <w:spacing w:val="-4"/>
          <w:sz w:val="22"/>
        </w:rPr>
        <w:t> </w:t>
      </w:r>
      <w:r>
        <w:rPr>
          <w:rFonts w:ascii="Arial" w:hAnsi="Arial"/>
          <w:b/>
          <w:sz w:val="22"/>
        </w:rPr>
        <w:t>el</w:t>
      </w:r>
      <w:r>
        <w:rPr>
          <w:rFonts w:ascii="Arial" w:hAnsi="Arial"/>
          <w:b/>
          <w:spacing w:val="-2"/>
          <w:sz w:val="22"/>
        </w:rPr>
        <w:t> Estado</w:t>
      </w:r>
      <w:r>
        <w:rPr>
          <w:spacing w:val="-2"/>
          <w:sz w:val="22"/>
        </w:rPr>
        <w:t>,</w:t>
      </w:r>
    </w:p>
    <w:p>
      <w:pPr>
        <w:pStyle w:val="BodyText"/>
        <w:spacing w:before="1"/>
      </w:pPr>
    </w:p>
    <w:p>
      <w:pPr>
        <w:pStyle w:val="ListParagraph"/>
        <w:numPr>
          <w:ilvl w:val="0"/>
          <w:numId w:val="28"/>
        </w:numPr>
        <w:tabs>
          <w:tab w:pos="2553" w:val="left" w:leader="none"/>
        </w:tabs>
        <w:spacing w:line="237" w:lineRule="auto" w:before="0" w:after="0"/>
        <w:ind w:left="2553" w:right="977" w:hanging="361"/>
        <w:jc w:val="both"/>
        <w:rPr>
          <w:sz w:val="22"/>
        </w:rPr>
      </w:pPr>
      <w:r>
        <w:rPr>
          <w:sz w:val="22"/>
        </w:rPr>
        <w:t>su tarifa debe guardar </w:t>
      </w:r>
      <w:r>
        <w:rPr>
          <w:rFonts w:ascii="Arial" w:hAnsi="Arial"/>
          <w:b/>
          <w:sz w:val="22"/>
        </w:rPr>
        <w:t>relación directa y proporcional </w:t>
      </w:r>
      <w:r>
        <w:rPr>
          <w:sz w:val="22"/>
        </w:rPr>
        <w:t>con el costo de ese bien o servicio; y, por regla general;</w:t>
      </w:r>
    </w:p>
    <w:p>
      <w:pPr>
        <w:pStyle w:val="ListParagraph"/>
        <w:spacing w:after="0" w:line="237" w:lineRule="auto"/>
        <w:jc w:val="both"/>
        <w:rPr>
          <w:sz w:val="22"/>
        </w:rPr>
        <w:sectPr>
          <w:pgSz w:w="11900" w:h="16850"/>
          <w:pgMar w:header="370" w:footer="651" w:top="1380" w:bottom="840" w:left="992" w:right="283"/>
        </w:sectPr>
      </w:pPr>
    </w:p>
    <w:p>
      <w:pPr>
        <w:pStyle w:val="BodyText"/>
        <w:spacing w:before="180"/>
      </w:pPr>
    </w:p>
    <w:p>
      <w:pPr>
        <w:pStyle w:val="ListParagraph"/>
        <w:numPr>
          <w:ilvl w:val="0"/>
          <w:numId w:val="28"/>
        </w:numPr>
        <w:tabs>
          <w:tab w:pos="2553" w:val="left" w:leader="none"/>
        </w:tabs>
        <w:spacing w:line="237" w:lineRule="auto" w:before="0" w:after="0"/>
        <w:ind w:left="2553" w:right="979" w:hanging="361"/>
        <w:jc w:val="both"/>
        <w:rPr>
          <w:sz w:val="22"/>
        </w:rPr>
      </w:pPr>
      <w:r>
        <w:rPr>
          <w:sz w:val="22"/>
        </w:rPr>
        <w:t>se</w:t>
      </w:r>
      <w:r>
        <w:rPr>
          <w:spacing w:val="-7"/>
          <w:sz w:val="22"/>
        </w:rPr>
        <w:t> </w:t>
      </w:r>
      <w:r>
        <w:rPr>
          <w:sz w:val="22"/>
        </w:rPr>
        <w:t>vincula</w:t>
      </w:r>
      <w:r>
        <w:rPr>
          <w:spacing w:val="-7"/>
          <w:sz w:val="22"/>
        </w:rPr>
        <w:t> </w:t>
      </w:r>
      <w:r>
        <w:rPr>
          <w:sz w:val="22"/>
        </w:rPr>
        <w:t>a</w:t>
      </w:r>
      <w:r>
        <w:rPr>
          <w:spacing w:val="-7"/>
          <w:sz w:val="22"/>
        </w:rPr>
        <w:t> </w:t>
      </w:r>
      <w:r>
        <w:rPr>
          <w:rFonts w:ascii="Arial" w:hAnsi="Arial"/>
          <w:b/>
          <w:sz w:val="22"/>
        </w:rPr>
        <w:t>servicios</w:t>
      </w:r>
      <w:r>
        <w:rPr>
          <w:rFonts w:ascii="Arial" w:hAnsi="Arial"/>
          <w:b/>
          <w:spacing w:val="-7"/>
          <w:sz w:val="22"/>
        </w:rPr>
        <w:t> </w:t>
      </w:r>
      <w:r>
        <w:rPr>
          <w:rFonts w:ascii="Arial" w:hAnsi="Arial"/>
          <w:b/>
          <w:sz w:val="22"/>
        </w:rPr>
        <w:t>públicos</w:t>
      </w:r>
      <w:r>
        <w:rPr>
          <w:rFonts w:ascii="Arial" w:hAnsi="Arial"/>
          <w:b/>
          <w:spacing w:val="-7"/>
          <w:sz w:val="22"/>
        </w:rPr>
        <w:t> </w:t>
      </w:r>
      <w:r>
        <w:rPr>
          <w:rFonts w:ascii="Arial" w:hAnsi="Arial"/>
          <w:b/>
          <w:sz w:val="22"/>
        </w:rPr>
        <w:t>divisibles</w:t>
      </w:r>
      <w:r>
        <w:rPr>
          <w:sz w:val="22"/>
        </w:rPr>
        <w:t>,</w:t>
      </w:r>
      <w:r>
        <w:rPr>
          <w:spacing w:val="-6"/>
          <w:sz w:val="22"/>
        </w:rPr>
        <w:t> </w:t>
      </w:r>
      <w:r>
        <w:rPr>
          <w:sz w:val="22"/>
        </w:rPr>
        <w:t>que</w:t>
      </w:r>
      <w:r>
        <w:rPr>
          <w:spacing w:val="-12"/>
          <w:sz w:val="22"/>
        </w:rPr>
        <w:t> </w:t>
      </w:r>
      <w:r>
        <w:rPr>
          <w:sz w:val="22"/>
        </w:rPr>
        <w:t>el</w:t>
      </w:r>
      <w:r>
        <w:rPr>
          <w:spacing w:val="-8"/>
          <w:sz w:val="22"/>
        </w:rPr>
        <w:t> </w:t>
      </w:r>
      <w:r>
        <w:rPr>
          <w:sz w:val="22"/>
        </w:rPr>
        <w:t>particular</w:t>
      </w:r>
      <w:r>
        <w:rPr>
          <w:spacing w:val="-7"/>
          <w:sz w:val="22"/>
        </w:rPr>
        <w:t> </w:t>
      </w:r>
      <w:r>
        <w:rPr>
          <w:sz w:val="22"/>
        </w:rPr>
        <w:t>puede</w:t>
      </w:r>
      <w:r>
        <w:rPr>
          <w:spacing w:val="-10"/>
          <w:sz w:val="22"/>
        </w:rPr>
        <w:t> </w:t>
      </w:r>
      <w:r>
        <w:rPr>
          <w:sz w:val="22"/>
        </w:rPr>
        <w:t>optar por utilizar o no.</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Además, el TJCAN, en el Proceso 1</w:t>
      </w:r>
      <w:r>
        <w:rPr>
          <w:rFonts w:ascii="Cambria Math" w:hAnsi="Cambria Math"/>
          <w:sz w:val="22"/>
        </w:rPr>
        <w:t>‑</w:t>
      </w:r>
      <w:r>
        <w:rPr>
          <w:sz w:val="22"/>
        </w:rPr>
        <w:t>AI</w:t>
      </w:r>
      <w:r>
        <w:rPr>
          <w:rFonts w:ascii="Cambria Math" w:hAnsi="Cambria Math"/>
          <w:sz w:val="22"/>
        </w:rPr>
        <w:t>‑</w:t>
      </w:r>
      <w:r>
        <w:rPr>
          <w:sz w:val="22"/>
        </w:rPr>
        <w:t>97, hizo hincapié en que en una zona de libre comercio las importaciones “</w:t>
      </w:r>
      <w:r>
        <w:rPr>
          <w:rFonts w:ascii="Arial" w:hAnsi="Arial"/>
          <w:i/>
          <w:sz w:val="22"/>
        </w:rPr>
        <w:t>no deben gravarse con suma alguna derivada del hecho mismo</w:t>
      </w:r>
      <w:r>
        <w:rPr>
          <w:rFonts w:ascii="Arial" w:hAnsi="Arial"/>
          <w:i/>
          <w:spacing w:val="-10"/>
          <w:sz w:val="22"/>
        </w:rPr>
        <w:t> </w:t>
      </w:r>
      <w:r>
        <w:rPr>
          <w:rFonts w:ascii="Arial" w:hAnsi="Arial"/>
          <w:i/>
          <w:sz w:val="22"/>
        </w:rPr>
        <w:t>de</w:t>
      </w:r>
      <w:r>
        <w:rPr>
          <w:rFonts w:ascii="Arial" w:hAnsi="Arial"/>
          <w:i/>
          <w:spacing w:val="-8"/>
          <w:sz w:val="22"/>
        </w:rPr>
        <w:t> </w:t>
      </w:r>
      <w:r>
        <w:rPr>
          <w:rFonts w:ascii="Arial" w:hAnsi="Arial"/>
          <w:i/>
          <w:sz w:val="22"/>
        </w:rPr>
        <w:t>la</w:t>
      </w:r>
      <w:r>
        <w:rPr>
          <w:rFonts w:ascii="Arial" w:hAnsi="Arial"/>
          <w:i/>
          <w:spacing w:val="-10"/>
          <w:sz w:val="22"/>
        </w:rPr>
        <w:t> </w:t>
      </w:r>
      <w:r>
        <w:rPr>
          <w:rFonts w:ascii="Arial" w:hAnsi="Arial"/>
          <w:i/>
          <w:sz w:val="22"/>
        </w:rPr>
        <w:t>importación</w:t>
      </w:r>
      <w:r>
        <w:rPr>
          <w:sz w:val="22"/>
        </w:rPr>
        <w:t>”,</w:t>
      </w:r>
      <w:r>
        <w:rPr>
          <w:spacing w:val="-6"/>
          <w:sz w:val="22"/>
        </w:rPr>
        <w:t> </w:t>
      </w:r>
      <w:r>
        <w:rPr>
          <w:sz w:val="22"/>
        </w:rPr>
        <w:t>salvo</w:t>
      </w:r>
      <w:r>
        <w:rPr>
          <w:spacing w:val="-10"/>
          <w:sz w:val="22"/>
        </w:rPr>
        <w:t> </w:t>
      </w:r>
      <w:r>
        <w:rPr>
          <w:sz w:val="22"/>
        </w:rPr>
        <w:t>esas</w:t>
      </w:r>
      <w:r>
        <w:rPr>
          <w:spacing w:val="-9"/>
          <w:sz w:val="22"/>
        </w:rPr>
        <w:t> </w:t>
      </w:r>
      <w:r>
        <w:rPr>
          <w:sz w:val="22"/>
        </w:rPr>
        <w:t>tasas</w:t>
      </w:r>
      <w:r>
        <w:rPr>
          <w:spacing w:val="-7"/>
          <w:sz w:val="22"/>
        </w:rPr>
        <w:t> </w:t>
      </w:r>
      <w:r>
        <w:rPr>
          <w:sz w:val="22"/>
        </w:rPr>
        <w:t>por</w:t>
      </w:r>
      <w:r>
        <w:rPr>
          <w:spacing w:val="-6"/>
          <w:sz w:val="22"/>
        </w:rPr>
        <w:t> </w:t>
      </w:r>
      <w:r>
        <w:rPr>
          <w:sz w:val="22"/>
        </w:rPr>
        <w:t>servicios</w:t>
      </w:r>
      <w:r>
        <w:rPr>
          <w:spacing w:val="-7"/>
          <w:sz w:val="22"/>
        </w:rPr>
        <w:t> </w:t>
      </w:r>
      <w:r>
        <w:rPr>
          <w:sz w:val="22"/>
        </w:rPr>
        <w:t>directamente</w:t>
      </w:r>
      <w:r>
        <w:rPr>
          <w:spacing w:val="-10"/>
          <w:sz w:val="22"/>
        </w:rPr>
        <w:t> </w:t>
      </w:r>
      <w:r>
        <w:rPr>
          <w:sz w:val="22"/>
        </w:rPr>
        <w:t>relacionados</w:t>
      </w:r>
      <w:r>
        <w:rPr>
          <w:spacing w:val="-7"/>
          <w:sz w:val="22"/>
        </w:rPr>
        <w:t> </w:t>
      </w:r>
      <w:r>
        <w:rPr>
          <w:sz w:val="22"/>
        </w:rPr>
        <w:t>con ese hecho.</w:t>
      </w:r>
    </w:p>
    <w:p>
      <w:pPr>
        <w:pStyle w:val="BodyText"/>
      </w:pPr>
    </w:p>
    <w:p>
      <w:pPr>
        <w:pStyle w:val="ListParagraph"/>
        <w:numPr>
          <w:ilvl w:val="0"/>
          <w:numId w:val="11"/>
        </w:numPr>
        <w:tabs>
          <w:tab w:pos="1130" w:val="left" w:leader="none"/>
          <w:tab w:pos="1134" w:val="left" w:leader="none"/>
        </w:tabs>
        <w:spacing w:line="240" w:lineRule="auto" w:before="0" w:after="0"/>
        <w:ind w:left="1134" w:right="982" w:hanging="567"/>
        <w:jc w:val="both"/>
        <w:rPr>
          <w:sz w:val="22"/>
        </w:rPr>
      </w:pPr>
      <w:r>
        <w:rPr>
          <w:sz w:val="22"/>
        </w:rPr>
        <w:t>Continuando con esa línea jurisprudencial, y de la aplicación que</w:t>
      </w:r>
      <w:r>
        <w:rPr>
          <w:spacing w:val="-1"/>
          <w:sz w:val="22"/>
        </w:rPr>
        <w:t> </w:t>
      </w:r>
      <w:r>
        <w:rPr>
          <w:sz w:val="22"/>
        </w:rPr>
        <w:t>realiza la SGCAN en varios casos bajo su competencia</w:t>
      </w:r>
      <w:hyperlink w:history="true" w:anchor="_bookmark66">
        <w:r>
          <w:rPr>
            <w:sz w:val="22"/>
            <w:vertAlign w:val="superscript"/>
          </w:rPr>
          <w:t>24</w:t>
        </w:r>
      </w:hyperlink>
      <w:r>
        <w:rPr>
          <w:sz w:val="22"/>
          <w:vertAlign w:val="baseline"/>
        </w:rPr>
        <w:t>, se desprenden tres criterios operativos:</w:t>
      </w:r>
    </w:p>
    <w:p>
      <w:pPr>
        <w:pStyle w:val="BodyText"/>
        <w:spacing w:before="3"/>
      </w:pPr>
    </w:p>
    <w:p>
      <w:pPr>
        <w:pStyle w:val="ListParagraph"/>
        <w:numPr>
          <w:ilvl w:val="0"/>
          <w:numId w:val="29"/>
        </w:numPr>
        <w:tabs>
          <w:tab w:pos="2553" w:val="left" w:leader="none"/>
        </w:tabs>
        <w:spacing w:line="237" w:lineRule="auto" w:before="1" w:after="0"/>
        <w:ind w:left="2553" w:right="981" w:hanging="361"/>
        <w:jc w:val="both"/>
        <w:rPr>
          <w:sz w:val="22"/>
        </w:rPr>
      </w:pPr>
      <w:r>
        <w:rPr>
          <w:rFonts w:ascii="Arial" w:hAnsi="Arial"/>
          <w:b/>
          <w:sz w:val="22"/>
        </w:rPr>
        <w:t>Directo</w:t>
      </w:r>
      <w:r>
        <w:rPr>
          <w:sz w:val="22"/>
        </w:rPr>
        <w:t>: la prestación debe recaer sobre el importador o su operación concreta (descargue, estiba, uso de puerto, bodegaje, trámites de levante, etc.).</w:t>
      </w:r>
    </w:p>
    <w:p>
      <w:pPr>
        <w:pStyle w:val="BodyText"/>
        <w:spacing w:before="2"/>
      </w:pPr>
    </w:p>
    <w:p>
      <w:pPr>
        <w:pStyle w:val="ListParagraph"/>
        <w:numPr>
          <w:ilvl w:val="0"/>
          <w:numId w:val="29"/>
        </w:numPr>
        <w:tabs>
          <w:tab w:pos="2553" w:val="left" w:leader="none"/>
        </w:tabs>
        <w:spacing w:line="240" w:lineRule="auto" w:before="0" w:after="0"/>
        <w:ind w:left="2553" w:right="979" w:hanging="361"/>
        <w:jc w:val="both"/>
        <w:rPr>
          <w:sz w:val="22"/>
        </w:rPr>
      </w:pPr>
      <w:r>
        <w:rPr>
          <w:rFonts w:ascii="Arial" w:hAnsi="Arial"/>
          <w:b/>
          <w:sz w:val="22"/>
        </w:rPr>
        <w:t>Vinculado al hecho de la importación</w:t>
      </w:r>
      <w:r>
        <w:rPr>
          <w:sz w:val="22"/>
        </w:rPr>
        <w:t>: debe tratarse de actuaciones que solo existen por la operación de importación específica, no de funciones generales de control, seguridad o política fiscal.</w:t>
      </w:r>
    </w:p>
    <w:p>
      <w:pPr>
        <w:pStyle w:val="ListParagraph"/>
        <w:numPr>
          <w:ilvl w:val="0"/>
          <w:numId w:val="29"/>
        </w:numPr>
        <w:tabs>
          <w:tab w:pos="2553" w:val="left" w:leader="none"/>
        </w:tabs>
        <w:spacing w:line="240" w:lineRule="auto" w:before="252" w:after="0"/>
        <w:ind w:left="2553" w:right="979" w:hanging="361"/>
        <w:jc w:val="both"/>
        <w:rPr>
          <w:sz w:val="22"/>
        </w:rPr>
      </w:pPr>
      <w:r>
        <w:rPr>
          <w:rFonts w:ascii="Arial" w:hAnsi="Arial"/>
          <w:b/>
          <w:sz w:val="22"/>
        </w:rPr>
        <w:t>Divisible e individualizable</w:t>
      </w:r>
      <w:r>
        <w:rPr>
          <w:sz w:val="22"/>
        </w:rPr>
        <w:t>: el servicio debe ser susceptible de imputarse</w:t>
      </w:r>
      <w:r>
        <w:rPr>
          <w:spacing w:val="-8"/>
          <w:sz w:val="22"/>
        </w:rPr>
        <w:t> </w:t>
      </w:r>
      <w:r>
        <w:rPr>
          <w:sz w:val="22"/>
        </w:rPr>
        <w:t>a</w:t>
      </w:r>
      <w:r>
        <w:rPr>
          <w:spacing w:val="-6"/>
          <w:sz w:val="22"/>
        </w:rPr>
        <w:t> </w:t>
      </w:r>
      <w:r>
        <w:rPr>
          <w:sz w:val="22"/>
        </w:rPr>
        <w:t>cada</w:t>
      </w:r>
      <w:r>
        <w:rPr>
          <w:spacing w:val="-8"/>
          <w:sz w:val="22"/>
        </w:rPr>
        <w:t> </w:t>
      </w:r>
      <w:r>
        <w:rPr>
          <w:sz w:val="22"/>
        </w:rPr>
        <w:t>operación</w:t>
      </w:r>
      <w:r>
        <w:rPr>
          <w:spacing w:val="-6"/>
          <w:sz w:val="22"/>
        </w:rPr>
        <w:t> </w:t>
      </w:r>
      <w:r>
        <w:rPr>
          <w:sz w:val="22"/>
        </w:rPr>
        <w:t>(por</w:t>
      </w:r>
      <w:r>
        <w:rPr>
          <w:spacing w:val="-7"/>
          <w:sz w:val="22"/>
        </w:rPr>
        <w:t> </w:t>
      </w:r>
      <w:r>
        <w:rPr>
          <w:sz w:val="22"/>
        </w:rPr>
        <w:t>contenedor,</w:t>
      </w:r>
      <w:r>
        <w:rPr>
          <w:spacing w:val="-7"/>
          <w:sz w:val="22"/>
        </w:rPr>
        <w:t> </w:t>
      </w:r>
      <w:r>
        <w:rPr>
          <w:sz w:val="22"/>
        </w:rPr>
        <w:t>por</w:t>
      </w:r>
      <w:r>
        <w:rPr>
          <w:spacing w:val="-5"/>
          <w:sz w:val="22"/>
        </w:rPr>
        <w:t> </w:t>
      </w:r>
      <w:r>
        <w:rPr>
          <w:sz w:val="22"/>
        </w:rPr>
        <w:t>inspección,</w:t>
      </w:r>
      <w:r>
        <w:rPr>
          <w:spacing w:val="-5"/>
          <w:sz w:val="22"/>
        </w:rPr>
        <w:t> </w:t>
      </w:r>
      <w:r>
        <w:rPr>
          <w:sz w:val="22"/>
        </w:rPr>
        <w:t>por</w:t>
      </w:r>
      <w:r>
        <w:rPr>
          <w:spacing w:val="-5"/>
          <w:sz w:val="22"/>
        </w:rPr>
        <w:t> </w:t>
      </w:r>
      <w:r>
        <w:rPr>
          <w:sz w:val="22"/>
        </w:rPr>
        <w:t>análisis de laboratorio, por registro), de manera que sea posible aproximar su costo por unidad de uso.</w:t>
      </w:r>
    </w:p>
    <w:p>
      <w:pPr>
        <w:pStyle w:val="ListParagraph"/>
        <w:numPr>
          <w:ilvl w:val="0"/>
          <w:numId w:val="11"/>
        </w:numPr>
        <w:tabs>
          <w:tab w:pos="1130" w:val="left" w:leader="none"/>
          <w:tab w:pos="1134" w:val="left" w:leader="none"/>
        </w:tabs>
        <w:spacing w:line="240" w:lineRule="auto" w:before="251" w:after="0"/>
        <w:ind w:left="1134" w:right="978" w:hanging="567"/>
        <w:jc w:val="both"/>
        <w:rPr>
          <w:sz w:val="22"/>
        </w:rPr>
      </w:pPr>
      <w:r>
        <w:rPr>
          <w:sz w:val="22"/>
        </w:rPr>
        <w:t>En</w:t>
      </w:r>
      <w:r>
        <w:rPr>
          <w:spacing w:val="-8"/>
          <w:sz w:val="22"/>
        </w:rPr>
        <w:t> </w:t>
      </w:r>
      <w:r>
        <w:rPr>
          <w:sz w:val="22"/>
        </w:rPr>
        <w:t>este</w:t>
      </w:r>
      <w:r>
        <w:rPr>
          <w:spacing w:val="-10"/>
          <w:sz w:val="22"/>
        </w:rPr>
        <w:t> </w:t>
      </w:r>
      <w:r>
        <w:rPr>
          <w:sz w:val="22"/>
        </w:rPr>
        <w:t>sentido,</w:t>
      </w:r>
      <w:r>
        <w:rPr>
          <w:spacing w:val="-8"/>
          <w:sz w:val="22"/>
        </w:rPr>
        <w:t> </w:t>
      </w:r>
      <w:r>
        <w:rPr>
          <w:sz w:val="22"/>
        </w:rPr>
        <w:t>una</w:t>
      </w:r>
      <w:r>
        <w:rPr>
          <w:spacing w:val="-10"/>
          <w:sz w:val="22"/>
        </w:rPr>
        <w:t> </w:t>
      </w:r>
      <w:r>
        <w:rPr>
          <w:sz w:val="22"/>
        </w:rPr>
        <w:t>tasa</w:t>
      </w:r>
      <w:r>
        <w:rPr>
          <w:spacing w:val="-11"/>
          <w:sz w:val="22"/>
        </w:rPr>
        <w:t> </w:t>
      </w:r>
      <w:r>
        <w:rPr>
          <w:sz w:val="22"/>
        </w:rPr>
        <w:t>que</w:t>
      </w:r>
      <w:r>
        <w:rPr>
          <w:spacing w:val="-8"/>
          <w:sz w:val="22"/>
        </w:rPr>
        <w:t> </w:t>
      </w:r>
      <w:r>
        <w:rPr>
          <w:rFonts w:ascii="Arial" w:hAnsi="Arial"/>
          <w:b/>
          <w:sz w:val="22"/>
        </w:rPr>
        <w:t>no</w:t>
      </w:r>
      <w:r>
        <w:rPr>
          <w:rFonts w:ascii="Arial" w:hAnsi="Arial"/>
          <w:b/>
          <w:spacing w:val="-8"/>
          <w:sz w:val="22"/>
        </w:rPr>
        <w:t> </w:t>
      </w:r>
      <w:r>
        <w:rPr>
          <w:sz w:val="22"/>
        </w:rPr>
        <w:t>cumpla</w:t>
      </w:r>
      <w:r>
        <w:rPr>
          <w:spacing w:val="-7"/>
          <w:sz w:val="22"/>
        </w:rPr>
        <w:t> </w:t>
      </w:r>
      <w:r>
        <w:rPr>
          <w:sz w:val="22"/>
        </w:rPr>
        <w:t>con</w:t>
      </w:r>
      <w:r>
        <w:rPr>
          <w:spacing w:val="-11"/>
          <w:sz w:val="22"/>
        </w:rPr>
        <w:t> </w:t>
      </w:r>
      <w:r>
        <w:rPr>
          <w:sz w:val="22"/>
        </w:rPr>
        <w:t>los</w:t>
      </w:r>
      <w:r>
        <w:rPr>
          <w:spacing w:val="-10"/>
          <w:sz w:val="22"/>
        </w:rPr>
        <w:t> </w:t>
      </w:r>
      <w:r>
        <w:rPr>
          <w:sz w:val="22"/>
        </w:rPr>
        <w:t>tres</w:t>
      </w:r>
      <w:r>
        <w:rPr>
          <w:spacing w:val="-8"/>
          <w:sz w:val="22"/>
        </w:rPr>
        <w:t> </w:t>
      </w:r>
      <w:r>
        <w:rPr>
          <w:sz w:val="22"/>
        </w:rPr>
        <w:t>criterios</w:t>
      </w:r>
      <w:r>
        <w:rPr>
          <w:spacing w:val="-7"/>
          <w:sz w:val="22"/>
        </w:rPr>
        <w:t> </w:t>
      </w:r>
      <w:r>
        <w:rPr>
          <w:sz w:val="22"/>
        </w:rPr>
        <w:t>identificados</w:t>
      </w:r>
      <w:r>
        <w:rPr>
          <w:spacing w:val="-12"/>
          <w:sz w:val="22"/>
        </w:rPr>
        <w:t> </w:t>
      </w:r>
      <w:r>
        <w:rPr>
          <w:sz w:val="22"/>
        </w:rPr>
        <w:t>en</w:t>
      </w:r>
      <w:r>
        <w:rPr>
          <w:spacing w:val="-8"/>
          <w:sz w:val="22"/>
        </w:rPr>
        <w:t> </w:t>
      </w:r>
      <w:r>
        <w:rPr>
          <w:sz w:val="22"/>
        </w:rPr>
        <w:t>el</w:t>
      </w:r>
      <w:r>
        <w:rPr>
          <w:spacing w:val="-9"/>
          <w:sz w:val="22"/>
        </w:rPr>
        <w:t> </w:t>
      </w:r>
      <w:r>
        <w:rPr>
          <w:sz w:val="22"/>
        </w:rPr>
        <w:t>párrafo anterior, sería considerada un gravamen.</w:t>
      </w:r>
    </w:p>
    <w:p>
      <w:pPr>
        <w:pStyle w:val="BodyText"/>
      </w:pPr>
    </w:p>
    <w:p>
      <w:pPr>
        <w:pStyle w:val="ListParagraph"/>
        <w:numPr>
          <w:ilvl w:val="0"/>
          <w:numId w:val="11"/>
        </w:numPr>
        <w:tabs>
          <w:tab w:pos="1130" w:val="left" w:leader="none"/>
          <w:tab w:pos="1134" w:val="left" w:leader="none"/>
        </w:tabs>
        <w:spacing w:line="240" w:lineRule="auto" w:before="0" w:after="0"/>
        <w:ind w:left="1134" w:right="975" w:hanging="567"/>
        <w:jc w:val="both"/>
        <w:rPr>
          <w:sz w:val="22"/>
        </w:rPr>
      </w:pPr>
      <w:r>
        <w:rPr>
          <w:sz w:val="22"/>
        </w:rPr>
        <w:t>Asimismo, en relación con la naturaleza de las tasas excluidas del concepto de gravamen, el TJCAN en el Proceso 25-AI-1999, ha señalado que estas constituyen la contraprestación exigible por servicios públicos divisibles ofrecidos por el</w:t>
      </w:r>
      <w:r>
        <w:rPr>
          <w:spacing w:val="-1"/>
          <w:sz w:val="22"/>
        </w:rPr>
        <w:t> </w:t>
      </w:r>
      <w:r>
        <w:rPr>
          <w:sz w:val="22"/>
        </w:rPr>
        <w:t>Estado, cuya tarifa debe guardar relación directa y proporcional con el costo aproximado de dichos servicios, y que estas, en principio, no revisten carácter de imposición obligatoria, toda vez</w:t>
      </w:r>
      <w:r>
        <w:rPr>
          <w:spacing w:val="-4"/>
          <w:sz w:val="22"/>
        </w:rPr>
        <w:t> </w:t>
      </w:r>
      <w:r>
        <w:rPr>
          <w:sz w:val="22"/>
        </w:rPr>
        <w:t>que</w:t>
      </w:r>
      <w:r>
        <w:rPr>
          <w:spacing w:val="-4"/>
          <w:sz w:val="22"/>
        </w:rPr>
        <w:t> </w:t>
      </w:r>
      <w:r>
        <w:rPr>
          <w:sz w:val="22"/>
        </w:rPr>
        <w:t>el</w:t>
      </w:r>
      <w:r>
        <w:rPr>
          <w:spacing w:val="-5"/>
          <w:sz w:val="22"/>
        </w:rPr>
        <w:t> </w:t>
      </w:r>
      <w:r>
        <w:rPr>
          <w:sz w:val="22"/>
        </w:rPr>
        <w:t>administrado</w:t>
      </w:r>
      <w:r>
        <w:rPr>
          <w:spacing w:val="-6"/>
          <w:sz w:val="22"/>
        </w:rPr>
        <w:t> </w:t>
      </w:r>
      <w:r>
        <w:rPr>
          <w:sz w:val="22"/>
        </w:rPr>
        <w:t>conserva</w:t>
      </w:r>
      <w:r>
        <w:rPr>
          <w:spacing w:val="-4"/>
          <w:sz w:val="22"/>
        </w:rPr>
        <w:t> </w:t>
      </w:r>
      <w:r>
        <w:rPr>
          <w:sz w:val="22"/>
        </w:rPr>
        <w:t>la</w:t>
      </w:r>
      <w:r>
        <w:rPr>
          <w:spacing w:val="-4"/>
          <w:sz w:val="22"/>
        </w:rPr>
        <w:t> </w:t>
      </w:r>
      <w:r>
        <w:rPr>
          <w:sz w:val="22"/>
        </w:rPr>
        <w:t>opción</w:t>
      </w:r>
      <w:r>
        <w:rPr>
          <w:spacing w:val="-4"/>
          <w:sz w:val="22"/>
        </w:rPr>
        <w:t> </w:t>
      </w:r>
      <w:r>
        <w:rPr>
          <w:sz w:val="22"/>
        </w:rPr>
        <w:t>de</w:t>
      </w:r>
      <w:r>
        <w:rPr>
          <w:spacing w:val="-7"/>
          <w:sz w:val="22"/>
        </w:rPr>
        <w:t> </w:t>
      </w:r>
      <w:r>
        <w:rPr>
          <w:sz w:val="22"/>
        </w:rPr>
        <w:t>adquirir</w:t>
      </w:r>
      <w:r>
        <w:rPr>
          <w:spacing w:val="-3"/>
          <w:sz w:val="22"/>
        </w:rPr>
        <w:t> </w:t>
      </w:r>
      <w:r>
        <w:rPr>
          <w:sz w:val="22"/>
        </w:rPr>
        <w:t>o</w:t>
      </w:r>
      <w:r>
        <w:rPr>
          <w:spacing w:val="-4"/>
          <w:sz w:val="22"/>
        </w:rPr>
        <w:t> </w:t>
      </w:r>
      <w:r>
        <w:rPr>
          <w:sz w:val="22"/>
        </w:rPr>
        <w:t>no</w:t>
      </w:r>
      <w:r>
        <w:rPr>
          <w:spacing w:val="-4"/>
          <w:sz w:val="22"/>
        </w:rPr>
        <w:t> </w:t>
      </w:r>
      <w:r>
        <w:rPr>
          <w:sz w:val="22"/>
        </w:rPr>
        <w:t>el</w:t>
      </w:r>
      <w:r>
        <w:rPr>
          <w:spacing w:val="-5"/>
          <w:sz w:val="22"/>
        </w:rPr>
        <w:t> </w:t>
      </w:r>
      <w:r>
        <w:rPr>
          <w:sz w:val="22"/>
        </w:rPr>
        <w:t>bien</w:t>
      </w:r>
      <w:r>
        <w:rPr>
          <w:spacing w:val="-4"/>
          <w:sz w:val="22"/>
        </w:rPr>
        <w:t> </w:t>
      </w:r>
      <w:r>
        <w:rPr>
          <w:sz w:val="22"/>
        </w:rPr>
        <w:t>o</w:t>
      </w:r>
      <w:r>
        <w:rPr>
          <w:spacing w:val="-6"/>
          <w:sz w:val="22"/>
        </w:rPr>
        <w:t> </w:t>
      </w:r>
      <w:r>
        <w:rPr>
          <w:sz w:val="22"/>
        </w:rPr>
        <w:t>servicio</w:t>
      </w:r>
      <w:r>
        <w:rPr>
          <w:spacing w:val="-4"/>
          <w:sz w:val="22"/>
        </w:rPr>
        <w:t> </w:t>
      </w:r>
      <w:r>
        <w:rPr>
          <w:sz w:val="22"/>
        </w:rPr>
        <w:t>de</w:t>
      </w:r>
      <w:r>
        <w:rPr>
          <w:spacing w:val="-4"/>
          <w:sz w:val="22"/>
        </w:rPr>
        <w:t> </w:t>
      </w:r>
      <w:r>
        <w:rPr>
          <w:sz w:val="22"/>
        </w:rPr>
        <w:t>que</w:t>
      </w:r>
      <w:r>
        <w:rPr>
          <w:spacing w:val="-4"/>
          <w:sz w:val="22"/>
        </w:rPr>
        <w:t> </w:t>
      </w:r>
      <w:r>
        <w:rPr>
          <w:sz w:val="22"/>
        </w:rPr>
        <w:t>se </w:t>
      </w:r>
      <w:r>
        <w:rPr>
          <w:spacing w:val="-2"/>
          <w:sz w:val="22"/>
        </w:rPr>
        <w:t>trate.</w:t>
      </w:r>
    </w:p>
    <w:p>
      <w:pPr>
        <w:pStyle w:val="ListParagraph"/>
        <w:numPr>
          <w:ilvl w:val="0"/>
          <w:numId w:val="11"/>
        </w:numPr>
        <w:tabs>
          <w:tab w:pos="1130" w:val="left" w:leader="none"/>
          <w:tab w:pos="1134" w:val="left" w:leader="none"/>
        </w:tabs>
        <w:spacing w:line="240" w:lineRule="auto" w:before="252" w:after="0"/>
        <w:ind w:left="1134" w:right="977" w:hanging="567"/>
        <w:jc w:val="both"/>
        <w:rPr>
          <w:sz w:val="22"/>
        </w:rPr>
      </w:pPr>
      <w:r>
        <w:rPr>
          <w:sz w:val="22"/>
        </w:rPr>
        <w:t>En efecto, en el Proceso 12</w:t>
      </w:r>
      <w:r>
        <w:rPr>
          <w:rFonts w:ascii="Cambria Math" w:hAnsi="Cambria Math"/>
          <w:sz w:val="22"/>
        </w:rPr>
        <w:t>‑</w:t>
      </w:r>
      <w:r>
        <w:rPr>
          <w:sz w:val="22"/>
        </w:rPr>
        <w:t>AN</w:t>
      </w:r>
      <w:r>
        <w:rPr>
          <w:rFonts w:ascii="Cambria Math" w:hAnsi="Cambria Math"/>
          <w:sz w:val="22"/>
        </w:rPr>
        <w:t>‑</w:t>
      </w:r>
      <w:r>
        <w:rPr>
          <w:sz w:val="22"/>
        </w:rPr>
        <w:t>99, el TJCAN precisa que las tasas son generalmente establecidas para ser pagadas por los usuarios de un servicio determinado. En esa línea,</w:t>
      </w:r>
      <w:r>
        <w:rPr>
          <w:spacing w:val="-3"/>
          <w:sz w:val="22"/>
        </w:rPr>
        <w:t> </w:t>
      </w:r>
      <w:r>
        <w:rPr>
          <w:sz w:val="22"/>
        </w:rPr>
        <w:t>el</w:t>
      </w:r>
      <w:r>
        <w:rPr>
          <w:spacing w:val="-5"/>
          <w:sz w:val="22"/>
        </w:rPr>
        <w:t> </w:t>
      </w:r>
      <w:r>
        <w:rPr>
          <w:sz w:val="22"/>
        </w:rPr>
        <w:t>artículo</w:t>
      </w:r>
      <w:r>
        <w:rPr>
          <w:spacing w:val="-4"/>
          <w:sz w:val="22"/>
        </w:rPr>
        <w:t> </w:t>
      </w:r>
      <w:r>
        <w:rPr>
          <w:sz w:val="22"/>
        </w:rPr>
        <w:t>2</w:t>
      </w:r>
      <w:r>
        <w:rPr>
          <w:spacing w:val="-4"/>
          <w:sz w:val="22"/>
        </w:rPr>
        <w:t> </w:t>
      </w:r>
      <w:r>
        <w:rPr>
          <w:sz w:val="22"/>
        </w:rPr>
        <w:t>de</w:t>
      </w:r>
      <w:r>
        <w:rPr>
          <w:spacing w:val="-4"/>
          <w:sz w:val="22"/>
        </w:rPr>
        <w:t> </w:t>
      </w:r>
      <w:r>
        <w:rPr>
          <w:sz w:val="22"/>
        </w:rPr>
        <w:t>la</w:t>
      </w:r>
      <w:r>
        <w:rPr>
          <w:spacing w:val="-6"/>
          <w:sz w:val="22"/>
        </w:rPr>
        <w:t> </w:t>
      </w:r>
      <w:r>
        <w:rPr>
          <w:sz w:val="22"/>
        </w:rPr>
        <w:t>Decisión</w:t>
      </w:r>
      <w:r>
        <w:rPr>
          <w:spacing w:val="-4"/>
          <w:sz w:val="22"/>
        </w:rPr>
        <w:t> </w:t>
      </w:r>
      <w:r>
        <w:rPr>
          <w:sz w:val="22"/>
        </w:rPr>
        <w:t>671</w:t>
      </w:r>
      <w:r>
        <w:rPr>
          <w:spacing w:val="-4"/>
          <w:sz w:val="22"/>
        </w:rPr>
        <w:t> </w:t>
      </w:r>
      <w:r>
        <w:rPr>
          <w:sz w:val="22"/>
        </w:rPr>
        <w:t>define</w:t>
      </w:r>
      <w:r>
        <w:rPr>
          <w:spacing w:val="-4"/>
          <w:sz w:val="22"/>
        </w:rPr>
        <w:t> </w:t>
      </w:r>
      <w:r>
        <w:rPr>
          <w:sz w:val="22"/>
        </w:rPr>
        <w:t>las</w:t>
      </w:r>
      <w:r>
        <w:rPr>
          <w:spacing w:val="-4"/>
          <w:sz w:val="22"/>
        </w:rPr>
        <w:t> </w:t>
      </w:r>
      <w:r>
        <w:rPr>
          <w:sz w:val="22"/>
        </w:rPr>
        <w:t>tasas</w:t>
      </w:r>
      <w:r>
        <w:rPr>
          <w:spacing w:val="-4"/>
          <w:sz w:val="22"/>
        </w:rPr>
        <w:t> </w:t>
      </w:r>
      <w:r>
        <w:rPr>
          <w:sz w:val="22"/>
        </w:rPr>
        <w:t>como</w:t>
      </w:r>
      <w:r>
        <w:rPr>
          <w:spacing w:val="-4"/>
          <w:sz w:val="22"/>
        </w:rPr>
        <w:t> </w:t>
      </w:r>
      <w:r>
        <w:rPr>
          <w:sz w:val="22"/>
        </w:rPr>
        <w:t>la</w:t>
      </w:r>
      <w:r>
        <w:rPr>
          <w:spacing w:val="-4"/>
          <w:sz w:val="22"/>
        </w:rPr>
        <w:t> </w:t>
      </w:r>
      <w:r>
        <w:rPr>
          <w:sz w:val="22"/>
        </w:rPr>
        <w:t>contraprestación</w:t>
      </w:r>
      <w:r>
        <w:rPr>
          <w:spacing w:val="-4"/>
          <w:sz w:val="22"/>
        </w:rPr>
        <w:t> </w:t>
      </w:r>
      <w:r>
        <w:rPr>
          <w:sz w:val="22"/>
        </w:rPr>
        <w:t>exigible por</w:t>
      </w:r>
      <w:r>
        <w:rPr>
          <w:spacing w:val="-12"/>
          <w:sz w:val="22"/>
        </w:rPr>
        <w:t> </w:t>
      </w:r>
      <w:r>
        <w:rPr>
          <w:sz w:val="22"/>
        </w:rPr>
        <w:t>el</w:t>
      </w:r>
      <w:r>
        <w:rPr>
          <w:spacing w:val="-16"/>
          <w:sz w:val="22"/>
        </w:rPr>
        <w:t> </w:t>
      </w:r>
      <w:r>
        <w:rPr>
          <w:sz w:val="22"/>
        </w:rPr>
        <w:t>servicio</w:t>
      </w:r>
      <w:r>
        <w:rPr>
          <w:spacing w:val="-11"/>
          <w:sz w:val="22"/>
        </w:rPr>
        <w:t> </w:t>
      </w:r>
      <w:r>
        <w:rPr>
          <w:sz w:val="22"/>
        </w:rPr>
        <w:t>efectivamente</w:t>
      </w:r>
      <w:r>
        <w:rPr>
          <w:spacing w:val="-14"/>
          <w:sz w:val="22"/>
        </w:rPr>
        <w:t> </w:t>
      </w:r>
      <w:r>
        <w:rPr>
          <w:sz w:val="22"/>
        </w:rPr>
        <w:t>prestado</w:t>
      </w:r>
      <w:r>
        <w:rPr>
          <w:spacing w:val="-15"/>
          <w:sz w:val="22"/>
        </w:rPr>
        <w:t> </w:t>
      </w:r>
      <w:r>
        <w:rPr>
          <w:sz w:val="22"/>
        </w:rPr>
        <w:t>por</w:t>
      </w:r>
      <w:r>
        <w:rPr>
          <w:spacing w:val="-13"/>
          <w:sz w:val="22"/>
        </w:rPr>
        <w:t> </w:t>
      </w:r>
      <w:r>
        <w:rPr>
          <w:sz w:val="22"/>
        </w:rPr>
        <w:t>las</w:t>
      </w:r>
      <w:r>
        <w:rPr>
          <w:spacing w:val="-15"/>
          <w:sz w:val="22"/>
        </w:rPr>
        <w:t> </w:t>
      </w:r>
      <w:r>
        <w:rPr>
          <w:sz w:val="22"/>
        </w:rPr>
        <w:t>autoridades</w:t>
      </w:r>
      <w:r>
        <w:rPr>
          <w:spacing w:val="-12"/>
          <w:sz w:val="22"/>
        </w:rPr>
        <w:t> </w:t>
      </w:r>
      <w:r>
        <w:rPr>
          <w:sz w:val="22"/>
        </w:rPr>
        <w:t>aduaneras</w:t>
      </w:r>
      <w:r>
        <w:rPr>
          <w:spacing w:val="-15"/>
          <w:sz w:val="22"/>
        </w:rPr>
        <w:t> </w:t>
      </w:r>
      <w:r>
        <w:rPr>
          <w:sz w:val="22"/>
        </w:rPr>
        <w:t>y</w:t>
      </w:r>
      <w:r>
        <w:rPr>
          <w:spacing w:val="-14"/>
          <w:sz w:val="22"/>
        </w:rPr>
        <w:t> </w:t>
      </w:r>
      <w:r>
        <w:rPr>
          <w:sz w:val="22"/>
        </w:rPr>
        <w:t>que</w:t>
      </w:r>
      <w:r>
        <w:rPr>
          <w:spacing w:val="-16"/>
          <w:sz w:val="22"/>
        </w:rPr>
        <w:t> </w:t>
      </w:r>
      <w:r>
        <w:rPr>
          <w:sz w:val="22"/>
        </w:rPr>
        <w:t>corresponde al costo aproximado de</w:t>
      </w:r>
      <w:r>
        <w:rPr>
          <w:spacing w:val="-2"/>
          <w:sz w:val="22"/>
        </w:rPr>
        <w:t> </w:t>
      </w:r>
      <w:r>
        <w:rPr>
          <w:sz w:val="22"/>
        </w:rPr>
        <w:t>dichos servicios, lo que implica que su exigibilidad se vincula a la decisión del importador de utilizar ese servicio y no al mero hecho de la importación como tal.</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En el mismo sentido, la SGCAN resalta que las tasas excluidas del concepto de gravamen son típicamente servicios públicos “divisibles”, razón por la cual, las actuaciones habituales del poder público (fiscalización, lucha contra el contrabando, seguridad fronteriza, inteligencia aduanera), se ubican en la órbita de potestades estatales generales, no de servicios individuales al importador.</w:t>
      </w:r>
    </w:p>
    <w:p>
      <w:pPr>
        <w:pStyle w:val="ListParagraph"/>
        <w:numPr>
          <w:ilvl w:val="0"/>
          <w:numId w:val="11"/>
        </w:numPr>
        <w:tabs>
          <w:tab w:pos="1130" w:val="left" w:leader="none"/>
          <w:tab w:pos="1134" w:val="left" w:leader="none"/>
        </w:tabs>
        <w:spacing w:line="240" w:lineRule="auto" w:before="252" w:after="0"/>
        <w:ind w:left="1134" w:right="980" w:hanging="567"/>
        <w:jc w:val="both"/>
        <w:rPr>
          <w:sz w:val="22"/>
        </w:rPr>
      </w:pPr>
      <w:r>
        <w:rPr>
          <w:sz w:val="22"/>
        </w:rPr>
        <w:t>La República del Ecuador ha presentado el siguiente detalle respecto del denominado “servicio reforzado” que se prestaría en virtud de las Resoluciones analizadas.</w:t>
      </w:r>
    </w:p>
    <w:p>
      <w:pPr>
        <w:pStyle w:val="BodyText"/>
        <w:rPr>
          <w:sz w:val="20"/>
        </w:rPr>
      </w:pPr>
    </w:p>
    <w:p>
      <w:pPr>
        <w:pStyle w:val="BodyText"/>
        <w:rPr>
          <w:sz w:val="20"/>
        </w:rPr>
      </w:pPr>
    </w:p>
    <w:p>
      <w:pPr>
        <w:pStyle w:val="BodyText"/>
        <w:spacing w:before="139"/>
        <w:rPr>
          <w:sz w:val="20"/>
        </w:rPr>
      </w:pPr>
      <w:r>
        <w:rPr>
          <w:sz w:val="20"/>
        </w:rPr>
        <mc:AlternateContent>
          <mc:Choice Requires="wps">
            <w:drawing>
              <wp:anchor distT="0" distB="0" distL="0" distR="0" allowOverlap="1" layoutInCell="1" locked="0" behindDoc="1" simplePos="0" relativeHeight="487625728">
                <wp:simplePos x="0" y="0"/>
                <wp:positionH relativeFrom="page">
                  <wp:posOffset>990904</wp:posOffset>
                </wp:positionH>
                <wp:positionV relativeFrom="paragraph">
                  <wp:posOffset>249869</wp:posOffset>
                </wp:positionV>
                <wp:extent cx="1829435" cy="7620"/>
                <wp:effectExtent l="0" t="0" r="0" b="0"/>
                <wp:wrapTopAndBottom/>
                <wp:docPr id="354" name="Graphic 354"/>
                <wp:cNvGraphicFramePr>
                  <a:graphicFrameLocks/>
                </wp:cNvGraphicFramePr>
                <a:graphic>
                  <a:graphicData uri="http://schemas.microsoft.com/office/word/2010/wordprocessingShape">
                    <wps:wsp>
                      <wps:cNvPr id="354" name="Graphic 354"/>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9.67473pt;width:144.020pt;height:.60004pt;mso-position-horizontal-relative:page;mso-position-vertical-relative:paragraph;z-index:-15690752;mso-wrap-distance-left:0;mso-wrap-distance-right:0" id="docshape258" filled="true" fillcolor="#000000" stroked="false">
                <v:fill type="solid"/>
                <w10:wrap type="topAndBottom"/>
              </v:rect>
            </w:pict>
          </mc:Fallback>
        </mc:AlternateContent>
      </w:r>
    </w:p>
    <w:p>
      <w:pPr>
        <w:spacing w:before="92"/>
        <w:ind w:left="568" w:right="0" w:firstLine="0"/>
        <w:jc w:val="left"/>
        <w:rPr>
          <w:sz w:val="16"/>
        </w:rPr>
      </w:pPr>
      <w:bookmarkStart w:name="_bookmark66" w:id="67"/>
      <w:bookmarkEnd w:id="67"/>
      <w:r>
        <w:rPr/>
      </w:r>
      <w:r>
        <w:rPr>
          <w:sz w:val="16"/>
          <w:vertAlign w:val="superscript"/>
        </w:rPr>
        <w:t>24</w:t>
      </w:r>
      <w:r>
        <w:rPr>
          <w:spacing w:val="-4"/>
          <w:sz w:val="16"/>
          <w:vertAlign w:val="baseline"/>
        </w:rPr>
        <w:t> </w:t>
      </w:r>
      <w:r>
        <w:rPr>
          <w:sz w:val="16"/>
          <w:vertAlign w:val="baseline"/>
        </w:rPr>
        <w:t>Véase</w:t>
      </w:r>
      <w:r>
        <w:rPr>
          <w:spacing w:val="-4"/>
          <w:sz w:val="16"/>
          <w:vertAlign w:val="baseline"/>
        </w:rPr>
        <w:t> </w:t>
      </w:r>
      <w:r>
        <w:rPr>
          <w:sz w:val="16"/>
          <w:vertAlign w:val="baseline"/>
        </w:rPr>
        <w:t>Resoluciones</w:t>
      </w:r>
      <w:r>
        <w:rPr>
          <w:spacing w:val="-1"/>
          <w:sz w:val="16"/>
          <w:vertAlign w:val="baseline"/>
        </w:rPr>
        <w:t> </w:t>
      </w:r>
      <w:r>
        <w:rPr>
          <w:sz w:val="16"/>
          <w:vertAlign w:val="baseline"/>
        </w:rPr>
        <w:t>438,</w:t>
      </w:r>
      <w:r>
        <w:rPr>
          <w:spacing w:val="-5"/>
          <w:sz w:val="16"/>
          <w:vertAlign w:val="baseline"/>
        </w:rPr>
        <w:t> </w:t>
      </w:r>
      <w:r>
        <w:rPr>
          <w:sz w:val="16"/>
          <w:vertAlign w:val="baseline"/>
        </w:rPr>
        <w:t>513,</w:t>
      </w:r>
      <w:r>
        <w:rPr>
          <w:spacing w:val="-5"/>
          <w:sz w:val="16"/>
          <w:vertAlign w:val="baseline"/>
        </w:rPr>
        <w:t> </w:t>
      </w:r>
      <w:r>
        <w:rPr>
          <w:sz w:val="16"/>
          <w:vertAlign w:val="baseline"/>
        </w:rPr>
        <w:t>516,</w:t>
      </w:r>
      <w:r>
        <w:rPr>
          <w:spacing w:val="-3"/>
          <w:sz w:val="16"/>
          <w:vertAlign w:val="baseline"/>
        </w:rPr>
        <w:t> </w:t>
      </w:r>
      <w:r>
        <w:rPr>
          <w:sz w:val="16"/>
          <w:vertAlign w:val="baseline"/>
        </w:rPr>
        <w:t>895,</w:t>
      </w:r>
      <w:r>
        <w:rPr>
          <w:spacing w:val="-5"/>
          <w:sz w:val="16"/>
          <w:vertAlign w:val="baseline"/>
        </w:rPr>
        <w:t> </w:t>
      </w:r>
      <w:r>
        <w:rPr>
          <w:sz w:val="16"/>
          <w:vertAlign w:val="baseline"/>
        </w:rPr>
        <w:t>1254</w:t>
      </w:r>
      <w:r>
        <w:rPr>
          <w:spacing w:val="-4"/>
          <w:sz w:val="16"/>
          <w:vertAlign w:val="baseline"/>
        </w:rPr>
        <w:t> </w:t>
      </w:r>
      <w:r>
        <w:rPr>
          <w:sz w:val="16"/>
          <w:vertAlign w:val="baseline"/>
        </w:rPr>
        <w:t>y</w:t>
      </w:r>
      <w:r>
        <w:rPr>
          <w:spacing w:val="-5"/>
          <w:sz w:val="16"/>
          <w:vertAlign w:val="baseline"/>
        </w:rPr>
        <w:t> </w:t>
      </w:r>
      <w:r>
        <w:rPr>
          <w:sz w:val="16"/>
          <w:vertAlign w:val="baseline"/>
        </w:rPr>
        <w:t>1999</w:t>
      </w:r>
      <w:r>
        <w:rPr>
          <w:spacing w:val="-4"/>
          <w:sz w:val="16"/>
          <w:vertAlign w:val="baseline"/>
        </w:rPr>
        <w:t> </w:t>
      </w:r>
      <w:r>
        <w:rPr>
          <w:sz w:val="16"/>
          <w:vertAlign w:val="baseline"/>
        </w:rPr>
        <w:t>de</w:t>
      </w:r>
      <w:r>
        <w:rPr>
          <w:spacing w:val="-5"/>
          <w:sz w:val="16"/>
          <w:vertAlign w:val="baseline"/>
        </w:rPr>
        <w:t> </w:t>
      </w:r>
      <w:r>
        <w:rPr>
          <w:sz w:val="16"/>
          <w:vertAlign w:val="baseline"/>
        </w:rPr>
        <w:t>la</w:t>
      </w:r>
      <w:r>
        <w:rPr>
          <w:spacing w:val="-4"/>
          <w:sz w:val="16"/>
          <w:vertAlign w:val="baseline"/>
        </w:rPr>
        <w:t> </w:t>
      </w:r>
      <w:r>
        <w:rPr>
          <w:sz w:val="16"/>
          <w:vertAlign w:val="baseline"/>
        </w:rPr>
        <w:t>Secretaría</w:t>
      </w:r>
      <w:r>
        <w:rPr>
          <w:spacing w:val="-4"/>
          <w:sz w:val="16"/>
          <w:vertAlign w:val="baseline"/>
        </w:rPr>
        <w:t> </w:t>
      </w:r>
      <w:r>
        <w:rPr>
          <w:sz w:val="16"/>
          <w:vertAlign w:val="baseline"/>
        </w:rPr>
        <w:t>General</w:t>
      </w:r>
      <w:r>
        <w:rPr>
          <w:spacing w:val="-3"/>
          <w:sz w:val="16"/>
          <w:vertAlign w:val="baseline"/>
        </w:rPr>
        <w:t> </w:t>
      </w:r>
      <w:r>
        <w:rPr>
          <w:sz w:val="16"/>
          <w:vertAlign w:val="baseline"/>
        </w:rPr>
        <w:t>de</w:t>
      </w:r>
      <w:r>
        <w:rPr>
          <w:spacing w:val="-6"/>
          <w:sz w:val="16"/>
          <w:vertAlign w:val="baseline"/>
        </w:rPr>
        <w:t> </w:t>
      </w:r>
      <w:r>
        <w:rPr>
          <w:sz w:val="16"/>
          <w:vertAlign w:val="baseline"/>
        </w:rPr>
        <w:t>la</w:t>
      </w:r>
      <w:r>
        <w:rPr>
          <w:spacing w:val="-4"/>
          <w:sz w:val="16"/>
          <w:vertAlign w:val="baseline"/>
        </w:rPr>
        <w:t> </w:t>
      </w:r>
      <w:r>
        <w:rPr>
          <w:sz w:val="16"/>
          <w:vertAlign w:val="baseline"/>
        </w:rPr>
        <w:t>Comunidad</w:t>
      </w:r>
      <w:r>
        <w:rPr>
          <w:spacing w:val="-6"/>
          <w:sz w:val="16"/>
          <w:vertAlign w:val="baseline"/>
        </w:rPr>
        <w:t> </w:t>
      </w:r>
      <w:r>
        <w:rPr>
          <w:spacing w:val="-2"/>
          <w:sz w:val="16"/>
          <w:vertAlign w:val="baseline"/>
        </w:rPr>
        <w:t>Andina</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355" name="Group 355"/>
                <wp:cNvGraphicFramePr>
                  <a:graphicFrameLocks/>
                </wp:cNvGraphicFramePr>
                <a:graphic>
                  <a:graphicData uri="http://schemas.microsoft.com/office/word/2010/wordprocessingGroup">
                    <wpg:wgp>
                      <wpg:cNvPr id="355" name="Group 355"/>
                      <wpg:cNvGrpSpPr/>
                      <wpg:grpSpPr>
                        <a:xfrm>
                          <a:off x="0" y="0"/>
                          <a:ext cx="6131560" cy="9525"/>
                          <a:chExt cx="6131560" cy="9525"/>
                        </a:xfrm>
                      </wpg:grpSpPr>
                      <wps:wsp>
                        <wps:cNvPr id="356" name="Graphic 356"/>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59"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53"/>
          <w:footerReference w:type="default" r:id="rId54"/>
          <w:pgSz w:w="11900" w:h="16850"/>
          <w:pgMar w:header="370" w:footer="636" w:top="1380" w:bottom="820" w:left="992" w:right="283"/>
        </w:sectPr>
      </w:pPr>
    </w:p>
    <w:p>
      <w:pPr>
        <w:pStyle w:val="BodyText"/>
        <w:spacing w:before="176"/>
      </w:pPr>
    </w:p>
    <w:p>
      <w:pPr>
        <w:spacing w:before="0"/>
        <w:ind w:left="309" w:right="0" w:firstLine="0"/>
        <w:jc w:val="center"/>
        <w:rPr>
          <w:rFonts w:ascii="Arial" w:hAnsi="Arial"/>
          <w:b/>
          <w:sz w:val="22"/>
        </w:rPr>
      </w:pPr>
      <w:r>
        <w:rPr>
          <w:rFonts w:ascii="Arial" w:hAnsi="Arial"/>
          <w:b/>
          <w:sz w:val="22"/>
        </w:rPr>
        <w:t>Tabla</w:t>
      </w:r>
      <w:r>
        <w:rPr>
          <w:rFonts w:ascii="Arial" w:hAnsi="Arial"/>
          <w:b/>
          <w:spacing w:val="-2"/>
          <w:sz w:val="22"/>
        </w:rPr>
        <w:t> </w:t>
      </w:r>
      <w:r>
        <w:rPr>
          <w:rFonts w:ascii="Arial" w:hAnsi="Arial"/>
          <w:b/>
          <w:sz w:val="22"/>
        </w:rPr>
        <w:t>N°</w:t>
      </w:r>
      <w:r>
        <w:rPr>
          <w:rFonts w:ascii="Arial" w:hAnsi="Arial"/>
          <w:b/>
          <w:spacing w:val="-2"/>
          <w:sz w:val="22"/>
        </w:rPr>
        <w:t> </w:t>
      </w:r>
      <w:r>
        <w:rPr>
          <w:rFonts w:ascii="Arial" w:hAnsi="Arial"/>
          <w:b/>
          <w:spacing w:val="-10"/>
          <w:sz w:val="22"/>
        </w:rPr>
        <w:t>2</w:t>
      </w:r>
    </w:p>
    <w:p>
      <w:pPr>
        <w:pStyle w:val="Heading6"/>
        <w:spacing w:line="252" w:lineRule="exact" w:before="2"/>
        <w:ind w:left="149"/>
        <w:jc w:val="center"/>
      </w:pPr>
      <w:r>
        <w:rPr/>
        <w:t>Servicios</w:t>
      </w:r>
      <w:r>
        <w:rPr>
          <w:spacing w:val="-8"/>
        </w:rPr>
        <w:t> </w:t>
      </w:r>
      <w:r>
        <w:rPr/>
        <w:t>que</w:t>
      </w:r>
      <w:r>
        <w:rPr>
          <w:spacing w:val="-6"/>
        </w:rPr>
        <w:t> </w:t>
      </w:r>
      <w:r>
        <w:rPr/>
        <w:t>la</w:t>
      </w:r>
      <w:r>
        <w:rPr>
          <w:spacing w:val="-4"/>
        </w:rPr>
        <w:t> </w:t>
      </w:r>
      <w:r>
        <w:rPr/>
        <w:t>República</w:t>
      </w:r>
      <w:r>
        <w:rPr>
          <w:spacing w:val="-5"/>
        </w:rPr>
        <w:t> </w:t>
      </w:r>
      <w:r>
        <w:rPr/>
        <w:t>del</w:t>
      </w:r>
      <w:r>
        <w:rPr>
          <w:spacing w:val="-5"/>
        </w:rPr>
        <w:t> </w:t>
      </w:r>
      <w:r>
        <w:rPr/>
        <w:t>Ecuador</w:t>
      </w:r>
      <w:r>
        <w:rPr>
          <w:spacing w:val="-3"/>
        </w:rPr>
        <w:t> </w:t>
      </w:r>
      <w:r>
        <w:rPr/>
        <w:t>afirma</w:t>
      </w:r>
      <w:r>
        <w:rPr>
          <w:spacing w:val="-5"/>
        </w:rPr>
        <w:t> </w:t>
      </w:r>
      <w:r>
        <w:rPr>
          <w:spacing w:val="-2"/>
        </w:rPr>
        <w:t>prestar</w:t>
      </w:r>
    </w:p>
    <w:p>
      <w:pPr>
        <w:spacing w:before="0"/>
        <w:ind w:left="1161" w:right="1007" w:firstLine="0"/>
        <w:jc w:val="center"/>
        <w:rPr>
          <w:rFonts w:ascii="Arial"/>
          <w:b/>
          <w:sz w:val="22"/>
        </w:rPr>
      </w:pPr>
      <w:r>
        <w:rPr>
          <w:rFonts w:ascii="Arial"/>
          <w:b/>
          <w:sz w:val="22"/>
        </w:rPr>
        <w:t>mediante</w:t>
      </w:r>
      <w:r>
        <w:rPr>
          <w:rFonts w:ascii="Arial"/>
          <w:b/>
          <w:spacing w:val="-8"/>
          <w:sz w:val="22"/>
        </w:rPr>
        <w:t> </w:t>
      </w:r>
      <w:r>
        <w:rPr>
          <w:rFonts w:ascii="Arial"/>
          <w:b/>
          <w:sz w:val="22"/>
        </w:rPr>
        <w:t>las</w:t>
      </w:r>
      <w:r>
        <w:rPr>
          <w:rFonts w:ascii="Arial"/>
          <w:b/>
          <w:spacing w:val="-6"/>
          <w:sz w:val="22"/>
        </w:rPr>
        <w:t> </w:t>
      </w:r>
      <w:r>
        <w:rPr>
          <w:rFonts w:ascii="Arial"/>
          <w:b/>
          <w:sz w:val="22"/>
        </w:rPr>
        <w:t>Resoluciones</w:t>
      </w:r>
      <w:r>
        <w:rPr>
          <w:rFonts w:ascii="Arial"/>
          <w:b/>
          <w:spacing w:val="-6"/>
          <w:sz w:val="22"/>
        </w:rPr>
        <w:t> </w:t>
      </w:r>
      <w:r>
        <w:rPr>
          <w:rFonts w:ascii="Arial"/>
          <w:b/>
          <w:sz w:val="22"/>
        </w:rPr>
        <w:t>SENAE-SENAE-2026-0006-RE</w:t>
      </w:r>
      <w:r>
        <w:rPr>
          <w:rFonts w:ascii="Arial"/>
          <w:b/>
          <w:spacing w:val="-6"/>
          <w:sz w:val="22"/>
        </w:rPr>
        <w:t> </w:t>
      </w:r>
      <w:r>
        <w:rPr>
          <w:rFonts w:ascii="Arial"/>
          <w:b/>
          <w:sz w:val="22"/>
        </w:rPr>
        <w:t>y</w:t>
      </w:r>
      <w:r>
        <w:rPr>
          <w:rFonts w:ascii="Arial"/>
          <w:b/>
          <w:spacing w:val="-8"/>
          <w:sz w:val="22"/>
        </w:rPr>
        <w:t> </w:t>
      </w:r>
      <w:r>
        <w:rPr>
          <w:rFonts w:ascii="Arial"/>
          <w:b/>
          <w:sz w:val="22"/>
        </w:rPr>
        <w:t>SENAE-SENAE-2026-</w:t>
      </w:r>
      <w:r>
        <w:rPr>
          <w:rFonts w:ascii="Arial"/>
          <w:b/>
          <w:spacing w:val="-2"/>
          <w:sz w:val="22"/>
        </w:rPr>
        <w:t>0017-RE</w:t>
      </w:r>
    </w:p>
    <w:p>
      <w:pPr>
        <w:pStyle w:val="BodyText"/>
        <w:spacing w:before="21" w:after="1"/>
        <w:rPr>
          <w:rFonts w:ascii="Arial"/>
          <w:b/>
          <w:sz w:val="20"/>
        </w:rPr>
      </w:pPr>
    </w:p>
    <w:tbl>
      <w:tblPr>
        <w:tblW w:w="0" w:type="auto"/>
        <w:jc w:val="left"/>
        <w:tblInd w:w="11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976"/>
        <w:gridCol w:w="3545"/>
        <w:gridCol w:w="3214"/>
      </w:tblGrid>
      <w:tr>
        <w:trPr>
          <w:trHeight w:val="920" w:hRule="atLeast"/>
        </w:trPr>
        <w:tc>
          <w:tcPr>
            <w:tcW w:w="1976" w:type="dxa"/>
          </w:tcPr>
          <w:p>
            <w:pPr>
              <w:pStyle w:val="TableParagraph"/>
              <w:spacing w:before="114"/>
              <w:rPr>
                <w:rFonts w:ascii="Arial"/>
                <w:b/>
                <w:sz w:val="20"/>
              </w:rPr>
            </w:pPr>
          </w:p>
          <w:p>
            <w:pPr>
              <w:pStyle w:val="TableParagraph"/>
              <w:spacing w:before="1"/>
              <w:ind w:left="100"/>
              <w:rPr>
                <w:rFonts w:ascii="Arial"/>
                <w:b/>
                <w:sz w:val="20"/>
              </w:rPr>
            </w:pPr>
            <w:r>
              <w:rPr>
                <w:rFonts w:ascii="Arial"/>
                <w:b/>
                <w:sz w:val="20"/>
              </w:rPr>
              <w:t>Bloque</w:t>
            </w:r>
            <w:r>
              <w:rPr>
                <w:rFonts w:ascii="Arial"/>
                <w:b/>
                <w:spacing w:val="-7"/>
                <w:sz w:val="20"/>
              </w:rPr>
              <w:t> </w:t>
            </w:r>
            <w:r>
              <w:rPr>
                <w:rFonts w:ascii="Arial"/>
                <w:b/>
                <w:sz w:val="20"/>
              </w:rPr>
              <w:t>de</w:t>
            </w:r>
            <w:r>
              <w:rPr>
                <w:rFonts w:ascii="Arial"/>
                <w:b/>
                <w:spacing w:val="-6"/>
                <w:sz w:val="20"/>
              </w:rPr>
              <w:t> </w:t>
            </w:r>
            <w:r>
              <w:rPr>
                <w:rFonts w:ascii="Arial"/>
                <w:b/>
                <w:spacing w:val="-2"/>
                <w:sz w:val="20"/>
              </w:rPr>
              <w:t>servicio</w:t>
            </w:r>
          </w:p>
        </w:tc>
        <w:tc>
          <w:tcPr>
            <w:tcW w:w="3545" w:type="dxa"/>
          </w:tcPr>
          <w:p>
            <w:pPr>
              <w:pStyle w:val="TableParagraph"/>
              <w:spacing w:before="229"/>
              <w:ind w:left="695" w:hanging="507"/>
              <w:rPr>
                <w:rFonts w:ascii="Arial" w:hAnsi="Arial"/>
                <w:b/>
                <w:sz w:val="20"/>
              </w:rPr>
            </w:pPr>
            <w:r>
              <w:rPr>
                <w:rFonts w:ascii="Arial" w:hAnsi="Arial"/>
                <w:b/>
                <w:sz w:val="20"/>
              </w:rPr>
              <w:t>Descripción</w:t>
            </w:r>
            <w:r>
              <w:rPr>
                <w:rFonts w:ascii="Arial" w:hAnsi="Arial"/>
                <w:b/>
                <w:spacing w:val="-11"/>
                <w:sz w:val="20"/>
              </w:rPr>
              <w:t> </w:t>
            </w:r>
            <w:r>
              <w:rPr>
                <w:rFonts w:ascii="Arial" w:hAnsi="Arial"/>
                <w:b/>
                <w:sz w:val="20"/>
              </w:rPr>
              <w:t>del</w:t>
            </w:r>
            <w:r>
              <w:rPr>
                <w:rFonts w:ascii="Arial" w:hAnsi="Arial"/>
                <w:b/>
                <w:spacing w:val="-11"/>
                <w:sz w:val="20"/>
              </w:rPr>
              <w:t> </w:t>
            </w:r>
            <w:r>
              <w:rPr>
                <w:rFonts w:ascii="Arial" w:hAnsi="Arial"/>
                <w:b/>
                <w:sz w:val="20"/>
              </w:rPr>
              <w:t>servicio</w:t>
            </w:r>
            <w:r>
              <w:rPr>
                <w:rFonts w:ascii="Arial" w:hAnsi="Arial"/>
                <w:b/>
                <w:spacing w:val="-9"/>
                <w:sz w:val="20"/>
              </w:rPr>
              <w:t> </w:t>
            </w:r>
            <w:r>
              <w:rPr>
                <w:rFonts w:ascii="Arial" w:hAnsi="Arial"/>
                <w:b/>
                <w:sz w:val="20"/>
              </w:rPr>
              <w:t>según</w:t>
            </w:r>
            <w:r>
              <w:rPr>
                <w:rFonts w:ascii="Arial" w:hAnsi="Arial"/>
                <w:b/>
                <w:spacing w:val="-9"/>
                <w:sz w:val="20"/>
              </w:rPr>
              <w:t> </w:t>
            </w:r>
            <w:r>
              <w:rPr>
                <w:rFonts w:ascii="Arial" w:hAnsi="Arial"/>
                <w:b/>
                <w:sz w:val="20"/>
              </w:rPr>
              <w:t>la República del Ecuador</w:t>
            </w:r>
          </w:p>
        </w:tc>
        <w:tc>
          <w:tcPr>
            <w:tcW w:w="3214" w:type="dxa"/>
          </w:tcPr>
          <w:p>
            <w:pPr>
              <w:pStyle w:val="TableParagraph"/>
              <w:ind w:left="88" w:right="69" w:hanging="2"/>
              <w:jc w:val="center"/>
              <w:rPr>
                <w:rFonts w:ascii="Arial" w:hAnsi="Arial"/>
                <w:b/>
                <w:sz w:val="20"/>
              </w:rPr>
            </w:pPr>
            <w:r>
              <w:rPr>
                <w:rFonts w:ascii="Arial" w:hAnsi="Arial"/>
                <w:b/>
                <w:sz w:val="20"/>
              </w:rPr>
              <w:t>Cómo se vincula a las Resoluciones SENAE-SENAE-2026-0006-RE</w:t>
            </w:r>
            <w:r>
              <w:rPr>
                <w:rFonts w:ascii="Arial" w:hAnsi="Arial"/>
                <w:b/>
                <w:spacing w:val="-14"/>
                <w:sz w:val="20"/>
              </w:rPr>
              <w:t> </w:t>
            </w:r>
            <w:r>
              <w:rPr>
                <w:rFonts w:ascii="Arial" w:hAnsi="Arial"/>
                <w:b/>
                <w:sz w:val="20"/>
              </w:rPr>
              <w:t>y</w:t>
            </w:r>
            <w:r>
              <w:rPr>
                <w:rFonts w:ascii="Arial" w:hAnsi="Arial"/>
                <w:b/>
                <w:spacing w:val="-14"/>
                <w:sz w:val="20"/>
              </w:rPr>
              <w:t> </w:t>
            </w:r>
            <w:r>
              <w:rPr>
                <w:rFonts w:ascii="Arial" w:hAnsi="Arial"/>
                <w:b/>
                <w:sz w:val="20"/>
              </w:rPr>
              <w:t>SENAE-SENAE-</w:t>
            </w:r>
          </w:p>
          <w:p>
            <w:pPr>
              <w:pStyle w:val="TableParagraph"/>
              <w:spacing w:line="210" w:lineRule="exact"/>
              <w:ind w:left="16"/>
              <w:jc w:val="center"/>
              <w:rPr>
                <w:rFonts w:ascii="Arial"/>
                <w:b/>
                <w:sz w:val="20"/>
              </w:rPr>
            </w:pPr>
            <w:r>
              <w:rPr>
                <w:rFonts w:ascii="Arial"/>
                <w:b/>
                <w:spacing w:val="-2"/>
                <w:sz w:val="20"/>
              </w:rPr>
              <w:t>2026-0017-</w:t>
            </w:r>
            <w:r>
              <w:rPr>
                <w:rFonts w:ascii="Arial"/>
                <w:b/>
                <w:spacing w:val="-5"/>
                <w:sz w:val="20"/>
              </w:rPr>
              <w:t>RE</w:t>
            </w:r>
          </w:p>
        </w:tc>
      </w:tr>
      <w:tr>
        <w:trPr>
          <w:trHeight w:val="2071" w:hRule="atLeast"/>
        </w:trPr>
        <w:tc>
          <w:tcPr>
            <w:tcW w:w="1976" w:type="dxa"/>
            <w:vMerge w:val="restart"/>
          </w:tcPr>
          <w:p>
            <w:pPr>
              <w:pStyle w:val="TableParagraph"/>
              <w:rPr>
                <w:rFonts w:ascii="Arial"/>
                <w:b/>
                <w:sz w:val="20"/>
              </w:rPr>
            </w:pPr>
          </w:p>
          <w:p>
            <w:pPr>
              <w:pStyle w:val="TableParagraph"/>
              <w:spacing w:before="115"/>
              <w:rPr>
                <w:rFonts w:ascii="Arial"/>
                <w:b/>
                <w:sz w:val="20"/>
              </w:rPr>
            </w:pPr>
          </w:p>
          <w:p>
            <w:pPr>
              <w:pStyle w:val="TableParagraph"/>
              <w:ind w:left="71" w:right="144"/>
              <w:rPr>
                <w:rFonts w:ascii="Arial" w:hAnsi="Arial"/>
                <w:b/>
                <w:sz w:val="20"/>
              </w:rPr>
            </w:pPr>
            <w:r>
              <w:rPr>
                <w:rFonts w:ascii="Arial" w:hAnsi="Arial"/>
                <w:b/>
                <w:spacing w:val="-2"/>
                <w:sz w:val="20"/>
              </w:rPr>
              <w:t>Transmisión, </w:t>
            </w:r>
            <w:r>
              <w:rPr>
                <w:rFonts w:ascii="Arial" w:hAnsi="Arial"/>
                <w:b/>
                <w:sz w:val="20"/>
              </w:rPr>
              <w:t>almacenamiento</w:t>
            </w:r>
            <w:r>
              <w:rPr>
                <w:rFonts w:ascii="Arial" w:hAnsi="Arial"/>
                <w:b/>
                <w:spacing w:val="-14"/>
                <w:sz w:val="20"/>
              </w:rPr>
              <w:t> </w:t>
            </w:r>
            <w:r>
              <w:rPr>
                <w:rFonts w:ascii="Arial" w:hAnsi="Arial"/>
                <w:b/>
                <w:sz w:val="20"/>
              </w:rPr>
              <w:t>y procesamiento</w:t>
            </w:r>
            <w:r>
              <w:rPr>
                <w:rFonts w:ascii="Arial" w:hAnsi="Arial"/>
                <w:b/>
                <w:spacing w:val="-14"/>
                <w:sz w:val="20"/>
              </w:rPr>
              <w:t> </w:t>
            </w:r>
            <w:r>
              <w:rPr>
                <w:rFonts w:ascii="Arial" w:hAnsi="Arial"/>
                <w:b/>
                <w:sz w:val="20"/>
              </w:rPr>
              <w:t>de </w:t>
            </w:r>
            <w:r>
              <w:rPr>
                <w:rFonts w:ascii="Arial" w:hAnsi="Arial"/>
                <w:b/>
                <w:spacing w:val="-2"/>
                <w:sz w:val="20"/>
              </w:rPr>
              <w:t>datos</w:t>
            </w:r>
          </w:p>
        </w:tc>
        <w:tc>
          <w:tcPr>
            <w:tcW w:w="3545" w:type="dxa"/>
          </w:tcPr>
          <w:p>
            <w:pPr>
              <w:pStyle w:val="TableParagraph"/>
              <w:spacing w:before="114"/>
              <w:rPr>
                <w:rFonts w:ascii="Arial"/>
                <w:b/>
                <w:sz w:val="20"/>
              </w:rPr>
            </w:pPr>
          </w:p>
          <w:p>
            <w:pPr>
              <w:pStyle w:val="TableParagraph"/>
              <w:spacing w:before="1"/>
              <w:ind w:left="71" w:right="51"/>
              <w:jc w:val="both"/>
              <w:rPr>
                <w:sz w:val="20"/>
              </w:rPr>
            </w:pPr>
            <w:r>
              <w:rPr>
                <w:sz w:val="20"/>
              </w:rPr>
              <w:t>Uso de herramientas de Big Data y análisis de datos para recopilar, sistematizar y analizar información de operaciones</w:t>
            </w:r>
            <w:r>
              <w:rPr>
                <w:spacing w:val="-4"/>
                <w:sz w:val="20"/>
              </w:rPr>
              <w:t> </w:t>
            </w:r>
            <w:r>
              <w:rPr>
                <w:sz w:val="20"/>
              </w:rPr>
              <w:t>e</w:t>
            </w:r>
            <w:r>
              <w:rPr>
                <w:spacing w:val="-6"/>
                <w:sz w:val="20"/>
              </w:rPr>
              <w:t> </w:t>
            </w:r>
            <w:r>
              <w:rPr>
                <w:sz w:val="20"/>
              </w:rPr>
              <w:t>importadores,</w:t>
            </w:r>
            <w:r>
              <w:rPr>
                <w:spacing w:val="-6"/>
                <w:sz w:val="20"/>
              </w:rPr>
              <w:t> </w:t>
            </w:r>
            <w:r>
              <w:rPr>
                <w:sz w:val="20"/>
              </w:rPr>
              <w:t>con</w:t>
            </w:r>
            <w:r>
              <w:rPr>
                <w:spacing w:val="-7"/>
                <w:sz w:val="20"/>
              </w:rPr>
              <w:t> </w:t>
            </w:r>
            <w:r>
              <w:rPr>
                <w:sz w:val="20"/>
              </w:rPr>
              <w:t>el</w:t>
            </w:r>
            <w:r>
              <w:rPr>
                <w:spacing w:val="-7"/>
                <w:sz w:val="20"/>
              </w:rPr>
              <w:t> </w:t>
            </w:r>
            <w:r>
              <w:rPr>
                <w:sz w:val="20"/>
              </w:rPr>
              <w:t>fin de perfilar riesgos y definir la intensidad de los controles.</w:t>
            </w:r>
          </w:p>
        </w:tc>
        <w:tc>
          <w:tcPr>
            <w:tcW w:w="3214" w:type="dxa"/>
          </w:tcPr>
          <w:p>
            <w:pPr>
              <w:pStyle w:val="TableParagraph"/>
              <w:ind w:left="69" w:right="52"/>
              <w:jc w:val="both"/>
              <w:rPr>
                <w:sz w:val="20"/>
              </w:rPr>
            </w:pPr>
            <w:r>
              <w:rPr>
                <w:sz w:val="20"/>
              </w:rPr>
              <w:t>Se presenta como parte del </w:t>
            </w:r>
            <w:r>
              <w:rPr>
                <w:spacing w:val="-2"/>
                <w:sz w:val="20"/>
              </w:rPr>
              <w:t>“modelo</w:t>
            </w:r>
            <w:r>
              <w:rPr>
                <w:spacing w:val="-10"/>
                <w:sz w:val="20"/>
              </w:rPr>
              <w:t> </w:t>
            </w:r>
            <w:r>
              <w:rPr>
                <w:spacing w:val="-2"/>
                <w:sz w:val="20"/>
              </w:rPr>
              <w:t>de</w:t>
            </w:r>
            <w:r>
              <w:rPr>
                <w:spacing w:val="-10"/>
                <w:sz w:val="20"/>
              </w:rPr>
              <w:t> </w:t>
            </w:r>
            <w:r>
              <w:rPr>
                <w:spacing w:val="-2"/>
                <w:sz w:val="20"/>
              </w:rPr>
              <w:t>gestión</w:t>
            </w:r>
            <w:r>
              <w:rPr>
                <w:spacing w:val="-8"/>
                <w:sz w:val="20"/>
              </w:rPr>
              <w:t> </w:t>
            </w:r>
            <w:r>
              <w:rPr>
                <w:spacing w:val="-2"/>
                <w:sz w:val="20"/>
              </w:rPr>
              <w:t>de</w:t>
            </w:r>
            <w:r>
              <w:rPr>
                <w:spacing w:val="-11"/>
                <w:sz w:val="20"/>
              </w:rPr>
              <w:t> </w:t>
            </w:r>
            <w:r>
              <w:rPr>
                <w:spacing w:val="-2"/>
                <w:sz w:val="20"/>
              </w:rPr>
              <w:t>riesgos”</w:t>
            </w:r>
            <w:r>
              <w:rPr>
                <w:spacing w:val="-9"/>
                <w:sz w:val="20"/>
              </w:rPr>
              <w:t> </w:t>
            </w:r>
            <w:r>
              <w:rPr>
                <w:spacing w:val="-2"/>
                <w:sz w:val="20"/>
              </w:rPr>
              <w:t>que </w:t>
            </w:r>
            <w:r>
              <w:rPr>
                <w:sz w:val="20"/>
              </w:rPr>
              <w:t>sustenta el paso de un esquema de</w:t>
            </w:r>
            <w:r>
              <w:rPr>
                <w:spacing w:val="-14"/>
                <w:sz w:val="20"/>
              </w:rPr>
              <w:t> </w:t>
            </w:r>
            <w:r>
              <w:rPr>
                <w:sz w:val="20"/>
              </w:rPr>
              <w:t>control</w:t>
            </w:r>
            <w:r>
              <w:rPr>
                <w:spacing w:val="-14"/>
                <w:sz w:val="20"/>
              </w:rPr>
              <w:t> </w:t>
            </w:r>
            <w:r>
              <w:rPr>
                <w:sz w:val="20"/>
              </w:rPr>
              <w:t>selectivo</w:t>
            </w:r>
            <w:r>
              <w:rPr>
                <w:spacing w:val="-14"/>
                <w:sz w:val="20"/>
              </w:rPr>
              <w:t> </w:t>
            </w:r>
            <w:r>
              <w:rPr>
                <w:sz w:val="20"/>
              </w:rPr>
              <w:t>(aprox.</w:t>
            </w:r>
            <w:r>
              <w:rPr>
                <w:spacing w:val="-14"/>
                <w:sz w:val="20"/>
              </w:rPr>
              <w:t> </w:t>
            </w:r>
            <w:r>
              <w:rPr>
                <w:sz w:val="20"/>
              </w:rPr>
              <w:t>13%</w:t>
            </w:r>
            <w:r>
              <w:rPr>
                <w:spacing w:val="-14"/>
                <w:sz w:val="20"/>
              </w:rPr>
              <w:t> </w:t>
            </w:r>
            <w:r>
              <w:rPr>
                <w:sz w:val="20"/>
              </w:rPr>
              <w:t>de declaraciones) a un esquema de aforo prácticamente integral para mercancías provenientes u originarias</w:t>
            </w:r>
            <w:r>
              <w:rPr>
                <w:spacing w:val="74"/>
                <w:w w:val="150"/>
                <w:sz w:val="20"/>
              </w:rPr>
              <w:t> </w:t>
            </w:r>
            <w:r>
              <w:rPr>
                <w:sz w:val="20"/>
              </w:rPr>
              <w:t>de</w:t>
            </w:r>
            <w:r>
              <w:rPr>
                <w:spacing w:val="75"/>
                <w:w w:val="150"/>
                <w:sz w:val="20"/>
              </w:rPr>
              <w:t> </w:t>
            </w:r>
            <w:r>
              <w:rPr>
                <w:sz w:val="20"/>
              </w:rPr>
              <w:t>la</w:t>
            </w:r>
            <w:r>
              <w:rPr>
                <w:spacing w:val="74"/>
                <w:w w:val="150"/>
                <w:sz w:val="20"/>
              </w:rPr>
              <w:t> </w:t>
            </w:r>
            <w:r>
              <w:rPr>
                <w:sz w:val="20"/>
              </w:rPr>
              <w:t>República</w:t>
            </w:r>
            <w:r>
              <w:rPr>
                <w:spacing w:val="74"/>
                <w:w w:val="150"/>
                <w:sz w:val="20"/>
              </w:rPr>
              <w:t> </w:t>
            </w:r>
            <w:r>
              <w:rPr>
                <w:spacing w:val="-5"/>
                <w:sz w:val="20"/>
              </w:rPr>
              <w:t>de</w:t>
            </w:r>
          </w:p>
          <w:p>
            <w:pPr>
              <w:pStyle w:val="TableParagraph"/>
              <w:spacing w:line="210" w:lineRule="exact"/>
              <w:ind w:left="69"/>
              <w:rPr>
                <w:sz w:val="20"/>
              </w:rPr>
            </w:pPr>
            <w:r>
              <w:rPr>
                <w:spacing w:val="-2"/>
                <w:sz w:val="20"/>
              </w:rPr>
              <w:t>Colombia.</w:t>
            </w:r>
          </w:p>
        </w:tc>
      </w:tr>
      <w:tr>
        <w:trPr>
          <w:trHeight w:val="1379" w:hRule="atLeast"/>
        </w:trPr>
        <w:tc>
          <w:tcPr>
            <w:tcW w:w="1976" w:type="dxa"/>
            <w:vMerge/>
            <w:tcBorders>
              <w:top w:val="nil"/>
            </w:tcBorders>
          </w:tcPr>
          <w:p>
            <w:pPr>
              <w:rPr>
                <w:sz w:val="2"/>
                <w:szCs w:val="2"/>
              </w:rPr>
            </w:pPr>
          </w:p>
        </w:tc>
        <w:tc>
          <w:tcPr>
            <w:tcW w:w="3545" w:type="dxa"/>
          </w:tcPr>
          <w:p>
            <w:pPr>
              <w:pStyle w:val="TableParagraph"/>
              <w:tabs>
                <w:tab w:pos="1527" w:val="left" w:leader="none"/>
                <w:tab w:pos="3252" w:val="left" w:leader="none"/>
              </w:tabs>
              <w:ind w:left="71" w:right="49"/>
              <w:jc w:val="both"/>
              <w:rPr>
                <w:sz w:val="20"/>
              </w:rPr>
            </w:pPr>
            <w:r>
              <w:rPr>
                <w:spacing w:val="-2"/>
                <w:sz w:val="20"/>
              </w:rPr>
              <w:t>Servicios</w:t>
            </w:r>
            <w:r>
              <w:rPr>
                <w:sz w:val="20"/>
              </w:rPr>
              <w:tab/>
            </w:r>
            <w:r>
              <w:rPr>
                <w:spacing w:val="-2"/>
                <w:sz w:val="20"/>
              </w:rPr>
              <w:t>informáticos</w:t>
            </w:r>
            <w:r>
              <w:rPr>
                <w:sz w:val="20"/>
              </w:rPr>
              <w:tab/>
            </w:r>
            <w:r>
              <w:rPr>
                <w:spacing w:val="-6"/>
                <w:sz w:val="20"/>
              </w:rPr>
              <w:t>de </w:t>
            </w:r>
            <w:r>
              <w:rPr>
                <w:sz w:val="20"/>
              </w:rPr>
              <w:t>almacenamiento, respaldo y resguardo de la información de las importaciones,</w:t>
            </w:r>
            <w:r>
              <w:rPr>
                <w:spacing w:val="59"/>
                <w:w w:val="150"/>
                <w:sz w:val="20"/>
              </w:rPr>
              <w:t>   </w:t>
            </w:r>
            <w:r>
              <w:rPr>
                <w:sz w:val="20"/>
              </w:rPr>
              <w:t>asegurando</w:t>
            </w:r>
            <w:r>
              <w:rPr>
                <w:spacing w:val="60"/>
                <w:w w:val="150"/>
                <w:sz w:val="20"/>
              </w:rPr>
              <w:t>   </w:t>
            </w:r>
            <w:r>
              <w:rPr>
                <w:spacing w:val="-5"/>
                <w:sz w:val="20"/>
              </w:rPr>
              <w:t>la</w:t>
            </w:r>
          </w:p>
          <w:p>
            <w:pPr>
              <w:pStyle w:val="TableParagraph"/>
              <w:spacing w:line="230" w:lineRule="exact"/>
              <w:ind w:left="71" w:right="51"/>
              <w:jc w:val="both"/>
              <w:rPr>
                <w:sz w:val="20"/>
              </w:rPr>
            </w:pPr>
            <w:r>
              <w:rPr>
                <w:sz w:val="20"/>
              </w:rPr>
              <w:t>continuidad de las aplicaciones del </w:t>
            </w:r>
            <w:r>
              <w:rPr>
                <w:spacing w:val="-2"/>
                <w:sz w:val="20"/>
              </w:rPr>
              <w:t>SENAE.</w:t>
            </w:r>
          </w:p>
        </w:tc>
        <w:tc>
          <w:tcPr>
            <w:tcW w:w="3214" w:type="dxa"/>
          </w:tcPr>
          <w:p>
            <w:pPr>
              <w:pStyle w:val="TableParagraph"/>
              <w:spacing w:before="114"/>
              <w:ind w:left="69" w:right="53"/>
              <w:jc w:val="both"/>
              <w:rPr>
                <w:sz w:val="20"/>
              </w:rPr>
            </w:pPr>
            <w:r>
              <w:rPr>
                <w:sz w:val="20"/>
              </w:rPr>
              <w:t>Se invocan como soporte técnico para manejar el incremento del volumen de declaraciones sometidas</w:t>
            </w:r>
            <w:r>
              <w:rPr>
                <w:spacing w:val="-8"/>
                <w:sz w:val="20"/>
              </w:rPr>
              <w:t> </w:t>
            </w:r>
            <w:r>
              <w:rPr>
                <w:sz w:val="20"/>
              </w:rPr>
              <w:t>a</w:t>
            </w:r>
            <w:r>
              <w:rPr>
                <w:spacing w:val="-10"/>
                <w:sz w:val="20"/>
              </w:rPr>
              <w:t> </w:t>
            </w:r>
            <w:r>
              <w:rPr>
                <w:sz w:val="20"/>
              </w:rPr>
              <w:t>control</w:t>
            </w:r>
            <w:r>
              <w:rPr>
                <w:spacing w:val="-11"/>
                <w:sz w:val="20"/>
              </w:rPr>
              <w:t> </w:t>
            </w:r>
            <w:r>
              <w:rPr>
                <w:sz w:val="20"/>
              </w:rPr>
              <w:t>reforzado</w:t>
            </w:r>
            <w:r>
              <w:rPr>
                <w:spacing w:val="-9"/>
                <w:sz w:val="20"/>
              </w:rPr>
              <w:t> </w:t>
            </w:r>
            <w:r>
              <w:rPr>
                <w:sz w:val="20"/>
              </w:rPr>
              <w:t>bajo ambas resoluciones.</w:t>
            </w:r>
          </w:p>
        </w:tc>
      </w:tr>
      <w:tr>
        <w:trPr>
          <w:trHeight w:val="1858" w:hRule="atLeast"/>
        </w:trPr>
        <w:tc>
          <w:tcPr>
            <w:tcW w:w="1976" w:type="dxa"/>
            <w:vMerge/>
            <w:tcBorders>
              <w:top w:val="nil"/>
            </w:tcBorders>
          </w:tcPr>
          <w:p>
            <w:pPr>
              <w:rPr>
                <w:sz w:val="2"/>
                <w:szCs w:val="2"/>
              </w:rPr>
            </w:pPr>
          </w:p>
        </w:tc>
        <w:tc>
          <w:tcPr>
            <w:tcW w:w="3545" w:type="dxa"/>
          </w:tcPr>
          <w:p>
            <w:pPr>
              <w:pStyle w:val="TableParagraph"/>
              <w:spacing w:before="123"/>
              <w:ind w:left="71" w:right="51"/>
              <w:jc w:val="both"/>
              <w:rPr>
                <w:sz w:val="20"/>
              </w:rPr>
            </w:pPr>
            <w:r>
              <w:rPr>
                <w:sz w:val="20"/>
              </w:rPr>
              <w:t>Facilidades de medios de pago (pago de</w:t>
            </w:r>
            <w:r>
              <w:rPr>
                <w:spacing w:val="-8"/>
                <w:sz w:val="20"/>
              </w:rPr>
              <w:t> </w:t>
            </w:r>
            <w:r>
              <w:rPr>
                <w:sz w:val="20"/>
              </w:rPr>
              <w:t>liquidaciones</w:t>
            </w:r>
            <w:r>
              <w:rPr>
                <w:spacing w:val="-8"/>
                <w:sz w:val="20"/>
              </w:rPr>
              <w:t> </w:t>
            </w:r>
            <w:r>
              <w:rPr>
                <w:sz w:val="20"/>
              </w:rPr>
              <w:t>con</w:t>
            </w:r>
            <w:r>
              <w:rPr>
                <w:spacing w:val="-9"/>
                <w:sz w:val="20"/>
              </w:rPr>
              <w:t> </w:t>
            </w:r>
            <w:r>
              <w:rPr>
                <w:sz w:val="20"/>
              </w:rPr>
              <w:t>tarjetas</w:t>
            </w:r>
            <w:r>
              <w:rPr>
                <w:spacing w:val="-8"/>
                <w:sz w:val="20"/>
              </w:rPr>
              <w:t> </w:t>
            </w:r>
            <w:r>
              <w:rPr>
                <w:sz w:val="20"/>
              </w:rPr>
              <w:t>de</w:t>
            </w:r>
            <w:r>
              <w:rPr>
                <w:spacing w:val="-10"/>
                <w:sz w:val="20"/>
              </w:rPr>
              <w:t> </w:t>
            </w:r>
            <w:r>
              <w:rPr>
                <w:sz w:val="20"/>
              </w:rPr>
              <w:t>débito y crédito) y herramientas de seguimiento</w:t>
            </w:r>
            <w:r>
              <w:rPr>
                <w:spacing w:val="-2"/>
                <w:sz w:val="20"/>
              </w:rPr>
              <w:t> </w:t>
            </w:r>
            <w:r>
              <w:rPr>
                <w:sz w:val="20"/>
              </w:rPr>
              <w:t>como</w:t>
            </w:r>
            <w:r>
              <w:rPr>
                <w:spacing w:val="-2"/>
                <w:sz w:val="20"/>
              </w:rPr>
              <w:t> </w:t>
            </w:r>
            <w:r>
              <w:rPr>
                <w:sz w:val="20"/>
              </w:rPr>
              <w:t>“SENAE</w:t>
            </w:r>
            <w:r>
              <w:rPr>
                <w:spacing w:val="-2"/>
                <w:sz w:val="20"/>
              </w:rPr>
              <w:t> </w:t>
            </w:r>
            <w:r>
              <w:rPr>
                <w:sz w:val="20"/>
              </w:rPr>
              <w:t>Tracking”, que permiten a los importadores visualizar en tiempo real el estado de sus trámites de nacionalización.</w:t>
            </w:r>
          </w:p>
        </w:tc>
        <w:tc>
          <w:tcPr>
            <w:tcW w:w="3214" w:type="dxa"/>
          </w:tcPr>
          <w:p>
            <w:pPr>
              <w:pStyle w:val="TableParagraph"/>
              <w:spacing w:before="8"/>
              <w:rPr>
                <w:rFonts w:ascii="Arial"/>
                <w:b/>
                <w:sz w:val="20"/>
              </w:rPr>
            </w:pPr>
          </w:p>
          <w:p>
            <w:pPr>
              <w:pStyle w:val="TableParagraph"/>
              <w:ind w:left="69" w:right="52"/>
              <w:jc w:val="both"/>
              <w:rPr>
                <w:sz w:val="20"/>
              </w:rPr>
            </w:pPr>
            <w:r>
              <w:rPr>
                <w:sz w:val="20"/>
              </w:rPr>
              <w:t>Se presentan como </w:t>
            </w:r>
            <w:r>
              <w:rPr>
                <w:sz w:val="20"/>
              </w:rPr>
              <w:t>mejoras operativas y de servicio al usuario ligadas a la implementación de la tasa de control aduanero en las operaciones alcanzadas por las </w:t>
            </w:r>
            <w:r>
              <w:rPr>
                <w:spacing w:val="-2"/>
                <w:sz w:val="20"/>
              </w:rPr>
              <w:t>resoluciones.</w:t>
            </w:r>
          </w:p>
        </w:tc>
      </w:tr>
      <w:tr>
        <w:trPr>
          <w:trHeight w:val="1609" w:hRule="atLeast"/>
        </w:trPr>
        <w:tc>
          <w:tcPr>
            <w:tcW w:w="1976" w:type="dxa"/>
            <w:vMerge w:val="restart"/>
          </w:tcPr>
          <w:p>
            <w:pPr>
              <w:pStyle w:val="TableParagraph"/>
              <w:rPr>
                <w:rFonts w:ascii="Arial"/>
                <w:b/>
                <w:sz w:val="20"/>
              </w:rPr>
            </w:pPr>
          </w:p>
          <w:p>
            <w:pPr>
              <w:pStyle w:val="TableParagraph"/>
              <w:spacing w:before="115"/>
              <w:rPr>
                <w:rFonts w:ascii="Arial"/>
                <w:b/>
                <w:sz w:val="20"/>
              </w:rPr>
            </w:pPr>
          </w:p>
          <w:p>
            <w:pPr>
              <w:pStyle w:val="TableParagraph"/>
              <w:ind w:left="71"/>
              <w:rPr>
                <w:rFonts w:ascii="Arial" w:hAnsi="Arial"/>
                <w:b/>
                <w:sz w:val="20"/>
              </w:rPr>
            </w:pPr>
            <w:r>
              <w:rPr>
                <w:rFonts w:ascii="Arial" w:hAnsi="Arial"/>
                <w:b/>
                <w:sz w:val="20"/>
              </w:rPr>
              <w:t>Análisis e </w:t>
            </w:r>
            <w:r>
              <w:rPr>
                <w:rFonts w:ascii="Arial" w:hAnsi="Arial"/>
                <w:b/>
                <w:spacing w:val="-2"/>
                <w:sz w:val="20"/>
              </w:rPr>
              <w:t>inspección</w:t>
            </w:r>
          </w:p>
        </w:tc>
        <w:tc>
          <w:tcPr>
            <w:tcW w:w="3545" w:type="dxa"/>
          </w:tcPr>
          <w:p>
            <w:pPr>
              <w:pStyle w:val="TableParagraph"/>
              <w:spacing w:before="229"/>
              <w:ind w:left="71" w:right="52"/>
              <w:jc w:val="both"/>
              <w:rPr>
                <w:sz w:val="20"/>
              </w:rPr>
            </w:pPr>
            <w:r>
              <w:rPr>
                <w:sz w:val="20"/>
              </w:rPr>
              <w:t>Inspección</w:t>
            </w:r>
            <w:r>
              <w:rPr>
                <w:spacing w:val="-8"/>
                <w:sz w:val="20"/>
              </w:rPr>
              <w:t> </w:t>
            </w:r>
            <w:r>
              <w:rPr>
                <w:sz w:val="20"/>
              </w:rPr>
              <w:t>no</w:t>
            </w:r>
            <w:r>
              <w:rPr>
                <w:spacing w:val="-8"/>
                <w:sz w:val="20"/>
              </w:rPr>
              <w:t> </w:t>
            </w:r>
            <w:r>
              <w:rPr>
                <w:sz w:val="20"/>
              </w:rPr>
              <w:t>intrusiva</w:t>
            </w:r>
            <w:r>
              <w:rPr>
                <w:spacing w:val="-8"/>
                <w:sz w:val="20"/>
              </w:rPr>
              <w:t> </w:t>
            </w:r>
            <w:r>
              <w:rPr>
                <w:sz w:val="20"/>
              </w:rPr>
              <w:t>con</w:t>
            </w:r>
            <w:r>
              <w:rPr>
                <w:spacing w:val="-8"/>
                <w:sz w:val="20"/>
              </w:rPr>
              <w:t> </w:t>
            </w:r>
            <w:r>
              <w:rPr>
                <w:sz w:val="20"/>
              </w:rPr>
              <w:t>tecnología de punta (scanners) para verificar mercancías con mayor agilidad, reduciendo la manipulación física al ejecutar los controles.</w:t>
            </w:r>
          </w:p>
        </w:tc>
        <w:tc>
          <w:tcPr>
            <w:tcW w:w="3214" w:type="dxa"/>
          </w:tcPr>
          <w:p>
            <w:pPr>
              <w:pStyle w:val="TableParagraph"/>
              <w:ind w:left="69" w:right="53"/>
              <w:jc w:val="both"/>
              <w:rPr>
                <w:sz w:val="20"/>
              </w:rPr>
            </w:pPr>
            <w:r>
              <w:rPr>
                <w:sz w:val="20"/>
              </w:rPr>
              <w:t>Es uno de los componentes centrales del “control aduanero reforzado” que justifica la ampliación</w:t>
            </w:r>
            <w:r>
              <w:rPr>
                <w:spacing w:val="-6"/>
                <w:sz w:val="20"/>
              </w:rPr>
              <w:t> </w:t>
            </w:r>
            <w:r>
              <w:rPr>
                <w:sz w:val="20"/>
              </w:rPr>
              <w:t>del</w:t>
            </w:r>
            <w:r>
              <w:rPr>
                <w:spacing w:val="-6"/>
                <w:sz w:val="20"/>
              </w:rPr>
              <w:t> </w:t>
            </w:r>
            <w:r>
              <w:rPr>
                <w:sz w:val="20"/>
              </w:rPr>
              <w:t>número</w:t>
            </w:r>
            <w:r>
              <w:rPr>
                <w:spacing w:val="-6"/>
                <w:sz w:val="20"/>
              </w:rPr>
              <w:t> </w:t>
            </w:r>
            <w:r>
              <w:rPr>
                <w:sz w:val="20"/>
              </w:rPr>
              <w:t>de</w:t>
            </w:r>
            <w:r>
              <w:rPr>
                <w:spacing w:val="-4"/>
                <w:sz w:val="20"/>
              </w:rPr>
              <w:t> </w:t>
            </w:r>
            <w:r>
              <w:rPr>
                <w:sz w:val="20"/>
              </w:rPr>
              <w:t>aforos</w:t>
            </w:r>
            <w:r>
              <w:rPr>
                <w:spacing w:val="-6"/>
                <w:sz w:val="20"/>
              </w:rPr>
              <w:t> </w:t>
            </w:r>
            <w:r>
              <w:rPr>
                <w:sz w:val="20"/>
              </w:rPr>
              <w:t>y el</w:t>
            </w:r>
            <w:r>
              <w:rPr>
                <w:spacing w:val="60"/>
                <w:sz w:val="20"/>
              </w:rPr>
              <w:t>   </w:t>
            </w:r>
            <w:r>
              <w:rPr>
                <w:sz w:val="20"/>
              </w:rPr>
              <w:t>mayor</w:t>
            </w:r>
            <w:r>
              <w:rPr>
                <w:spacing w:val="60"/>
                <w:sz w:val="20"/>
              </w:rPr>
              <w:t>   </w:t>
            </w:r>
            <w:r>
              <w:rPr>
                <w:sz w:val="20"/>
              </w:rPr>
              <w:t>costo</w:t>
            </w:r>
            <w:r>
              <w:rPr>
                <w:spacing w:val="60"/>
                <w:sz w:val="20"/>
              </w:rPr>
              <w:t>   </w:t>
            </w:r>
            <w:r>
              <w:rPr>
                <w:spacing w:val="-2"/>
                <w:sz w:val="20"/>
              </w:rPr>
              <w:t>operativo</w:t>
            </w:r>
          </w:p>
          <w:p>
            <w:pPr>
              <w:pStyle w:val="TableParagraph"/>
              <w:spacing w:line="228" w:lineRule="exact"/>
              <w:ind w:left="69" w:right="54"/>
              <w:jc w:val="both"/>
              <w:rPr>
                <w:sz w:val="20"/>
              </w:rPr>
            </w:pPr>
            <w:r>
              <w:rPr>
                <w:sz w:val="20"/>
              </w:rPr>
              <w:t>asociados a la tasa del 30% y luego del 50%.</w:t>
            </w:r>
          </w:p>
        </w:tc>
      </w:tr>
      <w:tr>
        <w:trPr>
          <w:trHeight w:val="1600" w:hRule="atLeast"/>
        </w:trPr>
        <w:tc>
          <w:tcPr>
            <w:tcW w:w="1976" w:type="dxa"/>
            <w:vMerge/>
            <w:tcBorders>
              <w:top w:val="nil"/>
            </w:tcBorders>
          </w:tcPr>
          <w:p>
            <w:pPr>
              <w:rPr>
                <w:sz w:val="2"/>
                <w:szCs w:val="2"/>
              </w:rPr>
            </w:pPr>
          </w:p>
        </w:tc>
        <w:tc>
          <w:tcPr>
            <w:tcW w:w="3545" w:type="dxa"/>
          </w:tcPr>
          <w:p>
            <w:pPr>
              <w:pStyle w:val="TableParagraph"/>
              <w:spacing w:before="109"/>
              <w:ind w:left="71" w:right="50"/>
              <w:jc w:val="both"/>
              <w:rPr>
                <w:sz w:val="20"/>
              </w:rPr>
            </w:pPr>
            <w:r>
              <w:rPr>
                <w:sz w:val="20"/>
              </w:rPr>
              <w:t>Servicios de laboratorio (análisis cualitativo y cuantitativo) de mercancías,</w:t>
            </w:r>
            <w:r>
              <w:rPr>
                <w:spacing w:val="-11"/>
                <w:sz w:val="20"/>
              </w:rPr>
              <w:t> </w:t>
            </w:r>
            <w:r>
              <w:rPr>
                <w:sz w:val="20"/>
              </w:rPr>
              <w:t>en</w:t>
            </w:r>
            <w:r>
              <w:rPr>
                <w:spacing w:val="-12"/>
                <w:sz w:val="20"/>
              </w:rPr>
              <w:t> </w:t>
            </w:r>
            <w:r>
              <w:rPr>
                <w:sz w:val="20"/>
              </w:rPr>
              <w:t>el</w:t>
            </w:r>
            <w:r>
              <w:rPr>
                <w:spacing w:val="-13"/>
                <w:sz w:val="20"/>
              </w:rPr>
              <w:t> </w:t>
            </w:r>
            <w:r>
              <w:rPr>
                <w:sz w:val="20"/>
              </w:rPr>
              <w:t>marco</w:t>
            </w:r>
            <w:r>
              <w:rPr>
                <w:spacing w:val="-14"/>
                <w:sz w:val="20"/>
              </w:rPr>
              <w:t> </w:t>
            </w:r>
            <w:r>
              <w:rPr>
                <w:sz w:val="20"/>
              </w:rPr>
              <w:t>de</w:t>
            </w:r>
            <w:r>
              <w:rPr>
                <w:spacing w:val="-12"/>
                <w:sz w:val="20"/>
              </w:rPr>
              <w:t> </w:t>
            </w:r>
            <w:r>
              <w:rPr>
                <w:sz w:val="20"/>
              </w:rPr>
              <w:t>convenios y protocolos internacionales (por ejemplo, Montreal, Rotterdam, Estocolmo, Basilea).</w:t>
            </w:r>
          </w:p>
        </w:tc>
        <w:tc>
          <w:tcPr>
            <w:tcW w:w="3214" w:type="dxa"/>
          </w:tcPr>
          <w:p>
            <w:pPr>
              <w:pStyle w:val="TableParagraph"/>
              <w:spacing w:before="225"/>
              <w:ind w:left="69" w:right="54"/>
              <w:jc w:val="both"/>
              <w:rPr>
                <w:sz w:val="20"/>
              </w:rPr>
            </w:pPr>
            <w:r>
              <w:rPr>
                <w:sz w:val="20"/>
              </w:rPr>
              <w:t>Se incluyen como soporte técnico especializado de las actuaciones de control sobre mercancías colombianas en el régimen de la </w:t>
            </w:r>
            <w:r>
              <w:rPr>
                <w:spacing w:val="-2"/>
                <w:sz w:val="20"/>
              </w:rPr>
              <w:t>tasa.</w:t>
            </w:r>
          </w:p>
        </w:tc>
      </w:tr>
      <w:tr>
        <w:trPr>
          <w:trHeight w:val="1340" w:hRule="atLeast"/>
        </w:trPr>
        <w:tc>
          <w:tcPr>
            <w:tcW w:w="1976" w:type="dxa"/>
            <w:vMerge/>
            <w:tcBorders>
              <w:top w:val="nil"/>
            </w:tcBorders>
          </w:tcPr>
          <w:p>
            <w:pPr>
              <w:rPr>
                <w:sz w:val="2"/>
                <w:szCs w:val="2"/>
              </w:rPr>
            </w:pPr>
          </w:p>
        </w:tc>
        <w:tc>
          <w:tcPr>
            <w:tcW w:w="3545" w:type="dxa"/>
          </w:tcPr>
          <w:p>
            <w:pPr>
              <w:pStyle w:val="TableParagraph"/>
              <w:spacing w:before="95"/>
              <w:ind w:left="71" w:right="51"/>
              <w:jc w:val="both"/>
              <w:rPr>
                <w:sz w:val="20"/>
              </w:rPr>
            </w:pPr>
            <w:r>
              <w:rPr>
                <w:sz w:val="20"/>
              </w:rPr>
              <w:t>Servicio</w:t>
            </w:r>
            <w:r>
              <w:rPr>
                <w:spacing w:val="-14"/>
                <w:sz w:val="20"/>
              </w:rPr>
              <w:t> </w:t>
            </w:r>
            <w:r>
              <w:rPr>
                <w:sz w:val="20"/>
              </w:rPr>
              <w:t>de</w:t>
            </w:r>
            <w:r>
              <w:rPr>
                <w:spacing w:val="-14"/>
                <w:sz w:val="20"/>
              </w:rPr>
              <w:t> </w:t>
            </w:r>
            <w:r>
              <w:rPr>
                <w:sz w:val="20"/>
              </w:rPr>
              <w:t>nacionalización</w:t>
            </w:r>
            <w:r>
              <w:rPr>
                <w:spacing w:val="-14"/>
                <w:sz w:val="20"/>
              </w:rPr>
              <w:t> </w:t>
            </w:r>
            <w:r>
              <w:rPr>
                <w:sz w:val="20"/>
              </w:rPr>
              <w:t>en</w:t>
            </w:r>
            <w:r>
              <w:rPr>
                <w:spacing w:val="-14"/>
                <w:sz w:val="20"/>
              </w:rPr>
              <w:t> </w:t>
            </w:r>
            <w:r>
              <w:rPr>
                <w:sz w:val="20"/>
              </w:rPr>
              <w:t>fines</w:t>
            </w:r>
            <w:r>
              <w:rPr>
                <w:spacing w:val="-14"/>
                <w:sz w:val="20"/>
              </w:rPr>
              <w:t> </w:t>
            </w:r>
            <w:r>
              <w:rPr>
                <w:sz w:val="20"/>
              </w:rPr>
              <w:t>de semana, que permite realizar </w:t>
            </w:r>
            <w:r>
              <w:rPr>
                <w:spacing w:val="-2"/>
                <w:sz w:val="20"/>
              </w:rPr>
              <w:t>reconocimientos previos, inspecciones </w:t>
            </w:r>
            <w:r>
              <w:rPr>
                <w:sz w:val="20"/>
              </w:rPr>
              <w:t>y autorizar salidas de mercancías fuera del horario ordinario.</w:t>
            </w:r>
          </w:p>
        </w:tc>
        <w:tc>
          <w:tcPr>
            <w:tcW w:w="3214" w:type="dxa"/>
          </w:tcPr>
          <w:p>
            <w:pPr>
              <w:pStyle w:val="TableParagraph"/>
              <w:spacing w:before="95"/>
              <w:ind w:left="69" w:right="54"/>
              <w:jc w:val="both"/>
              <w:rPr>
                <w:sz w:val="20"/>
              </w:rPr>
            </w:pPr>
            <w:r>
              <w:rPr>
                <w:sz w:val="20"/>
              </w:rPr>
              <w:t>Se</w:t>
            </w:r>
            <w:r>
              <w:rPr>
                <w:spacing w:val="-14"/>
                <w:sz w:val="20"/>
              </w:rPr>
              <w:t> </w:t>
            </w:r>
            <w:r>
              <w:rPr>
                <w:sz w:val="20"/>
              </w:rPr>
              <w:t>presenta</w:t>
            </w:r>
            <w:r>
              <w:rPr>
                <w:spacing w:val="-14"/>
                <w:sz w:val="20"/>
              </w:rPr>
              <w:t> </w:t>
            </w:r>
            <w:r>
              <w:rPr>
                <w:sz w:val="20"/>
              </w:rPr>
              <w:t>como</w:t>
            </w:r>
            <w:r>
              <w:rPr>
                <w:spacing w:val="-14"/>
                <w:sz w:val="20"/>
              </w:rPr>
              <w:t> </w:t>
            </w:r>
            <w:r>
              <w:rPr>
                <w:sz w:val="20"/>
              </w:rPr>
              <w:t>ampliación</w:t>
            </w:r>
            <w:r>
              <w:rPr>
                <w:spacing w:val="-14"/>
                <w:sz w:val="20"/>
              </w:rPr>
              <w:t> </w:t>
            </w:r>
            <w:r>
              <w:rPr>
                <w:sz w:val="20"/>
              </w:rPr>
              <w:t>de</w:t>
            </w:r>
            <w:r>
              <w:rPr>
                <w:spacing w:val="-14"/>
                <w:sz w:val="20"/>
              </w:rPr>
              <w:t> </w:t>
            </w:r>
            <w:r>
              <w:rPr>
                <w:sz w:val="20"/>
              </w:rPr>
              <w:t>la disponibilidad operativa para atender el mayor número de declaraciones sometidas a control bajo ambas resoluciones.</w:t>
            </w:r>
          </w:p>
        </w:tc>
      </w:tr>
      <w:tr>
        <w:trPr>
          <w:trHeight w:val="1151" w:hRule="atLeast"/>
        </w:trPr>
        <w:tc>
          <w:tcPr>
            <w:tcW w:w="1976" w:type="dxa"/>
            <w:vMerge/>
            <w:tcBorders>
              <w:top w:val="nil"/>
            </w:tcBorders>
          </w:tcPr>
          <w:p>
            <w:pPr>
              <w:rPr>
                <w:sz w:val="2"/>
                <w:szCs w:val="2"/>
              </w:rPr>
            </w:pPr>
          </w:p>
        </w:tc>
        <w:tc>
          <w:tcPr>
            <w:tcW w:w="3545" w:type="dxa"/>
          </w:tcPr>
          <w:p>
            <w:pPr>
              <w:pStyle w:val="TableParagraph"/>
              <w:spacing w:before="114"/>
              <w:ind w:left="71" w:right="50"/>
              <w:jc w:val="both"/>
              <w:rPr>
                <w:sz w:val="20"/>
              </w:rPr>
            </w:pPr>
            <w:r>
              <w:rPr>
                <w:sz w:val="20"/>
              </w:rPr>
              <w:t>Visualización en tiempo real de procesos de control y aforo físico en depósitos</w:t>
            </w:r>
            <w:r>
              <w:rPr>
                <w:spacing w:val="-14"/>
                <w:sz w:val="20"/>
              </w:rPr>
              <w:t> </w:t>
            </w:r>
            <w:r>
              <w:rPr>
                <w:sz w:val="20"/>
              </w:rPr>
              <w:t>temporales,</w:t>
            </w:r>
            <w:r>
              <w:rPr>
                <w:spacing w:val="-14"/>
                <w:sz w:val="20"/>
              </w:rPr>
              <w:t> </w:t>
            </w:r>
            <w:r>
              <w:rPr>
                <w:sz w:val="20"/>
              </w:rPr>
              <w:t>con</w:t>
            </w:r>
            <w:r>
              <w:rPr>
                <w:spacing w:val="-14"/>
                <w:sz w:val="20"/>
              </w:rPr>
              <w:t> </w:t>
            </w:r>
            <w:r>
              <w:rPr>
                <w:sz w:val="20"/>
              </w:rPr>
              <w:t>respaldo</w:t>
            </w:r>
            <w:r>
              <w:rPr>
                <w:spacing w:val="-14"/>
                <w:sz w:val="20"/>
              </w:rPr>
              <w:t> </w:t>
            </w:r>
            <w:r>
              <w:rPr>
                <w:sz w:val="20"/>
              </w:rPr>
              <w:t>de audio y video de las actuaciones.</w:t>
            </w:r>
          </w:p>
        </w:tc>
        <w:tc>
          <w:tcPr>
            <w:tcW w:w="3214" w:type="dxa"/>
          </w:tcPr>
          <w:p>
            <w:pPr>
              <w:pStyle w:val="TableParagraph"/>
              <w:ind w:left="69" w:right="54"/>
              <w:jc w:val="both"/>
              <w:rPr>
                <w:sz w:val="20"/>
              </w:rPr>
            </w:pPr>
            <w:r>
              <w:rPr>
                <w:sz w:val="20"/>
              </w:rPr>
              <w:t>Se invoca como mecanismo de transparencia y trazabilidad del control</w:t>
            </w:r>
            <w:r>
              <w:rPr>
                <w:spacing w:val="57"/>
                <w:w w:val="150"/>
                <w:sz w:val="20"/>
              </w:rPr>
              <w:t>  </w:t>
            </w:r>
            <w:r>
              <w:rPr>
                <w:sz w:val="20"/>
              </w:rPr>
              <w:t>reforzado</w:t>
            </w:r>
            <w:r>
              <w:rPr>
                <w:spacing w:val="58"/>
                <w:w w:val="150"/>
                <w:sz w:val="20"/>
              </w:rPr>
              <w:t>  </w:t>
            </w:r>
            <w:r>
              <w:rPr>
                <w:sz w:val="20"/>
              </w:rPr>
              <w:t>sobre</w:t>
            </w:r>
            <w:r>
              <w:rPr>
                <w:spacing w:val="58"/>
                <w:w w:val="150"/>
                <w:sz w:val="20"/>
              </w:rPr>
              <w:t>  </w:t>
            </w:r>
            <w:r>
              <w:rPr>
                <w:spacing w:val="-5"/>
                <w:sz w:val="20"/>
              </w:rPr>
              <w:t>las</w:t>
            </w:r>
          </w:p>
          <w:p>
            <w:pPr>
              <w:pStyle w:val="TableParagraph"/>
              <w:spacing w:line="228" w:lineRule="exact"/>
              <w:ind w:left="69" w:right="55"/>
              <w:jc w:val="both"/>
              <w:rPr>
                <w:sz w:val="20"/>
              </w:rPr>
            </w:pPr>
            <w:r>
              <w:rPr>
                <w:sz w:val="20"/>
              </w:rPr>
              <w:t>mercancías alcanzadas por la tasa, tanto al 30% como al 50%.</w:t>
            </w:r>
          </w:p>
        </w:tc>
      </w:tr>
    </w:tbl>
    <w:p>
      <w:pPr>
        <w:pStyle w:val="TableParagraph"/>
        <w:spacing w:after="0" w:line="228" w:lineRule="exact"/>
        <w:jc w:val="both"/>
        <w:rPr>
          <w:sz w:val="20"/>
        </w:rPr>
        <w:sectPr>
          <w:headerReference w:type="default" r:id="rId55"/>
          <w:footerReference w:type="default" r:id="rId56"/>
          <w:pgSz w:w="11900" w:h="16850"/>
          <w:pgMar w:header="370" w:footer="651" w:top="1380" w:bottom="840" w:left="992" w:right="283"/>
        </w:sectPr>
      </w:pPr>
    </w:p>
    <w:p>
      <w:pPr>
        <w:pStyle w:val="BodyText"/>
        <w:spacing w:before="189" w:after="1"/>
        <w:rPr>
          <w:rFonts w:ascii="Arial"/>
          <w:b/>
          <w:sz w:val="20"/>
        </w:rPr>
      </w:pPr>
    </w:p>
    <w:tbl>
      <w:tblPr>
        <w:tblW w:w="0" w:type="auto"/>
        <w:jc w:val="left"/>
        <w:tblInd w:w="11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976"/>
        <w:gridCol w:w="3545"/>
        <w:gridCol w:w="3214"/>
      </w:tblGrid>
      <w:tr>
        <w:trPr>
          <w:trHeight w:val="1840" w:hRule="atLeast"/>
        </w:trPr>
        <w:tc>
          <w:tcPr>
            <w:tcW w:w="1976" w:type="dxa"/>
            <w:vMerge w:val="restart"/>
            <w:tcBorders>
              <w:top w:val="nil"/>
            </w:tcBorders>
          </w:tcPr>
          <w:p>
            <w:pPr>
              <w:pStyle w:val="TableParagraph"/>
              <w:rPr>
                <w:rFonts w:ascii="Arial"/>
                <w:b/>
                <w:sz w:val="20"/>
              </w:rPr>
            </w:pPr>
          </w:p>
          <w:p>
            <w:pPr>
              <w:pStyle w:val="TableParagraph"/>
              <w:rPr>
                <w:rFonts w:ascii="Arial"/>
                <w:b/>
                <w:sz w:val="20"/>
              </w:rPr>
            </w:pPr>
          </w:p>
          <w:p>
            <w:pPr>
              <w:pStyle w:val="TableParagraph"/>
              <w:rPr>
                <w:rFonts w:ascii="Arial"/>
                <w:b/>
                <w:sz w:val="20"/>
              </w:rPr>
            </w:pPr>
          </w:p>
          <w:p>
            <w:pPr>
              <w:pStyle w:val="TableParagraph"/>
              <w:spacing w:before="1"/>
              <w:ind w:left="71" w:right="300"/>
              <w:rPr>
                <w:rFonts w:ascii="Arial"/>
                <w:b/>
                <w:sz w:val="20"/>
              </w:rPr>
            </w:pPr>
            <w:r>
              <w:rPr>
                <w:rFonts w:ascii="Arial"/>
                <w:b/>
                <w:sz w:val="20"/>
              </w:rPr>
              <w:t>Infraestructura</w:t>
            </w:r>
            <w:r>
              <w:rPr>
                <w:rFonts w:ascii="Arial"/>
                <w:b/>
                <w:spacing w:val="-14"/>
                <w:sz w:val="20"/>
              </w:rPr>
              <w:t> </w:t>
            </w:r>
            <w:r>
              <w:rPr>
                <w:rFonts w:ascii="Arial"/>
                <w:b/>
                <w:sz w:val="20"/>
              </w:rPr>
              <w:t>y </w:t>
            </w:r>
            <w:r>
              <w:rPr>
                <w:rFonts w:ascii="Arial"/>
                <w:b/>
                <w:spacing w:val="-2"/>
                <w:sz w:val="20"/>
              </w:rPr>
              <w:t>equipamiento</w:t>
            </w:r>
          </w:p>
        </w:tc>
        <w:tc>
          <w:tcPr>
            <w:tcW w:w="3545" w:type="dxa"/>
            <w:tcBorders>
              <w:top w:val="nil"/>
            </w:tcBorders>
          </w:tcPr>
          <w:p>
            <w:pPr>
              <w:pStyle w:val="TableParagraph"/>
              <w:spacing w:before="115"/>
              <w:rPr>
                <w:rFonts w:ascii="Arial"/>
                <w:b/>
                <w:sz w:val="20"/>
              </w:rPr>
            </w:pPr>
          </w:p>
          <w:p>
            <w:pPr>
              <w:pStyle w:val="TableParagraph"/>
              <w:ind w:left="71" w:right="51"/>
              <w:jc w:val="both"/>
              <w:rPr>
                <w:sz w:val="20"/>
              </w:rPr>
            </w:pPr>
            <w:r>
              <w:rPr>
                <w:sz w:val="20"/>
              </w:rPr>
              <w:t>Construcción, remodelación y adecuación de Unidades de Control Aduanero, oficinas de atención al usuario y plataformas de control y revisión de mercancías.</w:t>
            </w:r>
          </w:p>
        </w:tc>
        <w:tc>
          <w:tcPr>
            <w:tcW w:w="3214" w:type="dxa"/>
            <w:tcBorders>
              <w:top w:val="nil"/>
            </w:tcBorders>
          </w:tcPr>
          <w:p>
            <w:pPr>
              <w:pStyle w:val="TableParagraph"/>
              <w:ind w:left="69" w:right="52"/>
              <w:jc w:val="both"/>
              <w:rPr>
                <w:sz w:val="20"/>
              </w:rPr>
            </w:pPr>
            <w:r>
              <w:rPr>
                <w:sz w:val="20"/>
              </w:rPr>
              <w:t>Se incorpora al cálculo del “costo del servicio” de control aduanero reforzado que la tasa debe financiar:</w:t>
            </w:r>
            <w:r>
              <w:rPr>
                <w:spacing w:val="-14"/>
                <w:sz w:val="20"/>
              </w:rPr>
              <w:t> </w:t>
            </w:r>
            <w:r>
              <w:rPr>
                <w:sz w:val="20"/>
              </w:rPr>
              <w:t>primero</w:t>
            </w:r>
            <w:r>
              <w:rPr>
                <w:spacing w:val="-14"/>
                <w:sz w:val="20"/>
              </w:rPr>
              <w:t> </w:t>
            </w:r>
            <w:r>
              <w:rPr>
                <w:sz w:val="20"/>
              </w:rPr>
              <w:t>en</w:t>
            </w:r>
            <w:r>
              <w:rPr>
                <w:spacing w:val="-14"/>
                <w:sz w:val="20"/>
              </w:rPr>
              <w:t> </w:t>
            </w:r>
            <w:r>
              <w:rPr>
                <w:sz w:val="20"/>
              </w:rPr>
              <w:t>determinados distritos bajo la Resolución SENAE-SENAE-2026-0006-RE</w:t>
            </w:r>
            <w:r>
              <w:rPr>
                <w:spacing w:val="68"/>
                <w:w w:val="150"/>
                <w:sz w:val="20"/>
              </w:rPr>
              <w:t> </w:t>
            </w:r>
            <w:r>
              <w:rPr>
                <w:spacing w:val="-10"/>
                <w:sz w:val="20"/>
              </w:rPr>
              <w:t>y</w:t>
            </w:r>
          </w:p>
          <w:p>
            <w:pPr>
              <w:pStyle w:val="TableParagraph"/>
              <w:spacing w:line="230" w:lineRule="exact"/>
              <w:ind w:left="69" w:right="56"/>
              <w:jc w:val="both"/>
              <w:rPr>
                <w:sz w:val="20"/>
              </w:rPr>
            </w:pPr>
            <w:r>
              <w:rPr>
                <w:sz w:val="20"/>
              </w:rPr>
              <w:t>luego</w:t>
            </w:r>
            <w:r>
              <w:rPr>
                <w:spacing w:val="-8"/>
                <w:sz w:val="20"/>
              </w:rPr>
              <w:t> </w:t>
            </w:r>
            <w:r>
              <w:rPr>
                <w:sz w:val="20"/>
              </w:rPr>
              <w:t>con</w:t>
            </w:r>
            <w:r>
              <w:rPr>
                <w:spacing w:val="-7"/>
                <w:sz w:val="20"/>
              </w:rPr>
              <w:t> </w:t>
            </w:r>
            <w:r>
              <w:rPr>
                <w:sz w:val="20"/>
              </w:rPr>
              <w:t>alcance</w:t>
            </w:r>
            <w:r>
              <w:rPr>
                <w:spacing w:val="-5"/>
                <w:sz w:val="20"/>
              </w:rPr>
              <w:t> </w:t>
            </w:r>
            <w:r>
              <w:rPr>
                <w:sz w:val="20"/>
              </w:rPr>
              <w:t>nacional</w:t>
            </w:r>
            <w:r>
              <w:rPr>
                <w:spacing w:val="-6"/>
                <w:sz w:val="20"/>
              </w:rPr>
              <w:t> </w:t>
            </w:r>
            <w:r>
              <w:rPr>
                <w:sz w:val="20"/>
              </w:rPr>
              <w:t>bajo</w:t>
            </w:r>
            <w:r>
              <w:rPr>
                <w:spacing w:val="-5"/>
                <w:sz w:val="20"/>
              </w:rPr>
              <w:t> </w:t>
            </w:r>
            <w:r>
              <w:rPr>
                <w:sz w:val="20"/>
              </w:rPr>
              <w:t>la </w:t>
            </w:r>
            <w:r>
              <w:rPr>
                <w:spacing w:val="-2"/>
                <w:sz w:val="20"/>
              </w:rPr>
              <w:t>SENAE-SENAE-2026-0017-RE.</w:t>
            </w:r>
          </w:p>
        </w:tc>
      </w:tr>
      <w:tr>
        <w:trPr>
          <w:trHeight w:val="1379" w:hRule="atLeast"/>
        </w:trPr>
        <w:tc>
          <w:tcPr>
            <w:tcW w:w="1976" w:type="dxa"/>
            <w:vMerge/>
            <w:tcBorders>
              <w:top w:val="nil"/>
            </w:tcBorders>
          </w:tcPr>
          <w:p>
            <w:pPr>
              <w:rPr>
                <w:sz w:val="2"/>
                <w:szCs w:val="2"/>
              </w:rPr>
            </w:pPr>
          </w:p>
        </w:tc>
        <w:tc>
          <w:tcPr>
            <w:tcW w:w="3545" w:type="dxa"/>
          </w:tcPr>
          <w:p>
            <w:pPr>
              <w:pStyle w:val="TableParagraph"/>
              <w:ind w:left="71" w:right="50"/>
              <w:jc w:val="both"/>
              <w:rPr>
                <w:sz w:val="20"/>
              </w:rPr>
            </w:pPr>
            <w:r>
              <w:rPr>
                <w:sz w:val="20"/>
              </w:rPr>
              <w:t>Mantenimiento y renovación de equipos, infraestructura tecnológica, vehículos, equipos de seguridad, equipos audiovisuales y maquinaria para</w:t>
            </w:r>
            <w:r>
              <w:rPr>
                <w:spacing w:val="79"/>
                <w:sz w:val="20"/>
              </w:rPr>
              <w:t> </w:t>
            </w:r>
            <w:r>
              <w:rPr>
                <w:sz w:val="20"/>
              </w:rPr>
              <w:t>la</w:t>
            </w:r>
            <w:r>
              <w:rPr>
                <w:spacing w:val="79"/>
                <w:sz w:val="20"/>
              </w:rPr>
              <w:t> </w:t>
            </w:r>
            <w:r>
              <w:rPr>
                <w:sz w:val="20"/>
              </w:rPr>
              <w:t>prestación</w:t>
            </w:r>
            <w:r>
              <w:rPr>
                <w:spacing w:val="78"/>
                <w:sz w:val="20"/>
              </w:rPr>
              <w:t> </w:t>
            </w:r>
            <w:r>
              <w:rPr>
                <w:sz w:val="20"/>
              </w:rPr>
              <w:t>de</w:t>
            </w:r>
            <w:r>
              <w:rPr>
                <w:spacing w:val="78"/>
                <w:sz w:val="20"/>
              </w:rPr>
              <w:t> </w:t>
            </w:r>
            <w:r>
              <w:rPr>
                <w:sz w:val="20"/>
              </w:rPr>
              <w:t>servicios</w:t>
            </w:r>
            <w:r>
              <w:rPr>
                <w:spacing w:val="78"/>
                <w:sz w:val="20"/>
              </w:rPr>
              <w:t> </w:t>
            </w:r>
            <w:r>
              <w:rPr>
                <w:spacing w:val="-5"/>
                <w:sz w:val="20"/>
              </w:rPr>
              <w:t>de</w:t>
            </w:r>
          </w:p>
          <w:p>
            <w:pPr>
              <w:pStyle w:val="TableParagraph"/>
              <w:spacing w:line="210" w:lineRule="exact"/>
              <w:ind w:left="71"/>
              <w:rPr>
                <w:sz w:val="20"/>
              </w:rPr>
            </w:pPr>
            <w:r>
              <w:rPr>
                <w:spacing w:val="-2"/>
                <w:sz w:val="20"/>
              </w:rPr>
              <w:t>control.</w:t>
            </w:r>
          </w:p>
        </w:tc>
        <w:tc>
          <w:tcPr>
            <w:tcW w:w="3214" w:type="dxa"/>
          </w:tcPr>
          <w:p>
            <w:pPr>
              <w:pStyle w:val="TableParagraph"/>
              <w:ind w:left="69" w:right="52"/>
              <w:jc w:val="both"/>
              <w:rPr>
                <w:sz w:val="20"/>
              </w:rPr>
            </w:pPr>
            <w:r>
              <w:rPr>
                <w:sz w:val="20"/>
              </w:rPr>
              <w:t>Se considera necesario para sostener, en el tiempo, la capacidad operativa adicional requerida por el incremento de aforos</w:t>
            </w:r>
            <w:r>
              <w:rPr>
                <w:spacing w:val="9"/>
                <w:sz w:val="20"/>
              </w:rPr>
              <w:t> </w:t>
            </w:r>
            <w:r>
              <w:rPr>
                <w:sz w:val="20"/>
              </w:rPr>
              <w:t>y</w:t>
            </w:r>
            <w:r>
              <w:rPr>
                <w:spacing w:val="10"/>
                <w:sz w:val="20"/>
              </w:rPr>
              <w:t> </w:t>
            </w:r>
            <w:r>
              <w:rPr>
                <w:sz w:val="20"/>
              </w:rPr>
              <w:t>controles</w:t>
            </w:r>
            <w:r>
              <w:rPr>
                <w:spacing w:val="9"/>
                <w:sz w:val="20"/>
              </w:rPr>
              <w:t> </w:t>
            </w:r>
            <w:r>
              <w:rPr>
                <w:sz w:val="20"/>
              </w:rPr>
              <w:t>derivados</w:t>
            </w:r>
            <w:r>
              <w:rPr>
                <w:spacing w:val="11"/>
                <w:sz w:val="20"/>
              </w:rPr>
              <w:t> </w:t>
            </w:r>
            <w:r>
              <w:rPr>
                <w:sz w:val="20"/>
              </w:rPr>
              <w:t>de</w:t>
            </w:r>
            <w:r>
              <w:rPr>
                <w:spacing w:val="8"/>
                <w:sz w:val="20"/>
              </w:rPr>
              <w:t> </w:t>
            </w:r>
            <w:r>
              <w:rPr>
                <w:spacing w:val="-5"/>
                <w:sz w:val="20"/>
              </w:rPr>
              <w:t>la</w:t>
            </w:r>
          </w:p>
          <w:p>
            <w:pPr>
              <w:pStyle w:val="TableParagraph"/>
              <w:spacing w:line="210" w:lineRule="exact"/>
              <w:ind w:left="69"/>
              <w:rPr>
                <w:sz w:val="20"/>
              </w:rPr>
            </w:pPr>
            <w:r>
              <w:rPr>
                <w:spacing w:val="-2"/>
                <w:sz w:val="20"/>
              </w:rPr>
              <w:t>tasa.</w:t>
            </w:r>
          </w:p>
        </w:tc>
      </w:tr>
      <w:tr>
        <w:trPr>
          <w:trHeight w:val="1609" w:hRule="atLeast"/>
        </w:trPr>
        <w:tc>
          <w:tcPr>
            <w:tcW w:w="1976" w:type="dxa"/>
            <w:vMerge w:val="restart"/>
          </w:tcPr>
          <w:p>
            <w:pPr>
              <w:pStyle w:val="TableParagraph"/>
              <w:rPr>
                <w:rFonts w:ascii="Arial"/>
                <w:b/>
                <w:sz w:val="20"/>
              </w:rPr>
            </w:pPr>
          </w:p>
          <w:p>
            <w:pPr>
              <w:pStyle w:val="TableParagraph"/>
              <w:spacing w:before="115"/>
              <w:rPr>
                <w:rFonts w:ascii="Arial"/>
                <w:b/>
                <w:sz w:val="20"/>
              </w:rPr>
            </w:pPr>
          </w:p>
          <w:p>
            <w:pPr>
              <w:pStyle w:val="TableParagraph"/>
              <w:ind w:left="71" w:right="223"/>
              <w:rPr>
                <w:rFonts w:ascii="Arial" w:hAnsi="Arial"/>
                <w:b/>
                <w:sz w:val="20"/>
              </w:rPr>
            </w:pPr>
            <w:r>
              <w:rPr>
                <w:rFonts w:ascii="Arial" w:hAnsi="Arial"/>
                <w:b/>
                <w:sz w:val="20"/>
              </w:rPr>
              <w:t>Investigación y control</w:t>
            </w:r>
            <w:r>
              <w:rPr>
                <w:rFonts w:ascii="Arial" w:hAnsi="Arial"/>
                <w:b/>
                <w:spacing w:val="-14"/>
                <w:sz w:val="20"/>
              </w:rPr>
              <w:t> </w:t>
            </w:r>
            <w:r>
              <w:rPr>
                <w:rFonts w:ascii="Arial" w:hAnsi="Arial"/>
                <w:b/>
                <w:sz w:val="20"/>
              </w:rPr>
              <w:t>fronterizo</w:t>
            </w:r>
          </w:p>
        </w:tc>
        <w:tc>
          <w:tcPr>
            <w:tcW w:w="3545" w:type="dxa"/>
          </w:tcPr>
          <w:p>
            <w:pPr>
              <w:pStyle w:val="TableParagraph"/>
              <w:tabs>
                <w:tab w:pos="1731" w:val="left" w:leader="none"/>
                <w:tab w:pos="2463" w:val="left" w:leader="none"/>
              </w:tabs>
              <w:spacing w:before="114"/>
              <w:ind w:left="71" w:right="51"/>
              <w:jc w:val="both"/>
              <w:rPr>
                <w:sz w:val="20"/>
              </w:rPr>
            </w:pPr>
            <w:r>
              <w:rPr>
                <w:sz w:val="20"/>
              </w:rPr>
              <w:t>Investigación del fraude aduanero y lucha contra el contrabando mediante un modelo de gestión que usa herramientas de tecnología de la </w:t>
            </w:r>
            <w:r>
              <w:rPr>
                <w:spacing w:val="-2"/>
                <w:sz w:val="20"/>
              </w:rPr>
              <w:t>información</w:t>
            </w:r>
            <w:r>
              <w:rPr>
                <w:sz w:val="20"/>
              </w:rPr>
              <w:tab/>
            </w:r>
            <w:r>
              <w:rPr>
                <w:spacing w:val="-10"/>
                <w:sz w:val="20"/>
              </w:rPr>
              <w:t>y</w:t>
            </w:r>
            <w:r>
              <w:rPr>
                <w:sz w:val="20"/>
              </w:rPr>
              <w:tab/>
            </w:r>
            <w:r>
              <w:rPr>
                <w:spacing w:val="-2"/>
                <w:sz w:val="20"/>
              </w:rPr>
              <w:t>articulación interinstitucional.</w:t>
            </w:r>
          </w:p>
        </w:tc>
        <w:tc>
          <w:tcPr>
            <w:tcW w:w="3214" w:type="dxa"/>
          </w:tcPr>
          <w:p>
            <w:pPr>
              <w:pStyle w:val="TableParagraph"/>
              <w:ind w:left="69" w:right="52"/>
              <w:jc w:val="both"/>
              <w:rPr>
                <w:sz w:val="20"/>
              </w:rPr>
            </w:pPr>
            <w:r>
              <w:rPr>
                <w:sz w:val="20"/>
              </w:rPr>
              <w:t>Se presenta</w:t>
            </w:r>
            <w:r>
              <w:rPr>
                <w:spacing w:val="-2"/>
                <w:sz w:val="20"/>
              </w:rPr>
              <w:t> </w:t>
            </w:r>
            <w:r>
              <w:rPr>
                <w:sz w:val="20"/>
              </w:rPr>
              <w:t>como</w:t>
            </w:r>
            <w:r>
              <w:rPr>
                <w:spacing w:val="-2"/>
                <w:sz w:val="20"/>
              </w:rPr>
              <w:t> </w:t>
            </w:r>
            <w:r>
              <w:rPr>
                <w:sz w:val="20"/>
              </w:rPr>
              <w:t>respuesta</w:t>
            </w:r>
            <w:r>
              <w:rPr>
                <w:spacing w:val="-2"/>
                <w:sz w:val="20"/>
              </w:rPr>
              <w:t> </w:t>
            </w:r>
            <w:r>
              <w:rPr>
                <w:sz w:val="20"/>
              </w:rPr>
              <w:t>a los riesgos específicos detectados en la frontera norte y como parte del paquete</w:t>
            </w:r>
            <w:r>
              <w:rPr>
                <w:spacing w:val="-7"/>
                <w:sz w:val="20"/>
              </w:rPr>
              <w:t> </w:t>
            </w:r>
            <w:r>
              <w:rPr>
                <w:sz w:val="20"/>
              </w:rPr>
              <w:t>de</w:t>
            </w:r>
            <w:r>
              <w:rPr>
                <w:spacing w:val="-7"/>
                <w:sz w:val="20"/>
              </w:rPr>
              <w:t> </w:t>
            </w:r>
            <w:r>
              <w:rPr>
                <w:sz w:val="20"/>
              </w:rPr>
              <w:t>servicios</w:t>
            </w:r>
            <w:r>
              <w:rPr>
                <w:spacing w:val="-6"/>
                <w:sz w:val="20"/>
              </w:rPr>
              <w:t> </w:t>
            </w:r>
            <w:r>
              <w:rPr>
                <w:sz w:val="20"/>
              </w:rPr>
              <w:t>que</w:t>
            </w:r>
            <w:r>
              <w:rPr>
                <w:spacing w:val="-7"/>
                <w:sz w:val="20"/>
              </w:rPr>
              <w:t> </w:t>
            </w:r>
            <w:r>
              <w:rPr>
                <w:sz w:val="20"/>
              </w:rPr>
              <w:t>justifican la creación y luego la intensificación</w:t>
            </w:r>
            <w:r>
              <w:rPr>
                <w:spacing w:val="78"/>
                <w:sz w:val="20"/>
              </w:rPr>
              <w:t> </w:t>
            </w:r>
            <w:r>
              <w:rPr>
                <w:sz w:val="20"/>
              </w:rPr>
              <w:t>de</w:t>
            </w:r>
            <w:r>
              <w:rPr>
                <w:spacing w:val="76"/>
                <w:sz w:val="20"/>
              </w:rPr>
              <w:t> </w:t>
            </w:r>
            <w:r>
              <w:rPr>
                <w:sz w:val="20"/>
              </w:rPr>
              <w:t>la</w:t>
            </w:r>
            <w:r>
              <w:rPr>
                <w:spacing w:val="76"/>
                <w:sz w:val="20"/>
              </w:rPr>
              <w:t> </w:t>
            </w:r>
            <w:r>
              <w:rPr>
                <w:sz w:val="20"/>
              </w:rPr>
              <w:t>tasa</w:t>
            </w:r>
            <w:r>
              <w:rPr>
                <w:spacing w:val="79"/>
                <w:sz w:val="20"/>
              </w:rPr>
              <w:t> </w:t>
            </w:r>
            <w:r>
              <w:rPr>
                <w:spacing w:val="-4"/>
                <w:sz w:val="20"/>
              </w:rPr>
              <w:t>sobre</w:t>
            </w:r>
          </w:p>
          <w:p>
            <w:pPr>
              <w:pStyle w:val="TableParagraph"/>
              <w:spacing w:line="210" w:lineRule="exact"/>
              <w:ind w:left="69"/>
              <w:jc w:val="both"/>
              <w:rPr>
                <w:sz w:val="20"/>
              </w:rPr>
            </w:pPr>
            <w:r>
              <w:rPr>
                <w:sz w:val="20"/>
              </w:rPr>
              <w:t>mercancías</w:t>
            </w:r>
            <w:r>
              <w:rPr>
                <w:spacing w:val="-13"/>
                <w:sz w:val="20"/>
              </w:rPr>
              <w:t> </w:t>
            </w:r>
            <w:r>
              <w:rPr>
                <w:spacing w:val="-2"/>
                <w:sz w:val="20"/>
              </w:rPr>
              <w:t>colombianas.</w:t>
            </w:r>
          </w:p>
        </w:tc>
      </w:tr>
      <w:tr>
        <w:trPr>
          <w:trHeight w:val="1151" w:hRule="atLeast"/>
        </w:trPr>
        <w:tc>
          <w:tcPr>
            <w:tcW w:w="1976" w:type="dxa"/>
            <w:vMerge/>
            <w:tcBorders>
              <w:top w:val="nil"/>
            </w:tcBorders>
          </w:tcPr>
          <w:p>
            <w:pPr>
              <w:rPr>
                <w:sz w:val="2"/>
                <w:szCs w:val="2"/>
              </w:rPr>
            </w:pPr>
          </w:p>
        </w:tc>
        <w:tc>
          <w:tcPr>
            <w:tcW w:w="3545" w:type="dxa"/>
          </w:tcPr>
          <w:p>
            <w:pPr>
              <w:pStyle w:val="TableParagraph"/>
              <w:spacing w:before="114"/>
              <w:ind w:left="71" w:right="53"/>
              <w:jc w:val="both"/>
              <w:rPr>
                <w:sz w:val="20"/>
              </w:rPr>
            </w:pPr>
            <w:r>
              <w:rPr>
                <w:sz w:val="20"/>
              </w:rPr>
              <w:t>Gestión</w:t>
            </w:r>
            <w:r>
              <w:rPr>
                <w:spacing w:val="-8"/>
                <w:sz w:val="20"/>
              </w:rPr>
              <w:t> </w:t>
            </w:r>
            <w:r>
              <w:rPr>
                <w:sz w:val="20"/>
              </w:rPr>
              <w:t>y</w:t>
            </w:r>
            <w:r>
              <w:rPr>
                <w:spacing w:val="-9"/>
                <w:sz w:val="20"/>
              </w:rPr>
              <w:t> </w:t>
            </w:r>
            <w:r>
              <w:rPr>
                <w:sz w:val="20"/>
              </w:rPr>
              <w:t>repositorio</w:t>
            </w:r>
            <w:r>
              <w:rPr>
                <w:spacing w:val="-8"/>
                <w:sz w:val="20"/>
              </w:rPr>
              <w:t> </w:t>
            </w:r>
            <w:r>
              <w:rPr>
                <w:sz w:val="20"/>
              </w:rPr>
              <w:t>sistematizado</w:t>
            </w:r>
            <w:r>
              <w:rPr>
                <w:spacing w:val="-8"/>
                <w:sz w:val="20"/>
              </w:rPr>
              <w:t> </w:t>
            </w:r>
            <w:r>
              <w:rPr>
                <w:sz w:val="20"/>
              </w:rPr>
              <w:t>de información</w:t>
            </w:r>
            <w:r>
              <w:rPr>
                <w:spacing w:val="-6"/>
                <w:sz w:val="20"/>
              </w:rPr>
              <w:t> </w:t>
            </w:r>
            <w:r>
              <w:rPr>
                <w:sz w:val="20"/>
              </w:rPr>
              <w:t>de</w:t>
            </w:r>
            <w:r>
              <w:rPr>
                <w:spacing w:val="-7"/>
                <w:sz w:val="20"/>
              </w:rPr>
              <w:t> </w:t>
            </w:r>
            <w:r>
              <w:rPr>
                <w:sz w:val="20"/>
              </w:rPr>
              <w:t>importadores</w:t>
            </w:r>
            <w:r>
              <w:rPr>
                <w:spacing w:val="-7"/>
                <w:sz w:val="20"/>
              </w:rPr>
              <w:t> </w:t>
            </w:r>
            <w:r>
              <w:rPr>
                <w:sz w:val="20"/>
              </w:rPr>
              <w:t>(registro, activación, suspensión, cancelación y actualización permanente).</w:t>
            </w:r>
          </w:p>
        </w:tc>
        <w:tc>
          <w:tcPr>
            <w:tcW w:w="3214" w:type="dxa"/>
          </w:tcPr>
          <w:p>
            <w:pPr>
              <w:pStyle w:val="TableParagraph"/>
              <w:spacing w:line="230" w:lineRule="exact"/>
              <w:ind w:left="69" w:right="53"/>
              <w:jc w:val="both"/>
              <w:rPr>
                <w:sz w:val="20"/>
              </w:rPr>
            </w:pPr>
            <w:r>
              <w:rPr>
                <w:sz w:val="20"/>
              </w:rPr>
              <w:t>Se vincula con el perfilamiento de riesgo y la administración del universo</w:t>
            </w:r>
            <w:r>
              <w:rPr>
                <w:spacing w:val="-13"/>
                <w:sz w:val="20"/>
              </w:rPr>
              <w:t> </w:t>
            </w:r>
            <w:r>
              <w:rPr>
                <w:sz w:val="20"/>
              </w:rPr>
              <w:t>de</w:t>
            </w:r>
            <w:r>
              <w:rPr>
                <w:spacing w:val="-12"/>
                <w:sz w:val="20"/>
              </w:rPr>
              <w:t> </w:t>
            </w:r>
            <w:r>
              <w:rPr>
                <w:sz w:val="20"/>
              </w:rPr>
              <w:t>operadores</w:t>
            </w:r>
            <w:r>
              <w:rPr>
                <w:spacing w:val="-13"/>
                <w:sz w:val="20"/>
              </w:rPr>
              <w:t> </w:t>
            </w:r>
            <w:r>
              <w:rPr>
                <w:sz w:val="20"/>
              </w:rPr>
              <w:t>sometidos al</w:t>
            </w:r>
            <w:r>
              <w:rPr>
                <w:spacing w:val="-7"/>
                <w:sz w:val="20"/>
              </w:rPr>
              <w:t> </w:t>
            </w:r>
            <w:r>
              <w:rPr>
                <w:sz w:val="20"/>
              </w:rPr>
              <w:t>control</w:t>
            </w:r>
            <w:r>
              <w:rPr>
                <w:spacing w:val="-5"/>
                <w:sz w:val="20"/>
              </w:rPr>
              <w:t> </w:t>
            </w:r>
            <w:r>
              <w:rPr>
                <w:sz w:val="20"/>
              </w:rPr>
              <w:t>reforzado</w:t>
            </w:r>
            <w:r>
              <w:rPr>
                <w:spacing w:val="-7"/>
                <w:sz w:val="20"/>
              </w:rPr>
              <w:t> </w:t>
            </w:r>
            <w:r>
              <w:rPr>
                <w:sz w:val="20"/>
              </w:rPr>
              <w:t>y</w:t>
            </w:r>
            <w:r>
              <w:rPr>
                <w:spacing w:val="-4"/>
                <w:sz w:val="20"/>
              </w:rPr>
              <w:t> </w:t>
            </w:r>
            <w:r>
              <w:rPr>
                <w:sz w:val="20"/>
              </w:rPr>
              <w:t>al</w:t>
            </w:r>
            <w:r>
              <w:rPr>
                <w:spacing w:val="-5"/>
                <w:sz w:val="20"/>
              </w:rPr>
              <w:t> </w:t>
            </w:r>
            <w:r>
              <w:rPr>
                <w:sz w:val="20"/>
              </w:rPr>
              <w:t>pago</w:t>
            </w:r>
            <w:r>
              <w:rPr>
                <w:spacing w:val="-7"/>
                <w:sz w:val="20"/>
              </w:rPr>
              <w:t> </w:t>
            </w:r>
            <w:r>
              <w:rPr>
                <w:sz w:val="20"/>
              </w:rPr>
              <w:t>de</w:t>
            </w:r>
            <w:r>
              <w:rPr>
                <w:spacing w:val="-4"/>
                <w:sz w:val="20"/>
              </w:rPr>
              <w:t> </w:t>
            </w:r>
            <w:r>
              <w:rPr>
                <w:sz w:val="20"/>
              </w:rPr>
              <w:t>la tasa en ambas resoluciones.</w:t>
            </w:r>
          </w:p>
        </w:tc>
      </w:tr>
      <w:tr>
        <w:trPr>
          <w:trHeight w:val="1379" w:hRule="atLeast"/>
        </w:trPr>
        <w:tc>
          <w:tcPr>
            <w:tcW w:w="1976" w:type="dxa"/>
            <w:vMerge/>
            <w:tcBorders>
              <w:top w:val="nil"/>
            </w:tcBorders>
          </w:tcPr>
          <w:p>
            <w:pPr>
              <w:rPr>
                <w:sz w:val="2"/>
                <w:szCs w:val="2"/>
              </w:rPr>
            </w:pPr>
          </w:p>
        </w:tc>
        <w:tc>
          <w:tcPr>
            <w:tcW w:w="3545" w:type="dxa"/>
          </w:tcPr>
          <w:p>
            <w:pPr>
              <w:pStyle w:val="TableParagraph"/>
              <w:ind w:left="71" w:right="51"/>
              <w:jc w:val="both"/>
              <w:rPr>
                <w:sz w:val="20"/>
              </w:rPr>
            </w:pPr>
            <w:r>
              <w:rPr>
                <w:sz w:val="20"/>
              </w:rPr>
              <w:t>Fortalecimiento del control fronterizo mediante un modelo de gestión integral, articulado con diversas instituciones públicas, para optimizar controles</w:t>
            </w:r>
            <w:r>
              <w:rPr>
                <w:spacing w:val="48"/>
                <w:sz w:val="20"/>
              </w:rPr>
              <w:t>  </w:t>
            </w:r>
            <w:r>
              <w:rPr>
                <w:sz w:val="20"/>
              </w:rPr>
              <w:t>en</w:t>
            </w:r>
            <w:r>
              <w:rPr>
                <w:spacing w:val="47"/>
                <w:sz w:val="20"/>
              </w:rPr>
              <w:t>  </w:t>
            </w:r>
            <w:r>
              <w:rPr>
                <w:sz w:val="20"/>
              </w:rPr>
              <w:t>frontera,</w:t>
            </w:r>
            <w:r>
              <w:rPr>
                <w:spacing w:val="48"/>
                <w:sz w:val="20"/>
              </w:rPr>
              <w:t>  </w:t>
            </w:r>
            <w:r>
              <w:rPr>
                <w:sz w:val="20"/>
              </w:rPr>
              <w:t>puertos</w:t>
            </w:r>
            <w:r>
              <w:rPr>
                <w:spacing w:val="47"/>
                <w:sz w:val="20"/>
              </w:rPr>
              <w:t>  </w:t>
            </w:r>
            <w:r>
              <w:rPr>
                <w:spacing w:val="-10"/>
                <w:sz w:val="20"/>
              </w:rPr>
              <w:t>y</w:t>
            </w:r>
          </w:p>
          <w:p>
            <w:pPr>
              <w:pStyle w:val="TableParagraph"/>
              <w:spacing w:line="210" w:lineRule="exact"/>
              <w:ind w:left="71"/>
              <w:rPr>
                <w:sz w:val="20"/>
              </w:rPr>
            </w:pPr>
            <w:r>
              <w:rPr>
                <w:spacing w:val="-2"/>
                <w:sz w:val="20"/>
              </w:rPr>
              <w:t>aeropuertos.</w:t>
            </w:r>
          </w:p>
        </w:tc>
        <w:tc>
          <w:tcPr>
            <w:tcW w:w="3214" w:type="dxa"/>
          </w:tcPr>
          <w:p>
            <w:pPr>
              <w:pStyle w:val="TableParagraph"/>
              <w:ind w:left="69" w:right="51"/>
              <w:jc w:val="both"/>
              <w:rPr>
                <w:sz w:val="20"/>
              </w:rPr>
            </w:pPr>
            <w:r>
              <w:rPr>
                <w:sz w:val="20"/>
              </w:rPr>
              <w:t>Se incluye como componente del costo anual estimado del servicio </w:t>
            </w:r>
            <w:r>
              <w:rPr>
                <w:spacing w:val="-2"/>
                <w:sz w:val="20"/>
              </w:rPr>
              <w:t>de</w:t>
            </w:r>
            <w:r>
              <w:rPr>
                <w:spacing w:val="-9"/>
                <w:sz w:val="20"/>
              </w:rPr>
              <w:t> </w:t>
            </w:r>
            <w:r>
              <w:rPr>
                <w:spacing w:val="-2"/>
                <w:sz w:val="20"/>
              </w:rPr>
              <w:t>control</w:t>
            </w:r>
            <w:r>
              <w:rPr>
                <w:spacing w:val="-9"/>
                <w:sz w:val="20"/>
              </w:rPr>
              <w:t> </w:t>
            </w:r>
            <w:r>
              <w:rPr>
                <w:spacing w:val="-2"/>
                <w:sz w:val="20"/>
              </w:rPr>
              <w:t>aduanero</w:t>
            </w:r>
            <w:r>
              <w:rPr>
                <w:spacing w:val="-8"/>
                <w:sz w:val="20"/>
              </w:rPr>
              <w:t> </w:t>
            </w:r>
            <w:r>
              <w:rPr>
                <w:spacing w:val="-2"/>
                <w:sz w:val="20"/>
              </w:rPr>
              <w:t>reforzado,</w:t>
            </w:r>
            <w:r>
              <w:rPr>
                <w:spacing w:val="-8"/>
                <w:sz w:val="20"/>
              </w:rPr>
              <w:t> </w:t>
            </w:r>
            <w:r>
              <w:rPr>
                <w:spacing w:val="-2"/>
                <w:sz w:val="20"/>
              </w:rPr>
              <w:t>que </w:t>
            </w:r>
            <w:r>
              <w:rPr>
                <w:sz w:val="20"/>
              </w:rPr>
              <w:t>sirve de base para fijar la tasa del 30%</w:t>
            </w:r>
            <w:r>
              <w:rPr>
                <w:spacing w:val="-10"/>
                <w:sz w:val="20"/>
              </w:rPr>
              <w:t> </w:t>
            </w:r>
            <w:r>
              <w:rPr>
                <w:sz w:val="20"/>
              </w:rPr>
              <w:t>y</w:t>
            </w:r>
            <w:r>
              <w:rPr>
                <w:spacing w:val="-7"/>
                <w:sz w:val="20"/>
              </w:rPr>
              <w:t> </w:t>
            </w:r>
            <w:r>
              <w:rPr>
                <w:sz w:val="20"/>
              </w:rPr>
              <w:t>su</w:t>
            </w:r>
            <w:r>
              <w:rPr>
                <w:spacing w:val="-8"/>
                <w:sz w:val="20"/>
              </w:rPr>
              <w:t> </w:t>
            </w:r>
            <w:r>
              <w:rPr>
                <w:sz w:val="20"/>
              </w:rPr>
              <w:t>posterior</w:t>
            </w:r>
            <w:r>
              <w:rPr>
                <w:spacing w:val="-8"/>
                <w:sz w:val="20"/>
              </w:rPr>
              <w:t> </w:t>
            </w:r>
            <w:r>
              <w:rPr>
                <w:sz w:val="20"/>
              </w:rPr>
              <w:t>actualización</w:t>
            </w:r>
            <w:r>
              <w:rPr>
                <w:spacing w:val="-9"/>
                <w:sz w:val="20"/>
              </w:rPr>
              <w:t> </w:t>
            </w:r>
            <w:r>
              <w:rPr>
                <w:spacing w:val="-5"/>
                <w:sz w:val="20"/>
              </w:rPr>
              <w:t>al</w:t>
            </w:r>
          </w:p>
          <w:p>
            <w:pPr>
              <w:pStyle w:val="TableParagraph"/>
              <w:spacing w:line="210" w:lineRule="exact"/>
              <w:ind w:left="69"/>
              <w:rPr>
                <w:sz w:val="20"/>
              </w:rPr>
            </w:pPr>
            <w:r>
              <w:rPr>
                <w:spacing w:val="-4"/>
                <w:sz w:val="20"/>
              </w:rPr>
              <w:t>50%.</w:t>
            </w:r>
          </w:p>
        </w:tc>
      </w:tr>
    </w:tbl>
    <w:p>
      <w:pPr>
        <w:spacing w:before="11"/>
        <w:ind w:left="1134" w:right="6616" w:firstLine="0"/>
        <w:jc w:val="left"/>
        <w:rPr>
          <w:sz w:val="18"/>
        </w:rPr>
      </w:pPr>
      <w:r>
        <w:rPr>
          <w:sz w:val="18"/>
        </w:rPr>
        <w:t>Fuente:</w:t>
      </w:r>
      <w:r>
        <w:rPr>
          <w:spacing w:val="-15"/>
          <w:sz w:val="18"/>
        </w:rPr>
        <w:t> </w:t>
      </w:r>
      <w:r>
        <w:rPr>
          <w:sz w:val="18"/>
        </w:rPr>
        <w:t>Resoluciones</w:t>
      </w:r>
      <w:r>
        <w:rPr>
          <w:spacing w:val="-12"/>
          <w:sz w:val="18"/>
        </w:rPr>
        <w:t> </w:t>
      </w:r>
      <w:r>
        <w:rPr>
          <w:sz w:val="18"/>
        </w:rPr>
        <w:t>SENAE. Elaboración: SGCAN.</w:t>
      </w:r>
    </w:p>
    <w:p>
      <w:pPr>
        <w:pStyle w:val="BodyText"/>
        <w:spacing w:before="47"/>
        <w:rPr>
          <w:sz w:val="18"/>
        </w:rPr>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Al respecto, la Tabla N° 2 no describe una prestación de servicios aislada o puntual, sino</w:t>
      </w:r>
      <w:r>
        <w:rPr>
          <w:spacing w:val="80"/>
          <w:sz w:val="22"/>
        </w:rPr>
        <w:t> </w:t>
      </w:r>
      <w:r>
        <w:rPr>
          <w:sz w:val="22"/>
        </w:rPr>
        <w:t>un</w:t>
      </w:r>
      <w:r>
        <w:rPr>
          <w:spacing w:val="-1"/>
          <w:sz w:val="22"/>
        </w:rPr>
        <w:t> </w:t>
      </w:r>
      <w:r>
        <w:rPr>
          <w:rFonts w:ascii="Arial" w:hAnsi="Arial"/>
          <w:b/>
          <w:sz w:val="22"/>
        </w:rPr>
        <w:t>conjunto</w:t>
      </w:r>
      <w:r>
        <w:rPr>
          <w:rFonts w:ascii="Arial" w:hAnsi="Arial"/>
          <w:b/>
          <w:spacing w:val="80"/>
          <w:sz w:val="22"/>
        </w:rPr>
        <w:t> </w:t>
      </w:r>
      <w:r>
        <w:rPr>
          <w:rFonts w:ascii="Arial" w:hAnsi="Arial"/>
          <w:b/>
          <w:sz w:val="22"/>
        </w:rPr>
        <w:t>integrado</w:t>
      </w:r>
      <w:r>
        <w:rPr>
          <w:rFonts w:ascii="Arial" w:hAnsi="Arial"/>
          <w:b/>
          <w:spacing w:val="80"/>
          <w:sz w:val="22"/>
        </w:rPr>
        <w:t> </w:t>
      </w:r>
      <w:r>
        <w:rPr>
          <w:rFonts w:ascii="Arial" w:hAnsi="Arial"/>
          <w:b/>
          <w:sz w:val="22"/>
        </w:rPr>
        <w:t>de</w:t>
      </w:r>
      <w:r>
        <w:rPr>
          <w:rFonts w:ascii="Arial" w:hAnsi="Arial"/>
          <w:b/>
          <w:spacing w:val="80"/>
          <w:sz w:val="22"/>
        </w:rPr>
        <w:t> </w:t>
      </w:r>
      <w:r>
        <w:rPr>
          <w:rFonts w:ascii="Arial" w:hAnsi="Arial"/>
          <w:b/>
          <w:sz w:val="22"/>
        </w:rPr>
        <w:t>actuaciones</w:t>
      </w:r>
      <w:r>
        <w:rPr>
          <w:rFonts w:ascii="Arial" w:hAnsi="Arial"/>
          <w:b/>
          <w:spacing w:val="80"/>
          <w:sz w:val="22"/>
        </w:rPr>
        <w:t> </w:t>
      </w:r>
      <w:r>
        <w:rPr>
          <w:rFonts w:ascii="Arial" w:hAnsi="Arial"/>
          <w:b/>
          <w:sz w:val="22"/>
        </w:rPr>
        <w:t>técnicas,</w:t>
      </w:r>
      <w:r>
        <w:rPr>
          <w:rFonts w:ascii="Arial" w:hAnsi="Arial"/>
          <w:b/>
          <w:spacing w:val="80"/>
          <w:sz w:val="22"/>
        </w:rPr>
        <w:t> </w:t>
      </w:r>
      <w:r>
        <w:rPr>
          <w:rFonts w:ascii="Arial" w:hAnsi="Arial"/>
          <w:b/>
          <w:sz w:val="22"/>
        </w:rPr>
        <w:t>operativas</w:t>
      </w:r>
      <w:r>
        <w:rPr>
          <w:rFonts w:ascii="Arial" w:hAnsi="Arial"/>
          <w:b/>
          <w:spacing w:val="80"/>
          <w:sz w:val="22"/>
        </w:rPr>
        <w:t> </w:t>
      </w:r>
      <w:r>
        <w:rPr>
          <w:rFonts w:ascii="Arial" w:hAnsi="Arial"/>
          <w:b/>
          <w:sz w:val="22"/>
        </w:rPr>
        <w:t>y tecnológicas</w:t>
      </w:r>
      <w:r>
        <w:rPr>
          <w:rFonts w:ascii="Arial" w:hAnsi="Arial"/>
          <w:b/>
          <w:spacing w:val="-1"/>
          <w:sz w:val="22"/>
        </w:rPr>
        <w:t> </w:t>
      </w:r>
      <w:r>
        <w:rPr>
          <w:sz w:val="22"/>
        </w:rPr>
        <w:t>orientadas a intensificar el control durante la importación, incluyendo perfilamiento de riesgo, reconocimiento y comprobación de mercancías, inspección no intrusiva, analítica de datos, trazabilidad, vigilancia estratégica y soporte logístico para la</w:t>
      </w:r>
      <w:r>
        <w:rPr>
          <w:spacing w:val="-16"/>
          <w:sz w:val="22"/>
        </w:rPr>
        <w:t> </w:t>
      </w:r>
      <w:r>
        <w:rPr>
          <w:sz w:val="22"/>
        </w:rPr>
        <w:t>ejecución</w:t>
      </w:r>
      <w:r>
        <w:rPr>
          <w:spacing w:val="-15"/>
          <w:sz w:val="22"/>
        </w:rPr>
        <w:t> </w:t>
      </w:r>
      <w:r>
        <w:rPr>
          <w:sz w:val="22"/>
        </w:rPr>
        <w:t>del</w:t>
      </w:r>
      <w:r>
        <w:rPr>
          <w:spacing w:val="-15"/>
          <w:sz w:val="22"/>
        </w:rPr>
        <w:t> </w:t>
      </w:r>
      <w:r>
        <w:rPr>
          <w:sz w:val="22"/>
        </w:rPr>
        <w:t>aforo</w:t>
      </w:r>
      <w:r>
        <w:rPr>
          <w:spacing w:val="-16"/>
          <w:sz w:val="22"/>
        </w:rPr>
        <w:t> </w:t>
      </w:r>
      <w:r>
        <w:rPr>
          <w:sz w:val="22"/>
        </w:rPr>
        <w:t>reforzado.</w:t>
      </w:r>
      <w:r>
        <w:rPr>
          <w:spacing w:val="-15"/>
          <w:sz w:val="22"/>
        </w:rPr>
        <w:t> </w:t>
      </w:r>
      <w:r>
        <w:rPr>
          <w:sz w:val="22"/>
        </w:rPr>
        <w:t>Desde</w:t>
      </w:r>
      <w:r>
        <w:rPr>
          <w:spacing w:val="-15"/>
          <w:sz w:val="22"/>
        </w:rPr>
        <w:t> </w:t>
      </w:r>
      <w:r>
        <w:rPr>
          <w:sz w:val="22"/>
        </w:rPr>
        <w:t>la</w:t>
      </w:r>
      <w:r>
        <w:rPr>
          <w:spacing w:val="-15"/>
          <w:sz w:val="22"/>
        </w:rPr>
        <w:t> </w:t>
      </w:r>
      <w:r>
        <w:rPr>
          <w:sz w:val="22"/>
        </w:rPr>
        <w:t>perspectiva</w:t>
      </w:r>
      <w:r>
        <w:rPr>
          <w:spacing w:val="-16"/>
          <w:sz w:val="22"/>
        </w:rPr>
        <w:t> </w:t>
      </w:r>
      <w:r>
        <w:rPr>
          <w:sz w:val="22"/>
        </w:rPr>
        <w:t>ecuatoriana,</w:t>
      </w:r>
      <w:r>
        <w:rPr>
          <w:spacing w:val="-15"/>
          <w:sz w:val="22"/>
        </w:rPr>
        <w:t> </w:t>
      </w:r>
      <w:r>
        <w:rPr>
          <w:sz w:val="22"/>
        </w:rPr>
        <w:t>dicho</w:t>
      </w:r>
      <w:r>
        <w:rPr>
          <w:spacing w:val="-15"/>
          <w:sz w:val="22"/>
        </w:rPr>
        <w:t> </w:t>
      </w:r>
      <w:r>
        <w:rPr>
          <w:sz w:val="22"/>
        </w:rPr>
        <w:t>servicio</w:t>
      </w:r>
      <w:r>
        <w:rPr>
          <w:spacing w:val="-16"/>
          <w:sz w:val="22"/>
        </w:rPr>
        <w:t> </w:t>
      </w:r>
      <w:r>
        <w:rPr>
          <w:sz w:val="22"/>
        </w:rPr>
        <w:t>tendría un vínculo directo con el hecho mismo de la importación, en la medida en que busca asegurar la integridad de la cadena logística, la detección de irregularidades y la autorización de salida de las mercancías dentro del despacho aduanero.</w:t>
      </w:r>
    </w:p>
    <w:p>
      <w:pPr>
        <w:pStyle w:val="BodyText"/>
      </w:pPr>
    </w:p>
    <w:p>
      <w:pPr>
        <w:pStyle w:val="ListParagraph"/>
        <w:numPr>
          <w:ilvl w:val="0"/>
          <w:numId w:val="11"/>
        </w:numPr>
        <w:tabs>
          <w:tab w:pos="1130" w:val="left" w:leader="none"/>
          <w:tab w:pos="1134" w:val="left" w:leader="none"/>
        </w:tabs>
        <w:spacing w:line="240" w:lineRule="auto" w:before="0" w:after="0"/>
        <w:ind w:left="1134" w:right="981" w:hanging="567"/>
        <w:jc w:val="both"/>
        <w:rPr>
          <w:sz w:val="22"/>
        </w:rPr>
      </w:pPr>
      <w:r>
        <w:rPr>
          <w:sz w:val="22"/>
        </w:rPr>
        <w:t>Sobre</w:t>
      </w:r>
      <w:r>
        <w:rPr>
          <w:spacing w:val="-2"/>
          <w:sz w:val="22"/>
        </w:rPr>
        <w:t> </w:t>
      </w:r>
      <w:r>
        <w:rPr>
          <w:sz w:val="22"/>
        </w:rPr>
        <w:t>esa</w:t>
      </w:r>
      <w:r>
        <w:rPr>
          <w:spacing w:val="-5"/>
          <w:sz w:val="22"/>
        </w:rPr>
        <w:t> </w:t>
      </w:r>
      <w:r>
        <w:rPr>
          <w:sz w:val="22"/>
        </w:rPr>
        <w:t>base,</w:t>
      </w:r>
      <w:r>
        <w:rPr>
          <w:spacing w:val="-4"/>
          <w:sz w:val="22"/>
        </w:rPr>
        <w:t> </w:t>
      </w:r>
      <w:r>
        <w:rPr>
          <w:sz w:val="22"/>
        </w:rPr>
        <w:t>la</w:t>
      </w:r>
      <w:r>
        <w:rPr>
          <w:spacing w:val="-3"/>
          <w:sz w:val="22"/>
        </w:rPr>
        <w:t> </w:t>
      </w:r>
      <w:r>
        <w:rPr>
          <w:sz w:val="22"/>
        </w:rPr>
        <w:t>SGCAN</w:t>
      </w:r>
      <w:r>
        <w:rPr>
          <w:spacing w:val="-3"/>
          <w:sz w:val="22"/>
        </w:rPr>
        <w:t> </w:t>
      </w:r>
      <w:r>
        <w:rPr>
          <w:sz w:val="22"/>
        </w:rPr>
        <w:t>analiza</w:t>
      </w:r>
      <w:r>
        <w:rPr>
          <w:spacing w:val="-3"/>
          <w:sz w:val="22"/>
        </w:rPr>
        <w:t> </w:t>
      </w:r>
      <w:r>
        <w:rPr>
          <w:sz w:val="22"/>
        </w:rPr>
        <w:t>la</w:t>
      </w:r>
      <w:r>
        <w:rPr>
          <w:spacing w:val="-5"/>
          <w:sz w:val="22"/>
        </w:rPr>
        <w:t> </w:t>
      </w:r>
      <w:r>
        <w:rPr>
          <w:sz w:val="22"/>
        </w:rPr>
        <w:t>medida</w:t>
      </w:r>
      <w:r>
        <w:rPr>
          <w:spacing w:val="-3"/>
          <w:sz w:val="22"/>
        </w:rPr>
        <w:t> </w:t>
      </w:r>
      <w:r>
        <w:rPr>
          <w:sz w:val="22"/>
        </w:rPr>
        <w:t>establecida</w:t>
      </w:r>
      <w:r>
        <w:rPr>
          <w:spacing w:val="-3"/>
          <w:sz w:val="22"/>
        </w:rPr>
        <w:t> </w:t>
      </w:r>
      <w:r>
        <w:rPr>
          <w:sz w:val="22"/>
        </w:rPr>
        <w:t>por</w:t>
      </w:r>
      <w:r>
        <w:rPr>
          <w:spacing w:val="-2"/>
          <w:sz w:val="22"/>
        </w:rPr>
        <w:t> </w:t>
      </w:r>
      <w:r>
        <w:rPr>
          <w:sz w:val="22"/>
        </w:rPr>
        <w:t>la</w:t>
      </w:r>
      <w:r>
        <w:rPr>
          <w:spacing w:val="-5"/>
          <w:sz w:val="22"/>
        </w:rPr>
        <w:t> </w:t>
      </w:r>
      <w:r>
        <w:rPr>
          <w:sz w:val="22"/>
        </w:rPr>
        <w:t>República</w:t>
      </w:r>
      <w:r>
        <w:rPr>
          <w:spacing w:val="-3"/>
          <w:sz w:val="22"/>
        </w:rPr>
        <w:t> </w:t>
      </w:r>
      <w:r>
        <w:rPr>
          <w:sz w:val="22"/>
        </w:rPr>
        <w:t>del</w:t>
      </w:r>
      <w:r>
        <w:rPr>
          <w:spacing w:val="-3"/>
          <w:sz w:val="22"/>
        </w:rPr>
        <w:t> </w:t>
      </w:r>
      <w:r>
        <w:rPr>
          <w:sz w:val="22"/>
        </w:rPr>
        <w:t>Ecuador que</w:t>
      </w:r>
      <w:r>
        <w:rPr>
          <w:spacing w:val="-18"/>
          <w:sz w:val="22"/>
        </w:rPr>
        <w:t> </w:t>
      </w:r>
      <w:r>
        <w:rPr>
          <w:sz w:val="22"/>
        </w:rPr>
        <w:t>pretende</w:t>
      </w:r>
      <w:r>
        <w:rPr>
          <w:spacing w:val="-15"/>
          <w:sz w:val="22"/>
        </w:rPr>
        <w:t> </w:t>
      </w:r>
      <w:r>
        <w:rPr>
          <w:sz w:val="22"/>
        </w:rPr>
        <w:t>cubrirse</w:t>
      </w:r>
      <w:r>
        <w:rPr>
          <w:spacing w:val="-15"/>
          <w:sz w:val="22"/>
        </w:rPr>
        <w:t> </w:t>
      </w:r>
      <w:r>
        <w:rPr>
          <w:sz w:val="22"/>
        </w:rPr>
        <w:t>con</w:t>
      </w:r>
      <w:r>
        <w:rPr>
          <w:spacing w:val="-16"/>
          <w:sz w:val="22"/>
        </w:rPr>
        <w:t> </w:t>
      </w:r>
      <w:r>
        <w:rPr>
          <w:sz w:val="22"/>
        </w:rPr>
        <w:t>el</w:t>
      </w:r>
      <w:r>
        <w:rPr>
          <w:spacing w:val="-15"/>
          <w:sz w:val="22"/>
        </w:rPr>
        <w:t> </w:t>
      </w:r>
      <w:r>
        <w:rPr>
          <w:sz w:val="22"/>
        </w:rPr>
        <w:t>pago</w:t>
      </w:r>
      <w:r>
        <w:rPr>
          <w:spacing w:val="-15"/>
          <w:sz w:val="22"/>
        </w:rPr>
        <w:t> </w:t>
      </w:r>
      <w:r>
        <w:rPr>
          <w:sz w:val="22"/>
        </w:rPr>
        <w:t>de</w:t>
      </w:r>
      <w:r>
        <w:rPr>
          <w:spacing w:val="-15"/>
          <w:sz w:val="22"/>
        </w:rPr>
        <w:t> </w:t>
      </w:r>
      <w:r>
        <w:rPr>
          <w:sz w:val="22"/>
        </w:rPr>
        <w:t>la</w:t>
      </w:r>
      <w:r>
        <w:rPr>
          <w:spacing w:val="-16"/>
          <w:sz w:val="22"/>
        </w:rPr>
        <w:t> </w:t>
      </w:r>
      <w:r>
        <w:rPr>
          <w:sz w:val="22"/>
        </w:rPr>
        <w:t>TSCA:</w:t>
      </w:r>
      <w:r>
        <w:rPr>
          <w:spacing w:val="-15"/>
          <w:sz w:val="22"/>
        </w:rPr>
        <w:t> </w:t>
      </w:r>
      <w:r>
        <w:rPr>
          <w:sz w:val="22"/>
        </w:rPr>
        <w:t>el</w:t>
      </w:r>
      <w:r>
        <w:rPr>
          <w:spacing w:val="-15"/>
          <w:sz w:val="22"/>
        </w:rPr>
        <w:t> </w:t>
      </w:r>
      <w:r>
        <w:rPr>
          <w:sz w:val="22"/>
        </w:rPr>
        <w:t>aforo</w:t>
      </w:r>
      <w:r>
        <w:rPr>
          <w:spacing w:val="-16"/>
          <w:sz w:val="22"/>
        </w:rPr>
        <w:t> </w:t>
      </w:r>
      <w:r>
        <w:rPr>
          <w:sz w:val="22"/>
        </w:rPr>
        <w:t>integral,</w:t>
      </w:r>
      <w:r>
        <w:rPr>
          <w:spacing w:val="-15"/>
          <w:sz w:val="22"/>
        </w:rPr>
        <w:t> </w:t>
      </w:r>
      <w:r>
        <w:rPr>
          <w:sz w:val="22"/>
        </w:rPr>
        <w:t>perfilamiento</w:t>
      </w:r>
      <w:r>
        <w:rPr>
          <w:spacing w:val="-14"/>
          <w:sz w:val="22"/>
        </w:rPr>
        <w:t> </w:t>
      </w:r>
      <w:r>
        <w:rPr>
          <w:sz w:val="22"/>
        </w:rPr>
        <w:t>de</w:t>
      </w:r>
      <w:r>
        <w:rPr>
          <w:spacing w:val="-15"/>
          <w:sz w:val="22"/>
        </w:rPr>
        <w:t> </w:t>
      </w:r>
      <w:r>
        <w:rPr>
          <w:sz w:val="22"/>
        </w:rPr>
        <w:t>riesgos, control documental y físico, inspección no intrusiva, inteligencia aduanera, vigilancia estratégica, infraestructura tecnológica, scanners, data centers, drones, radares, ciberseguridad, etc.</w:t>
      </w:r>
    </w:p>
    <w:p>
      <w:pPr>
        <w:pStyle w:val="BodyText"/>
        <w:spacing w:before="1"/>
      </w:pPr>
    </w:p>
    <w:p>
      <w:pPr>
        <w:pStyle w:val="ListParagraph"/>
        <w:numPr>
          <w:ilvl w:val="0"/>
          <w:numId w:val="11"/>
        </w:numPr>
        <w:tabs>
          <w:tab w:pos="1130" w:val="left" w:leader="none"/>
          <w:tab w:pos="1134" w:val="left" w:leader="none"/>
        </w:tabs>
        <w:spacing w:line="240" w:lineRule="auto" w:before="1" w:after="0"/>
        <w:ind w:left="1134" w:right="979" w:hanging="567"/>
        <w:jc w:val="both"/>
        <w:rPr>
          <w:sz w:val="22"/>
        </w:rPr>
      </w:pPr>
      <w:r>
        <w:rPr>
          <w:sz w:val="22"/>
        </w:rPr>
        <w:t>La SGCAN</w:t>
      </w:r>
      <w:r>
        <w:rPr>
          <w:spacing w:val="-1"/>
          <w:sz w:val="22"/>
        </w:rPr>
        <w:t> </w:t>
      </w:r>
      <w:r>
        <w:rPr>
          <w:sz w:val="22"/>
        </w:rPr>
        <w:t>destaca</w:t>
      </w:r>
      <w:r>
        <w:rPr>
          <w:spacing w:val="-3"/>
          <w:sz w:val="22"/>
        </w:rPr>
        <w:t> </w:t>
      </w:r>
      <w:r>
        <w:rPr>
          <w:sz w:val="22"/>
        </w:rPr>
        <w:t>que</w:t>
      </w:r>
      <w:r>
        <w:rPr>
          <w:spacing w:val="-5"/>
          <w:sz w:val="22"/>
        </w:rPr>
        <w:t> </w:t>
      </w:r>
      <w:r>
        <w:rPr>
          <w:sz w:val="22"/>
        </w:rPr>
        <w:t>las finalidades expresadas por</w:t>
      </w:r>
      <w:r>
        <w:rPr>
          <w:spacing w:val="-2"/>
          <w:sz w:val="22"/>
        </w:rPr>
        <w:t> </w:t>
      </w:r>
      <w:r>
        <w:rPr>
          <w:sz w:val="22"/>
        </w:rPr>
        <w:t>la República</w:t>
      </w:r>
      <w:r>
        <w:rPr>
          <w:spacing w:val="-3"/>
          <w:sz w:val="22"/>
        </w:rPr>
        <w:t> </w:t>
      </w:r>
      <w:r>
        <w:rPr>
          <w:sz w:val="22"/>
        </w:rPr>
        <w:t>del</w:t>
      </w:r>
      <w:r>
        <w:rPr>
          <w:spacing w:val="-1"/>
          <w:sz w:val="22"/>
        </w:rPr>
        <w:t> </w:t>
      </w:r>
      <w:r>
        <w:rPr>
          <w:sz w:val="22"/>
        </w:rPr>
        <w:t>Ecuador</w:t>
      </w:r>
      <w:r>
        <w:rPr>
          <w:spacing w:val="-2"/>
          <w:sz w:val="22"/>
        </w:rPr>
        <w:t> </w:t>
      </w:r>
      <w:r>
        <w:rPr>
          <w:sz w:val="22"/>
        </w:rPr>
        <w:t>en</w:t>
      </w:r>
      <w:r>
        <w:rPr>
          <w:spacing w:val="-3"/>
          <w:sz w:val="22"/>
        </w:rPr>
        <w:t> </w:t>
      </w:r>
      <w:r>
        <w:rPr>
          <w:sz w:val="22"/>
        </w:rPr>
        <w:t>su informe técnico</w:t>
      </w:r>
      <w:r>
        <w:rPr>
          <w:rFonts w:ascii="Cambria Math" w:hAnsi="Cambria Math"/>
          <w:sz w:val="22"/>
        </w:rPr>
        <w:t>‑</w:t>
      </w:r>
      <w:r>
        <w:rPr>
          <w:sz w:val="22"/>
        </w:rPr>
        <w:t>jurídico son: </w:t>
      </w:r>
      <w:r>
        <w:rPr>
          <w:rFonts w:ascii="Arial" w:hAnsi="Arial"/>
          <w:b/>
          <w:sz w:val="22"/>
        </w:rPr>
        <w:t>reforzar la seguridad nacional, la integridad de los controles,</w:t>
      </w:r>
      <w:r>
        <w:rPr>
          <w:rFonts w:ascii="Arial" w:hAnsi="Arial"/>
          <w:b/>
          <w:spacing w:val="-4"/>
          <w:sz w:val="22"/>
        </w:rPr>
        <w:t> </w:t>
      </w:r>
      <w:r>
        <w:rPr>
          <w:rFonts w:ascii="Arial" w:hAnsi="Arial"/>
          <w:b/>
          <w:sz w:val="22"/>
        </w:rPr>
        <w:t>enfrentar</w:t>
      </w:r>
      <w:r>
        <w:rPr>
          <w:rFonts w:ascii="Arial" w:hAnsi="Arial"/>
          <w:b/>
          <w:spacing w:val="-4"/>
          <w:sz w:val="22"/>
        </w:rPr>
        <w:t> </w:t>
      </w:r>
      <w:r>
        <w:rPr>
          <w:rFonts w:ascii="Arial" w:hAnsi="Arial"/>
          <w:b/>
          <w:sz w:val="22"/>
        </w:rPr>
        <w:t>riesgos</w:t>
      </w:r>
      <w:r>
        <w:rPr>
          <w:rFonts w:ascii="Arial" w:hAnsi="Arial"/>
          <w:b/>
          <w:spacing w:val="-5"/>
          <w:sz w:val="22"/>
        </w:rPr>
        <w:t> </w:t>
      </w:r>
      <w:r>
        <w:rPr>
          <w:rFonts w:ascii="Arial" w:hAnsi="Arial"/>
          <w:b/>
          <w:sz w:val="22"/>
        </w:rPr>
        <w:t>en</w:t>
      </w:r>
      <w:r>
        <w:rPr>
          <w:rFonts w:ascii="Arial" w:hAnsi="Arial"/>
          <w:b/>
          <w:spacing w:val="-5"/>
          <w:sz w:val="22"/>
        </w:rPr>
        <w:t> </w:t>
      </w:r>
      <w:r>
        <w:rPr>
          <w:rFonts w:ascii="Arial" w:hAnsi="Arial"/>
          <w:b/>
          <w:sz w:val="22"/>
        </w:rPr>
        <w:t>la</w:t>
      </w:r>
      <w:r>
        <w:rPr>
          <w:rFonts w:ascii="Arial" w:hAnsi="Arial"/>
          <w:b/>
          <w:spacing w:val="-5"/>
          <w:sz w:val="22"/>
        </w:rPr>
        <w:t> </w:t>
      </w:r>
      <w:r>
        <w:rPr>
          <w:rFonts w:ascii="Arial" w:hAnsi="Arial"/>
          <w:b/>
          <w:sz w:val="22"/>
        </w:rPr>
        <w:t>frontera</w:t>
      </w:r>
      <w:r>
        <w:rPr>
          <w:rFonts w:ascii="Arial" w:hAnsi="Arial"/>
          <w:b/>
          <w:spacing w:val="-5"/>
          <w:sz w:val="22"/>
        </w:rPr>
        <w:t> </w:t>
      </w:r>
      <w:r>
        <w:rPr>
          <w:rFonts w:ascii="Arial" w:hAnsi="Arial"/>
          <w:b/>
          <w:sz w:val="22"/>
        </w:rPr>
        <w:t>norte</w:t>
      </w:r>
      <w:r>
        <w:rPr>
          <w:rFonts w:ascii="Arial" w:hAnsi="Arial"/>
          <w:b/>
          <w:spacing w:val="-5"/>
          <w:sz w:val="22"/>
        </w:rPr>
        <w:t> </w:t>
      </w:r>
      <w:r>
        <w:rPr>
          <w:rFonts w:ascii="Arial" w:hAnsi="Arial"/>
          <w:b/>
          <w:sz w:val="22"/>
        </w:rPr>
        <w:t>y</w:t>
      </w:r>
      <w:r>
        <w:rPr>
          <w:rFonts w:ascii="Arial" w:hAnsi="Arial"/>
          <w:b/>
          <w:spacing w:val="-5"/>
          <w:sz w:val="22"/>
        </w:rPr>
        <w:t> </w:t>
      </w:r>
      <w:r>
        <w:rPr>
          <w:rFonts w:ascii="Arial" w:hAnsi="Arial"/>
          <w:b/>
          <w:sz w:val="22"/>
        </w:rPr>
        <w:t>proteger</w:t>
      </w:r>
      <w:r>
        <w:rPr>
          <w:rFonts w:ascii="Arial" w:hAnsi="Arial"/>
          <w:b/>
          <w:spacing w:val="-7"/>
          <w:sz w:val="22"/>
        </w:rPr>
        <w:t> </w:t>
      </w:r>
      <w:r>
        <w:rPr>
          <w:rFonts w:ascii="Arial" w:hAnsi="Arial"/>
          <w:b/>
          <w:sz w:val="22"/>
        </w:rPr>
        <w:t>la</w:t>
      </w:r>
      <w:r>
        <w:rPr>
          <w:rFonts w:ascii="Arial" w:hAnsi="Arial"/>
          <w:b/>
          <w:spacing w:val="-5"/>
          <w:sz w:val="22"/>
        </w:rPr>
        <w:t> </w:t>
      </w:r>
      <w:r>
        <w:rPr>
          <w:rFonts w:ascii="Arial" w:hAnsi="Arial"/>
          <w:b/>
          <w:sz w:val="22"/>
        </w:rPr>
        <w:t>recaudación</w:t>
      </w:r>
      <w:r>
        <w:rPr>
          <w:rFonts w:ascii="Arial" w:hAnsi="Arial"/>
          <w:b/>
          <w:spacing w:val="-5"/>
          <w:sz w:val="22"/>
        </w:rPr>
        <w:t> </w:t>
      </w:r>
      <w:r>
        <w:rPr>
          <w:rFonts w:ascii="Arial" w:hAnsi="Arial"/>
          <w:b/>
          <w:sz w:val="22"/>
        </w:rPr>
        <w:t>fiscal</w:t>
      </w:r>
      <w:r>
        <w:rPr>
          <w:rFonts w:ascii="Arial" w:hAnsi="Arial"/>
          <w:b/>
          <w:spacing w:val="-4"/>
          <w:sz w:val="22"/>
        </w:rPr>
        <w:t> </w:t>
      </w:r>
      <w:r>
        <w:rPr>
          <w:rFonts w:ascii="Arial" w:hAnsi="Arial"/>
          <w:b/>
          <w:sz w:val="22"/>
        </w:rPr>
        <w:t>y la cadena logística</w:t>
      </w:r>
      <w:r>
        <w:rPr>
          <w:sz w:val="22"/>
        </w:rPr>
        <w:t>.</w:t>
      </w:r>
    </w:p>
    <w:p>
      <w:pPr>
        <w:pStyle w:val="BodyText"/>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Ello revela objetivos </w:t>
      </w:r>
      <w:r>
        <w:rPr>
          <w:rFonts w:ascii="Arial" w:hAnsi="Arial"/>
          <w:b/>
          <w:sz w:val="22"/>
        </w:rPr>
        <w:t>públicos generales </w:t>
      </w:r>
      <w:r>
        <w:rPr>
          <w:sz w:val="22"/>
        </w:rPr>
        <w:t>de control, fiscalización y seguridad, no un servicio individualizado para facilitar la operación del importador.</w:t>
      </w:r>
    </w:p>
    <w:p>
      <w:pPr>
        <w:pStyle w:val="ListParagraph"/>
        <w:spacing w:after="0" w:line="240" w:lineRule="auto"/>
        <w:jc w:val="both"/>
        <w:rPr>
          <w:sz w:val="22"/>
        </w:rPr>
        <w:sectPr>
          <w:pgSz w:w="11900" w:h="16850"/>
          <w:pgMar w:header="370" w:footer="651" w:top="1380" w:bottom="840" w:left="992" w:right="283"/>
        </w:sectPr>
      </w:pPr>
    </w:p>
    <w:p>
      <w:pPr>
        <w:pStyle w:val="BodyText"/>
      </w:pPr>
    </w:p>
    <w:p>
      <w:pPr>
        <w:pStyle w:val="BodyText"/>
        <w:spacing w:before="177"/>
      </w:pPr>
    </w:p>
    <w:p>
      <w:pPr>
        <w:pStyle w:val="ListParagraph"/>
        <w:numPr>
          <w:ilvl w:val="0"/>
          <w:numId w:val="11"/>
        </w:numPr>
        <w:tabs>
          <w:tab w:pos="1130" w:val="left" w:leader="none"/>
          <w:tab w:pos="1134" w:val="left" w:leader="none"/>
        </w:tabs>
        <w:spacing w:line="240" w:lineRule="auto" w:before="1" w:after="0"/>
        <w:ind w:left="1134" w:right="975" w:hanging="567"/>
        <w:jc w:val="both"/>
        <w:rPr>
          <w:sz w:val="22"/>
        </w:rPr>
      </w:pPr>
      <w:r>
        <w:rPr>
          <w:sz w:val="22"/>
        </w:rPr>
        <w:t>Las Decisiones 778 y 671, tal como se citan en el expediente, conciben el control aduanero como una </w:t>
      </w:r>
      <w:r>
        <w:rPr>
          <w:rFonts w:ascii="Arial" w:hAnsi="Arial"/>
          <w:b/>
          <w:sz w:val="22"/>
        </w:rPr>
        <w:t>función de la administración</w:t>
      </w:r>
      <w:r>
        <w:rPr>
          <w:sz w:val="22"/>
        </w:rPr>
        <w:t>, mientras definen las tasas como </w:t>
      </w:r>
      <w:r>
        <w:rPr>
          <w:rFonts w:ascii="Arial" w:hAnsi="Arial"/>
          <w:b/>
          <w:sz w:val="22"/>
        </w:rPr>
        <w:t>contraprestación por servicios efectivamente prestados</w:t>
      </w:r>
      <w:r>
        <w:rPr>
          <w:sz w:val="22"/>
        </w:rPr>
        <w:t>, lo que obliga a separar nítidamente potestad general y servicio retribuible.</w:t>
      </w:r>
    </w:p>
    <w:p>
      <w:pPr>
        <w:pStyle w:val="ListParagraph"/>
        <w:numPr>
          <w:ilvl w:val="0"/>
          <w:numId w:val="11"/>
        </w:numPr>
        <w:tabs>
          <w:tab w:pos="1130" w:val="left" w:leader="none"/>
          <w:tab w:pos="1134" w:val="left" w:leader="none"/>
        </w:tabs>
        <w:spacing w:line="240" w:lineRule="auto" w:before="253" w:after="0"/>
        <w:ind w:left="1134" w:right="977" w:hanging="567"/>
        <w:jc w:val="both"/>
        <w:rPr>
          <w:sz w:val="22"/>
        </w:rPr>
      </w:pPr>
      <w:r>
        <w:rPr>
          <w:sz w:val="22"/>
        </w:rPr>
        <w:t>De</w:t>
      </w:r>
      <w:r>
        <w:rPr>
          <w:spacing w:val="-6"/>
          <w:sz w:val="22"/>
        </w:rPr>
        <w:t> </w:t>
      </w:r>
      <w:r>
        <w:rPr>
          <w:sz w:val="22"/>
        </w:rPr>
        <w:t>esta</w:t>
      </w:r>
      <w:r>
        <w:rPr>
          <w:spacing w:val="-11"/>
          <w:sz w:val="22"/>
        </w:rPr>
        <w:t> </w:t>
      </w:r>
      <w:r>
        <w:rPr>
          <w:sz w:val="22"/>
        </w:rPr>
        <w:t>manera,</w:t>
      </w:r>
      <w:r>
        <w:rPr>
          <w:spacing w:val="-8"/>
          <w:sz w:val="22"/>
        </w:rPr>
        <w:t> </w:t>
      </w:r>
      <w:r>
        <w:rPr>
          <w:sz w:val="22"/>
        </w:rPr>
        <w:t>la</w:t>
      </w:r>
      <w:r>
        <w:rPr>
          <w:spacing w:val="-9"/>
          <w:sz w:val="22"/>
        </w:rPr>
        <w:t> </w:t>
      </w:r>
      <w:r>
        <w:rPr>
          <w:sz w:val="22"/>
        </w:rPr>
        <w:t>SGCAN</w:t>
      </w:r>
      <w:r>
        <w:rPr>
          <w:spacing w:val="-6"/>
          <w:sz w:val="22"/>
        </w:rPr>
        <w:t> </w:t>
      </w:r>
      <w:r>
        <w:rPr>
          <w:sz w:val="22"/>
        </w:rPr>
        <w:t>evidencia</w:t>
      </w:r>
      <w:r>
        <w:rPr>
          <w:spacing w:val="-7"/>
          <w:sz w:val="22"/>
        </w:rPr>
        <w:t> </w:t>
      </w:r>
      <w:r>
        <w:rPr>
          <w:sz w:val="22"/>
        </w:rPr>
        <w:t>que,</w:t>
      </w:r>
      <w:r>
        <w:rPr>
          <w:spacing w:val="-7"/>
          <w:sz w:val="22"/>
        </w:rPr>
        <w:t> </w:t>
      </w:r>
      <w:r>
        <w:rPr>
          <w:sz w:val="22"/>
        </w:rPr>
        <w:t>aun</w:t>
      </w:r>
      <w:r>
        <w:rPr>
          <w:spacing w:val="-9"/>
          <w:sz w:val="22"/>
        </w:rPr>
        <w:t> </w:t>
      </w:r>
      <w:r>
        <w:rPr>
          <w:sz w:val="22"/>
        </w:rPr>
        <w:t>cuando</w:t>
      </w:r>
      <w:r>
        <w:rPr>
          <w:spacing w:val="-6"/>
          <w:sz w:val="22"/>
        </w:rPr>
        <w:t> </w:t>
      </w:r>
      <w:r>
        <w:rPr>
          <w:sz w:val="22"/>
        </w:rPr>
        <w:t>las</w:t>
      </w:r>
      <w:r>
        <w:rPr>
          <w:spacing w:val="-9"/>
          <w:sz w:val="22"/>
        </w:rPr>
        <w:t> </w:t>
      </w:r>
      <w:r>
        <w:rPr>
          <w:sz w:val="22"/>
        </w:rPr>
        <w:t>actividades</w:t>
      </w:r>
      <w:r>
        <w:rPr>
          <w:spacing w:val="-8"/>
          <w:sz w:val="22"/>
        </w:rPr>
        <w:t> </w:t>
      </w:r>
      <w:r>
        <w:rPr>
          <w:sz w:val="22"/>
        </w:rPr>
        <w:t>como</w:t>
      </w:r>
      <w:r>
        <w:rPr>
          <w:spacing w:val="-9"/>
          <w:sz w:val="22"/>
        </w:rPr>
        <w:t> </w:t>
      </w:r>
      <w:r>
        <w:rPr>
          <w:sz w:val="22"/>
        </w:rPr>
        <w:t>el</w:t>
      </w:r>
      <w:r>
        <w:rPr>
          <w:spacing w:val="-7"/>
          <w:sz w:val="22"/>
        </w:rPr>
        <w:t> </w:t>
      </w:r>
      <w:r>
        <w:rPr>
          <w:sz w:val="22"/>
        </w:rPr>
        <w:t>aforo,</w:t>
      </w:r>
      <w:r>
        <w:rPr>
          <w:spacing w:val="-7"/>
          <w:sz w:val="22"/>
        </w:rPr>
        <w:t> </w:t>
      </w:r>
      <w:r>
        <w:rPr>
          <w:sz w:val="22"/>
        </w:rPr>
        <w:t>el escaneo</w:t>
      </w:r>
      <w:r>
        <w:rPr>
          <w:spacing w:val="-7"/>
          <w:sz w:val="22"/>
        </w:rPr>
        <w:t> </w:t>
      </w:r>
      <w:r>
        <w:rPr>
          <w:sz w:val="22"/>
        </w:rPr>
        <w:t>o</w:t>
      </w:r>
      <w:r>
        <w:rPr>
          <w:spacing w:val="-10"/>
          <w:sz w:val="22"/>
        </w:rPr>
        <w:t> </w:t>
      </w:r>
      <w:r>
        <w:rPr>
          <w:sz w:val="22"/>
        </w:rPr>
        <w:t>ciertos</w:t>
      </w:r>
      <w:r>
        <w:rPr>
          <w:spacing w:val="-7"/>
          <w:sz w:val="22"/>
        </w:rPr>
        <w:t> </w:t>
      </w:r>
      <w:r>
        <w:rPr>
          <w:sz w:val="22"/>
        </w:rPr>
        <w:t>análisis</w:t>
      </w:r>
      <w:r>
        <w:rPr>
          <w:spacing w:val="-7"/>
          <w:sz w:val="22"/>
        </w:rPr>
        <w:t> </w:t>
      </w:r>
      <w:r>
        <w:rPr>
          <w:sz w:val="22"/>
        </w:rPr>
        <w:t>de</w:t>
      </w:r>
      <w:r>
        <w:rPr>
          <w:spacing w:val="-8"/>
          <w:sz w:val="22"/>
        </w:rPr>
        <w:t> </w:t>
      </w:r>
      <w:r>
        <w:rPr>
          <w:sz w:val="22"/>
        </w:rPr>
        <w:t>laboratorio</w:t>
      </w:r>
      <w:r>
        <w:rPr>
          <w:spacing w:val="-7"/>
          <w:sz w:val="22"/>
        </w:rPr>
        <w:t> </w:t>
      </w:r>
      <w:r>
        <w:rPr>
          <w:sz w:val="22"/>
        </w:rPr>
        <w:t>pueden</w:t>
      </w:r>
      <w:r>
        <w:rPr>
          <w:spacing w:val="-13"/>
          <w:sz w:val="22"/>
        </w:rPr>
        <w:t> </w:t>
      </w:r>
      <w:r>
        <w:rPr>
          <w:sz w:val="22"/>
        </w:rPr>
        <w:t>ser</w:t>
      </w:r>
      <w:r>
        <w:rPr>
          <w:spacing w:val="-9"/>
          <w:sz w:val="22"/>
        </w:rPr>
        <w:t> </w:t>
      </w:r>
      <w:r>
        <w:rPr>
          <w:sz w:val="22"/>
        </w:rPr>
        <w:t>“directamente</w:t>
      </w:r>
      <w:r>
        <w:rPr>
          <w:spacing w:val="-10"/>
          <w:sz w:val="22"/>
        </w:rPr>
        <w:t> </w:t>
      </w:r>
      <w:r>
        <w:rPr>
          <w:sz w:val="22"/>
        </w:rPr>
        <w:t>relacionados</w:t>
      </w:r>
      <w:r>
        <w:rPr>
          <w:spacing w:val="-7"/>
          <w:sz w:val="22"/>
        </w:rPr>
        <w:t> </w:t>
      </w:r>
      <w:r>
        <w:rPr>
          <w:sz w:val="22"/>
        </w:rPr>
        <w:t>con</w:t>
      </w:r>
      <w:r>
        <w:rPr>
          <w:spacing w:val="-10"/>
          <w:sz w:val="22"/>
        </w:rPr>
        <w:t> </w:t>
      </w:r>
      <w:r>
        <w:rPr>
          <w:sz w:val="22"/>
        </w:rPr>
        <w:t>las operaciones de importación”, en el caso ecuatoriano éstas se presentan </w:t>
      </w:r>
      <w:r>
        <w:rPr>
          <w:rFonts w:ascii="Arial" w:hAnsi="Arial"/>
          <w:b/>
          <w:sz w:val="22"/>
        </w:rPr>
        <w:t>dentro de un paquete amplio e indiferenciado de fortalecimiento institucional</w:t>
      </w:r>
      <w:r>
        <w:rPr>
          <w:sz w:val="22"/>
        </w:rPr>
        <w:t>, que incluye:</w:t>
      </w:r>
    </w:p>
    <w:p>
      <w:pPr>
        <w:pStyle w:val="ListParagraph"/>
        <w:numPr>
          <w:ilvl w:val="0"/>
          <w:numId w:val="30"/>
        </w:numPr>
        <w:tabs>
          <w:tab w:pos="2695" w:val="left" w:leader="none"/>
        </w:tabs>
        <w:spacing w:line="240" w:lineRule="auto" w:before="252" w:after="0"/>
        <w:ind w:left="2695" w:right="0" w:hanging="361"/>
        <w:jc w:val="left"/>
        <w:rPr>
          <w:sz w:val="22"/>
        </w:rPr>
      </w:pPr>
      <w:r>
        <w:rPr>
          <w:sz w:val="22"/>
        </w:rPr>
        <w:t>Inteligencia</w:t>
      </w:r>
      <w:r>
        <w:rPr>
          <w:spacing w:val="-5"/>
          <w:sz w:val="22"/>
        </w:rPr>
        <w:t> </w:t>
      </w:r>
      <w:r>
        <w:rPr>
          <w:sz w:val="22"/>
        </w:rPr>
        <w:t>y</w:t>
      </w:r>
      <w:r>
        <w:rPr>
          <w:spacing w:val="-3"/>
          <w:sz w:val="22"/>
        </w:rPr>
        <w:t> </w:t>
      </w:r>
      <w:r>
        <w:rPr>
          <w:sz w:val="22"/>
        </w:rPr>
        <w:t>lucha</w:t>
      </w:r>
      <w:r>
        <w:rPr>
          <w:spacing w:val="-7"/>
          <w:sz w:val="22"/>
        </w:rPr>
        <w:t> </w:t>
      </w:r>
      <w:r>
        <w:rPr>
          <w:sz w:val="22"/>
        </w:rPr>
        <w:t>contra</w:t>
      </w:r>
      <w:r>
        <w:rPr>
          <w:spacing w:val="-4"/>
          <w:sz w:val="22"/>
        </w:rPr>
        <w:t> </w:t>
      </w:r>
      <w:r>
        <w:rPr>
          <w:sz w:val="22"/>
        </w:rPr>
        <w:t>el</w:t>
      </w:r>
      <w:r>
        <w:rPr>
          <w:spacing w:val="-5"/>
          <w:sz w:val="22"/>
        </w:rPr>
        <w:t> </w:t>
      </w:r>
      <w:r>
        <w:rPr>
          <w:sz w:val="22"/>
        </w:rPr>
        <w:t>fraude</w:t>
      </w:r>
      <w:r>
        <w:rPr>
          <w:spacing w:val="-4"/>
          <w:sz w:val="22"/>
        </w:rPr>
        <w:t> </w:t>
      </w:r>
      <w:r>
        <w:rPr>
          <w:sz w:val="22"/>
        </w:rPr>
        <w:t>y</w:t>
      </w:r>
      <w:r>
        <w:rPr>
          <w:spacing w:val="-6"/>
          <w:sz w:val="22"/>
        </w:rPr>
        <w:t> </w:t>
      </w:r>
      <w:r>
        <w:rPr>
          <w:spacing w:val="-2"/>
          <w:sz w:val="22"/>
        </w:rPr>
        <w:t>contrabando.</w:t>
      </w:r>
    </w:p>
    <w:p>
      <w:pPr>
        <w:pStyle w:val="ListParagraph"/>
        <w:numPr>
          <w:ilvl w:val="0"/>
          <w:numId w:val="30"/>
        </w:numPr>
        <w:tabs>
          <w:tab w:pos="2695" w:val="left" w:leader="none"/>
        </w:tabs>
        <w:spacing w:line="240" w:lineRule="auto" w:before="252" w:after="0"/>
        <w:ind w:left="2695" w:right="0" w:hanging="361"/>
        <w:jc w:val="left"/>
        <w:rPr>
          <w:sz w:val="22"/>
        </w:rPr>
      </w:pPr>
      <w:r>
        <w:rPr>
          <w:sz w:val="22"/>
        </w:rPr>
        <w:t>Vigilancia</w:t>
      </w:r>
      <w:r>
        <w:rPr>
          <w:spacing w:val="-11"/>
          <w:sz w:val="22"/>
        </w:rPr>
        <w:t> </w:t>
      </w:r>
      <w:r>
        <w:rPr>
          <w:sz w:val="22"/>
        </w:rPr>
        <w:t>estratégica,</w:t>
      </w:r>
      <w:r>
        <w:rPr>
          <w:spacing w:val="-9"/>
          <w:sz w:val="22"/>
        </w:rPr>
        <w:t> </w:t>
      </w:r>
      <w:r>
        <w:rPr>
          <w:sz w:val="22"/>
        </w:rPr>
        <w:t>drones,</w:t>
      </w:r>
      <w:r>
        <w:rPr>
          <w:spacing w:val="-8"/>
          <w:sz w:val="22"/>
        </w:rPr>
        <w:t> </w:t>
      </w:r>
      <w:r>
        <w:rPr>
          <w:sz w:val="22"/>
        </w:rPr>
        <w:t>radares,</w:t>
      </w:r>
      <w:r>
        <w:rPr>
          <w:spacing w:val="-9"/>
          <w:sz w:val="22"/>
        </w:rPr>
        <w:t> </w:t>
      </w:r>
      <w:r>
        <w:rPr>
          <w:sz w:val="22"/>
        </w:rPr>
        <w:t>vigilancia</w:t>
      </w:r>
      <w:r>
        <w:rPr>
          <w:spacing w:val="-8"/>
          <w:sz w:val="22"/>
        </w:rPr>
        <w:t> </w:t>
      </w:r>
      <w:r>
        <w:rPr>
          <w:spacing w:val="-2"/>
          <w:sz w:val="22"/>
        </w:rPr>
        <w:t>satelital.</w:t>
      </w:r>
    </w:p>
    <w:p>
      <w:pPr>
        <w:pStyle w:val="BodyText"/>
      </w:pPr>
    </w:p>
    <w:p>
      <w:pPr>
        <w:pStyle w:val="ListParagraph"/>
        <w:numPr>
          <w:ilvl w:val="0"/>
          <w:numId w:val="30"/>
        </w:numPr>
        <w:tabs>
          <w:tab w:pos="2695" w:val="left" w:leader="none"/>
        </w:tabs>
        <w:spacing w:line="237" w:lineRule="auto" w:before="0" w:after="0"/>
        <w:ind w:left="2695" w:right="980" w:hanging="361"/>
        <w:jc w:val="left"/>
        <w:rPr>
          <w:sz w:val="22"/>
        </w:rPr>
      </w:pPr>
      <w:r>
        <w:rPr>
          <w:sz w:val="22"/>
        </w:rPr>
        <w:t>Infraestructura</w:t>
      </w:r>
      <w:r>
        <w:rPr>
          <w:spacing w:val="-8"/>
          <w:sz w:val="22"/>
        </w:rPr>
        <w:t> </w:t>
      </w:r>
      <w:r>
        <w:rPr>
          <w:sz w:val="22"/>
        </w:rPr>
        <w:t>distrital,</w:t>
      </w:r>
      <w:r>
        <w:rPr>
          <w:spacing w:val="-4"/>
          <w:sz w:val="22"/>
        </w:rPr>
        <w:t> </w:t>
      </w:r>
      <w:r>
        <w:rPr>
          <w:sz w:val="22"/>
        </w:rPr>
        <w:t>bodegas,</w:t>
      </w:r>
      <w:r>
        <w:rPr>
          <w:spacing w:val="-5"/>
          <w:sz w:val="22"/>
        </w:rPr>
        <w:t> </w:t>
      </w:r>
      <w:r>
        <w:rPr>
          <w:sz w:val="22"/>
        </w:rPr>
        <w:t>oficinas,</w:t>
      </w:r>
      <w:r>
        <w:rPr>
          <w:spacing w:val="-7"/>
          <w:sz w:val="22"/>
        </w:rPr>
        <w:t> </w:t>
      </w:r>
      <w:r>
        <w:rPr>
          <w:sz w:val="22"/>
        </w:rPr>
        <w:t>sistemas</w:t>
      </w:r>
      <w:r>
        <w:rPr>
          <w:spacing w:val="-6"/>
          <w:sz w:val="22"/>
        </w:rPr>
        <w:t> </w:t>
      </w:r>
      <w:r>
        <w:rPr>
          <w:sz w:val="22"/>
        </w:rPr>
        <w:t>de</w:t>
      </w:r>
      <w:r>
        <w:rPr>
          <w:spacing w:val="-8"/>
          <w:sz w:val="22"/>
        </w:rPr>
        <w:t> </w:t>
      </w:r>
      <w:r>
        <w:rPr>
          <w:sz w:val="22"/>
        </w:rPr>
        <w:t>comunicaciones y ciberseguridad.</w:t>
      </w:r>
    </w:p>
    <w:p>
      <w:pPr>
        <w:pStyle w:val="BodyText"/>
        <w:spacing w:before="5"/>
      </w:pPr>
    </w:p>
    <w:p>
      <w:pPr>
        <w:pStyle w:val="ListParagraph"/>
        <w:numPr>
          <w:ilvl w:val="0"/>
          <w:numId w:val="30"/>
        </w:numPr>
        <w:tabs>
          <w:tab w:pos="2695" w:val="left" w:leader="none"/>
        </w:tabs>
        <w:spacing w:line="237" w:lineRule="auto" w:before="0" w:after="0"/>
        <w:ind w:left="2695" w:right="983" w:hanging="361"/>
        <w:jc w:val="left"/>
        <w:rPr>
          <w:sz w:val="22"/>
        </w:rPr>
      </w:pPr>
      <w:r>
        <w:rPr>
          <w:sz w:val="22"/>
        </w:rPr>
        <w:t>Núcleo tecnológico (data center, almacenamiento masivo de video, IA, video</w:t>
      </w:r>
      <w:r>
        <w:rPr>
          <w:rFonts w:ascii="Cambria Math" w:hAnsi="Cambria Math"/>
          <w:sz w:val="22"/>
        </w:rPr>
        <w:t>‑</w:t>
      </w:r>
      <w:r>
        <w:rPr>
          <w:sz w:val="22"/>
        </w:rPr>
        <w:t>wall, fibra óptica, etc.).</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Este conjunto de actividades, a criterio de la SGCAN, </w:t>
      </w:r>
      <w:r>
        <w:rPr>
          <w:rFonts w:ascii="Arial" w:hAnsi="Arial"/>
          <w:b/>
          <w:sz w:val="22"/>
        </w:rPr>
        <w:t>no configura un servicio individualizable</w:t>
      </w:r>
      <w:r>
        <w:rPr>
          <w:rFonts w:ascii="Arial" w:hAnsi="Arial"/>
          <w:b/>
          <w:spacing w:val="-9"/>
          <w:sz w:val="22"/>
        </w:rPr>
        <w:t> </w:t>
      </w:r>
      <w:r>
        <w:rPr>
          <w:rFonts w:ascii="Arial" w:hAnsi="Arial"/>
          <w:b/>
          <w:sz w:val="22"/>
        </w:rPr>
        <w:t>ni</w:t>
      </w:r>
      <w:r>
        <w:rPr>
          <w:rFonts w:ascii="Arial" w:hAnsi="Arial"/>
          <w:b/>
          <w:spacing w:val="-9"/>
          <w:sz w:val="22"/>
        </w:rPr>
        <w:t> </w:t>
      </w:r>
      <w:r>
        <w:rPr>
          <w:rFonts w:ascii="Arial" w:hAnsi="Arial"/>
          <w:b/>
          <w:sz w:val="22"/>
        </w:rPr>
        <w:t>divisible</w:t>
      </w:r>
      <w:r>
        <w:rPr>
          <w:rFonts w:ascii="Arial" w:hAnsi="Arial"/>
          <w:b/>
          <w:spacing w:val="-10"/>
          <w:sz w:val="22"/>
        </w:rPr>
        <w:t> </w:t>
      </w:r>
      <w:r>
        <w:rPr>
          <w:rFonts w:ascii="Arial" w:hAnsi="Arial"/>
          <w:b/>
          <w:sz w:val="22"/>
        </w:rPr>
        <w:t>prestado</w:t>
      </w:r>
      <w:r>
        <w:rPr>
          <w:rFonts w:ascii="Arial" w:hAnsi="Arial"/>
          <w:b/>
          <w:spacing w:val="-11"/>
          <w:sz w:val="22"/>
        </w:rPr>
        <w:t> </w:t>
      </w:r>
      <w:r>
        <w:rPr>
          <w:rFonts w:ascii="Arial" w:hAnsi="Arial"/>
          <w:b/>
          <w:sz w:val="22"/>
        </w:rPr>
        <w:t>directamente</w:t>
      </w:r>
      <w:r>
        <w:rPr>
          <w:rFonts w:ascii="Arial" w:hAnsi="Arial"/>
          <w:b/>
          <w:spacing w:val="-11"/>
          <w:sz w:val="22"/>
        </w:rPr>
        <w:t> </w:t>
      </w:r>
      <w:r>
        <w:rPr>
          <w:rFonts w:ascii="Arial" w:hAnsi="Arial"/>
          <w:b/>
          <w:sz w:val="22"/>
        </w:rPr>
        <w:t>al</w:t>
      </w:r>
      <w:r>
        <w:rPr>
          <w:rFonts w:ascii="Arial" w:hAnsi="Arial"/>
          <w:b/>
          <w:spacing w:val="-12"/>
          <w:sz w:val="22"/>
        </w:rPr>
        <w:t> </w:t>
      </w:r>
      <w:r>
        <w:rPr>
          <w:rFonts w:ascii="Arial" w:hAnsi="Arial"/>
          <w:b/>
          <w:sz w:val="22"/>
        </w:rPr>
        <w:t>importador</w:t>
      </w:r>
      <w:r>
        <w:rPr>
          <w:sz w:val="22"/>
        </w:rPr>
        <w:t>,</w:t>
      </w:r>
      <w:r>
        <w:rPr>
          <w:spacing w:val="-9"/>
          <w:sz w:val="22"/>
        </w:rPr>
        <w:t> </w:t>
      </w:r>
      <w:r>
        <w:rPr>
          <w:sz w:val="22"/>
        </w:rPr>
        <w:t>sino</w:t>
      </w:r>
      <w:r>
        <w:rPr>
          <w:spacing w:val="-11"/>
          <w:sz w:val="22"/>
        </w:rPr>
        <w:t> </w:t>
      </w:r>
      <w:r>
        <w:rPr>
          <w:sz w:val="22"/>
        </w:rPr>
        <w:t>un</w:t>
      </w:r>
      <w:r>
        <w:rPr>
          <w:spacing w:val="-11"/>
          <w:sz w:val="22"/>
        </w:rPr>
        <w:t> </w:t>
      </w:r>
      <w:r>
        <w:rPr>
          <w:sz w:val="22"/>
        </w:rPr>
        <w:t>programa de inversión y control que beneficia al sistema en su conjunto.</w:t>
      </w:r>
    </w:p>
    <w:p>
      <w:pPr>
        <w:pStyle w:val="ListParagraph"/>
        <w:numPr>
          <w:ilvl w:val="0"/>
          <w:numId w:val="11"/>
        </w:numPr>
        <w:tabs>
          <w:tab w:pos="1130" w:val="left" w:leader="none"/>
          <w:tab w:pos="1134" w:val="left" w:leader="none"/>
        </w:tabs>
        <w:spacing w:line="240" w:lineRule="auto" w:before="252" w:after="0"/>
        <w:ind w:left="1134" w:right="977" w:hanging="567"/>
        <w:jc w:val="both"/>
        <w:rPr>
          <w:sz w:val="22"/>
        </w:rPr>
      </w:pPr>
      <w:r>
        <w:rPr>
          <w:sz w:val="22"/>
        </w:rPr>
        <w:t>A mayor abundamiento, en el mismo Proceso 12</w:t>
      </w:r>
      <w:r>
        <w:rPr>
          <w:rFonts w:ascii="Cambria Math" w:hAnsi="Cambria Math"/>
          <w:sz w:val="22"/>
        </w:rPr>
        <w:t>‑</w:t>
      </w:r>
      <w:r>
        <w:rPr>
          <w:sz w:val="22"/>
        </w:rPr>
        <w:t>AN</w:t>
      </w:r>
      <w:r>
        <w:rPr>
          <w:rFonts w:ascii="Cambria Math" w:hAnsi="Cambria Math"/>
          <w:sz w:val="22"/>
        </w:rPr>
        <w:t>‑</w:t>
      </w:r>
      <w:r>
        <w:rPr>
          <w:sz w:val="22"/>
        </w:rPr>
        <w:t>99 que invoca la República del Ecuador,</w:t>
      </w:r>
      <w:r>
        <w:rPr>
          <w:spacing w:val="-4"/>
          <w:sz w:val="22"/>
        </w:rPr>
        <w:t> </w:t>
      </w:r>
      <w:r>
        <w:rPr>
          <w:sz w:val="22"/>
        </w:rPr>
        <w:t>la</w:t>
      </w:r>
      <w:r>
        <w:rPr>
          <w:spacing w:val="-3"/>
          <w:sz w:val="22"/>
        </w:rPr>
        <w:t> </w:t>
      </w:r>
      <w:r>
        <w:rPr>
          <w:sz w:val="22"/>
        </w:rPr>
        <w:t>SGCAN</w:t>
      </w:r>
      <w:r>
        <w:rPr>
          <w:spacing w:val="-3"/>
          <w:sz w:val="22"/>
        </w:rPr>
        <w:t> </w:t>
      </w:r>
      <w:r>
        <w:rPr>
          <w:sz w:val="22"/>
        </w:rPr>
        <w:t>recuerda</w:t>
      </w:r>
      <w:r>
        <w:rPr>
          <w:spacing w:val="-3"/>
          <w:sz w:val="22"/>
        </w:rPr>
        <w:t> </w:t>
      </w:r>
      <w:r>
        <w:rPr>
          <w:sz w:val="22"/>
        </w:rPr>
        <w:t>que</w:t>
      </w:r>
      <w:r>
        <w:rPr>
          <w:spacing w:val="-5"/>
          <w:sz w:val="22"/>
        </w:rPr>
        <w:t> </w:t>
      </w:r>
      <w:r>
        <w:rPr>
          <w:sz w:val="22"/>
        </w:rPr>
        <w:t>el</w:t>
      </w:r>
      <w:r>
        <w:rPr>
          <w:spacing w:val="-4"/>
          <w:sz w:val="22"/>
        </w:rPr>
        <w:t> </w:t>
      </w:r>
      <w:r>
        <w:rPr>
          <w:sz w:val="22"/>
        </w:rPr>
        <w:t>TJCAN</w:t>
      </w:r>
      <w:r>
        <w:rPr>
          <w:spacing w:val="-3"/>
          <w:sz w:val="22"/>
        </w:rPr>
        <w:t> </w:t>
      </w:r>
      <w:r>
        <w:rPr>
          <w:sz w:val="22"/>
        </w:rPr>
        <w:t>caracteriza</w:t>
      </w:r>
      <w:r>
        <w:rPr>
          <w:spacing w:val="-6"/>
          <w:sz w:val="22"/>
        </w:rPr>
        <w:t> </w:t>
      </w:r>
      <w:r>
        <w:rPr>
          <w:sz w:val="22"/>
        </w:rPr>
        <w:t>la</w:t>
      </w:r>
      <w:r>
        <w:rPr>
          <w:spacing w:val="-5"/>
          <w:sz w:val="22"/>
        </w:rPr>
        <w:t> </w:t>
      </w:r>
      <w:r>
        <w:rPr>
          <w:sz w:val="22"/>
        </w:rPr>
        <w:t>tasa</w:t>
      </w:r>
      <w:r>
        <w:rPr>
          <w:spacing w:val="-5"/>
          <w:sz w:val="22"/>
        </w:rPr>
        <w:t> </w:t>
      </w:r>
      <w:r>
        <w:rPr>
          <w:sz w:val="22"/>
        </w:rPr>
        <w:t>como no</w:t>
      </w:r>
      <w:r>
        <w:rPr>
          <w:spacing w:val="-5"/>
          <w:sz w:val="22"/>
        </w:rPr>
        <w:t> </w:t>
      </w:r>
      <w:r>
        <w:rPr>
          <w:sz w:val="22"/>
        </w:rPr>
        <w:t>obligatoria,</w:t>
      </w:r>
      <w:r>
        <w:rPr>
          <w:spacing w:val="-1"/>
          <w:sz w:val="22"/>
        </w:rPr>
        <w:t> </w:t>
      </w:r>
      <w:r>
        <w:rPr>
          <w:sz w:val="22"/>
        </w:rPr>
        <w:t>en la medida en que el particular elige utilizar o no el servicio.</w:t>
      </w:r>
    </w:p>
    <w:p>
      <w:pPr>
        <w:pStyle w:val="BodyText"/>
      </w:pPr>
    </w:p>
    <w:p>
      <w:pPr>
        <w:pStyle w:val="ListParagraph"/>
        <w:numPr>
          <w:ilvl w:val="0"/>
          <w:numId w:val="11"/>
        </w:numPr>
        <w:tabs>
          <w:tab w:pos="1130" w:val="left" w:leader="none"/>
          <w:tab w:pos="1134" w:val="left" w:leader="none"/>
        </w:tabs>
        <w:spacing w:line="240" w:lineRule="auto" w:before="1" w:after="0"/>
        <w:ind w:left="1134" w:right="979" w:hanging="567"/>
        <w:jc w:val="both"/>
        <w:rPr>
          <w:sz w:val="22"/>
        </w:rPr>
      </w:pPr>
      <w:r>
        <w:rPr>
          <w:sz w:val="22"/>
        </w:rPr>
        <w:t>En</w:t>
      </w:r>
      <w:r>
        <w:rPr>
          <w:spacing w:val="-9"/>
          <w:sz w:val="22"/>
        </w:rPr>
        <w:t> </w:t>
      </w:r>
      <w:r>
        <w:rPr>
          <w:sz w:val="22"/>
        </w:rPr>
        <w:t>ese</w:t>
      </w:r>
      <w:r>
        <w:rPr>
          <w:spacing w:val="-12"/>
          <w:sz w:val="22"/>
        </w:rPr>
        <w:t> </w:t>
      </w:r>
      <w:r>
        <w:rPr>
          <w:sz w:val="22"/>
        </w:rPr>
        <w:t>sentido,</w:t>
      </w:r>
      <w:r>
        <w:rPr>
          <w:spacing w:val="-10"/>
          <w:sz w:val="22"/>
        </w:rPr>
        <w:t> </w:t>
      </w:r>
      <w:r>
        <w:rPr>
          <w:sz w:val="22"/>
        </w:rPr>
        <w:t>la</w:t>
      </w:r>
      <w:r>
        <w:rPr>
          <w:spacing w:val="-9"/>
          <w:sz w:val="22"/>
        </w:rPr>
        <w:t> </w:t>
      </w:r>
      <w:r>
        <w:rPr>
          <w:sz w:val="22"/>
        </w:rPr>
        <w:t>TSCA</w:t>
      </w:r>
      <w:r>
        <w:rPr>
          <w:spacing w:val="-13"/>
          <w:sz w:val="22"/>
        </w:rPr>
        <w:t> </w:t>
      </w:r>
      <w:r>
        <w:rPr>
          <w:sz w:val="22"/>
        </w:rPr>
        <w:t>objeto</w:t>
      </w:r>
      <w:r>
        <w:rPr>
          <w:spacing w:val="-11"/>
          <w:sz w:val="22"/>
        </w:rPr>
        <w:t> </w:t>
      </w:r>
      <w:r>
        <w:rPr>
          <w:sz w:val="22"/>
        </w:rPr>
        <w:t>de</w:t>
      </w:r>
      <w:r>
        <w:rPr>
          <w:spacing w:val="-12"/>
          <w:sz w:val="22"/>
        </w:rPr>
        <w:t> </w:t>
      </w:r>
      <w:r>
        <w:rPr>
          <w:sz w:val="22"/>
        </w:rPr>
        <w:t>investigación,</w:t>
      </w:r>
      <w:r>
        <w:rPr>
          <w:spacing w:val="-12"/>
          <w:sz w:val="22"/>
        </w:rPr>
        <w:t> </w:t>
      </w:r>
      <w:r>
        <w:rPr>
          <w:sz w:val="22"/>
        </w:rPr>
        <w:t>el</w:t>
      </w:r>
      <w:r>
        <w:rPr>
          <w:spacing w:val="-10"/>
          <w:sz w:val="22"/>
        </w:rPr>
        <w:t> </w:t>
      </w:r>
      <w:r>
        <w:rPr>
          <w:sz w:val="22"/>
        </w:rPr>
        <w:t>pago</w:t>
      </w:r>
      <w:r>
        <w:rPr>
          <w:spacing w:val="-12"/>
          <w:sz w:val="22"/>
        </w:rPr>
        <w:t> </w:t>
      </w:r>
      <w:r>
        <w:rPr>
          <w:sz w:val="22"/>
        </w:rPr>
        <w:t>del</w:t>
      </w:r>
      <w:r>
        <w:rPr>
          <w:spacing w:val="-10"/>
          <w:sz w:val="22"/>
        </w:rPr>
        <w:t> </w:t>
      </w:r>
      <w:r>
        <w:rPr>
          <w:sz w:val="22"/>
        </w:rPr>
        <w:t>30%</w:t>
      </w:r>
      <w:r>
        <w:rPr>
          <w:spacing w:val="-10"/>
          <w:sz w:val="22"/>
        </w:rPr>
        <w:t> </w:t>
      </w:r>
      <w:r>
        <w:rPr>
          <w:sz w:val="22"/>
        </w:rPr>
        <w:t>y</w:t>
      </w:r>
      <w:r>
        <w:rPr>
          <w:spacing w:val="-11"/>
          <w:sz w:val="22"/>
        </w:rPr>
        <w:t> </w:t>
      </w:r>
      <w:r>
        <w:rPr>
          <w:sz w:val="22"/>
        </w:rPr>
        <w:t>luego</w:t>
      </w:r>
      <w:r>
        <w:rPr>
          <w:spacing w:val="-12"/>
          <w:sz w:val="22"/>
        </w:rPr>
        <w:t> </w:t>
      </w:r>
      <w:r>
        <w:rPr>
          <w:sz w:val="22"/>
        </w:rPr>
        <w:t>del</w:t>
      </w:r>
      <w:r>
        <w:rPr>
          <w:spacing w:val="-10"/>
          <w:sz w:val="22"/>
        </w:rPr>
        <w:t> </w:t>
      </w:r>
      <w:r>
        <w:rPr>
          <w:sz w:val="22"/>
        </w:rPr>
        <w:t>50%</w:t>
      </w:r>
      <w:r>
        <w:rPr>
          <w:spacing w:val="-10"/>
          <w:sz w:val="22"/>
        </w:rPr>
        <w:t> </w:t>
      </w:r>
      <w:r>
        <w:rPr>
          <w:sz w:val="22"/>
        </w:rPr>
        <w:t>sobre el</w:t>
      </w:r>
      <w:r>
        <w:rPr>
          <w:spacing w:val="-2"/>
          <w:sz w:val="22"/>
        </w:rPr>
        <w:t> </w:t>
      </w:r>
      <w:r>
        <w:rPr>
          <w:sz w:val="22"/>
        </w:rPr>
        <w:t>valor</w:t>
      </w:r>
      <w:r>
        <w:rPr>
          <w:spacing w:val="-2"/>
          <w:sz w:val="22"/>
        </w:rPr>
        <w:t> </w:t>
      </w:r>
      <w:r>
        <w:rPr>
          <w:sz w:val="22"/>
        </w:rPr>
        <w:t>en</w:t>
      </w:r>
      <w:r>
        <w:rPr>
          <w:spacing w:val="-3"/>
          <w:sz w:val="22"/>
        </w:rPr>
        <w:t> </w:t>
      </w:r>
      <w:r>
        <w:rPr>
          <w:sz w:val="22"/>
        </w:rPr>
        <w:t>aduana,</w:t>
      </w:r>
      <w:r>
        <w:rPr>
          <w:spacing w:val="-1"/>
          <w:sz w:val="22"/>
        </w:rPr>
        <w:t> </w:t>
      </w:r>
      <w:r>
        <w:rPr>
          <w:sz w:val="22"/>
        </w:rPr>
        <w:t>es </w:t>
      </w:r>
      <w:r>
        <w:rPr>
          <w:rFonts w:ascii="Arial" w:hAnsi="Arial"/>
          <w:b/>
          <w:sz w:val="22"/>
        </w:rPr>
        <w:t>condición</w:t>
      </w:r>
      <w:r>
        <w:rPr>
          <w:rFonts w:ascii="Arial" w:hAnsi="Arial"/>
          <w:b/>
          <w:spacing w:val="-6"/>
          <w:sz w:val="22"/>
        </w:rPr>
        <w:t> </w:t>
      </w:r>
      <w:r>
        <w:rPr>
          <w:rFonts w:ascii="Arial" w:hAnsi="Arial"/>
          <w:b/>
          <w:sz w:val="22"/>
        </w:rPr>
        <w:t>ineludible</w:t>
      </w:r>
      <w:r>
        <w:rPr>
          <w:rFonts w:ascii="Arial" w:hAnsi="Arial"/>
          <w:b/>
          <w:spacing w:val="-1"/>
          <w:sz w:val="22"/>
        </w:rPr>
        <w:t> </w:t>
      </w:r>
      <w:r>
        <w:rPr>
          <w:sz w:val="22"/>
        </w:rPr>
        <w:t>para la</w:t>
      </w:r>
      <w:r>
        <w:rPr>
          <w:spacing w:val="-3"/>
          <w:sz w:val="22"/>
        </w:rPr>
        <w:t> </w:t>
      </w:r>
      <w:r>
        <w:rPr>
          <w:sz w:val="22"/>
        </w:rPr>
        <w:t>nacionalización</w:t>
      </w:r>
      <w:r>
        <w:rPr>
          <w:spacing w:val="-1"/>
          <w:sz w:val="22"/>
        </w:rPr>
        <w:t> </w:t>
      </w:r>
      <w:r>
        <w:rPr>
          <w:sz w:val="22"/>
        </w:rPr>
        <w:t>y</w:t>
      </w:r>
      <w:r>
        <w:rPr>
          <w:spacing w:val="-3"/>
          <w:sz w:val="22"/>
        </w:rPr>
        <w:t> </w:t>
      </w:r>
      <w:r>
        <w:rPr>
          <w:sz w:val="22"/>
        </w:rPr>
        <w:t>despacho</w:t>
      </w:r>
      <w:r>
        <w:rPr>
          <w:spacing w:val="-1"/>
          <w:sz w:val="22"/>
        </w:rPr>
        <w:t> </w:t>
      </w:r>
      <w:r>
        <w:rPr>
          <w:sz w:val="22"/>
        </w:rPr>
        <w:t>de</w:t>
      </w:r>
      <w:r>
        <w:rPr>
          <w:spacing w:val="-3"/>
          <w:sz w:val="22"/>
        </w:rPr>
        <w:t> </w:t>
      </w:r>
      <w:r>
        <w:rPr>
          <w:sz w:val="22"/>
        </w:rPr>
        <w:t>las mercancías colombianas.</w:t>
      </w:r>
    </w:p>
    <w:p>
      <w:pPr>
        <w:pStyle w:val="ListParagraph"/>
        <w:numPr>
          <w:ilvl w:val="0"/>
          <w:numId w:val="11"/>
        </w:numPr>
        <w:tabs>
          <w:tab w:pos="1130" w:val="left" w:leader="none"/>
          <w:tab w:pos="1134" w:val="left" w:leader="none"/>
        </w:tabs>
        <w:spacing w:line="240" w:lineRule="auto" w:before="251" w:after="0"/>
        <w:ind w:left="1134" w:right="979" w:hanging="567"/>
        <w:jc w:val="both"/>
        <w:rPr>
          <w:sz w:val="22"/>
        </w:rPr>
      </w:pPr>
      <w:r>
        <w:rPr>
          <w:sz w:val="22"/>
        </w:rPr>
        <w:t>La SGCAN concluye que esta obligatoriedad generalizada, unida a la amplitud de actividades que financia, sitúa la medida, </w:t>
      </w:r>
      <w:r>
        <w:rPr>
          <w:rFonts w:ascii="Arial" w:hAnsi="Arial"/>
          <w:b/>
          <w:sz w:val="22"/>
        </w:rPr>
        <w:t>sin lugar a dudas</w:t>
      </w:r>
      <w:r>
        <w:rPr>
          <w:sz w:val="22"/>
        </w:rPr>
        <w:t>, fuera del modelo de tasa divisible, y la configura como un recargo obligatorio que grava el propio hecho de la </w:t>
      </w:r>
      <w:r>
        <w:rPr>
          <w:spacing w:val="-2"/>
          <w:sz w:val="22"/>
        </w:rPr>
        <w:t>importación.</w:t>
      </w:r>
    </w:p>
    <w:p>
      <w:pPr>
        <w:pStyle w:val="BodyText"/>
        <w:spacing w:before="3"/>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En</w:t>
      </w:r>
      <w:r>
        <w:rPr>
          <w:spacing w:val="-7"/>
          <w:sz w:val="22"/>
        </w:rPr>
        <w:t> </w:t>
      </w:r>
      <w:r>
        <w:rPr>
          <w:sz w:val="22"/>
        </w:rPr>
        <w:t>consecuencia,</w:t>
      </w:r>
      <w:r>
        <w:rPr>
          <w:spacing w:val="-6"/>
          <w:sz w:val="22"/>
        </w:rPr>
        <w:t> </w:t>
      </w:r>
      <w:r>
        <w:rPr>
          <w:sz w:val="22"/>
        </w:rPr>
        <w:t>la</w:t>
      </w:r>
      <w:r>
        <w:rPr>
          <w:spacing w:val="-7"/>
          <w:sz w:val="22"/>
        </w:rPr>
        <w:t> </w:t>
      </w:r>
      <w:r>
        <w:rPr>
          <w:sz w:val="22"/>
        </w:rPr>
        <w:t>República</w:t>
      </w:r>
      <w:r>
        <w:rPr>
          <w:spacing w:val="-7"/>
          <w:sz w:val="22"/>
        </w:rPr>
        <w:t> </w:t>
      </w:r>
      <w:r>
        <w:rPr>
          <w:sz w:val="22"/>
        </w:rPr>
        <w:t>del</w:t>
      </w:r>
      <w:r>
        <w:rPr>
          <w:spacing w:val="-8"/>
          <w:sz w:val="22"/>
        </w:rPr>
        <w:t> </w:t>
      </w:r>
      <w:r>
        <w:rPr>
          <w:sz w:val="22"/>
        </w:rPr>
        <w:t>Ecuador</w:t>
      </w:r>
      <w:r>
        <w:rPr>
          <w:spacing w:val="-6"/>
          <w:sz w:val="22"/>
        </w:rPr>
        <w:t> </w:t>
      </w:r>
      <w:r>
        <w:rPr>
          <w:sz w:val="22"/>
        </w:rPr>
        <w:t>no</w:t>
      </w:r>
      <w:r>
        <w:rPr>
          <w:spacing w:val="-8"/>
          <w:sz w:val="22"/>
        </w:rPr>
        <w:t> </w:t>
      </w:r>
      <w:r>
        <w:rPr>
          <w:sz w:val="22"/>
        </w:rPr>
        <w:t>ha</w:t>
      </w:r>
      <w:r>
        <w:rPr>
          <w:spacing w:val="-9"/>
          <w:sz w:val="22"/>
        </w:rPr>
        <w:t> </w:t>
      </w:r>
      <w:r>
        <w:rPr>
          <w:sz w:val="22"/>
        </w:rPr>
        <w:t>acreditado</w:t>
      </w:r>
      <w:r>
        <w:rPr>
          <w:spacing w:val="-7"/>
          <w:sz w:val="22"/>
        </w:rPr>
        <w:t> </w:t>
      </w:r>
      <w:r>
        <w:rPr>
          <w:sz w:val="22"/>
        </w:rPr>
        <w:t>debidamente</w:t>
      </w:r>
      <w:r>
        <w:rPr>
          <w:spacing w:val="-8"/>
          <w:sz w:val="22"/>
        </w:rPr>
        <w:t> </w:t>
      </w:r>
      <w:r>
        <w:rPr>
          <w:sz w:val="22"/>
        </w:rPr>
        <w:t>la</w:t>
      </w:r>
      <w:r>
        <w:rPr>
          <w:spacing w:val="-7"/>
          <w:sz w:val="22"/>
        </w:rPr>
        <w:t> </w:t>
      </w:r>
      <w:r>
        <w:rPr>
          <w:sz w:val="22"/>
        </w:rPr>
        <w:t>existencia de</w:t>
      </w:r>
      <w:r>
        <w:rPr>
          <w:spacing w:val="-9"/>
          <w:sz w:val="22"/>
        </w:rPr>
        <w:t> </w:t>
      </w:r>
      <w:r>
        <w:rPr>
          <w:sz w:val="22"/>
        </w:rPr>
        <w:t>un</w:t>
      </w:r>
      <w:r>
        <w:rPr>
          <w:spacing w:val="-9"/>
          <w:sz w:val="22"/>
        </w:rPr>
        <w:t> </w:t>
      </w:r>
      <w:r>
        <w:rPr>
          <w:sz w:val="22"/>
        </w:rPr>
        <w:t>servicio</w:t>
      </w:r>
      <w:r>
        <w:rPr>
          <w:spacing w:val="-9"/>
          <w:sz w:val="22"/>
        </w:rPr>
        <w:t> </w:t>
      </w:r>
      <w:r>
        <w:rPr>
          <w:sz w:val="22"/>
        </w:rPr>
        <w:t>efectivamente</w:t>
      </w:r>
      <w:r>
        <w:rPr>
          <w:spacing w:val="-9"/>
          <w:sz w:val="22"/>
        </w:rPr>
        <w:t> </w:t>
      </w:r>
      <w:r>
        <w:rPr>
          <w:sz w:val="22"/>
        </w:rPr>
        <w:t>prestado</w:t>
      </w:r>
      <w:r>
        <w:rPr>
          <w:spacing w:val="-9"/>
          <w:sz w:val="22"/>
        </w:rPr>
        <w:t> </w:t>
      </w:r>
      <w:r>
        <w:rPr>
          <w:sz w:val="22"/>
        </w:rPr>
        <w:t>al</w:t>
      </w:r>
      <w:r>
        <w:rPr>
          <w:spacing w:val="-10"/>
          <w:sz w:val="22"/>
        </w:rPr>
        <w:t> </w:t>
      </w:r>
      <w:r>
        <w:rPr>
          <w:sz w:val="22"/>
        </w:rPr>
        <w:t>importador,</w:t>
      </w:r>
      <w:r>
        <w:rPr>
          <w:spacing w:val="-7"/>
          <w:sz w:val="22"/>
        </w:rPr>
        <w:t> </w:t>
      </w:r>
      <w:r>
        <w:rPr>
          <w:sz w:val="22"/>
        </w:rPr>
        <w:t>lo</w:t>
      </w:r>
      <w:r>
        <w:rPr>
          <w:spacing w:val="-9"/>
          <w:sz w:val="22"/>
        </w:rPr>
        <w:t> </w:t>
      </w:r>
      <w:r>
        <w:rPr>
          <w:sz w:val="22"/>
        </w:rPr>
        <w:t>cual</w:t>
      </w:r>
      <w:r>
        <w:rPr>
          <w:spacing w:val="-10"/>
          <w:sz w:val="22"/>
        </w:rPr>
        <w:t> </w:t>
      </w:r>
      <w:r>
        <w:rPr>
          <w:sz w:val="22"/>
        </w:rPr>
        <w:t>impide</w:t>
      </w:r>
      <w:r>
        <w:rPr>
          <w:spacing w:val="-8"/>
          <w:sz w:val="22"/>
        </w:rPr>
        <w:t> </w:t>
      </w:r>
      <w:r>
        <w:rPr>
          <w:sz w:val="22"/>
        </w:rPr>
        <w:t>excluir</w:t>
      </w:r>
      <w:r>
        <w:rPr>
          <w:spacing w:val="-8"/>
          <w:sz w:val="22"/>
        </w:rPr>
        <w:t> </w:t>
      </w:r>
      <w:r>
        <w:rPr>
          <w:sz w:val="22"/>
        </w:rPr>
        <w:t>la</w:t>
      </w:r>
      <w:r>
        <w:rPr>
          <w:spacing w:val="-9"/>
          <w:sz w:val="22"/>
        </w:rPr>
        <w:t> </w:t>
      </w:r>
      <w:r>
        <w:rPr>
          <w:sz w:val="22"/>
        </w:rPr>
        <w:t>medida</w:t>
      </w:r>
      <w:r>
        <w:rPr>
          <w:spacing w:val="-9"/>
          <w:sz w:val="22"/>
        </w:rPr>
        <w:t> </w:t>
      </w:r>
      <w:r>
        <w:rPr>
          <w:sz w:val="22"/>
        </w:rPr>
        <w:t>del concepto de los gravámenes.</w:t>
      </w:r>
    </w:p>
    <w:p>
      <w:pPr>
        <w:pStyle w:val="ListParagraph"/>
        <w:numPr>
          <w:ilvl w:val="0"/>
          <w:numId w:val="11"/>
        </w:numPr>
        <w:tabs>
          <w:tab w:pos="1130" w:val="left" w:leader="none"/>
          <w:tab w:pos="1134" w:val="left" w:leader="none"/>
        </w:tabs>
        <w:spacing w:line="240" w:lineRule="auto" w:before="251" w:after="0"/>
        <w:ind w:left="1134" w:right="977" w:hanging="567"/>
        <w:jc w:val="both"/>
        <w:rPr>
          <w:sz w:val="22"/>
        </w:rPr>
      </w:pPr>
      <w:r>
        <w:rPr>
          <w:sz w:val="22"/>
        </w:rPr>
        <w:t>Toda vez que la medida no ha sido debidamente sustentada conforme a los criterios señalados por el TJCAN, que establece la necesidad de cumplir con los requisitos acumulativos para que una tasa pueda ser considerada fuera del concepto de gravamen,</w:t>
      </w:r>
      <w:r>
        <w:rPr>
          <w:spacing w:val="-10"/>
          <w:sz w:val="22"/>
        </w:rPr>
        <w:t> </w:t>
      </w:r>
      <w:r>
        <w:rPr>
          <w:sz w:val="22"/>
        </w:rPr>
        <w:t>no</w:t>
      </w:r>
      <w:r>
        <w:rPr>
          <w:spacing w:val="-12"/>
          <w:sz w:val="22"/>
        </w:rPr>
        <w:t> </w:t>
      </w:r>
      <w:r>
        <w:rPr>
          <w:sz w:val="22"/>
        </w:rPr>
        <w:t>resultaría</w:t>
      </w:r>
      <w:r>
        <w:rPr>
          <w:spacing w:val="-14"/>
          <w:sz w:val="22"/>
        </w:rPr>
        <w:t> </w:t>
      </w:r>
      <w:r>
        <w:rPr>
          <w:sz w:val="22"/>
        </w:rPr>
        <w:t>necesario</w:t>
      </w:r>
      <w:r>
        <w:rPr>
          <w:spacing w:val="-11"/>
          <w:sz w:val="22"/>
        </w:rPr>
        <w:t> </w:t>
      </w:r>
      <w:r>
        <w:rPr>
          <w:sz w:val="22"/>
        </w:rPr>
        <w:t>continuar</w:t>
      </w:r>
      <w:r>
        <w:rPr>
          <w:spacing w:val="-13"/>
          <w:sz w:val="22"/>
        </w:rPr>
        <w:t> </w:t>
      </w:r>
      <w:r>
        <w:rPr>
          <w:sz w:val="22"/>
        </w:rPr>
        <w:t>con</w:t>
      </w:r>
      <w:r>
        <w:rPr>
          <w:spacing w:val="-14"/>
          <w:sz w:val="22"/>
        </w:rPr>
        <w:t> </w:t>
      </w:r>
      <w:r>
        <w:rPr>
          <w:sz w:val="22"/>
        </w:rPr>
        <w:t>el</w:t>
      </w:r>
      <w:r>
        <w:rPr>
          <w:spacing w:val="-10"/>
          <w:sz w:val="22"/>
        </w:rPr>
        <w:t> </w:t>
      </w:r>
      <w:r>
        <w:rPr>
          <w:sz w:val="22"/>
        </w:rPr>
        <w:t>análisis</w:t>
      </w:r>
      <w:r>
        <w:rPr>
          <w:spacing w:val="-8"/>
          <w:sz w:val="22"/>
        </w:rPr>
        <w:t> </w:t>
      </w:r>
      <w:r>
        <w:rPr>
          <w:sz w:val="22"/>
        </w:rPr>
        <w:t>del</w:t>
      </w:r>
      <w:r>
        <w:rPr>
          <w:spacing w:val="-12"/>
          <w:sz w:val="22"/>
        </w:rPr>
        <w:t> </w:t>
      </w:r>
      <w:r>
        <w:rPr>
          <w:sz w:val="22"/>
        </w:rPr>
        <w:t>siguiente</w:t>
      </w:r>
      <w:r>
        <w:rPr>
          <w:spacing w:val="-11"/>
          <w:sz w:val="22"/>
        </w:rPr>
        <w:t> </w:t>
      </w:r>
      <w:r>
        <w:rPr>
          <w:sz w:val="22"/>
        </w:rPr>
        <w:t>requisito</w:t>
      </w:r>
      <w:r>
        <w:rPr>
          <w:spacing w:val="-11"/>
          <w:sz w:val="22"/>
        </w:rPr>
        <w:t> </w:t>
      </w:r>
      <w:r>
        <w:rPr>
          <w:sz w:val="22"/>
        </w:rPr>
        <w:t>(costo aproximado del servicio efectivamente prestado). Sin perjuicio de ello, este órgano comunitario, en el marco de sus competencias, y para mayor claridad, ha decidido completar el análisis.</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Heading5"/>
        <w:numPr>
          <w:ilvl w:val="2"/>
          <w:numId w:val="10"/>
        </w:numPr>
        <w:tabs>
          <w:tab w:pos="1985" w:val="left" w:leader="none"/>
        </w:tabs>
        <w:spacing w:line="240" w:lineRule="auto" w:before="0" w:after="0"/>
        <w:ind w:left="1985" w:right="0" w:hanging="697"/>
        <w:jc w:val="left"/>
      </w:pPr>
      <w:r>
        <w:rPr/>
        <w:t>COSTO</w:t>
      </w:r>
      <w:r>
        <w:rPr>
          <w:spacing w:val="-10"/>
        </w:rPr>
        <w:t> </w:t>
      </w:r>
      <w:r>
        <w:rPr/>
        <w:t>APROXIMADO</w:t>
      </w:r>
      <w:r>
        <w:rPr>
          <w:spacing w:val="-10"/>
        </w:rPr>
        <w:t> </w:t>
      </w:r>
      <w:r>
        <w:rPr/>
        <w:t>DEL</w:t>
      </w:r>
      <w:r>
        <w:rPr>
          <w:spacing w:val="-7"/>
        </w:rPr>
        <w:t> </w:t>
      </w:r>
      <w:r>
        <w:rPr/>
        <w:t>SERVICIO</w:t>
      </w:r>
      <w:r>
        <w:rPr>
          <w:spacing w:val="-8"/>
        </w:rPr>
        <w:t> </w:t>
      </w:r>
      <w:r>
        <w:rPr/>
        <w:t>EFECTIVAMENTE</w:t>
      </w:r>
      <w:r>
        <w:rPr>
          <w:spacing w:val="-6"/>
        </w:rPr>
        <w:t> </w:t>
      </w:r>
      <w:r>
        <w:rPr>
          <w:spacing w:val="-2"/>
        </w:rPr>
        <w:t>PRESTADO</w:t>
      </w:r>
    </w:p>
    <w:p>
      <w:pPr>
        <w:pStyle w:val="BodyText"/>
        <w:spacing w:before="1"/>
        <w:rPr>
          <w:rFonts w:ascii="Arial"/>
          <w:b/>
        </w:rPr>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La segunda cuestión de fondo consiste en determinar si sería verificable que el costo aproximado</w:t>
      </w:r>
      <w:r>
        <w:rPr>
          <w:spacing w:val="-2"/>
          <w:sz w:val="22"/>
        </w:rPr>
        <w:t> </w:t>
      </w:r>
      <w:r>
        <w:rPr>
          <w:sz w:val="22"/>
        </w:rPr>
        <w:t>del</w:t>
      </w:r>
      <w:r>
        <w:rPr>
          <w:spacing w:val="-1"/>
          <w:sz w:val="22"/>
        </w:rPr>
        <w:t> </w:t>
      </w:r>
      <w:r>
        <w:rPr>
          <w:sz w:val="22"/>
        </w:rPr>
        <w:t>servicio</w:t>
      </w:r>
      <w:r>
        <w:rPr>
          <w:spacing w:val="-2"/>
          <w:sz w:val="22"/>
        </w:rPr>
        <w:t> </w:t>
      </w:r>
      <w:r>
        <w:rPr>
          <w:sz w:val="22"/>
        </w:rPr>
        <w:t>efectivamente</w:t>
      </w:r>
      <w:r>
        <w:rPr>
          <w:spacing w:val="-2"/>
          <w:sz w:val="22"/>
        </w:rPr>
        <w:t> </w:t>
      </w:r>
      <w:r>
        <w:rPr>
          <w:sz w:val="22"/>
        </w:rPr>
        <w:t>prestado,</w:t>
      </w:r>
      <w:r>
        <w:rPr>
          <w:spacing w:val="-3"/>
          <w:sz w:val="22"/>
        </w:rPr>
        <w:t> </w:t>
      </w:r>
      <w:r>
        <w:rPr>
          <w:sz w:val="22"/>
        </w:rPr>
        <w:t>se encontraría</w:t>
      </w:r>
      <w:r>
        <w:rPr>
          <w:spacing w:val="-2"/>
          <w:sz w:val="22"/>
        </w:rPr>
        <w:t> </w:t>
      </w:r>
      <w:r>
        <w:rPr>
          <w:sz w:val="22"/>
        </w:rPr>
        <w:t>conforme</w:t>
      </w:r>
      <w:r>
        <w:rPr>
          <w:spacing w:val="-2"/>
          <w:sz w:val="22"/>
        </w:rPr>
        <w:t> </w:t>
      </w:r>
      <w:r>
        <w:rPr>
          <w:sz w:val="22"/>
        </w:rPr>
        <w:t>al</w:t>
      </w:r>
      <w:r>
        <w:rPr>
          <w:spacing w:val="-1"/>
          <w:sz w:val="22"/>
        </w:rPr>
        <w:t> </w:t>
      </w:r>
      <w:r>
        <w:rPr>
          <w:sz w:val="22"/>
        </w:rPr>
        <w:t>artículo</w:t>
      </w:r>
      <w:r>
        <w:rPr>
          <w:spacing w:val="-2"/>
          <w:sz w:val="22"/>
        </w:rPr>
        <w:t> </w:t>
      </w:r>
      <w:r>
        <w:rPr>
          <w:sz w:val="22"/>
        </w:rPr>
        <w:t>73 del Acuerdo de Cartagena.</w:t>
      </w:r>
    </w:p>
    <w:p>
      <w:pPr>
        <w:pStyle w:val="BodyText"/>
      </w:pPr>
    </w:p>
    <w:p>
      <w:pPr>
        <w:pStyle w:val="ListParagraph"/>
        <w:numPr>
          <w:ilvl w:val="0"/>
          <w:numId w:val="11"/>
        </w:numPr>
        <w:tabs>
          <w:tab w:pos="1130" w:val="left" w:leader="none"/>
          <w:tab w:pos="1134" w:val="left" w:leader="none"/>
        </w:tabs>
        <w:spacing w:line="240" w:lineRule="auto" w:before="1" w:after="0"/>
        <w:ind w:left="1134" w:right="984" w:hanging="567"/>
        <w:jc w:val="both"/>
        <w:rPr>
          <w:sz w:val="22"/>
        </w:rPr>
      </w:pPr>
      <w:r>
        <w:rPr>
          <w:sz w:val="22"/>
        </w:rPr>
        <w:t>En</w:t>
      </w:r>
      <w:r>
        <w:rPr>
          <w:spacing w:val="-3"/>
          <w:sz w:val="22"/>
        </w:rPr>
        <w:t> </w:t>
      </w:r>
      <w:r>
        <w:rPr>
          <w:sz w:val="22"/>
        </w:rPr>
        <w:t>ese</w:t>
      </w:r>
      <w:r>
        <w:rPr>
          <w:spacing w:val="-5"/>
          <w:sz w:val="22"/>
        </w:rPr>
        <w:t> </w:t>
      </w:r>
      <w:r>
        <w:rPr>
          <w:sz w:val="22"/>
        </w:rPr>
        <w:t>sentido,</w:t>
      </w:r>
      <w:r>
        <w:rPr>
          <w:spacing w:val="-1"/>
          <w:sz w:val="22"/>
        </w:rPr>
        <w:t> </w:t>
      </w:r>
      <w:r>
        <w:rPr>
          <w:sz w:val="22"/>
        </w:rPr>
        <w:t>se</w:t>
      </w:r>
      <w:r>
        <w:rPr>
          <w:spacing w:val="-5"/>
          <w:sz w:val="22"/>
        </w:rPr>
        <w:t> </w:t>
      </w:r>
      <w:r>
        <w:rPr>
          <w:sz w:val="22"/>
        </w:rPr>
        <w:t>presentarán</w:t>
      </w:r>
      <w:r>
        <w:rPr>
          <w:spacing w:val="-5"/>
          <w:sz w:val="22"/>
        </w:rPr>
        <w:t> </w:t>
      </w:r>
      <w:r>
        <w:rPr>
          <w:sz w:val="22"/>
        </w:rPr>
        <w:t>los</w:t>
      </w:r>
      <w:r>
        <w:rPr>
          <w:spacing w:val="-3"/>
          <w:sz w:val="22"/>
        </w:rPr>
        <w:t> </w:t>
      </w:r>
      <w:r>
        <w:rPr>
          <w:sz w:val="22"/>
        </w:rPr>
        <w:t>argumentos</w:t>
      </w:r>
      <w:r>
        <w:rPr>
          <w:spacing w:val="-7"/>
          <w:sz w:val="22"/>
        </w:rPr>
        <w:t> </w:t>
      </w:r>
      <w:r>
        <w:rPr>
          <w:sz w:val="22"/>
        </w:rPr>
        <w:t>formulados</w:t>
      </w:r>
      <w:r>
        <w:rPr>
          <w:spacing w:val="-5"/>
          <w:sz w:val="22"/>
        </w:rPr>
        <w:t> </w:t>
      </w:r>
      <w:r>
        <w:rPr>
          <w:sz w:val="22"/>
        </w:rPr>
        <w:t>por</w:t>
      </w:r>
      <w:r>
        <w:rPr>
          <w:spacing w:val="-4"/>
          <w:sz w:val="22"/>
        </w:rPr>
        <w:t> </w:t>
      </w:r>
      <w:r>
        <w:rPr>
          <w:sz w:val="22"/>
        </w:rPr>
        <w:t>las</w:t>
      </w:r>
      <w:r>
        <w:rPr>
          <w:spacing w:val="-5"/>
          <w:sz w:val="22"/>
        </w:rPr>
        <w:t> </w:t>
      </w:r>
      <w:r>
        <w:rPr>
          <w:sz w:val="22"/>
        </w:rPr>
        <w:t>partes</w:t>
      </w:r>
      <w:r>
        <w:rPr>
          <w:spacing w:val="-5"/>
          <w:sz w:val="22"/>
        </w:rPr>
        <w:t> </w:t>
      </w:r>
      <w:r>
        <w:rPr>
          <w:sz w:val="22"/>
        </w:rPr>
        <w:t>intervinientes en el procedimiento, y posteriormente se realizará el análisis de la SGCAN.</w:t>
      </w:r>
    </w:p>
    <w:p>
      <w:pPr>
        <w:pStyle w:val="Heading6"/>
        <w:numPr>
          <w:ilvl w:val="0"/>
          <w:numId w:val="31"/>
        </w:numPr>
        <w:tabs>
          <w:tab w:pos="1854" w:val="left" w:leader="none"/>
        </w:tabs>
        <w:spacing w:line="240" w:lineRule="auto" w:before="252" w:after="0"/>
        <w:ind w:left="1854" w:right="0" w:hanging="360"/>
        <w:jc w:val="left"/>
      </w:pPr>
      <w:r>
        <w:rPr/>
        <w:t>Argumentos</w:t>
      </w:r>
      <w:r>
        <w:rPr>
          <w:spacing w:val="-6"/>
        </w:rPr>
        <w:t> </w:t>
      </w:r>
      <w:r>
        <w:rPr/>
        <w:t>de</w:t>
      </w:r>
      <w:r>
        <w:rPr>
          <w:spacing w:val="-5"/>
        </w:rPr>
        <w:t> </w:t>
      </w:r>
      <w:r>
        <w:rPr/>
        <w:t>la</w:t>
      </w:r>
      <w:r>
        <w:rPr>
          <w:spacing w:val="-4"/>
        </w:rPr>
        <w:t> </w:t>
      </w:r>
      <w:r>
        <w:rPr/>
        <w:t>República</w:t>
      </w:r>
      <w:r>
        <w:rPr>
          <w:spacing w:val="-5"/>
        </w:rPr>
        <w:t> </w:t>
      </w:r>
      <w:r>
        <w:rPr/>
        <w:t>de</w:t>
      </w:r>
      <w:r>
        <w:rPr>
          <w:spacing w:val="-3"/>
        </w:rPr>
        <w:t> </w:t>
      </w:r>
      <w:r>
        <w:rPr>
          <w:spacing w:val="-2"/>
        </w:rPr>
        <w:t>Colombia</w:t>
      </w:r>
    </w:p>
    <w:p>
      <w:pPr>
        <w:pStyle w:val="ListParagraph"/>
        <w:numPr>
          <w:ilvl w:val="0"/>
          <w:numId w:val="11"/>
        </w:numPr>
        <w:tabs>
          <w:tab w:pos="1130" w:val="left" w:leader="none"/>
          <w:tab w:pos="1134" w:val="left" w:leader="none"/>
        </w:tabs>
        <w:spacing w:line="240" w:lineRule="auto" w:before="251" w:after="0"/>
        <w:ind w:left="1134" w:right="974" w:hanging="567"/>
        <w:jc w:val="both"/>
        <w:rPr>
          <w:sz w:val="22"/>
        </w:rPr>
      </w:pPr>
      <w:r>
        <w:rPr>
          <w:sz w:val="22"/>
        </w:rPr>
        <w:t>La República de Colombia sostiene que la República de Ecuador no demuestra ni el costo real del supuesto servicio de control aduanero reforzado, como tampoco</w:t>
      </w:r>
      <w:r>
        <w:rPr>
          <w:spacing w:val="40"/>
          <w:sz w:val="22"/>
        </w:rPr>
        <w:t> </w:t>
      </w:r>
      <w:r>
        <w:rPr>
          <w:sz w:val="22"/>
        </w:rPr>
        <w:t>una metodología transparente que vincule ese costo con la tasa del 30% y luego 50% </w:t>
      </w:r>
      <w:r>
        <w:rPr>
          <w:rFonts w:ascii="Arial" w:hAnsi="Arial"/>
          <w:i/>
          <w:sz w:val="22"/>
        </w:rPr>
        <w:t>ad valorem</w:t>
      </w:r>
      <w:r>
        <w:rPr>
          <w:sz w:val="22"/>
        </w:rPr>
        <w:t>, por lo que la medida opera como un gravamen y no como una tasa por </w:t>
      </w:r>
      <w:r>
        <w:rPr>
          <w:spacing w:val="-2"/>
          <w:sz w:val="22"/>
        </w:rPr>
        <w:t>servicios.</w:t>
      </w:r>
    </w:p>
    <w:p>
      <w:pPr>
        <w:pStyle w:val="BodyText"/>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La República de</w:t>
      </w:r>
      <w:r>
        <w:rPr>
          <w:spacing w:val="-2"/>
          <w:sz w:val="22"/>
        </w:rPr>
        <w:t> </w:t>
      </w:r>
      <w:r>
        <w:rPr>
          <w:sz w:val="22"/>
        </w:rPr>
        <w:t>Colombia afirma</w:t>
      </w:r>
      <w:r>
        <w:rPr>
          <w:spacing w:val="-2"/>
          <w:sz w:val="22"/>
        </w:rPr>
        <w:t> </w:t>
      </w:r>
      <w:r>
        <w:rPr>
          <w:sz w:val="22"/>
        </w:rPr>
        <w:t>que</w:t>
      </w:r>
      <w:r>
        <w:rPr>
          <w:spacing w:val="-2"/>
          <w:sz w:val="22"/>
        </w:rPr>
        <w:t> </w:t>
      </w:r>
      <w:r>
        <w:rPr>
          <w:sz w:val="22"/>
        </w:rPr>
        <w:t>el</w:t>
      </w:r>
      <w:r>
        <w:rPr>
          <w:spacing w:val="-1"/>
          <w:sz w:val="22"/>
        </w:rPr>
        <w:t> </w:t>
      </w:r>
      <w:r>
        <w:rPr>
          <w:sz w:val="22"/>
        </w:rPr>
        <w:t>control</w:t>
      </w:r>
      <w:r>
        <w:rPr>
          <w:spacing w:val="-1"/>
          <w:sz w:val="22"/>
        </w:rPr>
        <w:t> </w:t>
      </w:r>
      <w:r>
        <w:rPr>
          <w:sz w:val="22"/>
        </w:rPr>
        <w:t>aduanero, la</w:t>
      </w:r>
      <w:r>
        <w:rPr>
          <w:spacing w:val="-2"/>
          <w:sz w:val="22"/>
        </w:rPr>
        <w:t> </w:t>
      </w:r>
      <w:r>
        <w:rPr>
          <w:sz w:val="22"/>
        </w:rPr>
        <w:t>fiscalización, la</w:t>
      </w:r>
      <w:r>
        <w:rPr>
          <w:spacing w:val="-2"/>
          <w:sz w:val="22"/>
        </w:rPr>
        <w:t> </w:t>
      </w:r>
      <w:r>
        <w:rPr>
          <w:sz w:val="22"/>
        </w:rPr>
        <w:t>seguridad de la cadena</w:t>
      </w:r>
      <w:r>
        <w:rPr>
          <w:spacing w:val="-2"/>
          <w:sz w:val="22"/>
        </w:rPr>
        <w:t> </w:t>
      </w:r>
      <w:r>
        <w:rPr>
          <w:sz w:val="22"/>
        </w:rPr>
        <w:t>logística, la</w:t>
      </w:r>
      <w:r>
        <w:rPr>
          <w:spacing w:val="-2"/>
          <w:sz w:val="22"/>
        </w:rPr>
        <w:t> </w:t>
      </w:r>
      <w:r>
        <w:rPr>
          <w:sz w:val="22"/>
        </w:rPr>
        <w:t>lucha contra</w:t>
      </w:r>
      <w:r>
        <w:rPr>
          <w:spacing w:val="-2"/>
          <w:sz w:val="22"/>
        </w:rPr>
        <w:t> </w:t>
      </w:r>
      <w:r>
        <w:rPr>
          <w:sz w:val="22"/>
        </w:rPr>
        <w:t>el</w:t>
      </w:r>
      <w:r>
        <w:rPr>
          <w:spacing w:val="-1"/>
          <w:sz w:val="22"/>
        </w:rPr>
        <w:t> </w:t>
      </w:r>
      <w:r>
        <w:rPr>
          <w:sz w:val="22"/>
        </w:rPr>
        <w:t>contrabando y la</w:t>
      </w:r>
      <w:r>
        <w:rPr>
          <w:spacing w:val="-2"/>
          <w:sz w:val="22"/>
        </w:rPr>
        <w:t> </w:t>
      </w:r>
      <w:r>
        <w:rPr>
          <w:sz w:val="22"/>
        </w:rPr>
        <w:t>verificación</w:t>
      </w:r>
      <w:r>
        <w:rPr>
          <w:spacing w:val="-2"/>
          <w:sz w:val="22"/>
        </w:rPr>
        <w:t> </w:t>
      </w:r>
      <w:r>
        <w:rPr>
          <w:sz w:val="22"/>
        </w:rPr>
        <w:t>del</w:t>
      </w:r>
      <w:r>
        <w:rPr>
          <w:spacing w:val="-2"/>
          <w:sz w:val="22"/>
        </w:rPr>
        <w:t> </w:t>
      </w:r>
      <w:r>
        <w:rPr>
          <w:sz w:val="22"/>
        </w:rPr>
        <w:t>cumplimiento de</w:t>
      </w:r>
      <w:r>
        <w:rPr>
          <w:spacing w:val="-1"/>
          <w:sz w:val="22"/>
        </w:rPr>
        <w:t> </w:t>
      </w:r>
      <w:r>
        <w:rPr>
          <w:sz w:val="22"/>
        </w:rPr>
        <w:t>la normativa aduanera, son</w:t>
      </w:r>
      <w:r>
        <w:rPr>
          <w:spacing w:val="-3"/>
          <w:sz w:val="22"/>
        </w:rPr>
        <w:t> </w:t>
      </w:r>
      <w:r>
        <w:rPr>
          <w:sz w:val="22"/>
        </w:rPr>
        <w:t>funciones inherentes a</w:t>
      </w:r>
      <w:r>
        <w:rPr>
          <w:spacing w:val="-3"/>
          <w:sz w:val="22"/>
        </w:rPr>
        <w:t> </w:t>
      </w:r>
      <w:r>
        <w:rPr>
          <w:sz w:val="22"/>
        </w:rPr>
        <w:t>la potestad</w:t>
      </w:r>
      <w:r>
        <w:rPr>
          <w:spacing w:val="-3"/>
          <w:sz w:val="22"/>
        </w:rPr>
        <w:t> </w:t>
      </w:r>
      <w:r>
        <w:rPr>
          <w:sz w:val="22"/>
        </w:rPr>
        <w:t>pública</w:t>
      </w:r>
      <w:r>
        <w:rPr>
          <w:spacing w:val="-3"/>
          <w:sz w:val="22"/>
        </w:rPr>
        <w:t> </w:t>
      </w:r>
      <w:r>
        <w:rPr>
          <w:sz w:val="22"/>
        </w:rPr>
        <w:t>del</w:t>
      </w:r>
      <w:r>
        <w:rPr>
          <w:spacing w:val="-1"/>
          <w:sz w:val="22"/>
        </w:rPr>
        <w:t> </w:t>
      </w:r>
      <w:r>
        <w:rPr>
          <w:sz w:val="22"/>
        </w:rPr>
        <w:t>Estado, y no servicios retribuibles al importador.</w:t>
      </w:r>
    </w:p>
    <w:p>
      <w:pPr>
        <w:pStyle w:val="BodyText"/>
      </w:pPr>
    </w:p>
    <w:p>
      <w:pPr>
        <w:pStyle w:val="ListParagraph"/>
        <w:numPr>
          <w:ilvl w:val="0"/>
          <w:numId w:val="11"/>
        </w:numPr>
        <w:tabs>
          <w:tab w:pos="1130" w:val="left" w:leader="none"/>
          <w:tab w:pos="1134" w:val="left" w:leader="none"/>
        </w:tabs>
        <w:spacing w:line="240" w:lineRule="auto" w:before="0" w:after="0"/>
        <w:ind w:left="1134" w:right="981" w:hanging="567"/>
        <w:jc w:val="both"/>
        <w:rPr>
          <w:sz w:val="22"/>
        </w:rPr>
      </w:pPr>
      <w:r>
        <w:rPr>
          <w:sz w:val="22"/>
        </w:rPr>
        <w:t>En</w:t>
      </w:r>
      <w:r>
        <w:rPr>
          <w:spacing w:val="-16"/>
          <w:sz w:val="22"/>
        </w:rPr>
        <w:t> </w:t>
      </w:r>
      <w:r>
        <w:rPr>
          <w:sz w:val="22"/>
        </w:rPr>
        <w:t>consecuencia,</w:t>
      </w:r>
      <w:r>
        <w:rPr>
          <w:spacing w:val="-15"/>
          <w:sz w:val="22"/>
        </w:rPr>
        <w:t> </w:t>
      </w:r>
      <w:r>
        <w:rPr>
          <w:sz w:val="22"/>
        </w:rPr>
        <w:t>considera</w:t>
      </w:r>
      <w:r>
        <w:rPr>
          <w:spacing w:val="-15"/>
          <w:sz w:val="22"/>
        </w:rPr>
        <w:t> </w:t>
      </w:r>
      <w:r>
        <w:rPr>
          <w:sz w:val="22"/>
        </w:rPr>
        <w:t>que</w:t>
      </w:r>
      <w:r>
        <w:rPr>
          <w:spacing w:val="-14"/>
          <w:sz w:val="22"/>
        </w:rPr>
        <w:t> </w:t>
      </w:r>
      <w:r>
        <w:rPr>
          <w:sz w:val="22"/>
        </w:rPr>
        <w:t>la</w:t>
      </w:r>
      <w:r>
        <w:rPr>
          <w:spacing w:val="-14"/>
          <w:sz w:val="22"/>
        </w:rPr>
        <w:t> </w:t>
      </w:r>
      <w:r>
        <w:rPr>
          <w:sz w:val="22"/>
        </w:rPr>
        <w:t>República</w:t>
      </w:r>
      <w:r>
        <w:rPr>
          <w:spacing w:val="-15"/>
          <w:sz w:val="22"/>
        </w:rPr>
        <w:t> </w:t>
      </w:r>
      <w:r>
        <w:rPr>
          <w:sz w:val="22"/>
        </w:rPr>
        <w:t>del</w:t>
      </w:r>
      <w:r>
        <w:rPr>
          <w:spacing w:val="-16"/>
          <w:sz w:val="22"/>
        </w:rPr>
        <w:t> </w:t>
      </w:r>
      <w:r>
        <w:rPr>
          <w:sz w:val="22"/>
        </w:rPr>
        <w:t>Ecuador</w:t>
      </w:r>
      <w:r>
        <w:rPr>
          <w:spacing w:val="-13"/>
          <w:sz w:val="22"/>
        </w:rPr>
        <w:t> </w:t>
      </w:r>
      <w:r>
        <w:rPr>
          <w:sz w:val="22"/>
        </w:rPr>
        <w:t>pretende</w:t>
      </w:r>
      <w:r>
        <w:rPr>
          <w:spacing w:val="-16"/>
          <w:sz w:val="22"/>
        </w:rPr>
        <w:t> </w:t>
      </w:r>
      <w:r>
        <w:rPr>
          <w:sz w:val="22"/>
        </w:rPr>
        <w:t>financiar,</w:t>
      </w:r>
      <w:r>
        <w:rPr>
          <w:spacing w:val="-14"/>
          <w:sz w:val="22"/>
        </w:rPr>
        <w:t> </w:t>
      </w:r>
      <w:r>
        <w:rPr>
          <w:sz w:val="22"/>
        </w:rPr>
        <w:t>vía</w:t>
      </w:r>
      <w:r>
        <w:rPr>
          <w:spacing w:val="-16"/>
          <w:sz w:val="22"/>
        </w:rPr>
        <w:t> </w:t>
      </w:r>
      <w:r>
        <w:rPr>
          <w:sz w:val="22"/>
        </w:rPr>
        <w:t>TSCA, el ejercicio ordinario de su función soberana de control y seguridad, lo cual, por definición,</w:t>
      </w:r>
      <w:r>
        <w:rPr>
          <w:spacing w:val="-1"/>
          <w:sz w:val="22"/>
        </w:rPr>
        <w:t> </w:t>
      </w:r>
      <w:r>
        <w:rPr>
          <w:sz w:val="22"/>
        </w:rPr>
        <w:t>no</w:t>
      </w:r>
      <w:r>
        <w:rPr>
          <w:spacing w:val="-5"/>
          <w:sz w:val="22"/>
        </w:rPr>
        <w:t> </w:t>
      </w:r>
      <w:r>
        <w:rPr>
          <w:sz w:val="22"/>
        </w:rPr>
        <w:t>se</w:t>
      </w:r>
      <w:r>
        <w:rPr>
          <w:spacing w:val="-5"/>
          <w:sz w:val="22"/>
        </w:rPr>
        <w:t> </w:t>
      </w:r>
      <w:r>
        <w:rPr>
          <w:sz w:val="22"/>
        </w:rPr>
        <w:t>ajusta</w:t>
      </w:r>
      <w:r>
        <w:rPr>
          <w:spacing w:val="-5"/>
          <w:sz w:val="22"/>
        </w:rPr>
        <w:t> </w:t>
      </w:r>
      <w:r>
        <w:rPr>
          <w:sz w:val="22"/>
        </w:rPr>
        <w:t>en</w:t>
      </w:r>
      <w:r>
        <w:rPr>
          <w:spacing w:val="-3"/>
          <w:sz w:val="22"/>
        </w:rPr>
        <w:t> </w:t>
      </w:r>
      <w:r>
        <w:rPr>
          <w:sz w:val="22"/>
        </w:rPr>
        <w:t>la</w:t>
      </w:r>
      <w:r>
        <w:rPr>
          <w:spacing w:val="-3"/>
          <w:sz w:val="22"/>
        </w:rPr>
        <w:t> </w:t>
      </w:r>
      <w:r>
        <w:rPr>
          <w:sz w:val="22"/>
        </w:rPr>
        <w:t>excepción</w:t>
      </w:r>
      <w:r>
        <w:rPr>
          <w:spacing w:val="-3"/>
          <w:sz w:val="22"/>
        </w:rPr>
        <w:t> </w:t>
      </w:r>
      <w:r>
        <w:rPr>
          <w:sz w:val="22"/>
        </w:rPr>
        <w:t>del</w:t>
      </w:r>
      <w:r>
        <w:rPr>
          <w:spacing w:val="-6"/>
          <w:sz w:val="22"/>
        </w:rPr>
        <w:t> </w:t>
      </w:r>
      <w:r>
        <w:rPr>
          <w:sz w:val="22"/>
        </w:rPr>
        <w:t>artículo</w:t>
      </w:r>
      <w:r>
        <w:rPr>
          <w:spacing w:val="-3"/>
          <w:sz w:val="22"/>
        </w:rPr>
        <w:t> </w:t>
      </w:r>
      <w:r>
        <w:rPr>
          <w:sz w:val="22"/>
        </w:rPr>
        <w:t>73</w:t>
      </w:r>
      <w:r>
        <w:rPr>
          <w:spacing w:val="-5"/>
          <w:sz w:val="22"/>
        </w:rPr>
        <w:t> </w:t>
      </w:r>
      <w:r>
        <w:rPr>
          <w:sz w:val="22"/>
        </w:rPr>
        <w:t>del</w:t>
      </w:r>
      <w:r>
        <w:rPr>
          <w:spacing w:val="-3"/>
          <w:sz w:val="22"/>
        </w:rPr>
        <w:t> </w:t>
      </w:r>
      <w:r>
        <w:rPr>
          <w:sz w:val="22"/>
        </w:rPr>
        <w:t>Acuerdo</w:t>
      </w:r>
      <w:r>
        <w:rPr>
          <w:spacing w:val="-5"/>
          <w:sz w:val="22"/>
        </w:rPr>
        <w:t> </w:t>
      </w:r>
      <w:r>
        <w:rPr>
          <w:sz w:val="22"/>
        </w:rPr>
        <w:t>de</w:t>
      </w:r>
      <w:r>
        <w:rPr>
          <w:spacing w:val="-5"/>
          <w:sz w:val="22"/>
        </w:rPr>
        <w:t> </w:t>
      </w:r>
      <w:r>
        <w:rPr>
          <w:sz w:val="22"/>
        </w:rPr>
        <w:t>Cartagena</w:t>
      </w:r>
      <w:r>
        <w:rPr>
          <w:spacing w:val="-3"/>
          <w:sz w:val="22"/>
        </w:rPr>
        <w:t> </w:t>
      </w:r>
      <w:r>
        <w:rPr>
          <w:sz w:val="22"/>
        </w:rPr>
        <w:t>sobre tasas vinculadas a servicios prestados.</w:t>
      </w:r>
    </w:p>
    <w:p>
      <w:pPr>
        <w:pStyle w:val="BodyText"/>
      </w:pPr>
    </w:p>
    <w:p>
      <w:pPr>
        <w:pStyle w:val="ListParagraph"/>
        <w:numPr>
          <w:ilvl w:val="0"/>
          <w:numId w:val="11"/>
        </w:numPr>
        <w:tabs>
          <w:tab w:pos="1130" w:val="left" w:leader="none"/>
          <w:tab w:pos="1134" w:val="left" w:leader="none"/>
        </w:tabs>
        <w:spacing w:line="240" w:lineRule="auto" w:before="0" w:after="0"/>
        <w:ind w:left="1134" w:right="981" w:hanging="567"/>
        <w:jc w:val="both"/>
        <w:rPr>
          <w:sz w:val="22"/>
        </w:rPr>
      </w:pPr>
      <w:r>
        <w:rPr>
          <w:sz w:val="22"/>
        </w:rPr>
        <w:t>La República de Colombia subraya que la República del Ecuador no individualiza un costo</w:t>
      </w:r>
      <w:r>
        <w:rPr>
          <w:spacing w:val="-12"/>
          <w:sz w:val="22"/>
        </w:rPr>
        <w:t> </w:t>
      </w:r>
      <w:r>
        <w:rPr>
          <w:sz w:val="22"/>
        </w:rPr>
        <w:t>unitario</w:t>
      </w:r>
      <w:r>
        <w:rPr>
          <w:spacing w:val="-13"/>
          <w:sz w:val="22"/>
        </w:rPr>
        <w:t> </w:t>
      </w:r>
      <w:r>
        <w:rPr>
          <w:sz w:val="22"/>
        </w:rPr>
        <w:t>por</w:t>
      </w:r>
      <w:r>
        <w:rPr>
          <w:spacing w:val="-11"/>
          <w:sz w:val="22"/>
        </w:rPr>
        <w:t> </w:t>
      </w:r>
      <w:r>
        <w:rPr>
          <w:sz w:val="22"/>
        </w:rPr>
        <w:t>operación</w:t>
      </w:r>
      <w:r>
        <w:rPr>
          <w:spacing w:val="-10"/>
          <w:sz w:val="22"/>
        </w:rPr>
        <w:t> </w:t>
      </w:r>
      <w:r>
        <w:rPr>
          <w:sz w:val="22"/>
        </w:rPr>
        <w:t>(por</w:t>
      </w:r>
      <w:r>
        <w:rPr>
          <w:spacing w:val="-11"/>
          <w:sz w:val="22"/>
        </w:rPr>
        <w:t> </w:t>
      </w:r>
      <w:r>
        <w:rPr>
          <w:sz w:val="22"/>
        </w:rPr>
        <w:t>contenedor,</w:t>
      </w:r>
      <w:r>
        <w:rPr>
          <w:spacing w:val="-11"/>
          <w:sz w:val="22"/>
        </w:rPr>
        <w:t> </w:t>
      </w:r>
      <w:r>
        <w:rPr>
          <w:sz w:val="22"/>
        </w:rPr>
        <w:t>por</w:t>
      </w:r>
      <w:r>
        <w:rPr>
          <w:spacing w:val="-9"/>
          <w:sz w:val="22"/>
        </w:rPr>
        <w:t> </w:t>
      </w:r>
      <w:r>
        <w:rPr>
          <w:sz w:val="22"/>
        </w:rPr>
        <w:t>aforo,</w:t>
      </w:r>
      <w:r>
        <w:rPr>
          <w:spacing w:val="-9"/>
          <w:sz w:val="22"/>
        </w:rPr>
        <w:t> </w:t>
      </w:r>
      <w:r>
        <w:rPr>
          <w:sz w:val="22"/>
        </w:rPr>
        <w:t>por</w:t>
      </w:r>
      <w:r>
        <w:rPr>
          <w:spacing w:val="-11"/>
          <w:sz w:val="22"/>
        </w:rPr>
        <w:t> </w:t>
      </w:r>
      <w:r>
        <w:rPr>
          <w:sz w:val="22"/>
        </w:rPr>
        <w:t>inspección),</w:t>
      </w:r>
      <w:r>
        <w:rPr>
          <w:spacing w:val="-11"/>
          <w:sz w:val="22"/>
        </w:rPr>
        <w:t> </w:t>
      </w:r>
      <w:r>
        <w:rPr>
          <w:sz w:val="22"/>
        </w:rPr>
        <w:t>sino</w:t>
      </w:r>
      <w:r>
        <w:rPr>
          <w:spacing w:val="-10"/>
          <w:sz w:val="22"/>
        </w:rPr>
        <w:t> </w:t>
      </w:r>
      <w:r>
        <w:rPr>
          <w:sz w:val="22"/>
        </w:rPr>
        <w:t>que</w:t>
      </w:r>
      <w:r>
        <w:rPr>
          <w:spacing w:val="-12"/>
          <w:sz w:val="22"/>
        </w:rPr>
        <w:t> </w:t>
      </w:r>
      <w:r>
        <w:rPr>
          <w:sz w:val="22"/>
        </w:rPr>
        <w:t>invoca necesidades fiscales y operativas generales de la administración aduanera.</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Para</w:t>
      </w:r>
      <w:r>
        <w:rPr>
          <w:spacing w:val="-4"/>
          <w:sz w:val="22"/>
        </w:rPr>
        <w:t> </w:t>
      </w:r>
      <w:r>
        <w:rPr>
          <w:sz w:val="22"/>
        </w:rPr>
        <w:t>la</w:t>
      </w:r>
      <w:r>
        <w:rPr>
          <w:spacing w:val="-6"/>
          <w:sz w:val="22"/>
        </w:rPr>
        <w:t> </w:t>
      </w:r>
      <w:r>
        <w:rPr>
          <w:sz w:val="22"/>
        </w:rPr>
        <w:t>República</w:t>
      </w:r>
      <w:r>
        <w:rPr>
          <w:spacing w:val="-4"/>
          <w:sz w:val="22"/>
        </w:rPr>
        <w:t> </w:t>
      </w:r>
      <w:r>
        <w:rPr>
          <w:sz w:val="22"/>
        </w:rPr>
        <w:t>de</w:t>
      </w:r>
      <w:r>
        <w:rPr>
          <w:spacing w:val="-7"/>
          <w:sz w:val="22"/>
        </w:rPr>
        <w:t> </w:t>
      </w:r>
      <w:r>
        <w:rPr>
          <w:sz w:val="22"/>
        </w:rPr>
        <w:t>Colombia,</w:t>
      </w:r>
      <w:r>
        <w:rPr>
          <w:spacing w:val="-5"/>
          <w:sz w:val="22"/>
        </w:rPr>
        <w:t> </w:t>
      </w:r>
      <w:r>
        <w:rPr>
          <w:sz w:val="22"/>
        </w:rPr>
        <w:t>el</w:t>
      </w:r>
      <w:r>
        <w:rPr>
          <w:spacing w:val="-5"/>
          <w:sz w:val="22"/>
        </w:rPr>
        <w:t> </w:t>
      </w:r>
      <w:r>
        <w:rPr>
          <w:sz w:val="22"/>
        </w:rPr>
        <w:t>uso</w:t>
      </w:r>
      <w:r>
        <w:rPr>
          <w:spacing w:val="-6"/>
          <w:sz w:val="22"/>
        </w:rPr>
        <w:t> </w:t>
      </w:r>
      <w:r>
        <w:rPr>
          <w:sz w:val="22"/>
        </w:rPr>
        <w:t>de</w:t>
      </w:r>
      <w:r>
        <w:rPr>
          <w:spacing w:val="-7"/>
          <w:sz w:val="22"/>
        </w:rPr>
        <w:t> </w:t>
      </w:r>
      <w:r>
        <w:rPr>
          <w:sz w:val="22"/>
        </w:rPr>
        <w:t>una</w:t>
      </w:r>
      <w:r>
        <w:rPr>
          <w:spacing w:val="-6"/>
          <w:sz w:val="22"/>
        </w:rPr>
        <w:t> </w:t>
      </w:r>
      <w:r>
        <w:rPr>
          <w:sz w:val="22"/>
        </w:rPr>
        <w:t>base</w:t>
      </w:r>
      <w:r>
        <w:rPr>
          <w:spacing w:val="-4"/>
          <w:sz w:val="22"/>
        </w:rPr>
        <w:t> </w:t>
      </w:r>
      <w:r>
        <w:rPr>
          <w:sz w:val="22"/>
        </w:rPr>
        <w:t>de</w:t>
      </w:r>
      <w:r>
        <w:rPr>
          <w:spacing w:val="-7"/>
          <w:sz w:val="22"/>
        </w:rPr>
        <w:t> </w:t>
      </w:r>
      <w:r>
        <w:rPr>
          <w:sz w:val="22"/>
        </w:rPr>
        <w:t>cálculo</w:t>
      </w:r>
      <w:r>
        <w:rPr>
          <w:spacing w:val="-5"/>
          <w:sz w:val="22"/>
        </w:rPr>
        <w:t> </w:t>
      </w:r>
      <w:r>
        <w:rPr>
          <w:rFonts w:ascii="Arial" w:hAnsi="Arial"/>
          <w:i/>
          <w:sz w:val="22"/>
        </w:rPr>
        <w:t>ad</w:t>
      </w:r>
      <w:r>
        <w:rPr>
          <w:rFonts w:ascii="Arial" w:hAnsi="Arial"/>
          <w:i/>
          <w:spacing w:val="-7"/>
          <w:sz w:val="22"/>
        </w:rPr>
        <w:t> </w:t>
      </w:r>
      <w:r>
        <w:rPr>
          <w:rFonts w:ascii="Arial" w:hAnsi="Arial"/>
          <w:i/>
          <w:sz w:val="22"/>
        </w:rPr>
        <w:t>valorem</w:t>
      </w:r>
      <w:r>
        <w:rPr>
          <w:rFonts w:ascii="Arial" w:hAnsi="Arial"/>
          <w:i/>
          <w:spacing w:val="-5"/>
          <w:sz w:val="22"/>
        </w:rPr>
        <w:t> </w:t>
      </w:r>
      <w:r>
        <w:rPr>
          <w:sz w:val="22"/>
        </w:rPr>
        <w:t>(30%</w:t>
      </w:r>
      <w:r>
        <w:rPr>
          <w:spacing w:val="-6"/>
          <w:sz w:val="22"/>
        </w:rPr>
        <w:t> </w:t>
      </w:r>
      <w:r>
        <w:rPr>
          <w:sz w:val="22"/>
        </w:rPr>
        <w:t>y</w:t>
      </w:r>
      <w:r>
        <w:rPr>
          <w:spacing w:val="-6"/>
          <w:sz w:val="22"/>
        </w:rPr>
        <w:t> </w:t>
      </w:r>
      <w:r>
        <w:rPr>
          <w:sz w:val="22"/>
        </w:rPr>
        <w:t>luego 50% del</w:t>
      </w:r>
      <w:r>
        <w:rPr>
          <w:spacing w:val="-2"/>
          <w:sz w:val="22"/>
        </w:rPr>
        <w:t> </w:t>
      </w:r>
      <w:r>
        <w:rPr>
          <w:sz w:val="22"/>
        </w:rPr>
        <w:t>valor</w:t>
      </w:r>
      <w:r>
        <w:rPr>
          <w:spacing w:val="-1"/>
          <w:sz w:val="22"/>
        </w:rPr>
        <w:t> </w:t>
      </w:r>
      <w:r>
        <w:rPr>
          <w:sz w:val="22"/>
        </w:rPr>
        <w:t>en aduana), revela</w:t>
      </w:r>
      <w:r>
        <w:rPr>
          <w:spacing w:val="-2"/>
          <w:sz w:val="22"/>
        </w:rPr>
        <w:t> </w:t>
      </w:r>
      <w:r>
        <w:rPr>
          <w:sz w:val="22"/>
        </w:rPr>
        <w:t>que la</w:t>
      </w:r>
      <w:r>
        <w:rPr>
          <w:spacing w:val="-2"/>
          <w:sz w:val="22"/>
        </w:rPr>
        <w:t> </w:t>
      </w:r>
      <w:r>
        <w:rPr>
          <w:sz w:val="22"/>
        </w:rPr>
        <w:t>TSCA se</w:t>
      </w:r>
      <w:r>
        <w:rPr>
          <w:spacing w:val="-2"/>
          <w:sz w:val="22"/>
        </w:rPr>
        <w:t> </w:t>
      </w:r>
      <w:r>
        <w:rPr>
          <w:sz w:val="22"/>
        </w:rPr>
        <w:t>estructura</w:t>
      </w:r>
      <w:r>
        <w:rPr>
          <w:spacing w:val="-1"/>
          <w:sz w:val="22"/>
        </w:rPr>
        <w:t> </w:t>
      </w:r>
      <w:r>
        <w:rPr>
          <w:sz w:val="22"/>
        </w:rPr>
        <w:t>como un</w:t>
      </w:r>
      <w:r>
        <w:rPr>
          <w:spacing w:val="-2"/>
          <w:sz w:val="22"/>
        </w:rPr>
        <w:t> </w:t>
      </w:r>
      <w:r>
        <w:rPr>
          <w:sz w:val="22"/>
        </w:rPr>
        <w:t>recargo</w:t>
      </w:r>
      <w:r>
        <w:rPr>
          <w:spacing w:val="-2"/>
          <w:sz w:val="22"/>
        </w:rPr>
        <w:t> </w:t>
      </w:r>
      <w:r>
        <w:rPr>
          <w:sz w:val="22"/>
        </w:rPr>
        <w:t>típico</w:t>
      </w:r>
      <w:r>
        <w:rPr>
          <w:spacing w:val="-2"/>
          <w:sz w:val="22"/>
        </w:rPr>
        <w:t> </w:t>
      </w:r>
      <w:r>
        <w:rPr>
          <w:sz w:val="22"/>
        </w:rPr>
        <w:t>de un derecho de importación, y no como el pago por la contraprestación de un servicio.</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Señala</w:t>
      </w:r>
      <w:r>
        <w:rPr>
          <w:spacing w:val="-6"/>
          <w:sz w:val="22"/>
        </w:rPr>
        <w:t> </w:t>
      </w:r>
      <w:r>
        <w:rPr>
          <w:sz w:val="22"/>
        </w:rPr>
        <w:t>que</w:t>
      </w:r>
      <w:r>
        <w:rPr>
          <w:spacing w:val="-6"/>
          <w:sz w:val="22"/>
        </w:rPr>
        <w:t> </w:t>
      </w:r>
      <w:r>
        <w:rPr>
          <w:sz w:val="22"/>
        </w:rPr>
        <w:t>el</w:t>
      </w:r>
      <w:r>
        <w:rPr>
          <w:spacing w:val="-7"/>
          <w:sz w:val="22"/>
        </w:rPr>
        <w:t> </w:t>
      </w:r>
      <w:r>
        <w:rPr>
          <w:sz w:val="22"/>
        </w:rPr>
        <w:t>costo</w:t>
      </w:r>
      <w:r>
        <w:rPr>
          <w:spacing w:val="-6"/>
          <w:sz w:val="22"/>
        </w:rPr>
        <w:t> </w:t>
      </w:r>
      <w:r>
        <w:rPr>
          <w:sz w:val="22"/>
        </w:rPr>
        <w:t>de</w:t>
      </w:r>
      <w:r>
        <w:rPr>
          <w:spacing w:val="-6"/>
          <w:sz w:val="22"/>
        </w:rPr>
        <w:t> </w:t>
      </w:r>
      <w:r>
        <w:rPr>
          <w:sz w:val="22"/>
        </w:rPr>
        <w:t>una</w:t>
      </w:r>
      <w:r>
        <w:rPr>
          <w:spacing w:val="-7"/>
          <w:sz w:val="22"/>
        </w:rPr>
        <w:t> </w:t>
      </w:r>
      <w:r>
        <w:rPr>
          <w:sz w:val="22"/>
        </w:rPr>
        <w:t>inspección</w:t>
      </w:r>
      <w:r>
        <w:rPr>
          <w:spacing w:val="-7"/>
          <w:sz w:val="22"/>
        </w:rPr>
        <w:t> </w:t>
      </w:r>
      <w:r>
        <w:rPr>
          <w:sz w:val="22"/>
        </w:rPr>
        <w:t>o</w:t>
      </w:r>
      <w:r>
        <w:rPr>
          <w:spacing w:val="-6"/>
          <w:sz w:val="22"/>
        </w:rPr>
        <w:t> </w:t>
      </w:r>
      <w:r>
        <w:rPr>
          <w:sz w:val="22"/>
        </w:rPr>
        <w:t>control</w:t>
      </w:r>
      <w:r>
        <w:rPr>
          <w:spacing w:val="-7"/>
          <w:sz w:val="22"/>
        </w:rPr>
        <w:t> </w:t>
      </w:r>
      <w:r>
        <w:rPr>
          <w:sz w:val="22"/>
        </w:rPr>
        <w:t>aduanero</w:t>
      </w:r>
      <w:r>
        <w:rPr>
          <w:spacing w:val="-6"/>
          <w:sz w:val="22"/>
        </w:rPr>
        <w:t> </w:t>
      </w:r>
      <w:r>
        <w:rPr>
          <w:sz w:val="22"/>
        </w:rPr>
        <w:t>no</w:t>
      </w:r>
      <w:r>
        <w:rPr>
          <w:spacing w:val="-7"/>
          <w:sz w:val="22"/>
        </w:rPr>
        <w:t> </w:t>
      </w:r>
      <w:r>
        <w:rPr>
          <w:sz w:val="22"/>
        </w:rPr>
        <w:t>varía</w:t>
      </w:r>
      <w:r>
        <w:rPr>
          <w:spacing w:val="-9"/>
          <w:sz w:val="22"/>
        </w:rPr>
        <w:t> </w:t>
      </w:r>
      <w:r>
        <w:rPr>
          <w:sz w:val="22"/>
        </w:rPr>
        <w:t>necesariamente</w:t>
      </w:r>
      <w:r>
        <w:rPr>
          <w:spacing w:val="-9"/>
          <w:sz w:val="22"/>
        </w:rPr>
        <w:t> </w:t>
      </w:r>
      <w:r>
        <w:rPr>
          <w:sz w:val="22"/>
        </w:rPr>
        <w:t>con el valor comercial de la mercancía, pues una misma actuación de aforo puede recaer sobre</w:t>
      </w:r>
      <w:r>
        <w:rPr>
          <w:spacing w:val="-14"/>
          <w:sz w:val="22"/>
        </w:rPr>
        <w:t> </w:t>
      </w:r>
      <w:r>
        <w:rPr>
          <w:sz w:val="22"/>
        </w:rPr>
        <w:t>mercancías</w:t>
      </w:r>
      <w:r>
        <w:rPr>
          <w:spacing w:val="-12"/>
          <w:sz w:val="22"/>
        </w:rPr>
        <w:t> </w:t>
      </w:r>
      <w:r>
        <w:rPr>
          <w:sz w:val="22"/>
        </w:rPr>
        <w:t>de</w:t>
      </w:r>
      <w:r>
        <w:rPr>
          <w:spacing w:val="-14"/>
          <w:sz w:val="22"/>
        </w:rPr>
        <w:t> </w:t>
      </w:r>
      <w:r>
        <w:rPr>
          <w:sz w:val="22"/>
        </w:rPr>
        <w:t>distinto</w:t>
      </w:r>
      <w:r>
        <w:rPr>
          <w:spacing w:val="-12"/>
          <w:sz w:val="22"/>
        </w:rPr>
        <w:t> </w:t>
      </w:r>
      <w:r>
        <w:rPr>
          <w:sz w:val="22"/>
        </w:rPr>
        <w:t>valor</w:t>
      </w:r>
      <w:r>
        <w:rPr>
          <w:spacing w:val="-11"/>
          <w:sz w:val="22"/>
        </w:rPr>
        <w:t> </w:t>
      </w:r>
      <w:r>
        <w:rPr>
          <w:sz w:val="22"/>
        </w:rPr>
        <w:t>sin</w:t>
      </w:r>
      <w:r>
        <w:rPr>
          <w:spacing w:val="-12"/>
          <w:sz w:val="22"/>
        </w:rPr>
        <w:t> </w:t>
      </w:r>
      <w:r>
        <w:rPr>
          <w:sz w:val="22"/>
        </w:rPr>
        <w:t>que</w:t>
      </w:r>
      <w:r>
        <w:rPr>
          <w:spacing w:val="-12"/>
          <w:sz w:val="22"/>
        </w:rPr>
        <w:t> </w:t>
      </w:r>
      <w:r>
        <w:rPr>
          <w:sz w:val="22"/>
        </w:rPr>
        <w:t>ello</w:t>
      </w:r>
      <w:r>
        <w:rPr>
          <w:spacing w:val="-12"/>
          <w:sz w:val="22"/>
        </w:rPr>
        <w:t> </w:t>
      </w:r>
      <w:r>
        <w:rPr>
          <w:sz w:val="22"/>
        </w:rPr>
        <w:t>suponga</w:t>
      </w:r>
      <w:r>
        <w:rPr>
          <w:spacing w:val="-13"/>
          <w:sz w:val="22"/>
        </w:rPr>
        <w:t> </w:t>
      </w:r>
      <w:r>
        <w:rPr>
          <w:sz w:val="22"/>
        </w:rPr>
        <w:t>mayores</w:t>
      </w:r>
      <w:r>
        <w:rPr>
          <w:spacing w:val="-12"/>
          <w:sz w:val="22"/>
        </w:rPr>
        <w:t> </w:t>
      </w:r>
      <w:r>
        <w:rPr>
          <w:sz w:val="22"/>
        </w:rPr>
        <w:t>costos</w:t>
      </w:r>
      <w:r>
        <w:rPr>
          <w:spacing w:val="-12"/>
          <w:sz w:val="22"/>
        </w:rPr>
        <w:t> </w:t>
      </w:r>
      <w:r>
        <w:rPr>
          <w:sz w:val="22"/>
        </w:rPr>
        <w:t>para</w:t>
      </w:r>
      <w:r>
        <w:rPr>
          <w:spacing w:val="-12"/>
          <w:sz w:val="22"/>
        </w:rPr>
        <w:t> </w:t>
      </w:r>
      <w:r>
        <w:rPr>
          <w:sz w:val="22"/>
        </w:rPr>
        <w:t>la</w:t>
      </w:r>
      <w:r>
        <w:rPr>
          <w:spacing w:val="-12"/>
          <w:sz w:val="22"/>
        </w:rPr>
        <w:t> </w:t>
      </w:r>
      <w:r>
        <w:rPr>
          <w:sz w:val="22"/>
        </w:rPr>
        <w:t>aduana.</w:t>
      </w:r>
    </w:p>
    <w:p>
      <w:pPr>
        <w:pStyle w:val="ListParagraph"/>
        <w:numPr>
          <w:ilvl w:val="0"/>
          <w:numId w:val="11"/>
        </w:numPr>
        <w:tabs>
          <w:tab w:pos="1130" w:val="left" w:leader="none"/>
          <w:tab w:pos="1134" w:val="left" w:leader="none"/>
        </w:tabs>
        <w:spacing w:line="240" w:lineRule="auto" w:before="252" w:after="0"/>
        <w:ind w:left="1134" w:right="976" w:hanging="567"/>
        <w:jc w:val="both"/>
        <w:rPr>
          <w:sz w:val="22"/>
        </w:rPr>
      </w:pPr>
      <w:r>
        <w:rPr>
          <w:sz w:val="22"/>
        </w:rPr>
        <w:t>De allí, considera que se deduce que una tasa calculada como porcentaje del valor en aduana carece de relación directa y proporcional con el costo del servicio, contraviniendo el artículo 73 del Acuerdo de Cartagena y la jurisprudencia del TJCAN (Proceso 12</w:t>
      </w:r>
      <w:r>
        <w:rPr>
          <w:rFonts w:ascii="Cambria Math" w:hAnsi="Cambria Math"/>
          <w:sz w:val="22"/>
        </w:rPr>
        <w:t>‑</w:t>
      </w:r>
      <w:r>
        <w:rPr>
          <w:sz w:val="22"/>
        </w:rPr>
        <w:t>AN</w:t>
      </w:r>
      <w:r>
        <w:rPr>
          <w:rFonts w:ascii="Cambria Math" w:hAnsi="Cambria Math"/>
          <w:sz w:val="22"/>
        </w:rPr>
        <w:t>‑</w:t>
      </w:r>
      <w:r>
        <w:rPr>
          <w:sz w:val="22"/>
        </w:rPr>
        <w:t>99) sobre la necesaria correspondencia aproximada con el costo del </w:t>
      </w:r>
      <w:r>
        <w:rPr>
          <w:spacing w:val="-2"/>
          <w:sz w:val="22"/>
        </w:rPr>
        <w:t>servicio.</w:t>
      </w:r>
    </w:p>
    <w:p>
      <w:pPr>
        <w:pStyle w:val="BodyText"/>
      </w:pPr>
    </w:p>
    <w:p>
      <w:pPr>
        <w:pStyle w:val="Heading6"/>
        <w:numPr>
          <w:ilvl w:val="0"/>
          <w:numId w:val="32"/>
        </w:numPr>
        <w:tabs>
          <w:tab w:pos="1854" w:val="left" w:leader="none"/>
        </w:tabs>
        <w:spacing w:line="240" w:lineRule="auto" w:before="1" w:after="0"/>
        <w:ind w:left="1854" w:right="0" w:hanging="360"/>
        <w:jc w:val="left"/>
      </w:pPr>
      <w:r>
        <w:rPr/>
        <w:t>Argumentos</w:t>
      </w:r>
      <w:r>
        <w:rPr>
          <w:spacing w:val="-6"/>
        </w:rPr>
        <w:t> </w:t>
      </w:r>
      <w:r>
        <w:rPr/>
        <w:t>de</w:t>
      </w:r>
      <w:r>
        <w:rPr>
          <w:spacing w:val="-6"/>
        </w:rPr>
        <w:t> </w:t>
      </w:r>
      <w:r>
        <w:rPr/>
        <w:t>la</w:t>
      </w:r>
      <w:r>
        <w:rPr>
          <w:spacing w:val="-3"/>
        </w:rPr>
        <w:t> </w:t>
      </w:r>
      <w:r>
        <w:rPr/>
        <w:t>República</w:t>
      </w:r>
      <w:r>
        <w:rPr>
          <w:spacing w:val="-6"/>
        </w:rPr>
        <w:t> </w:t>
      </w:r>
      <w:r>
        <w:rPr/>
        <w:t>del</w:t>
      </w:r>
      <w:r>
        <w:rPr>
          <w:spacing w:val="-4"/>
        </w:rPr>
        <w:t> </w:t>
      </w:r>
      <w:r>
        <w:rPr>
          <w:spacing w:val="-2"/>
        </w:rPr>
        <w:t>Ecuador</w:t>
      </w:r>
    </w:p>
    <w:p>
      <w:pPr>
        <w:pStyle w:val="ListParagraph"/>
        <w:numPr>
          <w:ilvl w:val="0"/>
          <w:numId w:val="11"/>
        </w:numPr>
        <w:tabs>
          <w:tab w:pos="1130" w:val="left" w:leader="none"/>
          <w:tab w:pos="1134" w:val="left" w:leader="none"/>
        </w:tabs>
        <w:spacing w:line="240" w:lineRule="auto" w:before="251" w:after="0"/>
        <w:ind w:left="1134" w:right="981" w:hanging="567"/>
        <w:jc w:val="both"/>
        <w:rPr>
          <w:sz w:val="22"/>
        </w:rPr>
      </w:pPr>
      <w:r>
        <w:rPr>
          <w:sz w:val="22"/>
        </w:rPr>
        <w:t>La República del Ecuador ha justificado el costo del servicio y el cálculo de la tasa en dos etapas: primero para el 30%, luego para el 50%, utilizando</w:t>
      </w:r>
      <w:r>
        <w:rPr>
          <w:spacing w:val="40"/>
          <w:sz w:val="22"/>
        </w:rPr>
        <w:t> </w:t>
      </w:r>
      <w:r>
        <w:rPr>
          <w:sz w:val="22"/>
        </w:rPr>
        <w:t>una metodología de costeo “global”, y una fórmula </w:t>
      </w:r>
      <w:r>
        <w:rPr>
          <w:rFonts w:ascii="Arial" w:hAnsi="Arial"/>
          <w:i/>
          <w:sz w:val="22"/>
        </w:rPr>
        <w:t>ad valorem </w:t>
      </w:r>
      <w:r>
        <w:rPr>
          <w:sz w:val="22"/>
        </w:rPr>
        <w:t>aplicada a la base de importaciones desde </w:t>
      </w:r>
      <w:r>
        <w:rPr>
          <w:spacing w:val="-2"/>
          <w:sz w:val="22"/>
        </w:rPr>
        <w:t>Colombia.</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Heading6"/>
        <w:numPr>
          <w:ilvl w:val="0"/>
          <w:numId w:val="33"/>
        </w:numPr>
        <w:tabs>
          <w:tab w:pos="1852" w:val="left" w:leader="none"/>
        </w:tabs>
        <w:spacing w:line="240" w:lineRule="auto" w:before="0" w:after="0"/>
        <w:ind w:left="1852" w:right="0" w:hanging="358"/>
        <w:jc w:val="left"/>
      </w:pPr>
      <w:r>
        <w:rPr/>
        <w:t>Costo</w:t>
      </w:r>
      <w:r>
        <w:rPr>
          <w:spacing w:val="-4"/>
        </w:rPr>
        <w:t> </w:t>
      </w:r>
      <w:r>
        <w:rPr/>
        <w:t>del</w:t>
      </w:r>
      <w:r>
        <w:rPr>
          <w:spacing w:val="-4"/>
        </w:rPr>
        <w:t> </w:t>
      </w:r>
      <w:r>
        <w:rPr/>
        <w:t>servicio</w:t>
      </w:r>
      <w:r>
        <w:rPr>
          <w:spacing w:val="-5"/>
        </w:rPr>
        <w:t> </w:t>
      </w:r>
      <w:r>
        <w:rPr>
          <w:spacing w:val="-2"/>
        </w:rPr>
        <w:t>prestado</w:t>
      </w:r>
    </w:p>
    <w:p>
      <w:pPr>
        <w:pStyle w:val="BodyText"/>
        <w:spacing w:before="1"/>
        <w:rPr>
          <w:rFonts w:ascii="Arial"/>
          <w:b/>
        </w:rPr>
      </w:pPr>
    </w:p>
    <w:p>
      <w:pPr>
        <w:pStyle w:val="ListParagraph"/>
        <w:numPr>
          <w:ilvl w:val="0"/>
          <w:numId w:val="34"/>
        </w:numPr>
        <w:tabs>
          <w:tab w:pos="1492" w:val="left" w:leader="none"/>
        </w:tabs>
        <w:spacing w:line="240" w:lineRule="auto" w:before="0" w:after="0"/>
        <w:ind w:left="1492" w:right="0" w:hanging="358"/>
        <w:jc w:val="left"/>
        <w:rPr>
          <w:rFonts w:ascii="Arial"/>
          <w:b/>
          <w:sz w:val="22"/>
        </w:rPr>
      </w:pPr>
      <w:r>
        <w:rPr>
          <w:rFonts w:ascii="Arial"/>
          <w:b/>
          <w:sz w:val="22"/>
        </w:rPr>
        <w:t>Costo</w:t>
      </w:r>
      <w:r>
        <w:rPr>
          <w:rFonts w:ascii="Arial"/>
          <w:b/>
          <w:spacing w:val="-3"/>
          <w:sz w:val="22"/>
        </w:rPr>
        <w:t> </w:t>
      </w:r>
      <w:r>
        <w:rPr>
          <w:rFonts w:ascii="Arial"/>
          <w:b/>
          <w:sz w:val="22"/>
        </w:rPr>
        <w:t>anual</w:t>
      </w:r>
      <w:r>
        <w:rPr>
          <w:rFonts w:ascii="Arial"/>
          <w:b/>
          <w:spacing w:val="-3"/>
          <w:sz w:val="22"/>
        </w:rPr>
        <w:t> </w:t>
      </w:r>
      <w:r>
        <w:rPr>
          <w:rFonts w:ascii="Arial"/>
          <w:b/>
          <w:sz w:val="22"/>
        </w:rPr>
        <w:t>estimado</w:t>
      </w:r>
      <w:r>
        <w:rPr>
          <w:rFonts w:ascii="Arial"/>
          <w:b/>
          <w:spacing w:val="-7"/>
          <w:sz w:val="22"/>
        </w:rPr>
        <w:t> </w:t>
      </w:r>
      <w:r>
        <w:rPr>
          <w:rFonts w:ascii="Arial"/>
          <w:b/>
          <w:sz w:val="22"/>
        </w:rPr>
        <w:t>para</w:t>
      </w:r>
      <w:r>
        <w:rPr>
          <w:rFonts w:ascii="Arial"/>
          <w:b/>
          <w:spacing w:val="-1"/>
          <w:sz w:val="22"/>
        </w:rPr>
        <w:t> </w:t>
      </w:r>
      <w:r>
        <w:rPr>
          <w:rFonts w:ascii="Arial"/>
          <w:b/>
          <w:sz w:val="22"/>
        </w:rPr>
        <w:t>la</w:t>
      </w:r>
      <w:r>
        <w:rPr>
          <w:rFonts w:ascii="Arial"/>
          <w:b/>
          <w:spacing w:val="-4"/>
          <w:sz w:val="22"/>
        </w:rPr>
        <w:t> </w:t>
      </w:r>
      <w:r>
        <w:rPr>
          <w:rFonts w:ascii="Arial"/>
          <w:b/>
          <w:sz w:val="22"/>
        </w:rPr>
        <w:t>tasa</w:t>
      </w:r>
      <w:r>
        <w:rPr>
          <w:rFonts w:ascii="Arial"/>
          <w:b/>
          <w:spacing w:val="-4"/>
          <w:sz w:val="22"/>
        </w:rPr>
        <w:t> </w:t>
      </w:r>
      <w:r>
        <w:rPr>
          <w:rFonts w:ascii="Arial"/>
          <w:b/>
          <w:sz w:val="22"/>
        </w:rPr>
        <w:t>de</w:t>
      </w:r>
      <w:r>
        <w:rPr>
          <w:rFonts w:ascii="Arial"/>
          <w:b/>
          <w:spacing w:val="-5"/>
          <w:sz w:val="22"/>
        </w:rPr>
        <w:t> 30%</w:t>
      </w:r>
    </w:p>
    <w:p>
      <w:pPr>
        <w:pStyle w:val="BodyText"/>
        <w:rPr>
          <w:rFonts w:ascii="Arial"/>
          <w:b/>
        </w:rPr>
      </w:pPr>
    </w:p>
    <w:p>
      <w:pPr>
        <w:pStyle w:val="BodyText"/>
        <w:ind w:left="1134" w:right="955"/>
      </w:pPr>
      <w:r>
        <w:rPr/>
        <w:t>En</w:t>
      </w:r>
      <w:r>
        <w:rPr>
          <w:spacing w:val="39"/>
        </w:rPr>
        <w:t> </w:t>
      </w:r>
      <w:r>
        <w:rPr/>
        <w:t>el</w:t>
      </w:r>
      <w:r>
        <w:rPr>
          <w:spacing w:val="38"/>
        </w:rPr>
        <w:t> </w:t>
      </w:r>
      <w:r>
        <w:rPr/>
        <w:t>caso</w:t>
      </w:r>
      <w:r>
        <w:rPr>
          <w:spacing w:val="36"/>
        </w:rPr>
        <w:t> </w:t>
      </w:r>
      <w:r>
        <w:rPr/>
        <w:t>de</w:t>
      </w:r>
      <w:r>
        <w:rPr>
          <w:spacing w:val="38"/>
        </w:rPr>
        <w:t> </w:t>
      </w:r>
      <w:r>
        <w:rPr/>
        <w:t>la</w:t>
      </w:r>
      <w:r>
        <w:rPr>
          <w:spacing w:val="40"/>
        </w:rPr>
        <w:t> </w:t>
      </w:r>
      <w:r>
        <w:rPr/>
        <w:t>Resolución</w:t>
      </w:r>
      <w:r>
        <w:rPr>
          <w:spacing w:val="39"/>
        </w:rPr>
        <w:t> </w:t>
      </w:r>
      <w:r>
        <w:rPr/>
        <w:t>SENAE-SENAE-2026-0006-RE</w:t>
      </w:r>
      <w:r>
        <w:rPr>
          <w:spacing w:val="37"/>
        </w:rPr>
        <w:t> </w:t>
      </w:r>
      <w:r>
        <w:rPr/>
        <w:t>(30%),</w:t>
      </w:r>
      <w:r>
        <w:rPr>
          <w:spacing w:val="39"/>
        </w:rPr>
        <w:t> </w:t>
      </w:r>
      <w:r>
        <w:rPr/>
        <w:t>dicha</w:t>
      </w:r>
      <w:r>
        <w:rPr>
          <w:spacing w:val="39"/>
        </w:rPr>
        <w:t> </w:t>
      </w:r>
      <w:r>
        <w:rPr/>
        <w:t>autoridad elaboró un Informe técnico</w:t>
      </w:r>
      <w:r>
        <w:rPr>
          <w:rFonts w:ascii="Cambria Math" w:hAnsi="Cambria Math"/>
        </w:rPr>
        <w:t>‑</w:t>
      </w:r>
      <w:r>
        <w:rPr/>
        <w:t>jurídico de sustento de en el cual:</w:t>
      </w:r>
    </w:p>
    <w:p>
      <w:pPr>
        <w:pStyle w:val="BodyText"/>
        <w:spacing w:before="1"/>
      </w:pPr>
    </w:p>
    <w:p>
      <w:pPr>
        <w:pStyle w:val="ListParagraph"/>
        <w:numPr>
          <w:ilvl w:val="1"/>
          <w:numId w:val="34"/>
        </w:numPr>
        <w:tabs>
          <w:tab w:pos="1854" w:val="left" w:leader="none"/>
        </w:tabs>
        <w:spacing w:line="240" w:lineRule="auto" w:before="0" w:after="0"/>
        <w:ind w:left="1854" w:right="0" w:hanging="360"/>
        <w:jc w:val="left"/>
        <w:rPr>
          <w:sz w:val="22"/>
        </w:rPr>
      </w:pPr>
      <w:r>
        <w:rPr>
          <w:spacing w:val="-2"/>
          <w:sz w:val="22"/>
        </w:rPr>
        <w:t>Identifica</w:t>
      </w:r>
      <w:r>
        <w:rPr>
          <w:spacing w:val="-7"/>
          <w:sz w:val="22"/>
        </w:rPr>
        <w:t> </w:t>
      </w:r>
      <w:r>
        <w:rPr>
          <w:spacing w:val="-2"/>
          <w:sz w:val="22"/>
        </w:rPr>
        <w:t>un</w:t>
      </w:r>
      <w:r>
        <w:rPr>
          <w:spacing w:val="-4"/>
          <w:sz w:val="22"/>
        </w:rPr>
        <w:t> </w:t>
      </w:r>
      <w:r>
        <w:rPr>
          <w:rFonts w:ascii="Arial" w:hAnsi="Arial"/>
          <w:b/>
          <w:spacing w:val="-2"/>
          <w:sz w:val="22"/>
        </w:rPr>
        <w:t>“costo</w:t>
      </w:r>
      <w:r>
        <w:rPr>
          <w:rFonts w:ascii="Arial" w:hAnsi="Arial"/>
          <w:b/>
          <w:spacing w:val="-7"/>
          <w:sz w:val="22"/>
        </w:rPr>
        <w:t> </w:t>
      </w:r>
      <w:r>
        <w:rPr>
          <w:rFonts w:ascii="Arial" w:hAnsi="Arial"/>
          <w:b/>
          <w:spacing w:val="-2"/>
          <w:sz w:val="22"/>
        </w:rPr>
        <w:t>total</w:t>
      </w:r>
      <w:r>
        <w:rPr>
          <w:rFonts w:ascii="Arial" w:hAnsi="Arial"/>
          <w:b/>
          <w:spacing w:val="-3"/>
          <w:sz w:val="22"/>
        </w:rPr>
        <w:t> </w:t>
      </w:r>
      <w:r>
        <w:rPr>
          <w:rFonts w:ascii="Arial" w:hAnsi="Arial"/>
          <w:b/>
          <w:spacing w:val="-2"/>
          <w:sz w:val="22"/>
        </w:rPr>
        <w:t>estimado</w:t>
      </w:r>
      <w:r>
        <w:rPr>
          <w:rFonts w:ascii="Arial" w:hAnsi="Arial"/>
          <w:b/>
          <w:spacing w:val="-4"/>
          <w:sz w:val="22"/>
        </w:rPr>
        <w:t> </w:t>
      </w:r>
      <w:r>
        <w:rPr>
          <w:rFonts w:ascii="Arial" w:hAnsi="Arial"/>
          <w:b/>
          <w:spacing w:val="-2"/>
          <w:sz w:val="22"/>
        </w:rPr>
        <w:t>del</w:t>
      </w:r>
      <w:r>
        <w:rPr>
          <w:rFonts w:ascii="Arial" w:hAnsi="Arial"/>
          <w:b/>
          <w:spacing w:val="-1"/>
          <w:sz w:val="22"/>
        </w:rPr>
        <w:t> </w:t>
      </w:r>
      <w:r>
        <w:rPr>
          <w:rFonts w:ascii="Arial" w:hAnsi="Arial"/>
          <w:b/>
          <w:spacing w:val="-2"/>
          <w:sz w:val="22"/>
        </w:rPr>
        <w:t>servicio”</w:t>
      </w:r>
      <w:r>
        <w:rPr>
          <w:rFonts w:ascii="Arial" w:hAnsi="Arial"/>
          <w:b/>
          <w:spacing w:val="-6"/>
          <w:sz w:val="22"/>
        </w:rPr>
        <w:t> </w:t>
      </w:r>
      <w:r>
        <w:rPr>
          <w:spacing w:val="-2"/>
          <w:sz w:val="22"/>
        </w:rPr>
        <w:t>de USD</w:t>
      </w:r>
      <w:r>
        <w:rPr>
          <w:spacing w:val="-3"/>
          <w:sz w:val="22"/>
        </w:rPr>
        <w:t> </w:t>
      </w:r>
      <w:r>
        <w:rPr>
          <w:spacing w:val="-2"/>
          <w:sz w:val="22"/>
        </w:rPr>
        <w:t>221.038.042</w:t>
      </w:r>
      <w:r>
        <w:rPr>
          <w:spacing w:val="-4"/>
          <w:sz w:val="22"/>
        </w:rPr>
        <w:t> </w:t>
      </w:r>
      <w:r>
        <w:rPr>
          <w:spacing w:val="-2"/>
          <w:sz w:val="22"/>
        </w:rPr>
        <w:t>anuales.</w:t>
      </w:r>
    </w:p>
    <w:p>
      <w:pPr>
        <w:pStyle w:val="ListParagraph"/>
        <w:numPr>
          <w:ilvl w:val="1"/>
          <w:numId w:val="34"/>
        </w:numPr>
        <w:tabs>
          <w:tab w:pos="1854" w:val="left" w:leader="none"/>
        </w:tabs>
        <w:spacing w:line="240" w:lineRule="auto" w:before="252" w:after="0"/>
        <w:ind w:left="1854" w:right="0" w:hanging="360"/>
        <w:jc w:val="left"/>
        <w:rPr>
          <w:sz w:val="22"/>
        </w:rPr>
      </w:pPr>
      <w:r>
        <w:rPr>
          <w:sz w:val="22"/>
        </w:rPr>
        <w:t>Desglosa</w:t>
      </w:r>
      <w:r>
        <w:rPr>
          <w:spacing w:val="-5"/>
          <w:sz w:val="22"/>
        </w:rPr>
        <w:t> </w:t>
      </w:r>
      <w:r>
        <w:rPr>
          <w:sz w:val="22"/>
        </w:rPr>
        <w:t>ese</w:t>
      </w:r>
      <w:r>
        <w:rPr>
          <w:spacing w:val="-6"/>
          <w:sz w:val="22"/>
        </w:rPr>
        <w:t> </w:t>
      </w:r>
      <w:r>
        <w:rPr>
          <w:sz w:val="22"/>
        </w:rPr>
        <w:t>monto</w:t>
      </w:r>
      <w:r>
        <w:rPr>
          <w:spacing w:val="-5"/>
          <w:sz w:val="22"/>
        </w:rPr>
        <w:t> </w:t>
      </w:r>
      <w:r>
        <w:rPr>
          <w:sz w:val="22"/>
        </w:rPr>
        <w:t>en</w:t>
      </w:r>
      <w:r>
        <w:rPr>
          <w:spacing w:val="-6"/>
          <w:sz w:val="22"/>
        </w:rPr>
        <w:t> </w:t>
      </w:r>
      <w:r>
        <w:rPr>
          <w:sz w:val="22"/>
        </w:rPr>
        <w:t>seis</w:t>
      </w:r>
      <w:r>
        <w:rPr>
          <w:spacing w:val="-4"/>
          <w:sz w:val="22"/>
        </w:rPr>
        <w:t> </w:t>
      </w:r>
      <w:r>
        <w:rPr>
          <w:sz w:val="22"/>
        </w:rPr>
        <w:t>grandes</w:t>
      </w:r>
      <w:r>
        <w:rPr>
          <w:spacing w:val="-5"/>
          <w:sz w:val="22"/>
        </w:rPr>
        <w:t> </w:t>
      </w:r>
      <w:r>
        <w:rPr>
          <w:spacing w:val="-2"/>
          <w:sz w:val="22"/>
        </w:rPr>
        <w:t>rubros:</w:t>
      </w:r>
    </w:p>
    <w:p>
      <w:pPr>
        <w:pStyle w:val="BodyText"/>
        <w:spacing w:before="7"/>
      </w:pPr>
    </w:p>
    <w:p>
      <w:pPr>
        <w:pStyle w:val="ListParagraph"/>
        <w:numPr>
          <w:ilvl w:val="2"/>
          <w:numId w:val="34"/>
        </w:numPr>
        <w:tabs>
          <w:tab w:pos="2575" w:val="left" w:leader="none"/>
        </w:tabs>
        <w:spacing w:line="225" w:lineRule="auto" w:before="0" w:after="0"/>
        <w:ind w:left="2575" w:right="980" w:hanging="361"/>
        <w:jc w:val="both"/>
        <w:rPr>
          <w:sz w:val="22"/>
        </w:rPr>
      </w:pPr>
      <w:r>
        <w:rPr>
          <w:sz w:val="22"/>
        </w:rPr>
        <w:t>Talento humano: USD 967.242 (personal adicional de control, analistas, equipos de verificación).</w:t>
      </w:r>
    </w:p>
    <w:p>
      <w:pPr>
        <w:pStyle w:val="BodyText"/>
        <w:spacing w:before="13"/>
      </w:pPr>
    </w:p>
    <w:p>
      <w:pPr>
        <w:pStyle w:val="ListParagraph"/>
        <w:numPr>
          <w:ilvl w:val="2"/>
          <w:numId w:val="34"/>
        </w:numPr>
        <w:tabs>
          <w:tab w:pos="2575" w:val="left" w:leader="none"/>
        </w:tabs>
        <w:spacing w:line="223" w:lineRule="auto" w:before="0" w:after="0"/>
        <w:ind w:left="2575" w:right="979" w:hanging="361"/>
        <w:jc w:val="both"/>
        <w:rPr>
          <w:sz w:val="22"/>
        </w:rPr>
      </w:pPr>
      <w:r>
        <w:rPr>
          <w:sz w:val="22"/>
        </w:rPr>
        <w:t>Movilidad y logística: USD 688.800 (vehículos, combustible, viáticos, soporte logístico).</w:t>
      </w:r>
    </w:p>
    <w:p>
      <w:pPr>
        <w:pStyle w:val="BodyText"/>
        <w:spacing w:before="18"/>
      </w:pPr>
    </w:p>
    <w:p>
      <w:pPr>
        <w:pStyle w:val="ListParagraph"/>
        <w:numPr>
          <w:ilvl w:val="2"/>
          <w:numId w:val="34"/>
        </w:numPr>
        <w:tabs>
          <w:tab w:pos="2575" w:val="left" w:leader="none"/>
        </w:tabs>
        <w:spacing w:line="223" w:lineRule="auto" w:before="0" w:after="0"/>
        <w:ind w:left="2575" w:right="980" w:hanging="361"/>
        <w:jc w:val="both"/>
        <w:rPr>
          <w:sz w:val="22"/>
        </w:rPr>
      </w:pPr>
      <w:r>
        <w:rPr>
          <w:sz w:val="22"/>
        </w:rPr>
        <w:t>Tecnología de transparencia / scanners: USD 9.960.000 (equipos de rayos X, mantenimiento y operación).</w:t>
      </w:r>
    </w:p>
    <w:p>
      <w:pPr>
        <w:pStyle w:val="BodyText"/>
        <w:spacing w:before="15"/>
      </w:pPr>
    </w:p>
    <w:p>
      <w:pPr>
        <w:pStyle w:val="ListParagraph"/>
        <w:numPr>
          <w:ilvl w:val="2"/>
          <w:numId w:val="34"/>
        </w:numPr>
        <w:tabs>
          <w:tab w:pos="2575" w:val="left" w:leader="none"/>
        </w:tabs>
        <w:spacing w:line="223" w:lineRule="auto" w:before="0" w:after="0"/>
        <w:ind w:left="2575" w:right="982" w:hanging="361"/>
        <w:jc w:val="both"/>
        <w:rPr>
          <w:sz w:val="22"/>
        </w:rPr>
      </w:pPr>
      <w:r>
        <w:rPr>
          <w:sz w:val="22"/>
        </w:rPr>
        <w:t>Infraestructura distrital: USD 2.007.000 (adecuación de bodegas, oficinas, puestos de control).</w:t>
      </w:r>
    </w:p>
    <w:p>
      <w:pPr>
        <w:pStyle w:val="BodyText"/>
        <w:spacing w:before="16"/>
      </w:pPr>
    </w:p>
    <w:p>
      <w:pPr>
        <w:pStyle w:val="ListParagraph"/>
        <w:numPr>
          <w:ilvl w:val="2"/>
          <w:numId w:val="34"/>
        </w:numPr>
        <w:tabs>
          <w:tab w:pos="2575" w:val="left" w:leader="none"/>
        </w:tabs>
        <w:spacing w:line="223" w:lineRule="auto" w:before="0" w:after="0"/>
        <w:ind w:left="2575" w:right="983" w:hanging="361"/>
        <w:jc w:val="both"/>
        <w:rPr>
          <w:sz w:val="22"/>
        </w:rPr>
      </w:pPr>
      <w:r>
        <w:rPr>
          <w:sz w:val="22"/>
        </w:rPr>
        <w:t>Núcleo tecnológico: USD 70.015.000 (data center Tier III, servidores, almacenamiento de video, soluciones analíticas, IA).</w:t>
      </w:r>
    </w:p>
    <w:p>
      <w:pPr>
        <w:pStyle w:val="BodyText"/>
        <w:spacing w:before="10"/>
      </w:pPr>
    </w:p>
    <w:p>
      <w:pPr>
        <w:pStyle w:val="ListParagraph"/>
        <w:numPr>
          <w:ilvl w:val="2"/>
          <w:numId w:val="34"/>
        </w:numPr>
        <w:tabs>
          <w:tab w:pos="2575" w:val="left" w:leader="none"/>
        </w:tabs>
        <w:spacing w:line="230" w:lineRule="auto" w:before="0" w:after="0"/>
        <w:ind w:left="2575" w:right="982" w:hanging="361"/>
        <w:jc w:val="both"/>
        <w:rPr>
          <w:sz w:val="22"/>
        </w:rPr>
      </w:pPr>
      <w:r>
        <w:rPr>
          <w:sz w:val="22"/>
        </w:rPr>
        <w:t>Seguridad estratégica: USD 137.400.000 (drones, radares, vigilancia satelital, candados satelitales, redes de comunicación, ciberseguridad, </w:t>
      </w:r>
      <w:r>
        <w:rPr>
          <w:spacing w:val="-2"/>
          <w:sz w:val="22"/>
        </w:rPr>
        <w:t>etc.).</w:t>
      </w:r>
    </w:p>
    <w:p>
      <w:pPr>
        <w:pStyle w:val="BodyText"/>
        <w:spacing w:before="4"/>
      </w:pPr>
    </w:p>
    <w:p>
      <w:pPr>
        <w:pStyle w:val="ListParagraph"/>
        <w:numPr>
          <w:ilvl w:val="0"/>
          <w:numId w:val="11"/>
        </w:numPr>
        <w:tabs>
          <w:tab w:pos="1130" w:val="left" w:leader="none"/>
          <w:tab w:pos="1134" w:val="left" w:leader="none"/>
        </w:tabs>
        <w:spacing w:line="240" w:lineRule="auto" w:before="0" w:after="0"/>
        <w:ind w:left="1134" w:right="983" w:hanging="567"/>
        <w:jc w:val="both"/>
        <w:rPr>
          <w:sz w:val="22"/>
        </w:rPr>
      </w:pPr>
      <w:r>
        <w:rPr>
          <w:sz w:val="22"/>
        </w:rPr>
        <w:t>Según la República del Ecuador, la suma de estos componentes representa el costo anual del “control aduanero reforzado” sobre mercancías provenientes u originarias de la República de Colombia.</w:t>
      </w:r>
    </w:p>
    <w:p>
      <w:pPr>
        <w:pStyle w:val="Heading6"/>
        <w:numPr>
          <w:ilvl w:val="0"/>
          <w:numId w:val="34"/>
        </w:numPr>
        <w:tabs>
          <w:tab w:pos="1402" w:val="left" w:leader="none"/>
        </w:tabs>
        <w:spacing w:line="240" w:lineRule="auto" w:before="252" w:after="0"/>
        <w:ind w:left="1402" w:right="0" w:hanging="268"/>
        <w:jc w:val="left"/>
      </w:pPr>
      <w:r>
        <w:rPr/>
        <w:t>Actualización</w:t>
      </w:r>
      <w:r>
        <w:rPr>
          <w:spacing w:val="-7"/>
        </w:rPr>
        <w:t> </w:t>
      </w:r>
      <w:r>
        <w:rPr/>
        <w:t>del</w:t>
      </w:r>
      <w:r>
        <w:rPr>
          <w:spacing w:val="-4"/>
        </w:rPr>
        <w:t> </w:t>
      </w:r>
      <w:r>
        <w:rPr/>
        <w:t>costo</w:t>
      </w:r>
      <w:r>
        <w:rPr>
          <w:spacing w:val="-2"/>
        </w:rPr>
        <w:t> </w:t>
      </w:r>
      <w:r>
        <w:rPr/>
        <w:t>para</w:t>
      </w:r>
      <w:r>
        <w:rPr>
          <w:spacing w:val="-5"/>
        </w:rPr>
        <w:t> </w:t>
      </w:r>
      <w:r>
        <w:rPr/>
        <w:t>la</w:t>
      </w:r>
      <w:r>
        <w:rPr>
          <w:spacing w:val="-5"/>
        </w:rPr>
        <w:t> </w:t>
      </w:r>
      <w:r>
        <w:rPr/>
        <w:t>tasa</w:t>
      </w:r>
      <w:r>
        <w:rPr>
          <w:spacing w:val="-5"/>
        </w:rPr>
        <w:t> </w:t>
      </w:r>
      <w:r>
        <w:rPr/>
        <w:t>de</w:t>
      </w:r>
      <w:r>
        <w:rPr>
          <w:spacing w:val="-6"/>
        </w:rPr>
        <w:t> </w:t>
      </w:r>
      <w:r>
        <w:rPr>
          <w:spacing w:val="-5"/>
        </w:rPr>
        <w:t>50%</w:t>
      </w:r>
    </w:p>
    <w:p>
      <w:pPr>
        <w:pStyle w:val="BodyText"/>
        <w:rPr>
          <w:rFonts w:ascii="Arial"/>
          <w:b/>
        </w:rPr>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En el caso de la Resolución SENAE-SENAE-2026-0017-RE (50%), la República del Ecuador</w:t>
      </w:r>
      <w:r>
        <w:rPr>
          <w:spacing w:val="-16"/>
          <w:sz w:val="22"/>
        </w:rPr>
        <w:t> </w:t>
      </w:r>
      <w:r>
        <w:rPr>
          <w:sz w:val="22"/>
        </w:rPr>
        <w:t>afirma</w:t>
      </w:r>
      <w:r>
        <w:rPr>
          <w:spacing w:val="-15"/>
          <w:sz w:val="22"/>
        </w:rPr>
        <w:t> </w:t>
      </w:r>
      <w:r>
        <w:rPr>
          <w:sz w:val="22"/>
        </w:rPr>
        <w:t>que</w:t>
      </w:r>
      <w:r>
        <w:rPr>
          <w:spacing w:val="-15"/>
          <w:sz w:val="22"/>
        </w:rPr>
        <w:t> </w:t>
      </w:r>
      <w:r>
        <w:rPr>
          <w:sz w:val="22"/>
        </w:rPr>
        <w:t>el</w:t>
      </w:r>
      <w:r>
        <w:rPr>
          <w:spacing w:val="-16"/>
          <w:sz w:val="22"/>
        </w:rPr>
        <w:t> </w:t>
      </w:r>
      <w:r>
        <w:rPr>
          <w:sz w:val="22"/>
        </w:rPr>
        <w:t>servicio</w:t>
      </w:r>
      <w:r>
        <w:rPr>
          <w:spacing w:val="-15"/>
          <w:sz w:val="22"/>
        </w:rPr>
        <w:t> </w:t>
      </w:r>
      <w:r>
        <w:rPr>
          <w:sz w:val="22"/>
        </w:rPr>
        <w:t>se</w:t>
      </w:r>
      <w:r>
        <w:rPr>
          <w:spacing w:val="-15"/>
          <w:sz w:val="22"/>
        </w:rPr>
        <w:t> </w:t>
      </w:r>
      <w:r>
        <w:rPr>
          <w:sz w:val="22"/>
        </w:rPr>
        <w:t>amplía</w:t>
      </w:r>
      <w:r>
        <w:rPr>
          <w:spacing w:val="-15"/>
          <w:sz w:val="22"/>
        </w:rPr>
        <w:t> </w:t>
      </w:r>
      <w:r>
        <w:rPr>
          <w:sz w:val="22"/>
        </w:rPr>
        <w:t>de</w:t>
      </w:r>
      <w:r>
        <w:rPr>
          <w:spacing w:val="-16"/>
          <w:sz w:val="22"/>
        </w:rPr>
        <w:t> </w:t>
      </w:r>
      <w:r>
        <w:rPr>
          <w:sz w:val="22"/>
        </w:rPr>
        <w:t>un</w:t>
      </w:r>
      <w:r>
        <w:rPr>
          <w:spacing w:val="-15"/>
          <w:sz w:val="22"/>
        </w:rPr>
        <w:t> </w:t>
      </w:r>
      <w:r>
        <w:rPr>
          <w:sz w:val="22"/>
        </w:rPr>
        <w:t>esquema</w:t>
      </w:r>
      <w:r>
        <w:rPr>
          <w:spacing w:val="-15"/>
          <w:sz w:val="22"/>
        </w:rPr>
        <w:t> </w:t>
      </w:r>
      <w:r>
        <w:rPr>
          <w:sz w:val="22"/>
        </w:rPr>
        <w:t>focalizado</w:t>
      </w:r>
      <w:r>
        <w:rPr>
          <w:spacing w:val="-16"/>
          <w:sz w:val="22"/>
        </w:rPr>
        <w:t> </w:t>
      </w:r>
      <w:r>
        <w:rPr>
          <w:sz w:val="22"/>
        </w:rPr>
        <w:t>(Tulcán</w:t>
      </w:r>
      <w:r>
        <w:rPr>
          <w:spacing w:val="-15"/>
          <w:sz w:val="22"/>
        </w:rPr>
        <w:t> </w:t>
      </w:r>
      <w:r>
        <w:rPr>
          <w:sz w:val="22"/>
        </w:rPr>
        <w:t>y</w:t>
      </w:r>
      <w:r>
        <w:rPr>
          <w:spacing w:val="-15"/>
          <w:sz w:val="22"/>
        </w:rPr>
        <w:t> </w:t>
      </w:r>
      <w:r>
        <w:rPr>
          <w:sz w:val="22"/>
        </w:rPr>
        <w:t>Guayaquil) a un </w:t>
      </w:r>
      <w:r>
        <w:rPr>
          <w:rFonts w:ascii="Arial" w:hAnsi="Arial"/>
          <w:b/>
          <w:sz w:val="22"/>
        </w:rPr>
        <w:t>esquema nacional</w:t>
      </w:r>
      <w:r>
        <w:rPr>
          <w:sz w:val="22"/>
        </w:rPr>
        <w:t>, lo que incrementa el costo.</w:t>
      </w:r>
    </w:p>
    <w:p>
      <w:pPr>
        <w:pStyle w:val="BodyText"/>
        <w:spacing w:before="1"/>
      </w:pPr>
    </w:p>
    <w:p>
      <w:pPr>
        <w:pStyle w:val="ListParagraph"/>
        <w:numPr>
          <w:ilvl w:val="0"/>
          <w:numId w:val="35"/>
        </w:numPr>
        <w:tabs>
          <w:tab w:pos="2553" w:val="left" w:leader="none"/>
        </w:tabs>
        <w:spacing w:line="240" w:lineRule="auto" w:before="0" w:after="0"/>
        <w:ind w:left="2553" w:right="978" w:hanging="361"/>
        <w:jc w:val="both"/>
        <w:rPr>
          <w:sz w:val="22"/>
        </w:rPr>
      </w:pPr>
      <w:r>
        <w:rPr>
          <w:sz w:val="22"/>
        </w:rPr>
        <w:t>El Informe técnico</w:t>
      </w:r>
      <w:r>
        <w:rPr>
          <w:rFonts w:ascii="Cambria Math" w:hAnsi="Cambria Math"/>
          <w:sz w:val="22"/>
        </w:rPr>
        <w:t>‑</w:t>
      </w:r>
      <w:r>
        <w:rPr>
          <w:sz w:val="22"/>
        </w:rPr>
        <w:t>jurídico de impacto por aplicación de tasa de control aduanero</w:t>
      </w:r>
      <w:r>
        <w:rPr>
          <w:spacing w:val="-11"/>
          <w:sz w:val="22"/>
        </w:rPr>
        <w:t> </w:t>
      </w:r>
      <w:r>
        <w:rPr>
          <w:sz w:val="22"/>
        </w:rPr>
        <w:t>al</w:t>
      </w:r>
      <w:r>
        <w:rPr>
          <w:spacing w:val="-12"/>
          <w:sz w:val="22"/>
        </w:rPr>
        <w:t> </w:t>
      </w:r>
      <w:r>
        <w:rPr>
          <w:sz w:val="22"/>
        </w:rPr>
        <w:t>50%</w:t>
      </w:r>
      <w:r>
        <w:rPr>
          <w:spacing w:val="-13"/>
          <w:sz w:val="22"/>
        </w:rPr>
        <w:t> </w:t>
      </w:r>
      <w:r>
        <w:rPr>
          <w:sz w:val="22"/>
        </w:rPr>
        <w:t>del</w:t>
      </w:r>
      <w:r>
        <w:rPr>
          <w:spacing w:val="-12"/>
          <w:sz w:val="22"/>
        </w:rPr>
        <w:t> </w:t>
      </w:r>
      <w:r>
        <w:rPr>
          <w:sz w:val="22"/>
        </w:rPr>
        <w:t>27</w:t>
      </w:r>
      <w:r>
        <w:rPr>
          <w:spacing w:val="-14"/>
          <w:sz w:val="22"/>
        </w:rPr>
        <w:t> </w:t>
      </w:r>
      <w:r>
        <w:rPr>
          <w:sz w:val="22"/>
        </w:rPr>
        <w:t>de</w:t>
      </w:r>
      <w:r>
        <w:rPr>
          <w:spacing w:val="-11"/>
          <w:sz w:val="22"/>
        </w:rPr>
        <w:t> </w:t>
      </w:r>
      <w:r>
        <w:rPr>
          <w:sz w:val="22"/>
        </w:rPr>
        <w:t>febrero</w:t>
      </w:r>
      <w:r>
        <w:rPr>
          <w:spacing w:val="-11"/>
          <w:sz w:val="22"/>
        </w:rPr>
        <w:t> </w:t>
      </w:r>
      <w:r>
        <w:rPr>
          <w:sz w:val="22"/>
        </w:rPr>
        <w:t>de</w:t>
      </w:r>
      <w:r>
        <w:rPr>
          <w:spacing w:val="-12"/>
          <w:sz w:val="22"/>
        </w:rPr>
        <w:t> </w:t>
      </w:r>
      <w:r>
        <w:rPr>
          <w:sz w:val="22"/>
        </w:rPr>
        <w:t>2026</w:t>
      </w:r>
      <w:r>
        <w:rPr>
          <w:spacing w:val="-11"/>
          <w:sz w:val="22"/>
        </w:rPr>
        <w:t> </w:t>
      </w:r>
      <w:r>
        <w:rPr>
          <w:sz w:val="22"/>
        </w:rPr>
        <w:t>eleva</w:t>
      </w:r>
      <w:r>
        <w:rPr>
          <w:spacing w:val="-14"/>
          <w:sz w:val="22"/>
        </w:rPr>
        <w:t> </w:t>
      </w:r>
      <w:r>
        <w:rPr>
          <w:sz w:val="22"/>
        </w:rPr>
        <w:t>el</w:t>
      </w:r>
      <w:r>
        <w:rPr>
          <w:spacing w:val="-12"/>
          <w:sz w:val="22"/>
        </w:rPr>
        <w:t> </w:t>
      </w:r>
      <w:r>
        <w:rPr>
          <w:sz w:val="22"/>
        </w:rPr>
        <w:t>costo</w:t>
      </w:r>
      <w:r>
        <w:rPr>
          <w:spacing w:val="-11"/>
          <w:sz w:val="22"/>
        </w:rPr>
        <w:t> </w:t>
      </w:r>
      <w:r>
        <w:rPr>
          <w:sz w:val="22"/>
        </w:rPr>
        <w:t>anual</w:t>
      </w:r>
      <w:r>
        <w:rPr>
          <w:spacing w:val="-12"/>
          <w:sz w:val="22"/>
        </w:rPr>
        <w:t> </w:t>
      </w:r>
      <w:r>
        <w:rPr>
          <w:sz w:val="22"/>
        </w:rPr>
        <w:t>estimado de USD 221.038.042 a </w:t>
      </w:r>
      <w:r>
        <w:rPr>
          <w:rFonts w:ascii="Arial" w:hAnsi="Arial"/>
          <w:b/>
          <w:sz w:val="22"/>
        </w:rPr>
        <w:t>USD 275.230.492</w:t>
      </w:r>
      <w:r>
        <w:rPr>
          <w:sz w:val="22"/>
        </w:rPr>
        <w:t>.</w:t>
      </w:r>
    </w:p>
    <w:p>
      <w:pPr>
        <w:pStyle w:val="BodyText"/>
        <w:spacing w:before="1"/>
      </w:pPr>
    </w:p>
    <w:p>
      <w:pPr>
        <w:pStyle w:val="ListParagraph"/>
        <w:numPr>
          <w:ilvl w:val="0"/>
          <w:numId w:val="35"/>
        </w:numPr>
        <w:tabs>
          <w:tab w:pos="2553" w:val="left" w:leader="none"/>
        </w:tabs>
        <w:spacing w:line="240" w:lineRule="auto" w:before="0" w:after="0"/>
        <w:ind w:left="2553" w:right="0" w:hanging="360"/>
        <w:jc w:val="left"/>
        <w:rPr>
          <w:sz w:val="22"/>
        </w:rPr>
      </w:pPr>
      <w:r>
        <w:rPr>
          <w:sz w:val="22"/>
        </w:rPr>
        <w:t>El</w:t>
      </w:r>
      <w:r>
        <w:rPr>
          <w:spacing w:val="-4"/>
          <w:sz w:val="22"/>
        </w:rPr>
        <w:t> </w:t>
      </w:r>
      <w:r>
        <w:rPr>
          <w:sz w:val="22"/>
        </w:rPr>
        <w:t>aumento</w:t>
      </w:r>
      <w:r>
        <w:rPr>
          <w:spacing w:val="-6"/>
          <w:sz w:val="22"/>
        </w:rPr>
        <w:t> </w:t>
      </w:r>
      <w:r>
        <w:rPr>
          <w:sz w:val="22"/>
        </w:rPr>
        <w:t>de</w:t>
      </w:r>
      <w:r>
        <w:rPr>
          <w:spacing w:val="-4"/>
          <w:sz w:val="22"/>
        </w:rPr>
        <w:t> </w:t>
      </w:r>
      <w:r>
        <w:rPr>
          <w:sz w:val="22"/>
        </w:rPr>
        <w:t>unos</w:t>
      </w:r>
      <w:r>
        <w:rPr>
          <w:spacing w:val="-3"/>
          <w:sz w:val="22"/>
        </w:rPr>
        <w:t> </w:t>
      </w:r>
      <w:r>
        <w:rPr>
          <w:sz w:val="22"/>
        </w:rPr>
        <w:t>USD</w:t>
      </w:r>
      <w:r>
        <w:rPr>
          <w:spacing w:val="-4"/>
          <w:sz w:val="22"/>
        </w:rPr>
        <w:t> </w:t>
      </w:r>
      <w:r>
        <w:rPr>
          <w:sz w:val="22"/>
        </w:rPr>
        <w:t>54</w:t>
      </w:r>
      <w:r>
        <w:rPr>
          <w:spacing w:val="-6"/>
          <w:sz w:val="22"/>
        </w:rPr>
        <w:t> </w:t>
      </w:r>
      <w:r>
        <w:rPr>
          <w:sz w:val="22"/>
        </w:rPr>
        <w:t>millones</w:t>
      </w:r>
      <w:r>
        <w:rPr>
          <w:spacing w:val="-4"/>
          <w:sz w:val="22"/>
        </w:rPr>
        <w:t> </w:t>
      </w:r>
      <w:r>
        <w:rPr>
          <w:sz w:val="22"/>
        </w:rPr>
        <w:t>se</w:t>
      </w:r>
      <w:r>
        <w:rPr>
          <w:spacing w:val="-3"/>
          <w:sz w:val="22"/>
        </w:rPr>
        <w:t> </w:t>
      </w:r>
      <w:r>
        <w:rPr>
          <w:sz w:val="22"/>
        </w:rPr>
        <w:t>explica</w:t>
      </w:r>
      <w:r>
        <w:rPr>
          <w:spacing w:val="-5"/>
          <w:sz w:val="22"/>
        </w:rPr>
        <w:t> </w:t>
      </w:r>
      <w:r>
        <w:rPr>
          <w:spacing w:val="-4"/>
          <w:sz w:val="22"/>
        </w:rPr>
        <w:t>por:</w:t>
      </w:r>
    </w:p>
    <w:p>
      <w:pPr>
        <w:pStyle w:val="ListParagraph"/>
        <w:numPr>
          <w:ilvl w:val="1"/>
          <w:numId w:val="35"/>
        </w:numPr>
        <w:tabs>
          <w:tab w:pos="3119" w:val="left" w:leader="none"/>
        </w:tabs>
        <w:spacing w:line="240" w:lineRule="auto" w:before="252" w:after="0"/>
        <w:ind w:left="3119" w:right="0" w:hanging="359"/>
        <w:jc w:val="left"/>
        <w:rPr>
          <w:sz w:val="22"/>
        </w:rPr>
      </w:pPr>
      <w:r>
        <w:rPr>
          <w:sz w:val="22"/>
        </w:rPr>
        <w:t>Extensión</w:t>
      </w:r>
      <w:r>
        <w:rPr>
          <w:spacing w:val="-5"/>
          <w:sz w:val="22"/>
        </w:rPr>
        <w:t> </w:t>
      </w:r>
      <w:r>
        <w:rPr>
          <w:sz w:val="22"/>
        </w:rPr>
        <w:t>del</w:t>
      </w:r>
      <w:r>
        <w:rPr>
          <w:spacing w:val="-5"/>
          <w:sz w:val="22"/>
        </w:rPr>
        <w:t> </w:t>
      </w:r>
      <w:r>
        <w:rPr>
          <w:sz w:val="22"/>
        </w:rPr>
        <w:t>control</w:t>
      </w:r>
      <w:r>
        <w:rPr>
          <w:spacing w:val="-8"/>
          <w:sz w:val="22"/>
        </w:rPr>
        <w:t> </w:t>
      </w:r>
      <w:r>
        <w:rPr>
          <w:sz w:val="22"/>
        </w:rPr>
        <w:t>reforzado</w:t>
      </w:r>
      <w:r>
        <w:rPr>
          <w:spacing w:val="-4"/>
          <w:sz w:val="22"/>
        </w:rPr>
        <w:t> </w:t>
      </w:r>
      <w:r>
        <w:rPr>
          <w:sz w:val="22"/>
        </w:rPr>
        <w:t>a</w:t>
      </w:r>
      <w:r>
        <w:rPr>
          <w:spacing w:val="-7"/>
          <w:sz w:val="22"/>
        </w:rPr>
        <w:t> </w:t>
      </w:r>
      <w:r>
        <w:rPr>
          <w:sz w:val="22"/>
        </w:rPr>
        <w:t>todos</w:t>
      </w:r>
      <w:r>
        <w:rPr>
          <w:spacing w:val="-4"/>
          <w:sz w:val="22"/>
        </w:rPr>
        <w:t> </w:t>
      </w:r>
      <w:r>
        <w:rPr>
          <w:sz w:val="22"/>
        </w:rPr>
        <w:t>los</w:t>
      </w:r>
      <w:r>
        <w:rPr>
          <w:spacing w:val="-4"/>
          <w:sz w:val="22"/>
        </w:rPr>
        <w:t> </w:t>
      </w:r>
      <w:r>
        <w:rPr>
          <w:spacing w:val="-2"/>
          <w:sz w:val="22"/>
        </w:rPr>
        <w:t>distritos.</w:t>
      </w:r>
    </w:p>
    <w:p>
      <w:pPr>
        <w:pStyle w:val="ListParagraph"/>
        <w:numPr>
          <w:ilvl w:val="1"/>
          <w:numId w:val="35"/>
        </w:numPr>
        <w:tabs>
          <w:tab w:pos="3120" w:val="left" w:leader="none"/>
        </w:tabs>
        <w:spacing w:line="237" w:lineRule="auto" w:before="233" w:after="0"/>
        <w:ind w:left="3120" w:right="977" w:hanging="360"/>
        <w:jc w:val="both"/>
        <w:rPr>
          <w:sz w:val="22"/>
        </w:rPr>
      </w:pPr>
      <w:r>
        <w:rPr>
          <w:sz w:val="22"/>
        </w:rPr>
        <w:t>Mantención y ampliación de los mismos rubros (talento humano, movilidad,</w:t>
      </w:r>
      <w:r>
        <w:rPr>
          <w:spacing w:val="-3"/>
          <w:sz w:val="22"/>
        </w:rPr>
        <w:t> </w:t>
      </w:r>
      <w:r>
        <w:rPr>
          <w:sz w:val="22"/>
        </w:rPr>
        <w:t>scanners,</w:t>
      </w:r>
      <w:r>
        <w:rPr>
          <w:spacing w:val="-5"/>
          <w:sz w:val="22"/>
        </w:rPr>
        <w:t> </w:t>
      </w:r>
      <w:r>
        <w:rPr>
          <w:sz w:val="22"/>
        </w:rPr>
        <w:t>infraestructura,</w:t>
      </w:r>
      <w:r>
        <w:rPr>
          <w:spacing w:val="-3"/>
          <w:sz w:val="22"/>
        </w:rPr>
        <w:t> </w:t>
      </w:r>
      <w:r>
        <w:rPr>
          <w:sz w:val="22"/>
        </w:rPr>
        <w:t>núcleo</w:t>
      </w:r>
      <w:r>
        <w:rPr>
          <w:spacing w:val="-7"/>
          <w:sz w:val="22"/>
        </w:rPr>
        <w:t> </w:t>
      </w:r>
      <w:r>
        <w:rPr>
          <w:sz w:val="22"/>
        </w:rPr>
        <w:t>tecnológico,</w:t>
      </w:r>
      <w:r>
        <w:rPr>
          <w:spacing w:val="-3"/>
          <w:sz w:val="22"/>
        </w:rPr>
        <w:t> </w:t>
      </w:r>
      <w:r>
        <w:rPr>
          <w:sz w:val="22"/>
        </w:rPr>
        <w:t>seguridad estratégica), con énfasis en: data center, IA, almacenamiento masivo de video, vigilancia satelital, drones, radares, centro de inspección fronteriza y ecosistema de inteligencia de datos (incluyendo blockchain).</w:t>
      </w:r>
    </w:p>
    <w:p>
      <w:pPr>
        <w:pStyle w:val="ListParagraph"/>
        <w:spacing w:after="0" w:line="237" w:lineRule="auto"/>
        <w:jc w:val="both"/>
        <w:rPr>
          <w:sz w:val="22"/>
        </w:rPr>
        <w:sectPr>
          <w:pgSz w:w="11900" w:h="16850"/>
          <w:pgMar w:header="370" w:footer="651" w:top="1380" w:bottom="840" w:left="992" w:right="283"/>
        </w:sectPr>
      </w:pPr>
    </w:p>
    <w:p>
      <w:pPr>
        <w:pStyle w:val="BodyText"/>
        <w:spacing w:before="176"/>
      </w:pPr>
    </w:p>
    <w:p>
      <w:pPr>
        <w:pStyle w:val="ListParagraph"/>
        <w:numPr>
          <w:ilvl w:val="0"/>
          <w:numId w:val="11"/>
        </w:numPr>
        <w:tabs>
          <w:tab w:pos="1130" w:val="left" w:leader="none"/>
          <w:tab w:pos="1134" w:val="left" w:leader="none"/>
        </w:tabs>
        <w:spacing w:line="240" w:lineRule="auto" w:before="0" w:after="0"/>
        <w:ind w:left="1134" w:right="982" w:hanging="567"/>
        <w:jc w:val="both"/>
        <w:rPr>
          <w:sz w:val="22"/>
        </w:rPr>
      </w:pPr>
      <w:r>
        <w:rPr>
          <w:sz w:val="22"/>
        </w:rPr>
        <w:t>De esta manera, de la República del Ecuador presenta el costo del servicio como el valor anual de un paquete amplio de inversiones e infraestructura institucional, no solo de actuaciones puntuales por importación.</w:t>
      </w:r>
    </w:p>
    <w:p>
      <w:pPr>
        <w:pStyle w:val="BodyText"/>
        <w:spacing w:before="1"/>
      </w:pPr>
    </w:p>
    <w:p>
      <w:pPr>
        <w:pStyle w:val="Heading6"/>
        <w:numPr>
          <w:ilvl w:val="0"/>
          <w:numId w:val="33"/>
        </w:numPr>
        <w:tabs>
          <w:tab w:pos="1378" w:val="left" w:leader="none"/>
        </w:tabs>
        <w:spacing w:line="240" w:lineRule="auto" w:before="0" w:after="0"/>
        <w:ind w:left="1378" w:right="0" w:hanging="244"/>
        <w:jc w:val="left"/>
      </w:pPr>
      <w:r>
        <w:rPr/>
        <w:t>Metodología</w:t>
      </w:r>
      <w:r>
        <w:rPr>
          <w:spacing w:val="-7"/>
        </w:rPr>
        <w:t> </w:t>
      </w:r>
      <w:r>
        <w:rPr/>
        <w:t>ecuatoriana</w:t>
      </w:r>
      <w:r>
        <w:rPr>
          <w:spacing w:val="-5"/>
        </w:rPr>
        <w:t> </w:t>
      </w:r>
      <w:r>
        <w:rPr/>
        <w:t>para</w:t>
      </w:r>
      <w:r>
        <w:rPr>
          <w:spacing w:val="-7"/>
        </w:rPr>
        <w:t> </w:t>
      </w:r>
      <w:r>
        <w:rPr/>
        <w:t>calcular</w:t>
      </w:r>
      <w:r>
        <w:rPr>
          <w:spacing w:val="-6"/>
        </w:rPr>
        <w:t> </w:t>
      </w:r>
      <w:r>
        <w:rPr/>
        <w:t>la</w:t>
      </w:r>
      <w:r>
        <w:rPr>
          <w:spacing w:val="-7"/>
        </w:rPr>
        <w:t> </w:t>
      </w:r>
      <w:r>
        <w:rPr/>
        <w:t>tasa</w:t>
      </w:r>
      <w:r>
        <w:rPr>
          <w:spacing w:val="-5"/>
        </w:rPr>
        <w:t> </w:t>
      </w:r>
      <w:r>
        <w:rPr/>
        <w:t>(30%</w:t>
      </w:r>
      <w:r>
        <w:rPr>
          <w:spacing w:val="-4"/>
        </w:rPr>
        <w:t> </w:t>
      </w:r>
      <w:r>
        <w:rPr/>
        <w:t>y</w:t>
      </w:r>
      <w:r>
        <w:rPr>
          <w:spacing w:val="-6"/>
        </w:rPr>
        <w:t> </w:t>
      </w:r>
      <w:r>
        <w:rPr>
          <w:spacing w:val="-4"/>
        </w:rPr>
        <w:t>50%)</w:t>
      </w:r>
    </w:p>
    <w:p>
      <w:pPr>
        <w:pStyle w:val="BodyText"/>
        <w:rPr>
          <w:rFonts w:ascii="Arial"/>
          <w:b/>
        </w:rPr>
      </w:pPr>
    </w:p>
    <w:p>
      <w:pPr>
        <w:pStyle w:val="ListParagraph"/>
        <w:numPr>
          <w:ilvl w:val="1"/>
          <w:numId w:val="33"/>
        </w:numPr>
        <w:tabs>
          <w:tab w:pos="1492" w:val="left" w:leader="none"/>
        </w:tabs>
        <w:spacing w:line="240" w:lineRule="auto" w:before="1" w:after="0"/>
        <w:ind w:left="1492" w:right="0" w:hanging="358"/>
        <w:jc w:val="left"/>
        <w:rPr>
          <w:rFonts w:ascii="Arial" w:hAnsi="Arial"/>
          <w:b/>
          <w:sz w:val="22"/>
        </w:rPr>
      </w:pPr>
      <w:r>
        <w:rPr>
          <w:rFonts w:ascii="Arial" w:hAnsi="Arial"/>
          <w:b/>
          <w:sz w:val="22"/>
        </w:rPr>
        <w:t>Cálculo</w:t>
      </w:r>
      <w:r>
        <w:rPr>
          <w:rFonts w:ascii="Arial" w:hAnsi="Arial"/>
          <w:b/>
          <w:spacing w:val="-2"/>
          <w:sz w:val="22"/>
        </w:rPr>
        <w:t> </w:t>
      </w:r>
      <w:r>
        <w:rPr>
          <w:rFonts w:ascii="Arial" w:hAnsi="Arial"/>
          <w:b/>
          <w:sz w:val="22"/>
        </w:rPr>
        <w:t>de</w:t>
      </w:r>
      <w:r>
        <w:rPr>
          <w:rFonts w:ascii="Arial" w:hAnsi="Arial"/>
          <w:b/>
          <w:spacing w:val="-4"/>
          <w:sz w:val="22"/>
        </w:rPr>
        <w:t> </w:t>
      </w:r>
      <w:r>
        <w:rPr>
          <w:rFonts w:ascii="Arial" w:hAnsi="Arial"/>
          <w:b/>
          <w:sz w:val="22"/>
        </w:rPr>
        <w:t>la</w:t>
      </w:r>
      <w:r>
        <w:rPr>
          <w:rFonts w:ascii="Arial" w:hAnsi="Arial"/>
          <w:b/>
          <w:spacing w:val="-3"/>
          <w:sz w:val="22"/>
        </w:rPr>
        <w:t> </w:t>
      </w:r>
      <w:r>
        <w:rPr>
          <w:rFonts w:ascii="Arial" w:hAnsi="Arial"/>
          <w:b/>
          <w:sz w:val="22"/>
        </w:rPr>
        <w:t>tasa</w:t>
      </w:r>
      <w:r>
        <w:rPr>
          <w:rFonts w:ascii="Arial" w:hAnsi="Arial"/>
          <w:b/>
          <w:spacing w:val="-2"/>
          <w:sz w:val="22"/>
        </w:rPr>
        <w:t> </w:t>
      </w:r>
      <w:r>
        <w:rPr>
          <w:rFonts w:ascii="Arial" w:hAnsi="Arial"/>
          <w:b/>
          <w:sz w:val="22"/>
        </w:rPr>
        <w:t>de</w:t>
      </w:r>
      <w:r>
        <w:rPr>
          <w:rFonts w:ascii="Arial" w:hAnsi="Arial"/>
          <w:b/>
          <w:spacing w:val="-3"/>
          <w:sz w:val="22"/>
        </w:rPr>
        <w:t> </w:t>
      </w:r>
      <w:r>
        <w:rPr>
          <w:rFonts w:ascii="Arial" w:hAnsi="Arial"/>
          <w:b/>
          <w:spacing w:val="-5"/>
          <w:sz w:val="22"/>
        </w:rPr>
        <w:t>30%</w:t>
      </w:r>
    </w:p>
    <w:p>
      <w:pPr>
        <w:pStyle w:val="ListParagraph"/>
        <w:numPr>
          <w:ilvl w:val="0"/>
          <w:numId w:val="11"/>
        </w:numPr>
        <w:tabs>
          <w:tab w:pos="1130" w:val="left" w:leader="none"/>
          <w:tab w:pos="1134" w:val="left" w:leader="none"/>
        </w:tabs>
        <w:spacing w:line="240" w:lineRule="auto" w:before="251" w:after="0"/>
        <w:ind w:left="1134" w:right="982" w:hanging="567"/>
        <w:jc w:val="both"/>
        <w:rPr>
          <w:sz w:val="22"/>
        </w:rPr>
      </w:pPr>
      <w:r>
        <w:rPr>
          <w:sz w:val="22"/>
        </w:rPr>
        <w:t>Para fijar el 30%, el </w:t>
      </w:r>
      <w:r>
        <w:rPr>
          <w:rFonts w:ascii="Arial" w:hAnsi="Arial"/>
          <w:i/>
          <w:sz w:val="22"/>
        </w:rPr>
        <w:t>“Informe técnico-jurídico de sustento tasa por concepto de control aduanero a las mercancías que ingresen desde Colombia” </w:t>
      </w:r>
      <w:r>
        <w:rPr>
          <w:sz w:val="22"/>
        </w:rPr>
        <w:t>sigue estos pasos:</w:t>
      </w:r>
    </w:p>
    <w:p>
      <w:pPr>
        <w:pStyle w:val="BodyText"/>
        <w:spacing w:before="1"/>
      </w:pPr>
    </w:p>
    <w:p>
      <w:pPr>
        <w:pStyle w:val="Heading6"/>
        <w:numPr>
          <w:ilvl w:val="0"/>
          <w:numId w:val="36"/>
        </w:numPr>
        <w:tabs>
          <w:tab w:pos="1852" w:val="left" w:leader="none"/>
        </w:tabs>
        <w:spacing w:line="240" w:lineRule="auto" w:before="0" w:after="0"/>
        <w:ind w:left="1852" w:right="0" w:hanging="358"/>
        <w:jc w:val="left"/>
        <w:rPr>
          <w:rFonts w:ascii="Arial MT"/>
          <w:b w:val="0"/>
        </w:rPr>
      </w:pPr>
      <w:r>
        <w:rPr/>
        <w:t>Base</w:t>
      </w:r>
      <w:r>
        <w:rPr>
          <w:spacing w:val="-5"/>
        </w:rPr>
        <w:t> </w:t>
      </w:r>
      <w:r>
        <w:rPr/>
        <w:t>imponible</w:t>
      </w:r>
      <w:r>
        <w:rPr>
          <w:spacing w:val="-7"/>
        </w:rPr>
        <w:t> </w:t>
      </w:r>
      <w:r>
        <w:rPr>
          <w:spacing w:val="-2"/>
        </w:rPr>
        <w:t>inicial</w:t>
      </w:r>
      <w:r>
        <w:rPr>
          <w:rFonts w:ascii="Arial MT"/>
          <w:b w:val="0"/>
          <w:spacing w:val="-2"/>
        </w:rPr>
        <w:t>:</w:t>
      </w:r>
    </w:p>
    <w:p>
      <w:pPr>
        <w:pStyle w:val="BodyText"/>
        <w:spacing w:before="5"/>
      </w:pPr>
    </w:p>
    <w:p>
      <w:pPr>
        <w:pStyle w:val="ListParagraph"/>
        <w:numPr>
          <w:ilvl w:val="1"/>
          <w:numId w:val="36"/>
        </w:numPr>
        <w:tabs>
          <w:tab w:pos="2575" w:val="left" w:leader="none"/>
        </w:tabs>
        <w:spacing w:line="235" w:lineRule="auto" w:before="0" w:after="0"/>
        <w:ind w:left="2575" w:right="980" w:hanging="361"/>
        <w:jc w:val="both"/>
        <w:rPr>
          <w:sz w:val="22"/>
        </w:rPr>
      </w:pPr>
      <w:r>
        <w:rPr>
          <w:sz w:val="22"/>
        </w:rPr>
        <w:t>Toma las importaciones CIF del período 2025, desde de la República Colombia (excluyendo energía eléctrica y combustibles) por USD 1.834,87 millones.</w:t>
      </w:r>
    </w:p>
    <w:p>
      <w:pPr>
        <w:pStyle w:val="Heading6"/>
        <w:numPr>
          <w:ilvl w:val="0"/>
          <w:numId w:val="36"/>
        </w:numPr>
        <w:tabs>
          <w:tab w:pos="1852" w:val="left" w:leader="none"/>
        </w:tabs>
        <w:spacing w:line="240" w:lineRule="auto" w:before="250" w:after="0"/>
        <w:ind w:left="1852" w:right="0" w:hanging="358"/>
        <w:jc w:val="left"/>
        <w:rPr>
          <w:rFonts w:ascii="Arial MT" w:hAnsi="Arial MT"/>
          <w:b w:val="0"/>
        </w:rPr>
      </w:pPr>
      <w:r>
        <w:rPr/>
        <w:t>Contracción</w:t>
      </w:r>
      <w:r>
        <w:rPr>
          <w:spacing w:val="-7"/>
        </w:rPr>
        <w:t> </w:t>
      </w:r>
      <w:r>
        <w:rPr/>
        <w:t>esperada</w:t>
      </w:r>
      <w:r>
        <w:rPr>
          <w:spacing w:val="-9"/>
        </w:rPr>
        <w:t> </w:t>
      </w:r>
      <w:r>
        <w:rPr/>
        <w:t>del</w:t>
      </w:r>
      <w:r>
        <w:rPr>
          <w:spacing w:val="-2"/>
        </w:rPr>
        <w:t> comercio</w:t>
      </w:r>
      <w:r>
        <w:rPr>
          <w:rFonts w:ascii="Arial MT" w:hAnsi="Arial MT"/>
          <w:b w:val="0"/>
          <w:spacing w:val="-2"/>
        </w:rPr>
        <w:t>:</w:t>
      </w:r>
    </w:p>
    <w:p>
      <w:pPr>
        <w:pStyle w:val="BodyText"/>
        <w:spacing w:before="13"/>
      </w:pPr>
    </w:p>
    <w:p>
      <w:pPr>
        <w:pStyle w:val="ListParagraph"/>
        <w:numPr>
          <w:ilvl w:val="1"/>
          <w:numId w:val="36"/>
        </w:numPr>
        <w:tabs>
          <w:tab w:pos="2575" w:val="left" w:leader="none"/>
        </w:tabs>
        <w:spacing w:line="228" w:lineRule="auto" w:before="0" w:after="0"/>
        <w:ind w:left="2575" w:right="977" w:hanging="361"/>
        <w:jc w:val="both"/>
        <w:rPr>
          <w:sz w:val="22"/>
        </w:rPr>
      </w:pPr>
      <w:r>
        <w:rPr>
          <w:sz w:val="22"/>
        </w:rPr>
        <w:t>Aplica</w:t>
      </w:r>
      <w:r>
        <w:rPr>
          <w:spacing w:val="-5"/>
          <w:sz w:val="22"/>
        </w:rPr>
        <w:t> </w:t>
      </w:r>
      <w:r>
        <w:rPr>
          <w:sz w:val="22"/>
        </w:rPr>
        <w:t>un</w:t>
      </w:r>
      <w:r>
        <w:rPr>
          <w:spacing w:val="-5"/>
          <w:sz w:val="22"/>
        </w:rPr>
        <w:t> </w:t>
      </w:r>
      <w:r>
        <w:rPr>
          <w:sz w:val="22"/>
        </w:rPr>
        <w:t>escenario</w:t>
      </w:r>
      <w:r>
        <w:rPr>
          <w:spacing w:val="-8"/>
          <w:sz w:val="22"/>
        </w:rPr>
        <w:t> </w:t>
      </w:r>
      <w:r>
        <w:rPr>
          <w:sz w:val="22"/>
        </w:rPr>
        <w:t>de</w:t>
      </w:r>
      <w:r>
        <w:rPr>
          <w:spacing w:val="-8"/>
          <w:sz w:val="22"/>
        </w:rPr>
        <w:t> </w:t>
      </w:r>
      <w:r>
        <w:rPr>
          <w:sz w:val="22"/>
        </w:rPr>
        <w:t>contracción</w:t>
      </w:r>
      <w:r>
        <w:rPr>
          <w:spacing w:val="-8"/>
          <w:sz w:val="22"/>
        </w:rPr>
        <w:t> </w:t>
      </w:r>
      <w:r>
        <w:rPr>
          <w:sz w:val="22"/>
        </w:rPr>
        <w:t>del</w:t>
      </w:r>
      <w:r>
        <w:rPr>
          <w:spacing w:val="-8"/>
          <w:sz w:val="22"/>
        </w:rPr>
        <w:t> </w:t>
      </w:r>
      <w:r>
        <w:rPr>
          <w:sz w:val="22"/>
        </w:rPr>
        <w:t>60%</w:t>
      </w:r>
      <w:r>
        <w:rPr>
          <w:spacing w:val="-7"/>
          <w:sz w:val="22"/>
        </w:rPr>
        <w:t> </w:t>
      </w:r>
      <w:r>
        <w:rPr>
          <w:sz w:val="22"/>
        </w:rPr>
        <w:t>de</w:t>
      </w:r>
      <w:r>
        <w:rPr>
          <w:spacing w:val="-8"/>
          <w:sz w:val="22"/>
        </w:rPr>
        <w:t> </w:t>
      </w:r>
      <w:r>
        <w:rPr>
          <w:sz w:val="22"/>
        </w:rPr>
        <w:t>esa</w:t>
      </w:r>
      <w:r>
        <w:rPr>
          <w:spacing w:val="-5"/>
          <w:sz w:val="22"/>
        </w:rPr>
        <w:t> </w:t>
      </w:r>
      <w:r>
        <w:rPr>
          <w:sz w:val="22"/>
        </w:rPr>
        <w:t>base,</w:t>
      </w:r>
      <w:r>
        <w:rPr>
          <w:spacing w:val="-6"/>
          <w:sz w:val="22"/>
        </w:rPr>
        <w:t> </w:t>
      </w:r>
      <w:r>
        <w:rPr>
          <w:sz w:val="22"/>
        </w:rPr>
        <w:t>apoyado</w:t>
      </w:r>
      <w:r>
        <w:rPr>
          <w:spacing w:val="-8"/>
          <w:sz w:val="22"/>
        </w:rPr>
        <w:t> </w:t>
      </w:r>
      <w:r>
        <w:rPr>
          <w:sz w:val="22"/>
        </w:rPr>
        <w:t>en</w:t>
      </w:r>
      <w:r>
        <w:rPr>
          <w:spacing w:val="-8"/>
          <w:sz w:val="22"/>
        </w:rPr>
        <w:t> </w:t>
      </w:r>
      <w:r>
        <w:rPr>
          <w:sz w:val="22"/>
        </w:rPr>
        <w:t>un estudio</w:t>
      </w:r>
      <w:r>
        <w:rPr>
          <w:spacing w:val="-12"/>
          <w:sz w:val="22"/>
        </w:rPr>
        <w:t> </w:t>
      </w:r>
      <w:r>
        <w:rPr>
          <w:sz w:val="22"/>
        </w:rPr>
        <w:t>de</w:t>
      </w:r>
      <w:r>
        <w:rPr>
          <w:spacing w:val="-13"/>
          <w:sz w:val="22"/>
        </w:rPr>
        <w:t> </w:t>
      </w:r>
      <w:r>
        <w:rPr>
          <w:sz w:val="22"/>
        </w:rPr>
        <w:t>elasticidad</w:t>
      </w:r>
      <w:r>
        <w:rPr>
          <w:rFonts w:ascii="Cambria Math" w:hAnsi="Cambria Math"/>
          <w:sz w:val="22"/>
        </w:rPr>
        <w:t>‑</w:t>
      </w:r>
      <w:r>
        <w:rPr>
          <w:sz w:val="22"/>
        </w:rPr>
        <w:t>precio</w:t>
      </w:r>
      <w:r>
        <w:rPr>
          <w:spacing w:val="-12"/>
          <w:sz w:val="22"/>
        </w:rPr>
        <w:t> </w:t>
      </w:r>
      <w:r>
        <w:rPr>
          <w:sz w:val="22"/>
        </w:rPr>
        <w:t>del</w:t>
      </w:r>
      <w:r>
        <w:rPr>
          <w:spacing w:val="-13"/>
          <w:sz w:val="22"/>
        </w:rPr>
        <w:t> </w:t>
      </w:r>
      <w:r>
        <w:rPr>
          <w:sz w:val="22"/>
        </w:rPr>
        <w:t>comercio</w:t>
      </w:r>
      <w:r>
        <w:rPr>
          <w:spacing w:val="-12"/>
          <w:sz w:val="22"/>
        </w:rPr>
        <w:t> </w:t>
      </w:r>
      <w:r>
        <w:rPr>
          <w:sz w:val="22"/>
        </w:rPr>
        <w:t>con</w:t>
      </w:r>
      <w:r>
        <w:rPr>
          <w:spacing w:val="-13"/>
          <w:sz w:val="22"/>
        </w:rPr>
        <w:t> </w:t>
      </w:r>
      <w:r>
        <w:rPr>
          <w:sz w:val="22"/>
        </w:rPr>
        <w:t>la</w:t>
      </w:r>
      <w:r>
        <w:rPr>
          <w:spacing w:val="-15"/>
          <w:sz w:val="22"/>
        </w:rPr>
        <w:t> </w:t>
      </w:r>
      <w:r>
        <w:rPr>
          <w:sz w:val="22"/>
        </w:rPr>
        <w:t>República</w:t>
      </w:r>
      <w:r>
        <w:rPr>
          <w:spacing w:val="-12"/>
          <w:sz w:val="22"/>
        </w:rPr>
        <w:t> </w:t>
      </w:r>
      <w:r>
        <w:rPr>
          <w:sz w:val="22"/>
        </w:rPr>
        <w:t>de</w:t>
      </w:r>
      <w:r>
        <w:rPr>
          <w:spacing w:val="-13"/>
          <w:sz w:val="22"/>
        </w:rPr>
        <w:t> </w:t>
      </w:r>
      <w:r>
        <w:rPr>
          <w:sz w:val="22"/>
        </w:rPr>
        <w:t>Colombia.</w:t>
      </w:r>
    </w:p>
    <w:p>
      <w:pPr>
        <w:pStyle w:val="BodyText"/>
        <w:spacing w:before="4"/>
      </w:pPr>
    </w:p>
    <w:p>
      <w:pPr>
        <w:pStyle w:val="ListParagraph"/>
        <w:numPr>
          <w:ilvl w:val="1"/>
          <w:numId w:val="36"/>
        </w:numPr>
        <w:tabs>
          <w:tab w:pos="2575" w:val="left" w:leader="none"/>
        </w:tabs>
        <w:spacing w:line="240" w:lineRule="auto" w:before="0" w:after="0"/>
        <w:ind w:left="2575" w:right="0" w:hanging="361"/>
        <w:jc w:val="left"/>
        <w:rPr>
          <w:sz w:val="22"/>
        </w:rPr>
      </w:pPr>
      <w:r>
        <w:rPr>
          <w:sz w:val="22"/>
        </w:rPr>
        <w:t>Resultado:</w:t>
      </w:r>
      <w:r>
        <w:rPr>
          <w:spacing w:val="-6"/>
          <w:sz w:val="22"/>
        </w:rPr>
        <w:t> </w:t>
      </w:r>
      <w:r>
        <w:rPr>
          <w:rFonts w:ascii="Arial" w:hAnsi="Arial"/>
          <w:b/>
          <w:sz w:val="22"/>
        </w:rPr>
        <w:t>base</w:t>
      </w:r>
      <w:r>
        <w:rPr>
          <w:rFonts w:ascii="Arial" w:hAnsi="Arial"/>
          <w:b/>
          <w:spacing w:val="-7"/>
          <w:sz w:val="22"/>
        </w:rPr>
        <w:t> </w:t>
      </w:r>
      <w:r>
        <w:rPr>
          <w:rFonts w:ascii="Arial" w:hAnsi="Arial"/>
          <w:b/>
          <w:sz w:val="22"/>
        </w:rPr>
        <w:t>efectiva</w:t>
      </w:r>
      <w:r>
        <w:rPr>
          <w:rFonts w:ascii="Arial" w:hAnsi="Arial"/>
          <w:b/>
          <w:spacing w:val="-6"/>
          <w:sz w:val="22"/>
        </w:rPr>
        <w:t> </w:t>
      </w:r>
      <w:r>
        <w:rPr>
          <w:rFonts w:ascii="Arial" w:hAnsi="Arial"/>
          <w:b/>
          <w:sz w:val="22"/>
        </w:rPr>
        <w:t>proyectada</w:t>
      </w:r>
      <w:r>
        <w:rPr>
          <w:rFonts w:ascii="Arial" w:hAnsi="Arial"/>
          <w:b/>
          <w:spacing w:val="-6"/>
          <w:sz w:val="22"/>
        </w:rPr>
        <w:t> </w:t>
      </w:r>
      <w:r>
        <w:rPr>
          <w:sz w:val="22"/>
        </w:rPr>
        <w:t>de</w:t>
      </w:r>
      <w:r>
        <w:rPr>
          <w:spacing w:val="-8"/>
          <w:sz w:val="22"/>
        </w:rPr>
        <w:t> </w:t>
      </w:r>
      <w:r>
        <w:rPr>
          <w:sz w:val="22"/>
        </w:rPr>
        <w:t>USD</w:t>
      </w:r>
      <w:r>
        <w:rPr>
          <w:spacing w:val="-5"/>
          <w:sz w:val="22"/>
        </w:rPr>
        <w:t> </w:t>
      </w:r>
      <w:r>
        <w:rPr>
          <w:sz w:val="22"/>
        </w:rPr>
        <w:t>733,95</w:t>
      </w:r>
      <w:r>
        <w:rPr>
          <w:spacing w:val="-7"/>
          <w:sz w:val="22"/>
        </w:rPr>
        <w:t> </w:t>
      </w:r>
      <w:r>
        <w:rPr>
          <w:spacing w:val="-2"/>
          <w:sz w:val="22"/>
        </w:rPr>
        <w:t>millones.</w:t>
      </w:r>
    </w:p>
    <w:p>
      <w:pPr>
        <w:pStyle w:val="ListParagraph"/>
        <w:numPr>
          <w:ilvl w:val="0"/>
          <w:numId w:val="36"/>
        </w:numPr>
        <w:tabs>
          <w:tab w:pos="1852" w:val="left" w:leader="none"/>
        </w:tabs>
        <w:spacing w:line="240" w:lineRule="auto" w:before="239" w:after="0"/>
        <w:ind w:left="1852" w:right="0" w:hanging="358"/>
        <w:jc w:val="left"/>
        <w:rPr>
          <w:sz w:val="22"/>
        </w:rPr>
      </w:pPr>
      <w:r>
        <w:rPr>
          <w:rFonts w:ascii="Arial" w:hAnsi="Arial"/>
          <w:b/>
          <w:sz w:val="22"/>
        </w:rPr>
        <w:t>Meta</w:t>
      </w:r>
      <w:r>
        <w:rPr>
          <w:rFonts w:ascii="Arial" w:hAnsi="Arial"/>
          <w:b/>
          <w:spacing w:val="-5"/>
          <w:sz w:val="22"/>
        </w:rPr>
        <w:t> </w:t>
      </w:r>
      <w:r>
        <w:rPr>
          <w:rFonts w:ascii="Arial" w:hAnsi="Arial"/>
          <w:b/>
          <w:sz w:val="22"/>
        </w:rPr>
        <w:t>de</w:t>
      </w:r>
      <w:r>
        <w:rPr>
          <w:rFonts w:ascii="Arial" w:hAnsi="Arial"/>
          <w:b/>
          <w:spacing w:val="-4"/>
          <w:sz w:val="22"/>
        </w:rPr>
        <w:t> </w:t>
      </w:r>
      <w:r>
        <w:rPr>
          <w:rFonts w:ascii="Arial" w:hAnsi="Arial"/>
          <w:b/>
          <w:sz w:val="22"/>
        </w:rPr>
        <w:t>recaudación</w:t>
      </w:r>
      <w:r>
        <w:rPr>
          <w:rFonts w:ascii="Arial" w:hAnsi="Arial"/>
          <w:b/>
          <w:spacing w:val="-4"/>
          <w:sz w:val="22"/>
        </w:rPr>
        <w:t> </w:t>
      </w:r>
      <w:r>
        <w:rPr>
          <w:rFonts w:ascii="Arial" w:hAnsi="Arial"/>
          <w:b/>
          <w:sz w:val="22"/>
        </w:rPr>
        <w:t>=</w:t>
      </w:r>
      <w:r>
        <w:rPr>
          <w:rFonts w:ascii="Arial" w:hAnsi="Arial"/>
          <w:b/>
          <w:spacing w:val="-5"/>
          <w:sz w:val="22"/>
        </w:rPr>
        <w:t> </w:t>
      </w:r>
      <w:r>
        <w:rPr>
          <w:rFonts w:ascii="Arial" w:hAnsi="Arial"/>
          <w:b/>
          <w:sz w:val="22"/>
        </w:rPr>
        <w:t>costo</w:t>
      </w:r>
      <w:r>
        <w:rPr>
          <w:rFonts w:ascii="Arial" w:hAnsi="Arial"/>
          <w:b/>
          <w:spacing w:val="-1"/>
          <w:sz w:val="22"/>
        </w:rPr>
        <w:t> </w:t>
      </w:r>
      <w:r>
        <w:rPr>
          <w:rFonts w:ascii="Arial" w:hAnsi="Arial"/>
          <w:b/>
          <w:sz w:val="22"/>
        </w:rPr>
        <w:t>del </w:t>
      </w:r>
      <w:r>
        <w:rPr>
          <w:rFonts w:ascii="Arial" w:hAnsi="Arial"/>
          <w:b/>
          <w:spacing w:val="-2"/>
          <w:sz w:val="22"/>
        </w:rPr>
        <w:t>servicio</w:t>
      </w:r>
      <w:r>
        <w:rPr>
          <w:spacing w:val="-2"/>
          <w:sz w:val="22"/>
        </w:rPr>
        <w:t>:</w:t>
      </w:r>
    </w:p>
    <w:p>
      <w:pPr>
        <w:pStyle w:val="BodyText"/>
      </w:pPr>
    </w:p>
    <w:p>
      <w:pPr>
        <w:pStyle w:val="ListParagraph"/>
        <w:numPr>
          <w:ilvl w:val="1"/>
          <w:numId w:val="36"/>
        </w:numPr>
        <w:tabs>
          <w:tab w:pos="2575" w:val="left" w:leader="none"/>
        </w:tabs>
        <w:spacing w:line="240" w:lineRule="auto" w:before="0" w:after="0"/>
        <w:ind w:left="2575" w:right="0" w:hanging="361"/>
        <w:jc w:val="left"/>
        <w:rPr>
          <w:sz w:val="22"/>
        </w:rPr>
      </w:pPr>
      <w:r>
        <w:rPr>
          <w:sz w:val="22"/>
        </w:rPr>
        <w:t>Introduce</w:t>
      </w:r>
      <w:r>
        <w:rPr>
          <w:spacing w:val="-8"/>
          <w:sz w:val="22"/>
        </w:rPr>
        <w:t> </w:t>
      </w:r>
      <w:r>
        <w:rPr>
          <w:sz w:val="22"/>
        </w:rPr>
        <w:t>la</w:t>
      </w:r>
      <w:r>
        <w:rPr>
          <w:spacing w:val="-5"/>
          <w:sz w:val="22"/>
        </w:rPr>
        <w:t> </w:t>
      </w:r>
      <w:r>
        <w:rPr>
          <w:sz w:val="22"/>
        </w:rPr>
        <w:t>identidad</w:t>
      </w:r>
      <w:r>
        <w:rPr>
          <w:spacing w:val="-6"/>
          <w:sz w:val="22"/>
        </w:rPr>
        <w:t> </w:t>
      </w:r>
      <w:r>
        <w:rPr>
          <w:sz w:val="22"/>
        </w:rPr>
        <w:t>“recaudación</w:t>
      </w:r>
      <w:r>
        <w:rPr>
          <w:spacing w:val="-5"/>
          <w:sz w:val="22"/>
        </w:rPr>
        <w:t> </w:t>
      </w:r>
      <w:r>
        <w:rPr>
          <w:sz w:val="22"/>
        </w:rPr>
        <w:t>objetivo</w:t>
      </w:r>
      <w:r>
        <w:rPr>
          <w:spacing w:val="-8"/>
          <w:sz w:val="22"/>
        </w:rPr>
        <w:t> </w:t>
      </w:r>
      <w:r>
        <w:rPr>
          <w:sz w:val="22"/>
        </w:rPr>
        <w:t>=</w:t>
      </w:r>
      <w:r>
        <w:rPr>
          <w:spacing w:val="-4"/>
          <w:sz w:val="22"/>
        </w:rPr>
        <w:t> </w:t>
      </w:r>
      <w:r>
        <w:rPr>
          <w:sz w:val="22"/>
        </w:rPr>
        <w:t>base</w:t>
      </w:r>
      <w:r>
        <w:rPr>
          <w:spacing w:val="-6"/>
          <w:sz w:val="22"/>
        </w:rPr>
        <w:t> </w:t>
      </w:r>
      <w:r>
        <w:rPr>
          <w:sz w:val="22"/>
        </w:rPr>
        <w:t>efectiva</w:t>
      </w:r>
      <w:r>
        <w:rPr>
          <w:spacing w:val="-7"/>
          <w:sz w:val="22"/>
        </w:rPr>
        <w:t> </w:t>
      </w:r>
      <w:r>
        <w:rPr>
          <w:sz w:val="22"/>
        </w:rPr>
        <w:t>×</w:t>
      </w:r>
      <w:r>
        <w:rPr>
          <w:spacing w:val="-6"/>
          <w:sz w:val="22"/>
        </w:rPr>
        <w:t> </w:t>
      </w:r>
      <w:r>
        <w:rPr>
          <w:spacing w:val="-2"/>
          <w:sz w:val="22"/>
        </w:rPr>
        <w:t>tasa”.</w:t>
      </w:r>
    </w:p>
    <w:p>
      <w:pPr>
        <w:pStyle w:val="BodyText"/>
      </w:pPr>
    </w:p>
    <w:p>
      <w:pPr>
        <w:pStyle w:val="ListParagraph"/>
        <w:numPr>
          <w:ilvl w:val="1"/>
          <w:numId w:val="36"/>
        </w:numPr>
        <w:tabs>
          <w:tab w:pos="2575" w:val="left" w:leader="none"/>
        </w:tabs>
        <w:spacing w:line="228" w:lineRule="auto" w:before="0" w:after="0"/>
        <w:ind w:left="2575" w:right="984" w:hanging="361"/>
        <w:jc w:val="both"/>
        <w:rPr>
          <w:sz w:val="22"/>
        </w:rPr>
      </w:pPr>
      <w:r>
        <w:rPr>
          <w:sz w:val="22"/>
        </w:rPr>
        <w:t>Ajusta</w:t>
      </w:r>
      <w:r>
        <w:rPr>
          <w:spacing w:val="-3"/>
          <w:sz w:val="22"/>
        </w:rPr>
        <w:t> </w:t>
      </w:r>
      <w:r>
        <w:rPr>
          <w:sz w:val="22"/>
        </w:rPr>
        <w:t>la</w:t>
      </w:r>
      <w:r>
        <w:rPr>
          <w:spacing w:val="-4"/>
          <w:sz w:val="22"/>
        </w:rPr>
        <w:t> </w:t>
      </w:r>
      <w:r>
        <w:rPr>
          <w:sz w:val="22"/>
        </w:rPr>
        <w:t>tasa</w:t>
      </w:r>
      <w:r>
        <w:rPr>
          <w:spacing w:val="-4"/>
          <w:sz w:val="22"/>
        </w:rPr>
        <w:t> </w:t>
      </w:r>
      <w:r>
        <w:rPr>
          <w:sz w:val="22"/>
        </w:rPr>
        <w:t>para</w:t>
      </w:r>
      <w:r>
        <w:rPr>
          <w:spacing w:val="-4"/>
          <w:sz w:val="22"/>
        </w:rPr>
        <w:t> </w:t>
      </w:r>
      <w:r>
        <w:rPr>
          <w:sz w:val="22"/>
        </w:rPr>
        <w:t>que</w:t>
      </w:r>
      <w:r>
        <w:rPr>
          <w:spacing w:val="-1"/>
          <w:sz w:val="22"/>
        </w:rPr>
        <w:t> </w:t>
      </w:r>
      <w:r>
        <w:rPr>
          <w:sz w:val="22"/>
        </w:rPr>
        <w:t>la</w:t>
      </w:r>
      <w:r>
        <w:rPr>
          <w:spacing w:val="-1"/>
          <w:sz w:val="22"/>
        </w:rPr>
        <w:t> </w:t>
      </w:r>
      <w:r>
        <w:rPr>
          <w:sz w:val="22"/>
        </w:rPr>
        <w:t>recaudación</w:t>
      </w:r>
      <w:r>
        <w:rPr>
          <w:spacing w:val="-2"/>
          <w:sz w:val="22"/>
        </w:rPr>
        <w:t> </w:t>
      </w:r>
      <w:r>
        <w:rPr>
          <w:sz w:val="22"/>
        </w:rPr>
        <w:t>cubra</w:t>
      </w:r>
      <w:r>
        <w:rPr>
          <w:spacing w:val="-1"/>
          <w:sz w:val="22"/>
        </w:rPr>
        <w:t> </w:t>
      </w:r>
      <w:r>
        <w:rPr>
          <w:sz w:val="22"/>
        </w:rPr>
        <w:t>aproximadamente</w:t>
      </w:r>
      <w:r>
        <w:rPr>
          <w:spacing w:val="-1"/>
          <w:sz w:val="22"/>
        </w:rPr>
        <w:t> </w:t>
      </w:r>
      <w:r>
        <w:rPr>
          <w:sz w:val="22"/>
        </w:rPr>
        <w:t>los</w:t>
      </w:r>
      <w:r>
        <w:rPr>
          <w:spacing w:val="-4"/>
          <w:sz w:val="22"/>
        </w:rPr>
        <w:t> </w:t>
      </w:r>
      <w:r>
        <w:rPr>
          <w:sz w:val="22"/>
        </w:rPr>
        <w:t>USD 221,04 millones de costo anual estimado.</w:t>
      </w:r>
    </w:p>
    <w:p>
      <w:pPr>
        <w:pStyle w:val="BodyText"/>
        <w:spacing w:before="2"/>
      </w:pPr>
    </w:p>
    <w:p>
      <w:pPr>
        <w:pStyle w:val="ListParagraph"/>
        <w:numPr>
          <w:ilvl w:val="1"/>
          <w:numId w:val="36"/>
        </w:numPr>
        <w:tabs>
          <w:tab w:pos="2575" w:val="left" w:leader="none"/>
        </w:tabs>
        <w:spacing w:line="262" w:lineRule="exact" w:before="0" w:after="0"/>
        <w:ind w:left="2575" w:right="0" w:hanging="361"/>
        <w:jc w:val="left"/>
        <w:rPr>
          <w:sz w:val="22"/>
        </w:rPr>
      </w:pPr>
      <w:r>
        <w:rPr>
          <w:sz w:val="22"/>
        </w:rPr>
        <w:t>De</w:t>
      </w:r>
      <w:r>
        <w:rPr>
          <w:spacing w:val="25"/>
          <w:sz w:val="22"/>
        </w:rPr>
        <w:t>  </w:t>
      </w:r>
      <w:r>
        <w:rPr>
          <w:sz w:val="22"/>
        </w:rPr>
        <w:t>esa</w:t>
      </w:r>
      <w:r>
        <w:rPr>
          <w:spacing w:val="25"/>
          <w:sz w:val="22"/>
        </w:rPr>
        <w:t>  </w:t>
      </w:r>
      <w:r>
        <w:rPr>
          <w:sz w:val="22"/>
        </w:rPr>
        <w:t>ecuación</w:t>
      </w:r>
      <w:r>
        <w:rPr>
          <w:spacing w:val="25"/>
          <w:sz w:val="22"/>
        </w:rPr>
        <w:t>  </w:t>
      </w:r>
      <w:r>
        <w:rPr>
          <w:sz w:val="22"/>
        </w:rPr>
        <w:t>se</w:t>
      </w:r>
      <w:r>
        <w:rPr>
          <w:spacing w:val="76"/>
          <w:w w:val="150"/>
          <w:sz w:val="22"/>
        </w:rPr>
        <w:t> </w:t>
      </w:r>
      <w:r>
        <w:rPr>
          <w:sz w:val="22"/>
        </w:rPr>
        <w:t>obtiene</w:t>
      </w:r>
      <w:r>
        <w:rPr>
          <w:spacing w:val="25"/>
          <w:sz w:val="22"/>
        </w:rPr>
        <w:t>  </w:t>
      </w:r>
      <w:r>
        <w:rPr>
          <w:sz w:val="22"/>
        </w:rPr>
        <w:t>una</w:t>
      </w:r>
      <w:r>
        <w:rPr>
          <w:spacing w:val="79"/>
          <w:w w:val="150"/>
          <w:sz w:val="22"/>
        </w:rPr>
        <w:t> </w:t>
      </w:r>
      <w:r>
        <w:rPr>
          <w:sz w:val="22"/>
        </w:rPr>
        <w:t>tasa</w:t>
      </w:r>
      <w:r>
        <w:rPr>
          <w:spacing w:val="78"/>
          <w:w w:val="150"/>
          <w:sz w:val="22"/>
        </w:rPr>
        <w:t> </w:t>
      </w:r>
      <w:r>
        <w:rPr>
          <w:sz w:val="22"/>
        </w:rPr>
        <w:t>de</w:t>
      </w:r>
      <w:r>
        <w:rPr>
          <w:spacing w:val="75"/>
          <w:w w:val="150"/>
          <w:sz w:val="22"/>
        </w:rPr>
        <w:t> </w:t>
      </w:r>
      <w:r>
        <w:rPr>
          <w:sz w:val="22"/>
        </w:rPr>
        <w:t>30,11%,</w:t>
      </w:r>
      <w:r>
        <w:rPr>
          <w:spacing w:val="25"/>
          <w:sz w:val="22"/>
        </w:rPr>
        <w:t>  </w:t>
      </w:r>
      <w:r>
        <w:rPr>
          <w:spacing w:val="-2"/>
          <w:sz w:val="22"/>
        </w:rPr>
        <w:t>redondeada</w:t>
      </w:r>
    </w:p>
    <w:p>
      <w:pPr>
        <w:pStyle w:val="BodyText"/>
        <w:spacing w:line="246" w:lineRule="exact"/>
        <w:ind w:left="2575"/>
      </w:pPr>
      <w:r>
        <w:rPr/>
        <w:t>“técnicamente”</w:t>
      </w:r>
      <w:r>
        <w:rPr>
          <w:spacing w:val="-9"/>
        </w:rPr>
        <w:t> </w:t>
      </w:r>
      <w:r>
        <w:rPr/>
        <w:t>a</w:t>
      </w:r>
      <w:r>
        <w:rPr>
          <w:spacing w:val="-8"/>
        </w:rPr>
        <w:t> </w:t>
      </w:r>
      <w:r>
        <w:rPr>
          <w:spacing w:val="-4"/>
        </w:rPr>
        <w:t>30%.</w:t>
      </w:r>
    </w:p>
    <w:p>
      <w:pPr>
        <w:pStyle w:val="BodyText"/>
      </w:pPr>
    </w:p>
    <w:p>
      <w:pPr>
        <w:pStyle w:val="BodyText"/>
        <w:ind w:left="1134" w:right="984"/>
        <w:jc w:val="both"/>
      </w:pPr>
      <w:r>
        <w:rPr/>
        <w:t>En resumen, la tasa del 30% se construye como la variable que permite alcanzar una meta global de recaudación igual al costo anual del servicio reforzado, sobre una base de importaciones ya reducida por la contracción proyectada.</w:t>
      </w:r>
    </w:p>
    <w:p>
      <w:pPr>
        <w:pStyle w:val="BodyText"/>
        <w:spacing w:before="1"/>
      </w:pPr>
    </w:p>
    <w:p>
      <w:pPr>
        <w:pStyle w:val="Heading6"/>
        <w:numPr>
          <w:ilvl w:val="1"/>
          <w:numId w:val="33"/>
        </w:numPr>
        <w:tabs>
          <w:tab w:pos="1492" w:val="left" w:leader="none"/>
        </w:tabs>
        <w:spacing w:line="240" w:lineRule="auto" w:before="0" w:after="0"/>
        <w:ind w:left="1492" w:right="0" w:hanging="358"/>
        <w:jc w:val="left"/>
      </w:pPr>
      <w:r>
        <w:rPr/>
        <w:t>Cálculo</w:t>
      </w:r>
      <w:r>
        <w:rPr>
          <w:spacing w:val="-2"/>
        </w:rPr>
        <w:t> </w:t>
      </w:r>
      <w:r>
        <w:rPr/>
        <w:t>de</w:t>
      </w:r>
      <w:r>
        <w:rPr>
          <w:spacing w:val="-4"/>
        </w:rPr>
        <w:t> </w:t>
      </w:r>
      <w:r>
        <w:rPr/>
        <w:t>la</w:t>
      </w:r>
      <w:r>
        <w:rPr>
          <w:spacing w:val="-3"/>
        </w:rPr>
        <w:t> </w:t>
      </w:r>
      <w:r>
        <w:rPr/>
        <w:t>tasa</w:t>
      </w:r>
      <w:r>
        <w:rPr>
          <w:spacing w:val="-2"/>
        </w:rPr>
        <w:t> </w:t>
      </w:r>
      <w:r>
        <w:rPr/>
        <w:t>de</w:t>
      </w:r>
      <w:r>
        <w:rPr>
          <w:spacing w:val="-3"/>
        </w:rPr>
        <w:t> </w:t>
      </w:r>
      <w:r>
        <w:rPr>
          <w:spacing w:val="-5"/>
        </w:rPr>
        <w:t>50%</w:t>
      </w:r>
    </w:p>
    <w:p>
      <w:pPr>
        <w:pStyle w:val="ListParagraph"/>
        <w:numPr>
          <w:ilvl w:val="0"/>
          <w:numId w:val="11"/>
        </w:numPr>
        <w:tabs>
          <w:tab w:pos="1130" w:val="left" w:leader="none"/>
          <w:tab w:pos="1134" w:val="left" w:leader="none"/>
        </w:tabs>
        <w:spacing w:line="240" w:lineRule="auto" w:before="252" w:after="0"/>
        <w:ind w:left="1134" w:right="981" w:hanging="567"/>
        <w:jc w:val="both"/>
        <w:rPr>
          <w:sz w:val="22"/>
        </w:rPr>
      </w:pPr>
      <w:r>
        <w:rPr>
          <w:sz w:val="22"/>
        </w:rPr>
        <w:t>La lógica aplicada para el establecimiento de la tasa del 50%, es el mismo precedentemente señalado:</w:t>
      </w:r>
    </w:p>
    <w:p>
      <w:pPr>
        <w:pStyle w:val="BodyText"/>
        <w:spacing w:before="2"/>
      </w:pPr>
    </w:p>
    <w:p>
      <w:pPr>
        <w:pStyle w:val="ListParagraph"/>
        <w:numPr>
          <w:ilvl w:val="0"/>
          <w:numId w:val="37"/>
        </w:numPr>
        <w:tabs>
          <w:tab w:pos="1852" w:val="left" w:leader="none"/>
          <w:tab w:pos="1854" w:val="left" w:leader="none"/>
        </w:tabs>
        <w:spacing w:line="240" w:lineRule="auto" w:before="0" w:after="0"/>
        <w:ind w:left="1854" w:right="984" w:hanging="360"/>
        <w:jc w:val="both"/>
        <w:rPr>
          <w:sz w:val="22"/>
        </w:rPr>
      </w:pPr>
      <w:r>
        <w:rPr>
          <w:rFonts w:ascii="Arial"/>
          <w:b/>
          <w:sz w:val="22"/>
        </w:rPr>
        <w:t>Nuevo costo del servicio</w:t>
      </w:r>
      <w:r>
        <w:rPr>
          <w:sz w:val="22"/>
        </w:rPr>
        <w:t>: se fija en USD 275.230.492 para el esquema </w:t>
      </w:r>
      <w:r>
        <w:rPr>
          <w:spacing w:val="-2"/>
          <w:sz w:val="22"/>
        </w:rPr>
        <w:t>nacional.</w:t>
      </w:r>
    </w:p>
    <w:p>
      <w:pPr>
        <w:pStyle w:val="ListParagraph"/>
        <w:numPr>
          <w:ilvl w:val="0"/>
          <w:numId w:val="37"/>
        </w:numPr>
        <w:tabs>
          <w:tab w:pos="1852" w:val="left" w:leader="none"/>
          <w:tab w:pos="1854" w:val="left" w:leader="none"/>
        </w:tabs>
        <w:spacing w:line="240" w:lineRule="auto" w:before="252" w:after="0"/>
        <w:ind w:left="1854" w:right="980" w:hanging="360"/>
        <w:jc w:val="both"/>
        <w:rPr>
          <w:sz w:val="22"/>
        </w:rPr>
      </w:pPr>
      <w:r>
        <w:rPr>
          <w:rFonts w:ascii="Arial" w:hAnsi="Arial"/>
          <w:b/>
          <w:sz w:val="22"/>
        </w:rPr>
        <w:t>Nueva contracción esperada</w:t>
      </w:r>
      <w:r>
        <w:rPr>
          <w:sz w:val="22"/>
        </w:rPr>
        <w:t>: se proyecta una contracción de 70% sobre la misma base inicial de importaciones CIF (USD 1.834,87 millones), obteniendo una base efectiva de USD 550,46 millones.</w:t>
      </w:r>
    </w:p>
    <w:p>
      <w:pPr>
        <w:pStyle w:val="ListParagraph"/>
        <w:numPr>
          <w:ilvl w:val="0"/>
          <w:numId w:val="37"/>
        </w:numPr>
        <w:tabs>
          <w:tab w:pos="1852" w:val="left" w:leader="none"/>
          <w:tab w:pos="1854" w:val="left" w:leader="none"/>
        </w:tabs>
        <w:spacing w:line="240" w:lineRule="auto" w:before="252" w:after="0"/>
        <w:ind w:left="1854" w:right="980" w:hanging="360"/>
        <w:jc w:val="both"/>
        <w:rPr>
          <w:sz w:val="22"/>
        </w:rPr>
      </w:pPr>
      <w:r>
        <w:rPr>
          <w:rFonts w:ascii="Arial" w:hAnsi="Arial"/>
          <w:b/>
          <w:sz w:val="22"/>
        </w:rPr>
        <w:t>Tasa</w:t>
      </w:r>
      <w:r>
        <w:rPr>
          <w:rFonts w:ascii="Arial" w:hAnsi="Arial"/>
          <w:b/>
          <w:spacing w:val="-16"/>
          <w:sz w:val="22"/>
        </w:rPr>
        <w:t> </w:t>
      </w:r>
      <w:r>
        <w:rPr>
          <w:rFonts w:ascii="Arial" w:hAnsi="Arial"/>
          <w:b/>
          <w:sz w:val="22"/>
        </w:rPr>
        <w:t>requerida</w:t>
      </w:r>
      <w:r>
        <w:rPr>
          <w:sz w:val="22"/>
        </w:rPr>
        <w:t>:</w:t>
      </w:r>
      <w:r>
        <w:rPr>
          <w:spacing w:val="-12"/>
          <w:sz w:val="22"/>
        </w:rPr>
        <w:t> </w:t>
      </w:r>
      <w:r>
        <w:rPr>
          <w:sz w:val="22"/>
        </w:rPr>
        <w:t>se</w:t>
      </w:r>
      <w:r>
        <w:rPr>
          <w:spacing w:val="-15"/>
          <w:sz w:val="22"/>
        </w:rPr>
        <w:t> </w:t>
      </w:r>
      <w:r>
        <w:rPr>
          <w:sz w:val="22"/>
        </w:rPr>
        <w:t>calcula</w:t>
      </w:r>
      <w:r>
        <w:rPr>
          <w:spacing w:val="-12"/>
          <w:sz w:val="22"/>
        </w:rPr>
        <w:t> </w:t>
      </w:r>
      <w:r>
        <w:rPr>
          <w:sz w:val="22"/>
        </w:rPr>
        <w:t>la</w:t>
      </w:r>
      <w:r>
        <w:rPr>
          <w:spacing w:val="-15"/>
          <w:sz w:val="22"/>
        </w:rPr>
        <w:t> </w:t>
      </w:r>
      <w:r>
        <w:rPr>
          <w:sz w:val="22"/>
        </w:rPr>
        <w:t>tasa</w:t>
      </w:r>
      <w:r>
        <w:rPr>
          <w:spacing w:val="-15"/>
          <w:sz w:val="22"/>
        </w:rPr>
        <w:t> </w:t>
      </w:r>
      <w:r>
        <w:rPr>
          <w:sz w:val="22"/>
        </w:rPr>
        <w:t>que,</w:t>
      </w:r>
      <w:r>
        <w:rPr>
          <w:spacing w:val="-14"/>
          <w:sz w:val="22"/>
        </w:rPr>
        <w:t> </w:t>
      </w:r>
      <w:r>
        <w:rPr>
          <w:sz w:val="22"/>
        </w:rPr>
        <w:t>aplicada</w:t>
      </w:r>
      <w:r>
        <w:rPr>
          <w:spacing w:val="-16"/>
          <w:sz w:val="22"/>
        </w:rPr>
        <w:t> </w:t>
      </w:r>
      <w:r>
        <w:rPr>
          <w:sz w:val="22"/>
        </w:rPr>
        <w:t>a</w:t>
      </w:r>
      <w:r>
        <w:rPr>
          <w:spacing w:val="-11"/>
          <w:sz w:val="22"/>
        </w:rPr>
        <w:t> </w:t>
      </w:r>
      <w:r>
        <w:rPr>
          <w:sz w:val="22"/>
        </w:rPr>
        <w:t>USD</w:t>
      </w:r>
      <w:r>
        <w:rPr>
          <w:spacing w:val="-13"/>
          <w:sz w:val="22"/>
        </w:rPr>
        <w:t> </w:t>
      </w:r>
      <w:r>
        <w:rPr>
          <w:sz w:val="22"/>
        </w:rPr>
        <w:t>550,46</w:t>
      </w:r>
      <w:r>
        <w:rPr>
          <w:spacing w:val="-16"/>
          <w:sz w:val="22"/>
        </w:rPr>
        <w:t> </w:t>
      </w:r>
      <w:r>
        <w:rPr>
          <w:sz w:val="22"/>
        </w:rPr>
        <w:t>millones,</w:t>
      </w:r>
      <w:r>
        <w:rPr>
          <w:spacing w:val="-10"/>
          <w:sz w:val="22"/>
        </w:rPr>
        <w:t> </w:t>
      </w:r>
      <w:r>
        <w:rPr>
          <w:sz w:val="22"/>
        </w:rPr>
        <w:t>permita recaudar los USD 275,23 millones de costo; el resultado técnico es 50%.</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ListParagraph"/>
        <w:numPr>
          <w:ilvl w:val="0"/>
          <w:numId w:val="11"/>
        </w:numPr>
        <w:tabs>
          <w:tab w:pos="1130" w:val="left" w:leader="none"/>
          <w:tab w:pos="1134" w:val="left" w:leader="none"/>
        </w:tabs>
        <w:spacing w:line="240" w:lineRule="auto" w:before="0" w:after="0"/>
        <w:ind w:left="1134" w:right="983" w:hanging="567"/>
        <w:jc w:val="both"/>
        <w:rPr>
          <w:sz w:val="22"/>
        </w:rPr>
      </w:pPr>
      <w:r>
        <w:rPr>
          <w:sz w:val="22"/>
        </w:rPr>
        <w:t>La República del</w:t>
      </w:r>
      <w:r>
        <w:rPr>
          <w:spacing w:val="-2"/>
          <w:sz w:val="22"/>
        </w:rPr>
        <w:t> </w:t>
      </w:r>
      <w:r>
        <w:rPr>
          <w:sz w:val="22"/>
        </w:rPr>
        <w:t>Ecuador presenta</w:t>
      </w:r>
      <w:r>
        <w:rPr>
          <w:spacing w:val="-2"/>
          <w:sz w:val="22"/>
        </w:rPr>
        <w:t> </w:t>
      </w:r>
      <w:r>
        <w:rPr>
          <w:sz w:val="22"/>
        </w:rPr>
        <w:t>así</w:t>
      </w:r>
      <w:r>
        <w:rPr>
          <w:spacing w:val="-1"/>
          <w:sz w:val="22"/>
        </w:rPr>
        <w:t> </w:t>
      </w:r>
      <w:r>
        <w:rPr>
          <w:sz w:val="22"/>
        </w:rPr>
        <w:t>el</w:t>
      </w:r>
      <w:r>
        <w:rPr>
          <w:spacing w:val="-3"/>
          <w:sz w:val="22"/>
        </w:rPr>
        <w:t> </w:t>
      </w:r>
      <w:r>
        <w:rPr>
          <w:sz w:val="22"/>
        </w:rPr>
        <w:t>incremento</w:t>
      </w:r>
      <w:r>
        <w:rPr>
          <w:spacing w:val="-1"/>
          <w:sz w:val="22"/>
        </w:rPr>
        <w:t> </w:t>
      </w:r>
      <w:r>
        <w:rPr>
          <w:sz w:val="22"/>
        </w:rPr>
        <w:t>de</w:t>
      </w:r>
      <w:r>
        <w:rPr>
          <w:spacing w:val="-2"/>
          <w:sz w:val="22"/>
        </w:rPr>
        <w:t> </w:t>
      </w:r>
      <w:r>
        <w:rPr>
          <w:sz w:val="22"/>
        </w:rPr>
        <w:t>30%</w:t>
      </w:r>
      <w:r>
        <w:rPr>
          <w:spacing w:val="-1"/>
          <w:sz w:val="22"/>
        </w:rPr>
        <w:t> </w:t>
      </w:r>
      <w:r>
        <w:rPr>
          <w:sz w:val="22"/>
        </w:rPr>
        <w:t>a</w:t>
      </w:r>
      <w:r>
        <w:rPr>
          <w:spacing w:val="-2"/>
          <w:sz w:val="22"/>
        </w:rPr>
        <w:t> </w:t>
      </w:r>
      <w:r>
        <w:rPr>
          <w:sz w:val="22"/>
        </w:rPr>
        <w:t>50%</w:t>
      </w:r>
      <w:r>
        <w:rPr>
          <w:spacing w:val="-1"/>
          <w:sz w:val="22"/>
        </w:rPr>
        <w:t> </w:t>
      </w:r>
      <w:r>
        <w:rPr>
          <w:sz w:val="22"/>
        </w:rPr>
        <w:t>como</w:t>
      </w:r>
      <w:r>
        <w:rPr>
          <w:spacing w:val="-1"/>
          <w:sz w:val="22"/>
        </w:rPr>
        <w:t> </w:t>
      </w:r>
      <w:r>
        <w:rPr>
          <w:sz w:val="22"/>
        </w:rPr>
        <w:t>un</w:t>
      </w:r>
      <w:r>
        <w:rPr>
          <w:spacing w:val="-4"/>
          <w:sz w:val="22"/>
        </w:rPr>
        <w:t> </w:t>
      </w:r>
      <w:r>
        <w:rPr>
          <w:sz w:val="22"/>
        </w:rPr>
        <w:t>“reajuste técnico”, derivado del mayor costo del servicio y de una mayor caída esperada del </w:t>
      </w:r>
      <w:r>
        <w:rPr>
          <w:spacing w:val="-2"/>
          <w:sz w:val="22"/>
        </w:rPr>
        <w:t>comercio.</w:t>
      </w:r>
    </w:p>
    <w:p>
      <w:pPr>
        <w:pStyle w:val="BodyText"/>
        <w:spacing w:before="3"/>
      </w:pPr>
    </w:p>
    <w:p>
      <w:pPr>
        <w:pStyle w:val="Heading6"/>
        <w:numPr>
          <w:ilvl w:val="0"/>
          <w:numId w:val="38"/>
        </w:numPr>
        <w:tabs>
          <w:tab w:pos="1854" w:val="left" w:leader="none"/>
        </w:tabs>
        <w:spacing w:line="237" w:lineRule="auto" w:before="0" w:after="0"/>
        <w:ind w:left="1854" w:right="975" w:hanging="360"/>
        <w:jc w:val="left"/>
      </w:pPr>
      <w:r>
        <w:rPr/>
        <w:t>Argumentos</w:t>
      </w:r>
      <w:r>
        <w:rPr>
          <w:spacing w:val="40"/>
        </w:rPr>
        <w:t> </w:t>
      </w:r>
      <w:r>
        <w:rPr/>
        <w:t>de</w:t>
      </w:r>
      <w:r>
        <w:rPr>
          <w:spacing w:val="40"/>
        </w:rPr>
        <w:t> </w:t>
      </w:r>
      <w:r>
        <w:rPr/>
        <w:t>la</w:t>
      </w:r>
      <w:r>
        <w:rPr>
          <w:spacing w:val="40"/>
        </w:rPr>
        <w:t> </w:t>
      </w:r>
      <w:r>
        <w:rPr/>
        <w:t>Asociación</w:t>
      </w:r>
      <w:r>
        <w:rPr>
          <w:spacing w:val="40"/>
        </w:rPr>
        <w:t> </w:t>
      </w:r>
      <w:r>
        <w:rPr/>
        <w:t>Nacional</w:t>
      </w:r>
      <w:r>
        <w:rPr>
          <w:spacing w:val="40"/>
        </w:rPr>
        <w:t> </w:t>
      </w:r>
      <w:r>
        <w:rPr/>
        <w:t>de</w:t>
      </w:r>
      <w:r>
        <w:rPr>
          <w:spacing w:val="40"/>
        </w:rPr>
        <w:t> </w:t>
      </w:r>
      <w:r>
        <w:rPr/>
        <w:t>Empresarios</w:t>
      </w:r>
      <w:r>
        <w:rPr>
          <w:spacing w:val="40"/>
        </w:rPr>
        <w:t> </w:t>
      </w:r>
      <w:r>
        <w:rPr/>
        <w:t>de</w:t>
      </w:r>
      <w:r>
        <w:rPr>
          <w:spacing w:val="40"/>
        </w:rPr>
        <w:t> </w:t>
      </w:r>
      <w:r>
        <w:rPr/>
        <w:t>Colombia</w:t>
      </w:r>
      <w:r>
        <w:rPr>
          <w:spacing w:val="40"/>
        </w:rPr>
        <w:t> </w:t>
      </w:r>
      <w:r>
        <w:rPr/>
        <w:t>– </w:t>
      </w:r>
      <w:r>
        <w:rPr>
          <w:spacing w:val="-4"/>
        </w:rPr>
        <w:t>ANDI</w:t>
      </w:r>
    </w:p>
    <w:p>
      <w:pPr>
        <w:pStyle w:val="BodyText"/>
        <w:spacing w:before="1"/>
        <w:rPr>
          <w:rFonts w:ascii="Arial"/>
          <w:b/>
        </w:rPr>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La ANDI sostiene que la medida ecuatoriana no cumple el requisito de “costo aproximado de los servicios prestados” previsto en el artículo 73 del Acuerdo de Cartagena,</w:t>
      </w:r>
      <w:r>
        <w:rPr>
          <w:spacing w:val="-9"/>
          <w:sz w:val="22"/>
        </w:rPr>
        <w:t> </w:t>
      </w:r>
      <w:r>
        <w:rPr>
          <w:sz w:val="22"/>
        </w:rPr>
        <w:t>por</w:t>
      </w:r>
      <w:r>
        <w:rPr>
          <w:spacing w:val="-9"/>
          <w:sz w:val="22"/>
        </w:rPr>
        <w:t> </w:t>
      </w:r>
      <w:r>
        <w:rPr>
          <w:sz w:val="22"/>
        </w:rPr>
        <w:t>cuanto</w:t>
      </w:r>
      <w:r>
        <w:rPr>
          <w:spacing w:val="-10"/>
          <w:sz w:val="22"/>
        </w:rPr>
        <w:t> </w:t>
      </w:r>
      <w:r>
        <w:rPr>
          <w:sz w:val="22"/>
        </w:rPr>
        <w:t>el</w:t>
      </w:r>
      <w:r>
        <w:rPr>
          <w:spacing w:val="-14"/>
          <w:sz w:val="22"/>
        </w:rPr>
        <w:t> </w:t>
      </w:r>
      <w:r>
        <w:rPr>
          <w:sz w:val="22"/>
        </w:rPr>
        <w:t>recargo</w:t>
      </w:r>
      <w:r>
        <w:rPr>
          <w:spacing w:val="-11"/>
          <w:sz w:val="22"/>
        </w:rPr>
        <w:t> </w:t>
      </w:r>
      <w:r>
        <w:rPr>
          <w:sz w:val="22"/>
        </w:rPr>
        <w:t>del</w:t>
      </w:r>
      <w:r>
        <w:rPr>
          <w:spacing w:val="-11"/>
          <w:sz w:val="22"/>
        </w:rPr>
        <w:t> </w:t>
      </w:r>
      <w:r>
        <w:rPr>
          <w:sz w:val="22"/>
        </w:rPr>
        <w:t>50%</w:t>
      </w:r>
      <w:r>
        <w:rPr>
          <w:spacing w:val="-9"/>
          <w:sz w:val="22"/>
        </w:rPr>
        <w:t> </w:t>
      </w:r>
      <w:r>
        <w:rPr>
          <w:sz w:val="22"/>
        </w:rPr>
        <w:t>se</w:t>
      </w:r>
      <w:r>
        <w:rPr>
          <w:spacing w:val="-13"/>
          <w:sz w:val="22"/>
        </w:rPr>
        <w:t> </w:t>
      </w:r>
      <w:r>
        <w:rPr>
          <w:sz w:val="22"/>
        </w:rPr>
        <w:t>fija</w:t>
      </w:r>
      <w:r>
        <w:rPr>
          <w:spacing w:val="-10"/>
          <w:sz w:val="22"/>
        </w:rPr>
        <w:t> </w:t>
      </w:r>
      <w:r>
        <w:rPr>
          <w:sz w:val="22"/>
        </w:rPr>
        <w:t>sobre</w:t>
      </w:r>
      <w:r>
        <w:rPr>
          <w:spacing w:val="-8"/>
          <w:sz w:val="22"/>
        </w:rPr>
        <w:t> </w:t>
      </w:r>
      <w:r>
        <w:rPr>
          <w:sz w:val="22"/>
        </w:rPr>
        <w:t>el</w:t>
      </w:r>
      <w:r>
        <w:rPr>
          <w:spacing w:val="-11"/>
          <w:sz w:val="22"/>
        </w:rPr>
        <w:t> </w:t>
      </w:r>
      <w:r>
        <w:rPr>
          <w:sz w:val="22"/>
        </w:rPr>
        <w:t>valor</w:t>
      </w:r>
      <w:r>
        <w:rPr>
          <w:spacing w:val="-9"/>
          <w:sz w:val="22"/>
        </w:rPr>
        <w:t> </w:t>
      </w:r>
      <w:r>
        <w:rPr>
          <w:sz w:val="22"/>
        </w:rPr>
        <w:t>en</w:t>
      </w:r>
      <w:r>
        <w:rPr>
          <w:spacing w:val="-11"/>
          <w:sz w:val="22"/>
        </w:rPr>
        <w:t> </w:t>
      </w:r>
      <w:r>
        <w:rPr>
          <w:sz w:val="22"/>
        </w:rPr>
        <w:t>aduana</w:t>
      </w:r>
      <w:r>
        <w:rPr>
          <w:spacing w:val="-11"/>
          <w:sz w:val="22"/>
        </w:rPr>
        <w:t> </w:t>
      </w:r>
      <w:r>
        <w:rPr>
          <w:sz w:val="22"/>
        </w:rPr>
        <w:t>de</w:t>
      </w:r>
      <w:r>
        <w:rPr>
          <w:spacing w:val="-8"/>
          <w:sz w:val="22"/>
        </w:rPr>
        <w:t> </w:t>
      </w:r>
      <w:r>
        <w:rPr>
          <w:sz w:val="22"/>
        </w:rPr>
        <w:t>la</w:t>
      </w:r>
      <w:r>
        <w:rPr>
          <w:spacing w:val="-10"/>
          <w:sz w:val="22"/>
        </w:rPr>
        <w:t> </w:t>
      </w:r>
      <w:r>
        <w:rPr>
          <w:sz w:val="22"/>
        </w:rPr>
        <w:t>totalidad de</w:t>
      </w:r>
      <w:r>
        <w:rPr>
          <w:spacing w:val="-14"/>
          <w:sz w:val="22"/>
        </w:rPr>
        <w:t> </w:t>
      </w:r>
      <w:r>
        <w:rPr>
          <w:sz w:val="22"/>
        </w:rPr>
        <w:t>las</w:t>
      </w:r>
      <w:r>
        <w:rPr>
          <w:spacing w:val="-13"/>
          <w:sz w:val="22"/>
        </w:rPr>
        <w:t> </w:t>
      </w:r>
      <w:r>
        <w:rPr>
          <w:sz w:val="22"/>
        </w:rPr>
        <w:t>mercancías</w:t>
      </w:r>
      <w:r>
        <w:rPr>
          <w:spacing w:val="-13"/>
          <w:sz w:val="22"/>
        </w:rPr>
        <w:t> </w:t>
      </w:r>
      <w:r>
        <w:rPr>
          <w:sz w:val="22"/>
        </w:rPr>
        <w:t>provenientes</w:t>
      </w:r>
      <w:r>
        <w:rPr>
          <w:spacing w:val="-13"/>
          <w:sz w:val="22"/>
        </w:rPr>
        <w:t> </w:t>
      </w:r>
      <w:r>
        <w:rPr>
          <w:sz w:val="22"/>
        </w:rPr>
        <w:t>u</w:t>
      </w:r>
      <w:r>
        <w:rPr>
          <w:spacing w:val="-14"/>
          <w:sz w:val="22"/>
        </w:rPr>
        <w:t> </w:t>
      </w:r>
      <w:r>
        <w:rPr>
          <w:sz w:val="22"/>
        </w:rPr>
        <w:t>originarias</w:t>
      </w:r>
      <w:r>
        <w:rPr>
          <w:spacing w:val="-13"/>
          <w:sz w:val="22"/>
        </w:rPr>
        <w:t> </w:t>
      </w:r>
      <w:r>
        <w:rPr>
          <w:sz w:val="22"/>
        </w:rPr>
        <w:t>de</w:t>
      </w:r>
      <w:r>
        <w:rPr>
          <w:spacing w:val="-14"/>
          <w:sz w:val="22"/>
        </w:rPr>
        <w:t> </w:t>
      </w:r>
      <w:r>
        <w:rPr>
          <w:sz w:val="22"/>
        </w:rPr>
        <w:t>la</w:t>
      </w:r>
      <w:r>
        <w:rPr>
          <w:spacing w:val="-14"/>
          <w:sz w:val="22"/>
        </w:rPr>
        <w:t> </w:t>
      </w:r>
      <w:r>
        <w:rPr>
          <w:sz w:val="22"/>
        </w:rPr>
        <w:t>República</w:t>
      </w:r>
      <w:r>
        <w:rPr>
          <w:spacing w:val="-14"/>
          <w:sz w:val="22"/>
        </w:rPr>
        <w:t> </w:t>
      </w:r>
      <w:r>
        <w:rPr>
          <w:sz w:val="22"/>
        </w:rPr>
        <w:t>de</w:t>
      </w:r>
      <w:r>
        <w:rPr>
          <w:spacing w:val="-14"/>
          <w:sz w:val="22"/>
        </w:rPr>
        <w:t> </w:t>
      </w:r>
      <w:r>
        <w:rPr>
          <w:sz w:val="22"/>
        </w:rPr>
        <w:t>Colombia</w:t>
      </w:r>
      <w:r>
        <w:rPr>
          <w:spacing w:val="-12"/>
          <w:sz w:val="22"/>
        </w:rPr>
        <w:t> </w:t>
      </w:r>
      <w:r>
        <w:rPr>
          <w:sz w:val="22"/>
        </w:rPr>
        <w:t>sin</w:t>
      </w:r>
      <w:r>
        <w:rPr>
          <w:spacing w:val="-14"/>
          <w:sz w:val="22"/>
        </w:rPr>
        <w:t> </w:t>
      </w:r>
      <w:r>
        <w:rPr>
          <w:sz w:val="22"/>
        </w:rPr>
        <w:t>que</w:t>
      </w:r>
      <w:r>
        <w:rPr>
          <w:spacing w:val="-14"/>
          <w:sz w:val="22"/>
        </w:rPr>
        <w:t> </w:t>
      </w:r>
      <w:r>
        <w:rPr>
          <w:sz w:val="22"/>
        </w:rPr>
        <w:t>exista una</w:t>
      </w:r>
      <w:r>
        <w:rPr>
          <w:spacing w:val="-2"/>
          <w:sz w:val="22"/>
        </w:rPr>
        <w:t> </w:t>
      </w:r>
      <w:r>
        <w:rPr>
          <w:sz w:val="22"/>
        </w:rPr>
        <w:t>vinculación</w:t>
      </w:r>
      <w:r>
        <w:rPr>
          <w:spacing w:val="-2"/>
          <w:sz w:val="22"/>
        </w:rPr>
        <w:t> </w:t>
      </w:r>
      <w:r>
        <w:rPr>
          <w:sz w:val="22"/>
        </w:rPr>
        <w:t>demostrada</w:t>
      </w:r>
      <w:r>
        <w:rPr>
          <w:spacing w:val="-2"/>
          <w:sz w:val="22"/>
        </w:rPr>
        <w:t> </w:t>
      </w:r>
      <w:r>
        <w:rPr>
          <w:sz w:val="22"/>
        </w:rPr>
        <w:t>con</w:t>
      </w:r>
      <w:r>
        <w:rPr>
          <w:spacing w:val="-2"/>
          <w:sz w:val="22"/>
        </w:rPr>
        <w:t> </w:t>
      </w:r>
      <w:r>
        <w:rPr>
          <w:sz w:val="22"/>
        </w:rPr>
        <w:t>el</w:t>
      </w:r>
      <w:r>
        <w:rPr>
          <w:spacing w:val="-3"/>
          <w:sz w:val="22"/>
        </w:rPr>
        <w:t> </w:t>
      </w:r>
      <w:r>
        <w:rPr>
          <w:sz w:val="22"/>
        </w:rPr>
        <w:t>costo</w:t>
      </w:r>
      <w:r>
        <w:rPr>
          <w:spacing w:val="-4"/>
          <w:sz w:val="22"/>
        </w:rPr>
        <w:t> </w:t>
      </w:r>
      <w:r>
        <w:rPr>
          <w:sz w:val="22"/>
        </w:rPr>
        <w:t>real</w:t>
      </w:r>
      <w:r>
        <w:rPr>
          <w:spacing w:val="-2"/>
          <w:sz w:val="22"/>
        </w:rPr>
        <w:t> </w:t>
      </w:r>
      <w:r>
        <w:rPr>
          <w:sz w:val="22"/>
        </w:rPr>
        <w:t>de</w:t>
      </w:r>
      <w:r>
        <w:rPr>
          <w:spacing w:val="-4"/>
          <w:sz w:val="22"/>
        </w:rPr>
        <w:t> </w:t>
      </w:r>
      <w:r>
        <w:rPr>
          <w:sz w:val="22"/>
        </w:rPr>
        <w:t>un</w:t>
      </w:r>
      <w:r>
        <w:rPr>
          <w:spacing w:val="-2"/>
          <w:sz w:val="22"/>
        </w:rPr>
        <w:t> </w:t>
      </w:r>
      <w:r>
        <w:rPr>
          <w:sz w:val="22"/>
        </w:rPr>
        <w:t>servicio</w:t>
      </w:r>
      <w:r>
        <w:rPr>
          <w:spacing w:val="-2"/>
          <w:sz w:val="22"/>
        </w:rPr>
        <w:t> </w:t>
      </w:r>
      <w:r>
        <w:rPr>
          <w:sz w:val="22"/>
        </w:rPr>
        <w:t>aduanero</w:t>
      </w:r>
      <w:r>
        <w:rPr>
          <w:spacing w:val="-2"/>
          <w:sz w:val="22"/>
        </w:rPr>
        <w:t> </w:t>
      </w:r>
      <w:r>
        <w:rPr>
          <w:sz w:val="22"/>
        </w:rPr>
        <w:t>determinado.</w:t>
      </w:r>
      <w:r>
        <w:rPr>
          <w:spacing w:val="-3"/>
          <w:sz w:val="22"/>
        </w:rPr>
        <w:t> </w:t>
      </w:r>
      <w:r>
        <w:rPr>
          <w:sz w:val="22"/>
        </w:rPr>
        <w:t>De acuerdo con su planteamiento, una tasa por servicios solo podría quedar excluida del concepto de gravamen si remunerara un servicio efectivamente prestado</w:t>
      </w:r>
      <w:r>
        <w:rPr>
          <w:spacing w:val="-2"/>
          <w:sz w:val="22"/>
        </w:rPr>
        <w:t> </w:t>
      </w:r>
      <w:r>
        <w:rPr>
          <w:sz w:val="22"/>
        </w:rPr>
        <w:t>al importador y su cuantía guardara una relación directa y verificable con el costo operativo de ese </w:t>
      </w:r>
      <w:r>
        <w:rPr>
          <w:spacing w:val="-2"/>
          <w:sz w:val="22"/>
        </w:rPr>
        <w:t>servicio.</w:t>
      </w:r>
    </w:p>
    <w:p>
      <w:pPr>
        <w:pStyle w:val="BodyText"/>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En ese sentido, la ANDI enfatiza que el costo de una inspección o control aduanero guarda relación con variables como el volumen de la operación, el</w:t>
      </w:r>
      <w:r>
        <w:rPr>
          <w:spacing w:val="-1"/>
          <w:sz w:val="22"/>
        </w:rPr>
        <w:t> </w:t>
      </w:r>
      <w:r>
        <w:rPr>
          <w:sz w:val="22"/>
        </w:rPr>
        <w:t>tipo de mercancía y el</w:t>
      </w:r>
      <w:r>
        <w:rPr>
          <w:spacing w:val="-10"/>
          <w:sz w:val="22"/>
        </w:rPr>
        <w:t> </w:t>
      </w:r>
      <w:r>
        <w:rPr>
          <w:sz w:val="22"/>
        </w:rPr>
        <w:t>nivel</w:t>
      </w:r>
      <w:r>
        <w:rPr>
          <w:spacing w:val="-10"/>
          <w:sz w:val="22"/>
        </w:rPr>
        <w:t> </w:t>
      </w:r>
      <w:r>
        <w:rPr>
          <w:sz w:val="22"/>
        </w:rPr>
        <w:t>de</w:t>
      </w:r>
      <w:r>
        <w:rPr>
          <w:spacing w:val="-12"/>
          <w:sz w:val="22"/>
        </w:rPr>
        <w:t> </w:t>
      </w:r>
      <w:r>
        <w:rPr>
          <w:sz w:val="22"/>
        </w:rPr>
        <w:t>riesgo,</w:t>
      </w:r>
      <w:r>
        <w:rPr>
          <w:spacing w:val="-10"/>
          <w:sz w:val="22"/>
        </w:rPr>
        <w:t> </w:t>
      </w:r>
      <w:r>
        <w:rPr>
          <w:sz w:val="22"/>
        </w:rPr>
        <w:t>pero</w:t>
      </w:r>
      <w:r>
        <w:rPr>
          <w:spacing w:val="-9"/>
          <w:sz w:val="22"/>
        </w:rPr>
        <w:t> </w:t>
      </w:r>
      <w:r>
        <w:rPr>
          <w:sz w:val="22"/>
        </w:rPr>
        <w:t>no</w:t>
      </w:r>
      <w:r>
        <w:rPr>
          <w:spacing w:val="-9"/>
          <w:sz w:val="22"/>
        </w:rPr>
        <w:t> </w:t>
      </w:r>
      <w:r>
        <w:rPr>
          <w:sz w:val="22"/>
        </w:rPr>
        <w:t>con</w:t>
      </w:r>
      <w:r>
        <w:rPr>
          <w:spacing w:val="-12"/>
          <w:sz w:val="22"/>
        </w:rPr>
        <w:t> </w:t>
      </w:r>
      <w:r>
        <w:rPr>
          <w:sz w:val="22"/>
        </w:rPr>
        <w:t>el</w:t>
      </w:r>
      <w:r>
        <w:rPr>
          <w:spacing w:val="-10"/>
          <w:sz w:val="22"/>
        </w:rPr>
        <w:t> </w:t>
      </w:r>
      <w:r>
        <w:rPr>
          <w:sz w:val="22"/>
        </w:rPr>
        <w:t>valor</w:t>
      </w:r>
      <w:r>
        <w:rPr>
          <w:spacing w:val="-10"/>
          <w:sz w:val="22"/>
        </w:rPr>
        <w:t> </w:t>
      </w:r>
      <w:r>
        <w:rPr>
          <w:sz w:val="22"/>
        </w:rPr>
        <w:t>comercial</w:t>
      </w:r>
      <w:r>
        <w:rPr>
          <w:spacing w:val="-10"/>
          <w:sz w:val="22"/>
        </w:rPr>
        <w:t> </w:t>
      </w:r>
      <w:r>
        <w:rPr>
          <w:sz w:val="22"/>
        </w:rPr>
        <w:t>de</w:t>
      </w:r>
      <w:r>
        <w:rPr>
          <w:spacing w:val="-9"/>
          <w:sz w:val="22"/>
        </w:rPr>
        <w:t> </w:t>
      </w:r>
      <w:r>
        <w:rPr>
          <w:sz w:val="22"/>
        </w:rPr>
        <w:t>los</w:t>
      </w:r>
      <w:r>
        <w:rPr>
          <w:spacing w:val="-9"/>
          <w:sz w:val="22"/>
        </w:rPr>
        <w:t> </w:t>
      </w:r>
      <w:r>
        <w:rPr>
          <w:sz w:val="22"/>
        </w:rPr>
        <w:t>bienes</w:t>
      </w:r>
      <w:r>
        <w:rPr>
          <w:spacing w:val="-11"/>
          <w:sz w:val="22"/>
        </w:rPr>
        <w:t> </w:t>
      </w:r>
      <w:r>
        <w:rPr>
          <w:sz w:val="22"/>
        </w:rPr>
        <w:t>inspeccionados,</w:t>
      </w:r>
      <w:r>
        <w:rPr>
          <w:spacing w:val="-10"/>
          <w:sz w:val="22"/>
        </w:rPr>
        <w:t> </w:t>
      </w:r>
      <w:r>
        <w:rPr>
          <w:sz w:val="22"/>
        </w:rPr>
        <w:t>de</w:t>
      </w:r>
      <w:r>
        <w:rPr>
          <w:spacing w:val="-12"/>
          <w:sz w:val="22"/>
        </w:rPr>
        <w:t> </w:t>
      </w:r>
      <w:r>
        <w:rPr>
          <w:sz w:val="22"/>
        </w:rPr>
        <w:t>modo que</w:t>
      </w:r>
      <w:r>
        <w:rPr>
          <w:spacing w:val="-7"/>
          <w:sz w:val="22"/>
        </w:rPr>
        <w:t> </w:t>
      </w:r>
      <w:r>
        <w:rPr>
          <w:sz w:val="22"/>
        </w:rPr>
        <w:t>la</w:t>
      </w:r>
      <w:r>
        <w:rPr>
          <w:spacing w:val="-9"/>
          <w:sz w:val="22"/>
        </w:rPr>
        <w:t> </w:t>
      </w:r>
      <w:r>
        <w:rPr>
          <w:sz w:val="22"/>
        </w:rPr>
        <w:t>elección</w:t>
      </w:r>
      <w:r>
        <w:rPr>
          <w:spacing w:val="-8"/>
          <w:sz w:val="22"/>
        </w:rPr>
        <w:t> </w:t>
      </w:r>
      <w:r>
        <w:rPr>
          <w:sz w:val="22"/>
        </w:rPr>
        <w:t>de</w:t>
      </w:r>
      <w:r>
        <w:rPr>
          <w:spacing w:val="-9"/>
          <w:sz w:val="22"/>
        </w:rPr>
        <w:t> </w:t>
      </w:r>
      <w:r>
        <w:rPr>
          <w:sz w:val="22"/>
        </w:rPr>
        <w:t>una</w:t>
      </w:r>
      <w:r>
        <w:rPr>
          <w:spacing w:val="-9"/>
          <w:sz w:val="22"/>
        </w:rPr>
        <w:t> </w:t>
      </w:r>
      <w:r>
        <w:rPr>
          <w:sz w:val="22"/>
        </w:rPr>
        <w:t>base</w:t>
      </w:r>
      <w:r>
        <w:rPr>
          <w:spacing w:val="-8"/>
          <w:sz w:val="22"/>
        </w:rPr>
        <w:t> </w:t>
      </w:r>
      <w:r>
        <w:rPr>
          <w:sz w:val="22"/>
        </w:rPr>
        <w:t>estrictamente</w:t>
      </w:r>
      <w:r>
        <w:rPr>
          <w:spacing w:val="-8"/>
          <w:sz w:val="22"/>
        </w:rPr>
        <w:t> </w:t>
      </w:r>
      <w:r>
        <w:rPr>
          <w:rFonts w:ascii="Arial" w:hAnsi="Arial"/>
          <w:i/>
          <w:sz w:val="22"/>
        </w:rPr>
        <w:t>ad</w:t>
      </w:r>
      <w:r>
        <w:rPr>
          <w:rFonts w:ascii="Arial" w:hAnsi="Arial"/>
          <w:i/>
          <w:spacing w:val="-9"/>
          <w:sz w:val="22"/>
        </w:rPr>
        <w:t> </w:t>
      </w:r>
      <w:r>
        <w:rPr>
          <w:rFonts w:ascii="Arial" w:hAnsi="Arial"/>
          <w:i/>
          <w:sz w:val="22"/>
        </w:rPr>
        <w:t>valorem</w:t>
      </w:r>
      <w:r>
        <w:rPr>
          <w:rFonts w:ascii="Arial" w:hAnsi="Arial"/>
          <w:i/>
          <w:spacing w:val="-9"/>
          <w:sz w:val="22"/>
        </w:rPr>
        <w:t> </w:t>
      </w:r>
      <w:r>
        <w:rPr>
          <w:sz w:val="22"/>
        </w:rPr>
        <w:t>constituye</w:t>
      </w:r>
      <w:r>
        <w:rPr>
          <w:spacing w:val="-9"/>
          <w:sz w:val="22"/>
        </w:rPr>
        <w:t> </w:t>
      </w:r>
      <w:r>
        <w:rPr>
          <w:sz w:val="22"/>
        </w:rPr>
        <w:t>un</w:t>
      </w:r>
      <w:r>
        <w:rPr>
          <w:spacing w:val="-9"/>
          <w:sz w:val="22"/>
        </w:rPr>
        <w:t> </w:t>
      </w:r>
      <w:r>
        <w:rPr>
          <w:sz w:val="22"/>
        </w:rPr>
        <w:t>indicio</w:t>
      </w:r>
      <w:r>
        <w:rPr>
          <w:spacing w:val="-7"/>
          <w:sz w:val="22"/>
        </w:rPr>
        <w:t> </w:t>
      </w:r>
      <w:r>
        <w:rPr>
          <w:sz w:val="22"/>
        </w:rPr>
        <w:t>claro</w:t>
      </w:r>
      <w:r>
        <w:rPr>
          <w:spacing w:val="-9"/>
          <w:sz w:val="22"/>
        </w:rPr>
        <w:t> </w:t>
      </w:r>
      <w:r>
        <w:rPr>
          <w:sz w:val="22"/>
        </w:rPr>
        <w:t>de</w:t>
      </w:r>
      <w:r>
        <w:rPr>
          <w:spacing w:val="-9"/>
          <w:sz w:val="22"/>
        </w:rPr>
        <w:t> </w:t>
      </w:r>
      <w:r>
        <w:rPr>
          <w:sz w:val="22"/>
        </w:rPr>
        <w:t>que se está configurando un recargo de naturaleza arancelaria y no una tasa calculada en función del costo aproximado del servicio. La asociación observa, además, que la Resolución SENAE</w:t>
      </w:r>
      <w:r>
        <w:rPr>
          <w:rFonts w:ascii="Cambria Math" w:hAnsi="Cambria Math"/>
          <w:sz w:val="22"/>
        </w:rPr>
        <w:t>‑</w:t>
      </w:r>
      <w:r>
        <w:rPr>
          <w:sz w:val="22"/>
        </w:rPr>
        <w:t>SENAE</w:t>
      </w:r>
      <w:r>
        <w:rPr>
          <w:rFonts w:ascii="Cambria Math" w:hAnsi="Cambria Math"/>
          <w:sz w:val="22"/>
        </w:rPr>
        <w:t>‑</w:t>
      </w:r>
      <w:r>
        <w:rPr>
          <w:sz w:val="22"/>
        </w:rPr>
        <w:t>2026</w:t>
      </w:r>
      <w:r>
        <w:rPr>
          <w:rFonts w:ascii="Cambria Math" w:hAnsi="Cambria Math"/>
          <w:sz w:val="22"/>
        </w:rPr>
        <w:t>‑</w:t>
      </w:r>
      <w:r>
        <w:rPr>
          <w:sz w:val="22"/>
        </w:rPr>
        <w:t>0017</w:t>
      </w:r>
      <w:r>
        <w:rPr>
          <w:rFonts w:ascii="Cambria Math" w:hAnsi="Cambria Math"/>
          <w:sz w:val="22"/>
        </w:rPr>
        <w:t>‑</w:t>
      </w:r>
      <w:r>
        <w:rPr>
          <w:sz w:val="22"/>
        </w:rPr>
        <w:t>RE no</w:t>
      </w:r>
      <w:r>
        <w:rPr>
          <w:spacing w:val="-2"/>
          <w:sz w:val="22"/>
        </w:rPr>
        <w:t> </w:t>
      </w:r>
      <w:r>
        <w:rPr>
          <w:sz w:val="22"/>
        </w:rPr>
        <w:t>contiene estudio de</w:t>
      </w:r>
      <w:r>
        <w:rPr>
          <w:spacing w:val="-2"/>
          <w:sz w:val="22"/>
        </w:rPr>
        <w:t> </w:t>
      </w:r>
      <w:r>
        <w:rPr>
          <w:sz w:val="22"/>
        </w:rPr>
        <w:t>costos,</w:t>
      </w:r>
      <w:r>
        <w:rPr>
          <w:spacing w:val="-2"/>
          <w:sz w:val="22"/>
        </w:rPr>
        <w:t> </w:t>
      </w:r>
      <w:r>
        <w:rPr>
          <w:sz w:val="22"/>
        </w:rPr>
        <w:t>memoria de cálculo ni explicación metodológica que permita justificar la fijación del porcentaje del 50%</w:t>
      </w:r>
      <w:r>
        <w:rPr>
          <w:spacing w:val="-3"/>
          <w:sz w:val="22"/>
        </w:rPr>
        <w:t> </w:t>
      </w:r>
      <w:r>
        <w:rPr>
          <w:sz w:val="22"/>
        </w:rPr>
        <w:t>como</w:t>
      </w:r>
      <w:r>
        <w:rPr>
          <w:spacing w:val="-6"/>
          <w:sz w:val="22"/>
        </w:rPr>
        <w:t> </w:t>
      </w:r>
      <w:r>
        <w:rPr>
          <w:sz w:val="22"/>
        </w:rPr>
        <w:t>reflejo</w:t>
      </w:r>
      <w:r>
        <w:rPr>
          <w:spacing w:val="-4"/>
          <w:sz w:val="22"/>
        </w:rPr>
        <w:t> </w:t>
      </w:r>
      <w:r>
        <w:rPr>
          <w:sz w:val="22"/>
        </w:rPr>
        <w:t>de</w:t>
      </w:r>
      <w:r>
        <w:rPr>
          <w:spacing w:val="-4"/>
          <w:sz w:val="22"/>
        </w:rPr>
        <w:t> </w:t>
      </w:r>
      <w:r>
        <w:rPr>
          <w:sz w:val="22"/>
        </w:rPr>
        <w:t>un</w:t>
      </w:r>
      <w:r>
        <w:rPr>
          <w:spacing w:val="-7"/>
          <w:sz w:val="22"/>
        </w:rPr>
        <w:t> </w:t>
      </w:r>
      <w:r>
        <w:rPr>
          <w:sz w:val="22"/>
        </w:rPr>
        <w:t>costo</w:t>
      </w:r>
      <w:r>
        <w:rPr>
          <w:spacing w:val="-3"/>
          <w:sz w:val="22"/>
        </w:rPr>
        <w:t> </w:t>
      </w:r>
      <w:r>
        <w:rPr>
          <w:sz w:val="22"/>
        </w:rPr>
        <w:t>unitario</w:t>
      </w:r>
      <w:r>
        <w:rPr>
          <w:spacing w:val="-4"/>
          <w:sz w:val="22"/>
        </w:rPr>
        <w:t> </w:t>
      </w:r>
      <w:r>
        <w:rPr>
          <w:sz w:val="22"/>
        </w:rPr>
        <w:t>o</w:t>
      </w:r>
      <w:r>
        <w:rPr>
          <w:spacing w:val="-4"/>
          <w:sz w:val="22"/>
        </w:rPr>
        <w:t> </w:t>
      </w:r>
      <w:r>
        <w:rPr>
          <w:sz w:val="22"/>
        </w:rPr>
        <w:t>promedio</w:t>
      </w:r>
      <w:r>
        <w:rPr>
          <w:spacing w:val="-4"/>
          <w:sz w:val="22"/>
        </w:rPr>
        <w:t> </w:t>
      </w:r>
      <w:r>
        <w:rPr>
          <w:sz w:val="22"/>
        </w:rPr>
        <w:t>por</w:t>
      </w:r>
      <w:r>
        <w:rPr>
          <w:spacing w:val="-3"/>
          <w:sz w:val="22"/>
        </w:rPr>
        <w:t> </w:t>
      </w:r>
      <w:r>
        <w:rPr>
          <w:sz w:val="22"/>
        </w:rPr>
        <w:t>operación,</w:t>
      </w:r>
      <w:r>
        <w:rPr>
          <w:spacing w:val="-3"/>
          <w:sz w:val="22"/>
        </w:rPr>
        <w:t> </w:t>
      </w:r>
      <w:r>
        <w:rPr>
          <w:sz w:val="22"/>
        </w:rPr>
        <w:t>lo</w:t>
      </w:r>
      <w:r>
        <w:rPr>
          <w:spacing w:val="-4"/>
          <w:sz w:val="22"/>
        </w:rPr>
        <w:t> </w:t>
      </w:r>
      <w:r>
        <w:rPr>
          <w:sz w:val="22"/>
        </w:rPr>
        <w:t>que</w:t>
      </w:r>
      <w:r>
        <w:rPr>
          <w:spacing w:val="-4"/>
          <w:sz w:val="22"/>
        </w:rPr>
        <w:t> </w:t>
      </w:r>
      <w:r>
        <w:rPr>
          <w:sz w:val="22"/>
        </w:rPr>
        <w:t>torna</w:t>
      </w:r>
      <w:r>
        <w:rPr>
          <w:spacing w:val="-4"/>
          <w:sz w:val="22"/>
        </w:rPr>
        <w:t> </w:t>
      </w:r>
      <w:r>
        <w:rPr>
          <w:sz w:val="22"/>
        </w:rPr>
        <w:t>imposible verificar el cumplimiento del estándar establecido por la normativa y la jurisprudencia </w:t>
      </w:r>
      <w:r>
        <w:rPr>
          <w:spacing w:val="-2"/>
          <w:sz w:val="22"/>
        </w:rPr>
        <w:t>andinas.</w:t>
      </w:r>
    </w:p>
    <w:p>
      <w:pPr>
        <w:pStyle w:val="BodyText"/>
      </w:pPr>
    </w:p>
    <w:p>
      <w:pPr>
        <w:pStyle w:val="ListParagraph"/>
        <w:numPr>
          <w:ilvl w:val="0"/>
          <w:numId w:val="11"/>
        </w:numPr>
        <w:tabs>
          <w:tab w:pos="1130" w:val="left" w:leader="none"/>
          <w:tab w:pos="1134" w:val="left" w:leader="none"/>
        </w:tabs>
        <w:spacing w:line="240" w:lineRule="auto" w:before="1" w:after="0"/>
        <w:ind w:left="1134" w:right="980" w:hanging="567"/>
        <w:jc w:val="both"/>
        <w:rPr>
          <w:sz w:val="22"/>
        </w:rPr>
      </w:pPr>
      <w:r>
        <w:rPr>
          <w:sz w:val="22"/>
        </w:rPr>
        <w:t>Adicionalmente, la ANDI resalta que el control aduanero de ingreso es una función soberana que la República del Ecuador ejerce sobre la totalidad de las importaciones con</w:t>
      </w:r>
      <w:r>
        <w:rPr>
          <w:spacing w:val="-5"/>
          <w:sz w:val="22"/>
        </w:rPr>
        <w:t> </w:t>
      </w:r>
      <w:r>
        <w:rPr>
          <w:sz w:val="22"/>
        </w:rPr>
        <w:t>independencia</w:t>
      </w:r>
      <w:r>
        <w:rPr>
          <w:spacing w:val="-5"/>
          <w:sz w:val="22"/>
        </w:rPr>
        <w:t> </w:t>
      </w:r>
      <w:r>
        <w:rPr>
          <w:sz w:val="22"/>
        </w:rPr>
        <w:t>de</w:t>
      </w:r>
      <w:r>
        <w:rPr>
          <w:spacing w:val="-5"/>
          <w:sz w:val="22"/>
        </w:rPr>
        <w:t> </w:t>
      </w:r>
      <w:r>
        <w:rPr>
          <w:sz w:val="22"/>
        </w:rPr>
        <w:t>su</w:t>
      </w:r>
      <w:r>
        <w:rPr>
          <w:spacing w:val="-6"/>
          <w:sz w:val="22"/>
        </w:rPr>
        <w:t> </w:t>
      </w:r>
      <w:r>
        <w:rPr>
          <w:sz w:val="22"/>
        </w:rPr>
        <w:t>origen,</w:t>
      </w:r>
      <w:r>
        <w:rPr>
          <w:spacing w:val="-4"/>
          <w:sz w:val="22"/>
        </w:rPr>
        <w:t> </w:t>
      </w:r>
      <w:r>
        <w:rPr>
          <w:sz w:val="22"/>
        </w:rPr>
        <w:t>por</w:t>
      </w:r>
      <w:r>
        <w:rPr>
          <w:spacing w:val="-4"/>
          <w:sz w:val="22"/>
        </w:rPr>
        <w:t> </w:t>
      </w:r>
      <w:r>
        <w:rPr>
          <w:sz w:val="22"/>
        </w:rPr>
        <w:t>lo</w:t>
      </w:r>
      <w:r>
        <w:rPr>
          <w:spacing w:val="-5"/>
          <w:sz w:val="22"/>
        </w:rPr>
        <w:t> </w:t>
      </w:r>
      <w:r>
        <w:rPr>
          <w:sz w:val="22"/>
        </w:rPr>
        <w:t>que,</w:t>
      </w:r>
      <w:r>
        <w:rPr>
          <w:spacing w:val="-6"/>
          <w:sz w:val="22"/>
        </w:rPr>
        <w:t> </w:t>
      </w:r>
      <w:r>
        <w:rPr>
          <w:sz w:val="22"/>
        </w:rPr>
        <w:t>si</w:t>
      </w:r>
      <w:r>
        <w:rPr>
          <w:spacing w:val="-6"/>
          <w:sz w:val="22"/>
        </w:rPr>
        <w:t> </w:t>
      </w:r>
      <w:r>
        <w:rPr>
          <w:sz w:val="22"/>
        </w:rPr>
        <w:t>el</w:t>
      </w:r>
      <w:r>
        <w:rPr>
          <w:spacing w:val="-6"/>
          <w:sz w:val="22"/>
        </w:rPr>
        <w:t> </w:t>
      </w:r>
      <w:r>
        <w:rPr>
          <w:sz w:val="22"/>
        </w:rPr>
        <w:t>recargo</w:t>
      </w:r>
      <w:r>
        <w:rPr>
          <w:spacing w:val="-5"/>
          <w:sz w:val="22"/>
        </w:rPr>
        <w:t> </w:t>
      </w:r>
      <w:r>
        <w:rPr>
          <w:sz w:val="22"/>
        </w:rPr>
        <w:t>correspondiera</w:t>
      </w:r>
      <w:r>
        <w:rPr>
          <w:spacing w:val="-6"/>
          <w:sz w:val="22"/>
        </w:rPr>
        <w:t> </w:t>
      </w:r>
      <w:r>
        <w:rPr>
          <w:sz w:val="22"/>
        </w:rPr>
        <w:t>genuinamente al costo de un servicio de inspección, debería aplicarse de manera general a todas las mercancías sometidas a dicho control, y no exclusivamente a las procedentes de la República de Colombia. La aplicación selectiva de un recargo del 50% sobre las importaciones</w:t>
      </w:r>
      <w:r>
        <w:rPr>
          <w:spacing w:val="-15"/>
          <w:sz w:val="22"/>
        </w:rPr>
        <w:t> </w:t>
      </w:r>
      <w:r>
        <w:rPr>
          <w:sz w:val="22"/>
        </w:rPr>
        <w:t>colombianas,</w:t>
      </w:r>
      <w:r>
        <w:rPr>
          <w:spacing w:val="-11"/>
          <w:sz w:val="22"/>
        </w:rPr>
        <w:t> </w:t>
      </w:r>
      <w:r>
        <w:rPr>
          <w:sz w:val="22"/>
        </w:rPr>
        <w:t>aun</w:t>
      </w:r>
      <w:r>
        <w:rPr>
          <w:spacing w:val="-15"/>
          <w:sz w:val="22"/>
        </w:rPr>
        <w:t> </w:t>
      </w:r>
      <w:r>
        <w:rPr>
          <w:sz w:val="22"/>
        </w:rPr>
        <w:t>bajo</w:t>
      </w:r>
      <w:r>
        <w:rPr>
          <w:spacing w:val="-15"/>
          <w:sz w:val="22"/>
        </w:rPr>
        <w:t> </w:t>
      </w:r>
      <w:r>
        <w:rPr>
          <w:sz w:val="22"/>
        </w:rPr>
        <w:t>la</w:t>
      </w:r>
      <w:r>
        <w:rPr>
          <w:spacing w:val="-12"/>
          <w:sz w:val="22"/>
        </w:rPr>
        <w:t> </w:t>
      </w:r>
      <w:r>
        <w:rPr>
          <w:sz w:val="22"/>
        </w:rPr>
        <w:t>denominación</w:t>
      </w:r>
      <w:r>
        <w:rPr>
          <w:spacing w:val="-13"/>
          <w:sz w:val="22"/>
        </w:rPr>
        <w:t> </w:t>
      </w:r>
      <w:r>
        <w:rPr>
          <w:sz w:val="22"/>
        </w:rPr>
        <w:t>de</w:t>
      </w:r>
      <w:r>
        <w:rPr>
          <w:spacing w:val="-13"/>
          <w:sz w:val="22"/>
        </w:rPr>
        <w:t> </w:t>
      </w:r>
      <w:r>
        <w:rPr>
          <w:sz w:val="22"/>
        </w:rPr>
        <w:t>tasa,</w:t>
      </w:r>
      <w:r>
        <w:rPr>
          <w:spacing w:val="-14"/>
          <w:sz w:val="22"/>
        </w:rPr>
        <w:t> </w:t>
      </w:r>
      <w:r>
        <w:rPr>
          <w:sz w:val="22"/>
        </w:rPr>
        <w:t>evidencia</w:t>
      </w:r>
      <w:r>
        <w:rPr>
          <w:spacing w:val="-12"/>
          <w:sz w:val="22"/>
        </w:rPr>
        <w:t> </w:t>
      </w:r>
      <w:r>
        <w:rPr>
          <w:sz w:val="22"/>
        </w:rPr>
        <w:t>que</w:t>
      </w:r>
      <w:r>
        <w:rPr>
          <w:spacing w:val="-13"/>
          <w:sz w:val="22"/>
        </w:rPr>
        <w:t> </w:t>
      </w:r>
      <w:r>
        <w:rPr>
          <w:sz w:val="22"/>
        </w:rPr>
        <w:t>el</w:t>
      </w:r>
      <w:r>
        <w:rPr>
          <w:spacing w:val="-13"/>
          <w:sz w:val="22"/>
        </w:rPr>
        <w:t> </w:t>
      </w:r>
      <w:r>
        <w:rPr>
          <w:sz w:val="22"/>
        </w:rPr>
        <w:t>objetivo real</w:t>
      </w:r>
      <w:r>
        <w:rPr>
          <w:spacing w:val="-2"/>
          <w:sz w:val="22"/>
        </w:rPr>
        <w:t> </w:t>
      </w:r>
      <w:r>
        <w:rPr>
          <w:sz w:val="22"/>
        </w:rPr>
        <w:t>de</w:t>
      </w:r>
      <w:r>
        <w:rPr>
          <w:spacing w:val="-2"/>
          <w:sz w:val="22"/>
        </w:rPr>
        <w:t> </w:t>
      </w:r>
      <w:r>
        <w:rPr>
          <w:sz w:val="22"/>
        </w:rPr>
        <w:t>la</w:t>
      </w:r>
      <w:r>
        <w:rPr>
          <w:spacing w:val="-4"/>
          <w:sz w:val="22"/>
        </w:rPr>
        <w:t> </w:t>
      </w:r>
      <w:r>
        <w:rPr>
          <w:sz w:val="22"/>
        </w:rPr>
        <w:t>medida</w:t>
      </w:r>
      <w:r>
        <w:rPr>
          <w:spacing w:val="-2"/>
          <w:sz w:val="22"/>
        </w:rPr>
        <w:t> </w:t>
      </w:r>
      <w:r>
        <w:rPr>
          <w:sz w:val="22"/>
        </w:rPr>
        <w:t>no</w:t>
      </w:r>
      <w:r>
        <w:rPr>
          <w:spacing w:val="-2"/>
          <w:sz w:val="22"/>
        </w:rPr>
        <w:t> </w:t>
      </w:r>
      <w:r>
        <w:rPr>
          <w:sz w:val="22"/>
        </w:rPr>
        <w:t>es</w:t>
      </w:r>
      <w:r>
        <w:rPr>
          <w:spacing w:val="-4"/>
          <w:sz w:val="22"/>
        </w:rPr>
        <w:t> </w:t>
      </w:r>
      <w:r>
        <w:rPr>
          <w:sz w:val="22"/>
        </w:rPr>
        <w:t>recuperar</w:t>
      </w:r>
      <w:r>
        <w:rPr>
          <w:spacing w:val="-3"/>
          <w:sz w:val="22"/>
        </w:rPr>
        <w:t> </w:t>
      </w:r>
      <w:r>
        <w:rPr>
          <w:sz w:val="22"/>
        </w:rPr>
        <w:t>el</w:t>
      </w:r>
      <w:r>
        <w:rPr>
          <w:spacing w:val="-3"/>
          <w:sz w:val="22"/>
        </w:rPr>
        <w:t> </w:t>
      </w:r>
      <w:r>
        <w:rPr>
          <w:sz w:val="22"/>
        </w:rPr>
        <w:t>costo</w:t>
      </w:r>
      <w:r>
        <w:rPr>
          <w:spacing w:val="-4"/>
          <w:sz w:val="22"/>
        </w:rPr>
        <w:t> </w:t>
      </w:r>
      <w:r>
        <w:rPr>
          <w:sz w:val="22"/>
        </w:rPr>
        <w:t>aproximado</w:t>
      </w:r>
      <w:r>
        <w:rPr>
          <w:spacing w:val="-2"/>
          <w:sz w:val="22"/>
        </w:rPr>
        <w:t> </w:t>
      </w:r>
      <w:r>
        <w:rPr>
          <w:sz w:val="22"/>
        </w:rPr>
        <w:t>de</w:t>
      </w:r>
      <w:r>
        <w:rPr>
          <w:spacing w:val="-2"/>
          <w:sz w:val="22"/>
        </w:rPr>
        <w:t> </w:t>
      </w:r>
      <w:r>
        <w:rPr>
          <w:sz w:val="22"/>
        </w:rPr>
        <w:t>un</w:t>
      </w:r>
      <w:r>
        <w:rPr>
          <w:spacing w:val="-4"/>
          <w:sz w:val="22"/>
        </w:rPr>
        <w:t> </w:t>
      </w:r>
      <w:r>
        <w:rPr>
          <w:sz w:val="22"/>
        </w:rPr>
        <w:t>servicio</w:t>
      </w:r>
      <w:r>
        <w:rPr>
          <w:spacing w:val="-2"/>
          <w:sz w:val="22"/>
        </w:rPr>
        <w:t> </w:t>
      </w:r>
      <w:r>
        <w:rPr>
          <w:sz w:val="22"/>
        </w:rPr>
        <w:t>divisible</w:t>
      </w:r>
      <w:r>
        <w:rPr>
          <w:spacing w:val="-2"/>
          <w:sz w:val="22"/>
        </w:rPr>
        <w:t> </w:t>
      </w:r>
      <w:r>
        <w:rPr>
          <w:sz w:val="22"/>
        </w:rPr>
        <w:t>prestado al importador, sino imponer una carga de efectos equivalentes a un arancel, que desnaturaliza</w:t>
      </w:r>
      <w:r>
        <w:rPr>
          <w:spacing w:val="-16"/>
          <w:sz w:val="22"/>
        </w:rPr>
        <w:t> </w:t>
      </w:r>
      <w:r>
        <w:rPr>
          <w:sz w:val="22"/>
        </w:rPr>
        <w:t>el</w:t>
      </w:r>
      <w:r>
        <w:rPr>
          <w:spacing w:val="-15"/>
          <w:sz w:val="22"/>
        </w:rPr>
        <w:t> </w:t>
      </w:r>
      <w:r>
        <w:rPr>
          <w:sz w:val="22"/>
        </w:rPr>
        <w:t>Programa</w:t>
      </w:r>
      <w:r>
        <w:rPr>
          <w:spacing w:val="-15"/>
          <w:sz w:val="22"/>
        </w:rPr>
        <w:t> </w:t>
      </w:r>
      <w:r>
        <w:rPr>
          <w:sz w:val="22"/>
        </w:rPr>
        <w:t>de</w:t>
      </w:r>
      <w:r>
        <w:rPr>
          <w:spacing w:val="-16"/>
          <w:sz w:val="22"/>
        </w:rPr>
        <w:t> </w:t>
      </w:r>
      <w:r>
        <w:rPr>
          <w:sz w:val="22"/>
        </w:rPr>
        <w:t>Liberación</w:t>
      </w:r>
      <w:r>
        <w:rPr>
          <w:spacing w:val="-15"/>
          <w:sz w:val="22"/>
        </w:rPr>
        <w:t> </w:t>
      </w:r>
      <w:r>
        <w:rPr>
          <w:sz w:val="22"/>
        </w:rPr>
        <w:t>y</w:t>
      </w:r>
      <w:r>
        <w:rPr>
          <w:spacing w:val="-15"/>
          <w:sz w:val="22"/>
        </w:rPr>
        <w:t> </w:t>
      </w:r>
      <w:r>
        <w:rPr>
          <w:sz w:val="22"/>
        </w:rPr>
        <w:t>no</w:t>
      </w:r>
      <w:r>
        <w:rPr>
          <w:spacing w:val="-15"/>
          <w:sz w:val="22"/>
        </w:rPr>
        <w:t> </w:t>
      </w:r>
      <w:r>
        <w:rPr>
          <w:sz w:val="22"/>
        </w:rPr>
        <w:t>puede</w:t>
      </w:r>
      <w:r>
        <w:rPr>
          <w:spacing w:val="-16"/>
          <w:sz w:val="22"/>
        </w:rPr>
        <w:t> </w:t>
      </w:r>
      <w:r>
        <w:rPr>
          <w:sz w:val="22"/>
        </w:rPr>
        <w:t>acogerse</w:t>
      </w:r>
      <w:r>
        <w:rPr>
          <w:spacing w:val="-15"/>
          <w:sz w:val="22"/>
        </w:rPr>
        <w:t> </w:t>
      </w:r>
      <w:r>
        <w:rPr>
          <w:sz w:val="22"/>
        </w:rPr>
        <w:t>a</w:t>
      </w:r>
      <w:r>
        <w:rPr>
          <w:spacing w:val="-15"/>
          <w:sz w:val="22"/>
        </w:rPr>
        <w:t> </w:t>
      </w:r>
      <w:r>
        <w:rPr>
          <w:sz w:val="22"/>
        </w:rPr>
        <w:t>la</w:t>
      </w:r>
      <w:r>
        <w:rPr>
          <w:spacing w:val="-16"/>
          <w:sz w:val="22"/>
        </w:rPr>
        <w:t> </w:t>
      </w:r>
      <w:r>
        <w:rPr>
          <w:sz w:val="22"/>
        </w:rPr>
        <w:t>excepción</w:t>
      </w:r>
      <w:r>
        <w:rPr>
          <w:spacing w:val="-15"/>
          <w:sz w:val="22"/>
        </w:rPr>
        <w:t> </w:t>
      </w:r>
      <w:r>
        <w:rPr>
          <w:sz w:val="22"/>
        </w:rPr>
        <w:t>del</w:t>
      </w:r>
      <w:r>
        <w:rPr>
          <w:spacing w:val="-15"/>
          <w:sz w:val="22"/>
        </w:rPr>
        <w:t> </w:t>
      </w:r>
      <w:r>
        <w:rPr>
          <w:sz w:val="22"/>
        </w:rPr>
        <w:t>artículo 73 del Acuerdo de Cartagena.</w:t>
      </w:r>
    </w:p>
    <w:p>
      <w:pPr>
        <w:pStyle w:val="BodyText"/>
        <w:spacing w:before="2"/>
      </w:pPr>
    </w:p>
    <w:p>
      <w:pPr>
        <w:pStyle w:val="Heading5"/>
        <w:numPr>
          <w:ilvl w:val="0"/>
          <w:numId w:val="39"/>
        </w:numPr>
        <w:tabs>
          <w:tab w:pos="1854" w:val="left" w:leader="none"/>
        </w:tabs>
        <w:spacing w:line="240" w:lineRule="auto" w:before="0" w:after="0"/>
        <w:ind w:left="1854" w:right="0" w:hanging="360"/>
        <w:jc w:val="left"/>
      </w:pPr>
      <w:r>
        <w:rPr/>
        <w:t>ANÁLISIS</w:t>
      </w:r>
      <w:r>
        <w:rPr>
          <w:spacing w:val="-6"/>
        </w:rPr>
        <w:t> </w:t>
      </w:r>
      <w:r>
        <w:rPr/>
        <w:t>DE</w:t>
      </w:r>
      <w:r>
        <w:rPr>
          <w:spacing w:val="-3"/>
        </w:rPr>
        <w:t> </w:t>
      </w:r>
      <w:r>
        <w:rPr/>
        <w:t>LA</w:t>
      </w:r>
      <w:r>
        <w:rPr>
          <w:spacing w:val="-1"/>
        </w:rPr>
        <w:t> </w:t>
      </w:r>
      <w:r>
        <w:rPr>
          <w:spacing w:val="-2"/>
        </w:rPr>
        <w:t>SGCAN</w:t>
      </w:r>
    </w:p>
    <w:p>
      <w:pPr>
        <w:pStyle w:val="ListParagraph"/>
        <w:numPr>
          <w:ilvl w:val="0"/>
          <w:numId w:val="11"/>
        </w:numPr>
        <w:tabs>
          <w:tab w:pos="1130" w:val="left" w:leader="none"/>
          <w:tab w:pos="1134" w:val="left" w:leader="none"/>
        </w:tabs>
        <w:spacing w:line="240" w:lineRule="auto" w:before="250" w:after="0"/>
        <w:ind w:left="1134" w:right="979" w:hanging="567"/>
        <w:jc w:val="both"/>
        <w:rPr>
          <w:sz w:val="22"/>
        </w:rPr>
      </w:pPr>
      <w:r>
        <w:rPr>
          <w:sz w:val="22"/>
        </w:rPr>
        <w:t>El artículo 73 del Acuerdo de Cartagena define como gravámenes los derechos aduaneros</w:t>
      </w:r>
      <w:r>
        <w:rPr>
          <w:spacing w:val="-6"/>
          <w:sz w:val="22"/>
        </w:rPr>
        <w:t> </w:t>
      </w:r>
      <w:r>
        <w:rPr>
          <w:sz w:val="22"/>
        </w:rPr>
        <w:t>y</w:t>
      </w:r>
      <w:r>
        <w:rPr>
          <w:spacing w:val="-6"/>
          <w:sz w:val="22"/>
        </w:rPr>
        <w:t> </w:t>
      </w:r>
      <w:r>
        <w:rPr>
          <w:sz w:val="22"/>
        </w:rPr>
        <w:t>“</w:t>
      </w:r>
      <w:r>
        <w:rPr>
          <w:rFonts w:ascii="Arial" w:hAnsi="Arial"/>
          <w:i/>
          <w:sz w:val="22"/>
        </w:rPr>
        <w:t>cualesquier</w:t>
      </w:r>
      <w:r>
        <w:rPr>
          <w:rFonts w:ascii="Arial" w:hAnsi="Arial"/>
          <w:i/>
          <w:spacing w:val="-4"/>
          <w:sz w:val="22"/>
        </w:rPr>
        <w:t> </w:t>
      </w:r>
      <w:r>
        <w:rPr>
          <w:rFonts w:ascii="Arial" w:hAnsi="Arial"/>
          <w:i/>
          <w:sz w:val="22"/>
        </w:rPr>
        <w:t>otros</w:t>
      </w:r>
      <w:r>
        <w:rPr>
          <w:rFonts w:ascii="Arial" w:hAnsi="Arial"/>
          <w:i/>
          <w:spacing w:val="-9"/>
          <w:sz w:val="22"/>
        </w:rPr>
        <w:t> </w:t>
      </w:r>
      <w:r>
        <w:rPr>
          <w:rFonts w:ascii="Arial" w:hAnsi="Arial"/>
          <w:i/>
          <w:sz w:val="22"/>
        </w:rPr>
        <w:t>recargos</w:t>
      </w:r>
      <w:r>
        <w:rPr>
          <w:rFonts w:ascii="Arial" w:hAnsi="Arial"/>
          <w:i/>
          <w:spacing w:val="-6"/>
          <w:sz w:val="22"/>
        </w:rPr>
        <w:t> </w:t>
      </w:r>
      <w:r>
        <w:rPr>
          <w:rFonts w:ascii="Arial" w:hAnsi="Arial"/>
          <w:i/>
          <w:sz w:val="22"/>
        </w:rPr>
        <w:t>de</w:t>
      </w:r>
      <w:r>
        <w:rPr>
          <w:rFonts w:ascii="Arial" w:hAnsi="Arial"/>
          <w:i/>
          <w:spacing w:val="-7"/>
          <w:sz w:val="22"/>
        </w:rPr>
        <w:t> </w:t>
      </w:r>
      <w:r>
        <w:rPr>
          <w:rFonts w:ascii="Arial" w:hAnsi="Arial"/>
          <w:i/>
          <w:sz w:val="22"/>
        </w:rPr>
        <w:t>efectos</w:t>
      </w:r>
      <w:r>
        <w:rPr>
          <w:rFonts w:ascii="Arial" w:hAnsi="Arial"/>
          <w:i/>
          <w:spacing w:val="-4"/>
          <w:sz w:val="22"/>
        </w:rPr>
        <w:t> </w:t>
      </w:r>
      <w:r>
        <w:rPr>
          <w:rFonts w:ascii="Arial" w:hAnsi="Arial"/>
          <w:i/>
          <w:sz w:val="22"/>
        </w:rPr>
        <w:t>equivalentes</w:t>
      </w:r>
      <w:r>
        <w:rPr>
          <w:rFonts w:ascii="Arial" w:hAnsi="Arial"/>
          <w:i/>
          <w:spacing w:val="-6"/>
          <w:sz w:val="22"/>
        </w:rPr>
        <w:t> </w:t>
      </w:r>
      <w:r>
        <w:rPr>
          <w:rFonts w:ascii="Arial" w:hAnsi="Arial"/>
          <w:i/>
          <w:sz w:val="22"/>
        </w:rPr>
        <w:t>(…)</w:t>
      </w:r>
      <w:r>
        <w:rPr>
          <w:rFonts w:ascii="Arial" w:hAnsi="Arial"/>
          <w:i/>
          <w:spacing w:val="-5"/>
          <w:sz w:val="22"/>
        </w:rPr>
        <w:t> </w:t>
      </w:r>
      <w:r>
        <w:rPr>
          <w:rFonts w:ascii="Arial" w:hAnsi="Arial"/>
          <w:i/>
          <w:sz w:val="22"/>
        </w:rPr>
        <w:t>que</w:t>
      </w:r>
      <w:r>
        <w:rPr>
          <w:rFonts w:ascii="Arial" w:hAnsi="Arial"/>
          <w:i/>
          <w:spacing w:val="-9"/>
          <w:sz w:val="22"/>
        </w:rPr>
        <w:t> </w:t>
      </w:r>
      <w:r>
        <w:rPr>
          <w:rFonts w:ascii="Arial" w:hAnsi="Arial"/>
          <w:i/>
          <w:sz w:val="22"/>
        </w:rPr>
        <w:t>incidan</w:t>
      </w:r>
      <w:r>
        <w:rPr>
          <w:rFonts w:ascii="Arial" w:hAnsi="Arial"/>
          <w:i/>
          <w:spacing w:val="-4"/>
          <w:sz w:val="22"/>
        </w:rPr>
        <w:t> </w:t>
      </w:r>
      <w:r>
        <w:rPr>
          <w:rFonts w:ascii="Arial" w:hAnsi="Arial"/>
          <w:i/>
          <w:sz w:val="22"/>
        </w:rPr>
        <w:t>sobre las importaciones</w:t>
      </w:r>
      <w:r>
        <w:rPr>
          <w:sz w:val="22"/>
        </w:rPr>
        <w:t>”, excluyendo únicamente “</w:t>
      </w:r>
      <w:r>
        <w:rPr>
          <w:rFonts w:ascii="Arial" w:hAnsi="Arial"/>
          <w:i/>
          <w:sz w:val="22"/>
        </w:rPr>
        <w:t>las tasas y recargos análogos cuando correspondan al costo aproximado de los servicios prestados</w:t>
      </w:r>
      <w:r>
        <w:rPr>
          <w:sz w:val="22"/>
        </w:rPr>
        <w:t>”. A partir de esta disposición,</w:t>
      </w:r>
      <w:r>
        <w:rPr>
          <w:spacing w:val="-1"/>
          <w:sz w:val="22"/>
        </w:rPr>
        <w:t> </w:t>
      </w:r>
      <w:r>
        <w:rPr>
          <w:sz w:val="22"/>
        </w:rPr>
        <w:t>la</w:t>
      </w:r>
      <w:r>
        <w:rPr>
          <w:spacing w:val="-3"/>
          <w:sz w:val="22"/>
        </w:rPr>
        <w:t> </w:t>
      </w:r>
      <w:r>
        <w:rPr>
          <w:sz w:val="22"/>
        </w:rPr>
        <w:t>SGCAN</w:t>
      </w:r>
      <w:r>
        <w:rPr>
          <w:spacing w:val="-3"/>
          <w:sz w:val="22"/>
        </w:rPr>
        <w:t> </w:t>
      </w:r>
      <w:r>
        <w:rPr>
          <w:sz w:val="22"/>
        </w:rPr>
        <w:t>recuerda</w:t>
      </w:r>
      <w:r>
        <w:rPr>
          <w:spacing w:val="-3"/>
          <w:sz w:val="22"/>
        </w:rPr>
        <w:t> </w:t>
      </w:r>
      <w:r>
        <w:rPr>
          <w:sz w:val="22"/>
        </w:rPr>
        <w:t>que</w:t>
      </w:r>
      <w:r>
        <w:rPr>
          <w:spacing w:val="-3"/>
          <w:sz w:val="22"/>
        </w:rPr>
        <w:t> </w:t>
      </w:r>
      <w:r>
        <w:rPr>
          <w:sz w:val="22"/>
        </w:rPr>
        <w:t>la</w:t>
      </w:r>
      <w:r>
        <w:rPr>
          <w:spacing w:val="-3"/>
          <w:sz w:val="22"/>
        </w:rPr>
        <w:t> </w:t>
      </w:r>
      <w:r>
        <w:rPr>
          <w:sz w:val="22"/>
        </w:rPr>
        <w:t>excepción</w:t>
      </w:r>
      <w:r>
        <w:rPr>
          <w:spacing w:val="-3"/>
          <w:sz w:val="22"/>
        </w:rPr>
        <w:t> </w:t>
      </w:r>
      <w:r>
        <w:rPr>
          <w:sz w:val="22"/>
        </w:rPr>
        <w:t>exige</w:t>
      </w:r>
      <w:r>
        <w:rPr>
          <w:spacing w:val="-3"/>
          <w:sz w:val="22"/>
        </w:rPr>
        <w:t> </w:t>
      </w:r>
      <w:r>
        <w:rPr>
          <w:sz w:val="22"/>
        </w:rPr>
        <w:t>dos</w:t>
      </w:r>
      <w:r>
        <w:rPr>
          <w:spacing w:val="-2"/>
          <w:sz w:val="22"/>
        </w:rPr>
        <w:t> </w:t>
      </w:r>
      <w:r>
        <w:rPr>
          <w:sz w:val="22"/>
        </w:rPr>
        <w:t>condiciones</w:t>
      </w:r>
      <w:r>
        <w:rPr>
          <w:spacing w:val="-5"/>
          <w:sz w:val="22"/>
        </w:rPr>
        <w:t> </w:t>
      </w:r>
      <w:r>
        <w:rPr>
          <w:sz w:val="22"/>
        </w:rPr>
        <w:t>acumulativas:</w:t>
      </w:r>
    </w:p>
    <w:p>
      <w:pPr>
        <w:pStyle w:val="ListParagraph"/>
        <w:numPr>
          <w:ilvl w:val="1"/>
          <w:numId w:val="11"/>
        </w:numPr>
        <w:tabs>
          <w:tab w:pos="1333" w:val="left" w:leader="none"/>
        </w:tabs>
        <w:spacing w:line="240" w:lineRule="auto" w:before="0" w:after="0"/>
        <w:ind w:left="1134" w:right="977" w:firstLine="0"/>
        <w:jc w:val="both"/>
        <w:rPr>
          <w:sz w:val="22"/>
        </w:rPr>
      </w:pPr>
      <w:r>
        <w:rPr>
          <w:sz w:val="22"/>
        </w:rPr>
        <w:t>que exista un </w:t>
      </w:r>
      <w:r>
        <w:rPr>
          <w:rFonts w:ascii="Arial" w:hAnsi="Arial"/>
          <w:b/>
          <w:sz w:val="22"/>
        </w:rPr>
        <w:t>servicio efectivamente prestado al importador</w:t>
      </w:r>
      <w:r>
        <w:rPr>
          <w:sz w:val="22"/>
        </w:rPr>
        <w:t>, vinculado al hecho mismo de la importación; y ii) que el monto cobrado guarde </w:t>
      </w:r>
      <w:r>
        <w:rPr>
          <w:rFonts w:ascii="Arial" w:hAnsi="Arial"/>
          <w:b/>
          <w:sz w:val="22"/>
        </w:rPr>
        <w:t>proporcionalidad razonable </w:t>
      </w:r>
      <w:r>
        <w:rPr>
          <w:sz w:val="22"/>
        </w:rPr>
        <w:t>con el </w:t>
      </w:r>
      <w:r>
        <w:rPr>
          <w:rFonts w:ascii="Arial" w:hAnsi="Arial"/>
          <w:b/>
          <w:sz w:val="22"/>
        </w:rPr>
        <w:t>costo aproximado </w:t>
      </w:r>
      <w:r>
        <w:rPr>
          <w:sz w:val="22"/>
        </w:rPr>
        <w:t>de ese servicio.</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83" w:hanging="567"/>
        <w:jc w:val="both"/>
        <w:rPr>
          <w:sz w:val="22"/>
        </w:rPr>
      </w:pPr>
      <w:r>
        <w:rPr>
          <w:sz w:val="22"/>
        </w:rPr>
        <w:t>Este entendimiento se apoya en la jurisprudencia del TJCAN, en particular el Proceso 12</w:t>
      </w:r>
      <w:r>
        <w:rPr>
          <w:rFonts w:ascii="Cambria Math" w:hAnsi="Cambria Math"/>
          <w:sz w:val="22"/>
        </w:rPr>
        <w:t>‑</w:t>
      </w:r>
      <w:r>
        <w:rPr>
          <w:sz w:val="22"/>
        </w:rPr>
        <w:t>AN</w:t>
      </w:r>
      <w:r>
        <w:rPr>
          <w:rFonts w:ascii="Cambria Math" w:hAnsi="Cambria Math"/>
          <w:sz w:val="22"/>
        </w:rPr>
        <w:t>‑</w:t>
      </w:r>
      <w:r>
        <w:rPr>
          <w:sz w:val="22"/>
        </w:rPr>
        <w:t>99, según el cual el concepto de gravamen “solo tiene en la práctica una excepción”, referida a tasas y recargos que correspondan al costo aproximado de los</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BodyText"/>
        <w:ind w:left="1134" w:right="977"/>
        <w:jc w:val="both"/>
      </w:pPr>
      <w:r>
        <w:rPr/>
        <w:t>servicios prestados al importador “en relación con el hecho mismo de la importación”, permitiendo</w:t>
      </w:r>
      <w:r>
        <w:rPr>
          <w:spacing w:val="-3"/>
        </w:rPr>
        <w:t> </w:t>
      </w:r>
      <w:r>
        <w:rPr/>
        <w:t>a</w:t>
      </w:r>
      <w:r>
        <w:rPr>
          <w:spacing w:val="-5"/>
        </w:rPr>
        <w:t> </w:t>
      </w:r>
      <w:r>
        <w:rPr/>
        <w:t>los</w:t>
      </w:r>
      <w:r>
        <w:rPr>
          <w:spacing w:val="-3"/>
        </w:rPr>
        <w:t> </w:t>
      </w:r>
      <w:r>
        <w:rPr/>
        <w:t>Países</w:t>
      </w:r>
      <w:r>
        <w:rPr>
          <w:spacing w:val="-5"/>
        </w:rPr>
        <w:t> </w:t>
      </w:r>
      <w:r>
        <w:rPr/>
        <w:t>Miembros</w:t>
      </w:r>
      <w:r>
        <w:rPr>
          <w:spacing w:val="-5"/>
        </w:rPr>
        <w:t> </w:t>
      </w:r>
      <w:r>
        <w:rPr/>
        <w:t>recuperar</w:t>
      </w:r>
      <w:r>
        <w:rPr>
          <w:spacing w:val="-2"/>
        </w:rPr>
        <w:t> </w:t>
      </w:r>
      <w:r>
        <w:rPr/>
        <w:t>“razonablemente”</w:t>
      </w:r>
      <w:r>
        <w:rPr>
          <w:spacing w:val="-2"/>
        </w:rPr>
        <w:t> </w:t>
      </w:r>
      <w:r>
        <w:rPr/>
        <w:t>los</w:t>
      </w:r>
      <w:r>
        <w:rPr>
          <w:spacing w:val="-3"/>
        </w:rPr>
        <w:t> </w:t>
      </w:r>
      <w:r>
        <w:rPr/>
        <w:t>costos</w:t>
      </w:r>
      <w:r>
        <w:rPr>
          <w:spacing w:val="-2"/>
        </w:rPr>
        <w:t> </w:t>
      </w:r>
      <w:r>
        <w:rPr/>
        <w:t>asumidos</w:t>
      </w:r>
      <w:r>
        <w:rPr>
          <w:spacing w:val="-2"/>
        </w:rPr>
        <w:t> </w:t>
      </w:r>
      <w:r>
        <w:rPr/>
        <w:t>al facilitar las operaciones de importación mediante su infraestructura física y administrativa. El TJCAN añade que las tasas tienden a financiar </w:t>
      </w:r>
      <w:r>
        <w:rPr>
          <w:rFonts w:ascii="Arial" w:hAnsi="Arial"/>
          <w:b/>
        </w:rPr>
        <w:t>servicios públicos divisibles</w:t>
      </w:r>
      <w:r>
        <w:rPr/>
        <w:t>,</w:t>
      </w:r>
      <w:r>
        <w:rPr>
          <w:spacing w:val="-16"/>
        </w:rPr>
        <w:t> </w:t>
      </w:r>
      <w:r>
        <w:rPr/>
        <w:t>y</w:t>
      </w:r>
      <w:r>
        <w:rPr>
          <w:spacing w:val="-15"/>
        </w:rPr>
        <w:t> </w:t>
      </w:r>
      <w:r>
        <w:rPr/>
        <w:t>que</w:t>
      </w:r>
      <w:r>
        <w:rPr>
          <w:spacing w:val="-15"/>
        </w:rPr>
        <w:t> </w:t>
      </w:r>
      <w:r>
        <w:rPr/>
        <w:t>su</w:t>
      </w:r>
      <w:r>
        <w:rPr>
          <w:spacing w:val="-16"/>
        </w:rPr>
        <w:t> </w:t>
      </w:r>
      <w:r>
        <w:rPr/>
        <w:t>tarifa</w:t>
      </w:r>
      <w:r>
        <w:rPr>
          <w:spacing w:val="-15"/>
        </w:rPr>
        <w:t> </w:t>
      </w:r>
      <w:r>
        <w:rPr/>
        <w:t>debe</w:t>
      </w:r>
      <w:r>
        <w:rPr>
          <w:spacing w:val="-15"/>
        </w:rPr>
        <w:t> </w:t>
      </w:r>
      <w:r>
        <w:rPr/>
        <w:t>guardar</w:t>
      </w:r>
      <w:r>
        <w:rPr>
          <w:spacing w:val="-15"/>
        </w:rPr>
        <w:t> </w:t>
      </w:r>
      <w:r>
        <w:rPr/>
        <w:t>una</w:t>
      </w:r>
      <w:r>
        <w:rPr>
          <w:spacing w:val="-16"/>
        </w:rPr>
        <w:t> </w:t>
      </w:r>
      <w:r>
        <w:rPr/>
        <w:t>“</w:t>
      </w:r>
      <w:r>
        <w:rPr>
          <w:rFonts w:ascii="Arial" w:hAnsi="Arial"/>
          <w:i/>
        </w:rPr>
        <w:t>relación</w:t>
      </w:r>
      <w:r>
        <w:rPr>
          <w:rFonts w:ascii="Arial" w:hAnsi="Arial"/>
          <w:i/>
          <w:spacing w:val="-13"/>
        </w:rPr>
        <w:t> </w:t>
      </w:r>
      <w:r>
        <w:rPr>
          <w:rFonts w:ascii="Arial" w:hAnsi="Arial"/>
          <w:i/>
        </w:rPr>
        <w:t>directa</w:t>
      </w:r>
      <w:r>
        <w:rPr>
          <w:rFonts w:ascii="Arial" w:hAnsi="Arial"/>
          <w:i/>
          <w:spacing w:val="-16"/>
        </w:rPr>
        <w:t> </w:t>
      </w:r>
      <w:r>
        <w:rPr>
          <w:rFonts w:ascii="Arial" w:hAnsi="Arial"/>
          <w:i/>
        </w:rPr>
        <w:t>y</w:t>
      </w:r>
      <w:r>
        <w:rPr>
          <w:rFonts w:ascii="Arial" w:hAnsi="Arial"/>
          <w:i/>
          <w:spacing w:val="-15"/>
        </w:rPr>
        <w:t> </w:t>
      </w:r>
      <w:r>
        <w:rPr>
          <w:rFonts w:ascii="Arial" w:hAnsi="Arial"/>
          <w:i/>
        </w:rPr>
        <w:t>proporcional</w:t>
      </w:r>
      <w:r>
        <w:rPr/>
        <w:t>”</w:t>
      </w:r>
      <w:r>
        <w:rPr>
          <w:spacing w:val="-13"/>
        </w:rPr>
        <w:t> </w:t>
      </w:r>
      <w:r>
        <w:rPr/>
        <w:t>con</w:t>
      </w:r>
      <w:r>
        <w:rPr>
          <w:spacing w:val="-15"/>
        </w:rPr>
        <w:t> </w:t>
      </w:r>
      <w:r>
        <w:rPr/>
        <w:t>el</w:t>
      </w:r>
      <w:r>
        <w:rPr>
          <w:spacing w:val="-15"/>
        </w:rPr>
        <w:t> </w:t>
      </w:r>
      <w:r>
        <w:rPr/>
        <w:t>costo del</w:t>
      </w:r>
      <w:r>
        <w:rPr>
          <w:spacing w:val="-3"/>
        </w:rPr>
        <w:t> </w:t>
      </w:r>
      <w:r>
        <w:rPr/>
        <w:t>servicio,</w:t>
      </w:r>
      <w:r>
        <w:rPr>
          <w:spacing w:val="-4"/>
        </w:rPr>
        <w:t> </w:t>
      </w:r>
      <w:r>
        <w:rPr/>
        <w:t>señalando</w:t>
      </w:r>
      <w:r>
        <w:rPr>
          <w:spacing w:val="-5"/>
        </w:rPr>
        <w:t> </w:t>
      </w:r>
      <w:r>
        <w:rPr/>
        <w:t>“</w:t>
      </w:r>
      <w:r>
        <w:rPr>
          <w:rFonts w:ascii="Arial" w:hAnsi="Arial"/>
          <w:i/>
        </w:rPr>
        <w:t>en</w:t>
      </w:r>
      <w:r>
        <w:rPr>
          <w:rFonts w:ascii="Arial" w:hAnsi="Arial"/>
          <w:i/>
          <w:spacing w:val="-3"/>
        </w:rPr>
        <w:t> </w:t>
      </w:r>
      <w:r>
        <w:rPr>
          <w:rFonts w:ascii="Arial" w:hAnsi="Arial"/>
          <w:i/>
        </w:rPr>
        <w:t>principio</w:t>
      </w:r>
      <w:r>
        <w:rPr/>
        <w:t>”</w:t>
      </w:r>
      <w:r>
        <w:rPr>
          <w:spacing w:val="-4"/>
        </w:rPr>
        <w:t> </w:t>
      </w:r>
      <w:r>
        <w:rPr/>
        <w:t>que</w:t>
      </w:r>
      <w:r>
        <w:rPr>
          <w:spacing w:val="-3"/>
        </w:rPr>
        <w:t> </w:t>
      </w:r>
      <w:r>
        <w:rPr/>
        <w:t>el</w:t>
      </w:r>
      <w:r>
        <w:rPr>
          <w:spacing w:val="-5"/>
        </w:rPr>
        <w:t> </w:t>
      </w:r>
      <w:r>
        <w:rPr/>
        <w:t>particular</w:t>
      </w:r>
      <w:r>
        <w:rPr>
          <w:spacing w:val="-2"/>
        </w:rPr>
        <w:t> </w:t>
      </w:r>
      <w:r>
        <w:rPr/>
        <w:t>puede</w:t>
      </w:r>
      <w:r>
        <w:rPr>
          <w:spacing w:val="-5"/>
        </w:rPr>
        <w:t> </w:t>
      </w:r>
      <w:r>
        <w:rPr/>
        <w:t>optar</w:t>
      </w:r>
      <w:r>
        <w:rPr>
          <w:spacing w:val="-2"/>
        </w:rPr>
        <w:t> </w:t>
      </w:r>
      <w:r>
        <w:rPr/>
        <w:t>por</w:t>
      </w:r>
      <w:r>
        <w:rPr>
          <w:spacing w:val="-4"/>
        </w:rPr>
        <w:t> </w:t>
      </w:r>
      <w:r>
        <w:rPr/>
        <w:t>adquirir</w:t>
      </w:r>
      <w:r>
        <w:rPr>
          <w:spacing w:val="-2"/>
        </w:rPr>
        <w:t> </w:t>
      </w:r>
      <w:r>
        <w:rPr/>
        <w:t>o</w:t>
      </w:r>
      <w:r>
        <w:rPr>
          <w:spacing w:val="-5"/>
        </w:rPr>
        <w:t> </w:t>
      </w:r>
      <w:r>
        <w:rPr/>
        <w:t>no</w:t>
      </w:r>
      <w:r>
        <w:rPr>
          <w:spacing w:val="-3"/>
        </w:rPr>
        <w:t> </w:t>
      </w:r>
      <w:r>
        <w:rPr/>
        <w:t>ese </w:t>
      </w:r>
      <w:r>
        <w:rPr>
          <w:spacing w:val="-2"/>
        </w:rPr>
        <w:t>servicio.</w:t>
      </w:r>
    </w:p>
    <w:p>
      <w:pPr>
        <w:pStyle w:val="ListParagraph"/>
        <w:numPr>
          <w:ilvl w:val="0"/>
          <w:numId w:val="11"/>
        </w:numPr>
        <w:tabs>
          <w:tab w:pos="1130" w:val="left" w:leader="none"/>
          <w:tab w:pos="1134" w:val="left" w:leader="none"/>
        </w:tabs>
        <w:spacing w:line="240" w:lineRule="auto" w:before="253" w:after="0"/>
        <w:ind w:left="1134" w:right="980" w:hanging="567"/>
        <w:jc w:val="both"/>
        <w:rPr>
          <w:sz w:val="22"/>
        </w:rPr>
      </w:pPr>
      <w:r>
        <w:rPr>
          <w:sz w:val="22"/>
        </w:rPr>
        <w:t>La SGCAN también recuerda que, en Resoluciones anteriormente adoptadas (por ejemplo, las Resoluciones 438, 513, 516, 895, 1254, y 1999), se ha calificado como gravámenes recargos que, pese a denominarse tasas, no remuneraban un servicio directo, divisible y proporcionalmente costeado, sino que financiaban funciones generales de control, inspección o política fiscal.</w:t>
      </w:r>
    </w:p>
    <w:p>
      <w:pPr>
        <w:pStyle w:val="BodyText"/>
        <w:spacing w:before="1"/>
      </w:pPr>
    </w:p>
    <w:p>
      <w:pPr>
        <w:pStyle w:val="ListParagraph"/>
        <w:numPr>
          <w:ilvl w:val="0"/>
          <w:numId w:val="11"/>
        </w:numPr>
        <w:tabs>
          <w:tab w:pos="1130" w:val="left" w:leader="none"/>
          <w:tab w:pos="1134" w:val="left" w:leader="none"/>
        </w:tabs>
        <w:spacing w:line="240" w:lineRule="auto" w:before="1" w:after="0"/>
        <w:ind w:left="1134" w:right="980" w:hanging="567"/>
        <w:jc w:val="both"/>
        <w:rPr>
          <w:sz w:val="22"/>
        </w:rPr>
      </w:pPr>
      <w:r>
        <w:rPr>
          <w:sz w:val="22"/>
        </w:rPr>
        <w:t>La SGCAN constata que</w:t>
      </w:r>
      <w:r>
        <w:rPr>
          <w:spacing w:val="-2"/>
          <w:sz w:val="22"/>
        </w:rPr>
        <w:t> </w:t>
      </w:r>
      <w:r>
        <w:rPr>
          <w:sz w:val="22"/>
        </w:rPr>
        <w:t>la República del Ecuador informa un</w:t>
      </w:r>
      <w:r>
        <w:rPr>
          <w:spacing w:val="-2"/>
          <w:sz w:val="22"/>
        </w:rPr>
        <w:t> </w:t>
      </w:r>
      <w:r>
        <w:rPr>
          <w:sz w:val="22"/>
        </w:rPr>
        <w:t>“costo total</w:t>
      </w:r>
      <w:r>
        <w:rPr>
          <w:spacing w:val="-3"/>
          <w:sz w:val="22"/>
        </w:rPr>
        <w:t> </w:t>
      </w:r>
      <w:r>
        <w:rPr>
          <w:sz w:val="22"/>
        </w:rPr>
        <w:t>estimado del servicio” de USD 221.038.042 para la TSCA del 30% y, posteriormente, un costo actualizado de USD 275.230.492 para la tasa del 50%, al ampliarse el esquema de control reforzado a nivel nacional. Este costo se desglosa en grandes rubros:</w:t>
      </w:r>
    </w:p>
    <w:p>
      <w:pPr>
        <w:pStyle w:val="BodyText"/>
        <w:spacing w:before="3"/>
      </w:pPr>
    </w:p>
    <w:p>
      <w:pPr>
        <w:pStyle w:val="ListParagraph"/>
        <w:numPr>
          <w:ilvl w:val="0"/>
          <w:numId w:val="40"/>
        </w:numPr>
        <w:tabs>
          <w:tab w:pos="2553" w:val="left" w:leader="none"/>
        </w:tabs>
        <w:spacing w:line="237" w:lineRule="auto" w:before="1" w:after="0"/>
        <w:ind w:left="2553" w:right="980" w:hanging="361"/>
        <w:jc w:val="both"/>
        <w:rPr>
          <w:sz w:val="22"/>
        </w:rPr>
      </w:pPr>
      <w:r>
        <w:rPr>
          <w:sz w:val="22"/>
        </w:rPr>
        <w:t>Talento humano (personal adicional de control, analistas de riesgo, equipos de verificación).</w:t>
      </w:r>
    </w:p>
    <w:p>
      <w:pPr>
        <w:pStyle w:val="BodyText"/>
        <w:spacing w:before="2"/>
      </w:pPr>
    </w:p>
    <w:p>
      <w:pPr>
        <w:pStyle w:val="ListParagraph"/>
        <w:numPr>
          <w:ilvl w:val="0"/>
          <w:numId w:val="40"/>
        </w:numPr>
        <w:tabs>
          <w:tab w:pos="2553" w:val="left" w:leader="none"/>
        </w:tabs>
        <w:spacing w:line="237" w:lineRule="auto" w:before="0" w:after="0"/>
        <w:ind w:left="2553" w:right="982" w:hanging="361"/>
        <w:jc w:val="both"/>
        <w:rPr>
          <w:sz w:val="22"/>
        </w:rPr>
      </w:pPr>
      <w:r>
        <w:rPr>
          <w:sz w:val="22"/>
        </w:rPr>
        <w:t>Movilidad y logística (vehículos, combustible, viáticos, soporte logístico para operativos y visitas).</w:t>
      </w:r>
    </w:p>
    <w:p>
      <w:pPr>
        <w:pStyle w:val="BodyText"/>
        <w:spacing w:before="3"/>
      </w:pPr>
    </w:p>
    <w:p>
      <w:pPr>
        <w:pStyle w:val="ListParagraph"/>
        <w:numPr>
          <w:ilvl w:val="0"/>
          <w:numId w:val="40"/>
        </w:numPr>
        <w:tabs>
          <w:tab w:pos="2553" w:val="left" w:leader="none"/>
        </w:tabs>
        <w:spacing w:line="237" w:lineRule="auto" w:before="0" w:after="0"/>
        <w:ind w:left="2553" w:right="982" w:hanging="361"/>
        <w:jc w:val="both"/>
        <w:rPr>
          <w:sz w:val="22"/>
        </w:rPr>
      </w:pPr>
      <w:r>
        <w:rPr>
          <w:sz w:val="22"/>
        </w:rPr>
        <w:t>Tecnología de transparencia / scanners (equipos de rayos X, mantenimiento y operación).</w:t>
      </w:r>
    </w:p>
    <w:p>
      <w:pPr>
        <w:pStyle w:val="BodyText"/>
        <w:spacing w:before="5"/>
      </w:pPr>
    </w:p>
    <w:p>
      <w:pPr>
        <w:pStyle w:val="ListParagraph"/>
        <w:numPr>
          <w:ilvl w:val="0"/>
          <w:numId w:val="40"/>
        </w:numPr>
        <w:tabs>
          <w:tab w:pos="2553" w:val="left" w:leader="none"/>
        </w:tabs>
        <w:spacing w:line="237" w:lineRule="auto" w:before="0" w:after="0"/>
        <w:ind w:left="2553" w:right="980" w:hanging="361"/>
        <w:jc w:val="both"/>
        <w:rPr>
          <w:sz w:val="22"/>
        </w:rPr>
      </w:pPr>
      <w:r>
        <w:rPr>
          <w:sz w:val="22"/>
        </w:rPr>
        <w:t>Infraestructura distrital (adecuación de bodegas, oficinas, puestos de </w:t>
      </w:r>
      <w:r>
        <w:rPr>
          <w:spacing w:val="-2"/>
          <w:sz w:val="22"/>
        </w:rPr>
        <w:t>control).</w:t>
      </w:r>
    </w:p>
    <w:p>
      <w:pPr>
        <w:pStyle w:val="BodyText"/>
        <w:spacing w:before="2"/>
      </w:pPr>
    </w:p>
    <w:p>
      <w:pPr>
        <w:pStyle w:val="ListParagraph"/>
        <w:numPr>
          <w:ilvl w:val="0"/>
          <w:numId w:val="40"/>
        </w:numPr>
        <w:tabs>
          <w:tab w:pos="2553" w:val="left" w:leader="none"/>
        </w:tabs>
        <w:spacing w:line="237" w:lineRule="auto" w:before="1" w:after="0"/>
        <w:ind w:left="2553" w:right="983" w:hanging="361"/>
        <w:jc w:val="both"/>
        <w:rPr>
          <w:sz w:val="22"/>
        </w:rPr>
      </w:pPr>
      <w:r>
        <w:rPr>
          <w:sz w:val="22"/>
        </w:rPr>
        <w:t>Núcleo tecnológico (data center Tier III, servidores, almacenamiento de video, soluciones analíticas, inteligencia artificial).</w:t>
      </w:r>
    </w:p>
    <w:p>
      <w:pPr>
        <w:pStyle w:val="BodyText"/>
        <w:spacing w:before="4"/>
      </w:pPr>
    </w:p>
    <w:p>
      <w:pPr>
        <w:pStyle w:val="ListParagraph"/>
        <w:numPr>
          <w:ilvl w:val="0"/>
          <w:numId w:val="40"/>
        </w:numPr>
        <w:tabs>
          <w:tab w:pos="2553" w:val="left" w:leader="none"/>
        </w:tabs>
        <w:spacing w:line="237" w:lineRule="auto" w:before="1" w:after="0"/>
        <w:ind w:left="2553" w:right="981" w:hanging="361"/>
        <w:jc w:val="both"/>
        <w:rPr>
          <w:sz w:val="22"/>
        </w:rPr>
      </w:pPr>
      <w:r>
        <w:rPr>
          <w:sz w:val="22"/>
        </w:rPr>
        <w:t>Seguridad estratégica (drones, radares, vigilancia satelital, candados satelitales, redes de comunicación, ciberseguridad, ecosistema de inteligencia de datos, blockchain, etc.).</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76" w:hanging="567"/>
        <w:jc w:val="both"/>
        <w:rPr>
          <w:sz w:val="22"/>
        </w:rPr>
      </w:pPr>
      <w:r>
        <w:rPr>
          <w:sz w:val="22"/>
        </w:rPr>
        <w:t>Desde la perspectiva comunitaria, la SGCAN observa que estos rubros describen ante todo</w:t>
      </w:r>
      <w:r>
        <w:rPr>
          <w:spacing w:val="-10"/>
          <w:sz w:val="22"/>
        </w:rPr>
        <w:t> </w:t>
      </w:r>
      <w:r>
        <w:rPr>
          <w:sz w:val="22"/>
        </w:rPr>
        <w:t>un</w:t>
      </w:r>
      <w:r>
        <w:rPr>
          <w:spacing w:val="-10"/>
          <w:sz w:val="22"/>
        </w:rPr>
        <w:t> </w:t>
      </w:r>
      <w:r>
        <w:rPr>
          <w:rFonts w:ascii="Arial" w:hAnsi="Arial"/>
          <w:b/>
          <w:sz w:val="22"/>
        </w:rPr>
        <w:t>esquema</w:t>
      </w:r>
      <w:r>
        <w:rPr>
          <w:rFonts w:ascii="Arial" w:hAnsi="Arial"/>
          <w:b/>
          <w:spacing w:val="-9"/>
          <w:sz w:val="22"/>
        </w:rPr>
        <w:t> </w:t>
      </w:r>
      <w:r>
        <w:rPr>
          <w:rFonts w:ascii="Arial" w:hAnsi="Arial"/>
          <w:b/>
          <w:sz w:val="22"/>
        </w:rPr>
        <w:t>amplio</w:t>
      </w:r>
      <w:r>
        <w:rPr>
          <w:rFonts w:ascii="Arial" w:hAnsi="Arial"/>
          <w:b/>
          <w:spacing w:val="-10"/>
          <w:sz w:val="22"/>
        </w:rPr>
        <w:t> </w:t>
      </w:r>
      <w:r>
        <w:rPr>
          <w:rFonts w:ascii="Arial" w:hAnsi="Arial"/>
          <w:b/>
          <w:sz w:val="22"/>
        </w:rPr>
        <w:t>de</w:t>
      </w:r>
      <w:r>
        <w:rPr>
          <w:rFonts w:ascii="Arial" w:hAnsi="Arial"/>
          <w:b/>
          <w:spacing w:val="-10"/>
          <w:sz w:val="22"/>
        </w:rPr>
        <w:t> </w:t>
      </w:r>
      <w:r>
        <w:rPr>
          <w:rFonts w:ascii="Arial" w:hAnsi="Arial"/>
          <w:b/>
          <w:sz w:val="22"/>
        </w:rPr>
        <w:t>fortalecimiento</w:t>
      </w:r>
      <w:r>
        <w:rPr>
          <w:rFonts w:ascii="Arial" w:hAnsi="Arial"/>
          <w:b/>
          <w:spacing w:val="-12"/>
          <w:sz w:val="22"/>
        </w:rPr>
        <w:t> </w:t>
      </w:r>
      <w:r>
        <w:rPr>
          <w:rFonts w:ascii="Arial" w:hAnsi="Arial"/>
          <w:b/>
          <w:sz w:val="22"/>
        </w:rPr>
        <w:t>institucional</w:t>
      </w:r>
      <w:r>
        <w:rPr>
          <w:rFonts w:ascii="Arial" w:hAnsi="Arial"/>
          <w:b/>
          <w:spacing w:val="-8"/>
          <w:sz w:val="22"/>
        </w:rPr>
        <w:t> </w:t>
      </w:r>
      <w:r>
        <w:rPr>
          <w:rFonts w:ascii="Arial" w:hAnsi="Arial"/>
          <w:b/>
          <w:sz w:val="22"/>
        </w:rPr>
        <w:t>y</w:t>
      </w:r>
      <w:r>
        <w:rPr>
          <w:rFonts w:ascii="Arial" w:hAnsi="Arial"/>
          <w:b/>
          <w:spacing w:val="-10"/>
          <w:sz w:val="22"/>
        </w:rPr>
        <w:t> </w:t>
      </w:r>
      <w:r>
        <w:rPr>
          <w:rFonts w:ascii="Arial" w:hAnsi="Arial"/>
          <w:b/>
          <w:sz w:val="22"/>
        </w:rPr>
        <w:t>de</w:t>
      </w:r>
      <w:r>
        <w:rPr>
          <w:rFonts w:ascii="Arial" w:hAnsi="Arial"/>
          <w:b/>
          <w:spacing w:val="-10"/>
          <w:sz w:val="22"/>
        </w:rPr>
        <w:t> </w:t>
      </w:r>
      <w:r>
        <w:rPr>
          <w:rFonts w:ascii="Arial" w:hAnsi="Arial"/>
          <w:b/>
          <w:sz w:val="22"/>
        </w:rPr>
        <w:t>seguridad</w:t>
      </w:r>
      <w:r>
        <w:rPr>
          <w:rFonts w:ascii="Arial" w:hAnsi="Arial"/>
          <w:b/>
          <w:spacing w:val="-10"/>
          <w:sz w:val="22"/>
        </w:rPr>
        <w:t> </w:t>
      </w:r>
      <w:r>
        <w:rPr>
          <w:rFonts w:ascii="Arial" w:hAnsi="Arial"/>
          <w:b/>
          <w:sz w:val="22"/>
        </w:rPr>
        <w:t>fronteriza</w:t>
      </w:r>
      <w:r>
        <w:rPr>
          <w:sz w:val="22"/>
        </w:rPr>
        <w:t>, con inversiones de capital de vida útil plurianual y gastos estructurales de funcionamiento,</w:t>
      </w:r>
      <w:r>
        <w:rPr>
          <w:spacing w:val="-5"/>
          <w:sz w:val="22"/>
        </w:rPr>
        <w:t> </w:t>
      </w:r>
      <w:r>
        <w:rPr>
          <w:sz w:val="22"/>
        </w:rPr>
        <w:t>que</w:t>
      </w:r>
      <w:r>
        <w:rPr>
          <w:spacing w:val="-6"/>
          <w:sz w:val="22"/>
        </w:rPr>
        <w:t> </w:t>
      </w:r>
      <w:r>
        <w:rPr>
          <w:sz w:val="22"/>
        </w:rPr>
        <w:t>benefician</w:t>
      </w:r>
      <w:r>
        <w:rPr>
          <w:spacing w:val="-4"/>
          <w:sz w:val="22"/>
        </w:rPr>
        <w:t> </w:t>
      </w:r>
      <w:r>
        <w:rPr>
          <w:sz w:val="22"/>
        </w:rPr>
        <w:t>al</w:t>
      </w:r>
      <w:r>
        <w:rPr>
          <w:spacing w:val="-7"/>
          <w:sz w:val="22"/>
        </w:rPr>
        <w:t> </w:t>
      </w:r>
      <w:r>
        <w:rPr>
          <w:sz w:val="22"/>
        </w:rPr>
        <w:t>sistema</w:t>
      </w:r>
      <w:r>
        <w:rPr>
          <w:spacing w:val="-6"/>
          <w:sz w:val="22"/>
        </w:rPr>
        <w:t> </w:t>
      </w:r>
      <w:r>
        <w:rPr>
          <w:sz w:val="22"/>
        </w:rPr>
        <w:t>de</w:t>
      </w:r>
      <w:r>
        <w:rPr>
          <w:spacing w:val="-7"/>
          <w:sz w:val="22"/>
        </w:rPr>
        <w:t> </w:t>
      </w:r>
      <w:r>
        <w:rPr>
          <w:sz w:val="22"/>
        </w:rPr>
        <w:t>control</w:t>
      </w:r>
      <w:r>
        <w:rPr>
          <w:spacing w:val="-7"/>
          <w:sz w:val="22"/>
        </w:rPr>
        <w:t> </w:t>
      </w:r>
      <w:r>
        <w:rPr>
          <w:sz w:val="22"/>
        </w:rPr>
        <w:t>aduanero</w:t>
      </w:r>
      <w:r>
        <w:rPr>
          <w:spacing w:val="-6"/>
          <w:sz w:val="22"/>
        </w:rPr>
        <w:t> </w:t>
      </w:r>
      <w:r>
        <w:rPr>
          <w:sz w:val="22"/>
        </w:rPr>
        <w:t>en</w:t>
      </w:r>
      <w:r>
        <w:rPr>
          <w:spacing w:val="-7"/>
          <w:sz w:val="22"/>
        </w:rPr>
        <w:t> </w:t>
      </w:r>
      <w:r>
        <w:rPr>
          <w:sz w:val="22"/>
        </w:rPr>
        <w:t>su</w:t>
      </w:r>
      <w:r>
        <w:rPr>
          <w:spacing w:val="-6"/>
          <w:sz w:val="22"/>
        </w:rPr>
        <w:t> </w:t>
      </w:r>
      <w:r>
        <w:rPr>
          <w:sz w:val="22"/>
        </w:rPr>
        <w:t>conjunto</w:t>
      </w:r>
      <w:r>
        <w:rPr>
          <w:spacing w:val="-6"/>
          <w:sz w:val="22"/>
        </w:rPr>
        <w:t> </w:t>
      </w:r>
      <w:r>
        <w:rPr>
          <w:sz w:val="22"/>
        </w:rPr>
        <w:t>y</w:t>
      </w:r>
      <w:r>
        <w:rPr>
          <w:spacing w:val="-6"/>
          <w:sz w:val="22"/>
        </w:rPr>
        <w:t> </w:t>
      </w:r>
      <w:r>
        <w:rPr>
          <w:sz w:val="22"/>
        </w:rPr>
        <w:t>no</w:t>
      </w:r>
      <w:r>
        <w:rPr>
          <w:spacing w:val="-7"/>
          <w:sz w:val="22"/>
        </w:rPr>
        <w:t> </w:t>
      </w:r>
      <w:r>
        <w:rPr>
          <w:sz w:val="22"/>
        </w:rPr>
        <w:t>solo a las importaciones procedentes de la República de Colombia. Esta constatación se refleja</w:t>
      </w:r>
      <w:r>
        <w:rPr>
          <w:spacing w:val="-16"/>
          <w:sz w:val="22"/>
        </w:rPr>
        <w:t> </w:t>
      </w:r>
      <w:r>
        <w:rPr>
          <w:sz w:val="22"/>
        </w:rPr>
        <w:t>en</w:t>
      </w:r>
      <w:r>
        <w:rPr>
          <w:spacing w:val="-13"/>
          <w:sz w:val="22"/>
        </w:rPr>
        <w:t> </w:t>
      </w:r>
      <w:r>
        <w:rPr>
          <w:sz w:val="22"/>
        </w:rPr>
        <w:t>la</w:t>
      </w:r>
      <w:r>
        <w:rPr>
          <w:spacing w:val="-13"/>
          <w:sz w:val="22"/>
        </w:rPr>
        <w:t> </w:t>
      </w:r>
      <w:r>
        <w:rPr>
          <w:sz w:val="22"/>
        </w:rPr>
        <w:t>propia</w:t>
      </w:r>
      <w:r>
        <w:rPr>
          <w:spacing w:val="-13"/>
          <w:sz w:val="22"/>
        </w:rPr>
        <w:t> </w:t>
      </w:r>
      <w:r>
        <w:rPr>
          <w:sz w:val="22"/>
        </w:rPr>
        <w:t>tabla</w:t>
      </w:r>
      <w:r>
        <w:rPr>
          <w:spacing w:val="-15"/>
          <w:sz w:val="22"/>
        </w:rPr>
        <w:t> </w:t>
      </w:r>
      <w:r>
        <w:rPr>
          <w:sz w:val="22"/>
        </w:rPr>
        <w:t>elaborada</w:t>
      </w:r>
      <w:r>
        <w:rPr>
          <w:spacing w:val="-13"/>
          <w:sz w:val="22"/>
        </w:rPr>
        <w:t> </w:t>
      </w:r>
      <w:r>
        <w:rPr>
          <w:sz w:val="22"/>
        </w:rPr>
        <w:t>por</w:t>
      </w:r>
      <w:r>
        <w:rPr>
          <w:spacing w:val="-12"/>
          <w:sz w:val="22"/>
        </w:rPr>
        <w:t> </w:t>
      </w:r>
      <w:r>
        <w:rPr>
          <w:sz w:val="22"/>
        </w:rPr>
        <w:t>la</w:t>
      </w:r>
      <w:r>
        <w:rPr>
          <w:spacing w:val="-13"/>
          <w:sz w:val="22"/>
        </w:rPr>
        <w:t> </w:t>
      </w:r>
      <w:r>
        <w:rPr>
          <w:sz w:val="22"/>
        </w:rPr>
        <w:t>SGCAN</w:t>
      </w:r>
      <w:r>
        <w:rPr>
          <w:spacing w:val="-16"/>
          <w:sz w:val="22"/>
        </w:rPr>
        <w:t> </w:t>
      </w:r>
      <w:r>
        <w:rPr>
          <w:sz w:val="22"/>
        </w:rPr>
        <w:t>,</w:t>
      </w:r>
      <w:r>
        <w:rPr>
          <w:spacing w:val="-12"/>
          <w:sz w:val="22"/>
        </w:rPr>
        <w:t> </w:t>
      </w:r>
      <w:r>
        <w:rPr>
          <w:rFonts w:ascii="Arial" w:hAnsi="Arial"/>
          <w:b/>
          <w:sz w:val="22"/>
        </w:rPr>
        <w:t>Tabla</w:t>
      </w:r>
      <w:r>
        <w:rPr>
          <w:rFonts w:ascii="Arial" w:hAnsi="Arial"/>
          <w:b/>
          <w:spacing w:val="-12"/>
          <w:sz w:val="22"/>
        </w:rPr>
        <w:t> </w:t>
      </w:r>
      <w:r>
        <w:rPr>
          <w:rFonts w:ascii="Arial" w:hAnsi="Arial"/>
          <w:b/>
          <w:sz w:val="22"/>
        </w:rPr>
        <w:t>N°</w:t>
      </w:r>
      <w:r>
        <w:rPr>
          <w:rFonts w:ascii="Arial" w:hAnsi="Arial"/>
          <w:b/>
          <w:spacing w:val="-12"/>
          <w:sz w:val="22"/>
        </w:rPr>
        <w:t> </w:t>
      </w:r>
      <w:r>
        <w:rPr>
          <w:rFonts w:ascii="Arial" w:hAnsi="Arial"/>
          <w:b/>
          <w:sz w:val="22"/>
        </w:rPr>
        <w:t>3</w:t>
      </w:r>
      <w:r>
        <w:rPr>
          <w:rFonts w:ascii="Arial" w:hAnsi="Arial"/>
          <w:b/>
          <w:spacing w:val="-13"/>
          <w:sz w:val="22"/>
        </w:rPr>
        <w:t> </w:t>
      </w:r>
      <w:r>
        <w:rPr>
          <w:rFonts w:ascii="Arial" w:hAnsi="Arial"/>
          <w:b/>
          <w:sz w:val="22"/>
        </w:rPr>
        <w:t>-</w:t>
      </w:r>
      <w:r>
        <w:rPr>
          <w:rFonts w:ascii="Arial" w:hAnsi="Arial"/>
          <w:b/>
          <w:spacing w:val="-13"/>
          <w:sz w:val="22"/>
        </w:rPr>
        <w:t> </w:t>
      </w:r>
      <w:r>
        <w:rPr>
          <w:rFonts w:ascii="Arial" w:hAnsi="Arial"/>
          <w:b/>
          <w:sz w:val="22"/>
        </w:rPr>
        <w:t>Rubros</w:t>
      </w:r>
      <w:r>
        <w:rPr>
          <w:rFonts w:ascii="Arial" w:hAnsi="Arial"/>
          <w:b/>
          <w:spacing w:val="-13"/>
          <w:sz w:val="22"/>
        </w:rPr>
        <w:t> </w:t>
      </w:r>
      <w:r>
        <w:rPr>
          <w:rFonts w:ascii="Arial" w:hAnsi="Arial"/>
          <w:b/>
          <w:sz w:val="22"/>
        </w:rPr>
        <w:t>que</w:t>
      </w:r>
      <w:r>
        <w:rPr>
          <w:rFonts w:ascii="Arial" w:hAnsi="Arial"/>
          <w:b/>
          <w:spacing w:val="-13"/>
          <w:sz w:val="22"/>
        </w:rPr>
        <w:t> </w:t>
      </w:r>
      <w:r>
        <w:rPr>
          <w:rFonts w:ascii="Arial" w:hAnsi="Arial"/>
          <w:b/>
          <w:sz w:val="22"/>
        </w:rPr>
        <w:t>componen el costo de servicio</w:t>
      </w:r>
      <w:r>
        <w:rPr>
          <w:sz w:val="22"/>
        </w:rPr>
        <w:t>, donde se hace notar que el talento humano corresponde a funciones ordinarias de administración aduanera; la movilidad y logística a gastos generales</w:t>
      </w:r>
      <w:r>
        <w:rPr>
          <w:spacing w:val="-7"/>
          <w:sz w:val="22"/>
        </w:rPr>
        <w:t> </w:t>
      </w:r>
      <w:r>
        <w:rPr>
          <w:sz w:val="22"/>
        </w:rPr>
        <w:t>de</w:t>
      </w:r>
      <w:r>
        <w:rPr>
          <w:spacing w:val="-8"/>
          <w:sz w:val="22"/>
        </w:rPr>
        <w:t> </w:t>
      </w:r>
      <w:r>
        <w:rPr>
          <w:sz w:val="22"/>
        </w:rPr>
        <w:t>control;</w:t>
      </w:r>
      <w:r>
        <w:rPr>
          <w:spacing w:val="-6"/>
          <w:sz w:val="22"/>
        </w:rPr>
        <w:t> </w:t>
      </w:r>
      <w:r>
        <w:rPr>
          <w:sz w:val="22"/>
        </w:rPr>
        <w:t>los</w:t>
      </w:r>
      <w:r>
        <w:rPr>
          <w:spacing w:val="-10"/>
          <w:sz w:val="22"/>
        </w:rPr>
        <w:t> </w:t>
      </w:r>
      <w:r>
        <w:rPr>
          <w:sz w:val="22"/>
        </w:rPr>
        <w:t>scanners</w:t>
      </w:r>
      <w:r>
        <w:rPr>
          <w:spacing w:val="-7"/>
          <w:sz w:val="22"/>
        </w:rPr>
        <w:t> </w:t>
      </w:r>
      <w:r>
        <w:rPr>
          <w:sz w:val="22"/>
        </w:rPr>
        <w:t>a</w:t>
      </w:r>
      <w:r>
        <w:rPr>
          <w:spacing w:val="-7"/>
          <w:sz w:val="22"/>
        </w:rPr>
        <w:t> </w:t>
      </w:r>
      <w:r>
        <w:rPr>
          <w:sz w:val="22"/>
        </w:rPr>
        <w:t>infraestructura</w:t>
      </w:r>
      <w:r>
        <w:rPr>
          <w:spacing w:val="-7"/>
          <w:sz w:val="22"/>
        </w:rPr>
        <w:t> </w:t>
      </w:r>
      <w:r>
        <w:rPr>
          <w:sz w:val="22"/>
        </w:rPr>
        <w:t>permanente</w:t>
      </w:r>
      <w:r>
        <w:rPr>
          <w:spacing w:val="-7"/>
          <w:sz w:val="22"/>
        </w:rPr>
        <w:t> </w:t>
      </w:r>
      <w:r>
        <w:rPr>
          <w:sz w:val="22"/>
        </w:rPr>
        <w:t>para</w:t>
      </w:r>
      <w:r>
        <w:rPr>
          <w:spacing w:val="-7"/>
          <w:sz w:val="22"/>
        </w:rPr>
        <w:t> </w:t>
      </w:r>
      <w:r>
        <w:rPr>
          <w:sz w:val="22"/>
        </w:rPr>
        <w:t>múltiples</w:t>
      </w:r>
      <w:r>
        <w:rPr>
          <w:spacing w:val="-7"/>
          <w:sz w:val="22"/>
        </w:rPr>
        <w:t> </w:t>
      </w:r>
      <w:r>
        <w:rPr>
          <w:sz w:val="22"/>
        </w:rPr>
        <w:t>flujos</w:t>
      </w:r>
      <w:r>
        <w:rPr>
          <w:spacing w:val="-7"/>
          <w:sz w:val="22"/>
        </w:rPr>
        <w:t> </w:t>
      </w:r>
      <w:r>
        <w:rPr>
          <w:sz w:val="22"/>
        </w:rPr>
        <w:t>de comercio;</w:t>
      </w:r>
      <w:r>
        <w:rPr>
          <w:spacing w:val="-1"/>
          <w:sz w:val="22"/>
        </w:rPr>
        <w:t> </w:t>
      </w:r>
      <w:r>
        <w:rPr>
          <w:sz w:val="22"/>
        </w:rPr>
        <w:t>la</w:t>
      </w:r>
      <w:r>
        <w:rPr>
          <w:spacing w:val="-3"/>
          <w:sz w:val="22"/>
        </w:rPr>
        <w:t> </w:t>
      </w:r>
      <w:r>
        <w:rPr>
          <w:sz w:val="22"/>
        </w:rPr>
        <w:t>infraestructura</w:t>
      </w:r>
      <w:r>
        <w:rPr>
          <w:spacing w:val="-2"/>
          <w:sz w:val="22"/>
        </w:rPr>
        <w:t> </w:t>
      </w:r>
      <w:r>
        <w:rPr>
          <w:sz w:val="22"/>
        </w:rPr>
        <w:t>distrital</w:t>
      </w:r>
      <w:r>
        <w:rPr>
          <w:spacing w:val="-4"/>
          <w:sz w:val="22"/>
        </w:rPr>
        <w:t> </w:t>
      </w:r>
      <w:r>
        <w:rPr>
          <w:sz w:val="22"/>
        </w:rPr>
        <w:t>a</w:t>
      </w:r>
      <w:r>
        <w:rPr>
          <w:spacing w:val="-3"/>
          <w:sz w:val="22"/>
        </w:rPr>
        <w:t> </w:t>
      </w:r>
      <w:r>
        <w:rPr>
          <w:sz w:val="22"/>
        </w:rPr>
        <w:t>inversión</w:t>
      </w:r>
      <w:r>
        <w:rPr>
          <w:spacing w:val="-5"/>
          <w:sz w:val="22"/>
        </w:rPr>
        <w:t> </w:t>
      </w:r>
      <w:r>
        <w:rPr>
          <w:sz w:val="22"/>
        </w:rPr>
        <w:t>física</w:t>
      </w:r>
      <w:r>
        <w:rPr>
          <w:spacing w:val="-3"/>
          <w:sz w:val="22"/>
        </w:rPr>
        <w:t> </w:t>
      </w:r>
      <w:r>
        <w:rPr>
          <w:sz w:val="22"/>
        </w:rPr>
        <w:t>institucional;</w:t>
      </w:r>
      <w:r>
        <w:rPr>
          <w:spacing w:val="-1"/>
          <w:sz w:val="22"/>
        </w:rPr>
        <w:t> </w:t>
      </w:r>
      <w:r>
        <w:rPr>
          <w:sz w:val="22"/>
        </w:rPr>
        <w:t>el</w:t>
      </w:r>
      <w:r>
        <w:rPr>
          <w:spacing w:val="-4"/>
          <w:sz w:val="22"/>
        </w:rPr>
        <w:t> </w:t>
      </w:r>
      <w:r>
        <w:rPr>
          <w:sz w:val="22"/>
        </w:rPr>
        <w:t>núcleo</w:t>
      </w:r>
      <w:r>
        <w:rPr>
          <w:spacing w:val="-3"/>
          <w:sz w:val="22"/>
        </w:rPr>
        <w:t> </w:t>
      </w:r>
      <w:r>
        <w:rPr>
          <w:sz w:val="22"/>
        </w:rPr>
        <w:t>tecnológico a</w:t>
      </w:r>
      <w:r>
        <w:rPr>
          <w:spacing w:val="-16"/>
          <w:sz w:val="22"/>
        </w:rPr>
        <w:t> </w:t>
      </w:r>
      <w:r>
        <w:rPr>
          <w:sz w:val="22"/>
        </w:rPr>
        <w:t>plataformas</w:t>
      </w:r>
      <w:r>
        <w:rPr>
          <w:spacing w:val="-15"/>
          <w:sz w:val="22"/>
        </w:rPr>
        <w:t> </w:t>
      </w:r>
      <w:r>
        <w:rPr>
          <w:sz w:val="22"/>
        </w:rPr>
        <w:t>transversales</w:t>
      </w:r>
      <w:r>
        <w:rPr>
          <w:spacing w:val="-15"/>
          <w:sz w:val="22"/>
        </w:rPr>
        <w:t> </w:t>
      </w:r>
      <w:r>
        <w:rPr>
          <w:sz w:val="22"/>
        </w:rPr>
        <w:t>y</w:t>
      </w:r>
      <w:r>
        <w:rPr>
          <w:spacing w:val="-16"/>
          <w:sz w:val="22"/>
        </w:rPr>
        <w:t> </w:t>
      </w:r>
      <w:r>
        <w:rPr>
          <w:sz w:val="22"/>
        </w:rPr>
        <w:t>la</w:t>
      </w:r>
      <w:r>
        <w:rPr>
          <w:spacing w:val="-15"/>
          <w:sz w:val="22"/>
        </w:rPr>
        <w:t> </w:t>
      </w:r>
      <w:r>
        <w:rPr>
          <w:sz w:val="22"/>
        </w:rPr>
        <w:t>seguridad</w:t>
      </w:r>
      <w:r>
        <w:rPr>
          <w:spacing w:val="-15"/>
          <w:sz w:val="22"/>
        </w:rPr>
        <w:t> </w:t>
      </w:r>
      <w:r>
        <w:rPr>
          <w:sz w:val="22"/>
        </w:rPr>
        <w:t>estratégica</w:t>
      </w:r>
      <w:r>
        <w:rPr>
          <w:spacing w:val="-15"/>
          <w:sz w:val="22"/>
        </w:rPr>
        <w:t> </w:t>
      </w:r>
      <w:r>
        <w:rPr>
          <w:sz w:val="22"/>
        </w:rPr>
        <w:t>a</w:t>
      </w:r>
      <w:r>
        <w:rPr>
          <w:spacing w:val="-16"/>
          <w:sz w:val="22"/>
        </w:rPr>
        <w:t> </w:t>
      </w:r>
      <w:r>
        <w:rPr>
          <w:sz w:val="22"/>
        </w:rPr>
        <w:t>equipos</w:t>
      </w:r>
      <w:r>
        <w:rPr>
          <w:spacing w:val="-15"/>
          <w:sz w:val="22"/>
        </w:rPr>
        <w:t> </w:t>
      </w:r>
      <w:r>
        <w:rPr>
          <w:sz w:val="22"/>
        </w:rPr>
        <w:t>y</w:t>
      </w:r>
      <w:r>
        <w:rPr>
          <w:spacing w:val="-15"/>
          <w:sz w:val="22"/>
        </w:rPr>
        <w:t> </w:t>
      </w:r>
      <w:r>
        <w:rPr>
          <w:sz w:val="22"/>
        </w:rPr>
        <w:t>sistemas</w:t>
      </w:r>
      <w:r>
        <w:rPr>
          <w:spacing w:val="-15"/>
          <w:sz w:val="22"/>
        </w:rPr>
        <w:t> </w:t>
      </w:r>
      <w:r>
        <w:rPr>
          <w:sz w:val="22"/>
        </w:rPr>
        <w:t>de</w:t>
      </w:r>
      <w:r>
        <w:rPr>
          <w:spacing w:val="-15"/>
          <w:sz w:val="22"/>
        </w:rPr>
        <w:t> </w:t>
      </w:r>
      <w:r>
        <w:rPr>
          <w:sz w:val="22"/>
        </w:rPr>
        <w:t>vigilancia de carácter general.</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spacing w:before="0"/>
        <w:ind w:left="-1" w:right="409" w:firstLine="0"/>
        <w:jc w:val="center"/>
        <w:rPr>
          <w:rFonts w:ascii="Arial" w:hAnsi="Arial"/>
          <w:b/>
          <w:sz w:val="22"/>
        </w:rPr>
      </w:pPr>
      <w:r>
        <w:rPr>
          <w:rFonts w:ascii="Arial" w:hAnsi="Arial"/>
          <w:b/>
          <w:sz w:val="22"/>
        </w:rPr>
        <w:t>Tabla</w:t>
      </w:r>
      <w:r>
        <w:rPr>
          <w:rFonts w:ascii="Arial" w:hAnsi="Arial"/>
          <w:b/>
          <w:spacing w:val="-2"/>
          <w:sz w:val="22"/>
        </w:rPr>
        <w:t> </w:t>
      </w:r>
      <w:r>
        <w:rPr>
          <w:rFonts w:ascii="Arial" w:hAnsi="Arial"/>
          <w:b/>
          <w:sz w:val="22"/>
        </w:rPr>
        <w:t>N°</w:t>
      </w:r>
      <w:r>
        <w:rPr>
          <w:rFonts w:ascii="Arial" w:hAnsi="Arial"/>
          <w:b/>
          <w:spacing w:val="-3"/>
          <w:sz w:val="22"/>
        </w:rPr>
        <w:t> </w:t>
      </w:r>
      <w:r>
        <w:rPr>
          <w:rFonts w:ascii="Arial" w:hAnsi="Arial"/>
          <w:b/>
          <w:spacing w:val="-10"/>
          <w:sz w:val="22"/>
        </w:rPr>
        <w:t>3</w:t>
      </w:r>
    </w:p>
    <w:p>
      <w:pPr>
        <w:pStyle w:val="Heading6"/>
        <w:spacing w:before="2"/>
        <w:ind w:right="410"/>
        <w:jc w:val="center"/>
      </w:pPr>
      <w:r>
        <w:rPr/>
        <w:t>Rubros</w:t>
      </w:r>
      <w:r>
        <w:rPr>
          <w:spacing w:val="-5"/>
        </w:rPr>
        <w:t> </w:t>
      </w:r>
      <w:r>
        <w:rPr/>
        <w:t>que</w:t>
      </w:r>
      <w:r>
        <w:rPr>
          <w:spacing w:val="-3"/>
        </w:rPr>
        <w:t> </w:t>
      </w:r>
      <w:r>
        <w:rPr/>
        <w:t>componen</w:t>
      </w:r>
      <w:r>
        <w:rPr>
          <w:spacing w:val="-6"/>
        </w:rPr>
        <w:t> </w:t>
      </w:r>
      <w:r>
        <w:rPr/>
        <w:t>el</w:t>
      </w:r>
      <w:r>
        <w:rPr>
          <w:spacing w:val="-4"/>
        </w:rPr>
        <w:t> </w:t>
      </w:r>
      <w:r>
        <w:rPr/>
        <w:t>costo</w:t>
      </w:r>
      <w:r>
        <w:rPr>
          <w:spacing w:val="-5"/>
        </w:rPr>
        <w:t> </w:t>
      </w:r>
      <w:r>
        <w:rPr/>
        <w:t>del</w:t>
      </w:r>
      <w:r>
        <w:rPr>
          <w:spacing w:val="-3"/>
        </w:rPr>
        <w:t> </w:t>
      </w:r>
      <w:r>
        <w:rPr>
          <w:spacing w:val="-2"/>
        </w:rPr>
        <w:t>servicio</w:t>
      </w:r>
    </w:p>
    <w:p>
      <w:pPr>
        <w:pStyle w:val="BodyText"/>
        <w:spacing w:before="23"/>
        <w:rPr>
          <w:rFonts w:ascii="Arial"/>
          <w:b/>
          <w:sz w:val="20"/>
        </w:rPr>
      </w:pPr>
    </w:p>
    <w:tbl>
      <w:tblPr>
        <w:tblW w:w="0" w:type="auto"/>
        <w:jc w:val="left"/>
        <w:tblInd w:w="1425"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top w:w="0" w:type="dxa"/>
          <w:left w:w="0" w:type="dxa"/>
          <w:bottom w:w="0" w:type="dxa"/>
          <w:right w:w="0" w:type="dxa"/>
        </w:tblCellMar>
        <w:tblLook w:val="01E0"/>
      </w:tblPr>
      <w:tblGrid>
        <w:gridCol w:w="1739"/>
        <w:gridCol w:w="3355"/>
        <w:gridCol w:w="3122"/>
      </w:tblGrid>
      <w:tr>
        <w:trPr>
          <w:trHeight w:val="602" w:hRule="atLeast"/>
        </w:trPr>
        <w:tc>
          <w:tcPr>
            <w:tcW w:w="1739" w:type="dxa"/>
            <w:tcBorders>
              <w:left w:val="single" w:sz="2" w:space="0" w:color="000000"/>
              <w:bottom w:val="thinThickMediumGap" w:sz="2" w:space="0" w:color="000000"/>
              <w:right w:val="single" w:sz="2" w:space="0" w:color="000000"/>
            </w:tcBorders>
          </w:tcPr>
          <w:p>
            <w:pPr>
              <w:pStyle w:val="TableParagraph"/>
              <w:spacing w:before="77"/>
              <w:ind w:left="453" w:right="447" w:firstLine="122"/>
              <w:rPr>
                <w:rFonts w:ascii="Arial"/>
                <w:b/>
                <w:sz w:val="20"/>
              </w:rPr>
            </w:pPr>
            <w:r>
              <w:rPr>
                <w:rFonts w:ascii="Arial"/>
                <w:b/>
                <w:spacing w:val="-2"/>
                <w:sz w:val="20"/>
              </w:rPr>
              <w:t>Rubro principal</w:t>
            </w:r>
          </w:p>
        </w:tc>
        <w:tc>
          <w:tcPr>
            <w:tcW w:w="3355" w:type="dxa"/>
            <w:tcBorders>
              <w:left w:val="single" w:sz="2" w:space="0" w:color="000000"/>
              <w:bottom w:val="thinThickMediumGap" w:sz="2" w:space="0" w:color="000000"/>
              <w:right w:val="single" w:sz="2" w:space="0" w:color="000000"/>
            </w:tcBorders>
          </w:tcPr>
          <w:p>
            <w:pPr>
              <w:pStyle w:val="TableParagraph"/>
              <w:spacing w:before="77"/>
              <w:ind w:left="409"/>
              <w:rPr>
                <w:rFonts w:ascii="Arial" w:hAnsi="Arial"/>
                <w:b/>
                <w:sz w:val="20"/>
              </w:rPr>
            </w:pPr>
            <w:r>
              <w:rPr>
                <w:rFonts w:ascii="Arial" w:hAnsi="Arial"/>
                <w:b/>
                <w:sz w:val="20"/>
              </w:rPr>
              <w:t>Descripción</w:t>
            </w:r>
            <w:r>
              <w:rPr>
                <w:rFonts w:ascii="Arial" w:hAnsi="Arial"/>
                <w:b/>
                <w:spacing w:val="-10"/>
                <w:sz w:val="20"/>
              </w:rPr>
              <w:t> </w:t>
            </w:r>
            <w:r>
              <w:rPr>
                <w:rFonts w:ascii="Arial" w:hAnsi="Arial"/>
                <w:b/>
                <w:sz w:val="20"/>
              </w:rPr>
              <w:t>según</w:t>
            </w:r>
            <w:r>
              <w:rPr>
                <w:rFonts w:ascii="Arial" w:hAnsi="Arial"/>
                <w:b/>
                <w:spacing w:val="-11"/>
                <w:sz w:val="20"/>
              </w:rPr>
              <w:t> </w:t>
            </w:r>
            <w:r>
              <w:rPr>
                <w:rFonts w:ascii="Arial" w:hAnsi="Arial"/>
                <w:b/>
                <w:spacing w:val="-4"/>
                <w:sz w:val="20"/>
              </w:rPr>
              <w:t>SENAE</w:t>
            </w:r>
          </w:p>
        </w:tc>
        <w:tc>
          <w:tcPr>
            <w:tcW w:w="3122" w:type="dxa"/>
            <w:tcBorders>
              <w:left w:val="single" w:sz="2" w:space="0" w:color="000000"/>
              <w:bottom w:val="thinThickMediumGap" w:sz="2" w:space="0" w:color="000000"/>
              <w:right w:val="single" w:sz="2" w:space="0" w:color="000000"/>
            </w:tcBorders>
          </w:tcPr>
          <w:p>
            <w:pPr>
              <w:pStyle w:val="TableParagraph"/>
              <w:spacing w:before="77"/>
              <w:ind w:left="357"/>
              <w:rPr>
                <w:rFonts w:ascii="Arial" w:hAnsi="Arial"/>
                <w:b/>
                <w:sz w:val="20"/>
              </w:rPr>
            </w:pPr>
            <w:r>
              <w:rPr>
                <w:rFonts w:ascii="Arial" w:hAnsi="Arial"/>
                <w:b/>
                <w:spacing w:val="-2"/>
                <w:sz w:val="20"/>
              </w:rPr>
              <w:t>Observación</w:t>
            </w:r>
            <w:r>
              <w:rPr>
                <w:rFonts w:ascii="Arial" w:hAnsi="Arial"/>
                <w:b/>
                <w:spacing w:val="5"/>
                <w:sz w:val="20"/>
              </w:rPr>
              <w:t> </w:t>
            </w:r>
            <w:r>
              <w:rPr>
                <w:rFonts w:ascii="Arial" w:hAnsi="Arial"/>
                <w:b/>
                <w:spacing w:val="-2"/>
                <w:sz w:val="20"/>
              </w:rPr>
              <w:t>comunitaria</w:t>
            </w:r>
          </w:p>
        </w:tc>
      </w:tr>
      <w:tr>
        <w:trPr>
          <w:trHeight w:val="1067" w:hRule="atLeast"/>
        </w:trPr>
        <w:tc>
          <w:tcPr>
            <w:tcW w:w="1739" w:type="dxa"/>
            <w:tcBorders>
              <w:top w:val="thickThinMediumGap" w:sz="2" w:space="0" w:color="000000"/>
              <w:left w:val="single" w:sz="2" w:space="0" w:color="000000"/>
              <w:bottom w:val="single" w:sz="2" w:space="0" w:color="000000"/>
              <w:right w:val="single" w:sz="2" w:space="0" w:color="000000"/>
            </w:tcBorders>
          </w:tcPr>
          <w:p>
            <w:pPr>
              <w:pStyle w:val="TableParagraph"/>
              <w:spacing w:before="66"/>
              <w:ind w:left="163" w:right="840"/>
              <w:rPr>
                <w:sz w:val="20"/>
              </w:rPr>
            </w:pPr>
            <w:r>
              <w:rPr>
                <w:spacing w:val="-2"/>
                <w:sz w:val="20"/>
              </w:rPr>
              <w:t>Talento humano</w:t>
            </w:r>
          </w:p>
        </w:tc>
        <w:tc>
          <w:tcPr>
            <w:tcW w:w="3355" w:type="dxa"/>
            <w:tcBorders>
              <w:top w:val="thickThinMediumGap" w:sz="2" w:space="0" w:color="000000"/>
              <w:left w:val="single" w:sz="2" w:space="0" w:color="000000"/>
              <w:bottom w:val="single" w:sz="2" w:space="0" w:color="000000"/>
              <w:right w:val="single" w:sz="2" w:space="0" w:color="000000"/>
            </w:tcBorders>
          </w:tcPr>
          <w:p>
            <w:pPr>
              <w:pStyle w:val="TableParagraph"/>
              <w:spacing w:before="66"/>
              <w:ind w:left="159" w:right="158"/>
              <w:jc w:val="both"/>
              <w:rPr>
                <w:sz w:val="20"/>
              </w:rPr>
            </w:pPr>
            <w:r>
              <w:rPr>
                <w:sz w:val="20"/>
              </w:rPr>
              <w:t>Personal adicional de control, analistas de riesgo, equipos de verificación en frontera norte</w:t>
            </w:r>
          </w:p>
        </w:tc>
        <w:tc>
          <w:tcPr>
            <w:tcW w:w="3122" w:type="dxa"/>
            <w:tcBorders>
              <w:top w:val="thickThinMediumGap" w:sz="2" w:space="0" w:color="000000"/>
              <w:left w:val="single" w:sz="2" w:space="0" w:color="000000"/>
              <w:bottom w:val="single" w:sz="2" w:space="0" w:color="000000"/>
              <w:right w:val="single" w:sz="2" w:space="0" w:color="000000"/>
            </w:tcBorders>
          </w:tcPr>
          <w:p>
            <w:pPr>
              <w:pStyle w:val="TableParagraph"/>
              <w:spacing w:before="66"/>
              <w:ind w:left="160" w:right="163"/>
              <w:jc w:val="both"/>
              <w:rPr>
                <w:sz w:val="20"/>
              </w:rPr>
            </w:pPr>
            <w:r>
              <w:rPr>
                <w:sz w:val="20"/>
              </w:rPr>
              <w:t>Corresponde a funciones ordinarias de la administración aduanera; no se vincula operación por operación.</w:t>
            </w:r>
          </w:p>
        </w:tc>
      </w:tr>
      <w:tr>
        <w:trPr>
          <w:trHeight w:val="1077" w:hRule="atLeast"/>
        </w:trPr>
        <w:tc>
          <w:tcPr>
            <w:tcW w:w="1739" w:type="dxa"/>
            <w:tcBorders>
              <w:top w:val="single" w:sz="2" w:space="0" w:color="000000"/>
              <w:left w:val="single" w:sz="2" w:space="0" w:color="000000"/>
              <w:bottom w:val="single" w:sz="2" w:space="0" w:color="000000"/>
              <w:right w:val="single" w:sz="2" w:space="0" w:color="000000"/>
            </w:tcBorders>
          </w:tcPr>
          <w:p>
            <w:pPr>
              <w:pStyle w:val="TableParagraph"/>
              <w:tabs>
                <w:tab w:pos="1472" w:val="left" w:leader="none"/>
              </w:tabs>
              <w:spacing w:before="78"/>
              <w:ind w:left="163" w:right="159"/>
              <w:rPr>
                <w:sz w:val="20"/>
              </w:rPr>
            </w:pPr>
            <w:r>
              <w:rPr>
                <w:spacing w:val="-2"/>
                <w:sz w:val="20"/>
              </w:rPr>
              <w:t>Movilidad</w:t>
            </w:r>
            <w:r>
              <w:rPr>
                <w:sz w:val="20"/>
              </w:rPr>
              <w:tab/>
            </w:r>
            <w:r>
              <w:rPr>
                <w:spacing w:val="-10"/>
                <w:sz w:val="20"/>
              </w:rPr>
              <w:t>y </w:t>
            </w:r>
            <w:r>
              <w:rPr>
                <w:spacing w:val="-2"/>
                <w:sz w:val="20"/>
              </w:rPr>
              <w:t>logística</w:t>
            </w:r>
          </w:p>
        </w:tc>
        <w:tc>
          <w:tcPr>
            <w:tcW w:w="3355" w:type="dxa"/>
            <w:tcBorders>
              <w:top w:val="single" w:sz="2" w:space="0" w:color="000000"/>
              <w:left w:val="single" w:sz="2" w:space="0" w:color="000000"/>
              <w:bottom w:val="single" w:sz="2" w:space="0" w:color="000000"/>
              <w:right w:val="single" w:sz="2" w:space="0" w:color="000000"/>
            </w:tcBorders>
          </w:tcPr>
          <w:p>
            <w:pPr>
              <w:pStyle w:val="TableParagraph"/>
              <w:spacing w:before="78"/>
              <w:ind w:left="159" w:right="157"/>
              <w:jc w:val="both"/>
              <w:rPr>
                <w:sz w:val="20"/>
              </w:rPr>
            </w:pPr>
            <w:r>
              <w:rPr>
                <w:sz w:val="20"/>
              </w:rPr>
              <w:t>Vehículos, combustible, viáticos, soporte</w:t>
            </w:r>
            <w:r>
              <w:rPr>
                <w:spacing w:val="-14"/>
                <w:sz w:val="20"/>
              </w:rPr>
              <w:t> </w:t>
            </w:r>
            <w:r>
              <w:rPr>
                <w:sz w:val="20"/>
              </w:rPr>
              <w:t>logístico</w:t>
            </w:r>
            <w:r>
              <w:rPr>
                <w:spacing w:val="-12"/>
                <w:sz w:val="20"/>
              </w:rPr>
              <w:t> </w:t>
            </w:r>
            <w:r>
              <w:rPr>
                <w:sz w:val="20"/>
              </w:rPr>
              <w:t>para</w:t>
            </w:r>
            <w:r>
              <w:rPr>
                <w:spacing w:val="-14"/>
                <w:sz w:val="20"/>
              </w:rPr>
              <w:t> </w:t>
            </w:r>
            <w:r>
              <w:rPr>
                <w:sz w:val="20"/>
              </w:rPr>
              <w:t>operativos</w:t>
            </w:r>
            <w:r>
              <w:rPr>
                <w:spacing w:val="-14"/>
                <w:sz w:val="20"/>
              </w:rPr>
              <w:t> </w:t>
            </w:r>
            <w:r>
              <w:rPr>
                <w:sz w:val="20"/>
              </w:rPr>
              <w:t>y visitas de verificación</w:t>
            </w:r>
          </w:p>
        </w:tc>
        <w:tc>
          <w:tcPr>
            <w:tcW w:w="3122" w:type="dxa"/>
            <w:tcBorders>
              <w:top w:val="single" w:sz="2" w:space="0" w:color="000000"/>
              <w:left w:val="single" w:sz="2" w:space="0" w:color="000000"/>
              <w:bottom w:val="single" w:sz="2" w:space="0" w:color="000000"/>
              <w:right w:val="single" w:sz="2" w:space="0" w:color="000000"/>
            </w:tcBorders>
          </w:tcPr>
          <w:p>
            <w:pPr>
              <w:pStyle w:val="TableParagraph"/>
              <w:spacing w:before="78"/>
              <w:ind w:left="160" w:right="162"/>
              <w:jc w:val="both"/>
              <w:rPr>
                <w:sz w:val="20"/>
              </w:rPr>
            </w:pPr>
            <w:r>
              <w:rPr>
                <w:sz w:val="20"/>
              </w:rPr>
              <w:t>Gastos generales de control y seguridad, no identificados como servicio específico al </w:t>
            </w:r>
            <w:r>
              <w:rPr>
                <w:spacing w:val="-2"/>
                <w:sz w:val="20"/>
              </w:rPr>
              <w:t>importador.</w:t>
            </w:r>
          </w:p>
        </w:tc>
      </w:tr>
      <w:tr>
        <w:trPr>
          <w:trHeight w:val="1079" w:hRule="atLeast"/>
        </w:trPr>
        <w:tc>
          <w:tcPr>
            <w:tcW w:w="1739" w:type="dxa"/>
            <w:tcBorders>
              <w:top w:val="single" w:sz="2" w:space="0" w:color="000000"/>
              <w:left w:val="single" w:sz="2" w:space="0" w:color="000000"/>
              <w:bottom w:val="single" w:sz="2" w:space="0" w:color="000000"/>
              <w:right w:val="single" w:sz="2" w:space="0" w:color="000000"/>
            </w:tcBorders>
          </w:tcPr>
          <w:p>
            <w:pPr>
              <w:pStyle w:val="TableParagraph"/>
              <w:tabs>
                <w:tab w:pos="1517" w:val="left" w:leader="none"/>
              </w:tabs>
              <w:spacing w:before="78"/>
              <w:ind w:left="163" w:right="158"/>
              <w:rPr>
                <w:sz w:val="20"/>
              </w:rPr>
            </w:pPr>
            <w:r>
              <w:rPr>
                <w:spacing w:val="-2"/>
                <w:sz w:val="20"/>
              </w:rPr>
              <w:t>Tecnología</w:t>
            </w:r>
            <w:r>
              <w:rPr>
                <w:sz w:val="20"/>
              </w:rPr>
              <w:tab/>
            </w:r>
            <w:r>
              <w:rPr>
                <w:spacing w:val="-10"/>
                <w:sz w:val="20"/>
              </w:rPr>
              <w:t>/ </w:t>
            </w:r>
            <w:r>
              <w:rPr>
                <w:spacing w:val="-2"/>
                <w:sz w:val="20"/>
              </w:rPr>
              <w:t>scanners</w:t>
            </w:r>
          </w:p>
        </w:tc>
        <w:tc>
          <w:tcPr>
            <w:tcW w:w="3355" w:type="dxa"/>
            <w:tcBorders>
              <w:top w:val="single" w:sz="2" w:space="0" w:color="000000"/>
              <w:left w:val="single" w:sz="2" w:space="0" w:color="000000"/>
              <w:bottom w:val="single" w:sz="2" w:space="0" w:color="000000"/>
              <w:right w:val="single" w:sz="2" w:space="0" w:color="000000"/>
            </w:tcBorders>
          </w:tcPr>
          <w:p>
            <w:pPr>
              <w:pStyle w:val="TableParagraph"/>
              <w:spacing w:before="78"/>
              <w:ind w:left="159" w:right="157"/>
              <w:jc w:val="both"/>
              <w:rPr>
                <w:sz w:val="20"/>
              </w:rPr>
            </w:pPr>
            <w:r>
              <w:rPr>
                <w:sz w:val="20"/>
              </w:rPr>
              <w:t>Equipos de rayos X, mantenimiento, operación y otros dispositivos de inspección no </w:t>
            </w:r>
            <w:r>
              <w:rPr>
                <w:spacing w:val="-2"/>
                <w:sz w:val="20"/>
              </w:rPr>
              <w:t>intrusiva</w:t>
            </w:r>
          </w:p>
        </w:tc>
        <w:tc>
          <w:tcPr>
            <w:tcW w:w="3122" w:type="dxa"/>
            <w:tcBorders>
              <w:top w:val="single" w:sz="2" w:space="0" w:color="000000"/>
              <w:left w:val="single" w:sz="2" w:space="0" w:color="000000"/>
              <w:bottom w:val="single" w:sz="2" w:space="0" w:color="000000"/>
              <w:right w:val="single" w:sz="2" w:space="0" w:color="000000"/>
            </w:tcBorders>
          </w:tcPr>
          <w:p>
            <w:pPr>
              <w:pStyle w:val="TableParagraph"/>
              <w:spacing w:before="78"/>
              <w:ind w:left="160" w:right="162"/>
              <w:jc w:val="both"/>
              <w:rPr>
                <w:sz w:val="20"/>
              </w:rPr>
            </w:pPr>
            <w:r>
              <w:rPr>
                <w:sz w:val="20"/>
              </w:rPr>
              <w:t>Infraestructura permanente utilizada</w:t>
            </w:r>
            <w:r>
              <w:rPr>
                <w:spacing w:val="-14"/>
                <w:sz w:val="20"/>
              </w:rPr>
              <w:t> </w:t>
            </w:r>
            <w:r>
              <w:rPr>
                <w:sz w:val="20"/>
              </w:rPr>
              <w:t>para</w:t>
            </w:r>
            <w:r>
              <w:rPr>
                <w:spacing w:val="-14"/>
                <w:sz w:val="20"/>
              </w:rPr>
              <w:t> </w:t>
            </w:r>
            <w:r>
              <w:rPr>
                <w:sz w:val="20"/>
              </w:rPr>
              <w:t>múltiples</w:t>
            </w:r>
            <w:r>
              <w:rPr>
                <w:spacing w:val="-14"/>
                <w:sz w:val="20"/>
              </w:rPr>
              <w:t> </w:t>
            </w:r>
            <w:r>
              <w:rPr>
                <w:sz w:val="20"/>
              </w:rPr>
              <w:t>flujos</w:t>
            </w:r>
            <w:r>
              <w:rPr>
                <w:spacing w:val="-14"/>
                <w:sz w:val="20"/>
              </w:rPr>
              <w:t> </w:t>
            </w:r>
            <w:r>
              <w:rPr>
                <w:sz w:val="20"/>
              </w:rPr>
              <w:t>de comercio, no sólo para mercancías colombianas.</w:t>
            </w:r>
          </w:p>
        </w:tc>
      </w:tr>
      <w:tr>
        <w:trPr>
          <w:trHeight w:val="849" w:hRule="atLeast"/>
        </w:trPr>
        <w:tc>
          <w:tcPr>
            <w:tcW w:w="1739" w:type="dxa"/>
            <w:tcBorders>
              <w:top w:val="single" w:sz="2" w:space="0" w:color="000000"/>
              <w:left w:val="single" w:sz="2" w:space="0" w:color="000000"/>
              <w:bottom w:val="single" w:sz="2" w:space="0" w:color="000000"/>
              <w:right w:val="single" w:sz="2" w:space="0" w:color="000000"/>
            </w:tcBorders>
          </w:tcPr>
          <w:p>
            <w:pPr>
              <w:pStyle w:val="TableParagraph"/>
              <w:spacing w:before="78"/>
              <w:ind w:left="163"/>
              <w:rPr>
                <w:sz w:val="20"/>
              </w:rPr>
            </w:pPr>
            <w:r>
              <w:rPr>
                <w:spacing w:val="-2"/>
                <w:sz w:val="20"/>
              </w:rPr>
              <w:t>Infraestructura distrital</w:t>
            </w:r>
          </w:p>
        </w:tc>
        <w:tc>
          <w:tcPr>
            <w:tcW w:w="3355" w:type="dxa"/>
            <w:tcBorders>
              <w:top w:val="single" w:sz="2" w:space="0" w:color="000000"/>
              <w:left w:val="single" w:sz="2" w:space="0" w:color="000000"/>
              <w:bottom w:val="single" w:sz="2" w:space="0" w:color="000000"/>
              <w:right w:val="single" w:sz="2" w:space="0" w:color="000000"/>
            </w:tcBorders>
          </w:tcPr>
          <w:p>
            <w:pPr>
              <w:pStyle w:val="TableParagraph"/>
              <w:spacing w:before="78"/>
              <w:ind w:left="159"/>
              <w:rPr>
                <w:sz w:val="20"/>
              </w:rPr>
            </w:pPr>
            <w:r>
              <w:rPr>
                <w:sz w:val="20"/>
              </w:rPr>
              <w:t>Mejoras</w:t>
            </w:r>
            <w:r>
              <w:rPr>
                <w:spacing w:val="80"/>
                <w:sz w:val="20"/>
              </w:rPr>
              <w:t> </w:t>
            </w:r>
            <w:r>
              <w:rPr>
                <w:sz w:val="20"/>
              </w:rPr>
              <w:t>en</w:t>
            </w:r>
            <w:r>
              <w:rPr>
                <w:spacing w:val="80"/>
                <w:sz w:val="20"/>
              </w:rPr>
              <w:t> </w:t>
            </w:r>
            <w:r>
              <w:rPr>
                <w:sz w:val="20"/>
              </w:rPr>
              <w:t>distritos,</w:t>
            </w:r>
            <w:r>
              <w:rPr>
                <w:spacing w:val="80"/>
                <w:sz w:val="20"/>
              </w:rPr>
              <w:t> </w:t>
            </w:r>
            <w:r>
              <w:rPr>
                <w:sz w:val="20"/>
              </w:rPr>
              <w:t>bodegas, oficinas y puestos de control</w:t>
            </w:r>
          </w:p>
        </w:tc>
        <w:tc>
          <w:tcPr>
            <w:tcW w:w="3122" w:type="dxa"/>
            <w:tcBorders>
              <w:top w:val="single" w:sz="2" w:space="0" w:color="000000"/>
              <w:left w:val="single" w:sz="2" w:space="0" w:color="000000"/>
              <w:bottom w:val="single" w:sz="2" w:space="0" w:color="000000"/>
              <w:right w:val="single" w:sz="2" w:space="0" w:color="000000"/>
            </w:tcBorders>
          </w:tcPr>
          <w:p>
            <w:pPr>
              <w:pStyle w:val="TableParagraph"/>
              <w:spacing w:before="78"/>
              <w:ind w:left="160" w:right="163"/>
              <w:jc w:val="both"/>
              <w:rPr>
                <w:sz w:val="20"/>
              </w:rPr>
            </w:pPr>
            <w:r>
              <w:rPr>
                <w:sz w:val="20"/>
              </w:rPr>
              <w:t>Inversiones</w:t>
            </w:r>
            <w:r>
              <w:rPr>
                <w:spacing w:val="-1"/>
                <w:sz w:val="20"/>
              </w:rPr>
              <w:t> </w:t>
            </w:r>
            <w:r>
              <w:rPr>
                <w:sz w:val="20"/>
              </w:rPr>
              <w:t>físicas</w:t>
            </w:r>
            <w:r>
              <w:rPr>
                <w:spacing w:val="-1"/>
                <w:sz w:val="20"/>
              </w:rPr>
              <w:t> </w:t>
            </w:r>
            <w:r>
              <w:rPr>
                <w:sz w:val="20"/>
              </w:rPr>
              <w:t>con</w:t>
            </w:r>
            <w:r>
              <w:rPr>
                <w:spacing w:val="-2"/>
                <w:sz w:val="20"/>
              </w:rPr>
              <w:t> </w:t>
            </w:r>
            <w:r>
              <w:rPr>
                <w:sz w:val="20"/>
              </w:rPr>
              <w:t>vida</w:t>
            </w:r>
            <w:r>
              <w:rPr>
                <w:spacing w:val="-2"/>
                <w:sz w:val="20"/>
              </w:rPr>
              <w:t> </w:t>
            </w:r>
            <w:r>
              <w:rPr>
                <w:sz w:val="20"/>
              </w:rPr>
              <w:t>útil plurianual típicas de gasto de capital institucional.</w:t>
            </w:r>
          </w:p>
        </w:tc>
      </w:tr>
      <w:tr>
        <w:trPr>
          <w:trHeight w:val="1077" w:hRule="atLeast"/>
        </w:trPr>
        <w:tc>
          <w:tcPr>
            <w:tcW w:w="1739" w:type="dxa"/>
            <w:tcBorders>
              <w:top w:val="single" w:sz="2" w:space="0" w:color="000000"/>
              <w:left w:val="single" w:sz="2" w:space="0" w:color="000000"/>
              <w:bottom w:val="single" w:sz="2" w:space="0" w:color="000000"/>
              <w:right w:val="single" w:sz="2" w:space="0" w:color="000000"/>
            </w:tcBorders>
          </w:tcPr>
          <w:p>
            <w:pPr>
              <w:pStyle w:val="TableParagraph"/>
              <w:spacing w:before="78"/>
              <w:ind w:left="163"/>
              <w:rPr>
                <w:sz w:val="20"/>
              </w:rPr>
            </w:pPr>
            <w:r>
              <w:rPr>
                <w:spacing w:val="-2"/>
                <w:sz w:val="20"/>
              </w:rPr>
              <w:t>Núcleo tecnológico</w:t>
            </w:r>
          </w:p>
        </w:tc>
        <w:tc>
          <w:tcPr>
            <w:tcW w:w="3355" w:type="dxa"/>
            <w:tcBorders>
              <w:top w:val="single" w:sz="2" w:space="0" w:color="000000"/>
              <w:left w:val="single" w:sz="2" w:space="0" w:color="000000"/>
              <w:bottom w:val="single" w:sz="2" w:space="0" w:color="000000"/>
              <w:right w:val="single" w:sz="2" w:space="0" w:color="000000"/>
            </w:tcBorders>
          </w:tcPr>
          <w:p>
            <w:pPr>
              <w:pStyle w:val="TableParagraph"/>
              <w:spacing w:before="78"/>
              <w:ind w:left="159" w:right="156"/>
              <w:jc w:val="both"/>
              <w:rPr>
                <w:sz w:val="20"/>
              </w:rPr>
            </w:pPr>
            <w:r>
              <w:rPr>
                <w:sz w:val="20"/>
              </w:rPr>
              <w:t>Data center, servidores, almacenamiento de video, soluciones analíticas y de procesamiento de información</w:t>
            </w:r>
          </w:p>
        </w:tc>
        <w:tc>
          <w:tcPr>
            <w:tcW w:w="3122" w:type="dxa"/>
            <w:tcBorders>
              <w:top w:val="single" w:sz="2" w:space="0" w:color="000000"/>
              <w:left w:val="single" w:sz="2" w:space="0" w:color="000000"/>
              <w:bottom w:val="single" w:sz="2" w:space="0" w:color="000000"/>
              <w:right w:val="single" w:sz="2" w:space="0" w:color="000000"/>
            </w:tcBorders>
          </w:tcPr>
          <w:p>
            <w:pPr>
              <w:pStyle w:val="TableParagraph"/>
              <w:spacing w:before="78"/>
              <w:ind w:left="160" w:right="162"/>
              <w:jc w:val="both"/>
              <w:rPr>
                <w:sz w:val="20"/>
              </w:rPr>
            </w:pPr>
            <w:r>
              <w:rPr>
                <w:sz w:val="20"/>
              </w:rPr>
              <w:t>Plataforma transversal para todo el sistema aduanero, no asociada a una prestación individual al importador.</w:t>
            </w:r>
          </w:p>
        </w:tc>
      </w:tr>
      <w:tr>
        <w:trPr>
          <w:trHeight w:val="1078" w:hRule="atLeast"/>
        </w:trPr>
        <w:tc>
          <w:tcPr>
            <w:tcW w:w="1739" w:type="dxa"/>
            <w:tcBorders>
              <w:top w:val="single" w:sz="2" w:space="0" w:color="000000"/>
              <w:left w:val="single" w:sz="2" w:space="0" w:color="000000"/>
              <w:bottom w:val="single" w:sz="4" w:space="0" w:color="000000"/>
              <w:right w:val="single" w:sz="2" w:space="0" w:color="000000"/>
            </w:tcBorders>
          </w:tcPr>
          <w:p>
            <w:pPr>
              <w:pStyle w:val="TableParagraph"/>
              <w:spacing w:before="78"/>
              <w:ind w:left="163"/>
              <w:rPr>
                <w:sz w:val="20"/>
              </w:rPr>
            </w:pPr>
            <w:r>
              <w:rPr>
                <w:spacing w:val="-2"/>
                <w:sz w:val="20"/>
              </w:rPr>
              <w:t>Seguridad estratégica</w:t>
            </w:r>
          </w:p>
        </w:tc>
        <w:tc>
          <w:tcPr>
            <w:tcW w:w="3355" w:type="dxa"/>
            <w:tcBorders>
              <w:top w:val="single" w:sz="2" w:space="0" w:color="000000"/>
              <w:left w:val="single" w:sz="2" w:space="0" w:color="000000"/>
              <w:bottom w:val="single" w:sz="4" w:space="0" w:color="000000"/>
              <w:right w:val="single" w:sz="2" w:space="0" w:color="000000"/>
            </w:tcBorders>
          </w:tcPr>
          <w:p>
            <w:pPr>
              <w:pStyle w:val="TableParagraph"/>
              <w:spacing w:before="78"/>
              <w:ind w:left="159" w:right="158"/>
              <w:jc w:val="both"/>
              <w:rPr>
                <w:sz w:val="20"/>
              </w:rPr>
            </w:pPr>
            <w:r>
              <w:rPr>
                <w:sz w:val="20"/>
              </w:rPr>
              <w:t>Drones, radares, vigilancia satelital, candados satelitales, redes de comunicación y herramientas de ciberseguridad</w:t>
            </w:r>
          </w:p>
        </w:tc>
        <w:tc>
          <w:tcPr>
            <w:tcW w:w="3122" w:type="dxa"/>
            <w:tcBorders>
              <w:top w:val="single" w:sz="2" w:space="0" w:color="000000"/>
              <w:left w:val="single" w:sz="2" w:space="0" w:color="000000"/>
              <w:bottom w:val="single" w:sz="4" w:space="0" w:color="000000"/>
              <w:right w:val="single" w:sz="2" w:space="0" w:color="000000"/>
            </w:tcBorders>
          </w:tcPr>
          <w:p>
            <w:pPr>
              <w:pStyle w:val="TableParagraph"/>
              <w:spacing w:before="78"/>
              <w:ind w:left="160" w:right="161"/>
              <w:jc w:val="both"/>
              <w:rPr>
                <w:sz w:val="20"/>
              </w:rPr>
            </w:pPr>
            <w:r>
              <w:rPr>
                <w:sz w:val="20"/>
              </w:rPr>
              <w:t>Componentes propios de políticas de seguridad nacional y control fronterizo de alcance </w:t>
            </w:r>
            <w:r>
              <w:rPr>
                <w:spacing w:val="-2"/>
                <w:sz w:val="20"/>
              </w:rPr>
              <w:t>general.</w:t>
            </w:r>
          </w:p>
        </w:tc>
      </w:tr>
    </w:tbl>
    <w:p>
      <w:pPr>
        <w:spacing w:before="0"/>
        <w:ind w:left="1276" w:right="4159" w:firstLine="0"/>
        <w:jc w:val="left"/>
        <w:rPr>
          <w:sz w:val="20"/>
        </w:rPr>
      </w:pPr>
      <w:r>
        <w:rPr>
          <w:sz w:val="20"/>
        </w:rPr>
        <w:t>Fuente:</w:t>
      </w:r>
      <w:r>
        <w:rPr>
          <w:spacing w:val="-7"/>
          <w:sz w:val="20"/>
        </w:rPr>
        <w:t> </w:t>
      </w:r>
      <w:r>
        <w:rPr>
          <w:sz w:val="20"/>
        </w:rPr>
        <w:t>Archivo</w:t>
      </w:r>
      <w:r>
        <w:rPr>
          <w:spacing w:val="-7"/>
          <w:sz w:val="20"/>
        </w:rPr>
        <w:t> </w:t>
      </w:r>
      <w:r>
        <w:rPr>
          <w:sz w:val="20"/>
        </w:rPr>
        <w:t>Unificado</w:t>
      </w:r>
      <w:r>
        <w:rPr>
          <w:spacing w:val="-5"/>
          <w:sz w:val="20"/>
        </w:rPr>
        <w:t> </w:t>
      </w:r>
      <w:r>
        <w:rPr>
          <w:sz w:val="20"/>
        </w:rPr>
        <w:t>1</w:t>
      </w:r>
      <w:r>
        <w:rPr>
          <w:spacing w:val="-4"/>
          <w:sz w:val="20"/>
        </w:rPr>
        <w:t> </w:t>
      </w:r>
      <w:r>
        <w:rPr>
          <w:sz w:val="20"/>
        </w:rPr>
        <w:t>–</w:t>
      </w:r>
      <w:r>
        <w:rPr>
          <w:spacing w:val="-7"/>
          <w:sz w:val="20"/>
        </w:rPr>
        <w:t> </w:t>
      </w:r>
      <w:r>
        <w:rPr>
          <w:sz w:val="20"/>
        </w:rPr>
        <w:t>República</w:t>
      </w:r>
      <w:r>
        <w:rPr>
          <w:spacing w:val="-7"/>
          <w:sz w:val="20"/>
        </w:rPr>
        <w:t> </w:t>
      </w:r>
      <w:r>
        <w:rPr>
          <w:sz w:val="20"/>
        </w:rPr>
        <w:t>del</w:t>
      </w:r>
      <w:r>
        <w:rPr>
          <w:spacing w:val="-6"/>
          <w:sz w:val="20"/>
        </w:rPr>
        <w:t> </w:t>
      </w:r>
      <w:r>
        <w:rPr>
          <w:sz w:val="20"/>
        </w:rPr>
        <w:t>Ecuador. Elaborado por la SGCAN.</w:t>
      </w:r>
    </w:p>
    <w:p>
      <w:pPr>
        <w:pStyle w:val="BodyText"/>
        <w:spacing w:before="21"/>
        <w:rPr>
          <w:sz w:val="20"/>
        </w:rPr>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En</w:t>
      </w:r>
      <w:r>
        <w:rPr>
          <w:spacing w:val="-4"/>
          <w:sz w:val="22"/>
        </w:rPr>
        <w:t> </w:t>
      </w:r>
      <w:r>
        <w:rPr>
          <w:sz w:val="22"/>
        </w:rPr>
        <w:t>este</w:t>
      </w:r>
      <w:r>
        <w:rPr>
          <w:spacing w:val="-3"/>
          <w:sz w:val="22"/>
        </w:rPr>
        <w:t> </w:t>
      </w:r>
      <w:r>
        <w:rPr>
          <w:sz w:val="22"/>
        </w:rPr>
        <w:t>sentido,</w:t>
      </w:r>
      <w:r>
        <w:rPr>
          <w:spacing w:val="-3"/>
          <w:sz w:val="22"/>
        </w:rPr>
        <w:t> </w:t>
      </w:r>
      <w:r>
        <w:rPr>
          <w:sz w:val="22"/>
        </w:rPr>
        <w:t>el</w:t>
      </w:r>
      <w:r>
        <w:rPr>
          <w:spacing w:val="-4"/>
          <w:sz w:val="22"/>
        </w:rPr>
        <w:t> </w:t>
      </w:r>
      <w:r>
        <w:rPr>
          <w:sz w:val="22"/>
        </w:rPr>
        <w:t>Proceso</w:t>
      </w:r>
      <w:r>
        <w:rPr>
          <w:spacing w:val="-4"/>
          <w:sz w:val="22"/>
        </w:rPr>
        <w:t> </w:t>
      </w:r>
      <w:r>
        <w:rPr>
          <w:sz w:val="22"/>
        </w:rPr>
        <w:t>12</w:t>
      </w:r>
      <w:r>
        <w:rPr>
          <w:rFonts w:ascii="Cambria Math" w:hAnsi="Cambria Math"/>
          <w:sz w:val="22"/>
        </w:rPr>
        <w:t>‑</w:t>
      </w:r>
      <w:r>
        <w:rPr>
          <w:sz w:val="22"/>
        </w:rPr>
        <w:t>AN</w:t>
      </w:r>
      <w:r>
        <w:rPr>
          <w:rFonts w:ascii="Cambria Math" w:hAnsi="Cambria Math"/>
          <w:sz w:val="22"/>
        </w:rPr>
        <w:t>‑</w:t>
      </w:r>
      <w:r>
        <w:rPr>
          <w:sz w:val="22"/>
        </w:rPr>
        <w:t>99,</w:t>
      </w:r>
      <w:r>
        <w:rPr>
          <w:spacing w:val="-3"/>
          <w:sz w:val="22"/>
        </w:rPr>
        <w:t> </w:t>
      </w:r>
      <w:r>
        <w:rPr>
          <w:sz w:val="22"/>
        </w:rPr>
        <w:t>la</w:t>
      </w:r>
      <w:r>
        <w:rPr>
          <w:spacing w:val="-4"/>
          <w:sz w:val="22"/>
        </w:rPr>
        <w:t> </w:t>
      </w:r>
      <w:r>
        <w:rPr>
          <w:sz w:val="22"/>
        </w:rPr>
        <w:t>SGCAN</w:t>
      </w:r>
      <w:r>
        <w:rPr>
          <w:spacing w:val="-5"/>
          <w:sz w:val="22"/>
        </w:rPr>
        <w:t> </w:t>
      </w:r>
      <w:r>
        <w:rPr>
          <w:sz w:val="22"/>
        </w:rPr>
        <w:t>resalta</w:t>
      </w:r>
      <w:r>
        <w:rPr>
          <w:spacing w:val="-4"/>
          <w:sz w:val="22"/>
        </w:rPr>
        <w:t> </w:t>
      </w:r>
      <w:r>
        <w:rPr>
          <w:sz w:val="22"/>
        </w:rPr>
        <w:t>que</w:t>
      </w:r>
      <w:r>
        <w:rPr>
          <w:spacing w:val="-4"/>
          <w:sz w:val="22"/>
        </w:rPr>
        <w:t> </w:t>
      </w:r>
      <w:r>
        <w:rPr>
          <w:sz w:val="22"/>
        </w:rPr>
        <w:t>el</w:t>
      </w:r>
      <w:r>
        <w:rPr>
          <w:spacing w:val="-5"/>
          <w:sz w:val="22"/>
        </w:rPr>
        <w:t> </w:t>
      </w:r>
      <w:r>
        <w:rPr>
          <w:sz w:val="22"/>
        </w:rPr>
        <w:t>artículo</w:t>
      </w:r>
      <w:r>
        <w:rPr>
          <w:spacing w:val="-4"/>
          <w:sz w:val="22"/>
        </w:rPr>
        <w:t> </w:t>
      </w:r>
      <w:r>
        <w:rPr>
          <w:sz w:val="22"/>
        </w:rPr>
        <w:t>73</w:t>
      </w:r>
      <w:r>
        <w:rPr>
          <w:spacing w:val="-7"/>
          <w:sz w:val="22"/>
        </w:rPr>
        <w:t> </w:t>
      </w:r>
      <w:r>
        <w:rPr>
          <w:sz w:val="22"/>
        </w:rPr>
        <w:t>del</w:t>
      </w:r>
      <w:r>
        <w:rPr>
          <w:spacing w:val="-5"/>
          <w:sz w:val="22"/>
        </w:rPr>
        <w:t> </w:t>
      </w:r>
      <w:r>
        <w:rPr>
          <w:sz w:val="22"/>
        </w:rPr>
        <w:t>Acuerdo de</w:t>
      </w:r>
      <w:r>
        <w:rPr>
          <w:spacing w:val="-14"/>
          <w:sz w:val="22"/>
        </w:rPr>
        <w:t> </w:t>
      </w:r>
      <w:r>
        <w:rPr>
          <w:sz w:val="22"/>
        </w:rPr>
        <w:t>Cartagena</w:t>
      </w:r>
      <w:r>
        <w:rPr>
          <w:spacing w:val="-16"/>
          <w:sz w:val="22"/>
        </w:rPr>
        <w:t> </w:t>
      </w:r>
      <w:r>
        <w:rPr>
          <w:sz w:val="22"/>
        </w:rPr>
        <w:t>se</w:t>
      </w:r>
      <w:r>
        <w:rPr>
          <w:spacing w:val="-15"/>
          <w:sz w:val="22"/>
        </w:rPr>
        <w:t> </w:t>
      </w:r>
      <w:r>
        <w:rPr>
          <w:sz w:val="22"/>
        </w:rPr>
        <w:t>refiere</w:t>
      </w:r>
      <w:r>
        <w:rPr>
          <w:spacing w:val="-15"/>
          <w:sz w:val="22"/>
        </w:rPr>
        <w:t> </w:t>
      </w:r>
      <w:r>
        <w:rPr>
          <w:sz w:val="22"/>
        </w:rPr>
        <w:t>a</w:t>
      </w:r>
      <w:r>
        <w:rPr>
          <w:spacing w:val="-15"/>
          <w:sz w:val="22"/>
        </w:rPr>
        <w:t> </w:t>
      </w:r>
      <w:r>
        <w:rPr>
          <w:sz w:val="22"/>
        </w:rPr>
        <w:t>servicios</w:t>
      </w:r>
      <w:r>
        <w:rPr>
          <w:spacing w:val="-12"/>
          <w:sz w:val="22"/>
        </w:rPr>
        <w:t> </w:t>
      </w:r>
      <w:r>
        <w:rPr>
          <w:rFonts w:ascii="Arial" w:hAnsi="Arial"/>
          <w:b/>
          <w:sz w:val="22"/>
        </w:rPr>
        <w:t>“prestados</w:t>
      </w:r>
      <w:r>
        <w:rPr>
          <w:rFonts w:ascii="Arial" w:hAnsi="Arial"/>
          <w:b/>
          <w:spacing w:val="-16"/>
          <w:sz w:val="22"/>
        </w:rPr>
        <w:t> </w:t>
      </w:r>
      <w:r>
        <w:rPr>
          <w:rFonts w:ascii="Arial" w:hAnsi="Arial"/>
          <w:b/>
          <w:sz w:val="22"/>
        </w:rPr>
        <w:t>al</w:t>
      </w:r>
      <w:r>
        <w:rPr>
          <w:rFonts w:ascii="Arial" w:hAnsi="Arial"/>
          <w:b/>
          <w:spacing w:val="-15"/>
          <w:sz w:val="22"/>
        </w:rPr>
        <w:t> </w:t>
      </w:r>
      <w:r>
        <w:rPr>
          <w:rFonts w:ascii="Arial" w:hAnsi="Arial"/>
          <w:b/>
          <w:sz w:val="22"/>
        </w:rPr>
        <w:t>importador”</w:t>
      </w:r>
      <w:r>
        <w:rPr>
          <w:rFonts w:ascii="Arial" w:hAnsi="Arial"/>
          <w:b/>
          <w:spacing w:val="-13"/>
          <w:sz w:val="22"/>
        </w:rPr>
        <w:t> </w:t>
      </w:r>
      <w:r>
        <w:rPr>
          <w:sz w:val="22"/>
        </w:rPr>
        <w:t>en</w:t>
      </w:r>
      <w:r>
        <w:rPr>
          <w:spacing w:val="-16"/>
          <w:sz w:val="22"/>
        </w:rPr>
        <w:t> </w:t>
      </w:r>
      <w:r>
        <w:rPr>
          <w:sz w:val="22"/>
        </w:rPr>
        <w:t>relación</w:t>
      </w:r>
      <w:r>
        <w:rPr>
          <w:spacing w:val="-15"/>
          <w:sz w:val="22"/>
        </w:rPr>
        <w:t> </w:t>
      </w:r>
      <w:r>
        <w:rPr>
          <w:sz w:val="22"/>
        </w:rPr>
        <w:t>con</w:t>
      </w:r>
      <w:r>
        <w:rPr>
          <w:spacing w:val="-13"/>
          <w:sz w:val="22"/>
        </w:rPr>
        <w:t> </w:t>
      </w:r>
      <w:r>
        <w:rPr>
          <w:sz w:val="22"/>
        </w:rPr>
        <w:t>el</w:t>
      </w:r>
      <w:r>
        <w:rPr>
          <w:spacing w:val="-15"/>
          <w:sz w:val="22"/>
        </w:rPr>
        <w:t> </w:t>
      </w:r>
      <w:r>
        <w:rPr>
          <w:sz w:val="22"/>
        </w:rPr>
        <w:t>hecho mismo de la importación, como operaciones de descargue, estiba, uso de puertos, bodegajes,</w:t>
      </w:r>
      <w:r>
        <w:rPr>
          <w:spacing w:val="-1"/>
          <w:sz w:val="22"/>
        </w:rPr>
        <w:t> </w:t>
      </w:r>
      <w:r>
        <w:rPr>
          <w:sz w:val="22"/>
        </w:rPr>
        <w:t>trámites de levante y otros servicios usuales del comercio internacional. En cambio,</w:t>
      </w:r>
      <w:r>
        <w:rPr>
          <w:spacing w:val="-16"/>
          <w:sz w:val="22"/>
        </w:rPr>
        <w:t> </w:t>
      </w:r>
      <w:r>
        <w:rPr>
          <w:sz w:val="22"/>
        </w:rPr>
        <w:t>el</w:t>
      </w:r>
      <w:r>
        <w:rPr>
          <w:spacing w:val="-15"/>
          <w:sz w:val="22"/>
        </w:rPr>
        <w:t> </w:t>
      </w:r>
      <w:r>
        <w:rPr>
          <w:sz w:val="22"/>
        </w:rPr>
        <w:t>paquete</w:t>
      </w:r>
      <w:r>
        <w:rPr>
          <w:spacing w:val="-15"/>
          <w:sz w:val="22"/>
        </w:rPr>
        <w:t> </w:t>
      </w:r>
      <w:r>
        <w:rPr>
          <w:sz w:val="22"/>
        </w:rPr>
        <w:t>de</w:t>
      </w:r>
      <w:r>
        <w:rPr>
          <w:spacing w:val="-16"/>
          <w:sz w:val="22"/>
        </w:rPr>
        <w:t> </w:t>
      </w:r>
      <w:r>
        <w:rPr>
          <w:sz w:val="22"/>
        </w:rPr>
        <w:t>rubros</w:t>
      </w:r>
      <w:r>
        <w:rPr>
          <w:spacing w:val="-15"/>
          <w:sz w:val="22"/>
        </w:rPr>
        <w:t> </w:t>
      </w:r>
      <w:r>
        <w:rPr>
          <w:sz w:val="22"/>
        </w:rPr>
        <w:t>financiados</w:t>
      </w:r>
      <w:r>
        <w:rPr>
          <w:spacing w:val="-15"/>
          <w:sz w:val="22"/>
        </w:rPr>
        <w:t> </w:t>
      </w:r>
      <w:r>
        <w:rPr>
          <w:sz w:val="22"/>
        </w:rPr>
        <w:t>por</w:t>
      </w:r>
      <w:r>
        <w:rPr>
          <w:spacing w:val="-15"/>
          <w:sz w:val="22"/>
        </w:rPr>
        <w:t> </w:t>
      </w:r>
      <w:r>
        <w:rPr>
          <w:sz w:val="22"/>
        </w:rPr>
        <w:t>la</w:t>
      </w:r>
      <w:r>
        <w:rPr>
          <w:spacing w:val="-16"/>
          <w:sz w:val="22"/>
        </w:rPr>
        <w:t> </w:t>
      </w:r>
      <w:r>
        <w:rPr>
          <w:sz w:val="22"/>
        </w:rPr>
        <w:t>TSCA</w:t>
      </w:r>
      <w:r>
        <w:rPr>
          <w:spacing w:val="-15"/>
          <w:sz w:val="22"/>
        </w:rPr>
        <w:t> </w:t>
      </w:r>
      <w:r>
        <w:rPr>
          <w:sz w:val="22"/>
        </w:rPr>
        <w:t>incluye,</w:t>
      </w:r>
      <w:r>
        <w:rPr>
          <w:spacing w:val="-15"/>
          <w:sz w:val="22"/>
        </w:rPr>
        <w:t> </w:t>
      </w:r>
      <w:r>
        <w:rPr>
          <w:sz w:val="22"/>
        </w:rPr>
        <w:t>de</w:t>
      </w:r>
      <w:r>
        <w:rPr>
          <w:spacing w:val="-16"/>
          <w:sz w:val="22"/>
        </w:rPr>
        <w:t> </w:t>
      </w:r>
      <w:r>
        <w:rPr>
          <w:sz w:val="22"/>
        </w:rPr>
        <w:t>manera</w:t>
      </w:r>
      <w:r>
        <w:rPr>
          <w:spacing w:val="-15"/>
          <w:sz w:val="22"/>
        </w:rPr>
        <w:t> </w:t>
      </w:r>
      <w:r>
        <w:rPr>
          <w:sz w:val="22"/>
        </w:rPr>
        <w:t>predominante, actividades de </w:t>
      </w:r>
      <w:r>
        <w:rPr>
          <w:rFonts w:ascii="Arial" w:hAnsi="Arial"/>
          <w:b/>
          <w:sz w:val="22"/>
        </w:rPr>
        <w:t>control aduanero general, inteligencia, vigilancia estratégica y equipamiento</w:t>
      </w:r>
      <w:r>
        <w:rPr>
          <w:rFonts w:ascii="Arial" w:hAnsi="Arial"/>
          <w:b/>
          <w:spacing w:val="-1"/>
          <w:sz w:val="22"/>
        </w:rPr>
        <w:t> </w:t>
      </w:r>
      <w:r>
        <w:rPr>
          <w:rFonts w:ascii="Arial" w:hAnsi="Arial"/>
          <w:b/>
          <w:sz w:val="22"/>
        </w:rPr>
        <w:t>institucional</w:t>
      </w:r>
      <w:r>
        <w:rPr>
          <w:sz w:val="22"/>
        </w:rPr>
        <w:t>, que constituyen funciones propias del poder público y no servicios divisibles prestados a cada operación de importación.</w:t>
      </w:r>
    </w:p>
    <w:p>
      <w:pPr>
        <w:pStyle w:val="BodyText"/>
        <w:spacing w:before="3"/>
      </w:pPr>
    </w:p>
    <w:p>
      <w:pPr>
        <w:pStyle w:val="Heading2"/>
        <w:numPr>
          <w:ilvl w:val="0"/>
          <w:numId w:val="41"/>
        </w:numPr>
        <w:tabs>
          <w:tab w:pos="1648" w:val="left" w:leader="none"/>
        </w:tabs>
        <w:spacing w:line="240" w:lineRule="auto" w:before="0" w:after="0"/>
        <w:ind w:left="1648" w:right="977" w:hanging="360"/>
        <w:jc w:val="left"/>
        <w:rPr>
          <w:i/>
        </w:rPr>
      </w:pPr>
      <w:r>
        <w:rPr/>
        <w:t>Base de cálculo, estructura de la tasa y efectos de la metodología </w:t>
      </w:r>
      <w:r>
        <w:rPr>
          <w:i/>
        </w:rPr>
        <w:t>ad </w:t>
      </w:r>
      <w:r>
        <w:rPr>
          <w:i/>
          <w:spacing w:val="-2"/>
        </w:rPr>
        <w:t>valorem</w:t>
      </w:r>
    </w:p>
    <w:p>
      <w:pPr>
        <w:pStyle w:val="BodyText"/>
        <w:spacing w:before="213"/>
        <w:rPr>
          <w:rFonts w:ascii="Arial"/>
          <w:b/>
          <w:i/>
          <w:sz w:val="24"/>
        </w:rPr>
      </w:pPr>
    </w:p>
    <w:p>
      <w:pPr>
        <w:pStyle w:val="ListParagraph"/>
        <w:numPr>
          <w:ilvl w:val="0"/>
          <w:numId w:val="11"/>
        </w:numPr>
        <w:tabs>
          <w:tab w:pos="1130" w:val="left" w:leader="none"/>
          <w:tab w:pos="1134" w:val="left" w:leader="none"/>
        </w:tabs>
        <w:spacing w:line="240" w:lineRule="auto" w:before="0" w:after="0"/>
        <w:ind w:left="1134" w:right="980" w:hanging="567"/>
        <w:jc w:val="both"/>
        <w:rPr>
          <w:sz w:val="22"/>
        </w:rPr>
      </w:pPr>
      <w:r>
        <w:rPr>
          <w:sz w:val="22"/>
        </w:rPr>
        <w:t>En cuanto al cálculo de la tasa, la SGCAN divide la metodología ecuatoriana en dos </w:t>
      </w:r>
      <w:r>
        <w:rPr>
          <w:spacing w:val="-2"/>
          <w:sz w:val="22"/>
        </w:rPr>
        <w:t>momentos:</w:t>
      </w:r>
    </w:p>
    <w:p>
      <w:pPr>
        <w:pStyle w:val="BodyText"/>
        <w:spacing w:before="2"/>
      </w:pPr>
    </w:p>
    <w:p>
      <w:pPr>
        <w:pStyle w:val="ListParagraph"/>
        <w:numPr>
          <w:ilvl w:val="0"/>
          <w:numId w:val="42"/>
        </w:numPr>
        <w:tabs>
          <w:tab w:pos="1636" w:val="left" w:leader="none"/>
        </w:tabs>
        <w:spacing w:line="240" w:lineRule="auto" w:before="0" w:after="0"/>
        <w:ind w:left="1636" w:right="0" w:hanging="360"/>
        <w:jc w:val="left"/>
        <w:rPr>
          <w:sz w:val="22"/>
        </w:rPr>
      </w:pPr>
      <w:r>
        <w:rPr>
          <w:sz w:val="22"/>
        </w:rPr>
        <w:t>Para</w:t>
      </w:r>
      <w:r>
        <w:rPr>
          <w:spacing w:val="-2"/>
          <w:sz w:val="22"/>
        </w:rPr>
        <w:t> </w:t>
      </w:r>
      <w:r>
        <w:rPr>
          <w:sz w:val="22"/>
        </w:rPr>
        <w:t>el</w:t>
      </w:r>
      <w:r>
        <w:rPr>
          <w:spacing w:val="-2"/>
          <w:sz w:val="22"/>
        </w:rPr>
        <w:t> </w:t>
      </w:r>
      <w:r>
        <w:rPr>
          <w:spacing w:val="-4"/>
          <w:sz w:val="22"/>
        </w:rPr>
        <w:t>30%:</w:t>
      </w:r>
    </w:p>
    <w:p>
      <w:pPr>
        <w:pStyle w:val="ListParagraph"/>
        <w:numPr>
          <w:ilvl w:val="1"/>
          <w:numId w:val="42"/>
        </w:numPr>
        <w:tabs>
          <w:tab w:pos="2909" w:val="left" w:leader="none"/>
        </w:tabs>
        <w:spacing w:line="240" w:lineRule="auto" w:before="249" w:after="0"/>
        <w:ind w:left="2909" w:right="978" w:hanging="471"/>
        <w:jc w:val="both"/>
        <w:rPr>
          <w:sz w:val="22"/>
        </w:rPr>
      </w:pPr>
      <w:r>
        <w:rPr>
          <w:sz w:val="22"/>
        </w:rPr>
        <w:t>Se parte de una base imponible CIF de USD 1.834,87 millones en importaciones desde la República de Colombia (excluyendo energía y combustibles).</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ListParagraph"/>
        <w:numPr>
          <w:ilvl w:val="1"/>
          <w:numId w:val="42"/>
        </w:numPr>
        <w:tabs>
          <w:tab w:pos="2909" w:val="left" w:leader="none"/>
        </w:tabs>
        <w:spacing w:line="240" w:lineRule="auto" w:before="0" w:after="0"/>
        <w:ind w:left="2909" w:right="979" w:hanging="519"/>
        <w:jc w:val="both"/>
        <w:rPr>
          <w:sz w:val="22"/>
        </w:rPr>
      </w:pPr>
      <w:r>
        <w:rPr>
          <w:sz w:val="22"/>
        </w:rPr>
        <w:t>Se</w:t>
      </w:r>
      <w:r>
        <w:rPr>
          <w:spacing w:val="-10"/>
          <w:sz w:val="22"/>
        </w:rPr>
        <w:t> </w:t>
      </w:r>
      <w:r>
        <w:rPr>
          <w:sz w:val="22"/>
        </w:rPr>
        <w:t>proyecta</w:t>
      </w:r>
      <w:r>
        <w:rPr>
          <w:spacing w:val="-10"/>
          <w:sz w:val="22"/>
        </w:rPr>
        <w:t> </w:t>
      </w:r>
      <w:r>
        <w:rPr>
          <w:sz w:val="22"/>
        </w:rPr>
        <w:t>una</w:t>
      </w:r>
      <w:r>
        <w:rPr>
          <w:spacing w:val="-12"/>
          <w:sz w:val="22"/>
        </w:rPr>
        <w:t> </w:t>
      </w:r>
      <w:r>
        <w:rPr>
          <w:sz w:val="22"/>
        </w:rPr>
        <w:t>contracción</w:t>
      </w:r>
      <w:r>
        <w:rPr>
          <w:spacing w:val="-10"/>
          <w:sz w:val="22"/>
        </w:rPr>
        <w:t> </w:t>
      </w:r>
      <w:r>
        <w:rPr>
          <w:sz w:val="22"/>
        </w:rPr>
        <w:t>de</w:t>
      </w:r>
      <w:r>
        <w:rPr>
          <w:spacing w:val="-10"/>
          <w:sz w:val="22"/>
        </w:rPr>
        <w:t> </w:t>
      </w:r>
      <w:r>
        <w:rPr>
          <w:sz w:val="22"/>
        </w:rPr>
        <w:t>la</w:t>
      </w:r>
      <w:r>
        <w:rPr>
          <w:spacing w:val="-10"/>
          <w:sz w:val="22"/>
        </w:rPr>
        <w:t> </w:t>
      </w:r>
      <w:r>
        <w:rPr>
          <w:sz w:val="22"/>
        </w:rPr>
        <w:t>demanda</w:t>
      </w:r>
      <w:r>
        <w:rPr>
          <w:spacing w:val="-13"/>
          <w:sz w:val="22"/>
        </w:rPr>
        <w:t> </w:t>
      </w:r>
      <w:r>
        <w:rPr>
          <w:sz w:val="22"/>
        </w:rPr>
        <w:t>del</w:t>
      </w:r>
      <w:r>
        <w:rPr>
          <w:spacing w:val="-11"/>
          <w:sz w:val="22"/>
        </w:rPr>
        <w:t> </w:t>
      </w:r>
      <w:r>
        <w:rPr>
          <w:sz w:val="22"/>
        </w:rPr>
        <w:t>60%,</w:t>
      </w:r>
      <w:r>
        <w:rPr>
          <w:spacing w:val="-9"/>
          <w:sz w:val="22"/>
        </w:rPr>
        <w:t> </w:t>
      </w:r>
      <w:r>
        <w:rPr>
          <w:sz w:val="22"/>
        </w:rPr>
        <w:t>obteniendo</w:t>
      </w:r>
      <w:r>
        <w:rPr>
          <w:spacing w:val="-10"/>
          <w:sz w:val="22"/>
        </w:rPr>
        <w:t> </w:t>
      </w:r>
      <w:r>
        <w:rPr>
          <w:sz w:val="22"/>
        </w:rPr>
        <w:t>una base efectiva de USD 733,95 millones, con sustento en estudios de </w:t>
      </w:r>
      <w:r>
        <w:rPr>
          <w:spacing w:val="-2"/>
          <w:sz w:val="22"/>
        </w:rPr>
        <w:t>elasticidad</w:t>
      </w:r>
      <w:r>
        <w:rPr>
          <w:rFonts w:ascii="Cambria Math" w:hAnsi="Cambria Math"/>
          <w:spacing w:val="-2"/>
          <w:sz w:val="22"/>
        </w:rPr>
        <w:t>‑</w:t>
      </w:r>
      <w:r>
        <w:rPr>
          <w:spacing w:val="-2"/>
          <w:sz w:val="22"/>
        </w:rPr>
        <w:t>precio.</w:t>
      </w:r>
    </w:p>
    <w:p>
      <w:pPr>
        <w:pStyle w:val="BodyText"/>
        <w:spacing w:before="1"/>
      </w:pPr>
    </w:p>
    <w:p>
      <w:pPr>
        <w:pStyle w:val="ListParagraph"/>
        <w:numPr>
          <w:ilvl w:val="1"/>
          <w:numId w:val="42"/>
        </w:numPr>
        <w:tabs>
          <w:tab w:pos="2909" w:val="left" w:leader="none"/>
        </w:tabs>
        <w:spacing w:line="240" w:lineRule="auto" w:before="0" w:after="0"/>
        <w:ind w:left="2909" w:right="982" w:hanging="570"/>
        <w:jc w:val="both"/>
        <w:rPr>
          <w:sz w:val="22"/>
        </w:rPr>
      </w:pPr>
      <w:r>
        <w:rPr>
          <w:sz w:val="22"/>
        </w:rPr>
        <w:t>Se fija como “recaudación objetivo” el costo anual del servicio (USD 221,04 millones) y se calcula la tasa que permite alcanzarla, resultando 30,11%, aproximada al 30%.</w:t>
      </w:r>
    </w:p>
    <w:p>
      <w:pPr>
        <w:pStyle w:val="BodyText"/>
      </w:pPr>
    </w:p>
    <w:p>
      <w:pPr>
        <w:pStyle w:val="ListParagraph"/>
        <w:numPr>
          <w:ilvl w:val="0"/>
          <w:numId w:val="42"/>
        </w:numPr>
        <w:tabs>
          <w:tab w:pos="1636" w:val="left" w:leader="none"/>
        </w:tabs>
        <w:spacing w:line="240" w:lineRule="auto" w:before="0" w:after="0"/>
        <w:ind w:left="1636" w:right="0" w:hanging="360"/>
        <w:jc w:val="left"/>
        <w:rPr>
          <w:sz w:val="22"/>
        </w:rPr>
      </w:pPr>
      <w:r>
        <w:rPr>
          <w:sz w:val="22"/>
        </w:rPr>
        <w:t>Para</w:t>
      </w:r>
      <w:r>
        <w:rPr>
          <w:spacing w:val="-2"/>
          <w:sz w:val="22"/>
        </w:rPr>
        <w:t> </w:t>
      </w:r>
      <w:r>
        <w:rPr>
          <w:sz w:val="22"/>
        </w:rPr>
        <w:t>el</w:t>
      </w:r>
      <w:r>
        <w:rPr>
          <w:spacing w:val="-2"/>
          <w:sz w:val="22"/>
        </w:rPr>
        <w:t> </w:t>
      </w:r>
      <w:r>
        <w:rPr>
          <w:spacing w:val="-4"/>
          <w:sz w:val="22"/>
        </w:rPr>
        <w:t>50%:</w:t>
      </w:r>
    </w:p>
    <w:p>
      <w:pPr>
        <w:pStyle w:val="ListParagraph"/>
        <w:numPr>
          <w:ilvl w:val="1"/>
          <w:numId w:val="42"/>
        </w:numPr>
        <w:tabs>
          <w:tab w:pos="2909" w:val="left" w:leader="none"/>
        </w:tabs>
        <w:spacing w:line="240" w:lineRule="auto" w:before="252" w:after="0"/>
        <w:ind w:left="2909" w:right="983" w:hanging="471"/>
        <w:jc w:val="both"/>
        <w:rPr>
          <w:sz w:val="22"/>
        </w:rPr>
      </w:pPr>
      <w:r>
        <w:rPr>
          <w:sz w:val="22"/>
        </w:rPr>
        <w:t>Se actualiza el costo del servicio a USD 275,23 millones debido a la extensión nacional del control reforzado.</w:t>
      </w:r>
    </w:p>
    <w:p>
      <w:pPr>
        <w:pStyle w:val="BodyText"/>
      </w:pPr>
    </w:p>
    <w:p>
      <w:pPr>
        <w:pStyle w:val="ListParagraph"/>
        <w:numPr>
          <w:ilvl w:val="1"/>
          <w:numId w:val="42"/>
        </w:numPr>
        <w:tabs>
          <w:tab w:pos="2909" w:val="left" w:leader="none"/>
        </w:tabs>
        <w:spacing w:line="240" w:lineRule="auto" w:before="0" w:after="0"/>
        <w:ind w:left="2909" w:right="979" w:hanging="519"/>
        <w:jc w:val="both"/>
        <w:rPr>
          <w:sz w:val="22"/>
        </w:rPr>
      </w:pPr>
      <w:r>
        <w:rPr>
          <w:sz w:val="22"/>
        </w:rPr>
        <w:t>Se proyecta ahora una contracción de la demanda del 70% sobre la misma base inicial, obteniendo una base efectiva de USD 550,46 </w:t>
      </w:r>
      <w:r>
        <w:rPr>
          <w:spacing w:val="-2"/>
          <w:sz w:val="22"/>
        </w:rPr>
        <w:t>millones.</w:t>
      </w:r>
    </w:p>
    <w:p>
      <w:pPr>
        <w:pStyle w:val="ListParagraph"/>
        <w:numPr>
          <w:ilvl w:val="1"/>
          <w:numId w:val="42"/>
        </w:numPr>
        <w:tabs>
          <w:tab w:pos="2909" w:val="left" w:leader="none"/>
        </w:tabs>
        <w:spacing w:line="240" w:lineRule="auto" w:before="252" w:after="0"/>
        <w:ind w:left="2909" w:right="981" w:hanging="570"/>
        <w:jc w:val="both"/>
        <w:rPr>
          <w:sz w:val="22"/>
        </w:rPr>
      </w:pPr>
      <w:r>
        <w:rPr>
          <w:sz w:val="22"/>
        </w:rPr>
        <w:t>Se</w:t>
      </w:r>
      <w:r>
        <w:rPr>
          <w:spacing w:val="-13"/>
          <w:sz w:val="22"/>
        </w:rPr>
        <w:t> </w:t>
      </w:r>
      <w:r>
        <w:rPr>
          <w:sz w:val="22"/>
        </w:rPr>
        <w:t>calcula</w:t>
      </w:r>
      <w:r>
        <w:rPr>
          <w:spacing w:val="-13"/>
          <w:sz w:val="22"/>
        </w:rPr>
        <w:t> </w:t>
      </w:r>
      <w:r>
        <w:rPr>
          <w:sz w:val="22"/>
        </w:rPr>
        <w:t>la</w:t>
      </w:r>
      <w:r>
        <w:rPr>
          <w:spacing w:val="-13"/>
          <w:sz w:val="22"/>
        </w:rPr>
        <w:t> </w:t>
      </w:r>
      <w:r>
        <w:rPr>
          <w:sz w:val="22"/>
        </w:rPr>
        <w:t>tasa</w:t>
      </w:r>
      <w:r>
        <w:rPr>
          <w:spacing w:val="-15"/>
          <w:sz w:val="22"/>
        </w:rPr>
        <w:t> </w:t>
      </w:r>
      <w:r>
        <w:rPr>
          <w:sz w:val="22"/>
        </w:rPr>
        <w:t>que,</w:t>
      </w:r>
      <w:r>
        <w:rPr>
          <w:spacing w:val="-15"/>
          <w:sz w:val="22"/>
        </w:rPr>
        <w:t> </w:t>
      </w:r>
      <w:r>
        <w:rPr>
          <w:sz w:val="22"/>
        </w:rPr>
        <w:t>aplicada</w:t>
      </w:r>
      <w:r>
        <w:rPr>
          <w:spacing w:val="-13"/>
          <w:sz w:val="22"/>
        </w:rPr>
        <w:t> </w:t>
      </w:r>
      <w:r>
        <w:rPr>
          <w:sz w:val="22"/>
        </w:rPr>
        <w:t>a</w:t>
      </w:r>
      <w:r>
        <w:rPr>
          <w:spacing w:val="-13"/>
          <w:sz w:val="22"/>
        </w:rPr>
        <w:t> </w:t>
      </w:r>
      <w:r>
        <w:rPr>
          <w:sz w:val="22"/>
        </w:rPr>
        <w:t>esa</w:t>
      </w:r>
      <w:r>
        <w:rPr>
          <w:spacing w:val="-14"/>
          <w:sz w:val="22"/>
        </w:rPr>
        <w:t> </w:t>
      </w:r>
      <w:r>
        <w:rPr>
          <w:sz w:val="22"/>
        </w:rPr>
        <w:t>base</w:t>
      </w:r>
      <w:r>
        <w:rPr>
          <w:spacing w:val="-15"/>
          <w:sz w:val="22"/>
        </w:rPr>
        <w:t> </w:t>
      </w:r>
      <w:r>
        <w:rPr>
          <w:sz w:val="22"/>
        </w:rPr>
        <w:t>efectiva,</w:t>
      </w:r>
      <w:r>
        <w:rPr>
          <w:spacing w:val="-12"/>
          <w:sz w:val="22"/>
        </w:rPr>
        <w:t> </w:t>
      </w:r>
      <w:r>
        <w:rPr>
          <w:sz w:val="22"/>
        </w:rPr>
        <w:t>permite</w:t>
      </w:r>
      <w:r>
        <w:rPr>
          <w:spacing w:val="-13"/>
          <w:sz w:val="22"/>
        </w:rPr>
        <w:t> </w:t>
      </w:r>
      <w:r>
        <w:rPr>
          <w:sz w:val="22"/>
        </w:rPr>
        <w:t>recaudar los USD 275,23 millones, resultando un 50%.</w:t>
      </w:r>
    </w:p>
    <w:p>
      <w:pPr>
        <w:pStyle w:val="BodyText"/>
        <w:spacing w:before="1"/>
      </w:pPr>
    </w:p>
    <w:p>
      <w:pPr>
        <w:pStyle w:val="ListParagraph"/>
        <w:numPr>
          <w:ilvl w:val="0"/>
          <w:numId w:val="11"/>
        </w:numPr>
        <w:tabs>
          <w:tab w:pos="1130" w:val="left" w:leader="none"/>
          <w:tab w:pos="1134" w:val="left" w:leader="none"/>
        </w:tabs>
        <w:spacing w:line="240" w:lineRule="auto" w:before="1" w:after="0"/>
        <w:ind w:left="1134" w:right="978" w:hanging="567"/>
        <w:jc w:val="both"/>
        <w:rPr>
          <w:sz w:val="22"/>
        </w:rPr>
      </w:pPr>
      <w:r>
        <w:rPr>
          <w:sz w:val="22"/>
        </w:rPr>
        <w:t>La SGCAN advierte que esta metodología responde a una lógica típicamente </w:t>
      </w:r>
      <w:r>
        <w:rPr>
          <w:rFonts w:ascii="Arial" w:hAnsi="Arial"/>
          <w:b/>
          <w:sz w:val="22"/>
        </w:rPr>
        <w:t>recaudatoria</w:t>
      </w:r>
      <w:r>
        <w:rPr>
          <w:sz w:val="22"/>
        </w:rPr>
        <w:t>:</w:t>
      </w:r>
      <w:r>
        <w:rPr>
          <w:spacing w:val="-4"/>
          <w:sz w:val="22"/>
        </w:rPr>
        <w:t> </w:t>
      </w:r>
      <w:r>
        <w:rPr>
          <w:sz w:val="22"/>
        </w:rPr>
        <w:t>primero</w:t>
      </w:r>
      <w:r>
        <w:rPr>
          <w:spacing w:val="-4"/>
          <w:sz w:val="22"/>
        </w:rPr>
        <w:t> </w:t>
      </w:r>
      <w:r>
        <w:rPr>
          <w:sz w:val="22"/>
        </w:rPr>
        <w:t>se</w:t>
      </w:r>
      <w:r>
        <w:rPr>
          <w:spacing w:val="-4"/>
          <w:sz w:val="22"/>
        </w:rPr>
        <w:t> </w:t>
      </w:r>
      <w:r>
        <w:rPr>
          <w:sz w:val="22"/>
        </w:rPr>
        <w:t>fija</w:t>
      </w:r>
      <w:r>
        <w:rPr>
          <w:spacing w:val="-4"/>
          <w:sz w:val="22"/>
        </w:rPr>
        <w:t> </w:t>
      </w:r>
      <w:r>
        <w:rPr>
          <w:sz w:val="22"/>
        </w:rPr>
        <w:t>un</w:t>
      </w:r>
      <w:r>
        <w:rPr>
          <w:spacing w:val="-7"/>
          <w:sz w:val="22"/>
        </w:rPr>
        <w:t> </w:t>
      </w:r>
      <w:r>
        <w:rPr>
          <w:sz w:val="22"/>
        </w:rPr>
        <w:t>monto</w:t>
      </w:r>
      <w:r>
        <w:rPr>
          <w:spacing w:val="-4"/>
          <w:sz w:val="22"/>
        </w:rPr>
        <w:t> </w:t>
      </w:r>
      <w:r>
        <w:rPr>
          <w:sz w:val="22"/>
        </w:rPr>
        <w:t>global</w:t>
      </w:r>
      <w:r>
        <w:rPr>
          <w:spacing w:val="-5"/>
          <w:sz w:val="22"/>
        </w:rPr>
        <w:t> </w:t>
      </w:r>
      <w:r>
        <w:rPr>
          <w:sz w:val="22"/>
        </w:rPr>
        <w:t>de</w:t>
      </w:r>
      <w:r>
        <w:rPr>
          <w:spacing w:val="-4"/>
          <w:sz w:val="22"/>
        </w:rPr>
        <w:t> </w:t>
      </w:r>
      <w:r>
        <w:rPr>
          <w:sz w:val="22"/>
        </w:rPr>
        <w:t>costo</w:t>
      </w:r>
      <w:r>
        <w:rPr>
          <w:spacing w:val="-6"/>
          <w:sz w:val="22"/>
        </w:rPr>
        <w:t> </w:t>
      </w:r>
      <w:r>
        <w:rPr>
          <w:sz w:val="22"/>
        </w:rPr>
        <w:t>(recaudación</w:t>
      </w:r>
      <w:r>
        <w:rPr>
          <w:spacing w:val="-4"/>
          <w:sz w:val="22"/>
        </w:rPr>
        <w:t> </w:t>
      </w:r>
      <w:r>
        <w:rPr>
          <w:sz w:val="22"/>
        </w:rPr>
        <w:t>objetivo),</w:t>
      </w:r>
      <w:r>
        <w:rPr>
          <w:spacing w:val="-3"/>
          <w:sz w:val="22"/>
        </w:rPr>
        <w:t> </w:t>
      </w:r>
      <w:r>
        <w:rPr>
          <w:sz w:val="22"/>
        </w:rPr>
        <w:t>luego</w:t>
      </w:r>
      <w:r>
        <w:rPr>
          <w:spacing w:val="-4"/>
          <w:sz w:val="22"/>
        </w:rPr>
        <w:t> </w:t>
      </w:r>
      <w:r>
        <w:rPr>
          <w:sz w:val="22"/>
        </w:rPr>
        <w:t>se proyecta</w:t>
      </w:r>
      <w:r>
        <w:rPr>
          <w:spacing w:val="-11"/>
          <w:sz w:val="22"/>
        </w:rPr>
        <w:t> </w:t>
      </w:r>
      <w:r>
        <w:rPr>
          <w:sz w:val="22"/>
        </w:rPr>
        <w:t>una</w:t>
      </w:r>
      <w:r>
        <w:rPr>
          <w:spacing w:val="-9"/>
          <w:sz w:val="22"/>
        </w:rPr>
        <w:t> </w:t>
      </w:r>
      <w:r>
        <w:rPr>
          <w:sz w:val="22"/>
        </w:rPr>
        <w:t>base</w:t>
      </w:r>
      <w:r>
        <w:rPr>
          <w:spacing w:val="-9"/>
          <w:sz w:val="22"/>
        </w:rPr>
        <w:t> </w:t>
      </w:r>
      <w:r>
        <w:rPr>
          <w:sz w:val="22"/>
        </w:rPr>
        <w:t>efectiva</w:t>
      </w:r>
      <w:r>
        <w:rPr>
          <w:spacing w:val="-9"/>
          <w:sz w:val="22"/>
        </w:rPr>
        <w:t> </w:t>
      </w:r>
      <w:r>
        <w:rPr>
          <w:sz w:val="22"/>
        </w:rPr>
        <w:t>reducida</w:t>
      </w:r>
      <w:r>
        <w:rPr>
          <w:spacing w:val="-9"/>
          <w:sz w:val="22"/>
        </w:rPr>
        <w:t> </w:t>
      </w:r>
      <w:r>
        <w:rPr>
          <w:sz w:val="22"/>
        </w:rPr>
        <w:t>y,</w:t>
      </w:r>
      <w:r>
        <w:rPr>
          <w:spacing w:val="-10"/>
          <w:sz w:val="22"/>
        </w:rPr>
        <w:t> </w:t>
      </w:r>
      <w:r>
        <w:rPr>
          <w:sz w:val="22"/>
        </w:rPr>
        <w:t>finalmente,</w:t>
      </w:r>
      <w:r>
        <w:rPr>
          <w:spacing w:val="-7"/>
          <w:sz w:val="22"/>
        </w:rPr>
        <w:t> </w:t>
      </w:r>
      <w:r>
        <w:rPr>
          <w:sz w:val="22"/>
        </w:rPr>
        <w:t>se</w:t>
      </w:r>
      <w:r>
        <w:rPr>
          <w:spacing w:val="-9"/>
          <w:sz w:val="22"/>
        </w:rPr>
        <w:t> </w:t>
      </w:r>
      <w:r>
        <w:rPr>
          <w:sz w:val="22"/>
        </w:rPr>
        <w:t>determina</w:t>
      </w:r>
      <w:r>
        <w:rPr>
          <w:spacing w:val="-9"/>
          <w:sz w:val="22"/>
        </w:rPr>
        <w:t> </w:t>
      </w:r>
      <w:r>
        <w:rPr>
          <w:sz w:val="22"/>
        </w:rPr>
        <w:t>el</w:t>
      </w:r>
      <w:r>
        <w:rPr>
          <w:spacing w:val="-10"/>
          <w:sz w:val="22"/>
        </w:rPr>
        <w:t> </w:t>
      </w:r>
      <w:r>
        <w:rPr>
          <w:sz w:val="22"/>
        </w:rPr>
        <w:t>porcentaje</w:t>
      </w:r>
      <w:r>
        <w:rPr>
          <w:spacing w:val="-9"/>
          <w:sz w:val="22"/>
        </w:rPr>
        <w:t> </w:t>
      </w:r>
      <w:r>
        <w:rPr>
          <w:sz w:val="22"/>
        </w:rPr>
        <w:t>necesario para cubrir ese costo. Desde el punto de vista comunitario, ello plantea dos problemas </w:t>
      </w:r>
      <w:r>
        <w:rPr>
          <w:spacing w:val="-2"/>
          <w:sz w:val="22"/>
        </w:rPr>
        <w:t>principales:</w:t>
      </w:r>
    </w:p>
    <w:p>
      <w:pPr>
        <w:pStyle w:val="ListParagraph"/>
        <w:numPr>
          <w:ilvl w:val="0"/>
          <w:numId w:val="43"/>
        </w:numPr>
        <w:tabs>
          <w:tab w:pos="2553" w:val="left" w:leader="none"/>
        </w:tabs>
        <w:spacing w:line="240" w:lineRule="auto" w:before="252" w:after="0"/>
        <w:ind w:left="2553" w:right="979" w:hanging="471"/>
        <w:jc w:val="both"/>
        <w:rPr>
          <w:sz w:val="22"/>
        </w:rPr>
      </w:pPr>
      <w:r>
        <w:rPr>
          <w:sz w:val="22"/>
        </w:rPr>
        <w:t>El cálculo no parte de un </w:t>
      </w:r>
      <w:r>
        <w:rPr>
          <w:rFonts w:ascii="Arial" w:hAnsi="Arial"/>
          <w:b/>
          <w:sz w:val="22"/>
        </w:rPr>
        <w:t>costo unitario aproximado por servicio </w:t>
      </w:r>
      <w:r>
        <w:rPr>
          <w:sz w:val="22"/>
        </w:rPr>
        <w:t>prestado a cada importación (por contenedor, por inspección, por análisis), sino de un costo global de estructura, difícilmente imputable operación por operación.</w:t>
      </w:r>
    </w:p>
    <w:p>
      <w:pPr>
        <w:pStyle w:val="BodyText"/>
      </w:pPr>
    </w:p>
    <w:p>
      <w:pPr>
        <w:pStyle w:val="ListParagraph"/>
        <w:numPr>
          <w:ilvl w:val="0"/>
          <w:numId w:val="43"/>
        </w:numPr>
        <w:tabs>
          <w:tab w:pos="2553" w:val="left" w:leader="none"/>
        </w:tabs>
        <w:spacing w:line="240" w:lineRule="auto" w:before="0" w:after="0"/>
        <w:ind w:left="2553" w:right="976" w:hanging="519"/>
        <w:jc w:val="both"/>
        <w:rPr>
          <w:sz w:val="22"/>
        </w:rPr>
      </w:pPr>
      <w:r>
        <w:rPr>
          <w:sz w:val="22"/>
        </w:rPr>
        <w:t>La</w:t>
      </w:r>
      <w:r>
        <w:rPr>
          <w:spacing w:val="-12"/>
          <w:sz w:val="22"/>
        </w:rPr>
        <w:t> </w:t>
      </w:r>
      <w:r>
        <w:rPr>
          <w:sz w:val="22"/>
        </w:rPr>
        <w:t>elección</w:t>
      </w:r>
      <w:r>
        <w:rPr>
          <w:spacing w:val="-12"/>
          <w:sz w:val="22"/>
        </w:rPr>
        <w:t> </w:t>
      </w:r>
      <w:r>
        <w:rPr>
          <w:sz w:val="22"/>
        </w:rPr>
        <w:t>de</w:t>
      </w:r>
      <w:r>
        <w:rPr>
          <w:spacing w:val="-14"/>
          <w:sz w:val="22"/>
        </w:rPr>
        <w:t> </w:t>
      </w:r>
      <w:r>
        <w:rPr>
          <w:sz w:val="22"/>
        </w:rPr>
        <w:t>una</w:t>
      </w:r>
      <w:r>
        <w:rPr>
          <w:spacing w:val="-14"/>
          <w:sz w:val="22"/>
        </w:rPr>
        <w:t> </w:t>
      </w:r>
      <w:r>
        <w:rPr>
          <w:rFonts w:ascii="Arial" w:hAnsi="Arial"/>
          <w:b/>
          <w:sz w:val="22"/>
        </w:rPr>
        <w:t>base</w:t>
      </w:r>
      <w:r>
        <w:rPr>
          <w:rFonts w:ascii="Arial" w:hAnsi="Arial"/>
          <w:b/>
          <w:spacing w:val="-13"/>
          <w:sz w:val="22"/>
        </w:rPr>
        <w:t> </w:t>
      </w:r>
      <w:r>
        <w:rPr>
          <w:rFonts w:ascii="Arial" w:hAnsi="Arial"/>
          <w:b/>
          <w:i/>
          <w:sz w:val="22"/>
        </w:rPr>
        <w:t>ad</w:t>
      </w:r>
      <w:r>
        <w:rPr>
          <w:rFonts w:ascii="Arial" w:hAnsi="Arial"/>
          <w:b/>
          <w:i/>
          <w:spacing w:val="-12"/>
          <w:sz w:val="22"/>
        </w:rPr>
        <w:t> </w:t>
      </w:r>
      <w:r>
        <w:rPr>
          <w:rFonts w:ascii="Arial" w:hAnsi="Arial"/>
          <w:b/>
          <w:i/>
          <w:sz w:val="22"/>
        </w:rPr>
        <w:t>valorem</w:t>
      </w:r>
      <w:r>
        <w:rPr>
          <w:rFonts w:ascii="Arial" w:hAnsi="Arial"/>
          <w:b/>
          <w:i/>
          <w:spacing w:val="-13"/>
          <w:sz w:val="22"/>
        </w:rPr>
        <w:t> </w:t>
      </w:r>
      <w:r>
        <w:rPr>
          <w:sz w:val="22"/>
        </w:rPr>
        <w:t>hace</w:t>
      </w:r>
      <w:r>
        <w:rPr>
          <w:spacing w:val="-14"/>
          <w:sz w:val="22"/>
        </w:rPr>
        <w:t> </w:t>
      </w:r>
      <w:r>
        <w:rPr>
          <w:sz w:val="22"/>
        </w:rPr>
        <w:t>que</w:t>
      </w:r>
      <w:r>
        <w:rPr>
          <w:spacing w:val="-14"/>
          <w:sz w:val="22"/>
        </w:rPr>
        <w:t> </w:t>
      </w:r>
      <w:r>
        <w:rPr>
          <w:sz w:val="22"/>
        </w:rPr>
        <w:t>el</w:t>
      </w:r>
      <w:r>
        <w:rPr>
          <w:spacing w:val="-15"/>
          <w:sz w:val="22"/>
        </w:rPr>
        <w:t> </w:t>
      </w:r>
      <w:r>
        <w:rPr>
          <w:sz w:val="22"/>
        </w:rPr>
        <w:t>monto</w:t>
      </w:r>
      <w:r>
        <w:rPr>
          <w:spacing w:val="-14"/>
          <w:sz w:val="22"/>
        </w:rPr>
        <w:t> </w:t>
      </w:r>
      <w:r>
        <w:rPr>
          <w:sz w:val="22"/>
        </w:rPr>
        <w:t>a</w:t>
      </w:r>
      <w:r>
        <w:rPr>
          <w:spacing w:val="-14"/>
          <w:sz w:val="22"/>
        </w:rPr>
        <w:t> </w:t>
      </w:r>
      <w:r>
        <w:rPr>
          <w:sz w:val="22"/>
        </w:rPr>
        <w:t>pagar</w:t>
      </w:r>
      <w:r>
        <w:rPr>
          <w:spacing w:val="-12"/>
          <w:sz w:val="22"/>
        </w:rPr>
        <w:t> </w:t>
      </w:r>
      <w:r>
        <w:rPr>
          <w:sz w:val="22"/>
        </w:rPr>
        <w:t>por</w:t>
      </w:r>
      <w:r>
        <w:rPr>
          <w:spacing w:val="-12"/>
          <w:sz w:val="22"/>
        </w:rPr>
        <w:t> </w:t>
      </w:r>
      <w:r>
        <w:rPr>
          <w:sz w:val="22"/>
        </w:rPr>
        <w:t>cada importación</w:t>
      </w:r>
      <w:r>
        <w:rPr>
          <w:spacing w:val="-7"/>
          <w:sz w:val="22"/>
        </w:rPr>
        <w:t> </w:t>
      </w:r>
      <w:r>
        <w:rPr>
          <w:sz w:val="22"/>
        </w:rPr>
        <w:t>dependa</w:t>
      </w:r>
      <w:r>
        <w:rPr>
          <w:spacing w:val="-6"/>
          <w:sz w:val="22"/>
        </w:rPr>
        <w:t> </w:t>
      </w:r>
      <w:r>
        <w:rPr>
          <w:sz w:val="22"/>
        </w:rPr>
        <w:t>del</w:t>
      </w:r>
      <w:r>
        <w:rPr>
          <w:spacing w:val="-7"/>
          <w:sz w:val="22"/>
        </w:rPr>
        <w:t> </w:t>
      </w:r>
      <w:r>
        <w:rPr>
          <w:sz w:val="22"/>
        </w:rPr>
        <w:t>valor</w:t>
      </w:r>
      <w:r>
        <w:rPr>
          <w:spacing w:val="-6"/>
          <w:sz w:val="22"/>
        </w:rPr>
        <w:t> </w:t>
      </w:r>
      <w:r>
        <w:rPr>
          <w:sz w:val="22"/>
        </w:rPr>
        <w:t>de</w:t>
      </w:r>
      <w:r>
        <w:rPr>
          <w:spacing w:val="-7"/>
          <w:sz w:val="22"/>
        </w:rPr>
        <w:t> </w:t>
      </w:r>
      <w:r>
        <w:rPr>
          <w:sz w:val="22"/>
        </w:rPr>
        <w:t>la</w:t>
      </w:r>
      <w:r>
        <w:rPr>
          <w:spacing w:val="-9"/>
          <w:sz w:val="22"/>
        </w:rPr>
        <w:t> </w:t>
      </w:r>
      <w:r>
        <w:rPr>
          <w:sz w:val="22"/>
        </w:rPr>
        <w:t>mercancía,</w:t>
      </w:r>
      <w:r>
        <w:rPr>
          <w:spacing w:val="-5"/>
          <w:sz w:val="22"/>
        </w:rPr>
        <w:t> </w:t>
      </w:r>
      <w:r>
        <w:rPr>
          <w:sz w:val="22"/>
        </w:rPr>
        <w:t>y</w:t>
      </w:r>
      <w:r>
        <w:rPr>
          <w:spacing w:val="-8"/>
          <w:sz w:val="22"/>
        </w:rPr>
        <w:t> </w:t>
      </w:r>
      <w:r>
        <w:rPr>
          <w:sz w:val="22"/>
        </w:rPr>
        <w:t>no</w:t>
      </w:r>
      <w:r>
        <w:rPr>
          <w:spacing w:val="-4"/>
          <w:sz w:val="22"/>
        </w:rPr>
        <w:t> </w:t>
      </w:r>
      <w:r>
        <w:rPr>
          <w:sz w:val="22"/>
        </w:rPr>
        <w:t>del</w:t>
      </w:r>
      <w:r>
        <w:rPr>
          <w:spacing w:val="-7"/>
          <w:sz w:val="22"/>
        </w:rPr>
        <w:t> </w:t>
      </w:r>
      <w:r>
        <w:rPr>
          <w:sz w:val="22"/>
        </w:rPr>
        <w:t>uso</w:t>
      </w:r>
      <w:r>
        <w:rPr>
          <w:spacing w:val="-7"/>
          <w:sz w:val="22"/>
        </w:rPr>
        <w:t> </w:t>
      </w:r>
      <w:r>
        <w:rPr>
          <w:sz w:val="22"/>
        </w:rPr>
        <w:t>o</w:t>
      </w:r>
      <w:r>
        <w:rPr>
          <w:spacing w:val="-6"/>
          <w:sz w:val="22"/>
        </w:rPr>
        <w:t> </w:t>
      </w:r>
      <w:r>
        <w:rPr>
          <w:sz w:val="22"/>
        </w:rPr>
        <w:t>intensidad efectiva del supuesto servicio, pese a que el costo de una inspección o de un control administrativo no varía necesariamente con el valor comercial del bien.</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Conforme</w:t>
      </w:r>
      <w:r>
        <w:rPr>
          <w:spacing w:val="-2"/>
          <w:sz w:val="22"/>
        </w:rPr>
        <w:t> </w:t>
      </w:r>
      <w:r>
        <w:rPr>
          <w:sz w:val="22"/>
        </w:rPr>
        <w:t>a</w:t>
      </w:r>
      <w:r>
        <w:rPr>
          <w:spacing w:val="-2"/>
          <w:sz w:val="22"/>
        </w:rPr>
        <w:t> </w:t>
      </w:r>
      <w:r>
        <w:rPr>
          <w:sz w:val="22"/>
        </w:rPr>
        <w:t>los</w:t>
      </w:r>
      <w:r>
        <w:rPr>
          <w:spacing w:val="-2"/>
          <w:sz w:val="22"/>
        </w:rPr>
        <w:t> </w:t>
      </w:r>
      <w:r>
        <w:rPr>
          <w:sz w:val="22"/>
        </w:rPr>
        <w:t>pronunciamientos</w:t>
      </w:r>
      <w:r>
        <w:rPr>
          <w:spacing w:val="-1"/>
          <w:sz w:val="22"/>
        </w:rPr>
        <w:t> </w:t>
      </w:r>
      <w:r>
        <w:rPr>
          <w:sz w:val="22"/>
        </w:rPr>
        <w:t>del</w:t>
      </w:r>
      <w:r>
        <w:rPr>
          <w:spacing w:val="-2"/>
          <w:sz w:val="22"/>
        </w:rPr>
        <w:t> </w:t>
      </w:r>
      <w:r>
        <w:rPr>
          <w:sz w:val="22"/>
        </w:rPr>
        <w:t>TJCAN, la</w:t>
      </w:r>
      <w:r>
        <w:rPr>
          <w:spacing w:val="-2"/>
          <w:sz w:val="22"/>
        </w:rPr>
        <w:t> </w:t>
      </w:r>
      <w:r>
        <w:rPr>
          <w:sz w:val="22"/>
        </w:rPr>
        <w:t>SGCAN destaca</w:t>
      </w:r>
      <w:r>
        <w:rPr>
          <w:spacing w:val="-2"/>
          <w:sz w:val="22"/>
        </w:rPr>
        <w:t> </w:t>
      </w:r>
      <w:r>
        <w:rPr>
          <w:sz w:val="22"/>
        </w:rPr>
        <w:t>que</w:t>
      </w:r>
      <w:r>
        <w:rPr>
          <w:spacing w:val="-2"/>
          <w:sz w:val="22"/>
        </w:rPr>
        <w:t> </w:t>
      </w:r>
      <w:r>
        <w:rPr>
          <w:sz w:val="22"/>
        </w:rPr>
        <w:t>el</w:t>
      </w:r>
      <w:r>
        <w:rPr>
          <w:spacing w:val="-3"/>
          <w:sz w:val="22"/>
        </w:rPr>
        <w:t> </w:t>
      </w:r>
      <w:r>
        <w:rPr>
          <w:sz w:val="22"/>
        </w:rPr>
        <w:t>artículo 73</w:t>
      </w:r>
      <w:r>
        <w:rPr>
          <w:spacing w:val="-2"/>
          <w:sz w:val="22"/>
        </w:rPr>
        <w:t> </w:t>
      </w:r>
      <w:r>
        <w:rPr>
          <w:sz w:val="22"/>
        </w:rPr>
        <w:t>del Acuerdo</w:t>
      </w:r>
      <w:r>
        <w:rPr>
          <w:spacing w:val="-8"/>
          <w:sz w:val="22"/>
        </w:rPr>
        <w:t> </w:t>
      </w:r>
      <w:r>
        <w:rPr>
          <w:sz w:val="22"/>
        </w:rPr>
        <w:t>de</w:t>
      </w:r>
      <w:r>
        <w:rPr>
          <w:spacing w:val="-10"/>
          <w:sz w:val="22"/>
        </w:rPr>
        <w:t> </w:t>
      </w:r>
      <w:r>
        <w:rPr>
          <w:sz w:val="22"/>
        </w:rPr>
        <w:t>Cartagena</w:t>
      </w:r>
      <w:r>
        <w:rPr>
          <w:spacing w:val="-9"/>
          <w:sz w:val="22"/>
        </w:rPr>
        <w:t> </w:t>
      </w:r>
      <w:r>
        <w:rPr>
          <w:sz w:val="22"/>
        </w:rPr>
        <w:t>permite</w:t>
      </w:r>
      <w:r>
        <w:rPr>
          <w:spacing w:val="-10"/>
          <w:sz w:val="22"/>
        </w:rPr>
        <w:t> </w:t>
      </w:r>
      <w:r>
        <w:rPr>
          <w:sz w:val="22"/>
        </w:rPr>
        <w:t>que,</w:t>
      </w:r>
      <w:r>
        <w:rPr>
          <w:spacing w:val="-8"/>
          <w:sz w:val="22"/>
        </w:rPr>
        <w:t> </w:t>
      </w:r>
      <w:r>
        <w:rPr>
          <w:sz w:val="22"/>
        </w:rPr>
        <w:t>a</w:t>
      </w:r>
      <w:r>
        <w:rPr>
          <w:spacing w:val="-10"/>
          <w:sz w:val="22"/>
        </w:rPr>
        <w:t> </w:t>
      </w:r>
      <w:r>
        <w:rPr>
          <w:sz w:val="22"/>
        </w:rPr>
        <w:t>través</w:t>
      </w:r>
      <w:r>
        <w:rPr>
          <w:spacing w:val="-9"/>
          <w:sz w:val="22"/>
        </w:rPr>
        <w:t> </w:t>
      </w:r>
      <w:r>
        <w:rPr>
          <w:sz w:val="22"/>
        </w:rPr>
        <w:t>de</w:t>
      </w:r>
      <w:r>
        <w:rPr>
          <w:spacing w:val="-10"/>
          <w:sz w:val="22"/>
        </w:rPr>
        <w:t> </w:t>
      </w:r>
      <w:r>
        <w:rPr>
          <w:sz w:val="22"/>
        </w:rPr>
        <w:t>una</w:t>
      </w:r>
      <w:r>
        <w:rPr>
          <w:spacing w:val="-8"/>
          <w:sz w:val="22"/>
        </w:rPr>
        <w:t> </w:t>
      </w:r>
      <w:r>
        <w:rPr>
          <w:sz w:val="22"/>
        </w:rPr>
        <w:t>tasa,</w:t>
      </w:r>
      <w:r>
        <w:rPr>
          <w:spacing w:val="-9"/>
          <w:sz w:val="22"/>
        </w:rPr>
        <w:t> </w:t>
      </w:r>
      <w:r>
        <w:rPr>
          <w:sz w:val="22"/>
        </w:rPr>
        <w:t>se</w:t>
      </w:r>
      <w:r>
        <w:rPr>
          <w:spacing w:val="-11"/>
          <w:sz w:val="22"/>
        </w:rPr>
        <w:t> </w:t>
      </w:r>
      <w:r>
        <w:rPr>
          <w:sz w:val="22"/>
        </w:rPr>
        <w:t>recupere</w:t>
      </w:r>
      <w:r>
        <w:rPr>
          <w:spacing w:val="-7"/>
          <w:sz w:val="22"/>
        </w:rPr>
        <w:t> </w:t>
      </w:r>
      <w:r>
        <w:rPr>
          <w:rFonts w:ascii="Arial" w:hAnsi="Arial"/>
          <w:b/>
          <w:sz w:val="22"/>
        </w:rPr>
        <w:t>razonablemente </w:t>
      </w:r>
      <w:r>
        <w:rPr>
          <w:sz w:val="22"/>
        </w:rPr>
        <w:t>los costos de infraestructura física y administrativa asociados a la facilitación de las importaciones, pero condicionan esa recuperación a una </w:t>
      </w:r>
      <w:r>
        <w:rPr>
          <w:rFonts w:ascii="Arial" w:hAnsi="Arial"/>
          <w:b/>
          <w:sz w:val="22"/>
        </w:rPr>
        <w:t>correspondencia aproximada</w:t>
      </w:r>
      <w:r>
        <w:rPr>
          <w:rFonts w:ascii="Arial" w:hAnsi="Arial"/>
          <w:b/>
          <w:spacing w:val="-9"/>
          <w:sz w:val="22"/>
        </w:rPr>
        <w:t> </w:t>
      </w:r>
      <w:r>
        <w:rPr>
          <w:sz w:val="22"/>
        </w:rPr>
        <w:t>entre</w:t>
      </w:r>
      <w:r>
        <w:rPr>
          <w:spacing w:val="-9"/>
          <w:sz w:val="22"/>
        </w:rPr>
        <w:t> </w:t>
      </w:r>
      <w:r>
        <w:rPr>
          <w:sz w:val="22"/>
        </w:rPr>
        <w:t>el</w:t>
      </w:r>
      <w:r>
        <w:rPr>
          <w:spacing w:val="-10"/>
          <w:sz w:val="22"/>
        </w:rPr>
        <w:t> </w:t>
      </w:r>
      <w:r>
        <w:rPr>
          <w:sz w:val="22"/>
        </w:rPr>
        <w:t>servicio</w:t>
      </w:r>
      <w:r>
        <w:rPr>
          <w:spacing w:val="-9"/>
          <w:sz w:val="22"/>
        </w:rPr>
        <w:t> </w:t>
      </w:r>
      <w:r>
        <w:rPr>
          <w:sz w:val="22"/>
        </w:rPr>
        <w:t>prestado</w:t>
      </w:r>
      <w:r>
        <w:rPr>
          <w:spacing w:val="-9"/>
          <w:sz w:val="22"/>
        </w:rPr>
        <w:t> </w:t>
      </w:r>
      <w:r>
        <w:rPr>
          <w:sz w:val="22"/>
        </w:rPr>
        <w:t>al</w:t>
      </w:r>
      <w:r>
        <w:rPr>
          <w:spacing w:val="-10"/>
          <w:sz w:val="22"/>
        </w:rPr>
        <w:t> </w:t>
      </w:r>
      <w:r>
        <w:rPr>
          <w:sz w:val="22"/>
        </w:rPr>
        <w:t>importador</w:t>
      </w:r>
      <w:r>
        <w:rPr>
          <w:spacing w:val="-8"/>
          <w:sz w:val="22"/>
        </w:rPr>
        <w:t> </w:t>
      </w:r>
      <w:r>
        <w:rPr>
          <w:sz w:val="22"/>
        </w:rPr>
        <w:t>y</w:t>
      </w:r>
      <w:r>
        <w:rPr>
          <w:spacing w:val="-8"/>
          <w:sz w:val="22"/>
        </w:rPr>
        <w:t> </w:t>
      </w:r>
      <w:r>
        <w:rPr>
          <w:sz w:val="22"/>
        </w:rPr>
        <w:t>la</w:t>
      </w:r>
      <w:r>
        <w:rPr>
          <w:spacing w:val="-9"/>
          <w:sz w:val="22"/>
        </w:rPr>
        <w:t> </w:t>
      </w:r>
      <w:r>
        <w:rPr>
          <w:sz w:val="22"/>
        </w:rPr>
        <w:t>tarifa.</w:t>
      </w:r>
      <w:r>
        <w:rPr>
          <w:spacing w:val="-8"/>
          <w:sz w:val="22"/>
        </w:rPr>
        <w:t> </w:t>
      </w:r>
      <w:r>
        <w:rPr>
          <w:sz w:val="22"/>
        </w:rPr>
        <w:t>La</w:t>
      </w:r>
      <w:r>
        <w:rPr>
          <w:spacing w:val="-12"/>
          <w:sz w:val="22"/>
        </w:rPr>
        <w:t> </w:t>
      </w:r>
      <w:r>
        <w:rPr>
          <w:sz w:val="22"/>
        </w:rPr>
        <w:t>técnica</w:t>
      </w:r>
      <w:r>
        <w:rPr>
          <w:spacing w:val="-11"/>
          <w:sz w:val="22"/>
        </w:rPr>
        <w:t> </w:t>
      </w:r>
      <w:r>
        <w:rPr>
          <w:sz w:val="22"/>
        </w:rPr>
        <w:t>empleada</w:t>
      </w:r>
      <w:r>
        <w:rPr>
          <w:spacing w:val="-9"/>
          <w:sz w:val="22"/>
        </w:rPr>
        <w:t> </w:t>
      </w:r>
      <w:r>
        <w:rPr>
          <w:sz w:val="22"/>
        </w:rPr>
        <w:t>por la</w:t>
      </w:r>
      <w:r>
        <w:rPr>
          <w:spacing w:val="-2"/>
          <w:sz w:val="22"/>
        </w:rPr>
        <w:t> </w:t>
      </w:r>
      <w:r>
        <w:rPr>
          <w:sz w:val="22"/>
        </w:rPr>
        <w:t>República</w:t>
      </w:r>
      <w:r>
        <w:rPr>
          <w:spacing w:val="-2"/>
          <w:sz w:val="22"/>
        </w:rPr>
        <w:t> </w:t>
      </w:r>
      <w:r>
        <w:rPr>
          <w:sz w:val="22"/>
        </w:rPr>
        <w:t>del</w:t>
      </w:r>
      <w:r>
        <w:rPr>
          <w:spacing w:val="-2"/>
          <w:sz w:val="22"/>
        </w:rPr>
        <w:t> </w:t>
      </w:r>
      <w:r>
        <w:rPr>
          <w:sz w:val="22"/>
        </w:rPr>
        <w:t>Ecuador, basada</w:t>
      </w:r>
      <w:r>
        <w:rPr>
          <w:spacing w:val="-2"/>
          <w:sz w:val="22"/>
        </w:rPr>
        <w:t> </w:t>
      </w:r>
      <w:r>
        <w:rPr>
          <w:sz w:val="22"/>
        </w:rPr>
        <w:t>en</w:t>
      </w:r>
      <w:r>
        <w:rPr>
          <w:spacing w:val="-2"/>
          <w:sz w:val="22"/>
        </w:rPr>
        <w:t> </w:t>
      </w:r>
      <w:r>
        <w:rPr>
          <w:sz w:val="22"/>
        </w:rPr>
        <w:t>un</w:t>
      </w:r>
      <w:r>
        <w:rPr>
          <w:spacing w:val="-2"/>
          <w:sz w:val="22"/>
        </w:rPr>
        <w:t> </w:t>
      </w:r>
      <w:r>
        <w:rPr>
          <w:sz w:val="22"/>
        </w:rPr>
        <w:t>porcentaje</w:t>
      </w:r>
      <w:r>
        <w:rPr>
          <w:spacing w:val="-2"/>
          <w:sz w:val="22"/>
        </w:rPr>
        <w:t> </w:t>
      </w:r>
      <w:r>
        <w:rPr>
          <w:sz w:val="22"/>
        </w:rPr>
        <w:t>sobre</w:t>
      </w:r>
      <w:r>
        <w:rPr>
          <w:spacing w:val="-2"/>
          <w:sz w:val="22"/>
        </w:rPr>
        <w:t> </w:t>
      </w:r>
      <w:r>
        <w:rPr>
          <w:sz w:val="22"/>
        </w:rPr>
        <w:t>el</w:t>
      </w:r>
      <w:r>
        <w:rPr>
          <w:spacing w:val="-2"/>
          <w:sz w:val="22"/>
        </w:rPr>
        <w:t> </w:t>
      </w:r>
      <w:r>
        <w:rPr>
          <w:sz w:val="22"/>
        </w:rPr>
        <w:t>valor</w:t>
      </w:r>
      <w:r>
        <w:rPr>
          <w:spacing w:val="-1"/>
          <w:sz w:val="22"/>
        </w:rPr>
        <w:t> </w:t>
      </w:r>
      <w:r>
        <w:rPr>
          <w:sz w:val="22"/>
        </w:rPr>
        <w:t>en</w:t>
      </w:r>
      <w:r>
        <w:rPr>
          <w:spacing w:val="-2"/>
          <w:sz w:val="22"/>
        </w:rPr>
        <w:t> </w:t>
      </w:r>
      <w:r>
        <w:rPr>
          <w:sz w:val="22"/>
        </w:rPr>
        <w:t>aduana</w:t>
      </w:r>
      <w:r>
        <w:rPr>
          <w:spacing w:val="-2"/>
          <w:sz w:val="22"/>
        </w:rPr>
        <w:t> </w:t>
      </w:r>
      <w:r>
        <w:rPr>
          <w:sz w:val="22"/>
        </w:rPr>
        <w:t>definido</w:t>
      </w:r>
      <w:r>
        <w:rPr>
          <w:spacing w:val="-2"/>
          <w:sz w:val="22"/>
        </w:rPr>
        <w:t> </w:t>
      </w:r>
      <w:r>
        <w:rPr>
          <w:sz w:val="22"/>
        </w:rPr>
        <w:t>a partir de una meta global de recaudación, se asemeja más al diseño de un gravamen general que al de una tasa por servicios individualizables.</w:t>
      </w:r>
    </w:p>
    <w:p>
      <w:pPr>
        <w:pStyle w:val="ListParagraph"/>
        <w:numPr>
          <w:ilvl w:val="0"/>
          <w:numId w:val="11"/>
        </w:numPr>
        <w:tabs>
          <w:tab w:pos="1130" w:val="left" w:leader="none"/>
          <w:tab w:pos="1134" w:val="left" w:leader="none"/>
        </w:tabs>
        <w:spacing w:line="240" w:lineRule="auto" w:before="252" w:after="0"/>
        <w:ind w:left="1134" w:right="976" w:hanging="567"/>
        <w:jc w:val="both"/>
        <w:rPr>
          <w:sz w:val="22"/>
        </w:rPr>
      </w:pPr>
      <w:r>
        <w:rPr>
          <w:sz w:val="22"/>
        </w:rPr>
        <w:t>En este punto, la SGCAN contrasta la metodología ecuatoriana con lo señalado en la jurisprudencia</w:t>
      </w:r>
      <w:r>
        <w:rPr>
          <w:spacing w:val="-16"/>
          <w:sz w:val="22"/>
        </w:rPr>
        <w:t> </w:t>
      </w:r>
      <w:r>
        <w:rPr>
          <w:sz w:val="22"/>
        </w:rPr>
        <w:t>del</w:t>
      </w:r>
      <w:r>
        <w:rPr>
          <w:spacing w:val="-15"/>
          <w:sz w:val="22"/>
        </w:rPr>
        <w:t> </w:t>
      </w:r>
      <w:r>
        <w:rPr>
          <w:sz w:val="22"/>
        </w:rPr>
        <w:t>TJCAN</w:t>
      </w:r>
      <w:r>
        <w:rPr>
          <w:spacing w:val="-15"/>
          <w:sz w:val="22"/>
        </w:rPr>
        <w:t> </w:t>
      </w:r>
      <w:r>
        <w:rPr>
          <w:sz w:val="22"/>
        </w:rPr>
        <w:t>y</w:t>
      </w:r>
      <w:r>
        <w:rPr>
          <w:spacing w:val="-16"/>
          <w:sz w:val="22"/>
        </w:rPr>
        <w:t> </w:t>
      </w:r>
      <w:r>
        <w:rPr>
          <w:sz w:val="22"/>
        </w:rPr>
        <w:t>con</w:t>
      </w:r>
      <w:r>
        <w:rPr>
          <w:spacing w:val="-15"/>
          <w:sz w:val="22"/>
        </w:rPr>
        <w:t> </w:t>
      </w:r>
      <w:r>
        <w:rPr>
          <w:sz w:val="22"/>
        </w:rPr>
        <w:t>su</w:t>
      </w:r>
      <w:r>
        <w:rPr>
          <w:spacing w:val="-15"/>
          <w:sz w:val="22"/>
        </w:rPr>
        <w:t> </w:t>
      </w:r>
      <w:r>
        <w:rPr>
          <w:sz w:val="22"/>
        </w:rPr>
        <w:t>propia</w:t>
      </w:r>
      <w:r>
        <w:rPr>
          <w:spacing w:val="-15"/>
          <w:sz w:val="22"/>
        </w:rPr>
        <w:t> </w:t>
      </w:r>
      <w:r>
        <w:rPr>
          <w:sz w:val="22"/>
        </w:rPr>
        <w:t>práctica</w:t>
      </w:r>
      <w:r>
        <w:rPr>
          <w:spacing w:val="-16"/>
          <w:sz w:val="22"/>
        </w:rPr>
        <w:t> </w:t>
      </w:r>
      <w:r>
        <w:rPr>
          <w:sz w:val="22"/>
        </w:rPr>
        <w:t>administrativa.</w:t>
      </w:r>
      <w:r>
        <w:rPr>
          <w:spacing w:val="-15"/>
          <w:sz w:val="22"/>
        </w:rPr>
        <w:t> </w:t>
      </w:r>
      <w:r>
        <w:rPr>
          <w:sz w:val="22"/>
        </w:rPr>
        <w:t>Al</w:t>
      </w:r>
      <w:r>
        <w:rPr>
          <w:spacing w:val="-15"/>
          <w:sz w:val="22"/>
        </w:rPr>
        <w:t> </w:t>
      </w:r>
      <w:r>
        <w:rPr>
          <w:sz w:val="22"/>
        </w:rPr>
        <w:t>respecto,</w:t>
      </w:r>
      <w:r>
        <w:rPr>
          <w:spacing w:val="-16"/>
          <w:sz w:val="22"/>
        </w:rPr>
        <w:t> </w:t>
      </w:r>
      <w:r>
        <w:rPr>
          <w:sz w:val="22"/>
        </w:rPr>
        <w:t>el</w:t>
      </w:r>
      <w:r>
        <w:rPr>
          <w:spacing w:val="-15"/>
          <w:sz w:val="22"/>
        </w:rPr>
        <w:t> </w:t>
      </w:r>
      <w:r>
        <w:rPr>
          <w:sz w:val="22"/>
        </w:rPr>
        <w:t>Tribunal ha</w:t>
      </w:r>
      <w:r>
        <w:rPr>
          <w:spacing w:val="-4"/>
          <w:sz w:val="22"/>
        </w:rPr>
        <w:t> </w:t>
      </w:r>
      <w:r>
        <w:rPr>
          <w:sz w:val="22"/>
        </w:rPr>
        <w:t>señalado</w:t>
      </w:r>
      <w:r>
        <w:rPr>
          <w:spacing w:val="-4"/>
          <w:sz w:val="22"/>
        </w:rPr>
        <w:t> </w:t>
      </w:r>
      <w:r>
        <w:rPr>
          <w:sz w:val="22"/>
        </w:rPr>
        <w:t>que</w:t>
      </w:r>
      <w:r>
        <w:rPr>
          <w:spacing w:val="-4"/>
          <w:sz w:val="22"/>
        </w:rPr>
        <w:t> </w:t>
      </w:r>
      <w:r>
        <w:rPr>
          <w:sz w:val="22"/>
        </w:rPr>
        <w:t>el</w:t>
      </w:r>
      <w:r>
        <w:rPr>
          <w:spacing w:val="-5"/>
          <w:sz w:val="22"/>
        </w:rPr>
        <w:t> </w:t>
      </w:r>
      <w:r>
        <w:rPr>
          <w:sz w:val="22"/>
        </w:rPr>
        <w:t>concepto</w:t>
      </w:r>
      <w:r>
        <w:rPr>
          <w:spacing w:val="-4"/>
          <w:sz w:val="22"/>
        </w:rPr>
        <w:t> </w:t>
      </w:r>
      <w:r>
        <w:rPr>
          <w:sz w:val="22"/>
        </w:rPr>
        <w:t>de</w:t>
      </w:r>
      <w:r>
        <w:rPr>
          <w:spacing w:val="-4"/>
          <w:sz w:val="22"/>
        </w:rPr>
        <w:t> </w:t>
      </w:r>
      <w:r>
        <w:rPr>
          <w:sz w:val="22"/>
        </w:rPr>
        <w:t>gravamen</w:t>
      </w:r>
      <w:r>
        <w:rPr>
          <w:spacing w:val="-6"/>
          <w:sz w:val="22"/>
        </w:rPr>
        <w:t> </w:t>
      </w:r>
      <w:r>
        <w:rPr>
          <w:sz w:val="22"/>
        </w:rPr>
        <w:t>“</w:t>
      </w:r>
      <w:r>
        <w:rPr>
          <w:rFonts w:ascii="Arial" w:hAnsi="Arial"/>
          <w:i/>
          <w:sz w:val="22"/>
        </w:rPr>
        <w:t>no</w:t>
      </w:r>
      <w:r>
        <w:rPr>
          <w:rFonts w:ascii="Arial" w:hAnsi="Arial"/>
          <w:i/>
          <w:spacing w:val="-4"/>
          <w:sz w:val="22"/>
        </w:rPr>
        <w:t> </w:t>
      </w:r>
      <w:r>
        <w:rPr>
          <w:rFonts w:ascii="Arial" w:hAnsi="Arial"/>
          <w:i/>
          <w:sz w:val="22"/>
        </w:rPr>
        <w:t>corresponde</w:t>
      </w:r>
      <w:r>
        <w:rPr>
          <w:rFonts w:ascii="Arial" w:hAnsi="Arial"/>
          <w:i/>
          <w:spacing w:val="-4"/>
          <w:sz w:val="22"/>
        </w:rPr>
        <w:t> </w:t>
      </w:r>
      <w:r>
        <w:rPr>
          <w:rFonts w:ascii="Arial" w:hAnsi="Arial"/>
          <w:i/>
          <w:sz w:val="22"/>
        </w:rPr>
        <w:t>al</w:t>
      </w:r>
      <w:r>
        <w:rPr>
          <w:rFonts w:ascii="Arial" w:hAnsi="Arial"/>
          <w:i/>
          <w:spacing w:val="-5"/>
          <w:sz w:val="22"/>
        </w:rPr>
        <w:t> </w:t>
      </w:r>
      <w:r>
        <w:rPr>
          <w:rFonts w:ascii="Arial" w:hAnsi="Arial"/>
          <w:i/>
          <w:sz w:val="22"/>
        </w:rPr>
        <w:t>criterio</w:t>
      </w:r>
      <w:r>
        <w:rPr>
          <w:rFonts w:ascii="Arial" w:hAnsi="Arial"/>
          <w:i/>
          <w:spacing w:val="-4"/>
          <w:sz w:val="22"/>
        </w:rPr>
        <w:t> </w:t>
      </w:r>
      <w:r>
        <w:rPr>
          <w:rFonts w:ascii="Arial" w:hAnsi="Arial"/>
          <w:i/>
          <w:sz w:val="22"/>
        </w:rPr>
        <w:t>técnico</w:t>
      </w:r>
      <w:r>
        <w:rPr>
          <w:rFonts w:ascii="Arial" w:hAnsi="Arial"/>
          <w:i/>
          <w:spacing w:val="-4"/>
          <w:sz w:val="22"/>
        </w:rPr>
        <w:t> </w:t>
      </w:r>
      <w:r>
        <w:rPr>
          <w:rFonts w:ascii="Arial" w:hAnsi="Arial"/>
          <w:i/>
          <w:sz w:val="22"/>
        </w:rPr>
        <w:t>tributario</w:t>
      </w:r>
      <w:r>
        <w:rPr>
          <w:sz w:val="22"/>
        </w:rPr>
        <w:t>” restringido al impuesto, sino que cubre “</w:t>
      </w:r>
      <w:r>
        <w:rPr>
          <w:rFonts w:ascii="Arial" w:hAnsi="Arial"/>
          <w:i/>
          <w:sz w:val="22"/>
        </w:rPr>
        <w:t>todas aquellas situaciones con las cuales se pretenda recargar el valor de las importaciones</w:t>
      </w:r>
      <w:r>
        <w:rPr>
          <w:sz w:val="22"/>
        </w:rPr>
        <w:t>” dentro de la zona de libre comercio, salvo el cobro de servicios directamente relacionados con el hecho de la importación.</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80" w:hanging="567"/>
        <w:jc w:val="both"/>
        <w:rPr>
          <w:sz w:val="22"/>
        </w:rPr>
      </w:pPr>
      <w:r>
        <w:rPr>
          <w:sz w:val="22"/>
        </w:rPr>
        <w:t>En diversas Resoluciones, la SGCAN ha calificado como gravámenes ciertos recargos que,</w:t>
      </w:r>
      <w:r>
        <w:rPr>
          <w:spacing w:val="76"/>
          <w:w w:val="150"/>
          <w:sz w:val="22"/>
        </w:rPr>
        <w:t> </w:t>
      </w:r>
      <w:r>
        <w:rPr>
          <w:sz w:val="22"/>
        </w:rPr>
        <w:t>aun</w:t>
      </w:r>
      <w:r>
        <w:rPr>
          <w:spacing w:val="72"/>
          <w:w w:val="150"/>
          <w:sz w:val="22"/>
        </w:rPr>
        <w:t> </w:t>
      </w:r>
      <w:r>
        <w:rPr>
          <w:sz w:val="22"/>
        </w:rPr>
        <w:t>presentados</w:t>
      </w:r>
      <w:r>
        <w:rPr>
          <w:spacing w:val="73"/>
          <w:w w:val="150"/>
          <w:sz w:val="22"/>
        </w:rPr>
        <w:t> </w:t>
      </w:r>
      <w:r>
        <w:rPr>
          <w:sz w:val="22"/>
        </w:rPr>
        <w:t>formalmente</w:t>
      </w:r>
      <w:r>
        <w:rPr>
          <w:spacing w:val="72"/>
          <w:w w:val="150"/>
          <w:sz w:val="22"/>
        </w:rPr>
        <w:t> </w:t>
      </w:r>
      <w:r>
        <w:rPr>
          <w:sz w:val="22"/>
        </w:rPr>
        <w:t>como</w:t>
      </w:r>
      <w:r>
        <w:rPr>
          <w:spacing w:val="73"/>
          <w:w w:val="150"/>
          <w:sz w:val="22"/>
        </w:rPr>
        <w:t> </w:t>
      </w:r>
      <w:r>
        <w:rPr>
          <w:sz w:val="22"/>
        </w:rPr>
        <w:t>tasas,</w:t>
      </w:r>
      <w:r>
        <w:rPr>
          <w:spacing w:val="74"/>
          <w:w w:val="150"/>
          <w:sz w:val="22"/>
        </w:rPr>
        <w:t> </w:t>
      </w:r>
      <w:r>
        <w:rPr>
          <w:sz w:val="22"/>
        </w:rPr>
        <w:t>se</w:t>
      </w:r>
      <w:r>
        <w:rPr>
          <w:spacing w:val="75"/>
          <w:w w:val="150"/>
          <w:sz w:val="22"/>
        </w:rPr>
        <w:t> </w:t>
      </w:r>
      <w:r>
        <w:rPr>
          <w:sz w:val="22"/>
        </w:rPr>
        <w:t>destinaban</w:t>
      </w:r>
      <w:r>
        <w:rPr>
          <w:spacing w:val="75"/>
          <w:w w:val="150"/>
          <w:sz w:val="22"/>
        </w:rPr>
        <w:t> </w:t>
      </w:r>
      <w:r>
        <w:rPr>
          <w:sz w:val="22"/>
        </w:rPr>
        <w:t>en</w:t>
      </w:r>
      <w:r>
        <w:rPr>
          <w:spacing w:val="75"/>
          <w:w w:val="150"/>
          <w:sz w:val="22"/>
        </w:rPr>
        <w:t> </w:t>
      </w:r>
      <w:r>
        <w:rPr>
          <w:sz w:val="22"/>
        </w:rPr>
        <w:t>realidad</w:t>
      </w:r>
      <w:r>
        <w:rPr>
          <w:spacing w:val="75"/>
          <w:w w:val="150"/>
          <w:sz w:val="22"/>
        </w:rPr>
        <w:t> </w:t>
      </w:r>
      <w:r>
        <w:rPr>
          <w:sz w:val="22"/>
        </w:rPr>
        <w:t>a</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BodyText"/>
        <w:ind w:left="1134" w:right="984"/>
        <w:jc w:val="both"/>
      </w:pPr>
      <w:r>
        <w:rPr/>
        <w:t>financiar</w:t>
      </w:r>
      <w:r>
        <w:rPr>
          <w:spacing w:val="-1"/>
        </w:rPr>
        <w:t> </w:t>
      </w:r>
      <w:r>
        <w:rPr>
          <w:rFonts w:ascii="Arial" w:hAnsi="Arial"/>
          <w:b/>
        </w:rPr>
        <w:t>funciones</w:t>
      </w:r>
      <w:r>
        <w:rPr>
          <w:rFonts w:ascii="Arial" w:hAnsi="Arial"/>
          <w:b/>
          <w:spacing w:val="-3"/>
        </w:rPr>
        <w:t> </w:t>
      </w:r>
      <w:r>
        <w:rPr/>
        <w:t>generales de control, salud o seguridad, sin una vinculación suficiente con un servicio individualizable al importador ni una estructura tarifaria que reflejara de manera razonable su costo aproximado.</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82" w:hanging="567"/>
        <w:jc w:val="both"/>
        <w:rPr>
          <w:sz w:val="22"/>
        </w:rPr>
      </w:pPr>
      <w:r>
        <w:rPr>
          <w:sz w:val="22"/>
        </w:rPr>
        <w:t>A</w:t>
      </w:r>
      <w:r>
        <w:rPr>
          <w:spacing w:val="-4"/>
          <w:sz w:val="22"/>
        </w:rPr>
        <w:t> </w:t>
      </w:r>
      <w:r>
        <w:rPr>
          <w:sz w:val="22"/>
        </w:rPr>
        <w:t>la</w:t>
      </w:r>
      <w:r>
        <w:rPr>
          <w:spacing w:val="-4"/>
          <w:sz w:val="22"/>
        </w:rPr>
        <w:t> </w:t>
      </w:r>
      <w:r>
        <w:rPr>
          <w:sz w:val="22"/>
        </w:rPr>
        <w:t>luz</w:t>
      </w:r>
      <w:r>
        <w:rPr>
          <w:spacing w:val="-4"/>
          <w:sz w:val="22"/>
        </w:rPr>
        <w:t> </w:t>
      </w:r>
      <w:r>
        <w:rPr>
          <w:sz w:val="22"/>
        </w:rPr>
        <w:t>de</w:t>
      </w:r>
      <w:r>
        <w:rPr>
          <w:spacing w:val="-7"/>
          <w:sz w:val="22"/>
        </w:rPr>
        <w:t> </w:t>
      </w:r>
      <w:r>
        <w:rPr>
          <w:sz w:val="22"/>
        </w:rPr>
        <w:t>estos</w:t>
      </w:r>
      <w:r>
        <w:rPr>
          <w:spacing w:val="-6"/>
          <w:sz w:val="22"/>
        </w:rPr>
        <w:t> </w:t>
      </w:r>
      <w:r>
        <w:rPr>
          <w:sz w:val="22"/>
        </w:rPr>
        <w:t>criterios,</w:t>
      </w:r>
      <w:r>
        <w:rPr>
          <w:spacing w:val="-3"/>
          <w:sz w:val="22"/>
        </w:rPr>
        <w:t> </w:t>
      </w:r>
      <w:r>
        <w:rPr>
          <w:sz w:val="22"/>
        </w:rPr>
        <w:t>las</w:t>
      </w:r>
      <w:r>
        <w:rPr>
          <w:spacing w:val="-6"/>
          <w:sz w:val="22"/>
        </w:rPr>
        <w:t> </w:t>
      </w:r>
      <w:r>
        <w:rPr>
          <w:sz w:val="22"/>
        </w:rPr>
        <w:t>Resoluciones</w:t>
      </w:r>
      <w:r>
        <w:rPr>
          <w:spacing w:val="-4"/>
          <w:sz w:val="22"/>
        </w:rPr>
        <w:t> </w:t>
      </w:r>
      <w:r>
        <w:rPr>
          <w:sz w:val="22"/>
        </w:rPr>
        <w:t>en</w:t>
      </w:r>
      <w:r>
        <w:rPr>
          <w:spacing w:val="-7"/>
          <w:sz w:val="22"/>
        </w:rPr>
        <w:t> </w:t>
      </w:r>
      <w:r>
        <w:rPr>
          <w:sz w:val="22"/>
        </w:rPr>
        <w:t>las</w:t>
      </w:r>
      <w:r>
        <w:rPr>
          <w:spacing w:val="-6"/>
          <w:sz w:val="22"/>
        </w:rPr>
        <w:t> </w:t>
      </w:r>
      <w:r>
        <w:rPr>
          <w:sz w:val="22"/>
        </w:rPr>
        <w:t>que</w:t>
      </w:r>
      <w:r>
        <w:rPr>
          <w:spacing w:val="-4"/>
          <w:sz w:val="22"/>
        </w:rPr>
        <w:t> </w:t>
      </w:r>
      <w:r>
        <w:rPr>
          <w:sz w:val="22"/>
        </w:rPr>
        <w:t>la</w:t>
      </w:r>
      <w:r>
        <w:rPr>
          <w:spacing w:val="-6"/>
          <w:sz w:val="22"/>
        </w:rPr>
        <w:t> </w:t>
      </w:r>
      <w:r>
        <w:rPr>
          <w:sz w:val="22"/>
        </w:rPr>
        <w:t>SGCAN</w:t>
      </w:r>
      <w:r>
        <w:rPr>
          <w:spacing w:val="-7"/>
          <w:sz w:val="22"/>
        </w:rPr>
        <w:t> </w:t>
      </w:r>
      <w:r>
        <w:rPr>
          <w:sz w:val="22"/>
        </w:rPr>
        <w:t>ha</w:t>
      </w:r>
      <w:r>
        <w:rPr>
          <w:spacing w:val="-4"/>
          <w:sz w:val="22"/>
        </w:rPr>
        <w:t> </w:t>
      </w:r>
      <w:r>
        <w:rPr>
          <w:sz w:val="22"/>
        </w:rPr>
        <w:t>examinado</w:t>
      </w:r>
      <w:r>
        <w:rPr>
          <w:spacing w:val="-4"/>
          <w:sz w:val="22"/>
        </w:rPr>
        <w:t> </w:t>
      </w:r>
      <w:r>
        <w:rPr>
          <w:sz w:val="22"/>
        </w:rPr>
        <w:t>cargos de esta naturaleza, ofrecen parámetros directos para el presente caso,</w:t>
      </w:r>
      <w:r>
        <w:rPr>
          <w:spacing w:val="40"/>
          <w:sz w:val="22"/>
        </w:rPr>
        <w:t> </w:t>
      </w:r>
      <w:r>
        <w:rPr>
          <w:sz w:val="22"/>
        </w:rPr>
        <w:t>a saber:</w:t>
      </w:r>
    </w:p>
    <w:p>
      <w:pPr>
        <w:pStyle w:val="BodyText"/>
        <w:spacing w:before="1"/>
      </w:pPr>
    </w:p>
    <w:p>
      <w:pPr>
        <w:pStyle w:val="ListParagraph"/>
        <w:numPr>
          <w:ilvl w:val="0"/>
          <w:numId w:val="44"/>
        </w:numPr>
        <w:tabs>
          <w:tab w:pos="2553" w:val="left" w:leader="none"/>
        </w:tabs>
        <w:spacing w:line="240" w:lineRule="auto" w:before="1" w:after="0"/>
        <w:ind w:left="2553" w:right="977" w:hanging="361"/>
        <w:jc w:val="both"/>
        <w:rPr>
          <w:sz w:val="22"/>
        </w:rPr>
      </w:pPr>
      <w:r>
        <w:rPr>
          <w:sz w:val="22"/>
        </w:rPr>
        <w:t>Resolución 311 (República de Colombia – contribuciones parafiscales): se estableció que la definición de gravamen no admite excepciones por origen o finalidad del recargo y que basta con que la medida dificulte o encarezca las importaciones para</w:t>
      </w:r>
      <w:r>
        <w:rPr>
          <w:spacing w:val="-1"/>
          <w:sz w:val="22"/>
        </w:rPr>
        <w:t> </w:t>
      </w:r>
      <w:r>
        <w:rPr>
          <w:sz w:val="22"/>
        </w:rPr>
        <w:t>ser incompatible con</w:t>
      </w:r>
      <w:r>
        <w:rPr>
          <w:spacing w:val="-1"/>
          <w:sz w:val="22"/>
        </w:rPr>
        <w:t> </w:t>
      </w:r>
      <w:r>
        <w:rPr>
          <w:sz w:val="22"/>
        </w:rPr>
        <w:t>el artículo 72</w:t>
      </w:r>
      <w:r>
        <w:rPr>
          <w:spacing w:val="-1"/>
          <w:sz w:val="22"/>
        </w:rPr>
        <w:t> </w:t>
      </w:r>
      <w:r>
        <w:rPr>
          <w:sz w:val="22"/>
        </w:rPr>
        <w:t>del Acuerdo de Cartagena.</w:t>
      </w:r>
    </w:p>
    <w:p>
      <w:pPr>
        <w:pStyle w:val="ListParagraph"/>
        <w:numPr>
          <w:ilvl w:val="0"/>
          <w:numId w:val="44"/>
        </w:numPr>
        <w:tabs>
          <w:tab w:pos="2553" w:val="left" w:leader="none"/>
        </w:tabs>
        <w:spacing w:line="240" w:lineRule="auto" w:before="250" w:after="0"/>
        <w:ind w:left="2553" w:right="974" w:hanging="361"/>
        <w:jc w:val="both"/>
        <w:rPr>
          <w:sz w:val="22"/>
        </w:rPr>
      </w:pPr>
      <w:r>
        <w:rPr>
          <w:sz w:val="22"/>
        </w:rPr>
        <w:t>Resolución 898 (República del Ecuador – 15% </w:t>
      </w:r>
      <w:r>
        <w:rPr>
          <w:rFonts w:ascii="Arial" w:hAnsi="Arial"/>
          <w:i/>
          <w:sz w:val="22"/>
        </w:rPr>
        <w:t>ad valorem </w:t>
      </w:r>
      <w:r>
        <w:rPr>
          <w:sz w:val="22"/>
        </w:rPr>
        <w:t>sobre guarniciones de frenos): se calificó como gravamen un recargo </w:t>
      </w:r>
      <w:r>
        <w:rPr>
          <w:rFonts w:ascii="Arial" w:hAnsi="Arial"/>
          <w:i/>
          <w:sz w:val="22"/>
        </w:rPr>
        <w:t>ad valorem</w:t>
      </w:r>
      <w:r>
        <w:rPr>
          <w:rFonts w:ascii="Arial" w:hAnsi="Arial"/>
          <w:i/>
          <w:spacing w:val="-8"/>
          <w:sz w:val="22"/>
        </w:rPr>
        <w:t> </w:t>
      </w:r>
      <w:r>
        <w:rPr>
          <w:sz w:val="22"/>
        </w:rPr>
        <w:t>justificado</w:t>
      </w:r>
      <w:r>
        <w:rPr>
          <w:spacing w:val="-7"/>
          <w:sz w:val="22"/>
        </w:rPr>
        <w:t> </w:t>
      </w:r>
      <w:r>
        <w:rPr>
          <w:sz w:val="22"/>
        </w:rPr>
        <w:t>como</w:t>
      </w:r>
      <w:r>
        <w:rPr>
          <w:spacing w:val="-10"/>
          <w:sz w:val="22"/>
        </w:rPr>
        <w:t> </w:t>
      </w:r>
      <w:r>
        <w:rPr>
          <w:sz w:val="22"/>
        </w:rPr>
        <w:t>medida</w:t>
      </w:r>
      <w:r>
        <w:rPr>
          <w:spacing w:val="-8"/>
          <w:sz w:val="22"/>
        </w:rPr>
        <w:t> </w:t>
      </w:r>
      <w:r>
        <w:rPr>
          <w:sz w:val="22"/>
        </w:rPr>
        <w:t>de</w:t>
      </w:r>
      <w:r>
        <w:rPr>
          <w:spacing w:val="-10"/>
          <w:sz w:val="22"/>
        </w:rPr>
        <w:t> </w:t>
      </w:r>
      <w:r>
        <w:rPr>
          <w:sz w:val="22"/>
        </w:rPr>
        <w:t>control,</w:t>
      </w:r>
      <w:r>
        <w:rPr>
          <w:spacing w:val="-8"/>
          <w:sz w:val="22"/>
        </w:rPr>
        <w:t> </w:t>
      </w:r>
      <w:r>
        <w:rPr>
          <w:sz w:val="22"/>
        </w:rPr>
        <w:t>señalando</w:t>
      </w:r>
      <w:r>
        <w:rPr>
          <w:spacing w:val="-8"/>
          <w:sz w:val="22"/>
        </w:rPr>
        <w:t> </w:t>
      </w:r>
      <w:r>
        <w:rPr>
          <w:sz w:val="22"/>
        </w:rPr>
        <w:t>que</w:t>
      </w:r>
      <w:r>
        <w:rPr>
          <w:spacing w:val="-7"/>
          <w:sz w:val="22"/>
        </w:rPr>
        <w:t> </w:t>
      </w:r>
      <w:r>
        <w:rPr>
          <w:sz w:val="22"/>
        </w:rPr>
        <w:t>su</w:t>
      </w:r>
      <w:r>
        <w:rPr>
          <w:spacing w:val="-10"/>
          <w:sz w:val="22"/>
        </w:rPr>
        <w:t> </w:t>
      </w:r>
      <w:r>
        <w:rPr>
          <w:sz w:val="22"/>
        </w:rPr>
        <w:t>estructura y efectos eran propios de un derecho arancelario.</w:t>
      </w:r>
    </w:p>
    <w:p>
      <w:pPr>
        <w:pStyle w:val="ListParagraph"/>
        <w:numPr>
          <w:ilvl w:val="0"/>
          <w:numId w:val="44"/>
        </w:numPr>
        <w:tabs>
          <w:tab w:pos="2553" w:val="left" w:leader="none"/>
        </w:tabs>
        <w:spacing w:line="240" w:lineRule="auto" w:before="251" w:after="0"/>
        <w:ind w:left="2553" w:right="978" w:hanging="361"/>
        <w:jc w:val="both"/>
        <w:rPr>
          <w:sz w:val="22"/>
        </w:rPr>
      </w:pPr>
      <w:r>
        <w:rPr>
          <w:sz w:val="22"/>
        </w:rPr>
        <w:t>Resolución 1999 (República del Ecuador – tasa de servicio de control aduanero),</w:t>
      </w:r>
      <w:r>
        <w:rPr>
          <w:spacing w:val="-16"/>
          <w:sz w:val="22"/>
        </w:rPr>
        <w:t> </w:t>
      </w:r>
      <w:r>
        <w:rPr>
          <w:sz w:val="22"/>
        </w:rPr>
        <w:t>se</w:t>
      </w:r>
      <w:r>
        <w:rPr>
          <w:spacing w:val="-15"/>
          <w:sz w:val="22"/>
        </w:rPr>
        <w:t> </w:t>
      </w:r>
      <w:r>
        <w:rPr>
          <w:sz w:val="22"/>
        </w:rPr>
        <w:t>concluyó</w:t>
      </w:r>
      <w:r>
        <w:rPr>
          <w:spacing w:val="-15"/>
          <w:sz w:val="22"/>
        </w:rPr>
        <w:t> </w:t>
      </w:r>
      <w:r>
        <w:rPr>
          <w:sz w:val="22"/>
        </w:rPr>
        <w:t>que</w:t>
      </w:r>
      <w:r>
        <w:rPr>
          <w:spacing w:val="-15"/>
          <w:sz w:val="22"/>
        </w:rPr>
        <w:t> </w:t>
      </w:r>
      <w:r>
        <w:rPr>
          <w:sz w:val="22"/>
        </w:rPr>
        <w:t>la</w:t>
      </w:r>
      <w:r>
        <w:rPr>
          <w:spacing w:val="-15"/>
          <w:sz w:val="22"/>
        </w:rPr>
        <w:t> </w:t>
      </w:r>
      <w:r>
        <w:rPr>
          <w:sz w:val="22"/>
        </w:rPr>
        <w:t>TSCA</w:t>
      </w:r>
      <w:r>
        <w:rPr>
          <w:spacing w:val="-15"/>
          <w:sz w:val="22"/>
        </w:rPr>
        <w:t> </w:t>
      </w:r>
      <w:r>
        <w:rPr>
          <w:sz w:val="22"/>
        </w:rPr>
        <w:t>de</w:t>
      </w:r>
      <w:r>
        <w:rPr>
          <w:spacing w:val="-15"/>
          <w:sz w:val="22"/>
        </w:rPr>
        <w:t> </w:t>
      </w:r>
      <w:r>
        <w:rPr>
          <w:sz w:val="22"/>
        </w:rPr>
        <w:t>entonces</w:t>
      </w:r>
      <w:r>
        <w:rPr>
          <w:spacing w:val="-16"/>
          <w:sz w:val="22"/>
        </w:rPr>
        <w:t> </w:t>
      </w:r>
      <w:r>
        <w:rPr>
          <w:sz w:val="22"/>
        </w:rPr>
        <w:t>constituía</w:t>
      </w:r>
      <w:r>
        <w:rPr>
          <w:spacing w:val="-15"/>
          <w:sz w:val="22"/>
        </w:rPr>
        <w:t> </w:t>
      </w:r>
      <w:r>
        <w:rPr>
          <w:sz w:val="22"/>
        </w:rPr>
        <w:t>un</w:t>
      </w:r>
      <w:r>
        <w:rPr>
          <w:spacing w:val="-15"/>
          <w:sz w:val="22"/>
        </w:rPr>
        <w:t> </w:t>
      </w:r>
      <w:r>
        <w:rPr>
          <w:sz w:val="22"/>
        </w:rPr>
        <w:t>gravamen porque: i) el control aduanero no se probó como servicio directo y únicamente vinculado a la operación de importación; y ii) el monto se calculaba en función de elementos (peso, clasificación arancelaria) que no guardaban relación con el costo aproximado de un servicio prestado al importador.</w:t>
      </w:r>
    </w:p>
    <w:p>
      <w:pPr>
        <w:pStyle w:val="ListParagraph"/>
        <w:numPr>
          <w:ilvl w:val="0"/>
          <w:numId w:val="11"/>
        </w:numPr>
        <w:tabs>
          <w:tab w:pos="1130" w:val="left" w:leader="none"/>
          <w:tab w:pos="1134" w:val="left" w:leader="none"/>
        </w:tabs>
        <w:spacing w:line="240" w:lineRule="auto" w:before="251" w:after="0"/>
        <w:ind w:left="1134" w:right="980" w:hanging="567"/>
        <w:jc w:val="both"/>
        <w:rPr>
          <w:sz w:val="22"/>
        </w:rPr>
      </w:pPr>
      <w:r>
        <w:rPr>
          <w:sz w:val="22"/>
        </w:rPr>
        <w:t>La SGCAN observa que la TSCA aplicada por la República del Ecuador pretende financiar, mediante un recargo porcentual amplio, un conjunto de funciones de control, vigilancia y equipamiento que exceden el núcleo de servicios individualizables al importador</w:t>
      </w:r>
      <w:r>
        <w:rPr>
          <w:spacing w:val="-6"/>
          <w:sz w:val="22"/>
        </w:rPr>
        <w:t> </w:t>
      </w:r>
      <w:r>
        <w:rPr>
          <w:sz w:val="22"/>
        </w:rPr>
        <w:t>que</w:t>
      </w:r>
      <w:r>
        <w:rPr>
          <w:spacing w:val="-7"/>
          <w:sz w:val="22"/>
        </w:rPr>
        <w:t> </w:t>
      </w:r>
      <w:r>
        <w:rPr>
          <w:sz w:val="22"/>
        </w:rPr>
        <w:t>el</w:t>
      </w:r>
      <w:r>
        <w:rPr>
          <w:spacing w:val="-8"/>
          <w:sz w:val="22"/>
        </w:rPr>
        <w:t> </w:t>
      </w:r>
      <w:r>
        <w:rPr>
          <w:sz w:val="22"/>
        </w:rPr>
        <w:t>TJCAN</w:t>
      </w:r>
      <w:r>
        <w:rPr>
          <w:spacing w:val="-8"/>
          <w:sz w:val="22"/>
        </w:rPr>
        <w:t> </w:t>
      </w:r>
      <w:r>
        <w:rPr>
          <w:sz w:val="22"/>
        </w:rPr>
        <w:t>identificó</w:t>
      </w:r>
      <w:r>
        <w:rPr>
          <w:spacing w:val="-8"/>
          <w:sz w:val="22"/>
        </w:rPr>
        <w:t> </w:t>
      </w:r>
      <w:r>
        <w:rPr>
          <w:sz w:val="22"/>
        </w:rPr>
        <w:t>como</w:t>
      </w:r>
      <w:r>
        <w:rPr>
          <w:spacing w:val="-7"/>
          <w:sz w:val="22"/>
        </w:rPr>
        <w:t> </w:t>
      </w:r>
      <w:r>
        <w:rPr>
          <w:sz w:val="22"/>
        </w:rPr>
        <w:t>ejemplo</w:t>
      </w:r>
      <w:r>
        <w:rPr>
          <w:spacing w:val="-7"/>
          <w:sz w:val="22"/>
        </w:rPr>
        <w:t> </w:t>
      </w:r>
      <w:r>
        <w:rPr>
          <w:sz w:val="22"/>
        </w:rPr>
        <w:t>de</w:t>
      </w:r>
      <w:r>
        <w:rPr>
          <w:spacing w:val="-8"/>
          <w:sz w:val="22"/>
        </w:rPr>
        <w:t> </w:t>
      </w:r>
      <w:r>
        <w:rPr>
          <w:sz w:val="22"/>
        </w:rPr>
        <w:t>tasa</w:t>
      </w:r>
      <w:r>
        <w:rPr>
          <w:spacing w:val="-8"/>
          <w:sz w:val="22"/>
        </w:rPr>
        <w:t> </w:t>
      </w:r>
      <w:r>
        <w:rPr>
          <w:sz w:val="22"/>
        </w:rPr>
        <w:t>admisible</w:t>
      </w:r>
      <w:r>
        <w:rPr>
          <w:spacing w:val="-7"/>
          <w:sz w:val="22"/>
        </w:rPr>
        <w:t> </w:t>
      </w:r>
      <w:r>
        <w:rPr>
          <w:sz w:val="22"/>
        </w:rPr>
        <w:t>(descargue,</w:t>
      </w:r>
      <w:r>
        <w:rPr>
          <w:spacing w:val="-7"/>
          <w:sz w:val="22"/>
        </w:rPr>
        <w:t> </w:t>
      </w:r>
      <w:r>
        <w:rPr>
          <w:sz w:val="22"/>
        </w:rPr>
        <w:t>estiba, bodegaje, uso de puerto, levante, etc.).</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5" w:hanging="567"/>
        <w:jc w:val="both"/>
        <w:rPr>
          <w:sz w:val="22"/>
        </w:rPr>
      </w:pPr>
      <w:r>
        <w:rPr>
          <w:sz w:val="22"/>
        </w:rPr>
        <w:t>A partir de lo anterior, la SGCAN concluye que, aunque la República del Ecuador ha cuantificado un costo anual y ha construido una fórmula aritmética para fijar las tasas del 30% y del 50%, </w:t>
      </w:r>
      <w:r>
        <w:rPr>
          <w:rFonts w:ascii="Arial" w:hAnsi="Arial"/>
          <w:b/>
          <w:sz w:val="22"/>
        </w:rPr>
        <w:t>no se ha logrado acreditar que </w:t>
      </w:r>
      <w:r>
        <w:rPr>
          <w:sz w:val="22"/>
        </w:rPr>
        <w:t>la TSCA corresponda al “</w:t>
      </w:r>
      <w:r>
        <w:rPr>
          <w:rFonts w:ascii="Arial" w:hAnsi="Arial"/>
          <w:b/>
          <w:i/>
          <w:sz w:val="22"/>
        </w:rPr>
        <w:t>costo aproximado de un servicio efectivamente prestado al importador</w:t>
      </w:r>
      <w:r>
        <w:rPr>
          <w:sz w:val="22"/>
        </w:rPr>
        <w:t>” en el sentido estricto del artículo 73 del Acuerdo de Cartagena y de lo señalado en la jurisprudencia del TJCAN.</w:t>
      </w:r>
    </w:p>
    <w:p>
      <w:pPr>
        <w:pStyle w:val="BodyText"/>
        <w:spacing w:before="1"/>
      </w:pPr>
    </w:p>
    <w:p>
      <w:pPr>
        <w:pStyle w:val="ListParagraph"/>
        <w:numPr>
          <w:ilvl w:val="0"/>
          <w:numId w:val="11"/>
        </w:numPr>
        <w:tabs>
          <w:tab w:pos="1131" w:val="left" w:leader="none"/>
        </w:tabs>
        <w:spacing w:line="240" w:lineRule="auto" w:before="0" w:after="0"/>
        <w:ind w:left="1131" w:right="0" w:hanging="563"/>
        <w:jc w:val="left"/>
        <w:rPr>
          <w:sz w:val="22"/>
        </w:rPr>
      </w:pPr>
      <w:r>
        <w:rPr>
          <w:sz w:val="22"/>
        </w:rPr>
        <w:t>En</w:t>
      </w:r>
      <w:r>
        <w:rPr>
          <w:spacing w:val="-4"/>
          <w:sz w:val="22"/>
        </w:rPr>
        <w:t> </w:t>
      </w:r>
      <w:r>
        <w:rPr>
          <w:sz w:val="22"/>
        </w:rPr>
        <w:t>particular,</w:t>
      </w:r>
      <w:r>
        <w:rPr>
          <w:spacing w:val="-1"/>
          <w:sz w:val="22"/>
        </w:rPr>
        <w:t> </w:t>
      </w:r>
      <w:r>
        <w:rPr>
          <w:sz w:val="22"/>
        </w:rPr>
        <w:t>la</w:t>
      </w:r>
      <w:r>
        <w:rPr>
          <w:spacing w:val="-6"/>
          <w:sz w:val="22"/>
        </w:rPr>
        <w:t> </w:t>
      </w:r>
      <w:r>
        <w:rPr>
          <w:sz w:val="22"/>
        </w:rPr>
        <w:t>SGCAN</w:t>
      </w:r>
      <w:r>
        <w:rPr>
          <w:spacing w:val="-7"/>
          <w:sz w:val="22"/>
        </w:rPr>
        <w:t> </w:t>
      </w:r>
      <w:r>
        <w:rPr>
          <w:sz w:val="22"/>
        </w:rPr>
        <w:t>destaca</w:t>
      </w:r>
      <w:r>
        <w:rPr>
          <w:spacing w:val="-3"/>
          <w:sz w:val="22"/>
        </w:rPr>
        <w:t> </w:t>
      </w:r>
      <w:r>
        <w:rPr>
          <w:spacing w:val="-4"/>
          <w:sz w:val="22"/>
        </w:rPr>
        <w:t>que:</w:t>
      </w:r>
    </w:p>
    <w:p>
      <w:pPr>
        <w:pStyle w:val="BodyText"/>
      </w:pPr>
    </w:p>
    <w:p>
      <w:pPr>
        <w:pStyle w:val="ListParagraph"/>
        <w:numPr>
          <w:ilvl w:val="0"/>
          <w:numId w:val="45"/>
        </w:numPr>
        <w:tabs>
          <w:tab w:pos="2553" w:val="left" w:leader="none"/>
        </w:tabs>
        <w:spacing w:line="240" w:lineRule="auto" w:before="0" w:after="0"/>
        <w:ind w:left="2553" w:right="979" w:hanging="361"/>
        <w:jc w:val="both"/>
        <w:rPr>
          <w:sz w:val="22"/>
        </w:rPr>
      </w:pPr>
      <w:r>
        <w:rPr>
          <w:sz w:val="22"/>
        </w:rPr>
        <w:t>Los rubros financiados por la TSCA responden en buena parte a </w:t>
      </w:r>
      <w:r>
        <w:rPr>
          <w:rFonts w:ascii="Arial" w:hAnsi="Arial"/>
          <w:b/>
          <w:sz w:val="22"/>
        </w:rPr>
        <w:t>potestades públicas generales </w:t>
      </w:r>
      <w:r>
        <w:rPr>
          <w:sz w:val="22"/>
        </w:rPr>
        <w:t>de control aduanero y seguridad, que benefician al Estado y al sistema de control en su conjunto, y no a cada operación de importación de manera divisible e individualizable.</w:t>
      </w:r>
    </w:p>
    <w:p>
      <w:pPr>
        <w:pStyle w:val="ListParagraph"/>
        <w:numPr>
          <w:ilvl w:val="0"/>
          <w:numId w:val="45"/>
        </w:numPr>
        <w:tabs>
          <w:tab w:pos="2553" w:val="left" w:leader="none"/>
        </w:tabs>
        <w:spacing w:line="240" w:lineRule="auto" w:before="251" w:after="0"/>
        <w:ind w:left="2553" w:right="978" w:hanging="361"/>
        <w:jc w:val="both"/>
        <w:rPr>
          <w:sz w:val="22"/>
        </w:rPr>
      </w:pPr>
      <w:r>
        <w:rPr>
          <w:sz w:val="22"/>
        </w:rPr>
        <w:t>La</w:t>
      </w:r>
      <w:r>
        <w:rPr>
          <w:spacing w:val="-1"/>
          <w:sz w:val="22"/>
        </w:rPr>
        <w:t> </w:t>
      </w:r>
      <w:r>
        <w:rPr>
          <w:sz w:val="22"/>
        </w:rPr>
        <w:t>metodología de</w:t>
      </w:r>
      <w:r>
        <w:rPr>
          <w:spacing w:val="-1"/>
          <w:sz w:val="22"/>
        </w:rPr>
        <w:t> </w:t>
      </w:r>
      <w:r>
        <w:rPr>
          <w:sz w:val="22"/>
        </w:rPr>
        <w:t>cálculo se centra en</w:t>
      </w:r>
      <w:r>
        <w:rPr>
          <w:spacing w:val="-1"/>
          <w:sz w:val="22"/>
        </w:rPr>
        <w:t> </w:t>
      </w:r>
      <w:r>
        <w:rPr>
          <w:sz w:val="22"/>
        </w:rPr>
        <w:t>una </w:t>
      </w:r>
      <w:r>
        <w:rPr>
          <w:rFonts w:ascii="Arial" w:hAnsi="Arial"/>
          <w:b/>
          <w:sz w:val="22"/>
        </w:rPr>
        <w:t>recaudación</w:t>
      </w:r>
      <w:r>
        <w:rPr>
          <w:rFonts w:ascii="Arial" w:hAnsi="Arial"/>
          <w:b/>
          <w:spacing w:val="-1"/>
          <w:sz w:val="22"/>
        </w:rPr>
        <w:t> </w:t>
      </w:r>
      <w:r>
        <w:rPr>
          <w:rFonts w:ascii="Arial" w:hAnsi="Arial"/>
          <w:b/>
          <w:sz w:val="22"/>
        </w:rPr>
        <w:t>objetivo</w:t>
      </w:r>
      <w:r>
        <w:rPr>
          <w:rFonts w:ascii="Arial" w:hAnsi="Arial"/>
          <w:b/>
          <w:spacing w:val="-1"/>
          <w:sz w:val="22"/>
        </w:rPr>
        <w:t> </w:t>
      </w:r>
      <w:r>
        <w:rPr>
          <w:sz w:val="22"/>
        </w:rPr>
        <w:t>igual al</w:t>
      </w:r>
      <w:r>
        <w:rPr>
          <w:spacing w:val="-6"/>
          <w:sz w:val="22"/>
        </w:rPr>
        <w:t> </w:t>
      </w:r>
      <w:r>
        <w:rPr>
          <w:sz w:val="22"/>
        </w:rPr>
        <w:t>costo</w:t>
      </w:r>
      <w:r>
        <w:rPr>
          <w:spacing w:val="-5"/>
          <w:sz w:val="22"/>
        </w:rPr>
        <w:t> </w:t>
      </w:r>
      <w:r>
        <w:rPr>
          <w:sz w:val="22"/>
        </w:rPr>
        <w:t>global</w:t>
      </w:r>
      <w:r>
        <w:rPr>
          <w:spacing w:val="-6"/>
          <w:sz w:val="22"/>
        </w:rPr>
        <w:t> </w:t>
      </w:r>
      <w:r>
        <w:rPr>
          <w:sz w:val="22"/>
        </w:rPr>
        <w:t>de</w:t>
      </w:r>
      <w:r>
        <w:rPr>
          <w:spacing w:val="-5"/>
          <w:sz w:val="22"/>
        </w:rPr>
        <w:t> </w:t>
      </w:r>
      <w:r>
        <w:rPr>
          <w:sz w:val="22"/>
        </w:rPr>
        <w:t>un</w:t>
      </w:r>
      <w:r>
        <w:rPr>
          <w:spacing w:val="-8"/>
          <w:sz w:val="22"/>
        </w:rPr>
        <w:t> </w:t>
      </w:r>
      <w:r>
        <w:rPr>
          <w:sz w:val="22"/>
        </w:rPr>
        <w:t>programa</w:t>
      </w:r>
      <w:r>
        <w:rPr>
          <w:spacing w:val="-7"/>
          <w:sz w:val="22"/>
        </w:rPr>
        <w:t> </w:t>
      </w:r>
      <w:r>
        <w:rPr>
          <w:sz w:val="22"/>
        </w:rPr>
        <w:t>de</w:t>
      </w:r>
      <w:r>
        <w:rPr>
          <w:spacing w:val="-5"/>
          <w:sz w:val="22"/>
        </w:rPr>
        <w:t> </w:t>
      </w:r>
      <w:r>
        <w:rPr>
          <w:sz w:val="22"/>
        </w:rPr>
        <w:t>fortalecimiento</w:t>
      </w:r>
      <w:r>
        <w:rPr>
          <w:spacing w:val="-7"/>
          <w:sz w:val="22"/>
        </w:rPr>
        <w:t> </w:t>
      </w:r>
      <w:r>
        <w:rPr>
          <w:sz w:val="22"/>
        </w:rPr>
        <w:t>institucional,</w:t>
      </w:r>
      <w:r>
        <w:rPr>
          <w:spacing w:val="-5"/>
          <w:sz w:val="22"/>
        </w:rPr>
        <w:t> </w:t>
      </w:r>
      <w:r>
        <w:rPr>
          <w:sz w:val="22"/>
        </w:rPr>
        <w:t>ajustando ex post un porcentaje </w:t>
      </w:r>
      <w:r>
        <w:rPr>
          <w:rFonts w:ascii="Arial" w:hAnsi="Arial"/>
          <w:i/>
          <w:sz w:val="22"/>
        </w:rPr>
        <w:t>ad valorem </w:t>
      </w:r>
      <w:r>
        <w:rPr>
          <w:sz w:val="22"/>
        </w:rPr>
        <w:t>sobre las importaciones colombianas para alcanzar esa cifra, lo que es típico de un gravamen de efectos </w:t>
      </w:r>
      <w:r>
        <w:rPr>
          <w:spacing w:val="-2"/>
          <w:sz w:val="22"/>
        </w:rPr>
        <w:t>equivalentes.</w:t>
      </w:r>
    </w:p>
    <w:p>
      <w:pPr>
        <w:pStyle w:val="BodyText"/>
        <w:spacing w:before="1"/>
      </w:pPr>
    </w:p>
    <w:p>
      <w:pPr>
        <w:pStyle w:val="ListParagraph"/>
        <w:numPr>
          <w:ilvl w:val="0"/>
          <w:numId w:val="45"/>
        </w:numPr>
        <w:tabs>
          <w:tab w:pos="2553" w:val="left" w:leader="none"/>
        </w:tabs>
        <w:spacing w:line="237" w:lineRule="auto" w:before="1" w:after="0"/>
        <w:ind w:left="2553" w:right="978" w:hanging="361"/>
        <w:jc w:val="both"/>
        <w:rPr>
          <w:sz w:val="22"/>
        </w:rPr>
      </w:pPr>
      <w:r>
        <w:rPr>
          <w:rFonts w:ascii="Arial" w:hAnsi="Arial"/>
          <w:b/>
          <w:sz w:val="22"/>
        </w:rPr>
        <w:t>El uso de una base de cálculo </w:t>
      </w:r>
      <w:r>
        <w:rPr>
          <w:rFonts w:ascii="Arial" w:hAnsi="Arial"/>
          <w:b/>
          <w:i/>
          <w:sz w:val="22"/>
        </w:rPr>
        <w:t>ad valorem </w:t>
      </w:r>
      <w:r>
        <w:rPr>
          <w:rFonts w:ascii="Arial" w:hAnsi="Arial"/>
          <w:b/>
          <w:sz w:val="22"/>
        </w:rPr>
        <w:t>y la ausencia de una cuantificación de costos unitarios aproximados por servicio </w:t>
      </w:r>
      <w:r>
        <w:rPr>
          <w:sz w:val="22"/>
        </w:rPr>
        <w:t>(por escaneo,</w:t>
      </w:r>
      <w:r>
        <w:rPr>
          <w:spacing w:val="20"/>
          <w:sz w:val="22"/>
        </w:rPr>
        <w:t> </w:t>
      </w:r>
      <w:r>
        <w:rPr>
          <w:sz w:val="22"/>
        </w:rPr>
        <w:t>por</w:t>
      </w:r>
      <w:r>
        <w:rPr>
          <w:spacing w:val="20"/>
          <w:sz w:val="22"/>
        </w:rPr>
        <w:t> </w:t>
      </w:r>
      <w:r>
        <w:rPr>
          <w:sz w:val="22"/>
        </w:rPr>
        <w:t>aforo, por análisis</w:t>
      </w:r>
      <w:r>
        <w:rPr>
          <w:spacing w:val="19"/>
          <w:sz w:val="22"/>
        </w:rPr>
        <w:t> </w:t>
      </w:r>
      <w:r>
        <w:rPr>
          <w:sz w:val="22"/>
        </w:rPr>
        <w:t>de laboratorio,</w:t>
      </w:r>
      <w:r>
        <w:rPr>
          <w:spacing w:val="20"/>
          <w:sz w:val="22"/>
        </w:rPr>
        <w:t> </w:t>
      </w:r>
      <w:r>
        <w:rPr>
          <w:sz w:val="22"/>
        </w:rPr>
        <w:t>por</w:t>
      </w:r>
      <w:r>
        <w:rPr>
          <w:spacing w:val="20"/>
          <w:sz w:val="22"/>
        </w:rPr>
        <w:t> </w:t>
      </w:r>
      <w:r>
        <w:rPr>
          <w:sz w:val="22"/>
        </w:rPr>
        <w:t>operación en fin</w:t>
      </w:r>
      <w:r>
        <w:rPr>
          <w:spacing w:val="19"/>
          <w:sz w:val="22"/>
        </w:rPr>
        <w:t> </w:t>
      </w:r>
      <w:r>
        <w:rPr>
          <w:sz w:val="22"/>
        </w:rPr>
        <w:t>de</w:t>
      </w:r>
    </w:p>
    <w:p>
      <w:pPr>
        <w:pStyle w:val="ListParagraph"/>
        <w:spacing w:after="0" w:line="237" w:lineRule="auto"/>
        <w:jc w:val="both"/>
        <w:rPr>
          <w:sz w:val="22"/>
        </w:rPr>
        <w:sectPr>
          <w:pgSz w:w="11900" w:h="16850"/>
          <w:pgMar w:header="370" w:footer="651" w:top="1380" w:bottom="840" w:left="992" w:right="283"/>
        </w:sectPr>
      </w:pPr>
    </w:p>
    <w:p>
      <w:pPr>
        <w:pStyle w:val="BodyText"/>
        <w:spacing w:before="176"/>
      </w:pPr>
    </w:p>
    <w:p>
      <w:pPr>
        <w:pStyle w:val="BodyText"/>
        <w:ind w:left="2553" w:right="955"/>
      </w:pPr>
      <w:r>
        <w:rPr/>
        <w:t>semana),</w:t>
      </w:r>
      <w:r>
        <w:rPr>
          <w:spacing w:val="-12"/>
        </w:rPr>
        <w:t> </w:t>
      </w:r>
      <w:r>
        <w:rPr/>
        <w:t>impiden</w:t>
      </w:r>
      <w:r>
        <w:rPr>
          <w:spacing w:val="-13"/>
        </w:rPr>
        <w:t> </w:t>
      </w:r>
      <w:r>
        <w:rPr/>
        <w:t>demostrar</w:t>
      </w:r>
      <w:r>
        <w:rPr>
          <w:spacing w:val="-15"/>
        </w:rPr>
        <w:t> </w:t>
      </w:r>
      <w:r>
        <w:rPr/>
        <w:t>la</w:t>
      </w:r>
      <w:r>
        <w:rPr>
          <w:spacing w:val="-13"/>
        </w:rPr>
        <w:t> </w:t>
      </w:r>
      <w:r>
        <w:rPr/>
        <w:t>relación</w:t>
      </w:r>
      <w:r>
        <w:rPr>
          <w:spacing w:val="-14"/>
        </w:rPr>
        <w:t> </w:t>
      </w:r>
      <w:r>
        <w:rPr/>
        <w:t>directa</w:t>
      </w:r>
      <w:r>
        <w:rPr>
          <w:spacing w:val="-15"/>
        </w:rPr>
        <w:t> </w:t>
      </w:r>
      <w:r>
        <w:rPr/>
        <w:t>y</w:t>
      </w:r>
      <w:r>
        <w:rPr>
          <w:spacing w:val="-13"/>
        </w:rPr>
        <w:t> </w:t>
      </w:r>
      <w:r>
        <w:rPr/>
        <w:t>proporcional</w:t>
      </w:r>
      <w:r>
        <w:rPr>
          <w:spacing w:val="-14"/>
        </w:rPr>
        <w:t> </w:t>
      </w:r>
      <w:r>
        <w:rPr/>
        <w:t>exigida</w:t>
      </w:r>
      <w:r>
        <w:rPr>
          <w:spacing w:val="-14"/>
        </w:rPr>
        <w:t> </w:t>
      </w:r>
      <w:r>
        <w:rPr/>
        <w:t>por el Proceso 12</w:t>
      </w:r>
      <w:r>
        <w:rPr>
          <w:rFonts w:ascii="Cambria Math" w:hAnsi="Cambria Math"/>
        </w:rPr>
        <w:t>‑</w:t>
      </w:r>
      <w:r>
        <w:rPr/>
        <w:t>AN</w:t>
      </w:r>
      <w:r>
        <w:rPr>
          <w:rFonts w:ascii="Cambria Math" w:hAnsi="Cambria Math"/>
        </w:rPr>
        <w:t>‑</w:t>
      </w:r>
      <w:r>
        <w:rPr/>
        <w:t>99.</w:t>
      </w:r>
    </w:p>
    <w:p>
      <w:pPr>
        <w:pStyle w:val="ListParagraph"/>
        <w:numPr>
          <w:ilvl w:val="0"/>
          <w:numId w:val="11"/>
        </w:numPr>
        <w:tabs>
          <w:tab w:pos="1130" w:val="left" w:leader="none"/>
          <w:tab w:pos="1134" w:val="left" w:leader="none"/>
        </w:tabs>
        <w:spacing w:line="240" w:lineRule="auto" w:before="253" w:after="0"/>
        <w:ind w:left="1134" w:right="977" w:hanging="567"/>
        <w:jc w:val="both"/>
        <w:rPr>
          <w:sz w:val="22"/>
        </w:rPr>
      </w:pPr>
      <w:r>
        <w:rPr>
          <w:sz w:val="22"/>
        </w:rPr>
        <w:t>En consecuencia, la medida analizada no puede ser considerada como una excepción del artículo 73 del Acuerdo de Cartagena relativa a tasas por servicios prestados, sino que</w:t>
      </w:r>
      <w:r>
        <w:rPr>
          <w:spacing w:val="-10"/>
          <w:sz w:val="22"/>
        </w:rPr>
        <w:t> </w:t>
      </w:r>
      <w:r>
        <w:rPr>
          <w:sz w:val="22"/>
        </w:rPr>
        <w:t>configura</w:t>
      </w:r>
      <w:r>
        <w:rPr>
          <w:spacing w:val="-10"/>
          <w:sz w:val="22"/>
        </w:rPr>
        <w:t> </w:t>
      </w:r>
      <w:r>
        <w:rPr>
          <w:sz w:val="22"/>
        </w:rPr>
        <w:t>un</w:t>
      </w:r>
      <w:r>
        <w:rPr>
          <w:spacing w:val="-12"/>
          <w:sz w:val="22"/>
        </w:rPr>
        <w:t> </w:t>
      </w:r>
      <w:r>
        <w:rPr>
          <w:rFonts w:ascii="Arial" w:hAnsi="Arial"/>
          <w:b/>
          <w:sz w:val="22"/>
        </w:rPr>
        <w:t>recargo</w:t>
      </w:r>
      <w:r>
        <w:rPr>
          <w:rFonts w:ascii="Arial" w:hAnsi="Arial"/>
          <w:b/>
          <w:spacing w:val="-10"/>
          <w:sz w:val="22"/>
        </w:rPr>
        <w:t> </w:t>
      </w:r>
      <w:r>
        <w:rPr>
          <w:rFonts w:ascii="Arial" w:hAnsi="Arial"/>
          <w:b/>
          <w:sz w:val="22"/>
        </w:rPr>
        <w:t>de</w:t>
      </w:r>
      <w:r>
        <w:rPr>
          <w:rFonts w:ascii="Arial" w:hAnsi="Arial"/>
          <w:b/>
          <w:spacing w:val="-10"/>
          <w:sz w:val="22"/>
        </w:rPr>
        <w:t> </w:t>
      </w:r>
      <w:r>
        <w:rPr>
          <w:rFonts w:ascii="Arial" w:hAnsi="Arial"/>
          <w:b/>
          <w:sz w:val="22"/>
        </w:rPr>
        <w:t>efectos</w:t>
      </w:r>
      <w:r>
        <w:rPr>
          <w:rFonts w:ascii="Arial" w:hAnsi="Arial"/>
          <w:b/>
          <w:spacing w:val="-13"/>
          <w:sz w:val="22"/>
        </w:rPr>
        <w:t> </w:t>
      </w:r>
      <w:r>
        <w:rPr>
          <w:rFonts w:ascii="Arial" w:hAnsi="Arial"/>
          <w:b/>
          <w:sz w:val="22"/>
        </w:rPr>
        <w:t>equivalentes</w:t>
      </w:r>
      <w:r>
        <w:rPr>
          <w:rFonts w:ascii="Arial" w:hAnsi="Arial"/>
          <w:b/>
          <w:spacing w:val="-10"/>
          <w:sz w:val="22"/>
        </w:rPr>
        <w:t> </w:t>
      </w:r>
      <w:r>
        <w:rPr>
          <w:rFonts w:ascii="Arial" w:hAnsi="Arial"/>
          <w:b/>
          <w:sz w:val="22"/>
        </w:rPr>
        <w:t>a</w:t>
      </w:r>
      <w:r>
        <w:rPr>
          <w:rFonts w:ascii="Arial" w:hAnsi="Arial"/>
          <w:b/>
          <w:spacing w:val="-10"/>
          <w:sz w:val="22"/>
        </w:rPr>
        <w:t> </w:t>
      </w:r>
      <w:r>
        <w:rPr>
          <w:rFonts w:ascii="Arial" w:hAnsi="Arial"/>
          <w:b/>
          <w:sz w:val="22"/>
        </w:rPr>
        <w:t>un</w:t>
      </w:r>
      <w:r>
        <w:rPr>
          <w:rFonts w:ascii="Arial" w:hAnsi="Arial"/>
          <w:b/>
          <w:spacing w:val="-13"/>
          <w:sz w:val="22"/>
        </w:rPr>
        <w:t> </w:t>
      </w:r>
      <w:r>
        <w:rPr>
          <w:rFonts w:ascii="Arial" w:hAnsi="Arial"/>
          <w:b/>
          <w:sz w:val="22"/>
        </w:rPr>
        <w:t>derecho</w:t>
      </w:r>
      <w:r>
        <w:rPr>
          <w:rFonts w:ascii="Arial" w:hAnsi="Arial"/>
          <w:b/>
          <w:spacing w:val="-10"/>
          <w:sz w:val="22"/>
        </w:rPr>
        <w:t> </w:t>
      </w:r>
      <w:r>
        <w:rPr>
          <w:rFonts w:ascii="Arial" w:hAnsi="Arial"/>
          <w:b/>
          <w:sz w:val="22"/>
        </w:rPr>
        <w:t>aduanero</w:t>
      </w:r>
      <w:r>
        <w:rPr>
          <w:rFonts w:ascii="Arial" w:hAnsi="Arial"/>
          <w:b/>
          <w:spacing w:val="-8"/>
          <w:sz w:val="22"/>
        </w:rPr>
        <w:t> </w:t>
      </w:r>
      <w:r>
        <w:rPr>
          <w:sz w:val="22"/>
        </w:rPr>
        <w:t>que</w:t>
      </w:r>
      <w:r>
        <w:rPr>
          <w:spacing w:val="-12"/>
          <w:sz w:val="22"/>
        </w:rPr>
        <w:t> </w:t>
      </w:r>
      <w:r>
        <w:rPr>
          <w:sz w:val="22"/>
        </w:rPr>
        <w:t>incide sobre las importaciones provenientes u originarias de la República de Colombia y, por ende, un gravamen.</w:t>
      </w:r>
    </w:p>
    <w:p>
      <w:pPr>
        <w:pStyle w:val="BodyText"/>
        <w:spacing w:before="2"/>
      </w:pPr>
    </w:p>
    <w:p>
      <w:pPr>
        <w:pStyle w:val="Heading2"/>
        <w:numPr>
          <w:ilvl w:val="0"/>
          <w:numId w:val="46"/>
        </w:numPr>
        <w:tabs>
          <w:tab w:pos="1912" w:val="left" w:leader="none"/>
        </w:tabs>
        <w:spacing w:line="240" w:lineRule="auto" w:before="0" w:after="0"/>
        <w:ind w:left="1912" w:right="0" w:hanging="360"/>
        <w:jc w:val="left"/>
      </w:pPr>
      <w:r>
        <w:rPr/>
        <w:t>Selectividad</w:t>
      </w:r>
      <w:r>
        <w:rPr>
          <w:spacing w:val="-6"/>
        </w:rPr>
        <w:t> </w:t>
      </w:r>
      <w:r>
        <w:rPr/>
        <w:t>por</w:t>
      </w:r>
      <w:r>
        <w:rPr>
          <w:spacing w:val="-3"/>
        </w:rPr>
        <w:t> </w:t>
      </w:r>
      <w:r>
        <w:rPr/>
        <w:t>país</w:t>
      </w:r>
      <w:r>
        <w:rPr>
          <w:spacing w:val="-5"/>
        </w:rPr>
        <w:t> </w:t>
      </w:r>
      <w:r>
        <w:rPr/>
        <w:t>de</w:t>
      </w:r>
      <w:r>
        <w:rPr>
          <w:spacing w:val="-3"/>
        </w:rPr>
        <w:t> </w:t>
      </w:r>
      <w:r>
        <w:rPr>
          <w:spacing w:val="-2"/>
        </w:rPr>
        <w:t>origen</w:t>
      </w:r>
    </w:p>
    <w:p>
      <w:pPr>
        <w:pStyle w:val="ListParagraph"/>
        <w:numPr>
          <w:ilvl w:val="0"/>
          <w:numId w:val="11"/>
        </w:numPr>
        <w:tabs>
          <w:tab w:pos="1130" w:val="left" w:leader="none"/>
          <w:tab w:pos="1134" w:val="left" w:leader="none"/>
        </w:tabs>
        <w:spacing w:line="240" w:lineRule="auto" w:before="250" w:after="0"/>
        <w:ind w:left="1134" w:right="981" w:hanging="567"/>
        <w:jc w:val="both"/>
        <w:rPr>
          <w:sz w:val="22"/>
        </w:rPr>
      </w:pPr>
      <w:r>
        <w:rPr>
          <w:sz w:val="22"/>
        </w:rPr>
        <w:t>El artículo 1 de las Resoluciones SENAE-SENAE-2026-0006-RE y SENAE-SENAE-2026-0017-RE señala que la TSCA se aplicará a las mercancías originaria o procedentes de la República de Colombia, sin señalar ningún otro País Miembro.</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La medida ecuatoriana se aplica exclusivamente a las mercancías que provengan o sean originarias de la República de Colombia, mientras que las importaciones de producción</w:t>
      </w:r>
      <w:r>
        <w:rPr>
          <w:spacing w:val="-4"/>
          <w:sz w:val="22"/>
        </w:rPr>
        <w:t> </w:t>
      </w:r>
      <w:r>
        <w:rPr>
          <w:sz w:val="22"/>
        </w:rPr>
        <w:t>nacional,</w:t>
      </w:r>
      <w:r>
        <w:rPr>
          <w:spacing w:val="-3"/>
          <w:sz w:val="22"/>
        </w:rPr>
        <w:t> </w:t>
      </w:r>
      <w:r>
        <w:rPr>
          <w:sz w:val="22"/>
        </w:rPr>
        <w:t>de</w:t>
      </w:r>
      <w:r>
        <w:rPr>
          <w:spacing w:val="-7"/>
          <w:sz w:val="22"/>
        </w:rPr>
        <w:t> </w:t>
      </w:r>
      <w:r>
        <w:rPr>
          <w:sz w:val="22"/>
        </w:rPr>
        <w:t>otros</w:t>
      </w:r>
      <w:r>
        <w:rPr>
          <w:spacing w:val="-4"/>
          <w:sz w:val="22"/>
        </w:rPr>
        <w:t> </w:t>
      </w:r>
      <w:r>
        <w:rPr>
          <w:sz w:val="22"/>
        </w:rPr>
        <w:t>Países</w:t>
      </w:r>
      <w:r>
        <w:rPr>
          <w:spacing w:val="-6"/>
          <w:sz w:val="22"/>
        </w:rPr>
        <w:t> </w:t>
      </w:r>
      <w:r>
        <w:rPr>
          <w:sz w:val="22"/>
        </w:rPr>
        <w:t>Miembros</w:t>
      </w:r>
      <w:r>
        <w:rPr>
          <w:spacing w:val="-4"/>
          <w:sz w:val="22"/>
        </w:rPr>
        <w:t> </w:t>
      </w:r>
      <w:r>
        <w:rPr>
          <w:sz w:val="22"/>
        </w:rPr>
        <w:t>y</w:t>
      </w:r>
      <w:r>
        <w:rPr>
          <w:spacing w:val="-6"/>
          <w:sz w:val="22"/>
        </w:rPr>
        <w:t> </w:t>
      </w:r>
      <w:r>
        <w:rPr>
          <w:sz w:val="22"/>
        </w:rPr>
        <w:t>de</w:t>
      </w:r>
      <w:r>
        <w:rPr>
          <w:spacing w:val="-4"/>
          <w:sz w:val="22"/>
        </w:rPr>
        <w:t> </w:t>
      </w:r>
      <w:r>
        <w:rPr>
          <w:sz w:val="22"/>
        </w:rPr>
        <w:t>terceros</w:t>
      </w:r>
      <w:r>
        <w:rPr>
          <w:spacing w:val="-4"/>
          <w:sz w:val="22"/>
        </w:rPr>
        <w:t> </w:t>
      </w:r>
      <w:r>
        <w:rPr>
          <w:sz w:val="22"/>
        </w:rPr>
        <w:t>países</w:t>
      </w:r>
      <w:r>
        <w:rPr>
          <w:spacing w:val="-4"/>
          <w:sz w:val="22"/>
        </w:rPr>
        <w:t> </w:t>
      </w:r>
      <w:r>
        <w:rPr>
          <w:sz w:val="22"/>
        </w:rPr>
        <w:t>no</w:t>
      </w:r>
      <w:r>
        <w:rPr>
          <w:spacing w:val="-4"/>
          <w:sz w:val="22"/>
        </w:rPr>
        <w:t> </w:t>
      </w:r>
      <w:r>
        <w:rPr>
          <w:sz w:val="22"/>
        </w:rPr>
        <w:t>están</w:t>
      </w:r>
      <w:r>
        <w:rPr>
          <w:spacing w:val="-4"/>
          <w:sz w:val="22"/>
        </w:rPr>
        <w:t> </w:t>
      </w:r>
      <w:r>
        <w:rPr>
          <w:sz w:val="22"/>
        </w:rPr>
        <w:t>sujetas</w:t>
      </w:r>
      <w:r>
        <w:rPr>
          <w:spacing w:val="-6"/>
          <w:sz w:val="22"/>
        </w:rPr>
        <w:t> </w:t>
      </w:r>
      <w:r>
        <w:rPr>
          <w:sz w:val="22"/>
        </w:rPr>
        <w:t>a un recargo equivalente. Desde la perspectiva de la SGCAN, este diseño selectivo evidencia</w:t>
      </w:r>
      <w:r>
        <w:rPr>
          <w:spacing w:val="-6"/>
          <w:sz w:val="22"/>
        </w:rPr>
        <w:t> </w:t>
      </w:r>
      <w:r>
        <w:rPr>
          <w:sz w:val="22"/>
        </w:rPr>
        <w:t>que</w:t>
      </w:r>
      <w:r>
        <w:rPr>
          <w:spacing w:val="-6"/>
          <w:sz w:val="22"/>
        </w:rPr>
        <w:t> </w:t>
      </w:r>
      <w:r>
        <w:rPr>
          <w:sz w:val="22"/>
        </w:rPr>
        <w:t>no</w:t>
      </w:r>
      <w:r>
        <w:rPr>
          <w:spacing w:val="-7"/>
          <w:sz w:val="22"/>
        </w:rPr>
        <w:t> </w:t>
      </w:r>
      <w:r>
        <w:rPr>
          <w:sz w:val="22"/>
        </w:rPr>
        <w:t>se</w:t>
      </w:r>
      <w:r>
        <w:rPr>
          <w:spacing w:val="-9"/>
          <w:sz w:val="22"/>
        </w:rPr>
        <w:t> </w:t>
      </w:r>
      <w:r>
        <w:rPr>
          <w:sz w:val="22"/>
        </w:rPr>
        <w:t>trata</w:t>
      </w:r>
      <w:r>
        <w:rPr>
          <w:spacing w:val="-8"/>
          <w:sz w:val="22"/>
        </w:rPr>
        <w:t> </w:t>
      </w:r>
      <w:r>
        <w:rPr>
          <w:sz w:val="22"/>
        </w:rPr>
        <w:t>de</w:t>
      </w:r>
      <w:r>
        <w:rPr>
          <w:spacing w:val="-7"/>
          <w:sz w:val="22"/>
        </w:rPr>
        <w:t> </w:t>
      </w:r>
      <w:r>
        <w:rPr>
          <w:sz w:val="22"/>
        </w:rPr>
        <w:t>una</w:t>
      </w:r>
      <w:r>
        <w:rPr>
          <w:spacing w:val="-9"/>
          <w:sz w:val="22"/>
        </w:rPr>
        <w:t> </w:t>
      </w:r>
      <w:r>
        <w:rPr>
          <w:sz w:val="22"/>
        </w:rPr>
        <w:t>tasa</w:t>
      </w:r>
      <w:r>
        <w:rPr>
          <w:spacing w:val="-9"/>
          <w:sz w:val="22"/>
        </w:rPr>
        <w:t> </w:t>
      </w:r>
      <w:r>
        <w:rPr>
          <w:sz w:val="22"/>
        </w:rPr>
        <w:t>general</w:t>
      </w:r>
      <w:r>
        <w:rPr>
          <w:spacing w:val="-7"/>
          <w:sz w:val="22"/>
        </w:rPr>
        <w:t> </w:t>
      </w:r>
      <w:r>
        <w:rPr>
          <w:sz w:val="22"/>
        </w:rPr>
        <w:t>vinculada</w:t>
      </w:r>
      <w:r>
        <w:rPr>
          <w:spacing w:val="-6"/>
          <w:sz w:val="22"/>
        </w:rPr>
        <w:t> </w:t>
      </w:r>
      <w:r>
        <w:rPr>
          <w:sz w:val="22"/>
        </w:rPr>
        <w:t>al</w:t>
      </w:r>
      <w:r>
        <w:rPr>
          <w:spacing w:val="-7"/>
          <w:sz w:val="22"/>
        </w:rPr>
        <w:t> </w:t>
      </w:r>
      <w:r>
        <w:rPr>
          <w:sz w:val="22"/>
        </w:rPr>
        <w:t>uso</w:t>
      </w:r>
      <w:r>
        <w:rPr>
          <w:spacing w:val="-7"/>
          <w:sz w:val="22"/>
        </w:rPr>
        <w:t> </w:t>
      </w:r>
      <w:r>
        <w:rPr>
          <w:sz w:val="22"/>
        </w:rPr>
        <w:t>de</w:t>
      </w:r>
      <w:r>
        <w:rPr>
          <w:spacing w:val="-7"/>
          <w:sz w:val="22"/>
        </w:rPr>
        <w:t> </w:t>
      </w:r>
      <w:r>
        <w:rPr>
          <w:sz w:val="22"/>
        </w:rPr>
        <w:t>un</w:t>
      </w:r>
      <w:r>
        <w:rPr>
          <w:spacing w:val="-9"/>
          <w:sz w:val="22"/>
        </w:rPr>
        <w:t> </w:t>
      </w:r>
      <w:r>
        <w:rPr>
          <w:sz w:val="22"/>
        </w:rPr>
        <w:t>servicio</w:t>
      </w:r>
      <w:r>
        <w:rPr>
          <w:spacing w:val="-6"/>
          <w:sz w:val="22"/>
        </w:rPr>
        <w:t> </w:t>
      </w:r>
      <w:r>
        <w:rPr>
          <w:sz w:val="22"/>
        </w:rPr>
        <w:t>aduanero, sino de una carga dirigida a encarecer las importaciones de un solo origen, lo que la sitúa de lleno en la definición amplia de gravamen del artículo 73 del Acuerdo de </w:t>
      </w:r>
      <w:r>
        <w:rPr>
          <w:spacing w:val="-2"/>
          <w:sz w:val="22"/>
        </w:rPr>
        <w:t>Cartagena.</w:t>
      </w:r>
    </w:p>
    <w:p>
      <w:pPr>
        <w:pStyle w:val="ListParagraph"/>
        <w:numPr>
          <w:ilvl w:val="0"/>
          <w:numId w:val="11"/>
        </w:numPr>
        <w:tabs>
          <w:tab w:pos="1130" w:val="left" w:leader="none"/>
          <w:tab w:pos="1134" w:val="left" w:leader="none"/>
        </w:tabs>
        <w:spacing w:line="240" w:lineRule="auto" w:before="252" w:after="0"/>
        <w:ind w:left="1134" w:right="981" w:hanging="567"/>
        <w:jc w:val="both"/>
        <w:rPr>
          <w:sz w:val="22"/>
        </w:rPr>
      </w:pPr>
      <w:r>
        <w:rPr>
          <w:sz w:val="22"/>
        </w:rPr>
        <w:t>En tal sentido, la selectividad por país de origen de la TSCA hace que la medida ecuatoriana</w:t>
      </w:r>
      <w:r>
        <w:rPr>
          <w:spacing w:val="-5"/>
          <w:sz w:val="22"/>
        </w:rPr>
        <w:t> </w:t>
      </w:r>
      <w:r>
        <w:rPr>
          <w:sz w:val="22"/>
        </w:rPr>
        <w:t>configure,</w:t>
      </w:r>
      <w:r>
        <w:rPr>
          <w:spacing w:val="-4"/>
          <w:sz w:val="22"/>
        </w:rPr>
        <w:t> </w:t>
      </w:r>
      <w:r>
        <w:rPr>
          <w:sz w:val="22"/>
        </w:rPr>
        <w:t>de</w:t>
      </w:r>
      <w:r>
        <w:rPr>
          <w:spacing w:val="-3"/>
          <w:sz w:val="22"/>
        </w:rPr>
        <w:t> </w:t>
      </w:r>
      <w:r>
        <w:rPr>
          <w:sz w:val="22"/>
        </w:rPr>
        <w:t>manera</w:t>
      </w:r>
      <w:r>
        <w:rPr>
          <w:spacing w:val="-5"/>
          <w:sz w:val="22"/>
        </w:rPr>
        <w:t> </w:t>
      </w:r>
      <w:r>
        <w:rPr>
          <w:sz w:val="22"/>
        </w:rPr>
        <w:t>inequívoca,</w:t>
      </w:r>
      <w:r>
        <w:rPr>
          <w:spacing w:val="-4"/>
          <w:sz w:val="22"/>
        </w:rPr>
        <w:t> </w:t>
      </w:r>
      <w:r>
        <w:rPr>
          <w:sz w:val="22"/>
        </w:rPr>
        <w:t>un</w:t>
      </w:r>
      <w:r>
        <w:rPr>
          <w:spacing w:val="-2"/>
          <w:sz w:val="22"/>
        </w:rPr>
        <w:t> </w:t>
      </w:r>
      <w:r>
        <w:rPr>
          <w:rFonts w:ascii="Arial" w:hAnsi="Arial"/>
          <w:b/>
          <w:sz w:val="22"/>
        </w:rPr>
        <w:t>gravamen</w:t>
      </w:r>
      <w:r>
        <w:rPr>
          <w:rFonts w:ascii="Arial" w:hAnsi="Arial"/>
          <w:b/>
          <w:spacing w:val="-5"/>
          <w:sz w:val="22"/>
        </w:rPr>
        <w:t> </w:t>
      </w:r>
      <w:r>
        <w:rPr>
          <w:sz w:val="22"/>
        </w:rPr>
        <w:t>y</w:t>
      </w:r>
      <w:r>
        <w:rPr>
          <w:spacing w:val="-2"/>
          <w:sz w:val="22"/>
        </w:rPr>
        <w:t> </w:t>
      </w:r>
      <w:r>
        <w:rPr>
          <w:sz w:val="22"/>
        </w:rPr>
        <w:t>por</w:t>
      </w:r>
      <w:r>
        <w:rPr>
          <w:spacing w:val="-4"/>
          <w:sz w:val="22"/>
        </w:rPr>
        <w:t> </w:t>
      </w:r>
      <w:r>
        <w:rPr>
          <w:sz w:val="22"/>
        </w:rPr>
        <w:t>lo</w:t>
      </w:r>
      <w:r>
        <w:rPr>
          <w:spacing w:val="-5"/>
          <w:sz w:val="22"/>
        </w:rPr>
        <w:t> </w:t>
      </w:r>
      <w:r>
        <w:rPr>
          <w:sz w:val="22"/>
        </w:rPr>
        <w:t>tanto</w:t>
      </w:r>
      <w:r>
        <w:rPr>
          <w:spacing w:val="-5"/>
          <w:sz w:val="22"/>
        </w:rPr>
        <w:t> </w:t>
      </w:r>
      <w:r>
        <w:rPr>
          <w:sz w:val="22"/>
        </w:rPr>
        <w:t>incompatible con</w:t>
      </w:r>
      <w:r>
        <w:rPr>
          <w:spacing w:val="-7"/>
          <w:sz w:val="22"/>
        </w:rPr>
        <w:t> </w:t>
      </w:r>
      <w:r>
        <w:rPr>
          <w:sz w:val="22"/>
        </w:rPr>
        <w:t>el</w:t>
      </w:r>
      <w:r>
        <w:rPr>
          <w:spacing w:val="-7"/>
          <w:sz w:val="22"/>
        </w:rPr>
        <w:t> </w:t>
      </w:r>
      <w:r>
        <w:rPr>
          <w:sz w:val="22"/>
        </w:rPr>
        <w:t>Programa</w:t>
      </w:r>
      <w:r>
        <w:rPr>
          <w:spacing w:val="-6"/>
          <w:sz w:val="22"/>
        </w:rPr>
        <w:t> </w:t>
      </w:r>
      <w:r>
        <w:rPr>
          <w:sz w:val="22"/>
        </w:rPr>
        <w:t>de</w:t>
      </w:r>
      <w:r>
        <w:rPr>
          <w:spacing w:val="-9"/>
          <w:sz w:val="22"/>
        </w:rPr>
        <w:t> </w:t>
      </w:r>
      <w:r>
        <w:rPr>
          <w:sz w:val="22"/>
        </w:rPr>
        <w:t>Liberación,</w:t>
      </w:r>
      <w:r>
        <w:rPr>
          <w:spacing w:val="-5"/>
          <w:sz w:val="22"/>
        </w:rPr>
        <w:t> </w:t>
      </w:r>
      <w:r>
        <w:rPr>
          <w:sz w:val="22"/>
        </w:rPr>
        <w:t>a</w:t>
      </w:r>
      <w:r>
        <w:rPr>
          <w:spacing w:val="-6"/>
          <w:sz w:val="22"/>
        </w:rPr>
        <w:t> </w:t>
      </w:r>
      <w:r>
        <w:rPr>
          <w:sz w:val="22"/>
        </w:rPr>
        <w:t>la</w:t>
      </w:r>
      <w:r>
        <w:rPr>
          <w:spacing w:val="-6"/>
          <w:sz w:val="22"/>
        </w:rPr>
        <w:t> </w:t>
      </w:r>
      <w:r>
        <w:rPr>
          <w:sz w:val="22"/>
        </w:rPr>
        <w:t>luz</w:t>
      </w:r>
      <w:r>
        <w:rPr>
          <w:spacing w:val="-6"/>
          <w:sz w:val="22"/>
        </w:rPr>
        <w:t> </w:t>
      </w:r>
      <w:r>
        <w:rPr>
          <w:sz w:val="22"/>
        </w:rPr>
        <w:t>de</w:t>
      </w:r>
      <w:r>
        <w:rPr>
          <w:spacing w:val="-7"/>
          <w:sz w:val="22"/>
        </w:rPr>
        <w:t> </w:t>
      </w:r>
      <w:r>
        <w:rPr>
          <w:sz w:val="22"/>
        </w:rPr>
        <w:t>la</w:t>
      </w:r>
      <w:r>
        <w:rPr>
          <w:spacing w:val="-9"/>
          <w:sz w:val="22"/>
        </w:rPr>
        <w:t> </w:t>
      </w:r>
      <w:r>
        <w:rPr>
          <w:sz w:val="22"/>
        </w:rPr>
        <w:t>jurisprudencia</w:t>
      </w:r>
      <w:r>
        <w:rPr>
          <w:spacing w:val="-6"/>
          <w:sz w:val="22"/>
        </w:rPr>
        <w:t> </w:t>
      </w:r>
      <w:r>
        <w:rPr>
          <w:sz w:val="22"/>
        </w:rPr>
        <w:t>del</w:t>
      </w:r>
      <w:r>
        <w:rPr>
          <w:spacing w:val="-7"/>
          <w:sz w:val="22"/>
        </w:rPr>
        <w:t> </w:t>
      </w:r>
      <w:r>
        <w:rPr>
          <w:sz w:val="22"/>
        </w:rPr>
        <w:t>TJCAN</w:t>
      </w:r>
      <w:r>
        <w:rPr>
          <w:spacing w:val="-7"/>
          <w:sz w:val="22"/>
        </w:rPr>
        <w:t> </w:t>
      </w:r>
      <w:r>
        <w:rPr>
          <w:sz w:val="22"/>
        </w:rPr>
        <w:t>y</w:t>
      </w:r>
      <w:r>
        <w:rPr>
          <w:spacing w:val="-6"/>
          <w:sz w:val="22"/>
        </w:rPr>
        <w:t> </w:t>
      </w:r>
      <w:r>
        <w:rPr>
          <w:sz w:val="22"/>
        </w:rPr>
        <w:t>de</w:t>
      </w:r>
      <w:r>
        <w:rPr>
          <w:spacing w:val="-9"/>
          <w:sz w:val="22"/>
        </w:rPr>
        <w:t> </w:t>
      </w:r>
      <w:r>
        <w:rPr>
          <w:sz w:val="22"/>
        </w:rPr>
        <w:t>lo</w:t>
      </w:r>
      <w:r>
        <w:rPr>
          <w:spacing w:val="-6"/>
          <w:sz w:val="22"/>
        </w:rPr>
        <w:t> </w:t>
      </w:r>
      <w:r>
        <w:rPr>
          <w:sz w:val="22"/>
        </w:rPr>
        <w:t>señalado en sus propias Resoluciones.</w:t>
      </w:r>
    </w:p>
    <w:p>
      <w:pPr>
        <w:pStyle w:val="BodyText"/>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En</w:t>
      </w:r>
      <w:r>
        <w:rPr>
          <w:spacing w:val="-2"/>
          <w:sz w:val="22"/>
        </w:rPr>
        <w:t> </w:t>
      </w:r>
      <w:r>
        <w:rPr>
          <w:sz w:val="22"/>
        </w:rPr>
        <w:t>dicha</w:t>
      </w:r>
      <w:r>
        <w:rPr>
          <w:spacing w:val="-2"/>
          <w:sz w:val="22"/>
        </w:rPr>
        <w:t> </w:t>
      </w:r>
      <w:r>
        <w:rPr>
          <w:sz w:val="22"/>
        </w:rPr>
        <w:t>línea,</w:t>
      </w:r>
      <w:r>
        <w:rPr>
          <w:spacing w:val="-2"/>
          <w:sz w:val="22"/>
        </w:rPr>
        <w:t> </w:t>
      </w:r>
      <w:r>
        <w:rPr>
          <w:sz w:val="22"/>
        </w:rPr>
        <w:t>el</w:t>
      </w:r>
      <w:r>
        <w:rPr>
          <w:spacing w:val="-2"/>
          <w:sz w:val="22"/>
        </w:rPr>
        <w:t> </w:t>
      </w:r>
      <w:r>
        <w:rPr>
          <w:sz w:val="22"/>
        </w:rPr>
        <w:t>TJCAN</w:t>
      </w:r>
      <w:r>
        <w:rPr>
          <w:spacing w:val="-5"/>
          <w:sz w:val="22"/>
        </w:rPr>
        <w:t> </w:t>
      </w:r>
      <w:r>
        <w:rPr>
          <w:sz w:val="22"/>
        </w:rPr>
        <w:t>mediante</w:t>
      </w:r>
      <w:r>
        <w:rPr>
          <w:spacing w:val="-2"/>
          <w:sz w:val="22"/>
        </w:rPr>
        <w:t> </w:t>
      </w:r>
      <w:r>
        <w:rPr>
          <w:sz w:val="22"/>
        </w:rPr>
        <w:t>los</w:t>
      </w:r>
      <w:r>
        <w:rPr>
          <w:spacing w:val="-4"/>
          <w:sz w:val="22"/>
        </w:rPr>
        <w:t> </w:t>
      </w:r>
      <w:r>
        <w:rPr>
          <w:sz w:val="22"/>
        </w:rPr>
        <w:t>Procesos</w:t>
      </w:r>
      <w:r>
        <w:rPr>
          <w:spacing w:val="-6"/>
          <w:sz w:val="22"/>
        </w:rPr>
        <w:t> </w:t>
      </w:r>
      <w:r>
        <w:rPr>
          <w:sz w:val="22"/>
        </w:rPr>
        <w:t>14-IP-2008</w:t>
      </w:r>
      <w:r>
        <w:rPr>
          <w:spacing w:val="-4"/>
          <w:sz w:val="22"/>
        </w:rPr>
        <w:t> </w:t>
      </w:r>
      <w:r>
        <w:rPr>
          <w:sz w:val="22"/>
        </w:rPr>
        <w:t>y</w:t>
      </w:r>
      <w:r>
        <w:rPr>
          <w:spacing w:val="-4"/>
          <w:sz w:val="22"/>
        </w:rPr>
        <w:t> </w:t>
      </w:r>
      <w:r>
        <w:rPr>
          <w:sz w:val="22"/>
        </w:rPr>
        <w:t>15-IP-2008, ha</w:t>
      </w:r>
      <w:r>
        <w:rPr>
          <w:spacing w:val="-7"/>
          <w:sz w:val="22"/>
        </w:rPr>
        <w:t> </w:t>
      </w:r>
      <w:r>
        <w:rPr>
          <w:sz w:val="22"/>
        </w:rPr>
        <w:t>reiterado que la calificación de una medida como gravamen, no depende de</w:t>
      </w:r>
      <w:r>
        <w:rPr>
          <w:spacing w:val="-1"/>
          <w:sz w:val="22"/>
        </w:rPr>
        <w:t> </w:t>
      </w:r>
      <w:r>
        <w:rPr>
          <w:sz w:val="22"/>
        </w:rPr>
        <w:t>su denominación ni de</w:t>
      </w:r>
      <w:r>
        <w:rPr>
          <w:spacing w:val="-7"/>
          <w:sz w:val="22"/>
        </w:rPr>
        <w:t> </w:t>
      </w:r>
      <w:r>
        <w:rPr>
          <w:sz w:val="22"/>
        </w:rPr>
        <w:t>su</w:t>
      </w:r>
      <w:r>
        <w:rPr>
          <w:spacing w:val="-11"/>
          <w:sz w:val="22"/>
        </w:rPr>
        <w:t> </w:t>
      </w:r>
      <w:r>
        <w:rPr>
          <w:sz w:val="22"/>
        </w:rPr>
        <w:t>finalidad</w:t>
      </w:r>
      <w:r>
        <w:rPr>
          <w:spacing w:val="-6"/>
          <w:sz w:val="22"/>
        </w:rPr>
        <w:t> </w:t>
      </w:r>
      <w:r>
        <w:rPr>
          <w:sz w:val="22"/>
        </w:rPr>
        <w:t>alegada,</w:t>
      </w:r>
      <w:r>
        <w:rPr>
          <w:spacing w:val="-10"/>
          <w:sz w:val="22"/>
        </w:rPr>
        <w:t> </w:t>
      </w:r>
      <w:r>
        <w:rPr>
          <w:sz w:val="22"/>
        </w:rPr>
        <w:t>sino</w:t>
      </w:r>
      <w:r>
        <w:rPr>
          <w:spacing w:val="-7"/>
          <w:sz w:val="22"/>
        </w:rPr>
        <w:t> </w:t>
      </w:r>
      <w:r>
        <w:rPr>
          <w:sz w:val="22"/>
        </w:rPr>
        <w:t>de</w:t>
      </w:r>
      <w:r>
        <w:rPr>
          <w:spacing w:val="-9"/>
          <w:sz w:val="22"/>
        </w:rPr>
        <w:t> </w:t>
      </w:r>
      <w:r>
        <w:rPr>
          <w:sz w:val="22"/>
        </w:rPr>
        <w:t>sus</w:t>
      </w:r>
      <w:r>
        <w:rPr>
          <w:spacing w:val="-9"/>
          <w:sz w:val="22"/>
        </w:rPr>
        <w:t> </w:t>
      </w:r>
      <w:r>
        <w:rPr>
          <w:sz w:val="22"/>
        </w:rPr>
        <w:t>efectos</w:t>
      </w:r>
      <w:r>
        <w:rPr>
          <w:spacing w:val="-9"/>
          <w:sz w:val="22"/>
        </w:rPr>
        <w:t> </w:t>
      </w:r>
      <w:r>
        <w:rPr>
          <w:sz w:val="22"/>
        </w:rPr>
        <w:t>sobre</w:t>
      </w:r>
      <w:r>
        <w:rPr>
          <w:spacing w:val="-6"/>
          <w:sz w:val="22"/>
        </w:rPr>
        <w:t> </w:t>
      </w:r>
      <w:r>
        <w:rPr>
          <w:sz w:val="22"/>
        </w:rPr>
        <w:t>el</w:t>
      </w:r>
      <w:r>
        <w:rPr>
          <w:spacing w:val="-10"/>
          <w:sz w:val="22"/>
        </w:rPr>
        <w:t> </w:t>
      </w:r>
      <w:r>
        <w:rPr>
          <w:sz w:val="22"/>
        </w:rPr>
        <w:t>comercio</w:t>
      </w:r>
      <w:r>
        <w:rPr>
          <w:spacing w:val="-9"/>
          <w:sz w:val="22"/>
        </w:rPr>
        <w:t> </w:t>
      </w:r>
      <w:r>
        <w:rPr>
          <w:sz w:val="22"/>
        </w:rPr>
        <w:t>intracomunitario,</w:t>
      </w:r>
      <w:r>
        <w:rPr>
          <w:spacing w:val="-7"/>
          <w:sz w:val="22"/>
        </w:rPr>
        <w:t> </w:t>
      </w:r>
      <w:r>
        <w:rPr>
          <w:sz w:val="22"/>
        </w:rPr>
        <w:t>y</w:t>
      </w:r>
      <w:r>
        <w:rPr>
          <w:spacing w:val="-8"/>
          <w:sz w:val="22"/>
        </w:rPr>
        <w:t> </w:t>
      </w:r>
      <w:r>
        <w:rPr>
          <w:sz w:val="22"/>
        </w:rPr>
        <w:t>que</w:t>
      </w:r>
      <w:r>
        <w:rPr>
          <w:spacing w:val="-9"/>
          <w:sz w:val="22"/>
        </w:rPr>
        <w:t> </w:t>
      </w:r>
      <w:r>
        <w:rPr>
          <w:sz w:val="22"/>
        </w:rPr>
        <w:t>la discriminación en perjuicio de bienes originarios de un País Miembro refuerza su incompatibilidad con el ordenamiento andino.</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La SGCAN ha aplicado este enfoque en Resoluciones anteriormente emitidas en este órgano comunitario, como la Resolución 898, en la que calificó como gravamen una medida ecuatoriana que imponía un derecho </w:t>
      </w:r>
      <w:r>
        <w:rPr>
          <w:rFonts w:ascii="Arial" w:hAnsi="Arial"/>
          <w:i/>
          <w:sz w:val="22"/>
        </w:rPr>
        <w:t>ad valorem </w:t>
      </w:r>
      <w:r>
        <w:rPr>
          <w:sz w:val="22"/>
        </w:rPr>
        <w:t>del 15% sobre importaciones de guarniciones para frenos procedentes de la República de Colombia, pese a ser presentada bajo justificaciones de control y verificación. En esa ocasión, la SGCAN destacó que el hecho de que el recargo se aplicara únicamente a un origen específico (República</w:t>
      </w:r>
      <w:r>
        <w:rPr>
          <w:spacing w:val="-5"/>
          <w:sz w:val="22"/>
        </w:rPr>
        <w:t> </w:t>
      </w:r>
      <w:r>
        <w:rPr>
          <w:sz w:val="22"/>
        </w:rPr>
        <w:t>de</w:t>
      </w:r>
      <w:r>
        <w:rPr>
          <w:spacing w:val="-5"/>
          <w:sz w:val="22"/>
        </w:rPr>
        <w:t> </w:t>
      </w:r>
      <w:r>
        <w:rPr>
          <w:sz w:val="22"/>
        </w:rPr>
        <w:t>Colombia)</w:t>
      </w:r>
      <w:r>
        <w:rPr>
          <w:spacing w:val="-7"/>
          <w:sz w:val="22"/>
        </w:rPr>
        <w:t> </w:t>
      </w:r>
      <w:r>
        <w:rPr>
          <w:sz w:val="22"/>
        </w:rPr>
        <w:t>y</w:t>
      </w:r>
      <w:r>
        <w:rPr>
          <w:spacing w:val="-7"/>
          <w:sz w:val="22"/>
        </w:rPr>
        <w:t> </w:t>
      </w:r>
      <w:r>
        <w:rPr>
          <w:sz w:val="22"/>
        </w:rPr>
        <w:t>tuviera</w:t>
      </w:r>
      <w:r>
        <w:rPr>
          <w:spacing w:val="-7"/>
          <w:sz w:val="22"/>
        </w:rPr>
        <w:t> </w:t>
      </w:r>
      <w:r>
        <w:rPr>
          <w:sz w:val="22"/>
        </w:rPr>
        <w:t>por</w:t>
      </w:r>
      <w:r>
        <w:rPr>
          <w:spacing w:val="-4"/>
          <w:sz w:val="22"/>
        </w:rPr>
        <w:t> </w:t>
      </w:r>
      <w:r>
        <w:rPr>
          <w:sz w:val="22"/>
        </w:rPr>
        <w:t>efecto</w:t>
      </w:r>
      <w:r>
        <w:rPr>
          <w:spacing w:val="-7"/>
          <w:sz w:val="22"/>
        </w:rPr>
        <w:t> </w:t>
      </w:r>
      <w:r>
        <w:rPr>
          <w:sz w:val="22"/>
        </w:rPr>
        <w:t>encarecer</w:t>
      </w:r>
      <w:r>
        <w:rPr>
          <w:spacing w:val="-6"/>
          <w:sz w:val="22"/>
        </w:rPr>
        <w:t> </w:t>
      </w:r>
      <w:r>
        <w:rPr>
          <w:sz w:val="22"/>
        </w:rPr>
        <w:t>las</w:t>
      </w:r>
      <w:r>
        <w:rPr>
          <w:spacing w:val="-5"/>
          <w:sz w:val="22"/>
        </w:rPr>
        <w:t> </w:t>
      </w:r>
      <w:r>
        <w:rPr>
          <w:sz w:val="22"/>
        </w:rPr>
        <w:t>importaciones</w:t>
      </w:r>
      <w:r>
        <w:rPr>
          <w:spacing w:val="-7"/>
          <w:sz w:val="22"/>
        </w:rPr>
        <w:t> </w:t>
      </w:r>
      <w:r>
        <w:rPr>
          <w:sz w:val="22"/>
        </w:rPr>
        <w:t>era</w:t>
      </w:r>
      <w:r>
        <w:rPr>
          <w:spacing w:val="-5"/>
          <w:sz w:val="22"/>
        </w:rPr>
        <w:t> </w:t>
      </w:r>
      <w:r>
        <w:rPr>
          <w:sz w:val="22"/>
        </w:rPr>
        <w:t>suficiente para considerarlo contrario al artículo 73, con independencia de la finalidad invocada.</w:t>
      </w:r>
    </w:p>
    <w:p>
      <w:pPr>
        <w:pStyle w:val="BodyText"/>
        <w:spacing w:before="1"/>
      </w:pPr>
    </w:p>
    <w:p>
      <w:pPr>
        <w:pStyle w:val="ListParagraph"/>
        <w:numPr>
          <w:ilvl w:val="0"/>
          <w:numId w:val="11"/>
        </w:numPr>
        <w:tabs>
          <w:tab w:pos="1130" w:val="left" w:leader="none"/>
          <w:tab w:pos="1134" w:val="left" w:leader="none"/>
        </w:tabs>
        <w:spacing w:line="240" w:lineRule="auto" w:before="1" w:after="0"/>
        <w:ind w:left="1134" w:right="980" w:hanging="567"/>
        <w:jc w:val="both"/>
        <w:rPr>
          <w:sz w:val="22"/>
        </w:rPr>
      </w:pPr>
      <w:r>
        <w:rPr>
          <w:sz w:val="22"/>
        </w:rPr>
        <w:t>Del</w:t>
      </w:r>
      <w:r>
        <w:rPr>
          <w:spacing w:val="-10"/>
          <w:sz w:val="22"/>
        </w:rPr>
        <w:t> </w:t>
      </w:r>
      <w:r>
        <w:rPr>
          <w:sz w:val="22"/>
        </w:rPr>
        <w:t>mismo</w:t>
      </w:r>
      <w:r>
        <w:rPr>
          <w:spacing w:val="-11"/>
          <w:sz w:val="22"/>
        </w:rPr>
        <w:t> </w:t>
      </w:r>
      <w:r>
        <w:rPr>
          <w:sz w:val="22"/>
        </w:rPr>
        <w:t>modo,</w:t>
      </w:r>
      <w:r>
        <w:rPr>
          <w:spacing w:val="-7"/>
          <w:sz w:val="22"/>
        </w:rPr>
        <w:t> </w:t>
      </w:r>
      <w:r>
        <w:rPr>
          <w:sz w:val="22"/>
        </w:rPr>
        <w:t>en</w:t>
      </w:r>
      <w:r>
        <w:rPr>
          <w:spacing w:val="-12"/>
          <w:sz w:val="22"/>
        </w:rPr>
        <w:t> </w:t>
      </w:r>
      <w:r>
        <w:rPr>
          <w:sz w:val="22"/>
        </w:rPr>
        <w:t>la</w:t>
      </w:r>
      <w:r>
        <w:rPr>
          <w:spacing w:val="-7"/>
          <w:sz w:val="22"/>
        </w:rPr>
        <w:t> </w:t>
      </w:r>
      <w:r>
        <w:rPr>
          <w:sz w:val="22"/>
        </w:rPr>
        <w:t>Resolución</w:t>
      </w:r>
      <w:r>
        <w:rPr>
          <w:spacing w:val="-9"/>
          <w:sz w:val="22"/>
        </w:rPr>
        <w:t> </w:t>
      </w:r>
      <w:r>
        <w:rPr>
          <w:sz w:val="22"/>
        </w:rPr>
        <w:t>1999</w:t>
      </w:r>
      <w:r>
        <w:rPr>
          <w:spacing w:val="-9"/>
          <w:sz w:val="22"/>
        </w:rPr>
        <w:t> </w:t>
      </w:r>
      <w:r>
        <w:rPr>
          <w:sz w:val="22"/>
        </w:rPr>
        <w:t>sobre</w:t>
      </w:r>
      <w:r>
        <w:rPr>
          <w:spacing w:val="-11"/>
          <w:sz w:val="22"/>
        </w:rPr>
        <w:t> </w:t>
      </w:r>
      <w:r>
        <w:rPr>
          <w:sz w:val="22"/>
        </w:rPr>
        <w:t>la</w:t>
      </w:r>
      <w:r>
        <w:rPr>
          <w:spacing w:val="-11"/>
          <w:sz w:val="22"/>
        </w:rPr>
        <w:t> </w:t>
      </w:r>
      <w:r>
        <w:rPr>
          <w:sz w:val="22"/>
        </w:rPr>
        <w:t>anterior</w:t>
      </w:r>
      <w:r>
        <w:rPr>
          <w:spacing w:val="-10"/>
          <w:sz w:val="22"/>
        </w:rPr>
        <w:t> </w:t>
      </w:r>
      <w:r>
        <w:rPr>
          <w:sz w:val="22"/>
        </w:rPr>
        <w:t>TSCA</w:t>
      </w:r>
      <w:r>
        <w:rPr>
          <w:spacing w:val="-9"/>
          <w:sz w:val="22"/>
        </w:rPr>
        <w:t> </w:t>
      </w:r>
      <w:r>
        <w:rPr>
          <w:sz w:val="22"/>
        </w:rPr>
        <w:t>ecuatoriana,</w:t>
      </w:r>
      <w:r>
        <w:rPr>
          <w:spacing w:val="-8"/>
          <w:sz w:val="22"/>
        </w:rPr>
        <w:t> </w:t>
      </w:r>
      <w:r>
        <w:rPr>
          <w:sz w:val="22"/>
        </w:rPr>
        <w:t>la</w:t>
      </w:r>
      <w:r>
        <w:rPr>
          <w:spacing w:val="-9"/>
          <w:sz w:val="22"/>
        </w:rPr>
        <w:t> </w:t>
      </w:r>
      <w:r>
        <w:rPr>
          <w:sz w:val="22"/>
        </w:rPr>
        <w:t>SGCAN subrayó que el control aduanero es una función general del Estado y que la tasa, aplicada de manera obligatoria y no optativa, no podía justificarse como remuneración de un servicio, menos aun cuando su diseño y efectos implicaban una carga diferenciada sobre determinadas corrientes de comercio.</w:t>
      </w:r>
    </w:p>
    <w:p>
      <w:pPr>
        <w:pStyle w:val="ListParagraph"/>
        <w:numPr>
          <w:ilvl w:val="0"/>
          <w:numId w:val="11"/>
        </w:numPr>
        <w:tabs>
          <w:tab w:pos="1130" w:val="left" w:leader="none"/>
          <w:tab w:pos="1134" w:val="left" w:leader="none"/>
        </w:tabs>
        <w:spacing w:line="240" w:lineRule="auto" w:before="251" w:after="0"/>
        <w:ind w:left="1134" w:right="978" w:hanging="567"/>
        <w:jc w:val="both"/>
        <w:rPr>
          <w:sz w:val="22"/>
        </w:rPr>
      </w:pPr>
      <w:r>
        <w:rPr>
          <w:sz w:val="22"/>
        </w:rPr>
        <w:t>Desde</w:t>
      </w:r>
      <w:r>
        <w:rPr>
          <w:spacing w:val="-4"/>
          <w:sz w:val="22"/>
        </w:rPr>
        <w:t> </w:t>
      </w:r>
      <w:r>
        <w:rPr>
          <w:sz w:val="22"/>
        </w:rPr>
        <w:t>el</w:t>
      </w:r>
      <w:r>
        <w:rPr>
          <w:spacing w:val="-5"/>
          <w:sz w:val="22"/>
        </w:rPr>
        <w:t> </w:t>
      </w:r>
      <w:r>
        <w:rPr>
          <w:sz w:val="22"/>
        </w:rPr>
        <w:t>concepto</w:t>
      </w:r>
      <w:r>
        <w:rPr>
          <w:spacing w:val="-4"/>
          <w:sz w:val="22"/>
        </w:rPr>
        <w:t> </w:t>
      </w:r>
      <w:r>
        <w:rPr>
          <w:sz w:val="22"/>
        </w:rPr>
        <w:t>del</w:t>
      </w:r>
      <w:r>
        <w:rPr>
          <w:spacing w:val="-4"/>
          <w:sz w:val="22"/>
        </w:rPr>
        <w:t> </w:t>
      </w:r>
      <w:r>
        <w:rPr>
          <w:sz w:val="22"/>
        </w:rPr>
        <w:t>Programa</w:t>
      </w:r>
      <w:r>
        <w:rPr>
          <w:spacing w:val="-6"/>
          <w:sz w:val="22"/>
        </w:rPr>
        <w:t> </w:t>
      </w:r>
      <w:r>
        <w:rPr>
          <w:sz w:val="22"/>
        </w:rPr>
        <w:t>de</w:t>
      </w:r>
      <w:r>
        <w:rPr>
          <w:spacing w:val="-4"/>
          <w:sz w:val="22"/>
        </w:rPr>
        <w:t> </w:t>
      </w:r>
      <w:r>
        <w:rPr>
          <w:sz w:val="22"/>
        </w:rPr>
        <w:t>Liberación,</w:t>
      </w:r>
      <w:r>
        <w:rPr>
          <w:spacing w:val="-3"/>
          <w:sz w:val="22"/>
        </w:rPr>
        <w:t> </w:t>
      </w:r>
      <w:r>
        <w:rPr>
          <w:sz w:val="22"/>
        </w:rPr>
        <w:t>la</w:t>
      </w:r>
      <w:r>
        <w:rPr>
          <w:spacing w:val="-6"/>
          <w:sz w:val="22"/>
        </w:rPr>
        <w:t> </w:t>
      </w:r>
      <w:r>
        <w:rPr>
          <w:sz w:val="22"/>
        </w:rPr>
        <w:t>SGCAN</w:t>
      </w:r>
      <w:r>
        <w:rPr>
          <w:spacing w:val="-5"/>
          <w:sz w:val="22"/>
        </w:rPr>
        <w:t> </w:t>
      </w:r>
      <w:r>
        <w:rPr>
          <w:sz w:val="22"/>
        </w:rPr>
        <w:t>debe</w:t>
      </w:r>
      <w:r>
        <w:rPr>
          <w:spacing w:val="-7"/>
          <w:sz w:val="22"/>
        </w:rPr>
        <w:t> </w:t>
      </w:r>
      <w:r>
        <w:rPr>
          <w:sz w:val="22"/>
        </w:rPr>
        <w:t>resaltar</w:t>
      </w:r>
      <w:r>
        <w:rPr>
          <w:spacing w:val="-3"/>
          <w:sz w:val="22"/>
        </w:rPr>
        <w:t> </w:t>
      </w:r>
      <w:r>
        <w:rPr>
          <w:sz w:val="22"/>
        </w:rPr>
        <w:t>que</w:t>
      </w:r>
      <w:r>
        <w:rPr>
          <w:spacing w:val="-4"/>
          <w:sz w:val="22"/>
        </w:rPr>
        <w:t> </w:t>
      </w:r>
      <w:r>
        <w:rPr>
          <w:sz w:val="22"/>
        </w:rPr>
        <w:t>el</w:t>
      </w:r>
      <w:r>
        <w:rPr>
          <w:spacing w:val="-5"/>
          <w:sz w:val="22"/>
        </w:rPr>
        <w:t> </w:t>
      </w:r>
      <w:r>
        <w:rPr>
          <w:sz w:val="22"/>
        </w:rPr>
        <w:t>recargo del 50% sobre el valor en aduana aplicado únicamente a mercancías originarias o procedentes de la República de Colombia restablece, de manera unilateral y discriminatoria, un nivel de protección equivalente a un arancel allí donde el arancel consolidado intracomunitario es cero.</w:t>
      </w:r>
    </w:p>
    <w:p>
      <w:pPr>
        <w:pStyle w:val="ListParagraph"/>
        <w:spacing w:after="0" w:line="240" w:lineRule="auto"/>
        <w:jc w:val="both"/>
        <w:rPr>
          <w:sz w:val="22"/>
        </w:rPr>
        <w:sectPr>
          <w:pgSz w:w="11900" w:h="16850"/>
          <w:pgMar w:header="370" w:footer="651" w:top="1380" w:bottom="840" w:left="992" w:right="283"/>
        </w:sectPr>
      </w:pPr>
    </w:p>
    <w:p>
      <w:pPr>
        <w:pStyle w:val="BodyText"/>
      </w:pPr>
    </w:p>
    <w:p>
      <w:pPr>
        <w:pStyle w:val="BodyText"/>
        <w:spacing w:before="177"/>
      </w:pPr>
    </w:p>
    <w:p>
      <w:pPr>
        <w:pStyle w:val="ListParagraph"/>
        <w:numPr>
          <w:ilvl w:val="0"/>
          <w:numId w:val="11"/>
        </w:numPr>
        <w:tabs>
          <w:tab w:pos="1130" w:val="left" w:leader="none"/>
          <w:tab w:pos="1134" w:val="left" w:leader="none"/>
        </w:tabs>
        <w:spacing w:line="240" w:lineRule="auto" w:before="1" w:after="0"/>
        <w:ind w:left="1134" w:right="980" w:hanging="567"/>
        <w:jc w:val="both"/>
        <w:rPr>
          <w:sz w:val="22"/>
        </w:rPr>
      </w:pPr>
      <w:r>
        <w:rPr>
          <w:sz w:val="22"/>
        </w:rPr>
        <w:t>Esta selectividad por país de origen produce una ruptura del principio de igualdad de condiciones de competencia entre bienes originarios de los distintos Países Miembros en el mercado ecuatoriano, al situar a los productos colombianos en una posición sustancialmente</w:t>
      </w:r>
      <w:r>
        <w:rPr>
          <w:spacing w:val="-10"/>
          <w:sz w:val="22"/>
        </w:rPr>
        <w:t> </w:t>
      </w:r>
      <w:r>
        <w:rPr>
          <w:sz w:val="22"/>
        </w:rPr>
        <w:t>menos</w:t>
      </w:r>
      <w:r>
        <w:rPr>
          <w:spacing w:val="-10"/>
          <w:sz w:val="22"/>
        </w:rPr>
        <w:t> </w:t>
      </w:r>
      <w:r>
        <w:rPr>
          <w:sz w:val="22"/>
        </w:rPr>
        <w:t>favorable</w:t>
      </w:r>
      <w:r>
        <w:rPr>
          <w:spacing w:val="-7"/>
          <w:sz w:val="22"/>
        </w:rPr>
        <w:t> </w:t>
      </w:r>
      <w:r>
        <w:rPr>
          <w:sz w:val="22"/>
        </w:rPr>
        <w:t>que</w:t>
      </w:r>
      <w:r>
        <w:rPr>
          <w:spacing w:val="-7"/>
          <w:sz w:val="22"/>
        </w:rPr>
        <w:t> </w:t>
      </w:r>
      <w:r>
        <w:rPr>
          <w:sz w:val="22"/>
        </w:rPr>
        <w:t>la</w:t>
      </w:r>
      <w:r>
        <w:rPr>
          <w:spacing w:val="-7"/>
          <w:sz w:val="22"/>
        </w:rPr>
        <w:t> </w:t>
      </w:r>
      <w:r>
        <w:rPr>
          <w:sz w:val="22"/>
        </w:rPr>
        <w:t>de</w:t>
      </w:r>
      <w:r>
        <w:rPr>
          <w:spacing w:val="-10"/>
          <w:sz w:val="22"/>
        </w:rPr>
        <w:t> </w:t>
      </w:r>
      <w:r>
        <w:rPr>
          <w:sz w:val="22"/>
        </w:rPr>
        <w:t>los</w:t>
      </w:r>
      <w:r>
        <w:rPr>
          <w:spacing w:val="-7"/>
          <w:sz w:val="22"/>
        </w:rPr>
        <w:t> </w:t>
      </w:r>
      <w:r>
        <w:rPr>
          <w:sz w:val="22"/>
        </w:rPr>
        <w:t>productos</w:t>
      </w:r>
      <w:r>
        <w:rPr>
          <w:spacing w:val="-7"/>
          <w:sz w:val="22"/>
        </w:rPr>
        <w:t> </w:t>
      </w:r>
      <w:r>
        <w:rPr>
          <w:sz w:val="22"/>
        </w:rPr>
        <w:t>originarios</w:t>
      </w:r>
      <w:r>
        <w:rPr>
          <w:spacing w:val="-7"/>
          <w:sz w:val="22"/>
        </w:rPr>
        <w:t> </w:t>
      </w:r>
      <w:r>
        <w:rPr>
          <w:sz w:val="22"/>
        </w:rPr>
        <w:t>de</w:t>
      </w:r>
      <w:r>
        <w:rPr>
          <w:spacing w:val="-8"/>
          <w:sz w:val="22"/>
        </w:rPr>
        <w:t> </w:t>
      </w:r>
      <w:r>
        <w:rPr>
          <w:sz w:val="22"/>
        </w:rPr>
        <w:t>otros</w:t>
      </w:r>
      <w:r>
        <w:rPr>
          <w:spacing w:val="-7"/>
          <w:sz w:val="22"/>
        </w:rPr>
        <w:t> </w:t>
      </w:r>
      <w:r>
        <w:rPr>
          <w:sz w:val="22"/>
        </w:rPr>
        <w:t>países</w:t>
      </w:r>
      <w:r>
        <w:rPr>
          <w:spacing w:val="-7"/>
          <w:sz w:val="22"/>
        </w:rPr>
        <w:t> </w:t>
      </w:r>
      <w:r>
        <w:rPr>
          <w:sz w:val="22"/>
        </w:rPr>
        <w:t>de la CAN y de la propia producción nacional. Conforme lo establecido en el Proceso 12</w:t>
      </w:r>
      <w:r>
        <w:rPr>
          <w:rFonts w:ascii="Cambria Math" w:hAnsi="Cambria Math"/>
          <w:sz w:val="22"/>
        </w:rPr>
        <w:t>‑</w:t>
      </w:r>
      <w:r>
        <w:rPr>
          <w:sz w:val="22"/>
        </w:rPr>
        <w:t>AN</w:t>
      </w:r>
      <w:r>
        <w:rPr>
          <w:rFonts w:ascii="Cambria Math" w:hAnsi="Cambria Math"/>
          <w:sz w:val="22"/>
        </w:rPr>
        <w:t>‑</w:t>
      </w:r>
      <w:r>
        <w:rPr>
          <w:sz w:val="22"/>
        </w:rPr>
        <w:t>99 y recogida en la Resolución 441, cualquier carga pecuniaria unilateral impuesta a bienes importados desde otro País Miembro, cualquiera sea su denominación</w:t>
      </w:r>
      <w:r>
        <w:rPr>
          <w:spacing w:val="-1"/>
          <w:sz w:val="22"/>
        </w:rPr>
        <w:t> </w:t>
      </w:r>
      <w:r>
        <w:rPr>
          <w:sz w:val="22"/>
        </w:rPr>
        <w:t>y</w:t>
      </w:r>
      <w:r>
        <w:rPr>
          <w:spacing w:val="-5"/>
          <w:sz w:val="22"/>
        </w:rPr>
        <w:t> </w:t>
      </w:r>
      <w:r>
        <w:rPr>
          <w:sz w:val="22"/>
        </w:rPr>
        <w:t>modo</w:t>
      </w:r>
      <w:r>
        <w:rPr>
          <w:spacing w:val="-3"/>
          <w:sz w:val="22"/>
        </w:rPr>
        <w:t> </w:t>
      </w:r>
      <w:r>
        <w:rPr>
          <w:sz w:val="22"/>
        </w:rPr>
        <w:t>de aplicación,</w:t>
      </w:r>
      <w:r>
        <w:rPr>
          <w:spacing w:val="-1"/>
          <w:sz w:val="22"/>
        </w:rPr>
        <w:t> </w:t>
      </w:r>
      <w:r>
        <w:rPr>
          <w:sz w:val="22"/>
        </w:rPr>
        <w:t>constituye</w:t>
      </w:r>
      <w:r>
        <w:rPr>
          <w:spacing w:val="-5"/>
          <w:sz w:val="22"/>
        </w:rPr>
        <w:t> </w:t>
      </w:r>
      <w:r>
        <w:rPr>
          <w:sz w:val="22"/>
        </w:rPr>
        <w:t>un</w:t>
      </w:r>
      <w:r>
        <w:rPr>
          <w:spacing w:val="-1"/>
          <w:sz w:val="22"/>
        </w:rPr>
        <w:t> </w:t>
      </w:r>
      <w:r>
        <w:rPr>
          <w:sz w:val="22"/>
        </w:rPr>
        <w:t>gravamen cuando</w:t>
      </w:r>
      <w:r>
        <w:rPr>
          <w:spacing w:val="-5"/>
          <w:sz w:val="22"/>
        </w:rPr>
        <w:t> </w:t>
      </w:r>
      <w:r>
        <w:rPr>
          <w:sz w:val="22"/>
        </w:rPr>
        <w:t>recae</w:t>
      </w:r>
      <w:r>
        <w:rPr>
          <w:spacing w:val="-1"/>
          <w:sz w:val="22"/>
        </w:rPr>
        <w:t> </w:t>
      </w:r>
      <w:r>
        <w:rPr>
          <w:sz w:val="22"/>
        </w:rPr>
        <w:t>sobre esas importaciones por el mero hecho de cruzar la frontera, y la selectividad por origen refuerza su incompatibilidad con los artículos 72, 73 y 77 del Acuerdo de Cartagena.</w:t>
      </w:r>
    </w:p>
    <w:p>
      <w:pPr>
        <w:pStyle w:val="BodyText"/>
      </w:pPr>
    </w:p>
    <w:p>
      <w:pPr>
        <w:pStyle w:val="Heading2"/>
        <w:numPr>
          <w:ilvl w:val="0"/>
          <w:numId w:val="47"/>
        </w:numPr>
        <w:tabs>
          <w:tab w:pos="1912" w:val="left" w:leader="none"/>
        </w:tabs>
        <w:spacing w:line="240" w:lineRule="auto" w:before="0" w:after="0"/>
        <w:ind w:left="1912" w:right="0" w:hanging="360"/>
        <w:jc w:val="left"/>
      </w:pPr>
      <w:r>
        <w:rPr/>
        <w:t>Efectos</w:t>
      </w:r>
      <w:r>
        <w:rPr>
          <w:spacing w:val="-4"/>
        </w:rPr>
        <w:t> </w:t>
      </w:r>
      <w:r>
        <w:rPr/>
        <w:t>económicos</w:t>
      </w:r>
      <w:r>
        <w:rPr>
          <w:spacing w:val="-7"/>
        </w:rPr>
        <w:t> </w:t>
      </w:r>
      <w:r>
        <w:rPr/>
        <w:t>y</w:t>
      </w:r>
      <w:r>
        <w:rPr>
          <w:spacing w:val="-3"/>
        </w:rPr>
        <w:t> </w:t>
      </w:r>
      <w:r>
        <w:rPr/>
        <w:t>comerciales</w:t>
      </w:r>
      <w:r>
        <w:rPr>
          <w:spacing w:val="-5"/>
        </w:rPr>
        <w:t> </w:t>
      </w:r>
      <w:r>
        <w:rPr/>
        <w:t>de</w:t>
      </w:r>
      <w:r>
        <w:rPr>
          <w:spacing w:val="-3"/>
        </w:rPr>
        <w:t> </w:t>
      </w:r>
      <w:r>
        <w:rPr/>
        <w:t>la</w:t>
      </w:r>
      <w:r>
        <w:rPr>
          <w:spacing w:val="-5"/>
        </w:rPr>
        <w:t> </w:t>
      </w:r>
      <w:r>
        <w:rPr>
          <w:spacing w:val="-2"/>
        </w:rPr>
        <w:t>medida</w:t>
      </w:r>
    </w:p>
    <w:p>
      <w:pPr>
        <w:pStyle w:val="ListParagraph"/>
        <w:numPr>
          <w:ilvl w:val="0"/>
          <w:numId w:val="11"/>
        </w:numPr>
        <w:tabs>
          <w:tab w:pos="1130" w:val="left" w:leader="none"/>
          <w:tab w:pos="1134" w:val="left" w:leader="none"/>
        </w:tabs>
        <w:spacing w:line="240" w:lineRule="auto" w:before="250" w:after="0"/>
        <w:ind w:left="1134" w:right="981" w:hanging="567"/>
        <w:jc w:val="both"/>
        <w:rPr>
          <w:sz w:val="22"/>
        </w:rPr>
      </w:pPr>
      <w:r>
        <w:rPr>
          <w:sz w:val="22"/>
        </w:rPr>
        <w:t>La información aportada por Colombina muestra que el costo total de nacionalización por</w:t>
      </w:r>
      <w:r>
        <w:rPr>
          <w:spacing w:val="-8"/>
          <w:sz w:val="22"/>
        </w:rPr>
        <w:t> </w:t>
      </w:r>
      <w:r>
        <w:rPr>
          <w:sz w:val="22"/>
        </w:rPr>
        <w:t>contenedor</w:t>
      </w:r>
      <w:r>
        <w:rPr>
          <w:spacing w:val="-8"/>
          <w:sz w:val="22"/>
        </w:rPr>
        <w:t> </w:t>
      </w:r>
      <w:r>
        <w:rPr>
          <w:sz w:val="22"/>
        </w:rPr>
        <w:t>pasó</w:t>
      </w:r>
      <w:r>
        <w:rPr>
          <w:spacing w:val="-9"/>
          <w:sz w:val="22"/>
        </w:rPr>
        <w:t> </w:t>
      </w:r>
      <w:r>
        <w:rPr>
          <w:sz w:val="22"/>
        </w:rPr>
        <w:t>de</w:t>
      </w:r>
      <w:r>
        <w:rPr>
          <w:spacing w:val="-12"/>
          <w:sz w:val="22"/>
        </w:rPr>
        <w:t> </w:t>
      </w:r>
      <w:r>
        <w:rPr>
          <w:sz w:val="22"/>
        </w:rPr>
        <w:t>USD</w:t>
      </w:r>
      <w:r>
        <w:rPr>
          <w:spacing w:val="-10"/>
          <w:sz w:val="22"/>
        </w:rPr>
        <w:t> </w:t>
      </w:r>
      <w:r>
        <w:rPr>
          <w:sz w:val="22"/>
        </w:rPr>
        <w:t>2.695,49</w:t>
      </w:r>
      <w:r>
        <w:rPr>
          <w:spacing w:val="-9"/>
          <w:sz w:val="22"/>
        </w:rPr>
        <w:t> </w:t>
      </w:r>
      <w:r>
        <w:rPr>
          <w:sz w:val="22"/>
        </w:rPr>
        <w:t>a</w:t>
      </w:r>
      <w:r>
        <w:rPr>
          <w:spacing w:val="-9"/>
          <w:sz w:val="22"/>
        </w:rPr>
        <w:t> </w:t>
      </w:r>
      <w:r>
        <w:rPr>
          <w:sz w:val="22"/>
        </w:rPr>
        <w:t>USD</w:t>
      </w:r>
      <w:r>
        <w:rPr>
          <w:spacing w:val="-10"/>
          <w:sz w:val="22"/>
        </w:rPr>
        <w:t> </w:t>
      </w:r>
      <w:r>
        <w:rPr>
          <w:sz w:val="22"/>
        </w:rPr>
        <w:t>20.310,70</w:t>
      </w:r>
      <w:r>
        <w:rPr>
          <w:spacing w:val="-8"/>
          <w:sz w:val="22"/>
        </w:rPr>
        <w:t> </w:t>
      </w:r>
      <w:r>
        <w:rPr>
          <w:sz w:val="22"/>
        </w:rPr>
        <w:t>tras</w:t>
      </w:r>
      <w:r>
        <w:rPr>
          <w:spacing w:val="-9"/>
          <w:sz w:val="22"/>
        </w:rPr>
        <w:t> </w:t>
      </w:r>
      <w:r>
        <w:rPr>
          <w:sz w:val="22"/>
        </w:rPr>
        <w:t>la</w:t>
      </w:r>
      <w:r>
        <w:rPr>
          <w:spacing w:val="-9"/>
          <w:sz w:val="22"/>
        </w:rPr>
        <w:t> </w:t>
      </w:r>
      <w:r>
        <w:rPr>
          <w:sz w:val="22"/>
        </w:rPr>
        <w:t>aplicación</w:t>
      </w:r>
      <w:r>
        <w:rPr>
          <w:spacing w:val="-12"/>
          <w:sz w:val="22"/>
        </w:rPr>
        <w:t> </w:t>
      </w:r>
      <w:r>
        <w:rPr>
          <w:sz w:val="22"/>
        </w:rPr>
        <w:t>de</w:t>
      </w:r>
      <w:r>
        <w:rPr>
          <w:spacing w:val="-9"/>
          <w:sz w:val="22"/>
        </w:rPr>
        <w:t> </w:t>
      </w:r>
      <w:r>
        <w:rPr>
          <w:sz w:val="22"/>
        </w:rPr>
        <w:t>la</w:t>
      </w:r>
      <w:r>
        <w:rPr>
          <w:spacing w:val="-9"/>
          <w:sz w:val="22"/>
        </w:rPr>
        <w:t> </w:t>
      </w:r>
      <w:r>
        <w:rPr>
          <w:sz w:val="22"/>
        </w:rPr>
        <w:t>medida, lo que evidenciaría una alteración sustancial en el costo económico de la importación, como puede apreciarse de las facturas de pago de arancel efectuadas por las mencionadas empresas.</w:t>
      </w:r>
      <w:hyperlink w:history="true" w:anchor="_bookmark67">
        <w:r>
          <w:rPr>
            <w:sz w:val="22"/>
            <w:vertAlign w:val="superscript"/>
          </w:rPr>
          <w:t>25</w:t>
        </w:r>
      </w:hyperlink>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82" w:hanging="567"/>
        <w:jc w:val="both"/>
        <w:rPr>
          <w:sz w:val="22"/>
        </w:rPr>
      </w:pPr>
      <w:r>
        <w:rPr>
          <w:sz w:val="22"/>
        </w:rPr>
        <w:t>Asimismo, Colombina señala que la incidencia de la carga sobre</w:t>
      </w:r>
      <w:r>
        <w:rPr>
          <w:spacing w:val="-2"/>
          <w:sz w:val="22"/>
        </w:rPr>
        <w:t> </w:t>
      </w:r>
      <w:r>
        <w:rPr>
          <w:sz w:val="22"/>
        </w:rPr>
        <w:t>factura</w:t>
      </w:r>
      <w:r>
        <w:rPr>
          <w:spacing w:val="-1"/>
          <w:sz w:val="22"/>
        </w:rPr>
        <w:t> </w:t>
      </w:r>
      <w:r>
        <w:rPr>
          <w:sz w:val="22"/>
        </w:rPr>
        <w:t>más flete</w:t>
      </w:r>
      <w:r>
        <w:rPr>
          <w:spacing w:val="-1"/>
          <w:sz w:val="22"/>
        </w:rPr>
        <w:t> </w:t>
      </w:r>
      <w:r>
        <w:rPr>
          <w:sz w:val="22"/>
        </w:rPr>
        <w:t>más seguro se elevó de 7,7% a 57,7% y que, al momento de la presentación del escrito, la filial ecuatoriana había pagado USD 341.020,44 por concepto de la medida.</w:t>
      </w:r>
    </w:p>
    <w:p>
      <w:pPr>
        <w:pStyle w:val="ListParagraph"/>
        <w:numPr>
          <w:ilvl w:val="0"/>
          <w:numId w:val="11"/>
        </w:numPr>
        <w:tabs>
          <w:tab w:pos="1130" w:val="left" w:leader="none"/>
          <w:tab w:pos="1134" w:val="left" w:leader="none"/>
        </w:tabs>
        <w:spacing w:line="240" w:lineRule="auto" w:before="252" w:after="0"/>
        <w:ind w:left="1134" w:right="975" w:hanging="567"/>
        <w:jc w:val="both"/>
        <w:rPr>
          <w:sz w:val="22"/>
        </w:rPr>
      </w:pPr>
      <w:r>
        <w:rPr>
          <w:sz w:val="22"/>
        </w:rPr>
        <w:t>Adicionalmente, la información presentada por Colombina, señala sobre el número de contenedores nacionalizados, que el mismo cayó de 98 a 60 en el primer trimestre de 2026 frente al mismo período de 2025, con impactos sobre inventarios, liquidez, cumplimiento de contratos y continuidad del flujo comercial intracomunitario.</w:t>
      </w:r>
    </w:p>
    <w:p>
      <w:pPr>
        <w:pStyle w:val="BodyText"/>
      </w:pPr>
    </w:p>
    <w:p>
      <w:pPr>
        <w:pStyle w:val="ListParagraph"/>
        <w:numPr>
          <w:ilvl w:val="0"/>
          <w:numId w:val="11"/>
        </w:numPr>
        <w:tabs>
          <w:tab w:pos="1130" w:val="left" w:leader="none"/>
          <w:tab w:pos="1134" w:val="left" w:leader="none"/>
        </w:tabs>
        <w:spacing w:line="240" w:lineRule="auto" w:before="0" w:after="0"/>
        <w:ind w:left="1134" w:right="981" w:hanging="567"/>
        <w:jc w:val="both"/>
        <w:rPr>
          <w:sz w:val="22"/>
        </w:rPr>
      </w:pPr>
      <w:r>
        <w:rPr>
          <w:sz w:val="22"/>
        </w:rPr>
        <w:t>Tales</w:t>
      </w:r>
      <w:r>
        <w:rPr>
          <w:spacing w:val="-10"/>
          <w:sz w:val="22"/>
        </w:rPr>
        <w:t> </w:t>
      </w:r>
      <w:r>
        <w:rPr>
          <w:sz w:val="22"/>
        </w:rPr>
        <w:t>elementos</w:t>
      </w:r>
      <w:r>
        <w:rPr>
          <w:spacing w:val="-9"/>
          <w:sz w:val="22"/>
        </w:rPr>
        <w:t> </w:t>
      </w:r>
      <w:r>
        <w:rPr>
          <w:sz w:val="22"/>
        </w:rPr>
        <w:t>probatorios</w:t>
      </w:r>
      <w:r>
        <w:rPr>
          <w:spacing w:val="-10"/>
          <w:sz w:val="22"/>
        </w:rPr>
        <w:t> </w:t>
      </w:r>
      <w:r>
        <w:rPr>
          <w:sz w:val="22"/>
        </w:rPr>
        <w:t>confirman</w:t>
      </w:r>
      <w:r>
        <w:rPr>
          <w:spacing w:val="-10"/>
          <w:sz w:val="22"/>
        </w:rPr>
        <w:t> </w:t>
      </w:r>
      <w:r>
        <w:rPr>
          <w:sz w:val="22"/>
        </w:rPr>
        <w:t>que</w:t>
      </w:r>
      <w:r>
        <w:rPr>
          <w:spacing w:val="-12"/>
          <w:sz w:val="22"/>
        </w:rPr>
        <w:t> </w:t>
      </w:r>
      <w:r>
        <w:rPr>
          <w:sz w:val="22"/>
        </w:rPr>
        <w:t>la</w:t>
      </w:r>
      <w:r>
        <w:rPr>
          <w:spacing w:val="-12"/>
          <w:sz w:val="22"/>
        </w:rPr>
        <w:t> </w:t>
      </w:r>
      <w:r>
        <w:rPr>
          <w:sz w:val="22"/>
        </w:rPr>
        <w:t>medida</w:t>
      </w:r>
      <w:r>
        <w:rPr>
          <w:spacing w:val="-10"/>
          <w:sz w:val="22"/>
        </w:rPr>
        <w:t> </w:t>
      </w:r>
      <w:r>
        <w:rPr>
          <w:sz w:val="22"/>
        </w:rPr>
        <w:t>no</w:t>
      </w:r>
      <w:r>
        <w:rPr>
          <w:spacing w:val="-10"/>
          <w:sz w:val="22"/>
        </w:rPr>
        <w:t> </w:t>
      </w:r>
      <w:r>
        <w:rPr>
          <w:sz w:val="22"/>
        </w:rPr>
        <w:t>opera</w:t>
      </w:r>
      <w:r>
        <w:rPr>
          <w:spacing w:val="-12"/>
          <w:sz w:val="22"/>
        </w:rPr>
        <w:t> </w:t>
      </w:r>
      <w:r>
        <w:rPr>
          <w:sz w:val="22"/>
        </w:rPr>
        <w:t>como</w:t>
      </w:r>
      <w:r>
        <w:rPr>
          <w:spacing w:val="-12"/>
          <w:sz w:val="22"/>
        </w:rPr>
        <w:t> </w:t>
      </w:r>
      <w:r>
        <w:rPr>
          <w:sz w:val="22"/>
        </w:rPr>
        <w:t>un</w:t>
      </w:r>
      <w:r>
        <w:rPr>
          <w:spacing w:val="-13"/>
          <w:sz w:val="22"/>
        </w:rPr>
        <w:t> </w:t>
      </w:r>
      <w:r>
        <w:rPr>
          <w:sz w:val="22"/>
        </w:rPr>
        <w:t>cobro</w:t>
      </w:r>
      <w:r>
        <w:rPr>
          <w:spacing w:val="-12"/>
          <w:sz w:val="22"/>
        </w:rPr>
        <w:t> </w:t>
      </w:r>
      <w:r>
        <w:rPr>
          <w:sz w:val="22"/>
        </w:rPr>
        <w:t>marginal por una prestación accesoria, sino como un encarecimiento de la importación, plenamente coherente con la noción de recargo de efectos equivalentes a un derecho </w:t>
      </w:r>
      <w:r>
        <w:rPr>
          <w:spacing w:val="-2"/>
          <w:sz w:val="22"/>
        </w:rPr>
        <w:t>aduanero.</w:t>
      </w:r>
    </w:p>
    <w:p>
      <w:pPr>
        <w:pStyle w:val="BodyText"/>
      </w:pPr>
    </w:p>
    <w:p>
      <w:pPr>
        <w:pStyle w:val="ListParagraph"/>
        <w:numPr>
          <w:ilvl w:val="0"/>
          <w:numId w:val="11"/>
        </w:numPr>
        <w:tabs>
          <w:tab w:pos="1130" w:val="left" w:leader="none"/>
          <w:tab w:pos="1134" w:val="left" w:leader="none"/>
        </w:tabs>
        <w:spacing w:line="240" w:lineRule="auto" w:before="0" w:after="0"/>
        <w:ind w:left="1134" w:right="981" w:hanging="567"/>
        <w:jc w:val="both"/>
        <w:rPr>
          <w:sz w:val="22"/>
        </w:rPr>
      </w:pPr>
      <w:r>
        <w:rPr>
          <w:sz w:val="22"/>
        </w:rPr>
        <w:t>La</w:t>
      </w:r>
      <w:r>
        <w:rPr>
          <w:spacing w:val="-9"/>
          <w:sz w:val="22"/>
        </w:rPr>
        <w:t> </w:t>
      </w:r>
      <w:r>
        <w:rPr>
          <w:sz w:val="22"/>
        </w:rPr>
        <w:t>información</w:t>
      </w:r>
      <w:r>
        <w:rPr>
          <w:spacing w:val="-9"/>
          <w:sz w:val="22"/>
        </w:rPr>
        <w:t> </w:t>
      </w:r>
      <w:r>
        <w:rPr>
          <w:sz w:val="22"/>
        </w:rPr>
        <w:t>aportada</w:t>
      </w:r>
      <w:r>
        <w:rPr>
          <w:spacing w:val="-14"/>
          <w:sz w:val="22"/>
        </w:rPr>
        <w:t> </w:t>
      </w:r>
      <w:r>
        <w:rPr>
          <w:sz w:val="22"/>
        </w:rPr>
        <w:t>por</w:t>
      </w:r>
      <w:r>
        <w:rPr>
          <w:spacing w:val="-8"/>
          <w:sz w:val="22"/>
        </w:rPr>
        <w:t> </w:t>
      </w:r>
      <w:r>
        <w:rPr>
          <w:sz w:val="22"/>
        </w:rPr>
        <w:t>Colombina</w:t>
      </w:r>
      <w:r>
        <w:rPr>
          <w:spacing w:val="-9"/>
          <w:sz w:val="22"/>
        </w:rPr>
        <w:t> </w:t>
      </w:r>
      <w:r>
        <w:rPr>
          <w:sz w:val="22"/>
        </w:rPr>
        <w:t>sobre</w:t>
      </w:r>
      <w:r>
        <w:rPr>
          <w:spacing w:val="-9"/>
          <w:sz w:val="22"/>
        </w:rPr>
        <w:t> </w:t>
      </w:r>
      <w:r>
        <w:rPr>
          <w:sz w:val="22"/>
        </w:rPr>
        <w:t>caída</w:t>
      </w:r>
      <w:r>
        <w:rPr>
          <w:spacing w:val="-9"/>
          <w:sz w:val="22"/>
        </w:rPr>
        <w:t> </w:t>
      </w:r>
      <w:r>
        <w:rPr>
          <w:sz w:val="22"/>
        </w:rPr>
        <w:t>de</w:t>
      </w:r>
      <w:r>
        <w:rPr>
          <w:spacing w:val="-9"/>
          <w:sz w:val="22"/>
        </w:rPr>
        <w:t> </w:t>
      </w:r>
      <w:r>
        <w:rPr>
          <w:sz w:val="22"/>
        </w:rPr>
        <w:t>ventas,</w:t>
      </w:r>
      <w:r>
        <w:rPr>
          <w:spacing w:val="-7"/>
          <w:sz w:val="22"/>
        </w:rPr>
        <w:t> </w:t>
      </w:r>
      <w:r>
        <w:rPr>
          <w:sz w:val="22"/>
        </w:rPr>
        <w:t>cancelación</w:t>
      </w:r>
      <w:r>
        <w:rPr>
          <w:spacing w:val="-9"/>
          <w:sz w:val="22"/>
        </w:rPr>
        <w:t> </w:t>
      </w:r>
      <w:r>
        <w:rPr>
          <w:sz w:val="22"/>
        </w:rPr>
        <w:t>de</w:t>
      </w:r>
      <w:r>
        <w:rPr>
          <w:spacing w:val="-9"/>
          <w:sz w:val="22"/>
        </w:rPr>
        <w:t> </w:t>
      </w:r>
      <w:r>
        <w:rPr>
          <w:sz w:val="22"/>
        </w:rPr>
        <w:t>pedidos, pérdida de clientes, aumento de costos y riesgo de deslocalización configura, para la SGCAN, un cuadro típico de efectos económicos y comerciales asociados a gravámenes</w:t>
      </w:r>
      <w:r>
        <w:rPr>
          <w:spacing w:val="-10"/>
          <w:sz w:val="22"/>
        </w:rPr>
        <w:t> </w:t>
      </w:r>
      <w:r>
        <w:rPr>
          <w:sz w:val="22"/>
        </w:rPr>
        <w:t>incompatibles</w:t>
      </w:r>
      <w:r>
        <w:rPr>
          <w:spacing w:val="-10"/>
          <w:sz w:val="22"/>
        </w:rPr>
        <w:t> </w:t>
      </w:r>
      <w:r>
        <w:rPr>
          <w:sz w:val="22"/>
        </w:rPr>
        <w:t>con</w:t>
      </w:r>
      <w:r>
        <w:rPr>
          <w:spacing w:val="-13"/>
          <w:sz w:val="22"/>
        </w:rPr>
        <w:t> </w:t>
      </w:r>
      <w:r>
        <w:rPr>
          <w:sz w:val="22"/>
        </w:rPr>
        <w:t>el</w:t>
      </w:r>
      <w:r>
        <w:rPr>
          <w:spacing w:val="-13"/>
          <w:sz w:val="22"/>
        </w:rPr>
        <w:t> </w:t>
      </w:r>
      <w:r>
        <w:rPr>
          <w:sz w:val="22"/>
        </w:rPr>
        <w:t>Programa</w:t>
      </w:r>
      <w:r>
        <w:rPr>
          <w:spacing w:val="-12"/>
          <w:sz w:val="22"/>
        </w:rPr>
        <w:t> </w:t>
      </w:r>
      <w:r>
        <w:rPr>
          <w:sz w:val="22"/>
        </w:rPr>
        <w:t>de</w:t>
      </w:r>
      <w:r>
        <w:rPr>
          <w:spacing w:val="-13"/>
          <w:sz w:val="22"/>
        </w:rPr>
        <w:t> </w:t>
      </w:r>
      <w:r>
        <w:rPr>
          <w:sz w:val="22"/>
        </w:rPr>
        <w:t>Liberación,</w:t>
      </w:r>
      <w:r>
        <w:rPr>
          <w:spacing w:val="-11"/>
          <w:sz w:val="22"/>
        </w:rPr>
        <w:t> </w:t>
      </w:r>
      <w:r>
        <w:rPr>
          <w:sz w:val="22"/>
        </w:rPr>
        <w:t>conforme</w:t>
      </w:r>
      <w:r>
        <w:rPr>
          <w:spacing w:val="-10"/>
          <w:sz w:val="22"/>
        </w:rPr>
        <w:t> </w:t>
      </w:r>
      <w:r>
        <w:rPr>
          <w:sz w:val="22"/>
        </w:rPr>
        <w:t>al</w:t>
      </w:r>
      <w:r>
        <w:rPr>
          <w:spacing w:val="-13"/>
          <w:sz w:val="22"/>
        </w:rPr>
        <w:t> </w:t>
      </w:r>
      <w:r>
        <w:rPr>
          <w:sz w:val="22"/>
        </w:rPr>
        <w:t>Derecho</w:t>
      </w:r>
      <w:r>
        <w:rPr>
          <w:spacing w:val="-12"/>
          <w:sz w:val="22"/>
        </w:rPr>
        <w:t> </w:t>
      </w:r>
      <w:r>
        <w:rPr>
          <w:sz w:val="22"/>
        </w:rPr>
        <w:t>Andino (Resolución 1999, Procesos 12-AN-99 y 19-AI-99, entre otros).</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Con</w:t>
      </w:r>
      <w:r>
        <w:rPr>
          <w:spacing w:val="-7"/>
          <w:sz w:val="22"/>
        </w:rPr>
        <w:t> </w:t>
      </w:r>
      <w:r>
        <w:rPr>
          <w:sz w:val="22"/>
        </w:rPr>
        <w:t>base</w:t>
      </w:r>
      <w:r>
        <w:rPr>
          <w:spacing w:val="-7"/>
          <w:sz w:val="22"/>
        </w:rPr>
        <w:t> </w:t>
      </w:r>
      <w:r>
        <w:rPr>
          <w:sz w:val="22"/>
        </w:rPr>
        <w:t>en</w:t>
      </w:r>
      <w:r>
        <w:rPr>
          <w:spacing w:val="-9"/>
          <w:sz w:val="22"/>
        </w:rPr>
        <w:t> </w:t>
      </w:r>
      <w:r>
        <w:rPr>
          <w:sz w:val="22"/>
        </w:rPr>
        <w:t>la</w:t>
      </w:r>
      <w:r>
        <w:rPr>
          <w:spacing w:val="-9"/>
          <w:sz w:val="22"/>
        </w:rPr>
        <w:t> </w:t>
      </w:r>
      <w:r>
        <w:rPr>
          <w:sz w:val="22"/>
        </w:rPr>
        <w:t>información</w:t>
      </w:r>
      <w:r>
        <w:rPr>
          <w:spacing w:val="-7"/>
          <w:sz w:val="22"/>
        </w:rPr>
        <w:t> </w:t>
      </w:r>
      <w:r>
        <w:rPr>
          <w:sz w:val="22"/>
        </w:rPr>
        <w:t>aportada</w:t>
      </w:r>
      <w:r>
        <w:rPr>
          <w:spacing w:val="-9"/>
          <w:sz w:val="22"/>
        </w:rPr>
        <w:t> </w:t>
      </w:r>
      <w:r>
        <w:rPr>
          <w:sz w:val="22"/>
        </w:rPr>
        <w:t>por</w:t>
      </w:r>
      <w:r>
        <w:rPr>
          <w:spacing w:val="-8"/>
          <w:sz w:val="22"/>
        </w:rPr>
        <w:t> </w:t>
      </w:r>
      <w:r>
        <w:rPr>
          <w:sz w:val="22"/>
        </w:rPr>
        <w:t>Colombina,</w:t>
      </w:r>
      <w:r>
        <w:rPr>
          <w:spacing w:val="-6"/>
          <w:sz w:val="22"/>
        </w:rPr>
        <w:t> </w:t>
      </w:r>
      <w:r>
        <w:rPr>
          <w:sz w:val="22"/>
        </w:rPr>
        <w:t>la</w:t>
      </w:r>
      <w:r>
        <w:rPr>
          <w:spacing w:val="-7"/>
          <w:sz w:val="22"/>
        </w:rPr>
        <w:t> </w:t>
      </w:r>
      <w:r>
        <w:rPr>
          <w:sz w:val="22"/>
        </w:rPr>
        <w:t>SGCAN</w:t>
      </w:r>
      <w:r>
        <w:rPr>
          <w:spacing w:val="-7"/>
          <w:sz w:val="22"/>
        </w:rPr>
        <w:t> </w:t>
      </w:r>
      <w:r>
        <w:rPr>
          <w:sz w:val="22"/>
        </w:rPr>
        <w:t>constata</w:t>
      </w:r>
      <w:r>
        <w:rPr>
          <w:spacing w:val="-7"/>
          <w:sz w:val="22"/>
        </w:rPr>
        <w:t> </w:t>
      </w:r>
      <w:r>
        <w:rPr>
          <w:sz w:val="22"/>
        </w:rPr>
        <w:t>que</w:t>
      </w:r>
      <w:r>
        <w:rPr>
          <w:spacing w:val="-7"/>
          <w:sz w:val="22"/>
        </w:rPr>
        <w:t> </w:t>
      </w:r>
      <w:r>
        <w:rPr>
          <w:sz w:val="22"/>
        </w:rPr>
        <w:t>la</w:t>
      </w:r>
      <w:r>
        <w:rPr>
          <w:spacing w:val="-9"/>
          <w:sz w:val="22"/>
        </w:rPr>
        <w:t> </w:t>
      </w:r>
      <w:r>
        <w:rPr>
          <w:sz w:val="22"/>
        </w:rPr>
        <w:t>medida ecuatoriana ha generado una afectación económica real, directa y cuantificable sobre las</w:t>
      </w:r>
      <w:r>
        <w:rPr>
          <w:spacing w:val="-12"/>
          <w:sz w:val="22"/>
        </w:rPr>
        <w:t> </w:t>
      </w:r>
      <w:r>
        <w:rPr>
          <w:sz w:val="22"/>
        </w:rPr>
        <w:t>operaciones</w:t>
      </w:r>
      <w:r>
        <w:rPr>
          <w:spacing w:val="-12"/>
          <w:sz w:val="22"/>
        </w:rPr>
        <w:t> </w:t>
      </w:r>
      <w:r>
        <w:rPr>
          <w:sz w:val="22"/>
        </w:rPr>
        <w:t>del</w:t>
      </w:r>
      <w:r>
        <w:rPr>
          <w:spacing w:val="-13"/>
          <w:sz w:val="22"/>
        </w:rPr>
        <w:t> </w:t>
      </w:r>
      <w:r>
        <w:rPr>
          <w:sz w:val="22"/>
        </w:rPr>
        <w:t>grupo</w:t>
      </w:r>
      <w:r>
        <w:rPr>
          <w:spacing w:val="-12"/>
          <w:sz w:val="22"/>
        </w:rPr>
        <w:t> </w:t>
      </w:r>
      <w:r>
        <w:rPr>
          <w:sz w:val="22"/>
        </w:rPr>
        <w:t>empresarial</w:t>
      </w:r>
      <w:r>
        <w:rPr>
          <w:spacing w:val="-13"/>
          <w:sz w:val="22"/>
        </w:rPr>
        <w:t> </w:t>
      </w:r>
      <w:r>
        <w:rPr>
          <w:sz w:val="22"/>
        </w:rPr>
        <w:t>en</w:t>
      </w:r>
      <w:r>
        <w:rPr>
          <w:spacing w:val="-13"/>
          <w:sz w:val="22"/>
        </w:rPr>
        <w:t> </w:t>
      </w:r>
      <w:r>
        <w:rPr>
          <w:sz w:val="22"/>
        </w:rPr>
        <w:t>el</w:t>
      </w:r>
      <w:r>
        <w:rPr>
          <w:spacing w:val="-13"/>
          <w:sz w:val="22"/>
        </w:rPr>
        <w:t> </w:t>
      </w:r>
      <w:r>
        <w:rPr>
          <w:sz w:val="22"/>
        </w:rPr>
        <w:t>comercio</w:t>
      </w:r>
      <w:r>
        <w:rPr>
          <w:spacing w:val="-12"/>
          <w:sz w:val="22"/>
        </w:rPr>
        <w:t> </w:t>
      </w:r>
      <w:r>
        <w:rPr>
          <w:sz w:val="22"/>
        </w:rPr>
        <w:t>intracomunitario.</w:t>
      </w:r>
      <w:r>
        <w:rPr>
          <w:spacing w:val="-11"/>
          <w:sz w:val="22"/>
        </w:rPr>
        <w:t> </w:t>
      </w:r>
      <w:r>
        <w:rPr>
          <w:sz w:val="22"/>
        </w:rPr>
        <w:t>Dicha</w:t>
      </w:r>
      <w:r>
        <w:rPr>
          <w:spacing w:val="-13"/>
          <w:sz w:val="22"/>
        </w:rPr>
        <w:t> </w:t>
      </w:r>
      <w:r>
        <w:rPr>
          <w:sz w:val="22"/>
        </w:rPr>
        <w:t>afectación se</w:t>
      </w:r>
      <w:r>
        <w:rPr>
          <w:spacing w:val="-16"/>
          <w:sz w:val="22"/>
        </w:rPr>
        <w:t> </w:t>
      </w:r>
      <w:r>
        <w:rPr>
          <w:sz w:val="22"/>
        </w:rPr>
        <w:t>manifiesta</w:t>
      </w:r>
      <w:r>
        <w:rPr>
          <w:spacing w:val="-15"/>
          <w:sz w:val="22"/>
        </w:rPr>
        <w:t> </w:t>
      </w:r>
      <w:r>
        <w:rPr>
          <w:sz w:val="22"/>
        </w:rPr>
        <w:t>a</w:t>
      </w:r>
      <w:r>
        <w:rPr>
          <w:spacing w:val="-15"/>
          <w:sz w:val="22"/>
        </w:rPr>
        <w:t> </w:t>
      </w:r>
      <w:r>
        <w:rPr>
          <w:sz w:val="22"/>
        </w:rPr>
        <w:t>lo</w:t>
      </w:r>
      <w:r>
        <w:rPr>
          <w:spacing w:val="-16"/>
          <w:sz w:val="22"/>
        </w:rPr>
        <w:t> </w:t>
      </w:r>
      <w:r>
        <w:rPr>
          <w:sz w:val="22"/>
        </w:rPr>
        <w:t>largo</w:t>
      </w:r>
      <w:r>
        <w:rPr>
          <w:spacing w:val="-15"/>
          <w:sz w:val="22"/>
        </w:rPr>
        <w:t> </w:t>
      </w:r>
      <w:r>
        <w:rPr>
          <w:sz w:val="22"/>
        </w:rPr>
        <w:t>de</w:t>
      </w:r>
      <w:r>
        <w:rPr>
          <w:spacing w:val="-15"/>
          <w:sz w:val="22"/>
        </w:rPr>
        <w:t> </w:t>
      </w:r>
      <w:r>
        <w:rPr>
          <w:sz w:val="22"/>
        </w:rPr>
        <w:t>toda</w:t>
      </w:r>
      <w:r>
        <w:rPr>
          <w:spacing w:val="-15"/>
          <w:sz w:val="22"/>
        </w:rPr>
        <w:t> </w:t>
      </w:r>
      <w:r>
        <w:rPr>
          <w:sz w:val="22"/>
        </w:rPr>
        <w:t>la</w:t>
      </w:r>
      <w:r>
        <w:rPr>
          <w:spacing w:val="-16"/>
          <w:sz w:val="22"/>
        </w:rPr>
        <w:t> </w:t>
      </w:r>
      <w:r>
        <w:rPr>
          <w:sz w:val="22"/>
        </w:rPr>
        <w:t>cadena</w:t>
      </w:r>
      <w:r>
        <w:rPr>
          <w:spacing w:val="-15"/>
          <w:sz w:val="22"/>
        </w:rPr>
        <w:t> </w:t>
      </w:r>
      <w:r>
        <w:rPr>
          <w:sz w:val="22"/>
        </w:rPr>
        <w:t>de</w:t>
      </w:r>
      <w:r>
        <w:rPr>
          <w:spacing w:val="-15"/>
          <w:sz w:val="22"/>
        </w:rPr>
        <w:t> </w:t>
      </w:r>
      <w:r>
        <w:rPr>
          <w:sz w:val="22"/>
        </w:rPr>
        <w:t>valor,</w:t>
      </w:r>
      <w:r>
        <w:rPr>
          <w:spacing w:val="-16"/>
          <w:sz w:val="22"/>
        </w:rPr>
        <w:t> </w:t>
      </w:r>
      <w:r>
        <w:rPr>
          <w:sz w:val="22"/>
        </w:rPr>
        <w:t>desde</w:t>
      </w:r>
      <w:r>
        <w:rPr>
          <w:spacing w:val="-15"/>
          <w:sz w:val="22"/>
        </w:rPr>
        <w:t> </w:t>
      </w:r>
      <w:r>
        <w:rPr>
          <w:sz w:val="22"/>
        </w:rPr>
        <w:t>la</w:t>
      </w:r>
      <w:r>
        <w:rPr>
          <w:spacing w:val="-15"/>
          <w:sz w:val="22"/>
        </w:rPr>
        <w:t> </w:t>
      </w:r>
      <w:r>
        <w:rPr>
          <w:sz w:val="22"/>
        </w:rPr>
        <w:t>exportación</w:t>
      </w:r>
      <w:r>
        <w:rPr>
          <w:spacing w:val="-15"/>
          <w:sz w:val="22"/>
        </w:rPr>
        <w:t> </w:t>
      </w:r>
      <w:r>
        <w:rPr>
          <w:sz w:val="22"/>
        </w:rPr>
        <w:t>de</w:t>
      </w:r>
      <w:r>
        <w:rPr>
          <w:spacing w:val="-16"/>
          <w:sz w:val="22"/>
        </w:rPr>
        <w:t> </w:t>
      </w:r>
      <w:r>
        <w:rPr>
          <w:sz w:val="22"/>
        </w:rPr>
        <w:t>los</w:t>
      </w:r>
      <w:r>
        <w:rPr>
          <w:spacing w:val="-15"/>
          <w:sz w:val="22"/>
        </w:rPr>
        <w:t> </w:t>
      </w:r>
      <w:r>
        <w:rPr>
          <w:sz w:val="22"/>
        </w:rPr>
        <w:t>productos en la República de Colombia hasta su importación, nacionalización y comercialización en</w:t>
      </w:r>
      <w:r>
        <w:rPr>
          <w:spacing w:val="-2"/>
          <w:sz w:val="22"/>
        </w:rPr>
        <w:t> </w:t>
      </w:r>
      <w:r>
        <w:rPr>
          <w:sz w:val="22"/>
        </w:rPr>
        <w:t>la</w:t>
      </w:r>
      <w:r>
        <w:rPr>
          <w:spacing w:val="-2"/>
          <w:sz w:val="22"/>
        </w:rPr>
        <w:t> </w:t>
      </w:r>
      <w:r>
        <w:rPr>
          <w:sz w:val="22"/>
        </w:rPr>
        <w:t>República</w:t>
      </w:r>
      <w:r>
        <w:rPr>
          <w:spacing w:val="-2"/>
          <w:sz w:val="22"/>
        </w:rPr>
        <w:t> </w:t>
      </w:r>
      <w:r>
        <w:rPr>
          <w:sz w:val="22"/>
        </w:rPr>
        <w:t>del</w:t>
      </w:r>
      <w:r>
        <w:rPr>
          <w:spacing w:val="-4"/>
          <w:sz w:val="22"/>
        </w:rPr>
        <w:t> </w:t>
      </w:r>
      <w:r>
        <w:rPr>
          <w:sz w:val="22"/>
        </w:rPr>
        <w:t>Ecuador,</w:t>
      </w:r>
      <w:r>
        <w:rPr>
          <w:spacing w:val="-3"/>
          <w:sz w:val="22"/>
        </w:rPr>
        <w:t> </w:t>
      </w:r>
      <w:r>
        <w:rPr>
          <w:sz w:val="22"/>
        </w:rPr>
        <w:t>lo</w:t>
      </w:r>
      <w:r>
        <w:rPr>
          <w:spacing w:val="-2"/>
          <w:sz w:val="22"/>
        </w:rPr>
        <w:t> </w:t>
      </w:r>
      <w:r>
        <w:rPr>
          <w:sz w:val="22"/>
        </w:rPr>
        <w:t>que</w:t>
      </w:r>
      <w:r>
        <w:rPr>
          <w:spacing w:val="-4"/>
          <w:sz w:val="22"/>
        </w:rPr>
        <w:t> </w:t>
      </w:r>
      <w:r>
        <w:rPr>
          <w:sz w:val="22"/>
        </w:rPr>
        <w:t>permite</w:t>
      </w:r>
      <w:r>
        <w:rPr>
          <w:spacing w:val="-4"/>
          <w:sz w:val="22"/>
        </w:rPr>
        <w:t> </w:t>
      </w:r>
      <w:r>
        <w:rPr>
          <w:sz w:val="22"/>
        </w:rPr>
        <w:t>verificar</w:t>
      </w:r>
      <w:r>
        <w:rPr>
          <w:spacing w:val="-2"/>
          <w:sz w:val="22"/>
        </w:rPr>
        <w:t> </w:t>
      </w:r>
      <w:r>
        <w:rPr>
          <w:sz w:val="22"/>
        </w:rPr>
        <w:t>la</w:t>
      </w:r>
      <w:r>
        <w:rPr>
          <w:spacing w:val="-4"/>
          <w:sz w:val="22"/>
        </w:rPr>
        <w:t> </w:t>
      </w:r>
      <w:r>
        <w:rPr>
          <w:sz w:val="22"/>
        </w:rPr>
        <w:t>incidencia</w:t>
      </w:r>
      <w:r>
        <w:rPr>
          <w:spacing w:val="-2"/>
          <w:sz w:val="22"/>
        </w:rPr>
        <w:t> </w:t>
      </w:r>
      <w:r>
        <w:rPr>
          <w:sz w:val="22"/>
        </w:rPr>
        <w:t>efectiva</w:t>
      </w:r>
      <w:r>
        <w:rPr>
          <w:spacing w:val="-6"/>
          <w:sz w:val="22"/>
        </w:rPr>
        <w:t> </w:t>
      </w:r>
      <w:r>
        <w:rPr>
          <w:sz w:val="22"/>
        </w:rPr>
        <w:t>de la</w:t>
      </w:r>
      <w:r>
        <w:rPr>
          <w:spacing w:val="-4"/>
          <w:sz w:val="22"/>
        </w:rPr>
        <w:t> </w:t>
      </w:r>
      <w:r>
        <w:rPr>
          <w:sz w:val="22"/>
        </w:rPr>
        <w:t>medida sobre el Programa de Liberación.</w:t>
      </w:r>
    </w:p>
    <w:p>
      <w:pPr>
        <w:pStyle w:val="ListParagraph"/>
        <w:numPr>
          <w:ilvl w:val="0"/>
          <w:numId w:val="11"/>
        </w:numPr>
        <w:tabs>
          <w:tab w:pos="1130" w:val="left" w:leader="none"/>
          <w:tab w:pos="1134" w:val="left" w:leader="none"/>
        </w:tabs>
        <w:spacing w:line="240" w:lineRule="auto" w:before="252" w:after="0"/>
        <w:ind w:left="1134" w:right="977" w:hanging="567"/>
        <w:jc w:val="both"/>
        <w:rPr>
          <w:sz w:val="22"/>
        </w:rPr>
      </w:pPr>
      <w:r>
        <w:rPr>
          <w:sz w:val="22"/>
        </w:rPr>
        <w:t>De la información remitida puede apreciarse que la aplicación de la tasa ha producido un aumento muy significativo en los costos de nacionalización por contenedor. Se ha señalado</w:t>
      </w:r>
      <w:r>
        <w:rPr>
          <w:spacing w:val="-14"/>
          <w:sz w:val="22"/>
        </w:rPr>
        <w:t> </w:t>
      </w:r>
      <w:r>
        <w:rPr>
          <w:sz w:val="22"/>
        </w:rPr>
        <w:t>que,</w:t>
      </w:r>
      <w:r>
        <w:rPr>
          <w:spacing w:val="-12"/>
          <w:sz w:val="22"/>
        </w:rPr>
        <w:t> </w:t>
      </w:r>
      <w:r>
        <w:rPr>
          <w:sz w:val="22"/>
        </w:rPr>
        <w:t>el</w:t>
      </w:r>
      <w:r>
        <w:rPr>
          <w:spacing w:val="-15"/>
          <w:sz w:val="22"/>
        </w:rPr>
        <w:t> </w:t>
      </w:r>
      <w:r>
        <w:rPr>
          <w:sz w:val="22"/>
        </w:rPr>
        <w:t>costo</w:t>
      </w:r>
      <w:r>
        <w:rPr>
          <w:spacing w:val="-15"/>
          <w:sz w:val="22"/>
        </w:rPr>
        <w:t> </w:t>
      </w:r>
      <w:r>
        <w:rPr>
          <w:sz w:val="22"/>
        </w:rPr>
        <w:t>total</w:t>
      </w:r>
      <w:r>
        <w:rPr>
          <w:spacing w:val="-15"/>
          <w:sz w:val="22"/>
        </w:rPr>
        <w:t> </w:t>
      </w:r>
      <w:r>
        <w:rPr>
          <w:sz w:val="22"/>
        </w:rPr>
        <w:t>de</w:t>
      </w:r>
      <w:r>
        <w:rPr>
          <w:spacing w:val="-14"/>
          <w:sz w:val="22"/>
        </w:rPr>
        <w:t> </w:t>
      </w:r>
      <w:r>
        <w:rPr>
          <w:sz w:val="22"/>
        </w:rPr>
        <w:t>nacionalización</w:t>
      </w:r>
      <w:r>
        <w:rPr>
          <w:spacing w:val="-14"/>
          <w:sz w:val="22"/>
        </w:rPr>
        <w:t> </w:t>
      </w:r>
      <w:r>
        <w:rPr>
          <w:sz w:val="22"/>
        </w:rPr>
        <w:t>pasó</w:t>
      </w:r>
      <w:r>
        <w:rPr>
          <w:spacing w:val="-14"/>
          <w:sz w:val="22"/>
        </w:rPr>
        <w:t> </w:t>
      </w:r>
      <w:r>
        <w:rPr>
          <w:sz w:val="22"/>
        </w:rPr>
        <w:t>de</w:t>
      </w:r>
      <w:r>
        <w:rPr>
          <w:spacing w:val="-14"/>
          <w:sz w:val="22"/>
        </w:rPr>
        <w:t> </w:t>
      </w:r>
      <w:r>
        <w:rPr>
          <w:sz w:val="22"/>
        </w:rPr>
        <w:t>USD</w:t>
      </w:r>
      <w:r>
        <w:rPr>
          <w:spacing w:val="-14"/>
          <w:sz w:val="22"/>
        </w:rPr>
        <w:t> </w:t>
      </w:r>
      <w:r>
        <w:rPr>
          <w:sz w:val="22"/>
        </w:rPr>
        <w:t>2.695,49</w:t>
      </w:r>
      <w:r>
        <w:rPr>
          <w:spacing w:val="-13"/>
          <w:sz w:val="22"/>
        </w:rPr>
        <w:t> </w:t>
      </w:r>
      <w:r>
        <w:rPr>
          <w:sz w:val="22"/>
        </w:rPr>
        <w:t>a</w:t>
      </w:r>
      <w:r>
        <w:rPr>
          <w:spacing w:val="-14"/>
          <w:sz w:val="22"/>
        </w:rPr>
        <w:t> </w:t>
      </w:r>
      <w:r>
        <w:rPr>
          <w:sz w:val="22"/>
        </w:rPr>
        <w:t>USD</w:t>
      </w:r>
      <w:r>
        <w:rPr>
          <w:spacing w:val="-14"/>
          <w:sz w:val="22"/>
        </w:rPr>
        <w:t> </w:t>
      </w:r>
      <w:r>
        <w:rPr>
          <w:sz w:val="22"/>
        </w:rPr>
        <w:t>20.310,70, como</w:t>
      </w:r>
      <w:r>
        <w:rPr>
          <w:spacing w:val="-4"/>
          <w:sz w:val="22"/>
        </w:rPr>
        <w:t> </w:t>
      </w:r>
      <w:r>
        <w:rPr>
          <w:sz w:val="22"/>
        </w:rPr>
        <w:t>consecuencia</w:t>
      </w:r>
      <w:r>
        <w:rPr>
          <w:spacing w:val="-4"/>
          <w:sz w:val="22"/>
        </w:rPr>
        <w:t> </w:t>
      </w:r>
      <w:r>
        <w:rPr>
          <w:sz w:val="22"/>
        </w:rPr>
        <w:t>de</w:t>
      </w:r>
      <w:r>
        <w:rPr>
          <w:spacing w:val="-4"/>
          <w:sz w:val="22"/>
        </w:rPr>
        <w:t> </w:t>
      </w:r>
      <w:r>
        <w:rPr>
          <w:sz w:val="22"/>
        </w:rPr>
        <w:t>la</w:t>
      </w:r>
      <w:r>
        <w:rPr>
          <w:spacing w:val="-2"/>
          <w:sz w:val="22"/>
        </w:rPr>
        <w:t> </w:t>
      </w:r>
      <w:r>
        <w:rPr>
          <w:sz w:val="22"/>
        </w:rPr>
        <w:t>incorporación</w:t>
      </w:r>
      <w:r>
        <w:rPr>
          <w:spacing w:val="-2"/>
          <w:sz w:val="22"/>
        </w:rPr>
        <w:t> </w:t>
      </w:r>
      <w:r>
        <w:rPr>
          <w:sz w:val="22"/>
        </w:rPr>
        <w:t>de</w:t>
      </w:r>
      <w:r>
        <w:rPr>
          <w:spacing w:val="-4"/>
          <w:sz w:val="22"/>
        </w:rPr>
        <w:t> </w:t>
      </w:r>
      <w:r>
        <w:rPr>
          <w:sz w:val="22"/>
        </w:rPr>
        <w:t>un</w:t>
      </w:r>
      <w:r>
        <w:rPr>
          <w:spacing w:val="-4"/>
          <w:sz w:val="22"/>
        </w:rPr>
        <w:t> </w:t>
      </w:r>
      <w:r>
        <w:rPr>
          <w:sz w:val="22"/>
        </w:rPr>
        <w:t>recargo</w:t>
      </w:r>
      <w:r>
        <w:rPr>
          <w:spacing w:val="-2"/>
          <w:sz w:val="22"/>
        </w:rPr>
        <w:t> </w:t>
      </w:r>
      <w:r>
        <w:rPr>
          <w:sz w:val="22"/>
        </w:rPr>
        <w:t>de</w:t>
      </w:r>
      <w:r>
        <w:rPr>
          <w:spacing w:val="-4"/>
          <w:sz w:val="22"/>
        </w:rPr>
        <w:t> </w:t>
      </w:r>
      <w:r>
        <w:rPr>
          <w:sz w:val="22"/>
        </w:rPr>
        <w:t>USD</w:t>
      </w:r>
      <w:r>
        <w:rPr>
          <w:spacing w:val="-2"/>
          <w:sz w:val="22"/>
        </w:rPr>
        <w:t> </w:t>
      </w:r>
      <w:r>
        <w:rPr>
          <w:sz w:val="22"/>
        </w:rPr>
        <w:t>17.615,21</w:t>
      </w:r>
      <w:r>
        <w:rPr>
          <w:spacing w:val="-4"/>
          <w:sz w:val="22"/>
        </w:rPr>
        <w:t> </w:t>
      </w:r>
      <w:r>
        <w:rPr>
          <w:sz w:val="22"/>
        </w:rPr>
        <w:t>asociado</w:t>
      </w:r>
      <w:r>
        <w:rPr>
          <w:spacing w:val="-4"/>
          <w:sz w:val="22"/>
        </w:rPr>
        <w:t> </w:t>
      </w:r>
      <w:r>
        <w:rPr>
          <w:sz w:val="22"/>
        </w:rPr>
        <w:t>a</w:t>
      </w:r>
      <w:r>
        <w:rPr>
          <w:spacing w:val="-2"/>
          <w:sz w:val="22"/>
        </w:rPr>
        <w:t> </w:t>
      </w:r>
      <w:r>
        <w:rPr>
          <w:sz w:val="22"/>
        </w:rPr>
        <w:t>la tasa</w:t>
      </w:r>
      <w:r>
        <w:rPr>
          <w:spacing w:val="-16"/>
          <w:sz w:val="22"/>
        </w:rPr>
        <w:t> </w:t>
      </w:r>
      <w:r>
        <w:rPr>
          <w:sz w:val="22"/>
        </w:rPr>
        <w:t>del</w:t>
      </w:r>
      <w:r>
        <w:rPr>
          <w:spacing w:val="-17"/>
          <w:sz w:val="22"/>
        </w:rPr>
        <w:t> </w:t>
      </w:r>
      <w:r>
        <w:rPr>
          <w:sz w:val="22"/>
        </w:rPr>
        <w:t>50%</w:t>
      </w:r>
      <w:r>
        <w:rPr>
          <w:spacing w:val="-16"/>
          <w:sz w:val="22"/>
        </w:rPr>
        <w:t> </w:t>
      </w:r>
      <w:r>
        <w:rPr>
          <w:sz w:val="22"/>
        </w:rPr>
        <w:t>sobre</w:t>
      </w:r>
      <w:r>
        <w:rPr>
          <w:spacing w:val="-17"/>
          <w:sz w:val="22"/>
        </w:rPr>
        <w:t> </w:t>
      </w:r>
      <w:r>
        <w:rPr>
          <w:sz w:val="22"/>
        </w:rPr>
        <w:t>el</w:t>
      </w:r>
      <w:r>
        <w:rPr>
          <w:spacing w:val="-15"/>
          <w:sz w:val="22"/>
        </w:rPr>
        <w:t> </w:t>
      </w:r>
      <w:r>
        <w:rPr>
          <w:sz w:val="22"/>
        </w:rPr>
        <w:t>valor</w:t>
      </w:r>
      <w:r>
        <w:rPr>
          <w:spacing w:val="-15"/>
          <w:sz w:val="22"/>
        </w:rPr>
        <w:t> </w:t>
      </w:r>
      <w:r>
        <w:rPr>
          <w:sz w:val="22"/>
        </w:rPr>
        <w:t>en</w:t>
      </w:r>
      <w:r>
        <w:rPr>
          <w:spacing w:val="-17"/>
          <w:sz w:val="22"/>
        </w:rPr>
        <w:t> </w:t>
      </w:r>
      <w:r>
        <w:rPr>
          <w:sz w:val="22"/>
        </w:rPr>
        <w:t>aduana.</w:t>
      </w:r>
      <w:r>
        <w:rPr>
          <w:spacing w:val="-16"/>
          <w:sz w:val="22"/>
        </w:rPr>
        <w:t> </w:t>
      </w:r>
      <w:r>
        <w:rPr>
          <w:sz w:val="22"/>
        </w:rPr>
        <w:t>En</w:t>
      </w:r>
      <w:r>
        <w:rPr>
          <w:spacing w:val="-16"/>
          <w:sz w:val="22"/>
        </w:rPr>
        <w:t> </w:t>
      </w:r>
      <w:r>
        <w:rPr>
          <w:sz w:val="22"/>
        </w:rPr>
        <w:t>términos</w:t>
      </w:r>
      <w:r>
        <w:rPr>
          <w:spacing w:val="-15"/>
          <w:sz w:val="22"/>
        </w:rPr>
        <w:t> </w:t>
      </w:r>
      <w:r>
        <w:rPr>
          <w:sz w:val="22"/>
        </w:rPr>
        <w:t>relativos,</w:t>
      </w:r>
      <w:r>
        <w:rPr>
          <w:spacing w:val="-15"/>
          <w:sz w:val="22"/>
        </w:rPr>
        <w:t> </w:t>
      </w:r>
      <w:r>
        <w:rPr>
          <w:sz w:val="22"/>
        </w:rPr>
        <w:t>la</w:t>
      </w:r>
      <w:r>
        <w:rPr>
          <w:spacing w:val="-17"/>
          <w:sz w:val="22"/>
        </w:rPr>
        <w:t> </w:t>
      </w:r>
      <w:r>
        <w:rPr>
          <w:sz w:val="22"/>
        </w:rPr>
        <w:t>carga</w:t>
      </w:r>
      <w:r>
        <w:rPr>
          <w:spacing w:val="-16"/>
          <w:sz w:val="22"/>
        </w:rPr>
        <w:t> </w:t>
      </w:r>
      <w:r>
        <w:rPr>
          <w:sz w:val="22"/>
        </w:rPr>
        <w:t>de</w:t>
      </w:r>
      <w:r>
        <w:rPr>
          <w:spacing w:val="-15"/>
          <w:sz w:val="22"/>
        </w:rPr>
        <w:t> </w:t>
      </w:r>
      <w:r>
        <w:rPr>
          <w:sz w:val="22"/>
        </w:rPr>
        <w:t>nacionalización</w:t>
      </w:r>
    </w:p>
    <w:p>
      <w:pPr>
        <w:pStyle w:val="BodyText"/>
        <w:spacing w:before="2"/>
        <w:rPr>
          <w:sz w:val="14"/>
        </w:rPr>
      </w:pPr>
      <w:r>
        <w:rPr>
          <w:sz w:val="14"/>
        </w:rPr>
        <mc:AlternateContent>
          <mc:Choice Requires="wps">
            <w:drawing>
              <wp:anchor distT="0" distB="0" distL="0" distR="0" allowOverlap="1" layoutInCell="1" locked="0" behindDoc="1" simplePos="0" relativeHeight="487626752">
                <wp:simplePos x="0" y="0"/>
                <wp:positionH relativeFrom="page">
                  <wp:posOffset>990904</wp:posOffset>
                </wp:positionH>
                <wp:positionV relativeFrom="paragraph">
                  <wp:posOffset>119258</wp:posOffset>
                </wp:positionV>
                <wp:extent cx="1829435" cy="7620"/>
                <wp:effectExtent l="0" t="0" r="0" b="0"/>
                <wp:wrapTopAndBottom/>
                <wp:docPr id="372" name="Graphic 372"/>
                <wp:cNvGraphicFramePr>
                  <a:graphicFrameLocks/>
                </wp:cNvGraphicFramePr>
                <a:graphic>
                  <a:graphicData uri="http://schemas.microsoft.com/office/word/2010/wordprocessingShape">
                    <wps:wsp>
                      <wps:cNvPr id="372" name="Graphic 372"/>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9.390429pt;width:144.020pt;height:.60004pt;mso-position-horizontal-relative:page;mso-position-vertical-relative:paragraph;z-index:-15689728;mso-wrap-distance-left:0;mso-wrap-distance-right:0" id="docshape268" filled="true" fillcolor="#000000" stroked="false">
                <v:fill type="solid"/>
                <w10:wrap type="topAndBottom"/>
              </v:rect>
            </w:pict>
          </mc:Fallback>
        </mc:AlternateContent>
      </w:r>
    </w:p>
    <w:p>
      <w:pPr>
        <w:spacing w:before="92"/>
        <w:ind w:left="568" w:right="0" w:firstLine="0"/>
        <w:jc w:val="left"/>
        <w:rPr>
          <w:sz w:val="16"/>
        </w:rPr>
      </w:pPr>
      <w:bookmarkStart w:name="_bookmark67" w:id="68"/>
      <w:bookmarkEnd w:id="68"/>
      <w:r>
        <w:rPr/>
      </w:r>
      <w:r>
        <w:rPr>
          <w:sz w:val="16"/>
          <w:vertAlign w:val="superscript"/>
        </w:rPr>
        <w:t>25</w:t>
      </w:r>
      <w:r>
        <w:rPr>
          <w:spacing w:val="33"/>
          <w:sz w:val="16"/>
          <w:vertAlign w:val="baseline"/>
        </w:rPr>
        <w:t> </w:t>
      </w:r>
      <w:r>
        <w:rPr>
          <w:sz w:val="16"/>
          <w:vertAlign w:val="baseline"/>
        </w:rPr>
        <w:t>I-972(2026)</w:t>
      </w:r>
      <w:r>
        <w:rPr>
          <w:spacing w:val="32"/>
          <w:sz w:val="16"/>
          <w:vertAlign w:val="baseline"/>
        </w:rPr>
        <w:t> </w:t>
      </w:r>
      <w:r>
        <w:rPr>
          <w:sz w:val="16"/>
          <w:vertAlign w:val="baseline"/>
        </w:rPr>
        <w:t>Aporte</w:t>
      </w:r>
      <w:r>
        <w:rPr>
          <w:spacing w:val="31"/>
          <w:sz w:val="16"/>
          <w:vertAlign w:val="baseline"/>
        </w:rPr>
        <w:t> </w:t>
      </w:r>
      <w:r>
        <w:rPr>
          <w:sz w:val="16"/>
          <w:vertAlign w:val="baseline"/>
        </w:rPr>
        <w:t>de</w:t>
      </w:r>
      <w:r>
        <w:rPr>
          <w:spacing w:val="33"/>
          <w:sz w:val="16"/>
          <w:vertAlign w:val="baseline"/>
        </w:rPr>
        <w:t> </w:t>
      </w:r>
      <w:r>
        <w:rPr>
          <w:sz w:val="16"/>
          <w:vertAlign w:val="baseline"/>
        </w:rPr>
        <w:t>pruebas</w:t>
      </w:r>
      <w:r>
        <w:rPr>
          <w:spacing w:val="33"/>
          <w:sz w:val="16"/>
          <w:vertAlign w:val="baseline"/>
        </w:rPr>
        <w:t> </w:t>
      </w:r>
      <w:r>
        <w:rPr>
          <w:sz w:val="16"/>
          <w:vertAlign w:val="baseline"/>
        </w:rPr>
        <w:t>adicionales</w:t>
      </w:r>
      <w:r>
        <w:rPr>
          <w:spacing w:val="34"/>
          <w:sz w:val="16"/>
          <w:vertAlign w:val="baseline"/>
        </w:rPr>
        <w:t> </w:t>
      </w:r>
      <w:r>
        <w:rPr>
          <w:sz w:val="16"/>
          <w:vertAlign w:val="baseline"/>
        </w:rPr>
        <w:t>Colombina,</w:t>
      </w:r>
      <w:r>
        <w:rPr>
          <w:spacing w:val="32"/>
          <w:sz w:val="16"/>
          <w:vertAlign w:val="baseline"/>
        </w:rPr>
        <w:t> </w:t>
      </w:r>
      <w:r>
        <w:rPr>
          <w:sz w:val="16"/>
          <w:vertAlign w:val="baseline"/>
        </w:rPr>
        <w:t>apartados</w:t>
      </w:r>
      <w:r>
        <w:rPr>
          <w:spacing w:val="33"/>
          <w:sz w:val="16"/>
          <w:vertAlign w:val="baseline"/>
        </w:rPr>
        <w:t> </w:t>
      </w:r>
      <w:r>
        <w:rPr>
          <w:sz w:val="16"/>
          <w:vertAlign w:val="baseline"/>
        </w:rPr>
        <w:t>sobre</w:t>
      </w:r>
      <w:r>
        <w:rPr>
          <w:spacing w:val="33"/>
          <w:sz w:val="16"/>
          <w:vertAlign w:val="baseline"/>
        </w:rPr>
        <w:t> </w:t>
      </w:r>
      <w:r>
        <w:rPr>
          <w:sz w:val="16"/>
          <w:vertAlign w:val="baseline"/>
        </w:rPr>
        <w:t>impacto</w:t>
      </w:r>
      <w:r>
        <w:rPr>
          <w:spacing w:val="33"/>
          <w:sz w:val="16"/>
          <w:vertAlign w:val="baseline"/>
        </w:rPr>
        <w:t> </w:t>
      </w:r>
      <w:r>
        <w:rPr>
          <w:sz w:val="16"/>
          <w:vertAlign w:val="baseline"/>
        </w:rPr>
        <w:t>económico</w:t>
      </w:r>
      <w:r>
        <w:rPr>
          <w:spacing w:val="31"/>
          <w:sz w:val="16"/>
          <w:vertAlign w:val="baseline"/>
        </w:rPr>
        <w:t> </w:t>
      </w:r>
      <w:r>
        <w:rPr>
          <w:sz w:val="16"/>
          <w:vertAlign w:val="baseline"/>
        </w:rPr>
        <w:t>y</w:t>
      </w:r>
      <w:r>
        <w:rPr>
          <w:spacing w:val="32"/>
          <w:sz w:val="16"/>
          <w:vertAlign w:val="baseline"/>
        </w:rPr>
        <w:t> </w:t>
      </w:r>
      <w:r>
        <w:rPr>
          <w:sz w:val="16"/>
          <w:vertAlign w:val="baseline"/>
        </w:rPr>
        <w:t>operativo</w:t>
      </w:r>
      <w:r>
        <w:rPr>
          <w:spacing w:val="34"/>
          <w:sz w:val="16"/>
          <w:vertAlign w:val="baseline"/>
        </w:rPr>
        <w:t> </w:t>
      </w:r>
      <w:r>
        <w:rPr>
          <w:sz w:val="16"/>
          <w:vertAlign w:val="baseline"/>
        </w:rPr>
        <w:t>de</w:t>
      </w:r>
      <w:r>
        <w:rPr>
          <w:spacing w:val="30"/>
          <w:sz w:val="16"/>
          <w:vertAlign w:val="baseline"/>
        </w:rPr>
        <w:t> </w:t>
      </w:r>
      <w:r>
        <w:rPr>
          <w:sz w:val="16"/>
          <w:vertAlign w:val="baseline"/>
        </w:rPr>
        <w:t>la</w:t>
      </w:r>
      <w:r>
        <w:rPr>
          <w:spacing w:val="31"/>
          <w:sz w:val="16"/>
          <w:vertAlign w:val="baseline"/>
        </w:rPr>
        <w:t> </w:t>
      </w:r>
      <w:r>
        <w:rPr>
          <w:spacing w:val="-2"/>
          <w:sz w:val="16"/>
          <w:vertAlign w:val="baseline"/>
        </w:rPr>
        <w:t>medida,</w:t>
      </w:r>
    </w:p>
    <w:p>
      <w:pPr>
        <w:tabs>
          <w:tab w:pos="568" w:val="left" w:leader="none"/>
        </w:tabs>
        <w:spacing w:before="1"/>
        <w:ind w:left="160" w:right="0" w:firstLine="0"/>
        <w:jc w:val="left"/>
        <w:rPr>
          <w:sz w:val="16"/>
        </w:rPr>
      </w:pPr>
      <w:r>
        <w:rPr>
          <w:sz w:val="16"/>
          <w:u w:val="single"/>
        </w:rPr>
        <w:tab/>
        <w:t>incluyendo</w:t>
      </w:r>
      <w:r>
        <w:rPr>
          <w:spacing w:val="-8"/>
          <w:sz w:val="16"/>
          <w:u w:val="single"/>
        </w:rPr>
        <w:t> </w:t>
      </w:r>
      <w:r>
        <w:rPr>
          <w:sz w:val="16"/>
          <w:u w:val="single"/>
        </w:rPr>
        <w:t>costo</w:t>
      </w:r>
      <w:r>
        <w:rPr>
          <w:spacing w:val="-7"/>
          <w:sz w:val="16"/>
          <w:u w:val="single"/>
        </w:rPr>
        <w:t> </w:t>
      </w:r>
      <w:r>
        <w:rPr>
          <w:sz w:val="16"/>
          <w:u w:val="single"/>
        </w:rPr>
        <w:t>de</w:t>
      </w:r>
      <w:r>
        <w:rPr>
          <w:spacing w:val="-8"/>
          <w:sz w:val="16"/>
          <w:u w:val="single"/>
        </w:rPr>
        <w:t> </w:t>
      </w:r>
      <w:r>
        <w:rPr>
          <w:sz w:val="16"/>
          <w:u w:val="single"/>
        </w:rPr>
        <w:t>nacionalización,</w:t>
      </w:r>
      <w:r>
        <w:rPr>
          <w:spacing w:val="-7"/>
          <w:sz w:val="16"/>
          <w:u w:val="single"/>
        </w:rPr>
        <w:t> </w:t>
      </w:r>
      <w:r>
        <w:rPr>
          <w:sz w:val="16"/>
          <w:u w:val="single"/>
        </w:rPr>
        <w:t>carga</w:t>
      </w:r>
      <w:r>
        <w:rPr>
          <w:spacing w:val="-7"/>
          <w:sz w:val="16"/>
          <w:u w:val="single"/>
        </w:rPr>
        <w:t> </w:t>
      </w:r>
      <w:r>
        <w:rPr>
          <w:sz w:val="16"/>
          <w:u w:val="single"/>
        </w:rPr>
        <w:t>sobre</w:t>
      </w:r>
      <w:r>
        <w:rPr>
          <w:spacing w:val="-8"/>
          <w:sz w:val="16"/>
          <w:u w:val="single"/>
        </w:rPr>
        <w:t> </w:t>
      </w:r>
      <w:r>
        <w:rPr>
          <w:sz w:val="16"/>
          <w:u w:val="single"/>
        </w:rPr>
        <w:t>factura</w:t>
      </w:r>
      <w:r>
        <w:rPr>
          <w:spacing w:val="-7"/>
          <w:sz w:val="16"/>
          <w:u w:val="single"/>
        </w:rPr>
        <w:t> </w:t>
      </w:r>
      <w:r>
        <w:rPr>
          <w:sz w:val="16"/>
          <w:u w:val="single"/>
        </w:rPr>
        <w:t>más</w:t>
      </w:r>
      <w:r>
        <w:rPr>
          <w:spacing w:val="-7"/>
          <w:sz w:val="16"/>
          <w:u w:val="single"/>
        </w:rPr>
        <w:t> </w:t>
      </w:r>
      <w:r>
        <w:rPr>
          <w:sz w:val="16"/>
          <w:u w:val="single"/>
        </w:rPr>
        <w:t>flete</w:t>
      </w:r>
      <w:r>
        <w:rPr>
          <w:spacing w:val="-9"/>
          <w:sz w:val="16"/>
          <w:u w:val="single"/>
        </w:rPr>
        <w:t> </w:t>
      </w:r>
      <w:r>
        <w:rPr>
          <w:sz w:val="16"/>
          <w:u w:val="single"/>
        </w:rPr>
        <w:t>más</w:t>
      </w:r>
      <w:r>
        <w:rPr>
          <w:spacing w:val="-8"/>
          <w:sz w:val="16"/>
          <w:u w:val="single"/>
        </w:rPr>
        <w:t> </w:t>
      </w:r>
      <w:r>
        <w:rPr>
          <w:sz w:val="16"/>
          <w:u w:val="single"/>
        </w:rPr>
        <w:t>seguro,</w:t>
      </w:r>
      <w:r>
        <w:rPr>
          <w:spacing w:val="-6"/>
          <w:sz w:val="16"/>
          <w:u w:val="single"/>
        </w:rPr>
        <w:t> </w:t>
      </w:r>
      <w:r>
        <w:rPr>
          <w:sz w:val="16"/>
          <w:u w:val="single"/>
        </w:rPr>
        <w:t>pagos</w:t>
      </w:r>
      <w:r>
        <w:rPr>
          <w:spacing w:val="-7"/>
          <w:sz w:val="16"/>
          <w:u w:val="single"/>
        </w:rPr>
        <w:t> </w:t>
      </w:r>
      <w:r>
        <w:rPr>
          <w:sz w:val="16"/>
          <w:u w:val="single"/>
        </w:rPr>
        <w:t>efectuados</w:t>
      </w:r>
      <w:r>
        <w:rPr>
          <w:spacing w:val="-6"/>
          <w:sz w:val="16"/>
          <w:u w:val="single"/>
        </w:rPr>
        <w:t> </w:t>
      </w:r>
      <w:r>
        <w:rPr>
          <w:sz w:val="16"/>
          <w:u w:val="single"/>
        </w:rPr>
        <w:t>y</w:t>
      </w:r>
      <w:r>
        <w:rPr>
          <w:spacing w:val="-6"/>
          <w:sz w:val="16"/>
          <w:u w:val="single"/>
        </w:rPr>
        <w:t> </w:t>
      </w:r>
      <w:r>
        <w:rPr>
          <w:sz w:val="16"/>
          <w:u w:val="single"/>
        </w:rPr>
        <w:t>reducción</w:t>
      </w:r>
      <w:r>
        <w:rPr>
          <w:spacing w:val="-8"/>
          <w:sz w:val="16"/>
          <w:u w:val="single"/>
        </w:rPr>
        <w:t> </w:t>
      </w:r>
      <w:r>
        <w:rPr>
          <w:sz w:val="16"/>
          <w:u w:val="single"/>
        </w:rPr>
        <w:t>de</w:t>
      </w:r>
      <w:r>
        <w:rPr>
          <w:spacing w:val="-9"/>
          <w:sz w:val="16"/>
          <w:u w:val="single"/>
        </w:rPr>
        <w:t> </w:t>
      </w:r>
      <w:r>
        <w:rPr>
          <w:spacing w:val="-2"/>
          <w:sz w:val="16"/>
          <w:u w:val="single"/>
        </w:rPr>
        <w:t>contenedores.</w:t>
      </w:r>
      <w:r>
        <w:rPr>
          <w:spacing w:val="40"/>
          <w:sz w:val="16"/>
          <w:u w:val="single"/>
        </w:rPr>
        <w:t> </w:t>
      </w:r>
    </w:p>
    <w:p>
      <w:pPr>
        <w:spacing w:after="0"/>
        <w:jc w:val="left"/>
        <w:rPr>
          <w:sz w:val="16"/>
        </w:rPr>
        <w:sectPr>
          <w:headerReference w:type="default" r:id="rId57"/>
          <w:footerReference w:type="default" r:id="rId58"/>
          <w:pgSz w:w="11900" w:h="16850"/>
          <w:pgMar w:header="370" w:footer="597" w:top="1380" w:bottom="780" w:left="992" w:right="283"/>
        </w:sectPr>
      </w:pPr>
    </w:p>
    <w:p>
      <w:pPr>
        <w:pStyle w:val="BodyText"/>
        <w:spacing w:before="176"/>
      </w:pPr>
    </w:p>
    <w:p>
      <w:pPr>
        <w:pStyle w:val="BodyText"/>
        <w:ind w:left="1134" w:right="980"/>
        <w:jc w:val="both"/>
      </w:pPr>
      <w:r>
        <w:rPr/>
        <w:t>sobre</w:t>
      </w:r>
      <w:r>
        <w:rPr>
          <w:spacing w:val="-6"/>
        </w:rPr>
        <w:t> </w:t>
      </w:r>
      <w:r>
        <w:rPr/>
        <w:t>el</w:t>
      </w:r>
      <w:r>
        <w:rPr>
          <w:spacing w:val="-10"/>
        </w:rPr>
        <w:t> </w:t>
      </w:r>
      <w:r>
        <w:rPr/>
        <w:t>valor</w:t>
      </w:r>
      <w:r>
        <w:rPr>
          <w:spacing w:val="-10"/>
        </w:rPr>
        <w:t> </w:t>
      </w:r>
      <w:r>
        <w:rPr/>
        <w:t>factura</w:t>
      </w:r>
      <w:r>
        <w:rPr>
          <w:spacing w:val="-9"/>
        </w:rPr>
        <w:t> </w:t>
      </w:r>
      <w:r>
        <w:rPr/>
        <w:t>+</w:t>
      </w:r>
      <w:r>
        <w:rPr>
          <w:spacing w:val="-8"/>
        </w:rPr>
        <w:t> </w:t>
      </w:r>
      <w:r>
        <w:rPr/>
        <w:t>flete</w:t>
      </w:r>
      <w:r>
        <w:rPr>
          <w:spacing w:val="-8"/>
        </w:rPr>
        <w:t> </w:t>
      </w:r>
      <w:r>
        <w:rPr/>
        <w:t>+</w:t>
      </w:r>
      <w:r>
        <w:rPr>
          <w:spacing w:val="-8"/>
        </w:rPr>
        <w:t> </w:t>
      </w:r>
      <w:r>
        <w:rPr/>
        <w:t>seguro</w:t>
      </w:r>
      <w:r>
        <w:rPr>
          <w:spacing w:val="-8"/>
        </w:rPr>
        <w:t> </w:t>
      </w:r>
      <w:r>
        <w:rPr/>
        <w:t>se</w:t>
      </w:r>
      <w:r>
        <w:rPr>
          <w:spacing w:val="-9"/>
        </w:rPr>
        <w:t> </w:t>
      </w:r>
      <w:r>
        <w:rPr/>
        <w:t>incrementó</w:t>
      </w:r>
      <w:r>
        <w:rPr>
          <w:spacing w:val="-6"/>
        </w:rPr>
        <w:t> </w:t>
      </w:r>
      <w:r>
        <w:rPr/>
        <w:t>de</w:t>
      </w:r>
      <w:r>
        <w:rPr>
          <w:spacing w:val="-9"/>
        </w:rPr>
        <w:t> </w:t>
      </w:r>
      <w:r>
        <w:rPr/>
        <w:t>7,7%</w:t>
      </w:r>
      <w:r>
        <w:rPr>
          <w:spacing w:val="-8"/>
        </w:rPr>
        <w:t> </w:t>
      </w:r>
      <w:r>
        <w:rPr/>
        <w:t>a</w:t>
      </w:r>
      <w:r>
        <w:rPr>
          <w:spacing w:val="-9"/>
        </w:rPr>
        <w:t> </w:t>
      </w:r>
      <w:r>
        <w:rPr/>
        <w:t>57,7%,</w:t>
      </w:r>
      <w:r>
        <w:rPr>
          <w:spacing w:val="-7"/>
        </w:rPr>
        <w:t> </w:t>
      </w:r>
      <w:r>
        <w:rPr/>
        <w:t>lo</w:t>
      </w:r>
      <w:r>
        <w:rPr>
          <w:spacing w:val="-11"/>
        </w:rPr>
        <w:t> </w:t>
      </w:r>
      <w:r>
        <w:rPr/>
        <w:t>que</w:t>
      </w:r>
      <w:r>
        <w:rPr>
          <w:spacing w:val="-6"/>
        </w:rPr>
        <w:t> </w:t>
      </w:r>
      <w:r>
        <w:rPr/>
        <w:t>implica</w:t>
      </w:r>
      <w:r>
        <w:rPr>
          <w:spacing w:val="-6"/>
        </w:rPr>
        <w:t> </w:t>
      </w:r>
      <w:r>
        <w:rPr/>
        <w:t>un aumento</w:t>
      </w:r>
      <w:r>
        <w:rPr>
          <w:spacing w:val="-14"/>
        </w:rPr>
        <w:t> </w:t>
      </w:r>
      <w:r>
        <w:rPr/>
        <w:t>de</w:t>
      </w:r>
      <w:r>
        <w:rPr>
          <w:spacing w:val="-12"/>
        </w:rPr>
        <w:t> </w:t>
      </w:r>
      <w:r>
        <w:rPr/>
        <w:t>50</w:t>
      </w:r>
      <w:r>
        <w:rPr>
          <w:spacing w:val="-12"/>
        </w:rPr>
        <w:t> </w:t>
      </w:r>
      <w:r>
        <w:rPr/>
        <w:t>puntos</w:t>
      </w:r>
      <w:r>
        <w:rPr>
          <w:spacing w:val="-11"/>
        </w:rPr>
        <w:t> </w:t>
      </w:r>
      <w:r>
        <w:rPr/>
        <w:t>porcentuales</w:t>
      </w:r>
      <w:r>
        <w:rPr>
          <w:spacing w:val="-13"/>
        </w:rPr>
        <w:t> </w:t>
      </w:r>
      <w:r>
        <w:rPr/>
        <w:t>y</w:t>
      </w:r>
      <w:r>
        <w:rPr>
          <w:spacing w:val="-11"/>
        </w:rPr>
        <w:t> </w:t>
      </w:r>
      <w:r>
        <w:rPr/>
        <w:t>un</w:t>
      </w:r>
      <w:r>
        <w:rPr>
          <w:spacing w:val="-12"/>
        </w:rPr>
        <w:t> </w:t>
      </w:r>
      <w:r>
        <w:rPr/>
        <w:t>alza</w:t>
      </w:r>
      <w:r>
        <w:rPr>
          <w:spacing w:val="-11"/>
        </w:rPr>
        <w:t> </w:t>
      </w:r>
      <w:r>
        <w:rPr/>
        <w:t>aproximada</w:t>
      </w:r>
      <w:r>
        <w:rPr>
          <w:spacing w:val="-11"/>
        </w:rPr>
        <w:t> </w:t>
      </w:r>
      <w:r>
        <w:rPr/>
        <w:t>de</w:t>
      </w:r>
      <w:r>
        <w:rPr>
          <w:spacing w:val="-12"/>
        </w:rPr>
        <w:t> </w:t>
      </w:r>
      <w:r>
        <w:rPr/>
        <w:t>653,5%</w:t>
      </w:r>
      <w:r>
        <w:rPr>
          <w:spacing w:val="-13"/>
        </w:rPr>
        <w:t> </w:t>
      </w:r>
      <w:r>
        <w:rPr/>
        <w:t>respecto</w:t>
      </w:r>
      <w:r>
        <w:rPr>
          <w:spacing w:val="-11"/>
        </w:rPr>
        <w:t> </w:t>
      </w:r>
      <w:r>
        <w:rPr/>
        <w:t>del</w:t>
      </w:r>
      <w:r>
        <w:rPr>
          <w:spacing w:val="-12"/>
        </w:rPr>
        <w:t> </w:t>
      </w:r>
      <w:r>
        <w:rPr/>
        <w:t>costo </w:t>
      </w:r>
      <w:r>
        <w:rPr>
          <w:spacing w:val="-2"/>
        </w:rPr>
        <w:t>previo.</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81" w:hanging="567"/>
        <w:jc w:val="both"/>
        <w:rPr>
          <w:sz w:val="22"/>
        </w:rPr>
      </w:pPr>
      <w:r>
        <w:rPr>
          <w:sz w:val="22"/>
        </w:rPr>
        <w:t>Desde la perspectiva del</w:t>
      </w:r>
      <w:r>
        <w:rPr>
          <w:spacing w:val="-3"/>
          <w:sz w:val="22"/>
        </w:rPr>
        <w:t> </w:t>
      </w:r>
      <w:r>
        <w:rPr>
          <w:sz w:val="22"/>
        </w:rPr>
        <w:t>Programa de Liberación, estos datos</w:t>
      </w:r>
      <w:r>
        <w:rPr>
          <w:spacing w:val="-3"/>
          <w:sz w:val="22"/>
        </w:rPr>
        <w:t> </w:t>
      </w:r>
      <w:r>
        <w:rPr>
          <w:sz w:val="22"/>
        </w:rPr>
        <w:t>acreditan que</w:t>
      </w:r>
      <w:r>
        <w:rPr>
          <w:spacing w:val="-1"/>
          <w:sz w:val="22"/>
        </w:rPr>
        <w:t> </w:t>
      </w:r>
      <w:r>
        <w:rPr>
          <w:sz w:val="22"/>
        </w:rPr>
        <w:t>la medida incide</w:t>
      </w:r>
      <w:r>
        <w:rPr>
          <w:spacing w:val="-10"/>
          <w:sz w:val="22"/>
        </w:rPr>
        <w:t> </w:t>
      </w:r>
      <w:r>
        <w:rPr>
          <w:sz w:val="22"/>
        </w:rPr>
        <w:t>de</w:t>
      </w:r>
      <w:r>
        <w:rPr>
          <w:spacing w:val="-10"/>
          <w:sz w:val="22"/>
        </w:rPr>
        <w:t> </w:t>
      </w:r>
      <w:r>
        <w:rPr>
          <w:sz w:val="22"/>
        </w:rPr>
        <w:t>manera</w:t>
      </w:r>
      <w:r>
        <w:rPr>
          <w:spacing w:val="-10"/>
          <w:sz w:val="22"/>
        </w:rPr>
        <w:t> </w:t>
      </w:r>
      <w:r>
        <w:rPr>
          <w:sz w:val="22"/>
        </w:rPr>
        <w:t>directa</w:t>
      </w:r>
      <w:r>
        <w:rPr>
          <w:spacing w:val="-12"/>
          <w:sz w:val="22"/>
        </w:rPr>
        <w:t> </w:t>
      </w:r>
      <w:r>
        <w:rPr>
          <w:sz w:val="22"/>
        </w:rPr>
        <w:t>y</w:t>
      </w:r>
      <w:r>
        <w:rPr>
          <w:spacing w:val="-9"/>
          <w:sz w:val="22"/>
        </w:rPr>
        <w:t> </w:t>
      </w:r>
      <w:r>
        <w:rPr>
          <w:sz w:val="22"/>
        </w:rPr>
        <w:t>sustancial</w:t>
      </w:r>
      <w:r>
        <w:rPr>
          <w:spacing w:val="-11"/>
          <w:sz w:val="22"/>
        </w:rPr>
        <w:t> </w:t>
      </w:r>
      <w:r>
        <w:rPr>
          <w:sz w:val="22"/>
        </w:rPr>
        <w:t>en</w:t>
      </w:r>
      <w:r>
        <w:rPr>
          <w:spacing w:val="-10"/>
          <w:sz w:val="22"/>
        </w:rPr>
        <w:t> </w:t>
      </w:r>
      <w:r>
        <w:rPr>
          <w:sz w:val="22"/>
        </w:rPr>
        <w:t>el</w:t>
      </w:r>
      <w:r>
        <w:rPr>
          <w:spacing w:val="-11"/>
          <w:sz w:val="22"/>
        </w:rPr>
        <w:t> </w:t>
      </w:r>
      <w:r>
        <w:rPr>
          <w:sz w:val="22"/>
        </w:rPr>
        <w:t>costo</w:t>
      </w:r>
      <w:r>
        <w:rPr>
          <w:spacing w:val="-10"/>
          <w:sz w:val="22"/>
        </w:rPr>
        <w:t> </w:t>
      </w:r>
      <w:r>
        <w:rPr>
          <w:sz w:val="22"/>
        </w:rPr>
        <w:t>de</w:t>
      </w:r>
      <w:r>
        <w:rPr>
          <w:spacing w:val="-10"/>
          <w:sz w:val="22"/>
        </w:rPr>
        <w:t> </w:t>
      </w:r>
      <w:r>
        <w:rPr>
          <w:sz w:val="22"/>
        </w:rPr>
        <w:t>introducir</w:t>
      </w:r>
      <w:r>
        <w:rPr>
          <w:spacing w:val="-13"/>
          <w:sz w:val="22"/>
        </w:rPr>
        <w:t> </w:t>
      </w:r>
      <w:r>
        <w:rPr>
          <w:sz w:val="22"/>
        </w:rPr>
        <w:t>mercancías</w:t>
      </w:r>
      <w:r>
        <w:rPr>
          <w:spacing w:val="-12"/>
          <w:sz w:val="22"/>
        </w:rPr>
        <w:t> </w:t>
      </w:r>
      <w:r>
        <w:rPr>
          <w:sz w:val="22"/>
        </w:rPr>
        <w:t>originarias</w:t>
      </w:r>
      <w:r>
        <w:rPr>
          <w:spacing w:val="-10"/>
          <w:sz w:val="22"/>
        </w:rPr>
        <w:t> </w:t>
      </w:r>
      <w:r>
        <w:rPr>
          <w:sz w:val="22"/>
        </w:rPr>
        <w:t>de la República de Colombia al territorio ecuatoriano, más allá de lo que sería propio de una tasa vinculada al costo aproximado de un servicio efectivamente prestado. El recargo opera, en la práctica, como un gravamen adicional de efecto equivalente a un derecho aduanero, que encarece las importaciones intracomunitarias y afecta las condiciones de acceso al mercado.</w:t>
      </w:r>
    </w:p>
    <w:p>
      <w:pPr>
        <w:pStyle w:val="BodyText"/>
      </w:pPr>
    </w:p>
    <w:p>
      <w:pPr>
        <w:pStyle w:val="ListParagraph"/>
        <w:numPr>
          <w:ilvl w:val="0"/>
          <w:numId w:val="11"/>
        </w:numPr>
        <w:tabs>
          <w:tab w:pos="1130" w:val="left" w:leader="none"/>
          <w:tab w:pos="1134" w:val="left" w:leader="none"/>
        </w:tabs>
        <w:spacing w:line="240" w:lineRule="auto" w:before="0" w:after="0"/>
        <w:ind w:left="1134" w:right="980" w:hanging="567"/>
        <w:jc w:val="both"/>
        <w:rPr>
          <w:sz w:val="22"/>
        </w:rPr>
      </w:pPr>
      <w:r>
        <w:rPr>
          <w:sz w:val="22"/>
        </w:rPr>
        <w:t>En términos cuantitativos, se registra que en febrero de 2026 la filial pagó USD 96.672,65</w:t>
      </w:r>
      <w:r>
        <w:rPr>
          <w:spacing w:val="-11"/>
          <w:sz w:val="22"/>
        </w:rPr>
        <w:t> </w:t>
      </w:r>
      <w:r>
        <w:rPr>
          <w:sz w:val="22"/>
        </w:rPr>
        <w:t>por</w:t>
      </w:r>
      <w:r>
        <w:rPr>
          <w:spacing w:val="-11"/>
          <w:sz w:val="22"/>
        </w:rPr>
        <w:t> </w:t>
      </w:r>
      <w:r>
        <w:rPr>
          <w:sz w:val="22"/>
        </w:rPr>
        <w:t>concepto</w:t>
      </w:r>
      <w:r>
        <w:rPr>
          <w:spacing w:val="-14"/>
          <w:sz w:val="22"/>
        </w:rPr>
        <w:t> </w:t>
      </w:r>
      <w:r>
        <w:rPr>
          <w:sz w:val="22"/>
        </w:rPr>
        <w:t>de</w:t>
      </w:r>
      <w:r>
        <w:rPr>
          <w:spacing w:val="-12"/>
          <w:sz w:val="22"/>
        </w:rPr>
        <w:t> </w:t>
      </w:r>
      <w:r>
        <w:rPr>
          <w:sz w:val="22"/>
        </w:rPr>
        <w:t>tasa</w:t>
      </w:r>
      <w:r>
        <w:rPr>
          <w:spacing w:val="-12"/>
          <w:sz w:val="22"/>
        </w:rPr>
        <w:t> </w:t>
      </w:r>
      <w:r>
        <w:rPr>
          <w:sz w:val="22"/>
        </w:rPr>
        <w:t>aplicada</w:t>
      </w:r>
      <w:r>
        <w:rPr>
          <w:spacing w:val="-11"/>
          <w:sz w:val="22"/>
        </w:rPr>
        <w:t> </w:t>
      </w:r>
      <w:r>
        <w:rPr>
          <w:sz w:val="22"/>
        </w:rPr>
        <w:t>a</w:t>
      </w:r>
      <w:r>
        <w:rPr>
          <w:spacing w:val="-12"/>
          <w:sz w:val="22"/>
        </w:rPr>
        <w:t> </w:t>
      </w:r>
      <w:r>
        <w:rPr>
          <w:sz w:val="22"/>
        </w:rPr>
        <w:t>7</w:t>
      </w:r>
      <w:r>
        <w:rPr>
          <w:spacing w:val="-14"/>
          <w:sz w:val="22"/>
        </w:rPr>
        <w:t> </w:t>
      </w:r>
      <w:r>
        <w:rPr>
          <w:sz w:val="22"/>
        </w:rPr>
        <w:t>contenedores</w:t>
      </w:r>
      <w:r>
        <w:rPr>
          <w:spacing w:val="-11"/>
          <w:sz w:val="22"/>
        </w:rPr>
        <w:t> </w:t>
      </w:r>
      <w:r>
        <w:rPr>
          <w:sz w:val="22"/>
        </w:rPr>
        <w:t>sujetos</w:t>
      </w:r>
      <w:r>
        <w:rPr>
          <w:spacing w:val="-12"/>
          <w:sz w:val="22"/>
        </w:rPr>
        <w:t> </w:t>
      </w:r>
      <w:r>
        <w:rPr>
          <w:sz w:val="22"/>
        </w:rPr>
        <w:t>al</w:t>
      </w:r>
      <w:r>
        <w:rPr>
          <w:spacing w:val="-12"/>
          <w:sz w:val="22"/>
        </w:rPr>
        <w:t> </w:t>
      </w:r>
      <w:r>
        <w:rPr>
          <w:sz w:val="22"/>
        </w:rPr>
        <w:t>30%,</w:t>
      </w:r>
      <w:r>
        <w:rPr>
          <w:spacing w:val="-12"/>
          <w:sz w:val="22"/>
        </w:rPr>
        <w:t> </w:t>
      </w:r>
      <w:r>
        <w:rPr>
          <w:sz w:val="22"/>
        </w:rPr>
        <w:t>mientras</w:t>
      </w:r>
      <w:r>
        <w:rPr>
          <w:spacing w:val="-11"/>
          <w:sz w:val="22"/>
        </w:rPr>
        <w:t> </w:t>
      </w:r>
      <w:r>
        <w:rPr>
          <w:sz w:val="22"/>
        </w:rPr>
        <w:t>que en</w:t>
      </w:r>
      <w:r>
        <w:rPr>
          <w:spacing w:val="-9"/>
          <w:sz w:val="22"/>
        </w:rPr>
        <w:t> </w:t>
      </w:r>
      <w:r>
        <w:rPr>
          <w:sz w:val="22"/>
        </w:rPr>
        <w:t>marzo</w:t>
      </w:r>
      <w:r>
        <w:rPr>
          <w:spacing w:val="-9"/>
          <w:sz w:val="22"/>
        </w:rPr>
        <w:t> </w:t>
      </w:r>
      <w:r>
        <w:rPr>
          <w:sz w:val="22"/>
        </w:rPr>
        <w:t>de</w:t>
      </w:r>
      <w:r>
        <w:rPr>
          <w:spacing w:val="-12"/>
          <w:sz w:val="22"/>
        </w:rPr>
        <w:t> </w:t>
      </w:r>
      <w:r>
        <w:rPr>
          <w:sz w:val="22"/>
        </w:rPr>
        <w:t>2026</w:t>
      </w:r>
      <w:r>
        <w:rPr>
          <w:spacing w:val="-12"/>
          <w:sz w:val="22"/>
        </w:rPr>
        <w:t> </w:t>
      </w:r>
      <w:r>
        <w:rPr>
          <w:sz w:val="22"/>
        </w:rPr>
        <w:t>efectuó</w:t>
      </w:r>
      <w:r>
        <w:rPr>
          <w:spacing w:val="-9"/>
          <w:sz w:val="22"/>
        </w:rPr>
        <w:t> </w:t>
      </w:r>
      <w:r>
        <w:rPr>
          <w:sz w:val="22"/>
        </w:rPr>
        <w:t>pagos</w:t>
      </w:r>
      <w:r>
        <w:rPr>
          <w:spacing w:val="-9"/>
          <w:sz w:val="22"/>
        </w:rPr>
        <w:t> </w:t>
      </w:r>
      <w:r>
        <w:rPr>
          <w:sz w:val="22"/>
        </w:rPr>
        <w:t>por</w:t>
      </w:r>
      <w:r>
        <w:rPr>
          <w:spacing w:val="-9"/>
          <w:sz w:val="22"/>
        </w:rPr>
        <w:t> </w:t>
      </w:r>
      <w:r>
        <w:rPr>
          <w:sz w:val="22"/>
        </w:rPr>
        <w:t>USD</w:t>
      </w:r>
      <w:r>
        <w:rPr>
          <w:spacing w:val="-10"/>
          <w:sz w:val="22"/>
        </w:rPr>
        <w:t> </w:t>
      </w:r>
      <w:r>
        <w:rPr>
          <w:sz w:val="22"/>
        </w:rPr>
        <w:t>244.347,79</w:t>
      </w:r>
      <w:r>
        <w:rPr>
          <w:spacing w:val="-9"/>
          <w:sz w:val="22"/>
        </w:rPr>
        <w:t> </w:t>
      </w:r>
      <w:r>
        <w:rPr>
          <w:sz w:val="22"/>
        </w:rPr>
        <w:t>asociados</w:t>
      </w:r>
      <w:r>
        <w:rPr>
          <w:spacing w:val="-11"/>
          <w:sz w:val="22"/>
        </w:rPr>
        <w:t> </w:t>
      </w:r>
      <w:r>
        <w:rPr>
          <w:sz w:val="22"/>
        </w:rPr>
        <w:t>a</w:t>
      </w:r>
      <w:r>
        <w:rPr>
          <w:spacing w:val="-9"/>
          <w:sz w:val="22"/>
        </w:rPr>
        <w:t> </w:t>
      </w:r>
      <w:r>
        <w:rPr>
          <w:sz w:val="22"/>
        </w:rPr>
        <w:t>17</w:t>
      </w:r>
      <w:r>
        <w:rPr>
          <w:spacing w:val="-12"/>
          <w:sz w:val="22"/>
        </w:rPr>
        <w:t> </w:t>
      </w:r>
      <w:r>
        <w:rPr>
          <w:sz w:val="22"/>
        </w:rPr>
        <w:t>contenedores</w:t>
      </w:r>
      <w:r>
        <w:rPr>
          <w:spacing w:val="-11"/>
          <w:sz w:val="22"/>
        </w:rPr>
        <w:t> </w:t>
      </w:r>
      <w:r>
        <w:rPr>
          <w:sz w:val="22"/>
        </w:rPr>
        <w:t>(15 gravados</w:t>
      </w:r>
      <w:r>
        <w:rPr>
          <w:spacing w:val="-16"/>
          <w:sz w:val="22"/>
        </w:rPr>
        <w:t> </w:t>
      </w:r>
      <w:r>
        <w:rPr>
          <w:sz w:val="22"/>
        </w:rPr>
        <w:t>al</w:t>
      </w:r>
      <w:r>
        <w:rPr>
          <w:spacing w:val="-15"/>
          <w:sz w:val="22"/>
        </w:rPr>
        <w:t> </w:t>
      </w:r>
      <w:r>
        <w:rPr>
          <w:sz w:val="22"/>
        </w:rPr>
        <w:t>30%</w:t>
      </w:r>
      <w:r>
        <w:rPr>
          <w:spacing w:val="-15"/>
          <w:sz w:val="22"/>
        </w:rPr>
        <w:t> </w:t>
      </w:r>
      <w:r>
        <w:rPr>
          <w:sz w:val="22"/>
        </w:rPr>
        <w:t>y</w:t>
      </w:r>
      <w:r>
        <w:rPr>
          <w:spacing w:val="-16"/>
          <w:sz w:val="22"/>
        </w:rPr>
        <w:t> </w:t>
      </w:r>
      <w:r>
        <w:rPr>
          <w:sz w:val="22"/>
        </w:rPr>
        <w:t>2</w:t>
      </w:r>
      <w:r>
        <w:rPr>
          <w:spacing w:val="-15"/>
          <w:sz w:val="22"/>
        </w:rPr>
        <w:t> </w:t>
      </w:r>
      <w:r>
        <w:rPr>
          <w:sz w:val="22"/>
        </w:rPr>
        <w:t>al</w:t>
      </w:r>
      <w:r>
        <w:rPr>
          <w:spacing w:val="-15"/>
          <w:sz w:val="22"/>
        </w:rPr>
        <w:t> </w:t>
      </w:r>
      <w:r>
        <w:rPr>
          <w:sz w:val="22"/>
        </w:rPr>
        <w:t>50%).</w:t>
      </w:r>
      <w:r>
        <w:rPr>
          <w:spacing w:val="-15"/>
          <w:sz w:val="22"/>
        </w:rPr>
        <w:t> </w:t>
      </w:r>
      <w:r>
        <w:rPr>
          <w:sz w:val="22"/>
        </w:rPr>
        <w:t>El</w:t>
      </w:r>
      <w:r>
        <w:rPr>
          <w:spacing w:val="-16"/>
          <w:sz w:val="22"/>
        </w:rPr>
        <w:t> </w:t>
      </w:r>
      <w:r>
        <w:rPr>
          <w:sz w:val="22"/>
        </w:rPr>
        <w:t>valor</w:t>
      </w:r>
      <w:r>
        <w:rPr>
          <w:spacing w:val="-15"/>
          <w:sz w:val="22"/>
        </w:rPr>
        <w:t> </w:t>
      </w:r>
      <w:r>
        <w:rPr>
          <w:sz w:val="22"/>
        </w:rPr>
        <w:t>acumulado</w:t>
      </w:r>
      <w:r>
        <w:rPr>
          <w:spacing w:val="-15"/>
          <w:sz w:val="22"/>
        </w:rPr>
        <w:t> </w:t>
      </w:r>
      <w:r>
        <w:rPr>
          <w:sz w:val="22"/>
        </w:rPr>
        <w:t>pagado</w:t>
      </w:r>
      <w:r>
        <w:rPr>
          <w:spacing w:val="-16"/>
          <w:sz w:val="22"/>
        </w:rPr>
        <w:t> </w:t>
      </w:r>
      <w:r>
        <w:rPr>
          <w:sz w:val="22"/>
        </w:rPr>
        <w:t>a</w:t>
      </w:r>
      <w:r>
        <w:rPr>
          <w:spacing w:val="-15"/>
          <w:sz w:val="22"/>
        </w:rPr>
        <w:t> </w:t>
      </w:r>
      <w:r>
        <w:rPr>
          <w:sz w:val="22"/>
        </w:rPr>
        <w:t>la</w:t>
      </w:r>
      <w:r>
        <w:rPr>
          <w:spacing w:val="-15"/>
          <w:sz w:val="22"/>
        </w:rPr>
        <w:t> </w:t>
      </w:r>
      <w:r>
        <w:rPr>
          <w:sz w:val="22"/>
        </w:rPr>
        <w:t>fecha</w:t>
      </w:r>
      <w:r>
        <w:rPr>
          <w:spacing w:val="-15"/>
          <w:sz w:val="22"/>
        </w:rPr>
        <w:t> </w:t>
      </w:r>
      <w:r>
        <w:rPr>
          <w:sz w:val="22"/>
        </w:rPr>
        <w:t>del</w:t>
      </w:r>
      <w:r>
        <w:rPr>
          <w:spacing w:val="-16"/>
          <w:sz w:val="22"/>
        </w:rPr>
        <w:t> </w:t>
      </w:r>
      <w:r>
        <w:rPr>
          <w:sz w:val="22"/>
        </w:rPr>
        <w:t>reporte</w:t>
      </w:r>
      <w:r>
        <w:rPr>
          <w:spacing w:val="-15"/>
          <w:sz w:val="22"/>
        </w:rPr>
        <w:t> </w:t>
      </w:r>
      <w:r>
        <w:rPr>
          <w:sz w:val="22"/>
        </w:rPr>
        <w:t>asciende, por tanto, a USD 341.020,44. Este nivel de desembolsos en un período tan breve evidencia que la medida no solo genera un recargo teórico, sino una carga financiera inmediata y significativa para el operador.</w:t>
      </w:r>
    </w:p>
    <w:p>
      <w:pPr>
        <w:pStyle w:val="ListParagraph"/>
        <w:numPr>
          <w:ilvl w:val="0"/>
          <w:numId w:val="11"/>
        </w:numPr>
        <w:tabs>
          <w:tab w:pos="1130" w:val="left" w:leader="none"/>
          <w:tab w:pos="1134" w:val="left" w:leader="none"/>
        </w:tabs>
        <w:spacing w:line="240" w:lineRule="auto" w:before="252" w:after="0"/>
        <w:ind w:left="1134" w:right="977" w:hanging="567"/>
        <w:jc w:val="both"/>
        <w:rPr>
          <w:sz w:val="22"/>
        </w:rPr>
      </w:pPr>
      <w:r>
        <w:rPr>
          <w:sz w:val="22"/>
        </w:rPr>
        <w:t>La medida ha dado lugar, asimismo, a riesgos comerciales y contractuales concretos para el operador. Conforme a lo señalado por Colombina, estas empresas reportan cancelación de pedidos y aplicación de penalidades por retrasos asociados al impacto del</w:t>
      </w:r>
      <w:r>
        <w:rPr>
          <w:spacing w:val="-12"/>
          <w:sz w:val="22"/>
        </w:rPr>
        <w:t> </w:t>
      </w:r>
      <w:r>
        <w:rPr>
          <w:sz w:val="22"/>
        </w:rPr>
        <w:t>recargo</w:t>
      </w:r>
      <w:r>
        <w:rPr>
          <w:spacing w:val="-12"/>
          <w:sz w:val="22"/>
        </w:rPr>
        <w:t> </w:t>
      </w:r>
      <w:r>
        <w:rPr>
          <w:sz w:val="22"/>
        </w:rPr>
        <w:t>en</w:t>
      </w:r>
      <w:r>
        <w:rPr>
          <w:spacing w:val="-12"/>
          <w:sz w:val="22"/>
        </w:rPr>
        <w:t> </w:t>
      </w:r>
      <w:r>
        <w:rPr>
          <w:sz w:val="22"/>
        </w:rPr>
        <w:t>los</w:t>
      </w:r>
      <w:r>
        <w:rPr>
          <w:spacing w:val="-13"/>
          <w:sz w:val="22"/>
        </w:rPr>
        <w:t> </w:t>
      </w:r>
      <w:r>
        <w:rPr>
          <w:sz w:val="22"/>
        </w:rPr>
        <w:t>tiempos</w:t>
      </w:r>
      <w:r>
        <w:rPr>
          <w:spacing w:val="-11"/>
          <w:sz w:val="22"/>
        </w:rPr>
        <w:t> </w:t>
      </w:r>
      <w:r>
        <w:rPr>
          <w:sz w:val="22"/>
        </w:rPr>
        <w:t>y</w:t>
      </w:r>
      <w:r>
        <w:rPr>
          <w:spacing w:val="-11"/>
          <w:sz w:val="22"/>
        </w:rPr>
        <w:t> </w:t>
      </w:r>
      <w:r>
        <w:rPr>
          <w:sz w:val="22"/>
        </w:rPr>
        <w:t>condiciones</w:t>
      </w:r>
      <w:r>
        <w:rPr>
          <w:spacing w:val="-11"/>
          <w:sz w:val="22"/>
        </w:rPr>
        <w:t> </w:t>
      </w:r>
      <w:r>
        <w:rPr>
          <w:sz w:val="22"/>
        </w:rPr>
        <w:t>de</w:t>
      </w:r>
      <w:r>
        <w:rPr>
          <w:spacing w:val="-12"/>
          <w:sz w:val="22"/>
        </w:rPr>
        <w:t> </w:t>
      </w:r>
      <w:r>
        <w:rPr>
          <w:sz w:val="22"/>
        </w:rPr>
        <w:t>nacionalización,</w:t>
      </w:r>
      <w:r>
        <w:rPr>
          <w:spacing w:val="-10"/>
          <w:sz w:val="22"/>
        </w:rPr>
        <w:t> </w:t>
      </w:r>
      <w:r>
        <w:rPr>
          <w:sz w:val="22"/>
        </w:rPr>
        <w:t>particularmente</w:t>
      </w:r>
      <w:r>
        <w:rPr>
          <w:spacing w:val="-11"/>
          <w:sz w:val="22"/>
        </w:rPr>
        <w:t> </w:t>
      </w:r>
      <w:r>
        <w:rPr>
          <w:sz w:val="22"/>
        </w:rPr>
        <w:t>en</w:t>
      </w:r>
      <w:r>
        <w:rPr>
          <w:spacing w:val="-12"/>
          <w:sz w:val="22"/>
        </w:rPr>
        <w:t> </w:t>
      </w:r>
      <w:r>
        <w:rPr>
          <w:sz w:val="22"/>
        </w:rPr>
        <w:t>el</w:t>
      </w:r>
      <w:r>
        <w:rPr>
          <w:spacing w:val="-12"/>
          <w:sz w:val="22"/>
        </w:rPr>
        <w:t> </w:t>
      </w:r>
      <w:r>
        <w:rPr>
          <w:sz w:val="22"/>
        </w:rPr>
        <w:t>canal moderno, donde el incumplimiento contractual puede derivar en la descodificación de </w:t>
      </w:r>
      <w:r>
        <w:rPr>
          <w:spacing w:val="-2"/>
          <w:sz w:val="22"/>
        </w:rPr>
        <w:t>productos.</w:t>
      </w:r>
    </w:p>
    <w:p>
      <w:pPr>
        <w:pStyle w:val="BodyText"/>
        <w:spacing w:before="1"/>
      </w:pPr>
    </w:p>
    <w:p>
      <w:pPr>
        <w:pStyle w:val="ListParagraph"/>
        <w:numPr>
          <w:ilvl w:val="0"/>
          <w:numId w:val="11"/>
        </w:numPr>
        <w:tabs>
          <w:tab w:pos="1131" w:val="left" w:leader="none"/>
        </w:tabs>
        <w:spacing w:line="240" w:lineRule="auto" w:before="0" w:after="0"/>
        <w:ind w:left="1131" w:right="0" w:hanging="563"/>
        <w:jc w:val="both"/>
        <w:rPr>
          <w:sz w:val="22"/>
        </w:rPr>
      </w:pPr>
      <w:r>
        <w:rPr>
          <w:sz w:val="22"/>
        </w:rPr>
        <w:t>La</w:t>
      </w:r>
      <w:r>
        <w:rPr>
          <w:spacing w:val="41"/>
          <w:sz w:val="22"/>
        </w:rPr>
        <w:t> </w:t>
      </w:r>
      <w:r>
        <w:rPr>
          <w:sz w:val="22"/>
        </w:rPr>
        <w:t>compañía</w:t>
      </w:r>
      <w:r>
        <w:rPr>
          <w:spacing w:val="44"/>
          <w:sz w:val="22"/>
        </w:rPr>
        <w:t> </w:t>
      </w:r>
      <w:r>
        <w:rPr>
          <w:sz w:val="22"/>
        </w:rPr>
        <w:t>estima</w:t>
      </w:r>
      <w:r>
        <w:rPr>
          <w:spacing w:val="43"/>
          <w:sz w:val="22"/>
        </w:rPr>
        <w:t> </w:t>
      </w:r>
      <w:r>
        <w:rPr>
          <w:sz w:val="22"/>
        </w:rPr>
        <w:t>una</w:t>
      </w:r>
      <w:r>
        <w:rPr>
          <w:spacing w:val="44"/>
          <w:sz w:val="22"/>
        </w:rPr>
        <w:t> </w:t>
      </w:r>
      <w:r>
        <w:rPr>
          <w:sz w:val="22"/>
        </w:rPr>
        <w:t>variación</w:t>
      </w:r>
      <w:r>
        <w:rPr>
          <w:spacing w:val="44"/>
          <w:sz w:val="22"/>
        </w:rPr>
        <w:t> </w:t>
      </w:r>
      <w:r>
        <w:rPr>
          <w:sz w:val="22"/>
        </w:rPr>
        <w:t>negativa</w:t>
      </w:r>
      <w:r>
        <w:rPr>
          <w:spacing w:val="41"/>
          <w:sz w:val="22"/>
        </w:rPr>
        <w:t> </w:t>
      </w:r>
      <w:r>
        <w:rPr>
          <w:sz w:val="22"/>
        </w:rPr>
        <w:t>proyectada</w:t>
      </w:r>
      <w:r>
        <w:rPr>
          <w:spacing w:val="44"/>
          <w:sz w:val="22"/>
        </w:rPr>
        <w:t> </w:t>
      </w:r>
      <w:r>
        <w:rPr>
          <w:sz w:val="22"/>
        </w:rPr>
        <w:t>de</w:t>
      </w:r>
      <w:r>
        <w:rPr>
          <w:spacing w:val="42"/>
          <w:sz w:val="22"/>
        </w:rPr>
        <w:t> </w:t>
      </w:r>
      <w:r>
        <w:rPr>
          <w:sz w:val="22"/>
        </w:rPr>
        <w:t>aproximadamente</w:t>
      </w:r>
      <w:r>
        <w:rPr>
          <w:spacing w:val="42"/>
          <w:sz w:val="22"/>
        </w:rPr>
        <w:t> </w:t>
      </w:r>
      <w:r>
        <w:rPr>
          <w:spacing w:val="-5"/>
          <w:sz w:val="22"/>
        </w:rPr>
        <w:t>USD</w:t>
      </w:r>
    </w:p>
    <w:p>
      <w:pPr>
        <w:pStyle w:val="BodyText"/>
        <w:spacing w:before="2"/>
        <w:ind w:left="1134" w:right="983"/>
        <w:jc w:val="both"/>
      </w:pPr>
      <w:r>
        <w:rPr/>
        <w:t>2.574.387 en el canal moderno, derivada del efecto de la tasa sobre el precio de negociación y la pérdida de competitividad frente a productores nacionales y otros oferentes de origen colombiano.</w:t>
      </w:r>
    </w:p>
    <w:p>
      <w:pPr>
        <w:pStyle w:val="ListParagraph"/>
        <w:numPr>
          <w:ilvl w:val="0"/>
          <w:numId w:val="11"/>
        </w:numPr>
        <w:tabs>
          <w:tab w:pos="1130" w:val="left" w:leader="none"/>
          <w:tab w:pos="1134" w:val="left" w:leader="none"/>
        </w:tabs>
        <w:spacing w:line="240" w:lineRule="auto" w:before="251" w:after="0"/>
        <w:ind w:left="1134" w:right="979" w:hanging="567"/>
        <w:jc w:val="both"/>
        <w:rPr>
          <w:sz w:val="22"/>
        </w:rPr>
      </w:pPr>
      <w:r>
        <w:rPr>
          <w:sz w:val="22"/>
        </w:rPr>
        <w:t>Estos elementos muestran que la medida no solo afecta el costo de importación, sino que altera de manera relevante las condiciones de participación de un proveedor intracomunitario en segmentos clave del mercado ecuatoriano, generando riesgos de pérdida de contratos y de presencia en el canal moderno y de descuento.</w:t>
      </w:r>
    </w:p>
    <w:p>
      <w:pPr>
        <w:pStyle w:val="BodyText"/>
      </w:pPr>
    </w:p>
    <w:p>
      <w:pPr>
        <w:pStyle w:val="ListParagraph"/>
        <w:numPr>
          <w:ilvl w:val="0"/>
          <w:numId w:val="11"/>
        </w:numPr>
        <w:tabs>
          <w:tab w:pos="1130" w:val="left" w:leader="none"/>
          <w:tab w:pos="1134" w:val="left" w:leader="none"/>
        </w:tabs>
        <w:spacing w:line="240" w:lineRule="auto" w:before="0" w:after="0"/>
        <w:ind w:left="1134" w:right="975" w:hanging="567"/>
        <w:jc w:val="both"/>
        <w:rPr>
          <w:sz w:val="22"/>
        </w:rPr>
      </w:pPr>
      <w:r>
        <w:rPr>
          <w:sz w:val="22"/>
        </w:rPr>
        <w:t>Como se señaló anteriormente, el artículo 72 del</w:t>
      </w:r>
      <w:r>
        <w:rPr>
          <w:spacing w:val="-2"/>
          <w:sz w:val="22"/>
        </w:rPr>
        <w:t> </w:t>
      </w:r>
      <w:r>
        <w:rPr>
          <w:sz w:val="22"/>
        </w:rPr>
        <w:t>Acuerdo de Cartagena establece que el Programa de Liberación tiene por objeto eliminar los gravámenes y las restricciones de todo orden que incidan sobre la importación de productos originarios de cualquier País</w:t>
      </w:r>
      <w:r>
        <w:rPr>
          <w:spacing w:val="-13"/>
          <w:sz w:val="22"/>
        </w:rPr>
        <w:t> </w:t>
      </w:r>
      <w:r>
        <w:rPr>
          <w:sz w:val="22"/>
        </w:rPr>
        <w:t>Miembro.</w:t>
      </w:r>
      <w:r>
        <w:rPr>
          <w:spacing w:val="-13"/>
          <w:sz w:val="22"/>
        </w:rPr>
        <w:t> </w:t>
      </w:r>
      <w:r>
        <w:rPr>
          <w:sz w:val="22"/>
        </w:rPr>
        <w:t>En</w:t>
      </w:r>
      <w:r>
        <w:rPr>
          <w:spacing w:val="-14"/>
          <w:sz w:val="22"/>
        </w:rPr>
        <w:t> </w:t>
      </w:r>
      <w:r>
        <w:rPr>
          <w:sz w:val="22"/>
        </w:rPr>
        <w:t>tanto</w:t>
      </w:r>
      <w:r>
        <w:rPr>
          <w:spacing w:val="-14"/>
          <w:sz w:val="22"/>
        </w:rPr>
        <w:t> </w:t>
      </w:r>
      <w:r>
        <w:rPr>
          <w:sz w:val="22"/>
        </w:rPr>
        <w:t>el</w:t>
      </w:r>
      <w:r>
        <w:rPr>
          <w:spacing w:val="-12"/>
          <w:sz w:val="22"/>
        </w:rPr>
        <w:t> </w:t>
      </w:r>
      <w:r>
        <w:rPr>
          <w:sz w:val="22"/>
        </w:rPr>
        <w:t>artículo</w:t>
      </w:r>
      <w:r>
        <w:rPr>
          <w:spacing w:val="-11"/>
          <w:sz w:val="22"/>
        </w:rPr>
        <w:t> </w:t>
      </w:r>
      <w:r>
        <w:rPr>
          <w:sz w:val="22"/>
        </w:rPr>
        <w:t>73,</w:t>
      </w:r>
      <w:r>
        <w:rPr>
          <w:spacing w:val="-10"/>
          <w:sz w:val="22"/>
        </w:rPr>
        <w:t> </w:t>
      </w:r>
      <w:r>
        <w:rPr>
          <w:sz w:val="22"/>
        </w:rPr>
        <w:t>define</w:t>
      </w:r>
      <w:r>
        <w:rPr>
          <w:spacing w:val="-12"/>
          <w:sz w:val="22"/>
        </w:rPr>
        <w:t> </w:t>
      </w:r>
      <w:r>
        <w:rPr>
          <w:sz w:val="22"/>
        </w:rPr>
        <w:t>como</w:t>
      </w:r>
      <w:r>
        <w:rPr>
          <w:spacing w:val="-14"/>
          <w:sz w:val="22"/>
        </w:rPr>
        <w:t> </w:t>
      </w:r>
      <w:r>
        <w:rPr>
          <w:sz w:val="22"/>
        </w:rPr>
        <w:t>gravámenes</w:t>
      </w:r>
      <w:r>
        <w:rPr>
          <w:spacing w:val="-14"/>
          <w:sz w:val="22"/>
        </w:rPr>
        <w:t> </w:t>
      </w:r>
      <w:r>
        <w:rPr>
          <w:sz w:val="22"/>
        </w:rPr>
        <w:t>los</w:t>
      </w:r>
      <w:r>
        <w:rPr>
          <w:spacing w:val="-11"/>
          <w:sz w:val="22"/>
        </w:rPr>
        <w:t> </w:t>
      </w:r>
      <w:r>
        <w:rPr>
          <w:sz w:val="22"/>
        </w:rPr>
        <w:t>derechos</w:t>
      </w:r>
      <w:r>
        <w:rPr>
          <w:spacing w:val="-11"/>
          <w:sz w:val="22"/>
        </w:rPr>
        <w:t> </w:t>
      </w:r>
      <w:r>
        <w:rPr>
          <w:sz w:val="22"/>
        </w:rPr>
        <w:t>aduaneros y “</w:t>
      </w:r>
      <w:r>
        <w:rPr>
          <w:rFonts w:ascii="Arial" w:hAnsi="Arial"/>
          <w:i/>
          <w:sz w:val="22"/>
        </w:rPr>
        <w:t>cualesquier otros recargos de efectos equivalentes</w:t>
      </w:r>
      <w:r>
        <w:rPr>
          <w:sz w:val="22"/>
        </w:rPr>
        <w:t>” que incidan sobre las importaciones. En esta líneas el TJCAN ha precisado, en el Proceso 12</w:t>
      </w:r>
      <w:r>
        <w:rPr>
          <w:rFonts w:ascii="Cambria Math" w:hAnsi="Cambria Math"/>
          <w:sz w:val="22"/>
        </w:rPr>
        <w:t>‑</w:t>
      </w:r>
      <w:r>
        <w:rPr>
          <w:sz w:val="22"/>
        </w:rPr>
        <w:t>AN</w:t>
      </w:r>
      <w:r>
        <w:rPr>
          <w:rFonts w:ascii="Cambria Math" w:hAnsi="Cambria Math"/>
          <w:sz w:val="22"/>
        </w:rPr>
        <w:t>‑</w:t>
      </w:r>
      <w:r>
        <w:rPr>
          <w:sz w:val="22"/>
        </w:rPr>
        <w:t>99, que la definición de gravamen es deliberadamente amplia y busca cubrir “</w:t>
      </w:r>
      <w:r>
        <w:rPr>
          <w:rFonts w:ascii="Arial" w:hAnsi="Arial"/>
          <w:i/>
          <w:sz w:val="22"/>
        </w:rPr>
        <w:t>todas aquellas situaciones</w:t>
      </w:r>
      <w:r>
        <w:rPr>
          <w:rFonts w:ascii="Arial" w:hAnsi="Arial"/>
          <w:i/>
          <w:spacing w:val="-6"/>
          <w:sz w:val="22"/>
        </w:rPr>
        <w:t> </w:t>
      </w:r>
      <w:r>
        <w:rPr>
          <w:rFonts w:ascii="Arial" w:hAnsi="Arial"/>
          <w:i/>
          <w:sz w:val="22"/>
        </w:rPr>
        <w:t>con</w:t>
      </w:r>
      <w:r>
        <w:rPr>
          <w:rFonts w:ascii="Arial" w:hAnsi="Arial"/>
          <w:i/>
          <w:spacing w:val="-9"/>
          <w:sz w:val="22"/>
        </w:rPr>
        <w:t> </w:t>
      </w:r>
      <w:r>
        <w:rPr>
          <w:rFonts w:ascii="Arial" w:hAnsi="Arial"/>
          <w:i/>
          <w:sz w:val="22"/>
        </w:rPr>
        <w:t>las</w:t>
      </w:r>
      <w:r>
        <w:rPr>
          <w:rFonts w:ascii="Arial" w:hAnsi="Arial"/>
          <w:i/>
          <w:spacing w:val="-9"/>
          <w:sz w:val="22"/>
        </w:rPr>
        <w:t> </w:t>
      </w:r>
      <w:r>
        <w:rPr>
          <w:rFonts w:ascii="Arial" w:hAnsi="Arial"/>
          <w:i/>
          <w:sz w:val="22"/>
        </w:rPr>
        <w:t>cuales</w:t>
      </w:r>
      <w:r>
        <w:rPr>
          <w:rFonts w:ascii="Arial" w:hAnsi="Arial"/>
          <w:i/>
          <w:spacing w:val="-6"/>
          <w:sz w:val="22"/>
        </w:rPr>
        <w:t> </w:t>
      </w:r>
      <w:r>
        <w:rPr>
          <w:rFonts w:ascii="Arial" w:hAnsi="Arial"/>
          <w:i/>
          <w:sz w:val="22"/>
        </w:rPr>
        <w:t>se</w:t>
      </w:r>
      <w:r>
        <w:rPr>
          <w:rFonts w:ascii="Arial" w:hAnsi="Arial"/>
          <w:i/>
          <w:spacing w:val="-9"/>
          <w:sz w:val="22"/>
        </w:rPr>
        <w:t> </w:t>
      </w:r>
      <w:r>
        <w:rPr>
          <w:rFonts w:ascii="Arial" w:hAnsi="Arial"/>
          <w:i/>
          <w:sz w:val="22"/>
        </w:rPr>
        <w:t>pretenda</w:t>
      </w:r>
      <w:r>
        <w:rPr>
          <w:rFonts w:ascii="Arial" w:hAnsi="Arial"/>
          <w:i/>
          <w:spacing w:val="-8"/>
          <w:sz w:val="22"/>
        </w:rPr>
        <w:t> </w:t>
      </w:r>
      <w:r>
        <w:rPr>
          <w:rFonts w:ascii="Arial" w:hAnsi="Arial"/>
          <w:i/>
          <w:sz w:val="22"/>
        </w:rPr>
        <w:t>recargar</w:t>
      </w:r>
      <w:r>
        <w:rPr>
          <w:rFonts w:ascii="Arial" w:hAnsi="Arial"/>
          <w:i/>
          <w:spacing w:val="-8"/>
          <w:sz w:val="22"/>
        </w:rPr>
        <w:t> </w:t>
      </w:r>
      <w:r>
        <w:rPr>
          <w:rFonts w:ascii="Arial" w:hAnsi="Arial"/>
          <w:i/>
          <w:sz w:val="22"/>
        </w:rPr>
        <w:t>el</w:t>
      </w:r>
      <w:r>
        <w:rPr>
          <w:rFonts w:ascii="Arial" w:hAnsi="Arial"/>
          <w:i/>
          <w:spacing w:val="-7"/>
          <w:sz w:val="22"/>
        </w:rPr>
        <w:t> </w:t>
      </w:r>
      <w:r>
        <w:rPr>
          <w:rFonts w:ascii="Arial" w:hAnsi="Arial"/>
          <w:i/>
          <w:sz w:val="22"/>
        </w:rPr>
        <w:t>valor</w:t>
      </w:r>
      <w:r>
        <w:rPr>
          <w:rFonts w:ascii="Arial" w:hAnsi="Arial"/>
          <w:i/>
          <w:spacing w:val="-8"/>
          <w:sz w:val="22"/>
        </w:rPr>
        <w:t> </w:t>
      </w:r>
      <w:r>
        <w:rPr>
          <w:rFonts w:ascii="Arial" w:hAnsi="Arial"/>
          <w:i/>
          <w:sz w:val="22"/>
        </w:rPr>
        <w:t>de</w:t>
      </w:r>
      <w:r>
        <w:rPr>
          <w:rFonts w:ascii="Arial" w:hAnsi="Arial"/>
          <w:i/>
          <w:spacing w:val="-7"/>
          <w:sz w:val="22"/>
        </w:rPr>
        <w:t> </w:t>
      </w:r>
      <w:r>
        <w:rPr>
          <w:rFonts w:ascii="Arial" w:hAnsi="Arial"/>
          <w:i/>
          <w:sz w:val="22"/>
        </w:rPr>
        <w:t>las</w:t>
      </w:r>
      <w:r>
        <w:rPr>
          <w:rFonts w:ascii="Arial" w:hAnsi="Arial"/>
          <w:i/>
          <w:spacing w:val="-9"/>
          <w:sz w:val="22"/>
        </w:rPr>
        <w:t> </w:t>
      </w:r>
      <w:r>
        <w:rPr>
          <w:rFonts w:ascii="Arial" w:hAnsi="Arial"/>
          <w:i/>
          <w:sz w:val="22"/>
        </w:rPr>
        <w:t>importaciones</w:t>
      </w:r>
      <w:r>
        <w:rPr>
          <w:sz w:val="22"/>
        </w:rPr>
        <w:t>”</w:t>
      </w:r>
      <w:r>
        <w:rPr>
          <w:spacing w:val="-5"/>
          <w:sz w:val="22"/>
        </w:rPr>
        <w:t> </w:t>
      </w:r>
      <w:r>
        <w:rPr>
          <w:sz w:val="22"/>
        </w:rPr>
        <w:t>dentro</w:t>
      </w:r>
      <w:r>
        <w:rPr>
          <w:spacing w:val="-9"/>
          <w:sz w:val="22"/>
        </w:rPr>
        <w:t> </w:t>
      </w:r>
      <w:r>
        <w:rPr>
          <w:sz w:val="22"/>
        </w:rPr>
        <w:t>de la zona de libre comercio, con independencia de la denominación de la medida, bastando que su efecto sea encarecer o dificultar las operaciones.</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Conforme a esa línea, el TJCAN ha sostenido que cualquier medida que disminuya o limite una capacidad existente de comercio intracomunitario, vulnera el Programa de Liberación, salvo supuestos de excepción estrictamente interpretados (Proceso 192</w:t>
      </w:r>
      <w:r>
        <w:rPr>
          <w:rFonts w:ascii="Cambria Math" w:hAnsi="Cambria Math"/>
          <w:sz w:val="22"/>
        </w:rPr>
        <w:t>‑</w:t>
      </w:r>
      <w:r>
        <w:rPr>
          <w:sz w:val="22"/>
        </w:rPr>
        <w:t>IP</w:t>
      </w:r>
      <w:r>
        <w:rPr>
          <w:rFonts w:ascii="Cambria Math" w:hAnsi="Cambria Math"/>
          <w:sz w:val="22"/>
        </w:rPr>
        <w:t>‑</w:t>
      </w:r>
      <w:r>
        <w:rPr>
          <w:sz w:val="22"/>
        </w:rPr>
        <w:t>2007). La experiencia concreta de la citada empresa colombiana —pérdida de competitividad</w:t>
      </w:r>
      <w:r>
        <w:rPr>
          <w:spacing w:val="-10"/>
          <w:sz w:val="22"/>
        </w:rPr>
        <w:t> </w:t>
      </w:r>
      <w:r>
        <w:rPr>
          <w:sz w:val="22"/>
        </w:rPr>
        <w:t>frente</w:t>
      </w:r>
      <w:r>
        <w:rPr>
          <w:spacing w:val="-10"/>
          <w:sz w:val="22"/>
        </w:rPr>
        <w:t> </w:t>
      </w:r>
      <w:r>
        <w:rPr>
          <w:sz w:val="22"/>
        </w:rPr>
        <w:t>a</w:t>
      </w:r>
      <w:r>
        <w:rPr>
          <w:spacing w:val="-10"/>
          <w:sz w:val="22"/>
        </w:rPr>
        <w:t> </w:t>
      </w:r>
      <w:r>
        <w:rPr>
          <w:sz w:val="22"/>
        </w:rPr>
        <w:t>proveedores</w:t>
      </w:r>
      <w:r>
        <w:rPr>
          <w:spacing w:val="-9"/>
          <w:sz w:val="22"/>
        </w:rPr>
        <w:t> </w:t>
      </w:r>
      <w:r>
        <w:rPr>
          <w:sz w:val="22"/>
        </w:rPr>
        <w:t>de</w:t>
      </w:r>
      <w:r>
        <w:rPr>
          <w:spacing w:val="-10"/>
          <w:sz w:val="22"/>
        </w:rPr>
        <w:t> </w:t>
      </w:r>
      <w:r>
        <w:rPr>
          <w:sz w:val="22"/>
        </w:rPr>
        <w:t>otros</w:t>
      </w:r>
      <w:r>
        <w:rPr>
          <w:spacing w:val="-10"/>
          <w:sz w:val="22"/>
        </w:rPr>
        <w:t> </w:t>
      </w:r>
      <w:r>
        <w:rPr>
          <w:sz w:val="22"/>
        </w:rPr>
        <w:t>orígenes</w:t>
      </w:r>
      <w:r>
        <w:rPr>
          <w:spacing w:val="-9"/>
          <w:sz w:val="22"/>
        </w:rPr>
        <w:t> </w:t>
      </w:r>
      <w:r>
        <w:rPr>
          <w:sz w:val="22"/>
        </w:rPr>
        <w:t>exentos</w:t>
      </w:r>
      <w:r>
        <w:rPr>
          <w:spacing w:val="-9"/>
          <w:sz w:val="22"/>
        </w:rPr>
        <w:t> </w:t>
      </w:r>
      <w:r>
        <w:rPr>
          <w:sz w:val="22"/>
        </w:rPr>
        <w:t>de</w:t>
      </w:r>
      <w:r>
        <w:rPr>
          <w:spacing w:val="-10"/>
          <w:sz w:val="22"/>
        </w:rPr>
        <w:t> </w:t>
      </w:r>
      <w:r>
        <w:rPr>
          <w:sz w:val="22"/>
        </w:rPr>
        <w:t>la</w:t>
      </w:r>
      <w:r>
        <w:rPr>
          <w:spacing w:val="-10"/>
          <w:sz w:val="22"/>
        </w:rPr>
        <w:t> </w:t>
      </w:r>
      <w:r>
        <w:rPr>
          <w:sz w:val="22"/>
        </w:rPr>
        <w:t>TSCA,</w:t>
      </w:r>
      <w:r>
        <w:rPr>
          <w:spacing w:val="-11"/>
          <w:sz w:val="22"/>
        </w:rPr>
        <w:t> </w:t>
      </w:r>
      <w:r>
        <w:rPr>
          <w:sz w:val="22"/>
        </w:rPr>
        <w:t>cancelación de contratos, reducción de volúmenes exportados, imposibilidad de trasladar al consumidor</w:t>
      </w:r>
      <w:r>
        <w:rPr>
          <w:spacing w:val="80"/>
          <w:sz w:val="22"/>
        </w:rPr>
        <w:t> </w:t>
      </w:r>
      <w:r>
        <w:rPr>
          <w:sz w:val="22"/>
        </w:rPr>
        <w:t>final</w:t>
      </w:r>
      <w:r>
        <w:rPr>
          <w:spacing w:val="80"/>
          <w:sz w:val="22"/>
        </w:rPr>
        <w:t> </w:t>
      </w:r>
      <w:r>
        <w:rPr>
          <w:sz w:val="22"/>
        </w:rPr>
        <w:t>un</w:t>
      </w:r>
      <w:r>
        <w:rPr>
          <w:spacing w:val="80"/>
          <w:sz w:val="22"/>
        </w:rPr>
        <w:t> </w:t>
      </w:r>
      <w:r>
        <w:rPr>
          <w:sz w:val="22"/>
        </w:rPr>
        <w:t>recargo</w:t>
      </w:r>
      <w:r>
        <w:rPr>
          <w:spacing w:val="80"/>
          <w:sz w:val="22"/>
        </w:rPr>
        <w:t> </w:t>
      </w:r>
      <w:r>
        <w:rPr>
          <w:sz w:val="22"/>
        </w:rPr>
        <w:t>del</w:t>
      </w:r>
      <w:r>
        <w:rPr>
          <w:spacing w:val="80"/>
          <w:sz w:val="22"/>
        </w:rPr>
        <w:t> </w:t>
      </w:r>
      <w:r>
        <w:rPr>
          <w:sz w:val="22"/>
        </w:rPr>
        <w:t>30%</w:t>
      </w:r>
      <w:r>
        <w:rPr>
          <w:spacing w:val="80"/>
          <w:sz w:val="22"/>
        </w:rPr>
        <w:t> </w:t>
      </w:r>
      <w:r>
        <w:rPr>
          <w:sz w:val="22"/>
        </w:rPr>
        <w:t>primero</w:t>
      </w:r>
      <w:r>
        <w:rPr>
          <w:spacing w:val="80"/>
          <w:sz w:val="22"/>
        </w:rPr>
        <w:t> </w:t>
      </w:r>
      <w:r>
        <w:rPr>
          <w:sz w:val="22"/>
        </w:rPr>
        <w:t>y</w:t>
      </w:r>
      <w:r>
        <w:rPr>
          <w:spacing w:val="80"/>
          <w:sz w:val="22"/>
        </w:rPr>
        <w:t> </w:t>
      </w:r>
      <w:r>
        <w:rPr>
          <w:sz w:val="22"/>
        </w:rPr>
        <w:t>del</w:t>
      </w:r>
      <w:r>
        <w:rPr>
          <w:spacing w:val="80"/>
          <w:sz w:val="22"/>
        </w:rPr>
        <w:t> </w:t>
      </w:r>
      <w:r>
        <w:rPr>
          <w:sz w:val="22"/>
        </w:rPr>
        <w:t>50%</w:t>
      </w:r>
      <w:r>
        <w:rPr>
          <w:spacing w:val="80"/>
          <w:sz w:val="22"/>
        </w:rPr>
        <w:t> </w:t>
      </w:r>
      <w:r>
        <w:rPr>
          <w:sz w:val="22"/>
        </w:rPr>
        <w:t>después—</w:t>
      </w:r>
      <w:r>
        <w:rPr>
          <w:spacing w:val="80"/>
          <w:sz w:val="22"/>
        </w:rPr>
        <w:t> </w:t>
      </w:r>
      <w:r>
        <w:rPr>
          <w:sz w:val="22"/>
        </w:rPr>
        <w:t>describe</w:t>
      </w:r>
    </w:p>
    <w:p>
      <w:pPr>
        <w:pStyle w:val="ListParagraph"/>
        <w:spacing w:after="0" w:line="240" w:lineRule="auto"/>
        <w:jc w:val="both"/>
        <w:rPr>
          <w:sz w:val="22"/>
        </w:rPr>
        <w:sectPr>
          <w:headerReference w:type="default" r:id="rId59"/>
          <w:footerReference w:type="default" r:id="rId60"/>
          <w:pgSz w:w="11900" w:h="16850"/>
          <w:pgMar w:header="370" w:footer="651" w:top="1380" w:bottom="840" w:left="992" w:right="283"/>
        </w:sectPr>
      </w:pPr>
    </w:p>
    <w:p>
      <w:pPr>
        <w:pStyle w:val="BodyText"/>
        <w:spacing w:before="176"/>
      </w:pPr>
    </w:p>
    <w:p>
      <w:pPr>
        <w:pStyle w:val="BodyText"/>
        <w:ind w:left="1134"/>
      </w:pPr>
      <w:r>
        <w:rPr/>
        <w:t>precisamente</w:t>
      </w:r>
      <w:r>
        <w:rPr>
          <w:spacing w:val="-7"/>
        </w:rPr>
        <w:t> </w:t>
      </w:r>
      <w:r>
        <w:rPr/>
        <w:t>una</w:t>
      </w:r>
      <w:r>
        <w:rPr>
          <w:spacing w:val="-10"/>
        </w:rPr>
        <w:t> </w:t>
      </w:r>
      <w:r>
        <w:rPr/>
        <w:t>disminución</w:t>
      </w:r>
      <w:r>
        <w:rPr>
          <w:spacing w:val="-8"/>
        </w:rPr>
        <w:t> </w:t>
      </w:r>
      <w:r>
        <w:rPr/>
        <w:t>significativa</w:t>
      </w:r>
      <w:r>
        <w:rPr>
          <w:spacing w:val="-8"/>
        </w:rPr>
        <w:t> </w:t>
      </w:r>
      <w:r>
        <w:rPr/>
        <w:t>de</w:t>
      </w:r>
      <w:r>
        <w:rPr>
          <w:spacing w:val="-10"/>
        </w:rPr>
        <w:t> </w:t>
      </w:r>
      <w:r>
        <w:rPr/>
        <w:t>su</w:t>
      </w:r>
      <w:r>
        <w:rPr>
          <w:spacing w:val="-12"/>
        </w:rPr>
        <w:t> </w:t>
      </w:r>
      <w:r>
        <w:rPr/>
        <w:t>capacidad</w:t>
      </w:r>
      <w:r>
        <w:rPr>
          <w:spacing w:val="-7"/>
        </w:rPr>
        <w:t> </w:t>
      </w:r>
      <w:r>
        <w:rPr/>
        <w:t>de</w:t>
      </w:r>
      <w:r>
        <w:rPr>
          <w:spacing w:val="-8"/>
        </w:rPr>
        <w:t> </w:t>
      </w:r>
      <w:r>
        <w:rPr/>
        <w:t>participar</w:t>
      </w:r>
      <w:r>
        <w:rPr>
          <w:spacing w:val="-9"/>
        </w:rPr>
        <w:t> </w:t>
      </w:r>
      <w:r>
        <w:rPr/>
        <w:t>en</w:t>
      </w:r>
      <w:r>
        <w:rPr>
          <w:spacing w:val="-7"/>
        </w:rPr>
        <w:t> </w:t>
      </w:r>
      <w:r>
        <w:rPr/>
        <w:t>el</w:t>
      </w:r>
      <w:r>
        <w:rPr>
          <w:spacing w:val="-11"/>
        </w:rPr>
        <w:t> </w:t>
      </w:r>
      <w:r>
        <w:rPr/>
        <w:t>mercado </w:t>
      </w:r>
      <w:r>
        <w:rPr>
          <w:spacing w:val="-2"/>
        </w:rPr>
        <w:t>ecuatoriano.</w:t>
      </w:r>
    </w:p>
    <w:p>
      <w:pPr>
        <w:pStyle w:val="BodyText"/>
      </w:pPr>
    </w:p>
    <w:p>
      <w:pPr>
        <w:pStyle w:val="ListParagraph"/>
        <w:numPr>
          <w:ilvl w:val="0"/>
          <w:numId w:val="11"/>
        </w:numPr>
        <w:tabs>
          <w:tab w:pos="1130" w:val="left" w:leader="none"/>
          <w:tab w:pos="1134" w:val="left" w:leader="none"/>
        </w:tabs>
        <w:spacing w:line="240" w:lineRule="auto" w:before="0" w:after="0"/>
        <w:ind w:left="1134" w:right="980" w:hanging="567"/>
        <w:jc w:val="both"/>
        <w:rPr>
          <w:sz w:val="22"/>
        </w:rPr>
      </w:pPr>
      <w:r>
        <w:rPr>
          <w:sz w:val="22"/>
        </w:rPr>
        <w:t>En ese sentido, la SGCAN constata que los elementos aportados no describen hechos aislados,</w:t>
      </w:r>
      <w:r>
        <w:rPr>
          <w:spacing w:val="-16"/>
          <w:sz w:val="22"/>
        </w:rPr>
        <w:t> </w:t>
      </w:r>
      <w:r>
        <w:rPr>
          <w:sz w:val="22"/>
        </w:rPr>
        <w:t>sino</w:t>
      </w:r>
      <w:r>
        <w:rPr>
          <w:spacing w:val="-15"/>
          <w:sz w:val="22"/>
        </w:rPr>
        <w:t> </w:t>
      </w:r>
      <w:r>
        <w:rPr>
          <w:sz w:val="22"/>
        </w:rPr>
        <w:t>un</w:t>
      </w:r>
      <w:r>
        <w:rPr>
          <w:spacing w:val="-15"/>
          <w:sz w:val="22"/>
        </w:rPr>
        <w:t> </w:t>
      </w:r>
      <w:r>
        <w:rPr>
          <w:rFonts w:ascii="Arial" w:hAnsi="Arial"/>
          <w:b/>
          <w:sz w:val="22"/>
        </w:rPr>
        <w:t>patrón</w:t>
      </w:r>
      <w:r>
        <w:rPr>
          <w:rFonts w:ascii="Arial" w:hAnsi="Arial"/>
          <w:b/>
          <w:spacing w:val="-16"/>
          <w:sz w:val="22"/>
        </w:rPr>
        <w:t> </w:t>
      </w:r>
      <w:r>
        <w:rPr>
          <w:sz w:val="22"/>
        </w:rPr>
        <w:t>estructural</w:t>
      </w:r>
      <w:r>
        <w:rPr>
          <w:spacing w:val="-15"/>
          <w:sz w:val="22"/>
        </w:rPr>
        <w:t> </w:t>
      </w:r>
      <w:r>
        <w:rPr>
          <w:sz w:val="22"/>
        </w:rPr>
        <w:t>de</w:t>
      </w:r>
      <w:r>
        <w:rPr>
          <w:spacing w:val="-15"/>
          <w:sz w:val="22"/>
        </w:rPr>
        <w:t> </w:t>
      </w:r>
      <w:r>
        <w:rPr>
          <w:sz w:val="22"/>
        </w:rPr>
        <w:t>afectación</w:t>
      </w:r>
      <w:r>
        <w:rPr>
          <w:spacing w:val="-15"/>
          <w:sz w:val="22"/>
        </w:rPr>
        <w:t> </w:t>
      </w:r>
      <w:r>
        <w:rPr>
          <w:sz w:val="22"/>
        </w:rPr>
        <w:t>que</w:t>
      </w:r>
      <w:r>
        <w:rPr>
          <w:spacing w:val="-16"/>
          <w:sz w:val="22"/>
        </w:rPr>
        <w:t> </w:t>
      </w:r>
      <w:r>
        <w:rPr>
          <w:sz w:val="22"/>
        </w:rPr>
        <w:t>se</w:t>
      </w:r>
      <w:r>
        <w:rPr>
          <w:spacing w:val="-15"/>
          <w:sz w:val="22"/>
        </w:rPr>
        <w:t> </w:t>
      </w:r>
      <w:r>
        <w:rPr>
          <w:sz w:val="22"/>
        </w:rPr>
        <w:t>reproduce</w:t>
      </w:r>
      <w:r>
        <w:rPr>
          <w:spacing w:val="-15"/>
          <w:sz w:val="22"/>
        </w:rPr>
        <w:t> </w:t>
      </w:r>
      <w:r>
        <w:rPr>
          <w:sz w:val="22"/>
        </w:rPr>
        <w:t>en</w:t>
      </w:r>
      <w:r>
        <w:rPr>
          <w:spacing w:val="-16"/>
          <w:sz w:val="22"/>
        </w:rPr>
        <w:t> </w:t>
      </w:r>
      <w:r>
        <w:rPr>
          <w:sz w:val="22"/>
        </w:rPr>
        <w:t>distintos</w:t>
      </w:r>
      <w:r>
        <w:rPr>
          <w:spacing w:val="-15"/>
          <w:sz w:val="22"/>
        </w:rPr>
        <w:t> </w:t>
      </w:r>
      <w:r>
        <w:rPr>
          <w:sz w:val="22"/>
        </w:rPr>
        <w:t>sectores y</w:t>
      </w:r>
      <w:r>
        <w:rPr>
          <w:spacing w:val="-2"/>
          <w:sz w:val="22"/>
        </w:rPr>
        <w:t> </w:t>
      </w:r>
      <w:r>
        <w:rPr>
          <w:sz w:val="22"/>
        </w:rPr>
        <w:t>operadores</w:t>
      </w:r>
      <w:r>
        <w:rPr>
          <w:spacing w:val="-3"/>
          <w:sz w:val="22"/>
        </w:rPr>
        <w:t> </w:t>
      </w:r>
      <w:r>
        <w:rPr>
          <w:sz w:val="22"/>
        </w:rPr>
        <w:t>del</w:t>
      </w:r>
      <w:r>
        <w:rPr>
          <w:spacing w:val="-3"/>
          <w:sz w:val="22"/>
        </w:rPr>
        <w:t> </w:t>
      </w:r>
      <w:r>
        <w:rPr>
          <w:sz w:val="22"/>
        </w:rPr>
        <w:t>comercio</w:t>
      </w:r>
      <w:r>
        <w:rPr>
          <w:spacing w:val="-3"/>
          <w:sz w:val="22"/>
        </w:rPr>
        <w:t> </w:t>
      </w:r>
      <w:r>
        <w:rPr>
          <w:sz w:val="22"/>
        </w:rPr>
        <w:t>intracomunitario.</w:t>
      </w:r>
      <w:r>
        <w:rPr>
          <w:spacing w:val="-4"/>
          <w:sz w:val="22"/>
        </w:rPr>
        <w:t> </w:t>
      </w:r>
      <w:r>
        <w:rPr>
          <w:sz w:val="22"/>
        </w:rPr>
        <w:t>La</w:t>
      </w:r>
      <w:r>
        <w:rPr>
          <w:spacing w:val="-3"/>
          <w:sz w:val="22"/>
        </w:rPr>
        <w:t> </w:t>
      </w:r>
      <w:r>
        <w:rPr>
          <w:sz w:val="22"/>
        </w:rPr>
        <w:t>información</w:t>
      </w:r>
      <w:r>
        <w:rPr>
          <w:spacing w:val="-3"/>
          <w:sz w:val="22"/>
        </w:rPr>
        <w:t> </w:t>
      </w:r>
      <w:r>
        <w:rPr>
          <w:sz w:val="22"/>
        </w:rPr>
        <w:t>recabada</w:t>
      </w:r>
      <w:r>
        <w:rPr>
          <w:spacing w:val="-3"/>
          <w:sz w:val="22"/>
        </w:rPr>
        <w:t> </w:t>
      </w:r>
      <w:r>
        <w:rPr>
          <w:sz w:val="22"/>
        </w:rPr>
        <w:t>en</w:t>
      </w:r>
      <w:r>
        <w:rPr>
          <w:spacing w:val="-3"/>
          <w:sz w:val="22"/>
        </w:rPr>
        <w:t> </w:t>
      </w:r>
      <w:r>
        <w:rPr>
          <w:sz w:val="22"/>
        </w:rPr>
        <w:t>el</w:t>
      </w:r>
      <w:r>
        <w:rPr>
          <w:spacing w:val="-3"/>
          <w:sz w:val="22"/>
        </w:rPr>
        <w:t> </w:t>
      </w:r>
      <w:r>
        <w:rPr>
          <w:sz w:val="22"/>
        </w:rPr>
        <w:t>expediente, incluyendo las visitas de verificación a actores de transporte, comercio y logística, confirma</w:t>
      </w:r>
      <w:r>
        <w:rPr>
          <w:spacing w:val="-3"/>
          <w:sz w:val="22"/>
        </w:rPr>
        <w:t> </w:t>
      </w:r>
      <w:r>
        <w:rPr>
          <w:sz w:val="22"/>
        </w:rPr>
        <w:t>la concurrencia</w:t>
      </w:r>
      <w:r>
        <w:rPr>
          <w:spacing w:val="-3"/>
          <w:sz w:val="22"/>
        </w:rPr>
        <w:t> </w:t>
      </w:r>
      <w:r>
        <w:rPr>
          <w:sz w:val="22"/>
        </w:rPr>
        <w:t>de</w:t>
      </w:r>
      <w:r>
        <w:rPr>
          <w:spacing w:val="-1"/>
          <w:sz w:val="22"/>
        </w:rPr>
        <w:t> </w:t>
      </w:r>
      <w:r>
        <w:rPr>
          <w:sz w:val="22"/>
        </w:rPr>
        <w:t>efectos convergentes: reducción</w:t>
      </w:r>
      <w:r>
        <w:rPr>
          <w:spacing w:val="-1"/>
          <w:sz w:val="22"/>
        </w:rPr>
        <w:t> </w:t>
      </w:r>
      <w:r>
        <w:rPr>
          <w:sz w:val="22"/>
        </w:rPr>
        <w:t>de</w:t>
      </w:r>
      <w:r>
        <w:rPr>
          <w:spacing w:val="-1"/>
          <w:sz w:val="22"/>
        </w:rPr>
        <w:t> </w:t>
      </w:r>
      <w:r>
        <w:rPr>
          <w:sz w:val="22"/>
        </w:rPr>
        <w:t>operaciones, aumento de plazos y costos, y riesgo de desplazamiento hacia canales informales.</w:t>
      </w:r>
    </w:p>
    <w:p>
      <w:pPr>
        <w:pStyle w:val="BodyText"/>
      </w:pPr>
    </w:p>
    <w:p>
      <w:pPr>
        <w:pStyle w:val="ListParagraph"/>
        <w:numPr>
          <w:ilvl w:val="0"/>
          <w:numId w:val="11"/>
        </w:numPr>
        <w:tabs>
          <w:tab w:pos="1130" w:val="left" w:leader="none"/>
          <w:tab w:pos="1134" w:val="left" w:leader="none"/>
        </w:tabs>
        <w:spacing w:line="240" w:lineRule="auto" w:before="0" w:after="0"/>
        <w:ind w:left="1134" w:right="974" w:hanging="567"/>
        <w:jc w:val="both"/>
        <w:rPr>
          <w:sz w:val="22"/>
        </w:rPr>
      </w:pPr>
      <w:r>
        <w:rPr>
          <w:sz w:val="22"/>
        </w:rPr>
        <w:t>Sobre la base de lo constado en las visitas de verificación y de la información proporcionada por Colombina, la SGCAN concluye que la medida ecuatoriana no se limita a impactar a un solo operador, sino que altera de manera generalizada el funcionamiento competitivo del mercado subregional, al encarecer las importaciones originarias</w:t>
      </w:r>
      <w:r>
        <w:rPr>
          <w:spacing w:val="-4"/>
          <w:sz w:val="22"/>
        </w:rPr>
        <w:t> </w:t>
      </w:r>
      <w:r>
        <w:rPr>
          <w:sz w:val="22"/>
        </w:rPr>
        <w:t>de</w:t>
      </w:r>
      <w:r>
        <w:rPr>
          <w:spacing w:val="-7"/>
          <w:sz w:val="22"/>
        </w:rPr>
        <w:t> </w:t>
      </w:r>
      <w:r>
        <w:rPr>
          <w:sz w:val="22"/>
        </w:rPr>
        <w:t>un</w:t>
      </w:r>
      <w:r>
        <w:rPr>
          <w:spacing w:val="-7"/>
          <w:sz w:val="22"/>
        </w:rPr>
        <w:t> </w:t>
      </w:r>
      <w:r>
        <w:rPr>
          <w:sz w:val="22"/>
        </w:rPr>
        <w:t>País</w:t>
      </w:r>
      <w:r>
        <w:rPr>
          <w:spacing w:val="-6"/>
          <w:sz w:val="22"/>
        </w:rPr>
        <w:t> </w:t>
      </w:r>
      <w:r>
        <w:rPr>
          <w:sz w:val="22"/>
        </w:rPr>
        <w:t>Miembro</w:t>
      </w:r>
      <w:r>
        <w:rPr>
          <w:spacing w:val="-6"/>
          <w:sz w:val="22"/>
        </w:rPr>
        <w:t> </w:t>
      </w:r>
      <w:r>
        <w:rPr>
          <w:sz w:val="22"/>
        </w:rPr>
        <w:t>y</w:t>
      </w:r>
      <w:r>
        <w:rPr>
          <w:spacing w:val="-6"/>
          <w:sz w:val="22"/>
        </w:rPr>
        <w:t> </w:t>
      </w:r>
      <w:r>
        <w:rPr>
          <w:sz w:val="22"/>
        </w:rPr>
        <w:t>distorsionar</w:t>
      </w:r>
      <w:r>
        <w:rPr>
          <w:spacing w:val="-6"/>
          <w:sz w:val="22"/>
        </w:rPr>
        <w:t> </w:t>
      </w:r>
      <w:r>
        <w:rPr>
          <w:sz w:val="22"/>
        </w:rPr>
        <w:t>las</w:t>
      </w:r>
      <w:r>
        <w:rPr>
          <w:spacing w:val="-9"/>
          <w:sz w:val="22"/>
        </w:rPr>
        <w:t> </w:t>
      </w:r>
      <w:r>
        <w:rPr>
          <w:sz w:val="22"/>
        </w:rPr>
        <w:t>condiciones</w:t>
      </w:r>
      <w:r>
        <w:rPr>
          <w:spacing w:val="-4"/>
          <w:sz w:val="22"/>
        </w:rPr>
        <w:t> </w:t>
      </w:r>
      <w:r>
        <w:rPr>
          <w:sz w:val="22"/>
        </w:rPr>
        <w:t>de</w:t>
      </w:r>
      <w:r>
        <w:rPr>
          <w:spacing w:val="-7"/>
          <w:sz w:val="22"/>
        </w:rPr>
        <w:t> </w:t>
      </w:r>
      <w:r>
        <w:rPr>
          <w:sz w:val="22"/>
        </w:rPr>
        <w:t>acceso</w:t>
      </w:r>
      <w:r>
        <w:rPr>
          <w:spacing w:val="-9"/>
          <w:sz w:val="22"/>
        </w:rPr>
        <w:t> </w:t>
      </w:r>
      <w:r>
        <w:rPr>
          <w:sz w:val="22"/>
        </w:rPr>
        <w:t>y</w:t>
      </w:r>
      <w:r>
        <w:rPr>
          <w:spacing w:val="-8"/>
          <w:sz w:val="22"/>
        </w:rPr>
        <w:t> </w:t>
      </w:r>
      <w:r>
        <w:rPr>
          <w:sz w:val="22"/>
        </w:rPr>
        <w:t>permanencia en</w:t>
      </w:r>
      <w:r>
        <w:rPr>
          <w:spacing w:val="-16"/>
          <w:sz w:val="22"/>
        </w:rPr>
        <w:t> </w:t>
      </w:r>
      <w:r>
        <w:rPr>
          <w:sz w:val="22"/>
        </w:rPr>
        <w:t>el</w:t>
      </w:r>
      <w:r>
        <w:rPr>
          <w:spacing w:val="-15"/>
          <w:sz w:val="22"/>
        </w:rPr>
        <w:t> </w:t>
      </w:r>
      <w:r>
        <w:rPr>
          <w:sz w:val="22"/>
        </w:rPr>
        <w:t>mercado.</w:t>
      </w:r>
      <w:r>
        <w:rPr>
          <w:spacing w:val="-15"/>
          <w:sz w:val="22"/>
        </w:rPr>
        <w:t> </w:t>
      </w:r>
      <w:r>
        <w:rPr>
          <w:sz w:val="22"/>
        </w:rPr>
        <w:t>Conforme</w:t>
      </w:r>
      <w:r>
        <w:rPr>
          <w:spacing w:val="-16"/>
          <w:sz w:val="22"/>
        </w:rPr>
        <w:t> </w:t>
      </w:r>
      <w:r>
        <w:rPr>
          <w:sz w:val="22"/>
        </w:rPr>
        <w:t>a</w:t>
      </w:r>
      <w:r>
        <w:rPr>
          <w:spacing w:val="-15"/>
          <w:sz w:val="22"/>
        </w:rPr>
        <w:t> </w:t>
      </w:r>
      <w:r>
        <w:rPr>
          <w:sz w:val="22"/>
        </w:rPr>
        <w:t>la</w:t>
      </w:r>
      <w:r>
        <w:rPr>
          <w:spacing w:val="-15"/>
          <w:sz w:val="22"/>
        </w:rPr>
        <w:t> </w:t>
      </w:r>
      <w:r>
        <w:rPr>
          <w:sz w:val="22"/>
        </w:rPr>
        <w:t>jurisprudencia</w:t>
      </w:r>
      <w:r>
        <w:rPr>
          <w:spacing w:val="-15"/>
          <w:sz w:val="22"/>
        </w:rPr>
        <w:t> </w:t>
      </w:r>
      <w:r>
        <w:rPr>
          <w:sz w:val="22"/>
        </w:rPr>
        <w:t>del</w:t>
      </w:r>
      <w:r>
        <w:rPr>
          <w:spacing w:val="-16"/>
          <w:sz w:val="22"/>
        </w:rPr>
        <w:t> </w:t>
      </w:r>
      <w:r>
        <w:rPr>
          <w:sz w:val="22"/>
        </w:rPr>
        <w:t>TJCAN,</w:t>
      </w:r>
      <w:r>
        <w:rPr>
          <w:spacing w:val="-15"/>
          <w:sz w:val="22"/>
        </w:rPr>
        <w:t> </w:t>
      </w:r>
      <w:r>
        <w:rPr>
          <w:sz w:val="22"/>
        </w:rPr>
        <w:t>distorsiones</w:t>
      </w:r>
      <w:r>
        <w:rPr>
          <w:spacing w:val="-15"/>
          <w:sz w:val="22"/>
        </w:rPr>
        <w:t> </w:t>
      </w:r>
      <w:r>
        <w:rPr>
          <w:sz w:val="22"/>
        </w:rPr>
        <w:t>de</w:t>
      </w:r>
      <w:r>
        <w:rPr>
          <w:spacing w:val="-16"/>
          <w:sz w:val="22"/>
        </w:rPr>
        <w:t> </w:t>
      </w:r>
      <w:r>
        <w:rPr>
          <w:sz w:val="22"/>
        </w:rPr>
        <w:t>esta</w:t>
      </w:r>
      <w:r>
        <w:rPr>
          <w:spacing w:val="-15"/>
          <w:sz w:val="22"/>
        </w:rPr>
        <w:t> </w:t>
      </w:r>
      <w:r>
        <w:rPr>
          <w:sz w:val="22"/>
        </w:rPr>
        <w:t>naturaleza, cuando derivan de recargos unilaterales aplicados sobre importaciones intracomunitarias, resultan incompatibles con los objetivos esenciales de la integración y la solidaridad económica consagrados en los artículos 1, 2, 72 y 76 del Acuerdo de </w:t>
      </w:r>
      <w:r>
        <w:rPr>
          <w:spacing w:val="-2"/>
          <w:sz w:val="22"/>
        </w:rPr>
        <w:t>Cartagena.</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75" w:hanging="567"/>
        <w:jc w:val="both"/>
        <w:rPr>
          <w:sz w:val="22"/>
        </w:rPr>
      </w:pPr>
      <w:r>
        <w:rPr>
          <w:sz w:val="22"/>
        </w:rPr>
        <w:t>Con</w:t>
      </w:r>
      <w:r>
        <w:rPr>
          <w:spacing w:val="-8"/>
          <w:sz w:val="22"/>
        </w:rPr>
        <w:t> </w:t>
      </w:r>
      <w:r>
        <w:rPr>
          <w:sz w:val="22"/>
        </w:rPr>
        <w:t>base</w:t>
      </w:r>
      <w:r>
        <w:rPr>
          <w:spacing w:val="-8"/>
          <w:sz w:val="22"/>
        </w:rPr>
        <w:t> </w:t>
      </w:r>
      <w:r>
        <w:rPr>
          <w:sz w:val="22"/>
        </w:rPr>
        <w:t>al</w:t>
      </w:r>
      <w:r>
        <w:rPr>
          <w:spacing w:val="-9"/>
          <w:sz w:val="22"/>
        </w:rPr>
        <w:t> </w:t>
      </w:r>
      <w:r>
        <w:rPr>
          <w:sz w:val="22"/>
        </w:rPr>
        <w:t>Acuerdo</w:t>
      </w:r>
      <w:r>
        <w:rPr>
          <w:spacing w:val="-8"/>
          <w:sz w:val="22"/>
        </w:rPr>
        <w:t> </w:t>
      </w:r>
      <w:r>
        <w:rPr>
          <w:sz w:val="22"/>
        </w:rPr>
        <w:t>de</w:t>
      </w:r>
      <w:r>
        <w:rPr>
          <w:spacing w:val="-11"/>
          <w:sz w:val="22"/>
        </w:rPr>
        <w:t> </w:t>
      </w:r>
      <w:r>
        <w:rPr>
          <w:sz w:val="22"/>
        </w:rPr>
        <w:t>Cartagena</w:t>
      </w:r>
      <w:r>
        <w:rPr>
          <w:spacing w:val="-8"/>
          <w:sz w:val="22"/>
        </w:rPr>
        <w:t> </w:t>
      </w:r>
      <w:r>
        <w:rPr>
          <w:sz w:val="22"/>
        </w:rPr>
        <w:t>y</w:t>
      </w:r>
      <w:r>
        <w:rPr>
          <w:spacing w:val="-7"/>
          <w:sz w:val="22"/>
        </w:rPr>
        <w:t> </w:t>
      </w:r>
      <w:r>
        <w:rPr>
          <w:sz w:val="22"/>
        </w:rPr>
        <w:t>a</w:t>
      </w:r>
      <w:r>
        <w:rPr>
          <w:spacing w:val="-7"/>
          <w:sz w:val="22"/>
        </w:rPr>
        <w:t> </w:t>
      </w:r>
      <w:r>
        <w:rPr>
          <w:sz w:val="22"/>
        </w:rPr>
        <w:t>partir</w:t>
      </w:r>
      <w:r>
        <w:rPr>
          <w:spacing w:val="-9"/>
          <w:sz w:val="22"/>
        </w:rPr>
        <w:t> </w:t>
      </w:r>
      <w:r>
        <w:rPr>
          <w:sz w:val="22"/>
        </w:rPr>
        <w:t>de</w:t>
      </w:r>
      <w:r>
        <w:rPr>
          <w:spacing w:val="-8"/>
          <w:sz w:val="22"/>
        </w:rPr>
        <w:t> </w:t>
      </w:r>
      <w:r>
        <w:rPr>
          <w:sz w:val="22"/>
        </w:rPr>
        <w:t>la</w:t>
      </w:r>
      <w:r>
        <w:rPr>
          <w:spacing w:val="-8"/>
          <w:sz w:val="22"/>
        </w:rPr>
        <w:t> </w:t>
      </w:r>
      <w:r>
        <w:rPr>
          <w:sz w:val="22"/>
        </w:rPr>
        <w:t>jurisprudencia</w:t>
      </w:r>
      <w:r>
        <w:rPr>
          <w:spacing w:val="-8"/>
          <w:sz w:val="22"/>
        </w:rPr>
        <w:t> </w:t>
      </w:r>
      <w:r>
        <w:rPr>
          <w:sz w:val="22"/>
        </w:rPr>
        <w:t>del</w:t>
      </w:r>
      <w:r>
        <w:rPr>
          <w:spacing w:val="-9"/>
          <w:sz w:val="22"/>
        </w:rPr>
        <w:t> </w:t>
      </w:r>
      <w:r>
        <w:rPr>
          <w:sz w:val="22"/>
        </w:rPr>
        <w:t>TJCAN,</w:t>
      </w:r>
      <w:r>
        <w:rPr>
          <w:spacing w:val="-6"/>
          <w:sz w:val="22"/>
        </w:rPr>
        <w:t> </w:t>
      </w:r>
      <w:r>
        <w:rPr>
          <w:sz w:val="22"/>
        </w:rPr>
        <w:t>la</w:t>
      </w:r>
      <w:r>
        <w:rPr>
          <w:spacing w:val="-8"/>
          <w:sz w:val="22"/>
        </w:rPr>
        <w:t> </w:t>
      </w:r>
      <w:r>
        <w:rPr>
          <w:sz w:val="22"/>
        </w:rPr>
        <w:t>SGCAN puede concluir que los efectos económicos y comerciales descritos por la citada empresa colombiana —pérdida de competitividad, reducción significativa de exportaciones, cancelación de operaciones y riesgo de relocalización— constituyen manifestaciones concretas de que la TSCA opera como un gravamen que incide sobre las importaciones de productos originarios de la República de Colombia. En consecuencia,</w:t>
      </w:r>
      <w:r>
        <w:rPr>
          <w:spacing w:val="-14"/>
          <w:sz w:val="22"/>
        </w:rPr>
        <w:t> </w:t>
      </w:r>
      <w:r>
        <w:rPr>
          <w:sz w:val="22"/>
        </w:rPr>
        <w:t>la</w:t>
      </w:r>
      <w:r>
        <w:rPr>
          <w:spacing w:val="-12"/>
          <w:sz w:val="22"/>
        </w:rPr>
        <w:t> </w:t>
      </w:r>
      <w:r>
        <w:rPr>
          <w:sz w:val="22"/>
        </w:rPr>
        <w:t>TSCA</w:t>
      </w:r>
      <w:r>
        <w:rPr>
          <w:spacing w:val="-13"/>
          <w:sz w:val="22"/>
        </w:rPr>
        <w:t> </w:t>
      </w:r>
      <w:r>
        <w:rPr>
          <w:sz w:val="22"/>
        </w:rPr>
        <w:t>es</w:t>
      </w:r>
      <w:r>
        <w:rPr>
          <w:spacing w:val="-12"/>
          <w:sz w:val="22"/>
        </w:rPr>
        <w:t> </w:t>
      </w:r>
      <w:r>
        <w:rPr>
          <w:sz w:val="22"/>
        </w:rPr>
        <w:t>incompatible</w:t>
      </w:r>
      <w:r>
        <w:rPr>
          <w:spacing w:val="-12"/>
          <w:sz w:val="22"/>
        </w:rPr>
        <w:t> </w:t>
      </w:r>
      <w:r>
        <w:rPr>
          <w:sz w:val="22"/>
        </w:rPr>
        <w:t>con</w:t>
      </w:r>
      <w:r>
        <w:rPr>
          <w:spacing w:val="-15"/>
          <w:sz w:val="22"/>
        </w:rPr>
        <w:t> </w:t>
      </w:r>
      <w:r>
        <w:rPr>
          <w:sz w:val="22"/>
        </w:rPr>
        <w:t>el</w:t>
      </w:r>
      <w:r>
        <w:rPr>
          <w:spacing w:val="-11"/>
          <w:sz w:val="22"/>
        </w:rPr>
        <w:t> </w:t>
      </w:r>
      <w:r>
        <w:rPr>
          <w:sz w:val="22"/>
        </w:rPr>
        <w:t>Programa</w:t>
      </w:r>
      <w:r>
        <w:rPr>
          <w:spacing w:val="-15"/>
          <w:sz w:val="22"/>
        </w:rPr>
        <w:t> </w:t>
      </w:r>
      <w:r>
        <w:rPr>
          <w:sz w:val="22"/>
        </w:rPr>
        <w:t>de</w:t>
      </w:r>
      <w:r>
        <w:rPr>
          <w:spacing w:val="-13"/>
          <w:sz w:val="22"/>
        </w:rPr>
        <w:t> </w:t>
      </w:r>
      <w:r>
        <w:rPr>
          <w:sz w:val="22"/>
        </w:rPr>
        <w:t>Liberación</w:t>
      </w:r>
      <w:r>
        <w:rPr>
          <w:spacing w:val="-11"/>
          <w:sz w:val="22"/>
        </w:rPr>
        <w:t> </w:t>
      </w:r>
      <w:r>
        <w:rPr>
          <w:sz w:val="22"/>
        </w:rPr>
        <w:t>y</w:t>
      </w:r>
      <w:r>
        <w:rPr>
          <w:spacing w:val="-14"/>
          <w:sz w:val="22"/>
        </w:rPr>
        <w:t> </w:t>
      </w:r>
      <w:r>
        <w:rPr>
          <w:sz w:val="22"/>
        </w:rPr>
        <w:t>con</w:t>
      </w:r>
      <w:r>
        <w:rPr>
          <w:spacing w:val="-12"/>
          <w:sz w:val="22"/>
        </w:rPr>
        <w:t> </w:t>
      </w:r>
      <w:r>
        <w:rPr>
          <w:sz w:val="22"/>
        </w:rPr>
        <w:t>el</w:t>
      </w:r>
      <w:r>
        <w:rPr>
          <w:spacing w:val="-13"/>
          <w:sz w:val="22"/>
        </w:rPr>
        <w:t> </w:t>
      </w:r>
      <w:r>
        <w:rPr>
          <w:sz w:val="22"/>
        </w:rPr>
        <w:t>principio de libre circulación de mercancías que el ordenamiento jurídico andino considera pilar esencial del proceso de integración.</w:t>
      </w:r>
    </w:p>
    <w:p>
      <w:pPr>
        <w:pStyle w:val="BodyText"/>
      </w:pPr>
    </w:p>
    <w:p>
      <w:pPr>
        <w:pStyle w:val="Heading6"/>
        <w:numPr>
          <w:ilvl w:val="0"/>
          <w:numId w:val="48"/>
        </w:numPr>
        <w:tabs>
          <w:tab w:pos="1854" w:val="left" w:leader="none"/>
        </w:tabs>
        <w:spacing w:line="240" w:lineRule="auto" w:before="0" w:after="0"/>
        <w:ind w:left="1854" w:right="0" w:hanging="360"/>
        <w:jc w:val="left"/>
      </w:pPr>
      <w:r>
        <w:rPr/>
        <w:t>Sobre</w:t>
      </w:r>
      <w:r>
        <w:rPr>
          <w:spacing w:val="-12"/>
        </w:rPr>
        <w:t> </w:t>
      </w:r>
      <w:r>
        <w:rPr/>
        <w:t>la</w:t>
      </w:r>
      <w:r>
        <w:rPr>
          <w:spacing w:val="-13"/>
        </w:rPr>
        <w:t> </w:t>
      </w:r>
      <w:r>
        <w:rPr/>
        <w:t>Resolución</w:t>
      </w:r>
      <w:r>
        <w:rPr>
          <w:spacing w:val="-12"/>
        </w:rPr>
        <w:t> </w:t>
      </w:r>
      <w:r>
        <w:rPr/>
        <w:t>SENAE-SENAE-2026-0031-</w:t>
      </w:r>
      <w:r>
        <w:rPr>
          <w:spacing w:val="-5"/>
        </w:rPr>
        <w:t>RE</w:t>
      </w:r>
    </w:p>
    <w:p>
      <w:pPr>
        <w:pStyle w:val="ListParagraph"/>
        <w:numPr>
          <w:ilvl w:val="0"/>
          <w:numId w:val="11"/>
        </w:numPr>
        <w:tabs>
          <w:tab w:pos="1130" w:val="left" w:leader="none"/>
          <w:tab w:pos="1134" w:val="left" w:leader="none"/>
        </w:tabs>
        <w:spacing w:line="240" w:lineRule="auto" w:before="251" w:after="0"/>
        <w:ind w:left="1134" w:right="979" w:hanging="567"/>
        <w:jc w:val="both"/>
        <w:rPr>
          <w:sz w:val="22"/>
        </w:rPr>
      </w:pPr>
      <w:r>
        <w:rPr>
          <w:sz w:val="22"/>
        </w:rPr>
        <w:t>El artículo 4 del Tratado de Creación del Tribunal de Justicia de la Comunidad Andina impone a los Países Miembros la obligación de adoptar las medidas necesarias para asegurar</w:t>
      </w:r>
      <w:r>
        <w:rPr>
          <w:spacing w:val="-4"/>
          <w:sz w:val="22"/>
        </w:rPr>
        <w:t> </w:t>
      </w:r>
      <w:r>
        <w:rPr>
          <w:sz w:val="22"/>
        </w:rPr>
        <w:t>el</w:t>
      </w:r>
      <w:r>
        <w:rPr>
          <w:spacing w:val="-6"/>
          <w:sz w:val="22"/>
        </w:rPr>
        <w:t> </w:t>
      </w:r>
      <w:r>
        <w:rPr>
          <w:sz w:val="22"/>
        </w:rPr>
        <w:t>cumplimiento</w:t>
      </w:r>
      <w:r>
        <w:rPr>
          <w:spacing w:val="-3"/>
          <w:sz w:val="22"/>
        </w:rPr>
        <w:t> </w:t>
      </w:r>
      <w:r>
        <w:rPr>
          <w:sz w:val="22"/>
        </w:rPr>
        <w:t>del</w:t>
      </w:r>
      <w:r>
        <w:rPr>
          <w:spacing w:val="-3"/>
          <w:sz w:val="22"/>
        </w:rPr>
        <w:t> </w:t>
      </w:r>
      <w:r>
        <w:rPr>
          <w:sz w:val="22"/>
        </w:rPr>
        <w:t>ordenamiento</w:t>
      </w:r>
      <w:r>
        <w:rPr>
          <w:spacing w:val="-5"/>
          <w:sz w:val="22"/>
        </w:rPr>
        <w:t> </w:t>
      </w:r>
      <w:r>
        <w:rPr>
          <w:sz w:val="22"/>
        </w:rPr>
        <w:t>jurídico</w:t>
      </w:r>
      <w:r>
        <w:rPr>
          <w:spacing w:val="-3"/>
          <w:sz w:val="22"/>
        </w:rPr>
        <w:t> </w:t>
      </w:r>
      <w:r>
        <w:rPr>
          <w:sz w:val="22"/>
        </w:rPr>
        <w:t>andino,</w:t>
      </w:r>
      <w:r>
        <w:rPr>
          <w:spacing w:val="-4"/>
          <w:sz w:val="22"/>
        </w:rPr>
        <w:t> </w:t>
      </w:r>
      <w:r>
        <w:rPr>
          <w:sz w:val="22"/>
        </w:rPr>
        <w:t>y</w:t>
      </w:r>
      <w:r>
        <w:rPr>
          <w:spacing w:val="-5"/>
          <w:sz w:val="22"/>
        </w:rPr>
        <w:t> </w:t>
      </w:r>
      <w:r>
        <w:rPr>
          <w:sz w:val="22"/>
        </w:rPr>
        <w:t>de</w:t>
      </w:r>
      <w:r>
        <w:rPr>
          <w:spacing w:val="-5"/>
          <w:sz w:val="22"/>
        </w:rPr>
        <w:t> </w:t>
      </w:r>
      <w:r>
        <w:rPr>
          <w:sz w:val="22"/>
        </w:rPr>
        <w:t>abstenerse</w:t>
      </w:r>
      <w:r>
        <w:rPr>
          <w:spacing w:val="-3"/>
          <w:sz w:val="22"/>
        </w:rPr>
        <w:t> </w:t>
      </w:r>
      <w:r>
        <w:rPr>
          <w:sz w:val="22"/>
        </w:rPr>
        <w:t>de</w:t>
      </w:r>
      <w:r>
        <w:rPr>
          <w:spacing w:val="-5"/>
          <w:sz w:val="22"/>
        </w:rPr>
        <w:t> </w:t>
      </w:r>
      <w:r>
        <w:rPr>
          <w:sz w:val="22"/>
        </w:rPr>
        <w:t>adoptar o emplear</w:t>
      </w:r>
      <w:r>
        <w:rPr>
          <w:spacing w:val="-2"/>
          <w:sz w:val="22"/>
        </w:rPr>
        <w:t> </w:t>
      </w:r>
      <w:r>
        <w:rPr>
          <w:sz w:val="22"/>
        </w:rPr>
        <w:t>medidas</w:t>
      </w:r>
      <w:r>
        <w:rPr>
          <w:spacing w:val="-2"/>
          <w:sz w:val="22"/>
        </w:rPr>
        <w:t> </w:t>
      </w:r>
      <w:r>
        <w:rPr>
          <w:sz w:val="22"/>
        </w:rPr>
        <w:t>contrarias a</w:t>
      </w:r>
      <w:r>
        <w:rPr>
          <w:spacing w:val="-3"/>
          <w:sz w:val="22"/>
        </w:rPr>
        <w:t> </w:t>
      </w:r>
      <w:r>
        <w:rPr>
          <w:sz w:val="22"/>
        </w:rPr>
        <w:t>dicho</w:t>
      </w:r>
      <w:r>
        <w:rPr>
          <w:spacing w:val="-3"/>
          <w:sz w:val="22"/>
        </w:rPr>
        <w:t> </w:t>
      </w:r>
      <w:r>
        <w:rPr>
          <w:sz w:val="22"/>
        </w:rPr>
        <w:t>ordenamiento o</w:t>
      </w:r>
      <w:r>
        <w:rPr>
          <w:spacing w:val="-3"/>
          <w:sz w:val="22"/>
        </w:rPr>
        <w:t> </w:t>
      </w:r>
      <w:r>
        <w:rPr>
          <w:sz w:val="22"/>
        </w:rPr>
        <w:t>que</w:t>
      </w:r>
      <w:r>
        <w:rPr>
          <w:spacing w:val="-3"/>
          <w:sz w:val="22"/>
        </w:rPr>
        <w:t> </w:t>
      </w:r>
      <w:r>
        <w:rPr>
          <w:sz w:val="22"/>
        </w:rPr>
        <w:t>de</w:t>
      </w:r>
      <w:r>
        <w:rPr>
          <w:spacing w:val="-3"/>
          <w:sz w:val="22"/>
        </w:rPr>
        <w:t> </w:t>
      </w:r>
      <w:r>
        <w:rPr>
          <w:sz w:val="22"/>
        </w:rPr>
        <w:t>algún</w:t>
      </w:r>
      <w:r>
        <w:rPr>
          <w:spacing w:val="-4"/>
          <w:sz w:val="22"/>
        </w:rPr>
        <w:t> </w:t>
      </w:r>
      <w:r>
        <w:rPr>
          <w:sz w:val="22"/>
        </w:rPr>
        <w:t>modo</w:t>
      </w:r>
      <w:r>
        <w:rPr>
          <w:spacing w:val="-3"/>
          <w:sz w:val="22"/>
        </w:rPr>
        <w:t> </w:t>
      </w:r>
      <w:r>
        <w:rPr>
          <w:sz w:val="22"/>
        </w:rPr>
        <w:t>obstaculicen su aplicación.</w:t>
      </w:r>
    </w:p>
    <w:p>
      <w:pPr>
        <w:pStyle w:val="BodyText"/>
      </w:pPr>
    </w:p>
    <w:p>
      <w:pPr>
        <w:pStyle w:val="ListParagraph"/>
        <w:numPr>
          <w:ilvl w:val="0"/>
          <w:numId w:val="11"/>
        </w:numPr>
        <w:tabs>
          <w:tab w:pos="1130" w:val="left" w:leader="none"/>
          <w:tab w:pos="1134" w:val="left" w:leader="none"/>
        </w:tabs>
        <w:spacing w:line="240" w:lineRule="auto" w:before="0" w:after="0"/>
        <w:ind w:left="1134" w:right="980" w:hanging="567"/>
        <w:jc w:val="both"/>
        <w:rPr>
          <w:sz w:val="22"/>
        </w:rPr>
      </w:pPr>
      <w:r>
        <w:rPr>
          <w:sz w:val="22"/>
        </w:rPr>
        <w:t>En tal sentido, cuando este órgano comunitario califica una medida como gravamen incompatible con el Programa de Liberación, la obligación de adecuación del País Miembro concernido, no se satisface únicamente con la derogación formal del acto específicamente examinado, sino que comprende también el deber de no mantener, sustituir,</w:t>
      </w:r>
      <w:r>
        <w:rPr>
          <w:spacing w:val="-8"/>
          <w:sz w:val="22"/>
        </w:rPr>
        <w:t> </w:t>
      </w:r>
      <w:r>
        <w:rPr>
          <w:sz w:val="22"/>
        </w:rPr>
        <w:t>reproducir</w:t>
      </w:r>
      <w:r>
        <w:rPr>
          <w:spacing w:val="-11"/>
          <w:sz w:val="22"/>
        </w:rPr>
        <w:t> </w:t>
      </w:r>
      <w:r>
        <w:rPr>
          <w:sz w:val="22"/>
        </w:rPr>
        <w:t>o</w:t>
      </w:r>
      <w:r>
        <w:rPr>
          <w:spacing w:val="-10"/>
          <w:sz w:val="22"/>
        </w:rPr>
        <w:t> </w:t>
      </w:r>
      <w:r>
        <w:rPr>
          <w:sz w:val="22"/>
        </w:rPr>
        <w:t>reintroducir,</w:t>
      </w:r>
      <w:r>
        <w:rPr>
          <w:spacing w:val="-11"/>
          <w:sz w:val="22"/>
        </w:rPr>
        <w:t> </w:t>
      </w:r>
      <w:r>
        <w:rPr>
          <w:sz w:val="22"/>
        </w:rPr>
        <w:t>mediante</w:t>
      </w:r>
      <w:r>
        <w:rPr>
          <w:spacing w:val="-10"/>
          <w:sz w:val="22"/>
        </w:rPr>
        <w:t> </w:t>
      </w:r>
      <w:r>
        <w:rPr>
          <w:sz w:val="22"/>
        </w:rPr>
        <w:t>actos</w:t>
      </w:r>
      <w:r>
        <w:rPr>
          <w:spacing w:val="-9"/>
          <w:sz w:val="22"/>
        </w:rPr>
        <w:t> </w:t>
      </w:r>
      <w:r>
        <w:rPr>
          <w:sz w:val="22"/>
        </w:rPr>
        <w:t>posteriores</w:t>
      </w:r>
      <w:r>
        <w:rPr>
          <w:spacing w:val="-9"/>
          <w:sz w:val="22"/>
        </w:rPr>
        <w:t> </w:t>
      </w:r>
      <w:r>
        <w:rPr>
          <w:sz w:val="22"/>
        </w:rPr>
        <w:t>una</w:t>
      </w:r>
      <w:r>
        <w:rPr>
          <w:spacing w:val="-12"/>
          <w:sz w:val="22"/>
        </w:rPr>
        <w:t> </w:t>
      </w:r>
      <w:r>
        <w:rPr>
          <w:sz w:val="22"/>
        </w:rPr>
        <w:t>medida</w:t>
      </w:r>
      <w:r>
        <w:rPr>
          <w:spacing w:val="-13"/>
          <w:sz w:val="22"/>
        </w:rPr>
        <w:t> </w:t>
      </w:r>
      <w:r>
        <w:rPr>
          <w:sz w:val="22"/>
        </w:rPr>
        <w:t>que</w:t>
      </w:r>
      <w:r>
        <w:rPr>
          <w:spacing w:val="-10"/>
          <w:sz w:val="22"/>
        </w:rPr>
        <w:t> </w:t>
      </w:r>
      <w:r>
        <w:rPr>
          <w:sz w:val="22"/>
        </w:rPr>
        <w:t>conserve los mismos elementos sustanciales y produzca los mismos efectos restrictivos o encarecedores sobre las importaciones originarias de otro País Miembro.</w:t>
      </w:r>
    </w:p>
    <w:p>
      <w:pPr>
        <w:pStyle w:val="BodyText"/>
        <w:spacing w:before="2"/>
      </w:pPr>
    </w:p>
    <w:p>
      <w:pPr>
        <w:pStyle w:val="ListParagraph"/>
        <w:numPr>
          <w:ilvl w:val="0"/>
          <w:numId w:val="11"/>
        </w:numPr>
        <w:tabs>
          <w:tab w:pos="1130" w:val="left" w:leader="none"/>
          <w:tab w:pos="1134" w:val="left" w:leader="none"/>
        </w:tabs>
        <w:spacing w:line="240" w:lineRule="auto" w:before="0" w:after="0"/>
        <w:ind w:left="1134" w:right="978" w:hanging="567"/>
        <w:jc w:val="both"/>
        <w:rPr>
          <w:sz w:val="22"/>
        </w:rPr>
      </w:pPr>
      <w:r>
        <w:rPr>
          <w:sz w:val="22"/>
        </w:rPr>
        <w:t>De</w:t>
      </w:r>
      <w:r>
        <w:rPr>
          <w:spacing w:val="-16"/>
          <w:sz w:val="22"/>
        </w:rPr>
        <w:t> </w:t>
      </w:r>
      <w:r>
        <w:rPr>
          <w:sz w:val="22"/>
        </w:rPr>
        <w:t>esta</w:t>
      </w:r>
      <w:r>
        <w:rPr>
          <w:spacing w:val="-15"/>
          <w:sz w:val="22"/>
        </w:rPr>
        <w:t> </w:t>
      </w:r>
      <w:r>
        <w:rPr>
          <w:sz w:val="22"/>
        </w:rPr>
        <w:t>manera,</w:t>
      </w:r>
      <w:r>
        <w:rPr>
          <w:spacing w:val="-15"/>
          <w:sz w:val="22"/>
        </w:rPr>
        <w:t> </w:t>
      </w:r>
      <w:r>
        <w:rPr>
          <w:sz w:val="22"/>
        </w:rPr>
        <w:t>como</w:t>
      </w:r>
      <w:r>
        <w:rPr>
          <w:spacing w:val="-16"/>
          <w:sz w:val="22"/>
        </w:rPr>
        <w:t> </w:t>
      </w:r>
      <w:r>
        <w:rPr>
          <w:sz w:val="22"/>
        </w:rPr>
        <w:t>se</w:t>
      </w:r>
      <w:r>
        <w:rPr>
          <w:spacing w:val="-15"/>
          <w:sz w:val="22"/>
        </w:rPr>
        <w:t> </w:t>
      </w:r>
      <w:r>
        <w:rPr>
          <w:sz w:val="22"/>
        </w:rPr>
        <w:t>ha</w:t>
      </w:r>
      <w:r>
        <w:rPr>
          <w:spacing w:val="-15"/>
          <w:sz w:val="22"/>
        </w:rPr>
        <w:t> </w:t>
      </w:r>
      <w:r>
        <w:rPr>
          <w:sz w:val="22"/>
        </w:rPr>
        <w:t>mencionado</w:t>
      </w:r>
      <w:r>
        <w:rPr>
          <w:spacing w:val="-15"/>
          <w:sz w:val="22"/>
        </w:rPr>
        <w:t> </w:t>
      </w:r>
      <w:r>
        <w:rPr>
          <w:sz w:val="22"/>
        </w:rPr>
        <w:t>anteriormente,</w:t>
      </w:r>
      <w:r>
        <w:rPr>
          <w:spacing w:val="-16"/>
          <w:sz w:val="22"/>
        </w:rPr>
        <w:t> </w:t>
      </w:r>
      <w:r>
        <w:rPr>
          <w:sz w:val="22"/>
        </w:rPr>
        <w:t>las</w:t>
      </w:r>
      <w:r>
        <w:rPr>
          <w:spacing w:val="-15"/>
          <w:sz w:val="22"/>
        </w:rPr>
        <w:t> </w:t>
      </w:r>
      <w:r>
        <w:rPr>
          <w:sz w:val="22"/>
        </w:rPr>
        <w:t>Resoluciones</w:t>
      </w:r>
      <w:r>
        <w:rPr>
          <w:spacing w:val="-15"/>
          <w:sz w:val="22"/>
        </w:rPr>
        <w:t> </w:t>
      </w:r>
      <w:r>
        <w:rPr>
          <w:sz w:val="22"/>
        </w:rPr>
        <w:t>Nro.</w:t>
      </w:r>
      <w:r>
        <w:rPr>
          <w:spacing w:val="-16"/>
          <w:sz w:val="22"/>
        </w:rPr>
        <w:t> </w:t>
      </w:r>
      <w:r>
        <w:rPr>
          <w:sz w:val="22"/>
        </w:rPr>
        <w:t>SENAE-SENAE-2026-0006-RE y Nro. SENAE-SENAE-2026-0017-RE, establecen una misma medida,</w:t>
      </w:r>
      <w:r>
        <w:rPr>
          <w:spacing w:val="-16"/>
          <w:sz w:val="22"/>
        </w:rPr>
        <w:t> </w:t>
      </w:r>
      <w:r>
        <w:rPr>
          <w:sz w:val="22"/>
        </w:rPr>
        <w:t>siendo</w:t>
      </w:r>
      <w:r>
        <w:rPr>
          <w:spacing w:val="-15"/>
          <w:sz w:val="22"/>
        </w:rPr>
        <w:t> </w:t>
      </w:r>
      <w:r>
        <w:rPr>
          <w:sz w:val="22"/>
        </w:rPr>
        <w:t>la</w:t>
      </w:r>
      <w:r>
        <w:rPr>
          <w:spacing w:val="-15"/>
          <w:sz w:val="22"/>
        </w:rPr>
        <w:t> </w:t>
      </w:r>
      <w:r>
        <w:rPr>
          <w:sz w:val="22"/>
        </w:rPr>
        <w:t>única</w:t>
      </w:r>
      <w:r>
        <w:rPr>
          <w:spacing w:val="-16"/>
          <w:sz w:val="22"/>
        </w:rPr>
        <w:t> </w:t>
      </w:r>
      <w:r>
        <w:rPr>
          <w:sz w:val="22"/>
        </w:rPr>
        <w:t>diferencia</w:t>
      </w:r>
      <w:r>
        <w:rPr>
          <w:spacing w:val="-15"/>
          <w:sz w:val="22"/>
        </w:rPr>
        <w:t> </w:t>
      </w:r>
      <w:r>
        <w:rPr>
          <w:sz w:val="22"/>
        </w:rPr>
        <w:t>sustancial</w:t>
      </w:r>
      <w:r>
        <w:rPr>
          <w:spacing w:val="-15"/>
          <w:sz w:val="22"/>
        </w:rPr>
        <w:t> </w:t>
      </w:r>
      <w:r>
        <w:rPr>
          <w:sz w:val="22"/>
        </w:rPr>
        <w:t>que</w:t>
      </w:r>
      <w:r>
        <w:rPr>
          <w:spacing w:val="-15"/>
          <w:sz w:val="22"/>
        </w:rPr>
        <w:t> </w:t>
      </w:r>
      <w:r>
        <w:rPr>
          <w:sz w:val="22"/>
        </w:rPr>
        <w:t>en</w:t>
      </w:r>
      <w:r>
        <w:rPr>
          <w:spacing w:val="-16"/>
          <w:sz w:val="22"/>
        </w:rPr>
        <w:t> </w:t>
      </w:r>
      <w:r>
        <w:rPr>
          <w:sz w:val="22"/>
        </w:rPr>
        <w:t>la</w:t>
      </w:r>
      <w:r>
        <w:rPr>
          <w:spacing w:val="-15"/>
          <w:sz w:val="22"/>
        </w:rPr>
        <w:t> </w:t>
      </w:r>
      <w:r>
        <w:rPr>
          <w:sz w:val="22"/>
        </w:rPr>
        <w:t>Resolución</w:t>
      </w:r>
      <w:r>
        <w:rPr>
          <w:spacing w:val="-15"/>
          <w:sz w:val="22"/>
        </w:rPr>
        <w:t> </w:t>
      </w:r>
      <w:r>
        <w:rPr>
          <w:sz w:val="22"/>
        </w:rPr>
        <w:t>Nro.</w:t>
      </w:r>
      <w:r>
        <w:rPr>
          <w:spacing w:val="-16"/>
          <w:sz w:val="22"/>
        </w:rPr>
        <w:t> </w:t>
      </w:r>
      <w:r>
        <w:rPr>
          <w:sz w:val="22"/>
        </w:rPr>
        <w:t>SENAE-SENAE-2026-0017-RE, se establece un porcentaje más agravado (50%) a aplicar a las importaciones de productos provenientes y originarios de la República de Colombia.</w:t>
      </w:r>
    </w:p>
    <w:p>
      <w:pPr>
        <w:pStyle w:val="ListParagraph"/>
        <w:numPr>
          <w:ilvl w:val="0"/>
          <w:numId w:val="11"/>
        </w:numPr>
        <w:tabs>
          <w:tab w:pos="1130" w:val="left" w:leader="none"/>
          <w:tab w:pos="1134" w:val="left" w:leader="none"/>
        </w:tabs>
        <w:spacing w:line="240" w:lineRule="auto" w:before="252" w:after="0"/>
        <w:ind w:left="1134" w:right="978" w:hanging="567"/>
        <w:jc w:val="both"/>
        <w:rPr>
          <w:sz w:val="22"/>
        </w:rPr>
      </w:pPr>
      <w:r>
        <w:rPr>
          <w:sz w:val="22"/>
        </w:rPr>
        <w:t>Cabe mencionar que en el caso de la Resolución SENAE</w:t>
      </w:r>
      <w:r>
        <w:rPr>
          <w:rFonts w:ascii="Cambria Math" w:hAnsi="Cambria Math"/>
          <w:sz w:val="22"/>
        </w:rPr>
        <w:t>‑</w:t>
      </w:r>
      <w:r>
        <w:rPr>
          <w:sz w:val="22"/>
        </w:rPr>
        <w:t>SENAE</w:t>
      </w:r>
      <w:r>
        <w:rPr>
          <w:rFonts w:ascii="Cambria Math" w:hAnsi="Cambria Math"/>
          <w:sz w:val="22"/>
        </w:rPr>
        <w:t>‑</w:t>
      </w:r>
      <w:r>
        <w:rPr>
          <w:sz w:val="22"/>
        </w:rPr>
        <w:t>2026</w:t>
      </w:r>
      <w:r>
        <w:rPr>
          <w:rFonts w:ascii="Cambria Math" w:hAnsi="Cambria Math"/>
          <w:sz w:val="22"/>
        </w:rPr>
        <w:t>‑</w:t>
      </w:r>
      <w:r>
        <w:rPr>
          <w:sz w:val="22"/>
        </w:rPr>
        <w:t>0031</w:t>
      </w:r>
      <w:r>
        <w:rPr>
          <w:rFonts w:ascii="Cambria Math" w:hAnsi="Cambria Math"/>
          <w:sz w:val="22"/>
        </w:rPr>
        <w:t>‑</w:t>
      </w:r>
      <w:r>
        <w:rPr>
          <w:sz w:val="22"/>
        </w:rPr>
        <w:t>RE, se observa</w:t>
      </w:r>
      <w:r>
        <w:rPr>
          <w:spacing w:val="25"/>
          <w:sz w:val="22"/>
        </w:rPr>
        <w:t> </w:t>
      </w:r>
      <w:r>
        <w:rPr>
          <w:sz w:val="22"/>
        </w:rPr>
        <w:t>que</w:t>
      </w:r>
      <w:r>
        <w:rPr>
          <w:spacing w:val="25"/>
          <w:sz w:val="22"/>
        </w:rPr>
        <w:t> </w:t>
      </w:r>
      <w:r>
        <w:rPr>
          <w:sz w:val="22"/>
        </w:rPr>
        <w:t>tampoco</w:t>
      </w:r>
      <w:r>
        <w:rPr>
          <w:spacing w:val="25"/>
          <w:sz w:val="22"/>
        </w:rPr>
        <w:t> </w:t>
      </w:r>
      <w:r>
        <w:rPr>
          <w:sz w:val="22"/>
        </w:rPr>
        <w:t>contiene</w:t>
      </w:r>
      <w:r>
        <w:rPr>
          <w:spacing w:val="27"/>
          <w:sz w:val="22"/>
        </w:rPr>
        <w:t> </w:t>
      </w:r>
      <w:r>
        <w:rPr>
          <w:sz w:val="22"/>
        </w:rPr>
        <w:t>estudio</w:t>
      </w:r>
      <w:r>
        <w:rPr>
          <w:spacing w:val="27"/>
          <w:sz w:val="22"/>
        </w:rPr>
        <w:t> </w:t>
      </w:r>
      <w:r>
        <w:rPr>
          <w:sz w:val="22"/>
        </w:rPr>
        <w:t>de</w:t>
      </w:r>
      <w:r>
        <w:rPr>
          <w:spacing w:val="24"/>
          <w:sz w:val="22"/>
        </w:rPr>
        <w:t> </w:t>
      </w:r>
      <w:r>
        <w:rPr>
          <w:sz w:val="22"/>
        </w:rPr>
        <w:t>costos,</w:t>
      </w:r>
      <w:r>
        <w:rPr>
          <w:spacing w:val="26"/>
          <w:sz w:val="22"/>
        </w:rPr>
        <w:t> </w:t>
      </w:r>
      <w:r>
        <w:rPr>
          <w:sz w:val="22"/>
        </w:rPr>
        <w:t>memoria</w:t>
      </w:r>
      <w:r>
        <w:rPr>
          <w:spacing w:val="24"/>
          <w:sz w:val="22"/>
        </w:rPr>
        <w:t> </w:t>
      </w:r>
      <w:r>
        <w:rPr>
          <w:sz w:val="22"/>
        </w:rPr>
        <w:t>de</w:t>
      </w:r>
      <w:r>
        <w:rPr>
          <w:spacing w:val="24"/>
          <w:sz w:val="22"/>
        </w:rPr>
        <w:t> </w:t>
      </w:r>
      <w:r>
        <w:rPr>
          <w:sz w:val="22"/>
        </w:rPr>
        <w:t>cálculo</w:t>
      </w:r>
      <w:r>
        <w:rPr>
          <w:spacing w:val="25"/>
          <w:sz w:val="22"/>
        </w:rPr>
        <w:t> </w:t>
      </w:r>
      <w:r>
        <w:rPr>
          <w:sz w:val="22"/>
        </w:rPr>
        <w:t>ni</w:t>
      </w:r>
      <w:r>
        <w:rPr>
          <w:spacing w:val="26"/>
          <w:sz w:val="22"/>
        </w:rPr>
        <w:t> </w:t>
      </w:r>
      <w:r>
        <w:rPr>
          <w:sz w:val="22"/>
        </w:rPr>
        <w:t>explicación</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BodyText"/>
        <w:ind w:left="1134" w:right="981"/>
        <w:jc w:val="both"/>
      </w:pPr>
      <w:r>
        <w:rPr/>
        <w:t>metodológica que permita justificar la fijación del porcentaje del 100% como reflejo de un</w:t>
      </w:r>
      <w:r>
        <w:rPr>
          <w:spacing w:val="-16"/>
        </w:rPr>
        <w:t> </w:t>
      </w:r>
      <w:r>
        <w:rPr/>
        <w:t>costo</w:t>
      </w:r>
      <w:r>
        <w:rPr>
          <w:spacing w:val="-15"/>
        </w:rPr>
        <w:t> </w:t>
      </w:r>
      <w:r>
        <w:rPr/>
        <w:t>unitario</w:t>
      </w:r>
      <w:r>
        <w:rPr>
          <w:spacing w:val="-15"/>
        </w:rPr>
        <w:t> </w:t>
      </w:r>
      <w:r>
        <w:rPr/>
        <w:t>o</w:t>
      </w:r>
      <w:r>
        <w:rPr>
          <w:spacing w:val="-16"/>
        </w:rPr>
        <w:t> </w:t>
      </w:r>
      <w:r>
        <w:rPr/>
        <w:t>promedio</w:t>
      </w:r>
      <w:r>
        <w:rPr>
          <w:spacing w:val="-15"/>
        </w:rPr>
        <w:t> </w:t>
      </w:r>
      <w:r>
        <w:rPr/>
        <w:t>por</w:t>
      </w:r>
      <w:r>
        <w:rPr>
          <w:spacing w:val="-15"/>
        </w:rPr>
        <w:t> </w:t>
      </w:r>
      <w:r>
        <w:rPr/>
        <w:t>operación,</w:t>
      </w:r>
      <w:r>
        <w:rPr>
          <w:spacing w:val="-15"/>
        </w:rPr>
        <w:t> </w:t>
      </w:r>
      <w:r>
        <w:rPr/>
        <w:t>por</w:t>
      </w:r>
      <w:r>
        <w:rPr>
          <w:spacing w:val="-16"/>
        </w:rPr>
        <w:t> </w:t>
      </w:r>
      <w:r>
        <w:rPr/>
        <w:t>lo</w:t>
      </w:r>
      <w:r>
        <w:rPr>
          <w:spacing w:val="-15"/>
        </w:rPr>
        <w:t> </w:t>
      </w:r>
      <w:r>
        <w:rPr/>
        <w:t>que</w:t>
      </w:r>
      <w:r>
        <w:rPr>
          <w:spacing w:val="-15"/>
        </w:rPr>
        <w:t> </w:t>
      </w:r>
      <w:r>
        <w:rPr/>
        <w:t>aplican</w:t>
      </w:r>
      <w:r>
        <w:rPr>
          <w:spacing w:val="-16"/>
        </w:rPr>
        <w:t> </w:t>
      </w:r>
      <w:r>
        <w:rPr/>
        <w:t>las</w:t>
      </w:r>
      <w:r>
        <w:rPr>
          <w:spacing w:val="-15"/>
        </w:rPr>
        <w:t> </w:t>
      </w:r>
      <w:r>
        <w:rPr/>
        <w:t>mismas</w:t>
      </w:r>
      <w:r>
        <w:rPr>
          <w:spacing w:val="-15"/>
        </w:rPr>
        <w:t> </w:t>
      </w:r>
      <w:r>
        <w:rPr/>
        <w:t>observaciones mencionadas </w:t>
      </w:r>
      <w:r>
        <w:rPr>
          <w:rFonts w:ascii="Arial" w:hAnsi="Arial"/>
          <w:i/>
        </w:rPr>
        <w:t>supra </w:t>
      </w:r>
      <w:r>
        <w:rPr/>
        <w:t>sobre su predecesora la Resolución </w:t>
      </w:r>
      <w:r>
        <w:rPr>
          <w:spacing w:val="-2"/>
        </w:rPr>
        <w:t>SENAE</w:t>
      </w:r>
      <w:r>
        <w:rPr>
          <w:rFonts w:ascii="Cambria Math" w:hAnsi="Cambria Math"/>
          <w:spacing w:val="-2"/>
        </w:rPr>
        <w:t>‑</w:t>
      </w:r>
      <w:r>
        <w:rPr>
          <w:spacing w:val="-2"/>
        </w:rPr>
        <w:t>SENAE</w:t>
      </w:r>
      <w:r>
        <w:rPr>
          <w:rFonts w:ascii="Cambria Math" w:hAnsi="Cambria Math"/>
          <w:spacing w:val="-2"/>
        </w:rPr>
        <w:t>‑</w:t>
      </w:r>
      <w:r>
        <w:rPr>
          <w:spacing w:val="-2"/>
        </w:rPr>
        <w:t>2026</w:t>
      </w:r>
      <w:r>
        <w:rPr>
          <w:rFonts w:ascii="Cambria Math" w:hAnsi="Cambria Math"/>
          <w:spacing w:val="-2"/>
        </w:rPr>
        <w:t>‑</w:t>
      </w:r>
      <w:r>
        <w:rPr>
          <w:spacing w:val="-2"/>
        </w:rPr>
        <w:t>0017</w:t>
      </w:r>
      <w:r>
        <w:rPr>
          <w:rFonts w:ascii="Cambria Math" w:hAnsi="Cambria Math"/>
          <w:spacing w:val="-2"/>
        </w:rPr>
        <w:t>‑</w:t>
      </w:r>
      <w:r>
        <w:rPr>
          <w:spacing w:val="-2"/>
        </w:rPr>
        <w:t>RE.</w:t>
      </w:r>
    </w:p>
    <w:p>
      <w:pPr>
        <w:pStyle w:val="BodyText"/>
      </w:pPr>
    </w:p>
    <w:p>
      <w:pPr>
        <w:pStyle w:val="ListParagraph"/>
        <w:numPr>
          <w:ilvl w:val="0"/>
          <w:numId w:val="11"/>
        </w:numPr>
        <w:tabs>
          <w:tab w:pos="1130" w:val="left" w:leader="none"/>
          <w:tab w:pos="1134" w:val="left" w:leader="none"/>
        </w:tabs>
        <w:spacing w:line="240" w:lineRule="auto" w:before="0" w:after="0"/>
        <w:ind w:left="1134" w:right="976" w:hanging="567"/>
        <w:jc w:val="both"/>
        <w:rPr>
          <w:sz w:val="22"/>
        </w:rPr>
      </w:pPr>
      <w:r>
        <w:rPr>
          <w:sz w:val="22"/>
        </w:rPr>
        <w:t>En consecuencia, lo mismo sucede</w:t>
      </w:r>
      <w:r>
        <w:rPr>
          <w:spacing w:val="-1"/>
          <w:sz w:val="22"/>
        </w:rPr>
        <w:t> </w:t>
      </w:r>
      <w:r>
        <w:rPr>
          <w:sz w:val="22"/>
        </w:rPr>
        <w:t>con la Resolución </w:t>
      </w:r>
      <w:r>
        <w:rPr>
          <w:rFonts w:ascii="Arial" w:hAnsi="Arial"/>
          <w:b/>
          <w:sz w:val="22"/>
        </w:rPr>
        <w:t>SENAE-SENAE-2026-0031-RE, </w:t>
      </w:r>
      <w:r>
        <w:rPr>
          <w:sz w:val="22"/>
        </w:rPr>
        <w:t>incorporada al expediente a solicitud de la República de Colombia, la misma que reproduce la estructura normativa y la lógica motivacional de las resoluciones previas, pues mantiene el mismo objeto —la tasa por servicio aduanero de control aplicable a mercancías</w:t>
      </w:r>
      <w:r>
        <w:rPr>
          <w:spacing w:val="-15"/>
          <w:sz w:val="22"/>
        </w:rPr>
        <w:t> </w:t>
      </w:r>
      <w:r>
        <w:rPr>
          <w:sz w:val="22"/>
        </w:rPr>
        <w:t>provenientes</w:t>
      </w:r>
      <w:r>
        <w:rPr>
          <w:spacing w:val="-14"/>
          <w:sz w:val="22"/>
        </w:rPr>
        <w:t> </w:t>
      </w:r>
      <w:r>
        <w:rPr>
          <w:sz w:val="22"/>
        </w:rPr>
        <w:t>u</w:t>
      </w:r>
      <w:r>
        <w:rPr>
          <w:spacing w:val="-14"/>
          <w:sz w:val="22"/>
        </w:rPr>
        <w:t> </w:t>
      </w:r>
      <w:r>
        <w:rPr>
          <w:sz w:val="22"/>
        </w:rPr>
        <w:t>originarias</w:t>
      </w:r>
      <w:r>
        <w:rPr>
          <w:spacing w:val="-14"/>
          <w:sz w:val="22"/>
        </w:rPr>
        <w:t> </w:t>
      </w:r>
      <w:r>
        <w:rPr>
          <w:sz w:val="22"/>
        </w:rPr>
        <w:t>de</w:t>
      </w:r>
      <w:r>
        <w:rPr>
          <w:spacing w:val="-14"/>
          <w:sz w:val="22"/>
        </w:rPr>
        <w:t> </w:t>
      </w:r>
      <w:r>
        <w:rPr>
          <w:sz w:val="22"/>
        </w:rPr>
        <w:t>Colombia—</w:t>
      </w:r>
      <w:r>
        <w:rPr>
          <w:spacing w:val="-11"/>
          <w:sz w:val="22"/>
        </w:rPr>
        <w:t> </w:t>
      </w:r>
      <w:r>
        <w:rPr>
          <w:sz w:val="22"/>
        </w:rPr>
        <w:t>conserva</w:t>
      </w:r>
      <w:r>
        <w:rPr>
          <w:spacing w:val="-13"/>
          <w:sz w:val="22"/>
        </w:rPr>
        <w:t> </w:t>
      </w:r>
      <w:r>
        <w:rPr>
          <w:sz w:val="22"/>
        </w:rPr>
        <w:t>la</w:t>
      </w:r>
      <w:r>
        <w:rPr>
          <w:spacing w:val="-14"/>
          <w:sz w:val="22"/>
        </w:rPr>
        <w:t> </w:t>
      </w:r>
      <w:r>
        <w:rPr>
          <w:sz w:val="22"/>
        </w:rPr>
        <w:t>base</w:t>
      </w:r>
      <w:r>
        <w:rPr>
          <w:spacing w:val="-14"/>
          <w:sz w:val="22"/>
        </w:rPr>
        <w:t> </w:t>
      </w:r>
      <w:r>
        <w:rPr>
          <w:sz w:val="22"/>
        </w:rPr>
        <w:t>de</w:t>
      </w:r>
      <w:r>
        <w:rPr>
          <w:spacing w:val="-16"/>
          <w:sz w:val="22"/>
        </w:rPr>
        <w:t> </w:t>
      </w:r>
      <w:r>
        <w:rPr>
          <w:sz w:val="22"/>
        </w:rPr>
        <w:t>cálculo</w:t>
      </w:r>
      <w:r>
        <w:rPr>
          <w:spacing w:val="-11"/>
          <w:sz w:val="22"/>
        </w:rPr>
        <w:t> </w:t>
      </w:r>
      <w:r>
        <w:rPr>
          <w:sz w:val="22"/>
        </w:rPr>
        <w:t>sobre el valor en aduana, y, en esa lógica la Resolución SENAE-SENAE-2026-0031-RE, incrementa del 50% al 100% la tarifa a aplicarse a los productos provenientes u originarios de la República de Colombia, y deroga la Nro. SENAE-SENAE-2026-0017-</w:t>
      </w:r>
      <w:r>
        <w:rPr>
          <w:spacing w:val="-4"/>
          <w:sz w:val="22"/>
        </w:rPr>
        <w:t>RE.</w:t>
      </w:r>
    </w:p>
    <w:p>
      <w:pPr>
        <w:pStyle w:val="BodyText"/>
      </w:pPr>
    </w:p>
    <w:p>
      <w:pPr>
        <w:pStyle w:val="ListParagraph"/>
        <w:numPr>
          <w:ilvl w:val="0"/>
          <w:numId w:val="11"/>
        </w:numPr>
        <w:tabs>
          <w:tab w:pos="1130" w:val="left" w:leader="none"/>
          <w:tab w:pos="1134" w:val="left" w:leader="none"/>
        </w:tabs>
        <w:spacing w:line="240" w:lineRule="auto" w:before="0" w:after="0"/>
        <w:ind w:left="1134" w:right="977" w:hanging="567"/>
        <w:jc w:val="both"/>
        <w:rPr>
          <w:sz w:val="22"/>
        </w:rPr>
      </w:pPr>
      <w:r>
        <w:rPr>
          <w:sz w:val="22"/>
        </w:rPr>
        <w:t>Por lo antes señalado, la Resolución SENAE-SENAE-2026-0031-RE constituye</w:t>
      </w:r>
      <w:r>
        <w:rPr>
          <w:spacing w:val="-2"/>
          <w:position w:val="5"/>
          <w:sz w:val="22"/>
        </w:rPr>
        <w:drawing>
          <wp:inline distT="0" distB="0" distL="0" distR="0">
            <wp:extent cx="65532" cy="7620"/>
            <wp:effectExtent l="0" t="0" r="0" b="0"/>
            <wp:docPr id="381" name="Image 381"/>
            <wp:cNvGraphicFramePr>
              <a:graphicFrameLocks/>
            </wp:cNvGraphicFramePr>
            <a:graphic>
              <a:graphicData uri="http://schemas.openxmlformats.org/drawingml/2006/picture">
                <pic:pic>
                  <pic:nvPicPr>
                    <pic:cNvPr id="381" name="Image 381"/>
                    <pic:cNvPicPr/>
                  </pic:nvPicPr>
                  <pic:blipFill>
                    <a:blip r:embed="rId61" cstate="print"/>
                    <a:stretch>
                      <a:fillRect/>
                    </a:stretch>
                  </pic:blipFill>
                  <pic:spPr>
                    <a:xfrm>
                      <a:off x="0" y="0"/>
                      <a:ext cx="65532" cy="7620"/>
                    </a:xfrm>
                    <a:prstGeom prst="rect">
                      <a:avLst/>
                    </a:prstGeom>
                  </pic:spPr>
                </pic:pic>
              </a:graphicData>
            </a:graphic>
          </wp:inline>
        </w:drawing>
      </w:r>
      <w:r>
        <w:rPr>
          <w:spacing w:val="-2"/>
          <w:position w:val="5"/>
          <w:sz w:val="22"/>
        </w:rPr>
      </w:r>
      <w:r>
        <w:rPr>
          <w:sz w:val="22"/>
        </w:rPr>
        <w:t>una continuación material de la medida analizada, con las consecuencias que de ello se derivan con relación al respeto pleno que debe observarse del ordenamiento jurídico comunitario andino.</w:t>
      </w:r>
    </w:p>
    <w:p>
      <w:pPr>
        <w:pStyle w:val="BodyText"/>
        <w:spacing w:before="1"/>
      </w:pPr>
    </w:p>
    <w:p>
      <w:pPr>
        <w:pStyle w:val="Heading1"/>
        <w:numPr>
          <w:ilvl w:val="0"/>
          <w:numId w:val="10"/>
        </w:numPr>
        <w:tabs>
          <w:tab w:pos="850" w:val="left" w:leader="none"/>
        </w:tabs>
        <w:spacing w:line="240" w:lineRule="auto" w:before="0" w:after="0"/>
        <w:ind w:left="850" w:right="0" w:hanging="282"/>
        <w:jc w:val="left"/>
        <w:rPr>
          <w:rFonts w:ascii="Arial MT"/>
          <w:b w:val="0"/>
        </w:rPr>
      </w:pPr>
      <w:r>
        <w:rPr>
          <w:spacing w:val="-2"/>
        </w:rPr>
        <w:t>CONCLUSIONES</w:t>
      </w:r>
    </w:p>
    <w:p>
      <w:pPr>
        <w:pStyle w:val="ListParagraph"/>
        <w:numPr>
          <w:ilvl w:val="0"/>
          <w:numId w:val="11"/>
        </w:numPr>
        <w:tabs>
          <w:tab w:pos="1130" w:val="left" w:leader="none"/>
          <w:tab w:pos="1134" w:val="left" w:leader="none"/>
        </w:tabs>
        <w:spacing w:line="240" w:lineRule="auto" w:before="254" w:after="0"/>
        <w:ind w:left="1134" w:right="980" w:hanging="567"/>
        <w:jc w:val="both"/>
        <w:rPr>
          <w:sz w:val="22"/>
        </w:rPr>
      </w:pPr>
      <w:r>
        <w:rPr>
          <w:sz w:val="22"/>
        </w:rPr>
        <w:t>De</w:t>
      </w:r>
      <w:r>
        <w:rPr>
          <w:spacing w:val="-6"/>
          <w:sz w:val="22"/>
        </w:rPr>
        <w:t> </w:t>
      </w:r>
      <w:r>
        <w:rPr>
          <w:sz w:val="22"/>
        </w:rPr>
        <w:t>la</w:t>
      </w:r>
      <w:r>
        <w:rPr>
          <w:spacing w:val="-6"/>
          <w:sz w:val="22"/>
        </w:rPr>
        <w:t> </w:t>
      </w:r>
      <w:r>
        <w:rPr>
          <w:sz w:val="22"/>
        </w:rPr>
        <w:t>evaluación</w:t>
      </w:r>
      <w:r>
        <w:rPr>
          <w:spacing w:val="-7"/>
          <w:sz w:val="22"/>
        </w:rPr>
        <w:t> </w:t>
      </w:r>
      <w:r>
        <w:rPr>
          <w:sz w:val="22"/>
        </w:rPr>
        <w:t>integral</w:t>
      </w:r>
      <w:r>
        <w:rPr>
          <w:spacing w:val="-7"/>
          <w:sz w:val="22"/>
        </w:rPr>
        <w:t> </w:t>
      </w:r>
      <w:r>
        <w:rPr>
          <w:sz w:val="22"/>
        </w:rPr>
        <w:t>de</w:t>
      </w:r>
      <w:r>
        <w:rPr>
          <w:spacing w:val="-7"/>
          <w:sz w:val="22"/>
        </w:rPr>
        <w:t> </w:t>
      </w:r>
      <w:r>
        <w:rPr>
          <w:sz w:val="22"/>
        </w:rPr>
        <w:t>la</w:t>
      </w:r>
      <w:r>
        <w:rPr>
          <w:spacing w:val="-6"/>
          <w:sz w:val="22"/>
        </w:rPr>
        <w:t> </w:t>
      </w:r>
      <w:r>
        <w:rPr>
          <w:sz w:val="22"/>
        </w:rPr>
        <w:t>información</w:t>
      </w:r>
      <w:r>
        <w:rPr>
          <w:spacing w:val="-7"/>
          <w:sz w:val="22"/>
        </w:rPr>
        <w:t> </w:t>
      </w:r>
      <w:r>
        <w:rPr>
          <w:sz w:val="22"/>
        </w:rPr>
        <w:t>que</w:t>
      </w:r>
      <w:r>
        <w:rPr>
          <w:spacing w:val="-6"/>
          <w:sz w:val="22"/>
        </w:rPr>
        <w:t> </w:t>
      </w:r>
      <w:r>
        <w:rPr>
          <w:sz w:val="22"/>
        </w:rPr>
        <w:t>cursa</w:t>
      </w:r>
      <w:r>
        <w:rPr>
          <w:spacing w:val="-6"/>
          <w:sz w:val="22"/>
        </w:rPr>
        <w:t> </w:t>
      </w:r>
      <w:r>
        <w:rPr>
          <w:sz w:val="22"/>
        </w:rPr>
        <w:t>en</w:t>
      </w:r>
      <w:r>
        <w:rPr>
          <w:spacing w:val="-7"/>
          <w:sz w:val="22"/>
        </w:rPr>
        <w:t> </w:t>
      </w:r>
      <w:r>
        <w:rPr>
          <w:sz w:val="22"/>
        </w:rPr>
        <w:t>el</w:t>
      </w:r>
      <w:r>
        <w:rPr>
          <w:spacing w:val="-7"/>
          <w:sz w:val="22"/>
        </w:rPr>
        <w:t> </w:t>
      </w:r>
      <w:r>
        <w:rPr>
          <w:sz w:val="22"/>
        </w:rPr>
        <w:t>expediente,</w:t>
      </w:r>
      <w:r>
        <w:rPr>
          <w:spacing w:val="-8"/>
          <w:sz w:val="22"/>
        </w:rPr>
        <w:t> </w:t>
      </w:r>
      <w:r>
        <w:rPr>
          <w:sz w:val="22"/>
        </w:rPr>
        <w:t>se</w:t>
      </w:r>
      <w:r>
        <w:rPr>
          <w:spacing w:val="-6"/>
          <w:sz w:val="22"/>
        </w:rPr>
        <w:t> </w:t>
      </w:r>
      <w:r>
        <w:rPr>
          <w:sz w:val="22"/>
        </w:rPr>
        <w:t>concluye</w:t>
      </w:r>
      <w:r>
        <w:rPr>
          <w:spacing w:val="-7"/>
          <w:sz w:val="22"/>
        </w:rPr>
        <w:t> </w:t>
      </w:r>
      <w:r>
        <w:rPr>
          <w:sz w:val="22"/>
        </w:rPr>
        <w:t>que las</w:t>
      </w:r>
      <w:r>
        <w:rPr>
          <w:spacing w:val="40"/>
          <w:sz w:val="22"/>
        </w:rPr>
        <w:t> </w:t>
      </w:r>
      <w:r>
        <w:rPr>
          <w:sz w:val="22"/>
        </w:rPr>
        <w:t>Resoluciones</w:t>
      </w:r>
      <w:r>
        <w:rPr>
          <w:spacing w:val="40"/>
          <w:sz w:val="22"/>
        </w:rPr>
        <w:t> </w:t>
      </w:r>
      <w:r>
        <w:rPr>
          <w:sz w:val="22"/>
        </w:rPr>
        <w:t>Nro.</w:t>
      </w:r>
      <w:r>
        <w:rPr>
          <w:spacing w:val="40"/>
          <w:sz w:val="22"/>
        </w:rPr>
        <w:t> </w:t>
      </w:r>
      <w:r>
        <w:rPr>
          <w:sz w:val="22"/>
        </w:rPr>
        <w:t>SENAE-SENAE-2026-0006-RE</w:t>
      </w:r>
      <w:r>
        <w:rPr>
          <w:spacing w:val="40"/>
          <w:sz w:val="22"/>
        </w:rPr>
        <w:t> </w:t>
      </w:r>
      <w:r>
        <w:rPr>
          <w:sz w:val="22"/>
        </w:rPr>
        <w:t>y</w:t>
      </w:r>
      <w:r>
        <w:rPr>
          <w:spacing w:val="40"/>
          <w:sz w:val="22"/>
        </w:rPr>
        <w:t> </w:t>
      </w:r>
      <w:r>
        <w:rPr>
          <w:sz w:val="22"/>
        </w:rPr>
        <w:t>Nro.</w:t>
      </w:r>
      <w:r>
        <w:rPr>
          <w:spacing w:val="40"/>
          <w:sz w:val="22"/>
        </w:rPr>
        <w:t> </w:t>
      </w:r>
      <w:r>
        <w:rPr>
          <w:sz w:val="22"/>
        </w:rPr>
        <w:t>SENAE-SENAE-2026-</w:t>
      </w:r>
    </w:p>
    <w:p>
      <w:pPr>
        <w:pStyle w:val="BodyText"/>
        <w:ind w:left="1134" w:right="982"/>
        <w:jc w:val="both"/>
      </w:pPr>
      <w:r>
        <w:rPr/>
        <w:t>0017-RE, han impuesto un recargo arancelario que incide directamente sobre las importaciones de mercancías procedentes u originarias de la República de Colombia, calculado como porcentaje del valor en aduana</w:t>
      </w:r>
      <w:r>
        <w:rPr>
          <w:spacing w:val="-1"/>
        </w:rPr>
        <w:t> </w:t>
      </w:r>
      <w:r>
        <w:rPr/>
        <w:t>y exigido de manera obligatoria dentro del procedimiento de importación.</w:t>
      </w:r>
    </w:p>
    <w:p>
      <w:pPr>
        <w:pStyle w:val="BodyText"/>
      </w:pPr>
    </w:p>
    <w:p>
      <w:pPr>
        <w:pStyle w:val="ListParagraph"/>
        <w:numPr>
          <w:ilvl w:val="0"/>
          <w:numId w:val="11"/>
        </w:numPr>
        <w:tabs>
          <w:tab w:pos="1130" w:val="left" w:leader="none"/>
          <w:tab w:pos="1134" w:val="left" w:leader="none"/>
        </w:tabs>
        <w:spacing w:line="240" w:lineRule="auto" w:before="1" w:after="0"/>
        <w:ind w:left="1134" w:right="977" w:hanging="567"/>
        <w:jc w:val="both"/>
        <w:rPr>
          <w:sz w:val="22"/>
        </w:rPr>
      </w:pPr>
      <w:r>
        <w:rPr>
          <w:sz w:val="22"/>
        </w:rPr>
        <w:t>Lo mismo sucede con</w:t>
      </w:r>
      <w:r>
        <w:rPr>
          <w:spacing w:val="-1"/>
          <w:sz w:val="22"/>
        </w:rPr>
        <w:t> </w:t>
      </w:r>
      <w:r>
        <w:rPr>
          <w:sz w:val="22"/>
        </w:rPr>
        <w:t>la</w:t>
      </w:r>
      <w:r>
        <w:rPr>
          <w:spacing w:val="-1"/>
          <w:sz w:val="22"/>
        </w:rPr>
        <w:t> </w:t>
      </w:r>
      <w:r>
        <w:rPr>
          <w:sz w:val="22"/>
        </w:rPr>
        <w:t>Resolución SENAE-SENAE-2026-0031-RE, la cual reproduce la</w:t>
      </w:r>
      <w:r>
        <w:rPr>
          <w:spacing w:val="-16"/>
          <w:sz w:val="22"/>
        </w:rPr>
        <w:t> </w:t>
      </w:r>
      <w:r>
        <w:rPr>
          <w:sz w:val="22"/>
        </w:rPr>
        <w:t>estructura</w:t>
      </w:r>
      <w:r>
        <w:rPr>
          <w:spacing w:val="-15"/>
          <w:sz w:val="22"/>
        </w:rPr>
        <w:t> </w:t>
      </w:r>
      <w:r>
        <w:rPr>
          <w:sz w:val="22"/>
        </w:rPr>
        <w:t>normativa</w:t>
      </w:r>
      <w:r>
        <w:rPr>
          <w:spacing w:val="-15"/>
          <w:sz w:val="22"/>
        </w:rPr>
        <w:t> </w:t>
      </w:r>
      <w:r>
        <w:rPr>
          <w:sz w:val="22"/>
        </w:rPr>
        <w:t>y</w:t>
      </w:r>
      <w:r>
        <w:rPr>
          <w:spacing w:val="-16"/>
          <w:sz w:val="22"/>
        </w:rPr>
        <w:t> </w:t>
      </w:r>
      <w:r>
        <w:rPr>
          <w:sz w:val="22"/>
        </w:rPr>
        <w:t>la</w:t>
      </w:r>
      <w:r>
        <w:rPr>
          <w:spacing w:val="-15"/>
          <w:sz w:val="22"/>
        </w:rPr>
        <w:t> </w:t>
      </w:r>
      <w:r>
        <w:rPr>
          <w:sz w:val="22"/>
        </w:rPr>
        <w:t>lógica</w:t>
      </w:r>
      <w:r>
        <w:rPr>
          <w:spacing w:val="-15"/>
          <w:sz w:val="22"/>
        </w:rPr>
        <w:t> </w:t>
      </w:r>
      <w:r>
        <w:rPr>
          <w:sz w:val="22"/>
        </w:rPr>
        <w:t>motivacional</w:t>
      </w:r>
      <w:r>
        <w:rPr>
          <w:spacing w:val="-15"/>
          <w:sz w:val="22"/>
        </w:rPr>
        <w:t> </w:t>
      </w:r>
      <w:r>
        <w:rPr>
          <w:sz w:val="22"/>
        </w:rPr>
        <w:t>de</w:t>
      </w:r>
      <w:r>
        <w:rPr>
          <w:spacing w:val="-16"/>
          <w:sz w:val="22"/>
        </w:rPr>
        <w:t> </w:t>
      </w:r>
      <w:r>
        <w:rPr>
          <w:sz w:val="22"/>
        </w:rPr>
        <w:t>las</w:t>
      </w:r>
      <w:r>
        <w:rPr>
          <w:spacing w:val="-15"/>
          <w:sz w:val="22"/>
        </w:rPr>
        <w:t> </w:t>
      </w:r>
      <w:r>
        <w:rPr>
          <w:sz w:val="22"/>
        </w:rPr>
        <w:t>resoluciones</w:t>
      </w:r>
      <w:r>
        <w:rPr>
          <w:spacing w:val="-15"/>
          <w:sz w:val="22"/>
        </w:rPr>
        <w:t> </w:t>
      </w:r>
      <w:r>
        <w:rPr>
          <w:sz w:val="22"/>
        </w:rPr>
        <w:t>previas,</w:t>
      </w:r>
      <w:r>
        <w:rPr>
          <w:spacing w:val="-16"/>
          <w:sz w:val="22"/>
        </w:rPr>
        <w:t> </w:t>
      </w:r>
      <w:r>
        <w:rPr>
          <w:sz w:val="22"/>
        </w:rPr>
        <w:t>e</w:t>
      </w:r>
      <w:r>
        <w:rPr>
          <w:spacing w:val="-15"/>
          <w:sz w:val="22"/>
        </w:rPr>
        <w:t> </w:t>
      </w:r>
      <w:r>
        <w:rPr>
          <w:sz w:val="22"/>
        </w:rPr>
        <w:t>incrementa del 50% al 100% la tarifa a aplicarse a los productos provenientes u originarios de la República de Colombia.</w:t>
      </w:r>
    </w:p>
    <w:p>
      <w:pPr>
        <w:pStyle w:val="ListParagraph"/>
        <w:numPr>
          <w:ilvl w:val="0"/>
          <w:numId w:val="11"/>
        </w:numPr>
        <w:tabs>
          <w:tab w:pos="1130" w:val="left" w:leader="none"/>
          <w:tab w:pos="1134" w:val="left" w:leader="none"/>
        </w:tabs>
        <w:spacing w:line="240" w:lineRule="auto" w:before="252" w:after="0"/>
        <w:ind w:left="1134" w:right="977" w:hanging="567"/>
        <w:jc w:val="both"/>
        <w:rPr>
          <w:sz w:val="22"/>
        </w:rPr>
      </w:pPr>
      <w:r>
        <w:rPr>
          <w:sz w:val="22"/>
        </w:rPr>
        <w:t>La República del Ecuador no ha acreditado que dicho recargo arancelario cubra un servicio</w:t>
      </w:r>
      <w:r>
        <w:rPr>
          <w:spacing w:val="-16"/>
          <w:sz w:val="22"/>
        </w:rPr>
        <w:t> </w:t>
      </w:r>
      <w:r>
        <w:rPr>
          <w:sz w:val="22"/>
        </w:rPr>
        <w:t>efectivamente</w:t>
      </w:r>
      <w:r>
        <w:rPr>
          <w:spacing w:val="-15"/>
          <w:sz w:val="22"/>
        </w:rPr>
        <w:t> </w:t>
      </w:r>
      <w:r>
        <w:rPr>
          <w:sz w:val="22"/>
        </w:rPr>
        <w:t>prestado</w:t>
      </w:r>
      <w:r>
        <w:rPr>
          <w:spacing w:val="-15"/>
          <w:sz w:val="22"/>
        </w:rPr>
        <w:t> </w:t>
      </w:r>
      <w:r>
        <w:rPr>
          <w:sz w:val="22"/>
        </w:rPr>
        <w:t>al</w:t>
      </w:r>
      <w:r>
        <w:rPr>
          <w:spacing w:val="-16"/>
          <w:sz w:val="22"/>
        </w:rPr>
        <w:t> </w:t>
      </w:r>
      <w:r>
        <w:rPr>
          <w:sz w:val="22"/>
        </w:rPr>
        <w:t>importador</w:t>
      </w:r>
      <w:r>
        <w:rPr>
          <w:spacing w:val="-15"/>
          <w:sz w:val="22"/>
        </w:rPr>
        <w:t> </w:t>
      </w:r>
      <w:r>
        <w:rPr>
          <w:sz w:val="22"/>
        </w:rPr>
        <w:t>en</w:t>
      </w:r>
      <w:r>
        <w:rPr>
          <w:spacing w:val="-15"/>
          <w:sz w:val="22"/>
        </w:rPr>
        <w:t> </w:t>
      </w:r>
      <w:r>
        <w:rPr>
          <w:sz w:val="22"/>
        </w:rPr>
        <w:t>el</w:t>
      </w:r>
      <w:r>
        <w:rPr>
          <w:spacing w:val="-15"/>
          <w:sz w:val="22"/>
        </w:rPr>
        <w:t> </w:t>
      </w:r>
      <w:r>
        <w:rPr>
          <w:sz w:val="22"/>
        </w:rPr>
        <w:t>sentido</w:t>
      </w:r>
      <w:r>
        <w:rPr>
          <w:spacing w:val="-16"/>
          <w:sz w:val="22"/>
        </w:rPr>
        <w:t> </w:t>
      </w:r>
      <w:r>
        <w:rPr>
          <w:sz w:val="22"/>
        </w:rPr>
        <w:t>estricto</w:t>
      </w:r>
      <w:r>
        <w:rPr>
          <w:spacing w:val="-15"/>
          <w:sz w:val="22"/>
        </w:rPr>
        <w:t> </w:t>
      </w:r>
      <w:r>
        <w:rPr>
          <w:sz w:val="22"/>
        </w:rPr>
        <w:t>exigido</w:t>
      </w:r>
      <w:r>
        <w:rPr>
          <w:spacing w:val="-15"/>
          <w:sz w:val="22"/>
        </w:rPr>
        <w:t> </w:t>
      </w:r>
      <w:r>
        <w:rPr>
          <w:sz w:val="22"/>
        </w:rPr>
        <w:t>por</w:t>
      </w:r>
      <w:r>
        <w:rPr>
          <w:spacing w:val="-16"/>
          <w:sz w:val="22"/>
        </w:rPr>
        <w:t> </w:t>
      </w:r>
      <w:r>
        <w:rPr>
          <w:sz w:val="22"/>
        </w:rPr>
        <w:t>el</w:t>
      </w:r>
      <w:r>
        <w:rPr>
          <w:spacing w:val="-15"/>
          <w:sz w:val="22"/>
        </w:rPr>
        <w:t> </w:t>
      </w:r>
      <w:r>
        <w:rPr>
          <w:sz w:val="22"/>
        </w:rPr>
        <w:t>artículo</w:t>
      </w:r>
    </w:p>
    <w:p>
      <w:pPr>
        <w:pStyle w:val="BodyText"/>
        <w:spacing w:before="1"/>
        <w:ind w:left="1134" w:right="980"/>
        <w:jc w:val="both"/>
      </w:pPr>
      <w:r>
        <w:rPr/>
        <w:t>73 del Acuerdo de Cartagena, pues las actividades identificadas en el expediente corresponden a funciones generales de control, seguridad, fiscalización, inteligencia y fortalecimiento institucional propias de la potestad aduanera del Estado.</w:t>
      </w:r>
    </w:p>
    <w:p>
      <w:pPr>
        <w:pStyle w:val="ListParagraph"/>
        <w:numPr>
          <w:ilvl w:val="0"/>
          <w:numId w:val="11"/>
        </w:numPr>
        <w:tabs>
          <w:tab w:pos="1130" w:val="left" w:leader="none"/>
          <w:tab w:pos="1134" w:val="left" w:leader="none"/>
        </w:tabs>
        <w:spacing w:line="240" w:lineRule="auto" w:before="252" w:after="0"/>
        <w:ind w:left="1134" w:right="981" w:hanging="567"/>
        <w:jc w:val="both"/>
        <w:rPr>
          <w:sz w:val="22"/>
        </w:rPr>
      </w:pPr>
      <w:r>
        <w:rPr>
          <w:sz w:val="22"/>
        </w:rPr>
        <w:t>Tampoco</w:t>
      </w:r>
      <w:r>
        <w:rPr>
          <w:spacing w:val="-2"/>
          <w:sz w:val="22"/>
        </w:rPr>
        <w:t> </w:t>
      </w:r>
      <w:r>
        <w:rPr>
          <w:sz w:val="22"/>
        </w:rPr>
        <w:t>se ha</w:t>
      </w:r>
      <w:r>
        <w:rPr>
          <w:spacing w:val="-1"/>
          <w:sz w:val="22"/>
        </w:rPr>
        <w:t> </w:t>
      </w:r>
      <w:r>
        <w:rPr>
          <w:sz w:val="22"/>
        </w:rPr>
        <w:t>acreditado en el</w:t>
      </w:r>
      <w:r>
        <w:rPr>
          <w:spacing w:val="-3"/>
          <w:sz w:val="22"/>
        </w:rPr>
        <w:t> </w:t>
      </w:r>
      <w:r>
        <w:rPr>
          <w:sz w:val="22"/>
        </w:rPr>
        <w:t>presente</w:t>
      </w:r>
      <w:r>
        <w:rPr>
          <w:spacing w:val="-2"/>
          <w:sz w:val="22"/>
        </w:rPr>
        <w:t> </w:t>
      </w:r>
      <w:r>
        <w:rPr>
          <w:sz w:val="22"/>
        </w:rPr>
        <w:t>caso que la tarifa</w:t>
      </w:r>
      <w:r>
        <w:rPr>
          <w:spacing w:val="-2"/>
          <w:sz w:val="22"/>
        </w:rPr>
        <w:t> </w:t>
      </w:r>
      <w:r>
        <w:rPr>
          <w:sz w:val="22"/>
        </w:rPr>
        <w:t>del 30% y, posteriormente, del 50%, corresponda al costo aproximado de un servicio materialmente</w:t>
      </w:r>
      <w:r>
        <w:rPr>
          <w:spacing w:val="-1"/>
          <w:sz w:val="22"/>
        </w:rPr>
        <w:t> </w:t>
      </w:r>
      <w:r>
        <w:rPr>
          <w:sz w:val="22"/>
        </w:rPr>
        <w:t>divisible, toda vez que</w:t>
      </w:r>
      <w:r>
        <w:rPr>
          <w:spacing w:val="-2"/>
          <w:sz w:val="22"/>
        </w:rPr>
        <w:t> </w:t>
      </w:r>
      <w:r>
        <w:rPr>
          <w:sz w:val="22"/>
        </w:rPr>
        <w:t>la</w:t>
      </w:r>
      <w:r>
        <w:rPr>
          <w:spacing w:val="-4"/>
          <w:sz w:val="22"/>
        </w:rPr>
        <w:t> </w:t>
      </w:r>
      <w:r>
        <w:rPr>
          <w:sz w:val="22"/>
        </w:rPr>
        <w:t>metodología</w:t>
      </w:r>
      <w:r>
        <w:rPr>
          <w:spacing w:val="-2"/>
          <w:sz w:val="22"/>
        </w:rPr>
        <w:t> </w:t>
      </w:r>
      <w:r>
        <w:rPr>
          <w:sz w:val="22"/>
        </w:rPr>
        <w:t>seguida por</w:t>
      </w:r>
      <w:r>
        <w:rPr>
          <w:spacing w:val="-1"/>
          <w:sz w:val="22"/>
        </w:rPr>
        <w:t> </w:t>
      </w:r>
      <w:r>
        <w:rPr>
          <w:sz w:val="22"/>
        </w:rPr>
        <w:t>la</w:t>
      </w:r>
      <w:r>
        <w:rPr>
          <w:spacing w:val="-2"/>
          <w:sz w:val="22"/>
        </w:rPr>
        <w:t> </w:t>
      </w:r>
      <w:r>
        <w:rPr>
          <w:sz w:val="22"/>
        </w:rPr>
        <w:t>República</w:t>
      </w:r>
      <w:r>
        <w:rPr>
          <w:spacing w:val="-2"/>
          <w:sz w:val="22"/>
        </w:rPr>
        <w:t> </w:t>
      </w:r>
      <w:r>
        <w:rPr>
          <w:sz w:val="22"/>
        </w:rPr>
        <w:t>del Ecuador</w:t>
      </w:r>
      <w:r>
        <w:rPr>
          <w:spacing w:val="-1"/>
          <w:sz w:val="22"/>
        </w:rPr>
        <w:t> </w:t>
      </w:r>
      <w:r>
        <w:rPr>
          <w:sz w:val="22"/>
        </w:rPr>
        <w:t>parte</w:t>
      </w:r>
      <w:r>
        <w:rPr>
          <w:spacing w:val="-2"/>
          <w:sz w:val="22"/>
        </w:rPr>
        <w:t> </w:t>
      </w:r>
      <w:r>
        <w:rPr>
          <w:sz w:val="22"/>
        </w:rPr>
        <w:t>de</w:t>
      </w:r>
      <w:r>
        <w:rPr>
          <w:spacing w:val="-2"/>
          <w:sz w:val="22"/>
        </w:rPr>
        <w:t> </w:t>
      </w:r>
      <w:r>
        <w:rPr>
          <w:sz w:val="22"/>
        </w:rPr>
        <w:t>una</w:t>
      </w:r>
      <w:r>
        <w:rPr>
          <w:spacing w:val="-2"/>
          <w:sz w:val="22"/>
        </w:rPr>
        <w:t> </w:t>
      </w:r>
      <w:r>
        <w:rPr>
          <w:sz w:val="22"/>
        </w:rPr>
        <w:t>meta</w:t>
      </w:r>
      <w:r>
        <w:rPr>
          <w:spacing w:val="-1"/>
          <w:sz w:val="22"/>
        </w:rPr>
        <w:t> </w:t>
      </w:r>
      <w:r>
        <w:rPr>
          <w:sz w:val="22"/>
        </w:rPr>
        <w:t>global de</w:t>
      </w:r>
      <w:r>
        <w:rPr>
          <w:spacing w:val="-2"/>
          <w:sz w:val="22"/>
        </w:rPr>
        <w:t> </w:t>
      </w:r>
      <w:r>
        <w:rPr>
          <w:sz w:val="22"/>
        </w:rPr>
        <w:t>recaudación</w:t>
      </w:r>
      <w:r>
        <w:rPr>
          <w:spacing w:val="-2"/>
          <w:sz w:val="22"/>
        </w:rPr>
        <w:t> </w:t>
      </w:r>
      <w:r>
        <w:rPr>
          <w:sz w:val="22"/>
        </w:rPr>
        <w:t>y</w:t>
      </w:r>
      <w:r>
        <w:rPr>
          <w:spacing w:val="-4"/>
          <w:sz w:val="22"/>
        </w:rPr>
        <w:t> </w:t>
      </w:r>
      <w:r>
        <w:rPr>
          <w:sz w:val="22"/>
        </w:rPr>
        <w:t>de</w:t>
      </w:r>
      <w:r>
        <w:rPr>
          <w:spacing w:val="-2"/>
          <w:sz w:val="22"/>
        </w:rPr>
        <w:t> </w:t>
      </w:r>
      <w:r>
        <w:rPr>
          <w:sz w:val="22"/>
        </w:rPr>
        <w:t>una</w:t>
      </w:r>
      <w:r>
        <w:rPr>
          <w:spacing w:val="-4"/>
          <w:sz w:val="22"/>
        </w:rPr>
        <w:t> </w:t>
      </w:r>
      <w:r>
        <w:rPr>
          <w:sz w:val="22"/>
        </w:rPr>
        <w:t>estructura</w:t>
      </w:r>
      <w:r>
        <w:rPr>
          <w:spacing w:val="-2"/>
          <w:sz w:val="22"/>
        </w:rPr>
        <w:t> </w:t>
      </w:r>
      <w:r>
        <w:rPr>
          <w:sz w:val="22"/>
        </w:rPr>
        <w:t>amplia</w:t>
      </w:r>
      <w:r>
        <w:rPr>
          <w:spacing w:val="-2"/>
          <w:sz w:val="22"/>
        </w:rPr>
        <w:t> </w:t>
      </w:r>
      <w:r>
        <w:rPr>
          <w:sz w:val="22"/>
        </w:rPr>
        <w:t>de</w:t>
      </w:r>
      <w:r>
        <w:rPr>
          <w:spacing w:val="-2"/>
          <w:sz w:val="22"/>
        </w:rPr>
        <w:t> </w:t>
      </w:r>
      <w:r>
        <w:rPr>
          <w:sz w:val="22"/>
        </w:rPr>
        <w:t>costos</w:t>
      </w:r>
      <w:r>
        <w:rPr>
          <w:spacing w:val="-2"/>
          <w:sz w:val="22"/>
        </w:rPr>
        <w:t> </w:t>
      </w:r>
      <w:r>
        <w:rPr>
          <w:sz w:val="22"/>
        </w:rPr>
        <w:t>e</w:t>
      </w:r>
      <w:r>
        <w:rPr>
          <w:spacing w:val="-4"/>
          <w:sz w:val="22"/>
        </w:rPr>
        <w:t> </w:t>
      </w:r>
      <w:r>
        <w:rPr>
          <w:sz w:val="22"/>
        </w:rPr>
        <w:t>inversiones</w:t>
      </w:r>
      <w:r>
        <w:rPr>
          <w:spacing w:val="-2"/>
          <w:sz w:val="22"/>
        </w:rPr>
        <w:t> </w:t>
      </w:r>
      <w:r>
        <w:rPr>
          <w:sz w:val="22"/>
        </w:rPr>
        <w:t>institucionales,</w:t>
      </w:r>
      <w:r>
        <w:rPr>
          <w:spacing w:val="-1"/>
          <w:sz w:val="22"/>
        </w:rPr>
        <w:t> </w:t>
      </w:r>
      <w:r>
        <w:rPr>
          <w:sz w:val="22"/>
        </w:rPr>
        <w:t>y</w:t>
      </w:r>
      <w:r>
        <w:rPr>
          <w:spacing w:val="-2"/>
          <w:sz w:val="22"/>
        </w:rPr>
        <w:t> </w:t>
      </w:r>
      <w:r>
        <w:rPr>
          <w:sz w:val="22"/>
        </w:rPr>
        <w:t>no del costo razonable de prestaciones específicas al importador.</w:t>
      </w:r>
    </w:p>
    <w:p>
      <w:pPr>
        <w:pStyle w:val="BodyText"/>
        <w:spacing w:before="1"/>
      </w:pPr>
    </w:p>
    <w:p>
      <w:pPr>
        <w:pStyle w:val="ListParagraph"/>
        <w:numPr>
          <w:ilvl w:val="0"/>
          <w:numId w:val="11"/>
        </w:numPr>
        <w:tabs>
          <w:tab w:pos="1130" w:val="left" w:leader="none"/>
          <w:tab w:pos="1134" w:val="left" w:leader="none"/>
        </w:tabs>
        <w:spacing w:line="240" w:lineRule="auto" w:before="0" w:after="0"/>
        <w:ind w:left="1134" w:right="979" w:hanging="567"/>
        <w:jc w:val="both"/>
        <w:rPr>
          <w:sz w:val="22"/>
        </w:rPr>
      </w:pPr>
      <w:r>
        <w:rPr>
          <w:sz w:val="22"/>
        </w:rPr>
        <w:t>La estructura </w:t>
      </w:r>
      <w:r>
        <w:rPr>
          <w:rFonts w:ascii="Arial" w:hAnsi="Arial"/>
          <w:i/>
          <w:sz w:val="22"/>
        </w:rPr>
        <w:t>ad valorem, </w:t>
      </w:r>
      <w:r>
        <w:rPr>
          <w:sz w:val="22"/>
        </w:rPr>
        <w:t>la selectividad por país de origen, la finalidad declarada de responder a riesgos asociados a la República de Colombia y los efectos económicos demostrados en el expediente y verificadas </w:t>
      </w:r>
      <w:r>
        <w:rPr>
          <w:rFonts w:ascii="Arial" w:hAnsi="Arial"/>
          <w:i/>
          <w:sz w:val="22"/>
        </w:rPr>
        <w:t>in situ </w:t>
      </w:r>
      <w:r>
        <w:rPr>
          <w:sz w:val="22"/>
        </w:rPr>
        <w:t>por la SGCAN, constituyen conjuntamente, elementos suficientes para calificar la medida como un gravamen.</w:t>
      </w:r>
    </w:p>
    <w:p>
      <w:pPr>
        <w:pStyle w:val="BodyText"/>
      </w:pPr>
    </w:p>
    <w:p>
      <w:pPr>
        <w:pStyle w:val="Heading5"/>
        <w:ind w:left="146"/>
        <w:jc w:val="center"/>
      </w:pPr>
      <w:r>
        <w:rPr>
          <w:spacing w:val="-2"/>
        </w:rPr>
        <w:t>RESUELVE:</w:t>
      </w:r>
    </w:p>
    <w:p>
      <w:pPr>
        <w:pStyle w:val="BodyText"/>
        <w:spacing w:before="252"/>
        <w:ind w:left="568" w:right="955" w:firstLine="283"/>
      </w:pPr>
      <w:r>
        <w:rPr>
          <w:rFonts w:ascii="Arial" w:hAnsi="Arial"/>
          <w:b/>
        </w:rPr>
        <w:t>Artículo 1.- </w:t>
      </w:r>
      <w:r>
        <w:rPr/>
        <w:t>Calificar, de</w:t>
      </w:r>
      <w:r>
        <w:rPr>
          <w:spacing w:val="-2"/>
        </w:rPr>
        <w:t> </w:t>
      </w:r>
      <w:r>
        <w:rPr/>
        <w:t>conformidad con el</w:t>
      </w:r>
      <w:r>
        <w:rPr>
          <w:spacing w:val="-1"/>
        </w:rPr>
        <w:t> </w:t>
      </w:r>
      <w:r>
        <w:rPr/>
        <w:t>artículo 73 del Acuerdo de Cartagena, que la medida</w:t>
      </w:r>
      <w:r>
        <w:rPr>
          <w:spacing w:val="16"/>
        </w:rPr>
        <w:t> </w:t>
      </w:r>
      <w:r>
        <w:rPr/>
        <w:t>denominada</w:t>
      </w:r>
      <w:r>
        <w:rPr>
          <w:spacing w:val="19"/>
        </w:rPr>
        <w:t> </w:t>
      </w:r>
      <w:r>
        <w:rPr/>
        <w:t>“tasa</w:t>
      </w:r>
      <w:r>
        <w:rPr>
          <w:spacing w:val="20"/>
        </w:rPr>
        <w:t> </w:t>
      </w:r>
      <w:r>
        <w:rPr/>
        <w:t>de</w:t>
      </w:r>
      <w:r>
        <w:rPr>
          <w:spacing w:val="19"/>
        </w:rPr>
        <w:t> </w:t>
      </w:r>
      <w:r>
        <w:rPr/>
        <w:t>servicio</w:t>
      </w:r>
      <w:r>
        <w:rPr>
          <w:spacing w:val="20"/>
        </w:rPr>
        <w:t> </w:t>
      </w:r>
      <w:r>
        <w:rPr/>
        <w:t>de</w:t>
      </w:r>
      <w:r>
        <w:rPr>
          <w:spacing w:val="17"/>
        </w:rPr>
        <w:t> </w:t>
      </w:r>
      <w:r>
        <w:rPr/>
        <w:t>control</w:t>
      </w:r>
      <w:r>
        <w:rPr>
          <w:spacing w:val="19"/>
        </w:rPr>
        <w:t> </w:t>
      </w:r>
      <w:r>
        <w:rPr/>
        <w:t>aduanero”,</w:t>
      </w:r>
      <w:r>
        <w:rPr>
          <w:spacing w:val="20"/>
        </w:rPr>
        <w:t> </w:t>
      </w:r>
      <w:r>
        <w:rPr/>
        <w:t>adoptada</w:t>
      </w:r>
      <w:r>
        <w:rPr>
          <w:spacing w:val="20"/>
        </w:rPr>
        <w:t> </w:t>
      </w:r>
      <w:r>
        <w:rPr/>
        <w:t>originalmente</w:t>
      </w:r>
      <w:r>
        <w:rPr>
          <w:spacing w:val="20"/>
        </w:rPr>
        <w:t> </w:t>
      </w:r>
      <w:r>
        <w:rPr/>
        <w:t>por</w:t>
      </w:r>
      <w:r>
        <w:rPr>
          <w:spacing w:val="21"/>
        </w:rPr>
        <w:t> </w:t>
      </w:r>
      <w:r>
        <w:rPr>
          <w:spacing w:val="-5"/>
        </w:rPr>
        <w:t>la</w:t>
      </w:r>
    </w:p>
    <w:p>
      <w:pPr>
        <w:pStyle w:val="BodyText"/>
        <w:spacing w:after="0"/>
        <w:sectPr>
          <w:pgSz w:w="11900" w:h="16850"/>
          <w:pgMar w:header="370" w:footer="651" w:top="1380" w:bottom="840" w:left="992" w:right="283"/>
        </w:sectPr>
      </w:pPr>
    </w:p>
    <w:p>
      <w:pPr>
        <w:pStyle w:val="BodyText"/>
        <w:spacing w:before="176"/>
      </w:pPr>
    </w:p>
    <w:p>
      <w:pPr>
        <w:pStyle w:val="BodyText"/>
        <w:ind w:left="568" w:right="976"/>
        <w:jc w:val="both"/>
      </w:pPr>
      <w:r>
        <w:rPr/>
        <w:t>República del Ecuador mediante la Resolución Nro. SENAE-SENAE-2026-0006-RE, posteriormente actualizada mediante la Resolución Nro. SENAE-SENAE-2026-0017-RE y actualmente regulada por la Resolución Nro. SENAE-SENAE-2026-0031-RE —que elevó la tarifa al 100%—, constituye un gravamen aplicable a la importación de productos que provengan</w:t>
      </w:r>
      <w:r>
        <w:rPr>
          <w:spacing w:val="-16"/>
        </w:rPr>
        <w:t> </w:t>
      </w:r>
      <w:r>
        <w:rPr/>
        <w:t>o</w:t>
      </w:r>
      <w:r>
        <w:rPr>
          <w:spacing w:val="-15"/>
        </w:rPr>
        <w:t> </w:t>
      </w:r>
      <w:r>
        <w:rPr/>
        <w:t>sean</w:t>
      </w:r>
      <w:r>
        <w:rPr>
          <w:spacing w:val="-15"/>
        </w:rPr>
        <w:t> </w:t>
      </w:r>
      <w:r>
        <w:rPr/>
        <w:t>originarios</w:t>
      </w:r>
      <w:r>
        <w:rPr>
          <w:spacing w:val="-16"/>
        </w:rPr>
        <w:t> </w:t>
      </w:r>
      <w:r>
        <w:rPr/>
        <w:t>de</w:t>
      </w:r>
      <w:r>
        <w:rPr>
          <w:spacing w:val="-15"/>
        </w:rPr>
        <w:t> </w:t>
      </w:r>
      <w:r>
        <w:rPr/>
        <w:t>la</w:t>
      </w:r>
      <w:r>
        <w:rPr>
          <w:spacing w:val="-15"/>
        </w:rPr>
        <w:t> </w:t>
      </w:r>
      <w:r>
        <w:rPr/>
        <w:t>República</w:t>
      </w:r>
      <w:r>
        <w:rPr>
          <w:spacing w:val="-15"/>
        </w:rPr>
        <w:t> </w:t>
      </w:r>
      <w:r>
        <w:rPr/>
        <w:t>de</w:t>
      </w:r>
      <w:r>
        <w:rPr>
          <w:spacing w:val="-16"/>
        </w:rPr>
        <w:t> </w:t>
      </w:r>
      <w:r>
        <w:rPr/>
        <w:t>Colombia;</w:t>
      </w:r>
      <w:r>
        <w:rPr>
          <w:spacing w:val="-15"/>
        </w:rPr>
        <w:t> </w:t>
      </w:r>
      <w:r>
        <w:rPr/>
        <w:t>y,</w:t>
      </w:r>
      <w:r>
        <w:rPr>
          <w:spacing w:val="-15"/>
        </w:rPr>
        <w:t> </w:t>
      </w:r>
      <w:r>
        <w:rPr/>
        <w:t>por</w:t>
      </w:r>
      <w:r>
        <w:rPr>
          <w:spacing w:val="-16"/>
        </w:rPr>
        <w:t> </w:t>
      </w:r>
      <w:r>
        <w:rPr/>
        <w:t>lo</w:t>
      </w:r>
      <w:r>
        <w:rPr>
          <w:spacing w:val="-15"/>
        </w:rPr>
        <w:t> </w:t>
      </w:r>
      <w:r>
        <w:rPr/>
        <w:t>tanto,</w:t>
      </w:r>
      <w:r>
        <w:rPr>
          <w:spacing w:val="-15"/>
        </w:rPr>
        <w:t> </w:t>
      </w:r>
      <w:r>
        <w:rPr/>
        <w:t>vulnera</w:t>
      </w:r>
      <w:r>
        <w:rPr>
          <w:spacing w:val="-15"/>
        </w:rPr>
        <w:t> </w:t>
      </w:r>
      <w:r>
        <w:rPr/>
        <w:t>el</w:t>
      </w:r>
      <w:r>
        <w:rPr>
          <w:spacing w:val="-16"/>
        </w:rPr>
        <w:t> </w:t>
      </w:r>
      <w:r>
        <w:rPr/>
        <w:t>Programa de Liberación de la Comunidad Andina consagrado en el Acuerdo de Cartagena.</w:t>
      </w:r>
    </w:p>
    <w:p>
      <w:pPr>
        <w:pStyle w:val="BodyText"/>
        <w:spacing w:before="210"/>
        <w:ind w:left="568" w:right="977" w:firstLine="283"/>
        <w:jc w:val="both"/>
      </w:pPr>
      <w:r>
        <w:rPr>
          <w:rFonts w:ascii="Arial" w:hAnsi="Arial"/>
          <w:b/>
        </w:rPr>
        <w:t>Artículo</w:t>
      </w:r>
      <w:r>
        <w:rPr>
          <w:rFonts w:ascii="Arial" w:hAnsi="Arial"/>
          <w:b/>
          <w:spacing w:val="-9"/>
        </w:rPr>
        <w:t> </w:t>
      </w:r>
      <w:r>
        <w:rPr>
          <w:rFonts w:ascii="Arial" w:hAnsi="Arial"/>
          <w:b/>
        </w:rPr>
        <w:t>2.-</w:t>
      </w:r>
      <w:r>
        <w:rPr>
          <w:rFonts w:ascii="Arial" w:hAnsi="Arial"/>
          <w:b/>
          <w:spacing w:val="-10"/>
        </w:rPr>
        <w:t> </w:t>
      </w:r>
      <w:r>
        <w:rPr/>
        <w:t>De</w:t>
      </w:r>
      <w:r>
        <w:rPr>
          <w:spacing w:val="-9"/>
        </w:rPr>
        <w:t> </w:t>
      </w:r>
      <w:r>
        <w:rPr/>
        <w:t>conformidad</w:t>
      </w:r>
      <w:r>
        <w:rPr>
          <w:spacing w:val="-9"/>
        </w:rPr>
        <w:t> </w:t>
      </w:r>
      <w:r>
        <w:rPr/>
        <w:t>con</w:t>
      </w:r>
      <w:r>
        <w:rPr>
          <w:spacing w:val="-9"/>
        </w:rPr>
        <w:t> </w:t>
      </w:r>
      <w:r>
        <w:rPr/>
        <w:t>el</w:t>
      </w:r>
      <w:r>
        <w:rPr>
          <w:spacing w:val="-10"/>
        </w:rPr>
        <w:t> </w:t>
      </w:r>
      <w:r>
        <w:rPr/>
        <w:t>literal</w:t>
      </w:r>
      <w:r>
        <w:rPr>
          <w:spacing w:val="-10"/>
        </w:rPr>
        <w:t> </w:t>
      </w:r>
      <w:r>
        <w:rPr/>
        <w:t>e)</w:t>
      </w:r>
      <w:r>
        <w:rPr>
          <w:spacing w:val="-10"/>
        </w:rPr>
        <w:t> </w:t>
      </w:r>
      <w:r>
        <w:rPr/>
        <w:t>del</w:t>
      </w:r>
      <w:r>
        <w:rPr>
          <w:spacing w:val="-10"/>
        </w:rPr>
        <w:t> </w:t>
      </w:r>
      <w:r>
        <w:rPr/>
        <w:t>artículo</w:t>
      </w:r>
      <w:r>
        <w:rPr>
          <w:spacing w:val="-9"/>
        </w:rPr>
        <w:t> </w:t>
      </w:r>
      <w:r>
        <w:rPr/>
        <w:t>55</w:t>
      </w:r>
      <w:r>
        <w:rPr>
          <w:spacing w:val="-12"/>
        </w:rPr>
        <w:t> </w:t>
      </w:r>
      <w:r>
        <w:rPr/>
        <w:t>de</w:t>
      </w:r>
      <w:r>
        <w:rPr>
          <w:spacing w:val="-9"/>
        </w:rPr>
        <w:t> </w:t>
      </w:r>
      <w:r>
        <w:rPr/>
        <w:t>la</w:t>
      </w:r>
      <w:r>
        <w:rPr>
          <w:spacing w:val="-11"/>
        </w:rPr>
        <w:t> </w:t>
      </w:r>
      <w:r>
        <w:rPr/>
        <w:t>Decisión</w:t>
      </w:r>
      <w:r>
        <w:rPr>
          <w:spacing w:val="-9"/>
        </w:rPr>
        <w:t> </w:t>
      </w:r>
      <w:r>
        <w:rPr/>
        <w:t>425,</w:t>
      </w:r>
      <w:r>
        <w:rPr>
          <w:spacing w:val="-7"/>
        </w:rPr>
        <w:t> </w:t>
      </w:r>
      <w:r>
        <w:rPr/>
        <w:t>la</w:t>
      </w:r>
      <w:r>
        <w:rPr>
          <w:spacing w:val="-9"/>
        </w:rPr>
        <w:t> </w:t>
      </w:r>
      <w:r>
        <w:rPr/>
        <w:t>República del Ecuador deberá retirar el gravamen establecido mediante Resolución Nro. SENAE-SENAE-2026-0031-RE, en un plazo máximo de diez (10) días hábiles contados a partir del día</w:t>
      </w:r>
      <w:r>
        <w:rPr>
          <w:spacing w:val="-1"/>
        </w:rPr>
        <w:t> </w:t>
      </w:r>
      <w:r>
        <w:rPr/>
        <w:t>siguiente</w:t>
      </w:r>
      <w:r>
        <w:rPr>
          <w:spacing w:val="-4"/>
        </w:rPr>
        <w:t> </w:t>
      </w:r>
      <w:r>
        <w:rPr/>
        <w:t>de</w:t>
      </w:r>
      <w:r>
        <w:rPr>
          <w:spacing w:val="-2"/>
        </w:rPr>
        <w:t> </w:t>
      </w:r>
      <w:r>
        <w:rPr/>
        <w:t>la</w:t>
      </w:r>
      <w:r>
        <w:rPr>
          <w:spacing w:val="-4"/>
        </w:rPr>
        <w:t> </w:t>
      </w:r>
      <w:r>
        <w:rPr/>
        <w:t>publicación</w:t>
      </w:r>
      <w:r>
        <w:rPr>
          <w:spacing w:val="-2"/>
        </w:rPr>
        <w:t> </w:t>
      </w:r>
      <w:r>
        <w:rPr/>
        <w:t>de</w:t>
      </w:r>
      <w:r>
        <w:rPr>
          <w:spacing w:val="-2"/>
        </w:rPr>
        <w:t> </w:t>
      </w:r>
      <w:r>
        <w:rPr/>
        <w:t>la</w:t>
      </w:r>
      <w:r>
        <w:rPr>
          <w:spacing w:val="-2"/>
        </w:rPr>
        <w:t> </w:t>
      </w:r>
      <w:r>
        <w:rPr/>
        <w:t>presente Resolución</w:t>
      </w:r>
      <w:r>
        <w:rPr>
          <w:spacing w:val="-2"/>
        </w:rPr>
        <w:t> </w:t>
      </w:r>
      <w:r>
        <w:rPr/>
        <w:t>en</w:t>
      </w:r>
      <w:r>
        <w:rPr>
          <w:spacing w:val="-2"/>
        </w:rPr>
        <w:t> </w:t>
      </w:r>
      <w:r>
        <w:rPr/>
        <w:t>la</w:t>
      </w:r>
      <w:r>
        <w:rPr>
          <w:spacing w:val="-4"/>
        </w:rPr>
        <w:t> </w:t>
      </w:r>
      <w:r>
        <w:rPr/>
        <w:t>Gaceta</w:t>
      </w:r>
      <w:r>
        <w:rPr>
          <w:spacing w:val="-6"/>
        </w:rPr>
        <w:t> </w:t>
      </w:r>
      <w:r>
        <w:rPr/>
        <w:t>Oficial</w:t>
      </w:r>
      <w:r>
        <w:rPr>
          <w:spacing w:val="-3"/>
        </w:rPr>
        <w:t> </w:t>
      </w:r>
      <w:r>
        <w:rPr/>
        <w:t>del</w:t>
      </w:r>
      <w:r>
        <w:rPr>
          <w:spacing w:val="-2"/>
        </w:rPr>
        <w:t> </w:t>
      </w:r>
      <w:r>
        <w:rPr/>
        <w:t>Acuerdo</w:t>
      </w:r>
      <w:r>
        <w:rPr>
          <w:spacing w:val="-2"/>
        </w:rPr>
        <w:t> </w:t>
      </w:r>
      <w:r>
        <w:rPr/>
        <w:t>de Cartagena, debiendo informar del cumplimiento del presente artículo en el referido plazo.</w:t>
      </w:r>
    </w:p>
    <w:p>
      <w:pPr>
        <w:pStyle w:val="BodyText"/>
        <w:spacing w:before="2"/>
      </w:pPr>
    </w:p>
    <w:p>
      <w:pPr>
        <w:pStyle w:val="BodyText"/>
        <w:ind w:left="568" w:right="979" w:firstLine="283"/>
        <w:jc w:val="both"/>
      </w:pPr>
      <w:r>
        <w:rPr/>
        <w:t>Comuníquese a los Países Miembros la presente Resolución, la cual entrará en vigencia al siguiente día de su publicación en la Gaceta Oficial del Acuerdo de Cartagena.</w:t>
      </w:r>
    </w:p>
    <w:p>
      <w:pPr>
        <w:pStyle w:val="BodyText"/>
      </w:pPr>
    </w:p>
    <w:p>
      <w:pPr>
        <w:pStyle w:val="BodyText"/>
        <w:ind w:left="851"/>
      </w:pPr>
      <w:r>
        <w:rPr/>
        <w:t>Dada</w:t>
      </w:r>
      <w:r>
        <w:rPr>
          <w:spacing w:val="-3"/>
        </w:rPr>
        <w:t> </w:t>
      </w:r>
      <w:r>
        <w:rPr/>
        <w:t>en</w:t>
      </w:r>
      <w:r>
        <w:rPr>
          <w:spacing w:val="-3"/>
        </w:rPr>
        <w:t> </w:t>
      </w:r>
      <w:r>
        <w:rPr/>
        <w:t>la</w:t>
      </w:r>
      <w:r>
        <w:rPr>
          <w:spacing w:val="-3"/>
        </w:rPr>
        <w:t> </w:t>
      </w:r>
      <w:r>
        <w:rPr/>
        <w:t>ciudad</w:t>
      </w:r>
      <w:r>
        <w:rPr>
          <w:spacing w:val="-4"/>
        </w:rPr>
        <w:t> </w:t>
      </w:r>
      <w:r>
        <w:rPr/>
        <w:t>de</w:t>
      </w:r>
      <w:r>
        <w:rPr>
          <w:spacing w:val="-3"/>
        </w:rPr>
        <w:t> </w:t>
      </w:r>
      <w:r>
        <w:rPr/>
        <w:t>Lima,</w:t>
      </w:r>
      <w:r>
        <w:rPr>
          <w:spacing w:val="-3"/>
        </w:rPr>
        <w:t> </w:t>
      </w:r>
      <w:r>
        <w:rPr/>
        <w:t>Perú,</w:t>
      </w:r>
      <w:r>
        <w:rPr>
          <w:spacing w:val="-1"/>
        </w:rPr>
        <w:t> </w:t>
      </w:r>
      <w:r>
        <w:rPr/>
        <w:t>a</w:t>
      </w:r>
      <w:r>
        <w:rPr>
          <w:spacing w:val="-5"/>
        </w:rPr>
        <w:t> </w:t>
      </w:r>
      <w:r>
        <w:rPr/>
        <w:t>los</w:t>
      </w:r>
      <w:r>
        <w:rPr>
          <w:spacing w:val="-1"/>
        </w:rPr>
        <w:t> </w:t>
      </w:r>
      <w:r>
        <w:rPr/>
        <w:t>siete</w:t>
      </w:r>
      <w:r>
        <w:rPr>
          <w:spacing w:val="-4"/>
        </w:rPr>
        <w:t> </w:t>
      </w:r>
      <w:r>
        <w:rPr/>
        <w:t>días</w:t>
      </w:r>
      <w:r>
        <w:rPr>
          <w:spacing w:val="-2"/>
        </w:rPr>
        <w:t> </w:t>
      </w:r>
      <w:r>
        <w:rPr/>
        <w:t>del</w:t>
      </w:r>
      <w:r>
        <w:rPr>
          <w:spacing w:val="-6"/>
        </w:rPr>
        <w:t> </w:t>
      </w:r>
      <w:r>
        <w:rPr/>
        <w:t>mes</w:t>
      </w:r>
      <w:r>
        <w:rPr>
          <w:spacing w:val="-2"/>
        </w:rPr>
        <w:t> </w:t>
      </w:r>
      <w:r>
        <w:rPr/>
        <w:t>de</w:t>
      </w:r>
      <w:r>
        <w:rPr>
          <w:spacing w:val="-5"/>
        </w:rPr>
        <w:t> </w:t>
      </w:r>
      <w:r>
        <w:rPr/>
        <w:t>mayo</w:t>
      </w:r>
      <w:r>
        <w:rPr>
          <w:spacing w:val="-3"/>
        </w:rPr>
        <w:t> </w:t>
      </w:r>
      <w:r>
        <w:rPr/>
        <w:t>de</w:t>
      </w:r>
      <w:r>
        <w:rPr>
          <w:spacing w:val="-4"/>
        </w:rPr>
        <w:t> </w:t>
      </w:r>
      <w:r>
        <w:rPr>
          <w:spacing w:val="-2"/>
        </w:rPr>
        <w:t>2026.</w:t>
      </w:r>
    </w:p>
    <w:p>
      <w:pPr>
        <w:pStyle w:val="BodyText"/>
      </w:pPr>
    </w:p>
    <w:p>
      <w:pPr>
        <w:pStyle w:val="BodyText"/>
        <w:spacing w:before="251"/>
      </w:pPr>
    </w:p>
    <w:p>
      <w:pPr>
        <w:pStyle w:val="BodyText"/>
        <w:ind w:left="3383" w:right="3797"/>
        <w:jc w:val="center"/>
      </w:pPr>
      <w:r>
        <w:rPr/>
        <w:t>Gonzalo</w:t>
      </w:r>
      <w:r>
        <w:rPr>
          <w:spacing w:val="-16"/>
        </w:rPr>
        <w:t> </w:t>
      </w:r>
      <w:r>
        <w:rPr/>
        <w:t>Gutiérrez</w:t>
      </w:r>
      <w:r>
        <w:rPr>
          <w:spacing w:val="-15"/>
        </w:rPr>
        <w:t> </w:t>
      </w:r>
      <w:r>
        <w:rPr/>
        <w:t>Reinel </w:t>
      </w:r>
      <w:r>
        <w:rPr>
          <w:spacing w:val="-2"/>
        </w:rPr>
        <w:t>Embajador</w:t>
      </w:r>
    </w:p>
    <w:p>
      <w:pPr>
        <w:pStyle w:val="BodyText"/>
        <w:spacing w:before="1"/>
        <w:ind w:left="-1" w:right="411"/>
        <w:jc w:val="center"/>
      </w:pPr>
      <w:r>
        <w:rPr/>
        <w:t>Secretario</w:t>
      </w:r>
      <w:r>
        <w:rPr>
          <w:spacing w:val="-6"/>
        </w:rPr>
        <w:t> </w:t>
      </w:r>
      <w:r>
        <w:rPr>
          <w:spacing w:val="-2"/>
        </w:rPr>
        <w:t>General</w:t>
      </w:r>
    </w:p>
    <w:p>
      <w:pPr>
        <w:pStyle w:val="BodyText"/>
        <w:spacing w:before="158"/>
        <w:rPr>
          <w:sz w:val="20"/>
        </w:rPr>
      </w:pPr>
      <w:r>
        <w:rPr>
          <w:sz w:val="20"/>
        </w:rPr>
        <mc:AlternateContent>
          <mc:Choice Requires="wps">
            <w:drawing>
              <wp:anchor distT="0" distB="0" distL="0" distR="0" allowOverlap="1" layoutInCell="1" locked="0" behindDoc="1" simplePos="0" relativeHeight="487627264">
                <wp:simplePos x="0" y="0"/>
                <wp:positionH relativeFrom="page">
                  <wp:posOffset>966469</wp:posOffset>
                </wp:positionH>
                <wp:positionV relativeFrom="paragraph">
                  <wp:posOffset>261983</wp:posOffset>
                </wp:positionV>
                <wp:extent cx="5788025" cy="1270"/>
                <wp:effectExtent l="0" t="0" r="0" b="0"/>
                <wp:wrapTopAndBottom/>
                <wp:docPr id="382" name="Graphic 382"/>
                <wp:cNvGraphicFramePr>
                  <a:graphicFrameLocks/>
                </wp:cNvGraphicFramePr>
                <a:graphic>
                  <a:graphicData uri="http://schemas.microsoft.com/office/word/2010/wordprocessingShape">
                    <wps:wsp>
                      <wps:cNvPr id="382" name="Graphic 382"/>
                      <wps:cNvSpPr/>
                      <wps:spPr>
                        <a:xfrm>
                          <a:off x="0" y="0"/>
                          <a:ext cx="5788025" cy="1270"/>
                        </a:xfrm>
                        <a:custGeom>
                          <a:avLst/>
                          <a:gdLst/>
                          <a:ahLst/>
                          <a:cxnLst/>
                          <a:rect l="l" t="t" r="r" b="b"/>
                          <a:pathLst>
                            <a:path w="5788025" h="0">
                              <a:moveTo>
                                <a:pt x="0" y="0"/>
                              </a:moveTo>
                              <a:lnTo>
                                <a:pt x="5788025"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6.099998pt;margin-top:20.628633pt;width:455.75pt;height:.1pt;mso-position-horizontal-relative:page;mso-position-vertical-relative:paragraph;z-index:-15689216;mso-wrap-distance-left:0;mso-wrap-distance-right:0" id="docshape273" coordorigin="1522,413" coordsize="9115,0" path="m1522,413l10637,413e" filled="false" stroked="true" strokeweight=".5pt" strokecolor="#000000">
                <v:path arrowok="t"/>
                <v:stroke dashstyle="solid"/>
                <w10:wrap type="topAndBottom"/>
              </v:shape>
            </w:pict>
          </mc:Fallback>
        </mc:AlternateContent>
      </w:r>
    </w:p>
    <w:p>
      <w:pPr>
        <w:pStyle w:val="BodyText"/>
        <w:spacing w:before="44"/>
      </w:pPr>
    </w:p>
    <w:p>
      <w:pPr>
        <w:spacing w:before="0"/>
        <w:ind w:left="-1" w:right="411" w:firstLine="0"/>
        <w:jc w:val="center"/>
        <w:rPr>
          <w:rFonts w:ascii="Arial" w:hAnsi="Arial"/>
          <w:b/>
          <w:sz w:val="22"/>
        </w:rPr>
      </w:pPr>
      <w:r>
        <w:rPr>
          <w:rFonts w:ascii="Arial" w:hAnsi="Arial"/>
          <w:b/>
          <w:sz w:val="22"/>
        </w:rPr>
        <w:t>RESOLUCIÓN</w:t>
      </w:r>
      <w:r>
        <w:rPr>
          <w:rFonts w:ascii="Arial" w:hAnsi="Arial"/>
          <w:b/>
          <w:spacing w:val="-8"/>
          <w:sz w:val="22"/>
        </w:rPr>
        <w:t> </w:t>
      </w:r>
      <w:r>
        <w:rPr>
          <w:rFonts w:ascii="Arial" w:hAnsi="Arial"/>
          <w:b/>
          <w:sz w:val="22"/>
        </w:rPr>
        <w:t>N°</w:t>
      </w:r>
      <w:r>
        <w:rPr>
          <w:rFonts w:ascii="Arial" w:hAnsi="Arial"/>
          <w:b/>
          <w:spacing w:val="-6"/>
          <w:sz w:val="22"/>
        </w:rPr>
        <w:t> </w:t>
      </w:r>
      <w:r>
        <w:rPr>
          <w:rFonts w:ascii="Arial" w:hAnsi="Arial"/>
          <w:b/>
          <w:spacing w:val="-4"/>
          <w:sz w:val="22"/>
        </w:rPr>
        <w:t>2583</w:t>
      </w:r>
    </w:p>
    <w:p>
      <w:pPr>
        <w:pStyle w:val="Heading6"/>
        <w:spacing w:before="114"/>
        <w:ind w:left="712" w:right="1129" w:firstLine="3"/>
        <w:jc w:val="center"/>
      </w:pPr>
      <w:r>
        <w:rPr/>
        <w:t>Resuelve la solicitud de la República del Ecuador, sobre la calificación como gravamen</w:t>
      </w:r>
      <w:r>
        <w:rPr>
          <w:spacing w:val="-2"/>
        </w:rPr>
        <w:t> </w:t>
      </w:r>
      <w:r>
        <w:rPr/>
        <w:t>y</w:t>
      </w:r>
      <w:r>
        <w:rPr>
          <w:spacing w:val="-4"/>
        </w:rPr>
        <w:t> </w:t>
      </w:r>
      <w:r>
        <w:rPr/>
        <w:t>restricciones</w:t>
      </w:r>
      <w:r>
        <w:rPr>
          <w:spacing w:val="-2"/>
        </w:rPr>
        <w:t> </w:t>
      </w:r>
      <w:r>
        <w:rPr/>
        <w:t>impuestas</w:t>
      </w:r>
      <w:r>
        <w:rPr>
          <w:spacing w:val="-4"/>
        </w:rPr>
        <w:t> </w:t>
      </w:r>
      <w:r>
        <w:rPr/>
        <w:t>por</w:t>
      </w:r>
      <w:r>
        <w:rPr>
          <w:spacing w:val="-3"/>
        </w:rPr>
        <w:t> </w:t>
      </w:r>
      <w:r>
        <w:rPr/>
        <w:t>la</w:t>
      </w:r>
      <w:r>
        <w:rPr>
          <w:spacing w:val="-4"/>
        </w:rPr>
        <w:t> </w:t>
      </w:r>
      <w:r>
        <w:rPr/>
        <w:t>República</w:t>
      </w:r>
      <w:r>
        <w:rPr>
          <w:spacing w:val="-4"/>
        </w:rPr>
        <w:t> </w:t>
      </w:r>
      <w:r>
        <w:rPr/>
        <w:t>de</w:t>
      </w:r>
      <w:r>
        <w:rPr>
          <w:spacing w:val="-2"/>
        </w:rPr>
        <w:t> </w:t>
      </w:r>
      <w:r>
        <w:rPr/>
        <w:t>Colombia</w:t>
      </w:r>
      <w:r>
        <w:rPr>
          <w:spacing w:val="-2"/>
        </w:rPr>
        <w:t> </w:t>
      </w:r>
      <w:r>
        <w:rPr/>
        <w:t>a</w:t>
      </w:r>
      <w:r>
        <w:rPr>
          <w:spacing w:val="-6"/>
        </w:rPr>
        <w:t> </w:t>
      </w:r>
      <w:r>
        <w:rPr/>
        <w:t>las</w:t>
      </w:r>
      <w:r>
        <w:rPr>
          <w:spacing w:val="-4"/>
        </w:rPr>
        <w:t> </w:t>
      </w:r>
      <w:r>
        <w:rPr/>
        <w:t>mercancías que provengan y sean originarias de la República del Ecuador.</w:t>
      </w:r>
    </w:p>
    <w:p>
      <w:pPr>
        <w:pStyle w:val="BodyText"/>
        <w:spacing w:before="2"/>
        <w:rPr>
          <w:rFonts w:ascii="Arial"/>
          <w:b/>
          <w:sz w:val="20"/>
        </w:rPr>
      </w:pPr>
      <w:r>
        <w:rPr>
          <w:rFonts w:ascii="Arial"/>
          <w:b/>
          <w:sz w:val="20"/>
        </w:rPr>
        <mc:AlternateContent>
          <mc:Choice Requires="wps">
            <w:drawing>
              <wp:anchor distT="0" distB="0" distL="0" distR="0" allowOverlap="1" layoutInCell="1" locked="0" behindDoc="1" simplePos="0" relativeHeight="487627776">
                <wp:simplePos x="0" y="0"/>
                <wp:positionH relativeFrom="page">
                  <wp:posOffset>972616</wp:posOffset>
                </wp:positionH>
                <wp:positionV relativeFrom="paragraph">
                  <wp:posOffset>162882</wp:posOffset>
                </wp:positionV>
                <wp:extent cx="5798820" cy="6350"/>
                <wp:effectExtent l="0" t="0" r="0" b="0"/>
                <wp:wrapTopAndBottom/>
                <wp:docPr id="383" name="Graphic 383"/>
                <wp:cNvGraphicFramePr>
                  <a:graphicFrameLocks/>
                </wp:cNvGraphicFramePr>
                <a:graphic>
                  <a:graphicData uri="http://schemas.microsoft.com/office/word/2010/wordprocessingShape">
                    <wps:wsp>
                      <wps:cNvPr id="383" name="Graphic 383"/>
                      <wps:cNvSpPr/>
                      <wps:spPr>
                        <a:xfrm>
                          <a:off x="0" y="0"/>
                          <a:ext cx="5798820" cy="6350"/>
                        </a:xfrm>
                        <a:custGeom>
                          <a:avLst/>
                          <a:gdLst/>
                          <a:ahLst/>
                          <a:cxnLst/>
                          <a:rect l="l" t="t" r="r" b="b"/>
                          <a:pathLst>
                            <a:path w="5798820" h="6350">
                              <a:moveTo>
                                <a:pt x="5798566" y="0"/>
                              </a:moveTo>
                              <a:lnTo>
                                <a:pt x="0" y="0"/>
                              </a:lnTo>
                              <a:lnTo>
                                <a:pt x="0" y="6096"/>
                              </a:lnTo>
                              <a:lnTo>
                                <a:pt x="5798566" y="6096"/>
                              </a:lnTo>
                              <a:lnTo>
                                <a:pt x="579856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6.584pt;margin-top:12.825361pt;width:456.58pt;height:.48001pt;mso-position-horizontal-relative:page;mso-position-vertical-relative:paragraph;z-index:-15688704;mso-wrap-distance-left:0;mso-wrap-distance-right:0" id="docshape274" filled="true" fillcolor="#000000" stroked="false">
                <v:fill type="solid"/>
                <w10:wrap type="topAndBottom"/>
              </v:rect>
            </w:pict>
          </mc:Fallback>
        </mc:AlternateContent>
      </w:r>
    </w:p>
    <w:p>
      <w:pPr>
        <w:pStyle w:val="Heading5"/>
        <w:spacing w:before="230"/>
        <w:ind w:left="568"/>
      </w:pPr>
      <w:r>
        <w:rPr/>
        <w:t>LA</w:t>
      </w:r>
      <w:r>
        <w:rPr>
          <w:spacing w:val="-7"/>
        </w:rPr>
        <w:t> </w:t>
      </w:r>
      <w:r>
        <w:rPr/>
        <w:t>SECRETARÍA</w:t>
      </w:r>
      <w:r>
        <w:rPr>
          <w:spacing w:val="-9"/>
        </w:rPr>
        <w:t> </w:t>
      </w:r>
      <w:r>
        <w:rPr/>
        <w:t>GENERAL</w:t>
      </w:r>
      <w:r>
        <w:rPr>
          <w:spacing w:val="-5"/>
        </w:rPr>
        <w:t> </w:t>
      </w:r>
      <w:r>
        <w:rPr/>
        <w:t>DE</w:t>
      </w:r>
      <w:r>
        <w:rPr>
          <w:spacing w:val="-7"/>
        </w:rPr>
        <w:t> </w:t>
      </w:r>
      <w:r>
        <w:rPr/>
        <w:t>LA</w:t>
      </w:r>
      <w:r>
        <w:rPr>
          <w:spacing w:val="-4"/>
        </w:rPr>
        <w:t> </w:t>
      </w:r>
      <w:r>
        <w:rPr/>
        <w:t>COMUNIDAD</w:t>
      </w:r>
      <w:r>
        <w:rPr>
          <w:spacing w:val="-8"/>
        </w:rPr>
        <w:t> </w:t>
      </w:r>
      <w:r>
        <w:rPr>
          <w:spacing w:val="-2"/>
        </w:rPr>
        <w:t>ANDINA,</w:t>
      </w:r>
    </w:p>
    <w:p>
      <w:pPr>
        <w:pStyle w:val="BodyText"/>
        <w:spacing w:before="251"/>
        <w:ind w:left="568" w:right="977"/>
        <w:jc w:val="both"/>
      </w:pPr>
      <w:r>
        <w:rPr>
          <w:rFonts w:ascii="Arial" w:hAnsi="Arial"/>
          <w:b/>
        </w:rPr>
        <w:t>VISTOS</w:t>
      </w:r>
      <w:r>
        <w:rPr/>
        <w:t>:</w:t>
      </w:r>
      <w:r>
        <w:rPr>
          <w:spacing w:val="-5"/>
        </w:rPr>
        <w:t> </w:t>
      </w:r>
      <w:r>
        <w:rPr/>
        <w:t>Los</w:t>
      </w:r>
      <w:r>
        <w:rPr>
          <w:spacing w:val="-6"/>
        </w:rPr>
        <w:t> </w:t>
      </w:r>
      <w:r>
        <w:rPr/>
        <w:t>artículos</w:t>
      </w:r>
      <w:r>
        <w:rPr>
          <w:spacing w:val="-4"/>
        </w:rPr>
        <w:t> </w:t>
      </w:r>
      <w:r>
        <w:rPr/>
        <w:t>72,</w:t>
      </w:r>
      <w:r>
        <w:rPr>
          <w:spacing w:val="-3"/>
        </w:rPr>
        <w:t> </w:t>
      </w:r>
      <w:r>
        <w:rPr/>
        <w:t>73,</w:t>
      </w:r>
      <w:r>
        <w:rPr>
          <w:spacing w:val="-5"/>
        </w:rPr>
        <w:t> </w:t>
      </w:r>
      <w:r>
        <w:rPr/>
        <w:t>74,</w:t>
      </w:r>
      <w:r>
        <w:rPr>
          <w:spacing w:val="-5"/>
        </w:rPr>
        <w:t> </w:t>
      </w:r>
      <w:r>
        <w:rPr/>
        <w:t>76</w:t>
      </w:r>
      <w:r>
        <w:rPr>
          <w:spacing w:val="-7"/>
        </w:rPr>
        <w:t> </w:t>
      </w:r>
      <w:r>
        <w:rPr/>
        <w:t>y</w:t>
      </w:r>
      <w:r>
        <w:rPr>
          <w:spacing w:val="-6"/>
        </w:rPr>
        <w:t> </w:t>
      </w:r>
      <w:r>
        <w:rPr/>
        <w:t>77</w:t>
      </w:r>
      <w:r>
        <w:rPr>
          <w:spacing w:val="-7"/>
        </w:rPr>
        <w:t> </w:t>
      </w:r>
      <w:r>
        <w:rPr/>
        <w:t>del</w:t>
      </w:r>
      <w:r>
        <w:rPr>
          <w:spacing w:val="-5"/>
        </w:rPr>
        <w:t> </w:t>
      </w:r>
      <w:r>
        <w:rPr/>
        <w:t>Acuerdo</w:t>
      </w:r>
      <w:r>
        <w:rPr>
          <w:spacing w:val="-4"/>
        </w:rPr>
        <w:t> </w:t>
      </w:r>
      <w:r>
        <w:rPr/>
        <w:t>de</w:t>
      </w:r>
      <w:r>
        <w:rPr>
          <w:spacing w:val="-7"/>
        </w:rPr>
        <w:t> </w:t>
      </w:r>
      <w:r>
        <w:rPr/>
        <w:t>Cartagena;</w:t>
      </w:r>
      <w:r>
        <w:rPr>
          <w:spacing w:val="-3"/>
        </w:rPr>
        <w:t> </w:t>
      </w:r>
      <w:r>
        <w:rPr/>
        <w:t>el</w:t>
      </w:r>
      <w:r>
        <w:rPr>
          <w:spacing w:val="-7"/>
        </w:rPr>
        <w:t> </w:t>
      </w:r>
      <w:r>
        <w:rPr/>
        <w:t>artículo</w:t>
      </w:r>
      <w:r>
        <w:rPr>
          <w:spacing w:val="-4"/>
        </w:rPr>
        <w:t> </w:t>
      </w:r>
      <w:r>
        <w:rPr/>
        <w:t>4</w:t>
      </w:r>
      <w:r>
        <w:rPr>
          <w:spacing w:val="-6"/>
        </w:rPr>
        <w:t> </w:t>
      </w:r>
      <w:r>
        <w:rPr/>
        <w:t>del</w:t>
      </w:r>
      <w:r>
        <w:rPr>
          <w:spacing w:val="-5"/>
        </w:rPr>
        <w:t> </w:t>
      </w:r>
      <w:r>
        <w:rPr/>
        <w:t>Tratado de Creación del Tribunal de Justicia de la Comunidad Andina; la Decisión 425, Reglamento de Procedimientos Administrativos de la Secretaría General de la Comunidad Andina; y,</w:t>
      </w:r>
    </w:p>
    <w:p>
      <w:pPr>
        <w:pStyle w:val="BodyText"/>
        <w:spacing w:before="1"/>
      </w:pPr>
    </w:p>
    <w:p>
      <w:pPr>
        <w:pStyle w:val="Heading5"/>
        <w:ind w:left="568"/>
      </w:pPr>
      <w:r>
        <w:rPr>
          <w:spacing w:val="-2"/>
        </w:rPr>
        <w:t>CONSIDERANDO:</w:t>
      </w:r>
    </w:p>
    <w:p>
      <w:pPr>
        <w:pStyle w:val="BodyText"/>
        <w:spacing w:before="1"/>
        <w:rPr>
          <w:rFonts w:ascii="Arial"/>
          <w:b/>
        </w:rPr>
      </w:pPr>
    </w:p>
    <w:p>
      <w:pPr>
        <w:pStyle w:val="ListParagraph"/>
        <w:numPr>
          <w:ilvl w:val="0"/>
          <w:numId w:val="49"/>
        </w:numPr>
        <w:tabs>
          <w:tab w:pos="850" w:val="left" w:leader="none"/>
        </w:tabs>
        <w:spacing w:line="240" w:lineRule="auto" w:before="0" w:after="0"/>
        <w:ind w:left="850" w:right="0" w:hanging="282"/>
        <w:jc w:val="left"/>
        <w:rPr>
          <w:sz w:val="22"/>
        </w:rPr>
      </w:pPr>
      <w:r>
        <w:rPr>
          <w:rFonts w:ascii="Arial"/>
          <w:b/>
          <w:spacing w:val="-2"/>
          <w:sz w:val="22"/>
          <w:u w:val="single"/>
        </w:rPr>
        <w:t>ANTECEDENTES</w:t>
      </w:r>
    </w:p>
    <w:p>
      <w:pPr>
        <w:pStyle w:val="BodyText"/>
        <w:rPr>
          <w:rFonts w:ascii="Arial"/>
          <w:b/>
        </w:rPr>
      </w:pPr>
    </w:p>
    <w:p>
      <w:pPr>
        <w:pStyle w:val="ListParagraph"/>
        <w:numPr>
          <w:ilvl w:val="0"/>
          <w:numId w:val="50"/>
        </w:numPr>
        <w:tabs>
          <w:tab w:pos="1131" w:val="left" w:leader="none"/>
          <w:tab w:pos="1134" w:val="left" w:leader="none"/>
        </w:tabs>
        <w:spacing w:line="240" w:lineRule="auto" w:before="1" w:after="0"/>
        <w:ind w:left="1134" w:right="977" w:hanging="567"/>
        <w:jc w:val="both"/>
        <w:rPr>
          <w:sz w:val="22"/>
        </w:rPr>
      </w:pPr>
      <w:r>
        <w:rPr>
          <w:sz w:val="22"/>
        </w:rPr>
        <w:t>Que,</w:t>
      </w:r>
      <w:r>
        <w:rPr>
          <w:spacing w:val="-3"/>
          <w:sz w:val="22"/>
        </w:rPr>
        <w:t> </w:t>
      </w:r>
      <w:r>
        <w:rPr>
          <w:sz w:val="22"/>
        </w:rPr>
        <w:t>el</w:t>
      </w:r>
      <w:r>
        <w:rPr>
          <w:spacing w:val="-5"/>
          <w:sz w:val="22"/>
        </w:rPr>
        <w:t> </w:t>
      </w:r>
      <w:r>
        <w:rPr>
          <w:sz w:val="22"/>
        </w:rPr>
        <w:t>03</w:t>
      </w:r>
      <w:r>
        <w:rPr>
          <w:spacing w:val="-6"/>
          <w:sz w:val="22"/>
        </w:rPr>
        <w:t> </w:t>
      </w:r>
      <w:r>
        <w:rPr>
          <w:sz w:val="22"/>
        </w:rPr>
        <w:t>de</w:t>
      </w:r>
      <w:r>
        <w:rPr>
          <w:spacing w:val="-3"/>
          <w:sz w:val="22"/>
        </w:rPr>
        <w:t> </w:t>
      </w:r>
      <w:r>
        <w:rPr>
          <w:sz w:val="22"/>
        </w:rPr>
        <w:t>marzo</w:t>
      </w:r>
      <w:r>
        <w:rPr>
          <w:spacing w:val="-3"/>
          <w:sz w:val="22"/>
        </w:rPr>
        <w:t> </w:t>
      </w:r>
      <w:r>
        <w:rPr>
          <w:sz w:val="22"/>
        </w:rPr>
        <w:t>de</w:t>
      </w:r>
      <w:r>
        <w:rPr>
          <w:spacing w:val="-9"/>
          <w:sz w:val="22"/>
        </w:rPr>
        <w:t> </w:t>
      </w:r>
      <w:r>
        <w:rPr>
          <w:sz w:val="22"/>
        </w:rPr>
        <w:t>2026,</w:t>
      </w:r>
      <w:r>
        <w:rPr>
          <w:spacing w:val="-3"/>
          <w:sz w:val="22"/>
        </w:rPr>
        <w:t> </w:t>
      </w:r>
      <w:r>
        <w:rPr>
          <w:sz w:val="22"/>
        </w:rPr>
        <w:t>mediante</w:t>
      </w:r>
      <w:r>
        <w:rPr>
          <w:spacing w:val="-6"/>
          <w:sz w:val="22"/>
        </w:rPr>
        <w:t> </w:t>
      </w:r>
      <w:r>
        <w:rPr>
          <w:sz w:val="22"/>
        </w:rPr>
        <w:t>Oficio</w:t>
      </w:r>
      <w:r>
        <w:rPr>
          <w:spacing w:val="-3"/>
          <w:sz w:val="22"/>
        </w:rPr>
        <w:t> </w:t>
      </w:r>
      <w:r>
        <w:rPr>
          <w:sz w:val="22"/>
        </w:rPr>
        <w:t>Nro.</w:t>
      </w:r>
      <w:r>
        <w:rPr>
          <w:spacing w:val="-3"/>
          <w:sz w:val="22"/>
        </w:rPr>
        <w:t> </w:t>
      </w:r>
      <w:r>
        <w:rPr>
          <w:sz w:val="22"/>
        </w:rPr>
        <w:t>MPCEI-VCE-2026-0020-O,</w:t>
      </w:r>
      <w:r>
        <w:rPr>
          <w:spacing w:val="-3"/>
          <w:sz w:val="22"/>
        </w:rPr>
        <w:t> </w:t>
      </w:r>
      <w:r>
        <w:rPr>
          <w:sz w:val="22"/>
        </w:rPr>
        <w:t>recibido en la Secretaría General de la Comunidad Andina (en adelante, </w:t>
      </w:r>
      <w:r>
        <w:rPr>
          <w:rFonts w:ascii="Arial" w:hAnsi="Arial"/>
          <w:b/>
          <w:sz w:val="22"/>
        </w:rPr>
        <w:t>SGCAN</w:t>
      </w:r>
      <w:r>
        <w:rPr>
          <w:sz w:val="22"/>
        </w:rPr>
        <w:t>) en la misma fecha, la República del Ecuador solicitó la calificación de gravamen y restricción de las medidas contenidas en el Decreto Nro. 0170 del 20 de febrero de 2026, emitido por la República</w:t>
      </w:r>
      <w:r>
        <w:rPr>
          <w:spacing w:val="-9"/>
          <w:sz w:val="22"/>
        </w:rPr>
        <w:t> </w:t>
      </w:r>
      <w:r>
        <w:rPr>
          <w:sz w:val="22"/>
        </w:rPr>
        <w:t>de</w:t>
      </w:r>
      <w:r>
        <w:rPr>
          <w:spacing w:val="-9"/>
          <w:sz w:val="22"/>
        </w:rPr>
        <w:t> </w:t>
      </w:r>
      <w:r>
        <w:rPr>
          <w:sz w:val="22"/>
        </w:rPr>
        <w:t>Colombia</w:t>
      </w:r>
      <w:r>
        <w:rPr>
          <w:spacing w:val="-9"/>
          <w:sz w:val="22"/>
        </w:rPr>
        <w:t> </w:t>
      </w:r>
      <w:r>
        <w:rPr>
          <w:sz w:val="22"/>
        </w:rPr>
        <w:t>y</w:t>
      </w:r>
      <w:r>
        <w:rPr>
          <w:spacing w:val="-10"/>
          <w:sz w:val="22"/>
        </w:rPr>
        <w:t> </w:t>
      </w:r>
      <w:r>
        <w:rPr>
          <w:sz w:val="22"/>
        </w:rPr>
        <w:t>publicado</w:t>
      </w:r>
      <w:r>
        <w:rPr>
          <w:spacing w:val="-9"/>
          <w:sz w:val="22"/>
        </w:rPr>
        <w:t> </w:t>
      </w:r>
      <w:r>
        <w:rPr>
          <w:sz w:val="22"/>
        </w:rPr>
        <w:t>en</w:t>
      </w:r>
      <w:r>
        <w:rPr>
          <w:spacing w:val="-9"/>
          <w:sz w:val="22"/>
        </w:rPr>
        <w:t> </w:t>
      </w:r>
      <w:r>
        <w:rPr>
          <w:sz w:val="22"/>
        </w:rPr>
        <w:t>el</w:t>
      </w:r>
      <w:r>
        <w:rPr>
          <w:spacing w:val="-10"/>
          <w:sz w:val="22"/>
        </w:rPr>
        <w:t> </w:t>
      </w:r>
      <w:r>
        <w:rPr>
          <w:sz w:val="22"/>
        </w:rPr>
        <w:t>Diario</w:t>
      </w:r>
      <w:r>
        <w:rPr>
          <w:spacing w:val="-12"/>
          <w:sz w:val="22"/>
        </w:rPr>
        <w:t> </w:t>
      </w:r>
      <w:r>
        <w:rPr>
          <w:sz w:val="22"/>
        </w:rPr>
        <w:t>Oficial</w:t>
      </w:r>
      <w:r>
        <w:rPr>
          <w:spacing w:val="-10"/>
          <w:sz w:val="22"/>
        </w:rPr>
        <w:t> </w:t>
      </w:r>
      <w:r>
        <w:rPr>
          <w:sz w:val="22"/>
        </w:rPr>
        <w:t>53.408</w:t>
      </w:r>
      <w:r>
        <w:rPr>
          <w:spacing w:val="-9"/>
          <w:sz w:val="22"/>
        </w:rPr>
        <w:t> </w:t>
      </w:r>
      <w:r>
        <w:rPr>
          <w:sz w:val="22"/>
        </w:rPr>
        <w:t>del</w:t>
      </w:r>
      <w:r>
        <w:rPr>
          <w:spacing w:val="-10"/>
          <w:sz w:val="22"/>
        </w:rPr>
        <w:t> </w:t>
      </w:r>
      <w:r>
        <w:rPr>
          <w:sz w:val="22"/>
        </w:rPr>
        <w:t>23</w:t>
      </w:r>
      <w:r>
        <w:rPr>
          <w:spacing w:val="-9"/>
          <w:sz w:val="22"/>
        </w:rPr>
        <w:t> </w:t>
      </w:r>
      <w:r>
        <w:rPr>
          <w:sz w:val="22"/>
        </w:rPr>
        <w:t>de</w:t>
      </w:r>
      <w:r>
        <w:rPr>
          <w:spacing w:val="-12"/>
          <w:sz w:val="22"/>
        </w:rPr>
        <w:t> </w:t>
      </w:r>
      <w:r>
        <w:rPr>
          <w:sz w:val="22"/>
        </w:rPr>
        <w:t>febrero</w:t>
      </w:r>
      <w:r>
        <w:rPr>
          <w:spacing w:val="-8"/>
          <w:sz w:val="22"/>
        </w:rPr>
        <w:t> </w:t>
      </w:r>
      <w:r>
        <w:rPr>
          <w:sz w:val="22"/>
        </w:rPr>
        <w:t>de</w:t>
      </w:r>
      <w:r>
        <w:rPr>
          <w:spacing w:val="-12"/>
          <w:sz w:val="22"/>
        </w:rPr>
        <w:t> </w:t>
      </w:r>
      <w:r>
        <w:rPr>
          <w:sz w:val="22"/>
        </w:rPr>
        <w:t>2026 (en adelante, Decreto 0170). A dicha solicitud se adjuntaron documentos de sustento, incluyendo resoluciones y comunicaciones oficiales, proyectos normativos, antecedentes</w:t>
      </w:r>
      <w:r>
        <w:rPr>
          <w:spacing w:val="-5"/>
          <w:sz w:val="22"/>
        </w:rPr>
        <w:t> </w:t>
      </w:r>
      <w:r>
        <w:rPr>
          <w:sz w:val="22"/>
        </w:rPr>
        <w:t>administrativos,</w:t>
      </w:r>
      <w:r>
        <w:rPr>
          <w:spacing w:val="-4"/>
          <w:sz w:val="22"/>
        </w:rPr>
        <w:t> </w:t>
      </w:r>
      <w:r>
        <w:rPr>
          <w:sz w:val="22"/>
        </w:rPr>
        <w:t>el</w:t>
      </w:r>
      <w:r>
        <w:rPr>
          <w:spacing w:val="-7"/>
          <w:sz w:val="22"/>
        </w:rPr>
        <w:t> </w:t>
      </w:r>
      <w:r>
        <w:rPr>
          <w:sz w:val="22"/>
        </w:rPr>
        <w:t>Decreto</w:t>
      </w:r>
      <w:r>
        <w:rPr>
          <w:spacing w:val="-5"/>
          <w:sz w:val="22"/>
        </w:rPr>
        <w:t> </w:t>
      </w:r>
      <w:r>
        <w:rPr>
          <w:sz w:val="22"/>
        </w:rPr>
        <w:t>0170,</w:t>
      </w:r>
      <w:r>
        <w:rPr>
          <w:spacing w:val="-6"/>
          <w:sz w:val="22"/>
        </w:rPr>
        <w:t> </w:t>
      </w:r>
      <w:r>
        <w:rPr>
          <w:sz w:val="22"/>
        </w:rPr>
        <w:t>un</w:t>
      </w:r>
      <w:r>
        <w:rPr>
          <w:spacing w:val="-7"/>
          <w:sz w:val="22"/>
        </w:rPr>
        <w:t> </w:t>
      </w:r>
      <w:r>
        <w:rPr>
          <w:sz w:val="22"/>
        </w:rPr>
        <w:t>informe</w:t>
      </w:r>
      <w:r>
        <w:rPr>
          <w:spacing w:val="-6"/>
          <w:sz w:val="22"/>
        </w:rPr>
        <w:t> </w:t>
      </w:r>
      <w:r>
        <w:rPr>
          <w:sz w:val="22"/>
        </w:rPr>
        <w:t>técnico</w:t>
      </w:r>
      <w:r>
        <w:rPr>
          <w:spacing w:val="-6"/>
          <w:sz w:val="22"/>
        </w:rPr>
        <w:t> </w:t>
      </w:r>
      <w:r>
        <w:rPr>
          <w:sz w:val="22"/>
        </w:rPr>
        <w:t>sobre</w:t>
      </w:r>
      <w:r>
        <w:rPr>
          <w:spacing w:val="-5"/>
          <w:sz w:val="22"/>
        </w:rPr>
        <w:t> </w:t>
      </w:r>
      <w:r>
        <w:rPr>
          <w:sz w:val="22"/>
        </w:rPr>
        <w:t>la</w:t>
      </w:r>
      <w:r>
        <w:rPr>
          <w:spacing w:val="-9"/>
          <w:sz w:val="22"/>
        </w:rPr>
        <w:t> </w:t>
      </w:r>
      <w:r>
        <w:rPr>
          <w:sz w:val="22"/>
        </w:rPr>
        <w:t>afectación</w:t>
      </w:r>
      <w:r>
        <w:rPr>
          <w:spacing w:val="-7"/>
          <w:sz w:val="22"/>
        </w:rPr>
        <w:t> </w:t>
      </w:r>
      <w:r>
        <w:rPr>
          <w:sz w:val="22"/>
        </w:rPr>
        <w:t>a las</w:t>
      </w:r>
      <w:r>
        <w:rPr>
          <w:spacing w:val="-16"/>
          <w:sz w:val="22"/>
        </w:rPr>
        <w:t> </w:t>
      </w:r>
      <w:r>
        <w:rPr>
          <w:sz w:val="22"/>
        </w:rPr>
        <w:t>exportaciones</w:t>
      </w:r>
      <w:r>
        <w:rPr>
          <w:spacing w:val="-15"/>
          <w:sz w:val="22"/>
        </w:rPr>
        <w:t> </w:t>
      </w:r>
      <w:r>
        <w:rPr>
          <w:sz w:val="22"/>
        </w:rPr>
        <w:t>ecuatorianas</w:t>
      </w:r>
      <w:r>
        <w:rPr>
          <w:spacing w:val="-15"/>
          <w:sz w:val="22"/>
        </w:rPr>
        <w:t> </w:t>
      </w:r>
      <w:r>
        <w:rPr>
          <w:sz w:val="22"/>
        </w:rPr>
        <w:t>y</w:t>
      </w:r>
      <w:r>
        <w:rPr>
          <w:spacing w:val="-16"/>
          <w:sz w:val="22"/>
        </w:rPr>
        <w:t> </w:t>
      </w:r>
      <w:r>
        <w:rPr>
          <w:sz w:val="22"/>
        </w:rPr>
        <w:t>jurisprudencia</w:t>
      </w:r>
      <w:r>
        <w:rPr>
          <w:spacing w:val="-15"/>
          <w:sz w:val="22"/>
        </w:rPr>
        <w:t> </w:t>
      </w:r>
      <w:r>
        <w:rPr>
          <w:sz w:val="22"/>
        </w:rPr>
        <w:t>del</w:t>
      </w:r>
      <w:r>
        <w:rPr>
          <w:spacing w:val="-15"/>
          <w:sz w:val="22"/>
        </w:rPr>
        <w:t> </w:t>
      </w:r>
      <w:r>
        <w:rPr>
          <w:sz w:val="22"/>
        </w:rPr>
        <w:t>Tribunal</w:t>
      </w:r>
      <w:r>
        <w:rPr>
          <w:spacing w:val="-15"/>
          <w:sz w:val="22"/>
        </w:rPr>
        <w:t> </w:t>
      </w:r>
      <w:r>
        <w:rPr>
          <w:sz w:val="22"/>
        </w:rPr>
        <w:t>de</w:t>
      </w:r>
      <w:r>
        <w:rPr>
          <w:spacing w:val="-16"/>
          <w:sz w:val="22"/>
        </w:rPr>
        <w:t> </w:t>
      </w:r>
      <w:r>
        <w:rPr>
          <w:sz w:val="22"/>
        </w:rPr>
        <w:t>Justicia</w:t>
      </w:r>
      <w:r>
        <w:rPr>
          <w:spacing w:val="-15"/>
          <w:sz w:val="22"/>
        </w:rPr>
        <w:t> </w:t>
      </w:r>
      <w:r>
        <w:rPr>
          <w:sz w:val="22"/>
        </w:rPr>
        <w:t>de</w:t>
      </w:r>
      <w:r>
        <w:rPr>
          <w:spacing w:val="-15"/>
          <w:sz w:val="22"/>
        </w:rPr>
        <w:t> </w:t>
      </w:r>
      <w:r>
        <w:rPr>
          <w:sz w:val="22"/>
        </w:rPr>
        <w:t>la</w:t>
      </w:r>
      <w:r>
        <w:rPr>
          <w:spacing w:val="-16"/>
          <w:sz w:val="22"/>
        </w:rPr>
        <w:t> </w:t>
      </w:r>
      <w:r>
        <w:rPr>
          <w:sz w:val="22"/>
        </w:rPr>
        <w:t>Comunidad Andina (en adelante, </w:t>
      </w:r>
      <w:r>
        <w:rPr>
          <w:rFonts w:ascii="Arial" w:hAnsi="Arial"/>
          <w:b/>
          <w:sz w:val="22"/>
        </w:rPr>
        <w:t>TJCAN</w:t>
      </w:r>
      <w:r>
        <w:rPr>
          <w:sz w:val="22"/>
        </w:rPr>
        <w:t>).</w:t>
      </w:r>
    </w:p>
    <w:p>
      <w:pPr>
        <w:pStyle w:val="ListParagraph"/>
        <w:numPr>
          <w:ilvl w:val="0"/>
          <w:numId w:val="50"/>
        </w:numPr>
        <w:tabs>
          <w:tab w:pos="1131" w:val="left" w:leader="none"/>
          <w:tab w:pos="1134" w:val="left" w:leader="none"/>
        </w:tabs>
        <w:spacing w:line="240" w:lineRule="auto" w:before="252" w:after="0"/>
        <w:ind w:left="1134" w:right="977" w:hanging="567"/>
        <w:jc w:val="both"/>
        <w:rPr>
          <w:rFonts w:ascii="Arial" w:hAnsi="Arial"/>
          <w:i/>
          <w:sz w:val="22"/>
        </w:rPr>
      </w:pPr>
      <w:r>
        <w:rPr>
          <w:sz w:val="22"/>
        </w:rPr>
        <w:t>Que, el 09 de marzo de 2026, mediante comunicación SG/E/DGCOM/422/2026, la SGCAN,</w:t>
      </w:r>
      <w:r>
        <w:rPr>
          <w:spacing w:val="60"/>
          <w:sz w:val="22"/>
        </w:rPr>
        <w:t> </w:t>
      </w:r>
      <w:r>
        <w:rPr>
          <w:sz w:val="22"/>
        </w:rPr>
        <w:t>con</w:t>
      </w:r>
      <w:r>
        <w:rPr>
          <w:spacing w:val="55"/>
          <w:sz w:val="22"/>
        </w:rPr>
        <w:t> </w:t>
      </w:r>
      <w:r>
        <w:rPr>
          <w:sz w:val="22"/>
        </w:rPr>
        <w:t>fundamento</w:t>
      </w:r>
      <w:r>
        <w:rPr>
          <w:spacing w:val="58"/>
          <w:sz w:val="22"/>
        </w:rPr>
        <w:t> </w:t>
      </w:r>
      <w:r>
        <w:rPr>
          <w:sz w:val="22"/>
        </w:rPr>
        <w:t>en</w:t>
      </w:r>
      <w:r>
        <w:rPr>
          <w:spacing w:val="58"/>
          <w:sz w:val="22"/>
        </w:rPr>
        <w:t> </w:t>
      </w:r>
      <w:r>
        <w:rPr>
          <w:sz w:val="22"/>
        </w:rPr>
        <w:t>lo</w:t>
      </w:r>
      <w:r>
        <w:rPr>
          <w:spacing w:val="58"/>
          <w:sz w:val="22"/>
        </w:rPr>
        <w:t> </w:t>
      </w:r>
      <w:r>
        <w:rPr>
          <w:sz w:val="22"/>
        </w:rPr>
        <w:t>previsto</w:t>
      </w:r>
      <w:r>
        <w:rPr>
          <w:spacing w:val="58"/>
          <w:sz w:val="22"/>
        </w:rPr>
        <w:t> </w:t>
      </w:r>
      <w:r>
        <w:rPr>
          <w:sz w:val="22"/>
        </w:rPr>
        <w:t>en</w:t>
      </w:r>
      <w:r>
        <w:rPr>
          <w:spacing w:val="55"/>
          <w:sz w:val="22"/>
        </w:rPr>
        <w:t> </w:t>
      </w:r>
      <w:r>
        <w:rPr>
          <w:sz w:val="22"/>
        </w:rPr>
        <w:t>el</w:t>
      </w:r>
      <w:r>
        <w:rPr>
          <w:spacing w:val="57"/>
          <w:sz w:val="22"/>
        </w:rPr>
        <w:t> </w:t>
      </w:r>
      <w:r>
        <w:rPr>
          <w:sz w:val="22"/>
        </w:rPr>
        <w:t>Capítulo</w:t>
      </w:r>
      <w:r>
        <w:rPr>
          <w:spacing w:val="58"/>
          <w:sz w:val="22"/>
        </w:rPr>
        <w:t> </w:t>
      </w:r>
      <w:r>
        <w:rPr>
          <w:sz w:val="22"/>
        </w:rPr>
        <w:t>VI</w:t>
      </w:r>
      <w:r>
        <w:rPr>
          <w:spacing w:val="57"/>
          <w:sz w:val="22"/>
        </w:rPr>
        <w:t> </w:t>
      </w:r>
      <w:r>
        <w:rPr>
          <w:sz w:val="22"/>
        </w:rPr>
        <w:t>sobre</w:t>
      </w:r>
      <w:r>
        <w:rPr>
          <w:spacing w:val="55"/>
          <w:sz w:val="22"/>
        </w:rPr>
        <w:t> </w:t>
      </w:r>
      <w:r>
        <w:rPr>
          <w:sz w:val="22"/>
        </w:rPr>
        <w:t>el</w:t>
      </w:r>
      <w:r>
        <w:rPr>
          <w:spacing w:val="61"/>
          <w:sz w:val="22"/>
        </w:rPr>
        <w:t> </w:t>
      </w:r>
      <w:r>
        <w:rPr>
          <w:rFonts w:ascii="Arial" w:hAnsi="Arial"/>
          <w:i/>
          <w:sz w:val="22"/>
        </w:rPr>
        <w:t>Programa</w:t>
      </w:r>
      <w:r>
        <w:rPr>
          <w:rFonts w:ascii="Arial" w:hAnsi="Arial"/>
          <w:i/>
          <w:spacing w:val="56"/>
          <w:sz w:val="22"/>
        </w:rPr>
        <w:t> </w:t>
      </w:r>
      <w:r>
        <w:rPr>
          <w:rFonts w:ascii="Arial" w:hAnsi="Arial"/>
          <w:i/>
          <w:sz w:val="22"/>
        </w:rPr>
        <w:t>de</w:t>
      </w:r>
    </w:p>
    <w:p>
      <w:pPr>
        <w:pStyle w:val="ListParagraph"/>
        <w:spacing w:after="0" w:line="240" w:lineRule="auto"/>
        <w:jc w:val="both"/>
        <w:rPr>
          <w:rFonts w:ascii="Arial" w:hAnsi="Arial"/>
          <w:i/>
          <w:sz w:val="22"/>
        </w:rPr>
        <w:sectPr>
          <w:pgSz w:w="11900" w:h="16850"/>
          <w:pgMar w:header="370" w:footer="651" w:top="1380" w:bottom="840" w:left="992" w:right="283"/>
        </w:sectPr>
      </w:pPr>
    </w:p>
    <w:p>
      <w:pPr>
        <w:pStyle w:val="BodyText"/>
        <w:spacing w:before="176"/>
        <w:rPr>
          <w:rFonts w:ascii="Arial"/>
          <w:i/>
        </w:rPr>
      </w:pPr>
    </w:p>
    <w:p>
      <w:pPr>
        <w:spacing w:before="0"/>
        <w:ind w:left="1134" w:right="977" w:firstLine="0"/>
        <w:jc w:val="both"/>
        <w:rPr>
          <w:sz w:val="22"/>
        </w:rPr>
      </w:pPr>
      <w:bookmarkStart w:name="_bookmark71" w:id="69"/>
      <w:bookmarkEnd w:id="69"/>
      <w:r>
        <w:rPr/>
      </w:r>
      <w:r>
        <w:rPr>
          <w:rFonts w:ascii="Arial" w:hAnsi="Arial"/>
          <w:i/>
          <w:sz w:val="22"/>
        </w:rPr>
        <w:t>Liberación</w:t>
      </w:r>
      <w:r>
        <w:rPr>
          <w:rFonts w:ascii="Arial" w:hAnsi="Arial"/>
          <w:i/>
          <w:spacing w:val="-4"/>
          <w:sz w:val="22"/>
        </w:rPr>
        <w:t> </w:t>
      </w:r>
      <w:r>
        <w:rPr>
          <w:sz w:val="22"/>
        </w:rPr>
        <w:t>del</w:t>
      </w:r>
      <w:r>
        <w:rPr>
          <w:spacing w:val="-7"/>
          <w:sz w:val="22"/>
        </w:rPr>
        <w:t> </w:t>
      </w:r>
      <w:r>
        <w:rPr>
          <w:sz w:val="22"/>
        </w:rPr>
        <w:t>Acuerdo</w:t>
      </w:r>
      <w:r>
        <w:rPr>
          <w:spacing w:val="-7"/>
          <w:sz w:val="22"/>
        </w:rPr>
        <w:t> </w:t>
      </w:r>
      <w:r>
        <w:rPr>
          <w:sz w:val="22"/>
        </w:rPr>
        <w:t>de</w:t>
      </w:r>
      <w:r>
        <w:rPr>
          <w:spacing w:val="-4"/>
          <w:sz w:val="22"/>
        </w:rPr>
        <w:t> </w:t>
      </w:r>
      <w:r>
        <w:rPr>
          <w:sz w:val="22"/>
        </w:rPr>
        <w:t>Cartagena</w:t>
      </w:r>
      <w:r>
        <w:rPr>
          <w:spacing w:val="-6"/>
          <w:sz w:val="22"/>
        </w:rPr>
        <w:t> </w:t>
      </w:r>
      <w:r>
        <w:rPr>
          <w:sz w:val="22"/>
        </w:rPr>
        <w:t>y</w:t>
      </w:r>
      <w:r>
        <w:rPr>
          <w:spacing w:val="-6"/>
          <w:sz w:val="22"/>
        </w:rPr>
        <w:t> </w:t>
      </w:r>
      <w:r>
        <w:rPr>
          <w:sz w:val="22"/>
        </w:rPr>
        <w:t>en</w:t>
      </w:r>
      <w:r>
        <w:rPr>
          <w:spacing w:val="-7"/>
          <w:sz w:val="22"/>
        </w:rPr>
        <w:t> </w:t>
      </w:r>
      <w:r>
        <w:rPr>
          <w:sz w:val="22"/>
        </w:rPr>
        <w:t>lo</w:t>
      </w:r>
      <w:r>
        <w:rPr>
          <w:spacing w:val="-4"/>
          <w:sz w:val="22"/>
        </w:rPr>
        <w:t> </w:t>
      </w:r>
      <w:r>
        <w:rPr>
          <w:sz w:val="22"/>
        </w:rPr>
        <w:t>dispuesto</w:t>
      </w:r>
      <w:r>
        <w:rPr>
          <w:spacing w:val="-6"/>
          <w:sz w:val="22"/>
        </w:rPr>
        <w:t> </w:t>
      </w:r>
      <w:r>
        <w:rPr>
          <w:sz w:val="22"/>
        </w:rPr>
        <w:t>en</w:t>
      </w:r>
      <w:r>
        <w:rPr>
          <w:spacing w:val="-7"/>
          <w:sz w:val="22"/>
        </w:rPr>
        <w:t> </w:t>
      </w:r>
      <w:r>
        <w:rPr>
          <w:sz w:val="22"/>
        </w:rPr>
        <w:t>la</w:t>
      </w:r>
      <w:r>
        <w:rPr>
          <w:spacing w:val="-4"/>
          <w:sz w:val="22"/>
        </w:rPr>
        <w:t> </w:t>
      </w:r>
      <w:r>
        <w:rPr>
          <w:sz w:val="22"/>
        </w:rPr>
        <w:t>Decisión</w:t>
      </w:r>
      <w:r>
        <w:rPr>
          <w:spacing w:val="-7"/>
          <w:sz w:val="22"/>
        </w:rPr>
        <w:t> </w:t>
      </w:r>
      <w:r>
        <w:rPr>
          <w:sz w:val="22"/>
        </w:rPr>
        <w:t>425</w:t>
      </w:r>
      <w:r>
        <w:rPr>
          <w:spacing w:val="-9"/>
          <w:sz w:val="22"/>
        </w:rPr>
        <w:t> </w:t>
      </w:r>
      <w:r>
        <w:rPr>
          <w:sz w:val="22"/>
        </w:rPr>
        <w:t>“</w:t>
      </w:r>
      <w:r>
        <w:rPr>
          <w:rFonts w:ascii="Arial" w:hAnsi="Arial"/>
          <w:i/>
          <w:sz w:val="22"/>
        </w:rPr>
        <w:t>Reglamento de Procedimientos Administrativos de la Secretaría General</w:t>
      </w:r>
      <w:r>
        <w:rPr>
          <w:sz w:val="22"/>
        </w:rPr>
        <w:t>”, (en adelante, </w:t>
      </w:r>
      <w:r>
        <w:rPr>
          <w:rFonts w:ascii="Arial" w:hAnsi="Arial"/>
          <w:b/>
          <w:sz w:val="22"/>
        </w:rPr>
        <w:t>Decisión 425</w:t>
      </w:r>
      <w:r>
        <w:rPr>
          <w:sz w:val="22"/>
        </w:rPr>
        <w:t>)</w:t>
      </w:r>
      <w:r>
        <w:rPr>
          <w:spacing w:val="-6"/>
          <w:sz w:val="22"/>
        </w:rPr>
        <w:t> </w:t>
      </w:r>
      <w:r>
        <w:rPr>
          <w:sz w:val="22"/>
        </w:rPr>
        <w:t>admitió</w:t>
      </w:r>
      <w:r>
        <w:rPr>
          <w:spacing w:val="-7"/>
          <w:sz w:val="22"/>
        </w:rPr>
        <w:t> </w:t>
      </w:r>
      <w:r>
        <w:rPr>
          <w:sz w:val="22"/>
        </w:rPr>
        <w:t>a</w:t>
      </w:r>
      <w:r>
        <w:rPr>
          <w:spacing w:val="-7"/>
          <w:sz w:val="22"/>
        </w:rPr>
        <w:t> </w:t>
      </w:r>
      <w:r>
        <w:rPr>
          <w:sz w:val="22"/>
        </w:rPr>
        <w:t>trámite</w:t>
      </w:r>
      <w:r>
        <w:rPr>
          <w:spacing w:val="-7"/>
          <w:sz w:val="22"/>
        </w:rPr>
        <w:t> </w:t>
      </w:r>
      <w:r>
        <w:rPr>
          <w:sz w:val="22"/>
        </w:rPr>
        <w:t>la</w:t>
      </w:r>
      <w:r>
        <w:rPr>
          <w:spacing w:val="-10"/>
          <w:sz w:val="22"/>
        </w:rPr>
        <w:t> </w:t>
      </w:r>
      <w:r>
        <w:rPr>
          <w:sz w:val="22"/>
        </w:rPr>
        <w:t>solicitud</w:t>
      </w:r>
      <w:r>
        <w:rPr>
          <w:spacing w:val="-8"/>
          <w:sz w:val="22"/>
        </w:rPr>
        <w:t> </w:t>
      </w:r>
      <w:r>
        <w:rPr>
          <w:sz w:val="22"/>
        </w:rPr>
        <w:t>presentada</w:t>
      </w:r>
      <w:r>
        <w:rPr>
          <w:spacing w:val="-10"/>
          <w:sz w:val="22"/>
        </w:rPr>
        <w:t> </w:t>
      </w:r>
      <w:r>
        <w:rPr>
          <w:sz w:val="22"/>
        </w:rPr>
        <w:t>por</w:t>
      </w:r>
      <w:r>
        <w:rPr>
          <w:spacing w:val="-6"/>
          <w:sz w:val="22"/>
        </w:rPr>
        <w:t> </w:t>
      </w:r>
      <w:r>
        <w:rPr>
          <w:sz w:val="22"/>
        </w:rPr>
        <w:t>la</w:t>
      </w:r>
      <w:r>
        <w:rPr>
          <w:spacing w:val="-7"/>
          <w:sz w:val="22"/>
        </w:rPr>
        <w:t> </w:t>
      </w:r>
      <w:r>
        <w:rPr>
          <w:sz w:val="22"/>
        </w:rPr>
        <w:t>República</w:t>
      </w:r>
      <w:r>
        <w:rPr>
          <w:spacing w:val="-7"/>
          <w:sz w:val="22"/>
        </w:rPr>
        <w:t> </w:t>
      </w:r>
      <w:r>
        <w:rPr>
          <w:sz w:val="22"/>
        </w:rPr>
        <w:t>del</w:t>
      </w:r>
      <w:r>
        <w:rPr>
          <w:spacing w:val="-8"/>
          <w:sz w:val="22"/>
        </w:rPr>
        <w:t> </w:t>
      </w:r>
      <w:r>
        <w:rPr>
          <w:sz w:val="22"/>
        </w:rPr>
        <w:t>Ecuador,</w:t>
      </w:r>
      <w:r>
        <w:rPr>
          <w:spacing w:val="-8"/>
          <w:sz w:val="22"/>
        </w:rPr>
        <w:t> </w:t>
      </w:r>
      <w:r>
        <w:rPr>
          <w:sz w:val="22"/>
        </w:rPr>
        <w:t>dando</w:t>
      </w:r>
      <w:r>
        <w:rPr>
          <w:spacing w:val="-7"/>
          <w:sz w:val="22"/>
        </w:rPr>
        <w:t> </w:t>
      </w:r>
      <w:r>
        <w:rPr>
          <w:sz w:val="22"/>
        </w:rPr>
        <w:t>inicio al procedimiento de investigación correspondiente.</w:t>
      </w:r>
    </w:p>
    <w:p>
      <w:pPr>
        <w:pStyle w:val="BodyText"/>
      </w:pPr>
    </w:p>
    <w:p>
      <w:pPr>
        <w:pStyle w:val="ListParagraph"/>
        <w:numPr>
          <w:ilvl w:val="0"/>
          <w:numId w:val="50"/>
        </w:numPr>
        <w:tabs>
          <w:tab w:pos="1131" w:val="left" w:leader="none"/>
          <w:tab w:pos="1134" w:val="left" w:leader="none"/>
        </w:tabs>
        <w:spacing w:line="240" w:lineRule="auto" w:before="0" w:after="0"/>
        <w:ind w:left="1134" w:right="975" w:hanging="567"/>
        <w:jc w:val="both"/>
        <w:rPr>
          <w:sz w:val="22"/>
        </w:rPr>
      </w:pPr>
      <w:r>
        <w:rPr>
          <w:sz w:val="22"/>
        </w:rPr>
        <w:t>Que, el 09 de marzo de 2026, mediante comunicaciones SG/E/DGCOM/463/2026 y SG/E/DGCOM/464/2026, se puso en conocimiento de la República de Colombia y de los</w:t>
      </w:r>
      <w:r>
        <w:rPr>
          <w:spacing w:val="-5"/>
          <w:sz w:val="22"/>
        </w:rPr>
        <w:t> </w:t>
      </w:r>
      <w:r>
        <w:rPr>
          <w:sz w:val="22"/>
        </w:rPr>
        <w:t>demás</w:t>
      </w:r>
      <w:r>
        <w:rPr>
          <w:spacing w:val="-7"/>
          <w:sz w:val="22"/>
        </w:rPr>
        <w:t> </w:t>
      </w:r>
      <w:r>
        <w:rPr>
          <w:sz w:val="22"/>
        </w:rPr>
        <w:t>Países</w:t>
      </w:r>
      <w:r>
        <w:rPr>
          <w:spacing w:val="-9"/>
          <w:sz w:val="22"/>
        </w:rPr>
        <w:t> </w:t>
      </w:r>
      <w:r>
        <w:rPr>
          <w:sz w:val="22"/>
        </w:rPr>
        <w:t>Miembros</w:t>
      </w:r>
      <w:hyperlink w:history="true" w:anchor="_bookmark68">
        <w:r>
          <w:rPr>
            <w:sz w:val="22"/>
            <w:vertAlign w:val="superscript"/>
          </w:rPr>
          <w:t>1</w:t>
        </w:r>
      </w:hyperlink>
      <w:r>
        <w:rPr>
          <w:sz w:val="22"/>
          <w:vertAlign w:val="baseline"/>
        </w:rPr>
        <w:t>,</w:t>
      </w:r>
      <w:r>
        <w:rPr>
          <w:spacing w:val="-6"/>
          <w:sz w:val="22"/>
          <w:vertAlign w:val="baseline"/>
        </w:rPr>
        <w:t> </w:t>
      </w:r>
      <w:r>
        <w:rPr>
          <w:sz w:val="22"/>
          <w:vertAlign w:val="baseline"/>
        </w:rPr>
        <w:t>respectivamente,</w:t>
      </w:r>
      <w:r>
        <w:rPr>
          <w:spacing w:val="-5"/>
          <w:sz w:val="22"/>
          <w:vertAlign w:val="baseline"/>
        </w:rPr>
        <w:t> </w:t>
      </w:r>
      <w:r>
        <w:rPr>
          <w:sz w:val="22"/>
          <w:vertAlign w:val="baseline"/>
        </w:rPr>
        <w:t>la</w:t>
      </w:r>
      <w:r>
        <w:rPr>
          <w:spacing w:val="-10"/>
          <w:sz w:val="22"/>
          <w:vertAlign w:val="baseline"/>
        </w:rPr>
        <w:t> </w:t>
      </w:r>
      <w:r>
        <w:rPr>
          <w:sz w:val="22"/>
          <w:vertAlign w:val="baseline"/>
        </w:rPr>
        <w:t>solicitud</w:t>
      </w:r>
      <w:r>
        <w:rPr>
          <w:spacing w:val="-5"/>
          <w:sz w:val="22"/>
          <w:vertAlign w:val="baseline"/>
        </w:rPr>
        <w:t> </w:t>
      </w:r>
      <w:r>
        <w:rPr>
          <w:sz w:val="22"/>
          <w:vertAlign w:val="baseline"/>
        </w:rPr>
        <w:t>presentada</w:t>
      </w:r>
      <w:r>
        <w:rPr>
          <w:spacing w:val="-7"/>
          <w:sz w:val="22"/>
          <w:vertAlign w:val="baseline"/>
        </w:rPr>
        <w:t> </w:t>
      </w:r>
      <w:r>
        <w:rPr>
          <w:sz w:val="22"/>
          <w:vertAlign w:val="baseline"/>
        </w:rPr>
        <w:t>por</w:t>
      </w:r>
      <w:r>
        <w:rPr>
          <w:spacing w:val="-6"/>
          <w:sz w:val="22"/>
          <w:vertAlign w:val="baseline"/>
        </w:rPr>
        <w:t> </w:t>
      </w:r>
      <w:r>
        <w:rPr>
          <w:sz w:val="22"/>
          <w:vertAlign w:val="baseline"/>
        </w:rPr>
        <w:t>la</w:t>
      </w:r>
      <w:r>
        <w:rPr>
          <w:spacing w:val="-5"/>
          <w:sz w:val="22"/>
          <w:vertAlign w:val="baseline"/>
        </w:rPr>
        <w:t> </w:t>
      </w:r>
      <w:r>
        <w:rPr>
          <w:sz w:val="22"/>
          <w:vertAlign w:val="baseline"/>
        </w:rPr>
        <w:t>República del Ecuador informándole sobre el inicio de la investigación.</w:t>
      </w:r>
    </w:p>
    <w:p>
      <w:pPr>
        <w:pStyle w:val="BodyText"/>
      </w:pPr>
    </w:p>
    <w:p>
      <w:pPr>
        <w:pStyle w:val="ListParagraph"/>
        <w:numPr>
          <w:ilvl w:val="0"/>
          <w:numId w:val="50"/>
        </w:numPr>
        <w:tabs>
          <w:tab w:pos="1131" w:val="left" w:leader="none"/>
          <w:tab w:pos="1134" w:val="left" w:leader="none"/>
        </w:tabs>
        <w:spacing w:line="240" w:lineRule="auto" w:before="0" w:after="0"/>
        <w:ind w:left="1134" w:right="974" w:hanging="567"/>
        <w:jc w:val="both"/>
        <w:rPr>
          <w:sz w:val="22"/>
        </w:rPr>
      </w:pPr>
      <w:r>
        <w:rPr>
          <w:sz w:val="22"/>
        </w:rPr>
        <w:t>Que, el 13 de marzo de 2026, mediante comunicación SG/E/DGCOM/478/2026, la SGCAN</w:t>
      </w:r>
      <w:r>
        <w:rPr>
          <w:spacing w:val="-2"/>
          <w:sz w:val="22"/>
        </w:rPr>
        <w:t> </w:t>
      </w:r>
      <w:r>
        <w:rPr>
          <w:sz w:val="22"/>
        </w:rPr>
        <w:t>comunicó</w:t>
      </w:r>
      <w:r>
        <w:rPr>
          <w:spacing w:val="-2"/>
          <w:sz w:val="22"/>
        </w:rPr>
        <w:t> </w:t>
      </w:r>
      <w:r>
        <w:rPr>
          <w:sz w:val="22"/>
        </w:rPr>
        <w:t>a</w:t>
      </w:r>
      <w:r>
        <w:rPr>
          <w:spacing w:val="-4"/>
          <w:sz w:val="22"/>
        </w:rPr>
        <w:t> </w:t>
      </w:r>
      <w:r>
        <w:rPr>
          <w:sz w:val="22"/>
        </w:rPr>
        <w:t>la</w:t>
      </w:r>
      <w:r>
        <w:rPr>
          <w:spacing w:val="-2"/>
          <w:sz w:val="22"/>
        </w:rPr>
        <w:t> </w:t>
      </w:r>
      <w:r>
        <w:rPr>
          <w:sz w:val="22"/>
        </w:rPr>
        <w:t>República</w:t>
      </w:r>
      <w:r>
        <w:rPr>
          <w:spacing w:val="-2"/>
          <w:sz w:val="22"/>
        </w:rPr>
        <w:t> </w:t>
      </w:r>
      <w:r>
        <w:rPr>
          <w:sz w:val="22"/>
        </w:rPr>
        <w:t>de</w:t>
      </w:r>
      <w:r>
        <w:rPr>
          <w:spacing w:val="-2"/>
          <w:sz w:val="22"/>
        </w:rPr>
        <w:t> </w:t>
      </w:r>
      <w:r>
        <w:rPr>
          <w:sz w:val="22"/>
        </w:rPr>
        <w:t>Colombia la</w:t>
      </w:r>
      <w:r>
        <w:rPr>
          <w:spacing w:val="-2"/>
          <w:sz w:val="22"/>
        </w:rPr>
        <w:t> </w:t>
      </w:r>
      <w:r>
        <w:rPr>
          <w:sz w:val="22"/>
        </w:rPr>
        <w:t>solicitud</w:t>
      </w:r>
      <w:r>
        <w:rPr>
          <w:spacing w:val="-2"/>
          <w:sz w:val="22"/>
        </w:rPr>
        <w:t> </w:t>
      </w:r>
      <w:r>
        <w:rPr>
          <w:sz w:val="22"/>
        </w:rPr>
        <w:t>de</w:t>
      </w:r>
      <w:r>
        <w:rPr>
          <w:spacing w:val="-2"/>
          <w:sz w:val="22"/>
        </w:rPr>
        <w:t> </w:t>
      </w:r>
      <w:r>
        <w:rPr>
          <w:sz w:val="22"/>
        </w:rPr>
        <w:t>la</w:t>
      </w:r>
      <w:r>
        <w:rPr>
          <w:spacing w:val="-2"/>
          <w:sz w:val="22"/>
        </w:rPr>
        <w:t> </w:t>
      </w:r>
      <w:r>
        <w:rPr>
          <w:sz w:val="22"/>
        </w:rPr>
        <w:t>República</w:t>
      </w:r>
      <w:r>
        <w:rPr>
          <w:spacing w:val="-2"/>
          <w:sz w:val="22"/>
        </w:rPr>
        <w:t> </w:t>
      </w:r>
      <w:r>
        <w:rPr>
          <w:sz w:val="22"/>
        </w:rPr>
        <w:t>del</w:t>
      </w:r>
      <w:r>
        <w:rPr>
          <w:spacing w:val="-2"/>
          <w:sz w:val="22"/>
        </w:rPr>
        <w:t> </w:t>
      </w:r>
      <w:r>
        <w:rPr>
          <w:sz w:val="22"/>
        </w:rPr>
        <w:t>Ecuador, otorgándole un plazo de veinte (20) días hábiles para su respuesta. En dicha comunicación,</w:t>
      </w:r>
      <w:r>
        <w:rPr>
          <w:spacing w:val="-7"/>
          <w:sz w:val="22"/>
        </w:rPr>
        <w:t> </w:t>
      </w:r>
      <w:r>
        <w:rPr>
          <w:sz w:val="22"/>
        </w:rPr>
        <w:t>la</w:t>
      </w:r>
      <w:r>
        <w:rPr>
          <w:spacing w:val="-9"/>
          <w:sz w:val="22"/>
        </w:rPr>
        <w:t> </w:t>
      </w:r>
      <w:r>
        <w:rPr>
          <w:sz w:val="22"/>
        </w:rPr>
        <w:t>SGCAN</w:t>
      </w:r>
      <w:r>
        <w:rPr>
          <w:spacing w:val="-9"/>
          <w:sz w:val="22"/>
        </w:rPr>
        <w:t> </w:t>
      </w:r>
      <w:r>
        <w:rPr>
          <w:sz w:val="22"/>
        </w:rPr>
        <w:t>solicitó</w:t>
      </w:r>
      <w:r>
        <w:rPr>
          <w:spacing w:val="-9"/>
          <w:sz w:val="22"/>
        </w:rPr>
        <w:t> </w:t>
      </w:r>
      <w:r>
        <w:rPr>
          <w:sz w:val="22"/>
        </w:rPr>
        <w:t>información</w:t>
      </w:r>
      <w:r>
        <w:rPr>
          <w:spacing w:val="-8"/>
          <w:sz w:val="22"/>
        </w:rPr>
        <w:t> </w:t>
      </w:r>
      <w:r>
        <w:rPr>
          <w:sz w:val="22"/>
        </w:rPr>
        <w:t>adicional</w:t>
      </w:r>
      <w:r>
        <w:rPr>
          <w:spacing w:val="-10"/>
          <w:sz w:val="22"/>
        </w:rPr>
        <w:t> </w:t>
      </w:r>
      <w:r>
        <w:rPr>
          <w:sz w:val="22"/>
        </w:rPr>
        <w:t>con</w:t>
      </w:r>
      <w:r>
        <w:rPr>
          <w:spacing w:val="-9"/>
          <w:sz w:val="22"/>
        </w:rPr>
        <w:t> </w:t>
      </w:r>
      <w:r>
        <w:rPr>
          <w:sz w:val="22"/>
        </w:rPr>
        <w:t>el</w:t>
      </w:r>
      <w:r>
        <w:rPr>
          <w:spacing w:val="-10"/>
          <w:sz w:val="22"/>
        </w:rPr>
        <w:t> </w:t>
      </w:r>
      <w:r>
        <w:rPr>
          <w:sz w:val="22"/>
        </w:rPr>
        <w:t>fin</w:t>
      </w:r>
      <w:r>
        <w:rPr>
          <w:spacing w:val="-9"/>
          <w:sz w:val="22"/>
        </w:rPr>
        <w:t> </w:t>
      </w:r>
      <w:r>
        <w:rPr>
          <w:sz w:val="22"/>
        </w:rPr>
        <w:t>de</w:t>
      </w:r>
      <w:r>
        <w:rPr>
          <w:spacing w:val="-9"/>
          <w:sz w:val="22"/>
        </w:rPr>
        <w:t> </w:t>
      </w:r>
      <w:r>
        <w:rPr>
          <w:sz w:val="22"/>
        </w:rPr>
        <w:t>contar</w:t>
      </w:r>
      <w:r>
        <w:rPr>
          <w:spacing w:val="-8"/>
          <w:sz w:val="22"/>
        </w:rPr>
        <w:t> </w:t>
      </w:r>
      <w:r>
        <w:rPr>
          <w:sz w:val="22"/>
        </w:rPr>
        <w:t>con</w:t>
      </w:r>
      <w:r>
        <w:rPr>
          <w:spacing w:val="-12"/>
          <w:sz w:val="22"/>
        </w:rPr>
        <w:t> </w:t>
      </w:r>
      <w:r>
        <w:rPr>
          <w:sz w:val="22"/>
        </w:rPr>
        <w:t>mayores elementos para emitir su pronunciamiento. Asimismo, mediante comunicación SG/E/DGCOM/479/2026, puso en conocimiento de los demás Países Miembros la referida comunicación.</w:t>
      </w:r>
    </w:p>
    <w:p>
      <w:pPr>
        <w:pStyle w:val="BodyText"/>
        <w:spacing w:before="2"/>
      </w:pPr>
    </w:p>
    <w:p>
      <w:pPr>
        <w:pStyle w:val="ListParagraph"/>
        <w:numPr>
          <w:ilvl w:val="0"/>
          <w:numId w:val="50"/>
        </w:numPr>
        <w:tabs>
          <w:tab w:pos="1131" w:val="left" w:leader="none"/>
          <w:tab w:pos="1134" w:val="left" w:leader="none"/>
        </w:tabs>
        <w:spacing w:line="240" w:lineRule="auto" w:before="0" w:after="0"/>
        <w:ind w:left="1134" w:right="978" w:hanging="567"/>
        <w:jc w:val="both"/>
        <w:rPr>
          <w:sz w:val="22"/>
        </w:rPr>
      </w:pPr>
      <w:r>
        <w:rPr>
          <w:sz w:val="22"/>
        </w:rPr>
        <w:t>Que,</w:t>
      </w:r>
      <w:r>
        <w:rPr>
          <w:spacing w:val="-7"/>
          <w:sz w:val="22"/>
        </w:rPr>
        <w:t> </w:t>
      </w:r>
      <w:r>
        <w:rPr>
          <w:sz w:val="22"/>
        </w:rPr>
        <w:t>el</w:t>
      </w:r>
      <w:r>
        <w:rPr>
          <w:spacing w:val="-7"/>
          <w:sz w:val="22"/>
        </w:rPr>
        <w:t> </w:t>
      </w:r>
      <w:r>
        <w:rPr>
          <w:sz w:val="22"/>
        </w:rPr>
        <w:t>17</w:t>
      </w:r>
      <w:r>
        <w:rPr>
          <w:spacing w:val="-7"/>
          <w:sz w:val="22"/>
        </w:rPr>
        <w:t> </w:t>
      </w:r>
      <w:r>
        <w:rPr>
          <w:sz w:val="22"/>
        </w:rPr>
        <w:t>de</w:t>
      </w:r>
      <w:r>
        <w:rPr>
          <w:spacing w:val="-9"/>
          <w:sz w:val="22"/>
        </w:rPr>
        <w:t> </w:t>
      </w:r>
      <w:r>
        <w:rPr>
          <w:sz w:val="22"/>
        </w:rPr>
        <w:t>marzo</w:t>
      </w:r>
      <w:r>
        <w:rPr>
          <w:spacing w:val="-8"/>
          <w:sz w:val="22"/>
        </w:rPr>
        <w:t> </w:t>
      </w:r>
      <w:r>
        <w:rPr>
          <w:sz w:val="22"/>
        </w:rPr>
        <w:t>de</w:t>
      </w:r>
      <w:r>
        <w:rPr>
          <w:spacing w:val="-9"/>
          <w:sz w:val="22"/>
        </w:rPr>
        <w:t> </w:t>
      </w:r>
      <w:r>
        <w:rPr>
          <w:sz w:val="22"/>
        </w:rPr>
        <w:t>2026,</w:t>
      </w:r>
      <w:r>
        <w:rPr>
          <w:spacing w:val="-5"/>
          <w:sz w:val="22"/>
        </w:rPr>
        <w:t> </w:t>
      </w:r>
      <w:r>
        <w:rPr>
          <w:sz w:val="22"/>
        </w:rPr>
        <w:t>la</w:t>
      </w:r>
      <w:r>
        <w:rPr>
          <w:spacing w:val="-6"/>
          <w:sz w:val="22"/>
        </w:rPr>
        <w:t> </w:t>
      </w:r>
      <w:r>
        <w:rPr>
          <w:sz w:val="22"/>
        </w:rPr>
        <w:t>República</w:t>
      </w:r>
      <w:r>
        <w:rPr>
          <w:spacing w:val="-6"/>
          <w:sz w:val="22"/>
        </w:rPr>
        <w:t> </w:t>
      </w:r>
      <w:r>
        <w:rPr>
          <w:sz w:val="22"/>
        </w:rPr>
        <w:t>de</w:t>
      </w:r>
      <w:r>
        <w:rPr>
          <w:spacing w:val="-7"/>
          <w:sz w:val="22"/>
        </w:rPr>
        <w:t> </w:t>
      </w:r>
      <w:r>
        <w:rPr>
          <w:sz w:val="22"/>
        </w:rPr>
        <w:t>Colombia</w:t>
      </w:r>
      <w:r>
        <w:rPr>
          <w:spacing w:val="-6"/>
          <w:sz w:val="22"/>
        </w:rPr>
        <w:t> </w:t>
      </w:r>
      <w:r>
        <w:rPr>
          <w:sz w:val="22"/>
        </w:rPr>
        <w:t>solicitó</w:t>
      </w:r>
      <w:r>
        <w:rPr>
          <w:spacing w:val="-6"/>
          <w:sz w:val="22"/>
        </w:rPr>
        <w:t> </w:t>
      </w:r>
      <w:r>
        <w:rPr>
          <w:sz w:val="22"/>
        </w:rPr>
        <w:t>a</w:t>
      </w:r>
      <w:r>
        <w:rPr>
          <w:spacing w:val="-6"/>
          <w:sz w:val="22"/>
        </w:rPr>
        <w:t> </w:t>
      </w:r>
      <w:r>
        <w:rPr>
          <w:sz w:val="22"/>
        </w:rPr>
        <w:t>la</w:t>
      </w:r>
      <w:r>
        <w:rPr>
          <w:spacing w:val="-6"/>
          <w:sz w:val="22"/>
        </w:rPr>
        <w:t> </w:t>
      </w:r>
      <w:r>
        <w:rPr>
          <w:sz w:val="22"/>
        </w:rPr>
        <w:t>SGCAN,</w:t>
      </w:r>
      <w:r>
        <w:rPr>
          <w:spacing w:val="-5"/>
          <w:sz w:val="22"/>
        </w:rPr>
        <w:t> </w:t>
      </w:r>
      <w:r>
        <w:rPr>
          <w:sz w:val="22"/>
        </w:rPr>
        <w:t>vía</w:t>
      </w:r>
      <w:r>
        <w:rPr>
          <w:spacing w:val="-9"/>
          <w:sz w:val="22"/>
        </w:rPr>
        <w:t> </w:t>
      </w:r>
      <w:r>
        <w:rPr>
          <w:sz w:val="22"/>
        </w:rPr>
        <w:t>correo electrónico, una aclaración sobre el plazo para responder a la solicitud de calificación como gravamen y restricción del Decreto 0170. En la misma fecha, mediante comunicación</w:t>
      </w:r>
      <w:r>
        <w:rPr>
          <w:spacing w:val="-16"/>
          <w:sz w:val="22"/>
        </w:rPr>
        <w:t> </w:t>
      </w:r>
      <w:r>
        <w:rPr>
          <w:sz w:val="22"/>
        </w:rPr>
        <w:t>SG/E/DS/512/2026</w:t>
      </w:r>
      <w:hyperlink w:history="true" w:anchor="_bookmark69">
        <w:r>
          <w:rPr>
            <w:sz w:val="22"/>
            <w:vertAlign w:val="superscript"/>
          </w:rPr>
          <w:t>2</w:t>
        </w:r>
      </w:hyperlink>
      <w:r>
        <w:rPr>
          <w:sz w:val="22"/>
          <w:vertAlign w:val="baseline"/>
        </w:rPr>
        <w:t>,</w:t>
      </w:r>
      <w:r>
        <w:rPr>
          <w:spacing w:val="-15"/>
          <w:sz w:val="22"/>
          <w:vertAlign w:val="baseline"/>
        </w:rPr>
        <w:t> </w:t>
      </w:r>
      <w:r>
        <w:rPr>
          <w:sz w:val="22"/>
          <w:vertAlign w:val="baseline"/>
        </w:rPr>
        <w:t>la</w:t>
      </w:r>
      <w:r>
        <w:rPr>
          <w:spacing w:val="-15"/>
          <w:sz w:val="22"/>
          <w:vertAlign w:val="baseline"/>
        </w:rPr>
        <w:t> </w:t>
      </w:r>
      <w:r>
        <w:rPr>
          <w:sz w:val="22"/>
          <w:vertAlign w:val="baseline"/>
        </w:rPr>
        <w:t>SGCAN</w:t>
      </w:r>
      <w:r>
        <w:rPr>
          <w:spacing w:val="-16"/>
          <w:sz w:val="22"/>
          <w:vertAlign w:val="baseline"/>
        </w:rPr>
        <w:t> </w:t>
      </w:r>
      <w:r>
        <w:rPr>
          <w:sz w:val="22"/>
          <w:vertAlign w:val="baseline"/>
        </w:rPr>
        <w:t>precisó</w:t>
      </w:r>
      <w:r>
        <w:rPr>
          <w:spacing w:val="-15"/>
          <w:sz w:val="22"/>
          <w:vertAlign w:val="baseline"/>
        </w:rPr>
        <w:t> </w:t>
      </w:r>
      <w:r>
        <w:rPr>
          <w:sz w:val="22"/>
          <w:vertAlign w:val="baseline"/>
        </w:rPr>
        <w:t>que</w:t>
      </w:r>
      <w:r>
        <w:rPr>
          <w:spacing w:val="-15"/>
          <w:sz w:val="22"/>
          <w:vertAlign w:val="baseline"/>
        </w:rPr>
        <w:t> </w:t>
      </w:r>
      <w:r>
        <w:rPr>
          <w:sz w:val="22"/>
          <w:vertAlign w:val="baseline"/>
        </w:rPr>
        <w:t>dicho</w:t>
      </w:r>
      <w:r>
        <w:rPr>
          <w:spacing w:val="-15"/>
          <w:sz w:val="22"/>
          <w:vertAlign w:val="baseline"/>
        </w:rPr>
        <w:t> </w:t>
      </w:r>
      <w:r>
        <w:rPr>
          <w:sz w:val="22"/>
          <w:vertAlign w:val="baseline"/>
        </w:rPr>
        <w:t>plazo</w:t>
      </w:r>
      <w:r>
        <w:rPr>
          <w:spacing w:val="-16"/>
          <w:sz w:val="22"/>
          <w:vertAlign w:val="baseline"/>
        </w:rPr>
        <w:t> </w:t>
      </w:r>
      <w:r>
        <w:rPr>
          <w:sz w:val="22"/>
          <w:vertAlign w:val="baseline"/>
        </w:rPr>
        <w:t>era</w:t>
      </w:r>
      <w:r>
        <w:rPr>
          <w:spacing w:val="-15"/>
          <w:sz w:val="22"/>
          <w:vertAlign w:val="baseline"/>
        </w:rPr>
        <w:t> </w:t>
      </w:r>
      <w:r>
        <w:rPr>
          <w:sz w:val="22"/>
          <w:vertAlign w:val="baseline"/>
        </w:rPr>
        <w:t>de</w:t>
      </w:r>
      <w:r>
        <w:rPr>
          <w:spacing w:val="-15"/>
          <w:sz w:val="22"/>
          <w:vertAlign w:val="baseline"/>
        </w:rPr>
        <w:t> </w:t>
      </w:r>
      <w:r>
        <w:rPr>
          <w:sz w:val="22"/>
          <w:vertAlign w:val="baseline"/>
        </w:rPr>
        <w:t>veinte</w:t>
      </w:r>
      <w:r>
        <w:rPr>
          <w:spacing w:val="-16"/>
          <w:sz w:val="22"/>
          <w:vertAlign w:val="baseline"/>
        </w:rPr>
        <w:t> </w:t>
      </w:r>
      <w:r>
        <w:rPr>
          <w:sz w:val="22"/>
          <w:vertAlign w:val="baseline"/>
        </w:rPr>
        <w:t>(20) días hábiles, contados a partir del 16 de marzo de 2026, esto es, el día hábil siguiente a la notificación, conforme a lo comunicado a la República del Ecuador y a los demás Países Miembros mediante oficio SG/E/DGCOM/479/2026 de 13 de marzo de 2026, a efectos de que presenten los elementos de información que consideren pertinentes.</w:t>
      </w:r>
    </w:p>
    <w:p>
      <w:pPr>
        <w:pStyle w:val="ListParagraph"/>
        <w:numPr>
          <w:ilvl w:val="0"/>
          <w:numId w:val="50"/>
        </w:numPr>
        <w:tabs>
          <w:tab w:pos="1131" w:val="left" w:leader="none"/>
          <w:tab w:pos="1134" w:val="left" w:leader="none"/>
        </w:tabs>
        <w:spacing w:line="240" w:lineRule="auto" w:before="252" w:after="0"/>
        <w:ind w:left="1134" w:right="979" w:hanging="567"/>
        <w:jc w:val="both"/>
        <w:rPr>
          <w:sz w:val="22"/>
        </w:rPr>
      </w:pPr>
      <w:r>
        <w:rPr>
          <w:sz w:val="22"/>
        </w:rPr>
        <w:t>Que, el 19 de marzo de 2026, mediante comunicaciones SG/E/DGCOM/497/2026 y SG/E/DGCOM/500/2026,</w:t>
      </w:r>
      <w:r>
        <w:rPr>
          <w:spacing w:val="-16"/>
          <w:sz w:val="22"/>
        </w:rPr>
        <w:t> </w:t>
      </w:r>
      <w:r>
        <w:rPr>
          <w:sz w:val="22"/>
        </w:rPr>
        <w:t>la</w:t>
      </w:r>
      <w:r>
        <w:rPr>
          <w:spacing w:val="-15"/>
          <w:sz w:val="22"/>
        </w:rPr>
        <w:t> </w:t>
      </w:r>
      <w:r>
        <w:rPr>
          <w:sz w:val="22"/>
        </w:rPr>
        <w:t>SGCAN</w:t>
      </w:r>
      <w:r>
        <w:rPr>
          <w:spacing w:val="-15"/>
          <w:sz w:val="22"/>
        </w:rPr>
        <w:t> </w:t>
      </w:r>
      <w:r>
        <w:rPr>
          <w:sz w:val="22"/>
        </w:rPr>
        <w:t>solicitó</w:t>
      </w:r>
      <w:r>
        <w:rPr>
          <w:spacing w:val="-16"/>
          <w:sz w:val="22"/>
        </w:rPr>
        <w:t> </w:t>
      </w:r>
      <w:r>
        <w:rPr>
          <w:sz w:val="22"/>
        </w:rPr>
        <w:t>a</w:t>
      </w:r>
      <w:r>
        <w:rPr>
          <w:spacing w:val="-15"/>
          <w:sz w:val="22"/>
        </w:rPr>
        <w:t> </w:t>
      </w:r>
      <w:r>
        <w:rPr>
          <w:sz w:val="22"/>
        </w:rPr>
        <w:t>la</w:t>
      </w:r>
      <w:r>
        <w:rPr>
          <w:spacing w:val="-15"/>
          <w:sz w:val="22"/>
        </w:rPr>
        <w:t> </w:t>
      </w:r>
      <w:r>
        <w:rPr>
          <w:sz w:val="22"/>
        </w:rPr>
        <w:t>República</w:t>
      </w:r>
      <w:r>
        <w:rPr>
          <w:spacing w:val="-15"/>
          <w:sz w:val="22"/>
        </w:rPr>
        <w:t> </w:t>
      </w:r>
      <w:r>
        <w:rPr>
          <w:sz w:val="22"/>
        </w:rPr>
        <w:t>de</w:t>
      </w:r>
      <w:r>
        <w:rPr>
          <w:spacing w:val="-16"/>
          <w:sz w:val="22"/>
        </w:rPr>
        <w:t> </w:t>
      </w:r>
      <w:r>
        <w:rPr>
          <w:sz w:val="22"/>
        </w:rPr>
        <w:t>Colombia</w:t>
      </w:r>
      <w:r>
        <w:rPr>
          <w:spacing w:val="-15"/>
          <w:sz w:val="22"/>
        </w:rPr>
        <w:t> </w:t>
      </w:r>
      <w:r>
        <w:rPr>
          <w:sz w:val="22"/>
        </w:rPr>
        <w:t>y</w:t>
      </w:r>
      <w:r>
        <w:rPr>
          <w:spacing w:val="-15"/>
          <w:sz w:val="22"/>
        </w:rPr>
        <w:t> </w:t>
      </w:r>
      <w:r>
        <w:rPr>
          <w:sz w:val="22"/>
        </w:rPr>
        <w:t>a</w:t>
      </w:r>
      <w:r>
        <w:rPr>
          <w:spacing w:val="-16"/>
          <w:sz w:val="22"/>
        </w:rPr>
        <w:t> </w:t>
      </w:r>
      <w:r>
        <w:rPr>
          <w:sz w:val="22"/>
        </w:rPr>
        <w:t>la</w:t>
      </w:r>
      <w:r>
        <w:rPr>
          <w:spacing w:val="-15"/>
          <w:sz w:val="22"/>
        </w:rPr>
        <w:t> </w:t>
      </w:r>
      <w:r>
        <w:rPr>
          <w:sz w:val="22"/>
        </w:rPr>
        <w:t>República del Ecuador, respectivamente, su colaboración para la realización de visitas de verificación </w:t>
      </w:r>
      <w:r>
        <w:rPr>
          <w:rFonts w:ascii="Arial" w:hAnsi="Arial"/>
          <w:i/>
          <w:sz w:val="22"/>
        </w:rPr>
        <w:t>in situ </w:t>
      </w:r>
      <w:r>
        <w:rPr>
          <w:sz w:val="22"/>
        </w:rPr>
        <w:t>en el marco de la investigación. A la comunicación remitida a la República de Colombia se adjuntó el cronograma propuesto de visitas, el cual contemplaba las fechas programadas y las instituciones con las que se mantendrían </w:t>
      </w:r>
      <w:r>
        <w:rPr>
          <w:spacing w:val="-2"/>
          <w:sz w:val="22"/>
        </w:rPr>
        <w:t>reuniones</w:t>
      </w:r>
      <w:hyperlink w:history="true" w:anchor="_bookmark70">
        <w:r>
          <w:rPr>
            <w:spacing w:val="-2"/>
            <w:sz w:val="22"/>
            <w:vertAlign w:val="superscript"/>
          </w:rPr>
          <w:t>3</w:t>
        </w:r>
      </w:hyperlink>
      <w:r>
        <w:rPr>
          <w:spacing w:val="-2"/>
          <w:sz w:val="22"/>
          <w:vertAlign w:val="baseline"/>
        </w:rPr>
        <w:t>.</w:t>
      </w:r>
    </w:p>
    <w:p>
      <w:pPr>
        <w:pStyle w:val="ListParagraph"/>
        <w:numPr>
          <w:ilvl w:val="0"/>
          <w:numId w:val="50"/>
        </w:numPr>
        <w:tabs>
          <w:tab w:pos="1131" w:val="left" w:leader="none"/>
          <w:tab w:pos="1134" w:val="left" w:leader="none"/>
        </w:tabs>
        <w:spacing w:line="240" w:lineRule="auto" w:before="253" w:after="0"/>
        <w:ind w:left="1134" w:right="977" w:hanging="567"/>
        <w:jc w:val="both"/>
        <w:rPr>
          <w:sz w:val="22"/>
        </w:rPr>
      </w:pPr>
      <w:r>
        <w:rPr>
          <w:sz w:val="22"/>
        </w:rPr>
        <w:t>Que, el 19 de marzo de 2026, mediante comunicación SG/E/DGCOM/502/2026, la SGCAN solicitó a la Cámara de Comercio del Putumayo su colaboración para la realización</w:t>
      </w:r>
      <w:r>
        <w:rPr>
          <w:spacing w:val="-12"/>
          <w:sz w:val="22"/>
        </w:rPr>
        <w:t> </w:t>
      </w:r>
      <w:r>
        <w:rPr>
          <w:sz w:val="22"/>
        </w:rPr>
        <w:t>de</w:t>
      </w:r>
      <w:r>
        <w:rPr>
          <w:spacing w:val="-11"/>
          <w:sz w:val="22"/>
        </w:rPr>
        <w:t> </w:t>
      </w:r>
      <w:r>
        <w:rPr>
          <w:sz w:val="22"/>
        </w:rPr>
        <w:t>visitas</w:t>
      </w:r>
      <w:r>
        <w:rPr>
          <w:spacing w:val="-11"/>
          <w:sz w:val="22"/>
        </w:rPr>
        <w:t> </w:t>
      </w:r>
      <w:r>
        <w:rPr>
          <w:sz w:val="22"/>
        </w:rPr>
        <w:t>de</w:t>
      </w:r>
      <w:r>
        <w:rPr>
          <w:spacing w:val="-16"/>
          <w:sz w:val="22"/>
        </w:rPr>
        <w:t> </w:t>
      </w:r>
      <w:r>
        <w:rPr>
          <w:sz w:val="22"/>
        </w:rPr>
        <w:t>verificación</w:t>
      </w:r>
      <w:r>
        <w:rPr>
          <w:spacing w:val="-10"/>
          <w:sz w:val="22"/>
        </w:rPr>
        <w:t> </w:t>
      </w:r>
      <w:r>
        <w:rPr>
          <w:rFonts w:ascii="Arial" w:hAnsi="Arial"/>
          <w:i/>
          <w:sz w:val="22"/>
        </w:rPr>
        <w:t>in</w:t>
      </w:r>
      <w:r>
        <w:rPr>
          <w:rFonts w:ascii="Arial" w:hAnsi="Arial"/>
          <w:i/>
          <w:spacing w:val="-11"/>
          <w:sz w:val="22"/>
        </w:rPr>
        <w:t> </w:t>
      </w:r>
      <w:r>
        <w:rPr>
          <w:rFonts w:ascii="Arial" w:hAnsi="Arial"/>
          <w:i/>
          <w:sz w:val="22"/>
        </w:rPr>
        <w:t>situ,</w:t>
      </w:r>
      <w:r>
        <w:rPr>
          <w:rFonts w:ascii="Arial" w:hAnsi="Arial"/>
          <w:i/>
          <w:spacing w:val="-10"/>
          <w:sz w:val="22"/>
        </w:rPr>
        <w:t> </w:t>
      </w:r>
      <w:r>
        <w:rPr>
          <w:sz w:val="22"/>
        </w:rPr>
        <w:t>en</w:t>
      </w:r>
      <w:r>
        <w:rPr>
          <w:spacing w:val="-14"/>
          <w:sz w:val="22"/>
        </w:rPr>
        <w:t> </w:t>
      </w:r>
      <w:r>
        <w:rPr>
          <w:sz w:val="22"/>
        </w:rPr>
        <w:t>el</w:t>
      </w:r>
      <w:r>
        <w:rPr>
          <w:spacing w:val="-15"/>
          <w:sz w:val="22"/>
        </w:rPr>
        <w:t> </w:t>
      </w:r>
      <w:r>
        <w:rPr>
          <w:sz w:val="22"/>
        </w:rPr>
        <w:t>marco</w:t>
      </w:r>
      <w:r>
        <w:rPr>
          <w:spacing w:val="-13"/>
          <w:sz w:val="22"/>
        </w:rPr>
        <w:t> </w:t>
      </w:r>
      <w:r>
        <w:rPr>
          <w:sz w:val="22"/>
        </w:rPr>
        <w:t>de</w:t>
      </w:r>
      <w:r>
        <w:rPr>
          <w:spacing w:val="-12"/>
          <w:sz w:val="22"/>
        </w:rPr>
        <w:t> </w:t>
      </w:r>
      <w:r>
        <w:rPr>
          <w:sz w:val="22"/>
        </w:rPr>
        <w:t>la</w:t>
      </w:r>
      <w:r>
        <w:rPr>
          <w:spacing w:val="-11"/>
          <w:sz w:val="22"/>
        </w:rPr>
        <w:t> </w:t>
      </w:r>
      <w:r>
        <w:rPr>
          <w:sz w:val="22"/>
        </w:rPr>
        <w:t>investigación,</w:t>
      </w:r>
      <w:r>
        <w:rPr>
          <w:spacing w:val="-10"/>
          <w:sz w:val="22"/>
        </w:rPr>
        <w:t> </w:t>
      </w:r>
      <w:r>
        <w:rPr>
          <w:sz w:val="22"/>
        </w:rPr>
        <w:t>con</w:t>
      </w:r>
      <w:r>
        <w:rPr>
          <w:spacing w:val="-14"/>
          <w:sz w:val="22"/>
        </w:rPr>
        <w:t> </w:t>
      </w:r>
      <w:r>
        <w:rPr>
          <w:sz w:val="22"/>
        </w:rPr>
        <w:t>el</w:t>
      </w:r>
      <w:r>
        <w:rPr>
          <w:spacing w:val="-12"/>
          <w:sz w:val="22"/>
        </w:rPr>
        <w:t> </w:t>
      </w:r>
      <w:r>
        <w:rPr>
          <w:sz w:val="22"/>
        </w:rPr>
        <w:t>objeto de</w:t>
      </w:r>
      <w:r>
        <w:rPr>
          <w:spacing w:val="-13"/>
          <w:sz w:val="22"/>
        </w:rPr>
        <w:t> </w:t>
      </w:r>
      <w:r>
        <w:rPr>
          <w:sz w:val="22"/>
        </w:rPr>
        <w:t>verificar</w:t>
      </w:r>
      <w:r>
        <w:rPr>
          <w:spacing w:val="-11"/>
          <w:sz w:val="22"/>
        </w:rPr>
        <w:t> </w:t>
      </w:r>
      <w:r>
        <w:rPr>
          <w:sz w:val="22"/>
        </w:rPr>
        <w:t>los</w:t>
      </w:r>
      <w:r>
        <w:rPr>
          <w:spacing w:val="-15"/>
          <w:sz w:val="22"/>
        </w:rPr>
        <w:t> </w:t>
      </w:r>
      <w:r>
        <w:rPr>
          <w:sz w:val="22"/>
        </w:rPr>
        <w:t>posibles</w:t>
      </w:r>
      <w:r>
        <w:rPr>
          <w:spacing w:val="-12"/>
          <w:sz w:val="22"/>
        </w:rPr>
        <w:t> </w:t>
      </w:r>
      <w:r>
        <w:rPr>
          <w:sz w:val="22"/>
        </w:rPr>
        <w:t>efectos</w:t>
      </w:r>
      <w:r>
        <w:rPr>
          <w:spacing w:val="-14"/>
          <w:sz w:val="22"/>
        </w:rPr>
        <w:t> </w:t>
      </w:r>
      <w:r>
        <w:rPr>
          <w:sz w:val="22"/>
        </w:rPr>
        <w:t>de</w:t>
      </w:r>
      <w:r>
        <w:rPr>
          <w:spacing w:val="-15"/>
          <w:sz w:val="22"/>
        </w:rPr>
        <w:t> </w:t>
      </w:r>
      <w:r>
        <w:rPr>
          <w:sz w:val="22"/>
        </w:rPr>
        <w:t>las</w:t>
      </w:r>
      <w:r>
        <w:rPr>
          <w:spacing w:val="-14"/>
          <w:sz w:val="22"/>
        </w:rPr>
        <w:t> </w:t>
      </w:r>
      <w:r>
        <w:rPr>
          <w:sz w:val="22"/>
        </w:rPr>
        <w:t>medidas</w:t>
      </w:r>
      <w:r>
        <w:rPr>
          <w:spacing w:val="-12"/>
          <w:sz w:val="22"/>
        </w:rPr>
        <w:t> </w:t>
      </w:r>
      <w:r>
        <w:rPr>
          <w:sz w:val="22"/>
        </w:rPr>
        <w:t>adoptadas</w:t>
      </w:r>
      <w:r>
        <w:rPr>
          <w:spacing w:val="-12"/>
          <w:sz w:val="22"/>
        </w:rPr>
        <w:t> </w:t>
      </w:r>
      <w:r>
        <w:rPr>
          <w:sz w:val="22"/>
        </w:rPr>
        <w:t>por</w:t>
      </w:r>
      <w:r>
        <w:rPr>
          <w:spacing w:val="-13"/>
          <w:sz w:val="22"/>
        </w:rPr>
        <w:t> </w:t>
      </w:r>
      <w:r>
        <w:rPr>
          <w:sz w:val="22"/>
        </w:rPr>
        <w:t>la</w:t>
      </w:r>
      <w:r>
        <w:rPr>
          <w:spacing w:val="-12"/>
          <w:sz w:val="22"/>
        </w:rPr>
        <w:t> </w:t>
      </w:r>
      <w:r>
        <w:rPr>
          <w:sz w:val="22"/>
        </w:rPr>
        <w:t>República</w:t>
      </w:r>
      <w:r>
        <w:rPr>
          <w:spacing w:val="-15"/>
          <w:sz w:val="22"/>
        </w:rPr>
        <w:t> </w:t>
      </w:r>
      <w:r>
        <w:rPr>
          <w:sz w:val="22"/>
        </w:rPr>
        <w:t>de</w:t>
      </w:r>
      <w:r>
        <w:rPr>
          <w:spacing w:val="-13"/>
          <w:sz w:val="22"/>
        </w:rPr>
        <w:t> </w:t>
      </w:r>
      <w:r>
        <w:rPr>
          <w:sz w:val="22"/>
        </w:rPr>
        <w:t>Colombia mediante el Decreto 0170.</w:t>
      </w:r>
    </w:p>
    <w:p>
      <w:pPr>
        <w:pStyle w:val="BodyText"/>
        <w:spacing w:before="1"/>
      </w:pPr>
    </w:p>
    <w:p>
      <w:pPr>
        <w:pStyle w:val="ListParagraph"/>
        <w:numPr>
          <w:ilvl w:val="0"/>
          <w:numId w:val="50"/>
        </w:numPr>
        <w:tabs>
          <w:tab w:pos="1131" w:val="left" w:leader="none"/>
          <w:tab w:pos="1134" w:val="left" w:leader="none"/>
        </w:tabs>
        <w:spacing w:line="240" w:lineRule="auto" w:before="1" w:after="0"/>
        <w:ind w:left="1134" w:right="978" w:hanging="567"/>
        <w:jc w:val="both"/>
        <w:rPr>
          <w:sz w:val="22"/>
        </w:rPr>
      </w:pPr>
      <w:r>
        <w:rPr>
          <w:sz w:val="22"/>
        </w:rPr>
        <w:t>Que, mediante Radicado N° 2-2026-008264 de 20 de marzo de 2026, la República de Colombia solicitó el aplazamiento de las visitas de verificación programadas por la SGCAN, argumentando, entre otras razones, que las agendas de los funcionarios se encontraban altamente comprometidas debido a los procesos administrativos y de rendición de cuentas propios del cierre del periodo constitucional de gobierno, lo cual limitaba la disponibilidad inmediata de los equipos de alto nivel</w:t>
      </w:r>
      <w:hyperlink w:history="true" w:anchor="_bookmark71">
        <w:r>
          <w:rPr>
            <w:sz w:val="22"/>
            <w:vertAlign w:val="superscript"/>
          </w:rPr>
          <w:t>4</w:t>
        </w:r>
      </w:hyperlink>
      <w:r>
        <w:rPr>
          <w:sz w:val="22"/>
          <w:vertAlign w:val="baseline"/>
        </w:rPr>
        <w:t>. No obstante, en la misma</w:t>
      </w:r>
      <w:r>
        <w:rPr>
          <w:spacing w:val="-11"/>
          <w:sz w:val="22"/>
          <w:vertAlign w:val="baseline"/>
        </w:rPr>
        <w:t> </w:t>
      </w:r>
      <w:r>
        <w:rPr>
          <w:sz w:val="22"/>
          <w:vertAlign w:val="baseline"/>
        </w:rPr>
        <w:t>fecha,</w:t>
      </w:r>
      <w:r>
        <w:rPr>
          <w:spacing w:val="-9"/>
          <w:sz w:val="22"/>
          <w:vertAlign w:val="baseline"/>
        </w:rPr>
        <w:t> </w:t>
      </w:r>
      <w:r>
        <w:rPr>
          <w:sz w:val="22"/>
          <w:vertAlign w:val="baseline"/>
        </w:rPr>
        <w:t>mediante</w:t>
      </w:r>
      <w:r>
        <w:rPr>
          <w:spacing w:val="-11"/>
          <w:sz w:val="22"/>
          <w:vertAlign w:val="baseline"/>
        </w:rPr>
        <w:t> </w:t>
      </w:r>
      <w:r>
        <w:rPr>
          <w:sz w:val="22"/>
          <w:vertAlign w:val="baseline"/>
        </w:rPr>
        <w:t>comunicación</w:t>
      </w:r>
      <w:r>
        <w:rPr>
          <w:spacing w:val="-9"/>
          <w:sz w:val="22"/>
          <w:vertAlign w:val="baseline"/>
        </w:rPr>
        <w:t> </w:t>
      </w:r>
      <w:r>
        <w:rPr>
          <w:sz w:val="22"/>
          <w:vertAlign w:val="baseline"/>
        </w:rPr>
        <w:t>SG/E/DGCOM/559/2026,</w:t>
      </w:r>
      <w:r>
        <w:rPr>
          <w:spacing w:val="-7"/>
          <w:sz w:val="22"/>
          <w:vertAlign w:val="baseline"/>
        </w:rPr>
        <w:t> </w:t>
      </w:r>
      <w:r>
        <w:rPr>
          <w:sz w:val="22"/>
          <w:vertAlign w:val="baseline"/>
        </w:rPr>
        <w:t>la</w:t>
      </w:r>
      <w:r>
        <w:rPr>
          <w:spacing w:val="-11"/>
          <w:sz w:val="22"/>
          <w:vertAlign w:val="baseline"/>
        </w:rPr>
        <w:t> </w:t>
      </w:r>
      <w:r>
        <w:rPr>
          <w:sz w:val="22"/>
          <w:vertAlign w:val="baseline"/>
        </w:rPr>
        <w:t>SGCAN</w:t>
      </w:r>
      <w:r>
        <w:rPr>
          <w:spacing w:val="-5"/>
          <w:sz w:val="22"/>
          <w:vertAlign w:val="baseline"/>
        </w:rPr>
        <w:t> </w:t>
      </w:r>
      <w:r>
        <w:rPr>
          <w:sz w:val="22"/>
          <w:vertAlign w:val="baseline"/>
        </w:rPr>
        <w:t>le</w:t>
      </w:r>
      <w:r>
        <w:rPr>
          <w:spacing w:val="-8"/>
          <w:sz w:val="22"/>
          <w:vertAlign w:val="baseline"/>
        </w:rPr>
        <w:t> </w:t>
      </w:r>
      <w:r>
        <w:rPr>
          <w:sz w:val="22"/>
          <w:vertAlign w:val="baseline"/>
        </w:rPr>
        <w:t>informó</w:t>
      </w:r>
      <w:r>
        <w:rPr>
          <w:spacing w:val="-8"/>
          <w:sz w:val="22"/>
          <w:vertAlign w:val="baseline"/>
        </w:rPr>
        <w:t> </w:t>
      </w:r>
      <w:r>
        <w:rPr>
          <w:sz w:val="22"/>
          <w:vertAlign w:val="baseline"/>
        </w:rPr>
        <w:t>la imposibilidad de acceder al aplazamiento solicitado, en razón a los plazos perentorios</w:t>
      </w:r>
    </w:p>
    <w:p>
      <w:pPr>
        <w:pStyle w:val="BodyText"/>
        <w:rPr>
          <w:sz w:val="20"/>
        </w:rPr>
      </w:pPr>
    </w:p>
    <w:p>
      <w:pPr>
        <w:pStyle w:val="BodyText"/>
        <w:spacing w:before="23"/>
        <w:rPr>
          <w:sz w:val="20"/>
        </w:rPr>
      </w:pPr>
      <w:r>
        <w:rPr>
          <w:sz w:val="20"/>
        </w:rPr>
        <mc:AlternateContent>
          <mc:Choice Requires="wps">
            <w:drawing>
              <wp:anchor distT="0" distB="0" distL="0" distR="0" allowOverlap="1" layoutInCell="1" locked="0" behindDoc="1" simplePos="0" relativeHeight="487628288">
                <wp:simplePos x="0" y="0"/>
                <wp:positionH relativeFrom="page">
                  <wp:posOffset>990904</wp:posOffset>
                </wp:positionH>
                <wp:positionV relativeFrom="paragraph">
                  <wp:posOffset>176498</wp:posOffset>
                </wp:positionV>
                <wp:extent cx="1829435" cy="7620"/>
                <wp:effectExtent l="0" t="0" r="0" b="0"/>
                <wp:wrapTopAndBottom/>
                <wp:docPr id="393" name="Graphic 393"/>
                <wp:cNvGraphicFramePr>
                  <a:graphicFrameLocks/>
                </wp:cNvGraphicFramePr>
                <a:graphic>
                  <a:graphicData uri="http://schemas.microsoft.com/office/word/2010/wordprocessingShape">
                    <wps:wsp>
                      <wps:cNvPr id="393" name="Graphic 393"/>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3.897499pt;width:144.020pt;height:.60004pt;mso-position-horizontal-relative:page;mso-position-vertical-relative:paragraph;z-index:-15688192;mso-wrap-distance-left:0;mso-wrap-distance-right:0" id="docshape280" filled="true" fillcolor="#000000" stroked="false">
                <v:fill type="solid"/>
                <w10:wrap type="topAndBottom"/>
              </v:rect>
            </w:pict>
          </mc:Fallback>
        </mc:AlternateContent>
      </w:r>
    </w:p>
    <w:p>
      <w:pPr>
        <w:spacing w:before="92"/>
        <w:ind w:left="710" w:right="955" w:hanging="142"/>
        <w:jc w:val="left"/>
        <w:rPr>
          <w:sz w:val="16"/>
        </w:rPr>
      </w:pPr>
      <w:bookmarkStart w:name="_bookmark68" w:id="70"/>
      <w:bookmarkEnd w:id="70"/>
      <w:r>
        <w:rPr/>
      </w:r>
      <w:r>
        <w:rPr>
          <w:sz w:val="16"/>
          <w:vertAlign w:val="superscript"/>
        </w:rPr>
        <w:t>1</w:t>
      </w:r>
      <w:r>
        <w:rPr>
          <w:sz w:val="16"/>
          <w:vertAlign w:val="baseline"/>
        </w:rPr>
        <w:t> Expediente DGCOM/GRAV-REST/002/2026: Solicitud de calificación del Decreto colombiano Nro. 0170 como gravamen y</w:t>
      </w:r>
      <w:r>
        <w:rPr>
          <w:spacing w:val="80"/>
          <w:sz w:val="16"/>
          <w:vertAlign w:val="baseline"/>
        </w:rPr>
        <w:t> </w:t>
      </w:r>
      <w:r>
        <w:rPr>
          <w:sz w:val="16"/>
          <w:vertAlign w:val="baseline"/>
        </w:rPr>
        <w:t>restricción al comercio intracomunitario andino, folio 000182.</w:t>
      </w:r>
    </w:p>
    <w:p>
      <w:pPr>
        <w:spacing w:line="184" w:lineRule="exact" w:before="0"/>
        <w:ind w:left="568" w:right="0" w:firstLine="0"/>
        <w:jc w:val="left"/>
        <w:rPr>
          <w:sz w:val="16"/>
        </w:rPr>
      </w:pPr>
      <w:bookmarkStart w:name="_bookmark69" w:id="71"/>
      <w:bookmarkEnd w:id="71"/>
      <w:r>
        <w:rPr/>
      </w:r>
      <w:r>
        <w:rPr>
          <w:sz w:val="16"/>
          <w:vertAlign w:val="superscript"/>
        </w:rPr>
        <w:t>2</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000199.</w:t>
      </w:r>
    </w:p>
    <w:p>
      <w:pPr>
        <w:spacing w:before="1"/>
        <w:ind w:left="710" w:right="955" w:hanging="142"/>
        <w:jc w:val="left"/>
        <w:rPr>
          <w:sz w:val="16"/>
        </w:rPr>
      </w:pPr>
      <w:bookmarkStart w:name="_bookmark70" w:id="72"/>
      <w:bookmarkEnd w:id="72"/>
      <w:r>
        <w:rPr/>
      </w:r>
      <w:r>
        <w:rPr>
          <w:sz w:val="16"/>
          <w:vertAlign w:val="superscript"/>
        </w:rPr>
        <w:t>3</w:t>
      </w:r>
      <w:r>
        <w:rPr>
          <w:sz w:val="16"/>
          <w:vertAlign w:val="baseline"/>
        </w:rPr>
        <w:t> Las visitas de verificación se realizarían del 23 al 27 de marzo de 2026. El cronograma propuesto contemplaba visitas a las regiones del Putumayo y Bogotá.</w:t>
      </w:r>
    </w:p>
    <w:p>
      <w:pPr>
        <w:spacing w:after="0"/>
        <w:jc w:val="left"/>
        <w:rPr>
          <w:sz w:val="16"/>
        </w:rPr>
        <w:sectPr>
          <w:headerReference w:type="default" r:id="rId62"/>
          <w:footerReference w:type="default" r:id="rId63"/>
          <w:pgSz w:w="11900" w:h="16850"/>
          <w:pgMar w:header="370" w:footer="651" w:top="1380" w:bottom="840" w:left="992" w:right="283"/>
        </w:sectPr>
      </w:pPr>
    </w:p>
    <w:p>
      <w:pPr>
        <w:pStyle w:val="BodyText"/>
        <w:spacing w:before="176"/>
      </w:pPr>
    </w:p>
    <w:p>
      <w:pPr>
        <w:pStyle w:val="BodyText"/>
        <w:ind w:left="1134" w:right="955"/>
      </w:pPr>
      <w:r>
        <w:rPr/>
        <w:t>establecidos</w:t>
      </w:r>
      <w:r>
        <w:rPr>
          <w:spacing w:val="40"/>
        </w:rPr>
        <w:t> </w:t>
      </w:r>
      <w:r>
        <w:rPr/>
        <w:t>en</w:t>
      </w:r>
      <w:r>
        <w:rPr>
          <w:spacing w:val="40"/>
        </w:rPr>
        <w:t> </w:t>
      </w:r>
      <w:r>
        <w:rPr/>
        <w:t>la</w:t>
      </w:r>
      <w:r>
        <w:rPr>
          <w:spacing w:val="40"/>
        </w:rPr>
        <w:t> </w:t>
      </w:r>
      <w:r>
        <w:rPr/>
        <w:t>Decisión</w:t>
      </w:r>
      <w:r>
        <w:rPr>
          <w:spacing w:val="40"/>
        </w:rPr>
        <w:t> </w:t>
      </w:r>
      <w:r>
        <w:rPr/>
        <w:t>425,</w:t>
      </w:r>
      <w:r>
        <w:rPr>
          <w:spacing w:val="40"/>
        </w:rPr>
        <w:t> </w:t>
      </w:r>
      <w:r>
        <w:rPr/>
        <w:t>así</w:t>
      </w:r>
      <w:r>
        <w:rPr>
          <w:spacing w:val="40"/>
        </w:rPr>
        <w:t> </w:t>
      </w:r>
      <w:r>
        <w:rPr/>
        <w:t>como</w:t>
      </w:r>
      <w:r>
        <w:rPr>
          <w:spacing w:val="40"/>
        </w:rPr>
        <w:t> </w:t>
      </w:r>
      <w:r>
        <w:rPr/>
        <w:t>a</w:t>
      </w:r>
      <w:r>
        <w:rPr>
          <w:spacing w:val="40"/>
        </w:rPr>
        <w:t> </w:t>
      </w:r>
      <w:r>
        <w:rPr/>
        <w:t>que</w:t>
      </w:r>
      <w:r>
        <w:rPr>
          <w:spacing w:val="40"/>
        </w:rPr>
        <w:t> </w:t>
      </w:r>
      <w:r>
        <w:rPr/>
        <w:t>ya</w:t>
      </w:r>
      <w:r>
        <w:rPr>
          <w:spacing w:val="40"/>
        </w:rPr>
        <w:t> </w:t>
      </w:r>
      <w:r>
        <w:rPr/>
        <w:t>se</w:t>
      </w:r>
      <w:r>
        <w:rPr>
          <w:spacing w:val="40"/>
        </w:rPr>
        <w:t> </w:t>
      </w:r>
      <w:r>
        <w:rPr/>
        <w:t>encontraban</w:t>
      </w:r>
      <w:r>
        <w:rPr>
          <w:spacing w:val="37"/>
        </w:rPr>
        <w:t> </w:t>
      </w:r>
      <w:r>
        <w:rPr/>
        <w:t>programadas reuniones con el sector privado en las fechas previstas en el cronograma remitido.</w:t>
      </w:r>
    </w:p>
    <w:p>
      <w:pPr>
        <w:pStyle w:val="BodyText"/>
      </w:pPr>
    </w:p>
    <w:p>
      <w:pPr>
        <w:pStyle w:val="ListParagraph"/>
        <w:numPr>
          <w:ilvl w:val="0"/>
          <w:numId w:val="50"/>
        </w:numPr>
        <w:tabs>
          <w:tab w:pos="1131" w:val="left" w:leader="none"/>
          <w:tab w:pos="1134" w:val="left" w:leader="none"/>
        </w:tabs>
        <w:spacing w:line="240" w:lineRule="auto" w:before="0" w:after="0"/>
        <w:ind w:left="1134" w:right="978" w:hanging="567"/>
        <w:jc w:val="both"/>
        <w:rPr>
          <w:sz w:val="22"/>
        </w:rPr>
      </w:pPr>
      <w:r>
        <w:rPr>
          <w:sz w:val="22"/>
        </w:rPr>
        <w:t>Que, el 31</w:t>
      </w:r>
      <w:r>
        <w:rPr>
          <w:spacing w:val="-2"/>
          <w:sz w:val="22"/>
        </w:rPr>
        <w:t> </w:t>
      </w:r>
      <w:r>
        <w:rPr>
          <w:sz w:val="22"/>
        </w:rPr>
        <w:t>de marzo de</w:t>
      </w:r>
      <w:r>
        <w:rPr>
          <w:spacing w:val="-2"/>
          <w:sz w:val="22"/>
        </w:rPr>
        <w:t> </w:t>
      </w:r>
      <w:r>
        <w:rPr>
          <w:sz w:val="22"/>
        </w:rPr>
        <w:t>2026, mediante Radicado No. 2-2026-009113, la República de Colombia solicitó una prórroga de 10 días hábiles para presentar su respuesta a la solicitud de calificación de gravamen y restricción de las medidas contenidas en el Decreto 0170, así</w:t>
      </w:r>
      <w:r>
        <w:rPr>
          <w:spacing w:val="-1"/>
          <w:sz w:val="22"/>
        </w:rPr>
        <w:t> </w:t>
      </w:r>
      <w:r>
        <w:rPr>
          <w:sz w:val="22"/>
        </w:rPr>
        <w:t>como</w:t>
      </w:r>
      <w:r>
        <w:rPr>
          <w:spacing w:val="-5"/>
          <w:sz w:val="22"/>
        </w:rPr>
        <w:t> </w:t>
      </w:r>
      <w:r>
        <w:rPr>
          <w:sz w:val="22"/>
        </w:rPr>
        <w:t>a la solicitud</w:t>
      </w:r>
      <w:r>
        <w:rPr>
          <w:spacing w:val="-1"/>
          <w:sz w:val="22"/>
        </w:rPr>
        <w:t> </w:t>
      </w:r>
      <w:r>
        <w:rPr>
          <w:sz w:val="22"/>
        </w:rPr>
        <w:t>de</w:t>
      </w:r>
      <w:r>
        <w:rPr>
          <w:spacing w:val="-1"/>
          <w:sz w:val="22"/>
        </w:rPr>
        <w:t> </w:t>
      </w:r>
      <w:r>
        <w:rPr>
          <w:sz w:val="22"/>
        </w:rPr>
        <w:t>información requerida</w:t>
      </w:r>
      <w:r>
        <w:rPr>
          <w:spacing w:val="-2"/>
          <w:sz w:val="22"/>
        </w:rPr>
        <w:t> </w:t>
      </w:r>
      <w:r>
        <w:rPr>
          <w:sz w:val="22"/>
        </w:rPr>
        <w:t>mediante</w:t>
      </w:r>
      <w:r>
        <w:rPr>
          <w:spacing w:val="-3"/>
          <w:sz w:val="22"/>
        </w:rPr>
        <w:t> </w:t>
      </w:r>
      <w:r>
        <w:rPr>
          <w:sz w:val="22"/>
        </w:rPr>
        <w:t>comunicación SG/E/DGCOM/478/2026 de 13 de marzo de 2026</w:t>
      </w:r>
      <w:hyperlink w:history="true" w:anchor="_bookmark72">
        <w:r>
          <w:rPr>
            <w:sz w:val="22"/>
            <w:vertAlign w:val="superscript"/>
          </w:rPr>
          <w:t>5</w:t>
        </w:r>
      </w:hyperlink>
      <w:r>
        <w:rPr>
          <w:sz w:val="22"/>
          <w:vertAlign w:val="baseline"/>
        </w:rPr>
        <w:t>, debido a la carga laboral y administrativa del personal del área de defensa comercial.</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Que, el 01 de abril de 2026, mediante comunicación SG/E/DGCOM/613/2026, la SGCAN concedió un plazo de diez (10) hábiles adicionales para que la República de Colombia brinde su respuesta y remita la información solicitada. Asimismo, se precisó, respecto</w:t>
      </w:r>
      <w:r>
        <w:rPr>
          <w:spacing w:val="-13"/>
          <w:sz w:val="22"/>
        </w:rPr>
        <w:t> </w:t>
      </w:r>
      <w:r>
        <w:rPr>
          <w:sz w:val="22"/>
        </w:rPr>
        <w:t>del</w:t>
      </w:r>
      <w:r>
        <w:rPr>
          <w:spacing w:val="-12"/>
          <w:sz w:val="22"/>
        </w:rPr>
        <w:t> </w:t>
      </w:r>
      <w:r>
        <w:rPr>
          <w:sz w:val="22"/>
        </w:rPr>
        <w:t>pedido</w:t>
      </w:r>
      <w:r>
        <w:rPr>
          <w:spacing w:val="-14"/>
          <w:sz w:val="22"/>
        </w:rPr>
        <w:t> </w:t>
      </w:r>
      <w:r>
        <w:rPr>
          <w:sz w:val="22"/>
        </w:rPr>
        <w:t>de</w:t>
      </w:r>
      <w:r>
        <w:rPr>
          <w:spacing w:val="-12"/>
          <w:sz w:val="22"/>
        </w:rPr>
        <w:t> </w:t>
      </w:r>
      <w:r>
        <w:rPr>
          <w:sz w:val="22"/>
        </w:rPr>
        <w:t>la</w:t>
      </w:r>
      <w:r>
        <w:rPr>
          <w:spacing w:val="-14"/>
          <w:sz w:val="22"/>
        </w:rPr>
        <w:t> </w:t>
      </w:r>
      <w:r>
        <w:rPr>
          <w:sz w:val="22"/>
        </w:rPr>
        <w:t>República</w:t>
      </w:r>
      <w:r>
        <w:rPr>
          <w:spacing w:val="-11"/>
          <w:sz w:val="22"/>
        </w:rPr>
        <w:t> </w:t>
      </w:r>
      <w:r>
        <w:rPr>
          <w:sz w:val="22"/>
        </w:rPr>
        <w:t>de</w:t>
      </w:r>
      <w:r>
        <w:rPr>
          <w:spacing w:val="-12"/>
          <w:sz w:val="22"/>
        </w:rPr>
        <w:t> </w:t>
      </w:r>
      <w:r>
        <w:rPr>
          <w:sz w:val="22"/>
        </w:rPr>
        <w:t>Colombia</w:t>
      </w:r>
      <w:r>
        <w:rPr>
          <w:spacing w:val="-14"/>
          <w:sz w:val="22"/>
        </w:rPr>
        <w:t> </w:t>
      </w:r>
      <w:r>
        <w:rPr>
          <w:sz w:val="22"/>
        </w:rPr>
        <w:t>sobre</w:t>
      </w:r>
      <w:r>
        <w:rPr>
          <w:spacing w:val="-11"/>
          <w:sz w:val="22"/>
        </w:rPr>
        <w:t> </w:t>
      </w:r>
      <w:r>
        <w:rPr>
          <w:sz w:val="22"/>
        </w:rPr>
        <w:t>la</w:t>
      </w:r>
      <w:r>
        <w:rPr>
          <w:spacing w:val="-14"/>
          <w:sz w:val="22"/>
        </w:rPr>
        <w:t> </w:t>
      </w:r>
      <w:r>
        <w:rPr>
          <w:sz w:val="22"/>
        </w:rPr>
        <w:t>información</w:t>
      </w:r>
      <w:r>
        <w:rPr>
          <w:spacing w:val="-14"/>
          <w:sz w:val="22"/>
        </w:rPr>
        <w:t> </w:t>
      </w:r>
      <w:r>
        <w:rPr>
          <w:sz w:val="22"/>
        </w:rPr>
        <w:t>recabada</w:t>
      </w:r>
      <w:r>
        <w:rPr>
          <w:spacing w:val="-12"/>
          <w:sz w:val="22"/>
        </w:rPr>
        <w:t> </w:t>
      </w:r>
      <w:r>
        <w:rPr>
          <w:sz w:val="22"/>
        </w:rPr>
        <w:t>durante las visitas de verificación, que esta sería remitida una vez que se cuente con las actas debidamente consensuadas y suscritas.</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Que, el 15 de abril de 2026, mediante comunicación SG/E/DGCOM/720/2026, la SGCAN remitió a la República de Colombia la documentación recabada durante las visitas de verificación realizadas entre el 22 y 27 de marzo de 2026. Dicha documentación estuvo conformada por cinco (5) documentos: Gobernación del Putumayo (3), la Cámara Colombo Ecuatoriana (1) y la Asociación Nacional de Comercio Exterior (1). Asimismo, mediante comunicación SG/E/DGCOM/721/2026, puso en conocimiento de los demás Países Miembros la referida comunicación.</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Que, el 17 de abril de 2026, mediante correo electrónico, la República de Colombia solicitó a la SGCAN copias de las actas de las visitas de verificación realizadas en el marco</w:t>
      </w:r>
      <w:r>
        <w:rPr>
          <w:spacing w:val="-1"/>
          <w:sz w:val="22"/>
        </w:rPr>
        <w:t> </w:t>
      </w:r>
      <w:r>
        <w:rPr>
          <w:sz w:val="22"/>
        </w:rPr>
        <w:t>de este procedimiento y</w:t>
      </w:r>
      <w:r>
        <w:rPr>
          <w:spacing w:val="-2"/>
          <w:sz w:val="22"/>
        </w:rPr>
        <w:t> </w:t>
      </w:r>
      <w:r>
        <w:rPr>
          <w:sz w:val="22"/>
        </w:rPr>
        <w:t>de otros</w:t>
      </w:r>
      <w:r>
        <w:rPr>
          <w:spacing w:val="-2"/>
          <w:sz w:val="22"/>
        </w:rPr>
        <w:t> </w:t>
      </w:r>
      <w:r>
        <w:rPr>
          <w:sz w:val="22"/>
        </w:rPr>
        <w:t>adelantados por</w:t>
      </w:r>
      <w:r>
        <w:rPr>
          <w:spacing w:val="-1"/>
          <w:sz w:val="22"/>
        </w:rPr>
        <w:t> </w:t>
      </w:r>
      <w:r>
        <w:rPr>
          <w:sz w:val="22"/>
        </w:rPr>
        <w:t>la SGCAN, requerimiento que fue atendido el</w:t>
      </w:r>
      <w:r>
        <w:rPr>
          <w:spacing w:val="-1"/>
          <w:sz w:val="22"/>
        </w:rPr>
        <w:t> </w:t>
      </w:r>
      <w:r>
        <w:rPr>
          <w:sz w:val="22"/>
        </w:rPr>
        <w:t>22 de</w:t>
      </w:r>
      <w:r>
        <w:rPr>
          <w:spacing w:val="-2"/>
          <w:sz w:val="22"/>
        </w:rPr>
        <w:t> </w:t>
      </w:r>
      <w:r>
        <w:rPr>
          <w:sz w:val="22"/>
        </w:rPr>
        <w:t>abril de 2026 mediante</w:t>
      </w:r>
      <w:r>
        <w:rPr>
          <w:spacing w:val="-2"/>
          <w:sz w:val="22"/>
        </w:rPr>
        <w:t> </w:t>
      </w:r>
      <w:r>
        <w:rPr>
          <w:sz w:val="22"/>
        </w:rPr>
        <w:t>comunicación SG/E/DGCOM/780/2026, a través</w:t>
      </w:r>
      <w:r>
        <w:rPr>
          <w:spacing w:val="-8"/>
          <w:sz w:val="22"/>
        </w:rPr>
        <w:t> </w:t>
      </w:r>
      <w:r>
        <w:rPr>
          <w:sz w:val="22"/>
        </w:rPr>
        <w:t>de</w:t>
      </w:r>
      <w:r>
        <w:rPr>
          <w:spacing w:val="-9"/>
          <w:sz w:val="22"/>
        </w:rPr>
        <w:t> </w:t>
      </w:r>
      <w:r>
        <w:rPr>
          <w:sz w:val="22"/>
        </w:rPr>
        <w:t>la</w:t>
      </w:r>
      <w:r>
        <w:rPr>
          <w:spacing w:val="-9"/>
          <w:sz w:val="22"/>
        </w:rPr>
        <w:t> </w:t>
      </w:r>
      <w:r>
        <w:rPr>
          <w:sz w:val="22"/>
        </w:rPr>
        <w:t>cual</w:t>
      </w:r>
      <w:r>
        <w:rPr>
          <w:spacing w:val="-10"/>
          <w:sz w:val="22"/>
        </w:rPr>
        <w:t> </w:t>
      </w:r>
      <w:r>
        <w:rPr>
          <w:sz w:val="22"/>
        </w:rPr>
        <w:t>se</w:t>
      </w:r>
      <w:r>
        <w:rPr>
          <w:spacing w:val="-9"/>
          <w:sz w:val="22"/>
        </w:rPr>
        <w:t> </w:t>
      </w:r>
      <w:r>
        <w:rPr>
          <w:sz w:val="22"/>
        </w:rPr>
        <w:t>remitió</w:t>
      </w:r>
      <w:r>
        <w:rPr>
          <w:spacing w:val="-7"/>
          <w:sz w:val="22"/>
        </w:rPr>
        <w:t> </w:t>
      </w:r>
      <w:r>
        <w:rPr>
          <w:sz w:val="22"/>
        </w:rPr>
        <w:t>la</w:t>
      </w:r>
      <w:r>
        <w:rPr>
          <w:spacing w:val="-7"/>
          <w:sz w:val="22"/>
        </w:rPr>
        <w:t> </w:t>
      </w:r>
      <w:r>
        <w:rPr>
          <w:sz w:val="22"/>
        </w:rPr>
        <w:t>documentación</w:t>
      </w:r>
      <w:r>
        <w:rPr>
          <w:spacing w:val="-8"/>
          <w:sz w:val="22"/>
        </w:rPr>
        <w:t> </w:t>
      </w:r>
      <w:r>
        <w:rPr>
          <w:sz w:val="22"/>
        </w:rPr>
        <w:t>correspondiente,</w:t>
      </w:r>
      <w:r>
        <w:rPr>
          <w:spacing w:val="-8"/>
          <w:sz w:val="22"/>
        </w:rPr>
        <w:t> </w:t>
      </w:r>
      <w:r>
        <w:rPr>
          <w:sz w:val="22"/>
        </w:rPr>
        <w:t>consistente</w:t>
      </w:r>
      <w:r>
        <w:rPr>
          <w:spacing w:val="-9"/>
          <w:sz w:val="22"/>
        </w:rPr>
        <w:t> </w:t>
      </w:r>
      <w:r>
        <w:rPr>
          <w:sz w:val="22"/>
        </w:rPr>
        <w:t>en</w:t>
      </w:r>
      <w:r>
        <w:rPr>
          <w:spacing w:val="-9"/>
          <w:sz w:val="22"/>
        </w:rPr>
        <w:t> </w:t>
      </w:r>
      <w:r>
        <w:rPr>
          <w:sz w:val="22"/>
        </w:rPr>
        <w:t>once</w:t>
      </w:r>
      <w:r>
        <w:rPr>
          <w:spacing w:val="-9"/>
          <w:sz w:val="22"/>
        </w:rPr>
        <w:t> </w:t>
      </w:r>
      <w:r>
        <w:rPr>
          <w:sz w:val="22"/>
        </w:rPr>
        <w:t>(11) documentos. Asimismo, mediante comunicación SG/E/DGCOM/781/2026, puso en conocimiento de los demás Países Miembros la referida comunicación.</w:t>
      </w:r>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82" w:hanging="567"/>
        <w:jc w:val="both"/>
        <w:rPr>
          <w:sz w:val="22"/>
        </w:rPr>
      </w:pPr>
      <w:r>
        <w:rPr>
          <w:sz w:val="22"/>
        </w:rPr>
        <w:t>Que, el 24 de abril de 2026, mediante comunicaciones SG/E/DGCOM/832/2026 y SG/E/DGCOM/834/2026,</w:t>
      </w:r>
      <w:r>
        <w:rPr>
          <w:spacing w:val="-10"/>
          <w:sz w:val="22"/>
        </w:rPr>
        <w:t> </w:t>
      </w:r>
      <w:r>
        <w:rPr>
          <w:sz w:val="22"/>
        </w:rPr>
        <w:t>la</w:t>
      </w:r>
      <w:r>
        <w:rPr>
          <w:spacing w:val="-12"/>
          <w:sz w:val="22"/>
        </w:rPr>
        <w:t> </w:t>
      </w:r>
      <w:r>
        <w:rPr>
          <w:sz w:val="22"/>
        </w:rPr>
        <w:t>SGCAN</w:t>
      </w:r>
      <w:r>
        <w:rPr>
          <w:spacing w:val="-12"/>
          <w:sz w:val="22"/>
        </w:rPr>
        <w:t> </w:t>
      </w:r>
      <w:r>
        <w:rPr>
          <w:sz w:val="22"/>
        </w:rPr>
        <w:t>solicitó</w:t>
      </w:r>
      <w:r>
        <w:rPr>
          <w:spacing w:val="-12"/>
          <w:sz w:val="22"/>
        </w:rPr>
        <w:t> </w:t>
      </w:r>
      <w:r>
        <w:rPr>
          <w:sz w:val="22"/>
        </w:rPr>
        <w:t>información</w:t>
      </w:r>
      <w:r>
        <w:rPr>
          <w:spacing w:val="-12"/>
          <w:sz w:val="22"/>
        </w:rPr>
        <w:t> </w:t>
      </w:r>
      <w:r>
        <w:rPr>
          <w:sz w:val="22"/>
        </w:rPr>
        <w:t>complementaria</w:t>
      </w:r>
      <w:r>
        <w:rPr>
          <w:spacing w:val="-14"/>
          <w:sz w:val="22"/>
        </w:rPr>
        <w:t> </w:t>
      </w:r>
      <w:r>
        <w:rPr>
          <w:sz w:val="22"/>
        </w:rPr>
        <w:t>a</w:t>
      </w:r>
      <w:r>
        <w:rPr>
          <w:spacing w:val="-12"/>
          <w:sz w:val="22"/>
        </w:rPr>
        <w:t> </w:t>
      </w:r>
      <w:r>
        <w:rPr>
          <w:sz w:val="22"/>
        </w:rPr>
        <w:t>la</w:t>
      </w:r>
      <w:r>
        <w:rPr>
          <w:spacing w:val="-12"/>
          <w:sz w:val="22"/>
        </w:rPr>
        <w:t> </w:t>
      </w:r>
      <w:r>
        <w:rPr>
          <w:sz w:val="22"/>
        </w:rPr>
        <w:t>República de Colombia y a la República del Ecuador, respectivamente, la cual debía ser remitida hasta el 28 de abril de 2026; asimismo, mediante comunicaciones SG/E/DGCOM/833/2026 y SG/E/DGCOM/835/2026, puso en conocimiento de los demás Países Miembros las referidas solicitudes.</w:t>
      </w:r>
    </w:p>
    <w:p>
      <w:pPr>
        <w:pStyle w:val="BodyText"/>
      </w:pPr>
    </w:p>
    <w:p>
      <w:pPr>
        <w:pStyle w:val="ListParagraph"/>
        <w:numPr>
          <w:ilvl w:val="0"/>
          <w:numId w:val="50"/>
        </w:numPr>
        <w:tabs>
          <w:tab w:pos="1130" w:val="left" w:leader="none"/>
          <w:tab w:pos="1134" w:val="left" w:leader="none"/>
        </w:tabs>
        <w:spacing w:line="240" w:lineRule="auto" w:before="1" w:after="0"/>
        <w:ind w:left="1134" w:right="981" w:hanging="567"/>
        <w:jc w:val="both"/>
        <w:rPr>
          <w:sz w:val="22"/>
        </w:rPr>
      </w:pPr>
      <w:r>
        <w:rPr>
          <w:sz w:val="22"/>
        </w:rPr>
        <w:t>Que, el 24 de abril de 2026, mediante Radicado N° 2-2026-011812, la República de Colombia presentó su respuesta a la solicitud de información formulada mediante comunicación</w:t>
      </w:r>
      <w:r>
        <w:rPr>
          <w:spacing w:val="-6"/>
          <w:sz w:val="22"/>
        </w:rPr>
        <w:t> </w:t>
      </w:r>
      <w:r>
        <w:rPr>
          <w:sz w:val="22"/>
        </w:rPr>
        <w:t>SG/E/DGCOM/478/2026,</w:t>
      </w:r>
      <w:r>
        <w:rPr>
          <w:spacing w:val="-7"/>
          <w:sz w:val="22"/>
        </w:rPr>
        <w:t> </w:t>
      </w:r>
      <w:r>
        <w:rPr>
          <w:sz w:val="22"/>
        </w:rPr>
        <w:t>de</w:t>
      </w:r>
      <w:r>
        <w:rPr>
          <w:spacing w:val="-9"/>
          <w:sz w:val="22"/>
        </w:rPr>
        <w:t> </w:t>
      </w:r>
      <w:r>
        <w:rPr>
          <w:sz w:val="22"/>
        </w:rPr>
        <w:t>13</w:t>
      </w:r>
      <w:r>
        <w:rPr>
          <w:spacing w:val="-6"/>
          <w:sz w:val="22"/>
        </w:rPr>
        <w:t> </w:t>
      </w:r>
      <w:r>
        <w:rPr>
          <w:sz w:val="22"/>
        </w:rPr>
        <w:t>de</w:t>
      </w:r>
      <w:r>
        <w:rPr>
          <w:spacing w:val="-6"/>
          <w:sz w:val="22"/>
        </w:rPr>
        <w:t> </w:t>
      </w:r>
      <w:r>
        <w:rPr>
          <w:sz w:val="22"/>
        </w:rPr>
        <w:t>marzo</w:t>
      </w:r>
      <w:r>
        <w:rPr>
          <w:spacing w:val="-8"/>
          <w:sz w:val="22"/>
        </w:rPr>
        <w:t> </w:t>
      </w:r>
      <w:r>
        <w:rPr>
          <w:sz w:val="22"/>
        </w:rPr>
        <w:t>de</w:t>
      </w:r>
      <w:r>
        <w:rPr>
          <w:spacing w:val="-9"/>
          <w:sz w:val="22"/>
        </w:rPr>
        <w:t> </w:t>
      </w:r>
      <w:r>
        <w:rPr>
          <w:sz w:val="22"/>
        </w:rPr>
        <w:t>2026,</w:t>
      </w:r>
      <w:r>
        <w:rPr>
          <w:spacing w:val="-7"/>
          <w:sz w:val="22"/>
        </w:rPr>
        <w:t> </w:t>
      </w:r>
      <w:r>
        <w:rPr>
          <w:sz w:val="22"/>
        </w:rPr>
        <w:t>adjuntando</w:t>
      </w:r>
      <w:r>
        <w:rPr>
          <w:spacing w:val="-6"/>
          <w:sz w:val="22"/>
        </w:rPr>
        <w:t> </w:t>
      </w:r>
      <w:r>
        <w:rPr>
          <w:sz w:val="22"/>
        </w:rPr>
        <w:t>trece</w:t>
      </w:r>
      <w:r>
        <w:rPr>
          <w:spacing w:val="-9"/>
          <w:sz w:val="22"/>
        </w:rPr>
        <w:t> </w:t>
      </w:r>
      <w:r>
        <w:rPr>
          <w:sz w:val="22"/>
        </w:rPr>
        <w:t>(13) anexos; y, posteriormente, mediante comunicación SG/E/DGCOM/848/2026 de 27 de abril de 2026, la SGCAN acusó</w:t>
      </w:r>
      <w:r>
        <w:rPr>
          <w:spacing w:val="-2"/>
          <w:sz w:val="22"/>
        </w:rPr>
        <w:t> </w:t>
      </w:r>
      <w:r>
        <w:rPr>
          <w:sz w:val="22"/>
        </w:rPr>
        <w:t>recibo del referido radicado y solicitó a la</w:t>
      </w:r>
      <w:r>
        <w:rPr>
          <w:spacing w:val="-2"/>
          <w:sz w:val="22"/>
        </w:rPr>
        <w:t> </w:t>
      </w:r>
      <w:r>
        <w:rPr>
          <w:sz w:val="22"/>
        </w:rPr>
        <w:t>República de Colombia aclaración sobre el tratamiento de confidencialidad de la información presentada, otorgándole un plazo de dos (2) días hábiles para tal efecto.</w:t>
      </w:r>
    </w:p>
    <w:p>
      <w:pPr>
        <w:pStyle w:val="ListParagraph"/>
        <w:numPr>
          <w:ilvl w:val="0"/>
          <w:numId w:val="50"/>
        </w:numPr>
        <w:tabs>
          <w:tab w:pos="1130" w:val="left" w:leader="none"/>
          <w:tab w:pos="1134" w:val="left" w:leader="none"/>
        </w:tabs>
        <w:spacing w:line="240" w:lineRule="auto" w:before="252" w:after="0"/>
        <w:ind w:left="1134" w:right="976" w:hanging="567"/>
        <w:jc w:val="both"/>
        <w:rPr>
          <w:sz w:val="22"/>
        </w:rPr>
      </w:pPr>
      <w:r>
        <w:rPr>
          <w:sz w:val="22"/>
        </w:rPr>
        <w:t>Que, el 28 de abril de 2026, mediante Radicado N° 2-2026-012084, dentro del plazo concedido,</w:t>
      </w:r>
      <w:r>
        <w:rPr>
          <w:spacing w:val="-8"/>
          <w:sz w:val="22"/>
        </w:rPr>
        <w:t> </w:t>
      </w:r>
      <w:r>
        <w:rPr>
          <w:sz w:val="22"/>
        </w:rPr>
        <w:t>la</w:t>
      </w:r>
      <w:r>
        <w:rPr>
          <w:spacing w:val="-10"/>
          <w:sz w:val="22"/>
        </w:rPr>
        <w:t> </w:t>
      </w:r>
      <w:r>
        <w:rPr>
          <w:sz w:val="22"/>
        </w:rPr>
        <w:t>República</w:t>
      </w:r>
      <w:r>
        <w:rPr>
          <w:spacing w:val="-10"/>
          <w:sz w:val="22"/>
        </w:rPr>
        <w:t> </w:t>
      </w:r>
      <w:r>
        <w:rPr>
          <w:sz w:val="22"/>
        </w:rPr>
        <w:t>de</w:t>
      </w:r>
      <w:r>
        <w:rPr>
          <w:spacing w:val="-10"/>
          <w:sz w:val="22"/>
        </w:rPr>
        <w:t> </w:t>
      </w:r>
      <w:r>
        <w:rPr>
          <w:sz w:val="22"/>
        </w:rPr>
        <w:t>Colombia</w:t>
      </w:r>
      <w:r>
        <w:rPr>
          <w:spacing w:val="-10"/>
          <w:sz w:val="22"/>
        </w:rPr>
        <w:t> </w:t>
      </w:r>
      <w:r>
        <w:rPr>
          <w:sz w:val="22"/>
        </w:rPr>
        <w:t>presentó</w:t>
      </w:r>
      <w:r>
        <w:rPr>
          <w:spacing w:val="-10"/>
          <w:sz w:val="22"/>
        </w:rPr>
        <w:t> </w:t>
      </w:r>
      <w:r>
        <w:rPr>
          <w:sz w:val="22"/>
        </w:rPr>
        <w:t>su</w:t>
      </w:r>
      <w:r>
        <w:rPr>
          <w:spacing w:val="-10"/>
          <w:sz w:val="22"/>
        </w:rPr>
        <w:t> </w:t>
      </w:r>
      <w:r>
        <w:rPr>
          <w:sz w:val="22"/>
        </w:rPr>
        <w:t>respuesta</w:t>
      </w:r>
      <w:r>
        <w:rPr>
          <w:spacing w:val="-10"/>
          <w:sz w:val="22"/>
        </w:rPr>
        <w:t> </w:t>
      </w:r>
      <w:r>
        <w:rPr>
          <w:sz w:val="22"/>
        </w:rPr>
        <w:t>a</w:t>
      </w:r>
      <w:r>
        <w:rPr>
          <w:spacing w:val="-10"/>
          <w:sz w:val="22"/>
        </w:rPr>
        <w:t> </w:t>
      </w:r>
      <w:r>
        <w:rPr>
          <w:sz w:val="22"/>
        </w:rPr>
        <w:t>la</w:t>
      </w:r>
      <w:r>
        <w:rPr>
          <w:spacing w:val="-10"/>
          <w:sz w:val="22"/>
        </w:rPr>
        <w:t> </w:t>
      </w:r>
      <w:r>
        <w:rPr>
          <w:sz w:val="22"/>
        </w:rPr>
        <w:t>solicitud</w:t>
      </w:r>
      <w:r>
        <w:rPr>
          <w:spacing w:val="-10"/>
          <w:sz w:val="22"/>
        </w:rPr>
        <w:t> </w:t>
      </w:r>
      <w:r>
        <w:rPr>
          <w:sz w:val="22"/>
        </w:rPr>
        <w:t>de</w:t>
      </w:r>
      <w:r>
        <w:rPr>
          <w:spacing w:val="-10"/>
          <w:sz w:val="22"/>
        </w:rPr>
        <w:t> </w:t>
      </w:r>
      <w:r>
        <w:rPr>
          <w:sz w:val="22"/>
        </w:rPr>
        <w:t>calificación del Decreto 0170 como gravamen y restricción al comercio intracomunitario andino, formulada por la República del Ecuador, adjuntando nueve (9) anexos; asimismo, confirmó</w:t>
      </w:r>
      <w:r>
        <w:rPr>
          <w:spacing w:val="-14"/>
          <w:sz w:val="22"/>
        </w:rPr>
        <w:t> </w:t>
      </w:r>
      <w:r>
        <w:rPr>
          <w:sz w:val="22"/>
        </w:rPr>
        <w:t>que</w:t>
      </w:r>
      <w:r>
        <w:rPr>
          <w:spacing w:val="-14"/>
          <w:sz w:val="22"/>
        </w:rPr>
        <w:t> </w:t>
      </w:r>
      <w:r>
        <w:rPr>
          <w:sz w:val="22"/>
        </w:rPr>
        <w:t>ninguno</w:t>
      </w:r>
      <w:r>
        <w:rPr>
          <w:spacing w:val="-11"/>
          <w:sz w:val="22"/>
        </w:rPr>
        <w:t> </w:t>
      </w:r>
      <w:r>
        <w:rPr>
          <w:sz w:val="22"/>
        </w:rPr>
        <w:t>de</w:t>
      </w:r>
      <w:r>
        <w:rPr>
          <w:spacing w:val="-14"/>
          <w:sz w:val="22"/>
        </w:rPr>
        <w:t> </w:t>
      </w:r>
      <w:r>
        <w:rPr>
          <w:sz w:val="22"/>
        </w:rPr>
        <w:t>los</w:t>
      </w:r>
      <w:r>
        <w:rPr>
          <w:spacing w:val="-11"/>
          <w:sz w:val="22"/>
        </w:rPr>
        <w:t> </w:t>
      </w:r>
      <w:r>
        <w:rPr>
          <w:sz w:val="22"/>
        </w:rPr>
        <w:t>documentos</w:t>
      </w:r>
      <w:r>
        <w:rPr>
          <w:spacing w:val="-11"/>
          <w:sz w:val="22"/>
        </w:rPr>
        <w:t> </w:t>
      </w:r>
      <w:r>
        <w:rPr>
          <w:sz w:val="22"/>
        </w:rPr>
        <w:t>aportados</w:t>
      </w:r>
      <w:r>
        <w:rPr>
          <w:spacing w:val="-11"/>
          <w:sz w:val="22"/>
        </w:rPr>
        <w:t> </w:t>
      </w:r>
      <w:r>
        <w:rPr>
          <w:sz w:val="22"/>
        </w:rPr>
        <w:t>debía</w:t>
      </w:r>
      <w:r>
        <w:rPr>
          <w:spacing w:val="-13"/>
          <w:sz w:val="22"/>
        </w:rPr>
        <w:t> </w:t>
      </w:r>
      <w:r>
        <w:rPr>
          <w:sz w:val="22"/>
        </w:rPr>
        <w:t>ser</w:t>
      </w:r>
      <w:r>
        <w:rPr>
          <w:spacing w:val="-13"/>
          <w:sz w:val="22"/>
        </w:rPr>
        <w:t> </w:t>
      </w:r>
      <w:r>
        <w:rPr>
          <w:sz w:val="22"/>
        </w:rPr>
        <w:t>tratado</w:t>
      </w:r>
      <w:r>
        <w:rPr>
          <w:spacing w:val="-11"/>
          <w:sz w:val="22"/>
        </w:rPr>
        <w:t> </w:t>
      </w:r>
      <w:r>
        <w:rPr>
          <w:sz w:val="22"/>
        </w:rPr>
        <w:t>como</w:t>
      </w:r>
      <w:r>
        <w:rPr>
          <w:spacing w:val="-14"/>
          <w:sz w:val="22"/>
        </w:rPr>
        <w:t> </w:t>
      </w:r>
      <w:r>
        <w:rPr>
          <w:sz w:val="22"/>
        </w:rPr>
        <w:t>confidencial</w:t>
      </w:r>
    </w:p>
    <w:p>
      <w:pPr>
        <w:pStyle w:val="BodyText"/>
        <w:spacing w:before="161"/>
        <w:rPr>
          <w:sz w:val="20"/>
        </w:rPr>
      </w:pPr>
      <w:r>
        <w:rPr>
          <w:sz w:val="20"/>
        </w:rPr>
        <mc:AlternateContent>
          <mc:Choice Requires="wps">
            <w:drawing>
              <wp:anchor distT="0" distB="0" distL="0" distR="0" allowOverlap="1" layoutInCell="1" locked="0" behindDoc="1" simplePos="0" relativeHeight="487628800">
                <wp:simplePos x="0" y="0"/>
                <wp:positionH relativeFrom="page">
                  <wp:posOffset>990904</wp:posOffset>
                </wp:positionH>
                <wp:positionV relativeFrom="paragraph">
                  <wp:posOffset>263930</wp:posOffset>
                </wp:positionV>
                <wp:extent cx="1829435" cy="7620"/>
                <wp:effectExtent l="0" t="0" r="0" b="0"/>
                <wp:wrapTopAndBottom/>
                <wp:docPr id="401" name="Graphic 401"/>
                <wp:cNvGraphicFramePr>
                  <a:graphicFrameLocks/>
                </wp:cNvGraphicFramePr>
                <a:graphic>
                  <a:graphicData uri="http://schemas.microsoft.com/office/word/2010/wordprocessingShape">
                    <wps:wsp>
                      <wps:cNvPr id="401" name="Graphic 401"/>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0.781893pt;width:144.020pt;height:.60004pt;mso-position-horizontal-relative:page;mso-position-vertical-relative:paragraph;z-index:-15687680;mso-wrap-distance-left:0;mso-wrap-distance-right:0" id="docshape285" filled="true" fillcolor="#000000" stroked="false">
                <v:fill type="solid"/>
                <w10:wrap type="topAndBottom"/>
              </v:rect>
            </w:pict>
          </mc:Fallback>
        </mc:AlternateContent>
      </w:r>
    </w:p>
    <w:p>
      <w:pPr>
        <w:spacing w:before="92"/>
        <w:ind w:left="568" w:right="0" w:firstLine="0"/>
        <w:jc w:val="left"/>
        <w:rPr>
          <w:sz w:val="16"/>
        </w:rPr>
      </w:pPr>
      <w:bookmarkStart w:name="_bookmark72" w:id="73"/>
      <w:bookmarkEnd w:id="73"/>
      <w:r>
        <w:rPr/>
      </w:r>
      <w:r>
        <w:rPr>
          <w:sz w:val="16"/>
          <w:vertAlign w:val="superscript"/>
        </w:rPr>
        <w:t>5</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000214.</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02" name="Group 402"/>
                <wp:cNvGraphicFramePr>
                  <a:graphicFrameLocks/>
                </wp:cNvGraphicFramePr>
                <a:graphic>
                  <a:graphicData uri="http://schemas.microsoft.com/office/word/2010/wordprocessingGroup">
                    <wpg:wgp>
                      <wpg:cNvPr id="402" name="Group 402"/>
                      <wpg:cNvGrpSpPr/>
                      <wpg:grpSpPr>
                        <a:xfrm>
                          <a:off x="0" y="0"/>
                          <a:ext cx="6131560" cy="9525"/>
                          <a:chExt cx="6131560" cy="9525"/>
                        </a:xfrm>
                      </wpg:grpSpPr>
                      <wps:wsp>
                        <wps:cNvPr id="403" name="Graphic 403"/>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86"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64"/>
          <w:footerReference w:type="default" r:id="rId65"/>
          <w:pgSz w:w="11900" w:h="16850"/>
          <w:pgMar w:header="370" w:footer="597" w:top="1380" w:bottom="780" w:left="992" w:right="283"/>
        </w:sectPr>
      </w:pPr>
    </w:p>
    <w:p>
      <w:pPr>
        <w:pStyle w:val="BodyText"/>
        <w:spacing w:before="176"/>
      </w:pPr>
    </w:p>
    <w:p>
      <w:pPr>
        <w:pStyle w:val="BodyText"/>
        <w:ind w:left="1134" w:right="955"/>
      </w:pPr>
      <w:r>
        <w:rPr/>
        <w:t>y</w:t>
      </w:r>
      <w:r>
        <w:rPr>
          <w:spacing w:val="40"/>
        </w:rPr>
        <w:t> </w:t>
      </w:r>
      <w:r>
        <w:rPr/>
        <w:t>solicitó</w:t>
      </w:r>
      <w:r>
        <w:rPr>
          <w:spacing w:val="40"/>
        </w:rPr>
        <w:t> </w:t>
      </w:r>
      <w:r>
        <w:rPr/>
        <w:t>un</w:t>
      </w:r>
      <w:r>
        <w:rPr>
          <w:spacing w:val="40"/>
        </w:rPr>
        <w:t> </w:t>
      </w:r>
      <w:r>
        <w:rPr/>
        <w:t>plazo</w:t>
      </w:r>
      <w:r>
        <w:rPr>
          <w:spacing w:val="40"/>
        </w:rPr>
        <w:t> </w:t>
      </w:r>
      <w:r>
        <w:rPr/>
        <w:t>adicional</w:t>
      </w:r>
      <w:r>
        <w:rPr>
          <w:spacing w:val="40"/>
        </w:rPr>
        <w:t> </w:t>
      </w:r>
      <w:r>
        <w:rPr/>
        <w:t>de</w:t>
      </w:r>
      <w:r>
        <w:rPr>
          <w:spacing w:val="40"/>
        </w:rPr>
        <w:t> </w:t>
      </w:r>
      <w:r>
        <w:rPr/>
        <w:t>diez</w:t>
      </w:r>
      <w:r>
        <w:rPr>
          <w:spacing w:val="40"/>
        </w:rPr>
        <w:t> </w:t>
      </w:r>
      <w:r>
        <w:rPr/>
        <w:t>(10)</w:t>
      </w:r>
      <w:r>
        <w:rPr>
          <w:spacing w:val="40"/>
        </w:rPr>
        <w:t> </w:t>
      </w:r>
      <w:r>
        <w:rPr/>
        <w:t>días</w:t>
      </w:r>
      <w:r>
        <w:rPr>
          <w:spacing w:val="40"/>
        </w:rPr>
        <w:t> </w:t>
      </w:r>
      <w:r>
        <w:rPr/>
        <w:t>hábiles</w:t>
      </w:r>
      <w:r>
        <w:rPr>
          <w:spacing w:val="40"/>
        </w:rPr>
        <w:t> </w:t>
      </w:r>
      <w:r>
        <w:rPr/>
        <w:t>para</w:t>
      </w:r>
      <w:r>
        <w:rPr>
          <w:spacing w:val="40"/>
        </w:rPr>
        <w:t> </w:t>
      </w:r>
      <w:r>
        <w:rPr/>
        <w:t>remitir</w:t>
      </w:r>
      <w:r>
        <w:rPr>
          <w:spacing w:val="40"/>
        </w:rPr>
        <w:t> </w:t>
      </w:r>
      <w:r>
        <w:rPr/>
        <w:t>la</w:t>
      </w:r>
      <w:r>
        <w:rPr>
          <w:spacing w:val="40"/>
        </w:rPr>
        <w:t> </w:t>
      </w:r>
      <w:r>
        <w:rPr/>
        <w:t>información requerida mediante comunicación SG/E/DGCOM/832/2026 de 24 de abril de 2026.</w:t>
      </w:r>
    </w:p>
    <w:p>
      <w:pPr>
        <w:pStyle w:val="BodyText"/>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Que, el 28 de abril de 2026, mediante comunicación SG/E/DGCOM/867/2026, la SGCAN</w:t>
      </w:r>
      <w:r>
        <w:rPr>
          <w:spacing w:val="-1"/>
          <w:sz w:val="22"/>
        </w:rPr>
        <w:t> </w:t>
      </w:r>
      <w:r>
        <w:rPr>
          <w:sz w:val="22"/>
        </w:rPr>
        <w:t>comunicó</w:t>
      </w:r>
      <w:r>
        <w:rPr>
          <w:spacing w:val="-3"/>
          <w:sz w:val="22"/>
        </w:rPr>
        <w:t> </w:t>
      </w:r>
      <w:r>
        <w:rPr>
          <w:sz w:val="22"/>
        </w:rPr>
        <w:t>el</w:t>
      </w:r>
      <w:r>
        <w:rPr>
          <w:spacing w:val="-2"/>
          <w:sz w:val="22"/>
        </w:rPr>
        <w:t> </w:t>
      </w:r>
      <w:r>
        <w:rPr>
          <w:sz w:val="22"/>
        </w:rPr>
        <w:t>acuse de</w:t>
      </w:r>
      <w:r>
        <w:rPr>
          <w:spacing w:val="-4"/>
          <w:sz w:val="22"/>
        </w:rPr>
        <w:t> </w:t>
      </w:r>
      <w:r>
        <w:rPr>
          <w:sz w:val="22"/>
        </w:rPr>
        <w:t>recibo</w:t>
      </w:r>
      <w:r>
        <w:rPr>
          <w:spacing w:val="-1"/>
          <w:sz w:val="22"/>
        </w:rPr>
        <w:t> </w:t>
      </w:r>
      <w:r>
        <w:rPr>
          <w:sz w:val="22"/>
        </w:rPr>
        <w:t>de</w:t>
      </w:r>
      <w:r>
        <w:rPr>
          <w:spacing w:val="-3"/>
          <w:sz w:val="22"/>
        </w:rPr>
        <w:t> </w:t>
      </w:r>
      <w:r>
        <w:rPr>
          <w:sz w:val="22"/>
        </w:rPr>
        <w:t>la</w:t>
      </w:r>
      <w:r>
        <w:rPr>
          <w:spacing w:val="-3"/>
          <w:sz w:val="22"/>
        </w:rPr>
        <w:t> </w:t>
      </w:r>
      <w:r>
        <w:rPr>
          <w:sz w:val="22"/>
        </w:rPr>
        <w:t>información</w:t>
      </w:r>
      <w:r>
        <w:rPr>
          <w:spacing w:val="-1"/>
          <w:sz w:val="22"/>
        </w:rPr>
        <w:t> </w:t>
      </w:r>
      <w:r>
        <w:rPr>
          <w:sz w:val="22"/>
        </w:rPr>
        <w:t>presentada</w:t>
      </w:r>
      <w:r>
        <w:rPr>
          <w:spacing w:val="-3"/>
          <w:sz w:val="22"/>
        </w:rPr>
        <w:t> </w:t>
      </w:r>
      <w:r>
        <w:rPr>
          <w:sz w:val="22"/>
        </w:rPr>
        <w:t>por la</w:t>
      </w:r>
      <w:r>
        <w:rPr>
          <w:spacing w:val="-4"/>
          <w:sz w:val="22"/>
        </w:rPr>
        <w:t> </w:t>
      </w:r>
      <w:r>
        <w:rPr>
          <w:sz w:val="22"/>
        </w:rPr>
        <w:t>República de Colombia y,</w:t>
      </w:r>
      <w:r>
        <w:rPr>
          <w:spacing w:val="-2"/>
          <w:sz w:val="22"/>
        </w:rPr>
        <w:t> </w:t>
      </w:r>
      <w:r>
        <w:rPr>
          <w:sz w:val="22"/>
        </w:rPr>
        <w:t>respecto</w:t>
      </w:r>
      <w:r>
        <w:rPr>
          <w:spacing w:val="-2"/>
          <w:sz w:val="22"/>
        </w:rPr>
        <w:t> </w:t>
      </w:r>
      <w:r>
        <w:rPr>
          <w:sz w:val="22"/>
        </w:rPr>
        <w:t>del</w:t>
      </w:r>
      <w:r>
        <w:rPr>
          <w:spacing w:val="-2"/>
          <w:sz w:val="22"/>
        </w:rPr>
        <w:t> </w:t>
      </w:r>
      <w:r>
        <w:rPr>
          <w:sz w:val="22"/>
        </w:rPr>
        <w:t>pedido</w:t>
      </w:r>
      <w:r>
        <w:rPr>
          <w:spacing w:val="-2"/>
          <w:sz w:val="22"/>
        </w:rPr>
        <w:t> </w:t>
      </w:r>
      <w:r>
        <w:rPr>
          <w:sz w:val="22"/>
        </w:rPr>
        <w:t>de</w:t>
      </w:r>
      <w:r>
        <w:rPr>
          <w:spacing w:val="-2"/>
          <w:sz w:val="22"/>
        </w:rPr>
        <w:t> </w:t>
      </w:r>
      <w:r>
        <w:rPr>
          <w:sz w:val="22"/>
        </w:rPr>
        <w:t>prórroga</w:t>
      </w:r>
      <w:r>
        <w:rPr>
          <w:spacing w:val="-2"/>
          <w:sz w:val="22"/>
        </w:rPr>
        <w:t> </w:t>
      </w:r>
      <w:r>
        <w:rPr>
          <w:sz w:val="22"/>
        </w:rPr>
        <w:t>de</w:t>
      </w:r>
      <w:r>
        <w:rPr>
          <w:spacing w:val="-2"/>
          <w:sz w:val="22"/>
        </w:rPr>
        <w:t> </w:t>
      </w:r>
      <w:r>
        <w:rPr>
          <w:sz w:val="22"/>
        </w:rPr>
        <w:t>diez (10)</w:t>
      </w:r>
      <w:r>
        <w:rPr>
          <w:spacing w:val="-2"/>
          <w:sz w:val="22"/>
        </w:rPr>
        <w:t> </w:t>
      </w:r>
      <w:r>
        <w:rPr>
          <w:sz w:val="22"/>
        </w:rPr>
        <w:t>para</w:t>
      </w:r>
      <w:r>
        <w:rPr>
          <w:spacing w:val="-2"/>
          <w:sz w:val="22"/>
        </w:rPr>
        <w:t> </w:t>
      </w:r>
      <w:r>
        <w:rPr>
          <w:sz w:val="22"/>
        </w:rPr>
        <w:t>presentar</w:t>
      </w:r>
      <w:r>
        <w:rPr>
          <w:spacing w:val="-2"/>
          <w:sz w:val="22"/>
        </w:rPr>
        <w:t> </w:t>
      </w:r>
      <w:r>
        <w:rPr>
          <w:sz w:val="22"/>
        </w:rPr>
        <w:t>la información complementaria, en virtud de los plazos perentorios que se tiene para pronunciarse sobre el presente asunto, otorgó un plazo de dos (2) días hábiles para remitir lo </w:t>
      </w:r>
      <w:r>
        <w:rPr>
          <w:spacing w:val="-2"/>
          <w:sz w:val="22"/>
        </w:rPr>
        <w:t>solicitado.</w:t>
      </w:r>
    </w:p>
    <w:p>
      <w:pPr>
        <w:pStyle w:val="BodyText"/>
      </w:pPr>
    </w:p>
    <w:p>
      <w:pPr>
        <w:pStyle w:val="ListParagraph"/>
        <w:numPr>
          <w:ilvl w:val="0"/>
          <w:numId w:val="50"/>
        </w:numPr>
        <w:tabs>
          <w:tab w:pos="1130" w:val="left" w:leader="none"/>
          <w:tab w:pos="1134" w:val="left" w:leader="none"/>
        </w:tabs>
        <w:spacing w:line="240" w:lineRule="auto" w:before="0" w:after="0"/>
        <w:ind w:left="1134" w:right="975" w:hanging="567"/>
        <w:jc w:val="both"/>
        <w:rPr>
          <w:sz w:val="22"/>
        </w:rPr>
      </w:pPr>
      <w:r>
        <w:rPr>
          <w:sz w:val="22"/>
        </w:rPr>
        <w:t>Que, el 28 de abril de 2026, mediante Oficio Nro. MPCEI-VCE-2026-0050-O, la República del Ecuador, solicitó una prórroga de tres (3) días para presentar la información complementaria. La SGCAN, mediante comunicación SG/E/DGCOM/877/2026</w:t>
      </w:r>
      <w:r>
        <w:rPr>
          <w:spacing w:val="-9"/>
          <w:sz w:val="22"/>
        </w:rPr>
        <w:t> </w:t>
      </w:r>
      <w:r>
        <w:rPr>
          <w:sz w:val="22"/>
        </w:rPr>
        <w:t>de</w:t>
      </w:r>
      <w:r>
        <w:rPr>
          <w:spacing w:val="-7"/>
          <w:sz w:val="22"/>
        </w:rPr>
        <w:t> </w:t>
      </w:r>
      <w:r>
        <w:rPr>
          <w:sz w:val="22"/>
        </w:rPr>
        <w:t>29</w:t>
      </w:r>
      <w:r>
        <w:rPr>
          <w:spacing w:val="-7"/>
          <w:sz w:val="22"/>
        </w:rPr>
        <w:t> </w:t>
      </w:r>
      <w:r>
        <w:rPr>
          <w:sz w:val="22"/>
        </w:rPr>
        <w:t>de</w:t>
      </w:r>
      <w:r>
        <w:rPr>
          <w:spacing w:val="-7"/>
          <w:sz w:val="22"/>
        </w:rPr>
        <w:t> </w:t>
      </w:r>
      <w:r>
        <w:rPr>
          <w:sz w:val="22"/>
        </w:rPr>
        <w:t>abril</w:t>
      </w:r>
      <w:r>
        <w:rPr>
          <w:spacing w:val="-7"/>
          <w:sz w:val="22"/>
        </w:rPr>
        <w:t> </w:t>
      </w:r>
      <w:r>
        <w:rPr>
          <w:sz w:val="22"/>
        </w:rPr>
        <w:t>de</w:t>
      </w:r>
      <w:r>
        <w:rPr>
          <w:spacing w:val="-7"/>
          <w:sz w:val="22"/>
        </w:rPr>
        <w:t> </w:t>
      </w:r>
      <w:r>
        <w:rPr>
          <w:sz w:val="22"/>
        </w:rPr>
        <w:t>2026,</w:t>
      </w:r>
      <w:r>
        <w:rPr>
          <w:spacing w:val="-10"/>
          <w:sz w:val="22"/>
        </w:rPr>
        <w:t> </w:t>
      </w:r>
      <w:r>
        <w:rPr>
          <w:sz w:val="22"/>
        </w:rPr>
        <w:t>en</w:t>
      </w:r>
      <w:r>
        <w:rPr>
          <w:spacing w:val="-7"/>
          <w:sz w:val="22"/>
        </w:rPr>
        <w:t> </w:t>
      </w:r>
      <w:r>
        <w:rPr>
          <w:sz w:val="22"/>
        </w:rPr>
        <w:t>virtud</w:t>
      </w:r>
      <w:r>
        <w:rPr>
          <w:spacing w:val="-9"/>
          <w:sz w:val="22"/>
        </w:rPr>
        <w:t> </w:t>
      </w:r>
      <w:r>
        <w:rPr>
          <w:sz w:val="22"/>
        </w:rPr>
        <w:t>de</w:t>
      </w:r>
      <w:r>
        <w:rPr>
          <w:spacing w:val="-7"/>
          <w:sz w:val="22"/>
        </w:rPr>
        <w:t> </w:t>
      </w:r>
      <w:r>
        <w:rPr>
          <w:sz w:val="22"/>
        </w:rPr>
        <w:t>los</w:t>
      </w:r>
      <w:r>
        <w:rPr>
          <w:spacing w:val="-6"/>
          <w:sz w:val="22"/>
        </w:rPr>
        <w:t> </w:t>
      </w:r>
      <w:r>
        <w:rPr>
          <w:sz w:val="22"/>
        </w:rPr>
        <w:t>plazos</w:t>
      </w:r>
      <w:r>
        <w:rPr>
          <w:spacing w:val="-6"/>
          <w:sz w:val="22"/>
        </w:rPr>
        <w:t> </w:t>
      </w:r>
      <w:r>
        <w:rPr>
          <w:sz w:val="22"/>
        </w:rPr>
        <w:t>perentorios</w:t>
      </w:r>
      <w:r>
        <w:rPr>
          <w:spacing w:val="-6"/>
          <w:sz w:val="22"/>
        </w:rPr>
        <w:t> </w:t>
      </w:r>
      <w:r>
        <w:rPr>
          <w:sz w:val="22"/>
        </w:rPr>
        <w:t>que tiene para pronunciarse otorgó, a la República del Ecuador un plazo de dos (2) días hábiles para remitir lo solicitado.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Que, el 29 de abril de 2026, la SGCAN mediante</w:t>
      </w:r>
      <w:r>
        <w:rPr>
          <w:spacing w:val="-2"/>
          <w:sz w:val="22"/>
        </w:rPr>
        <w:t> </w:t>
      </w:r>
      <w:r>
        <w:rPr>
          <w:sz w:val="22"/>
        </w:rPr>
        <w:t>carta SG/E/DGCOM/880/2026, corrió traslado a los demás Países Miembros, respecto de la información presentada por la República de Colombia mediante Radicado No. 2-2026-011812.</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Que, la República de Colombia mediante Radicado No. 2-2026-012395 presentó la respuesta a la solicitud de información complementaria requerida por la SGCAN mediante Oficio SG/E/DGCOM/832/2026, cuyo plazo fue prorrogado por dos (2) días hábiles mediante oficio SG/E/DGCOM/867/2026.</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Que,</w:t>
      </w:r>
      <w:r>
        <w:rPr>
          <w:spacing w:val="-7"/>
          <w:sz w:val="22"/>
        </w:rPr>
        <w:t> </w:t>
      </w:r>
      <w:r>
        <w:rPr>
          <w:sz w:val="22"/>
        </w:rPr>
        <w:t>el</w:t>
      </w:r>
      <w:r>
        <w:rPr>
          <w:spacing w:val="-10"/>
          <w:sz w:val="22"/>
        </w:rPr>
        <w:t> </w:t>
      </w:r>
      <w:r>
        <w:rPr>
          <w:sz w:val="22"/>
        </w:rPr>
        <w:t>04</w:t>
      </w:r>
      <w:r>
        <w:rPr>
          <w:spacing w:val="-9"/>
          <w:sz w:val="22"/>
        </w:rPr>
        <w:t> </w:t>
      </w:r>
      <w:r>
        <w:rPr>
          <w:sz w:val="22"/>
        </w:rPr>
        <w:t>de</w:t>
      </w:r>
      <w:r>
        <w:rPr>
          <w:spacing w:val="-9"/>
          <w:sz w:val="22"/>
        </w:rPr>
        <w:t> </w:t>
      </w:r>
      <w:r>
        <w:rPr>
          <w:sz w:val="22"/>
        </w:rPr>
        <w:t>mayo</w:t>
      </w:r>
      <w:r>
        <w:rPr>
          <w:spacing w:val="-9"/>
          <w:sz w:val="22"/>
        </w:rPr>
        <w:t> </w:t>
      </w:r>
      <w:r>
        <w:rPr>
          <w:sz w:val="22"/>
        </w:rPr>
        <w:t>de</w:t>
      </w:r>
      <w:r>
        <w:rPr>
          <w:spacing w:val="-9"/>
          <w:sz w:val="22"/>
        </w:rPr>
        <w:t> </w:t>
      </w:r>
      <w:r>
        <w:rPr>
          <w:sz w:val="22"/>
        </w:rPr>
        <w:t>2026,</w:t>
      </w:r>
      <w:r>
        <w:rPr>
          <w:spacing w:val="-5"/>
          <w:sz w:val="22"/>
        </w:rPr>
        <w:t> </w:t>
      </w:r>
      <w:r>
        <w:rPr>
          <w:sz w:val="22"/>
        </w:rPr>
        <w:t>la</w:t>
      </w:r>
      <w:r>
        <w:rPr>
          <w:spacing w:val="-9"/>
          <w:sz w:val="22"/>
        </w:rPr>
        <w:t> </w:t>
      </w:r>
      <w:r>
        <w:rPr>
          <w:sz w:val="22"/>
        </w:rPr>
        <w:t>República</w:t>
      </w:r>
      <w:r>
        <w:rPr>
          <w:spacing w:val="-6"/>
          <w:sz w:val="22"/>
        </w:rPr>
        <w:t> </w:t>
      </w:r>
      <w:r>
        <w:rPr>
          <w:sz w:val="22"/>
        </w:rPr>
        <w:t>de</w:t>
      </w:r>
      <w:r>
        <w:rPr>
          <w:spacing w:val="-9"/>
          <w:sz w:val="22"/>
        </w:rPr>
        <w:t> </w:t>
      </w:r>
      <w:r>
        <w:rPr>
          <w:sz w:val="22"/>
        </w:rPr>
        <w:t>Colombia</w:t>
      </w:r>
      <w:r>
        <w:rPr>
          <w:spacing w:val="-9"/>
          <w:sz w:val="22"/>
        </w:rPr>
        <w:t> </w:t>
      </w:r>
      <w:r>
        <w:rPr>
          <w:sz w:val="22"/>
        </w:rPr>
        <w:t>mediante</w:t>
      </w:r>
      <w:r>
        <w:rPr>
          <w:spacing w:val="-9"/>
          <w:sz w:val="22"/>
        </w:rPr>
        <w:t> </w:t>
      </w:r>
      <w:r>
        <w:rPr>
          <w:sz w:val="22"/>
        </w:rPr>
        <w:t>Radicado</w:t>
      </w:r>
      <w:r>
        <w:rPr>
          <w:spacing w:val="-6"/>
          <w:sz w:val="22"/>
        </w:rPr>
        <w:t> </w:t>
      </w:r>
      <w:r>
        <w:rPr>
          <w:sz w:val="22"/>
        </w:rPr>
        <w:t>No.</w:t>
      </w:r>
      <w:r>
        <w:rPr>
          <w:spacing w:val="-8"/>
          <w:sz w:val="22"/>
        </w:rPr>
        <w:t> </w:t>
      </w:r>
      <w:r>
        <w:rPr>
          <w:sz w:val="22"/>
        </w:rPr>
        <w:t>2-2026-012479,</w:t>
      </w:r>
      <w:r>
        <w:rPr>
          <w:spacing w:val="-4"/>
          <w:sz w:val="22"/>
        </w:rPr>
        <w:t> </w:t>
      </w:r>
      <w:r>
        <w:rPr>
          <w:sz w:val="22"/>
        </w:rPr>
        <w:t>presentó</w:t>
      </w:r>
      <w:r>
        <w:rPr>
          <w:spacing w:val="-5"/>
          <w:sz w:val="22"/>
        </w:rPr>
        <w:t> </w:t>
      </w:r>
      <w:r>
        <w:rPr>
          <w:sz w:val="22"/>
        </w:rPr>
        <w:t>un</w:t>
      </w:r>
      <w:r>
        <w:rPr>
          <w:spacing w:val="-8"/>
          <w:sz w:val="22"/>
        </w:rPr>
        <w:t> </w:t>
      </w:r>
      <w:r>
        <w:rPr>
          <w:sz w:val="22"/>
        </w:rPr>
        <w:t>alcance</w:t>
      </w:r>
      <w:r>
        <w:rPr>
          <w:spacing w:val="-5"/>
          <w:sz w:val="22"/>
        </w:rPr>
        <w:t> </w:t>
      </w:r>
      <w:r>
        <w:rPr>
          <w:sz w:val="22"/>
        </w:rPr>
        <w:t>al</w:t>
      </w:r>
      <w:r>
        <w:rPr>
          <w:spacing w:val="-6"/>
          <w:sz w:val="22"/>
        </w:rPr>
        <w:t> </w:t>
      </w:r>
      <w:r>
        <w:rPr>
          <w:sz w:val="22"/>
        </w:rPr>
        <w:t>Radicado</w:t>
      </w:r>
      <w:r>
        <w:rPr>
          <w:spacing w:val="-5"/>
          <w:sz w:val="22"/>
        </w:rPr>
        <w:t> </w:t>
      </w:r>
      <w:r>
        <w:rPr>
          <w:sz w:val="22"/>
        </w:rPr>
        <w:t>No.</w:t>
      </w:r>
      <w:r>
        <w:rPr>
          <w:spacing w:val="-4"/>
          <w:sz w:val="22"/>
        </w:rPr>
        <w:t> </w:t>
      </w:r>
      <w:r>
        <w:rPr>
          <w:sz w:val="22"/>
        </w:rPr>
        <w:t>2-2026-012395,</w:t>
      </w:r>
      <w:r>
        <w:rPr>
          <w:spacing w:val="-6"/>
          <w:sz w:val="22"/>
        </w:rPr>
        <w:t> </w:t>
      </w:r>
      <w:r>
        <w:rPr>
          <w:sz w:val="22"/>
        </w:rPr>
        <w:t>relacionado</w:t>
      </w:r>
      <w:r>
        <w:rPr>
          <w:spacing w:val="-5"/>
          <w:sz w:val="22"/>
        </w:rPr>
        <w:t> </w:t>
      </w:r>
      <w:r>
        <w:rPr>
          <w:sz w:val="22"/>
        </w:rPr>
        <w:t>con</w:t>
      </w:r>
      <w:r>
        <w:rPr>
          <w:spacing w:val="-5"/>
          <w:sz w:val="22"/>
        </w:rPr>
        <w:t> </w:t>
      </w:r>
      <w:r>
        <w:rPr>
          <w:sz w:val="22"/>
        </w:rPr>
        <w:t>el</w:t>
      </w:r>
      <w:r>
        <w:rPr>
          <w:spacing w:val="-6"/>
          <w:sz w:val="22"/>
        </w:rPr>
        <w:t> </w:t>
      </w:r>
      <w:r>
        <w:rPr>
          <w:sz w:val="22"/>
        </w:rPr>
        <w:t>envío de</w:t>
      </w:r>
      <w:r>
        <w:rPr>
          <w:spacing w:val="-5"/>
          <w:sz w:val="22"/>
        </w:rPr>
        <w:t> </w:t>
      </w:r>
      <w:r>
        <w:rPr>
          <w:sz w:val="22"/>
        </w:rPr>
        <w:t>información</w:t>
      </w:r>
      <w:r>
        <w:rPr>
          <w:spacing w:val="-5"/>
          <w:sz w:val="22"/>
        </w:rPr>
        <w:t> </w:t>
      </w:r>
      <w:r>
        <w:rPr>
          <w:sz w:val="22"/>
        </w:rPr>
        <w:t>complementaria</w:t>
      </w:r>
      <w:r>
        <w:rPr>
          <w:spacing w:val="-5"/>
          <w:sz w:val="22"/>
        </w:rPr>
        <w:t> </w:t>
      </w:r>
      <w:r>
        <w:rPr>
          <w:sz w:val="22"/>
        </w:rPr>
        <w:t>requerida</w:t>
      </w:r>
      <w:r>
        <w:rPr>
          <w:spacing w:val="-5"/>
          <w:sz w:val="22"/>
        </w:rPr>
        <w:t> </w:t>
      </w:r>
      <w:r>
        <w:rPr>
          <w:sz w:val="22"/>
        </w:rPr>
        <w:t>por</w:t>
      </w:r>
      <w:r>
        <w:rPr>
          <w:spacing w:val="-6"/>
          <w:sz w:val="22"/>
        </w:rPr>
        <w:t> </w:t>
      </w:r>
      <w:r>
        <w:rPr>
          <w:sz w:val="22"/>
        </w:rPr>
        <w:t>la</w:t>
      </w:r>
      <w:r>
        <w:rPr>
          <w:spacing w:val="-7"/>
          <w:sz w:val="22"/>
        </w:rPr>
        <w:t> </w:t>
      </w:r>
      <w:r>
        <w:rPr>
          <w:sz w:val="22"/>
        </w:rPr>
        <w:t>SGCAN.</w:t>
      </w:r>
      <w:r>
        <w:rPr>
          <w:spacing w:val="-4"/>
          <w:sz w:val="22"/>
        </w:rPr>
        <w:t> </w:t>
      </w:r>
      <w:r>
        <w:rPr>
          <w:sz w:val="22"/>
        </w:rPr>
        <w:t>En</w:t>
      </w:r>
      <w:r>
        <w:rPr>
          <w:spacing w:val="-5"/>
          <w:sz w:val="22"/>
        </w:rPr>
        <w:t> </w:t>
      </w:r>
      <w:r>
        <w:rPr>
          <w:sz w:val="22"/>
        </w:rPr>
        <w:t>dicho</w:t>
      </w:r>
      <w:r>
        <w:rPr>
          <w:spacing w:val="-5"/>
          <w:sz w:val="22"/>
        </w:rPr>
        <w:t> </w:t>
      </w:r>
      <w:r>
        <w:rPr>
          <w:sz w:val="22"/>
        </w:rPr>
        <w:t>Radicado</w:t>
      </w:r>
      <w:r>
        <w:rPr>
          <w:spacing w:val="-5"/>
          <w:sz w:val="22"/>
        </w:rPr>
        <w:t> </w:t>
      </w:r>
      <w:r>
        <w:rPr>
          <w:sz w:val="22"/>
        </w:rPr>
        <w:t>presentan información ya remitida con anterioridad a esta SGCAN, en el marco de la presente </w:t>
      </w:r>
      <w:r>
        <w:rPr>
          <w:spacing w:val="-2"/>
          <w:sz w:val="22"/>
        </w:rPr>
        <w:t>investigación</w:t>
      </w:r>
      <w:hyperlink w:history="true" w:anchor="_bookmark73">
        <w:r>
          <w:rPr>
            <w:spacing w:val="-2"/>
            <w:sz w:val="22"/>
            <w:vertAlign w:val="superscript"/>
          </w:rPr>
          <w:t>6</w:t>
        </w:r>
        <w:r>
          <w:rPr>
            <w:spacing w:val="-2"/>
            <w:sz w:val="22"/>
            <w:vertAlign w:val="baseline"/>
          </w:rPr>
          <w:t>.</w:t>
        </w:r>
      </w:hyperlink>
    </w:p>
    <w:p>
      <w:pPr>
        <w:pStyle w:val="ListParagraph"/>
        <w:numPr>
          <w:ilvl w:val="0"/>
          <w:numId w:val="50"/>
        </w:numPr>
        <w:tabs>
          <w:tab w:pos="1130" w:val="left" w:leader="none"/>
          <w:tab w:pos="1134" w:val="left" w:leader="none"/>
        </w:tabs>
        <w:spacing w:line="240" w:lineRule="auto" w:before="252" w:after="0"/>
        <w:ind w:left="1134" w:right="980" w:hanging="567"/>
        <w:jc w:val="both"/>
        <w:rPr>
          <w:sz w:val="22"/>
        </w:rPr>
      </w:pPr>
      <w:r>
        <w:rPr>
          <w:sz w:val="22"/>
        </w:rPr>
        <w:t>Que, mediante Oficio Nro. MPCEI-VCE-2026-0054-O de 04 de mayo de 2026, la República</w:t>
      </w:r>
      <w:r>
        <w:rPr>
          <w:spacing w:val="-16"/>
          <w:sz w:val="22"/>
        </w:rPr>
        <w:t> </w:t>
      </w:r>
      <w:r>
        <w:rPr>
          <w:sz w:val="22"/>
        </w:rPr>
        <w:t>del</w:t>
      </w:r>
      <w:r>
        <w:rPr>
          <w:spacing w:val="-15"/>
          <w:sz w:val="22"/>
        </w:rPr>
        <w:t> </w:t>
      </w:r>
      <w:r>
        <w:rPr>
          <w:sz w:val="22"/>
        </w:rPr>
        <w:t>Ecuador</w:t>
      </w:r>
      <w:r>
        <w:rPr>
          <w:spacing w:val="-15"/>
          <w:sz w:val="22"/>
        </w:rPr>
        <w:t> </w:t>
      </w:r>
      <w:r>
        <w:rPr>
          <w:sz w:val="22"/>
        </w:rPr>
        <w:t>presentó</w:t>
      </w:r>
      <w:r>
        <w:rPr>
          <w:spacing w:val="-15"/>
          <w:sz w:val="22"/>
        </w:rPr>
        <w:t> </w:t>
      </w:r>
      <w:r>
        <w:rPr>
          <w:sz w:val="22"/>
        </w:rPr>
        <w:t>la</w:t>
      </w:r>
      <w:r>
        <w:rPr>
          <w:spacing w:val="-15"/>
          <w:sz w:val="22"/>
        </w:rPr>
        <w:t> </w:t>
      </w:r>
      <w:r>
        <w:rPr>
          <w:sz w:val="22"/>
        </w:rPr>
        <w:t>información</w:t>
      </w:r>
      <w:r>
        <w:rPr>
          <w:spacing w:val="-15"/>
          <w:sz w:val="22"/>
        </w:rPr>
        <w:t> </w:t>
      </w:r>
      <w:r>
        <w:rPr>
          <w:sz w:val="22"/>
        </w:rPr>
        <w:t>complementaria</w:t>
      </w:r>
      <w:r>
        <w:rPr>
          <w:spacing w:val="-15"/>
          <w:sz w:val="22"/>
        </w:rPr>
        <w:t> </w:t>
      </w:r>
      <w:r>
        <w:rPr>
          <w:sz w:val="22"/>
        </w:rPr>
        <w:t>solicitada</w:t>
      </w:r>
      <w:r>
        <w:rPr>
          <w:spacing w:val="-16"/>
          <w:sz w:val="22"/>
        </w:rPr>
        <w:t> </w:t>
      </w:r>
      <w:r>
        <w:rPr>
          <w:sz w:val="22"/>
        </w:rPr>
        <w:t>por</w:t>
      </w:r>
      <w:r>
        <w:rPr>
          <w:spacing w:val="-14"/>
          <w:sz w:val="22"/>
        </w:rPr>
        <w:t> </w:t>
      </w:r>
      <w:r>
        <w:rPr>
          <w:sz w:val="22"/>
        </w:rPr>
        <w:t>la</w:t>
      </w:r>
      <w:r>
        <w:rPr>
          <w:spacing w:val="-15"/>
          <w:sz w:val="22"/>
        </w:rPr>
        <w:t> </w:t>
      </w:r>
      <w:r>
        <w:rPr>
          <w:sz w:val="22"/>
        </w:rPr>
        <w:t>SGCAN dando</w:t>
      </w:r>
      <w:r>
        <w:rPr>
          <w:spacing w:val="-16"/>
          <w:sz w:val="22"/>
        </w:rPr>
        <w:t> </w:t>
      </w:r>
      <w:r>
        <w:rPr>
          <w:sz w:val="22"/>
        </w:rPr>
        <w:t>respuesta</w:t>
      </w:r>
      <w:r>
        <w:rPr>
          <w:spacing w:val="-15"/>
          <w:sz w:val="22"/>
        </w:rPr>
        <w:t> </w:t>
      </w:r>
      <w:r>
        <w:rPr>
          <w:sz w:val="22"/>
        </w:rPr>
        <w:t>a</w:t>
      </w:r>
      <w:r>
        <w:rPr>
          <w:spacing w:val="-15"/>
          <w:sz w:val="22"/>
        </w:rPr>
        <w:t> </w:t>
      </w:r>
      <w:r>
        <w:rPr>
          <w:sz w:val="22"/>
        </w:rPr>
        <w:t>las</w:t>
      </w:r>
      <w:r>
        <w:rPr>
          <w:spacing w:val="-16"/>
          <w:sz w:val="22"/>
        </w:rPr>
        <w:t> </w:t>
      </w:r>
      <w:r>
        <w:rPr>
          <w:sz w:val="22"/>
        </w:rPr>
        <w:t>comunicaciones</w:t>
      </w:r>
      <w:r>
        <w:rPr>
          <w:spacing w:val="-15"/>
          <w:sz w:val="22"/>
        </w:rPr>
        <w:t> </w:t>
      </w:r>
      <w:r>
        <w:rPr>
          <w:sz w:val="22"/>
        </w:rPr>
        <w:t>SG/E/DGCOM/834/2026,</w:t>
      </w:r>
      <w:r>
        <w:rPr>
          <w:spacing w:val="-15"/>
          <w:sz w:val="22"/>
        </w:rPr>
        <w:t> </w:t>
      </w:r>
      <w:r>
        <w:rPr>
          <w:sz w:val="22"/>
        </w:rPr>
        <w:t>de</w:t>
      </w:r>
      <w:r>
        <w:rPr>
          <w:spacing w:val="-15"/>
          <w:sz w:val="22"/>
        </w:rPr>
        <w:t> </w:t>
      </w:r>
      <w:r>
        <w:rPr>
          <w:sz w:val="22"/>
        </w:rPr>
        <w:t>24</w:t>
      </w:r>
      <w:r>
        <w:rPr>
          <w:spacing w:val="-16"/>
          <w:sz w:val="22"/>
        </w:rPr>
        <w:t> </w:t>
      </w:r>
      <w:r>
        <w:rPr>
          <w:sz w:val="22"/>
        </w:rPr>
        <w:t>de</w:t>
      </w:r>
      <w:r>
        <w:rPr>
          <w:spacing w:val="-15"/>
          <w:sz w:val="22"/>
        </w:rPr>
        <w:t> </w:t>
      </w:r>
      <w:r>
        <w:rPr>
          <w:sz w:val="22"/>
        </w:rPr>
        <w:t>abril</w:t>
      </w:r>
      <w:r>
        <w:rPr>
          <w:spacing w:val="-15"/>
          <w:sz w:val="22"/>
        </w:rPr>
        <w:t> </w:t>
      </w:r>
      <w:r>
        <w:rPr>
          <w:sz w:val="22"/>
        </w:rPr>
        <w:t>de</w:t>
      </w:r>
      <w:r>
        <w:rPr>
          <w:spacing w:val="-16"/>
          <w:sz w:val="22"/>
        </w:rPr>
        <w:t> </w:t>
      </w:r>
      <w:r>
        <w:rPr>
          <w:sz w:val="22"/>
        </w:rPr>
        <w:t>2026, y SG/E/DGCOM/877/2026, de 29 de abril de 2026.</w:t>
      </w:r>
    </w:p>
    <w:p>
      <w:pPr>
        <w:pStyle w:val="BodyText"/>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Que, mediante Oficio Nro. MPCEI-VCE-2026-0055-O de 04 de mayo de 2026, la República del Ecuador remitió el documento mediante el cual solicita incorporar al expediente</w:t>
      </w:r>
      <w:r>
        <w:rPr>
          <w:spacing w:val="15"/>
          <w:sz w:val="22"/>
        </w:rPr>
        <w:t> </w:t>
      </w:r>
      <w:r>
        <w:rPr>
          <w:sz w:val="22"/>
        </w:rPr>
        <w:t>el Decreto Nro. 0455 de 28 de abril de</w:t>
      </w:r>
      <w:r>
        <w:rPr>
          <w:spacing w:val="15"/>
          <w:sz w:val="22"/>
        </w:rPr>
        <w:t> </w:t>
      </w:r>
      <w:r>
        <w:rPr>
          <w:sz w:val="22"/>
        </w:rPr>
        <w:t>2026 publicado</w:t>
      </w:r>
      <w:r>
        <w:rPr>
          <w:spacing w:val="15"/>
          <w:sz w:val="22"/>
        </w:rPr>
        <w:t> </w:t>
      </w:r>
      <w:r>
        <w:rPr>
          <w:sz w:val="22"/>
        </w:rPr>
        <w:t>en el Diario Oficial</w:t>
      </w:r>
    </w:p>
    <w:p>
      <w:pPr>
        <w:pStyle w:val="BodyText"/>
        <w:spacing w:before="60"/>
        <w:rPr>
          <w:sz w:val="20"/>
        </w:rPr>
      </w:pPr>
      <w:r>
        <w:rPr>
          <w:sz w:val="20"/>
        </w:rPr>
        <mc:AlternateContent>
          <mc:Choice Requires="wps">
            <w:drawing>
              <wp:anchor distT="0" distB="0" distL="0" distR="0" allowOverlap="1" layoutInCell="1" locked="0" behindDoc="1" simplePos="0" relativeHeight="487629824">
                <wp:simplePos x="0" y="0"/>
                <wp:positionH relativeFrom="page">
                  <wp:posOffset>990904</wp:posOffset>
                </wp:positionH>
                <wp:positionV relativeFrom="paragraph">
                  <wp:posOffset>199872</wp:posOffset>
                </wp:positionV>
                <wp:extent cx="1829435" cy="7620"/>
                <wp:effectExtent l="0" t="0" r="0" b="0"/>
                <wp:wrapTopAndBottom/>
                <wp:docPr id="404" name="Graphic 404"/>
                <wp:cNvGraphicFramePr>
                  <a:graphicFrameLocks/>
                </wp:cNvGraphicFramePr>
                <a:graphic>
                  <a:graphicData uri="http://schemas.microsoft.com/office/word/2010/wordprocessingShape">
                    <wps:wsp>
                      <wps:cNvPr id="404" name="Graphic 404"/>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5.737988pt;width:144.020pt;height:.599980pt;mso-position-horizontal-relative:page;mso-position-vertical-relative:paragraph;z-index:-15686656;mso-wrap-distance-left:0;mso-wrap-distance-right:0" id="docshape287" filled="true" fillcolor="#000000" stroked="false">
                <v:fill type="solid"/>
                <w10:wrap type="topAndBottom"/>
              </v:rect>
            </w:pict>
          </mc:Fallback>
        </mc:AlternateContent>
      </w:r>
    </w:p>
    <w:p>
      <w:pPr>
        <w:spacing w:before="92"/>
        <w:ind w:left="568" w:right="955" w:firstLine="0"/>
        <w:jc w:val="left"/>
        <w:rPr>
          <w:sz w:val="16"/>
        </w:rPr>
      </w:pPr>
      <w:bookmarkStart w:name="_bookmark73" w:id="74"/>
      <w:bookmarkEnd w:id="74"/>
      <w:r>
        <w:rPr/>
      </w:r>
      <w:r>
        <w:rPr>
          <w:sz w:val="16"/>
          <w:vertAlign w:val="superscript"/>
        </w:rPr>
        <w:t>6</w:t>
      </w:r>
      <w:r>
        <w:rPr>
          <w:sz w:val="16"/>
          <w:vertAlign w:val="baseline"/>
        </w:rPr>
        <w:t> En el Radicado 012395 se adjuntó los siguientes documentos: Importaciones colombianas de origen Ecuador. Enero 2023 a febrero de 2026. En el Radicado 012479 se adjuntó:</w:t>
      </w:r>
    </w:p>
    <w:p>
      <w:pPr>
        <w:pStyle w:val="ListParagraph"/>
        <w:numPr>
          <w:ilvl w:val="1"/>
          <w:numId w:val="50"/>
        </w:numPr>
        <w:tabs>
          <w:tab w:pos="1288" w:val="left" w:leader="none"/>
        </w:tabs>
        <w:spacing w:line="204" w:lineRule="exact" w:before="0" w:after="0"/>
        <w:ind w:left="1288" w:right="0" w:hanging="360"/>
        <w:jc w:val="left"/>
        <w:rPr>
          <w:sz w:val="18"/>
        </w:rPr>
      </w:pPr>
      <w:r>
        <w:rPr>
          <w:spacing w:val="-2"/>
          <w:sz w:val="16"/>
        </w:rPr>
        <w:t>2026_04_29_IMPORTACIONES_DESDE_ECUADOR_DEC_0170_2026.</w:t>
      </w:r>
    </w:p>
    <w:p>
      <w:pPr>
        <w:pStyle w:val="ListParagraph"/>
        <w:numPr>
          <w:ilvl w:val="1"/>
          <w:numId w:val="50"/>
        </w:numPr>
        <w:tabs>
          <w:tab w:pos="1288" w:val="left" w:leader="none"/>
        </w:tabs>
        <w:spacing w:line="203" w:lineRule="exact" w:before="0" w:after="0"/>
        <w:ind w:left="1288" w:right="0" w:hanging="360"/>
        <w:jc w:val="left"/>
        <w:rPr>
          <w:sz w:val="18"/>
        </w:rPr>
      </w:pPr>
      <w:r>
        <w:rPr>
          <w:spacing w:val="-2"/>
          <w:sz w:val="16"/>
        </w:rPr>
        <w:t>20262014088</w:t>
      </w:r>
      <w:r>
        <w:rPr>
          <w:spacing w:val="19"/>
          <w:sz w:val="16"/>
        </w:rPr>
        <w:t> </w:t>
      </w:r>
      <w:r>
        <w:rPr>
          <w:spacing w:val="-2"/>
          <w:sz w:val="16"/>
        </w:rPr>
        <w:t>Informe</w:t>
      </w:r>
      <w:r>
        <w:rPr>
          <w:spacing w:val="18"/>
          <w:sz w:val="16"/>
        </w:rPr>
        <w:t> </w:t>
      </w:r>
      <w:r>
        <w:rPr>
          <w:spacing w:val="-2"/>
          <w:sz w:val="16"/>
        </w:rPr>
        <w:t>ICA_VAA_09-04-26_v2.</w:t>
      </w:r>
    </w:p>
    <w:p>
      <w:pPr>
        <w:pStyle w:val="ListParagraph"/>
        <w:numPr>
          <w:ilvl w:val="1"/>
          <w:numId w:val="50"/>
        </w:numPr>
        <w:tabs>
          <w:tab w:pos="1288" w:val="left" w:leader="none"/>
        </w:tabs>
        <w:spacing w:line="203" w:lineRule="exact" w:before="0" w:after="0"/>
        <w:ind w:left="1288" w:right="0" w:hanging="360"/>
        <w:jc w:val="left"/>
        <w:rPr>
          <w:sz w:val="18"/>
        </w:rPr>
      </w:pPr>
      <w:r>
        <w:rPr>
          <w:sz w:val="16"/>
        </w:rPr>
        <w:t>Anexo</w:t>
      </w:r>
      <w:r>
        <w:rPr>
          <w:spacing w:val="-2"/>
          <w:sz w:val="16"/>
        </w:rPr>
        <w:t> </w:t>
      </w:r>
      <w:r>
        <w:rPr>
          <w:sz w:val="16"/>
        </w:rPr>
        <w:t>5</w:t>
      </w:r>
      <w:r>
        <w:rPr>
          <w:spacing w:val="-4"/>
          <w:sz w:val="16"/>
        </w:rPr>
        <w:t> </w:t>
      </w:r>
      <w:r>
        <w:rPr>
          <w:sz w:val="16"/>
        </w:rPr>
        <w:t>-</w:t>
      </w:r>
      <w:r>
        <w:rPr>
          <w:spacing w:val="-4"/>
          <w:sz w:val="16"/>
        </w:rPr>
        <w:t> </w:t>
      </w:r>
      <w:r>
        <w:rPr>
          <w:sz w:val="16"/>
        </w:rPr>
        <w:t>Estudio</w:t>
      </w:r>
      <w:r>
        <w:rPr>
          <w:spacing w:val="-3"/>
          <w:sz w:val="16"/>
        </w:rPr>
        <w:t> </w:t>
      </w:r>
      <w:r>
        <w:rPr>
          <w:spacing w:val="-2"/>
          <w:sz w:val="16"/>
        </w:rPr>
        <w:t>MADR_v2.</w:t>
      </w:r>
    </w:p>
    <w:p>
      <w:pPr>
        <w:pStyle w:val="ListParagraph"/>
        <w:numPr>
          <w:ilvl w:val="1"/>
          <w:numId w:val="50"/>
        </w:numPr>
        <w:tabs>
          <w:tab w:pos="1288" w:val="left" w:leader="none"/>
        </w:tabs>
        <w:spacing w:line="203" w:lineRule="exact" w:before="0" w:after="0"/>
        <w:ind w:left="1288" w:right="0" w:hanging="360"/>
        <w:jc w:val="left"/>
        <w:rPr>
          <w:sz w:val="18"/>
        </w:rPr>
      </w:pPr>
      <w:r>
        <w:rPr>
          <w:sz w:val="16"/>
        </w:rPr>
        <w:t>Anexo</w:t>
      </w:r>
      <w:r>
        <w:rPr>
          <w:spacing w:val="-6"/>
          <w:sz w:val="16"/>
        </w:rPr>
        <w:t> </w:t>
      </w:r>
      <w:r>
        <w:rPr>
          <w:sz w:val="16"/>
        </w:rPr>
        <w:t>6.</w:t>
      </w:r>
      <w:r>
        <w:rPr>
          <w:spacing w:val="-7"/>
          <w:sz w:val="16"/>
        </w:rPr>
        <w:t> </w:t>
      </w:r>
      <w:r>
        <w:rPr>
          <w:sz w:val="16"/>
        </w:rPr>
        <w:t>Arroz</w:t>
      </w:r>
      <w:r>
        <w:rPr>
          <w:spacing w:val="-6"/>
          <w:sz w:val="16"/>
        </w:rPr>
        <w:t> </w:t>
      </w:r>
      <w:r>
        <w:rPr>
          <w:sz w:val="16"/>
        </w:rPr>
        <w:t>Soberanía</w:t>
      </w:r>
      <w:r>
        <w:rPr>
          <w:spacing w:val="-7"/>
          <w:sz w:val="16"/>
        </w:rPr>
        <w:t> </w:t>
      </w:r>
      <w:r>
        <w:rPr>
          <w:sz w:val="16"/>
        </w:rPr>
        <w:t>Alimentaria</w:t>
      </w:r>
      <w:r>
        <w:rPr>
          <w:spacing w:val="-6"/>
          <w:sz w:val="16"/>
        </w:rPr>
        <w:t> </w:t>
      </w:r>
      <w:r>
        <w:rPr>
          <w:sz w:val="16"/>
        </w:rPr>
        <w:t>y</w:t>
      </w:r>
      <w:r>
        <w:rPr>
          <w:spacing w:val="-6"/>
          <w:sz w:val="16"/>
        </w:rPr>
        <w:t> </w:t>
      </w:r>
      <w:r>
        <w:rPr>
          <w:sz w:val="16"/>
        </w:rPr>
        <w:t>Aprehensiones</w:t>
      </w:r>
      <w:r>
        <w:rPr>
          <w:spacing w:val="-4"/>
          <w:sz w:val="16"/>
        </w:rPr>
        <w:t> </w:t>
      </w:r>
      <w:r>
        <w:rPr>
          <w:sz w:val="16"/>
        </w:rPr>
        <w:t>de</w:t>
      </w:r>
      <w:r>
        <w:rPr>
          <w:spacing w:val="-6"/>
          <w:sz w:val="16"/>
        </w:rPr>
        <w:t> </w:t>
      </w:r>
      <w:r>
        <w:rPr>
          <w:sz w:val="16"/>
        </w:rPr>
        <w:t>arroz</w:t>
      </w:r>
      <w:r>
        <w:rPr>
          <w:spacing w:val="-3"/>
          <w:sz w:val="16"/>
        </w:rPr>
        <w:t> </w:t>
      </w:r>
      <w:r>
        <w:rPr>
          <w:sz w:val="16"/>
        </w:rPr>
        <w:t>2024–</w:t>
      </w:r>
      <w:r>
        <w:rPr>
          <w:spacing w:val="-2"/>
          <w:sz w:val="16"/>
        </w:rPr>
        <w:t>2025.</w:t>
      </w:r>
    </w:p>
    <w:p>
      <w:pPr>
        <w:pStyle w:val="ListParagraph"/>
        <w:numPr>
          <w:ilvl w:val="1"/>
          <w:numId w:val="50"/>
        </w:numPr>
        <w:tabs>
          <w:tab w:pos="1288" w:val="left" w:leader="none"/>
        </w:tabs>
        <w:spacing w:line="203" w:lineRule="exact" w:before="0" w:after="0"/>
        <w:ind w:left="1288" w:right="0" w:hanging="360"/>
        <w:jc w:val="left"/>
        <w:rPr>
          <w:sz w:val="18"/>
        </w:rPr>
      </w:pPr>
      <w:r>
        <w:rPr>
          <w:sz w:val="16"/>
        </w:rPr>
        <w:t>Anexo</w:t>
      </w:r>
      <w:r>
        <w:rPr>
          <w:spacing w:val="-5"/>
          <w:sz w:val="16"/>
        </w:rPr>
        <w:t> </w:t>
      </w:r>
      <w:r>
        <w:rPr>
          <w:sz w:val="16"/>
        </w:rPr>
        <w:t>7</w:t>
      </w:r>
      <w:r>
        <w:rPr>
          <w:spacing w:val="-6"/>
          <w:sz w:val="16"/>
        </w:rPr>
        <w:t> </w:t>
      </w:r>
      <w:r>
        <w:rPr>
          <w:sz w:val="16"/>
        </w:rPr>
        <w:t>-</w:t>
      </w:r>
      <w:r>
        <w:rPr>
          <w:spacing w:val="-7"/>
          <w:sz w:val="16"/>
        </w:rPr>
        <w:t> </w:t>
      </w:r>
      <w:r>
        <w:rPr>
          <w:sz w:val="16"/>
        </w:rPr>
        <w:t>Aprehensiones</w:t>
      </w:r>
      <w:r>
        <w:rPr>
          <w:spacing w:val="-5"/>
          <w:sz w:val="16"/>
        </w:rPr>
        <w:t> </w:t>
      </w:r>
      <w:r>
        <w:rPr>
          <w:sz w:val="16"/>
        </w:rPr>
        <w:t>Productos</w:t>
      </w:r>
      <w:r>
        <w:rPr>
          <w:spacing w:val="-5"/>
          <w:sz w:val="16"/>
        </w:rPr>
        <w:t> </w:t>
      </w:r>
      <w:r>
        <w:rPr>
          <w:spacing w:val="-4"/>
          <w:sz w:val="16"/>
        </w:rPr>
        <w:t>Ecu.</w:t>
      </w:r>
    </w:p>
    <w:p>
      <w:pPr>
        <w:pStyle w:val="ListParagraph"/>
        <w:numPr>
          <w:ilvl w:val="1"/>
          <w:numId w:val="50"/>
        </w:numPr>
        <w:tabs>
          <w:tab w:pos="1288" w:val="left" w:leader="none"/>
        </w:tabs>
        <w:spacing w:line="203" w:lineRule="exact" w:before="0" w:after="0"/>
        <w:ind w:left="1288" w:right="0" w:hanging="360"/>
        <w:jc w:val="left"/>
        <w:rPr>
          <w:sz w:val="18"/>
        </w:rPr>
      </w:pPr>
      <w:r>
        <w:rPr>
          <w:sz w:val="16"/>
        </w:rPr>
        <w:t>Complemento</w:t>
      </w:r>
      <w:r>
        <w:rPr>
          <w:spacing w:val="-9"/>
          <w:sz w:val="16"/>
        </w:rPr>
        <w:t> </w:t>
      </w:r>
      <w:r>
        <w:rPr>
          <w:sz w:val="16"/>
        </w:rPr>
        <w:t>respuesta</w:t>
      </w:r>
      <w:r>
        <w:rPr>
          <w:spacing w:val="-7"/>
          <w:sz w:val="16"/>
        </w:rPr>
        <w:t> </w:t>
      </w:r>
      <w:r>
        <w:rPr>
          <w:sz w:val="16"/>
        </w:rPr>
        <w:t>Colombia</w:t>
      </w:r>
      <w:r>
        <w:rPr>
          <w:spacing w:val="-6"/>
          <w:sz w:val="16"/>
        </w:rPr>
        <w:t> </w:t>
      </w:r>
      <w:r>
        <w:rPr>
          <w:sz w:val="16"/>
        </w:rPr>
        <w:t>-</w:t>
      </w:r>
      <w:r>
        <w:rPr>
          <w:spacing w:val="-7"/>
          <w:sz w:val="16"/>
        </w:rPr>
        <w:t> </w:t>
      </w:r>
      <w:r>
        <w:rPr>
          <w:sz w:val="16"/>
        </w:rPr>
        <w:t>MADR</w:t>
      </w:r>
      <w:r>
        <w:rPr>
          <w:spacing w:val="-7"/>
          <w:sz w:val="16"/>
        </w:rPr>
        <w:t> </w:t>
      </w:r>
      <w:r>
        <w:rPr>
          <w:sz w:val="16"/>
        </w:rPr>
        <w:t>2026-500-009247-1</w:t>
      </w:r>
      <w:r>
        <w:rPr>
          <w:spacing w:val="-7"/>
          <w:sz w:val="16"/>
        </w:rPr>
        <w:t> </w:t>
      </w:r>
      <w:r>
        <w:rPr>
          <w:sz w:val="16"/>
        </w:rPr>
        <w:t>–</w:t>
      </w:r>
      <w:r>
        <w:rPr>
          <w:spacing w:val="-6"/>
          <w:sz w:val="16"/>
        </w:rPr>
        <w:t> </w:t>
      </w:r>
      <w:r>
        <w:rPr>
          <w:spacing w:val="-2"/>
          <w:sz w:val="16"/>
        </w:rPr>
        <w:t>SGCAN.</w:t>
      </w:r>
    </w:p>
    <w:p>
      <w:pPr>
        <w:pStyle w:val="ListParagraph"/>
        <w:numPr>
          <w:ilvl w:val="1"/>
          <w:numId w:val="50"/>
        </w:numPr>
        <w:tabs>
          <w:tab w:pos="1288" w:val="left" w:leader="none"/>
        </w:tabs>
        <w:spacing w:line="204" w:lineRule="exact" w:before="0" w:after="0"/>
        <w:ind w:left="1288" w:right="0" w:hanging="360"/>
        <w:jc w:val="left"/>
        <w:rPr>
          <w:sz w:val="18"/>
        </w:rPr>
      </w:pPr>
      <w:r>
        <w:rPr>
          <w:sz w:val="16"/>
        </w:rPr>
        <w:t>RESOLUCION</w:t>
      </w:r>
      <w:r>
        <w:rPr>
          <w:spacing w:val="-7"/>
          <w:sz w:val="16"/>
        </w:rPr>
        <w:t> </w:t>
      </w:r>
      <w:r>
        <w:rPr>
          <w:sz w:val="16"/>
        </w:rPr>
        <w:t>ICA</w:t>
      </w:r>
      <w:r>
        <w:rPr>
          <w:spacing w:val="-4"/>
          <w:sz w:val="16"/>
        </w:rPr>
        <w:t> </w:t>
      </w:r>
      <w:r>
        <w:rPr>
          <w:sz w:val="16"/>
        </w:rPr>
        <w:t>No.</w:t>
      </w:r>
      <w:r>
        <w:rPr>
          <w:spacing w:val="-5"/>
          <w:sz w:val="16"/>
        </w:rPr>
        <w:t> </w:t>
      </w:r>
      <w:r>
        <w:rPr>
          <w:sz w:val="16"/>
        </w:rPr>
        <w:t>00009105</w:t>
      </w:r>
      <w:r>
        <w:rPr>
          <w:spacing w:val="-3"/>
          <w:sz w:val="16"/>
        </w:rPr>
        <w:t> </w:t>
      </w:r>
      <w:r>
        <w:rPr>
          <w:sz w:val="16"/>
        </w:rPr>
        <w:t>de</w:t>
      </w:r>
      <w:r>
        <w:rPr>
          <w:spacing w:val="-3"/>
          <w:sz w:val="16"/>
        </w:rPr>
        <w:t> </w:t>
      </w:r>
      <w:r>
        <w:rPr>
          <w:spacing w:val="-2"/>
          <w:sz w:val="16"/>
        </w:rPr>
        <w:t>2024_v2.</w:t>
      </w:r>
    </w:p>
    <w:p>
      <w:pPr>
        <w:spacing w:before="0"/>
        <w:ind w:left="568" w:right="955" w:firstLine="0"/>
        <w:jc w:val="left"/>
        <w:rPr>
          <w:sz w:val="16"/>
        </w:rPr>
      </w:pPr>
      <w:r>
        <w:rPr>
          <w:sz w:val="16"/>
        </w:rPr>
        <w:t>No obstante, se deja constancia que los anexos de esta última comunicación ya fueron presentados en la SGCAN mediante</w:t>
      </w:r>
      <w:r>
        <w:rPr>
          <w:spacing w:val="40"/>
          <w:sz w:val="16"/>
        </w:rPr>
        <w:t> </w:t>
      </w:r>
      <w:r>
        <w:rPr>
          <w:sz w:val="16"/>
        </w:rPr>
        <w:t>Radicado 011812 de 24 abril de 2026:</w:t>
      </w:r>
    </w:p>
    <w:p>
      <w:pPr>
        <w:pStyle w:val="ListParagraph"/>
        <w:numPr>
          <w:ilvl w:val="0"/>
          <w:numId w:val="51"/>
        </w:numPr>
        <w:tabs>
          <w:tab w:pos="1288" w:val="left" w:leader="none"/>
        </w:tabs>
        <w:spacing w:line="204" w:lineRule="exact" w:before="0" w:after="0"/>
        <w:ind w:left="1288" w:right="0" w:hanging="360"/>
        <w:jc w:val="left"/>
        <w:rPr>
          <w:sz w:val="16"/>
        </w:rPr>
      </w:pPr>
      <w:r>
        <w:rPr>
          <w:sz w:val="16"/>
        </w:rPr>
        <w:t>Anexo</w:t>
      </w:r>
      <w:r>
        <w:rPr>
          <w:spacing w:val="-2"/>
          <w:sz w:val="16"/>
        </w:rPr>
        <w:t> </w:t>
      </w:r>
      <w:r>
        <w:rPr>
          <w:sz w:val="16"/>
        </w:rPr>
        <w:t>5</w:t>
      </w:r>
      <w:r>
        <w:rPr>
          <w:spacing w:val="-4"/>
          <w:sz w:val="16"/>
        </w:rPr>
        <w:t> </w:t>
      </w:r>
      <w:r>
        <w:rPr>
          <w:sz w:val="16"/>
        </w:rPr>
        <w:t>-</w:t>
      </w:r>
      <w:r>
        <w:rPr>
          <w:spacing w:val="-4"/>
          <w:sz w:val="16"/>
        </w:rPr>
        <w:t> </w:t>
      </w:r>
      <w:r>
        <w:rPr>
          <w:sz w:val="16"/>
        </w:rPr>
        <w:t>Estudio</w:t>
      </w:r>
      <w:r>
        <w:rPr>
          <w:spacing w:val="-3"/>
          <w:sz w:val="16"/>
        </w:rPr>
        <w:t> </w:t>
      </w:r>
      <w:r>
        <w:rPr>
          <w:spacing w:val="-2"/>
          <w:sz w:val="16"/>
        </w:rPr>
        <w:t>MADR.</w:t>
      </w:r>
    </w:p>
    <w:p>
      <w:pPr>
        <w:pStyle w:val="ListParagraph"/>
        <w:numPr>
          <w:ilvl w:val="0"/>
          <w:numId w:val="51"/>
        </w:numPr>
        <w:tabs>
          <w:tab w:pos="1288" w:val="left" w:leader="none"/>
        </w:tabs>
        <w:spacing w:line="203" w:lineRule="exact" w:before="0" w:after="0"/>
        <w:ind w:left="1288" w:right="0" w:hanging="360"/>
        <w:jc w:val="left"/>
        <w:rPr>
          <w:sz w:val="16"/>
        </w:rPr>
      </w:pPr>
      <w:r>
        <w:rPr>
          <w:sz w:val="16"/>
        </w:rPr>
        <w:t>Anexo</w:t>
      </w:r>
      <w:r>
        <w:rPr>
          <w:spacing w:val="-6"/>
          <w:sz w:val="16"/>
        </w:rPr>
        <w:t> </w:t>
      </w:r>
      <w:r>
        <w:rPr>
          <w:sz w:val="16"/>
        </w:rPr>
        <w:t>13</w:t>
      </w:r>
      <w:r>
        <w:rPr>
          <w:spacing w:val="-4"/>
          <w:sz w:val="16"/>
        </w:rPr>
        <w:t> </w:t>
      </w:r>
      <w:r>
        <w:rPr>
          <w:sz w:val="16"/>
        </w:rPr>
        <w:t>-</w:t>
      </w:r>
      <w:r>
        <w:rPr>
          <w:spacing w:val="-4"/>
          <w:sz w:val="16"/>
        </w:rPr>
        <w:t> </w:t>
      </w:r>
      <w:r>
        <w:rPr>
          <w:sz w:val="16"/>
        </w:rPr>
        <w:t>RESOLUCION</w:t>
      </w:r>
      <w:r>
        <w:rPr>
          <w:spacing w:val="-5"/>
          <w:sz w:val="16"/>
        </w:rPr>
        <w:t> </w:t>
      </w:r>
      <w:r>
        <w:rPr>
          <w:sz w:val="16"/>
        </w:rPr>
        <w:t>ICA</w:t>
      </w:r>
      <w:r>
        <w:rPr>
          <w:spacing w:val="-2"/>
          <w:sz w:val="16"/>
        </w:rPr>
        <w:t> 2024.</w:t>
      </w:r>
    </w:p>
    <w:p>
      <w:pPr>
        <w:pStyle w:val="ListParagraph"/>
        <w:numPr>
          <w:ilvl w:val="0"/>
          <w:numId w:val="51"/>
        </w:numPr>
        <w:tabs>
          <w:tab w:pos="1288" w:val="left" w:leader="none"/>
        </w:tabs>
        <w:spacing w:line="203" w:lineRule="exact" w:before="0" w:after="0"/>
        <w:ind w:left="1288" w:right="0" w:hanging="360"/>
        <w:jc w:val="left"/>
        <w:rPr>
          <w:sz w:val="16"/>
        </w:rPr>
      </w:pPr>
      <w:r>
        <w:rPr>
          <w:sz w:val="16"/>
        </w:rPr>
        <w:t>Anexo</w:t>
      </w:r>
      <w:r>
        <w:rPr>
          <w:spacing w:val="-6"/>
          <w:sz w:val="16"/>
        </w:rPr>
        <w:t> </w:t>
      </w:r>
      <w:r>
        <w:rPr>
          <w:sz w:val="16"/>
        </w:rPr>
        <w:t>6.</w:t>
      </w:r>
      <w:r>
        <w:rPr>
          <w:spacing w:val="-7"/>
          <w:sz w:val="16"/>
        </w:rPr>
        <w:t> </w:t>
      </w:r>
      <w:r>
        <w:rPr>
          <w:sz w:val="16"/>
        </w:rPr>
        <w:t>Arroz</w:t>
      </w:r>
      <w:r>
        <w:rPr>
          <w:spacing w:val="-6"/>
          <w:sz w:val="16"/>
        </w:rPr>
        <w:t> </w:t>
      </w:r>
      <w:r>
        <w:rPr>
          <w:sz w:val="16"/>
        </w:rPr>
        <w:t>Soberanía</w:t>
      </w:r>
      <w:r>
        <w:rPr>
          <w:spacing w:val="-7"/>
          <w:sz w:val="16"/>
        </w:rPr>
        <w:t> </w:t>
      </w:r>
      <w:r>
        <w:rPr>
          <w:sz w:val="16"/>
        </w:rPr>
        <w:t>Alimentaria</w:t>
      </w:r>
      <w:r>
        <w:rPr>
          <w:spacing w:val="-6"/>
          <w:sz w:val="16"/>
        </w:rPr>
        <w:t> </w:t>
      </w:r>
      <w:r>
        <w:rPr>
          <w:sz w:val="16"/>
        </w:rPr>
        <w:t>y</w:t>
      </w:r>
      <w:r>
        <w:rPr>
          <w:spacing w:val="-6"/>
          <w:sz w:val="16"/>
        </w:rPr>
        <w:t> </w:t>
      </w:r>
      <w:r>
        <w:rPr>
          <w:sz w:val="16"/>
        </w:rPr>
        <w:t>Aprehensiones</w:t>
      </w:r>
      <w:r>
        <w:rPr>
          <w:spacing w:val="-4"/>
          <w:sz w:val="16"/>
        </w:rPr>
        <w:t> </w:t>
      </w:r>
      <w:r>
        <w:rPr>
          <w:sz w:val="16"/>
        </w:rPr>
        <w:t>de</w:t>
      </w:r>
      <w:r>
        <w:rPr>
          <w:spacing w:val="-6"/>
          <w:sz w:val="16"/>
        </w:rPr>
        <w:t> </w:t>
      </w:r>
      <w:r>
        <w:rPr>
          <w:sz w:val="16"/>
        </w:rPr>
        <w:t>arroz</w:t>
      </w:r>
      <w:r>
        <w:rPr>
          <w:spacing w:val="-3"/>
          <w:sz w:val="16"/>
        </w:rPr>
        <w:t> </w:t>
      </w:r>
      <w:r>
        <w:rPr>
          <w:sz w:val="16"/>
        </w:rPr>
        <w:t>2024–</w:t>
      </w:r>
      <w:r>
        <w:rPr>
          <w:spacing w:val="-2"/>
          <w:sz w:val="16"/>
        </w:rPr>
        <w:t>2025.</w:t>
      </w:r>
    </w:p>
    <w:p>
      <w:pPr>
        <w:pStyle w:val="ListParagraph"/>
        <w:numPr>
          <w:ilvl w:val="0"/>
          <w:numId w:val="51"/>
        </w:numPr>
        <w:tabs>
          <w:tab w:pos="1288" w:val="left" w:leader="none"/>
        </w:tabs>
        <w:spacing w:line="203" w:lineRule="exact" w:before="0" w:after="0"/>
        <w:ind w:left="1288" w:right="0" w:hanging="360"/>
        <w:jc w:val="left"/>
        <w:rPr>
          <w:sz w:val="16"/>
        </w:rPr>
      </w:pPr>
      <w:r>
        <w:rPr>
          <w:sz w:val="16"/>
        </w:rPr>
        <w:t>Anexo</w:t>
      </w:r>
      <w:r>
        <w:rPr>
          <w:spacing w:val="-5"/>
          <w:sz w:val="16"/>
        </w:rPr>
        <w:t> </w:t>
      </w:r>
      <w:r>
        <w:rPr>
          <w:sz w:val="16"/>
        </w:rPr>
        <w:t>7</w:t>
      </w:r>
      <w:r>
        <w:rPr>
          <w:spacing w:val="-6"/>
          <w:sz w:val="16"/>
        </w:rPr>
        <w:t> </w:t>
      </w:r>
      <w:r>
        <w:rPr>
          <w:sz w:val="16"/>
        </w:rPr>
        <w:t>-</w:t>
      </w:r>
      <w:r>
        <w:rPr>
          <w:spacing w:val="-7"/>
          <w:sz w:val="16"/>
        </w:rPr>
        <w:t> </w:t>
      </w:r>
      <w:r>
        <w:rPr>
          <w:sz w:val="16"/>
        </w:rPr>
        <w:t>Aprehensiones</w:t>
      </w:r>
      <w:r>
        <w:rPr>
          <w:spacing w:val="-5"/>
          <w:sz w:val="16"/>
        </w:rPr>
        <w:t> </w:t>
      </w:r>
      <w:r>
        <w:rPr>
          <w:sz w:val="16"/>
        </w:rPr>
        <w:t>Productos</w:t>
      </w:r>
      <w:r>
        <w:rPr>
          <w:spacing w:val="-5"/>
          <w:sz w:val="16"/>
        </w:rPr>
        <w:t> </w:t>
      </w:r>
      <w:r>
        <w:rPr>
          <w:spacing w:val="-4"/>
          <w:sz w:val="16"/>
        </w:rPr>
        <w:t>Ecu.</w:t>
      </w:r>
    </w:p>
    <w:p>
      <w:pPr>
        <w:pStyle w:val="ListParagraph"/>
        <w:numPr>
          <w:ilvl w:val="0"/>
          <w:numId w:val="51"/>
        </w:numPr>
        <w:tabs>
          <w:tab w:pos="1288" w:val="left" w:leader="none"/>
        </w:tabs>
        <w:spacing w:line="203" w:lineRule="exact" w:before="0" w:after="0"/>
        <w:ind w:left="1288" w:right="0" w:hanging="360"/>
        <w:jc w:val="left"/>
        <w:rPr>
          <w:sz w:val="16"/>
        </w:rPr>
      </w:pPr>
      <w:r>
        <w:rPr>
          <w:sz w:val="16"/>
        </w:rPr>
        <w:t>Anexo</w:t>
      </w:r>
      <w:r>
        <w:rPr>
          <w:spacing w:val="-6"/>
          <w:sz w:val="16"/>
        </w:rPr>
        <w:t> </w:t>
      </w:r>
      <w:r>
        <w:rPr>
          <w:sz w:val="16"/>
        </w:rPr>
        <w:t>13</w:t>
      </w:r>
      <w:r>
        <w:rPr>
          <w:spacing w:val="-4"/>
          <w:sz w:val="16"/>
        </w:rPr>
        <w:t> </w:t>
      </w:r>
      <w:r>
        <w:rPr>
          <w:sz w:val="16"/>
        </w:rPr>
        <w:t>-</w:t>
      </w:r>
      <w:r>
        <w:rPr>
          <w:spacing w:val="-4"/>
          <w:sz w:val="16"/>
        </w:rPr>
        <w:t> </w:t>
      </w:r>
      <w:r>
        <w:rPr>
          <w:sz w:val="16"/>
        </w:rPr>
        <w:t>RESOLUCION</w:t>
      </w:r>
      <w:r>
        <w:rPr>
          <w:spacing w:val="-5"/>
          <w:sz w:val="16"/>
        </w:rPr>
        <w:t> </w:t>
      </w:r>
      <w:r>
        <w:rPr>
          <w:sz w:val="16"/>
        </w:rPr>
        <w:t>ICA</w:t>
      </w:r>
      <w:r>
        <w:rPr>
          <w:spacing w:val="-2"/>
          <w:sz w:val="16"/>
        </w:rPr>
        <w:t> 2024.</w:t>
      </w:r>
    </w:p>
    <w:p>
      <w:pPr>
        <w:pStyle w:val="ListParagraph"/>
        <w:numPr>
          <w:ilvl w:val="0"/>
          <w:numId w:val="51"/>
        </w:numPr>
        <w:tabs>
          <w:tab w:pos="1288" w:val="left" w:leader="none"/>
        </w:tabs>
        <w:spacing w:line="202" w:lineRule="exact" w:before="0" w:after="0"/>
        <w:ind w:left="1288" w:right="0" w:hanging="360"/>
        <w:jc w:val="left"/>
        <w:rPr>
          <w:sz w:val="16"/>
        </w:rPr>
      </w:pPr>
      <w:r>
        <w:rPr>
          <w:spacing w:val="-2"/>
          <w:sz w:val="16"/>
        </w:rPr>
        <w:t>20262014088</w:t>
      </w:r>
      <w:r>
        <w:rPr>
          <w:spacing w:val="19"/>
          <w:sz w:val="16"/>
        </w:rPr>
        <w:t> </w:t>
      </w:r>
      <w:r>
        <w:rPr>
          <w:spacing w:val="-2"/>
          <w:sz w:val="16"/>
        </w:rPr>
        <w:t>Informe</w:t>
      </w:r>
      <w:r>
        <w:rPr>
          <w:spacing w:val="18"/>
          <w:sz w:val="16"/>
        </w:rPr>
        <w:t> </w:t>
      </w:r>
      <w:r>
        <w:rPr>
          <w:spacing w:val="-2"/>
          <w:sz w:val="16"/>
        </w:rPr>
        <w:t>ICA_VAA_09-04-26_v2.</w:t>
      </w:r>
    </w:p>
    <w:p>
      <w:pPr>
        <w:tabs>
          <w:tab w:pos="928" w:val="left" w:leader="none"/>
          <w:tab w:pos="1288" w:val="left" w:leader="none"/>
          <w:tab w:pos="9816" w:val="left" w:leader="none"/>
        </w:tabs>
        <w:spacing w:line="204" w:lineRule="exact" w:before="0"/>
        <w:ind w:left="160" w:right="0" w:firstLine="0"/>
        <w:jc w:val="left"/>
        <w:rPr>
          <w:sz w:val="16"/>
        </w:rPr>
      </w:pPr>
      <w:r>
        <w:rPr>
          <w:sz w:val="18"/>
          <w:u w:val="single"/>
        </w:rPr>
        <w:tab/>
      </w:r>
      <w:r>
        <w:rPr>
          <w:spacing w:val="-5"/>
          <w:sz w:val="18"/>
          <w:u w:val="single"/>
        </w:rPr>
        <w:t>7.</w:t>
      </w:r>
      <w:r>
        <w:rPr>
          <w:sz w:val="18"/>
          <w:u w:val="single"/>
        </w:rPr>
        <w:tab/>
      </w:r>
      <w:r>
        <w:rPr>
          <w:sz w:val="16"/>
          <w:u w:val="single"/>
        </w:rPr>
        <w:t>Complemento</w:t>
      </w:r>
      <w:r>
        <w:rPr>
          <w:spacing w:val="-9"/>
          <w:sz w:val="16"/>
          <w:u w:val="single"/>
        </w:rPr>
        <w:t> </w:t>
      </w:r>
      <w:r>
        <w:rPr>
          <w:sz w:val="16"/>
          <w:u w:val="single"/>
        </w:rPr>
        <w:t>respuesta</w:t>
      </w:r>
      <w:r>
        <w:rPr>
          <w:spacing w:val="-7"/>
          <w:sz w:val="16"/>
          <w:u w:val="single"/>
        </w:rPr>
        <w:t> </w:t>
      </w:r>
      <w:r>
        <w:rPr>
          <w:sz w:val="16"/>
          <w:u w:val="single"/>
        </w:rPr>
        <w:t>Colombia</w:t>
      </w:r>
      <w:r>
        <w:rPr>
          <w:spacing w:val="-6"/>
          <w:sz w:val="16"/>
          <w:u w:val="single"/>
        </w:rPr>
        <w:t> </w:t>
      </w:r>
      <w:r>
        <w:rPr>
          <w:sz w:val="16"/>
          <w:u w:val="single"/>
        </w:rPr>
        <w:t>-</w:t>
      </w:r>
      <w:r>
        <w:rPr>
          <w:spacing w:val="-7"/>
          <w:sz w:val="16"/>
          <w:u w:val="single"/>
        </w:rPr>
        <w:t> </w:t>
      </w:r>
      <w:r>
        <w:rPr>
          <w:sz w:val="16"/>
          <w:u w:val="single"/>
        </w:rPr>
        <w:t>MADR</w:t>
      </w:r>
      <w:r>
        <w:rPr>
          <w:spacing w:val="-7"/>
          <w:sz w:val="16"/>
          <w:u w:val="single"/>
        </w:rPr>
        <w:t> </w:t>
      </w:r>
      <w:r>
        <w:rPr>
          <w:sz w:val="16"/>
          <w:u w:val="single"/>
        </w:rPr>
        <w:t>2026-500-009247-1</w:t>
      </w:r>
      <w:r>
        <w:rPr>
          <w:spacing w:val="-7"/>
          <w:sz w:val="16"/>
          <w:u w:val="single"/>
        </w:rPr>
        <w:t> </w:t>
      </w:r>
      <w:r>
        <w:rPr>
          <w:sz w:val="16"/>
          <w:u w:val="single"/>
        </w:rPr>
        <w:t>–</w:t>
      </w:r>
      <w:r>
        <w:rPr>
          <w:spacing w:val="-6"/>
          <w:sz w:val="16"/>
          <w:u w:val="single"/>
        </w:rPr>
        <w:t> </w:t>
      </w:r>
      <w:r>
        <w:rPr>
          <w:spacing w:val="-2"/>
          <w:sz w:val="16"/>
          <w:u w:val="single"/>
        </w:rPr>
        <w:t>SGCAN.</w:t>
      </w:r>
      <w:r>
        <w:rPr>
          <w:sz w:val="16"/>
          <w:u w:val="single"/>
        </w:rPr>
        <w:tab/>
      </w:r>
    </w:p>
    <w:p>
      <w:pPr>
        <w:spacing w:after="0" w:line="204" w:lineRule="exact"/>
        <w:jc w:val="left"/>
        <w:rPr>
          <w:sz w:val="16"/>
        </w:rPr>
        <w:sectPr>
          <w:pgSz w:w="11900" w:h="16850"/>
          <w:pgMar w:header="370" w:footer="597" w:top="1380" w:bottom="780" w:left="992" w:right="283"/>
        </w:sectPr>
      </w:pPr>
    </w:p>
    <w:p>
      <w:pPr>
        <w:pStyle w:val="BodyText"/>
        <w:spacing w:before="176"/>
      </w:pPr>
    </w:p>
    <w:p>
      <w:pPr>
        <w:pStyle w:val="BodyText"/>
        <w:ind w:left="1134" w:right="955"/>
      </w:pPr>
      <w:r>
        <w:rPr/>
        <w:t>Nro. 53476 (en adelante “Decreto 0455”), en atención a su conexidad directa con las medidas actualmente objeto de análisis por parte de la SGCAN.</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Que, mediante carta SG/E/DGCOM/925/2026, de 05 de mayo de 2026, la SGCAN trasladó a los demás Países Miembros la información complementaria presentada por la República del Ecuador y la República de Colombia.</w:t>
      </w:r>
    </w:p>
    <w:p>
      <w:pPr>
        <w:pStyle w:val="BodyText"/>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Que, mediante carta SG/E/DGCOM/926/2026, de 05 de mayo de 2026, la SGCAN comunicó</w:t>
      </w:r>
      <w:r>
        <w:rPr>
          <w:spacing w:val="-9"/>
          <w:sz w:val="22"/>
        </w:rPr>
        <w:t> </w:t>
      </w:r>
      <w:r>
        <w:rPr>
          <w:sz w:val="22"/>
        </w:rPr>
        <w:t>a</w:t>
      </w:r>
      <w:r>
        <w:rPr>
          <w:spacing w:val="-11"/>
          <w:sz w:val="22"/>
        </w:rPr>
        <w:t> </w:t>
      </w:r>
      <w:r>
        <w:rPr>
          <w:sz w:val="22"/>
        </w:rPr>
        <w:t>la</w:t>
      </w:r>
      <w:r>
        <w:rPr>
          <w:spacing w:val="-9"/>
          <w:sz w:val="22"/>
        </w:rPr>
        <w:t> </w:t>
      </w:r>
      <w:r>
        <w:rPr>
          <w:sz w:val="22"/>
        </w:rPr>
        <w:t>República</w:t>
      </w:r>
      <w:r>
        <w:rPr>
          <w:spacing w:val="-11"/>
          <w:sz w:val="22"/>
        </w:rPr>
        <w:t> </w:t>
      </w:r>
      <w:r>
        <w:rPr>
          <w:sz w:val="22"/>
        </w:rPr>
        <w:t>del</w:t>
      </w:r>
      <w:r>
        <w:rPr>
          <w:spacing w:val="-10"/>
          <w:sz w:val="22"/>
        </w:rPr>
        <w:t> </w:t>
      </w:r>
      <w:r>
        <w:rPr>
          <w:sz w:val="22"/>
        </w:rPr>
        <w:t>Ecuador</w:t>
      </w:r>
      <w:r>
        <w:rPr>
          <w:spacing w:val="-10"/>
          <w:sz w:val="22"/>
        </w:rPr>
        <w:t> </w:t>
      </w:r>
      <w:r>
        <w:rPr>
          <w:sz w:val="22"/>
        </w:rPr>
        <w:t>el</w:t>
      </w:r>
      <w:r>
        <w:rPr>
          <w:spacing w:val="-10"/>
          <w:sz w:val="22"/>
        </w:rPr>
        <w:t> </w:t>
      </w:r>
      <w:r>
        <w:rPr>
          <w:sz w:val="22"/>
        </w:rPr>
        <w:t>acuse</w:t>
      </w:r>
      <w:r>
        <w:rPr>
          <w:spacing w:val="-11"/>
          <w:sz w:val="22"/>
        </w:rPr>
        <w:t> </w:t>
      </w:r>
      <w:r>
        <w:rPr>
          <w:sz w:val="22"/>
        </w:rPr>
        <w:t>recibo</w:t>
      </w:r>
      <w:r>
        <w:rPr>
          <w:spacing w:val="-9"/>
          <w:sz w:val="22"/>
        </w:rPr>
        <w:t> </w:t>
      </w:r>
      <w:r>
        <w:rPr>
          <w:sz w:val="22"/>
        </w:rPr>
        <w:t>de</w:t>
      </w:r>
      <w:r>
        <w:rPr>
          <w:spacing w:val="-9"/>
          <w:sz w:val="22"/>
        </w:rPr>
        <w:t> </w:t>
      </w:r>
      <w:r>
        <w:rPr>
          <w:sz w:val="22"/>
        </w:rPr>
        <w:t>la</w:t>
      </w:r>
      <w:r>
        <w:rPr>
          <w:spacing w:val="-11"/>
          <w:sz w:val="22"/>
        </w:rPr>
        <w:t> </w:t>
      </w:r>
      <w:r>
        <w:rPr>
          <w:sz w:val="22"/>
        </w:rPr>
        <w:t>información</w:t>
      </w:r>
      <w:r>
        <w:rPr>
          <w:spacing w:val="-9"/>
          <w:sz w:val="22"/>
        </w:rPr>
        <w:t> </w:t>
      </w:r>
      <w:r>
        <w:rPr>
          <w:sz w:val="22"/>
        </w:rPr>
        <w:t>presentada</w:t>
      </w:r>
      <w:r>
        <w:rPr>
          <w:spacing w:val="-9"/>
          <w:sz w:val="22"/>
        </w:rPr>
        <w:t> </w:t>
      </w:r>
      <w:r>
        <w:rPr>
          <w:sz w:val="22"/>
        </w:rPr>
        <w:t>el</w:t>
      </w:r>
      <w:r>
        <w:rPr>
          <w:spacing w:val="-12"/>
          <w:sz w:val="22"/>
        </w:rPr>
        <w:t> </w:t>
      </w:r>
      <w:r>
        <w:rPr>
          <w:sz w:val="22"/>
        </w:rPr>
        <w:t>04 de mayo de 2026 y el 5 de mayo de 2026, y trasladó la información complementaria presentada por la República de Colombia.</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Que, mediante carta SG/E/DGCOM/927/2026, de 05 de mayo de 2026, la SGCAN comunicó a la República de Colombia el acuse recibo de la información presentada el 30</w:t>
      </w:r>
      <w:r>
        <w:rPr>
          <w:spacing w:val="-14"/>
          <w:sz w:val="22"/>
        </w:rPr>
        <w:t> </w:t>
      </w:r>
      <w:r>
        <w:rPr>
          <w:sz w:val="22"/>
        </w:rPr>
        <w:t>de</w:t>
      </w:r>
      <w:r>
        <w:rPr>
          <w:spacing w:val="-14"/>
          <w:sz w:val="22"/>
        </w:rPr>
        <w:t> </w:t>
      </w:r>
      <w:r>
        <w:rPr>
          <w:sz w:val="22"/>
        </w:rPr>
        <w:t>abril</w:t>
      </w:r>
      <w:r>
        <w:rPr>
          <w:spacing w:val="-14"/>
          <w:sz w:val="22"/>
        </w:rPr>
        <w:t> </w:t>
      </w:r>
      <w:r>
        <w:rPr>
          <w:sz w:val="22"/>
        </w:rPr>
        <w:t>y</w:t>
      </w:r>
      <w:r>
        <w:rPr>
          <w:spacing w:val="-13"/>
          <w:sz w:val="22"/>
        </w:rPr>
        <w:t> </w:t>
      </w:r>
      <w:r>
        <w:rPr>
          <w:sz w:val="22"/>
        </w:rPr>
        <w:t>el</w:t>
      </w:r>
      <w:r>
        <w:rPr>
          <w:spacing w:val="-14"/>
          <w:sz w:val="22"/>
        </w:rPr>
        <w:t> </w:t>
      </w:r>
      <w:r>
        <w:rPr>
          <w:sz w:val="22"/>
        </w:rPr>
        <w:t>4</w:t>
      </w:r>
      <w:r>
        <w:rPr>
          <w:spacing w:val="-14"/>
          <w:sz w:val="22"/>
        </w:rPr>
        <w:t> </w:t>
      </w:r>
      <w:r>
        <w:rPr>
          <w:sz w:val="22"/>
        </w:rPr>
        <w:t>de</w:t>
      </w:r>
      <w:r>
        <w:rPr>
          <w:spacing w:val="-14"/>
          <w:sz w:val="22"/>
        </w:rPr>
        <w:t> </w:t>
      </w:r>
      <w:r>
        <w:rPr>
          <w:sz w:val="22"/>
        </w:rPr>
        <w:t>mayo</w:t>
      </w:r>
      <w:r>
        <w:rPr>
          <w:spacing w:val="-15"/>
          <w:sz w:val="22"/>
        </w:rPr>
        <w:t> </w:t>
      </w:r>
      <w:r>
        <w:rPr>
          <w:sz w:val="22"/>
        </w:rPr>
        <w:t>de</w:t>
      </w:r>
      <w:r>
        <w:rPr>
          <w:spacing w:val="-14"/>
          <w:sz w:val="22"/>
        </w:rPr>
        <w:t> </w:t>
      </w:r>
      <w:r>
        <w:rPr>
          <w:sz w:val="22"/>
        </w:rPr>
        <w:t>2026,</w:t>
      </w:r>
      <w:r>
        <w:rPr>
          <w:spacing w:val="-12"/>
          <w:sz w:val="22"/>
        </w:rPr>
        <w:t> </w:t>
      </w:r>
      <w:r>
        <w:rPr>
          <w:sz w:val="22"/>
        </w:rPr>
        <w:t>y</w:t>
      </w:r>
      <w:r>
        <w:rPr>
          <w:spacing w:val="-15"/>
          <w:sz w:val="22"/>
        </w:rPr>
        <w:t> </w:t>
      </w:r>
      <w:r>
        <w:rPr>
          <w:sz w:val="22"/>
        </w:rPr>
        <w:t>trasladó</w:t>
      </w:r>
      <w:r>
        <w:rPr>
          <w:spacing w:val="-14"/>
          <w:sz w:val="22"/>
        </w:rPr>
        <w:t> </w:t>
      </w:r>
      <w:r>
        <w:rPr>
          <w:sz w:val="22"/>
        </w:rPr>
        <w:t>la</w:t>
      </w:r>
      <w:r>
        <w:rPr>
          <w:spacing w:val="-14"/>
          <w:sz w:val="22"/>
        </w:rPr>
        <w:t> </w:t>
      </w:r>
      <w:r>
        <w:rPr>
          <w:sz w:val="22"/>
        </w:rPr>
        <w:t>información</w:t>
      </w:r>
      <w:r>
        <w:rPr>
          <w:spacing w:val="-14"/>
          <w:sz w:val="22"/>
        </w:rPr>
        <w:t> </w:t>
      </w:r>
      <w:r>
        <w:rPr>
          <w:sz w:val="22"/>
        </w:rPr>
        <w:t>complementaria</w:t>
      </w:r>
      <w:r>
        <w:rPr>
          <w:spacing w:val="-14"/>
          <w:sz w:val="22"/>
        </w:rPr>
        <w:t> </w:t>
      </w:r>
      <w:r>
        <w:rPr>
          <w:sz w:val="22"/>
        </w:rPr>
        <w:t>presentada por la República del Ecuador, así como la solicitud de incorporación del Decreto 0455 de 2026 al presente procedimiento.</w:t>
      </w:r>
    </w:p>
    <w:p>
      <w:pPr>
        <w:pStyle w:val="BodyText"/>
        <w:spacing w:before="1"/>
      </w:pPr>
    </w:p>
    <w:p>
      <w:pPr>
        <w:pStyle w:val="Heading5"/>
        <w:numPr>
          <w:ilvl w:val="0"/>
          <w:numId w:val="49"/>
        </w:numPr>
        <w:tabs>
          <w:tab w:pos="850" w:val="left" w:leader="none"/>
        </w:tabs>
        <w:spacing w:line="240" w:lineRule="auto" w:before="0" w:after="0"/>
        <w:ind w:left="850" w:right="0" w:hanging="282"/>
        <w:jc w:val="left"/>
      </w:pPr>
      <w:r>
        <w:rPr/>
        <w:t>SOLICITUD</w:t>
      </w:r>
      <w:r>
        <w:rPr>
          <w:spacing w:val="-11"/>
        </w:rPr>
        <w:t> </w:t>
      </w:r>
      <w:r>
        <w:rPr/>
        <w:t>PRESENTADA</w:t>
      </w:r>
      <w:r>
        <w:rPr>
          <w:spacing w:val="-5"/>
        </w:rPr>
        <w:t> </w:t>
      </w:r>
      <w:r>
        <w:rPr/>
        <w:t>POR</w:t>
      </w:r>
      <w:r>
        <w:rPr>
          <w:spacing w:val="-6"/>
        </w:rPr>
        <w:t> </w:t>
      </w:r>
      <w:r>
        <w:rPr/>
        <w:t>LA</w:t>
      </w:r>
      <w:r>
        <w:rPr>
          <w:spacing w:val="-5"/>
        </w:rPr>
        <w:t> </w:t>
      </w:r>
      <w:r>
        <w:rPr/>
        <w:t>REPÚBLICA</w:t>
      </w:r>
      <w:r>
        <w:rPr>
          <w:spacing w:val="-4"/>
        </w:rPr>
        <w:t> </w:t>
      </w:r>
      <w:r>
        <w:rPr/>
        <w:t>DEL</w:t>
      </w:r>
      <w:r>
        <w:rPr>
          <w:spacing w:val="-8"/>
        </w:rPr>
        <w:t> </w:t>
      </w:r>
      <w:r>
        <w:rPr>
          <w:spacing w:val="-2"/>
        </w:rPr>
        <w:t>ECUADOR</w:t>
      </w:r>
    </w:p>
    <w:p>
      <w:pPr>
        <w:pStyle w:val="BodyText"/>
        <w:spacing w:before="238"/>
        <w:rPr>
          <w:rFonts w:ascii="Arial"/>
          <w:b/>
        </w:rPr>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Mediante</w:t>
      </w:r>
      <w:r>
        <w:rPr>
          <w:spacing w:val="-4"/>
          <w:sz w:val="22"/>
        </w:rPr>
        <w:t> </w:t>
      </w:r>
      <w:r>
        <w:rPr>
          <w:sz w:val="22"/>
        </w:rPr>
        <w:t>Oficio</w:t>
      </w:r>
      <w:r>
        <w:rPr>
          <w:spacing w:val="-2"/>
          <w:sz w:val="22"/>
        </w:rPr>
        <w:t> </w:t>
      </w:r>
      <w:r>
        <w:rPr>
          <w:sz w:val="22"/>
        </w:rPr>
        <w:t>Nro.</w:t>
      </w:r>
      <w:r>
        <w:rPr>
          <w:spacing w:val="-3"/>
          <w:sz w:val="22"/>
        </w:rPr>
        <w:t> </w:t>
      </w:r>
      <w:r>
        <w:rPr>
          <w:sz w:val="22"/>
        </w:rPr>
        <w:t>MPCEI-VCE-2026-0020-O,</w:t>
      </w:r>
      <w:r>
        <w:rPr>
          <w:spacing w:val="-3"/>
          <w:sz w:val="22"/>
        </w:rPr>
        <w:t> </w:t>
      </w:r>
      <w:r>
        <w:rPr>
          <w:sz w:val="22"/>
        </w:rPr>
        <w:t>de</w:t>
      </w:r>
      <w:r>
        <w:rPr>
          <w:spacing w:val="-2"/>
          <w:sz w:val="22"/>
        </w:rPr>
        <w:t> </w:t>
      </w:r>
      <w:r>
        <w:rPr>
          <w:sz w:val="22"/>
        </w:rPr>
        <w:t>03</w:t>
      </w:r>
      <w:r>
        <w:rPr>
          <w:spacing w:val="-2"/>
          <w:sz w:val="22"/>
        </w:rPr>
        <w:t> </w:t>
      </w:r>
      <w:r>
        <w:rPr>
          <w:sz w:val="22"/>
        </w:rPr>
        <w:t>de</w:t>
      </w:r>
      <w:r>
        <w:rPr>
          <w:spacing w:val="-4"/>
          <w:sz w:val="22"/>
        </w:rPr>
        <w:t> </w:t>
      </w:r>
      <w:r>
        <w:rPr>
          <w:sz w:val="22"/>
        </w:rPr>
        <w:t>marzo</w:t>
      </w:r>
      <w:r>
        <w:rPr>
          <w:spacing w:val="-3"/>
          <w:sz w:val="22"/>
        </w:rPr>
        <w:t> </w:t>
      </w:r>
      <w:r>
        <w:rPr>
          <w:sz w:val="22"/>
        </w:rPr>
        <w:t>de</w:t>
      </w:r>
      <w:r>
        <w:rPr>
          <w:spacing w:val="-2"/>
          <w:sz w:val="22"/>
        </w:rPr>
        <w:t> </w:t>
      </w:r>
      <w:r>
        <w:rPr>
          <w:sz w:val="22"/>
        </w:rPr>
        <w:t>2026,</w:t>
      </w:r>
      <w:r>
        <w:rPr>
          <w:spacing w:val="-3"/>
          <w:sz w:val="22"/>
        </w:rPr>
        <w:t> </w:t>
      </w:r>
      <w:r>
        <w:rPr>
          <w:sz w:val="22"/>
        </w:rPr>
        <w:t>la</w:t>
      </w:r>
      <w:r>
        <w:rPr>
          <w:spacing w:val="-2"/>
          <w:sz w:val="22"/>
        </w:rPr>
        <w:t> </w:t>
      </w:r>
      <w:r>
        <w:rPr>
          <w:sz w:val="22"/>
        </w:rPr>
        <w:t>República del</w:t>
      </w:r>
      <w:r>
        <w:rPr>
          <w:spacing w:val="-1"/>
          <w:sz w:val="22"/>
        </w:rPr>
        <w:t> </w:t>
      </w:r>
      <w:r>
        <w:rPr>
          <w:sz w:val="22"/>
        </w:rPr>
        <w:t>Ecuador</w:t>
      </w:r>
      <w:r>
        <w:rPr>
          <w:spacing w:val="-1"/>
          <w:sz w:val="22"/>
        </w:rPr>
        <w:t> </w:t>
      </w:r>
      <w:r>
        <w:rPr>
          <w:sz w:val="22"/>
        </w:rPr>
        <w:t>presentó</w:t>
      </w:r>
      <w:r>
        <w:rPr>
          <w:spacing w:val="-1"/>
          <w:sz w:val="22"/>
        </w:rPr>
        <w:t> </w:t>
      </w:r>
      <w:r>
        <w:rPr>
          <w:sz w:val="22"/>
        </w:rPr>
        <w:t>a</w:t>
      </w:r>
      <w:r>
        <w:rPr>
          <w:spacing w:val="-5"/>
          <w:sz w:val="22"/>
        </w:rPr>
        <w:t> </w:t>
      </w:r>
      <w:r>
        <w:rPr>
          <w:sz w:val="22"/>
        </w:rPr>
        <w:t>este</w:t>
      </w:r>
      <w:r>
        <w:rPr>
          <w:spacing w:val="-2"/>
          <w:sz w:val="22"/>
        </w:rPr>
        <w:t> </w:t>
      </w:r>
      <w:r>
        <w:rPr>
          <w:sz w:val="22"/>
        </w:rPr>
        <w:t>órgano</w:t>
      </w:r>
      <w:r>
        <w:rPr>
          <w:spacing w:val="-3"/>
          <w:sz w:val="22"/>
        </w:rPr>
        <w:t> </w:t>
      </w:r>
      <w:r>
        <w:rPr>
          <w:sz w:val="22"/>
        </w:rPr>
        <w:t>comunitario</w:t>
      </w:r>
      <w:r>
        <w:rPr>
          <w:spacing w:val="-3"/>
          <w:sz w:val="22"/>
        </w:rPr>
        <w:t> </w:t>
      </w:r>
      <w:r>
        <w:rPr>
          <w:sz w:val="22"/>
        </w:rPr>
        <w:t>una solicitud</w:t>
      </w:r>
      <w:r>
        <w:rPr>
          <w:spacing w:val="-3"/>
          <w:sz w:val="22"/>
        </w:rPr>
        <w:t> </w:t>
      </w:r>
      <w:r>
        <w:rPr>
          <w:sz w:val="22"/>
        </w:rPr>
        <w:t>de</w:t>
      </w:r>
      <w:r>
        <w:rPr>
          <w:spacing w:val="-3"/>
          <w:sz w:val="22"/>
        </w:rPr>
        <w:t> </w:t>
      </w:r>
      <w:r>
        <w:rPr>
          <w:sz w:val="22"/>
        </w:rPr>
        <w:t>inicio de</w:t>
      </w:r>
      <w:r>
        <w:rPr>
          <w:spacing w:val="-3"/>
          <w:sz w:val="22"/>
        </w:rPr>
        <w:t> </w:t>
      </w:r>
      <w:r>
        <w:rPr>
          <w:sz w:val="22"/>
        </w:rPr>
        <w:t>investigación para calificar el Decreto 0170 adoptado por la República de Colombia, como un gravamen y una restricción al comercio andino</w:t>
      </w:r>
      <w:hyperlink w:history="true" w:anchor="_bookmark74">
        <w:r>
          <w:rPr>
            <w:sz w:val="22"/>
            <w:vertAlign w:val="superscript"/>
          </w:rPr>
          <w:t>7</w:t>
        </w:r>
      </w:hyperlink>
      <w:r>
        <w:rPr>
          <w:sz w:val="22"/>
          <w:vertAlign w:val="baseline"/>
        </w:rPr>
        <w:t>. Dicha solicitud se sustentó en los siguientes argumentos</w:t>
      </w:r>
      <w:hyperlink w:history="true" w:anchor="_bookmark75">
        <w:r>
          <w:rPr>
            <w:sz w:val="22"/>
            <w:vertAlign w:val="superscript"/>
          </w:rPr>
          <w:t>8</w:t>
        </w:r>
        <w:r>
          <w:rPr>
            <w:sz w:val="22"/>
            <w:vertAlign w:val="baseline"/>
          </w:rPr>
          <w:t>:</w:t>
        </w:r>
      </w:hyperlink>
    </w:p>
    <w:p>
      <w:pPr>
        <w:pStyle w:val="BodyText"/>
        <w:spacing w:before="2"/>
      </w:pPr>
    </w:p>
    <w:p>
      <w:pPr>
        <w:pStyle w:val="Heading6"/>
        <w:numPr>
          <w:ilvl w:val="0"/>
          <w:numId w:val="52"/>
        </w:numPr>
        <w:tabs>
          <w:tab w:pos="1701" w:val="left" w:leader="none"/>
        </w:tabs>
        <w:spacing w:line="240" w:lineRule="auto" w:before="0" w:after="0"/>
        <w:ind w:left="1701" w:right="0" w:hanging="567"/>
        <w:jc w:val="left"/>
      </w:pPr>
      <w:r>
        <w:rPr/>
        <w:t>Argumentos</w:t>
      </w:r>
      <w:r>
        <w:rPr>
          <w:spacing w:val="-6"/>
        </w:rPr>
        <w:t> </w:t>
      </w:r>
      <w:r>
        <w:rPr/>
        <w:t>de</w:t>
      </w:r>
      <w:r>
        <w:rPr>
          <w:spacing w:val="-4"/>
        </w:rPr>
        <w:t> </w:t>
      </w:r>
      <w:r>
        <w:rPr>
          <w:spacing w:val="-2"/>
        </w:rPr>
        <w:t>Hecho</w:t>
      </w:r>
    </w:p>
    <w:p>
      <w:pPr>
        <w:pStyle w:val="ListParagraph"/>
        <w:numPr>
          <w:ilvl w:val="0"/>
          <w:numId w:val="50"/>
        </w:numPr>
        <w:tabs>
          <w:tab w:pos="1130" w:val="left" w:leader="none"/>
          <w:tab w:pos="1134" w:val="left" w:leader="none"/>
        </w:tabs>
        <w:spacing w:line="240" w:lineRule="auto" w:before="252" w:after="0"/>
        <w:ind w:left="1134" w:right="977" w:hanging="567"/>
        <w:jc w:val="both"/>
        <w:rPr>
          <w:sz w:val="22"/>
        </w:rPr>
      </w:pPr>
      <w:r>
        <w:rPr>
          <w:sz w:val="22"/>
        </w:rPr>
        <w:t>La República del Ecuador, luego de describir la medida objeto de la presente investigación, es decir, el Decreto 0170, sustentó su solicitud con base en los argumentos que se resumen a continuación</w:t>
      </w:r>
      <w:hyperlink w:history="true" w:anchor="_bookmark76">
        <w:r>
          <w:rPr>
            <w:sz w:val="22"/>
            <w:vertAlign w:val="superscript"/>
          </w:rPr>
          <w:t>9</w:t>
        </w:r>
      </w:hyperlink>
      <w:r>
        <w:rPr>
          <w:sz w:val="22"/>
          <w:vertAlign w:val="baseline"/>
        </w:rPr>
        <w:t>:</w:t>
      </w:r>
    </w:p>
    <w:p>
      <w:pPr>
        <w:pStyle w:val="ListParagraph"/>
        <w:numPr>
          <w:ilvl w:val="0"/>
          <w:numId w:val="53"/>
        </w:numPr>
        <w:tabs>
          <w:tab w:pos="1698" w:val="left" w:leader="none"/>
          <w:tab w:pos="1701" w:val="left" w:leader="none"/>
        </w:tabs>
        <w:spacing w:line="240" w:lineRule="auto" w:before="251" w:after="0"/>
        <w:ind w:left="1701" w:right="982" w:hanging="567"/>
        <w:jc w:val="both"/>
        <w:rPr>
          <w:sz w:val="22"/>
        </w:rPr>
      </w:pPr>
      <w:r>
        <w:rPr>
          <w:sz w:val="22"/>
        </w:rPr>
        <w:t>El arancel del 30% ad valorem impuesto a las importaciones de productos originarios</w:t>
      </w:r>
      <w:r>
        <w:rPr>
          <w:spacing w:val="-16"/>
          <w:sz w:val="22"/>
        </w:rPr>
        <w:t> </w:t>
      </w:r>
      <w:r>
        <w:rPr>
          <w:sz w:val="22"/>
        </w:rPr>
        <w:t>de</w:t>
      </w:r>
      <w:r>
        <w:rPr>
          <w:spacing w:val="-15"/>
          <w:sz w:val="22"/>
        </w:rPr>
        <w:t> </w:t>
      </w:r>
      <w:r>
        <w:rPr>
          <w:sz w:val="22"/>
        </w:rPr>
        <w:t>la</w:t>
      </w:r>
      <w:r>
        <w:rPr>
          <w:spacing w:val="-15"/>
          <w:sz w:val="22"/>
        </w:rPr>
        <w:t> </w:t>
      </w:r>
      <w:r>
        <w:rPr>
          <w:sz w:val="22"/>
        </w:rPr>
        <w:t>República</w:t>
      </w:r>
      <w:r>
        <w:rPr>
          <w:spacing w:val="-16"/>
          <w:sz w:val="22"/>
        </w:rPr>
        <w:t> </w:t>
      </w:r>
      <w:r>
        <w:rPr>
          <w:sz w:val="22"/>
        </w:rPr>
        <w:t>del</w:t>
      </w:r>
      <w:r>
        <w:rPr>
          <w:spacing w:val="-15"/>
          <w:sz w:val="22"/>
        </w:rPr>
        <w:t> </w:t>
      </w:r>
      <w:r>
        <w:rPr>
          <w:sz w:val="22"/>
        </w:rPr>
        <w:t>Ecuador</w:t>
      </w:r>
      <w:r>
        <w:rPr>
          <w:spacing w:val="-15"/>
          <w:sz w:val="22"/>
        </w:rPr>
        <w:t> </w:t>
      </w:r>
      <w:r>
        <w:rPr>
          <w:sz w:val="22"/>
        </w:rPr>
        <w:t>configura</w:t>
      </w:r>
      <w:r>
        <w:rPr>
          <w:spacing w:val="-15"/>
          <w:sz w:val="22"/>
        </w:rPr>
        <w:t> </w:t>
      </w:r>
      <w:r>
        <w:rPr>
          <w:sz w:val="22"/>
        </w:rPr>
        <w:t>un</w:t>
      </w:r>
      <w:r>
        <w:rPr>
          <w:spacing w:val="-16"/>
          <w:sz w:val="22"/>
        </w:rPr>
        <w:t> </w:t>
      </w:r>
      <w:r>
        <w:rPr>
          <w:sz w:val="22"/>
        </w:rPr>
        <w:t>recargo</w:t>
      </w:r>
      <w:r>
        <w:rPr>
          <w:spacing w:val="-15"/>
          <w:sz w:val="22"/>
        </w:rPr>
        <w:t> </w:t>
      </w:r>
      <w:r>
        <w:rPr>
          <w:sz w:val="22"/>
        </w:rPr>
        <w:t>pecuniario</w:t>
      </w:r>
      <w:r>
        <w:rPr>
          <w:spacing w:val="-15"/>
          <w:sz w:val="22"/>
        </w:rPr>
        <w:t> </w:t>
      </w:r>
      <w:r>
        <w:rPr>
          <w:sz w:val="22"/>
        </w:rPr>
        <w:t>obligatorio que incide directamente sobre el comercio intracomunitario, sin que corresponda a</w:t>
      </w:r>
      <w:r>
        <w:rPr>
          <w:spacing w:val="-3"/>
          <w:sz w:val="22"/>
        </w:rPr>
        <w:t> </w:t>
      </w:r>
      <w:r>
        <w:rPr>
          <w:sz w:val="22"/>
        </w:rPr>
        <w:t>una</w:t>
      </w:r>
      <w:r>
        <w:rPr>
          <w:spacing w:val="-5"/>
          <w:sz w:val="22"/>
        </w:rPr>
        <w:t> </w:t>
      </w:r>
      <w:r>
        <w:rPr>
          <w:sz w:val="22"/>
        </w:rPr>
        <w:t>tasa</w:t>
      </w:r>
      <w:r>
        <w:rPr>
          <w:spacing w:val="-3"/>
          <w:sz w:val="22"/>
        </w:rPr>
        <w:t> </w:t>
      </w:r>
      <w:r>
        <w:rPr>
          <w:sz w:val="22"/>
        </w:rPr>
        <w:t>por</w:t>
      </w:r>
      <w:r>
        <w:rPr>
          <w:spacing w:val="-2"/>
          <w:sz w:val="22"/>
        </w:rPr>
        <w:t> </w:t>
      </w:r>
      <w:r>
        <w:rPr>
          <w:sz w:val="22"/>
        </w:rPr>
        <w:t>servicio</w:t>
      </w:r>
      <w:r>
        <w:rPr>
          <w:spacing w:val="-3"/>
          <w:sz w:val="22"/>
        </w:rPr>
        <w:t> </w:t>
      </w:r>
      <w:r>
        <w:rPr>
          <w:sz w:val="22"/>
        </w:rPr>
        <w:t>prestado</w:t>
      </w:r>
      <w:r>
        <w:rPr>
          <w:spacing w:val="-5"/>
          <w:sz w:val="22"/>
        </w:rPr>
        <w:t> </w:t>
      </w:r>
      <w:r>
        <w:rPr>
          <w:sz w:val="22"/>
        </w:rPr>
        <w:t>ni</w:t>
      </w:r>
      <w:r>
        <w:rPr>
          <w:spacing w:val="-4"/>
          <w:sz w:val="22"/>
        </w:rPr>
        <w:t> </w:t>
      </w:r>
      <w:r>
        <w:rPr>
          <w:sz w:val="22"/>
        </w:rPr>
        <w:t>encuentre</w:t>
      </w:r>
      <w:r>
        <w:rPr>
          <w:spacing w:val="-5"/>
          <w:sz w:val="22"/>
        </w:rPr>
        <w:t> </w:t>
      </w:r>
      <w:r>
        <w:rPr>
          <w:sz w:val="22"/>
        </w:rPr>
        <w:t>justificación</w:t>
      </w:r>
      <w:r>
        <w:rPr>
          <w:spacing w:val="-3"/>
          <w:sz w:val="22"/>
        </w:rPr>
        <w:t> </w:t>
      </w:r>
      <w:r>
        <w:rPr>
          <w:sz w:val="22"/>
        </w:rPr>
        <w:t>en</w:t>
      </w:r>
      <w:r>
        <w:rPr>
          <w:spacing w:val="-3"/>
          <w:sz w:val="22"/>
        </w:rPr>
        <w:t> </w:t>
      </w:r>
      <w:r>
        <w:rPr>
          <w:sz w:val="22"/>
        </w:rPr>
        <w:t>el</w:t>
      </w:r>
      <w:r>
        <w:rPr>
          <w:spacing w:val="-4"/>
          <w:sz w:val="22"/>
        </w:rPr>
        <w:t> </w:t>
      </w:r>
      <w:r>
        <w:rPr>
          <w:sz w:val="22"/>
        </w:rPr>
        <w:t>costo</w:t>
      </w:r>
      <w:r>
        <w:rPr>
          <w:spacing w:val="-3"/>
          <w:sz w:val="22"/>
        </w:rPr>
        <w:t> </w:t>
      </w:r>
      <w:r>
        <w:rPr>
          <w:sz w:val="22"/>
        </w:rPr>
        <w:t>aproximado de servicio individualizable.</w:t>
      </w:r>
    </w:p>
    <w:p>
      <w:pPr>
        <w:pStyle w:val="BodyText"/>
        <w:spacing w:before="2"/>
      </w:pPr>
    </w:p>
    <w:p>
      <w:pPr>
        <w:pStyle w:val="ListParagraph"/>
        <w:numPr>
          <w:ilvl w:val="0"/>
          <w:numId w:val="53"/>
        </w:numPr>
        <w:tabs>
          <w:tab w:pos="1697" w:val="left" w:leader="none"/>
          <w:tab w:pos="1701" w:val="left" w:leader="none"/>
        </w:tabs>
        <w:spacing w:line="240" w:lineRule="auto" w:before="0" w:after="0"/>
        <w:ind w:left="1701" w:right="981" w:hanging="567"/>
        <w:jc w:val="both"/>
        <w:rPr>
          <w:sz w:val="22"/>
        </w:rPr>
      </w:pPr>
      <w:r>
        <w:rPr>
          <w:sz w:val="22"/>
        </w:rPr>
        <w:t>Las</w:t>
      </w:r>
      <w:r>
        <w:rPr>
          <w:spacing w:val="-9"/>
          <w:sz w:val="22"/>
        </w:rPr>
        <w:t> </w:t>
      </w:r>
      <w:r>
        <w:rPr>
          <w:sz w:val="22"/>
        </w:rPr>
        <w:t>prohibiciones</w:t>
      </w:r>
      <w:r>
        <w:rPr>
          <w:spacing w:val="-10"/>
          <w:sz w:val="22"/>
        </w:rPr>
        <w:t> </w:t>
      </w:r>
      <w:r>
        <w:rPr>
          <w:sz w:val="22"/>
        </w:rPr>
        <w:t>absolutas</w:t>
      </w:r>
      <w:r>
        <w:rPr>
          <w:spacing w:val="-9"/>
          <w:sz w:val="22"/>
        </w:rPr>
        <w:t> </w:t>
      </w:r>
      <w:r>
        <w:rPr>
          <w:sz w:val="22"/>
        </w:rPr>
        <w:t>de</w:t>
      </w:r>
      <w:r>
        <w:rPr>
          <w:spacing w:val="-13"/>
          <w:sz w:val="22"/>
        </w:rPr>
        <w:t> </w:t>
      </w:r>
      <w:r>
        <w:rPr>
          <w:sz w:val="22"/>
        </w:rPr>
        <w:t>ingreso</w:t>
      </w:r>
      <w:r>
        <w:rPr>
          <w:spacing w:val="-10"/>
          <w:sz w:val="22"/>
        </w:rPr>
        <w:t> </w:t>
      </w:r>
      <w:r>
        <w:rPr>
          <w:sz w:val="22"/>
        </w:rPr>
        <w:t>por</w:t>
      </w:r>
      <w:r>
        <w:rPr>
          <w:spacing w:val="-11"/>
          <w:sz w:val="22"/>
        </w:rPr>
        <w:t> </w:t>
      </w:r>
      <w:r>
        <w:rPr>
          <w:sz w:val="22"/>
        </w:rPr>
        <w:t>vía</w:t>
      </w:r>
      <w:r>
        <w:rPr>
          <w:spacing w:val="-12"/>
          <w:sz w:val="22"/>
        </w:rPr>
        <w:t> </w:t>
      </w:r>
      <w:r>
        <w:rPr>
          <w:sz w:val="22"/>
        </w:rPr>
        <w:t>terrestre</w:t>
      </w:r>
      <w:r>
        <w:rPr>
          <w:spacing w:val="-10"/>
          <w:sz w:val="22"/>
        </w:rPr>
        <w:t> </w:t>
      </w:r>
      <w:r>
        <w:rPr>
          <w:sz w:val="22"/>
        </w:rPr>
        <w:t>establecidas</w:t>
      </w:r>
      <w:r>
        <w:rPr>
          <w:spacing w:val="-12"/>
          <w:sz w:val="22"/>
        </w:rPr>
        <w:t> </w:t>
      </w:r>
      <w:r>
        <w:rPr>
          <w:sz w:val="22"/>
        </w:rPr>
        <w:t>en</w:t>
      </w:r>
      <w:r>
        <w:rPr>
          <w:spacing w:val="-10"/>
          <w:sz w:val="22"/>
        </w:rPr>
        <w:t> </w:t>
      </w:r>
      <w:r>
        <w:rPr>
          <w:sz w:val="22"/>
        </w:rPr>
        <w:t>el</w:t>
      </w:r>
      <w:r>
        <w:rPr>
          <w:spacing w:val="-16"/>
          <w:sz w:val="22"/>
        </w:rPr>
        <w:t> </w:t>
      </w:r>
      <w:r>
        <w:rPr>
          <w:sz w:val="22"/>
        </w:rPr>
        <w:t>artículo 2 del Decreto 0170 para determinados productos agrícolas (arroz, papa, cebolla, tomate, fríjol, plátano, banano, aguacate) y productos pesqueros, sumadas al régimen sancionatorio del artículo 4, imposibilitan de hecho la exportación de dichos productos, configurando restricciones expresamente prohibidas por el ordenamiento jurídico andino.</w:t>
      </w:r>
    </w:p>
    <w:p>
      <w:pPr>
        <w:pStyle w:val="BodyText"/>
      </w:pPr>
    </w:p>
    <w:p>
      <w:pPr>
        <w:pStyle w:val="ListParagraph"/>
        <w:numPr>
          <w:ilvl w:val="0"/>
          <w:numId w:val="53"/>
        </w:numPr>
        <w:tabs>
          <w:tab w:pos="1696" w:val="left" w:leader="none"/>
          <w:tab w:pos="1701" w:val="left" w:leader="none"/>
        </w:tabs>
        <w:spacing w:line="240" w:lineRule="auto" w:before="0" w:after="0"/>
        <w:ind w:left="1701" w:right="984" w:hanging="567"/>
        <w:jc w:val="both"/>
        <w:rPr>
          <w:sz w:val="22"/>
        </w:rPr>
      </w:pPr>
      <w:r>
        <w:rPr>
          <w:sz w:val="22"/>
        </w:rPr>
        <w:t>Es una medida discriminatoria por origen que vulnera el</w:t>
      </w:r>
      <w:r>
        <w:rPr>
          <w:spacing w:val="-1"/>
          <w:sz w:val="22"/>
        </w:rPr>
        <w:t> </w:t>
      </w:r>
      <w:r>
        <w:rPr>
          <w:sz w:val="22"/>
        </w:rPr>
        <w:t>artículo 139 del Acuerdo de</w:t>
      </w:r>
      <w:r>
        <w:rPr>
          <w:spacing w:val="-14"/>
          <w:sz w:val="22"/>
        </w:rPr>
        <w:t> </w:t>
      </w:r>
      <w:r>
        <w:rPr>
          <w:sz w:val="22"/>
        </w:rPr>
        <w:t>Cartagena.</w:t>
      </w:r>
      <w:r>
        <w:rPr>
          <w:spacing w:val="-14"/>
          <w:sz w:val="22"/>
        </w:rPr>
        <w:t> </w:t>
      </w:r>
      <w:r>
        <w:rPr>
          <w:sz w:val="22"/>
        </w:rPr>
        <w:t>Al</w:t>
      </w:r>
      <w:r>
        <w:rPr>
          <w:spacing w:val="-14"/>
          <w:sz w:val="22"/>
        </w:rPr>
        <w:t> </w:t>
      </w:r>
      <w:r>
        <w:rPr>
          <w:sz w:val="22"/>
        </w:rPr>
        <w:t>aplicarse</w:t>
      </w:r>
      <w:r>
        <w:rPr>
          <w:spacing w:val="-13"/>
          <w:sz w:val="22"/>
        </w:rPr>
        <w:t> </w:t>
      </w:r>
      <w:r>
        <w:rPr>
          <w:sz w:val="22"/>
        </w:rPr>
        <w:t>exclusivamente</w:t>
      </w:r>
      <w:r>
        <w:rPr>
          <w:spacing w:val="-13"/>
          <w:sz w:val="22"/>
        </w:rPr>
        <w:t> </w:t>
      </w:r>
      <w:r>
        <w:rPr>
          <w:sz w:val="22"/>
        </w:rPr>
        <w:t>a</w:t>
      </w:r>
      <w:r>
        <w:rPr>
          <w:spacing w:val="-16"/>
          <w:sz w:val="22"/>
        </w:rPr>
        <w:t> </w:t>
      </w:r>
      <w:r>
        <w:rPr>
          <w:sz w:val="22"/>
        </w:rPr>
        <w:t>productos</w:t>
      </w:r>
      <w:r>
        <w:rPr>
          <w:spacing w:val="-12"/>
          <w:sz w:val="22"/>
        </w:rPr>
        <w:t> </w:t>
      </w:r>
      <w:r>
        <w:rPr>
          <w:sz w:val="22"/>
        </w:rPr>
        <w:t>originarios</w:t>
      </w:r>
      <w:r>
        <w:rPr>
          <w:spacing w:val="-13"/>
          <w:sz w:val="22"/>
        </w:rPr>
        <w:t> </w:t>
      </w:r>
      <w:r>
        <w:rPr>
          <w:sz w:val="22"/>
        </w:rPr>
        <w:t>de</w:t>
      </w:r>
      <w:r>
        <w:rPr>
          <w:spacing w:val="-16"/>
          <w:sz w:val="22"/>
        </w:rPr>
        <w:t> </w:t>
      </w:r>
      <w:r>
        <w:rPr>
          <w:sz w:val="22"/>
        </w:rPr>
        <w:t>la</w:t>
      </w:r>
      <w:r>
        <w:rPr>
          <w:spacing w:val="-12"/>
          <w:sz w:val="22"/>
        </w:rPr>
        <w:t> </w:t>
      </w:r>
      <w:r>
        <w:rPr>
          <w:sz w:val="22"/>
        </w:rPr>
        <w:t>República del Ecuador, sin justificación objetiva que explique el trato diferenciado respecto de productos idénticos de otros Países Miembros.</w:t>
      </w:r>
    </w:p>
    <w:p>
      <w:pPr>
        <w:pStyle w:val="BodyText"/>
        <w:spacing w:before="10"/>
        <w:rPr>
          <w:sz w:val="19"/>
        </w:rPr>
      </w:pPr>
      <w:r>
        <w:rPr>
          <w:sz w:val="19"/>
        </w:rPr>
        <mc:AlternateContent>
          <mc:Choice Requires="wps">
            <w:drawing>
              <wp:anchor distT="0" distB="0" distL="0" distR="0" allowOverlap="1" layoutInCell="1" locked="0" behindDoc="1" simplePos="0" relativeHeight="487630336">
                <wp:simplePos x="0" y="0"/>
                <wp:positionH relativeFrom="page">
                  <wp:posOffset>990904</wp:posOffset>
                </wp:positionH>
                <wp:positionV relativeFrom="paragraph">
                  <wp:posOffset>160901</wp:posOffset>
                </wp:positionV>
                <wp:extent cx="1829435" cy="7620"/>
                <wp:effectExtent l="0" t="0" r="0" b="0"/>
                <wp:wrapTopAndBottom/>
                <wp:docPr id="405" name="Graphic 405"/>
                <wp:cNvGraphicFramePr>
                  <a:graphicFrameLocks/>
                </wp:cNvGraphicFramePr>
                <a:graphic>
                  <a:graphicData uri="http://schemas.microsoft.com/office/word/2010/wordprocessingShape">
                    <wps:wsp>
                      <wps:cNvPr id="405" name="Graphic 405"/>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2.669374pt;width:144.020pt;height:.60004pt;mso-position-horizontal-relative:page;mso-position-vertical-relative:paragraph;z-index:-15686144;mso-wrap-distance-left:0;mso-wrap-distance-right:0" id="docshape288" filled="true" fillcolor="#000000" stroked="false">
                <v:fill type="solid"/>
                <w10:wrap type="topAndBottom"/>
              </v:rect>
            </w:pict>
          </mc:Fallback>
        </mc:AlternateContent>
      </w:r>
    </w:p>
    <w:p>
      <w:pPr>
        <w:spacing w:before="92"/>
        <w:ind w:left="710" w:right="983" w:hanging="142"/>
        <w:jc w:val="both"/>
        <w:rPr>
          <w:sz w:val="16"/>
        </w:rPr>
      </w:pPr>
      <w:bookmarkStart w:name="_bookmark74" w:id="75"/>
      <w:bookmarkEnd w:id="75"/>
      <w:r>
        <w:rPr/>
      </w:r>
      <w:r>
        <w:rPr>
          <w:sz w:val="16"/>
          <w:vertAlign w:val="superscript"/>
        </w:rPr>
        <w:t>7</w:t>
      </w:r>
      <w:r>
        <w:rPr>
          <w:spacing w:val="-5"/>
          <w:sz w:val="16"/>
          <w:vertAlign w:val="baseline"/>
        </w:rPr>
        <w:t> </w:t>
      </w:r>
      <w:r>
        <w:rPr>
          <w:sz w:val="16"/>
          <w:vertAlign w:val="baseline"/>
        </w:rPr>
        <w:t>Se</w:t>
      </w:r>
      <w:r>
        <w:rPr>
          <w:spacing w:val="-7"/>
          <w:sz w:val="16"/>
          <w:vertAlign w:val="baseline"/>
        </w:rPr>
        <w:t> </w:t>
      </w:r>
      <w:r>
        <w:rPr>
          <w:sz w:val="16"/>
          <w:vertAlign w:val="baseline"/>
        </w:rPr>
        <w:t>hace</w:t>
      </w:r>
      <w:r>
        <w:rPr>
          <w:spacing w:val="-7"/>
          <w:sz w:val="16"/>
          <w:vertAlign w:val="baseline"/>
        </w:rPr>
        <w:t> </w:t>
      </w:r>
      <w:r>
        <w:rPr>
          <w:sz w:val="16"/>
          <w:vertAlign w:val="baseline"/>
        </w:rPr>
        <w:t>mención</w:t>
      </w:r>
      <w:r>
        <w:rPr>
          <w:spacing w:val="-7"/>
          <w:sz w:val="16"/>
          <w:vertAlign w:val="baseline"/>
        </w:rPr>
        <w:t> </w:t>
      </w:r>
      <w:r>
        <w:rPr>
          <w:sz w:val="16"/>
          <w:vertAlign w:val="baseline"/>
        </w:rPr>
        <w:t>tanto</w:t>
      </w:r>
      <w:r>
        <w:rPr>
          <w:spacing w:val="-4"/>
          <w:sz w:val="16"/>
          <w:vertAlign w:val="baseline"/>
        </w:rPr>
        <w:t> </w:t>
      </w:r>
      <w:r>
        <w:rPr>
          <w:sz w:val="16"/>
          <w:vertAlign w:val="baseline"/>
        </w:rPr>
        <w:t>a</w:t>
      </w:r>
      <w:r>
        <w:rPr>
          <w:spacing w:val="-7"/>
          <w:sz w:val="16"/>
          <w:vertAlign w:val="baseline"/>
        </w:rPr>
        <w:t> </w:t>
      </w:r>
      <w:r>
        <w:rPr>
          <w:sz w:val="16"/>
          <w:vertAlign w:val="baseline"/>
        </w:rPr>
        <w:t>un</w:t>
      </w:r>
      <w:r>
        <w:rPr>
          <w:spacing w:val="-4"/>
          <w:sz w:val="16"/>
          <w:vertAlign w:val="baseline"/>
        </w:rPr>
        <w:t> </w:t>
      </w:r>
      <w:r>
        <w:rPr>
          <w:sz w:val="16"/>
          <w:vertAlign w:val="baseline"/>
        </w:rPr>
        <w:t>gravamen</w:t>
      </w:r>
      <w:r>
        <w:rPr>
          <w:spacing w:val="-7"/>
          <w:sz w:val="16"/>
          <w:vertAlign w:val="baseline"/>
        </w:rPr>
        <w:t> </w:t>
      </w:r>
      <w:r>
        <w:rPr>
          <w:sz w:val="16"/>
          <w:vertAlign w:val="baseline"/>
        </w:rPr>
        <w:t>como</w:t>
      </w:r>
      <w:r>
        <w:rPr>
          <w:spacing w:val="-6"/>
          <w:sz w:val="16"/>
          <w:vertAlign w:val="baseline"/>
        </w:rPr>
        <w:t> </w:t>
      </w:r>
      <w:r>
        <w:rPr>
          <w:sz w:val="16"/>
          <w:vertAlign w:val="baseline"/>
        </w:rPr>
        <w:t>a</w:t>
      </w:r>
      <w:r>
        <w:rPr>
          <w:spacing w:val="-4"/>
          <w:sz w:val="16"/>
          <w:vertAlign w:val="baseline"/>
        </w:rPr>
        <w:t> </w:t>
      </w:r>
      <w:r>
        <w:rPr>
          <w:sz w:val="16"/>
          <w:vertAlign w:val="baseline"/>
        </w:rPr>
        <w:t>una</w:t>
      </w:r>
      <w:r>
        <w:rPr>
          <w:spacing w:val="-7"/>
          <w:sz w:val="16"/>
          <w:vertAlign w:val="baseline"/>
        </w:rPr>
        <w:t> </w:t>
      </w:r>
      <w:r>
        <w:rPr>
          <w:sz w:val="16"/>
          <w:vertAlign w:val="baseline"/>
        </w:rPr>
        <w:t>restricción</w:t>
      </w:r>
      <w:r>
        <w:rPr>
          <w:spacing w:val="-7"/>
          <w:sz w:val="16"/>
          <w:vertAlign w:val="baseline"/>
        </w:rPr>
        <w:t> </w:t>
      </w:r>
      <w:r>
        <w:rPr>
          <w:sz w:val="16"/>
          <w:vertAlign w:val="baseline"/>
        </w:rPr>
        <w:t>debido</w:t>
      </w:r>
      <w:r>
        <w:rPr>
          <w:spacing w:val="-4"/>
          <w:sz w:val="16"/>
          <w:vertAlign w:val="baseline"/>
        </w:rPr>
        <w:t> </w:t>
      </w:r>
      <w:r>
        <w:rPr>
          <w:sz w:val="16"/>
          <w:vertAlign w:val="baseline"/>
        </w:rPr>
        <w:t>a</w:t>
      </w:r>
      <w:r>
        <w:rPr>
          <w:spacing w:val="-4"/>
          <w:sz w:val="16"/>
          <w:vertAlign w:val="baseline"/>
        </w:rPr>
        <w:t> </w:t>
      </w:r>
      <w:r>
        <w:rPr>
          <w:sz w:val="16"/>
          <w:vertAlign w:val="baseline"/>
        </w:rPr>
        <w:t>que</w:t>
      </w:r>
      <w:r>
        <w:rPr>
          <w:spacing w:val="-7"/>
          <w:sz w:val="16"/>
          <w:vertAlign w:val="baseline"/>
        </w:rPr>
        <w:t> </w:t>
      </w:r>
      <w:r>
        <w:rPr>
          <w:sz w:val="16"/>
          <w:vertAlign w:val="baseline"/>
        </w:rPr>
        <w:t>el</w:t>
      </w:r>
      <w:r>
        <w:rPr>
          <w:spacing w:val="-6"/>
          <w:sz w:val="16"/>
          <w:vertAlign w:val="baseline"/>
        </w:rPr>
        <w:t> </w:t>
      </w:r>
      <w:r>
        <w:rPr>
          <w:sz w:val="16"/>
          <w:vertAlign w:val="baseline"/>
        </w:rPr>
        <w:t>mencionado</w:t>
      </w:r>
      <w:r>
        <w:rPr>
          <w:spacing w:val="-4"/>
          <w:sz w:val="16"/>
          <w:vertAlign w:val="baseline"/>
        </w:rPr>
        <w:t> </w:t>
      </w:r>
      <w:r>
        <w:rPr>
          <w:sz w:val="16"/>
          <w:vertAlign w:val="baseline"/>
        </w:rPr>
        <w:t>Decreto</w:t>
      </w:r>
      <w:r>
        <w:rPr>
          <w:spacing w:val="-4"/>
          <w:sz w:val="16"/>
          <w:vertAlign w:val="baseline"/>
        </w:rPr>
        <w:t> </w:t>
      </w:r>
      <w:r>
        <w:rPr>
          <w:sz w:val="16"/>
          <w:vertAlign w:val="baseline"/>
        </w:rPr>
        <w:t>0170</w:t>
      </w:r>
      <w:r>
        <w:rPr>
          <w:spacing w:val="-4"/>
          <w:sz w:val="16"/>
          <w:vertAlign w:val="baseline"/>
        </w:rPr>
        <w:t> </w:t>
      </w:r>
      <w:r>
        <w:rPr>
          <w:sz w:val="16"/>
          <w:vertAlign w:val="baseline"/>
        </w:rPr>
        <w:t>de</w:t>
      </w:r>
      <w:r>
        <w:rPr>
          <w:spacing w:val="-4"/>
          <w:sz w:val="16"/>
          <w:vertAlign w:val="baseline"/>
        </w:rPr>
        <w:t> </w:t>
      </w:r>
      <w:r>
        <w:rPr>
          <w:sz w:val="16"/>
          <w:vertAlign w:val="baseline"/>
        </w:rPr>
        <w:t>2026</w:t>
      </w:r>
      <w:r>
        <w:rPr>
          <w:spacing w:val="-7"/>
          <w:sz w:val="16"/>
          <w:vertAlign w:val="baseline"/>
        </w:rPr>
        <w:t> </w:t>
      </w:r>
      <w:r>
        <w:rPr>
          <w:sz w:val="16"/>
          <w:vertAlign w:val="baseline"/>
        </w:rPr>
        <w:t>contiene</w:t>
      </w:r>
      <w:r>
        <w:rPr>
          <w:spacing w:val="-4"/>
          <w:sz w:val="16"/>
          <w:vertAlign w:val="baseline"/>
        </w:rPr>
        <w:t> </w:t>
      </w:r>
      <w:r>
        <w:rPr>
          <w:sz w:val="16"/>
          <w:vertAlign w:val="baseline"/>
        </w:rPr>
        <w:t>dos tipos de medidas: la primera se refiere a la adopción de una medida arancelaria equivalente al 30% para un grupo de subpartidas</w:t>
      </w:r>
      <w:r>
        <w:rPr>
          <w:spacing w:val="-7"/>
          <w:sz w:val="16"/>
          <w:vertAlign w:val="baseline"/>
        </w:rPr>
        <w:t> </w:t>
      </w:r>
      <w:r>
        <w:rPr>
          <w:sz w:val="16"/>
          <w:vertAlign w:val="baseline"/>
        </w:rPr>
        <w:t>arancelarias</w:t>
      </w:r>
      <w:r>
        <w:rPr>
          <w:spacing w:val="-8"/>
          <w:sz w:val="16"/>
          <w:vertAlign w:val="baseline"/>
        </w:rPr>
        <w:t> </w:t>
      </w:r>
      <w:r>
        <w:rPr>
          <w:sz w:val="16"/>
          <w:vertAlign w:val="baseline"/>
        </w:rPr>
        <w:t>y</w:t>
      </w:r>
      <w:r>
        <w:rPr>
          <w:spacing w:val="-7"/>
          <w:sz w:val="16"/>
          <w:vertAlign w:val="baseline"/>
        </w:rPr>
        <w:t> </w:t>
      </w:r>
      <w:r>
        <w:rPr>
          <w:sz w:val="16"/>
          <w:vertAlign w:val="baseline"/>
        </w:rPr>
        <w:t>la</w:t>
      </w:r>
      <w:r>
        <w:rPr>
          <w:spacing w:val="-9"/>
          <w:sz w:val="16"/>
          <w:vertAlign w:val="baseline"/>
        </w:rPr>
        <w:t> </w:t>
      </w:r>
      <w:r>
        <w:rPr>
          <w:sz w:val="16"/>
          <w:vertAlign w:val="baseline"/>
        </w:rPr>
        <w:t>segunda</w:t>
      </w:r>
      <w:r>
        <w:rPr>
          <w:spacing w:val="-7"/>
          <w:sz w:val="16"/>
          <w:vertAlign w:val="baseline"/>
        </w:rPr>
        <w:t> </w:t>
      </w:r>
      <w:r>
        <w:rPr>
          <w:sz w:val="16"/>
          <w:vertAlign w:val="baseline"/>
        </w:rPr>
        <w:t>consiste</w:t>
      </w:r>
      <w:r>
        <w:rPr>
          <w:spacing w:val="-7"/>
          <w:sz w:val="16"/>
          <w:vertAlign w:val="baseline"/>
        </w:rPr>
        <w:t> </w:t>
      </w:r>
      <w:r>
        <w:rPr>
          <w:sz w:val="16"/>
          <w:vertAlign w:val="baseline"/>
        </w:rPr>
        <w:t>en</w:t>
      </w:r>
      <w:r>
        <w:rPr>
          <w:spacing w:val="-9"/>
          <w:sz w:val="16"/>
          <w:vertAlign w:val="baseline"/>
        </w:rPr>
        <w:t> </w:t>
      </w:r>
      <w:r>
        <w:rPr>
          <w:sz w:val="16"/>
          <w:vertAlign w:val="baseline"/>
        </w:rPr>
        <w:t>la</w:t>
      </w:r>
      <w:r>
        <w:rPr>
          <w:spacing w:val="-9"/>
          <w:sz w:val="16"/>
          <w:vertAlign w:val="baseline"/>
        </w:rPr>
        <w:t> </w:t>
      </w:r>
      <w:r>
        <w:rPr>
          <w:sz w:val="16"/>
          <w:vertAlign w:val="baseline"/>
        </w:rPr>
        <w:t>adopción</w:t>
      </w:r>
      <w:r>
        <w:rPr>
          <w:spacing w:val="-10"/>
          <w:sz w:val="16"/>
          <w:vertAlign w:val="baseline"/>
        </w:rPr>
        <w:t> </w:t>
      </w:r>
      <w:r>
        <w:rPr>
          <w:sz w:val="16"/>
          <w:vertAlign w:val="baseline"/>
        </w:rPr>
        <w:t>de</w:t>
      </w:r>
      <w:r>
        <w:rPr>
          <w:spacing w:val="-9"/>
          <w:sz w:val="16"/>
          <w:vertAlign w:val="baseline"/>
        </w:rPr>
        <w:t> </w:t>
      </w:r>
      <w:r>
        <w:rPr>
          <w:sz w:val="16"/>
          <w:vertAlign w:val="baseline"/>
        </w:rPr>
        <w:t>medidas</w:t>
      </w:r>
      <w:r>
        <w:rPr>
          <w:spacing w:val="-5"/>
          <w:sz w:val="16"/>
          <w:vertAlign w:val="baseline"/>
        </w:rPr>
        <w:t> </w:t>
      </w:r>
      <w:r>
        <w:rPr>
          <w:sz w:val="16"/>
          <w:vertAlign w:val="baseline"/>
        </w:rPr>
        <w:t>que</w:t>
      </w:r>
      <w:r>
        <w:rPr>
          <w:spacing w:val="-9"/>
          <w:sz w:val="16"/>
          <w:vertAlign w:val="baseline"/>
        </w:rPr>
        <w:t> </w:t>
      </w:r>
      <w:r>
        <w:rPr>
          <w:sz w:val="16"/>
          <w:vertAlign w:val="baseline"/>
        </w:rPr>
        <w:t>restringen</w:t>
      </w:r>
      <w:r>
        <w:rPr>
          <w:spacing w:val="-7"/>
          <w:sz w:val="16"/>
          <w:vertAlign w:val="baseline"/>
        </w:rPr>
        <w:t> </w:t>
      </w:r>
      <w:r>
        <w:rPr>
          <w:sz w:val="16"/>
          <w:vertAlign w:val="baseline"/>
        </w:rPr>
        <w:t>el</w:t>
      </w:r>
      <w:r>
        <w:rPr>
          <w:spacing w:val="-8"/>
          <w:sz w:val="16"/>
          <w:vertAlign w:val="baseline"/>
        </w:rPr>
        <w:t> </w:t>
      </w:r>
      <w:r>
        <w:rPr>
          <w:sz w:val="16"/>
          <w:vertAlign w:val="baseline"/>
        </w:rPr>
        <w:t>ingreso</w:t>
      </w:r>
      <w:r>
        <w:rPr>
          <w:spacing w:val="-9"/>
          <w:sz w:val="16"/>
          <w:vertAlign w:val="baseline"/>
        </w:rPr>
        <w:t> </w:t>
      </w:r>
      <w:r>
        <w:rPr>
          <w:sz w:val="16"/>
          <w:vertAlign w:val="baseline"/>
        </w:rPr>
        <w:t>de</w:t>
      </w:r>
      <w:r>
        <w:rPr>
          <w:spacing w:val="-9"/>
          <w:sz w:val="16"/>
          <w:vertAlign w:val="baseline"/>
        </w:rPr>
        <w:t> </w:t>
      </w:r>
      <w:r>
        <w:rPr>
          <w:sz w:val="16"/>
          <w:vertAlign w:val="baseline"/>
        </w:rPr>
        <w:t>productos</w:t>
      </w:r>
      <w:r>
        <w:rPr>
          <w:spacing w:val="-7"/>
          <w:sz w:val="16"/>
          <w:vertAlign w:val="baseline"/>
        </w:rPr>
        <w:t> </w:t>
      </w:r>
      <w:r>
        <w:rPr>
          <w:sz w:val="16"/>
          <w:vertAlign w:val="baseline"/>
        </w:rPr>
        <w:t>ecuatorianos por determinadas aduanas de ingreso, específicamente se prohíbe el ingreso por las aduanas de Rumichaca y Puerto Asís.</w:t>
      </w:r>
    </w:p>
    <w:p>
      <w:pPr>
        <w:spacing w:line="183" w:lineRule="exact" w:before="0"/>
        <w:ind w:left="568" w:right="0" w:firstLine="0"/>
        <w:jc w:val="both"/>
        <w:rPr>
          <w:sz w:val="16"/>
        </w:rPr>
      </w:pPr>
      <w:bookmarkStart w:name="_bookmark75" w:id="76"/>
      <w:bookmarkEnd w:id="76"/>
      <w:r>
        <w:rPr/>
      </w:r>
      <w:r>
        <w:rPr>
          <w:sz w:val="16"/>
          <w:vertAlign w:val="superscript"/>
        </w:rPr>
        <w:t>8</w:t>
      </w:r>
      <w:r>
        <w:rPr>
          <w:spacing w:val="-7"/>
          <w:sz w:val="16"/>
          <w:vertAlign w:val="baseline"/>
        </w:rPr>
        <w:t> </w:t>
      </w:r>
      <w:r>
        <w:rPr>
          <w:sz w:val="16"/>
          <w:vertAlign w:val="baseline"/>
        </w:rPr>
        <w:t>Expediente</w:t>
      </w:r>
      <w:r>
        <w:rPr>
          <w:spacing w:val="-6"/>
          <w:sz w:val="16"/>
          <w:vertAlign w:val="baseline"/>
        </w:rPr>
        <w:t> </w:t>
      </w:r>
      <w:r>
        <w:rPr>
          <w:sz w:val="16"/>
          <w:vertAlign w:val="baseline"/>
        </w:rPr>
        <w:t>DGCOM/GRAV-REST/002/2026,</w:t>
      </w:r>
      <w:r>
        <w:rPr>
          <w:spacing w:val="-7"/>
          <w:sz w:val="16"/>
          <w:vertAlign w:val="baseline"/>
        </w:rPr>
        <w:t> </w:t>
      </w:r>
      <w:r>
        <w:rPr>
          <w:sz w:val="16"/>
          <w:vertAlign w:val="baseline"/>
        </w:rPr>
        <w:t>folios</w:t>
      </w:r>
      <w:r>
        <w:rPr>
          <w:spacing w:val="-4"/>
          <w:sz w:val="16"/>
          <w:vertAlign w:val="baseline"/>
        </w:rPr>
        <w:t> </w:t>
      </w:r>
      <w:r>
        <w:rPr>
          <w:sz w:val="16"/>
          <w:vertAlign w:val="baseline"/>
        </w:rPr>
        <w:t>del</w:t>
      </w:r>
      <w:r>
        <w:rPr>
          <w:spacing w:val="-8"/>
          <w:sz w:val="16"/>
          <w:vertAlign w:val="baseline"/>
        </w:rPr>
        <w:t> </w:t>
      </w:r>
      <w:r>
        <w:rPr>
          <w:sz w:val="16"/>
          <w:vertAlign w:val="baseline"/>
        </w:rPr>
        <w:t>000001</w:t>
      </w:r>
      <w:r>
        <w:rPr>
          <w:spacing w:val="-6"/>
          <w:sz w:val="16"/>
          <w:vertAlign w:val="baseline"/>
        </w:rPr>
        <w:t> </w:t>
      </w:r>
      <w:r>
        <w:rPr>
          <w:sz w:val="16"/>
          <w:vertAlign w:val="baseline"/>
        </w:rPr>
        <w:t>al</w:t>
      </w:r>
      <w:r>
        <w:rPr>
          <w:spacing w:val="-8"/>
          <w:sz w:val="16"/>
          <w:vertAlign w:val="baseline"/>
        </w:rPr>
        <w:t> </w:t>
      </w:r>
      <w:r>
        <w:rPr>
          <w:spacing w:val="-2"/>
          <w:sz w:val="16"/>
          <w:vertAlign w:val="baseline"/>
        </w:rPr>
        <w:t>000033.</w:t>
      </w:r>
    </w:p>
    <w:p>
      <w:pPr>
        <w:spacing w:before="1"/>
        <w:ind w:left="568" w:right="0" w:firstLine="0"/>
        <w:jc w:val="both"/>
        <w:rPr>
          <w:sz w:val="16"/>
        </w:rPr>
      </w:pPr>
      <w:bookmarkStart w:name="_bookmark76" w:id="77"/>
      <w:bookmarkEnd w:id="77"/>
      <w:r>
        <w:rPr/>
      </w:r>
      <w:r>
        <w:rPr>
          <w:sz w:val="16"/>
          <w:vertAlign w:val="superscript"/>
        </w:rPr>
        <w:t>9</w:t>
      </w:r>
      <w:r>
        <w:rPr>
          <w:spacing w:val="-6"/>
          <w:sz w:val="16"/>
          <w:vertAlign w:val="baseline"/>
        </w:rPr>
        <w:t> </w:t>
      </w:r>
      <w:r>
        <w:rPr>
          <w:sz w:val="16"/>
          <w:vertAlign w:val="baseline"/>
        </w:rPr>
        <w:t>Expediente</w:t>
      </w:r>
      <w:r>
        <w:rPr>
          <w:spacing w:val="-6"/>
          <w:sz w:val="16"/>
          <w:vertAlign w:val="baseline"/>
        </w:rPr>
        <w:t> </w:t>
      </w:r>
      <w:r>
        <w:rPr>
          <w:sz w:val="16"/>
          <w:vertAlign w:val="baseline"/>
        </w:rPr>
        <w:t>DGCOM/GRAV-REST/002/2026,</w:t>
      </w:r>
      <w:r>
        <w:rPr>
          <w:spacing w:val="-7"/>
          <w:sz w:val="16"/>
          <w:vertAlign w:val="baseline"/>
        </w:rPr>
        <w:t> </w:t>
      </w:r>
      <w:r>
        <w:rPr>
          <w:sz w:val="16"/>
          <w:vertAlign w:val="baseline"/>
        </w:rPr>
        <w:t>folios</w:t>
      </w:r>
      <w:r>
        <w:rPr>
          <w:spacing w:val="-4"/>
          <w:sz w:val="16"/>
          <w:vertAlign w:val="baseline"/>
        </w:rPr>
        <w:t> </w:t>
      </w:r>
      <w:r>
        <w:rPr>
          <w:sz w:val="16"/>
          <w:vertAlign w:val="baseline"/>
        </w:rPr>
        <w:t>del</w:t>
      </w:r>
      <w:r>
        <w:rPr>
          <w:spacing w:val="-7"/>
          <w:sz w:val="16"/>
          <w:vertAlign w:val="baseline"/>
        </w:rPr>
        <w:t> </w:t>
      </w:r>
      <w:r>
        <w:rPr>
          <w:sz w:val="16"/>
          <w:vertAlign w:val="baseline"/>
        </w:rPr>
        <w:t>000030</w:t>
      </w:r>
      <w:r>
        <w:rPr>
          <w:spacing w:val="-6"/>
          <w:sz w:val="16"/>
          <w:vertAlign w:val="baseline"/>
        </w:rPr>
        <w:t> </w:t>
      </w:r>
      <w:r>
        <w:rPr>
          <w:sz w:val="16"/>
          <w:vertAlign w:val="baseline"/>
        </w:rPr>
        <w:t>al</w:t>
      </w:r>
      <w:r>
        <w:rPr>
          <w:spacing w:val="-7"/>
          <w:sz w:val="16"/>
          <w:vertAlign w:val="baseline"/>
        </w:rPr>
        <w:t> </w:t>
      </w:r>
      <w:r>
        <w:rPr>
          <w:spacing w:val="-2"/>
          <w:sz w:val="16"/>
          <w:vertAlign w:val="baseline"/>
        </w:rPr>
        <w:t>000031.</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06" name="Group 406"/>
                <wp:cNvGraphicFramePr>
                  <a:graphicFrameLocks/>
                </wp:cNvGraphicFramePr>
                <a:graphic>
                  <a:graphicData uri="http://schemas.microsoft.com/office/word/2010/wordprocessingGroup">
                    <wpg:wgp>
                      <wpg:cNvPr id="406" name="Group 406"/>
                      <wpg:cNvGrpSpPr/>
                      <wpg:grpSpPr>
                        <a:xfrm>
                          <a:off x="0" y="0"/>
                          <a:ext cx="6131560" cy="9525"/>
                          <a:chExt cx="6131560" cy="9525"/>
                        </a:xfrm>
                      </wpg:grpSpPr>
                      <wps:wsp>
                        <wps:cNvPr id="407" name="Graphic 407"/>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89"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780" w:left="992" w:right="283"/>
        </w:sectPr>
      </w:pPr>
    </w:p>
    <w:p>
      <w:pPr>
        <w:pStyle w:val="BodyText"/>
      </w:pPr>
    </w:p>
    <w:p>
      <w:pPr>
        <w:pStyle w:val="BodyText"/>
        <w:spacing w:before="177"/>
      </w:pPr>
    </w:p>
    <w:p>
      <w:pPr>
        <w:pStyle w:val="ListParagraph"/>
        <w:numPr>
          <w:ilvl w:val="0"/>
          <w:numId w:val="53"/>
        </w:numPr>
        <w:tabs>
          <w:tab w:pos="1698" w:val="left" w:leader="none"/>
          <w:tab w:pos="1701" w:val="left" w:leader="none"/>
        </w:tabs>
        <w:spacing w:line="240" w:lineRule="auto" w:before="1" w:after="0"/>
        <w:ind w:left="1701" w:right="981" w:hanging="567"/>
        <w:jc w:val="both"/>
        <w:rPr>
          <w:sz w:val="22"/>
        </w:rPr>
      </w:pPr>
      <w:r>
        <w:rPr>
          <w:sz w:val="22"/>
        </w:rPr>
        <w:t>No se enmarcaría en las excepciones del artículo 73 del Acuerdo de Cartagena debido a que la invocación de "seguridad nacional" resulta injustificada, desproporcionada y no supera el test de proporcionalidad exigido por el TJCAN, toda vez que su verdadero propósito es la reciprocidad comercial y la protección de sectores productivos específicos, fines no cobijados por las excepciones taxativas del ordenamiento andino.</w:t>
      </w:r>
    </w:p>
    <w:p>
      <w:pPr>
        <w:pStyle w:val="ListParagraph"/>
        <w:numPr>
          <w:ilvl w:val="0"/>
          <w:numId w:val="53"/>
        </w:numPr>
        <w:tabs>
          <w:tab w:pos="1699" w:val="left" w:leader="none"/>
          <w:tab w:pos="1701" w:val="left" w:leader="none"/>
        </w:tabs>
        <w:spacing w:line="240" w:lineRule="auto" w:before="251" w:after="0"/>
        <w:ind w:left="1701" w:right="977" w:hanging="567"/>
        <w:jc w:val="both"/>
        <w:rPr>
          <w:sz w:val="22"/>
        </w:rPr>
      </w:pPr>
      <w:r>
        <w:rPr>
          <w:sz w:val="22"/>
        </w:rPr>
        <w:t>Desconocería la jurisprudencia del TJCAN en materia de arroz. La restricción al ingreso de arroz ecuatoriano por Ipiales y Puerto Asís reincide en una conducta ya declarada contraria al ordenamiento andino, agravando la infracción y vulnerando el principio de respeto y cumplimiento de los fallos del TJCAN.</w:t>
      </w:r>
    </w:p>
    <w:p>
      <w:pPr>
        <w:pStyle w:val="BodyText"/>
        <w:spacing w:before="2"/>
      </w:pPr>
    </w:p>
    <w:p>
      <w:pPr>
        <w:pStyle w:val="ListParagraph"/>
        <w:numPr>
          <w:ilvl w:val="0"/>
          <w:numId w:val="50"/>
        </w:numPr>
        <w:tabs>
          <w:tab w:pos="1130" w:val="left" w:leader="none"/>
          <w:tab w:pos="1134" w:val="left" w:leader="none"/>
        </w:tabs>
        <w:spacing w:line="240" w:lineRule="auto" w:before="1" w:after="0"/>
        <w:ind w:left="1134" w:right="979" w:hanging="567"/>
        <w:jc w:val="both"/>
        <w:rPr>
          <w:sz w:val="22"/>
        </w:rPr>
      </w:pPr>
      <w:r>
        <w:rPr>
          <w:sz w:val="22"/>
        </w:rPr>
        <w:t>Es preciso señalar que, como se ha indicado anteriormente, la República del Ecuador, mediante Oficio Nro. MPCEI-VCE-2026-0055-O de 04 de mayo de 2026, solicitó incorporar al presente procedimiento el Decreto 0455 </w:t>
      </w:r>
      <w:r>
        <w:rPr>
          <w:rFonts w:ascii="Arial" w:hAnsi="Arial"/>
          <w:i/>
          <w:sz w:val="22"/>
        </w:rPr>
        <w:t>“en atención a su conexidad directa con las medidas actualmente objeto de análisis por parte de esa Secretaría </w:t>
      </w:r>
      <w:r>
        <w:rPr>
          <w:rFonts w:ascii="Arial" w:hAnsi="Arial"/>
          <w:i/>
          <w:spacing w:val="-2"/>
          <w:sz w:val="22"/>
        </w:rPr>
        <w:t>General.</w:t>
      </w:r>
      <w:r>
        <w:rPr>
          <w:spacing w:val="-2"/>
          <w:sz w:val="22"/>
        </w:rPr>
        <w:t>”</w:t>
      </w:r>
      <w:hyperlink w:history="true" w:anchor="_bookmark77">
        <w:r>
          <w:rPr>
            <w:spacing w:val="-2"/>
            <w:sz w:val="22"/>
            <w:vertAlign w:val="superscript"/>
          </w:rPr>
          <w:t>10</w:t>
        </w:r>
        <w:r>
          <w:rPr>
            <w:spacing w:val="-2"/>
            <w:sz w:val="22"/>
            <w:vertAlign w:val="baseline"/>
          </w:rPr>
          <w:t>.</w:t>
        </w:r>
      </w:hyperlink>
    </w:p>
    <w:p>
      <w:pPr>
        <w:pStyle w:val="ListParagraph"/>
        <w:numPr>
          <w:ilvl w:val="0"/>
          <w:numId w:val="50"/>
        </w:numPr>
        <w:tabs>
          <w:tab w:pos="1130" w:val="left" w:leader="none"/>
          <w:tab w:pos="1134" w:val="left" w:leader="none"/>
        </w:tabs>
        <w:spacing w:line="240" w:lineRule="auto" w:before="251" w:after="0"/>
        <w:ind w:left="1134" w:right="978" w:hanging="567"/>
        <w:jc w:val="both"/>
        <w:rPr>
          <w:sz w:val="22"/>
        </w:rPr>
      </w:pPr>
      <w:r>
        <w:rPr>
          <w:sz w:val="22"/>
        </w:rPr>
        <w:t>Según</w:t>
      </w:r>
      <w:r>
        <w:rPr>
          <w:spacing w:val="-7"/>
          <w:sz w:val="22"/>
        </w:rPr>
        <w:t> </w:t>
      </w:r>
      <w:r>
        <w:rPr>
          <w:sz w:val="22"/>
        </w:rPr>
        <w:t>el</w:t>
      </w:r>
      <w:r>
        <w:rPr>
          <w:spacing w:val="-7"/>
          <w:sz w:val="22"/>
        </w:rPr>
        <w:t> </w:t>
      </w:r>
      <w:r>
        <w:rPr>
          <w:sz w:val="22"/>
        </w:rPr>
        <w:t>citado</w:t>
      </w:r>
      <w:r>
        <w:rPr>
          <w:spacing w:val="-9"/>
          <w:sz w:val="22"/>
        </w:rPr>
        <w:t> </w:t>
      </w:r>
      <w:r>
        <w:rPr>
          <w:sz w:val="22"/>
        </w:rPr>
        <w:t>Oficio,</w:t>
      </w:r>
      <w:r>
        <w:rPr>
          <w:spacing w:val="-5"/>
          <w:sz w:val="22"/>
        </w:rPr>
        <w:t> </w:t>
      </w:r>
      <w:r>
        <w:rPr>
          <w:sz w:val="22"/>
        </w:rPr>
        <w:t>el</w:t>
      </w:r>
      <w:r>
        <w:rPr>
          <w:spacing w:val="-10"/>
          <w:sz w:val="22"/>
        </w:rPr>
        <w:t> </w:t>
      </w:r>
      <w:r>
        <w:rPr>
          <w:sz w:val="22"/>
        </w:rPr>
        <w:t>Decreto</w:t>
      </w:r>
      <w:r>
        <w:rPr>
          <w:spacing w:val="-6"/>
          <w:sz w:val="22"/>
        </w:rPr>
        <w:t> </w:t>
      </w:r>
      <w:r>
        <w:rPr>
          <w:sz w:val="22"/>
        </w:rPr>
        <w:t>0455</w:t>
      </w:r>
      <w:r>
        <w:rPr>
          <w:spacing w:val="-9"/>
          <w:sz w:val="22"/>
        </w:rPr>
        <w:t> </w:t>
      </w:r>
      <w:r>
        <w:rPr>
          <w:sz w:val="22"/>
        </w:rPr>
        <w:t>“</w:t>
      </w:r>
      <w:r>
        <w:rPr>
          <w:rFonts w:ascii="Arial" w:hAnsi="Arial"/>
          <w:i/>
          <w:sz w:val="22"/>
        </w:rPr>
        <w:t>modifica</w:t>
      </w:r>
      <w:r>
        <w:rPr>
          <w:rFonts w:ascii="Arial" w:hAnsi="Arial"/>
          <w:i/>
          <w:spacing w:val="-9"/>
          <w:sz w:val="22"/>
        </w:rPr>
        <w:t> </w:t>
      </w:r>
      <w:r>
        <w:rPr>
          <w:rFonts w:ascii="Arial" w:hAnsi="Arial"/>
          <w:i/>
          <w:sz w:val="22"/>
        </w:rPr>
        <w:t>y</w:t>
      </w:r>
      <w:r>
        <w:rPr>
          <w:rFonts w:ascii="Arial" w:hAnsi="Arial"/>
          <w:i/>
          <w:spacing w:val="-6"/>
          <w:sz w:val="22"/>
        </w:rPr>
        <w:t> </w:t>
      </w:r>
      <w:r>
        <w:rPr>
          <w:rFonts w:ascii="Arial" w:hAnsi="Arial"/>
          <w:i/>
          <w:sz w:val="22"/>
        </w:rPr>
        <w:t>agrava</w:t>
      </w:r>
      <w:r>
        <w:rPr>
          <w:rFonts w:ascii="Arial" w:hAnsi="Arial"/>
          <w:i/>
          <w:spacing w:val="-9"/>
          <w:sz w:val="22"/>
        </w:rPr>
        <w:t> </w:t>
      </w:r>
      <w:r>
        <w:rPr>
          <w:rFonts w:ascii="Arial" w:hAnsi="Arial"/>
          <w:i/>
          <w:sz w:val="22"/>
        </w:rPr>
        <w:t>las</w:t>
      </w:r>
      <w:r>
        <w:rPr>
          <w:rFonts w:ascii="Arial" w:hAnsi="Arial"/>
          <w:i/>
          <w:spacing w:val="-9"/>
          <w:sz w:val="22"/>
        </w:rPr>
        <w:t> </w:t>
      </w:r>
      <w:r>
        <w:rPr>
          <w:rFonts w:ascii="Arial" w:hAnsi="Arial"/>
          <w:i/>
          <w:sz w:val="22"/>
        </w:rPr>
        <w:t>medidas</w:t>
      </w:r>
      <w:r>
        <w:rPr>
          <w:rFonts w:ascii="Arial" w:hAnsi="Arial"/>
          <w:i/>
          <w:spacing w:val="-6"/>
          <w:sz w:val="22"/>
        </w:rPr>
        <w:t> </w:t>
      </w:r>
      <w:r>
        <w:rPr>
          <w:rFonts w:ascii="Arial" w:hAnsi="Arial"/>
          <w:i/>
          <w:sz w:val="22"/>
        </w:rPr>
        <w:t>contenidas</w:t>
      </w:r>
      <w:r>
        <w:rPr>
          <w:rFonts w:ascii="Arial" w:hAnsi="Arial"/>
          <w:i/>
          <w:spacing w:val="-6"/>
          <w:sz w:val="22"/>
        </w:rPr>
        <w:t> </w:t>
      </w:r>
      <w:r>
        <w:rPr>
          <w:rFonts w:ascii="Arial" w:hAnsi="Arial"/>
          <w:i/>
          <w:sz w:val="22"/>
        </w:rPr>
        <w:t>en</w:t>
      </w:r>
      <w:r>
        <w:rPr>
          <w:rFonts w:ascii="Arial" w:hAnsi="Arial"/>
          <w:i/>
          <w:spacing w:val="-9"/>
          <w:sz w:val="22"/>
        </w:rPr>
        <w:t> </w:t>
      </w:r>
      <w:r>
        <w:rPr>
          <w:rFonts w:ascii="Arial" w:hAnsi="Arial"/>
          <w:i/>
          <w:sz w:val="22"/>
        </w:rPr>
        <w:t>el Decreto 0170, incrementando los niveles arancelarios y manteniendo las restricciones previamente impuestas, por lo que se solicita su incorporación al expediente en curso, conforme</w:t>
      </w:r>
      <w:r>
        <w:rPr>
          <w:rFonts w:ascii="Arial" w:hAnsi="Arial"/>
          <w:i/>
          <w:spacing w:val="-6"/>
          <w:sz w:val="22"/>
        </w:rPr>
        <w:t> </w:t>
      </w:r>
      <w:r>
        <w:rPr>
          <w:rFonts w:ascii="Arial" w:hAnsi="Arial"/>
          <w:i/>
          <w:sz w:val="22"/>
        </w:rPr>
        <w:t>a</w:t>
      </w:r>
      <w:r>
        <w:rPr>
          <w:rFonts w:ascii="Arial" w:hAnsi="Arial"/>
          <w:i/>
          <w:spacing w:val="-9"/>
          <w:sz w:val="22"/>
        </w:rPr>
        <w:t> </w:t>
      </w:r>
      <w:r>
        <w:rPr>
          <w:rFonts w:ascii="Arial" w:hAnsi="Arial"/>
          <w:i/>
          <w:sz w:val="22"/>
        </w:rPr>
        <w:t>lo</w:t>
      </w:r>
      <w:r>
        <w:rPr>
          <w:rFonts w:ascii="Arial" w:hAnsi="Arial"/>
          <w:i/>
          <w:spacing w:val="-6"/>
          <w:sz w:val="22"/>
        </w:rPr>
        <w:t> </w:t>
      </w:r>
      <w:r>
        <w:rPr>
          <w:rFonts w:ascii="Arial" w:hAnsi="Arial"/>
          <w:i/>
          <w:sz w:val="22"/>
        </w:rPr>
        <w:t>previsto</w:t>
      </w:r>
      <w:r>
        <w:rPr>
          <w:rFonts w:ascii="Arial" w:hAnsi="Arial"/>
          <w:i/>
          <w:spacing w:val="-9"/>
          <w:sz w:val="22"/>
        </w:rPr>
        <w:t> </w:t>
      </w:r>
      <w:r>
        <w:rPr>
          <w:rFonts w:ascii="Arial" w:hAnsi="Arial"/>
          <w:i/>
          <w:sz w:val="22"/>
        </w:rPr>
        <w:t>en</w:t>
      </w:r>
      <w:r>
        <w:rPr>
          <w:rFonts w:ascii="Arial" w:hAnsi="Arial"/>
          <w:i/>
          <w:spacing w:val="-9"/>
          <w:sz w:val="22"/>
        </w:rPr>
        <w:t> </w:t>
      </w:r>
      <w:r>
        <w:rPr>
          <w:rFonts w:ascii="Arial" w:hAnsi="Arial"/>
          <w:i/>
          <w:sz w:val="22"/>
        </w:rPr>
        <w:t>el</w:t>
      </w:r>
      <w:r>
        <w:rPr>
          <w:rFonts w:ascii="Arial" w:hAnsi="Arial"/>
          <w:i/>
          <w:spacing w:val="-7"/>
          <w:sz w:val="22"/>
        </w:rPr>
        <w:t> </w:t>
      </w:r>
      <w:r>
        <w:rPr>
          <w:rFonts w:ascii="Arial" w:hAnsi="Arial"/>
          <w:i/>
          <w:sz w:val="22"/>
        </w:rPr>
        <w:t>Acuerdo</w:t>
      </w:r>
      <w:r>
        <w:rPr>
          <w:rFonts w:ascii="Arial" w:hAnsi="Arial"/>
          <w:i/>
          <w:spacing w:val="-7"/>
          <w:sz w:val="22"/>
        </w:rPr>
        <w:t> </w:t>
      </w:r>
      <w:r>
        <w:rPr>
          <w:rFonts w:ascii="Arial" w:hAnsi="Arial"/>
          <w:i/>
          <w:sz w:val="22"/>
        </w:rPr>
        <w:t>de</w:t>
      </w:r>
      <w:r>
        <w:rPr>
          <w:rFonts w:ascii="Arial" w:hAnsi="Arial"/>
          <w:i/>
          <w:spacing w:val="-7"/>
          <w:sz w:val="22"/>
        </w:rPr>
        <w:t> </w:t>
      </w:r>
      <w:r>
        <w:rPr>
          <w:rFonts w:ascii="Arial" w:hAnsi="Arial"/>
          <w:i/>
          <w:sz w:val="22"/>
        </w:rPr>
        <w:t>Cartagena</w:t>
      </w:r>
      <w:r>
        <w:rPr>
          <w:rFonts w:ascii="Arial" w:hAnsi="Arial"/>
          <w:i/>
          <w:spacing w:val="-6"/>
          <w:sz w:val="22"/>
        </w:rPr>
        <w:t> </w:t>
      </w:r>
      <w:r>
        <w:rPr>
          <w:rFonts w:ascii="Arial" w:hAnsi="Arial"/>
          <w:i/>
          <w:sz w:val="22"/>
        </w:rPr>
        <w:t>y</w:t>
      </w:r>
      <w:r>
        <w:rPr>
          <w:rFonts w:ascii="Arial" w:hAnsi="Arial"/>
          <w:i/>
          <w:spacing w:val="-6"/>
          <w:sz w:val="22"/>
        </w:rPr>
        <w:t> </w:t>
      </w:r>
      <w:r>
        <w:rPr>
          <w:rFonts w:ascii="Arial" w:hAnsi="Arial"/>
          <w:i/>
          <w:sz w:val="22"/>
        </w:rPr>
        <w:t>la</w:t>
      </w:r>
      <w:r>
        <w:rPr>
          <w:rFonts w:ascii="Arial" w:hAnsi="Arial"/>
          <w:i/>
          <w:spacing w:val="-6"/>
          <w:sz w:val="22"/>
        </w:rPr>
        <w:t> </w:t>
      </w:r>
      <w:r>
        <w:rPr>
          <w:rFonts w:ascii="Arial" w:hAnsi="Arial"/>
          <w:i/>
          <w:sz w:val="22"/>
        </w:rPr>
        <w:t>Decisión</w:t>
      </w:r>
      <w:r>
        <w:rPr>
          <w:rFonts w:ascii="Arial" w:hAnsi="Arial"/>
          <w:i/>
          <w:spacing w:val="-7"/>
          <w:sz w:val="22"/>
        </w:rPr>
        <w:t> </w:t>
      </w:r>
      <w:r>
        <w:rPr>
          <w:rFonts w:ascii="Arial" w:hAnsi="Arial"/>
          <w:i/>
          <w:sz w:val="22"/>
        </w:rPr>
        <w:t>425.”</w:t>
      </w:r>
      <w:hyperlink w:history="true" w:anchor="_bookmark78">
        <w:r>
          <w:rPr>
            <w:rFonts w:ascii="Arial" w:hAnsi="Arial"/>
            <w:i/>
            <w:sz w:val="22"/>
            <w:vertAlign w:val="superscript"/>
          </w:rPr>
          <w:t>11</w:t>
        </w:r>
      </w:hyperlink>
      <w:r>
        <w:rPr>
          <w:rFonts w:ascii="Arial" w:hAnsi="Arial"/>
          <w:i/>
          <w:spacing w:val="-7"/>
          <w:sz w:val="22"/>
          <w:vertAlign w:val="baseline"/>
        </w:rPr>
        <w:t> </w:t>
      </w:r>
      <w:r>
        <w:rPr>
          <w:sz w:val="22"/>
          <w:vertAlign w:val="baseline"/>
        </w:rPr>
        <w:t>En</w:t>
      </w:r>
      <w:r>
        <w:rPr>
          <w:spacing w:val="-9"/>
          <w:sz w:val="22"/>
          <w:vertAlign w:val="baseline"/>
        </w:rPr>
        <w:t> </w:t>
      </w:r>
      <w:r>
        <w:rPr>
          <w:sz w:val="22"/>
          <w:vertAlign w:val="baseline"/>
        </w:rPr>
        <w:t>el</w:t>
      </w:r>
      <w:r>
        <w:rPr>
          <w:spacing w:val="-7"/>
          <w:sz w:val="22"/>
          <w:vertAlign w:val="baseline"/>
        </w:rPr>
        <w:t> </w:t>
      </w:r>
      <w:r>
        <w:rPr>
          <w:sz w:val="22"/>
          <w:vertAlign w:val="baseline"/>
        </w:rPr>
        <w:t>adjunto</w:t>
      </w:r>
      <w:r>
        <w:rPr>
          <w:spacing w:val="-9"/>
          <w:sz w:val="22"/>
          <w:vertAlign w:val="baseline"/>
        </w:rPr>
        <w:t> </w:t>
      </w:r>
      <w:r>
        <w:rPr>
          <w:sz w:val="22"/>
          <w:vertAlign w:val="baseline"/>
        </w:rPr>
        <w:t>al referido Oficio, se menciona “</w:t>
      </w:r>
      <w:r>
        <w:rPr>
          <w:rFonts w:ascii="Arial" w:hAnsi="Arial"/>
          <w:i/>
          <w:sz w:val="22"/>
          <w:vertAlign w:val="baseline"/>
        </w:rPr>
        <w:t>que el que el Decreto 0455 afecta un total de 191 subpartidas NANDINA. De ellas, 25 están sujetas al</w:t>
      </w:r>
      <w:r>
        <w:rPr>
          <w:rFonts w:ascii="Arial" w:hAnsi="Arial"/>
          <w:i/>
          <w:spacing w:val="-1"/>
          <w:sz w:val="22"/>
          <w:vertAlign w:val="baseline"/>
        </w:rPr>
        <w:t> </w:t>
      </w:r>
      <w:r>
        <w:rPr>
          <w:rFonts w:ascii="Arial" w:hAnsi="Arial"/>
          <w:i/>
          <w:sz w:val="22"/>
          <w:vertAlign w:val="baseline"/>
        </w:rPr>
        <w:t>arancel</w:t>
      </w:r>
      <w:r>
        <w:rPr>
          <w:rFonts w:ascii="Arial" w:hAnsi="Arial"/>
          <w:i/>
          <w:spacing w:val="-1"/>
          <w:sz w:val="22"/>
          <w:vertAlign w:val="baseline"/>
        </w:rPr>
        <w:t> </w:t>
      </w:r>
      <w:r>
        <w:rPr>
          <w:rFonts w:ascii="Arial" w:hAnsi="Arial"/>
          <w:i/>
          <w:sz w:val="22"/>
          <w:vertAlign w:val="baseline"/>
        </w:rPr>
        <w:t>del 35% ad</w:t>
      </w:r>
      <w:r>
        <w:rPr>
          <w:rFonts w:ascii="Arial" w:hAnsi="Arial"/>
          <w:i/>
          <w:spacing w:val="-2"/>
          <w:sz w:val="22"/>
          <w:vertAlign w:val="baseline"/>
        </w:rPr>
        <w:t> </w:t>
      </w:r>
      <w:r>
        <w:rPr>
          <w:rFonts w:ascii="Arial" w:hAnsi="Arial"/>
          <w:i/>
          <w:sz w:val="22"/>
          <w:vertAlign w:val="baseline"/>
        </w:rPr>
        <w:t>valorem, 18 al 50% ad valorem y 148 al 75% ad valorem</w:t>
      </w:r>
      <w:r>
        <w:rPr>
          <w:sz w:val="22"/>
          <w:vertAlign w:val="baseline"/>
        </w:rPr>
        <w:t>”</w:t>
      </w:r>
      <w:hyperlink w:history="true" w:anchor="_bookmark79">
        <w:r>
          <w:rPr>
            <w:sz w:val="22"/>
            <w:vertAlign w:val="superscript"/>
          </w:rPr>
          <w:t>12</w:t>
        </w:r>
        <w:r>
          <w:rPr>
            <w:sz w:val="22"/>
            <w:vertAlign w:val="baseline"/>
          </w:rPr>
          <w:t>.</w:t>
        </w:r>
      </w:hyperlink>
    </w:p>
    <w:p>
      <w:pPr>
        <w:pStyle w:val="BodyText"/>
        <w:spacing w:before="2"/>
      </w:pPr>
    </w:p>
    <w:p>
      <w:pPr>
        <w:pStyle w:val="Heading6"/>
        <w:numPr>
          <w:ilvl w:val="0"/>
          <w:numId w:val="54"/>
        </w:numPr>
        <w:tabs>
          <w:tab w:pos="1701" w:val="left" w:leader="none"/>
        </w:tabs>
        <w:spacing w:line="240" w:lineRule="auto" w:before="0" w:after="0"/>
        <w:ind w:left="1701" w:right="0" w:hanging="567"/>
        <w:jc w:val="left"/>
      </w:pPr>
      <w:r>
        <w:rPr/>
        <w:t>Argumentos</w:t>
      </w:r>
      <w:r>
        <w:rPr>
          <w:spacing w:val="-6"/>
        </w:rPr>
        <w:t> </w:t>
      </w:r>
      <w:r>
        <w:rPr/>
        <w:t>de</w:t>
      </w:r>
      <w:r>
        <w:rPr>
          <w:spacing w:val="-4"/>
        </w:rPr>
        <w:t> </w:t>
      </w:r>
      <w:r>
        <w:rPr>
          <w:spacing w:val="-2"/>
        </w:rPr>
        <w:t>Derecho</w:t>
      </w:r>
    </w:p>
    <w:p>
      <w:pPr>
        <w:pStyle w:val="ListParagraph"/>
        <w:numPr>
          <w:ilvl w:val="0"/>
          <w:numId w:val="50"/>
        </w:numPr>
        <w:tabs>
          <w:tab w:pos="1130" w:val="left" w:leader="none"/>
          <w:tab w:pos="1134" w:val="left" w:leader="none"/>
        </w:tabs>
        <w:spacing w:line="240" w:lineRule="auto" w:before="249" w:after="0"/>
        <w:ind w:left="1134" w:right="978" w:hanging="567"/>
        <w:jc w:val="both"/>
        <w:rPr>
          <w:sz w:val="22"/>
        </w:rPr>
      </w:pPr>
      <w:r>
        <w:rPr>
          <w:sz w:val="22"/>
        </w:rPr>
        <w:t>La República del Ecuador basa su solicitud en los artículos 72, 73 y 74 del Acuerdo de Cartagena,</w:t>
      </w:r>
      <w:r>
        <w:rPr>
          <w:spacing w:val="-3"/>
          <w:sz w:val="22"/>
        </w:rPr>
        <w:t> </w:t>
      </w:r>
      <w:r>
        <w:rPr>
          <w:sz w:val="22"/>
        </w:rPr>
        <w:t>relativos</w:t>
      </w:r>
      <w:r>
        <w:rPr>
          <w:spacing w:val="-2"/>
          <w:sz w:val="22"/>
        </w:rPr>
        <w:t> </w:t>
      </w:r>
      <w:r>
        <w:rPr>
          <w:sz w:val="22"/>
        </w:rPr>
        <w:t>al</w:t>
      </w:r>
      <w:r>
        <w:rPr>
          <w:spacing w:val="-1"/>
          <w:sz w:val="22"/>
        </w:rPr>
        <w:t> </w:t>
      </w:r>
      <w:r>
        <w:rPr>
          <w:sz w:val="22"/>
        </w:rPr>
        <w:t>Programa</w:t>
      </w:r>
      <w:r>
        <w:rPr>
          <w:spacing w:val="-2"/>
          <w:sz w:val="22"/>
        </w:rPr>
        <w:t> </w:t>
      </w:r>
      <w:r>
        <w:rPr>
          <w:sz w:val="22"/>
        </w:rPr>
        <w:t>de</w:t>
      </w:r>
      <w:r>
        <w:rPr>
          <w:spacing w:val="-2"/>
          <w:sz w:val="22"/>
        </w:rPr>
        <w:t> </w:t>
      </w:r>
      <w:r>
        <w:rPr>
          <w:sz w:val="22"/>
        </w:rPr>
        <w:t>Liberación, así como</w:t>
      </w:r>
      <w:r>
        <w:rPr>
          <w:spacing w:val="-2"/>
          <w:sz w:val="22"/>
        </w:rPr>
        <w:t> </w:t>
      </w:r>
      <w:r>
        <w:rPr>
          <w:sz w:val="22"/>
        </w:rPr>
        <w:t>en</w:t>
      </w:r>
      <w:r>
        <w:rPr>
          <w:spacing w:val="-2"/>
          <w:sz w:val="22"/>
        </w:rPr>
        <w:t> </w:t>
      </w:r>
      <w:r>
        <w:rPr>
          <w:sz w:val="22"/>
        </w:rPr>
        <w:t>los artículos</w:t>
      </w:r>
      <w:r>
        <w:rPr>
          <w:spacing w:val="-4"/>
          <w:sz w:val="22"/>
        </w:rPr>
        <w:t> </w:t>
      </w:r>
      <w:r>
        <w:rPr>
          <w:sz w:val="22"/>
        </w:rPr>
        <w:t>46 y</w:t>
      </w:r>
      <w:r>
        <w:rPr>
          <w:spacing w:val="-2"/>
          <w:sz w:val="22"/>
        </w:rPr>
        <w:t> </w:t>
      </w:r>
      <w:r>
        <w:rPr>
          <w:sz w:val="22"/>
        </w:rPr>
        <w:t>47</w:t>
      </w:r>
      <w:r>
        <w:rPr>
          <w:spacing w:val="-2"/>
          <w:sz w:val="22"/>
        </w:rPr>
        <w:t> </w:t>
      </w:r>
      <w:r>
        <w:rPr>
          <w:sz w:val="22"/>
        </w:rPr>
        <w:t>de</w:t>
      </w:r>
      <w:r>
        <w:rPr>
          <w:spacing w:val="-2"/>
          <w:sz w:val="22"/>
        </w:rPr>
        <w:t> </w:t>
      </w:r>
      <w:r>
        <w:rPr>
          <w:sz w:val="22"/>
        </w:rPr>
        <w:t>la Decisión 425, referidos a los procedimientos para la calificación de gravámenes o </w:t>
      </w:r>
      <w:r>
        <w:rPr>
          <w:spacing w:val="-2"/>
          <w:sz w:val="22"/>
        </w:rPr>
        <w:t>restricciones.</w:t>
      </w:r>
    </w:p>
    <w:p>
      <w:pPr>
        <w:pStyle w:val="BodyText"/>
      </w:pPr>
    </w:p>
    <w:p>
      <w:pPr>
        <w:pStyle w:val="ListParagraph"/>
        <w:numPr>
          <w:ilvl w:val="0"/>
          <w:numId w:val="50"/>
        </w:numPr>
        <w:tabs>
          <w:tab w:pos="1130" w:val="left" w:leader="none"/>
          <w:tab w:pos="1134" w:val="left" w:leader="none"/>
        </w:tabs>
        <w:spacing w:line="240" w:lineRule="auto" w:before="0" w:after="0"/>
        <w:ind w:left="1134" w:right="975" w:hanging="567"/>
        <w:jc w:val="both"/>
        <w:rPr>
          <w:sz w:val="22"/>
        </w:rPr>
      </w:pPr>
      <w:r>
        <w:rPr>
          <w:sz w:val="22"/>
        </w:rPr>
        <w:t>Además, en la solicitud antes referida se invocan pronunciamientos del </w:t>
      </w:r>
      <w:r>
        <w:rPr>
          <w:rFonts w:ascii="Arial" w:hAnsi="Arial"/>
          <w:b/>
          <w:sz w:val="22"/>
        </w:rPr>
        <w:t>TJCAN</w:t>
      </w:r>
      <w:r>
        <w:rPr>
          <w:sz w:val="22"/>
        </w:rPr>
        <w:t>, específicamente</w:t>
      </w:r>
      <w:r>
        <w:rPr>
          <w:spacing w:val="-4"/>
          <w:sz w:val="22"/>
        </w:rPr>
        <w:t> </w:t>
      </w:r>
      <w:r>
        <w:rPr>
          <w:sz w:val="22"/>
        </w:rPr>
        <w:t>de</w:t>
      </w:r>
      <w:r>
        <w:rPr>
          <w:spacing w:val="-2"/>
          <w:sz w:val="22"/>
        </w:rPr>
        <w:t> </w:t>
      </w:r>
      <w:r>
        <w:rPr>
          <w:sz w:val="22"/>
        </w:rPr>
        <w:t>los</w:t>
      </w:r>
      <w:r>
        <w:rPr>
          <w:spacing w:val="-4"/>
          <w:sz w:val="22"/>
        </w:rPr>
        <w:t> </w:t>
      </w:r>
      <w:r>
        <w:rPr>
          <w:sz w:val="22"/>
        </w:rPr>
        <w:t>Procesos</w:t>
      </w:r>
      <w:r>
        <w:rPr>
          <w:spacing w:val="-3"/>
          <w:sz w:val="22"/>
        </w:rPr>
        <w:t> </w:t>
      </w:r>
      <w:r>
        <w:rPr>
          <w:sz w:val="22"/>
        </w:rPr>
        <w:t>12-AN-99, 25-AI-99,</w:t>
      </w:r>
      <w:r>
        <w:rPr>
          <w:spacing w:val="-2"/>
          <w:sz w:val="22"/>
        </w:rPr>
        <w:t> </w:t>
      </w:r>
      <w:r>
        <w:rPr>
          <w:sz w:val="22"/>
        </w:rPr>
        <w:t>01-AN-2014,</w:t>
      </w:r>
      <w:r>
        <w:rPr>
          <w:spacing w:val="-2"/>
          <w:sz w:val="22"/>
        </w:rPr>
        <w:t> </w:t>
      </w:r>
      <w:r>
        <w:rPr>
          <w:sz w:val="22"/>
        </w:rPr>
        <w:t>2-AI-97, 53-AI-99</w:t>
      </w:r>
      <w:r>
        <w:rPr>
          <w:spacing w:val="-1"/>
          <w:sz w:val="22"/>
        </w:rPr>
        <w:t> </w:t>
      </w:r>
      <w:r>
        <w:rPr>
          <w:sz w:val="22"/>
        </w:rPr>
        <w:t>y 118-AI-2003,</w:t>
      </w:r>
      <w:r>
        <w:rPr>
          <w:spacing w:val="-3"/>
          <w:sz w:val="22"/>
        </w:rPr>
        <w:t> </w:t>
      </w:r>
      <w:r>
        <w:rPr>
          <w:sz w:val="22"/>
        </w:rPr>
        <w:t>con</w:t>
      </w:r>
      <w:r>
        <w:rPr>
          <w:spacing w:val="-4"/>
          <w:sz w:val="22"/>
        </w:rPr>
        <w:t> </w:t>
      </w:r>
      <w:r>
        <w:rPr>
          <w:sz w:val="22"/>
        </w:rPr>
        <w:t>relación</w:t>
      </w:r>
      <w:r>
        <w:rPr>
          <w:spacing w:val="-2"/>
          <w:sz w:val="22"/>
        </w:rPr>
        <w:t> </w:t>
      </w:r>
      <w:r>
        <w:rPr>
          <w:sz w:val="22"/>
        </w:rPr>
        <w:t>al</w:t>
      </w:r>
      <w:r>
        <w:rPr>
          <w:spacing w:val="-2"/>
          <w:sz w:val="22"/>
        </w:rPr>
        <w:t> </w:t>
      </w:r>
      <w:r>
        <w:rPr>
          <w:sz w:val="22"/>
        </w:rPr>
        <w:t>alcance</w:t>
      </w:r>
      <w:r>
        <w:rPr>
          <w:spacing w:val="-4"/>
          <w:sz w:val="22"/>
        </w:rPr>
        <w:t> </w:t>
      </w:r>
      <w:r>
        <w:rPr>
          <w:sz w:val="22"/>
        </w:rPr>
        <w:t>de</w:t>
      </w:r>
      <w:r>
        <w:rPr>
          <w:spacing w:val="-4"/>
          <w:sz w:val="22"/>
        </w:rPr>
        <w:t> </w:t>
      </w:r>
      <w:r>
        <w:rPr>
          <w:sz w:val="22"/>
        </w:rPr>
        <w:t>los</w:t>
      </w:r>
      <w:r>
        <w:rPr>
          <w:spacing w:val="-4"/>
          <w:sz w:val="22"/>
        </w:rPr>
        <w:t> </w:t>
      </w:r>
      <w:r>
        <w:rPr>
          <w:sz w:val="22"/>
        </w:rPr>
        <w:t>términos gravamen</w:t>
      </w:r>
      <w:r>
        <w:rPr>
          <w:spacing w:val="-4"/>
          <w:sz w:val="22"/>
        </w:rPr>
        <w:t> </w:t>
      </w:r>
      <w:r>
        <w:rPr>
          <w:sz w:val="22"/>
        </w:rPr>
        <w:t>y</w:t>
      </w:r>
      <w:r>
        <w:rPr>
          <w:spacing w:val="-4"/>
          <w:sz w:val="22"/>
        </w:rPr>
        <w:t> </w:t>
      </w:r>
      <w:r>
        <w:rPr>
          <w:sz w:val="22"/>
        </w:rPr>
        <w:t>tasas,</w:t>
      </w:r>
      <w:r>
        <w:rPr>
          <w:spacing w:val="-3"/>
          <w:sz w:val="22"/>
        </w:rPr>
        <w:t> </w:t>
      </w:r>
      <w:r>
        <w:rPr>
          <w:sz w:val="22"/>
        </w:rPr>
        <w:t>la</w:t>
      </w:r>
      <w:r>
        <w:rPr>
          <w:spacing w:val="-4"/>
          <w:sz w:val="22"/>
        </w:rPr>
        <w:t> </w:t>
      </w:r>
      <w:r>
        <w:rPr>
          <w:sz w:val="22"/>
        </w:rPr>
        <w:t>exigencia</w:t>
      </w:r>
      <w:r>
        <w:rPr>
          <w:spacing w:val="-2"/>
          <w:sz w:val="22"/>
        </w:rPr>
        <w:t> </w:t>
      </w:r>
      <w:r>
        <w:rPr>
          <w:sz w:val="22"/>
        </w:rPr>
        <w:t>de proporcionalidad de la tasa con el</w:t>
      </w:r>
      <w:r>
        <w:rPr>
          <w:spacing w:val="-1"/>
          <w:sz w:val="22"/>
        </w:rPr>
        <w:t> </w:t>
      </w:r>
      <w:r>
        <w:rPr>
          <w:sz w:val="22"/>
        </w:rPr>
        <w:t>costo del servicio y el principio de no discriminación.</w:t>
      </w:r>
    </w:p>
    <w:p>
      <w:pPr>
        <w:pStyle w:val="BodyText"/>
        <w:spacing w:before="1"/>
      </w:pPr>
    </w:p>
    <w:p>
      <w:pPr>
        <w:pStyle w:val="Heading5"/>
        <w:numPr>
          <w:ilvl w:val="0"/>
          <w:numId w:val="49"/>
        </w:numPr>
        <w:tabs>
          <w:tab w:pos="850" w:val="left" w:leader="none"/>
        </w:tabs>
        <w:spacing w:line="240" w:lineRule="auto" w:before="0" w:after="0"/>
        <w:ind w:left="850" w:right="0" w:hanging="282"/>
        <w:jc w:val="left"/>
      </w:pPr>
      <w:r>
        <w:rPr/>
        <w:t>RESPUESTA</w:t>
      </w:r>
      <w:r>
        <w:rPr>
          <w:spacing w:val="-5"/>
        </w:rPr>
        <w:t> </w:t>
      </w:r>
      <w:r>
        <w:rPr/>
        <w:t>DE</w:t>
      </w:r>
      <w:r>
        <w:rPr>
          <w:spacing w:val="-5"/>
        </w:rPr>
        <w:t> </w:t>
      </w:r>
      <w:r>
        <w:rPr/>
        <w:t>LA</w:t>
      </w:r>
      <w:r>
        <w:rPr>
          <w:spacing w:val="-6"/>
        </w:rPr>
        <w:t> </w:t>
      </w:r>
      <w:r>
        <w:rPr/>
        <w:t>REPÚBLICA</w:t>
      </w:r>
      <w:r>
        <w:rPr>
          <w:spacing w:val="-5"/>
        </w:rPr>
        <w:t> </w:t>
      </w:r>
      <w:r>
        <w:rPr/>
        <w:t>DE</w:t>
      </w:r>
      <w:r>
        <w:rPr>
          <w:spacing w:val="-5"/>
        </w:rPr>
        <w:t> </w:t>
      </w:r>
      <w:r>
        <w:rPr>
          <w:spacing w:val="-2"/>
        </w:rPr>
        <w:t>COLOMBIA</w:t>
      </w:r>
    </w:p>
    <w:p>
      <w:pPr>
        <w:pStyle w:val="BodyText"/>
        <w:rPr>
          <w:rFonts w:ascii="Arial"/>
          <w:b/>
        </w:rPr>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La</w:t>
      </w:r>
      <w:r>
        <w:rPr>
          <w:spacing w:val="-12"/>
          <w:sz w:val="22"/>
        </w:rPr>
        <w:t> </w:t>
      </w:r>
      <w:r>
        <w:rPr>
          <w:sz w:val="22"/>
        </w:rPr>
        <w:t>República</w:t>
      </w:r>
      <w:r>
        <w:rPr>
          <w:spacing w:val="-11"/>
          <w:sz w:val="22"/>
        </w:rPr>
        <w:t> </w:t>
      </w:r>
      <w:r>
        <w:rPr>
          <w:sz w:val="22"/>
        </w:rPr>
        <w:t>de</w:t>
      </w:r>
      <w:r>
        <w:rPr>
          <w:spacing w:val="-12"/>
          <w:sz w:val="22"/>
        </w:rPr>
        <w:t> </w:t>
      </w:r>
      <w:r>
        <w:rPr>
          <w:sz w:val="22"/>
        </w:rPr>
        <w:t>Colombia,</w:t>
      </w:r>
      <w:r>
        <w:rPr>
          <w:spacing w:val="-9"/>
          <w:sz w:val="22"/>
        </w:rPr>
        <w:t> </w:t>
      </w:r>
      <w:r>
        <w:rPr>
          <w:sz w:val="22"/>
        </w:rPr>
        <w:t>mediante</w:t>
      </w:r>
      <w:r>
        <w:rPr>
          <w:spacing w:val="-11"/>
          <w:sz w:val="22"/>
        </w:rPr>
        <w:t> </w:t>
      </w:r>
      <w:r>
        <w:rPr>
          <w:sz w:val="22"/>
        </w:rPr>
        <w:t>Radicado</w:t>
      </w:r>
      <w:r>
        <w:rPr>
          <w:spacing w:val="-11"/>
          <w:sz w:val="22"/>
        </w:rPr>
        <w:t> </w:t>
      </w:r>
      <w:r>
        <w:rPr>
          <w:sz w:val="22"/>
        </w:rPr>
        <w:t>No.</w:t>
      </w:r>
      <w:r>
        <w:rPr>
          <w:spacing w:val="-10"/>
          <w:sz w:val="22"/>
        </w:rPr>
        <w:t> </w:t>
      </w:r>
      <w:r>
        <w:rPr>
          <w:sz w:val="22"/>
        </w:rPr>
        <w:t>2-2026-012084,</w:t>
      </w:r>
      <w:r>
        <w:rPr>
          <w:spacing w:val="-12"/>
          <w:sz w:val="22"/>
        </w:rPr>
        <w:t> </w:t>
      </w:r>
      <w:r>
        <w:rPr>
          <w:sz w:val="22"/>
        </w:rPr>
        <w:t>de</w:t>
      </w:r>
      <w:r>
        <w:rPr>
          <w:spacing w:val="-12"/>
          <w:sz w:val="22"/>
        </w:rPr>
        <w:t> </w:t>
      </w:r>
      <w:r>
        <w:rPr>
          <w:sz w:val="22"/>
        </w:rPr>
        <w:t>fecha</w:t>
      </w:r>
      <w:r>
        <w:rPr>
          <w:spacing w:val="-11"/>
          <w:sz w:val="22"/>
        </w:rPr>
        <w:t> </w:t>
      </w:r>
      <w:r>
        <w:rPr>
          <w:sz w:val="22"/>
        </w:rPr>
        <w:t>28</w:t>
      </w:r>
      <w:r>
        <w:rPr>
          <w:spacing w:val="-11"/>
          <w:sz w:val="22"/>
        </w:rPr>
        <w:t> </w:t>
      </w:r>
      <w:r>
        <w:rPr>
          <w:sz w:val="22"/>
        </w:rPr>
        <w:t>de</w:t>
      </w:r>
      <w:r>
        <w:rPr>
          <w:spacing w:val="-11"/>
          <w:sz w:val="22"/>
        </w:rPr>
        <w:t> </w:t>
      </w:r>
      <w:r>
        <w:rPr>
          <w:sz w:val="22"/>
        </w:rPr>
        <w:t>abril de 2026, presentó la “[c]</w:t>
      </w:r>
      <w:r>
        <w:rPr>
          <w:rFonts w:ascii="Arial" w:hAnsi="Arial"/>
          <w:i/>
          <w:sz w:val="22"/>
        </w:rPr>
        <w:t>ontestación a la solicitud de calificación como gravamen y restricción al comercio intracomunitario andino del Decreto 170 de 2026</w:t>
      </w:r>
      <w:r>
        <w:rPr>
          <w:sz w:val="22"/>
        </w:rPr>
        <w:t>”</w:t>
      </w:r>
      <w:hyperlink w:history="true" w:anchor="_bookmark80">
        <w:r>
          <w:rPr>
            <w:sz w:val="22"/>
            <w:vertAlign w:val="superscript"/>
          </w:rPr>
          <w:t>13</w:t>
        </w:r>
      </w:hyperlink>
      <w:r>
        <w:rPr>
          <w:sz w:val="22"/>
          <w:vertAlign w:val="baseline"/>
        </w:rPr>
        <w:t>. A su comunicación adjuntó nueve (9) anexos según el siguiente detalle:</w:t>
      </w:r>
    </w:p>
    <w:p>
      <w:pPr>
        <w:pStyle w:val="BodyText"/>
      </w:pPr>
    </w:p>
    <w:p>
      <w:pPr>
        <w:pStyle w:val="ListParagraph"/>
        <w:numPr>
          <w:ilvl w:val="0"/>
          <w:numId w:val="55"/>
        </w:numPr>
        <w:tabs>
          <w:tab w:pos="1355" w:val="left" w:leader="none"/>
        </w:tabs>
        <w:spacing w:line="240" w:lineRule="auto" w:before="0" w:after="0"/>
        <w:ind w:left="1355" w:right="0" w:hanging="360"/>
        <w:jc w:val="left"/>
        <w:rPr>
          <w:sz w:val="22"/>
        </w:rPr>
      </w:pPr>
      <w:r>
        <w:rPr>
          <w:sz w:val="22"/>
        </w:rPr>
        <w:t>2026</w:t>
      </w:r>
      <w:r>
        <w:rPr>
          <w:spacing w:val="-4"/>
          <w:sz w:val="22"/>
        </w:rPr>
        <w:t> </w:t>
      </w:r>
      <w:r>
        <w:rPr>
          <w:sz w:val="22"/>
        </w:rPr>
        <w:t>04</w:t>
      </w:r>
      <w:r>
        <w:rPr>
          <w:spacing w:val="-4"/>
          <w:sz w:val="22"/>
        </w:rPr>
        <w:t> </w:t>
      </w:r>
      <w:r>
        <w:rPr>
          <w:sz w:val="22"/>
        </w:rPr>
        <w:t>28</w:t>
      </w:r>
      <w:r>
        <w:rPr>
          <w:spacing w:val="-5"/>
          <w:sz w:val="22"/>
        </w:rPr>
        <w:t> </w:t>
      </w:r>
      <w:r>
        <w:rPr>
          <w:sz w:val="22"/>
        </w:rPr>
        <w:t>Contestación</w:t>
      </w:r>
      <w:r>
        <w:rPr>
          <w:spacing w:val="-6"/>
          <w:sz w:val="22"/>
        </w:rPr>
        <w:t> </w:t>
      </w:r>
      <w:r>
        <w:rPr>
          <w:sz w:val="22"/>
        </w:rPr>
        <w:t>Colombia</w:t>
      </w:r>
      <w:r>
        <w:rPr>
          <w:spacing w:val="-2"/>
          <w:sz w:val="22"/>
        </w:rPr>
        <w:t> </w:t>
      </w:r>
      <w:r>
        <w:rPr>
          <w:sz w:val="22"/>
        </w:rPr>
        <w:t>-</w:t>
      </w:r>
      <w:r>
        <w:rPr>
          <w:spacing w:val="-6"/>
          <w:sz w:val="22"/>
        </w:rPr>
        <w:t> </w:t>
      </w:r>
      <w:r>
        <w:rPr>
          <w:sz w:val="22"/>
        </w:rPr>
        <w:t>GRAV</w:t>
      </w:r>
      <w:r>
        <w:rPr>
          <w:spacing w:val="-4"/>
          <w:sz w:val="22"/>
        </w:rPr>
        <w:t> </w:t>
      </w:r>
      <w:r>
        <w:rPr>
          <w:sz w:val="22"/>
        </w:rPr>
        <w:t>-</w:t>
      </w:r>
      <w:r>
        <w:rPr>
          <w:spacing w:val="-5"/>
          <w:sz w:val="22"/>
        </w:rPr>
        <w:t> </w:t>
      </w:r>
      <w:r>
        <w:rPr>
          <w:sz w:val="22"/>
        </w:rPr>
        <w:t>REST</w:t>
      </w:r>
      <w:r>
        <w:rPr>
          <w:spacing w:val="-3"/>
          <w:sz w:val="22"/>
        </w:rPr>
        <w:t> </w:t>
      </w:r>
      <w:r>
        <w:rPr>
          <w:spacing w:val="-4"/>
          <w:sz w:val="22"/>
        </w:rPr>
        <w:t>002.</w:t>
      </w:r>
    </w:p>
    <w:p>
      <w:pPr>
        <w:pStyle w:val="ListParagraph"/>
        <w:numPr>
          <w:ilvl w:val="0"/>
          <w:numId w:val="55"/>
        </w:numPr>
        <w:tabs>
          <w:tab w:pos="1355" w:val="left" w:leader="none"/>
        </w:tabs>
        <w:spacing w:line="252" w:lineRule="exact" w:before="2" w:after="0"/>
        <w:ind w:left="1355" w:right="0" w:hanging="360"/>
        <w:jc w:val="left"/>
        <w:rPr>
          <w:sz w:val="22"/>
        </w:rPr>
      </w:pPr>
      <w:r>
        <w:rPr>
          <w:sz w:val="22"/>
        </w:rPr>
        <w:t>Anexo</w:t>
      </w:r>
      <w:r>
        <w:rPr>
          <w:spacing w:val="-4"/>
          <w:sz w:val="22"/>
        </w:rPr>
        <w:t> </w:t>
      </w:r>
      <w:r>
        <w:rPr>
          <w:sz w:val="22"/>
        </w:rPr>
        <w:t>1</w:t>
      </w:r>
      <w:r>
        <w:rPr>
          <w:spacing w:val="-3"/>
          <w:sz w:val="22"/>
        </w:rPr>
        <w:t> </w:t>
      </w:r>
      <w:r>
        <w:rPr>
          <w:sz w:val="22"/>
        </w:rPr>
        <w:t>-</w:t>
      </w:r>
      <w:r>
        <w:rPr>
          <w:spacing w:val="-2"/>
          <w:sz w:val="22"/>
        </w:rPr>
        <w:t> </w:t>
      </w:r>
      <w:r>
        <w:rPr>
          <w:sz w:val="22"/>
        </w:rPr>
        <w:t>Estudio</w:t>
      </w:r>
      <w:r>
        <w:rPr>
          <w:spacing w:val="-4"/>
          <w:sz w:val="22"/>
        </w:rPr>
        <w:t> MHCP.</w:t>
      </w:r>
    </w:p>
    <w:p>
      <w:pPr>
        <w:pStyle w:val="ListParagraph"/>
        <w:numPr>
          <w:ilvl w:val="0"/>
          <w:numId w:val="55"/>
        </w:numPr>
        <w:tabs>
          <w:tab w:pos="1355" w:val="left" w:leader="none"/>
        </w:tabs>
        <w:spacing w:line="252" w:lineRule="exact" w:before="0" w:after="0"/>
        <w:ind w:left="1355" w:right="0" w:hanging="360"/>
        <w:jc w:val="left"/>
        <w:rPr>
          <w:sz w:val="22"/>
        </w:rPr>
      </w:pPr>
      <w:r>
        <w:rPr>
          <w:sz w:val="22"/>
        </w:rPr>
        <w:t>Anexo</w:t>
      </w:r>
      <w:r>
        <w:rPr>
          <w:spacing w:val="-3"/>
          <w:sz w:val="22"/>
        </w:rPr>
        <w:t> </w:t>
      </w:r>
      <w:r>
        <w:rPr>
          <w:sz w:val="22"/>
        </w:rPr>
        <w:t>2</w:t>
      </w:r>
      <w:r>
        <w:rPr>
          <w:spacing w:val="-4"/>
          <w:sz w:val="22"/>
        </w:rPr>
        <w:t> </w:t>
      </w:r>
      <w:r>
        <w:rPr>
          <w:sz w:val="22"/>
        </w:rPr>
        <w:t>-</w:t>
      </w:r>
      <w:r>
        <w:rPr>
          <w:spacing w:val="-1"/>
          <w:sz w:val="22"/>
        </w:rPr>
        <w:t> </w:t>
      </w:r>
      <w:r>
        <w:rPr>
          <w:sz w:val="22"/>
        </w:rPr>
        <w:t>Canasta</w:t>
      </w:r>
      <w:r>
        <w:rPr>
          <w:spacing w:val="-2"/>
          <w:sz w:val="22"/>
        </w:rPr>
        <w:t> </w:t>
      </w:r>
      <w:r>
        <w:rPr>
          <w:spacing w:val="-5"/>
          <w:sz w:val="22"/>
        </w:rPr>
        <w:t>Co.</w:t>
      </w:r>
    </w:p>
    <w:p>
      <w:pPr>
        <w:pStyle w:val="ListParagraph"/>
        <w:numPr>
          <w:ilvl w:val="0"/>
          <w:numId w:val="55"/>
        </w:numPr>
        <w:tabs>
          <w:tab w:pos="1355" w:val="left" w:leader="none"/>
        </w:tabs>
        <w:spacing w:line="252" w:lineRule="exact" w:before="0" w:after="0"/>
        <w:ind w:left="1355" w:right="0" w:hanging="360"/>
        <w:jc w:val="left"/>
        <w:rPr>
          <w:sz w:val="22"/>
        </w:rPr>
      </w:pPr>
      <w:r>
        <w:rPr>
          <w:sz w:val="22"/>
        </w:rPr>
        <w:t>Anexo</w:t>
      </w:r>
      <w:r>
        <w:rPr>
          <w:spacing w:val="-8"/>
          <w:sz w:val="22"/>
        </w:rPr>
        <w:t> </w:t>
      </w:r>
      <w:r>
        <w:rPr>
          <w:sz w:val="22"/>
        </w:rPr>
        <w:t>3</w:t>
      </w:r>
      <w:r>
        <w:rPr>
          <w:spacing w:val="-5"/>
          <w:sz w:val="22"/>
        </w:rPr>
        <w:t> </w:t>
      </w:r>
      <w:r>
        <w:rPr>
          <w:sz w:val="22"/>
        </w:rPr>
        <w:t>Arroz</w:t>
      </w:r>
      <w:r>
        <w:rPr>
          <w:spacing w:val="-7"/>
          <w:sz w:val="22"/>
        </w:rPr>
        <w:t> </w:t>
      </w:r>
      <w:r>
        <w:rPr>
          <w:sz w:val="22"/>
        </w:rPr>
        <w:t>Soberanía</w:t>
      </w:r>
      <w:r>
        <w:rPr>
          <w:spacing w:val="-5"/>
          <w:sz w:val="22"/>
        </w:rPr>
        <w:t> </w:t>
      </w:r>
      <w:r>
        <w:rPr>
          <w:sz w:val="22"/>
        </w:rPr>
        <w:t>Alimentaria</w:t>
      </w:r>
      <w:r>
        <w:rPr>
          <w:spacing w:val="-9"/>
          <w:sz w:val="22"/>
        </w:rPr>
        <w:t> </w:t>
      </w:r>
      <w:r>
        <w:rPr>
          <w:sz w:val="22"/>
        </w:rPr>
        <w:t>y</w:t>
      </w:r>
      <w:r>
        <w:rPr>
          <w:spacing w:val="-4"/>
          <w:sz w:val="22"/>
        </w:rPr>
        <w:t> </w:t>
      </w:r>
      <w:r>
        <w:rPr>
          <w:sz w:val="22"/>
        </w:rPr>
        <w:t>Aprehensiones</w:t>
      </w:r>
      <w:r>
        <w:rPr>
          <w:spacing w:val="-6"/>
          <w:sz w:val="22"/>
        </w:rPr>
        <w:t> </w:t>
      </w:r>
      <w:r>
        <w:rPr>
          <w:sz w:val="22"/>
        </w:rPr>
        <w:t>de</w:t>
      </w:r>
      <w:r>
        <w:rPr>
          <w:spacing w:val="-5"/>
          <w:sz w:val="22"/>
        </w:rPr>
        <w:t> </w:t>
      </w:r>
      <w:r>
        <w:rPr>
          <w:sz w:val="22"/>
        </w:rPr>
        <w:t>arroz</w:t>
      </w:r>
      <w:r>
        <w:rPr>
          <w:spacing w:val="-7"/>
          <w:sz w:val="22"/>
        </w:rPr>
        <w:t> </w:t>
      </w:r>
      <w:r>
        <w:rPr>
          <w:sz w:val="22"/>
        </w:rPr>
        <w:t>2024–</w:t>
      </w:r>
      <w:r>
        <w:rPr>
          <w:spacing w:val="-2"/>
          <w:sz w:val="22"/>
        </w:rPr>
        <w:t>2025.</w:t>
      </w:r>
    </w:p>
    <w:p>
      <w:pPr>
        <w:pStyle w:val="ListParagraph"/>
        <w:numPr>
          <w:ilvl w:val="0"/>
          <w:numId w:val="55"/>
        </w:numPr>
        <w:tabs>
          <w:tab w:pos="1355" w:val="left" w:leader="none"/>
        </w:tabs>
        <w:spacing w:line="240" w:lineRule="auto" w:before="1" w:after="0"/>
        <w:ind w:left="1355" w:right="0" w:hanging="360"/>
        <w:jc w:val="left"/>
        <w:rPr>
          <w:sz w:val="22"/>
        </w:rPr>
      </w:pPr>
      <w:r>
        <w:rPr>
          <w:sz w:val="22"/>
        </w:rPr>
        <w:t>Anexo</w:t>
      </w:r>
      <w:r>
        <w:rPr>
          <w:spacing w:val="-5"/>
          <w:sz w:val="22"/>
        </w:rPr>
        <w:t> </w:t>
      </w:r>
      <w:r>
        <w:rPr>
          <w:sz w:val="22"/>
        </w:rPr>
        <w:t>4</w:t>
      </w:r>
      <w:r>
        <w:rPr>
          <w:spacing w:val="-5"/>
          <w:sz w:val="22"/>
        </w:rPr>
        <w:t> </w:t>
      </w:r>
      <w:r>
        <w:rPr>
          <w:sz w:val="22"/>
        </w:rPr>
        <w:t>-</w:t>
      </w:r>
      <w:r>
        <w:rPr>
          <w:spacing w:val="-2"/>
          <w:sz w:val="22"/>
        </w:rPr>
        <w:t> </w:t>
      </w:r>
      <w:r>
        <w:rPr>
          <w:sz w:val="22"/>
        </w:rPr>
        <w:t>Aprehensiones</w:t>
      </w:r>
      <w:r>
        <w:rPr>
          <w:spacing w:val="-4"/>
          <w:sz w:val="22"/>
        </w:rPr>
        <w:t> </w:t>
      </w:r>
      <w:r>
        <w:rPr>
          <w:sz w:val="22"/>
        </w:rPr>
        <w:t>Productos</w:t>
      </w:r>
      <w:r>
        <w:rPr>
          <w:spacing w:val="-4"/>
          <w:sz w:val="22"/>
        </w:rPr>
        <w:t> Ecu.</w:t>
      </w:r>
    </w:p>
    <w:p>
      <w:pPr>
        <w:pStyle w:val="BodyText"/>
        <w:spacing w:before="100"/>
        <w:rPr>
          <w:sz w:val="20"/>
        </w:rPr>
      </w:pPr>
      <w:r>
        <w:rPr>
          <w:sz w:val="20"/>
        </w:rPr>
        <mc:AlternateContent>
          <mc:Choice Requires="wps">
            <w:drawing>
              <wp:anchor distT="0" distB="0" distL="0" distR="0" allowOverlap="1" layoutInCell="1" locked="0" behindDoc="1" simplePos="0" relativeHeight="487631360">
                <wp:simplePos x="0" y="0"/>
                <wp:positionH relativeFrom="page">
                  <wp:posOffset>990904</wp:posOffset>
                </wp:positionH>
                <wp:positionV relativeFrom="paragraph">
                  <wp:posOffset>225404</wp:posOffset>
                </wp:positionV>
                <wp:extent cx="1829435" cy="7620"/>
                <wp:effectExtent l="0" t="0" r="0" b="0"/>
                <wp:wrapTopAndBottom/>
                <wp:docPr id="408" name="Graphic 408"/>
                <wp:cNvGraphicFramePr>
                  <a:graphicFrameLocks/>
                </wp:cNvGraphicFramePr>
                <a:graphic>
                  <a:graphicData uri="http://schemas.microsoft.com/office/word/2010/wordprocessingShape">
                    <wps:wsp>
                      <wps:cNvPr id="408" name="Graphic 408"/>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7.748356pt;width:144.020pt;height:.599980pt;mso-position-horizontal-relative:page;mso-position-vertical-relative:paragraph;z-index:-15685120;mso-wrap-distance-left:0;mso-wrap-distance-right:0" id="docshape290" filled="true" fillcolor="#000000" stroked="false">
                <v:fill type="solid"/>
                <w10:wrap type="topAndBottom"/>
              </v:rect>
            </w:pict>
          </mc:Fallback>
        </mc:AlternateContent>
      </w:r>
    </w:p>
    <w:p>
      <w:pPr>
        <w:spacing w:before="92"/>
        <w:ind w:left="568" w:right="0" w:firstLine="0"/>
        <w:jc w:val="left"/>
        <w:rPr>
          <w:sz w:val="16"/>
        </w:rPr>
      </w:pPr>
      <w:bookmarkStart w:name="_bookmark77" w:id="78"/>
      <w:bookmarkEnd w:id="78"/>
      <w:r>
        <w:rPr/>
      </w:r>
      <w:r>
        <w:rPr>
          <w:sz w:val="16"/>
          <w:vertAlign w:val="superscript"/>
        </w:rPr>
        <w:t>10</w:t>
      </w:r>
      <w:r>
        <w:rPr>
          <w:spacing w:val="72"/>
          <w:sz w:val="16"/>
          <w:vertAlign w:val="baseline"/>
        </w:rPr>
        <w:t> </w:t>
      </w:r>
      <w:r>
        <w:rPr>
          <w:sz w:val="16"/>
          <w:vertAlign w:val="baseline"/>
        </w:rPr>
        <w:t>Expediente</w:t>
      </w:r>
      <w:r>
        <w:rPr>
          <w:spacing w:val="-5"/>
          <w:sz w:val="16"/>
          <w:vertAlign w:val="baseline"/>
        </w:rPr>
        <w:t> </w:t>
      </w:r>
      <w:r>
        <w:rPr>
          <w:sz w:val="16"/>
          <w:vertAlign w:val="baseline"/>
        </w:rPr>
        <w:t>DGCOM/GRAV-REST/002/2026,</w:t>
      </w:r>
      <w:r>
        <w:rPr>
          <w:spacing w:val="-6"/>
          <w:sz w:val="16"/>
          <w:vertAlign w:val="baseline"/>
        </w:rPr>
        <w:t> </w:t>
      </w:r>
      <w:r>
        <w:rPr>
          <w:sz w:val="16"/>
          <w:vertAlign w:val="baseline"/>
        </w:rPr>
        <w:t>folio</w:t>
      </w:r>
      <w:r>
        <w:rPr>
          <w:spacing w:val="-5"/>
          <w:sz w:val="16"/>
          <w:vertAlign w:val="baseline"/>
        </w:rPr>
        <w:t> </w:t>
      </w:r>
      <w:r>
        <w:rPr>
          <w:spacing w:val="-2"/>
          <w:sz w:val="16"/>
          <w:vertAlign w:val="baseline"/>
        </w:rPr>
        <w:t>000520.</w:t>
      </w:r>
    </w:p>
    <w:p>
      <w:pPr>
        <w:spacing w:line="183" w:lineRule="exact" w:before="1"/>
        <w:ind w:left="568" w:right="0" w:firstLine="0"/>
        <w:jc w:val="left"/>
        <w:rPr>
          <w:rFonts w:ascii="Arial"/>
          <w:i/>
          <w:sz w:val="16"/>
        </w:rPr>
      </w:pPr>
      <w:bookmarkStart w:name="_bookmark78" w:id="79"/>
      <w:bookmarkEnd w:id="79"/>
      <w:r>
        <w:rPr/>
      </w:r>
      <w:r>
        <w:rPr>
          <w:sz w:val="16"/>
          <w:vertAlign w:val="superscript"/>
        </w:rPr>
        <w:t>11</w:t>
      </w:r>
      <w:r>
        <w:rPr>
          <w:spacing w:val="70"/>
          <w:sz w:val="16"/>
          <w:vertAlign w:val="baseline"/>
        </w:rPr>
        <w:t> </w:t>
      </w:r>
      <w:r>
        <w:rPr>
          <w:sz w:val="16"/>
          <w:vertAlign w:val="baseline"/>
        </w:rPr>
        <w:t>Expediente</w:t>
      </w:r>
      <w:r>
        <w:rPr>
          <w:spacing w:val="-5"/>
          <w:sz w:val="16"/>
          <w:vertAlign w:val="baseline"/>
        </w:rPr>
        <w:t> </w:t>
      </w:r>
      <w:r>
        <w:rPr>
          <w:sz w:val="16"/>
          <w:vertAlign w:val="baseline"/>
        </w:rPr>
        <w:t>DGCOM/GRAV-REST/002/2026,</w:t>
      </w:r>
      <w:r>
        <w:rPr>
          <w:spacing w:val="-6"/>
          <w:sz w:val="16"/>
          <w:vertAlign w:val="baseline"/>
        </w:rPr>
        <w:t> </w:t>
      </w:r>
      <w:r>
        <w:rPr>
          <w:rFonts w:ascii="Arial"/>
          <w:i/>
          <w:spacing w:val="-2"/>
          <w:sz w:val="16"/>
          <w:vertAlign w:val="baseline"/>
        </w:rPr>
        <w:t>Ibidem</w:t>
      </w:r>
    </w:p>
    <w:p>
      <w:pPr>
        <w:spacing w:line="183" w:lineRule="exact" w:before="0"/>
        <w:ind w:left="568" w:right="0" w:firstLine="0"/>
        <w:jc w:val="left"/>
        <w:rPr>
          <w:sz w:val="16"/>
        </w:rPr>
      </w:pPr>
      <w:bookmarkStart w:name="_bookmark79" w:id="80"/>
      <w:bookmarkEnd w:id="80"/>
      <w:r>
        <w:rPr/>
      </w:r>
      <w:r>
        <w:rPr>
          <w:sz w:val="16"/>
          <w:vertAlign w:val="superscript"/>
        </w:rPr>
        <w:t>12</w:t>
      </w:r>
      <w:r>
        <w:rPr>
          <w:spacing w:val="72"/>
          <w:sz w:val="16"/>
          <w:vertAlign w:val="baseline"/>
        </w:rPr>
        <w:t> </w:t>
      </w:r>
      <w:r>
        <w:rPr>
          <w:sz w:val="16"/>
          <w:vertAlign w:val="baseline"/>
        </w:rPr>
        <w:t>Expediente</w:t>
      </w:r>
      <w:r>
        <w:rPr>
          <w:spacing w:val="-5"/>
          <w:sz w:val="16"/>
          <w:vertAlign w:val="baseline"/>
        </w:rPr>
        <w:t> </w:t>
      </w:r>
      <w:r>
        <w:rPr>
          <w:sz w:val="16"/>
          <w:vertAlign w:val="baseline"/>
        </w:rPr>
        <w:t>DGCOM/GRAV-REST/002/2026,</w:t>
      </w:r>
      <w:r>
        <w:rPr>
          <w:spacing w:val="-6"/>
          <w:sz w:val="16"/>
          <w:vertAlign w:val="baseline"/>
        </w:rPr>
        <w:t> </w:t>
      </w:r>
      <w:r>
        <w:rPr>
          <w:sz w:val="16"/>
          <w:vertAlign w:val="baseline"/>
        </w:rPr>
        <w:t>folio</w:t>
      </w:r>
      <w:r>
        <w:rPr>
          <w:spacing w:val="-5"/>
          <w:sz w:val="16"/>
          <w:vertAlign w:val="baseline"/>
        </w:rPr>
        <w:t> </w:t>
      </w:r>
      <w:r>
        <w:rPr>
          <w:spacing w:val="-2"/>
          <w:sz w:val="16"/>
          <w:vertAlign w:val="baseline"/>
        </w:rPr>
        <w:t>000530.</w:t>
      </w:r>
    </w:p>
    <w:p>
      <w:pPr>
        <w:spacing w:before="1"/>
        <w:ind w:left="568" w:right="0" w:firstLine="0"/>
        <w:jc w:val="left"/>
        <w:rPr>
          <w:sz w:val="16"/>
        </w:rPr>
      </w:pPr>
      <w:bookmarkStart w:name="_bookmark80" w:id="81"/>
      <w:bookmarkEnd w:id="81"/>
      <w:r>
        <w:rPr/>
      </w:r>
      <w:r>
        <w:rPr>
          <w:sz w:val="16"/>
          <w:vertAlign w:val="superscript"/>
        </w:rPr>
        <w:t>13</w:t>
      </w:r>
      <w:r>
        <w:rPr>
          <w:spacing w:val="32"/>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5"/>
          <w:sz w:val="16"/>
          <w:vertAlign w:val="baseline"/>
        </w:rPr>
        <w:t> </w:t>
      </w:r>
      <w:r>
        <w:rPr>
          <w:sz w:val="16"/>
          <w:vertAlign w:val="baseline"/>
        </w:rPr>
        <w:t>folio</w:t>
      </w:r>
      <w:r>
        <w:rPr>
          <w:spacing w:val="-8"/>
          <w:sz w:val="16"/>
          <w:vertAlign w:val="baseline"/>
        </w:rPr>
        <w:t> </w:t>
      </w:r>
      <w:r>
        <w:rPr>
          <w:spacing w:val="-2"/>
          <w:sz w:val="16"/>
          <w:vertAlign w:val="baseline"/>
        </w:rPr>
        <w:t>000343.</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09" name="Group 409"/>
                <wp:cNvGraphicFramePr>
                  <a:graphicFrameLocks/>
                </wp:cNvGraphicFramePr>
                <a:graphic>
                  <a:graphicData uri="http://schemas.microsoft.com/office/word/2010/wordprocessingGroup">
                    <wpg:wgp>
                      <wpg:cNvPr id="409" name="Group 409"/>
                      <wpg:cNvGrpSpPr/>
                      <wpg:grpSpPr>
                        <a:xfrm>
                          <a:off x="0" y="0"/>
                          <a:ext cx="6131560" cy="9525"/>
                          <a:chExt cx="6131560" cy="9525"/>
                        </a:xfrm>
                      </wpg:grpSpPr>
                      <wps:wsp>
                        <wps:cNvPr id="410" name="Graphic 410"/>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91"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spacing w:before="176"/>
      </w:pPr>
    </w:p>
    <w:p>
      <w:pPr>
        <w:pStyle w:val="ListParagraph"/>
        <w:numPr>
          <w:ilvl w:val="0"/>
          <w:numId w:val="55"/>
        </w:numPr>
        <w:tabs>
          <w:tab w:pos="1355" w:val="left" w:leader="none"/>
        </w:tabs>
        <w:spacing w:line="240" w:lineRule="auto" w:before="0" w:after="0"/>
        <w:ind w:left="1355" w:right="0" w:hanging="360"/>
        <w:jc w:val="left"/>
        <w:rPr>
          <w:sz w:val="22"/>
        </w:rPr>
      </w:pPr>
      <w:r>
        <w:rPr>
          <w:sz w:val="22"/>
        </w:rPr>
        <w:t>Anexo</w:t>
      </w:r>
      <w:r>
        <w:rPr>
          <w:spacing w:val="-6"/>
          <w:sz w:val="22"/>
        </w:rPr>
        <w:t> </w:t>
      </w:r>
      <w:r>
        <w:rPr>
          <w:sz w:val="22"/>
        </w:rPr>
        <w:t>5</w:t>
      </w:r>
      <w:r>
        <w:rPr>
          <w:spacing w:val="-6"/>
          <w:sz w:val="22"/>
        </w:rPr>
        <w:t> </w:t>
      </w:r>
      <w:r>
        <w:rPr>
          <w:sz w:val="22"/>
        </w:rPr>
        <w:t>-</w:t>
      </w:r>
      <w:r>
        <w:rPr>
          <w:spacing w:val="-4"/>
          <w:sz w:val="22"/>
        </w:rPr>
        <w:t> </w:t>
      </w:r>
      <w:r>
        <w:rPr>
          <w:sz w:val="22"/>
        </w:rPr>
        <w:t>Notificaciones</w:t>
      </w:r>
      <w:r>
        <w:rPr>
          <w:spacing w:val="-7"/>
          <w:sz w:val="22"/>
        </w:rPr>
        <w:t> </w:t>
      </w:r>
      <w:r>
        <w:rPr>
          <w:sz w:val="22"/>
        </w:rPr>
        <w:t>y</w:t>
      </w:r>
      <w:r>
        <w:rPr>
          <w:spacing w:val="-4"/>
          <w:sz w:val="22"/>
        </w:rPr>
        <w:t> </w:t>
      </w:r>
      <w:r>
        <w:rPr>
          <w:sz w:val="22"/>
        </w:rPr>
        <w:t>fundamentos</w:t>
      </w:r>
      <w:r>
        <w:rPr>
          <w:spacing w:val="-7"/>
          <w:sz w:val="22"/>
        </w:rPr>
        <w:t> </w:t>
      </w:r>
      <w:r>
        <w:rPr>
          <w:sz w:val="22"/>
        </w:rPr>
        <w:t>técnicos</w:t>
      </w:r>
      <w:r>
        <w:rPr>
          <w:spacing w:val="-7"/>
          <w:sz w:val="22"/>
        </w:rPr>
        <w:t> </w:t>
      </w:r>
      <w:r>
        <w:rPr>
          <w:spacing w:val="-4"/>
          <w:sz w:val="22"/>
        </w:rPr>
        <w:t>MSF.</w:t>
      </w:r>
    </w:p>
    <w:p>
      <w:pPr>
        <w:pStyle w:val="ListParagraph"/>
        <w:numPr>
          <w:ilvl w:val="0"/>
          <w:numId w:val="55"/>
        </w:numPr>
        <w:tabs>
          <w:tab w:pos="1355" w:val="left" w:leader="none"/>
        </w:tabs>
        <w:spacing w:line="252" w:lineRule="exact" w:before="2" w:after="0"/>
        <w:ind w:left="1355" w:right="0" w:hanging="360"/>
        <w:jc w:val="left"/>
        <w:rPr>
          <w:sz w:val="22"/>
        </w:rPr>
      </w:pPr>
      <w:r>
        <w:rPr>
          <w:sz w:val="22"/>
        </w:rPr>
        <w:t>Anexo</w:t>
      </w:r>
      <w:r>
        <w:rPr>
          <w:spacing w:val="-2"/>
          <w:sz w:val="22"/>
        </w:rPr>
        <w:t> </w:t>
      </w:r>
      <w:r>
        <w:rPr>
          <w:sz w:val="22"/>
        </w:rPr>
        <w:t>6</w:t>
      </w:r>
      <w:r>
        <w:rPr>
          <w:spacing w:val="-3"/>
          <w:sz w:val="22"/>
        </w:rPr>
        <w:t> </w:t>
      </w:r>
      <w:r>
        <w:rPr>
          <w:sz w:val="22"/>
        </w:rPr>
        <w:t>- FOC</w:t>
      </w:r>
      <w:r>
        <w:rPr>
          <w:spacing w:val="-2"/>
          <w:sz w:val="22"/>
        </w:rPr>
        <w:t> </w:t>
      </w:r>
      <w:r>
        <w:rPr>
          <w:sz w:val="22"/>
        </w:rPr>
        <w:t>R4T</w:t>
      </w:r>
      <w:r>
        <w:rPr>
          <w:spacing w:val="-4"/>
          <w:sz w:val="22"/>
        </w:rPr>
        <w:t> </w:t>
      </w:r>
      <w:r>
        <w:rPr>
          <w:spacing w:val="-2"/>
          <w:sz w:val="22"/>
        </w:rPr>
        <w:t>Ecuador.</w:t>
      </w:r>
    </w:p>
    <w:p>
      <w:pPr>
        <w:pStyle w:val="ListParagraph"/>
        <w:numPr>
          <w:ilvl w:val="0"/>
          <w:numId w:val="55"/>
        </w:numPr>
        <w:tabs>
          <w:tab w:pos="1355" w:val="left" w:leader="none"/>
        </w:tabs>
        <w:spacing w:line="252" w:lineRule="exact" w:before="0" w:after="0"/>
        <w:ind w:left="1355" w:right="0" w:hanging="360"/>
        <w:jc w:val="left"/>
        <w:rPr>
          <w:sz w:val="22"/>
        </w:rPr>
      </w:pPr>
      <w:r>
        <w:rPr>
          <w:sz w:val="22"/>
        </w:rPr>
        <w:t>Anexo</w:t>
      </w:r>
      <w:r>
        <w:rPr>
          <w:spacing w:val="-4"/>
          <w:sz w:val="22"/>
        </w:rPr>
        <w:t> </w:t>
      </w:r>
      <w:r>
        <w:rPr>
          <w:sz w:val="22"/>
        </w:rPr>
        <w:t>7</w:t>
      </w:r>
      <w:r>
        <w:rPr>
          <w:spacing w:val="-2"/>
          <w:sz w:val="22"/>
        </w:rPr>
        <w:t> </w:t>
      </w:r>
      <w:r>
        <w:rPr>
          <w:sz w:val="22"/>
        </w:rPr>
        <w:t>-</w:t>
      </w:r>
      <w:r>
        <w:rPr>
          <w:spacing w:val="-3"/>
          <w:sz w:val="22"/>
        </w:rPr>
        <w:t> </w:t>
      </w:r>
      <w:r>
        <w:rPr>
          <w:sz w:val="22"/>
        </w:rPr>
        <w:t>ICA</w:t>
      </w:r>
      <w:r>
        <w:rPr>
          <w:spacing w:val="-1"/>
          <w:sz w:val="22"/>
        </w:rPr>
        <w:t> </w:t>
      </w:r>
      <w:r>
        <w:rPr>
          <w:spacing w:val="-4"/>
          <w:sz w:val="22"/>
        </w:rPr>
        <w:t>VHS.</w:t>
      </w:r>
    </w:p>
    <w:p>
      <w:pPr>
        <w:pStyle w:val="ListParagraph"/>
        <w:numPr>
          <w:ilvl w:val="0"/>
          <w:numId w:val="55"/>
        </w:numPr>
        <w:tabs>
          <w:tab w:pos="1355" w:val="left" w:leader="none"/>
        </w:tabs>
        <w:spacing w:line="252" w:lineRule="exact" w:before="0" w:after="0"/>
        <w:ind w:left="1355" w:right="0" w:hanging="360"/>
        <w:jc w:val="left"/>
        <w:rPr>
          <w:sz w:val="22"/>
        </w:rPr>
      </w:pPr>
      <w:r>
        <w:rPr>
          <w:sz w:val="22"/>
        </w:rPr>
        <w:t>Anexo</w:t>
      </w:r>
      <w:r>
        <w:rPr>
          <w:spacing w:val="-4"/>
          <w:sz w:val="22"/>
        </w:rPr>
        <w:t> </w:t>
      </w:r>
      <w:r>
        <w:rPr>
          <w:sz w:val="22"/>
        </w:rPr>
        <w:t>8</w:t>
      </w:r>
      <w:r>
        <w:rPr>
          <w:spacing w:val="-5"/>
          <w:sz w:val="22"/>
        </w:rPr>
        <w:t> </w:t>
      </w:r>
      <w:r>
        <w:rPr>
          <w:sz w:val="22"/>
        </w:rPr>
        <w:t>-</w:t>
      </w:r>
      <w:r>
        <w:rPr>
          <w:spacing w:val="-2"/>
          <w:sz w:val="22"/>
        </w:rPr>
        <w:t> </w:t>
      </w:r>
      <w:r>
        <w:rPr>
          <w:sz w:val="22"/>
        </w:rPr>
        <w:t>RESOLUCION</w:t>
      </w:r>
      <w:r>
        <w:rPr>
          <w:spacing w:val="-4"/>
          <w:sz w:val="22"/>
        </w:rPr>
        <w:t> </w:t>
      </w:r>
      <w:r>
        <w:rPr>
          <w:sz w:val="22"/>
        </w:rPr>
        <w:t>ICA</w:t>
      </w:r>
      <w:r>
        <w:rPr>
          <w:spacing w:val="-3"/>
          <w:sz w:val="22"/>
        </w:rPr>
        <w:t> </w:t>
      </w:r>
      <w:r>
        <w:rPr>
          <w:spacing w:val="-2"/>
          <w:sz w:val="22"/>
        </w:rPr>
        <w:t>2024.</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rFonts w:ascii="Arial" w:hAnsi="Arial"/>
          <w:i/>
          <w:sz w:val="22"/>
        </w:rPr>
      </w:pPr>
      <w:r>
        <w:rPr>
          <w:sz w:val="22"/>
        </w:rPr>
        <w:t>La República de Colombia manifiesta que “</w:t>
      </w:r>
      <w:r>
        <w:rPr>
          <w:rFonts w:ascii="Arial" w:hAnsi="Arial"/>
          <w:i/>
          <w:sz w:val="22"/>
        </w:rPr>
        <w:t>el Decreto 0170 de 2026 cumple con los requisitos exigidos por el artículo 73 del AC y, en consecuencia, no constituye un gravamen o una restricción teniendo lo siguiente:</w:t>
      </w:r>
    </w:p>
    <w:p>
      <w:pPr>
        <w:pStyle w:val="BodyText"/>
        <w:spacing w:before="1"/>
        <w:rPr>
          <w:rFonts w:ascii="Arial"/>
          <w:i/>
        </w:rPr>
      </w:pPr>
    </w:p>
    <w:p>
      <w:pPr>
        <w:pStyle w:val="ListParagraph"/>
        <w:numPr>
          <w:ilvl w:val="0"/>
          <w:numId w:val="56"/>
        </w:numPr>
        <w:tabs>
          <w:tab w:pos="1562" w:val="left" w:leader="none"/>
        </w:tabs>
        <w:spacing w:line="240" w:lineRule="auto" w:before="0" w:after="0"/>
        <w:ind w:left="1562" w:right="981" w:hanging="384"/>
        <w:jc w:val="both"/>
        <w:rPr>
          <w:rFonts w:ascii="Arial" w:hAnsi="Arial"/>
          <w:i/>
          <w:sz w:val="22"/>
        </w:rPr>
      </w:pPr>
      <w:r>
        <w:rPr>
          <w:rFonts w:ascii="Arial" w:hAnsi="Arial"/>
          <w:i/>
          <w:sz w:val="22"/>
        </w:rPr>
        <w:t>Primero, el</w:t>
      </w:r>
      <w:r>
        <w:rPr>
          <w:rFonts w:ascii="Arial" w:hAnsi="Arial"/>
          <w:i/>
          <w:spacing w:val="-1"/>
          <w:sz w:val="22"/>
        </w:rPr>
        <w:t> </w:t>
      </w:r>
      <w:r>
        <w:rPr>
          <w:rFonts w:ascii="Arial" w:hAnsi="Arial"/>
          <w:i/>
          <w:sz w:val="22"/>
        </w:rPr>
        <w:t>Decreto</w:t>
      </w:r>
      <w:r>
        <w:rPr>
          <w:rFonts w:ascii="Arial" w:hAnsi="Arial"/>
          <w:i/>
          <w:spacing w:val="-1"/>
          <w:sz w:val="22"/>
        </w:rPr>
        <w:t> </w:t>
      </w:r>
      <w:r>
        <w:rPr>
          <w:rFonts w:ascii="Arial" w:hAnsi="Arial"/>
          <w:i/>
          <w:sz w:val="22"/>
        </w:rPr>
        <w:t>170</w:t>
      </w:r>
      <w:r>
        <w:rPr>
          <w:rFonts w:ascii="Arial" w:hAnsi="Arial"/>
          <w:i/>
          <w:spacing w:val="-4"/>
          <w:sz w:val="22"/>
        </w:rPr>
        <w:t> </w:t>
      </w:r>
      <w:r>
        <w:rPr>
          <w:rFonts w:ascii="Arial" w:hAnsi="Arial"/>
          <w:i/>
          <w:sz w:val="22"/>
        </w:rPr>
        <w:t>de 2026</w:t>
      </w:r>
      <w:r>
        <w:rPr>
          <w:rFonts w:ascii="Arial" w:hAnsi="Arial"/>
          <w:i/>
          <w:spacing w:val="-2"/>
          <w:sz w:val="22"/>
        </w:rPr>
        <w:t> </w:t>
      </w:r>
      <w:r>
        <w:rPr>
          <w:rFonts w:ascii="Arial" w:hAnsi="Arial"/>
          <w:i/>
          <w:sz w:val="22"/>
        </w:rPr>
        <w:t>no</w:t>
      </w:r>
      <w:r>
        <w:rPr>
          <w:rFonts w:ascii="Arial" w:hAnsi="Arial"/>
          <w:i/>
          <w:spacing w:val="-2"/>
          <w:sz w:val="22"/>
        </w:rPr>
        <w:t> </w:t>
      </w:r>
      <w:r>
        <w:rPr>
          <w:rFonts w:ascii="Arial" w:hAnsi="Arial"/>
          <w:i/>
          <w:sz w:val="22"/>
        </w:rPr>
        <w:t>es</w:t>
      </w:r>
      <w:r>
        <w:rPr>
          <w:rFonts w:ascii="Arial" w:hAnsi="Arial"/>
          <w:i/>
          <w:spacing w:val="-2"/>
          <w:sz w:val="22"/>
        </w:rPr>
        <w:t> </w:t>
      </w:r>
      <w:r>
        <w:rPr>
          <w:rFonts w:ascii="Arial" w:hAnsi="Arial"/>
          <w:i/>
          <w:sz w:val="22"/>
        </w:rPr>
        <w:t>un</w:t>
      </w:r>
      <w:r>
        <w:rPr>
          <w:rFonts w:ascii="Arial" w:hAnsi="Arial"/>
          <w:i/>
          <w:spacing w:val="-2"/>
          <w:sz w:val="22"/>
        </w:rPr>
        <w:t> </w:t>
      </w:r>
      <w:r>
        <w:rPr>
          <w:rFonts w:ascii="Arial" w:hAnsi="Arial"/>
          <w:i/>
          <w:sz w:val="22"/>
        </w:rPr>
        <w:t>gravamen</w:t>
      </w:r>
      <w:r>
        <w:rPr>
          <w:rFonts w:ascii="Arial" w:hAnsi="Arial"/>
          <w:i/>
          <w:spacing w:val="-2"/>
          <w:sz w:val="22"/>
        </w:rPr>
        <w:t> </w:t>
      </w:r>
      <w:r>
        <w:rPr>
          <w:rFonts w:ascii="Arial" w:hAnsi="Arial"/>
          <w:i/>
          <w:sz w:val="22"/>
        </w:rPr>
        <w:t>ni</w:t>
      </w:r>
      <w:r>
        <w:rPr>
          <w:rFonts w:ascii="Arial" w:hAnsi="Arial"/>
          <w:i/>
          <w:spacing w:val="-1"/>
          <w:sz w:val="22"/>
        </w:rPr>
        <w:t> </w:t>
      </w:r>
      <w:r>
        <w:rPr>
          <w:rFonts w:ascii="Arial" w:hAnsi="Arial"/>
          <w:i/>
          <w:sz w:val="22"/>
        </w:rPr>
        <w:t>una</w:t>
      </w:r>
      <w:r>
        <w:rPr>
          <w:rFonts w:ascii="Arial" w:hAnsi="Arial"/>
          <w:i/>
          <w:spacing w:val="-4"/>
          <w:sz w:val="22"/>
        </w:rPr>
        <w:t> </w:t>
      </w:r>
      <w:r>
        <w:rPr>
          <w:rFonts w:ascii="Arial" w:hAnsi="Arial"/>
          <w:i/>
          <w:sz w:val="22"/>
        </w:rPr>
        <w:t>restricción, en</w:t>
      </w:r>
      <w:r>
        <w:rPr>
          <w:rFonts w:ascii="Arial" w:hAnsi="Arial"/>
          <w:i/>
          <w:spacing w:val="-2"/>
          <w:sz w:val="22"/>
        </w:rPr>
        <w:t> </w:t>
      </w:r>
      <w:r>
        <w:rPr>
          <w:rFonts w:ascii="Arial" w:hAnsi="Arial"/>
          <w:i/>
          <w:sz w:val="22"/>
        </w:rPr>
        <w:t>tanto</w:t>
      </w:r>
      <w:r>
        <w:rPr>
          <w:rFonts w:ascii="Arial" w:hAnsi="Arial"/>
          <w:i/>
          <w:spacing w:val="-2"/>
          <w:sz w:val="22"/>
        </w:rPr>
        <w:t> </w:t>
      </w:r>
      <w:r>
        <w:rPr>
          <w:rFonts w:ascii="Arial" w:hAnsi="Arial"/>
          <w:i/>
          <w:sz w:val="22"/>
        </w:rPr>
        <w:t>se enmarca</w:t>
      </w:r>
      <w:r>
        <w:rPr>
          <w:rFonts w:ascii="Arial" w:hAnsi="Arial"/>
          <w:i/>
          <w:spacing w:val="-13"/>
          <w:sz w:val="22"/>
        </w:rPr>
        <w:t> </w:t>
      </w:r>
      <w:r>
        <w:rPr>
          <w:rFonts w:ascii="Arial" w:hAnsi="Arial"/>
          <w:i/>
          <w:sz w:val="22"/>
        </w:rPr>
        <w:t>en</w:t>
      </w:r>
      <w:r>
        <w:rPr>
          <w:rFonts w:ascii="Arial" w:hAnsi="Arial"/>
          <w:i/>
          <w:spacing w:val="-12"/>
          <w:sz w:val="22"/>
        </w:rPr>
        <w:t> </w:t>
      </w:r>
      <w:r>
        <w:rPr>
          <w:rFonts w:ascii="Arial" w:hAnsi="Arial"/>
          <w:i/>
          <w:sz w:val="22"/>
        </w:rPr>
        <w:t>la</w:t>
      </w:r>
      <w:r>
        <w:rPr>
          <w:rFonts w:ascii="Arial" w:hAnsi="Arial"/>
          <w:i/>
          <w:spacing w:val="-11"/>
          <w:sz w:val="22"/>
        </w:rPr>
        <w:t> </w:t>
      </w:r>
      <w:r>
        <w:rPr>
          <w:rFonts w:ascii="Arial" w:hAnsi="Arial"/>
          <w:i/>
          <w:sz w:val="22"/>
        </w:rPr>
        <w:t>excepción</w:t>
      </w:r>
      <w:r>
        <w:rPr>
          <w:rFonts w:ascii="Arial" w:hAnsi="Arial"/>
          <w:i/>
          <w:spacing w:val="-14"/>
          <w:sz w:val="22"/>
        </w:rPr>
        <w:t> </w:t>
      </w:r>
      <w:r>
        <w:rPr>
          <w:rFonts w:ascii="Arial" w:hAnsi="Arial"/>
          <w:i/>
          <w:sz w:val="22"/>
        </w:rPr>
        <w:t>establecida</w:t>
      </w:r>
      <w:r>
        <w:rPr>
          <w:rFonts w:ascii="Arial" w:hAnsi="Arial"/>
          <w:i/>
          <w:spacing w:val="-12"/>
          <w:sz w:val="22"/>
        </w:rPr>
        <w:t> </w:t>
      </w:r>
      <w:r>
        <w:rPr>
          <w:rFonts w:ascii="Arial" w:hAnsi="Arial"/>
          <w:i/>
          <w:sz w:val="22"/>
        </w:rPr>
        <w:t>en</w:t>
      </w:r>
      <w:r>
        <w:rPr>
          <w:rFonts w:ascii="Arial" w:hAnsi="Arial"/>
          <w:i/>
          <w:spacing w:val="-12"/>
          <w:sz w:val="22"/>
        </w:rPr>
        <w:t> </w:t>
      </w:r>
      <w:r>
        <w:rPr>
          <w:rFonts w:ascii="Arial" w:hAnsi="Arial"/>
          <w:i/>
          <w:sz w:val="22"/>
        </w:rPr>
        <w:t>el</w:t>
      </w:r>
      <w:r>
        <w:rPr>
          <w:rFonts w:ascii="Arial" w:hAnsi="Arial"/>
          <w:i/>
          <w:spacing w:val="-12"/>
          <w:sz w:val="22"/>
        </w:rPr>
        <w:t> </w:t>
      </w:r>
      <w:r>
        <w:rPr>
          <w:rFonts w:ascii="Arial" w:hAnsi="Arial"/>
          <w:i/>
          <w:sz w:val="22"/>
        </w:rPr>
        <w:t>artículo</w:t>
      </w:r>
      <w:r>
        <w:rPr>
          <w:rFonts w:ascii="Arial" w:hAnsi="Arial"/>
          <w:i/>
          <w:spacing w:val="-11"/>
          <w:sz w:val="22"/>
        </w:rPr>
        <w:t> </w:t>
      </w:r>
      <w:r>
        <w:rPr>
          <w:rFonts w:ascii="Arial" w:hAnsi="Arial"/>
          <w:i/>
          <w:sz w:val="22"/>
        </w:rPr>
        <w:t>73</w:t>
      </w:r>
      <w:r>
        <w:rPr>
          <w:rFonts w:ascii="Arial" w:hAnsi="Arial"/>
          <w:i/>
          <w:spacing w:val="-12"/>
          <w:sz w:val="22"/>
        </w:rPr>
        <w:t> </w:t>
      </w:r>
      <w:r>
        <w:rPr>
          <w:rFonts w:ascii="Arial" w:hAnsi="Arial"/>
          <w:i/>
          <w:sz w:val="22"/>
        </w:rPr>
        <w:t>b)</w:t>
      </w:r>
      <w:r>
        <w:rPr>
          <w:rFonts w:ascii="Arial" w:hAnsi="Arial"/>
          <w:i/>
          <w:spacing w:val="-10"/>
          <w:sz w:val="22"/>
        </w:rPr>
        <w:t> </w:t>
      </w:r>
      <w:r>
        <w:rPr>
          <w:rFonts w:ascii="Arial" w:hAnsi="Arial"/>
          <w:i/>
          <w:sz w:val="22"/>
        </w:rPr>
        <w:t>del</w:t>
      </w:r>
      <w:r>
        <w:rPr>
          <w:rFonts w:ascii="Arial" w:hAnsi="Arial"/>
          <w:i/>
          <w:spacing w:val="-12"/>
          <w:sz w:val="22"/>
        </w:rPr>
        <w:t> </w:t>
      </w:r>
      <w:r>
        <w:rPr>
          <w:rFonts w:ascii="Arial" w:hAnsi="Arial"/>
          <w:i/>
          <w:sz w:val="22"/>
        </w:rPr>
        <w:t>AC,</w:t>
      </w:r>
      <w:r>
        <w:rPr>
          <w:rFonts w:ascii="Arial" w:hAnsi="Arial"/>
          <w:i/>
          <w:spacing w:val="-10"/>
          <w:sz w:val="22"/>
        </w:rPr>
        <w:t> </w:t>
      </w:r>
      <w:r>
        <w:rPr>
          <w:rFonts w:ascii="Arial" w:hAnsi="Arial"/>
          <w:i/>
          <w:sz w:val="22"/>
        </w:rPr>
        <w:t>y</w:t>
      </w:r>
      <w:r>
        <w:rPr>
          <w:rFonts w:ascii="Arial" w:hAnsi="Arial"/>
          <w:i/>
          <w:spacing w:val="-11"/>
          <w:sz w:val="22"/>
        </w:rPr>
        <w:t> </w:t>
      </w:r>
      <w:r>
        <w:rPr>
          <w:rFonts w:ascii="Arial" w:hAnsi="Arial"/>
          <w:i/>
          <w:sz w:val="22"/>
        </w:rPr>
        <w:t>de</w:t>
      </w:r>
      <w:r>
        <w:rPr>
          <w:rFonts w:ascii="Arial" w:hAnsi="Arial"/>
          <w:i/>
          <w:spacing w:val="-11"/>
          <w:sz w:val="22"/>
        </w:rPr>
        <w:t> </w:t>
      </w:r>
      <w:r>
        <w:rPr>
          <w:rFonts w:ascii="Arial" w:hAnsi="Arial"/>
          <w:i/>
          <w:sz w:val="22"/>
        </w:rPr>
        <w:t>hecho</w:t>
      </w:r>
      <w:r>
        <w:rPr>
          <w:rFonts w:ascii="Arial" w:hAnsi="Arial"/>
          <w:i/>
          <w:spacing w:val="-11"/>
          <w:sz w:val="22"/>
        </w:rPr>
        <w:t> </w:t>
      </w:r>
      <w:r>
        <w:rPr>
          <w:rFonts w:ascii="Arial" w:hAnsi="Arial"/>
          <w:i/>
          <w:sz w:val="22"/>
        </w:rPr>
        <w:t>se</w:t>
      </w:r>
      <w:r>
        <w:rPr>
          <w:rFonts w:ascii="Arial" w:hAnsi="Arial"/>
          <w:i/>
          <w:spacing w:val="-11"/>
          <w:sz w:val="22"/>
        </w:rPr>
        <w:t> </w:t>
      </w:r>
      <w:r>
        <w:rPr>
          <w:rFonts w:ascii="Arial" w:hAnsi="Arial"/>
          <w:i/>
          <w:sz w:val="22"/>
        </w:rPr>
        <w:t>trata de una medida destinada a salvaguardar la seguridad nacional de Colombia conculcada por los aranceles unilaterales e ilegales impuestos por Ecuador;</w:t>
      </w:r>
    </w:p>
    <w:p>
      <w:pPr>
        <w:pStyle w:val="ListParagraph"/>
        <w:numPr>
          <w:ilvl w:val="0"/>
          <w:numId w:val="56"/>
        </w:numPr>
        <w:tabs>
          <w:tab w:pos="1560" w:val="left" w:leader="none"/>
          <w:tab w:pos="1562" w:val="left" w:leader="none"/>
        </w:tabs>
        <w:spacing w:line="240" w:lineRule="auto" w:before="2" w:after="0"/>
        <w:ind w:left="1562" w:right="982" w:hanging="428"/>
        <w:jc w:val="both"/>
        <w:rPr>
          <w:rFonts w:ascii="Arial" w:hAnsi="Arial"/>
          <w:i/>
          <w:sz w:val="22"/>
        </w:rPr>
      </w:pPr>
      <w:r>
        <w:rPr>
          <w:rFonts w:ascii="Arial" w:hAnsi="Arial"/>
          <w:i/>
          <w:sz w:val="22"/>
        </w:rPr>
        <w:t>Segundo, el Decreto 170 de 2026 atiende preocupaciones de política pública legítimas en materia sanitaria y fitosanitaria.</w:t>
      </w:r>
    </w:p>
    <w:p>
      <w:pPr>
        <w:pStyle w:val="ListParagraph"/>
        <w:numPr>
          <w:ilvl w:val="0"/>
          <w:numId w:val="56"/>
        </w:numPr>
        <w:tabs>
          <w:tab w:pos="1558" w:val="left" w:leader="none"/>
          <w:tab w:pos="1562" w:val="left" w:leader="none"/>
        </w:tabs>
        <w:spacing w:line="240" w:lineRule="auto" w:before="0" w:after="0"/>
        <w:ind w:left="1562" w:right="982" w:hanging="473"/>
        <w:jc w:val="both"/>
        <w:rPr>
          <w:rFonts w:ascii="Arial" w:hAnsi="Arial"/>
          <w:i/>
          <w:sz w:val="22"/>
        </w:rPr>
      </w:pPr>
      <w:r>
        <w:rPr>
          <w:rFonts w:ascii="Arial" w:hAnsi="Arial"/>
          <w:i/>
          <w:sz w:val="22"/>
        </w:rPr>
        <w:t>Tercero, el Decreto 170 de 2026 atiende preocupaciones de política pública legítimas en materia de combate contra el fentanilo”</w:t>
      </w:r>
      <w:hyperlink w:history="true" w:anchor="_bookmark81">
        <w:r>
          <w:rPr>
            <w:sz w:val="22"/>
            <w:vertAlign w:val="superscript"/>
          </w:rPr>
          <w:t>14</w:t>
        </w:r>
        <w:r>
          <w:rPr>
            <w:rFonts w:ascii="Arial" w:hAnsi="Arial"/>
            <w:i/>
            <w:sz w:val="22"/>
            <w:vertAlign w:val="baseline"/>
          </w:rPr>
          <w:t>.</w:t>
        </w:r>
      </w:hyperlink>
    </w:p>
    <w:p>
      <w:pPr>
        <w:pStyle w:val="BodyText"/>
        <w:spacing w:before="66"/>
        <w:rPr>
          <w:rFonts w:ascii="Arial"/>
          <w:i/>
        </w:rPr>
      </w:pPr>
    </w:p>
    <w:p>
      <w:pPr>
        <w:pStyle w:val="ListParagraph"/>
        <w:numPr>
          <w:ilvl w:val="0"/>
          <w:numId w:val="50"/>
        </w:numPr>
        <w:tabs>
          <w:tab w:pos="1130" w:val="left" w:leader="none"/>
          <w:tab w:pos="1134" w:val="left" w:leader="none"/>
        </w:tabs>
        <w:spacing w:line="240" w:lineRule="auto" w:before="1" w:after="0"/>
        <w:ind w:left="1134" w:right="975" w:hanging="567"/>
        <w:jc w:val="both"/>
        <w:rPr>
          <w:sz w:val="22"/>
        </w:rPr>
      </w:pPr>
      <w:r>
        <w:rPr>
          <w:sz w:val="22"/>
        </w:rPr>
        <w:t>La</w:t>
      </w:r>
      <w:r>
        <w:rPr>
          <w:spacing w:val="-4"/>
          <w:sz w:val="22"/>
        </w:rPr>
        <w:t> </w:t>
      </w:r>
      <w:r>
        <w:rPr>
          <w:sz w:val="22"/>
        </w:rPr>
        <w:t>República</w:t>
      </w:r>
      <w:r>
        <w:rPr>
          <w:spacing w:val="-4"/>
          <w:sz w:val="22"/>
        </w:rPr>
        <w:t> </w:t>
      </w:r>
      <w:r>
        <w:rPr>
          <w:sz w:val="22"/>
        </w:rPr>
        <w:t>de</w:t>
      </w:r>
      <w:r>
        <w:rPr>
          <w:spacing w:val="-4"/>
          <w:sz w:val="22"/>
        </w:rPr>
        <w:t> </w:t>
      </w:r>
      <w:r>
        <w:rPr>
          <w:sz w:val="22"/>
        </w:rPr>
        <w:t>Colombia</w:t>
      </w:r>
      <w:r>
        <w:rPr>
          <w:spacing w:val="-4"/>
          <w:sz w:val="22"/>
        </w:rPr>
        <w:t> </w:t>
      </w:r>
      <w:r>
        <w:rPr>
          <w:sz w:val="22"/>
        </w:rPr>
        <w:t>manifiesta</w:t>
      </w:r>
      <w:r>
        <w:rPr>
          <w:spacing w:val="-6"/>
          <w:sz w:val="22"/>
        </w:rPr>
        <w:t> </w:t>
      </w:r>
      <w:r>
        <w:rPr>
          <w:sz w:val="22"/>
        </w:rPr>
        <w:t>que</w:t>
      </w:r>
      <w:r>
        <w:rPr>
          <w:spacing w:val="-4"/>
          <w:sz w:val="22"/>
        </w:rPr>
        <w:t> </w:t>
      </w:r>
      <w:r>
        <w:rPr>
          <w:sz w:val="22"/>
        </w:rPr>
        <w:t>los</w:t>
      </w:r>
      <w:r>
        <w:rPr>
          <w:spacing w:val="-4"/>
          <w:sz w:val="22"/>
        </w:rPr>
        <w:t> </w:t>
      </w:r>
      <w:r>
        <w:rPr>
          <w:sz w:val="22"/>
        </w:rPr>
        <w:t>aranceles</w:t>
      </w:r>
      <w:r>
        <w:rPr>
          <w:spacing w:val="-4"/>
          <w:sz w:val="22"/>
        </w:rPr>
        <w:t> </w:t>
      </w:r>
      <w:r>
        <w:rPr>
          <w:sz w:val="22"/>
        </w:rPr>
        <w:t>adoptados</w:t>
      </w:r>
      <w:r>
        <w:rPr>
          <w:spacing w:val="-4"/>
          <w:sz w:val="22"/>
        </w:rPr>
        <w:t> </w:t>
      </w:r>
      <w:r>
        <w:rPr>
          <w:sz w:val="22"/>
        </w:rPr>
        <w:t>por</w:t>
      </w:r>
      <w:r>
        <w:rPr>
          <w:spacing w:val="-3"/>
          <w:sz w:val="22"/>
        </w:rPr>
        <w:t> </w:t>
      </w:r>
      <w:r>
        <w:rPr>
          <w:sz w:val="22"/>
        </w:rPr>
        <w:t>la</w:t>
      </w:r>
      <w:r>
        <w:rPr>
          <w:spacing w:val="-4"/>
          <w:sz w:val="22"/>
        </w:rPr>
        <w:t> </w:t>
      </w:r>
      <w:r>
        <w:rPr>
          <w:sz w:val="22"/>
        </w:rPr>
        <w:t>República</w:t>
      </w:r>
      <w:r>
        <w:rPr>
          <w:spacing w:val="-4"/>
          <w:sz w:val="22"/>
        </w:rPr>
        <w:t> </w:t>
      </w:r>
      <w:r>
        <w:rPr>
          <w:sz w:val="22"/>
        </w:rPr>
        <w:t>del Ecuador</w:t>
      </w:r>
      <w:r>
        <w:rPr>
          <w:spacing w:val="-6"/>
          <w:sz w:val="22"/>
        </w:rPr>
        <w:t> </w:t>
      </w:r>
      <w:r>
        <w:rPr>
          <w:sz w:val="22"/>
        </w:rPr>
        <w:t>han</w:t>
      </w:r>
      <w:r>
        <w:rPr>
          <w:spacing w:val="-7"/>
          <w:sz w:val="22"/>
        </w:rPr>
        <w:t> </w:t>
      </w:r>
      <w:r>
        <w:rPr>
          <w:sz w:val="22"/>
        </w:rPr>
        <w:t>generado</w:t>
      </w:r>
      <w:r>
        <w:rPr>
          <w:spacing w:val="-7"/>
          <w:sz w:val="22"/>
        </w:rPr>
        <w:t> </w:t>
      </w:r>
      <w:r>
        <w:rPr>
          <w:sz w:val="22"/>
        </w:rPr>
        <w:t>una</w:t>
      </w:r>
      <w:r>
        <w:rPr>
          <w:spacing w:val="-8"/>
          <w:sz w:val="22"/>
        </w:rPr>
        <w:t> </w:t>
      </w:r>
      <w:r>
        <w:rPr>
          <w:sz w:val="22"/>
        </w:rPr>
        <w:t>crisis</w:t>
      </w:r>
      <w:r>
        <w:rPr>
          <w:spacing w:val="-7"/>
          <w:sz w:val="22"/>
        </w:rPr>
        <w:t> </w:t>
      </w:r>
      <w:r>
        <w:rPr>
          <w:sz w:val="22"/>
        </w:rPr>
        <w:t>en</w:t>
      </w:r>
      <w:r>
        <w:rPr>
          <w:spacing w:val="-8"/>
          <w:sz w:val="22"/>
        </w:rPr>
        <w:t> </w:t>
      </w:r>
      <w:r>
        <w:rPr>
          <w:sz w:val="22"/>
        </w:rPr>
        <w:t>el</w:t>
      </w:r>
      <w:r>
        <w:rPr>
          <w:spacing w:val="-8"/>
          <w:sz w:val="22"/>
        </w:rPr>
        <w:t> </w:t>
      </w:r>
      <w:r>
        <w:rPr>
          <w:sz w:val="22"/>
        </w:rPr>
        <w:t>sector</w:t>
      </w:r>
      <w:r>
        <w:rPr>
          <w:spacing w:val="-6"/>
          <w:sz w:val="22"/>
        </w:rPr>
        <w:t> </w:t>
      </w:r>
      <w:r>
        <w:rPr>
          <w:sz w:val="22"/>
        </w:rPr>
        <w:t>productivo</w:t>
      </w:r>
      <w:r>
        <w:rPr>
          <w:spacing w:val="-7"/>
          <w:sz w:val="22"/>
        </w:rPr>
        <w:t> </w:t>
      </w:r>
      <w:r>
        <w:rPr>
          <w:sz w:val="22"/>
        </w:rPr>
        <w:t>colombiano,</w:t>
      </w:r>
      <w:r>
        <w:rPr>
          <w:spacing w:val="-6"/>
          <w:sz w:val="22"/>
        </w:rPr>
        <w:t> </w:t>
      </w:r>
      <w:r>
        <w:rPr>
          <w:sz w:val="22"/>
        </w:rPr>
        <w:t>“</w:t>
      </w:r>
      <w:r>
        <w:rPr>
          <w:rFonts w:ascii="Arial" w:hAnsi="Arial"/>
          <w:i/>
          <w:sz w:val="22"/>
        </w:rPr>
        <w:t>lo</w:t>
      </w:r>
      <w:r>
        <w:rPr>
          <w:rFonts w:ascii="Arial" w:hAnsi="Arial"/>
          <w:i/>
          <w:spacing w:val="-7"/>
          <w:sz w:val="22"/>
        </w:rPr>
        <w:t> </w:t>
      </w:r>
      <w:r>
        <w:rPr>
          <w:rFonts w:ascii="Arial" w:hAnsi="Arial"/>
          <w:i/>
          <w:sz w:val="22"/>
        </w:rPr>
        <w:t>que</w:t>
      </w:r>
      <w:r>
        <w:rPr>
          <w:rFonts w:ascii="Arial" w:hAnsi="Arial"/>
          <w:i/>
          <w:spacing w:val="-8"/>
          <w:sz w:val="22"/>
        </w:rPr>
        <w:t> </w:t>
      </w:r>
      <w:r>
        <w:rPr>
          <w:rFonts w:ascii="Arial" w:hAnsi="Arial"/>
          <w:i/>
          <w:sz w:val="22"/>
        </w:rPr>
        <w:t>exigía</w:t>
      </w:r>
      <w:r>
        <w:rPr>
          <w:rFonts w:ascii="Arial" w:hAnsi="Arial"/>
          <w:i/>
          <w:spacing w:val="-7"/>
          <w:sz w:val="22"/>
        </w:rPr>
        <w:t> </w:t>
      </w:r>
      <w:r>
        <w:rPr>
          <w:rFonts w:ascii="Arial" w:hAnsi="Arial"/>
          <w:i/>
          <w:sz w:val="22"/>
        </w:rPr>
        <w:t>una respuesta proporcional y recíproca para evitar daños más profundos en la economía colombiana.</w:t>
      </w:r>
      <w:r>
        <w:rPr>
          <w:sz w:val="22"/>
        </w:rPr>
        <w:t>”</w:t>
      </w:r>
      <w:hyperlink w:history="true" w:anchor="_bookmark82">
        <w:r>
          <w:rPr>
            <w:sz w:val="22"/>
            <w:vertAlign w:val="superscript"/>
          </w:rPr>
          <w:t>15</w:t>
        </w:r>
        <w:r>
          <w:rPr>
            <w:sz w:val="22"/>
            <w:vertAlign w:val="baseline"/>
          </w:rPr>
          <w:t>.</w:t>
        </w:r>
      </w:hyperlink>
      <w:r>
        <w:rPr>
          <w:sz w:val="22"/>
          <w:vertAlign w:val="baseline"/>
        </w:rPr>
        <w:t> Además, señala que el Acuerdo de Cartagena habilitaría a los Países Miembros</w:t>
      </w:r>
      <w:r>
        <w:rPr>
          <w:spacing w:val="-6"/>
          <w:sz w:val="22"/>
          <w:vertAlign w:val="baseline"/>
        </w:rPr>
        <w:t> </w:t>
      </w:r>
      <w:r>
        <w:rPr>
          <w:sz w:val="22"/>
          <w:vertAlign w:val="baseline"/>
        </w:rPr>
        <w:t>de</w:t>
      </w:r>
      <w:r>
        <w:rPr>
          <w:spacing w:val="-7"/>
          <w:sz w:val="22"/>
          <w:vertAlign w:val="baseline"/>
        </w:rPr>
        <w:t> </w:t>
      </w:r>
      <w:r>
        <w:rPr>
          <w:sz w:val="22"/>
          <w:vertAlign w:val="baseline"/>
        </w:rPr>
        <w:t>la</w:t>
      </w:r>
      <w:r>
        <w:rPr>
          <w:spacing w:val="-6"/>
          <w:sz w:val="22"/>
          <w:vertAlign w:val="baseline"/>
        </w:rPr>
        <w:t> </w:t>
      </w:r>
      <w:r>
        <w:rPr>
          <w:sz w:val="22"/>
          <w:vertAlign w:val="baseline"/>
        </w:rPr>
        <w:t>CAN</w:t>
      </w:r>
      <w:r>
        <w:rPr>
          <w:spacing w:val="-7"/>
          <w:sz w:val="22"/>
          <w:vertAlign w:val="baseline"/>
        </w:rPr>
        <w:t> </w:t>
      </w:r>
      <w:r>
        <w:rPr>
          <w:sz w:val="22"/>
          <w:vertAlign w:val="baseline"/>
        </w:rPr>
        <w:t>a</w:t>
      </w:r>
      <w:r>
        <w:rPr>
          <w:spacing w:val="-9"/>
          <w:sz w:val="22"/>
          <w:vertAlign w:val="baseline"/>
        </w:rPr>
        <w:t> </w:t>
      </w:r>
      <w:r>
        <w:rPr>
          <w:sz w:val="22"/>
          <w:vertAlign w:val="baseline"/>
        </w:rPr>
        <w:t>tomar</w:t>
      </w:r>
      <w:r>
        <w:rPr>
          <w:spacing w:val="-8"/>
          <w:sz w:val="22"/>
          <w:vertAlign w:val="baseline"/>
        </w:rPr>
        <w:t> </w:t>
      </w:r>
      <w:r>
        <w:rPr>
          <w:sz w:val="22"/>
          <w:vertAlign w:val="baseline"/>
        </w:rPr>
        <w:t>medidas,</w:t>
      </w:r>
      <w:r>
        <w:rPr>
          <w:spacing w:val="-5"/>
          <w:sz w:val="22"/>
          <w:vertAlign w:val="baseline"/>
        </w:rPr>
        <w:t> </w:t>
      </w:r>
      <w:r>
        <w:rPr>
          <w:sz w:val="22"/>
          <w:vertAlign w:val="baseline"/>
        </w:rPr>
        <w:t>siempre</w:t>
      </w:r>
      <w:r>
        <w:rPr>
          <w:spacing w:val="-6"/>
          <w:sz w:val="22"/>
          <w:vertAlign w:val="baseline"/>
        </w:rPr>
        <w:t> </w:t>
      </w:r>
      <w:r>
        <w:rPr>
          <w:sz w:val="22"/>
          <w:vertAlign w:val="baseline"/>
        </w:rPr>
        <w:t>y</w:t>
      </w:r>
      <w:r>
        <w:rPr>
          <w:spacing w:val="-11"/>
          <w:sz w:val="22"/>
          <w:vertAlign w:val="baseline"/>
        </w:rPr>
        <w:t> </w:t>
      </w:r>
      <w:r>
        <w:rPr>
          <w:sz w:val="22"/>
          <w:vertAlign w:val="baseline"/>
        </w:rPr>
        <w:t>cuando</w:t>
      </w:r>
      <w:r>
        <w:rPr>
          <w:spacing w:val="-6"/>
          <w:sz w:val="22"/>
          <w:vertAlign w:val="baseline"/>
        </w:rPr>
        <w:t> </w:t>
      </w:r>
      <w:r>
        <w:rPr>
          <w:sz w:val="22"/>
          <w:vertAlign w:val="baseline"/>
        </w:rPr>
        <w:t>se</w:t>
      </w:r>
      <w:r>
        <w:rPr>
          <w:spacing w:val="-6"/>
          <w:sz w:val="22"/>
          <w:vertAlign w:val="baseline"/>
        </w:rPr>
        <w:t> </w:t>
      </w:r>
      <w:r>
        <w:rPr>
          <w:sz w:val="22"/>
          <w:vertAlign w:val="baseline"/>
        </w:rPr>
        <w:t>cumpla</w:t>
      </w:r>
      <w:r>
        <w:rPr>
          <w:spacing w:val="-6"/>
          <w:sz w:val="22"/>
          <w:vertAlign w:val="baseline"/>
        </w:rPr>
        <w:t> </w:t>
      </w:r>
      <w:r>
        <w:rPr>
          <w:sz w:val="22"/>
          <w:vertAlign w:val="baseline"/>
        </w:rPr>
        <w:t>con</w:t>
      </w:r>
      <w:r>
        <w:rPr>
          <w:spacing w:val="-9"/>
          <w:sz w:val="22"/>
          <w:vertAlign w:val="baseline"/>
        </w:rPr>
        <w:t> </w:t>
      </w:r>
      <w:r>
        <w:rPr>
          <w:sz w:val="22"/>
          <w:vertAlign w:val="baseline"/>
        </w:rPr>
        <w:t>el</w:t>
      </w:r>
      <w:r>
        <w:rPr>
          <w:spacing w:val="-7"/>
          <w:sz w:val="22"/>
          <w:vertAlign w:val="baseline"/>
        </w:rPr>
        <w:t> </w:t>
      </w:r>
      <w:r>
        <w:rPr>
          <w:sz w:val="22"/>
          <w:vertAlign w:val="baseline"/>
        </w:rPr>
        <w:t>estándar</w:t>
      </w:r>
      <w:r>
        <w:rPr>
          <w:spacing w:val="-5"/>
          <w:sz w:val="22"/>
          <w:vertAlign w:val="baseline"/>
        </w:rPr>
        <w:t> </w:t>
      </w:r>
      <w:r>
        <w:rPr>
          <w:sz w:val="22"/>
          <w:vertAlign w:val="baseline"/>
        </w:rPr>
        <w:t>del mencionado artículo 73.</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Asimismo, señala que la medida incorporada en el Decreto 170, “</w:t>
      </w:r>
      <w:r>
        <w:rPr>
          <w:rFonts w:ascii="Arial" w:hAnsi="Arial"/>
          <w:i/>
          <w:sz w:val="22"/>
        </w:rPr>
        <w:t>busca evitar un perjuicio</w:t>
      </w:r>
      <w:r>
        <w:rPr>
          <w:rFonts w:ascii="Arial" w:hAnsi="Arial"/>
          <w:i/>
          <w:spacing w:val="-10"/>
          <w:sz w:val="22"/>
        </w:rPr>
        <w:t> </w:t>
      </w:r>
      <w:r>
        <w:rPr>
          <w:rFonts w:ascii="Arial" w:hAnsi="Arial"/>
          <w:i/>
          <w:sz w:val="22"/>
        </w:rPr>
        <w:t>irremediable</w:t>
      </w:r>
      <w:r>
        <w:rPr>
          <w:rFonts w:ascii="Arial" w:hAnsi="Arial"/>
          <w:i/>
          <w:spacing w:val="-10"/>
          <w:sz w:val="22"/>
        </w:rPr>
        <w:t> </w:t>
      </w:r>
      <w:r>
        <w:rPr>
          <w:rFonts w:ascii="Arial" w:hAnsi="Arial"/>
          <w:i/>
          <w:sz w:val="22"/>
        </w:rPr>
        <w:t>a</w:t>
      </w:r>
      <w:r>
        <w:rPr>
          <w:rFonts w:ascii="Arial" w:hAnsi="Arial"/>
          <w:i/>
          <w:spacing w:val="-10"/>
          <w:sz w:val="22"/>
        </w:rPr>
        <w:t> </w:t>
      </w:r>
      <w:r>
        <w:rPr>
          <w:rFonts w:ascii="Arial" w:hAnsi="Arial"/>
          <w:i/>
          <w:sz w:val="22"/>
        </w:rPr>
        <w:t>productos</w:t>
      </w:r>
      <w:r>
        <w:rPr>
          <w:rFonts w:ascii="Arial" w:hAnsi="Arial"/>
          <w:i/>
          <w:spacing w:val="-12"/>
          <w:sz w:val="22"/>
        </w:rPr>
        <w:t> </w:t>
      </w:r>
      <w:r>
        <w:rPr>
          <w:rFonts w:ascii="Arial" w:hAnsi="Arial"/>
          <w:i/>
          <w:sz w:val="22"/>
        </w:rPr>
        <w:t>nacionales</w:t>
      </w:r>
      <w:r>
        <w:rPr>
          <w:rFonts w:ascii="Arial" w:hAnsi="Arial"/>
          <w:i/>
          <w:spacing w:val="-10"/>
          <w:sz w:val="22"/>
        </w:rPr>
        <w:t> </w:t>
      </w:r>
      <w:r>
        <w:rPr>
          <w:rFonts w:ascii="Arial" w:hAnsi="Arial"/>
          <w:i/>
          <w:sz w:val="22"/>
        </w:rPr>
        <w:t>que</w:t>
      </w:r>
      <w:r>
        <w:rPr>
          <w:rFonts w:ascii="Arial" w:hAnsi="Arial"/>
          <w:i/>
          <w:spacing w:val="-10"/>
          <w:sz w:val="22"/>
        </w:rPr>
        <w:t> </w:t>
      </w:r>
      <w:r>
        <w:rPr>
          <w:rFonts w:ascii="Arial" w:hAnsi="Arial"/>
          <w:i/>
          <w:sz w:val="22"/>
        </w:rPr>
        <w:t>compiten</w:t>
      </w:r>
      <w:r>
        <w:rPr>
          <w:rFonts w:ascii="Arial" w:hAnsi="Arial"/>
          <w:i/>
          <w:spacing w:val="-10"/>
          <w:sz w:val="22"/>
        </w:rPr>
        <w:t> </w:t>
      </w:r>
      <w:r>
        <w:rPr>
          <w:rFonts w:ascii="Arial" w:hAnsi="Arial"/>
          <w:i/>
          <w:sz w:val="22"/>
        </w:rPr>
        <w:t>con</w:t>
      </w:r>
      <w:r>
        <w:rPr>
          <w:rFonts w:ascii="Arial" w:hAnsi="Arial"/>
          <w:i/>
          <w:spacing w:val="-10"/>
          <w:sz w:val="22"/>
        </w:rPr>
        <w:t> </w:t>
      </w:r>
      <w:r>
        <w:rPr>
          <w:rFonts w:ascii="Arial" w:hAnsi="Arial"/>
          <w:i/>
          <w:sz w:val="22"/>
        </w:rPr>
        <w:t>productos</w:t>
      </w:r>
      <w:r>
        <w:rPr>
          <w:rFonts w:ascii="Arial" w:hAnsi="Arial"/>
          <w:i/>
          <w:spacing w:val="-12"/>
          <w:sz w:val="22"/>
        </w:rPr>
        <w:t> </w:t>
      </w:r>
      <w:r>
        <w:rPr>
          <w:rFonts w:ascii="Arial" w:hAnsi="Arial"/>
          <w:i/>
          <w:sz w:val="22"/>
        </w:rPr>
        <w:t>ecuatorianos en el mercado intrasubregional andino, lo que constituye un asunto de seguridad </w:t>
      </w:r>
      <w:r>
        <w:rPr>
          <w:rFonts w:ascii="Arial" w:hAnsi="Arial"/>
          <w:i/>
          <w:spacing w:val="-2"/>
          <w:sz w:val="22"/>
        </w:rPr>
        <w:t>nacional</w:t>
      </w:r>
      <w:r>
        <w:rPr>
          <w:spacing w:val="-2"/>
          <w:sz w:val="22"/>
        </w:rPr>
        <w:t>”</w:t>
      </w:r>
      <w:hyperlink w:history="true" w:anchor="_bookmark83">
        <w:r>
          <w:rPr>
            <w:spacing w:val="-2"/>
            <w:sz w:val="22"/>
            <w:vertAlign w:val="superscript"/>
          </w:rPr>
          <w:t>16</w:t>
        </w:r>
        <w:r>
          <w:rPr>
            <w:spacing w:val="-2"/>
            <w:sz w:val="22"/>
            <w:vertAlign w:val="baseline"/>
          </w:rPr>
          <w:t>.</w:t>
        </w:r>
      </w:hyperlink>
    </w:p>
    <w:p>
      <w:pPr>
        <w:pStyle w:val="BodyText"/>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Continúa indicando que “</w:t>
      </w:r>
      <w:r>
        <w:rPr>
          <w:rFonts w:ascii="Arial" w:hAnsi="Arial"/>
          <w:i/>
          <w:sz w:val="22"/>
        </w:rPr>
        <w:t>[e]l Decreto 170 de 2026 no debe ser entendido como una contramedida. Por el contrario, este pretende salvaguardar la seguridad nacional de Colombia en el</w:t>
      </w:r>
      <w:r>
        <w:rPr>
          <w:rFonts w:ascii="Arial" w:hAnsi="Arial"/>
          <w:i/>
          <w:spacing w:val="-2"/>
          <w:sz w:val="22"/>
        </w:rPr>
        <w:t> </w:t>
      </w:r>
      <w:r>
        <w:rPr>
          <w:rFonts w:ascii="Arial" w:hAnsi="Arial"/>
          <w:i/>
          <w:sz w:val="22"/>
        </w:rPr>
        <w:t>ámbito del comercio internacional, para</w:t>
      </w:r>
      <w:r>
        <w:rPr>
          <w:rFonts w:ascii="Arial" w:hAnsi="Arial"/>
          <w:i/>
          <w:spacing w:val="-1"/>
          <w:sz w:val="22"/>
        </w:rPr>
        <w:t> </w:t>
      </w:r>
      <w:r>
        <w:rPr>
          <w:rFonts w:ascii="Arial" w:hAnsi="Arial"/>
          <w:i/>
          <w:sz w:val="22"/>
        </w:rPr>
        <w:t>lo cual</w:t>
      </w:r>
      <w:r>
        <w:rPr>
          <w:rFonts w:ascii="Arial" w:hAnsi="Arial"/>
          <w:i/>
          <w:spacing w:val="-1"/>
          <w:sz w:val="22"/>
        </w:rPr>
        <w:t> </w:t>
      </w:r>
      <w:r>
        <w:rPr>
          <w:rFonts w:ascii="Arial" w:hAnsi="Arial"/>
          <w:i/>
          <w:sz w:val="22"/>
        </w:rPr>
        <w:t>bien puede</w:t>
      </w:r>
      <w:r>
        <w:rPr>
          <w:rFonts w:ascii="Arial" w:hAnsi="Arial"/>
          <w:i/>
          <w:spacing w:val="-1"/>
          <w:sz w:val="22"/>
        </w:rPr>
        <w:t> </w:t>
      </w:r>
      <w:r>
        <w:rPr>
          <w:rFonts w:ascii="Arial" w:hAnsi="Arial"/>
          <w:i/>
          <w:sz w:val="22"/>
        </w:rPr>
        <w:t>invocarse el artículo 73 b) del Acuerdo de Cartagena o, de manera subsidiaria, en aplicación del principio de complemento indispensable, el artículo 11.3 de la Decisión Andina.</w:t>
      </w:r>
      <w:r>
        <w:rPr>
          <w:sz w:val="22"/>
        </w:rPr>
        <w:t>”</w:t>
      </w:r>
      <w:hyperlink w:history="true" w:anchor="_bookmark84">
        <w:r>
          <w:rPr>
            <w:sz w:val="22"/>
            <w:vertAlign w:val="superscript"/>
          </w:rPr>
          <w:t>17</w:t>
        </w:r>
      </w:hyperlink>
      <w:r>
        <w:rPr>
          <w:sz w:val="22"/>
          <w:vertAlign w:val="baseline"/>
        </w:rPr>
        <w:t>.</w:t>
      </w:r>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84" w:hanging="567"/>
        <w:jc w:val="both"/>
        <w:rPr>
          <w:sz w:val="22"/>
        </w:rPr>
      </w:pPr>
      <w:r>
        <w:rPr>
          <w:sz w:val="22"/>
        </w:rPr>
        <w:t>En resumen, las argumentaciones de la República de Colombia se refieren a lo </w:t>
      </w:r>
      <w:r>
        <w:rPr>
          <w:spacing w:val="-2"/>
          <w:sz w:val="22"/>
        </w:rPr>
        <w:t>siguiente:</w:t>
      </w:r>
    </w:p>
    <w:p>
      <w:pPr>
        <w:pStyle w:val="ListParagraph"/>
        <w:numPr>
          <w:ilvl w:val="0"/>
          <w:numId w:val="57"/>
        </w:numPr>
        <w:tabs>
          <w:tab w:pos="1560" w:val="left" w:leader="none"/>
          <w:tab w:pos="1562" w:val="left" w:leader="none"/>
        </w:tabs>
        <w:spacing w:line="240" w:lineRule="auto" w:before="253" w:after="0"/>
        <w:ind w:left="1562" w:right="978" w:hanging="360"/>
        <w:jc w:val="both"/>
        <w:rPr>
          <w:sz w:val="22"/>
        </w:rPr>
      </w:pPr>
      <w:r>
        <w:rPr>
          <w:sz w:val="22"/>
        </w:rPr>
        <w:t>El</w:t>
      </w:r>
      <w:r>
        <w:rPr>
          <w:spacing w:val="-10"/>
          <w:sz w:val="22"/>
        </w:rPr>
        <w:t> </w:t>
      </w:r>
      <w:r>
        <w:rPr>
          <w:sz w:val="22"/>
        </w:rPr>
        <w:t>artículo</w:t>
      </w:r>
      <w:r>
        <w:rPr>
          <w:spacing w:val="-9"/>
          <w:sz w:val="22"/>
        </w:rPr>
        <w:t> </w:t>
      </w:r>
      <w:r>
        <w:rPr>
          <w:sz w:val="22"/>
        </w:rPr>
        <w:t>1</w:t>
      </w:r>
      <w:r>
        <w:rPr>
          <w:spacing w:val="-11"/>
          <w:sz w:val="22"/>
        </w:rPr>
        <w:t> </w:t>
      </w:r>
      <w:r>
        <w:rPr>
          <w:sz w:val="22"/>
        </w:rPr>
        <w:t>del</w:t>
      </w:r>
      <w:r>
        <w:rPr>
          <w:spacing w:val="-10"/>
          <w:sz w:val="22"/>
        </w:rPr>
        <w:t> </w:t>
      </w:r>
      <w:r>
        <w:rPr>
          <w:sz w:val="22"/>
        </w:rPr>
        <w:t>Decreto</w:t>
      </w:r>
      <w:r>
        <w:rPr>
          <w:spacing w:val="-13"/>
          <w:sz w:val="22"/>
        </w:rPr>
        <w:t> </w:t>
      </w:r>
      <w:r>
        <w:rPr>
          <w:sz w:val="22"/>
        </w:rPr>
        <w:t>0170</w:t>
      </w:r>
      <w:r>
        <w:rPr>
          <w:spacing w:val="-9"/>
          <w:sz w:val="22"/>
        </w:rPr>
        <w:t> </w:t>
      </w:r>
      <w:r>
        <w:rPr>
          <w:sz w:val="22"/>
        </w:rPr>
        <w:t>no</w:t>
      </w:r>
      <w:r>
        <w:rPr>
          <w:spacing w:val="-12"/>
          <w:sz w:val="22"/>
        </w:rPr>
        <w:t> </w:t>
      </w:r>
      <w:r>
        <w:rPr>
          <w:sz w:val="22"/>
        </w:rPr>
        <w:t>constituiría</w:t>
      </w:r>
      <w:r>
        <w:rPr>
          <w:spacing w:val="-11"/>
          <w:sz w:val="22"/>
        </w:rPr>
        <w:t> </w:t>
      </w:r>
      <w:r>
        <w:rPr>
          <w:sz w:val="22"/>
        </w:rPr>
        <w:t>un</w:t>
      </w:r>
      <w:r>
        <w:rPr>
          <w:spacing w:val="-9"/>
          <w:sz w:val="22"/>
        </w:rPr>
        <w:t> </w:t>
      </w:r>
      <w:r>
        <w:rPr>
          <w:sz w:val="22"/>
        </w:rPr>
        <w:t>gravamen</w:t>
      </w:r>
      <w:r>
        <w:rPr>
          <w:spacing w:val="-12"/>
          <w:sz w:val="22"/>
        </w:rPr>
        <w:t> </w:t>
      </w:r>
      <w:r>
        <w:rPr>
          <w:sz w:val="22"/>
        </w:rPr>
        <w:t>al</w:t>
      </w:r>
      <w:r>
        <w:rPr>
          <w:spacing w:val="-10"/>
          <w:sz w:val="22"/>
        </w:rPr>
        <w:t> </w:t>
      </w:r>
      <w:r>
        <w:rPr>
          <w:sz w:val="22"/>
        </w:rPr>
        <w:t>comercio</w:t>
      </w:r>
      <w:r>
        <w:rPr>
          <w:spacing w:val="-12"/>
          <w:sz w:val="22"/>
        </w:rPr>
        <w:t> </w:t>
      </w:r>
      <w:r>
        <w:rPr>
          <w:sz w:val="22"/>
        </w:rPr>
        <w:t>internacional en</w:t>
      </w:r>
      <w:r>
        <w:rPr>
          <w:spacing w:val="-7"/>
          <w:sz w:val="22"/>
        </w:rPr>
        <w:t> </w:t>
      </w:r>
      <w:r>
        <w:rPr>
          <w:sz w:val="22"/>
        </w:rPr>
        <w:t>los</w:t>
      </w:r>
      <w:r>
        <w:rPr>
          <w:spacing w:val="-6"/>
          <w:sz w:val="22"/>
        </w:rPr>
        <w:t> </w:t>
      </w:r>
      <w:r>
        <w:rPr>
          <w:sz w:val="22"/>
        </w:rPr>
        <w:t>términos</w:t>
      </w:r>
      <w:r>
        <w:rPr>
          <w:spacing w:val="-6"/>
          <w:sz w:val="22"/>
        </w:rPr>
        <w:t> </w:t>
      </w:r>
      <w:r>
        <w:rPr>
          <w:sz w:val="22"/>
        </w:rPr>
        <w:t>del</w:t>
      </w:r>
      <w:r>
        <w:rPr>
          <w:spacing w:val="-7"/>
          <w:sz w:val="22"/>
        </w:rPr>
        <w:t> </w:t>
      </w:r>
      <w:r>
        <w:rPr>
          <w:sz w:val="22"/>
        </w:rPr>
        <w:t>artículo</w:t>
      </w:r>
      <w:r>
        <w:rPr>
          <w:spacing w:val="-6"/>
          <w:sz w:val="22"/>
        </w:rPr>
        <w:t> </w:t>
      </w:r>
      <w:r>
        <w:rPr>
          <w:sz w:val="22"/>
        </w:rPr>
        <w:t>73,</w:t>
      </w:r>
      <w:r>
        <w:rPr>
          <w:spacing w:val="-5"/>
          <w:sz w:val="22"/>
        </w:rPr>
        <w:t> </w:t>
      </w:r>
      <w:r>
        <w:rPr>
          <w:sz w:val="22"/>
        </w:rPr>
        <w:t>ya</w:t>
      </w:r>
      <w:r>
        <w:rPr>
          <w:spacing w:val="-6"/>
          <w:sz w:val="22"/>
        </w:rPr>
        <w:t> </w:t>
      </w:r>
      <w:r>
        <w:rPr>
          <w:sz w:val="22"/>
        </w:rPr>
        <w:t>que</w:t>
      </w:r>
      <w:r>
        <w:rPr>
          <w:spacing w:val="-6"/>
          <w:sz w:val="22"/>
        </w:rPr>
        <w:t> </w:t>
      </w:r>
      <w:r>
        <w:rPr>
          <w:sz w:val="22"/>
        </w:rPr>
        <w:t>la</w:t>
      </w:r>
      <w:r>
        <w:rPr>
          <w:spacing w:val="-6"/>
          <w:sz w:val="22"/>
        </w:rPr>
        <w:t> </w:t>
      </w:r>
      <w:r>
        <w:rPr>
          <w:sz w:val="22"/>
        </w:rPr>
        <w:t>medida</w:t>
      </w:r>
      <w:r>
        <w:rPr>
          <w:spacing w:val="-7"/>
          <w:sz w:val="22"/>
        </w:rPr>
        <w:t> </w:t>
      </w:r>
      <w:r>
        <w:rPr>
          <w:sz w:val="22"/>
        </w:rPr>
        <w:t>se</w:t>
      </w:r>
      <w:r>
        <w:rPr>
          <w:spacing w:val="-6"/>
          <w:sz w:val="22"/>
        </w:rPr>
        <w:t> </w:t>
      </w:r>
      <w:r>
        <w:rPr>
          <w:sz w:val="22"/>
        </w:rPr>
        <w:t>enmarcaría</w:t>
      </w:r>
      <w:r>
        <w:rPr>
          <w:spacing w:val="-9"/>
          <w:sz w:val="22"/>
        </w:rPr>
        <w:t> </w:t>
      </w:r>
      <w:r>
        <w:rPr>
          <w:sz w:val="22"/>
        </w:rPr>
        <w:t>en</w:t>
      </w:r>
      <w:r>
        <w:rPr>
          <w:spacing w:val="-7"/>
          <w:sz w:val="22"/>
        </w:rPr>
        <w:t> </w:t>
      </w:r>
      <w:r>
        <w:rPr>
          <w:sz w:val="22"/>
        </w:rPr>
        <w:t>las</w:t>
      </w:r>
      <w:r>
        <w:rPr>
          <w:spacing w:val="-6"/>
          <w:sz w:val="22"/>
        </w:rPr>
        <w:t> </w:t>
      </w:r>
      <w:r>
        <w:rPr>
          <w:sz w:val="22"/>
        </w:rPr>
        <w:t>excepciones previstas en el literal b) del referido artículo, por cuanto estaría destinada a la aplicación de leyes y</w:t>
      </w:r>
      <w:r>
        <w:rPr>
          <w:spacing w:val="-2"/>
          <w:sz w:val="22"/>
        </w:rPr>
        <w:t> </w:t>
      </w:r>
      <w:r>
        <w:rPr>
          <w:sz w:val="22"/>
        </w:rPr>
        <w:t>reglamentos</w:t>
      </w:r>
      <w:r>
        <w:rPr>
          <w:spacing w:val="-2"/>
          <w:sz w:val="22"/>
        </w:rPr>
        <w:t> </w:t>
      </w:r>
      <w:r>
        <w:rPr>
          <w:sz w:val="22"/>
        </w:rPr>
        <w:t>de seguridad y</w:t>
      </w:r>
      <w:r>
        <w:rPr>
          <w:spacing w:val="-2"/>
          <w:sz w:val="22"/>
        </w:rPr>
        <w:t> </w:t>
      </w:r>
      <w:r>
        <w:rPr>
          <w:sz w:val="22"/>
        </w:rPr>
        <w:t>a la salvaguarda de</w:t>
      </w:r>
      <w:r>
        <w:rPr>
          <w:spacing w:val="-2"/>
          <w:sz w:val="22"/>
        </w:rPr>
        <w:t> </w:t>
      </w:r>
      <w:r>
        <w:rPr>
          <w:sz w:val="22"/>
        </w:rPr>
        <w:t>la seguridad nacional de Colombia.</w:t>
      </w:r>
    </w:p>
    <w:p>
      <w:pPr>
        <w:pStyle w:val="ListParagraph"/>
        <w:numPr>
          <w:ilvl w:val="0"/>
          <w:numId w:val="57"/>
        </w:numPr>
        <w:tabs>
          <w:tab w:pos="1560" w:val="left" w:leader="none"/>
        </w:tabs>
        <w:spacing w:line="252" w:lineRule="exact" w:before="0" w:after="0"/>
        <w:ind w:left="1560" w:right="0" w:hanging="358"/>
        <w:jc w:val="left"/>
        <w:rPr>
          <w:sz w:val="22"/>
        </w:rPr>
      </w:pPr>
      <w:r>
        <w:rPr>
          <w:spacing w:val="-2"/>
          <w:sz w:val="22"/>
        </w:rPr>
        <w:t>Las</w:t>
      </w:r>
      <w:r>
        <w:rPr>
          <w:spacing w:val="5"/>
          <w:sz w:val="22"/>
        </w:rPr>
        <w:t> </w:t>
      </w:r>
      <w:r>
        <w:rPr>
          <w:spacing w:val="-2"/>
          <w:sz w:val="22"/>
        </w:rPr>
        <w:t>Resoluciones</w:t>
      </w:r>
      <w:r>
        <w:rPr>
          <w:spacing w:val="5"/>
          <w:sz w:val="22"/>
        </w:rPr>
        <w:t> </w:t>
      </w:r>
      <w:r>
        <w:rPr>
          <w:spacing w:val="-2"/>
          <w:sz w:val="22"/>
        </w:rPr>
        <w:t>SENAE-SENAE-2026-0006-RE,</w:t>
      </w:r>
      <w:r>
        <w:rPr>
          <w:spacing w:val="7"/>
          <w:sz w:val="22"/>
        </w:rPr>
        <w:t> </w:t>
      </w:r>
      <w:r>
        <w:rPr>
          <w:spacing w:val="-2"/>
          <w:sz w:val="22"/>
        </w:rPr>
        <w:t>SENAE-SENAE-2026-</w:t>
      </w:r>
      <w:r>
        <w:rPr>
          <w:spacing w:val="7"/>
          <w:sz w:val="22"/>
        </w:rPr>
        <w:t> </w:t>
      </w:r>
      <w:r>
        <w:rPr>
          <w:spacing w:val="-2"/>
          <w:sz w:val="22"/>
        </w:rPr>
        <w:t>0017-</w:t>
      </w:r>
      <w:r>
        <w:rPr>
          <w:spacing w:val="-5"/>
          <w:sz w:val="22"/>
        </w:rPr>
        <w:t>RE</w:t>
      </w:r>
    </w:p>
    <w:p>
      <w:pPr>
        <w:pStyle w:val="BodyText"/>
        <w:ind w:left="1562" w:right="977"/>
        <w:jc w:val="both"/>
      </w:pPr>
      <w:r>
        <w:rPr/>
        <w:t>y SENAE-SENAE-2026-0031-RE, emitidas por la República del Ecuador, constituirían aranceles unilaterales e ilegales que han desequilibrado las condiciones de competencia en el mercado intrasubregional andino y han puesto en riesgo de quiebra al menos a 606 sectores productivos colombianos que compiten directamente con</w:t>
      </w:r>
      <w:r>
        <w:rPr>
          <w:spacing w:val="27"/>
        </w:rPr>
        <w:t> </w:t>
      </w:r>
      <w:r>
        <w:rPr/>
        <w:t>productos ecuatorianos. Esta amenaza existencial al</w:t>
      </w:r>
    </w:p>
    <w:p>
      <w:pPr>
        <w:pStyle w:val="BodyText"/>
        <w:rPr>
          <w:sz w:val="20"/>
        </w:rPr>
      </w:pPr>
    </w:p>
    <w:p>
      <w:pPr>
        <w:pStyle w:val="BodyText"/>
        <w:spacing w:before="70"/>
        <w:rPr>
          <w:sz w:val="20"/>
        </w:rPr>
      </w:pPr>
      <w:r>
        <w:rPr>
          <w:sz w:val="20"/>
        </w:rPr>
        <mc:AlternateContent>
          <mc:Choice Requires="wps">
            <w:drawing>
              <wp:anchor distT="0" distB="0" distL="0" distR="0" allowOverlap="1" layoutInCell="1" locked="0" behindDoc="1" simplePos="0" relativeHeight="487632384">
                <wp:simplePos x="0" y="0"/>
                <wp:positionH relativeFrom="page">
                  <wp:posOffset>990904</wp:posOffset>
                </wp:positionH>
                <wp:positionV relativeFrom="paragraph">
                  <wp:posOffset>205824</wp:posOffset>
                </wp:positionV>
                <wp:extent cx="1829435" cy="7620"/>
                <wp:effectExtent l="0" t="0" r="0" b="0"/>
                <wp:wrapTopAndBottom/>
                <wp:docPr id="411" name="Graphic 411"/>
                <wp:cNvGraphicFramePr>
                  <a:graphicFrameLocks/>
                </wp:cNvGraphicFramePr>
                <a:graphic>
                  <a:graphicData uri="http://schemas.microsoft.com/office/word/2010/wordprocessingShape">
                    <wps:wsp>
                      <wps:cNvPr id="411" name="Graphic 411"/>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6.206646pt;width:144.020pt;height:.599980pt;mso-position-horizontal-relative:page;mso-position-vertical-relative:paragraph;z-index:-15684096;mso-wrap-distance-left:0;mso-wrap-distance-right:0" id="docshape292" filled="true" fillcolor="#000000" stroked="false">
                <v:fill type="solid"/>
                <w10:wrap type="topAndBottom"/>
              </v:rect>
            </w:pict>
          </mc:Fallback>
        </mc:AlternateContent>
      </w:r>
    </w:p>
    <w:p>
      <w:pPr>
        <w:spacing w:before="92"/>
        <w:ind w:left="568" w:right="0" w:firstLine="0"/>
        <w:jc w:val="left"/>
        <w:rPr>
          <w:sz w:val="16"/>
        </w:rPr>
      </w:pPr>
      <w:bookmarkStart w:name="_bookmark81" w:id="82"/>
      <w:bookmarkEnd w:id="82"/>
      <w:r>
        <w:rPr/>
      </w:r>
      <w:r>
        <w:rPr>
          <w:sz w:val="16"/>
          <w:vertAlign w:val="superscript"/>
        </w:rPr>
        <w:t>14</w:t>
      </w:r>
      <w:r>
        <w:rPr>
          <w:spacing w:val="32"/>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5"/>
          <w:sz w:val="16"/>
          <w:vertAlign w:val="baseline"/>
        </w:rPr>
        <w:t> </w:t>
      </w:r>
      <w:r>
        <w:rPr>
          <w:sz w:val="16"/>
          <w:vertAlign w:val="baseline"/>
        </w:rPr>
        <w:t>folio</w:t>
      </w:r>
      <w:r>
        <w:rPr>
          <w:spacing w:val="-8"/>
          <w:sz w:val="16"/>
          <w:vertAlign w:val="baseline"/>
        </w:rPr>
        <w:t> </w:t>
      </w:r>
      <w:r>
        <w:rPr>
          <w:spacing w:val="-2"/>
          <w:sz w:val="16"/>
          <w:vertAlign w:val="baseline"/>
        </w:rPr>
        <w:t>000351.</w:t>
      </w:r>
    </w:p>
    <w:p>
      <w:pPr>
        <w:spacing w:line="183" w:lineRule="exact" w:before="1"/>
        <w:ind w:left="568" w:right="0" w:firstLine="0"/>
        <w:jc w:val="left"/>
        <w:rPr>
          <w:sz w:val="16"/>
        </w:rPr>
      </w:pPr>
      <w:bookmarkStart w:name="_bookmark82" w:id="83"/>
      <w:bookmarkEnd w:id="83"/>
      <w:r>
        <w:rPr/>
      </w:r>
      <w:r>
        <w:rPr>
          <w:sz w:val="16"/>
          <w:vertAlign w:val="superscript"/>
        </w:rPr>
        <w:t>15</w:t>
      </w:r>
      <w:r>
        <w:rPr>
          <w:spacing w:val="70"/>
          <w:sz w:val="16"/>
          <w:vertAlign w:val="baseline"/>
        </w:rPr>
        <w:t> </w:t>
      </w:r>
      <w:r>
        <w:rPr>
          <w:sz w:val="16"/>
          <w:vertAlign w:val="baseline"/>
        </w:rPr>
        <w:t>Expediente</w:t>
      </w:r>
      <w:r>
        <w:rPr>
          <w:spacing w:val="-5"/>
          <w:sz w:val="16"/>
          <w:vertAlign w:val="baseline"/>
        </w:rPr>
        <w:t> </w:t>
      </w:r>
      <w:r>
        <w:rPr>
          <w:sz w:val="16"/>
          <w:vertAlign w:val="baseline"/>
        </w:rPr>
        <w:t>DGCOM/GRAV-REST/002/2026,</w:t>
      </w:r>
      <w:r>
        <w:rPr>
          <w:spacing w:val="-6"/>
          <w:sz w:val="16"/>
          <w:vertAlign w:val="baseline"/>
        </w:rPr>
        <w:t> </w:t>
      </w:r>
      <w:r>
        <w:rPr>
          <w:rFonts w:ascii="Arial"/>
          <w:i/>
          <w:spacing w:val="-2"/>
          <w:sz w:val="16"/>
          <w:vertAlign w:val="baseline"/>
        </w:rPr>
        <w:t>Ibidem</w:t>
      </w:r>
      <w:r>
        <w:rPr>
          <w:spacing w:val="-2"/>
          <w:sz w:val="16"/>
          <w:vertAlign w:val="baseline"/>
        </w:rPr>
        <w:t>.</w:t>
      </w:r>
    </w:p>
    <w:p>
      <w:pPr>
        <w:spacing w:line="183" w:lineRule="exact" w:before="0"/>
        <w:ind w:left="568" w:right="0" w:firstLine="0"/>
        <w:jc w:val="left"/>
        <w:rPr>
          <w:sz w:val="16"/>
        </w:rPr>
      </w:pPr>
      <w:bookmarkStart w:name="_bookmark83" w:id="84"/>
      <w:bookmarkEnd w:id="84"/>
      <w:r>
        <w:rPr/>
      </w:r>
      <w:r>
        <w:rPr>
          <w:sz w:val="16"/>
          <w:vertAlign w:val="superscript"/>
        </w:rPr>
        <w:t>16</w:t>
      </w:r>
      <w:r>
        <w:rPr>
          <w:spacing w:val="72"/>
          <w:sz w:val="16"/>
          <w:vertAlign w:val="baseline"/>
        </w:rPr>
        <w:t> </w:t>
      </w:r>
      <w:r>
        <w:rPr>
          <w:sz w:val="16"/>
          <w:vertAlign w:val="baseline"/>
        </w:rPr>
        <w:t>Expediente</w:t>
      </w:r>
      <w:r>
        <w:rPr>
          <w:spacing w:val="-5"/>
          <w:sz w:val="16"/>
          <w:vertAlign w:val="baseline"/>
        </w:rPr>
        <w:t> </w:t>
      </w:r>
      <w:r>
        <w:rPr>
          <w:sz w:val="16"/>
          <w:vertAlign w:val="baseline"/>
        </w:rPr>
        <w:t>DGCOM/GRAV-REST/002/2026,</w:t>
      </w:r>
      <w:r>
        <w:rPr>
          <w:spacing w:val="-6"/>
          <w:sz w:val="16"/>
          <w:vertAlign w:val="baseline"/>
        </w:rPr>
        <w:t> </w:t>
      </w:r>
      <w:r>
        <w:rPr>
          <w:sz w:val="16"/>
          <w:vertAlign w:val="baseline"/>
        </w:rPr>
        <w:t>folio</w:t>
      </w:r>
      <w:r>
        <w:rPr>
          <w:spacing w:val="-5"/>
          <w:sz w:val="16"/>
          <w:vertAlign w:val="baseline"/>
        </w:rPr>
        <w:t> </w:t>
      </w:r>
      <w:r>
        <w:rPr>
          <w:spacing w:val="-4"/>
          <w:sz w:val="16"/>
          <w:vertAlign w:val="baseline"/>
        </w:rPr>
        <w:t>352.</w:t>
      </w:r>
    </w:p>
    <w:p>
      <w:pPr>
        <w:spacing w:before="1"/>
        <w:ind w:left="568" w:right="0" w:firstLine="0"/>
        <w:jc w:val="left"/>
        <w:rPr>
          <w:sz w:val="16"/>
        </w:rPr>
      </w:pPr>
      <w:bookmarkStart w:name="_bookmark84" w:id="85"/>
      <w:bookmarkEnd w:id="85"/>
      <w:r>
        <w:rPr/>
      </w:r>
      <w:r>
        <w:rPr>
          <w:sz w:val="16"/>
          <w:vertAlign w:val="superscript"/>
        </w:rPr>
        <w:t>17</w:t>
      </w:r>
      <w:r>
        <w:rPr>
          <w:spacing w:val="70"/>
          <w:sz w:val="16"/>
          <w:vertAlign w:val="baseline"/>
        </w:rPr>
        <w:t> </w:t>
      </w:r>
      <w:r>
        <w:rPr>
          <w:sz w:val="16"/>
          <w:vertAlign w:val="baseline"/>
        </w:rPr>
        <w:t>Expediente</w:t>
      </w:r>
      <w:r>
        <w:rPr>
          <w:spacing w:val="-5"/>
          <w:sz w:val="16"/>
          <w:vertAlign w:val="baseline"/>
        </w:rPr>
        <w:t> </w:t>
      </w:r>
      <w:r>
        <w:rPr>
          <w:sz w:val="16"/>
          <w:vertAlign w:val="baseline"/>
        </w:rPr>
        <w:t>DGCOM/GRAV-REST/002/2026,</w:t>
      </w:r>
      <w:r>
        <w:rPr>
          <w:spacing w:val="-6"/>
          <w:sz w:val="16"/>
          <w:vertAlign w:val="baseline"/>
        </w:rPr>
        <w:t> </w:t>
      </w:r>
      <w:r>
        <w:rPr>
          <w:rFonts w:ascii="Arial"/>
          <w:i/>
          <w:spacing w:val="-2"/>
          <w:sz w:val="16"/>
          <w:vertAlign w:val="baseline"/>
        </w:rPr>
        <w:t>Ibidem</w:t>
      </w:r>
      <w:r>
        <w:rPr>
          <w:spacing w:val="-2"/>
          <w:sz w:val="16"/>
          <w:vertAlign w:val="baseline"/>
        </w:rPr>
        <w:t>.</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12" name="Group 412"/>
                <wp:cNvGraphicFramePr>
                  <a:graphicFrameLocks/>
                </wp:cNvGraphicFramePr>
                <a:graphic>
                  <a:graphicData uri="http://schemas.microsoft.com/office/word/2010/wordprocessingGroup">
                    <wpg:wgp>
                      <wpg:cNvPr id="412" name="Group 412"/>
                      <wpg:cNvGrpSpPr/>
                      <wpg:grpSpPr>
                        <a:xfrm>
                          <a:off x="0" y="0"/>
                          <a:ext cx="6131560" cy="9525"/>
                          <a:chExt cx="6131560" cy="9525"/>
                        </a:xfrm>
                      </wpg:grpSpPr>
                      <wps:wsp>
                        <wps:cNvPr id="413" name="Graphic 413"/>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293"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spacing w:before="176"/>
      </w:pPr>
    </w:p>
    <w:p>
      <w:pPr>
        <w:pStyle w:val="BodyText"/>
        <w:ind w:left="1562" w:right="980"/>
        <w:jc w:val="both"/>
      </w:pPr>
      <w:r>
        <w:rPr/>
        <w:t>tejido productivo colombiano configuraría una afectación a la seguridad nacional, en los términos del artículo 73 b) del Acuerdo de Cartagena.</w:t>
      </w:r>
    </w:p>
    <w:p>
      <w:pPr>
        <w:pStyle w:val="ListParagraph"/>
        <w:numPr>
          <w:ilvl w:val="0"/>
          <w:numId w:val="57"/>
        </w:numPr>
        <w:tabs>
          <w:tab w:pos="1562" w:val="left" w:leader="none"/>
        </w:tabs>
        <w:spacing w:line="240" w:lineRule="auto" w:before="1" w:after="0"/>
        <w:ind w:left="1562" w:right="977" w:hanging="360"/>
        <w:jc w:val="both"/>
        <w:rPr>
          <w:sz w:val="22"/>
        </w:rPr>
      </w:pPr>
      <w:r>
        <w:rPr>
          <w:sz w:val="22"/>
        </w:rPr>
        <w:t>El</w:t>
      </w:r>
      <w:r>
        <w:rPr>
          <w:spacing w:val="-7"/>
          <w:sz w:val="22"/>
        </w:rPr>
        <w:t> </w:t>
      </w:r>
      <w:r>
        <w:rPr>
          <w:sz w:val="22"/>
        </w:rPr>
        <w:t>artículo</w:t>
      </w:r>
      <w:r>
        <w:rPr>
          <w:spacing w:val="-6"/>
          <w:sz w:val="22"/>
        </w:rPr>
        <w:t> </w:t>
      </w:r>
      <w:r>
        <w:rPr>
          <w:sz w:val="22"/>
        </w:rPr>
        <w:t>1</w:t>
      </w:r>
      <w:r>
        <w:rPr>
          <w:spacing w:val="-6"/>
          <w:sz w:val="22"/>
        </w:rPr>
        <w:t> </w:t>
      </w:r>
      <w:r>
        <w:rPr>
          <w:sz w:val="22"/>
        </w:rPr>
        <w:t>del</w:t>
      </w:r>
      <w:r>
        <w:rPr>
          <w:spacing w:val="-7"/>
          <w:sz w:val="22"/>
        </w:rPr>
        <w:t> </w:t>
      </w:r>
      <w:r>
        <w:rPr>
          <w:sz w:val="22"/>
        </w:rPr>
        <w:t>Decreto</w:t>
      </w:r>
      <w:r>
        <w:rPr>
          <w:spacing w:val="-11"/>
          <w:sz w:val="22"/>
        </w:rPr>
        <w:t> </w:t>
      </w:r>
      <w:r>
        <w:rPr>
          <w:sz w:val="22"/>
        </w:rPr>
        <w:t>170</w:t>
      </w:r>
      <w:r>
        <w:rPr>
          <w:spacing w:val="-5"/>
          <w:sz w:val="22"/>
        </w:rPr>
        <w:t> </w:t>
      </w:r>
      <w:r>
        <w:rPr>
          <w:sz w:val="22"/>
        </w:rPr>
        <w:t>satisfaría</w:t>
      </w:r>
      <w:r>
        <w:rPr>
          <w:spacing w:val="-6"/>
          <w:sz w:val="22"/>
        </w:rPr>
        <w:t> </w:t>
      </w:r>
      <w:r>
        <w:rPr>
          <w:sz w:val="22"/>
        </w:rPr>
        <w:t>el</w:t>
      </w:r>
      <w:r>
        <w:rPr>
          <w:spacing w:val="-10"/>
          <w:sz w:val="22"/>
        </w:rPr>
        <w:t> </w:t>
      </w:r>
      <w:r>
        <w:rPr>
          <w:sz w:val="22"/>
        </w:rPr>
        <w:t>test</w:t>
      </w:r>
      <w:r>
        <w:rPr>
          <w:spacing w:val="-8"/>
          <w:sz w:val="22"/>
        </w:rPr>
        <w:t> </w:t>
      </w:r>
      <w:r>
        <w:rPr>
          <w:sz w:val="22"/>
        </w:rPr>
        <w:t>exigido</w:t>
      </w:r>
      <w:r>
        <w:rPr>
          <w:spacing w:val="-7"/>
          <w:sz w:val="22"/>
        </w:rPr>
        <w:t> </w:t>
      </w:r>
      <w:r>
        <w:rPr>
          <w:sz w:val="22"/>
        </w:rPr>
        <w:t>por</w:t>
      </w:r>
      <w:r>
        <w:rPr>
          <w:spacing w:val="-5"/>
          <w:sz w:val="22"/>
        </w:rPr>
        <w:t> </w:t>
      </w:r>
      <w:r>
        <w:rPr>
          <w:sz w:val="22"/>
        </w:rPr>
        <w:t>la</w:t>
      </w:r>
      <w:r>
        <w:rPr>
          <w:spacing w:val="-9"/>
          <w:sz w:val="22"/>
        </w:rPr>
        <w:t> </w:t>
      </w:r>
      <w:r>
        <w:rPr>
          <w:sz w:val="22"/>
        </w:rPr>
        <w:t>jurisprudencia</w:t>
      </w:r>
      <w:r>
        <w:rPr>
          <w:spacing w:val="-9"/>
          <w:sz w:val="22"/>
        </w:rPr>
        <w:t> </w:t>
      </w:r>
      <w:r>
        <w:rPr>
          <w:sz w:val="22"/>
        </w:rPr>
        <w:t>del</w:t>
      </w:r>
      <w:r>
        <w:rPr>
          <w:spacing w:val="-7"/>
          <w:sz w:val="22"/>
        </w:rPr>
        <w:t> </w:t>
      </w:r>
      <w:r>
        <w:rPr>
          <w:sz w:val="22"/>
        </w:rPr>
        <w:t>TJCA (refiriéndose</w:t>
      </w:r>
      <w:r>
        <w:rPr>
          <w:spacing w:val="-3"/>
          <w:sz w:val="22"/>
        </w:rPr>
        <w:t> </w:t>
      </w:r>
      <w:r>
        <w:rPr>
          <w:sz w:val="22"/>
        </w:rPr>
        <w:t>al</w:t>
      </w:r>
      <w:r>
        <w:rPr>
          <w:spacing w:val="-3"/>
          <w:sz w:val="22"/>
        </w:rPr>
        <w:t> </w:t>
      </w:r>
      <w:r>
        <w:rPr>
          <w:sz w:val="22"/>
        </w:rPr>
        <w:t>Tribunal</w:t>
      </w:r>
      <w:r>
        <w:rPr>
          <w:spacing w:val="-6"/>
          <w:sz w:val="22"/>
        </w:rPr>
        <w:t> </w:t>
      </w:r>
      <w:r>
        <w:rPr>
          <w:sz w:val="22"/>
        </w:rPr>
        <w:t>de</w:t>
      </w:r>
      <w:r>
        <w:rPr>
          <w:spacing w:val="-3"/>
          <w:sz w:val="22"/>
        </w:rPr>
        <w:t> </w:t>
      </w:r>
      <w:r>
        <w:rPr>
          <w:sz w:val="22"/>
        </w:rPr>
        <w:t>Justicia</w:t>
      </w:r>
      <w:r>
        <w:rPr>
          <w:spacing w:val="-3"/>
          <w:sz w:val="22"/>
        </w:rPr>
        <w:t> </w:t>
      </w:r>
      <w:r>
        <w:rPr>
          <w:sz w:val="22"/>
        </w:rPr>
        <w:t>de</w:t>
      </w:r>
      <w:r>
        <w:rPr>
          <w:spacing w:val="-3"/>
          <w:sz w:val="22"/>
        </w:rPr>
        <w:t> </w:t>
      </w:r>
      <w:r>
        <w:rPr>
          <w:sz w:val="22"/>
        </w:rPr>
        <w:t>la</w:t>
      </w:r>
      <w:r>
        <w:rPr>
          <w:spacing w:val="-5"/>
          <w:sz w:val="22"/>
        </w:rPr>
        <w:t> </w:t>
      </w:r>
      <w:r>
        <w:rPr>
          <w:sz w:val="22"/>
        </w:rPr>
        <w:t>Comunidad</w:t>
      </w:r>
      <w:r>
        <w:rPr>
          <w:spacing w:val="-3"/>
          <w:sz w:val="22"/>
        </w:rPr>
        <w:t> </w:t>
      </w:r>
      <w:r>
        <w:rPr>
          <w:sz w:val="22"/>
        </w:rPr>
        <w:t>Andina) para</w:t>
      </w:r>
      <w:r>
        <w:rPr>
          <w:spacing w:val="-5"/>
          <w:sz w:val="22"/>
        </w:rPr>
        <w:t> </w:t>
      </w:r>
      <w:r>
        <w:rPr>
          <w:sz w:val="22"/>
        </w:rPr>
        <w:t>la</w:t>
      </w:r>
      <w:r>
        <w:rPr>
          <w:spacing w:val="-3"/>
          <w:sz w:val="22"/>
        </w:rPr>
        <w:t> </w:t>
      </w:r>
      <w:r>
        <w:rPr>
          <w:sz w:val="22"/>
        </w:rPr>
        <w:t>aplicación</w:t>
      </w:r>
      <w:r>
        <w:rPr>
          <w:spacing w:val="-3"/>
          <w:sz w:val="22"/>
        </w:rPr>
        <w:t> </w:t>
      </w:r>
      <w:r>
        <w:rPr>
          <w:sz w:val="22"/>
        </w:rPr>
        <w:t>del artículo 73 del Acuerdo de Cartagena, en lo relativo a los criterios de idoneidad, insustituibilidad, proporcionalidad y no discriminación.</w:t>
      </w:r>
    </w:p>
    <w:p>
      <w:pPr>
        <w:pStyle w:val="ListParagraph"/>
        <w:numPr>
          <w:ilvl w:val="0"/>
          <w:numId w:val="57"/>
        </w:numPr>
        <w:tabs>
          <w:tab w:pos="1560" w:val="left" w:leader="none"/>
          <w:tab w:pos="1562" w:val="left" w:leader="none"/>
        </w:tabs>
        <w:spacing w:line="240" w:lineRule="auto" w:before="1" w:after="0"/>
        <w:ind w:left="1562" w:right="976" w:hanging="360"/>
        <w:jc w:val="both"/>
        <w:rPr>
          <w:sz w:val="22"/>
        </w:rPr>
      </w:pPr>
      <w:r>
        <w:rPr>
          <w:sz w:val="22"/>
        </w:rPr>
        <w:t>La medida adoptada en</w:t>
      </w:r>
      <w:r>
        <w:rPr>
          <w:spacing w:val="-3"/>
          <w:sz w:val="22"/>
        </w:rPr>
        <w:t> </w:t>
      </w:r>
      <w:r>
        <w:rPr>
          <w:sz w:val="22"/>
        </w:rPr>
        <w:t>el artículo 2 del Decreto</w:t>
      </w:r>
      <w:r>
        <w:rPr>
          <w:spacing w:val="-1"/>
          <w:sz w:val="22"/>
        </w:rPr>
        <w:t> </w:t>
      </w:r>
      <w:r>
        <w:rPr>
          <w:sz w:val="22"/>
        </w:rPr>
        <w:t>170 no constituye una prohibición al comercio intracomunitario, sino un mecanismo de canalización del ingreso de mercancías hacia los puntos donde el Estado colombiano cuenta con capacidad operativa efectiva para</w:t>
      </w:r>
      <w:r>
        <w:rPr>
          <w:spacing w:val="-1"/>
          <w:sz w:val="22"/>
        </w:rPr>
        <w:t> </w:t>
      </w:r>
      <w:r>
        <w:rPr>
          <w:sz w:val="22"/>
        </w:rPr>
        <w:t>ejercer las funciones de</w:t>
      </w:r>
      <w:r>
        <w:rPr>
          <w:spacing w:val="-1"/>
          <w:sz w:val="22"/>
        </w:rPr>
        <w:t> </w:t>
      </w:r>
      <w:r>
        <w:rPr>
          <w:sz w:val="22"/>
        </w:rPr>
        <w:t>inspección, vigilancia y control. Se enmarcaría en lo previsto en el artículo 73, literal d) del Acuerdo de Cartagena, consistente en medidas destinadas a la protección de la vida y la salud de las personas, los animales y los vegetales. Asimismo, la referida medida satisfaría el test exigido por la jurisprudencia del TJCA para la aplicación del artículo 73 del Acuerdo de Cartagena, en cuanto a los criterios de idoneidad, insustituibilidad, proporcionalidad y no discriminación.</w:t>
      </w:r>
    </w:p>
    <w:p>
      <w:pPr>
        <w:pStyle w:val="ListParagraph"/>
        <w:numPr>
          <w:ilvl w:val="0"/>
          <w:numId w:val="57"/>
        </w:numPr>
        <w:tabs>
          <w:tab w:pos="1560" w:val="left" w:leader="none"/>
          <w:tab w:pos="1562" w:val="left" w:leader="none"/>
        </w:tabs>
        <w:spacing w:line="240" w:lineRule="auto" w:before="0" w:after="0"/>
        <w:ind w:left="1562" w:right="980" w:hanging="360"/>
        <w:jc w:val="both"/>
        <w:rPr>
          <w:sz w:val="22"/>
        </w:rPr>
      </w:pPr>
      <w:r>
        <w:rPr>
          <w:sz w:val="22"/>
        </w:rPr>
        <w:t>La</w:t>
      </w:r>
      <w:r>
        <w:rPr>
          <w:spacing w:val="-16"/>
          <w:sz w:val="22"/>
        </w:rPr>
        <w:t> </w:t>
      </w:r>
      <w:r>
        <w:rPr>
          <w:sz w:val="22"/>
        </w:rPr>
        <w:t>medida</w:t>
      </w:r>
      <w:r>
        <w:rPr>
          <w:spacing w:val="-15"/>
          <w:sz w:val="22"/>
        </w:rPr>
        <w:t> </w:t>
      </w:r>
      <w:r>
        <w:rPr>
          <w:sz w:val="22"/>
        </w:rPr>
        <w:t>aplicable</w:t>
      </w:r>
      <w:r>
        <w:rPr>
          <w:spacing w:val="-15"/>
          <w:sz w:val="22"/>
        </w:rPr>
        <w:t> </w:t>
      </w:r>
      <w:r>
        <w:rPr>
          <w:sz w:val="22"/>
        </w:rPr>
        <w:t>al</w:t>
      </w:r>
      <w:r>
        <w:rPr>
          <w:spacing w:val="-16"/>
          <w:sz w:val="22"/>
        </w:rPr>
        <w:t> </w:t>
      </w:r>
      <w:r>
        <w:rPr>
          <w:sz w:val="22"/>
        </w:rPr>
        <w:t>arroz</w:t>
      </w:r>
      <w:r>
        <w:rPr>
          <w:spacing w:val="-15"/>
          <w:sz w:val="22"/>
        </w:rPr>
        <w:t> </w:t>
      </w:r>
      <w:r>
        <w:rPr>
          <w:sz w:val="22"/>
        </w:rPr>
        <w:t>se</w:t>
      </w:r>
      <w:r>
        <w:rPr>
          <w:spacing w:val="-15"/>
          <w:sz w:val="22"/>
        </w:rPr>
        <w:t> </w:t>
      </w:r>
      <w:r>
        <w:rPr>
          <w:sz w:val="22"/>
        </w:rPr>
        <w:t>fundamentaría</w:t>
      </w:r>
      <w:r>
        <w:rPr>
          <w:spacing w:val="-15"/>
          <w:sz w:val="22"/>
        </w:rPr>
        <w:t> </w:t>
      </w:r>
      <w:r>
        <w:rPr>
          <w:sz w:val="22"/>
        </w:rPr>
        <w:t>en</w:t>
      </w:r>
      <w:r>
        <w:rPr>
          <w:spacing w:val="-16"/>
          <w:sz w:val="22"/>
        </w:rPr>
        <w:t> </w:t>
      </w:r>
      <w:r>
        <w:rPr>
          <w:sz w:val="22"/>
        </w:rPr>
        <w:t>razones</w:t>
      </w:r>
      <w:r>
        <w:rPr>
          <w:spacing w:val="-15"/>
          <w:sz w:val="22"/>
        </w:rPr>
        <w:t> </w:t>
      </w:r>
      <w:r>
        <w:rPr>
          <w:sz w:val="22"/>
        </w:rPr>
        <w:t>de</w:t>
      </w:r>
      <w:r>
        <w:rPr>
          <w:spacing w:val="-15"/>
          <w:sz w:val="22"/>
        </w:rPr>
        <w:t> </w:t>
      </w:r>
      <w:r>
        <w:rPr>
          <w:sz w:val="22"/>
        </w:rPr>
        <w:t>trazabilidad,</w:t>
      </w:r>
      <w:r>
        <w:rPr>
          <w:spacing w:val="-16"/>
          <w:sz w:val="22"/>
        </w:rPr>
        <w:t> </w:t>
      </w:r>
      <w:r>
        <w:rPr>
          <w:sz w:val="22"/>
        </w:rPr>
        <w:t>inocuidad alimentaria y protección de la sanidad agropecuaria, conforme al literal d) del artículo</w:t>
      </w:r>
      <w:r>
        <w:rPr>
          <w:spacing w:val="-6"/>
          <w:sz w:val="22"/>
        </w:rPr>
        <w:t> </w:t>
      </w:r>
      <w:r>
        <w:rPr>
          <w:sz w:val="22"/>
        </w:rPr>
        <w:t>73</w:t>
      </w:r>
      <w:r>
        <w:rPr>
          <w:spacing w:val="-7"/>
          <w:sz w:val="22"/>
        </w:rPr>
        <w:t> </w:t>
      </w:r>
      <w:r>
        <w:rPr>
          <w:sz w:val="22"/>
        </w:rPr>
        <w:t>del</w:t>
      </w:r>
      <w:r>
        <w:rPr>
          <w:spacing w:val="-9"/>
          <w:sz w:val="22"/>
        </w:rPr>
        <w:t> </w:t>
      </w:r>
      <w:r>
        <w:rPr>
          <w:sz w:val="22"/>
        </w:rPr>
        <w:t>Acuerdo</w:t>
      </w:r>
      <w:r>
        <w:rPr>
          <w:spacing w:val="-9"/>
          <w:sz w:val="22"/>
        </w:rPr>
        <w:t> </w:t>
      </w:r>
      <w:r>
        <w:rPr>
          <w:sz w:val="22"/>
        </w:rPr>
        <w:t>de</w:t>
      </w:r>
      <w:r>
        <w:rPr>
          <w:spacing w:val="-6"/>
          <w:sz w:val="22"/>
        </w:rPr>
        <w:t> </w:t>
      </w:r>
      <w:r>
        <w:rPr>
          <w:sz w:val="22"/>
        </w:rPr>
        <w:t>Cartagena</w:t>
      </w:r>
      <w:r>
        <w:rPr>
          <w:spacing w:val="-9"/>
          <w:sz w:val="22"/>
        </w:rPr>
        <w:t> </w:t>
      </w:r>
      <w:r>
        <w:rPr>
          <w:sz w:val="22"/>
        </w:rPr>
        <w:t>y</w:t>
      </w:r>
      <w:r>
        <w:rPr>
          <w:spacing w:val="-8"/>
          <w:sz w:val="22"/>
        </w:rPr>
        <w:t> </w:t>
      </w:r>
      <w:r>
        <w:rPr>
          <w:sz w:val="22"/>
        </w:rPr>
        <w:t>al</w:t>
      </w:r>
      <w:r>
        <w:rPr>
          <w:spacing w:val="-7"/>
          <w:sz w:val="22"/>
        </w:rPr>
        <w:t> </w:t>
      </w:r>
      <w:r>
        <w:rPr>
          <w:sz w:val="22"/>
        </w:rPr>
        <w:t>artículo</w:t>
      </w:r>
      <w:r>
        <w:rPr>
          <w:spacing w:val="-11"/>
          <w:sz w:val="22"/>
        </w:rPr>
        <w:t> </w:t>
      </w:r>
      <w:r>
        <w:rPr>
          <w:sz w:val="22"/>
        </w:rPr>
        <w:t>2</w:t>
      </w:r>
      <w:r>
        <w:rPr>
          <w:spacing w:val="-6"/>
          <w:sz w:val="22"/>
        </w:rPr>
        <w:t> </w:t>
      </w:r>
      <w:r>
        <w:rPr>
          <w:sz w:val="22"/>
        </w:rPr>
        <w:t>del</w:t>
      </w:r>
      <w:r>
        <w:rPr>
          <w:spacing w:val="-7"/>
          <w:sz w:val="22"/>
        </w:rPr>
        <w:t> </w:t>
      </w:r>
      <w:r>
        <w:rPr>
          <w:sz w:val="22"/>
        </w:rPr>
        <w:t>Acuerdo</w:t>
      </w:r>
      <w:r>
        <w:rPr>
          <w:spacing w:val="-7"/>
          <w:sz w:val="22"/>
        </w:rPr>
        <w:t> </w:t>
      </w:r>
      <w:r>
        <w:rPr>
          <w:sz w:val="22"/>
        </w:rPr>
        <w:t>sobre</w:t>
      </w:r>
      <w:r>
        <w:rPr>
          <w:spacing w:val="-9"/>
          <w:sz w:val="22"/>
        </w:rPr>
        <w:t> </w:t>
      </w:r>
      <w:r>
        <w:rPr>
          <w:sz w:val="22"/>
        </w:rPr>
        <w:t>la</w:t>
      </w:r>
      <w:r>
        <w:rPr>
          <w:spacing w:val="-6"/>
          <w:sz w:val="22"/>
        </w:rPr>
        <w:t> </w:t>
      </w:r>
      <w:r>
        <w:rPr>
          <w:sz w:val="22"/>
        </w:rPr>
        <w:t>aplicación de Medidas Sanitarias y Fitosanitarias (MSF) de la Organización Mundial del Comercio (OMC), y no en consideraciones de mercado, precios, competencia comercial o protección económica sectorial.</w:t>
      </w:r>
    </w:p>
    <w:p>
      <w:pPr>
        <w:pStyle w:val="ListParagraph"/>
        <w:numPr>
          <w:ilvl w:val="0"/>
          <w:numId w:val="57"/>
        </w:numPr>
        <w:tabs>
          <w:tab w:pos="1562" w:val="left" w:leader="none"/>
        </w:tabs>
        <w:spacing w:line="240" w:lineRule="auto" w:before="0" w:after="0"/>
        <w:ind w:left="1562" w:right="976" w:hanging="360"/>
        <w:jc w:val="both"/>
        <w:rPr>
          <w:sz w:val="22"/>
        </w:rPr>
      </w:pPr>
      <w:r>
        <w:rPr>
          <w:sz w:val="22"/>
        </w:rPr>
        <w:t>Por último, la medida contenida en el artículo 3 del Decreto 0170 habría sido adoptada por razones de política</w:t>
      </w:r>
      <w:r>
        <w:rPr>
          <w:spacing w:val="-1"/>
          <w:sz w:val="22"/>
        </w:rPr>
        <w:t> </w:t>
      </w:r>
      <w:r>
        <w:rPr>
          <w:sz w:val="22"/>
        </w:rPr>
        <w:t>pública y se encontraría justificada, en</w:t>
      </w:r>
      <w:r>
        <w:rPr>
          <w:spacing w:val="-1"/>
          <w:sz w:val="22"/>
        </w:rPr>
        <w:t> </w:t>
      </w:r>
      <w:r>
        <w:rPr>
          <w:sz w:val="22"/>
        </w:rPr>
        <w:t>la medida en que satisfaría los supuestos previstos en el artículo 73 del Acuerdo de Cartagena,</w:t>
      </w:r>
      <w:r>
        <w:rPr>
          <w:spacing w:val="-11"/>
          <w:sz w:val="22"/>
        </w:rPr>
        <w:t> </w:t>
      </w:r>
      <w:r>
        <w:rPr>
          <w:sz w:val="22"/>
        </w:rPr>
        <w:t>al</w:t>
      </w:r>
      <w:r>
        <w:rPr>
          <w:spacing w:val="-13"/>
          <w:sz w:val="22"/>
        </w:rPr>
        <w:t> </w:t>
      </w:r>
      <w:r>
        <w:rPr>
          <w:sz w:val="22"/>
        </w:rPr>
        <w:t>atender</w:t>
      </w:r>
      <w:r>
        <w:rPr>
          <w:spacing w:val="-11"/>
          <w:sz w:val="22"/>
        </w:rPr>
        <w:t> </w:t>
      </w:r>
      <w:r>
        <w:rPr>
          <w:sz w:val="22"/>
        </w:rPr>
        <w:t>objetivos</w:t>
      </w:r>
      <w:r>
        <w:rPr>
          <w:spacing w:val="-12"/>
          <w:sz w:val="22"/>
        </w:rPr>
        <w:t> </w:t>
      </w:r>
      <w:r>
        <w:rPr>
          <w:sz w:val="22"/>
        </w:rPr>
        <w:t>de</w:t>
      </w:r>
      <w:r>
        <w:rPr>
          <w:spacing w:val="-13"/>
          <w:sz w:val="22"/>
        </w:rPr>
        <w:t> </w:t>
      </w:r>
      <w:r>
        <w:rPr>
          <w:sz w:val="22"/>
        </w:rPr>
        <w:t>protección</w:t>
      </w:r>
      <w:r>
        <w:rPr>
          <w:spacing w:val="-13"/>
          <w:sz w:val="22"/>
        </w:rPr>
        <w:t> </w:t>
      </w:r>
      <w:r>
        <w:rPr>
          <w:sz w:val="22"/>
        </w:rPr>
        <w:t>de</w:t>
      </w:r>
      <w:r>
        <w:rPr>
          <w:spacing w:val="-13"/>
          <w:sz w:val="22"/>
        </w:rPr>
        <w:t> </w:t>
      </w:r>
      <w:r>
        <w:rPr>
          <w:sz w:val="22"/>
        </w:rPr>
        <w:t>la</w:t>
      </w:r>
      <w:r>
        <w:rPr>
          <w:spacing w:val="-12"/>
          <w:sz w:val="22"/>
        </w:rPr>
        <w:t> </w:t>
      </w:r>
      <w:r>
        <w:rPr>
          <w:sz w:val="22"/>
        </w:rPr>
        <w:t>moralidad</w:t>
      </w:r>
      <w:r>
        <w:rPr>
          <w:spacing w:val="-10"/>
          <w:sz w:val="22"/>
        </w:rPr>
        <w:t> </w:t>
      </w:r>
      <w:r>
        <w:rPr>
          <w:sz w:val="22"/>
        </w:rPr>
        <w:t>pública,</w:t>
      </w:r>
      <w:r>
        <w:rPr>
          <w:spacing w:val="-11"/>
          <w:sz w:val="22"/>
        </w:rPr>
        <w:t> </w:t>
      </w:r>
      <w:r>
        <w:rPr>
          <w:sz w:val="22"/>
        </w:rPr>
        <w:t>aplicación</w:t>
      </w:r>
      <w:r>
        <w:rPr>
          <w:spacing w:val="-10"/>
          <w:sz w:val="22"/>
        </w:rPr>
        <w:t> </w:t>
      </w:r>
      <w:r>
        <w:rPr>
          <w:sz w:val="22"/>
        </w:rPr>
        <w:t>de leyes y reglamentos, y protección de la vida y la salud de las personas; asimismo, cumpliría con los requisitos de idoneidad, necesidad, proporcionalidad y no </w:t>
      </w:r>
      <w:r>
        <w:rPr>
          <w:spacing w:val="-2"/>
          <w:sz w:val="22"/>
        </w:rPr>
        <w:t>discriminación.</w:t>
      </w:r>
    </w:p>
    <w:p>
      <w:pPr>
        <w:pStyle w:val="Heading5"/>
        <w:numPr>
          <w:ilvl w:val="0"/>
          <w:numId w:val="49"/>
        </w:numPr>
        <w:tabs>
          <w:tab w:pos="850" w:val="left" w:leader="none"/>
        </w:tabs>
        <w:spacing w:line="240" w:lineRule="auto" w:before="252" w:after="0"/>
        <w:ind w:left="850" w:right="0" w:hanging="282"/>
        <w:jc w:val="left"/>
        <w:rPr>
          <w:rFonts w:ascii="Arial MT" w:hAnsi="Arial MT"/>
          <w:b w:val="0"/>
        </w:rPr>
      </w:pPr>
      <w:r>
        <w:rPr/>
        <w:t>INFORMACIÓN</w:t>
      </w:r>
      <w:r>
        <w:rPr>
          <w:spacing w:val="-7"/>
        </w:rPr>
        <w:t> </w:t>
      </w:r>
      <w:r>
        <w:rPr/>
        <w:t>DE</w:t>
      </w:r>
      <w:r>
        <w:rPr>
          <w:spacing w:val="-4"/>
        </w:rPr>
        <w:t> </w:t>
      </w:r>
      <w:r>
        <w:rPr/>
        <w:t>LOS</w:t>
      </w:r>
      <w:r>
        <w:rPr>
          <w:spacing w:val="-4"/>
        </w:rPr>
        <w:t> </w:t>
      </w:r>
      <w:r>
        <w:rPr/>
        <w:t>PAÍSES</w:t>
      </w:r>
      <w:r>
        <w:rPr>
          <w:spacing w:val="-4"/>
        </w:rPr>
        <w:t> </w:t>
      </w:r>
      <w:r>
        <w:rPr>
          <w:spacing w:val="-2"/>
        </w:rPr>
        <w:t>MIEMBROS</w:t>
      </w:r>
    </w:p>
    <w:p>
      <w:pPr>
        <w:pStyle w:val="BodyText"/>
        <w:spacing w:before="240"/>
        <w:rPr>
          <w:rFonts w:ascii="Arial"/>
          <w:b/>
        </w:rPr>
      </w:pPr>
    </w:p>
    <w:p>
      <w:pPr>
        <w:pStyle w:val="ListParagraph"/>
        <w:numPr>
          <w:ilvl w:val="0"/>
          <w:numId w:val="50"/>
        </w:numPr>
        <w:tabs>
          <w:tab w:pos="1130" w:val="left" w:leader="none"/>
          <w:tab w:pos="1134" w:val="left" w:leader="none"/>
        </w:tabs>
        <w:spacing w:line="240" w:lineRule="auto" w:before="0" w:after="0"/>
        <w:ind w:left="1134" w:right="982" w:hanging="567"/>
        <w:jc w:val="both"/>
        <w:rPr>
          <w:sz w:val="22"/>
        </w:rPr>
      </w:pPr>
      <w:r>
        <w:rPr>
          <w:sz w:val="22"/>
        </w:rPr>
        <w:t>Con relación a la presentación de la información adicional, corresponde señalar que el Estado Plurinacional de Bolivia y la República del Perú no presentaron comentarios o información en el marco del presente procedimiento.</w:t>
      </w:r>
    </w:p>
    <w:p>
      <w:pPr>
        <w:pStyle w:val="BodyText"/>
        <w:spacing w:before="1"/>
      </w:pPr>
    </w:p>
    <w:p>
      <w:pPr>
        <w:pStyle w:val="Heading5"/>
        <w:numPr>
          <w:ilvl w:val="0"/>
          <w:numId w:val="49"/>
        </w:numPr>
        <w:tabs>
          <w:tab w:pos="850" w:val="left" w:leader="none"/>
        </w:tabs>
        <w:spacing w:line="240" w:lineRule="auto" w:before="0" w:after="0"/>
        <w:ind w:left="850" w:right="0" w:hanging="282"/>
        <w:jc w:val="left"/>
        <w:rPr>
          <w:rFonts w:ascii="Arial MT"/>
          <w:b w:val="0"/>
        </w:rPr>
      </w:pPr>
      <w:r>
        <w:rPr/>
        <w:t>CUESTIONES</w:t>
      </w:r>
      <w:r>
        <w:rPr>
          <w:spacing w:val="-10"/>
        </w:rPr>
        <w:t> </w:t>
      </w:r>
      <w:r>
        <w:rPr>
          <w:spacing w:val="-2"/>
        </w:rPr>
        <w:t>PREVIAS</w:t>
      </w:r>
    </w:p>
    <w:p>
      <w:pPr>
        <w:pStyle w:val="BodyText"/>
        <w:spacing w:before="1"/>
        <w:rPr>
          <w:rFonts w:ascii="Arial"/>
          <w:b/>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Antes</w:t>
      </w:r>
      <w:r>
        <w:rPr>
          <w:spacing w:val="-8"/>
          <w:sz w:val="22"/>
        </w:rPr>
        <w:t> </w:t>
      </w:r>
      <w:r>
        <w:rPr>
          <w:sz w:val="22"/>
        </w:rPr>
        <w:t>de</w:t>
      </w:r>
      <w:r>
        <w:rPr>
          <w:spacing w:val="-12"/>
          <w:sz w:val="22"/>
        </w:rPr>
        <w:t> </w:t>
      </w:r>
      <w:r>
        <w:rPr>
          <w:sz w:val="22"/>
        </w:rPr>
        <w:t>analizar</w:t>
      </w:r>
      <w:r>
        <w:rPr>
          <w:spacing w:val="-10"/>
          <w:sz w:val="22"/>
        </w:rPr>
        <w:t> </w:t>
      </w:r>
      <w:r>
        <w:rPr>
          <w:sz w:val="22"/>
        </w:rPr>
        <w:t>la</w:t>
      </w:r>
      <w:r>
        <w:rPr>
          <w:spacing w:val="-11"/>
          <w:sz w:val="22"/>
        </w:rPr>
        <w:t> </w:t>
      </w:r>
      <w:r>
        <w:rPr>
          <w:sz w:val="22"/>
        </w:rPr>
        <w:t>cuestión</w:t>
      </w:r>
      <w:r>
        <w:rPr>
          <w:spacing w:val="-9"/>
          <w:sz w:val="22"/>
        </w:rPr>
        <w:t> </w:t>
      </w:r>
      <w:r>
        <w:rPr>
          <w:sz w:val="22"/>
        </w:rPr>
        <w:t>de</w:t>
      </w:r>
      <w:r>
        <w:rPr>
          <w:spacing w:val="-14"/>
          <w:sz w:val="22"/>
        </w:rPr>
        <w:t> </w:t>
      </w:r>
      <w:r>
        <w:rPr>
          <w:sz w:val="22"/>
        </w:rPr>
        <w:t>fondo</w:t>
      </w:r>
      <w:r>
        <w:rPr>
          <w:spacing w:val="-9"/>
          <w:sz w:val="22"/>
        </w:rPr>
        <w:t> </w:t>
      </w:r>
      <w:r>
        <w:rPr>
          <w:sz w:val="22"/>
        </w:rPr>
        <w:t>en</w:t>
      </w:r>
      <w:r>
        <w:rPr>
          <w:spacing w:val="-9"/>
          <w:sz w:val="22"/>
        </w:rPr>
        <w:t> </w:t>
      </w:r>
      <w:r>
        <w:rPr>
          <w:sz w:val="22"/>
        </w:rPr>
        <w:t>este</w:t>
      </w:r>
      <w:r>
        <w:rPr>
          <w:spacing w:val="-11"/>
          <w:sz w:val="22"/>
        </w:rPr>
        <w:t> </w:t>
      </w:r>
      <w:r>
        <w:rPr>
          <w:sz w:val="22"/>
        </w:rPr>
        <w:t>procedimiento</w:t>
      </w:r>
      <w:r>
        <w:rPr>
          <w:spacing w:val="-11"/>
          <w:sz w:val="22"/>
        </w:rPr>
        <w:t> </w:t>
      </w:r>
      <w:r>
        <w:rPr>
          <w:sz w:val="22"/>
        </w:rPr>
        <w:t>(si</w:t>
      </w:r>
      <w:r>
        <w:rPr>
          <w:spacing w:val="-12"/>
          <w:sz w:val="22"/>
        </w:rPr>
        <w:t> </w:t>
      </w:r>
      <w:r>
        <w:rPr>
          <w:sz w:val="22"/>
        </w:rPr>
        <w:t>las</w:t>
      </w:r>
      <w:r>
        <w:rPr>
          <w:spacing w:val="-11"/>
          <w:sz w:val="22"/>
        </w:rPr>
        <w:t> </w:t>
      </w:r>
      <w:r>
        <w:rPr>
          <w:sz w:val="22"/>
        </w:rPr>
        <w:t>medidas</w:t>
      </w:r>
      <w:r>
        <w:rPr>
          <w:spacing w:val="-9"/>
          <w:sz w:val="22"/>
        </w:rPr>
        <w:t> </w:t>
      </w:r>
      <w:r>
        <w:rPr>
          <w:sz w:val="22"/>
        </w:rPr>
        <w:t>contenidas en el Decreto 0170 constituyen un gravamen y restricción al comercio andino), se abordarán algunos aspectos preliminares.</w:t>
      </w:r>
    </w:p>
    <w:p>
      <w:pPr>
        <w:pStyle w:val="Heading6"/>
        <w:numPr>
          <w:ilvl w:val="1"/>
          <w:numId w:val="49"/>
        </w:numPr>
        <w:tabs>
          <w:tab w:pos="1420" w:val="left" w:leader="none"/>
          <w:tab w:pos="1986" w:val="left" w:leader="none"/>
        </w:tabs>
        <w:spacing w:line="240" w:lineRule="auto" w:before="252" w:after="0"/>
        <w:ind w:left="1420" w:right="982" w:hanging="286"/>
        <w:jc w:val="left"/>
      </w:pPr>
      <w:r>
        <w:rPr/>
        <w:t>Sobre el argumento relacionado con la supuesta aplicación del principio de complemento indispensable</w:t>
      </w:r>
    </w:p>
    <w:p>
      <w:pPr>
        <w:pStyle w:val="BodyText"/>
        <w:spacing w:before="1"/>
        <w:rPr>
          <w:rFonts w:ascii="Arial"/>
          <w:b/>
        </w:rPr>
      </w:pPr>
    </w:p>
    <w:p>
      <w:pPr>
        <w:pStyle w:val="ListParagraph"/>
        <w:numPr>
          <w:ilvl w:val="0"/>
          <w:numId w:val="50"/>
        </w:numPr>
        <w:tabs>
          <w:tab w:pos="1130" w:val="left" w:leader="none"/>
          <w:tab w:pos="1134" w:val="left" w:leader="none"/>
        </w:tabs>
        <w:spacing w:line="240" w:lineRule="auto" w:before="0" w:after="0"/>
        <w:ind w:left="1134" w:right="979" w:hanging="567"/>
        <w:jc w:val="both"/>
        <w:rPr>
          <w:rFonts w:ascii="Arial" w:hAnsi="Arial"/>
          <w:i/>
          <w:sz w:val="22"/>
        </w:rPr>
      </w:pPr>
      <w:r>
        <w:rPr>
          <w:sz w:val="22"/>
        </w:rPr>
        <w:t>Según se menciona en el Decreto 0170, uno de los fundamentos para la adopción de las medidas contempladas en</w:t>
      </w:r>
      <w:r>
        <w:rPr>
          <w:spacing w:val="-1"/>
          <w:sz w:val="22"/>
        </w:rPr>
        <w:t> </w:t>
      </w:r>
      <w:r>
        <w:rPr>
          <w:sz w:val="22"/>
        </w:rPr>
        <w:t>el</w:t>
      </w:r>
      <w:r>
        <w:rPr>
          <w:spacing w:val="-4"/>
          <w:sz w:val="22"/>
        </w:rPr>
        <w:t> </w:t>
      </w:r>
      <w:r>
        <w:rPr>
          <w:sz w:val="22"/>
        </w:rPr>
        <w:t>mismo,</w:t>
      </w:r>
      <w:r>
        <w:rPr>
          <w:spacing w:val="-1"/>
          <w:sz w:val="22"/>
        </w:rPr>
        <w:t> </w:t>
      </w:r>
      <w:r>
        <w:rPr>
          <w:sz w:val="22"/>
        </w:rPr>
        <w:t>sería “</w:t>
      </w:r>
      <w:r>
        <w:rPr>
          <w:rFonts w:ascii="Arial" w:hAnsi="Arial"/>
          <w:i/>
          <w:sz w:val="22"/>
        </w:rPr>
        <w:t>Que, el</w:t>
      </w:r>
      <w:r>
        <w:rPr>
          <w:rFonts w:ascii="Arial" w:hAnsi="Arial"/>
          <w:i/>
          <w:spacing w:val="-2"/>
          <w:sz w:val="22"/>
        </w:rPr>
        <w:t> </w:t>
      </w:r>
      <w:r>
        <w:rPr>
          <w:rFonts w:ascii="Arial" w:hAnsi="Arial"/>
          <w:i/>
          <w:sz w:val="22"/>
        </w:rPr>
        <w:t>concepto</w:t>
      </w:r>
      <w:r>
        <w:rPr>
          <w:rFonts w:ascii="Arial" w:hAnsi="Arial"/>
          <w:i/>
          <w:spacing w:val="-3"/>
          <w:sz w:val="22"/>
        </w:rPr>
        <w:t> </w:t>
      </w:r>
      <w:r>
        <w:rPr>
          <w:rFonts w:ascii="Arial" w:hAnsi="Arial"/>
          <w:i/>
          <w:sz w:val="22"/>
        </w:rPr>
        <w:t>de</w:t>
      </w:r>
      <w:r>
        <w:rPr>
          <w:rFonts w:ascii="Arial" w:hAnsi="Arial"/>
          <w:i/>
          <w:spacing w:val="-1"/>
          <w:sz w:val="22"/>
        </w:rPr>
        <w:t> </w:t>
      </w:r>
      <w:r>
        <w:rPr>
          <w:rFonts w:ascii="Arial" w:hAnsi="Arial"/>
          <w:i/>
          <w:sz w:val="22"/>
        </w:rPr>
        <w:t>seguridad nacional en el marco de la CAN ha sido introducido en el artículo 11 de la Decisión 439, autorizando a los Países Miembros a tomar medidas en materia de servicios cuyo objetivo sea “proteger los intereses esenciales de su seguridad nacional, motivo por el cual Colombia está habilitada para tomar medidas similares respecto del comercio de bienes, en</w:t>
      </w:r>
      <w:r>
        <w:rPr>
          <w:rFonts w:ascii="Arial" w:hAnsi="Arial"/>
          <w:i/>
          <w:spacing w:val="-1"/>
          <w:sz w:val="22"/>
        </w:rPr>
        <w:t> </w:t>
      </w:r>
      <w:r>
        <w:rPr>
          <w:rFonts w:ascii="Arial" w:hAnsi="Arial"/>
          <w:i/>
          <w:sz w:val="22"/>
        </w:rPr>
        <w:t>aplicación del</w:t>
      </w:r>
      <w:r>
        <w:rPr>
          <w:rFonts w:ascii="Arial" w:hAnsi="Arial"/>
          <w:i/>
          <w:spacing w:val="-1"/>
          <w:sz w:val="22"/>
        </w:rPr>
        <w:t> </w:t>
      </w:r>
      <w:r>
        <w:rPr>
          <w:rFonts w:ascii="Arial" w:hAnsi="Arial"/>
          <w:i/>
          <w:sz w:val="22"/>
        </w:rPr>
        <w:t>principio de</w:t>
      </w:r>
      <w:r>
        <w:rPr>
          <w:rFonts w:ascii="Arial" w:hAnsi="Arial"/>
          <w:i/>
          <w:spacing w:val="-1"/>
          <w:sz w:val="22"/>
        </w:rPr>
        <w:t> </w:t>
      </w:r>
      <w:r>
        <w:rPr>
          <w:rFonts w:ascii="Arial" w:hAnsi="Arial"/>
          <w:i/>
          <w:sz w:val="22"/>
        </w:rPr>
        <w:t>complemento indispensable respecto del alcance del</w:t>
      </w:r>
      <w:r>
        <w:rPr>
          <w:rFonts w:ascii="Arial" w:hAnsi="Arial"/>
          <w:i/>
          <w:spacing w:val="-7"/>
          <w:sz w:val="22"/>
        </w:rPr>
        <w:t> </w:t>
      </w:r>
      <w:r>
        <w:rPr>
          <w:rFonts w:ascii="Arial" w:hAnsi="Arial"/>
          <w:i/>
          <w:sz w:val="22"/>
        </w:rPr>
        <w:t>literal</w:t>
      </w:r>
      <w:r>
        <w:rPr>
          <w:rFonts w:ascii="Arial" w:hAnsi="Arial"/>
          <w:i/>
          <w:spacing w:val="-7"/>
          <w:sz w:val="22"/>
        </w:rPr>
        <w:t> </w:t>
      </w:r>
      <w:r>
        <w:rPr>
          <w:rFonts w:ascii="Arial" w:hAnsi="Arial"/>
          <w:i/>
          <w:sz w:val="22"/>
        </w:rPr>
        <w:t>b)</w:t>
      </w:r>
      <w:r>
        <w:rPr>
          <w:rFonts w:ascii="Arial" w:hAnsi="Arial"/>
          <w:i/>
          <w:spacing w:val="-6"/>
          <w:sz w:val="22"/>
        </w:rPr>
        <w:t> </w:t>
      </w:r>
      <w:r>
        <w:rPr>
          <w:rFonts w:ascii="Arial" w:hAnsi="Arial"/>
          <w:i/>
          <w:sz w:val="22"/>
        </w:rPr>
        <w:t>del</w:t>
      </w:r>
      <w:r>
        <w:rPr>
          <w:rFonts w:ascii="Arial" w:hAnsi="Arial"/>
          <w:i/>
          <w:spacing w:val="-7"/>
          <w:sz w:val="22"/>
        </w:rPr>
        <w:t> </w:t>
      </w:r>
      <w:r>
        <w:rPr>
          <w:rFonts w:ascii="Arial" w:hAnsi="Arial"/>
          <w:i/>
          <w:sz w:val="22"/>
        </w:rPr>
        <w:t>artículo</w:t>
      </w:r>
      <w:r>
        <w:rPr>
          <w:rFonts w:ascii="Arial" w:hAnsi="Arial"/>
          <w:i/>
          <w:spacing w:val="-6"/>
          <w:sz w:val="22"/>
        </w:rPr>
        <w:t> </w:t>
      </w:r>
      <w:r>
        <w:rPr>
          <w:rFonts w:ascii="Arial" w:hAnsi="Arial"/>
          <w:i/>
          <w:sz w:val="22"/>
        </w:rPr>
        <w:t>73</w:t>
      </w:r>
      <w:r>
        <w:rPr>
          <w:rFonts w:ascii="Arial" w:hAnsi="Arial"/>
          <w:i/>
          <w:spacing w:val="-6"/>
          <w:sz w:val="22"/>
        </w:rPr>
        <w:t> </w:t>
      </w:r>
      <w:r>
        <w:rPr>
          <w:rFonts w:ascii="Arial" w:hAnsi="Arial"/>
          <w:i/>
          <w:sz w:val="22"/>
        </w:rPr>
        <w:t>del</w:t>
      </w:r>
      <w:r>
        <w:rPr>
          <w:rFonts w:ascii="Arial" w:hAnsi="Arial"/>
          <w:i/>
          <w:spacing w:val="-7"/>
          <w:sz w:val="22"/>
        </w:rPr>
        <w:t> </w:t>
      </w:r>
      <w:r>
        <w:rPr>
          <w:rFonts w:ascii="Arial" w:hAnsi="Arial"/>
          <w:i/>
          <w:sz w:val="22"/>
        </w:rPr>
        <w:t>Acuerdo</w:t>
      </w:r>
      <w:r>
        <w:rPr>
          <w:rFonts w:ascii="Arial" w:hAnsi="Arial"/>
          <w:i/>
          <w:spacing w:val="-7"/>
          <w:sz w:val="22"/>
        </w:rPr>
        <w:t> </w:t>
      </w:r>
      <w:r>
        <w:rPr>
          <w:rFonts w:ascii="Arial" w:hAnsi="Arial"/>
          <w:i/>
          <w:sz w:val="22"/>
        </w:rPr>
        <w:t>de</w:t>
      </w:r>
      <w:r>
        <w:rPr>
          <w:rFonts w:ascii="Arial" w:hAnsi="Arial"/>
          <w:i/>
          <w:spacing w:val="-7"/>
          <w:sz w:val="22"/>
        </w:rPr>
        <w:t> </w:t>
      </w:r>
      <w:r>
        <w:rPr>
          <w:rFonts w:ascii="Arial" w:hAnsi="Arial"/>
          <w:i/>
          <w:sz w:val="22"/>
        </w:rPr>
        <w:t>Cartagena,</w:t>
      </w:r>
      <w:r>
        <w:rPr>
          <w:rFonts w:ascii="Arial" w:hAnsi="Arial"/>
          <w:i/>
          <w:spacing w:val="-5"/>
          <w:sz w:val="22"/>
        </w:rPr>
        <w:t> </w:t>
      </w:r>
      <w:r>
        <w:rPr>
          <w:rFonts w:ascii="Arial" w:hAnsi="Arial"/>
          <w:i/>
          <w:sz w:val="22"/>
        </w:rPr>
        <w:t>siempre</w:t>
      </w:r>
      <w:r>
        <w:rPr>
          <w:rFonts w:ascii="Arial" w:hAnsi="Arial"/>
          <w:i/>
          <w:spacing w:val="-6"/>
          <w:sz w:val="22"/>
        </w:rPr>
        <w:t> </w:t>
      </w:r>
      <w:r>
        <w:rPr>
          <w:rFonts w:ascii="Arial" w:hAnsi="Arial"/>
          <w:i/>
          <w:sz w:val="22"/>
        </w:rPr>
        <w:t>y</w:t>
      </w:r>
      <w:r>
        <w:rPr>
          <w:rFonts w:ascii="Arial" w:hAnsi="Arial"/>
          <w:i/>
          <w:spacing w:val="-6"/>
          <w:sz w:val="22"/>
        </w:rPr>
        <w:t> </w:t>
      </w:r>
      <w:r>
        <w:rPr>
          <w:rFonts w:ascii="Arial" w:hAnsi="Arial"/>
          <w:i/>
          <w:sz w:val="22"/>
        </w:rPr>
        <w:t>cuando</w:t>
      </w:r>
      <w:r>
        <w:rPr>
          <w:rFonts w:ascii="Arial" w:hAnsi="Arial"/>
          <w:i/>
          <w:spacing w:val="-6"/>
          <w:sz w:val="22"/>
        </w:rPr>
        <w:t> </w:t>
      </w:r>
      <w:r>
        <w:rPr>
          <w:rFonts w:ascii="Arial" w:hAnsi="Arial"/>
          <w:i/>
          <w:sz w:val="22"/>
        </w:rPr>
        <w:t>no</w:t>
      </w:r>
      <w:r>
        <w:rPr>
          <w:rFonts w:ascii="Arial" w:hAnsi="Arial"/>
          <w:i/>
          <w:spacing w:val="-6"/>
          <w:sz w:val="22"/>
        </w:rPr>
        <w:t> </w:t>
      </w:r>
      <w:r>
        <w:rPr>
          <w:rFonts w:ascii="Arial" w:hAnsi="Arial"/>
          <w:i/>
          <w:sz w:val="22"/>
        </w:rPr>
        <w:t>se</w:t>
      </w:r>
      <w:r>
        <w:rPr>
          <w:rFonts w:ascii="Arial" w:hAnsi="Arial"/>
          <w:i/>
          <w:spacing w:val="-6"/>
          <w:sz w:val="22"/>
        </w:rPr>
        <w:t> </w:t>
      </w:r>
      <w:r>
        <w:rPr>
          <w:rFonts w:ascii="Arial" w:hAnsi="Arial"/>
          <w:i/>
          <w:sz w:val="22"/>
        </w:rPr>
        <w:t>apliquen</w:t>
      </w:r>
    </w:p>
    <w:p>
      <w:pPr>
        <w:pStyle w:val="ListParagraph"/>
        <w:spacing w:after="0" w:line="240" w:lineRule="auto"/>
        <w:jc w:val="both"/>
        <w:rPr>
          <w:rFonts w:ascii="Arial" w:hAnsi="Arial"/>
          <w:i/>
          <w:sz w:val="22"/>
        </w:rPr>
        <w:sectPr>
          <w:headerReference w:type="default" r:id="rId66"/>
          <w:footerReference w:type="default" r:id="rId67"/>
          <w:pgSz w:w="11900" w:h="16850"/>
          <w:pgMar w:header="370" w:footer="651" w:top="1380" w:bottom="840" w:left="992" w:right="283"/>
        </w:sectPr>
      </w:pPr>
    </w:p>
    <w:p>
      <w:pPr>
        <w:pStyle w:val="BodyText"/>
        <w:spacing w:before="176"/>
        <w:rPr>
          <w:rFonts w:ascii="Arial"/>
          <w:i/>
        </w:rPr>
      </w:pPr>
    </w:p>
    <w:p>
      <w:pPr>
        <w:spacing w:before="0"/>
        <w:ind w:left="1134" w:right="981" w:firstLine="0"/>
        <w:jc w:val="both"/>
        <w:rPr>
          <w:sz w:val="22"/>
        </w:rPr>
      </w:pPr>
      <w:r>
        <w:rPr>
          <w:rFonts w:ascii="Arial" w:hAnsi="Arial"/>
          <w:i/>
          <w:sz w:val="22"/>
        </w:rPr>
        <w:t>de manera desproporcionada en relación con el objetivo que persigan y que tampoco tengan fines proteccionistas</w:t>
      </w:r>
      <w:r>
        <w:rPr>
          <w:sz w:val="22"/>
        </w:rPr>
        <w:t>”</w:t>
      </w:r>
      <w:hyperlink w:history="true" w:anchor="_bookmark85">
        <w:r>
          <w:rPr>
            <w:sz w:val="22"/>
            <w:vertAlign w:val="superscript"/>
          </w:rPr>
          <w:t>18</w:t>
        </w:r>
        <w:r>
          <w:rPr>
            <w:sz w:val="22"/>
            <w:vertAlign w:val="baseline"/>
          </w:rPr>
          <w:t>.</w:t>
        </w:r>
      </w:hyperlink>
    </w:p>
    <w:p>
      <w:pPr>
        <w:pStyle w:val="BodyText"/>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Por su</w:t>
      </w:r>
      <w:r>
        <w:rPr>
          <w:spacing w:val="-2"/>
          <w:sz w:val="22"/>
        </w:rPr>
        <w:t> </w:t>
      </w:r>
      <w:r>
        <w:rPr>
          <w:sz w:val="22"/>
        </w:rPr>
        <w:t>parte,</w:t>
      </w:r>
      <w:r>
        <w:rPr>
          <w:spacing w:val="-1"/>
          <w:sz w:val="22"/>
        </w:rPr>
        <w:t> </w:t>
      </w:r>
      <w:r>
        <w:rPr>
          <w:sz w:val="22"/>
        </w:rPr>
        <w:t>en</w:t>
      </w:r>
      <w:r>
        <w:rPr>
          <w:spacing w:val="-2"/>
          <w:sz w:val="22"/>
        </w:rPr>
        <w:t> </w:t>
      </w:r>
      <w:r>
        <w:rPr>
          <w:sz w:val="22"/>
        </w:rPr>
        <w:t>la respuesta a</w:t>
      </w:r>
      <w:r>
        <w:rPr>
          <w:spacing w:val="-2"/>
          <w:sz w:val="22"/>
        </w:rPr>
        <w:t> </w:t>
      </w:r>
      <w:r>
        <w:rPr>
          <w:sz w:val="22"/>
        </w:rPr>
        <w:t>la solicitud</w:t>
      </w:r>
      <w:r>
        <w:rPr>
          <w:spacing w:val="-2"/>
          <w:sz w:val="22"/>
        </w:rPr>
        <w:t> </w:t>
      </w:r>
      <w:r>
        <w:rPr>
          <w:sz w:val="22"/>
        </w:rPr>
        <w:t>de calificación como gravamen</w:t>
      </w:r>
      <w:r>
        <w:rPr>
          <w:spacing w:val="-2"/>
          <w:sz w:val="22"/>
        </w:rPr>
        <w:t> </w:t>
      </w:r>
      <w:r>
        <w:rPr>
          <w:sz w:val="22"/>
        </w:rPr>
        <w:t>y restricción, la República de Colombia señala que la medida adoptada mediante Decreto 0170 constituiría</w:t>
      </w:r>
      <w:r>
        <w:rPr>
          <w:spacing w:val="-16"/>
          <w:sz w:val="22"/>
        </w:rPr>
        <w:t> </w:t>
      </w:r>
      <w:r>
        <w:rPr>
          <w:sz w:val="22"/>
        </w:rPr>
        <w:t>una</w:t>
      </w:r>
      <w:r>
        <w:rPr>
          <w:spacing w:val="-15"/>
          <w:sz w:val="22"/>
        </w:rPr>
        <w:t> </w:t>
      </w:r>
      <w:r>
        <w:rPr>
          <w:sz w:val="22"/>
        </w:rPr>
        <w:t>medida</w:t>
      </w:r>
      <w:r>
        <w:rPr>
          <w:spacing w:val="-15"/>
          <w:sz w:val="22"/>
        </w:rPr>
        <w:t> </w:t>
      </w:r>
      <w:r>
        <w:rPr>
          <w:sz w:val="22"/>
        </w:rPr>
        <w:t>destinada</w:t>
      </w:r>
      <w:r>
        <w:rPr>
          <w:spacing w:val="-13"/>
          <w:sz w:val="22"/>
        </w:rPr>
        <w:t> </w:t>
      </w:r>
      <w:r>
        <w:rPr>
          <w:sz w:val="22"/>
        </w:rPr>
        <w:t>a</w:t>
      </w:r>
      <w:r>
        <w:rPr>
          <w:spacing w:val="-16"/>
          <w:sz w:val="22"/>
        </w:rPr>
        <w:t> </w:t>
      </w:r>
      <w:r>
        <w:rPr>
          <w:sz w:val="22"/>
        </w:rPr>
        <w:t>evitar</w:t>
      </w:r>
      <w:r>
        <w:rPr>
          <w:spacing w:val="-14"/>
          <w:sz w:val="22"/>
        </w:rPr>
        <w:t> </w:t>
      </w:r>
      <w:r>
        <w:rPr>
          <w:sz w:val="22"/>
        </w:rPr>
        <w:t>perjuicio</w:t>
      </w:r>
      <w:r>
        <w:rPr>
          <w:spacing w:val="-13"/>
          <w:sz w:val="22"/>
        </w:rPr>
        <w:t> </w:t>
      </w:r>
      <w:r>
        <w:rPr>
          <w:sz w:val="22"/>
        </w:rPr>
        <w:t>irremediable</w:t>
      </w:r>
      <w:r>
        <w:rPr>
          <w:spacing w:val="-13"/>
          <w:sz w:val="22"/>
        </w:rPr>
        <w:t> </w:t>
      </w:r>
      <w:r>
        <w:rPr>
          <w:sz w:val="22"/>
        </w:rPr>
        <w:t>a</w:t>
      </w:r>
      <w:r>
        <w:rPr>
          <w:spacing w:val="-16"/>
          <w:sz w:val="22"/>
        </w:rPr>
        <w:t> </w:t>
      </w:r>
      <w:r>
        <w:rPr>
          <w:sz w:val="22"/>
        </w:rPr>
        <w:t>productos</w:t>
      </w:r>
      <w:r>
        <w:rPr>
          <w:spacing w:val="-12"/>
          <w:sz w:val="22"/>
        </w:rPr>
        <w:t> </w:t>
      </w:r>
      <w:r>
        <w:rPr>
          <w:sz w:val="22"/>
        </w:rPr>
        <w:t>nacionales, lo que constituiría un asunto de seguridad nacional.</w:t>
      </w:r>
    </w:p>
    <w:p>
      <w:pPr>
        <w:pStyle w:val="ListParagraph"/>
        <w:numPr>
          <w:ilvl w:val="0"/>
          <w:numId w:val="50"/>
        </w:numPr>
        <w:tabs>
          <w:tab w:pos="1130" w:val="left" w:leader="none"/>
          <w:tab w:pos="1134" w:val="left" w:leader="none"/>
        </w:tabs>
        <w:spacing w:line="240" w:lineRule="auto" w:before="253" w:after="0"/>
        <w:ind w:left="1134" w:right="976" w:hanging="567"/>
        <w:jc w:val="both"/>
        <w:rPr>
          <w:rFonts w:ascii="Arial" w:hAnsi="Arial"/>
          <w:i/>
          <w:sz w:val="22"/>
        </w:rPr>
      </w:pPr>
      <w:r>
        <w:rPr>
          <w:sz w:val="22"/>
        </w:rPr>
        <w:t>Además, precisa que el “[d]</w:t>
      </w:r>
      <w:r>
        <w:rPr>
          <w:rFonts w:ascii="Arial" w:hAnsi="Arial"/>
          <w:i/>
          <w:sz w:val="22"/>
        </w:rPr>
        <w:t>ecreto 170 de 2026 no debe ser entendido como una contramedida. Por el contrario, este pretende salvaguardar la seguridad nacional de Colombia en el</w:t>
      </w:r>
      <w:r>
        <w:rPr>
          <w:rFonts w:ascii="Arial" w:hAnsi="Arial"/>
          <w:i/>
          <w:spacing w:val="-1"/>
          <w:sz w:val="22"/>
        </w:rPr>
        <w:t> </w:t>
      </w:r>
      <w:r>
        <w:rPr>
          <w:rFonts w:ascii="Arial" w:hAnsi="Arial"/>
          <w:i/>
          <w:sz w:val="22"/>
        </w:rPr>
        <w:t>ámbito del comercio internacional, para lo cual bien puede invocarse el artículo 73 b) del Acuerdo de Cartagena o, de manera subsidiaria, en aplicación del principio de complemento indispensable, el artículo 11.3 de la Decisión Andina 439. Al respecto, señala:</w:t>
      </w:r>
    </w:p>
    <w:p>
      <w:pPr>
        <w:pStyle w:val="BodyText"/>
        <w:rPr>
          <w:rFonts w:ascii="Arial"/>
          <w:i/>
        </w:rPr>
      </w:pPr>
    </w:p>
    <w:p>
      <w:pPr>
        <w:spacing w:before="1"/>
        <w:ind w:left="1134" w:right="977" w:firstLine="0"/>
        <w:jc w:val="both"/>
        <w:rPr>
          <w:sz w:val="22"/>
        </w:rPr>
      </w:pPr>
      <w:r>
        <w:rPr>
          <w:rFonts w:ascii="Arial" w:hAnsi="Arial"/>
          <w:i/>
          <w:sz w:val="22"/>
        </w:rPr>
        <w:t>“No</w:t>
      </w:r>
      <w:r>
        <w:rPr>
          <w:rFonts w:ascii="Arial" w:hAnsi="Arial"/>
          <w:i/>
          <w:spacing w:val="-7"/>
          <w:sz w:val="22"/>
        </w:rPr>
        <w:t> </w:t>
      </w:r>
      <w:r>
        <w:rPr>
          <w:rFonts w:ascii="Arial" w:hAnsi="Arial"/>
          <w:i/>
          <w:sz w:val="22"/>
        </w:rPr>
        <w:t>es</w:t>
      </w:r>
      <w:r>
        <w:rPr>
          <w:rFonts w:ascii="Arial" w:hAnsi="Arial"/>
          <w:i/>
          <w:spacing w:val="-10"/>
          <w:sz w:val="22"/>
        </w:rPr>
        <w:t> </w:t>
      </w:r>
      <w:r>
        <w:rPr>
          <w:rFonts w:ascii="Arial" w:hAnsi="Arial"/>
          <w:i/>
          <w:sz w:val="22"/>
        </w:rPr>
        <w:t>preciso</w:t>
      </w:r>
      <w:r>
        <w:rPr>
          <w:rFonts w:ascii="Arial" w:hAnsi="Arial"/>
          <w:i/>
          <w:spacing w:val="-10"/>
          <w:sz w:val="22"/>
        </w:rPr>
        <w:t> </w:t>
      </w:r>
      <w:r>
        <w:rPr>
          <w:rFonts w:ascii="Arial" w:hAnsi="Arial"/>
          <w:i/>
          <w:sz w:val="22"/>
        </w:rPr>
        <w:t>afirmar</w:t>
      </w:r>
      <w:r>
        <w:rPr>
          <w:rFonts w:ascii="Arial" w:hAnsi="Arial"/>
          <w:i/>
          <w:spacing w:val="-7"/>
          <w:sz w:val="22"/>
        </w:rPr>
        <w:t> </w:t>
      </w:r>
      <w:r>
        <w:rPr>
          <w:rFonts w:ascii="Arial" w:hAnsi="Arial"/>
          <w:i/>
          <w:sz w:val="22"/>
        </w:rPr>
        <w:t>que</w:t>
      </w:r>
      <w:r>
        <w:rPr>
          <w:rFonts w:ascii="Arial" w:hAnsi="Arial"/>
          <w:i/>
          <w:spacing w:val="-7"/>
          <w:sz w:val="22"/>
        </w:rPr>
        <w:t> </w:t>
      </w:r>
      <w:r>
        <w:rPr>
          <w:rFonts w:ascii="Arial" w:hAnsi="Arial"/>
          <w:i/>
          <w:sz w:val="22"/>
        </w:rPr>
        <w:t>la</w:t>
      </w:r>
      <w:r>
        <w:rPr>
          <w:rFonts w:ascii="Arial" w:hAnsi="Arial"/>
          <w:i/>
          <w:spacing w:val="-7"/>
          <w:sz w:val="22"/>
        </w:rPr>
        <w:t> </w:t>
      </w:r>
      <w:r>
        <w:rPr>
          <w:rFonts w:ascii="Arial" w:hAnsi="Arial"/>
          <w:i/>
          <w:sz w:val="22"/>
        </w:rPr>
        <w:t>inexistencia</w:t>
      </w:r>
      <w:r>
        <w:rPr>
          <w:rFonts w:ascii="Arial" w:hAnsi="Arial"/>
          <w:i/>
          <w:spacing w:val="-7"/>
          <w:sz w:val="22"/>
        </w:rPr>
        <w:t> </w:t>
      </w:r>
      <w:r>
        <w:rPr>
          <w:rFonts w:ascii="Arial" w:hAnsi="Arial"/>
          <w:i/>
          <w:sz w:val="22"/>
        </w:rPr>
        <w:t>del</w:t>
      </w:r>
      <w:r>
        <w:rPr>
          <w:rFonts w:ascii="Arial" w:hAnsi="Arial"/>
          <w:i/>
          <w:spacing w:val="-10"/>
          <w:sz w:val="22"/>
        </w:rPr>
        <w:t> </w:t>
      </w:r>
      <w:r>
        <w:rPr>
          <w:rFonts w:ascii="Arial" w:hAnsi="Arial"/>
          <w:i/>
          <w:sz w:val="22"/>
        </w:rPr>
        <w:t>criterio</w:t>
      </w:r>
      <w:r>
        <w:rPr>
          <w:rFonts w:ascii="Arial" w:hAnsi="Arial"/>
          <w:i/>
          <w:spacing w:val="-7"/>
          <w:sz w:val="22"/>
        </w:rPr>
        <w:t> </w:t>
      </w:r>
      <w:r>
        <w:rPr>
          <w:rFonts w:ascii="Arial" w:hAnsi="Arial"/>
          <w:i/>
          <w:sz w:val="22"/>
        </w:rPr>
        <w:t>de</w:t>
      </w:r>
      <w:r>
        <w:rPr>
          <w:rFonts w:ascii="Arial" w:hAnsi="Arial"/>
          <w:i/>
          <w:spacing w:val="-10"/>
          <w:sz w:val="22"/>
        </w:rPr>
        <w:t> </w:t>
      </w:r>
      <w:r>
        <w:rPr>
          <w:rFonts w:ascii="Arial" w:hAnsi="Arial"/>
          <w:i/>
          <w:sz w:val="22"/>
        </w:rPr>
        <w:t>seguridad</w:t>
      </w:r>
      <w:r>
        <w:rPr>
          <w:rFonts w:ascii="Arial" w:hAnsi="Arial"/>
          <w:i/>
          <w:spacing w:val="-10"/>
          <w:sz w:val="22"/>
        </w:rPr>
        <w:t> </w:t>
      </w:r>
      <w:r>
        <w:rPr>
          <w:rFonts w:ascii="Arial" w:hAnsi="Arial"/>
          <w:i/>
          <w:sz w:val="22"/>
        </w:rPr>
        <w:t>nacional</w:t>
      </w:r>
      <w:r>
        <w:rPr>
          <w:rFonts w:ascii="Arial" w:hAnsi="Arial"/>
          <w:i/>
          <w:spacing w:val="-11"/>
          <w:sz w:val="22"/>
        </w:rPr>
        <w:t> </w:t>
      </w:r>
      <w:r>
        <w:rPr>
          <w:rFonts w:ascii="Arial" w:hAnsi="Arial"/>
          <w:i/>
          <w:sz w:val="22"/>
        </w:rPr>
        <w:t>en</w:t>
      </w:r>
      <w:r>
        <w:rPr>
          <w:rFonts w:ascii="Arial" w:hAnsi="Arial"/>
          <w:i/>
          <w:spacing w:val="-8"/>
          <w:sz w:val="22"/>
        </w:rPr>
        <w:t> </w:t>
      </w:r>
      <w:r>
        <w:rPr>
          <w:rFonts w:ascii="Arial" w:hAnsi="Arial"/>
          <w:i/>
          <w:sz w:val="22"/>
        </w:rPr>
        <w:t>el</w:t>
      </w:r>
      <w:r>
        <w:rPr>
          <w:rFonts w:ascii="Arial" w:hAnsi="Arial"/>
          <w:i/>
          <w:spacing w:val="-8"/>
          <w:sz w:val="22"/>
        </w:rPr>
        <w:t> </w:t>
      </w:r>
      <w:r>
        <w:rPr>
          <w:rFonts w:ascii="Arial" w:hAnsi="Arial"/>
          <w:i/>
          <w:sz w:val="22"/>
        </w:rPr>
        <w:t>ámbito comunitario. </w:t>
      </w:r>
      <w:r>
        <w:rPr>
          <w:sz w:val="22"/>
        </w:rPr>
        <w:t>(sic)</w:t>
      </w:r>
    </w:p>
    <w:p>
      <w:pPr>
        <w:spacing w:before="0"/>
        <w:ind w:left="1134" w:right="983" w:firstLine="0"/>
        <w:jc w:val="both"/>
        <w:rPr>
          <w:rFonts w:ascii="Arial" w:hAnsi="Arial"/>
          <w:i/>
          <w:sz w:val="22"/>
        </w:rPr>
      </w:pPr>
      <w:r>
        <w:rPr>
          <w:rFonts w:ascii="Arial" w:hAnsi="Arial"/>
          <w:i/>
          <w:sz w:val="22"/>
        </w:rPr>
        <w:t>El artículo 11 de la Decisión 439 “Marco General de Principios y Normas para la Liberalización del Comercio de Servicios en</w:t>
      </w:r>
      <w:r>
        <w:rPr>
          <w:rFonts w:ascii="Arial" w:hAnsi="Arial"/>
          <w:i/>
          <w:spacing w:val="-2"/>
          <w:sz w:val="22"/>
        </w:rPr>
        <w:t> </w:t>
      </w:r>
      <w:r>
        <w:rPr>
          <w:rFonts w:ascii="Arial" w:hAnsi="Arial"/>
          <w:i/>
          <w:sz w:val="22"/>
        </w:rPr>
        <w:t>la Comunidad Andina” indica</w:t>
      </w:r>
      <w:r>
        <w:rPr>
          <w:rFonts w:ascii="Arial" w:hAnsi="Arial"/>
          <w:i/>
          <w:spacing w:val="-1"/>
          <w:sz w:val="22"/>
        </w:rPr>
        <w:t> </w:t>
      </w:r>
      <w:r>
        <w:rPr>
          <w:rFonts w:ascii="Arial" w:hAnsi="Arial"/>
          <w:i/>
          <w:sz w:val="22"/>
        </w:rPr>
        <w:t>textualmente en su artículo 11 lo siguiente:</w:t>
      </w:r>
    </w:p>
    <w:p>
      <w:pPr>
        <w:spacing w:before="0"/>
        <w:ind w:left="1134" w:right="980" w:firstLine="0"/>
        <w:jc w:val="both"/>
        <w:rPr>
          <w:rFonts w:ascii="Arial" w:hAnsi="Arial"/>
          <w:i/>
          <w:sz w:val="22"/>
        </w:rPr>
      </w:pPr>
      <w:r>
        <w:rPr>
          <w:rFonts w:ascii="Arial" w:hAnsi="Arial"/>
          <w:i/>
          <w:sz w:val="22"/>
        </w:rPr>
        <w:t>Artículo 11.- Sin perjuicio de lo dispuesto en el presente Marco General, cada País Miembro podrá adoptar o aplicar medidas necesarias para:</w:t>
      </w:r>
    </w:p>
    <w:p>
      <w:pPr>
        <w:pStyle w:val="ListParagraph"/>
        <w:numPr>
          <w:ilvl w:val="1"/>
          <w:numId w:val="50"/>
        </w:numPr>
        <w:tabs>
          <w:tab w:pos="1380" w:val="left" w:leader="none"/>
        </w:tabs>
        <w:spacing w:line="240" w:lineRule="auto" w:before="0" w:after="0"/>
        <w:ind w:left="1380" w:right="0" w:hanging="246"/>
        <w:jc w:val="left"/>
        <w:rPr>
          <w:rFonts w:ascii="Arial" w:hAnsi="Arial"/>
          <w:i/>
          <w:sz w:val="22"/>
        </w:rPr>
      </w:pPr>
      <w:r>
        <w:rPr>
          <w:rFonts w:ascii="Arial" w:hAnsi="Arial"/>
          <w:i/>
          <w:sz w:val="22"/>
        </w:rPr>
        <w:t>Proteger</w:t>
      </w:r>
      <w:r>
        <w:rPr>
          <w:rFonts w:ascii="Arial" w:hAnsi="Arial"/>
          <w:i/>
          <w:spacing w:val="-7"/>
          <w:sz w:val="22"/>
        </w:rPr>
        <w:t> </w:t>
      </w:r>
      <w:r>
        <w:rPr>
          <w:rFonts w:ascii="Arial" w:hAnsi="Arial"/>
          <w:i/>
          <w:sz w:val="22"/>
        </w:rPr>
        <w:t>la</w:t>
      </w:r>
      <w:r>
        <w:rPr>
          <w:rFonts w:ascii="Arial" w:hAnsi="Arial"/>
          <w:i/>
          <w:spacing w:val="-6"/>
          <w:sz w:val="22"/>
        </w:rPr>
        <w:t> </w:t>
      </w:r>
      <w:r>
        <w:rPr>
          <w:rFonts w:ascii="Arial" w:hAnsi="Arial"/>
          <w:i/>
          <w:sz w:val="22"/>
        </w:rPr>
        <w:t>moral</w:t>
      </w:r>
      <w:r>
        <w:rPr>
          <w:rFonts w:ascii="Arial" w:hAnsi="Arial"/>
          <w:i/>
          <w:spacing w:val="-3"/>
          <w:sz w:val="22"/>
        </w:rPr>
        <w:t> </w:t>
      </w:r>
      <w:r>
        <w:rPr>
          <w:rFonts w:ascii="Arial" w:hAnsi="Arial"/>
          <w:i/>
          <w:sz w:val="22"/>
        </w:rPr>
        <w:t>o</w:t>
      </w:r>
      <w:r>
        <w:rPr>
          <w:rFonts w:ascii="Arial" w:hAnsi="Arial"/>
          <w:i/>
          <w:spacing w:val="-6"/>
          <w:sz w:val="22"/>
        </w:rPr>
        <w:t> </w:t>
      </w:r>
      <w:r>
        <w:rPr>
          <w:rFonts w:ascii="Arial" w:hAnsi="Arial"/>
          <w:i/>
          <w:sz w:val="22"/>
        </w:rPr>
        <w:t>preservar</w:t>
      </w:r>
      <w:r>
        <w:rPr>
          <w:rFonts w:ascii="Arial" w:hAnsi="Arial"/>
          <w:i/>
          <w:spacing w:val="-4"/>
          <w:sz w:val="22"/>
        </w:rPr>
        <w:t> </w:t>
      </w:r>
      <w:r>
        <w:rPr>
          <w:rFonts w:ascii="Arial" w:hAnsi="Arial"/>
          <w:i/>
          <w:sz w:val="22"/>
        </w:rPr>
        <w:t>el</w:t>
      </w:r>
      <w:r>
        <w:rPr>
          <w:rFonts w:ascii="Arial" w:hAnsi="Arial"/>
          <w:i/>
          <w:spacing w:val="-5"/>
          <w:sz w:val="22"/>
        </w:rPr>
        <w:t> </w:t>
      </w:r>
      <w:r>
        <w:rPr>
          <w:rFonts w:ascii="Arial" w:hAnsi="Arial"/>
          <w:i/>
          <w:sz w:val="22"/>
        </w:rPr>
        <w:t>orden</w:t>
      </w:r>
      <w:r>
        <w:rPr>
          <w:rFonts w:ascii="Arial" w:hAnsi="Arial"/>
          <w:i/>
          <w:spacing w:val="-3"/>
          <w:sz w:val="22"/>
        </w:rPr>
        <w:t> </w:t>
      </w:r>
      <w:r>
        <w:rPr>
          <w:rFonts w:ascii="Arial" w:hAnsi="Arial"/>
          <w:i/>
          <w:spacing w:val="-2"/>
          <w:sz w:val="22"/>
        </w:rPr>
        <w:t>público;</w:t>
      </w:r>
    </w:p>
    <w:p>
      <w:pPr>
        <w:pStyle w:val="ListParagraph"/>
        <w:numPr>
          <w:ilvl w:val="1"/>
          <w:numId w:val="50"/>
        </w:numPr>
        <w:tabs>
          <w:tab w:pos="1383" w:val="left" w:leader="none"/>
        </w:tabs>
        <w:spacing w:line="240" w:lineRule="auto" w:before="1" w:after="0"/>
        <w:ind w:left="1134" w:right="986" w:firstLine="0"/>
        <w:jc w:val="left"/>
        <w:rPr>
          <w:rFonts w:ascii="Arial"/>
          <w:i/>
          <w:sz w:val="22"/>
        </w:rPr>
      </w:pPr>
      <w:r>
        <w:rPr>
          <w:rFonts w:ascii="Arial"/>
          <w:i/>
          <w:sz w:val="22"/>
        </w:rPr>
        <w:t>Proteger la</w:t>
      </w:r>
      <w:r>
        <w:rPr>
          <w:rFonts w:ascii="Arial"/>
          <w:i/>
          <w:spacing w:val="-3"/>
          <w:sz w:val="22"/>
        </w:rPr>
        <w:t> </w:t>
      </w:r>
      <w:r>
        <w:rPr>
          <w:rFonts w:ascii="Arial"/>
          <w:i/>
          <w:sz w:val="22"/>
        </w:rPr>
        <w:t>vida</w:t>
      </w:r>
      <w:r>
        <w:rPr>
          <w:rFonts w:ascii="Arial"/>
          <w:i/>
          <w:spacing w:val="-1"/>
          <w:sz w:val="22"/>
        </w:rPr>
        <w:t> </w:t>
      </w:r>
      <w:r>
        <w:rPr>
          <w:rFonts w:ascii="Arial"/>
          <w:i/>
          <w:sz w:val="22"/>
        </w:rPr>
        <w:t>y</w:t>
      </w:r>
      <w:r>
        <w:rPr>
          <w:rFonts w:ascii="Arial"/>
          <w:i/>
          <w:spacing w:val="-3"/>
          <w:sz w:val="22"/>
        </w:rPr>
        <w:t> </w:t>
      </w:r>
      <w:r>
        <w:rPr>
          <w:rFonts w:ascii="Arial"/>
          <w:i/>
          <w:sz w:val="22"/>
        </w:rPr>
        <w:t>la</w:t>
      </w:r>
      <w:r>
        <w:rPr>
          <w:rFonts w:ascii="Arial"/>
          <w:i/>
          <w:spacing w:val="-3"/>
          <w:sz w:val="22"/>
        </w:rPr>
        <w:t> </w:t>
      </w:r>
      <w:r>
        <w:rPr>
          <w:rFonts w:ascii="Arial"/>
          <w:i/>
          <w:sz w:val="22"/>
        </w:rPr>
        <w:t>salud</w:t>
      </w:r>
      <w:r>
        <w:rPr>
          <w:rFonts w:ascii="Arial"/>
          <w:i/>
          <w:spacing w:val="-1"/>
          <w:sz w:val="22"/>
        </w:rPr>
        <w:t> </w:t>
      </w:r>
      <w:r>
        <w:rPr>
          <w:rFonts w:ascii="Arial"/>
          <w:i/>
          <w:sz w:val="22"/>
        </w:rPr>
        <w:t>de</w:t>
      </w:r>
      <w:r>
        <w:rPr>
          <w:rFonts w:ascii="Arial"/>
          <w:i/>
          <w:spacing w:val="-1"/>
          <w:sz w:val="22"/>
        </w:rPr>
        <w:t> </w:t>
      </w:r>
      <w:r>
        <w:rPr>
          <w:rFonts w:ascii="Arial"/>
          <w:i/>
          <w:sz w:val="22"/>
        </w:rPr>
        <w:t>las</w:t>
      </w:r>
      <w:r>
        <w:rPr>
          <w:rFonts w:ascii="Arial"/>
          <w:i/>
          <w:spacing w:val="-3"/>
          <w:sz w:val="22"/>
        </w:rPr>
        <w:t> </w:t>
      </w:r>
      <w:r>
        <w:rPr>
          <w:rFonts w:ascii="Arial"/>
          <w:i/>
          <w:sz w:val="22"/>
        </w:rPr>
        <w:t>personas,</w:t>
      </w:r>
      <w:r>
        <w:rPr>
          <w:rFonts w:ascii="Arial"/>
          <w:i/>
          <w:spacing w:val="-1"/>
          <w:sz w:val="22"/>
        </w:rPr>
        <w:t> </w:t>
      </w:r>
      <w:r>
        <w:rPr>
          <w:rFonts w:ascii="Arial"/>
          <w:i/>
          <w:sz w:val="22"/>
        </w:rPr>
        <w:t>los</w:t>
      </w:r>
      <w:r>
        <w:rPr>
          <w:rFonts w:ascii="Arial"/>
          <w:i/>
          <w:spacing w:val="-3"/>
          <w:sz w:val="22"/>
        </w:rPr>
        <w:t> </w:t>
      </w:r>
      <w:r>
        <w:rPr>
          <w:rFonts w:ascii="Arial"/>
          <w:i/>
          <w:sz w:val="22"/>
        </w:rPr>
        <w:t>animales</w:t>
      </w:r>
      <w:r>
        <w:rPr>
          <w:rFonts w:ascii="Arial"/>
          <w:i/>
          <w:spacing w:val="-3"/>
          <w:sz w:val="22"/>
        </w:rPr>
        <w:t> </w:t>
      </w:r>
      <w:r>
        <w:rPr>
          <w:rFonts w:ascii="Arial"/>
          <w:i/>
          <w:sz w:val="22"/>
        </w:rPr>
        <w:t>y los</w:t>
      </w:r>
      <w:r>
        <w:rPr>
          <w:rFonts w:ascii="Arial"/>
          <w:i/>
          <w:spacing w:val="-3"/>
          <w:sz w:val="22"/>
        </w:rPr>
        <w:t> </w:t>
      </w:r>
      <w:r>
        <w:rPr>
          <w:rFonts w:ascii="Arial"/>
          <w:i/>
          <w:sz w:val="22"/>
        </w:rPr>
        <w:t>vegetales,</w:t>
      </w:r>
      <w:r>
        <w:rPr>
          <w:rFonts w:ascii="Arial"/>
          <w:i/>
          <w:spacing w:val="-2"/>
          <w:sz w:val="22"/>
        </w:rPr>
        <w:t> </w:t>
      </w:r>
      <w:r>
        <w:rPr>
          <w:rFonts w:ascii="Arial"/>
          <w:i/>
          <w:sz w:val="22"/>
        </w:rPr>
        <w:t>y preservar el medio ambiente;</w:t>
      </w:r>
    </w:p>
    <w:p>
      <w:pPr>
        <w:pStyle w:val="ListParagraph"/>
        <w:numPr>
          <w:ilvl w:val="1"/>
          <w:numId w:val="50"/>
        </w:numPr>
        <w:tabs>
          <w:tab w:pos="1380" w:val="left" w:leader="none"/>
        </w:tabs>
        <w:spacing w:line="251" w:lineRule="exact" w:before="0" w:after="0"/>
        <w:ind w:left="1380" w:right="0" w:hanging="246"/>
        <w:jc w:val="left"/>
        <w:rPr>
          <w:rFonts w:ascii="Arial" w:hAnsi="Arial"/>
          <w:i/>
          <w:sz w:val="22"/>
        </w:rPr>
      </w:pPr>
      <w:r>
        <w:rPr>
          <w:rFonts w:ascii="Arial" w:hAnsi="Arial"/>
          <w:i/>
          <w:sz w:val="22"/>
        </w:rPr>
        <w:t>Proteger</w:t>
      </w:r>
      <w:r>
        <w:rPr>
          <w:rFonts w:ascii="Arial" w:hAnsi="Arial"/>
          <w:i/>
          <w:spacing w:val="-7"/>
          <w:sz w:val="22"/>
        </w:rPr>
        <w:t> </w:t>
      </w:r>
      <w:r>
        <w:rPr>
          <w:rFonts w:ascii="Arial" w:hAnsi="Arial"/>
          <w:i/>
          <w:sz w:val="22"/>
        </w:rPr>
        <w:t>los</w:t>
      </w:r>
      <w:r>
        <w:rPr>
          <w:rFonts w:ascii="Arial" w:hAnsi="Arial"/>
          <w:i/>
          <w:spacing w:val="-6"/>
          <w:sz w:val="22"/>
        </w:rPr>
        <w:t> </w:t>
      </w:r>
      <w:r>
        <w:rPr>
          <w:rFonts w:ascii="Arial" w:hAnsi="Arial"/>
          <w:i/>
          <w:sz w:val="22"/>
        </w:rPr>
        <w:t>intereses</w:t>
      </w:r>
      <w:r>
        <w:rPr>
          <w:rFonts w:ascii="Arial" w:hAnsi="Arial"/>
          <w:i/>
          <w:spacing w:val="-9"/>
          <w:sz w:val="22"/>
        </w:rPr>
        <w:t> </w:t>
      </w:r>
      <w:r>
        <w:rPr>
          <w:rFonts w:ascii="Arial" w:hAnsi="Arial"/>
          <w:i/>
          <w:sz w:val="22"/>
        </w:rPr>
        <w:t>esenciales</w:t>
      </w:r>
      <w:r>
        <w:rPr>
          <w:rFonts w:ascii="Arial" w:hAnsi="Arial"/>
          <w:i/>
          <w:spacing w:val="-6"/>
          <w:sz w:val="22"/>
        </w:rPr>
        <w:t> </w:t>
      </w:r>
      <w:r>
        <w:rPr>
          <w:rFonts w:ascii="Arial" w:hAnsi="Arial"/>
          <w:i/>
          <w:sz w:val="22"/>
        </w:rPr>
        <w:t>de</w:t>
      </w:r>
      <w:r>
        <w:rPr>
          <w:rFonts w:ascii="Arial" w:hAnsi="Arial"/>
          <w:i/>
          <w:spacing w:val="-6"/>
          <w:sz w:val="22"/>
        </w:rPr>
        <w:t> </w:t>
      </w:r>
      <w:r>
        <w:rPr>
          <w:rFonts w:ascii="Arial" w:hAnsi="Arial"/>
          <w:i/>
          <w:sz w:val="22"/>
        </w:rPr>
        <w:t>su</w:t>
      </w:r>
      <w:r>
        <w:rPr>
          <w:rFonts w:ascii="Arial" w:hAnsi="Arial"/>
          <w:i/>
          <w:spacing w:val="-8"/>
          <w:sz w:val="22"/>
        </w:rPr>
        <w:t> </w:t>
      </w:r>
      <w:r>
        <w:rPr>
          <w:rFonts w:ascii="Arial" w:hAnsi="Arial"/>
          <w:i/>
          <w:sz w:val="22"/>
        </w:rPr>
        <w:t>seguridad</w:t>
      </w:r>
      <w:r>
        <w:rPr>
          <w:rFonts w:ascii="Arial" w:hAnsi="Arial"/>
          <w:i/>
          <w:spacing w:val="-5"/>
          <w:sz w:val="22"/>
        </w:rPr>
        <w:t> </w:t>
      </w:r>
      <w:r>
        <w:rPr>
          <w:rFonts w:ascii="Arial" w:hAnsi="Arial"/>
          <w:i/>
          <w:sz w:val="22"/>
        </w:rPr>
        <w:t>nacional;</w:t>
      </w:r>
      <w:r>
        <w:rPr>
          <w:rFonts w:ascii="Arial" w:hAnsi="Arial"/>
          <w:i/>
          <w:spacing w:val="-4"/>
          <w:sz w:val="22"/>
        </w:rPr>
        <w:t> </w:t>
      </w:r>
      <w:r>
        <w:rPr>
          <w:spacing w:val="-5"/>
          <w:sz w:val="22"/>
        </w:rPr>
        <w:t>(…)</w:t>
      </w:r>
    </w:p>
    <w:p>
      <w:pPr>
        <w:spacing w:before="2"/>
        <w:ind w:left="1134" w:right="980" w:firstLine="0"/>
        <w:jc w:val="both"/>
        <w:rPr>
          <w:rFonts w:ascii="Arial" w:hAnsi="Arial"/>
          <w:i/>
          <w:sz w:val="22"/>
        </w:rPr>
      </w:pPr>
      <w:r>
        <w:rPr>
          <w:rFonts w:ascii="Arial" w:hAnsi="Arial"/>
          <w:i/>
          <w:sz w:val="22"/>
        </w:rPr>
        <w:t>En este sentido, en materia de comercio de servicios, es claro que se aplican criterios de seguridad nacional, por expresa disposición del derecho andino.</w:t>
      </w:r>
    </w:p>
    <w:p>
      <w:pPr>
        <w:spacing w:before="0"/>
        <w:ind w:left="1134" w:right="982" w:firstLine="0"/>
        <w:jc w:val="both"/>
        <w:rPr>
          <w:sz w:val="22"/>
        </w:rPr>
      </w:pPr>
      <w:r>
        <w:rPr>
          <w:rFonts w:ascii="Arial" w:hAnsi="Arial"/>
          <w:b/>
          <w:i/>
          <w:sz w:val="22"/>
          <w:u w:val="single"/>
        </w:rPr>
        <w:t>En tanto el artículo 73 b) guarda silencio frente al concepto de “seguridad</w:t>
      </w:r>
      <w:r>
        <w:rPr>
          <w:rFonts w:ascii="Arial" w:hAnsi="Arial"/>
          <w:b/>
          <w:i/>
          <w:sz w:val="22"/>
        </w:rPr>
        <w:t> </w:t>
      </w:r>
      <w:r>
        <w:rPr>
          <w:rFonts w:ascii="Arial" w:hAnsi="Arial"/>
          <w:b/>
          <w:i/>
          <w:sz w:val="22"/>
          <w:u w:val="single"/>
        </w:rPr>
        <w:t>nacional</w:t>
      </w:r>
      <w:r>
        <w:rPr>
          <w:rFonts w:ascii="Arial" w:hAnsi="Arial"/>
          <w:i/>
          <w:sz w:val="22"/>
        </w:rPr>
        <w:t>”, en aplicación del principio andino de complemento indispensable se colige que criterios de seguridad nacional son aplicables tanto en materia de comercio de servicios, como en materia de comercio de bienes</w:t>
      </w:r>
      <w:r>
        <w:rPr>
          <w:sz w:val="22"/>
        </w:rPr>
        <w:t>.”</w:t>
      </w:r>
      <w:hyperlink w:history="true" w:anchor="_bookmark86">
        <w:r>
          <w:rPr>
            <w:sz w:val="22"/>
            <w:vertAlign w:val="superscript"/>
          </w:rPr>
          <w:t>19</w:t>
        </w:r>
      </w:hyperlink>
      <w:r>
        <w:rPr>
          <w:sz w:val="22"/>
          <w:vertAlign w:val="baseline"/>
        </w:rPr>
        <w:t> [énfasis añadido]</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Al respecto, debe señalarse que el argumento según el cual la República de Colombia estaría habilitada para adoptar medidas restrictivas en el comercio de bienes con fundamento en el concepto de seguridad nacional previsto en el artículo 11 de la Decisión 439, mediante la aplicación del principio de complemento indispensable respecto</w:t>
      </w:r>
      <w:r>
        <w:rPr>
          <w:spacing w:val="-9"/>
          <w:sz w:val="22"/>
        </w:rPr>
        <w:t> </w:t>
      </w:r>
      <w:r>
        <w:rPr>
          <w:sz w:val="22"/>
        </w:rPr>
        <w:t>del</w:t>
      </w:r>
      <w:r>
        <w:rPr>
          <w:spacing w:val="-8"/>
          <w:sz w:val="22"/>
        </w:rPr>
        <w:t> </w:t>
      </w:r>
      <w:r>
        <w:rPr>
          <w:sz w:val="22"/>
        </w:rPr>
        <w:t>artículo</w:t>
      </w:r>
      <w:r>
        <w:rPr>
          <w:spacing w:val="-7"/>
          <w:sz w:val="22"/>
        </w:rPr>
        <w:t> </w:t>
      </w:r>
      <w:r>
        <w:rPr>
          <w:sz w:val="22"/>
        </w:rPr>
        <w:t>73</w:t>
      </w:r>
      <w:r>
        <w:rPr>
          <w:spacing w:val="-8"/>
          <w:sz w:val="22"/>
        </w:rPr>
        <w:t> </w:t>
      </w:r>
      <w:r>
        <w:rPr>
          <w:sz w:val="22"/>
        </w:rPr>
        <w:t>del</w:t>
      </w:r>
      <w:r>
        <w:rPr>
          <w:spacing w:val="-8"/>
          <w:sz w:val="22"/>
        </w:rPr>
        <w:t> </w:t>
      </w:r>
      <w:r>
        <w:rPr>
          <w:sz w:val="22"/>
        </w:rPr>
        <w:t>Acuerdo</w:t>
      </w:r>
      <w:r>
        <w:rPr>
          <w:spacing w:val="-8"/>
          <w:sz w:val="22"/>
        </w:rPr>
        <w:t> </w:t>
      </w:r>
      <w:r>
        <w:rPr>
          <w:sz w:val="22"/>
        </w:rPr>
        <w:t>de</w:t>
      </w:r>
      <w:r>
        <w:rPr>
          <w:spacing w:val="-8"/>
          <w:sz w:val="22"/>
        </w:rPr>
        <w:t> </w:t>
      </w:r>
      <w:r>
        <w:rPr>
          <w:sz w:val="22"/>
        </w:rPr>
        <w:t>Cartagena,</w:t>
      </w:r>
      <w:r>
        <w:rPr>
          <w:spacing w:val="-6"/>
          <w:sz w:val="22"/>
        </w:rPr>
        <w:t> </w:t>
      </w:r>
      <w:r>
        <w:rPr>
          <w:sz w:val="22"/>
        </w:rPr>
        <w:t>no</w:t>
      </w:r>
      <w:r>
        <w:rPr>
          <w:spacing w:val="-8"/>
          <w:sz w:val="22"/>
        </w:rPr>
        <w:t> </w:t>
      </w:r>
      <w:r>
        <w:rPr>
          <w:sz w:val="22"/>
        </w:rPr>
        <w:t>resulta</w:t>
      </w:r>
      <w:r>
        <w:rPr>
          <w:spacing w:val="-10"/>
          <w:sz w:val="22"/>
        </w:rPr>
        <w:t> </w:t>
      </w:r>
      <w:r>
        <w:rPr>
          <w:sz w:val="22"/>
        </w:rPr>
        <w:t>jurídicamente</w:t>
      </w:r>
      <w:r>
        <w:rPr>
          <w:spacing w:val="-4"/>
          <w:sz w:val="22"/>
        </w:rPr>
        <w:t> </w:t>
      </w:r>
      <w:r>
        <w:rPr>
          <w:sz w:val="22"/>
        </w:rPr>
        <w:t>procedente dentro del ordenamiento comunitario andino, por las siguientes consideraciones:</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En primer lugar, se incurre en una inadecuada aplicación al trasladar disposiciones propias del régimen del comercio de servicios, al ámbito del comercio de bienes. La Decisión 439 establece un marco normativo específico para la liberalización del comercio de servicios, mientras que el comercio de mercancías se rige por el Capítulo VI</w:t>
      </w:r>
      <w:r>
        <w:rPr>
          <w:spacing w:val="-1"/>
          <w:sz w:val="22"/>
        </w:rPr>
        <w:t> </w:t>
      </w:r>
      <w:r>
        <w:rPr>
          <w:sz w:val="22"/>
        </w:rPr>
        <w:t>del</w:t>
      </w:r>
      <w:r>
        <w:rPr>
          <w:spacing w:val="-3"/>
          <w:sz w:val="22"/>
        </w:rPr>
        <w:t> </w:t>
      </w:r>
      <w:r>
        <w:rPr>
          <w:sz w:val="22"/>
        </w:rPr>
        <w:t>Acuerdo</w:t>
      </w:r>
      <w:r>
        <w:rPr>
          <w:spacing w:val="-5"/>
          <w:sz w:val="22"/>
        </w:rPr>
        <w:t> </w:t>
      </w:r>
      <w:r>
        <w:rPr>
          <w:sz w:val="22"/>
        </w:rPr>
        <w:t>de</w:t>
      </w:r>
      <w:r>
        <w:rPr>
          <w:spacing w:val="-3"/>
          <w:sz w:val="22"/>
        </w:rPr>
        <w:t> </w:t>
      </w:r>
      <w:r>
        <w:rPr>
          <w:sz w:val="22"/>
        </w:rPr>
        <w:t>Cartagena.</w:t>
      </w:r>
      <w:r>
        <w:rPr>
          <w:spacing w:val="-1"/>
          <w:sz w:val="22"/>
        </w:rPr>
        <w:t> </w:t>
      </w:r>
      <w:r>
        <w:rPr>
          <w:sz w:val="22"/>
        </w:rPr>
        <w:t>Esta</w:t>
      </w:r>
      <w:r>
        <w:rPr>
          <w:spacing w:val="-5"/>
          <w:sz w:val="22"/>
        </w:rPr>
        <w:t> </w:t>
      </w:r>
      <w:r>
        <w:rPr>
          <w:sz w:val="22"/>
        </w:rPr>
        <w:t>diferenciación</w:t>
      </w:r>
      <w:r>
        <w:rPr>
          <w:spacing w:val="-3"/>
          <w:sz w:val="22"/>
        </w:rPr>
        <w:t> </w:t>
      </w:r>
      <w:r>
        <w:rPr>
          <w:sz w:val="22"/>
        </w:rPr>
        <w:t>responde</w:t>
      </w:r>
      <w:r>
        <w:rPr>
          <w:spacing w:val="-3"/>
          <w:sz w:val="22"/>
        </w:rPr>
        <w:t> </w:t>
      </w:r>
      <w:r>
        <w:rPr>
          <w:sz w:val="22"/>
        </w:rPr>
        <w:t>al</w:t>
      </w:r>
      <w:r>
        <w:rPr>
          <w:spacing w:val="-4"/>
          <w:sz w:val="22"/>
        </w:rPr>
        <w:t> </w:t>
      </w:r>
      <w:r>
        <w:rPr>
          <w:sz w:val="22"/>
        </w:rPr>
        <w:t>principio</w:t>
      </w:r>
      <w:r>
        <w:rPr>
          <w:spacing w:val="-3"/>
          <w:sz w:val="22"/>
        </w:rPr>
        <w:t> </w:t>
      </w:r>
      <w:r>
        <w:rPr>
          <w:sz w:val="22"/>
        </w:rPr>
        <w:t>de</w:t>
      </w:r>
      <w:r>
        <w:rPr>
          <w:spacing w:val="-3"/>
          <w:sz w:val="22"/>
        </w:rPr>
        <w:t> </w:t>
      </w:r>
      <w:r>
        <w:rPr>
          <w:sz w:val="22"/>
        </w:rPr>
        <w:t>especialidad normativa, conforme al cual cada régimen posee sus propias reglas, principios y excepciones.</w:t>
      </w:r>
      <w:r>
        <w:rPr>
          <w:spacing w:val="-9"/>
          <w:sz w:val="22"/>
        </w:rPr>
        <w:t> </w:t>
      </w:r>
      <w:r>
        <w:rPr>
          <w:sz w:val="22"/>
        </w:rPr>
        <w:t>En</w:t>
      </w:r>
      <w:r>
        <w:rPr>
          <w:spacing w:val="-10"/>
          <w:sz w:val="22"/>
        </w:rPr>
        <w:t> </w:t>
      </w:r>
      <w:r>
        <w:rPr>
          <w:sz w:val="22"/>
        </w:rPr>
        <w:t>ese</w:t>
      </w:r>
      <w:r>
        <w:rPr>
          <w:spacing w:val="-10"/>
          <w:sz w:val="22"/>
        </w:rPr>
        <w:t> </w:t>
      </w:r>
      <w:r>
        <w:rPr>
          <w:sz w:val="22"/>
        </w:rPr>
        <w:t>sentido,</w:t>
      </w:r>
      <w:r>
        <w:rPr>
          <w:spacing w:val="-8"/>
          <w:sz w:val="22"/>
        </w:rPr>
        <w:t> </w:t>
      </w:r>
      <w:r>
        <w:rPr>
          <w:sz w:val="22"/>
        </w:rPr>
        <w:t>no</w:t>
      </w:r>
      <w:r>
        <w:rPr>
          <w:spacing w:val="-12"/>
          <w:sz w:val="22"/>
        </w:rPr>
        <w:t> </w:t>
      </w:r>
      <w:r>
        <w:rPr>
          <w:sz w:val="22"/>
        </w:rPr>
        <w:t>resulta</w:t>
      </w:r>
      <w:r>
        <w:rPr>
          <w:spacing w:val="-11"/>
          <w:sz w:val="22"/>
        </w:rPr>
        <w:t> </w:t>
      </w:r>
      <w:r>
        <w:rPr>
          <w:sz w:val="22"/>
        </w:rPr>
        <w:t>jurídicamente</w:t>
      </w:r>
      <w:r>
        <w:rPr>
          <w:spacing w:val="-10"/>
          <w:sz w:val="22"/>
        </w:rPr>
        <w:t> </w:t>
      </w:r>
      <w:r>
        <w:rPr>
          <w:sz w:val="22"/>
        </w:rPr>
        <w:t>válido</w:t>
      </w:r>
      <w:r>
        <w:rPr>
          <w:spacing w:val="-10"/>
          <w:sz w:val="22"/>
        </w:rPr>
        <w:t> </w:t>
      </w:r>
      <w:r>
        <w:rPr>
          <w:sz w:val="22"/>
        </w:rPr>
        <w:t>extrapolar</w:t>
      </w:r>
      <w:r>
        <w:rPr>
          <w:spacing w:val="-9"/>
          <w:sz w:val="22"/>
        </w:rPr>
        <w:t> </w:t>
      </w:r>
      <w:r>
        <w:rPr>
          <w:sz w:val="22"/>
        </w:rPr>
        <w:t>las</w:t>
      </w:r>
      <w:r>
        <w:rPr>
          <w:spacing w:val="-12"/>
          <w:sz w:val="22"/>
        </w:rPr>
        <w:t> </w:t>
      </w:r>
      <w:r>
        <w:rPr>
          <w:sz w:val="22"/>
        </w:rPr>
        <w:t>excepciones previstas para el comercio de servicios, como la protección de la seguridad nacional contemplada en el artículo 11 de la Decisión 439 (norma de derecho derivado), al régimen de comercio de bienes.</w:t>
      </w:r>
    </w:p>
    <w:p>
      <w:pPr>
        <w:pStyle w:val="ListParagraph"/>
        <w:numPr>
          <w:ilvl w:val="0"/>
          <w:numId w:val="50"/>
        </w:numPr>
        <w:tabs>
          <w:tab w:pos="1130" w:val="left" w:leader="none"/>
          <w:tab w:pos="1134" w:val="left" w:leader="none"/>
        </w:tabs>
        <w:spacing w:line="240" w:lineRule="auto" w:before="252" w:after="0"/>
        <w:ind w:left="1134" w:right="977" w:hanging="567"/>
        <w:jc w:val="both"/>
        <w:rPr>
          <w:sz w:val="22"/>
        </w:rPr>
      </w:pPr>
      <w:r>
        <w:rPr>
          <w:sz w:val="22"/>
        </w:rPr>
        <w:t>En segundo</w:t>
      </w:r>
      <w:r>
        <w:rPr>
          <w:spacing w:val="-1"/>
          <w:sz w:val="22"/>
        </w:rPr>
        <w:t> </w:t>
      </w:r>
      <w:r>
        <w:rPr>
          <w:sz w:val="22"/>
        </w:rPr>
        <w:t>lugar, el</w:t>
      </w:r>
      <w:r>
        <w:rPr>
          <w:spacing w:val="-2"/>
          <w:sz w:val="22"/>
        </w:rPr>
        <w:t> </w:t>
      </w:r>
      <w:r>
        <w:rPr>
          <w:sz w:val="22"/>
        </w:rPr>
        <w:t>argumento</w:t>
      </w:r>
      <w:r>
        <w:rPr>
          <w:spacing w:val="-1"/>
          <w:sz w:val="22"/>
        </w:rPr>
        <w:t> </w:t>
      </w:r>
      <w:r>
        <w:rPr>
          <w:sz w:val="22"/>
        </w:rPr>
        <w:t>esbozado</w:t>
      </w:r>
      <w:r>
        <w:rPr>
          <w:spacing w:val="-1"/>
          <w:sz w:val="22"/>
        </w:rPr>
        <w:t> </w:t>
      </w:r>
      <w:r>
        <w:rPr>
          <w:sz w:val="22"/>
        </w:rPr>
        <w:t>por la</w:t>
      </w:r>
      <w:r>
        <w:rPr>
          <w:spacing w:val="-3"/>
          <w:sz w:val="22"/>
        </w:rPr>
        <w:t> </w:t>
      </w:r>
      <w:r>
        <w:rPr>
          <w:sz w:val="22"/>
        </w:rPr>
        <w:t>República de</w:t>
      </w:r>
      <w:r>
        <w:rPr>
          <w:spacing w:val="-1"/>
          <w:sz w:val="22"/>
        </w:rPr>
        <w:t> </w:t>
      </w:r>
      <w:r>
        <w:rPr>
          <w:sz w:val="22"/>
        </w:rPr>
        <w:t>Colombia desconocería que</w:t>
      </w:r>
      <w:r>
        <w:rPr>
          <w:spacing w:val="39"/>
          <w:sz w:val="22"/>
        </w:rPr>
        <w:t> </w:t>
      </w:r>
      <w:r>
        <w:rPr>
          <w:sz w:val="22"/>
        </w:rPr>
        <w:t>el</w:t>
      </w:r>
      <w:r>
        <w:rPr>
          <w:spacing w:val="38"/>
          <w:sz w:val="22"/>
        </w:rPr>
        <w:t> </w:t>
      </w:r>
      <w:r>
        <w:rPr>
          <w:sz w:val="22"/>
        </w:rPr>
        <w:t>propio</w:t>
      </w:r>
      <w:r>
        <w:rPr>
          <w:spacing w:val="39"/>
          <w:sz w:val="22"/>
        </w:rPr>
        <w:t> </w:t>
      </w:r>
      <w:r>
        <w:rPr>
          <w:sz w:val="22"/>
        </w:rPr>
        <w:t>artículo</w:t>
      </w:r>
      <w:r>
        <w:rPr>
          <w:spacing w:val="39"/>
          <w:sz w:val="22"/>
        </w:rPr>
        <w:t> </w:t>
      </w:r>
      <w:r>
        <w:rPr>
          <w:sz w:val="22"/>
        </w:rPr>
        <w:t>73</w:t>
      </w:r>
      <w:r>
        <w:rPr>
          <w:spacing w:val="39"/>
          <w:sz w:val="22"/>
        </w:rPr>
        <w:t> </w:t>
      </w:r>
      <w:r>
        <w:rPr>
          <w:sz w:val="22"/>
        </w:rPr>
        <w:t>del</w:t>
      </w:r>
      <w:r>
        <w:rPr>
          <w:spacing w:val="38"/>
          <w:sz w:val="22"/>
        </w:rPr>
        <w:t> </w:t>
      </w:r>
      <w:r>
        <w:rPr>
          <w:sz w:val="22"/>
        </w:rPr>
        <w:t>Acuerdo</w:t>
      </w:r>
      <w:r>
        <w:rPr>
          <w:spacing w:val="38"/>
          <w:sz w:val="22"/>
        </w:rPr>
        <w:t> </w:t>
      </w:r>
      <w:r>
        <w:rPr>
          <w:sz w:val="22"/>
        </w:rPr>
        <w:t>de</w:t>
      </w:r>
      <w:r>
        <w:rPr>
          <w:spacing w:val="36"/>
          <w:sz w:val="22"/>
        </w:rPr>
        <w:t> </w:t>
      </w:r>
      <w:r>
        <w:rPr>
          <w:sz w:val="22"/>
        </w:rPr>
        <w:t>Cartagena,</w:t>
      </w:r>
      <w:r>
        <w:rPr>
          <w:spacing w:val="40"/>
          <w:sz w:val="22"/>
        </w:rPr>
        <w:t> </w:t>
      </w:r>
      <w:r>
        <w:rPr>
          <w:sz w:val="22"/>
        </w:rPr>
        <w:t>pilar</w:t>
      </w:r>
      <w:r>
        <w:rPr>
          <w:spacing w:val="37"/>
          <w:sz w:val="22"/>
        </w:rPr>
        <w:t> </w:t>
      </w:r>
      <w:r>
        <w:rPr>
          <w:sz w:val="22"/>
        </w:rPr>
        <w:t>fundamental</w:t>
      </w:r>
      <w:r>
        <w:rPr>
          <w:spacing w:val="35"/>
          <w:sz w:val="22"/>
        </w:rPr>
        <w:t> </w:t>
      </w:r>
      <w:r>
        <w:rPr>
          <w:sz w:val="22"/>
        </w:rPr>
        <w:t>del</w:t>
      </w:r>
      <w:r>
        <w:rPr>
          <w:spacing w:val="38"/>
          <w:sz w:val="22"/>
        </w:rPr>
        <w:t> </w:t>
      </w:r>
      <w:r>
        <w:rPr>
          <w:sz w:val="22"/>
        </w:rPr>
        <w:t>derecho</w:t>
      </w:r>
    </w:p>
    <w:p>
      <w:pPr>
        <w:pStyle w:val="BodyText"/>
        <w:rPr>
          <w:sz w:val="18"/>
        </w:rPr>
      </w:pPr>
      <w:r>
        <w:rPr>
          <w:sz w:val="18"/>
        </w:rPr>
        <mc:AlternateContent>
          <mc:Choice Requires="wps">
            <w:drawing>
              <wp:anchor distT="0" distB="0" distL="0" distR="0" allowOverlap="1" layoutInCell="1" locked="0" behindDoc="1" simplePos="0" relativeHeight="487633408">
                <wp:simplePos x="0" y="0"/>
                <wp:positionH relativeFrom="page">
                  <wp:posOffset>990904</wp:posOffset>
                </wp:positionH>
                <wp:positionV relativeFrom="paragraph">
                  <wp:posOffset>146922</wp:posOffset>
                </wp:positionV>
                <wp:extent cx="1829435" cy="7620"/>
                <wp:effectExtent l="0" t="0" r="0" b="0"/>
                <wp:wrapTopAndBottom/>
                <wp:docPr id="429" name="Graphic 429"/>
                <wp:cNvGraphicFramePr>
                  <a:graphicFrameLocks/>
                </wp:cNvGraphicFramePr>
                <a:graphic>
                  <a:graphicData uri="http://schemas.microsoft.com/office/word/2010/wordprocessingShape">
                    <wps:wsp>
                      <wps:cNvPr id="429" name="Graphic 429"/>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1.568669pt;width:144.020pt;height:.60004pt;mso-position-horizontal-relative:page;mso-position-vertical-relative:paragraph;z-index:-15683072;mso-wrap-distance-left:0;mso-wrap-distance-right:0" id="docshape302" filled="true" fillcolor="#000000" stroked="false">
                <v:fill type="solid"/>
                <w10:wrap type="topAndBottom"/>
              </v:rect>
            </w:pict>
          </mc:Fallback>
        </mc:AlternateContent>
      </w:r>
    </w:p>
    <w:p>
      <w:pPr>
        <w:spacing w:before="92"/>
        <w:ind w:left="568" w:right="0" w:firstLine="0"/>
        <w:jc w:val="left"/>
        <w:rPr>
          <w:sz w:val="16"/>
        </w:rPr>
      </w:pPr>
      <w:bookmarkStart w:name="_bookmark85" w:id="86"/>
      <w:bookmarkEnd w:id="86"/>
      <w:r>
        <w:rPr/>
      </w:r>
      <w:r>
        <w:rPr>
          <w:sz w:val="16"/>
          <w:vertAlign w:val="superscript"/>
        </w:rPr>
        <w:t>18</w:t>
      </w:r>
      <w:r>
        <w:rPr>
          <w:spacing w:val="-7"/>
          <w:sz w:val="16"/>
          <w:vertAlign w:val="baseline"/>
        </w:rPr>
        <w:t> </w:t>
      </w:r>
      <w:r>
        <w:rPr>
          <w:sz w:val="16"/>
          <w:vertAlign w:val="baseline"/>
        </w:rPr>
        <w:t>Expediente</w:t>
      </w:r>
      <w:r>
        <w:rPr>
          <w:spacing w:val="-7"/>
          <w:sz w:val="16"/>
          <w:vertAlign w:val="baseline"/>
        </w:rPr>
        <w:t> </w:t>
      </w:r>
      <w:r>
        <w:rPr>
          <w:sz w:val="16"/>
          <w:vertAlign w:val="baseline"/>
        </w:rPr>
        <w:t>DGCOM/GRAV-REST/002/2026,</w:t>
      </w:r>
      <w:r>
        <w:rPr>
          <w:spacing w:val="-7"/>
          <w:sz w:val="16"/>
          <w:vertAlign w:val="baseline"/>
        </w:rPr>
        <w:t> </w:t>
      </w:r>
      <w:r>
        <w:rPr>
          <w:sz w:val="16"/>
          <w:vertAlign w:val="baseline"/>
        </w:rPr>
        <w:t>folios</w:t>
      </w:r>
      <w:r>
        <w:rPr>
          <w:spacing w:val="-5"/>
          <w:sz w:val="16"/>
          <w:vertAlign w:val="baseline"/>
        </w:rPr>
        <w:t> </w:t>
      </w:r>
      <w:r>
        <w:rPr>
          <w:sz w:val="16"/>
          <w:vertAlign w:val="baseline"/>
        </w:rPr>
        <w:t>000088</w:t>
      </w:r>
      <w:r>
        <w:rPr>
          <w:spacing w:val="-9"/>
          <w:sz w:val="16"/>
          <w:vertAlign w:val="baseline"/>
        </w:rPr>
        <w:t> </w:t>
      </w:r>
      <w:r>
        <w:rPr>
          <w:sz w:val="16"/>
          <w:vertAlign w:val="baseline"/>
        </w:rPr>
        <w:t>y</w:t>
      </w:r>
      <w:r>
        <w:rPr>
          <w:spacing w:val="-7"/>
          <w:sz w:val="16"/>
          <w:vertAlign w:val="baseline"/>
        </w:rPr>
        <w:t> </w:t>
      </w:r>
      <w:r>
        <w:rPr>
          <w:spacing w:val="-2"/>
          <w:sz w:val="16"/>
          <w:vertAlign w:val="baseline"/>
        </w:rPr>
        <w:t>000089.</w:t>
      </w:r>
    </w:p>
    <w:p>
      <w:pPr>
        <w:spacing w:before="1"/>
        <w:ind w:left="568" w:right="0" w:firstLine="0"/>
        <w:jc w:val="left"/>
        <w:rPr>
          <w:sz w:val="16"/>
        </w:rPr>
      </w:pPr>
      <w:bookmarkStart w:name="_bookmark86" w:id="87"/>
      <w:bookmarkEnd w:id="87"/>
      <w:r>
        <w:rPr/>
      </w:r>
      <w:r>
        <w:rPr>
          <w:sz w:val="16"/>
          <w:vertAlign w:val="superscript"/>
        </w:rPr>
        <w:t>19</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000352.</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30" name="Group 430"/>
                <wp:cNvGraphicFramePr>
                  <a:graphicFrameLocks/>
                </wp:cNvGraphicFramePr>
                <a:graphic>
                  <a:graphicData uri="http://schemas.microsoft.com/office/word/2010/wordprocessingGroup">
                    <wpg:wgp>
                      <wpg:cNvPr id="430" name="Group 430"/>
                      <wpg:cNvGrpSpPr/>
                      <wpg:grpSpPr>
                        <a:xfrm>
                          <a:off x="0" y="0"/>
                          <a:ext cx="6131560" cy="9525"/>
                          <a:chExt cx="6131560" cy="9525"/>
                        </a:xfrm>
                      </wpg:grpSpPr>
                      <wps:wsp>
                        <wps:cNvPr id="431" name="Graphic 431"/>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03"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68"/>
          <w:footerReference w:type="default" r:id="rId69"/>
          <w:pgSz w:w="11900" w:h="16850"/>
          <w:pgMar w:header="370" w:footer="597" w:top="1380" w:bottom="780" w:left="992" w:right="283"/>
        </w:sectPr>
      </w:pPr>
    </w:p>
    <w:p>
      <w:pPr>
        <w:pStyle w:val="BodyText"/>
        <w:spacing w:before="176"/>
      </w:pPr>
    </w:p>
    <w:p>
      <w:pPr>
        <w:pStyle w:val="BodyText"/>
        <w:ind w:left="1134" w:right="976"/>
        <w:jc w:val="both"/>
      </w:pPr>
      <w:r>
        <w:rPr/>
        <w:t>originario, ya contiene un listado expreso y taxativo de excepciones a la prohibición de restricciones al comercio intracomunitario. Dicho artículo establece que no se considerarán restricciones aquellas medidas destinadas, entre otros fines, a la “</w:t>
      </w:r>
      <w:r>
        <w:rPr>
          <w:rFonts w:ascii="Arial" w:hAnsi="Arial"/>
          <w:i/>
        </w:rPr>
        <w:t>aplicación de leyes y reglamentos de seguridad</w:t>
      </w:r>
      <w:r>
        <w:rPr/>
        <w:t>”. En consecuencia, además de la diferencia de rango normativo de las normas en cuestión, no existe vacío normativo ni habilitación</w:t>
      </w:r>
      <w:r>
        <w:rPr>
          <w:spacing w:val="-13"/>
        </w:rPr>
        <w:t> </w:t>
      </w:r>
      <w:r>
        <w:rPr/>
        <w:t>jurídica</w:t>
      </w:r>
      <w:r>
        <w:rPr>
          <w:spacing w:val="-14"/>
        </w:rPr>
        <w:t> </w:t>
      </w:r>
      <w:r>
        <w:rPr/>
        <w:t>que</w:t>
      </w:r>
      <w:r>
        <w:rPr>
          <w:spacing w:val="-14"/>
        </w:rPr>
        <w:t> </w:t>
      </w:r>
      <w:r>
        <w:rPr/>
        <w:t>justifique</w:t>
      </w:r>
      <w:r>
        <w:rPr>
          <w:spacing w:val="-13"/>
        </w:rPr>
        <w:t> </w:t>
      </w:r>
      <w:r>
        <w:rPr/>
        <w:t>acudir</w:t>
      </w:r>
      <w:r>
        <w:rPr>
          <w:spacing w:val="-13"/>
        </w:rPr>
        <w:t> </w:t>
      </w:r>
      <w:r>
        <w:rPr/>
        <w:t>al</w:t>
      </w:r>
      <w:r>
        <w:rPr>
          <w:spacing w:val="-13"/>
        </w:rPr>
        <w:t> </w:t>
      </w:r>
      <w:r>
        <w:rPr/>
        <w:t>principio</w:t>
      </w:r>
      <w:r>
        <w:rPr>
          <w:spacing w:val="-12"/>
        </w:rPr>
        <w:t> </w:t>
      </w:r>
      <w:r>
        <w:rPr/>
        <w:t>de</w:t>
      </w:r>
      <w:r>
        <w:rPr>
          <w:spacing w:val="-13"/>
        </w:rPr>
        <w:t> </w:t>
      </w:r>
      <w:r>
        <w:rPr/>
        <w:t>complemento</w:t>
      </w:r>
      <w:r>
        <w:rPr>
          <w:spacing w:val="-14"/>
        </w:rPr>
        <w:t> </w:t>
      </w:r>
      <w:r>
        <w:rPr/>
        <w:t>indispensable</w:t>
      </w:r>
      <w:r>
        <w:rPr>
          <w:spacing w:val="-11"/>
        </w:rPr>
        <w:t> </w:t>
      </w:r>
      <w:r>
        <w:rPr/>
        <w:t>para ampliar el alcance de dichas excepciones.</w:t>
      </w:r>
    </w:p>
    <w:p>
      <w:pPr>
        <w:pStyle w:val="ListParagraph"/>
        <w:numPr>
          <w:ilvl w:val="0"/>
          <w:numId w:val="50"/>
        </w:numPr>
        <w:tabs>
          <w:tab w:pos="1130" w:val="left" w:leader="none"/>
          <w:tab w:pos="1134" w:val="left" w:leader="none"/>
        </w:tabs>
        <w:spacing w:line="240" w:lineRule="auto" w:before="253" w:after="0"/>
        <w:ind w:left="1134" w:right="978" w:hanging="567"/>
        <w:jc w:val="both"/>
        <w:rPr>
          <w:sz w:val="22"/>
        </w:rPr>
      </w:pPr>
      <w:r>
        <w:rPr>
          <w:sz w:val="22"/>
        </w:rPr>
        <w:t>Precisamente, la jurisprudencia del TJCAN ha señalado que el principio de complemento indispensable solo permite a los Estados miembros adoptar normas internas en aquellos aspectos no regulados por el derecho comunitario, siempre que tales</w:t>
      </w:r>
      <w:r>
        <w:rPr>
          <w:spacing w:val="-16"/>
          <w:sz w:val="22"/>
        </w:rPr>
        <w:t> </w:t>
      </w:r>
      <w:r>
        <w:rPr>
          <w:sz w:val="22"/>
        </w:rPr>
        <w:t>normas</w:t>
      </w:r>
      <w:r>
        <w:rPr>
          <w:spacing w:val="-15"/>
          <w:sz w:val="22"/>
        </w:rPr>
        <w:t> </w:t>
      </w:r>
      <w:r>
        <w:rPr>
          <w:sz w:val="22"/>
        </w:rPr>
        <w:t>no</w:t>
      </w:r>
      <w:r>
        <w:rPr>
          <w:spacing w:val="-15"/>
          <w:sz w:val="22"/>
        </w:rPr>
        <w:t> </w:t>
      </w:r>
      <w:r>
        <w:rPr>
          <w:sz w:val="22"/>
        </w:rPr>
        <w:t>introduzcan</w:t>
      </w:r>
      <w:r>
        <w:rPr>
          <w:spacing w:val="-16"/>
          <w:sz w:val="22"/>
        </w:rPr>
        <w:t> </w:t>
      </w:r>
      <w:r>
        <w:rPr>
          <w:sz w:val="22"/>
        </w:rPr>
        <w:t>restricciones</w:t>
      </w:r>
      <w:r>
        <w:rPr>
          <w:spacing w:val="-15"/>
          <w:sz w:val="22"/>
        </w:rPr>
        <w:t> </w:t>
      </w:r>
      <w:r>
        <w:rPr>
          <w:sz w:val="22"/>
        </w:rPr>
        <w:t>adicionales</w:t>
      </w:r>
      <w:r>
        <w:rPr>
          <w:spacing w:val="-15"/>
          <w:sz w:val="22"/>
        </w:rPr>
        <w:t> </w:t>
      </w:r>
      <w:r>
        <w:rPr>
          <w:sz w:val="22"/>
        </w:rPr>
        <w:t>ni</w:t>
      </w:r>
      <w:r>
        <w:rPr>
          <w:spacing w:val="-15"/>
          <w:sz w:val="22"/>
        </w:rPr>
        <w:t> </w:t>
      </w:r>
      <w:r>
        <w:rPr>
          <w:sz w:val="22"/>
        </w:rPr>
        <w:t>desvirtúen</w:t>
      </w:r>
      <w:r>
        <w:rPr>
          <w:spacing w:val="-16"/>
          <w:sz w:val="22"/>
        </w:rPr>
        <w:t> </w:t>
      </w:r>
      <w:r>
        <w:rPr>
          <w:sz w:val="22"/>
        </w:rPr>
        <w:t>el</w:t>
      </w:r>
      <w:r>
        <w:rPr>
          <w:spacing w:val="-15"/>
          <w:sz w:val="22"/>
        </w:rPr>
        <w:t> </w:t>
      </w:r>
      <w:r>
        <w:rPr>
          <w:sz w:val="22"/>
        </w:rPr>
        <w:t>contenido</w:t>
      </w:r>
      <w:r>
        <w:rPr>
          <w:spacing w:val="-15"/>
          <w:sz w:val="22"/>
        </w:rPr>
        <w:t> </w:t>
      </w:r>
      <w:r>
        <w:rPr>
          <w:sz w:val="22"/>
        </w:rPr>
        <w:t>esencial de la normativa andina. En el Proceso 106-IP-2012</w:t>
      </w:r>
      <w:hyperlink w:history="true" w:anchor="_bookmark87">
        <w:r>
          <w:rPr>
            <w:sz w:val="22"/>
            <w:vertAlign w:val="superscript"/>
          </w:rPr>
          <w:t>20</w:t>
        </w:r>
      </w:hyperlink>
      <w:r>
        <w:rPr>
          <w:sz w:val="22"/>
          <w:vertAlign w:val="baseline"/>
        </w:rPr>
        <w:t>, el Tribunal sostuvo que las legislaciones internas “</w:t>
      </w:r>
      <w:r>
        <w:rPr>
          <w:rFonts w:ascii="Arial" w:hAnsi="Arial"/>
          <w:i/>
          <w:sz w:val="22"/>
          <w:vertAlign w:val="baseline"/>
        </w:rPr>
        <w:t>no podrán establecer exigencias, requisitos adicionales o dictar reglamentaciones que de una u otra manera entren en conflicto con el derecho comunitario andino o restrinjan aspectos esenciales regulados por él</w:t>
      </w:r>
      <w:r>
        <w:rPr>
          <w:sz w:val="22"/>
          <w:vertAlign w:val="baseline"/>
        </w:rPr>
        <w:t>”. En el presente caso,</w:t>
      </w:r>
      <w:r>
        <w:rPr>
          <w:spacing w:val="-10"/>
          <w:sz w:val="22"/>
          <w:vertAlign w:val="baseline"/>
        </w:rPr>
        <w:t> </w:t>
      </w:r>
      <w:r>
        <w:rPr>
          <w:sz w:val="22"/>
          <w:vertAlign w:val="baseline"/>
        </w:rPr>
        <w:t>la</w:t>
      </w:r>
      <w:r>
        <w:rPr>
          <w:spacing w:val="-11"/>
          <w:sz w:val="22"/>
          <w:vertAlign w:val="baseline"/>
        </w:rPr>
        <w:t> </w:t>
      </w:r>
      <w:r>
        <w:rPr>
          <w:sz w:val="22"/>
          <w:vertAlign w:val="baseline"/>
        </w:rPr>
        <w:t>utilización</w:t>
      </w:r>
      <w:r>
        <w:rPr>
          <w:spacing w:val="-10"/>
          <w:sz w:val="22"/>
          <w:vertAlign w:val="baseline"/>
        </w:rPr>
        <w:t> </w:t>
      </w:r>
      <w:r>
        <w:rPr>
          <w:sz w:val="22"/>
          <w:vertAlign w:val="baseline"/>
        </w:rPr>
        <w:t>del</w:t>
      </w:r>
      <w:r>
        <w:rPr>
          <w:spacing w:val="-12"/>
          <w:sz w:val="22"/>
          <w:vertAlign w:val="baseline"/>
        </w:rPr>
        <w:t> </w:t>
      </w:r>
      <w:r>
        <w:rPr>
          <w:sz w:val="22"/>
          <w:vertAlign w:val="baseline"/>
        </w:rPr>
        <w:t>concepto</w:t>
      </w:r>
      <w:r>
        <w:rPr>
          <w:spacing w:val="-11"/>
          <w:sz w:val="22"/>
          <w:vertAlign w:val="baseline"/>
        </w:rPr>
        <w:t> </w:t>
      </w:r>
      <w:r>
        <w:rPr>
          <w:sz w:val="22"/>
          <w:vertAlign w:val="baseline"/>
        </w:rPr>
        <w:t>de</w:t>
      </w:r>
      <w:r>
        <w:rPr>
          <w:spacing w:val="-12"/>
          <w:sz w:val="22"/>
          <w:vertAlign w:val="baseline"/>
        </w:rPr>
        <w:t> </w:t>
      </w:r>
      <w:r>
        <w:rPr>
          <w:sz w:val="22"/>
          <w:vertAlign w:val="baseline"/>
        </w:rPr>
        <w:t>seguridad</w:t>
      </w:r>
      <w:r>
        <w:rPr>
          <w:spacing w:val="-10"/>
          <w:sz w:val="22"/>
          <w:vertAlign w:val="baseline"/>
        </w:rPr>
        <w:t> </w:t>
      </w:r>
      <w:r>
        <w:rPr>
          <w:sz w:val="22"/>
          <w:vertAlign w:val="baseline"/>
        </w:rPr>
        <w:t>nacional</w:t>
      </w:r>
      <w:r>
        <w:rPr>
          <w:spacing w:val="-9"/>
          <w:sz w:val="22"/>
          <w:vertAlign w:val="baseline"/>
        </w:rPr>
        <w:t> </w:t>
      </w:r>
      <w:r>
        <w:rPr>
          <w:sz w:val="22"/>
          <w:vertAlign w:val="baseline"/>
        </w:rPr>
        <w:t>del</w:t>
      </w:r>
      <w:r>
        <w:rPr>
          <w:spacing w:val="-10"/>
          <w:sz w:val="22"/>
          <w:vertAlign w:val="baseline"/>
        </w:rPr>
        <w:t> </w:t>
      </w:r>
      <w:r>
        <w:rPr>
          <w:sz w:val="22"/>
          <w:vertAlign w:val="baseline"/>
        </w:rPr>
        <w:t>artículo</w:t>
      </w:r>
      <w:r>
        <w:rPr>
          <w:spacing w:val="-11"/>
          <w:sz w:val="22"/>
          <w:vertAlign w:val="baseline"/>
        </w:rPr>
        <w:t> </w:t>
      </w:r>
      <w:r>
        <w:rPr>
          <w:sz w:val="22"/>
          <w:vertAlign w:val="baseline"/>
        </w:rPr>
        <w:t>11</w:t>
      </w:r>
      <w:r>
        <w:rPr>
          <w:spacing w:val="-12"/>
          <w:sz w:val="22"/>
          <w:vertAlign w:val="baseline"/>
        </w:rPr>
        <w:t> </w:t>
      </w:r>
      <w:r>
        <w:rPr>
          <w:sz w:val="22"/>
          <w:vertAlign w:val="baseline"/>
        </w:rPr>
        <w:t>de</w:t>
      </w:r>
      <w:r>
        <w:rPr>
          <w:spacing w:val="-12"/>
          <w:sz w:val="22"/>
          <w:vertAlign w:val="baseline"/>
        </w:rPr>
        <w:t> </w:t>
      </w:r>
      <w:r>
        <w:rPr>
          <w:sz w:val="22"/>
          <w:vertAlign w:val="baseline"/>
        </w:rPr>
        <w:t>la</w:t>
      </w:r>
      <w:r>
        <w:rPr>
          <w:spacing w:val="-14"/>
          <w:sz w:val="22"/>
          <w:vertAlign w:val="baseline"/>
        </w:rPr>
        <w:t> </w:t>
      </w:r>
      <w:r>
        <w:rPr>
          <w:sz w:val="22"/>
          <w:vertAlign w:val="baseline"/>
        </w:rPr>
        <w:t>Decisión</w:t>
      </w:r>
      <w:r>
        <w:rPr>
          <w:spacing w:val="-10"/>
          <w:sz w:val="22"/>
          <w:vertAlign w:val="baseline"/>
        </w:rPr>
        <w:t> </w:t>
      </w:r>
      <w:r>
        <w:rPr>
          <w:sz w:val="22"/>
          <w:vertAlign w:val="baseline"/>
        </w:rPr>
        <w:t>439 para justificar nuevas restricciones al comercio de bienes implicaría precisamente una ampliación indebida de las excepciones, lo cual estaría prohibido.</w:t>
      </w:r>
    </w:p>
    <w:p>
      <w:pPr>
        <w:pStyle w:val="BodyText"/>
      </w:pPr>
    </w:p>
    <w:p>
      <w:pPr>
        <w:pStyle w:val="ListParagraph"/>
        <w:numPr>
          <w:ilvl w:val="0"/>
          <w:numId w:val="50"/>
        </w:numPr>
        <w:tabs>
          <w:tab w:pos="1130" w:val="left" w:leader="none"/>
          <w:tab w:pos="1134" w:val="left" w:leader="none"/>
        </w:tabs>
        <w:spacing w:line="240" w:lineRule="auto" w:before="0" w:after="0"/>
        <w:ind w:left="1134" w:right="975" w:hanging="567"/>
        <w:jc w:val="both"/>
        <w:rPr>
          <w:sz w:val="22"/>
        </w:rPr>
      </w:pPr>
      <w:r>
        <w:rPr>
          <w:sz w:val="22"/>
        </w:rPr>
        <w:t>En tercer lugar, el planteamiento contradice el objetivo fundamental del Programa de Liberación previsto en el artículo 72 del Acuerdo de Cartagena, que consiste en la eliminación de los gravámenes y restricciones de todo orden que afecten las importaciones</w:t>
      </w:r>
      <w:r>
        <w:rPr>
          <w:spacing w:val="-5"/>
          <w:sz w:val="22"/>
        </w:rPr>
        <w:t> </w:t>
      </w:r>
      <w:r>
        <w:rPr>
          <w:sz w:val="22"/>
        </w:rPr>
        <w:t>intracomunitarias.</w:t>
      </w:r>
      <w:r>
        <w:rPr>
          <w:spacing w:val="-1"/>
          <w:sz w:val="22"/>
        </w:rPr>
        <w:t> </w:t>
      </w:r>
      <w:r>
        <w:rPr>
          <w:sz w:val="22"/>
        </w:rPr>
        <w:t>La</w:t>
      </w:r>
      <w:r>
        <w:rPr>
          <w:spacing w:val="-5"/>
          <w:sz w:val="22"/>
        </w:rPr>
        <w:t> </w:t>
      </w:r>
      <w:r>
        <w:rPr>
          <w:sz w:val="22"/>
        </w:rPr>
        <w:t>jurisprudencia</w:t>
      </w:r>
      <w:r>
        <w:rPr>
          <w:spacing w:val="-3"/>
          <w:sz w:val="22"/>
        </w:rPr>
        <w:t> </w:t>
      </w:r>
      <w:r>
        <w:rPr>
          <w:sz w:val="22"/>
        </w:rPr>
        <w:t>andina</w:t>
      </w:r>
      <w:r>
        <w:rPr>
          <w:spacing w:val="-3"/>
          <w:sz w:val="22"/>
        </w:rPr>
        <w:t> </w:t>
      </w:r>
      <w:r>
        <w:rPr>
          <w:sz w:val="22"/>
        </w:rPr>
        <w:t>ha</w:t>
      </w:r>
      <w:r>
        <w:rPr>
          <w:spacing w:val="-3"/>
          <w:sz w:val="22"/>
        </w:rPr>
        <w:t> </w:t>
      </w:r>
      <w:r>
        <w:rPr>
          <w:sz w:val="22"/>
        </w:rPr>
        <w:t>sido</w:t>
      </w:r>
      <w:r>
        <w:rPr>
          <w:spacing w:val="-3"/>
          <w:sz w:val="22"/>
        </w:rPr>
        <w:t> </w:t>
      </w:r>
      <w:r>
        <w:rPr>
          <w:sz w:val="22"/>
        </w:rPr>
        <w:t>constante</w:t>
      </w:r>
      <w:r>
        <w:rPr>
          <w:spacing w:val="-3"/>
          <w:sz w:val="22"/>
        </w:rPr>
        <w:t> </w:t>
      </w:r>
      <w:r>
        <w:rPr>
          <w:sz w:val="22"/>
        </w:rPr>
        <w:t>en</w:t>
      </w:r>
      <w:r>
        <w:rPr>
          <w:spacing w:val="-3"/>
          <w:sz w:val="22"/>
        </w:rPr>
        <w:t> </w:t>
      </w:r>
      <w:r>
        <w:rPr>
          <w:sz w:val="22"/>
        </w:rPr>
        <w:t>señalar que cualquier medida que dificulte o encarezca las importaciones constituye una restricción, independientemente de su denominación. En ese sentido, admitir una interpretación extensiva de una excepción que permitiría a los Países Miembros reintroducir obstáculos al comercio, vacía de contenido el Programa de Liberación establecido en el Acuerdo de Cartagena.</w:t>
      </w:r>
    </w:p>
    <w:p>
      <w:pPr>
        <w:pStyle w:val="BodyText"/>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Asimismo, debe tenerse presente, que las excepciones previstas en el derecho comunitario andino, por su propia naturaleza, deben ser interpretadas de manera restrictiva, por lo que no resulta admisible ampliar su alcance mediante analogías o interpretaciones</w:t>
      </w:r>
      <w:r>
        <w:rPr>
          <w:spacing w:val="-3"/>
          <w:sz w:val="22"/>
        </w:rPr>
        <w:t> </w:t>
      </w:r>
      <w:r>
        <w:rPr>
          <w:sz w:val="22"/>
        </w:rPr>
        <w:t>extensivas,</w:t>
      </w:r>
      <w:r>
        <w:rPr>
          <w:spacing w:val="-2"/>
          <w:sz w:val="22"/>
        </w:rPr>
        <w:t> </w:t>
      </w:r>
      <w:r>
        <w:rPr>
          <w:sz w:val="22"/>
        </w:rPr>
        <w:t>ya</w:t>
      </w:r>
      <w:r>
        <w:rPr>
          <w:spacing w:val="-3"/>
          <w:sz w:val="22"/>
        </w:rPr>
        <w:t> </w:t>
      </w:r>
      <w:r>
        <w:rPr>
          <w:sz w:val="22"/>
        </w:rPr>
        <w:t>que</w:t>
      </w:r>
      <w:r>
        <w:rPr>
          <w:spacing w:val="-5"/>
          <w:sz w:val="22"/>
        </w:rPr>
        <w:t> </w:t>
      </w:r>
      <w:r>
        <w:rPr>
          <w:sz w:val="22"/>
        </w:rPr>
        <w:t>ello</w:t>
      </w:r>
      <w:r>
        <w:rPr>
          <w:spacing w:val="-3"/>
          <w:sz w:val="22"/>
        </w:rPr>
        <w:t> </w:t>
      </w:r>
      <w:r>
        <w:rPr>
          <w:sz w:val="22"/>
        </w:rPr>
        <w:t>comprometería</w:t>
      </w:r>
      <w:r>
        <w:rPr>
          <w:spacing w:val="-3"/>
          <w:sz w:val="22"/>
        </w:rPr>
        <w:t> </w:t>
      </w:r>
      <w:r>
        <w:rPr>
          <w:sz w:val="22"/>
        </w:rPr>
        <w:t>la</w:t>
      </w:r>
      <w:r>
        <w:rPr>
          <w:spacing w:val="-3"/>
          <w:sz w:val="22"/>
        </w:rPr>
        <w:t> </w:t>
      </w:r>
      <w:r>
        <w:rPr>
          <w:sz w:val="22"/>
        </w:rPr>
        <w:t>efectividad</w:t>
      </w:r>
      <w:r>
        <w:rPr>
          <w:spacing w:val="-3"/>
          <w:sz w:val="22"/>
        </w:rPr>
        <w:t> </w:t>
      </w:r>
      <w:r>
        <w:rPr>
          <w:sz w:val="22"/>
        </w:rPr>
        <w:t>del</w:t>
      </w:r>
      <w:r>
        <w:rPr>
          <w:spacing w:val="-3"/>
          <w:sz w:val="22"/>
        </w:rPr>
        <w:t> </w:t>
      </w:r>
      <w:r>
        <w:rPr>
          <w:sz w:val="22"/>
        </w:rPr>
        <w:t>ordenamiento comunitario, como sucedería en el caso de pretender extender una excepción prevista para el comercio de servicios, al ámbito del comercio de bienes.</w:t>
      </w:r>
    </w:p>
    <w:p>
      <w:pPr>
        <w:pStyle w:val="BodyText"/>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En conclusión, frente al argumento especifico de aplicar la excepción prevista en el numeral 3 del artículo 11 de la Decisión 439 </w:t>
      </w:r>
      <w:r>
        <w:rPr>
          <w:rFonts w:ascii="Arial" w:hAnsi="Arial"/>
          <w:i/>
          <w:sz w:val="22"/>
        </w:rPr>
        <w:t>“Marco General de Principios y Normas para la Liberalización del Comercio de Servicios en la Comunidad Andina</w:t>
      </w:r>
      <w:r>
        <w:rPr>
          <w:sz w:val="22"/>
        </w:rPr>
        <w:t>”, relativa la protección los intereses esenciales de su seguridad nacional, propia del comercio de servicios,</w:t>
      </w:r>
      <w:r>
        <w:rPr>
          <w:spacing w:val="-9"/>
          <w:sz w:val="22"/>
        </w:rPr>
        <w:t> </w:t>
      </w:r>
      <w:r>
        <w:rPr>
          <w:sz w:val="22"/>
        </w:rPr>
        <w:t>la</w:t>
      </w:r>
      <w:r>
        <w:rPr>
          <w:spacing w:val="-7"/>
          <w:sz w:val="22"/>
        </w:rPr>
        <w:t> </w:t>
      </w:r>
      <w:r>
        <w:rPr>
          <w:sz w:val="22"/>
        </w:rPr>
        <w:t>SGCAN</w:t>
      </w:r>
      <w:r>
        <w:rPr>
          <w:spacing w:val="-11"/>
          <w:sz w:val="22"/>
        </w:rPr>
        <w:t> </w:t>
      </w:r>
      <w:r>
        <w:rPr>
          <w:sz w:val="22"/>
        </w:rPr>
        <w:t>considera</w:t>
      </w:r>
      <w:r>
        <w:rPr>
          <w:spacing w:val="-7"/>
          <w:sz w:val="22"/>
        </w:rPr>
        <w:t> </w:t>
      </w:r>
      <w:r>
        <w:rPr>
          <w:sz w:val="22"/>
        </w:rPr>
        <w:t>que</w:t>
      </w:r>
      <w:r>
        <w:rPr>
          <w:spacing w:val="-10"/>
          <w:sz w:val="22"/>
        </w:rPr>
        <w:t> </w:t>
      </w:r>
      <w:r>
        <w:rPr>
          <w:sz w:val="22"/>
        </w:rPr>
        <w:t>el</w:t>
      </w:r>
      <w:r>
        <w:rPr>
          <w:spacing w:val="-8"/>
          <w:sz w:val="22"/>
        </w:rPr>
        <w:t> </w:t>
      </w:r>
      <w:r>
        <w:rPr>
          <w:sz w:val="22"/>
        </w:rPr>
        <w:t>mismo:</w:t>
      </w:r>
      <w:r>
        <w:rPr>
          <w:spacing w:val="-9"/>
          <w:sz w:val="22"/>
        </w:rPr>
        <w:t> </w:t>
      </w:r>
      <w:r>
        <w:rPr>
          <w:sz w:val="22"/>
        </w:rPr>
        <w:t>(i)</w:t>
      </w:r>
      <w:r>
        <w:rPr>
          <w:spacing w:val="-6"/>
          <w:sz w:val="22"/>
        </w:rPr>
        <w:t> </w:t>
      </w:r>
      <w:r>
        <w:rPr>
          <w:sz w:val="22"/>
        </w:rPr>
        <w:t>busca</w:t>
      </w:r>
      <w:r>
        <w:rPr>
          <w:spacing w:val="-8"/>
          <w:sz w:val="22"/>
        </w:rPr>
        <w:t> </w:t>
      </w:r>
      <w:r>
        <w:rPr>
          <w:sz w:val="22"/>
        </w:rPr>
        <w:t>trasladar</w:t>
      </w:r>
      <w:r>
        <w:rPr>
          <w:spacing w:val="-9"/>
          <w:sz w:val="22"/>
        </w:rPr>
        <w:t> </w:t>
      </w:r>
      <w:r>
        <w:rPr>
          <w:sz w:val="22"/>
        </w:rPr>
        <w:t>indebidamente</w:t>
      </w:r>
      <w:r>
        <w:rPr>
          <w:spacing w:val="-7"/>
          <w:sz w:val="22"/>
        </w:rPr>
        <w:t> </w:t>
      </w:r>
      <w:r>
        <w:rPr>
          <w:sz w:val="22"/>
        </w:rPr>
        <w:t>normas del régimen del comercio de servicios al</w:t>
      </w:r>
      <w:r>
        <w:rPr>
          <w:spacing w:val="-1"/>
          <w:sz w:val="22"/>
        </w:rPr>
        <w:t> </w:t>
      </w:r>
      <w:r>
        <w:rPr>
          <w:sz w:val="22"/>
        </w:rPr>
        <w:t>comercio de bienes; (ii) desconoce el</w:t>
      </w:r>
      <w:r>
        <w:rPr>
          <w:spacing w:val="-1"/>
          <w:sz w:val="22"/>
        </w:rPr>
        <w:t> </w:t>
      </w:r>
      <w:r>
        <w:rPr>
          <w:sz w:val="22"/>
        </w:rPr>
        <w:t>carácter exhaustivo</w:t>
      </w:r>
      <w:r>
        <w:rPr>
          <w:spacing w:val="-9"/>
          <w:sz w:val="22"/>
        </w:rPr>
        <w:t> </w:t>
      </w:r>
      <w:r>
        <w:rPr>
          <w:sz w:val="22"/>
        </w:rPr>
        <w:t>de</w:t>
      </w:r>
      <w:r>
        <w:rPr>
          <w:spacing w:val="-12"/>
          <w:sz w:val="22"/>
        </w:rPr>
        <w:t> </w:t>
      </w:r>
      <w:r>
        <w:rPr>
          <w:sz w:val="22"/>
        </w:rPr>
        <w:t>las</w:t>
      </w:r>
      <w:r>
        <w:rPr>
          <w:spacing w:val="-9"/>
          <w:sz w:val="22"/>
        </w:rPr>
        <w:t> </w:t>
      </w:r>
      <w:r>
        <w:rPr>
          <w:sz w:val="22"/>
        </w:rPr>
        <w:t>excepciones</w:t>
      </w:r>
      <w:r>
        <w:rPr>
          <w:spacing w:val="-9"/>
          <w:sz w:val="22"/>
        </w:rPr>
        <w:t> </w:t>
      </w:r>
      <w:r>
        <w:rPr>
          <w:sz w:val="22"/>
        </w:rPr>
        <w:t>previstas</w:t>
      </w:r>
      <w:r>
        <w:rPr>
          <w:spacing w:val="-11"/>
          <w:sz w:val="22"/>
        </w:rPr>
        <w:t> </w:t>
      </w:r>
      <w:r>
        <w:rPr>
          <w:sz w:val="22"/>
        </w:rPr>
        <w:t>en</w:t>
      </w:r>
      <w:r>
        <w:rPr>
          <w:spacing w:val="-12"/>
          <w:sz w:val="22"/>
        </w:rPr>
        <w:t> </w:t>
      </w:r>
      <w:r>
        <w:rPr>
          <w:sz w:val="22"/>
        </w:rPr>
        <w:t>el</w:t>
      </w:r>
      <w:r>
        <w:rPr>
          <w:spacing w:val="-10"/>
          <w:sz w:val="22"/>
        </w:rPr>
        <w:t> </w:t>
      </w:r>
      <w:r>
        <w:rPr>
          <w:sz w:val="22"/>
        </w:rPr>
        <w:t>artículo</w:t>
      </w:r>
      <w:r>
        <w:rPr>
          <w:spacing w:val="-9"/>
          <w:sz w:val="22"/>
        </w:rPr>
        <w:t> </w:t>
      </w:r>
      <w:r>
        <w:rPr>
          <w:sz w:val="22"/>
        </w:rPr>
        <w:t>73</w:t>
      </w:r>
      <w:r>
        <w:rPr>
          <w:spacing w:val="-9"/>
          <w:sz w:val="22"/>
        </w:rPr>
        <w:t> </w:t>
      </w:r>
      <w:r>
        <w:rPr>
          <w:sz w:val="22"/>
        </w:rPr>
        <w:t>del</w:t>
      </w:r>
      <w:r>
        <w:rPr>
          <w:spacing w:val="-10"/>
          <w:sz w:val="22"/>
        </w:rPr>
        <w:t> </w:t>
      </w:r>
      <w:r>
        <w:rPr>
          <w:sz w:val="22"/>
        </w:rPr>
        <w:t>Acuerdo</w:t>
      </w:r>
      <w:r>
        <w:rPr>
          <w:spacing w:val="-9"/>
          <w:sz w:val="22"/>
        </w:rPr>
        <w:t> </w:t>
      </w:r>
      <w:r>
        <w:rPr>
          <w:sz w:val="22"/>
        </w:rPr>
        <w:t>de</w:t>
      </w:r>
      <w:r>
        <w:rPr>
          <w:spacing w:val="-12"/>
          <w:sz w:val="22"/>
        </w:rPr>
        <w:t> </w:t>
      </w:r>
      <w:r>
        <w:rPr>
          <w:sz w:val="22"/>
        </w:rPr>
        <w:t>Cartagena;</w:t>
      </w:r>
      <w:r>
        <w:rPr>
          <w:spacing w:val="-10"/>
          <w:sz w:val="22"/>
        </w:rPr>
        <w:t> </w:t>
      </w:r>
      <w:r>
        <w:rPr>
          <w:sz w:val="22"/>
        </w:rPr>
        <w:t>(iii) aplica incorrectamente el principio de complemento indispensable; y (iv) contradice los principios de liberalización y primacía del derecho comunitario andino. Por tanto, la República</w:t>
      </w:r>
      <w:r>
        <w:rPr>
          <w:spacing w:val="-2"/>
          <w:sz w:val="22"/>
        </w:rPr>
        <w:t> </w:t>
      </w:r>
      <w:r>
        <w:rPr>
          <w:sz w:val="22"/>
        </w:rPr>
        <w:t>de</w:t>
      </w:r>
      <w:r>
        <w:rPr>
          <w:spacing w:val="-2"/>
          <w:sz w:val="22"/>
        </w:rPr>
        <w:t> </w:t>
      </w:r>
      <w:r>
        <w:rPr>
          <w:sz w:val="22"/>
        </w:rPr>
        <w:t>Colombia</w:t>
      </w:r>
      <w:r>
        <w:rPr>
          <w:spacing w:val="-4"/>
          <w:sz w:val="22"/>
        </w:rPr>
        <w:t> </w:t>
      </w:r>
      <w:r>
        <w:rPr>
          <w:sz w:val="22"/>
        </w:rPr>
        <w:t>no</w:t>
      </w:r>
      <w:r>
        <w:rPr>
          <w:spacing w:val="-2"/>
          <w:sz w:val="22"/>
        </w:rPr>
        <w:t> </w:t>
      </w:r>
      <w:r>
        <w:rPr>
          <w:sz w:val="22"/>
        </w:rPr>
        <w:t>se</w:t>
      </w:r>
      <w:r>
        <w:rPr>
          <w:spacing w:val="-4"/>
          <w:sz w:val="22"/>
        </w:rPr>
        <w:t> </w:t>
      </w:r>
      <w:r>
        <w:rPr>
          <w:sz w:val="22"/>
        </w:rPr>
        <w:t>encontraría</w:t>
      </w:r>
      <w:r>
        <w:rPr>
          <w:spacing w:val="-4"/>
          <w:sz w:val="22"/>
        </w:rPr>
        <w:t> </w:t>
      </w:r>
      <w:r>
        <w:rPr>
          <w:sz w:val="22"/>
        </w:rPr>
        <w:t>habilitada</w:t>
      </w:r>
      <w:r>
        <w:rPr>
          <w:spacing w:val="-2"/>
          <w:sz w:val="22"/>
        </w:rPr>
        <w:t> </w:t>
      </w:r>
      <w:r>
        <w:rPr>
          <w:sz w:val="22"/>
        </w:rPr>
        <w:t>para</w:t>
      </w:r>
      <w:r>
        <w:rPr>
          <w:spacing w:val="-4"/>
          <w:sz w:val="22"/>
        </w:rPr>
        <w:t> </w:t>
      </w:r>
      <w:r>
        <w:rPr>
          <w:sz w:val="22"/>
        </w:rPr>
        <w:t>adoptar</w:t>
      </w:r>
      <w:r>
        <w:rPr>
          <w:spacing w:val="-6"/>
          <w:sz w:val="22"/>
        </w:rPr>
        <w:t> </w:t>
      </w:r>
      <w:r>
        <w:rPr>
          <w:sz w:val="22"/>
        </w:rPr>
        <w:t>medidas</w:t>
      </w:r>
      <w:r>
        <w:rPr>
          <w:spacing w:val="-1"/>
          <w:sz w:val="22"/>
        </w:rPr>
        <w:t> </w:t>
      </w:r>
      <w:r>
        <w:rPr>
          <w:sz w:val="22"/>
        </w:rPr>
        <w:t>en</w:t>
      </w:r>
      <w:r>
        <w:rPr>
          <w:spacing w:val="-4"/>
          <w:sz w:val="22"/>
        </w:rPr>
        <w:t> </w:t>
      </w:r>
      <w:r>
        <w:rPr>
          <w:sz w:val="22"/>
        </w:rPr>
        <w:t>el</w:t>
      </w:r>
      <w:r>
        <w:rPr>
          <w:spacing w:val="-3"/>
          <w:sz w:val="22"/>
        </w:rPr>
        <w:t> </w:t>
      </w:r>
      <w:r>
        <w:rPr>
          <w:sz w:val="22"/>
        </w:rPr>
        <w:t>ámbito del comercio de bienes bajo el fundamento invocado.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Por otra parte, debe destacarse que la República de Colombia indicó que el arancel recíproco</w:t>
      </w:r>
      <w:r>
        <w:rPr>
          <w:spacing w:val="-7"/>
          <w:sz w:val="22"/>
        </w:rPr>
        <w:t> </w:t>
      </w:r>
      <w:r>
        <w:rPr>
          <w:sz w:val="22"/>
        </w:rPr>
        <w:t>adoptado</w:t>
      </w:r>
      <w:r>
        <w:rPr>
          <w:spacing w:val="-9"/>
          <w:sz w:val="22"/>
        </w:rPr>
        <w:t> </w:t>
      </w:r>
      <w:r>
        <w:rPr>
          <w:sz w:val="22"/>
        </w:rPr>
        <w:t>mediante</w:t>
      </w:r>
      <w:r>
        <w:rPr>
          <w:spacing w:val="-6"/>
          <w:sz w:val="22"/>
        </w:rPr>
        <w:t> </w:t>
      </w:r>
      <w:r>
        <w:rPr>
          <w:sz w:val="22"/>
        </w:rPr>
        <w:t>el</w:t>
      </w:r>
      <w:r>
        <w:rPr>
          <w:spacing w:val="-7"/>
          <w:sz w:val="22"/>
        </w:rPr>
        <w:t> </w:t>
      </w:r>
      <w:r>
        <w:rPr>
          <w:sz w:val="22"/>
        </w:rPr>
        <w:t>Decreto</w:t>
      </w:r>
      <w:r>
        <w:rPr>
          <w:spacing w:val="-6"/>
          <w:sz w:val="22"/>
        </w:rPr>
        <w:t> </w:t>
      </w:r>
      <w:r>
        <w:rPr>
          <w:sz w:val="22"/>
        </w:rPr>
        <w:t>0170</w:t>
      </w:r>
      <w:r>
        <w:rPr>
          <w:spacing w:val="-9"/>
          <w:sz w:val="22"/>
        </w:rPr>
        <w:t> </w:t>
      </w:r>
      <w:r>
        <w:rPr>
          <w:sz w:val="22"/>
        </w:rPr>
        <w:t>es</w:t>
      </w:r>
      <w:r>
        <w:rPr>
          <w:spacing w:val="-9"/>
          <w:sz w:val="22"/>
        </w:rPr>
        <w:t> </w:t>
      </w:r>
      <w:r>
        <w:rPr>
          <w:sz w:val="22"/>
        </w:rPr>
        <w:t>compatible</w:t>
      </w:r>
      <w:r>
        <w:rPr>
          <w:spacing w:val="-6"/>
          <w:sz w:val="22"/>
        </w:rPr>
        <w:t> </w:t>
      </w:r>
      <w:r>
        <w:rPr>
          <w:sz w:val="22"/>
        </w:rPr>
        <w:t>con</w:t>
      </w:r>
      <w:r>
        <w:rPr>
          <w:spacing w:val="-9"/>
          <w:sz w:val="22"/>
        </w:rPr>
        <w:t> </w:t>
      </w:r>
      <w:r>
        <w:rPr>
          <w:sz w:val="22"/>
        </w:rPr>
        <w:t>la</w:t>
      </w:r>
      <w:r>
        <w:rPr>
          <w:spacing w:val="-6"/>
          <w:sz w:val="22"/>
        </w:rPr>
        <w:t> </w:t>
      </w:r>
      <w:r>
        <w:rPr>
          <w:sz w:val="22"/>
        </w:rPr>
        <w:t>naturaleza</w:t>
      </w:r>
      <w:r>
        <w:rPr>
          <w:spacing w:val="-7"/>
          <w:sz w:val="22"/>
        </w:rPr>
        <w:t> </w:t>
      </w:r>
      <w:r>
        <w:rPr>
          <w:sz w:val="22"/>
        </w:rPr>
        <w:t>legal</w:t>
      </w:r>
      <w:r>
        <w:rPr>
          <w:spacing w:val="-7"/>
          <w:sz w:val="22"/>
        </w:rPr>
        <w:t> </w:t>
      </w:r>
      <w:r>
        <w:rPr>
          <w:sz w:val="22"/>
        </w:rPr>
        <w:t>y</w:t>
      </w:r>
      <w:r>
        <w:rPr>
          <w:spacing w:val="-6"/>
          <w:sz w:val="22"/>
        </w:rPr>
        <w:t> </w:t>
      </w:r>
      <w:r>
        <w:rPr>
          <w:sz w:val="22"/>
        </w:rPr>
        <w:t>el concepto de seguridad establecidos en el marco de la Organización Mundial del Comercio (Disposiciones del artículo XII y XXI del Acuerdo General sobre Comercio y</w:t>
      </w:r>
    </w:p>
    <w:p>
      <w:pPr>
        <w:pStyle w:val="BodyText"/>
        <w:rPr>
          <w:sz w:val="18"/>
        </w:rPr>
      </w:pPr>
      <w:r>
        <w:rPr>
          <w:sz w:val="18"/>
        </w:rPr>
        <mc:AlternateContent>
          <mc:Choice Requires="wps">
            <w:drawing>
              <wp:anchor distT="0" distB="0" distL="0" distR="0" allowOverlap="1" layoutInCell="1" locked="0" behindDoc="1" simplePos="0" relativeHeight="487634432">
                <wp:simplePos x="0" y="0"/>
                <wp:positionH relativeFrom="page">
                  <wp:posOffset>990904</wp:posOffset>
                </wp:positionH>
                <wp:positionV relativeFrom="paragraph">
                  <wp:posOffset>147217</wp:posOffset>
                </wp:positionV>
                <wp:extent cx="1829435" cy="7620"/>
                <wp:effectExtent l="0" t="0" r="0" b="0"/>
                <wp:wrapTopAndBottom/>
                <wp:docPr id="432" name="Graphic 432"/>
                <wp:cNvGraphicFramePr>
                  <a:graphicFrameLocks/>
                </wp:cNvGraphicFramePr>
                <a:graphic>
                  <a:graphicData uri="http://schemas.microsoft.com/office/word/2010/wordprocessingShape">
                    <wps:wsp>
                      <wps:cNvPr id="432" name="Graphic 432"/>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1.591893pt;width:144.020pt;height:.60004pt;mso-position-horizontal-relative:page;mso-position-vertical-relative:paragraph;z-index:-15682048;mso-wrap-distance-left:0;mso-wrap-distance-right:0" id="docshape304" filled="true" fillcolor="#000000" stroked="false">
                <v:fill type="solid"/>
                <w10:wrap type="topAndBottom"/>
              </v:rect>
            </w:pict>
          </mc:Fallback>
        </mc:AlternateContent>
      </w:r>
    </w:p>
    <w:p>
      <w:pPr>
        <w:spacing w:before="92"/>
        <w:ind w:left="568" w:right="0" w:firstLine="0"/>
        <w:jc w:val="left"/>
        <w:rPr>
          <w:sz w:val="16"/>
        </w:rPr>
      </w:pPr>
      <w:bookmarkStart w:name="_bookmark87" w:id="88"/>
      <w:bookmarkEnd w:id="88"/>
      <w:r>
        <w:rPr/>
      </w:r>
      <w:r>
        <w:rPr>
          <w:sz w:val="16"/>
          <w:vertAlign w:val="superscript"/>
        </w:rPr>
        <w:t>20</w:t>
      </w:r>
      <w:r>
        <w:rPr>
          <w:spacing w:val="1"/>
          <w:sz w:val="16"/>
          <w:vertAlign w:val="baseline"/>
        </w:rPr>
        <w:t> </w:t>
      </w:r>
      <w:r>
        <w:rPr>
          <w:sz w:val="16"/>
          <w:vertAlign w:val="baseline"/>
        </w:rPr>
        <w:t>Tribunal</w:t>
      </w:r>
      <w:r>
        <w:rPr>
          <w:spacing w:val="2"/>
          <w:sz w:val="16"/>
          <w:vertAlign w:val="baseline"/>
        </w:rPr>
        <w:t> </w:t>
      </w:r>
      <w:r>
        <w:rPr>
          <w:sz w:val="16"/>
          <w:vertAlign w:val="baseline"/>
        </w:rPr>
        <w:t>de</w:t>
      </w:r>
      <w:r>
        <w:rPr>
          <w:spacing w:val="2"/>
          <w:sz w:val="16"/>
          <w:vertAlign w:val="baseline"/>
        </w:rPr>
        <w:t> </w:t>
      </w:r>
      <w:r>
        <w:rPr>
          <w:sz w:val="16"/>
          <w:vertAlign w:val="baseline"/>
        </w:rPr>
        <w:t>Justicia</w:t>
      </w:r>
      <w:r>
        <w:rPr>
          <w:spacing w:val="2"/>
          <w:sz w:val="16"/>
          <w:vertAlign w:val="baseline"/>
        </w:rPr>
        <w:t> </w:t>
      </w:r>
      <w:r>
        <w:rPr>
          <w:sz w:val="16"/>
          <w:vertAlign w:val="baseline"/>
        </w:rPr>
        <w:t>de</w:t>
      </w:r>
      <w:r>
        <w:rPr>
          <w:spacing w:val="1"/>
          <w:sz w:val="16"/>
          <w:vertAlign w:val="baseline"/>
        </w:rPr>
        <w:t> </w:t>
      </w:r>
      <w:r>
        <w:rPr>
          <w:sz w:val="16"/>
          <w:vertAlign w:val="baseline"/>
        </w:rPr>
        <w:t>la</w:t>
      </w:r>
      <w:r>
        <w:rPr>
          <w:spacing w:val="2"/>
          <w:sz w:val="16"/>
          <w:vertAlign w:val="baseline"/>
        </w:rPr>
        <w:t> </w:t>
      </w:r>
      <w:r>
        <w:rPr>
          <w:sz w:val="16"/>
          <w:vertAlign w:val="baseline"/>
        </w:rPr>
        <w:t>Comunidad</w:t>
      </w:r>
      <w:r>
        <w:rPr>
          <w:spacing w:val="1"/>
          <w:sz w:val="16"/>
          <w:vertAlign w:val="baseline"/>
        </w:rPr>
        <w:t> </w:t>
      </w:r>
      <w:r>
        <w:rPr>
          <w:sz w:val="16"/>
          <w:vertAlign w:val="baseline"/>
        </w:rPr>
        <w:t>Andina.</w:t>
      </w:r>
      <w:r>
        <w:rPr>
          <w:spacing w:val="3"/>
          <w:sz w:val="16"/>
          <w:vertAlign w:val="baseline"/>
        </w:rPr>
        <w:t> </w:t>
      </w:r>
      <w:r>
        <w:rPr>
          <w:sz w:val="16"/>
          <w:vertAlign w:val="baseline"/>
        </w:rPr>
        <w:t>Sentencia</w:t>
      </w:r>
      <w:r>
        <w:rPr>
          <w:spacing w:val="1"/>
          <w:sz w:val="16"/>
          <w:vertAlign w:val="baseline"/>
        </w:rPr>
        <w:t> </w:t>
      </w:r>
      <w:r>
        <w:rPr>
          <w:sz w:val="16"/>
          <w:vertAlign w:val="baseline"/>
        </w:rPr>
        <w:t>del 15</w:t>
      </w:r>
      <w:r>
        <w:rPr>
          <w:spacing w:val="1"/>
          <w:sz w:val="16"/>
          <w:vertAlign w:val="baseline"/>
        </w:rPr>
        <w:t> </w:t>
      </w:r>
      <w:r>
        <w:rPr>
          <w:sz w:val="16"/>
          <w:vertAlign w:val="baseline"/>
        </w:rPr>
        <w:t>de</w:t>
      </w:r>
      <w:r>
        <w:rPr>
          <w:spacing w:val="-1"/>
          <w:sz w:val="16"/>
          <w:vertAlign w:val="baseline"/>
        </w:rPr>
        <w:t> </w:t>
      </w:r>
      <w:r>
        <w:rPr>
          <w:sz w:val="16"/>
          <w:vertAlign w:val="baseline"/>
        </w:rPr>
        <w:t>marzo</w:t>
      </w:r>
      <w:r>
        <w:rPr>
          <w:spacing w:val="2"/>
          <w:sz w:val="16"/>
          <w:vertAlign w:val="baseline"/>
        </w:rPr>
        <w:t> </w:t>
      </w:r>
      <w:r>
        <w:rPr>
          <w:sz w:val="16"/>
          <w:vertAlign w:val="baseline"/>
        </w:rPr>
        <w:t>de</w:t>
      </w:r>
      <w:r>
        <w:rPr>
          <w:spacing w:val="1"/>
          <w:sz w:val="16"/>
          <w:vertAlign w:val="baseline"/>
        </w:rPr>
        <w:t> </w:t>
      </w:r>
      <w:r>
        <w:rPr>
          <w:sz w:val="16"/>
          <w:vertAlign w:val="baseline"/>
        </w:rPr>
        <w:t>2013,</w:t>
      </w:r>
      <w:r>
        <w:rPr>
          <w:spacing w:val="3"/>
          <w:sz w:val="16"/>
          <w:vertAlign w:val="baseline"/>
        </w:rPr>
        <w:t> </w:t>
      </w:r>
      <w:r>
        <w:rPr>
          <w:sz w:val="16"/>
          <w:vertAlign w:val="baseline"/>
        </w:rPr>
        <w:t>proferida en</w:t>
      </w:r>
      <w:r>
        <w:rPr>
          <w:spacing w:val="2"/>
          <w:sz w:val="16"/>
          <w:vertAlign w:val="baseline"/>
        </w:rPr>
        <w:t> </w:t>
      </w:r>
      <w:r>
        <w:rPr>
          <w:sz w:val="16"/>
          <w:vertAlign w:val="baseline"/>
        </w:rPr>
        <w:t>el</w:t>
      </w:r>
      <w:r>
        <w:rPr>
          <w:spacing w:val="-1"/>
          <w:sz w:val="16"/>
          <w:vertAlign w:val="baseline"/>
        </w:rPr>
        <w:t> </w:t>
      </w:r>
      <w:r>
        <w:rPr>
          <w:sz w:val="16"/>
          <w:vertAlign w:val="baseline"/>
        </w:rPr>
        <w:t>Proceso</w:t>
      </w:r>
      <w:r>
        <w:rPr>
          <w:spacing w:val="2"/>
          <w:sz w:val="16"/>
          <w:vertAlign w:val="baseline"/>
        </w:rPr>
        <w:t> </w:t>
      </w:r>
      <w:r>
        <w:rPr>
          <w:sz w:val="16"/>
          <w:vertAlign w:val="baseline"/>
        </w:rPr>
        <w:t>106-IP-2012.</w:t>
      </w:r>
      <w:r>
        <w:rPr>
          <w:spacing w:val="2"/>
          <w:sz w:val="16"/>
          <w:vertAlign w:val="baseline"/>
        </w:rPr>
        <w:t> </w:t>
      </w:r>
      <w:r>
        <w:rPr>
          <w:sz w:val="16"/>
          <w:vertAlign w:val="baseline"/>
        </w:rPr>
        <w:t>Publicada</w:t>
      </w:r>
      <w:r>
        <w:rPr>
          <w:spacing w:val="2"/>
          <w:sz w:val="16"/>
          <w:vertAlign w:val="baseline"/>
        </w:rPr>
        <w:t> </w:t>
      </w:r>
      <w:r>
        <w:rPr>
          <w:sz w:val="16"/>
          <w:vertAlign w:val="baseline"/>
        </w:rPr>
        <w:t>en</w:t>
      </w:r>
      <w:r>
        <w:rPr>
          <w:spacing w:val="-1"/>
          <w:sz w:val="16"/>
          <w:vertAlign w:val="baseline"/>
        </w:rPr>
        <w:t> </w:t>
      </w:r>
      <w:r>
        <w:rPr>
          <w:spacing w:val="-5"/>
          <w:sz w:val="16"/>
          <w:vertAlign w:val="baseline"/>
        </w:rPr>
        <w:t>la</w:t>
      </w:r>
    </w:p>
    <w:p>
      <w:pPr>
        <w:tabs>
          <w:tab w:pos="568" w:val="left" w:leader="none"/>
          <w:tab w:pos="9816" w:val="left" w:leader="none"/>
        </w:tabs>
        <w:spacing w:before="1"/>
        <w:ind w:left="160" w:right="0" w:firstLine="0"/>
        <w:jc w:val="left"/>
        <w:rPr>
          <w:sz w:val="16"/>
        </w:rPr>
      </w:pPr>
      <w:r>
        <w:rPr>
          <w:sz w:val="16"/>
          <w:u w:val="single"/>
        </w:rPr>
        <w:tab/>
        <w:t>Gaceta</w:t>
      </w:r>
      <w:r>
        <w:rPr>
          <w:spacing w:val="-6"/>
          <w:sz w:val="16"/>
          <w:u w:val="single"/>
        </w:rPr>
        <w:t> </w:t>
      </w:r>
      <w:r>
        <w:rPr>
          <w:sz w:val="16"/>
          <w:u w:val="single"/>
        </w:rPr>
        <w:t>Oficial</w:t>
      </w:r>
      <w:r>
        <w:rPr>
          <w:spacing w:val="-6"/>
          <w:sz w:val="16"/>
          <w:u w:val="single"/>
        </w:rPr>
        <w:t> </w:t>
      </w:r>
      <w:r>
        <w:rPr>
          <w:sz w:val="16"/>
          <w:u w:val="single"/>
        </w:rPr>
        <w:t>del</w:t>
      </w:r>
      <w:r>
        <w:rPr>
          <w:spacing w:val="-4"/>
          <w:sz w:val="16"/>
          <w:u w:val="single"/>
        </w:rPr>
        <w:t> </w:t>
      </w:r>
      <w:r>
        <w:rPr>
          <w:sz w:val="16"/>
          <w:u w:val="single"/>
        </w:rPr>
        <w:t>Acuerdo</w:t>
      </w:r>
      <w:r>
        <w:rPr>
          <w:spacing w:val="-3"/>
          <w:sz w:val="16"/>
          <w:u w:val="single"/>
        </w:rPr>
        <w:t> </w:t>
      </w:r>
      <w:r>
        <w:rPr>
          <w:sz w:val="16"/>
          <w:u w:val="single"/>
        </w:rPr>
        <w:t>de</w:t>
      </w:r>
      <w:r>
        <w:rPr>
          <w:spacing w:val="-6"/>
          <w:sz w:val="16"/>
          <w:u w:val="single"/>
        </w:rPr>
        <w:t> </w:t>
      </w:r>
      <w:r>
        <w:rPr>
          <w:sz w:val="16"/>
          <w:u w:val="single"/>
        </w:rPr>
        <w:t>Cartagena</w:t>
      </w:r>
      <w:r>
        <w:rPr>
          <w:spacing w:val="-3"/>
          <w:sz w:val="16"/>
          <w:u w:val="single"/>
        </w:rPr>
        <w:t> </w:t>
      </w:r>
      <w:r>
        <w:rPr>
          <w:sz w:val="16"/>
          <w:u w:val="single"/>
        </w:rPr>
        <w:t>No.</w:t>
      </w:r>
      <w:r>
        <w:rPr>
          <w:spacing w:val="-2"/>
          <w:sz w:val="16"/>
          <w:u w:val="single"/>
        </w:rPr>
        <w:t> </w:t>
      </w:r>
      <w:r>
        <w:rPr>
          <w:sz w:val="16"/>
          <w:u w:val="single"/>
        </w:rPr>
        <w:t>2233</w:t>
      </w:r>
      <w:r>
        <w:rPr>
          <w:spacing w:val="-4"/>
          <w:sz w:val="16"/>
          <w:u w:val="single"/>
        </w:rPr>
        <w:t> </w:t>
      </w:r>
      <w:r>
        <w:rPr>
          <w:sz w:val="16"/>
          <w:u w:val="single"/>
        </w:rPr>
        <w:t>del</w:t>
      </w:r>
      <w:r>
        <w:rPr>
          <w:spacing w:val="-5"/>
          <w:sz w:val="16"/>
          <w:u w:val="single"/>
        </w:rPr>
        <w:t> </w:t>
      </w:r>
      <w:r>
        <w:rPr>
          <w:sz w:val="16"/>
          <w:u w:val="single"/>
        </w:rPr>
        <w:t>5</w:t>
      </w:r>
      <w:r>
        <w:rPr>
          <w:spacing w:val="-3"/>
          <w:sz w:val="16"/>
          <w:u w:val="single"/>
        </w:rPr>
        <w:t> </w:t>
      </w:r>
      <w:r>
        <w:rPr>
          <w:sz w:val="16"/>
          <w:u w:val="single"/>
        </w:rPr>
        <w:t>de</w:t>
      </w:r>
      <w:r>
        <w:rPr>
          <w:spacing w:val="-6"/>
          <w:sz w:val="16"/>
          <w:u w:val="single"/>
        </w:rPr>
        <w:t> </w:t>
      </w:r>
      <w:r>
        <w:rPr>
          <w:sz w:val="16"/>
          <w:u w:val="single"/>
        </w:rPr>
        <w:t>septiembre</w:t>
      </w:r>
      <w:r>
        <w:rPr>
          <w:spacing w:val="-3"/>
          <w:sz w:val="16"/>
          <w:u w:val="single"/>
        </w:rPr>
        <w:t> </w:t>
      </w:r>
      <w:r>
        <w:rPr>
          <w:sz w:val="16"/>
          <w:u w:val="single"/>
        </w:rPr>
        <w:t>de</w:t>
      </w:r>
      <w:r>
        <w:rPr>
          <w:spacing w:val="-3"/>
          <w:sz w:val="16"/>
          <w:u w:val="single"/>
        </w:rPr>
        <w:t> </w:t>
      </w:r>
      <w:r>
        <w:rPr>
          <w:spacing w:val="-2"/>
          <w:sz w:val="16"/>
          <w:u w:val="single"/>
        </w:rPr>
        <w:t>2013.</w:t>
      </w:r>
      <w:r>
        <w:rPr>
          <w:sz w:val="16"/>
          <w:u w:val="single"/>
        </w:rPr>
        <w:tab/>
      </w:r>
    </w:p>
    <w:p>
      <w:pPr>
        <w:spacing w:after="0"/>
        <w:jc w:val="left"/>
        <w:rPr>
          <w:sz w:val="16"/>
        </w:rPr>
        <w:sectPr>
          <w:pgSz w:w="11900" w:h="16850"/>
          <w:pgMar w:header="370" w:footer="597" w:top="1380" w:bottom="780" w:left="992" w:right="283"/>
        </w:sectPr>
      </w:pPr>
    </w:p>
    <w:p>
      <w:pPr>
        <w:pStyle w:val="BodyText"/>
        <w:spacing w:before="176"/>
      </w:pPr>
    </w:p>
    <w:p>
      <w:pPr>
        <w:pStyle w:val="BodyText"/>
        <w:ind w:left="1134" w:right="980"/>
        <w:jc w:val="both"/>
      </w:pPr>
      <w:r>
        <w:rPr/>
        <w:t>Aranceles de 1994 de la Organización Mundial del Comercio), así como con la jurisprudencia internacional, al invocar el criterio desarrollado por el</w:t>
      </w:r>
      <w:r>
        <w:rPr>
          <w:spacing w:val="-1"/>
        </w:rPr>
        <w:t> </w:t>
      </w:r>
      <w:r>
        <w:rPr/>
        <w:t>Grupo Especial de la Organización Mundial del Comercio en el asunto Rusia – Tráfico de Tránsito </w:t>
      </w:r>
      <w:r>
        <w:rPr>
          <w:spacing w:val="-2"/>
        </w:rPr>
        <w:t>(WT/0S512/R)).</w:t>
      </w:r>
    </w:p>
    <w:p>
      <w:pPr>
        <w:pStyle w:val="BodyText"/>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Sobre este</w:t>
      </w:r>
      <w:r>
        <w:rPr>
          <w:spacing w:val="-2"/>
          <w:sz w:val="22"/>
        </w:rPr>
        <w:t> </w:t>
      </w:r>
      <w:r>
        <w:rPr>
          <w:sz w:val="22"/>
        </w:rPr>
        <w:t>punto,</w:t>
      </w:r>
      <w:r>
        <w:rPr>
          <w:spacing w:val="-1"/>
          <w:sz w:val="22"/>
        </w:rPr>
        <w:t> </w:t>
      </w:r>
      <w:r>
        <w:rPr>
          <w:sz w:val="22"/>
        </w:rPr>
        <w:t>se</w:t>
      </w:r>
      <w:r>
        <w:rPr>
          <w:spacing w:val="-2"/>
          <w:sz w:val="22"/>
        </w:rPr>
        <w:t> </w:t>
      </w:r>
      <w:r>
        <w:rPr>
          <w:sz w:val="22"/>
        </w:rPr>
        <w:t>debe advertir</w:t>
      </w:r>
      <w:r>
        <w:rPr>
          <w:spacing w:val="-1"/>
          <w:sz w:val="22"/>
        </w:rPr>
        <w:t> </w:t>
      </w:r>
      <w:r>
        <w:rPr>
          <w:sz w:val="22"/>
        </w:rPr>
        <w:t>que</w:t>
      </w:r>
      <w:r>
        <w:rPr>
          <w:spacing w:val="-2"/>
          <w:sz w:val="22"/>
        </w:rPr>
        <w:t> </w:t>
      </w:r>
      <w:r>
        <w:rPr>
          <w:sz w:val="22"/>
        </w:rPr>
        <w:t>el</w:t>
      </w:r>
      <w:r>
        <w:rPr>
          <w:spacing w:val="-3"/>
          <w:sz w:val="22"/>
        </w:rPr>
        <w:t> </w:t>
      </w:r>
      <w:r>
        <w:rPr>
          <w:sz w:val="22"/>
        </w:rPr>
        <w:t>objeto</w:t>
      </w:r>
      <w:r>
        <w:rPr>
          <w:spacing w:val="-4"/>
          <w:sz w:val="22"/>
        </w:rPr>
        <w:t> </w:t>
      </w:r>
      <w:r>
        <w:rPr>
          <w:sz w:val="22"/>
        </w:rPr>
        <w:t>del presente</w:t>
      </w:r>
      <w:r>
        <w:rPr>
          <w:spacing w:val="-1"/>
          <w:sz w:val="22"/>
        </w:rPr>
        <w:t> </w:t>
      </w:r>
      <w:r>
        <w:rPr>
          <w:sz w:val="22"/>
        </w:rPr>
        <w:t>procedimiento</w:t>
      </w:r>
      <w:r>
        <w:rPr>
          <w:spacing w:val="-2"/>
          <w:sz w:val="22"/>
        </w:rPr>
        <w:t> </w:t>
      </w:r>
      <w:r>
        <w:rPr>
          <w:sz w:val="22"/>
        </w:rPr>
        <w:t>es</w:t>
      </w:r>
      <w:r>
        <w:rPr>
          <w:spacing w:val="-2"/>
          <w:sz w:val="22"/>
        </w:rPr>
        <w:t> </w:t>
      </w:r>
      <w:r>
        <w:rPr>
          <w:sz w:val="22"/>
        </w:rPr>
        <w:t>evaluar si el arancel recíproco constituye o no un gravamen, a la luz del ordenamiento jurídico andino,</w:t>
      </w:r>
      <w:r>
        <w:rPr>
          <w:spacing w:val="-5"/>
          <w:sz w:val="22"/>
        </w:rPr>
        <w:t> </w:t>
      </w:r>
      <w:r>
        <w:rPr>
          <w:sz w:val="22"/>
        </w:rPr>
        <w:t>y</w:t>
      </w:r>
      <w:r>
        <w:rPr>
          <w:spacing w:val="-8"/>
          <w:sz w:val="22"/>
        </w:rPr>
        <w:t> </w:t>
      </w:r>
      <w:r>
        <w:rPr>
          <w:sz w:val="22"/>
        </w:rPr>
        <w:t>no</w:t>
      </w:r>
      <w:r>
        <w:rPr>
          <w:spacing w:val="-9"/>
          <w:sz w:val="22"/>
        </w:rPr>
        <w:t> </w:t>
      </w:r>
      <w:r>
        <w:rPr>
          <w:sz w:val="22"/>
        </w:rPr>
        <w:t>conforme</w:t>
      </w:r>
      <w:r>
        <w:rPr>
          <w:spacing w:val="-8"/>
          <w:sz w:val="22"/>
        </w:rPr>
        <w:t> </w:t>
      </w:r>
      <w:r>
        <w:rPr>
          <w:sz w:val="22"/>
        </w:rPr>
        <w:t>a</w:t>
      </w:r>
      <w:r>
        <w:rPr>
          <w:spacing w:val="-10"/>
          <w:sz w:val="22"/>
        </w:rPr>
        <w:t> </w:t>
      </w:r>
      <w:r>
        <w:rPr>
          <w:sz w:val="22"/>
        </w:rPr>
        <w:t>otros</w:t>
      </w:r>
      <w:r>
        <w:rPr>
          <w:spacing w:val="-8"/>
          <w:sz w:val="22"/>
        </w:rPr>
        <w:t> </w:t>
      </w:r>
      <w:r>
        <w:rPr>
          <w:sz w:val="22"/>
        </w:rPr>
        <w:t>ordenamientos</w:t>
      </w:r>
      <w:r>
        <w:rPr>
          <w:spacing w:val="-8"/>
          <w:sz w:val="22"/>
        </w:rPr>
        <w:t> </w:t>
      </w:r>
      <w:r>
        <w:rPr>
          <w:sz w:val="22"/>
        </w:rPr>
        <w:t>jurídicos</w:t>
      </w:r>
      <w:r>
        <w:rPr>
          <w:spacing w:val="-6"/>
          <w:sz w:val="22"/>
        </w:rPr>
        <w:t> </w:t>
      </w:r>
      <w:r>
        <w:rPr>
          <w:sz w:val="22"/>
        </w:rPr>
        <w:t>internacionales.</w:t>
      </w:r>
      <w:r>
        <w:rPr>
          <w:spacing w:val="-5"/>
          <w:sz w:val="22"/>
        </w:rPr>
        <w:t> </w:t>
      </w:r>
      <w:r>
        <w:rPr>
          <w:sz w:val="22"/>
        </w:rPr>
        <w:t>Adicionalmente, deben tenerse en cuenta dos consideraciones fundamentales: i) no es competencia de la SGCAN pronunciarse sobre la adecuación de las normas internas de los Países Miembros</w:t>
      </w:r>
      <w:r>
        <w:rPr>
          <w:spacing w:val="-7"/>
          <w:sz w:val="22"/>
        </w:rPr>
        <w:t> </w:t>
      </w:r>
      <w:r>
        <w:rPr>
          <w:sz w:val="22"/>
        </w:rPr>
        <w:t>a</w:t>
      </w:r>
      <w:r>
        <w:rPr>
          <w:spacing w:val="-7"/>
          <w:sz w:val="22"/>
        </w:rPr>
        <w:t> </w:t>
      </w:r>
      <w:r>
        <w:rPr>
          <w:sz w:val="22"/>
        </w:rPr>
        <w:t>otros</w:t>
      </w:r>
      <w:r>
        <w:rPr>
          <w:spacing w:val="-8"/>
          <w:sz w:val="22"/>
        </w:rPr>
        <w:t> </w:t>
      </w:r>
      <w:r>
        <w:rPr>
          <w:sz w:val="22"/>
        </w:rPr>
        <w:t>regímenes</w:t>
      </w:r>
      <w:r>
        <w:rPr>
          <w:spacing w:val="-7"/>
          <w:sz w:val="22"/>
        </w:rPr>
        <w:t> </w:t>
      </w:r>
      <w:r>
        <w:rPr>
          <w:sz w:val="22"/>
        </w:rPr>
        <w:t>jurídicos</w:t>
      </w:r>
      <w:r>
        <w:rPr>
          <w:spacing w:val="-10"/>
          <w:sz w:val="22"/>
        </w:rPr>
        <w:t> </w:t>
      </w:r>
      <w:r>
        <w:rPr>
          <w:sz w:val="22"/>
        </w:rPr>
        <w:t>internacionales</w:t>
      </w:r>
      <w:r>
        <w:rPr>
          <w:spacing w:val="-7"/>
          <w:sz w:val="22"/>
        </w:rPr>
        <w:t> </w:t>
      </w:r>
      <w:r>
        <w:rPr>
          <w:sz w:val="22"/>
        </w:rPr>
        <w:t>o</w:t>
      </w:r>
      <w:r>
        <w:rPr>
          <w:spacing w:val="-6"/>
          <w:sz w:val="22"/>
        </w:rPr>
        <w:t> </w:t>
      </w:r>
      <w:r>
        <w:rPr>
          <w:sz w:val="22"/>
        </w:rPr>
        <w:t>procesos</w:t>
      </w:r>
      <w:r>
        <w:rPr>
          <w:spacing w:val="-7"/>
          <w:sz w:val="22"/>
        </w:rPr>
        <w:t> </w:t>
      </w:r>
      <w:r>
        <w:rPr>
          <w:sz w:val="22"/>
        </w:rPr>
        <w:t>de</w:t>
      </w:r>
      <w:r>
        <w:rPr>
          <w:spacing w:val="-10"/>
          <w:sz w:val="22"/>
        </w:rPr>
        <w:t> </w:t>
      </w:r>
      <w:r>
        <w:rPr>
          <w:sz w:val="22"/>
        </w:rPr>
        <w:t>integración;</w:t>
      </w:r>
      <w:r>
        <w:rPr>
          <w:spacing w:val="-6"/>
          <w:sz w:val="22"/>
        </w:rPr>
        <w:t> </w:t>
      </w:r>
      <w:r>
        <w:rPr>
          <w:sz w:val="22"/>
        </w:rPr>
        <w:t>y,</w:t>
      </w:r>
      <w:r>
        <w:rPr>
          <w:spacing w:val="-8"/>
          <w:sz w:val="22"/>
        </w:rPr>
        <w:t> </w:t>
      </w:r>
      <w:r>
        <w:rPr>
          <w:sz w:val="22"/>
        </w:rPr>
        <w:t>ii)</w:t>
      </w:r>
      <w:r>
        <w:rPr>
          <w:spacing w:val="-6"/>
          <w:sz w:val="22"/>
        </w:rPr>
        <w:t> </w:t>
      </w:r>
      <w:r>
        <w:rPr>
          <w:sz w:val="22"/>
        </w:rPr>
        <w:t>el derecho comunitario andino prima respecto a otras normas internacionales ratificadas por los Países Miembros, por lo que no resulta pertinente efectuar un pronunciamiento sobre dichas normas en el marco del presente análisis. Al respecto, el TJCAN ha sostenido lo siguiente</w:t>
      </w:r>
      <w:hyperlink w:history="true" w:anchor="_bookmark88">
        <w:r>
          <w:rPr>
            <w:sz w:val="22"/>
            <w:vertAlign w:val="superscript"/>
          </w:rPr>
          <w:t>21</w:t>
        </w:r>
      </w:hyperlink>
      <w:r>
        <w:rPr>
          <w:sz w:val="22"/>
          <w:vertAlign w:val="baseline"/>
        </w:rPr>
        <w:t>:</w:t>
      </w:r>
    </w:p>
    <w:p>
      <w:pPr>
        <w:pStyle w:val="BodyText"/>
        <w:spacing w:before="2"/>
      </w:pPr>
    </w:p>
    <w:p>
      <w:pPr>
        <w:spacing w:before="0"/>
        <w:ind w:left="1562" w:right="972" w:firstLine="0"/>
        <w:jc w:val="both"/>
        <w:rPr>
          <w:rFonts w:ascii="Arial" w:hAnsi="Arial"/>
          <w:i/>
          <w:sz w:val="22"/>
        </w:rPr>
      </w:pPr>
      <w:r>
        <w:rPr>
          <w:rFonts w:ascii="Arial" w:hAnsi="Arial"/>
          <w:i/>
          <w:sz w:val="22"/>
        </w:rPr>
        <w:t>“La</w:t>
      </w:r>
      <w:r>
        <w:rPr>
          <w:rFonts w:ascii="Arial" w:hAnsi="Arial"/>
          <w:i/>
          <w:spacing w:val="-16"/>
          <w:sz w:val="22"/>
        </w:rPr>
        <w:t> </w:t>
      </w:r>
      <w:r>
        <w:rPr>
          <w:rFonts w:ascii="Arial" w:hAnsi="Arial"/>
          <w:i/>
          <w:sz w:val="22"/>
        </w:rPr>
        <w:t>circunstancia</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que</w:t>
      </w:r>
      <w:r>
        <w:rPr>
          <w:rFonts w:ascii="Arial" w:hAnsi="Arial"/>
          <w:i/>
          <w:spacing w:val="-16"/>
          <w:sz w:val="22"/>
        </w:rPr>
        <w:t> </w:t>
      </w:r>
      <w:r>
        <w:rPr>
          <w:rFonts w:ascii="Arial" w:hAnsi="Arial"/>
          <w:i/>
          <w:sz w:val="22"/>
        </w:rPr>
        <w:t>los</w:t>
      </w:r>
      <w:r>
        <w:rPr>
          <w:rFonts w:ascii="Arial" w:hAnsi="Arial"/>
          <w:i/>
          <w:spacing w:val="-15"/>
          <w:sz w:val="22"/>
        </w:rPr>
        <w:t> </w:t>
      </w:r>
      <w:r>
        <w:rPr>
          <w:rFonts w:ascii="Arial" w:hAnsi="Arial"/>
          <w:i/>
          <w:sz w:val="22"/>
        </w:rPr>
        <w:t>Países</w:t>
      </w:r>
      <w:r>
        <w:rPr>
          <w:rFonts w:ascii="Arial" w:hAnsi="Arial"/>
          <w:i/>
          <w:spacing w:val="-15"/>
          <w:sz w:val="22"/>
        </w:rPr>
        <w:t> </w:t>
      </w:r>
      <w:r>
        <w:rPr>
          <w:rFonts w:ascii="Arial" w:hAnsi="Arial"/>
          <w:i/>
          <w:sz w:val="22"/>
        </w:rPr>
        <w:t>Miembros</w:t>
      </w:r>
      <w:r>
        <w:rPr>
          <w:rFonts w:ascii="Arial" w:hAnsi="Arial"/>
          <w:i/>
          <w:spacing w:val="-15"/>
          <w:sz w:val="22"/>
        </w:rPr>
        <w:t> </w:t>
      </w:r>
      <w:r>
        <w:rPr>
          <w:rFonts w:ascii="Arial" w:hAnsi="Arial"/>
          <w:i/>
          <w:sz w:val="22"/>
        </w:rPr>
        <w:t>de</w:t>
      </w:r>
      <w:r>
        <w:rPr>
          <w:rFonts w:ascii="Arial" w:hAnsi="Arial"/>
          <w:i/>
          <w:spacing w:val="-16"/>
          <w:sz w:val="22"/>
        </w:rPr>
        <w:t> </w:t>
      </w:r>
      <w:r>
        <w:rPr>
          <w:rFonts w:ascii="Arial" w:hAnsi="Arial"/>
          <w:i/>
          <w:sz w:val="22"/>
        </w:rPr>
        <w:t>la</w:t>
      </w:r>
      <w:r>
        <w:rPr>
          <w:rFonts w:ascii="Arial" w:hAnsi="Arial"/>
          <w:i/>
          <w:spacing w:val="-15"/>
          <w:sz w:val="22"/>
        </w:rPr>
        <w:t> </w:t>
      </w:r>
      <w:r>
        <w:rPr>
          <w:rFonts w:ascii="Arial" w:hAnsi="Arial"/>
          <w:i/>
          <w:sz w:val="22"/>
        </w:rPr>
        <w:t>Comunidad</w:t>
      </w:r>
      <w:r>
        <w:rPr>
          <w:rFonts w:ascii="Arial" w:hAnsi="Arial"/>
          <w:i/>
          <w:spacing w:val="-15"/>
          <w:sz w:val="22"/>
        </w:rPr>
        <w:t> </w:t>
      </w:r>
      <w:r>
        <w:rPr>
          <w:rFonts w:ascii="Arial" w:hAnsi="Arial"/>
          <w:i/>
          <w:sz w:val="22"/>
        </w:rPr>
        <w:t>Andina</w:t>
      </w:r>
      <w:r>
        <w:rPr>
          <w:rFonts w:ascii="Arial" w:hAnsi="Arial"/>
          <w:i/>
          <w:spacing w:val="-16"/>
          <w:sz w:val="22"/>
        </w:rPr>
        <w:t> </w:t>
      </w:r>
      <w:r>
        <w:rPr>
          <w:rFonts w:ascii="Arial" w:hAnsi="Arial"/>
          <w:i/>
          <w:sz w:val="22"/>
        </w:rPr>
        <w:t>pertenezcan a su vez a la Organización Mundial de Comercio no los exime de obedecer las normas comunitarias andinas so pretexto de que se está cumpliendo con las de dicha organización</w:t>
      </w:r>
      <w:r>
        <w:rPr>
          <w:rFonts w:ascii="Arial" w:hAnsi="Arial"/>
          <w:i/>
          <w:spacing w:val="-2"/>
          <w:sz w:val="22"/>
        </w:rPr>
        <w:t> </w:t>
      </w:r>
      <w:r>
        <w:rPr>
          <w:rFonts w:ascii="Arial" w:hAnsi="Arial"/>
          <w:i/>
          <w:sz w:val="22"/>
        </w:rPr>
        <w:t>o que</w:t>
      </w:r>
      <w:r>
        <w:rPr>
          <w:rFonts w:ascii="Arial" w:hAnsi="Arial"/>
          <w:i/>
          <w:spacing w:val="-2"/>
          <w:sz w:val="22"/>
        </w:rPr>
        <w:t> </w:t>
      </w:r>
      <w:r>
        <w:rPr>
          <w:rFonts w:ascii="Arial" w:hAnsi="Arial"/>
          <w:i/>
          <w:sz w:val="22"/>
        </w:rPr>
        <w:t>se</w:t>
      </w:r>
      <w:r>
        <w:rPr>
          <w:rFonts w:ascii="Arial" w:hAnsi="Arial"/>
          <w:i/>
          <w:spacing w:val="-2"/>
          <w:sz w:val="22"/>
        </w:rPr>
        <w:t> </w:t>
      </w:r>
      <w:r>
        <w:rPr>
          <w:rFonts w:ascii="Arial" w:hAnsi="Arial"/>
          <w:i/>
          <w:sz w:val="22"/>
        </w:rPr>
        <w:t>pretende</w:t>
      </w:r>
      <w:r>
        <w:rPr>
          <w:rFonts w:ascii="Arial" w:hAnsi="Arial"/>
          <w:i/>
          <w:spacing w:val="-2"/>
          <w:sz w:val="22"/>
        </w:rPr>
        <w:t> </w:t>
      </w:r>
      <w:r>
        <w:rPr>
          <w:rFonts w:ascii="Arial" w:hAnsi="Arial"/>
          <w:i/>
          <w:sz w:val="22"/>
        </w:rPr>
        <w:t>cumplir</w:t>
      </w:r>
      <w:r>
        <w:rPr>
          <w:rFonts w:ascii="Arial" w:hAnsi="Arial"/>
          <w:i/>
          <w:spacing w:val="-1"/>
          <w:sz w:val="22"/>
        </w:rPr>
        <w:t> </w:t>
      </w:r>
      <w:r>
        <w:rPr>
          <w:rFonts w:ascii="Arial" w:hAnsi="Arial"/>
          <w:i/>
          <w:sz w:val="22"/>
        </w:rPr>
        <w:t>con</w:t>
      </w:r>
      <w:r>
        <w:rPr>
          <w:rFonts w:ascii="Arial" w:hAnsi="Arial"/>
          <w:i/>
          <w:spacing w:val="-2"/>
          <w:sz w:val="22"/>
        </w:rPr>
        <w:t> </w:t>
      </w:r>
      <w:r>
        <w:rPr>
          <w:rFonts w:ascii="Arial" w:hAnsi="Arial"/>
          <w:i/>
          <w:sz w:val="22"/>
        </w:rPr>
        <w:t>los</w:t>
      </w:r>
      <w:r>
        <w:rPr>
          <w:rFonts w:ascii="Arial" w:hAnsi="Arial"/>
          <w:i/>
          <w:spacing w:val="-2"/>
          <w:sz w:val="22"/>
        </w:rPr>
        <w:t> </w:t>
      </w:r>
      <w:r>
        <w:rPr>
          <w:rFonts w:ascii="Arial" w:hAnsi="Arial"/>
          <w:i/>
          <w:sz w:val="22"/>
        </w:rPr>
        <w:t>compromisos</w:t>
      </w:r>
      <w:r>
        <w:rPr>
          <w:rFonts w:ascii="Arial" w:hAnsi="Arial"/>
          <w:i/>
          <w:spacing w:val="-2"/>
          <w:sz w:val="22"/>
        </w:rPr>
        <w:t> </w:t>
      </w:r>
      <w:r>
        <w:rPr>
          <w:rFonts w:ascii="Arial" w:hAnsi="Arial"/>
          <w:i/>
          <w:sz w:val="22"/>
        </w:rPr>
        <w:t>adquiridos con ella. Ello sería ni más ni menos que negar la supremacía del ordenamiento comunitario</w:t>
      </w:r>
      <w:r>
        <w:rPr>
          <w:rFonts w:ascii="Arial" w:hAnsi="Arial"/>
          <w:i/>
          <w:spacing w:val="-12"/>
          <w:sz w:val="22"/>
        </w:rPr>
        <w:t> </w:t>
      </w:r>
      <w:r>
        <w:rPr>
          <w:rFonts w:ascii="Arial" w:hAnsi="Arial"/>
          <w:i/>
          <w:sz w:val="22"/>
        </w:rPr>
        <w:t>andino</w:t>
      </w:r>
      <w:r>
        <w:rPr>
          <w:rFonts w:ascii="Arial" w:hAnsi="Arial"/>
          <w:i/>
          <w:spacing w:val="-12"/>
          <w:sz w:val="22"/>
        </w:rPr>
        <w:t> </w:t>
      </w:r>
      <w:r>
        <w:rPr>
          <w:rFonts w:ascii="Arial" w:hAnsi="Arial"/>
          <w:i/>
          <w:sz w:val="22"/>
        </w:rPr>
        <w:t>que</w:t>
      </w:r>
      <w:r>
        <w:rPr>
          <w:rFonts w:ascii="Arial" w:hAnsi="Arial"/>
          <w:i/>
          <w:spacing w:val="-11"/>
          <w:sz w:val="22"/>
        </w:rPr>
        <w:t> </w:t>
      </w:r>
      <w:r>
        <w:rPr>
          <w:rFonts w:ascii="Arial" w:hAnsi="Arial"/>
          <w:i/>
          <w:sz w:val="22"/>
        </w:rPr>
        <w:t>como</w:t>
      </w:r>
      <w:r>
        <w:rPr>
          <w:rFonts w:ascii="Arial" w:hAnsi="Arial"/>
          <w:i/>
          <w:spacing w:val="-11"/>
          <w:sz w:val="22"/>
        </w:rPr>
        <w:t> </w:t>
      </w:r>
      <w:r>
        <w:rPr>
          <w:rFonts w:ascii="Arial" w:hAnsi="Arial"/>
          <w:i/>
          <w:sz w:val="22"/>
        </w:rPr>
        <w:t>se</w:t>
      </w:r>
      <w:r>
        <w:rPr>
          <w:rFonts w:ascii="Arial" w:hAnsi="Arial"/>
          <w:i/>
          <w:spacing w:val="-11"/>
          <w:sz w:val="22"/>
        </w:rPr>
        <w:t> </w:t>
      </w:r>
      <w:r>
        <w:rPr>
          <w:rFonts w:ascii="Arial" w:hAnsi="Arial"/>
          <w:i/>
          <w:sz w:val="22"/>
        </w:rPr>
        <w:t>ha</w:t>
      </w:r>
      <w:r>
        <w:rPr>
          <w:rFonts w:ascii="Arial" w:hAnsi="Arial"/>
          <w:i/>
          <w:spacing w:val="-9"/>
          <w:sz w:val="22"/>
        </w:rPr>
        <w:t> </w:t>
      </w:r>
      <w:r>
        <w:rPr>
          <w:rFonts w:ascii="Arial" w:hAnsi="Arial"/>
          <w:i/>
          <w:sz w:val="22"/>
        </w:rPr>
        <w:t>dicho</w:t>
      </w:r>
      <w:r>
        <w:rPr>
          <w:rFonts w:ascii="Arial" w:hAnsi="Arial"/>
          <w:i/>
          <w:spacing w:val="-12"/>
          <w:sz w:val="22"/>
        </w:rPr>
        <w:t> </w:t>
      </w:r>
      <w:r>
        <w:rPr>
          <w:rFonts w:ascii="Arial" w:hAnsi="Arial"/>
          <w:i/>
          <w:sz w:val="22"/>
        </w:rPr>
        <w:t>es</w:t>
      </w:r>
      <w:r>
        <w:rPr>
          <w:rFonts w:ascii="Arial" w:hAnsi="Arial"/>
          <w:i/>
          <w:spacing w:val="-11"/>
          <w:sz w:val="22"/>
        </w:rPr>
        <w:t> </w:t>
      </w:r>
      <w:r>
        <w:rPr>
          <w:rFonts w:ascii="Arial" w:hAnsi="Arial"/>
          <w:i/>
          <w:sz w:val="22"/>
        </w:rPr>
        <w:t>preponderante</w:t>
      </w:r>
      <w:r>
        <w:rPr>
          <w:rFonts w:ascii="Arial" w:hAnsi="Arial"/>
          <w:i/>
          <w:spacing w:val="-11"/>
          <w:sz w:val="22"/>
        </w:rPr>
        <w:t> </w:t>
      </w:r>
      <w:r>
        <w:rPr>
          <w:rFonts w:ascii="Arial" w:hAnsi="Arial"/>
          <w:i/>
          <w:sz w:val="22"/>
        </w:rPr>
        <w:t>no</w:t>
      </w:r>
      <w:r>
        <w:rPr>
          <w:rFonts w:ascii="Arial" w:hAnsi="Arial"/>
          <w:i/>
          <w:spacing w:val="-12"/>
          <w:sz w:val="22"/>
        </w:rPr>
        <w:t> </w:t>
      </w:r>
      <w:r>
        <w:rPr>
          <w:rFonts w:ascii="Arial" w:hAnsi="Arial"/>
          <w:i/>
          <w:sz w:val="22"/>
        </w:rPr>
        <w:t>sólo</w:t>
      </w:r>
      <w:r>
        <w:rPr>
          <w:rFonts w:ascii="Arial" w:hAnsi="Arial"/>
          <w:i/>
          <w:spacing w:val="-11"/>
          <w:sz w:val="22"/>
        </w:rPr>
        <w:t> </w:t>
      </w:r>
      <w:r>
        <w:rPr>
          <w:rFonts w:ascii="Arial" w:hAnsi="Arial"/>
          <w:i/>
          <w:sz w:val="22"/>
        </w:rPr>
        <w:t>respecto</w:t>
      </w:r>
      <w:r>
        <w:rPr>
          <w:rFonts w:ascii="Arial" w:hAnsi="Arial"/>
          <w:i/>
          <w:spacing w:val="-11"/>
          <w:sz w:val="22"/>
        </w:rPr>
        <w:t> </w:t>
      </w:r>
      <w:r>
        <w:rPr>
          <w:rFonts w:ascii="Arial" w:hAnsi="Arial"/>
          <w:i/>
          <w:sz w:val="22"/>
        </w:rPr>
        <w:t>de</w:t>
      </w:r>
      <w:r>
        <w:rPr>
          <w:rFonts w:ascii="Arial" w:hAnsi="Arial"/>
          <w:i/>
          <w:spacing w:val="-9"/>
          <w:sz w:val="22"/>
        </w:rPr>
        <w:t> </w:t>
      </w:r>
      <w:r>
        <w:rPr>
          <w:rFonts w:ascii="Arial" w:hAnsi="Arial"/>
          <w:i/>
          <w:sz w:val="22"/>
        </w:rPr>
        <w:t>los ordenamientos jurídicos internos de los Países Miembros sino de los otros ordenamientos jurídicos internacionales a que éstos pertenezcan. Al respecto, la jurisprudencia de este Tribunal ha dejado claramente expresada la naturaleza del principio de supremacía del derecho comunitario. Así lo ha sentado a partir de la </w:t>
      </w:r>
      <w:r>
        <w:rPr>
          <w:rFonts w:ascii="Arial" w:hAnsi="Arial"/>
          <w:i/>
          <w:spacing w:val="-2"/>
          <w:sz w:val="22"/>
        </w:rPr>
        <w:t>sentencia</w:t>
      </w:r>
      <w:r>
        <w:rPr>
          <w:rFonts w:ascii="Arial" w:hAnsi="Arial"/>
          <w:i/>
          <w:spacing w:val="-14"/>
          <w:sz w:val="22"/>
        </w:rPr>
        <w:t> </w:t>
      </w:r>
      <w:r>
        <w:rPr>
          <w:rFonts w:ascii="Arial" w:hAnsi="Arial"/>
          <w:i/>
          <w:spacing w:val="-2"/>
          <w:sz w:val="22"/>
        </w:rPr>
        <w:t>de</w:t>
      </w:r>
      <w:r>
        <w:rPr>
          <w:rFonts w:ascii="Arial" w:hAnsi="Arial"/>
          <w:i/>
          <w:spacing w:val="-13"/>
          <w:sz w:val="22"/>
        </w:rPr>
        <w:t> </w:t>
      </w:r>
      <w:r>
        <w:rPr>
          <w:rFonts w:ascii="Arial" w:hAnsi="Arial"/>
          <w:i/>
          <w:spacing w:val="-2"/>
          <w:sz w:val="22"/>
        </w:rPr>
        <w:t>nulidad</w:t>
      </w:r>
      <w:r>
        <w:rPr>
          <w:rFonts w:ascii="Arial" w:hAnsi="Arial"/>
          <w:i/>
          <w:spacing w:val="-13"/>
          <w:sz w:val="22"/>
        </w:rPr>
        <w:t> </w:t>
      </w:r>
      <w:r>
        <w:rPr>
          <w:rFonts w:ascii="Arial" w:hAnsi="Arial"/>
          <w:i/>
          <w:spacing w:val="-2"/>
          <w:sz w:val="22"/>
        </w:rPr>
        <w:t>del</w:t>
      </w:r>
      <w:r>
        <w:rPr>
          <w:rFonts w:ascii="Arial" w:hAnsi="Arial"/>
          <w:i/>
          <w:spacing w:val="-14"/>
          <w:sz w:val="22"/>
        </w:rPr>
        <w:t> </w:t>
      </w:r>
      <w:r>
        <w:rPr>
          <w:rFonts w:ascii="Arial" w:hAnsi="Arial"/>
          <w:i/>
          <w:spacing w:val="-2"/>
          <w:sz w:val="22"/>
        </w:rPr>
        <w:t>10</w:t>
      </w:r>
      <w:r>
        <w:rPr>
          <w:rFonts w:ascii="Arial" w:hAnsi="Arial"/>
          <w:i/>
          <w:spacing w:val="-13"/>
          <w:sz w:val="22"/>
        </w:rPr>
        <w:t> </w:t>
      </w:r>
      <w:r>
        <w:rPr>
          <w:rFonts w:ascii="Arial" w:hAnsi="Arial"/>
          <w:i/>
          <w:spacing w:val="-2"/>
          <w:sz w:val="22"/>
        </w:rPr>
        <w:t>de</w:t>
      </w:r>
      <w:r>
        <w:rPr>
          <w:rFonts w:ascii="Arial" w:hAnsi="Arial"/>
          <w:i/>
          <w:spacing w:val="-13"/>
          <w:sz w:val="22"/>
        </w:rPr>
        <w:t> </w:t>
      </w:r>
      <w:r>
        <w:rPr>
          <w:rFonts w:ascii="Arial" w:hAnsi="Arial"/>
          <w:i/>
          <w:spacing w:val="-2"/>
          <w:sz w:val="22"/>
        </w:rPr>
        <w:t>junio</w:t>
      </w:r>
      <w:r>
        <w:rPr>
          <w:rFonts w:ascii="Arial" w:hAnsi="Arial"/>
          <w:i/>
          <w:spacing w:val="-13"/>
          <w:sz w:val="22"/>
        </w:rPr>
        <w:t> </w:t>
      </w:r>
      <w:r>
        <w:rPr>
          <w:rFonts w:ascii="Arial" w:hAnsi="Arial"/>
          <w:i/>
          <w:spacing w:val="-2"/>
          <w:sz w:val="22"/>
        </w:rPr>
        <w:t>de</w:t>
      </w:r>
      <w:r>
        <w:rPr>
          <w:rFonts w:ascii="Arial" w:hAnsi="Arial"/>
          <w:i/>
          <w:spacing w:val="-14"/>
          <w:sz w:val="22"/>
        </w:rPr>
        <w:t> </w:t>
      </w:r>
      <w:r>
        <w:rPr>
          <w:rFonts w:ascii="Arial" w:hAnsi="Arial"/>
          <w:i/>
          <w:spacing w:val="-2"/>
          <w:sz w:val="22"/>
        </w:rPr>
        <w:t>1987,</w:t>
      </w:r>
      <w:r>
        <w:rPr>
          <w:rFonts w:ascii="Arial" w:hAnsi="Arial"/>
          <w:i/>
          <w:spacing w:val="-13"/>
          <w:sz w:val="22"/>
        </w:rPr>
        <w:t> </w:t>
      </w:r>
      <w:r>
        <w:rPr>
          <w:rFonts w:ascii="Arial" w:hAnsi="Arial"/>
          <w:i/>
          <w:spacing w:val="-2"/>
          <w:sz w:val="22"/>
        </w:rPr>
        <w:t>producida</w:t>
      </w:r>
      <w:r>
        <w:rPr>
          <w:rFonts w:ascii="Arial" w:hAnsi="Arial"/>
          <w:i/>
          <w:spacing w:val="-13"/>
          <w:sz w:val="22"/>
        </w:rPr>
        <w:t> </w:t>
      </w:r>
      <w:r>
        <w:rPr>
          <w:rFonts w:ascii="Arial" w:hAnsi="Arial"/>
          <w:i/>
          <w:spacing w:val="-2"/>
          <w:sz w:val="22"/>
        </w:rPr>
        <w:t>con</w:t>
      </w:r>
      <w:r>
        <w:rPr>
          <w:rFonts w:ascii="Arial" w:hAnsi="Arial"/>
          <w:i/>
          <w:spacing w:val="-14"/>
          <w:sz w:val="22"/>
        </w:rPr>
        <w:t> </w:t>
      </w:r>
      <w:r>
        <w:rPr>
          <w:rFonts w:ascii="Arial" w:hAnsi="Arial"/>
          <w:i/>
          <w:spacing w:val="-2"/>
          <w:sz w:val="22"/>
        </w:rPr>
        <w:t>motivo</w:t>
      </w:r>
      <w:r>
        <w:rPr>
          <w:rFonts w:ascii="Arial" w:hAnsi="Arial"/>
          <w:i/>
          <w:spacing w:val="-13"/>
          <w:sz w:val="22"/>
        </w:rPr>
        <w:t> </w:t>
      </w:r>
      <w:r>
        <w:rPr>
          <w:rFonts w:ascii="Arial" w:hAnsi="Arial"/>
          <w:i/>
          <w:spacing w:val="-2"/>
          <w:sz w:val="22"/>
        </w:rPr>
        <w:t>del</w:t>
      </w:r>
      <w:r>
        <w:rPr>
          <w:rFonts w:ascii="Arial" w:hAnsi="Arial"/>
          <w:i/>
          <w:spacing w:val="-13"/>
          <w:sz w:val="22"/>
        </w:rPr>
        <w:t> </w:t>
      </w:r>
      <w:r>
        <w:rPr>
          <w:rFonts w:ascii="Arial" w:hAnsi="Arial"/>
          <w:i/>
          <w:spacing w:val="-2"/>
          <w:sz w:val="22"/>
        </w:rPr>
        <w:t>proceso</w:t>
      </w:r>
      <w:r>
        <w:rPr>
          <w:rFonts w:ascii="Arial" w:hAnsi="Arial"/>
          <w:i/>
          <w:spacing w:val="-13"/>
          <w:sz w:val="22"/>
        </w:rPr>
        <w:t> </w:t>
      </w:r>
      <w:r>
        <w:rPr>
          <w:rFonts w:ascii="Arial" w:hAnsi="Arial"/>
          <w:i/>
          <w:spacing w:val="-2"/>
          <w:sz w:val="22"/>
        </w:rPr>
        <w:t>02-N-</w:t>
      </w:r>
      <w:r>
        <w:rPr>
          <w:rFonts w:ascii="Arial" w:hAnsi="Arial"/>
          <w:i/>
          <w:sz w:val="22"/>
        </w:rPr>
        <w:t>86</w:t>
      </w:r>
      <w:r>
        <w:rPr>
          <w:rFonts w:ascii="Arial" w:hAnsi="Arial"/>
          <w:i/>
          <w:spacing w:val="-11"/>
          <w:sz w:val="22"/>
        </w:rPr>
        <w:t> </w:t>
      </w:r>
      <w:r>
        <w:rPr>
          <w:rFonts w:ascii="Arial" w:hAnsi="Arial"/>
          <w:i/>
          <w:sz w:val="22"/>
        </w:rPr>
        <w:t>(G.O.A.C.</w:t>
      </w:r>
      <w:r>
        <w:rPr>
          <w:rFonts w:ascii="Arial" w:hAnsi="Arial"/>
          <w:i/>
          <w:spacing w:val="-8"/>
          <w:sz w:val="22"/>
        </w:rPr>
        <w:t> </w:t>
      </w:r>
      <w:r>
        <w:rPr>
          <w:rFonts w:ascii="Arial" w:hAnsi="Arial"/>
          <w:i/>
          <w:sz w:val="22"/>
        </w:rPr>
        <w:t>No.</w:t>
      </w:r>
      <w:r>
        <w:rPr>
          <w:rFonts w:ascii="Arial" w:hAnsi="Arial"/>
          <w:i/>
          <w:spacing w:val="-9"/>
          <w:sz w:val="22"/>
        </w:rPr>
        <w:t> </w:t>
      </w:r>
      <w:r>
        <w:rPr>
          <w:rFonts w:ascii="Arial" w:hAnsi="Arial"/>
          <w:i/>
          <w:sz w:val="22"/>
        </w:rPr>
        <w:t>21</w:t>
      </w:r>
      <w:r>
        <w:rPr>
          <w:rFonts w:ascii="Arial" w:hAnsi="Arial"/>
          <w:i/>
          <w:spacing w:val="-11"/>
          <w:sz w:val="22"/>
        </w:rPr>
        <w:t> </w:t>
      </w:r>
      <w:r>
        <w:rPr>
          <w:rFonts w:ascii="Arial" w:hAnsi="Arial"/>
          <w:i/>
          <w:sz w:val="22"/>
        </w:rPr>
        <w:t>del</w:t>
      </w:r>
      <w:r>
        <w:rPr>
          <w:rFonts w:ascii="Arial" w:hAnsi="Arial"/>
          <w:i/>
          <w:spacing w:val="-11"/>
          <w:sz w:val="22"/>
        </w:rPr>
        <w:t> </w:t>
      </w:r>
      <w:r>
        <w:rPr>
          <w:rFonts w:ascii="Arial" w:hAnsi="Arial"/>
          <w:i/>
          <w:sz w:val="22"/>
        </w:rPr>
        <w:t>15</w:t>
      </w:r>
      <w:r>
        <w:rPr>
          <w:rFonts w:ascii="Arial" w:hAnsi="Arial"/>
          <w:i/>
          <w:spacing w:val="-9"/>
          <w:sz w:val="22"/>
        </w:rPr>
        <w:t> </w:t>
      </w:r>
      <w:r>
        <w:rPr>
          <w:rFonts w:ascii="Arial" w:hAnsi="Arial"/>
          <w:i/>
          <w:sz w:val="22"/>
        </w:rPr>
        <w:t>de</w:t>
      </w:r>
      <w:r>
        <w:rPr>
          <w:rFonts w:ascii="Arial" w:hAnsi="Arial"/>
          <w:i/>
          <w:spacing w:val="-10"/>
          <w:sz w:val="22"/>
        </w:rPr>
        <w:t> </w:t>
      </w:r>
      <w:r>
        <w:rPr>
          <w:rFonts w:ascii="Arial" w:hAnsi="Arial"/>
          <w:i/>
          <w:sz w:val="22"/>
        </w:rPr>
        <w:t>Julio</w:t>
      </w:r>
      <w:r>
        <w:rPr>
          <w:rFonts w:ascii="Arial" w:hAnsi="Arial"/>
          <w:i/>
          <w:spacing w:val="-10"/>
          <w:sz w:val="22"/>
        </w:rPr>
        <w:t> </w:t>
      </w:r>
      <w:r>
        <w:rPr>
          <w:rFonts w:ascii="Arial" w:hAnsi="Arial"/>
          <w:i/>
          <w:sz w:val="22"/>
        </w:rPr>
        <w:t>de</w:t>
      </w:r>
      <w:r>
        <w:rPr>
          <w:rFonts w:ascii="Arial" w:hAnsi="Arial"/>
          <w:i/>
          <w:spacing w:val="-10"/>
          <w:sz w:val="22"/>
        </w:rPr>
        <w:t> </w:t>
      </w:r>
      <w:r>
        <w:rPr>
          <w:rFonts w:ascii="Arial" w:hAnsi="Arial"/>
          <w:i/>
          <w:sz w:val="22"/>
        </w:rPr>
        <w:t>1987.</w:t>
      </w:r>
      <w:r>
        <w:rPr>
          <w:rFonts w:ascii="Arial" w:hAnsi="Arial"/>
          <w:i/>
          <w:spacing w:val="-9"/>
          <w:sz w:val="22"/>
        </w:rPr>
        <w:t> </w:t>
      </w:r>
      <w:r>
        <w:rPr>
          <w:rFonts w:ascii="Arial" w:hAnsi="Arial"/>
          <w:i/>
          <w:sz w:val="22"/>
        </w:rPr>
        <w:t>Jurisprudencia</w:t>
      </w:r>
      <w:r>
        <w:rPr>
          <w:rFonts w:ascii="Arial" w:hAnsi="Arial"/>
          <w:i/>
          <w:spacing w:val="-11"/>
          <w:sz w:val="22"/>
        </w:rPr>
        <w:t> </w:t>
      </w:r>
      <w:r>
        <w:rPr>
          <w:rFonts w:ascii="Arial" w:hAnsi="Arial"/>
          <w:i/>
          <w:sz w:val="22"/>
        </w:rPr>
        <w:t>del</w:t>
      </w:r>
      <w:r>
        <w:rPr>
          <w:rFonts w:ascii="Arial" w:hAnsi="Arial"/>
          <w:i/>
          <w:spacing w:val="-9"/>
          <w:sz w:val="22"/>
        </w:rPr>
        <w:t> </w:t>
      </w:r>
      <w:r>
        <w:rPr>
          <w:rFonts w:ascii="Arial" w:hAnsi="Arial"/>
          <w:i/>
          <w:sz w:val="22"/>
        </w:rPr>
        <w:t>Tribunal</w:t>
      </w:r>
      <w:r>
        <w:rPr>
          <w:rFonts w:ascii="Arial" w:hAnsi="Arial"/>
          <w:i/>
          <w:spacing w:val="-9"/>
          <w:sz w:val="22"/>
        </w:rPr>
        <w:t> </w:t>
      </w:r>
      <w:r>
        <w:rPr>
          <w:rFonts w:ascii="Arial" w:hAnsi="Arial"/>
          <w:i/>
          <w:sz w:val="22"/>
        </w:rPr>
        <w:t>de</w:t>
      </w:r>
      <w:r>
        <w:rPr>
          <w:rFonts w:ascii="Arial" w:hAnsi="Arial"/>
          <w:i/>
          <w:spacing w:val="-9"/>
          <w:sz w:val="22"/>
        </w:rPr>
        <w:t> </w:t>
      </w:r>
      <w:r>
        <w:rPr>
          <w:rFonts w:ascii="Arial" w:hAnsi="Arial"/>
          <w:i/>
          <w:sz w:val="22"/>
        </w:rPr>
        <w:t>Justicia del</w:t>
      </w:r>
      <w:r>
        <w:rPr>
          <w:rFonts w:ascii="Arial" w:hAnsi="Arial"/>
          <w:i/>
          <w:spacing w:val="-13"/>
          <w:sz w:val="22"/>
        </w:rPr>
        <w:t> </w:t>
      </w:r>
      <w:r>
        <w:rPr>
          <w:rFonts w:ascii="Arial" w:hAnsi="Arial"/>
          <w:i/>
          <w:sz w:val="22"/>
        </w:rPr>
        <w:t>Acuerdo</w:t>
      </w:r>
      <w:r>
        <w:rPr>
          <w:rFonts w:ascii="Arial" w:hAnsi="Arial"/>
          <w:i/>
          <w:spacing w:val="-12"/>
          <w:sz w:val="22"/>
        </w:rPr>
        <w:t> </w:t>
      </w:r>
      <w:r>
        <w:rPr>
          <w:rFonts w:ascii="Arial" w:hAnsi="Arial"/>
          <w:i/>
          <w:sz w:val="22"/>
        </w:rPr>
        <w:t>de</w:t>
      </w:r>
      <w:r>
        <w:rPr>
          <w:rFonts w:ascii="Arial" w:hAnsi="Arial"/>
          <w:i/>
          <w:spacing w:val="-12"/>
          <w:sz w:val="22"/>
        </w:rPr>
        <w:t> </w:t>
      </w:r>
      <w:r>
        <w:rPr>
          <w:rFonts w:ascii="Arial" w:hAnsi="Arial"/>
          <w:i/>
          <w:sz w:val="22"/>
        </w:rPr>
        <w:t>Cartagena,</w:t>
      </w:r>
      <w:r>
        <w:rPr>
          <w:rFonts w:ascii="Arial" w:hAnsi="Arial"/>
          <w:i/>
          <w:spacing w:val="-12"/>
          <w:sz w:val="22"/>
        </w:rPr>
        <w:t> </w:t>
      </w:r>
      <w:r>
        <w:rPr>
          <w:rFonts w:ascii="Arial" w:hAnsi="Arial"/>
          <w:i/>
          <w:sz w:val="22"/>
        </w:rPr>
        <w:t>BID/INTAL,</w:t>
      </w:r>
      <w:r>
        <w:rPr>
          <w:rFonts w:ascii="Arial" w:hAnsi="Arial"/>
          <w:i/>
          <w:spacing w:val="-11"/>
          <w:sz w:val="22"/>
        </w:rPr>
        <w:t> </w:t>
      </w:r>
      <w:r>
        <w:rPr>
          <w:rFonts w:ascii="Arial" w:hAnsi="Arial"/>
          <w:i/>
          <w:sz w:val="22"/>
        </w:rPr>
        <w:t>Buenos</w:t>
      </w:r>
      <w:r>
        <w:rPr>
          <w:rFonts w:ascii="Arial" w:hAnsi="Arial"/>
          <w:i/>
          <w:spacing w:val="-12"/>
          <w:sz w:val="22"/>
        </w:rPr>
        <w:t> </w:t>
      </w:r>
      <w:r>
        <w:rPr>
          <w:rFonts w:ascii="Arial" w:hAnsi="Arial"/>
          <w:i/>
          <w:sz w:val="22"/>
        </w:rPr>
        <w:t>Aires-Argentina,</w:t>
      </w:r>
      <w:r>
        <w:rPr>
          <w:rFonts w:ascii="Arial" w:hAnsi="Arial"/>
          <w:i/>
          <w:spacing w:val="-12"/>
          <w:sz w:val="22"/>
        </w:rPr>
        <w:t> </w:t>
      </w:r>
      <w:r>
        <w:rPr>
          <w:rFonts w:ascii="Arial" w:hAnsi="Arial"/>
          <w:i/>
          <w:sz w:val="22"/>
        </w:rPr>
        <w:t>1994,</w:t>
      </w:r>
      <w:r>
        <w:rPr>
          <w:rFonts w:ascii="Arial" w:hAnsi="Arial"/>
          <w:i/>
          <w:spacing w:val="-11"/>
          <w:sz w:val="22"/>
        </w:rPr>
        <w:t> </w:t>
      </w:r>
      <w:r>
        <w:rPr>
          <w:rFonts w:ascii="Arial" w:hAnsi="Arial"/>
          <w:i/>
          <w:sz w:val="22"/>
        </w:rPr>
        <w:t>Tomo</w:t>
      </w:r>
      <w:r>
        <w:rPr>
          <w:rFonts w:ascii="Arial" w:hAnsi="Arial"/>
          <w:i/>
          <w:spacing w:val="-12"/>
          <w:sz w:val="22"/>
        </w:rPr>
        <w:t> </w:t>
      </w:r>
      <w:r>
        <w:rPr>
          <w:rFonts w:ascii="Arial" w:hAnsi="Arial"/>
          <w:i/>
          <w:sz w:val="22"/>
        </w:rPr>
        <w:t>I,</w:t>
      </w:r>
      <w:r>
        <w:rPr>
          <w:rFonts w:ascii="Arial" w:hAnsi="Arial"/>
          <w:i/>
          <w:spacing w:val="-11"/>
          <w:sz w:val="22"/>
        </w:rPr>
        <w:t> </w:t>
      </w:r>
      <w:r>
        <w:rPr>
          <w:rFonts w:ascii="Arial" w:hAnsi="Arial"/>
          <w:i/>
          <w:spacing w:val="-4"/>
          <w:sz w:val="22"/>
        </w:rPr>
        <w:t>pág.</w:t>
      </w:r>
    </w:p>
    <w:p>
      <w:pPr>
        <w:spacing w:line="253" w:lineRule="exact" w:before="0"/>
        <w:ind w:left="1562" w:right="0" w:firstLine="0"/>
        <w:jc w:val="both"/>
        <w:rPr>
          <w:rFonts w:ascii="Arial" w:hAnsi="Arial"/>
          <w:i/>
          <w:sz w:val="22"/>
        </w:rPr>
      </w:pPr>
      <w:r>
        <w:rPr>
          <w:rFonts w:ascii="Arial" w:hAnsi="Arial"/>
          <w:i/>
          <w:spacing w:val="-2"/>
          <w:sz w:val="22"/>
        </w:rPr>
        <w:t>90)</w:t>
      </w:r>
      <w:r>
        <w:rPr>
          <w:rFonts w:ascii="Arial" w:hAnsi="Arial"/>
          <w:i/>
          <w:spacing w:val="-9"/>
          <w:sz w:val="22"/>
        </w:rPr>
        <w:t> </w:t>
      </w:r>
      <w:r>
        <w:rPr>
          <w:rFonts w:ascii="Arial" w:hAnsi="Arial"/>
          <w:i/>
          <w:spacing w:val="-2"/>
          <w:sz w:val="22"/>
        </w:rPr>
        <w:t>y</w:t>
      </w:r>
      <w:r>
        <w:rPr>
          <w:rFonts w:ascii="Arial" w:hAnsi="Arial"/>
          <w:i/>
          <w:spacing w:val="-11"/>
          <w:sz w:val="22"/>
        </w:rPr>
        <w:t> </w:t>
      </w:r>
      <w:r>
        <w:rPr>
          <w:rFonts w:ascii="Arial" w:hAnsi="Arial"/>
          <w:i/>
          <w:spacing w:val="-2"/>
          <w:sz w:val="22"/>
        </w:rPr>
        <w:t>más</w:t>
      </w:r>
      <w:r>
        <w:rPr>
          <w:rFonts w:ascii="Arial" w:hAnsi="Arial"/>
          <w:i/>
          <w:spacing w:val="-9"/>
          <w:sz w:val="22"/>
        </w:rPr>
        <w:t> </w:t>
      </w:r>
      <w:r>
        <w:rPr>
          <w:rFonts w:ascii="Arial" w:hAnsi="Arial"/>
          <w:i/>
          <w:spacing w:val="-2"/>
          <w:sz w:val="22"/>
        </w:rPr>
        <w:t>tarde</w:t>
      </w:r>
      <w:r>
        <w:rPr>
          <w:rFonts w:ascii="Arial" w:hAnsi="Arial"/>
          <w:i/>
          <w:spacing w:val="-9"/>
          <w:sz w:val="22"/>
        </w:rPr>
        <w:t> </w:t>
      </w:r>
      <w:r>
        <w:rPr>
          <w:rFonts w:ascii="Arial" w:hAnsi="Arial"/>
          <w:i/>
          <w:spacing w:val="-2"/>
          <w:sz w:val="22"/>
        </w:rPr>
        <w:t>lo</w:t>
      </w:r>
      <w:r>
        <w:rPr>
          <w:rFonts w:ascii="Arial" w:hAnsi="Arial"/>
          <w:i/>
          <w:spacing w:val="-10"/>
          <w:sz w:val="22"/>
        </w:rPr>
        <w:t> </w:t>
      </w:r>
      <w:r>
        <w:rPr>
          <w:rFonts w:ascii="Arial" w:hAnsi="Arial"/>
          <w:i/>
          <w:spacing w:val="-2"/>
          <w:sz w:val="22"/>
        </w:rPr>
        <w:t>ha</w:t>
      </w:r>
      <w:r>
        <w:rPr>
          <w:rFonts w:ascii="Arial" w:hAnsi="Arial"/>
          <w:i/>
          <w:spacing w:val="-11"/>
          <w:sz w:val="22"/>
        </w:rPr>
        <w:t> </w:t>
      </w:r>
      <w:r>
        <w:rPr>
          <w:rFonts w:ascii="Arial" w:hAnsi="Arial"/>
          <w:i/>
          <w:spacing w:val="-2"/>
          <w:sz w:val="22"/>
        </w:rPr>
        <w:t>reiterado</w:t>
      </w:r>
      <w:r>
        <w:rPr>
          <w:rFonts w:ascii="Arial" w:hAnsi="Arial"/>
          <w:i/>
          <w:spacing w:val="-10"/>
          <w:sz w:val="22"/>
        </w:rPr>
        <w:t> </w:t>
      </w:r>
      <w:r>
        <w:rPr>
          <w:rFonts w:ascii="Arial" w:hAnsi="Arial"/>
          <w:i/>
          <w:spacing w:val="-2"/>
          <w:sz w:val="22"/>
        </w:rPr>
        <w:t>en</w:t>
      </w:r>
      <w:r>
        <w:rPr>
          <w:rFonts w:ascii="Arial" w:hAnsi="Arial"/>
          <w:i/>
          <w:spacing w:val="-11"/>
          <w:sz w:val="22"/>
        </w:rPr>
        <w:t> </w:t>
      </w:r>
      <w:r>
        <w:rPr>
          <w:rFonts w:ascii="Arial" w:hAnsi="Arial"/>
          <w:i/>
          <w:spacing w:val="-2"/>
          <w:sz w:val="22"/>
        </w:rPr>
        <w:t>múltiples</w:t>
      </w:r>
      <w:r>
        <w:rPr>
          <w:rFonts w:ascii="Arial" w:hAnsi="Arial"/>
          <w:i/>
          <w:spacing w:val="-11"/>
          <w:sz w:val="22"/>
        </w:rPr>
        <w:t> </w:t>
      </w:r>
      <w:r>
        <w:rPr>
          <w:rFonts w:ascii="Arial" w:hAnsi="Arial"/>
          <w:i/>
          <w:spacing w:val="-2"/>
          <w:sz w:val="22"/>
        </w:rPr>
        <w:t>sentencias”.</w:t>
      </w:r>
    </w:p>
    <w:p>
      <w:pPr>
        <w:pStyle w:val="BodyText"/>
        <w:rPr>
          <w:rFonts w:ascii="Arial"/>
          <w:i/>
        </w:rPr>
      </w:pPr>
    </w:p>
    <w:p>
      <w:pPr>
        <w:pStyle w:val="Heading5"/>
        <w:numPr>
          <w:ilvl w:val="0"/>
          <w:numId w:val="49"/>
        </w:numPr>
        <w:tabs>
          <w:tab w:pos="850" w:val="left" w:leader="none"/>
        </w:tabs>
        <w:spacing w:line="240" w:lineRule="auto" w:before="0" w:after="0"/>
        <w:ind w:left="850" w:right="0" w:hanging="282"/>
        <w:jc w:val="left"/>
        <w:rPr>
          <w:rFonts w:ascii="Arial MT" w:hAnsi="Arial MT"/>
          <w:b w:val="0"/>
        </w:rPr>
      </w:pPr>
      <w:r>
        <w:rPr/>
        <w:t>MEDIDA</w:t>
      </w:r>
      <w:r>
        <w:rPr>
          <w:spacing w:val="-7"/>
        </w:rPr>
        <w:t> </w:t>
      </w:r>
      <w:r>
        <w:rPr/>
        <w:t>OBJETO</w:t>
      </w:r>
      <w:r>
        <w:rPr>
          <w:spacing w:val="-5"/>
        </w:rPr>
        <w:t> </w:t>
      </w:r>
      <w:r>
        <w:rPr/>
        <w:t>DE</w:t>
      </w:r>
      <w:r>
        <w:rPr>
          <w:spacing w:val="-3"/>
        </w:rPr>
        <w:t> </w:t>
      </w:r>
      <w:r>
        <w:rPr>
          <w:spacing w:val="-2"/>
        </w:rPr>
        <w:t>ANÁLISIS</w:t>
      </w:r>
    </w:p>
    <w:p>
      <w:pPr>
        <w:pStyle w:val="BodyText"/>
        <w:spacing w:before="1"/>
        <w:rPr>
          <w:rFonts w:ascii="Arial"/>
          <w:b/>
        </w:rPr>
      </w:pPr>
    </w:p>
    <w:p>
      <w:pPr>
        <w:pStyle w:val="Heading6"/>
        <w:numPr>
          <w:ilvl w:val="1"/>
          <w:numId w:val="49"/>
        </w:numPr>
        <w:tabs>
          <w:tab w:pos="1133" w:val="left" w:leader="none"/>
        </w:tabs>
        <w:spacing w:line="240" w:lineRule="auto" w:before="0" w:after="0"/>
        <w:ind w:left="1133" w:right="0" w:hanging="565"/>
        <w:jc w:val="left"/>
        <w:rPr>
          <w:rFonts w:ascii="Arial MT" w:hAnsi="Arial MT"/>
          <w:b w:val="0"/>
        </w:rPr>
      </w:pPr>
      <w:r>
        <w:rPr/>
        <w:t>Descripción</w:t>
      </w:r>
      <w:r>
        <w:rPr>
          <w:spacing w:val="-7"/>
        </w:rPr>
        <w:t> </w:t>
      </w:r>
      <w:r>
        <w:rPr/>
        <w:t>del</w:t>
      </w:r>
      <w:r>
        <w:rPr>
          <w:spacing w:val="-4"/>
        </w:rPr>
        <w:t> </w:t>
      </w:r>
      <w:r>
        <w:rPr/>
        <w:t>Decreto</w:t>
      </w:r>
      <w:r>
        <w:rPr>
          <w:spacing w:val="-4"/>
        </w:rPr>
        <w:t> </w:t>
      </w:r>
      <w:r>
        <w:rPr/>
        <w:t>0170</w:t>
      </w:r>
      <w:r>
        <w:rPr>
          <w:spacing w:val="-3"/>
        </w:rPr>
        <w:t> </w:t>
      </w:r>
      <w:r>
        <w:rPr/>
        <w:t>de</w:t>
      </w:r>
      <w:r>
        <w:rPr>
          <w:spacing w:val="-6"/>
        </w:rPr>
        <w:t> </w:t>
      </w:r>
      <w:r>
        <w:rPr>
          <w:spacing w:val="-4"/>
        </w:rPr>
        <w:t>2026</w:t>
      </w:r>
    </w:p>
    <w:p>
      <w:pPr>
        <w:pStyle w:val="ListParagraph"/>
        <w:numPr>
          <w:ilvl w:val="0"/>
          <w:numId w:val="50"/>
        </w:numPr>
        <w:tabs>
          <w:tab w:pos="1130" w:val="left" w:leader="none"/>
          <w:tab w:pos="1134" w:val="left" w:leader="none"/>
        </w:tabs>
        <w:spacing w:line="240" w:lineRule="auto" w:before="251" w:after="0"/>
        <w:ind w:left="1134" w:right="978" w:hanging="567"/>
        <w:jc w:val="both"/>
        <w:rPr>
          <w:sz w:val="22"/>
        </w:rPr>
      </w:pPr>
      <w:r>
        <w:rPr>
          <w:sz w:val="22"/>
        </w:rPr>
        <w:t>Mediante Decreto número 0170 de 2026, publicado en el Diario Oficial Edición 53.408 de 23 de febrero de 2026, la República de Colombia dispuso establecer a partir del 24 de</w:t>
      </w:r>
      <w:r>
        <w:rPr>
          <w:spacing w:val="-1"/>
          <w:sz w:val="22"/>
        </w:rPr>
        <w:t> </w:t>
      </w:r>
      <w:r>
        <w:rPr>
          <w:sz w:val="22"/>
        </w:rPr>
        <w:t>febrero de</w:t>
      </w:r>
      <w:r>
        <w:rPr>
          <w:spacing w:val="-3"/>
          <w:sz w:val="22"/>
        </w:rPr>
        <w:t> </w:t>
      </w:r>
      <w:r>
        <w:rPr>
          <w:sz w:val="22"/>
        </w:rPr>
        <w:t>2026</w:t>
      </w:r>
      <w:r>
        <w:rPr>
          <w:spacing w:val="-1"/>
          <w:sz w:val="22"/>
        </w:rPr>
        <w:t> </w:t>
      </w:r>
      <w:r>
        <w:rPr>
          <w:sz w:val="22"/>
        </w:rPr>
        <w:t>“</w:t>
      </w:r>
      <w:r>
        <w:rPr>
          <w:rFonts w:ascii="Arial" w:hAnsi="Arial"/>
          <w:i/>
          <w:sz w:val="22"/>
        </w:rPr>
        <w:t>aranceles recíprocos</w:t>
      </w:r>
      <w:r>
        <w:rPr>
          <w:rFonts w:ascii="Arial" w:hAnsi="Arial"/>
          <w:i/>
          <w:spacing w:val="-3"/>
          <w:sz w:val="22"/>
        </w:rPr>
        <w:t> </w:t>
      </w:r>
      <w:r>
        <w:rPr>
          <w:rFonts w:ascii="Arial" w:hAnsi="Arial"/>
          <w:i/>
          <w:sz w:val="22"/>
        </w:rPr>
        <w:t>equivalentes al</w:t>
      </w:r>
      <w:r>
        <w:rPr>
          <w:rFonts w:ascii="Arial" w:hAnsi="Arial"/>
          <w:i/>
          <w:spacing w:val="-2"/>
          <w:sz w:val="22"/>
        </w:rPr>
        <w:t> </w:t>
      </w:r>
      <w:r>
        <w:rPr>
          <w:rFonts w:ascii="Arial" w:hAnsi="Arial"/>
          <w:i/>
          <w:sz w:val="22"/>
        </w:rPr>
        <w:t>30% ad-Valorem a productos importados desde la República del Ecuador, y se toman medidas de restricción al ingreso</w:t>
      </w:r>
      <w:r>
        <w:rPr>
          <w:rFonts w:ascii="Arial" w:hAnsi="Arial"/>
          <w:i/>
          <w:spacing w:val="-4"/>
          <w:sz w:val="22"/>
        </w:rPr>
        <w:t> </w:t>
      </w:r>
      <w:r>
        <w:rPr>
          <w:rFonts w:ascii="Arial" w:hAnsi="Arial"/>
          <w:i/>
          <w:sz w:val="22"/>
        </w:rPr>
        <w:t>de</w:t>
      </w:r>
      <w:r>
        <w:rPr>
          <w:rFonts w:ascii="Arial" w:hAnsi="Arial"/>
          <w:i/>
          <w:spacing w:val="-7"/>
          <w:sz w:val="22"/>
        </w:rPr>
        <w:t> </w:t>
      </w:r>
      <w:r>
        <w:rPr>
          <w:rFonts w:ascii="Arial" w:hAnsi="Arial"/>
          <w:i/>
          <w:sz w:val="22"/>
        </w:rPr>
        <w:t>mercancías</w:t>
      </w:r>
      <w:r>
        <w:rPr>
          <w:rFonts w:ascii="Arial" w:hAnsi="Arial"/>
          <w:i/>
          <w:spacing w:val="-6"/>
          <w:sz w:val="22"/>
        </w:rPr>
        <w:t> </w:t>
      </w:r>
      <w:r>
        <w:rPr>
          <w:rFonts w:ascii="Arial" w:hAnsi="Arial"/>
          <w:i/>
          <w:sz w:val="22"/>
        </w:rPr>
        <w:t>provenientes</w:t>
      </w:r>
      <w:r>
        <w:rPr>
          <w:rFonts w:ascii="Arial" w:hAnsi="Arial"/>
          <w:i/>
          <w:spacing w:val="-6"/>
          <w:sz w:val="22"/>
        </w:rPr>
        <w:t> </w:t>
      </w:r>
      <w:r>
        <w:rPr>
          <w:rFonts w:ascii="Arial" w:hAnsi="Arial"/>
          <w:i/>
          <w:sz w:val="22"/>
        </w:rPr>
        <w:t>y</w:t>
      </w:r>
      <w:r>
        <w:rPr>
          <w:rFonts w:ascii="Arial" w:hAnsi="Arial"/>
          <w:i/>
          <w:spacing w:val="-6"/>
          <w:sz w:val="22"/>
        </w:rPr>
        <w:t> </w:t>
      </w:r>
      <w:r>
        <w:rPr>
          <w:rFonts w:ascii="Arial" w:hAnsi="Arial"/>
          <w:i/>
          <w:sz w:val="22"/>
        </w:rPr>
        <w:t>originarias</w:t>
      </w:r>
      <w:r>
        <w:rPr>
          <w:rFonts w:ascii="Arial" w:hAnsi="Arial"/>
          <w:i/>
          <w:spacing w:val="-6"/>
          <w:sz w:val="22"/>
        </w:rPr>
        <w:t> </w:t>
      </w:r>
      <w:r>
        <w:rPr>
          <w:rFonts w:ascii="Arial" w:hAnsi="Arial"/>
          <w:i/>
          <w:sz w:val="22"/>
        </w:rPr>
        <w:t>de</w:t>
      </w:r>
      <w:r>
        <w:rPr>
          <w:rFonts w:ascii="Arial" w:hAnsi="Arial"/>
          <w:i/>
          <w:spacing w:val="-4"/>
          <w:sz w:val="22"/>
        </w:rPr>
        <w:t> </w:t>
      </w:r>
      <w:r>
        <w:rPr>
          <w:rFonts w:ascii="Arial" w:hAnsi="Arial"/>
          <w:i/>
          <w:sz w:val="22"/>
        </w:rPr>
        <w:t>Ecuador</w:t>
      </w:r>
      <w:r>
        <w:rPr>
          <w:rFonts w:ascii="Arial" w:hAnsi="Arial"/>
          <w:i/>
          <w:spacing w:val="-5"/>
          <w:sz w:val="22"/>
        </w:rPr>
        <w:t> </w:t>
      </w:r>
      <w:r>
        <w:rPr>
          <w:rFonts w:ascii="Arial" w:hAnsi="Arial"/>
          <w:i/>
          <w:sz w:val="22"/>
        </w:rPr>
        <w:t>por</w:t>
      </w:r>
      <w:r>
        <w:rPr>
          <w:rFonts w:ascii="Arial" w:hAnsi="Arial"/>
          <w:i/>
          <w:spacing w:val="-8"/>
          <w:sz w:val="22"/>
        </w:rPr>
        <w:t> </w:t>
      </w:r>
      <w:r>
        <w:rPr>
          <w:rFonts w:ascii="Arial" w:hAnsi="Arial"/>
          <w:i/>
          <w:sz w:val="22"/>
        </w:rPr>
        <w:t>razones</w:t>
      </w:r>
      <w:r>
        <w:rPr>
          <w:rFonts w:ascii="Arial" w:hAnsi="Arial"/>
          <w:i/>
          <w:spacing w:val="-8"/>
          <w:sz w:val="22"/>
        </w:rPr>
        <w:t> </w:t>
      </w:r>
      <w:r>
        <w:rPr>
          <w:rFonts w:ascii="Arial" w:hAnsi="Arial"/>
          <w:i/>
          <w:sz w:val="22"/>
        </w:rPr>
        <w:t>de</w:t>
      </w:r>
      <w:r>
        <w:rPr>
          <w:rFonts w:ascii="Arial" w:hAnsi="Arial"/>
          <w:i/>
          <w:spacing w:val="-4"/>
          <w:sz w:val="22"/>
        </w:rPr>
        <w:t> </w:t>
      </w:r>
      <w:r>
        <w:rPr>
          <w:rFonts w:ascii="Arial" w:hAnsi="Arial"/>
          <w:i/>
          <w:sz w:val="22"/>
        </w:rPr>
        <w:t>seguridad nacional de la República de Colombia</w:t>
      </w:r>
      <w:r>
        <w:rPr>
          <w:sz w:val="22"/>
        </w:rPr>
        <w:t>”</w:t>
      </w:r>
      <w:hyperlink w:history="true" w:anchor="_bookmark89">
        <w:r>
          <w:rPr>
            <w:sz w:val="22"/>
            <w:vertAlign w:val="superscript"/>
          </w:rPr>
          <w:t>22</w:t>
        </w:r>
      </w:hyperlink>
      <w:r>
        <w:rPr>
          <w:sz w:val="22"/>
          <w:vertAlign w:val="baseline"/>
        </w:rPr>
        <w:t>.</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82" w:hanging="567"/>
        <w:jc w:val="both"/>
        <w:rPr>
          <w:sz w:val="22"/>
        </w:rPr>
      </w:pPr>
      <w:r>
        <w:rPr>
          <w:sz w:val="22"/>
        </w:rPr>
        <w:t>El</w:t>
      </w:r>
      <w:r>
        <w:rPr>
          <w:spacing w:val="-10"/>
          <w:sz w:val="22"/>
        </w:rPr>
        <w:t> </w:t>
      </w:r>
      <w:r>
        <w:rPr>
          <w:sz w:val="22"/>
        </w:rPr>
        <w:t>referido</w:t>
      </w:r>
      <w:r>
        <w:rPr>
          <w:spacing w:val="-9"/>
          <w:sz w:val="22"/>
        </w:rPr>
        <w:t> </w:t>
      </w:r>
      <w:r>
        <w:rPr>
          <w:sz w:val="22"/>
        </w:rPr>
        <w:t>Decreto</w:t>
      </w:r>
      <w:r>
        <w:rPr>
          <w:spacing w:val="-9"/>
          <w:sz w:val="22"/>
        </w:rPr>
        <w:t> </w:t>
      </w:r>
      <w:r>
        <w:rPr>
          <w:sz w:val="22"/>
        </w:rPr>
        <w:t>establece</w:t>
      </w:r>
      <w:r>
        <w:rPr>
          <w:spacing w:val="-9"/>
          <w:sz w:val="22"/>
        </w:rPr>
        <w:t> </w:t>
      </w:r>
      <w:r>
        <w:rPr>
          <w:sz w:val="22"/>
        </w:rPr>
        <w:t>dos</w:t>
      </w:r>
      <w:r>
        <w:rPr>
          <w:spacing w:val="-8"/>
          <w:sz w:val="22"/>
        </w:rPr>
        <w:t> </w:t>
      </w:r>
      <w:r>
        <w:rPr>
          <w:sz w:val="22"/>
        </w:rPr>
        <w:t>tipos</w:t>
      </w:r>
      <w:r>
        <w:rPr>
          <w:spacing w:val="-8"/>
          <w:sz w:val="22"/>
        </w:rPr>
        <w:t> </w:t>
      </w:r>
      <w:r>
        <w:rPr>
          <w:sz w:val="22"/>
        </w:rPr>
        <w:t>de</w:t>
      </w:r>
      <w:r>
        <w:rPr>
          <w:spacing w:val="-9"/>
          <w:sz w:val="22"/>
        </w:rPr>
        <w:t> </w:t>
      </w:r>
      <w:r>
        <w:rPr>
          <w:sz w:val="22"/>
        </w:rPr>
        <w:t>medidas:</w:t>
      </w:r>
      <w:r>
        <w:rPr>
          <w:spacing w:val="-7"/>
          <w:sz w:val="22"/>
        </w:rPr>
        <w:t> </w:t>
      </w:r>
      <w:r>
        <w:rPr>
          <w:sz w:val="22"/>
        </w:rPr>
        <w:t>una</w:t>
      </w:r>
      <w:r>
        <w:rPr>
          <w:spacing w:val="-11"/>
          <w:sz w:val="22"/>
        </w:rPr>
        <w:t> </w:t>
      </w:r>
      <w:r>
        <w:rPr>
          <w:sz w:val="22"/>
        </w:rPr>
        <w:t>medida</w:t>
      </w:r>
      <w:r>
        <w:rPr>
          <w:spacing w:val="-9"/>
          <w:sz w:val="22"/>
        </w:rPr>
        <w:t> </w:t>
      </w:r>
      <w:r>
        <w:rPr>
          <w:sz w:val="22"/>
        </w:rPr>
        <w:t>arancelaria;</w:t>
      </w:r>
      <w:r>
        <w:rPr>
          <w:spacing w:val="-8"/>
          <w:sz w:val="22"/>
        </w:rPr>
        <w:t> </w:t>
      </w:r>
      <w:r>
        <w:rPr>
          <w:sz w:val="22"/>
        </w:rPr>
        <w:t>y,</w:t>
      </w:r>
      <w:r>
        <w:rPr>
          <w:spacing w:val="-10"/>
          <w:sz w:val="22"/>
        </w:rPr>
        <w:t> </w:t>
      </w:r>
      <w:r>
        <w:rPr>
          <w:sz w:val="22"/>
        </w:rPr>
        <w:t>según</w:t>
      </w:r>
      <w:r>
        <w:rPr>
          <w:spacing w:val="-9"/>
          <w:sz w:val="22"/>
        </w:rPr>
        <w:t> </w:t>
      </w:r>
      <w:r>
        <w:rPr>
          <w:sz w:val="22"/>
        </w:rPr>
        <w:t>el propio Decreto, medidas “restrictivas al</w:t>
      </w:r>
      <w:r>
        <w:rPr>
          <w:spacing w:val="-1"/>
          <w:sz w:val="22"/>
        </w:rPr>
        <w:t> </w:t>
      </w:r>
      <w:r>
        <w:rPr>
          <w:sz w:val="22"/>
        </w:rPr>
        <w:t>ingreso de mercancías”. La parte</w:t>
      </w:r>
      <w:r>
        <w:rPr>
          <w:spacing w:val="-2"/>
          <w:sz w:val="22"/>
        </w:rPr>
        <w:t> </w:t>
      </w:r>
      <w:r>
        <w:rPr>
          <w:sz w:val="22"/>
        </w:rPr>
        <w:t>resolutiva del Decreto 0170, indica lo siguiente:</w:t>
      </w:r>
    </w:p>
    <w:p>
      <w:pPr>
        <w:pStyle w:val="BodyText"/>
        <w:spacing w:before="1"/>
      </w:pPr>
    </w:p>
    <w:p>
      <w:pPr>
        <w:spacing w:before="0"/>
        <w:ind w:left="1288" w:right="982" w:firstLine="0"/>
        <w:jc w:val="both"/>
        <w:rPr>
          <w:rFonts w:ascii="Arial" w:hAnsi="Arial"/>
          <w:i/>
          <w:sz w:val="22"/>
        </w:rPr>
      </w:pPr>
      <w:r>
        <w:rPr>
          <w:rFonts w:ascii="Arial" w:hAnsi="Arial"/>
          <w:i/>
          <w:sz w:val="22"/>
        </w:rPr>
        <w:t>“Artículo 1°.</w:t>
      </w:r>
      <w:r>
        <w:rPr>
          <w:rFonts w:ascii="Arial" w:hAnsi="Arial"/>
          <w:i/>
          <w:spacing w:val="-1"/>
          <w:sz w:val="22"/>
        </w:rPr>
        <w:t> </w:t>
      </w:r>
      <w:r>
        <w:rPr>
          <w:rFonts w:ascii="Arial" w:hAnsi="Arial"/>
          <w:i/>
          <w:sz w:val="22"/>
        </w:rPr>
        <w:t>Imposición</w:t>
      </w:r>
      <w:r>
        <w:rPr>
          <w:rFonts w:ascii="Arial" w:hAnsi="Arial"/>
          <w:i/>
          <w:spacing w:val="-1"/>
          <w:sz w:val="22"/>
        </w:rPr>
        <w:t> </w:t>
      </w:r>
      <w:r>
        <w:rPr>
          <w:rFonts w:ascii="Arial" w:hAnsi="Arial"/>
          <w:i/>
          <w:sz w:val="22"/>
        </w:rPr>
        <w:t>de arancel recíproco.</w:t>
      </w:r>
      <w:r>
        <w:rPr>
          <w:rFonts w:ascii="Arial" w:hAnsi="Arial"/>
          <w:i/>
          <w:spacing w:val="-1"/>
          <w:sz w:val="22"/>
        </w:rPr>
        <w:t> </w:t>
      </w:r>
      <w:r>
        <w:rPr>
          <w:rFonts w:ascii="Arial" w:hAnsi="Arial"/>
          <w:i/>
          <w:sz w:val="22"/>
        </w:rPr>
        <w:t>Impóngase un</w:t>
      </w:r>
      <w:r>
        <w:rPr>
          <w:rFonts w:ascii="Arial" w:hAnsi="Arial"/>
          <w:i/>
          <w:spacing w:val="-1"/>
          <w:sz w:val="22"/>
        </w:rPr>
        <w:t> </w:t>
      </w:r>
      <w:r>
        <w:rPr>
          <w:rFonts w:ascii="Arial" w:hAnsi="Arial"/>
          <w:i/>
          <w:sz w:val="22"/>
        </w:rPr>
        <w:t>arancel equivalente a</w:t>
      </w:r>
      <w:r>
        <w:rPr>
          <w:rFonts w:ascii="Arial" w:hAnsi="Arial"/>
          <w:i/>
          <w:spacing w:val="-1"/>
          <w:sz w:val="22"/>
        </w:rPr>
        <w:t> </w:t>
      </w:r>
      <w:r>
        <w:rPr>
          <w:rFonts w:ascii="Arial" w:hAnsi="Arial"/>
          <w:i/>
          <w:sz w:val="22"/>
        </w:rPr>
        <w:t>un gravamen del 30% a los siguientes productos provenientes y originarios de la República del Ecuador relacionados en las siguientes 23 partidas arancelarias, desagregadas en 73 subpartidas:</w:t>
      </w:r>
    </w:p>
    <w:p>
      <w:pPr>
        <w:pStyle w:val="BodyText"/>
        <w:rPr>
          <w:rFonts w:ascii="Arial"/>
          <w:i/>
          <w:sz w:val="20"/>
        </w:rPr>
      </w:pPr>
    </w:p>
    <w:p>
      <w:pPr>
        <w:pStyle w:val="BodyText"/>
        <w:rPr>
          <w:rFonts w:ascii="Arial"/>
          <w:i/>
          <w:sz w:val="20"/>
        </w:rPr>
      </w:pPr>
    </w:p>
    <w:p>
      <w:pPr>
        <w:pStyle w:val="BodyText"/>
        <w:spacing w:before="93"/>
        <w:rPr>
          <w:rFonts w:ascii="Arial"/>
          <w:i/>
          <w:sz w:val="20"/>
        </w:rPr>
      </w:pPr>
      <w:r>
        <w:rPr>
          <w:rFonts w:ascii="Arial"/>
          <w:i/>
          <w:sz w:val="20"/>
        </w:rPr>
        <mc:AlternateContent>
          <mc:Choice Requires="wps">
            <w:drawing>
              <wp:anchor distT="0" distB="0" distL="0" distR="0" allowOverlap="1" layoutInCell="1" locked="0" behindDoc="1" simplePos="0" relativeHeight="487634944">
                <wp:simplePos x="0" y="0"/>
                <wp:positionH relativeFrom="page">
                  <wp:posOffset>990904</wp:posOffset>
                </wp:positionH>
                <wp:positionV relativeFrom="paragraph">
                  <wp:posOffset>220811</wp:posOffset>
                </wp:positionV>
                <wp:extent cx="1829435" cy="7620"/>
                <wp:effectExtent l="0" t="0" r="0" b="0"/>
                <wp:wrapTopAndBottom/>
                <wp:docPr id="433" name="Graphic 433"/>
                <wp:cNvGraphicFramePr>
                  <a:graphicFrameLocks/>
                </wp:cNvGraphicFramePr>
                <a:graphic>
                  <a:graphicData uri="http://schemas.microsoft.com/office/word/2010/wordprocessingShape">
                    <wps:wsp>
                      <wps:cNvPr id="433" name="Graphic 433"/>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7.386705pt;width:144.020pt;height:.599980pt;mso-position-horizontal-relative:page;mso-position-vertical-relative:paragraph;z-index:-15681536;mso-wrap-distance-left:0;mso-wrap-distance-right:0" id="docshape305" filled="true" fillcolor="#000000" stroked="false">
                <v:fill type="solid"/>
                <w10:wrap type="topAndBottom"/>
              </v:rect>
            </w:pict>
          </mc:Fallback>
        </mc:AlternateContent>
      </w:r>
    </w:p>
    <w:p>
      <w:pPr>
        <w:spacing w:before="92"/>
        <w:ind w:left="851" w:right="955" w:hanging="284"/>
        <w:jc w:val="left"/>
        <w:rPr>
          <w:sz w:val="16"/>
        </w:rPr>
      </w:pPr>
      <w:bookmarkStart w:name="_bookmark88" w:id="89"/>
      <w:bookmarkEnd w:id="89"/>
      <w:r>
        <w:rPr/>
      </w:r>
      <w:r>
        <w:rPr>
          <w:sz w:val="16"/>
          <w:vertAlign w:val="superscript"/>
        </w:rPr>
        <w:t>21</w:t>
      </w:r>
      <w:r>
        <w:rPr>
          <w:spacing w:val="-15"/>
          <w:sz w:val="16"/>
          <w:vertAlign w:val="baseline"/>
        </w:rPr>
        <w:t> </w:t>
      </w:r>
      <w:r>
        <w:rPr>
          <w:sz w:val="16"/>
          <w:vertAlign w:val="baseline"/>
        </w:rPr>
        <w:t>Tribunal</w:t>
      </w:r>
      <w:r>
        <w:rPr>
          <w:spacing w:val="-9"/>
          <w:sz w:val="16"/>
          <w:vertAlign w:val="baseline"/>
        </w:rPr>
        <w:t> </w:t>
      </w:r>
      <w:r>
        <w:rPr>
          <w:sz w:val="16"/>
          <w:vertAlign w:val="baseline"/>
        </w:rPr>
        <w:t>de</w:t>
      </w:r>
      <w:r>
        <w:rPr>
          <w:spacing w:val="-11"/>
          <w:sz w:val="16"/>
          <w:vertAlign w:val="baseline"/>
        </w:rPr>
        <w:t> </w:t>
      </w:r>
      <w:r>
        <w:rPr>
          <w:sz w:val="16"/>
          <w:vertAlign w:val="baseline"/>
        </w:rPr>
        <w:t>Justicia</w:t>
      </w:r>
      <w:r>
        <w:rPr>
          <w:spacing w:val="-10"/>
          <w:sz w:val="16"/>
          <w:vertAlign w:val="baseline"/>
        </w:rPr>
        <w:t> </w:t>
      </w:r>
      <w:r>
        <w:rPr>
          <w:sz w:val="16"/>
          <w:vertAlign w:val="baseline"/>
        </w:rPr>
        <w:t>de</w:t>
      </w:r>
      <w:r>
        <w:rPr>
          <w:spacing w:val="-8"/>
          <w:sz w:val="16"/>
          <w:vertAlign w:val="baseline"/>
        </w:rPr>
        <w:t> </w:t>
      </w:r>
      <w:r>
        <w:rPr>
          <w:sz w:val="16"/>
          <w:vertAlign w:val="baseline"/>
        </w:rPr>
        <w:t>la</w:t>
      </w:r>
      <w:r>
        <w:rPr>
          <w:spacing w:val="-10"/>
          <w:sz w:val="16"/>
          <w:vertAlign w:val="baseline"/>
        </w:rPr>
        <w:t> </w:t>
      </w:r>
      <w:r>
        <w:rPr>
          <w:sz w:val="16"/>
          <w:vertAlign w:val="baseline"/>
        </w:rPr>
        <w:t>Comunidad</w:t>
      </w:r>
      <w:r>
        <w:rPr>
          <w:spacing w:val="-8"/>
          <w:sz w:val="16"/>
          <w:vertAlign w:val="baseline"/>
        </w:rPr>
        <w:t> </w:t>
      </w:r>
      <w:r>
        <w:rPr>
          <w:sz w:val="16"/>
          <w:vertAlign w:val="baseline"/>
        </w:rPr>
        <w:t>Andina.</w:t>
      </w:r>
      <w:r>
        <w:rPr>
          <w:spacing w:val="-11"/>
          <w:sz w:val="16"/>
          <w:vertAlign w:val="baseline"/>
        </w:rPr>
        <w:t> </w:t>
      </w:r>
      <w:r>
        <w:rPr>
          <w:sz w:val="16"/>
          <w:vertAlign w:val="baseline"/>
        </w:rPr>
        <w:t>Sentencia</w:t>
      </w:r>
      <w:r>
        <w:rPr>
          <w:spacing w:val="-8"/>
          <w:sz w:val="16"/>
          <w:vertAlign w:val="baseline"/>
        </w:rPr>
        <w:t> </w:t>
      </w:r>
      <w:r>
        <w:rPr>
          <w:sz w:val="16"/>
          <w:vertAlign w:val="baseline"/>
        </w:rPr>
        <w:t>de</w:t>
      </w:r>
      <w:r>
        <w:rPr>
          <w:spacing w:val="-11"/>
          <w:sz w:val="16"/>
          <w:vertAlign w:val="baseline"/>
        </w:rPr>
        <w:t> </w:t>
      </w:r>
      <w:r>
        <w:rPr>
          <w:sz w:val="16"/>
          <w:vertAlign w:val="baseline"/>
        </w:rPr>
        <w:t>21</w:t>
      </w:r>
      <w:r>
        <w:rPr>
          <w:spacing w:val="-8"/>
          <w:sz w:val="16"/>
          <w:vertAlign w:val="baseline"/>
        </w:rPr>
        <w:t> </w:t>
      </w:r>
      <w:r>
        <w:rPr>
          <w:sz w:val="16"/>
          <w:vertAlign w:val="baseline"/>
        </w:rPr>
        <w:t>de</w:t>
      </w:r>
      <w:r>
        <w:rPr>
          <w:spacing w:val="-11"/>
          <w:sz w:val="16"/>
          <w:vertAlign w:val="baseline"/>
        </w:rPr>
        <w:t> </w:t>
      </w:r>
      <w:r>
        <w:rPr>
          <w:sz w:val="16"/>
          <w:vertAlign w:val="baseline"/>
        </w:rPr>
        <w:t>julio</w:t>
      </w:r>
      <w:r>
        <w:rPr>
          <w:spacing w:val="-8"/>
          <w:sz w:val="16"/>
          <w:vertAlign w:val="baseline"/>
        </w:rPr>
        <w:t> </w:t>
      </w:r>
      <w:r>
        <w:rPr>
          <w:sz w:val="16"/>
          <w:vertAlign w:val="baseline"/>
        </w:rPr>
        <w:t>de</w:t>
      </w:r>
      <w:r>
        <w:rPr>
          <w:spacing w:val="-8"/>
          <w:sz w:val="16"/>
          <w:vertAlign w:val="baseline"/>
        </w:rPr>
        <w:t> </w:t>
      </w:r>
      <w:r>
        <w:rPr>
          <w:sz w:val="16"/>
          <w:vertAlign w:val="baseline"/>
        </w:rPr>
        <w:t>1999</w:t>
      </w:r>
      <w:r>
        <w:rPr>
          <w:spacing w:val="-8"/>
          <w:sz w:val="16"/>
          <w:vertAlign w:val="baseline"/>
        </w:rPr>
        <w:t> </w:t>
      </w:r>
      <w:r>
        <w:rPr>
          <w:sz w:val="16"/>
          <w:vertAlign w:val="baseline"/>
        </w:rPr>
        <w:t>del</w:t>
      </w:r>
      <w:r>
        <w:rPr>
          <w:spacing w:val="-12"/>
          <w:sz w:val="16"/>
          <w:vertAlign w:val="baseline"/>
        </w:rPr>
        <w:t> </w:t>
      </w:r>
      <w:r>
        <w:rPr>
          <w:sz w:val="16"/>
          <w:vertAlign w:val="baseline"/>
        </w:rPr>
        <w:t>Proceso</w:t>
      </w:r>
      <w:r>
        <w:rPr>
          <w:spacing w:val="-7"/>
          <w:sz w:val="16"/>
          <w:vertAlign w:val="baseline"/>
        </w:rPr>
        <w:t> </w:t>
      </w:r>
      <w:r>
        <w:rPr>
          <w:sz w:val="16"/>
          <w:vertAlign w:val="baseline"/>
        </w:rPr>
        <w:t>No.</w:t>
      </w:r>
      <w:r>
        <w:rPr>
          <w:spacing w:val="-9"/>
          <w:sz w:val="16"/>
          <w:vertAlign w:val="baseline"/>
        </w:rPr>
        <w:t> </w:t>
      </w:r>
      <w:r>
        <w:rPr>
          <w:sz w:val="16"/>
          <w:vertAlign w:val="baseline"/>
        </w:rPr>
        <w:t>7-AI-98.</w:t>
      </w:r>
      <w:r>
        <w:rPr>
          <w:spacing w:val="-9"/>
          <w:sz w:val="16"/>
          <w:vertAlign w:val="baseline"/>
        </w:rPr>
        <w:t> </w:t>
      </w:r>
      <w:r>
        <w:rPr>
          <w:sz w:val="16"/>
          <w:vertAlign w:val="baseline"/>
        </w:rPr>
        <w:t>Publicada</w:t>
      </w:r>
      <w:r>
        <w:rPr>
          <w:spacing w:val="-8"/>
          <w:sz w:val="16"/>
          <w:vertAlign w:val="baseline"/>
        </w:rPr>
        <w:t> </w:t>
      </w:r>
      <w:r>
        <w:rPr>
          <w:sz w:val="16"/>
          <w:vertAlign w:val="baseline"/>
        </w:rPr>
        <w:t>en</w:t>
      </w:r>
      <w:r>
        <w:rPr>
          <w:spacing w:val="-11"/>
          <w:sz w:val="16"/>
          <w:vertAlign w:val="baseline"/>
        </w:rPr>
        <w:t> </w:t>
      </w:r>
      <w:r>
        <w:rPr>
          <w:sz w:val="16"/>
          <w:vertAlign w:val="baseline"/>
        </w:rPr>
        <w:t>la</w:t>
      </w:r>
      <w:r>
        <w:rPr>
          <w:spacing w:val="-8"/>
          <w:sz w:val="16"/>
          <w:vertAlign w:val="baseline"/>
        </w:rPr>
        <w:t> </w:t>
      </w:r>
      <w:r>
        <w:rPr>
          <w:sz w:val="16"/>
          <w:vertAlign w:val="baseline"/>
        </w:rPr>
        <w:t>Gaceta Oficial del Acuerdo de Cartagena. Nº 490 del 04 de octubre de 1999.</w:t>
      </w:r>
    </w:p>
    <w:p>
      <w:pPr>
        <w:spacing w:line="183" w:lineRule="exact" w:before="0"/>
        <w:ind w:left="568" w:right="0" w:firstLine="0"/>
        <w:jc w:val="left"/>
        <w:rPr>
          <w:sz w:val="16"/>
        </w:rPr>
      </w:pPr>
      <w:bookmarkStart w:name="_bookmark89" w:id="90"/>
      <w:bookmarkEnd w:id="90"/>
      <w:r>
        <w:rPr/>
      </w:r>
      <w:r>
        <w:rPr>
          <w:sz w:val="16"/>
          <w:vertAlign w:val="superscript"/>
        </w:rPr>
        <w:t>22</w:t>
      </w:r>
      <w:r>
        <w:rPr>
          <w:spacing w:val="-8"/>
          <w:sz w:val="16"/>
          <w:vertAlign w:val="baseline"/>
        </w:rPr>
        <w:t> </w:t>
      </w:r>
      <w:r>
        <w:rPr>
          <w:sz w:val="16"/>
          <w:vertAlign w:val="baseline"/>
        </w:rPr>
        <w:t>Expediente</w:t>
      </w:r>
      <w:r>
        <w:rPr>
          <w:spacing w:val="-9"/>
          <w:sz w:val="16"/>
          <w:vertAlign w:val="baseline"/>
        </w:rPr>
        <w:t> </w:t>
      </w:r>
      <w:r>
        <w:rPr>
          <w:sz w:val="16"/>
          <w:vertAlign w:val="baseline"/>
        </w:rPr>
        <w:t>SG/DGCOM/RES-GRAV/002,</w:t>
      </w:r>
      <w:r>
        <w:rPr>
          <w:spacing w:val="-8"/>
          <w:sz w:val="16"/>
          <w:vertAlign w:val="baseline"/>
        </w:rPr>
        <w:t> </w:t>
      </w:r>
      <w:r>
        <w:rPr>
          <w:sz w:val="16"/>
          <w:vertAlign w:val="baseline"/>
        </w:rPr>
        <w:t>folio</w:t>
      </w:r>
      <w:r>
        <w:rPr>
          <w:spacing w:val="-7"/>
          <w:sz w:val="16"/>
          <w:vertAlign w:val="baseline"/>
        </w:rPr>
        <w:t> </w:t>
      </w:r>
      <w:r>
        <w:rPr>
          <w:spacing w:val="-2"/>
          <w:sz w:val="16"/>
          <w:vertAlign w:val="baseline"/>
        </w:rPr>
        <w:t>000088.</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34" name="Group 434"/>
                <wp:cNvGraphicFramePr>
                  <a:graphicFrameLocks/>
                </wp:cNvGraphicFramePr>
                <a:graphic>
                  <a:graphicData uri="http://schemas.microsoft.com/office/word/2010/wordprocessingGroup">
                    <wpg:wgp>
                      <wpg:cNvPr id="434" name="Group 434"/>
                      <wpg:cNvGrpSpPr/>
                      <wpg:grpSpPr>
                        <a:xfrm>
                          <a:off x="0" y="0"/>
                          <a:ext cx="6131560" cy="9525"/>
                          <a:chExt cx="6131560" cy="9525"/>
                        </a:xfrm>
                      </wpg:grpSpPr>
                      <wps:wsp>
                        <wps:cNvPr id="435" name="Graphic 435"/>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06"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780" w:left="992" w:right="283"/>
        </w:sectPr>
      </w:pPr>
    </w:p>
    <w:p>
      <w:pPr>
        <w:pStyle w:val="BodyText"/>
        <w:spacing w:before="176"/>
      </w:pPr>
    </w:p>
    <w:p>
      <w:pPr>
        <w:spacing w:before="0"/>
        <w:ind w:left="1288" w:right="979" w:firstLine="0"/>
        <w:jc w:val="both"/>
        <w:rPr>
          <w:rFonts w:ascii="Arial" w:hAnsi="Arial"/>
          <w:i/>
          <w:sz w:val="22"/>
        </w:rPr>
      </w:pPr>
      <w:r>
        <w:rPr>
          <w:rFonts w:ascii="Arial" w:hAnsi="Arial"/>
          <w:i/>
          <w:sz w:val="22"/>
        </w:rPr>
        <w:t>Artículo 2°. Restricción al ingreso de mercancías proveniente de Ecuador por las Direcciones Seccionales de Impuestos y Aduanas de Ipiales y de Puerto Asís. Las mercancías</w:t>
      </w:r>
      <w:r>
        <w:rPr>
          <w:rFonts w:ascii="Arial" w:hAnsi="Arial"/>
          <w:i/>
          <w:spacing w:val="-7"/>
          <w:sz w:val="22"/>
        </w:rPr>
        <w:t> </w:t>
      </w:r>
      <w:r>
        <w:rPr>
          <w:rFonts w:ascii="Arial" w:hAnsi="Arial"/>
          <w:i/>
          <w:sz w:val="22"/>
        </w:rPr>
        <w:t>clasificables</w:t>
      </w:r>
      <w:r>
        <w:rPr>
          <w:rFonts w:ascii="Arial" w:hAnsi="Arial"/>
          <w:i/>
          <w:spacing w:val="-10"/>
          <w:sz w:val="22"/>
        </w:rPr>
        <w:t> </w:t>
      </w:r>
      <w:r>
        <w:rPr>
          <w:rFonts w:ascii="Arial" w:hAnsi="Arial"/>
          <w:i/>
          <w:sz w:val="22"/>
        </w:rPr>
        <w:t>en</w:t>
      </w:r>
      <w:r>
        <w:rPr>
          <w:rFonts w:ascii="Arial" w:hAnsi="Arial"/>
          <w:i/>
          <w:spacing w:val="-8"/>
          <w:sz w:val="22"/>
        </w:rPr>
        <w:t> </w:t>
      </w:r>
      <w:r>
        <w:rPr>
          <w:rFonts w:ascii="Arial" w:hAnsi="Arial"/>
          <w:i/>
          <w:sz w:val="22"/>
        </w:rPr>
        <w:t>las</w:t>
      </w:r>
      <w:r>
        <w:rPr>
          <w:rFonts w:ascii="Arial" w:hAnsi="Arial"/>
          <w:i/>
          <w:spacing w:val="-7"/>
          <w:sz w:val="22"/>
        </w:rPr>
        <w:t> </w:t>
      </w:r>
      <w:r>
        <w:rPr>
          <w:rFonts w:ascii="Arial" w:hAnsi="Arial"/>
          <w:i/>
          <w:sz w:val="22"/>
        </w:rPr>
        <w:t>siguientes</w:t>
      </w:r>
      <w:r>
        <w:rPr>
          <w:rFonts w:ascii="Arial" w:hAnsi="Arial"/>
          <w:i/>
          <w:spacing w:val="-7"/>
          <w:sz w:val="22"/>
        </w:rPr>
        <w:t> </w:t>
      </w:r>
      <w:r>
        <w:rPr>
          <w:rFonts w:ascii="Arial" w:hAnsi="Arial"/>
          <w:i/>
          <w:sz w:val="22"/>
        </w:rPr>
        <w:t>subpartidas</w:t>
      </w:r>
      <w:r>
        <w:rPr>
          <w:rFonts w:ascii="Arial" w:hAnsi="Arial"/>
          <w:i/>
          <w:spacing w:val="-7"/>
          <w:sz w:val="22"/>
        </w:rPr>
        <w:t> </w:t>
      </w:r>
      <w:r>
        <w:rPr>
          <w:rFonts w:ascii="Arial" w:hAnsi="Arial"/>
          <w:i/>
          <w:sz w:val="22"/>
        </w:rPr>
        <w:t>no</w:t>
      </w:r>
      <w:r>
        <w:rPr>
          <w:rFonts w:ascii="Arial" w:hAnsi="Arial"/>
          <w:i/>
          <w:spacing w:val="-8"/>
          <w:sz w:val="22"/>
        </w:rPr>
        <w:t> </w:t>
      </w:r>
      <w:r>
        <w:rPr>
          <w:rFonts w:ascii="Arial" w:hAnsi="Arial"/>
          <w:i/>
          <w:sz w:val="22"/>
        </w:rPr>
        <w:t>podrán</w:t>
      </w:r>
      <w:r>
        <w:rPr>
          <w:rFonts w:ascii="Arial" w:hAnsi="Arial"/>
          <w:i/>
          <w:spacing w:val="-7"/>
          <w:sz w:val="22"/>
        </w:rPr>
        <w:t> </w:t>
      </w:r>
      <w:r>
        <w:rPr>
          <w:rFonts w:ascii="Arial" w:hAnsi="Arial"/>
          <w:i/>
          <w:sz w:val="22"/>
        </w:rPr>
        <w:t>ingresar</w:t>
      </w:r>
      <w:r>
        <w:rPr>
          <w:rFonts w:ascii="Arial" w:hAnsi="Arial"/>
          <w:i/>
          <w:spacing w:val="-11"/>
          <w:sz w:val="22"/>
        </w:rPr>
        <w:t> </w:t>
      </w:r>
      <w:r>
        <w:rPr>
          <w:rFonts w:ascii="Arial" w:hAnsi="Arial"/>
          <w:i/>
          <w:sz w:val="22"/>
        </w:rPr>
        <w:t>bajo</w:t>
      </w:r>
      <w:r>
        <w:rPr>
          <w:rFonts w:ascii="Arial" w:hAnsi="Arial"/>
          <w:i/>
          <w:spacing w:val="-7"/>
          <w:sz w:val="22"/>
        </w:rPr>
        <w:t> </w:t>
      </w:r>
      <w:r>
        <w:rPr>
          <w:rFonts w:ascii="Arial" w:hAnsi="Arial"/>
          <w:i/>
          <w:sz w:val="22"/>
        </w:rPr>
        <w:t>ningún régimen aduanero por los cruces de frontera terrestres de las jurisdicciones de las Direcciones Seccionales de Impuestos y Aduanas de Ipiales y de Puerto Asís.</w:t>
      </w:r>
    </w:p>
    <w:p>
      <w:pPr>
        <w:pStyle w:val="BodyText"/>
        <w:spacing w:before="1"/>
        <w:rPr>
          <w:rFonts w:ascii="Arial"/>
          <w:i/>
        </w:rPr>
      </w:pPr>
    </w:p>
    <w:p>
      <w:pPr>
        <w:spacing w:before="1"/>
        <w:ind w:left="1288" w:right="980" w:firstLine="0"/>
        <w:jc w:val="both"/>
        <w:rPr>
          <w:rFonts w:ascii="Arial" w:hAnsi="Arial"/>
          <w:i/>
          <w:sz w:val="22"/>
        </w:rPr>
      </w:pPr>
      <w:r>
        <w:rPr>
          <w:rFonts w:ascii="Arial" w:hAnsi="Arial"/>
          <w:i/>
          <w:sz w:val="22"/>
        </w:rPr>
        <w:t>Artículo 3°. Restricción al ingreso de mercancías utilizadas en la producción de Fentanilo. Las mercancías usadas en la producción de fentanilo clasificables en las siguientes</w:t>
      </w:r>
      <w:r>
        <w:rPr>
          <w:rFonts w:ascii="Arial" w:hAnsi="Arial"/>
          <w:i/>
          <w:spacing w:val="-12"/>
          <w:sz w:val="22"/>
        </w:rPr>
        <w:t> </w:t>
      </w:r>
      <w:r>
        <w:rPr>
          <w:rFonts w:ascii="Arial" w:hAnsi="Arial"/>
          <w:i/>
          <w:sz w:val="22"/>
        </w:rPr>
        <w:t>partidas</w:t>
      </w:r>
      <w:r>
        <w:rPr>
          <w:rFonts w:ascii="Arial" w:hAnsi="Arial"/>
          <w:i/>
          <w:spacing w:val="-11"/>
          <w:sz w:val="22"/>
        </w:rPr>
        <w:t> </w:t>
      </w:r>
      <w:r>
        <w:rPr>
          <w:rFonts w:ascii="Arial" w:hAnsi="Arial"/>
          <w:i/>
          <w:sz w:val="22"/>
        </w:rPr>
        <w:t>arancelarias</w:t>
      </w:r>
      <w:r>
        <w:rPr>
          <w:rFonts w:ascii="Arial" w:hAnsi="Arial"/>
          <w:i/>
          <w:spacing w:val="-11"/>
          <w:sz w:val="22"/>
        </w:rPr>
        <w:t> </w:t>
      </w:r>
      <w:r>
        <w:rPr>
          <w:rFonts w:ascii="Arial" w:hAnsi="Arial"/>
          <w:i/>
          <w:sz w:val="22"/>
        </w:rPr>
        <w:t>no</w:t>
      </w:r>
      <w:r>
        <w:rPr>
          <w:rFonts w:ascii="Arial" w:hAnsi="Arial"/>
          <w:i/>
          <w:spacing w:val="-12"/>
          <w:sz w:val="22"/>
        </w:rPr>
        <w:t> </w:t>
      </w:r>
      <w:r>
        <w:rPr>
          <w:rFonts w:ascii="Arial" w:hAnsi="Arial"/>
          <w:i/>
          <w:sz w:val="22"/>
        </w:rPr>
        <w:t>podrán</w:t>
      </w:r>
      <w:r>
        <w:rPr>
          <w:rFonts w:ascii="Arial" w:hAnsi="Arial"/>
          <w:i/>
          <w:spacing w:val="-12"/>
          <w:sz w:val="22"/>
        </w:rPr>
        <w:t> </w:t>
      </w:r>
      <w:r>
        <w:rPr>
          <w:rFonts w:ascii="Arial" w:hAnsi="Arial"/>
          <w:i/>
          <w:sz w:val="22"/>
        </w:rPr>
        <w:t>ingresar</w:t>
      </w:r>
      <w:r>
        <w:rPr>
          <w:rFonts w:ascii="Arial" w:hAnsi="Arial"/>
          <w:i/>
          <w:spacing w:val="-11"/>
          <w:sz w:val="22"/>
        </w:rPr>
        <w:t> </w:t>
      </w:r>
      <w:r>
        <w:rPr>
          <w:rFonts w:ascii="Arial" w:hAnsi="Arial"/>
          <w:i/>
          <w:sz w:val="22"/>
        </w:rPr>
        <w:t>bajo</w:t>
      </w:r>
      <w:r>
        <w:rPr>
          <w:rFonts w:ascii="Arial" w:hAnsi="Arial"/>
          <w:i/>
          <w:spacing w:val="-12"/>
          <w:sz w:val="22"/>
        </w:rPr>
        <w:t> </w:t>
      </w:r>
      <w:r>
        <w:rPr>
          <w:rFonts w:ascii="Arial" w:hAnsi="Arial"/>
          <w:i/>
          <w:sz w:val="22"/>
        </w:rPr>
        <w:t>ningún</w:t>
      </w:r>
      <w:r>
        <w:rPr>
          <w:rFonts w:ascii="Arial" w:hAnsi="Arial"/>
          <w:i/>
          <w:spacing w:val="-14"/>
          <w:sz w:val="22"/>
        </w:rPr>
        <w:t> </w:t>
      </w:r>
      <w:r>
        <w:rPr>
          <w:rFonts w:ascii="Arial" w:hAnsi="Arial"/>
          <w:i/>
          <w:sz w:val="22"/>
        </w:rPr>
        <w:t>régimen</w:t>
      </w:r>
      <w:r>
        <w:rPr>
          <w:rFonts w:ascii="Arial" w:hAnsi="Arial"/>
          <w:i/>
          <w:spacing w:val="-12"/>
          <w:sz w:val="22"/>
        </w:rPr>
        <w:t> </w:t>
      </w:r>
      <w:r>
        <w:rPr>
          <w:rFonts w:ascii="Arial" w:hAnsi="Arial"/>
          <w:i/>
          <w:sz w:val="22"/>
        </w:rPr>
        <w:t>aduanero</w:t>
      </w:r>
      <w:r>
        <w:rPr>
          <w:rFonts w:ascii="Arial" w:hAnsi="Arial"/>
          <w:i/>
          <w:spacing w:val="-11"/>
          <w:sz w:val="22"/>
        </w:rPr>
        <w:t> </w:t>
      </w:r>
      <w:r>
        <w:rPr>
          <w:rFonts w:ascii="Arial" w:hAnsi="Arial"/>
          <w:i/>
          <w:sz w:val="22"/>
        </w:rPr>
        <w:t>por los cruces de frontera terrestres de las jurisdicciones de las Direcciones Seccionales de Impuestos y Aduanas de Ipiales y de Puerto Asís.</w:t>
      </w:r>
    </w:p>
    <w:p>
      <w:pPr>
        <w:spacing w:before="252"/>
        <w:ind w:left="1288" w:right="980" w:firstLine="0"/>
        <w:jc w:val="both"/>
        <w:rPr>
          <w:rFonts w:ascii="Arial" w:hAnsi="Arial"/>
          <w:i/>
          <w:sz w:val="22"/>
        </w:rPr>
      </w:pPr>
      <w:r>
        <w:rPr>
          <w:rFonts w:ascii="Arial" w:hAnsi="Arial"/>
          <w:i/>
          <w:sz w:val="22"/>
        </w:rPr>
        <w:t>Artículo 4°. Incumplimiento de la restricción de ingreso. El incumplimiento de las medidas previstas en los artículos 1°, 2° y 3° del presente decreto dará lugar a la aprehensión de las mercancías y del medio de transporte en que estén siendo transportadas de acuerdo con lo previsto en el numeral 1 del artículo 69 del Decreto Ley 920 de 2023 o aquel que lo modifique, adicione o sustituya, y a la aplicación de las</w:t>
      </w:r>
      <w:r>
        <w:rPr>
          <w:rFonts w:ascii="Arial" w:hAnsi="Arial"/>
          <w:i/>
          <w:spacing w:val="-13"/>
          <w:sz w:val="22"/>
        </w:rPr>
        <w:t> </w:t>
      </w:r>
      <w:r>
        <w:rPr>
          <w:rFonts w:ascii="Arial" w:hAnsi="Arial"/>
          <w:i/>
          <w:sz w:val="22"/>
        </w:rPr>
        <w:t>sanciones</w:t>
      </w:r>
      <w:r>
        <w:rPr>
          <w:rFonts w:ascii="Arial" w:hAnsi="Arial"/>
          <w:i/>
          <w:spacing w:val="-15"/>
          <w:sz w:val="22"/>
        </w:rPr>
        <w:t> </w:t>
      </w:r>
      <w:r>
        <w:rPr>
          <w:rFonts w:ascii="Arial" w:hAnsi="Arial"/>
          <w:i/>
          <w:sz w:val="22"/>
        </w:rPr>
        <w:t>a</w:t>
      </w:r>
      <w:r>
        <w:rPr>
          <w:rFonts w:ascii="Arial" w:hAnsi="Arial"/>
          <w:i/>
          <w:spacing w:val="-15"/>
          <w:sz w:val="22"/>
        </w:rPr>
        <w:t> </w:t>
      </w:r>
      <w:r>
        <w:rPr>
          <w:rFonts w:ascii="Arial" w:hAnsi="Arial"/>
          <w:i/>
          <w:sz w:val="22"/>
        </w:rPr>
        <w:t>las</w:t>
      </w:r>
      <w:r>
        <w:rPr>
          <w:rFonts w:ascii="Arial" w:hAnsi="Arial"/>
          <w:i/>
          <w:spacing w:val="-12"/>
          <w:sz w:val="22"/>
        </w:rPr>
        <w:t> </w:t>
      </w:r>
      <w:r>
        <w:rPr>
          <w:rFonts w:ascii="Arial" w:hAnsi="Arial"/>
          <w:i/>
          <w:sz w:val="22"/>
        </w:rPr>
        <w:t>que</w:t>
      </w:r>
      <w:r>
        <w:rPr>
          <w:rFonts w:ascii="Arial" w:hAnsi="Arial"/>
          <w:i/>
          <w:spacing w:val="-15"/>
          <w:sz w:val="22"/>
        </w:rPr>
        <w:t> </w:t>
      </w:r>
      <w:r>
        <w:rPr>
          <w:rFonts w:ascii="Arial" w:hAnsi="Arial"/>
          <w:i/>
          <w:sz w:val="22"/>
        </w:rPr>
        <w:t>haya</w:t>
      </w:r>
      <w:r>
        <w:rPr>
          <w:rFonts w:ascii="Arial" w:hAnsi="Arial"/>
          <w:i/>
          <w:spacing w:val="-13"/>
          <w:sz w:val="22"/>
        </w:rPr>
        <w:t> </w:t>
      </w:r>
      <w:r>
        <w:rPr>
          <w:rFonts w:ascii="Arial" w:hAnsi="Arial"/>
          <w:i/>
          <w:sz w:val="22"/>
        </w:rPr>
        <w:t>a</w:t>
      </w:r>
      <w:r>
        <w:rPr>
          <w:rFonts w:ascii="Arial" w:hAnsi="Arial"/>
          <w:i/>
          <w:spacing w:val="-15"/>
          <w:sz w:val="22"/>
        </w:rPr>
        <w:t> </w:t>
      </w:r>
      <w:r>
        <w:rPr>
          <w:rFonts w:ascii="Arial" w:hAnsi="Arial"/>
          <w:i/>
          <w:sz w:val="22"/>
        </w:rPr>
        <w:t>lugar,</w:t>
      </w:r>
      <w:r>
        <w:rPr>
          <w:rFonts w:ascii="Arial" w:hAnsi="Arial"/>
          <w:i/>
          <w:spacing w:val="-13"/>
          <w:sz w:val="22"/>
        </w:rPr>
        <w:t> </w:t>
      </w:r>
      <w:r>
        <w:rPr>
          <w:rFonts w:ascii="Arial" w:hAnsi="Arial"/>
          <w:i/>
          <w:sz w:val="22"/>
        </w:rPr>
        <w:t>sin</w:t>
      </w:r>
      <w:r>
        <w:rPr>
          <w:rFonts w:ascii="Arial" w:hAnsi="Arial"/>
          <w:i/>
          <w:spacing w:val="-12"/>
          <w:sz w:val="22"/>
        </w:rPr>
        <w:t> </w:t>
      </w:r>
      <w:r>
        <w:rPr>
          <w:rFonts w:ascii="Arial" w:hAnsi="Arial"/>
          <w:i/>
          <w:sz w:val="22"/>
        </w:rPr>
        <w:t>posibilidad</w:t>
      </w:r>
      <w:r>
        <w:rPr>
          <w:rFonts w:ascii="Arial" w:hAnsi="Arial"/>
          <w:i/>
          <w:spacing w:val="-12"/>
          <w:sz w:val="22"/>
        </w:rPr>
        <w:t> </w:t>
      </w:r>
      <w:r>
        <w:rPr>
          <w:rFonts w:ascii="Arial" w:hAnsi="Arial"/>
          <w:i/>
          <w:sz w:val="22"/>
        </w:rPr>
        <w:t>de</w:t>
      </w:r>
      <w:r>
        <w:rPr>
          <w:rFonts w:ascii="Arial" w:hAnsi="Arial"/>
          <w:i/>
          <w:spacing w:val="-15"/>
          <w:sz w:val="22"/>
        </w:rPr>
        <w:t> </w:t>
      </w:r>
      <w:r>
        <w:rPr>
          <w:rFonts w:ascii="Arial" w:hAnsi="Arial"/>
          <w:i/>
          <w:sz w:val="22"/>
        </w:rPr>
        <w:t>subsanar</w:t>
      </w:r>
      <w:r>
        <w:rPr>
          <w:rFonts w:ascii="Arial" w:hAnsi="Arial"/>
          <w:i/>
          <w:spacing w:val="-13"/>
          <w:sz w:val="22"/>
        </w:rPr>
        <w:t> </w:t>
      </w:r>
      <w:r>
        <w:rPr>
          <w:rFonts w:ascii="Arial" w:hAnsi="Arial"/>
          <w:i/>
          <w:sz w:val="22"/>
        </w:rPr>
        <w:t>mediante</w:t>
      </w:r>
      <w:r>
        <w:rPr>
          <w:rFonts w:ascii="Arial" w:hAnsi="Arial"/>
          <w:i/>
          <w:spacing w:val="-16"/>
          <w:sz w:val="22"/>
        </w:rPr>
        <w:t> </w:t>
      </w:r>
      <w:r>
        <w:rPr>
          <w:rFonts w:ascii="Arial" w:hAnsi="Arial"/>
          <w:i/>
          <w:sz w:val="22"/>
        </w:rPr>
        <w:t>declaración de legalización o de reembarcar.</w:t>
      </w:r>
    </w:p>
    <w:p>
      <w:pPr>
        <w:spacing w:before="252"/>
        <w:ind w:left="1288" w:right="979" w:firstLine="0"/>
        <w:jc w:val="both"/>
        <w:rPr>
          <w:sz w:val="22"/>
        </w:rPr>
      </w:pPr>
      <w:r>
        <w:rPr>
          <w:rFonts w:ascii="Arial" w:hAnsi="Arial"/>
          <w:i/>
          <w:sz w:val="22"/>
        </w:rPr>
        <w:t>Artículo</w:t>
      </w:r>
      <w:r>
        <w:rPr>
          <w:rFonts w:ascii="Arial" w:hAnsi="Arial"/>
          <w:i/>
          <w:spacing w:val="-2"/>
          <w:sz w:val="22"/>
        </w:rPr>
        <w:t> </w:t>
      </w:r>
      <w:r>
        <w:rPr>
          <w:rFonts w:ascii="Arial" w:hAnsi="Arial"/>
          <w:i/>
          <w:sz w:val="22"/>
        </w:rPr>
        <w:t>5°. Vigencia.</w:t>
      </w:r>
      <w:r>
        <w:rPr>
          <w:rFonts w:ascii="Arial" w:hAnsi="Arial"/>
          <w:i/>
          <w:spacing w:val="-3"/>
          <w:sz w:val="22"/>
        </w:rPr>
        <w:t> </w:t>
      </w:r>
      <w:r>
        <w:rPr>
          <w:rFonts w:ascii="Arial" w:hAnsi="Arial"/>
          <w:i/>
          <w:sz w:val="22"/>
        </w:rPr>
        <w:t>El</w:t>
      </w:r>
      <w:r>
        <w:rPr>
          <w:rFonts w:ascii="Arial" w:hAnsi="Arial"/>
          <w:i/>
          <w:spacing w:val="-5"/>
          <w:sz w:val="22"/>
        </w:rPr>
        <w:t> </w:t>
      </w:r>
      <w:r>
        <w:rPr>
          <w:rFonts w:ascii="Arial" w:hAnsi="Arial"/>
          <w:i/>
          <w:sz w:val="22"/>
        </w:rPr>
        <w:t>presente</w:t>
      </w:r>
      <w:r>
        <w:rPr>
          <w:rFonts w:ascii="Arial" w:hAnsi="Arial"/>
          <w:i/>
          <w:spacing w:val="-4"/>
          <w:sz w:val="22"/>
        </w:rPr>
        <w:t> </w:t>
      </w:r>
      <w:r>
        <w:rPr>
          <w:rFonts w:ascii="Arial" w:hAnsi="Arial"/>
          <w:i/>
          <w:sz w:val="22"/>
        </w:rPr>
        <w:t>decreto</w:t>
      </w:r>
      <w:r>
        <w:rPr>
          <w:rFonts w:ascii="Arial" w:hAnsi="Arial"/>
          <w:i/>
          <w:spacing w:val="-4"/>
          <w:sz w:val="22"/>
        </w:rPr>
        <w:t> </w:t>
      </w:r>
      <w:r>
        <w:rPr>
          <w:rFonts w:ascii="Arial" w:hAnsi="Arial"/>
          <w:i/>
          <w:sz w:val="22"/>
        </w:rPr>
        <w:t>entrará</w:t>
      </w:r>
      <w:r>
        <w:rPr>
          <w:rFonts w:ascii="Arial" w:hAnsi="Arial"/>
          <w:i/>
          <w:spacing w:val="-4"/>
          <w:sz w:val="22"/>
        </w:rPr>
        <w:t> </w:t>
      </w:r>
      <w:r>
        <w:rPr>
          <w:rFonts w:ascii="Arial" w:hAnsi="Arial"/>
          <w:i/>
          <w:sz w:val="22"/>
        </w:rPr>
        <w:t>en</w:t>
      </w:r>
      <w:r>
        <w:rPr>
          <w:rFonts w:ascii="Arial" w:hAnsi="Arial"/>
          <w:i/>
          <w:spacing w:val="-2"/>
          <w:sz w:val="22"/>
        </w:rPr>
        <w:t> </w:t>
      </w:r>
      <w:r>
        <w:rPr>
          <w:rFonts w:ascii="Arial" w:hAnsi="Arial"/>
          <w:i/>
          <w:sz w:val="22"/>
        </w:rPr>
        <w:t>vigencia</w:t>
      </w:r>
      <w:r>
        <w:rPr>
          <w:rFonts w:ascii="Arial" w:hAnsi="Arial"/>
          <w:i/>
          <w:spacing w:val="-4"/>
          <w:sz w:val="22"/>
        </w:rPr>
        <w:t> </w:t>
      </w:r>
      <w:r>
        <w:rPr>
          <w:rFonts w:ascii="Arial" w:hAnsi="Arial"/>
          <w:i/>
          <w:sz w:val="22"/>
        </w:rPr>
        <w:t>a</w:t>
      </w:r>
      <w:r>
        <w:rPr>
          <w:rFonts w:ascii="Arial" w:hAnsi="Arial"/>
          <w:i/>
          <w:spacing w:val="-2"/>
          <w:sz w:val="22"/>
        </w:rPr>
        <w:t> </w:t>
      </w:r>
      <w:r>
        <w:rPr>
          <w:rFonts w:ascii="Arial" w:hAnsi="Arial"/>
          <w:i/>
          <w:sz w:val="22"/>
        </w:rPr>
        <w:t>partir</w:t>
      </w:r>
      <w:r>
        <w:rPr>
          <w:rFonts w:ascii="Arial" w:hAnsi="Arial"/>
          <w:i/>
          <w:spacing w:val="-3"/>
          <w:sz w:val="22"/>
        </w:rPr>
        <w:t> </w:t>
      </w:r>
      <w:r>
        <w:rPr>
          <w:rFonts w:ascii="Arial" w:hAnsi="Arial"/>
          <w:i/>
          <w:sz w:val="22"/>
        </w:rPr>
        <w:t>del</w:t>
      </w:r>
      <w:r>
        <w:rPr>
          <w:rFonts w:ascii="Arial" w:hAnsi="Arial"/>
          <w:i/>
          <w:spacing w:val="-5"/>
          <w:sz w:val="22"/>
        </w:rPr>
        <w:t> </w:t>
      </w:r>
      <w:r>
        <w:rPr>
          <w:rFonts w:ascii="Arial" w:hAnsi="Arial"/>
          <w:i/>
          <w:sz w:val="22"/>
        </w:rPr>
        <w:t>día</w:t>
      </w:r>
      <w:r>
        <w:rPr>
          <w:rFonts w:ascii="Arial" w:hAnsi="Arial"/>
          <w:i/>
          <w:spacing w:val="-1"/>
          <w:sz w:val="22"/>
        </w:rPr>
        <w:t> </w:t>
      </w:r>
      <w:r>
        <w:rPr>
          <w:rFonts w:ascii="Arial" w:hAnsi="Arial"/>
          <w:i/>
          <w:sz w:val="22"/>
        </w:rPr>
        <w:t>siguiente a su publicación en el Diario Oficial</w:t>
      </w:r>
      <w:r>
        <w:rPr>
          <w:sz w:val="22"/>
        </w:rPr>
        <w:t>”.</w:t>
      </w:r>
    </w:p>
    <w:p>
      <w:pPr>
        <w:pStyle w:val="BodyText"/>
        <w:spacing w:before="2"/>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Respecto al ámbito de aplicación del Decreto 0170, el artículo 1 señala que el arancel del 30% comprende a 23 partidas arancelarias, desagregadas en setenta y tres (73) subpartidas. Información que se detalla en la Tabla No. 1.</w:t>
      </w:r>
    </w:p>
    <w:p>
      <w:pPr>
        <w:pStyle w:val="ListParagraph"/>
        <w:numPr>
          <w:ilvl w:val="0"/>
          <w:numId w:val="50"/>
        </w:numPr>
        <w:tabs>
          <w:tab w:pos="1130" w:val="left" w:leader="none"/>
          <w:tab w:pos="1134" w:val="left" w:leader="none"/>
        </w:tabs>
        <w:spacing w:line="240" w:lineRule="auto" w:before="252" w:after="0"/>
        <w:ind w:left="1134" w:right="981" w:hanging="567"/>
        <w:jc w:val="both"/>
        <w:rPr>
          <w:sz w:val="22"/>
        </w:rPr>
      </w:pPr>
      <w:r>
        <w:rPr>
          <w:sz w:val="22"/>
        </w:rPr>
        <w:t>Por su parte, el artículo 2 se refiere a la “</w:t>
      </w:r>
      <w:r>
        <w:rPr>
          <w:rFonts w:ascii="Arial" w:hAnsi="Arial"/>
          <w:i/>
          <w:sz w:val="22"/>
        </w:rPr>
        <w:t>Restricción al ingreso de mercancías proveniente de Ecuador por las Direcciones Seccionales de Impuestos y Aduanas de Ipiales y de Puerto Asís</w:t>
      </w:r>
      <w:r>
        <w:rPr>
          <w:sz w:val="22"/>
        </w:rPr>
        <w:t>”, abarcando a treinta (30) subpartidas arancelarias.</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El</w:t>
      </w:r>
      <w:r>
        <w:rPr>
          <w:spacing w:val="-2"/>
          <w:sz w:val="22"/>
        </w:rPr>
        <w:t> </w:t>
      </w:r>
      <w:r>
        <w:rPr>
          <w:sz w:val="22"/>
        </w:rPr>
        <w:t>artículo</w:t>
      </w:r>
      <w:r>
        <w:rPr>
          <w:spacing w:val="-2"/>
          <w:sz w:val="22"/>
        </w:rPr>
        <w:t> </w:t>
      </w:r>
      <w:r>
        <w:rPr>
          <w:sz w:val="22"/>
        </w:rPr>
        <w:t>3</w:t>
      </w:r>
      <w:r>
        <w:rPr>
          <w:spacing w:val="-1"/>
          <w:sz w:val="22"/>
        </w:rPr>
        <w:t> </w:t>
      </w:r>
      <w:r>
        <w:rPr>
          <w:sz w:val="22"/>
        </w:rPr>
        <w:t>del</w:t>
      </w:r>
      <w:r>
        <w:rPr>
          <w:spacing w:val="-2"/>
          <w:sz w:val="22"/>
        </w:rPr>
        <w:t> </w:t>
      </w:r>
      <w:r>
        <w:rPr>
          <w:sz w:val="22"/>
        </w:rPr>
        <w:t>Decreto</w:t>
      </w:r>
      <w:r>
        <w:rPr>
          <w:spacing w:val="-4"/>
          <w:sz w:val="22"/>
        </w:rPr>
        <w:t> </w:t>
      </w:r>
      <w:r>
        <w:rPr>
          <w:sz w:val="22"/>
        </w:rPr>
        <w:t>establece</w:t>
      </w:r>
      <w:r>
        <w:rPr>
          <w:spacing w:val="-2"/>
          <w:sz w:val="22"/>
        </w:rPr>
        <w:t> </w:t>
      </w:r>
      <w:r>
        <w:rPr>
          <w:sz w:val="22"/>
        </w:rPr>
        <w:t>una</w:t>
      </w:r>
      <w:r>
        <w:rPr>
          <w:spacing w:val="-4"/>
          <w:sz w:val="22"/>
        </w:rPr>
        <w:t> </w:t>
      </w:r>
      <w:r>
        <w:rPr>
          <w:sz w:val="22"/>
        </w:rPr>
        <w:t>“</w:t>
      </w:r>
      <w:r>
        <w:rPr>
          <w:rFonts w:ascii="Arial" w:hAnsi="Arial"/>
          <w:i/>
          <w:sz w:val="22"/>
        </w:rPr>
        <w:t>Restricción</w:t>
      </w:r>
      <w:r>
        <w:rPr>
          <w:rFonts w:ascii="Arial" w:hAnsi="Arial"/>
          <w:i/>
          <w:spacing w:val="-2"/>
          <w:sz w:val="22"/>
        </w:rPr>
        <w:t> </w:t>
      </w:r>
      <w:r>
        <w:rPr>
          <w:rFonts w:ascii="Arial" w:hAnsi="Arial"/>
          <w:i/>
          <w:sz w:val="22"/>
        </w:rPr>
        <w:t>al</w:t>
      </w:r>
      <w:r>
        <w:rPr>
          <w:rFonts w:ascii="Arial" w:hAnsi="Arial"/>
          <w:i/>
          <w:spacing w:val="-3"/>
          <w:sz w:val="22"/>
        </w:rPr>
        <w:t> </w:t>
      </w:r>
      <w:r>
        <w:rPr>
          <w:rFonts w:ascii="Arial" w:hAnsi="Arial"/>
          <w:i/>
          <w:sz w:val="22"/>
        </w:rPr>
        <w:t>ingreso</w:t>
      </w:r>
      <w:r>
        <w:rPr>
          <w:rFonts w:ascii="Arial" w:hAnsi="Arial"/>
          <w:i/>
          <w:spacing w:val="-2"/>
          <w:sz w:val="22"/>
        </w:rPr>
        <w:t> </w:t>
      </w:r>
      <w:r>
        <w:rPr>
          <w:rFonts w:ascii="Arial" w:hAnsi="Arial"/>
          <w:i/>
          <w:sz w:val="22"/>
        </w:rPr>
        <w:t>de</w:t>
      </w:r>
      <w:r>
        <w:rPr>
          <w:rFonts w:ascii="Arial" w:hAnsi="Arial"/>
          <w:i/>
          <w:spacing w:val="-4"/>
          <w:sz w:val="22"/>
        </w:rPr>
        <w:t> </w:t>
      </w:r>
      <w:r>
        <w:rPr>
          <w:rFonts w:ascii="Arial" w:hAnsi="Arial"/>
          <w:i/>
          <w:sz w:val="22"/>
        </w:rPr>
        <w:t>mercancías</w:t>
      </w:r>
      <w:r>
        <w:rPr>
          <w:rFonts w:ascii="Arial" w:hAnsi="Arial"/>
          <w:i/>
          <w:spacing w:val="-2"/>
          <w:sz w:val="22"/>
        </w:rPr>
        <w:t> </w:t>
      </w:r>
      <w:r>
        <w:rPr>
          <w:rFonts w:ascii="Arial" w:hAnsi="Arial"/>
          <w:i/>
          <w:sz w:val="22"/>
        </w:rPr>
        <w:t>utilizadas en la producción de Fentanilo</w:t>
      </w:r>
      <w:r>
        <w:rPr>
          <w:sz w:val="22"/>
        </w:rPr>
        <w:t>”, disponiendo que tres (3) subpartidas arancelarias no podrán</w:t>
      </w:r>
      <w:r>
        <w:rPr>
          <w:spacing w:val="-10"/>
          <w:sz w:val="22"/>
        </w:rPr>
        <w:t> </w:t>
      </w:r>
      <w:r>
        <w:rPr>
          <w:sz w:val="22"/>
        </w:rPr>
        <w:t>ingresar</w:t>
      </w:r>
      <w:r>
        <w:rPr>
          <w:spacing w:val="-9"/>
          <w:sz w:val="22"/>
        </w:rPr>
        <w:t> </w:t>
      </w:r>
      <w:r>
        <w:rPr>
          <w:sz w:val="22"/>
        </w:rPr>
        <w:t>por</w:t>
      </w:r>
      <w:r>
        <w:rPr>
          <w:spacing w:val="-9"/>
          <w:sz w:val="22"/>
        </w:rPr>
        <w:t> </w:t>
      </w:r>
      <w:r>
        <w:rPr>
          <w:sz w:val="22"/>
        </w:rPr>
        <w:t>los</w:t>
      </w:r>
      <w:r>
        <w:rPr>
          <w:spacing w:val="-12"/>
          <w:sz w:val="22"/>
        </w:rPr>
        <w:t> </w:t>
      </w:r>
      <w:r>
        <w:rPr>
          <w:sz w:val="22"/>
        </w:rPr>
        <w:t>cruces</w:t>
      </w:r>
      <w:r>
        <w:rPr>
          <w:spacing w:val="-9"/>
          <w:sz w:val="22"/>
        </w:rPr>
        <w:t> </w:t>
      </w:r>
      <w:r>
        <w:rPr>
          <w:sz w:val="22"/>
        </w:rPr>
        <w:t>de</w:t>
      </w:r>
      <w:r>
        <w:rPr>
          <w:spacing w:val="-13"/>
          <w:sz w:val="22"/>
        </w:rPr>
        <w:t> </w:t>
      </w:r>
      <w:r>
        <w:rPr>
          <w:sz w:val="22"/>
        </w:rPr>
        <w:t>frontera</w:t>
      </w:r>
      <w:r>
        <w:rPr>
          <w:spacing w:val="-12"/>
          <w:sz w:val="22"/>
        </w:rPr>
        <w:t> </w:t>
      </w:r>
      <w:r>
        <w:rPr>
          <w:sz w:val="22"/>
        </w:rPr>
        <w:t>terrestre</w:t>
      </w:r>
      <w:r>
        <w:rPr>
          <w:spacing w:val="-10"/>
          <w:sz w:val="22"/>
        </w:rPr>
        <w:t> </w:t>
      </w:r>
      <w:r>
        <w:rPr>
          <w:sz w:val="22"/>
        </w:rPr>
        <w:t>ubicados</w:t>
      </w:r>
      <w:r>
        <w:rPr>
          <w:spacing w:val="-10"/>
          <w:sz w:val="22"/>
        </w:rPr>
        <w:t> </w:t>
      </w:r>
      <w:r>
        <w:rPr>
          <w:sz w:val="22"/>
        </w:rPr>
        <w:t>en</w:t>
      </w:r>
      <w:r>
        <w:rPr>
          <w:spacing w:val="-10"/>
          <w:sz w:val="22"/>
        </w:rPr>
        <w:t> </w:t>
      </w:r>
      <w:r>
        <w:rPr>
          <w:sz w:val="22"/>
        </w:rPr>
        <w:t>las</w:t>
      </w:r>
      <w:r>
        <w:rPr>
          <w:spacing w:val="-12"/>
          <w:sz w:val="22"/>
        </w:rPr>
        <w:t> </w:t>
      </w:r>
      <w:r>
        <w:rPr>
          <w:sz w:val="22"/>
        </w:rPr>
        <w:t>jurisdicciones</w:t>
      </w:r>
      <w:r>
        <w:rPr>
          <w:spacing w:val="-10"/>
          <w:sz w:val="22"/>
        </w:rPr>
        <w:t> </w:t>
      </w:r>
      <w:r>
        <w:rPr>
          <w:sz w:val="22"/>
        </w:rPr>
        <w:t>de</w:t>
      </w:r>
      <w:r>
        <w:rPr>
          <w:spacing w:val="-10"/>
          <w:sz w:val="22"/>
        </w:rPr>
        <w:t> </w:t>
      </w:r>
      <w:r>
        <w:rPr>
          <w:sz w:val="22"/>
        </w:rPr>
        <w:t>las Direcciones Seccionales de Impuestos y Aduanas de Ipiales y de Puerto Asís.</w:t>
      </w:r>
    </w:p>
    <w:p>
      <w:pPr>
        <w:pStyle w:val="BodyText"/>
      </w:pPr>
    </w:p>
    <w:p>
      <w:pPr>
        <w:pStyle w:val="Heading6"/>
        <w:spacing w:line="252" w:lineRule="exact"/>
        <w:ind w:right="412"/>
        <w:jc w:val="center"/>
      </w:pPr>
      <w:r>
        <w:rPr/>
        <w:t>Tabla</w:t>
      </w:r>
      <w:r>
        <w:rPr>
          <w:spacing w:val="-3"/>
        </w:rPr>
        <w:t> </w:t>
      </w:r>
      <w:r>
        <w:rPr/>
        <w:t>No.</w:t>
      </w:r>
      <w:r>
        <w:rPr>
          <w:spacing w:val="-2"/>
        </w:rPr>
        <w:t> </w:t>
      </w:r>
      <w:r>
        <w:rPr>
          <w:spacing w:val="-10"/>
        </w:rPr>
        <w:t>1</w:t>
      </w:r>
    </w:p>
    <w:p>
      <w:pPr>
        <w:spacing w:line="252" w:lineRule="exact" w:before="0"/>
        <w:ind w:left="-1" w:right="413" w:firstLine="0"/>
        <w:jc w:val="center"/>
        <w:rPr>
          <w:rFonts w:ascii="Arial" w:hAnsi="Arial"/>
          <w:b/>
          <w:sz w:val="22"/>
        </w:rPr>
      </w:pPr>
      <w:r>
        <w:rPr>
          <w:rFonts w:ascii="Arial" w:hAnsi="Arial"/>
          <w:b/>
          <w:sz w:val="22"/>
        </w:rPr>
        <w:t>Ámbito</w:t>
      </w:r>
      <w:r>
        <w:rPr>
          <w:rFonts w:ascii="Arial" w:hAnsi="Arial"/>
          <w:b/>
          <w:spacing w:val="-6"/>
          <w:sz w:val="22"/>
        </w:rPr>
        <w:t> </w:t>
      </w:r>
      <w:r>
        <w:rPr>
          <w:rFonts w:ascii="Arial" w:hAnsi="Arial"/>
          <w:b/>
          <w:sz w:val="22"/>
        </w:rPr>
        <w:t>de</w:t>
      </w:r>
      <w:r>
        <w:rPr>
          <w:rFonts w:ascii="Arial" w:hAnsi="Arial"/>
          <w:b/>
          <w:spacing w:val="-4"/>
          <w:sz w:val="22"/>
        </w:rPr>
        <w:t> </w:t>
      </w:r>
      <w:r>
        <w:rPr>
          <w:rFonts w:ascii="Arial" w:hAnsi="Arial"/>
          <w:b/>
          <w:sz w:val="22"/>
        </w:rPr>
        <w:t>aplicación</w:t>
      </w:r>
      <w:r>
        <w:rPr>
          <w:rFonts w:ascii="Arial" w:hAnsi="Arial"/>
          <w:b/>
          <w:spacing w:val="-7"/>
          <w:sz w:val="22"/>
        </w:rPr>
        <w:t> </w:t>
      </w:r>
      <w:r>
        <w:rPr>
          <w:rFonts w:ascii="Arial" w:hAnsi="Arial"/>
          <w:b/>
          <w:sz w:val="22"/>
        </w:rPr>
        <w:t>del</w:t>
      </w:r>
      <w:r>
        <w:rPr>
          <w:rFonts w:ascii="Arial" w:hAnsi="Arial"/>
          <w:b/>
          <w:spacing w:val="-3"/>
          <w:sz w:val="22"/>
        </w:rPr>
        <w:t> </w:t>
      </w:r>
      <w:r>
        <w:rPr>
          <w:rFonts w:ascii="Arial" w:hAnsi="Arial"/>
          <w:b/>
          <w:sz w:val="22"/>
        </w:rPr>
        <w:t>Decreto</w:t>
      </w:r>
      <w:r>
        <w:rPr>
          <w:rFonts w:ascii="Arial" w:hAnsi="Arial"/>
          <w:b/>
          <w:spacing w:val="-4"/>
          <w:sz w:val="22"/>
        </w:rPr>
        <w:t> </w:t>
      </w:r>
      <w:r>
        <w:rPr>
          <w:rFonts w:ascii="Arial" w:hAnsi="Arial"/>
          <w:b/>
          <w:sz w:val="22"/>
        </w:rPr>
        <w:t>0170</w:t>
      </w:r>
      <w:r>
        <w:rPr>
          <w:rFonts w:ascii="Arial" w:hAnsi="Arial"/>
          <w:b/>
          <w:spacing w:val="-7"/>
          <w:sz w:val="22"/>
        </w:rPr>
        <w:t> </w:t>
      </w:r>
      <w:r>
        <w:rPr>
          <w:rFonts w:ascii="Arial" w:hAnsi="Arial"/>
          <w:b/>
          <w:sz w:val="22"/>
        </w:rPr>
        <w:t>de</w:t>
      </w:r>
      <w:r>
        <w:rPr>
          <w:rFonts w:ascii="Arial" w:hAnsi="Arial"/>
          <w:b/>
          <w:spacing w:val="-3"/>
          <w:sz w:val="22"/>
        </w:rPr>
        <w:t> </w:t>
      </w:r>
      <w:r>
        <w:rPr>
          <w:rFonts w:ascii="Arial" w:hAnsi="Arial"/>
          <w:b/>
          <w:spacing w:val="-4"/>
          <w:sz w:val="22"/>
        </w:rPr>
        <w:t>2026</w:t>
      </w:r>
    </w:p>
    <w:tbl>
      <w:tblPr>
        <w:tblW w:w="0" w:type="auto"/>
        <w:jc w:val="left"/>
        <w:tblInd w:w="25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293"/>
        <w:gridCol w:w="1356"/>
      </w:tblGrid>
      <w:tr>
        <w:trPr>
          <w:trHeight w:val="367" w:hRule="atLeast"/>
        </w:trPr>
        <w:tc>
          <w:tcPr>
            <w:tcW w:w="3293" w:type="dxa"/>
            <w:shd w:val="clear" w:color="auto" w:fill="D1D1D1"/>
          </w:tcPr>
          <w:p>
            <w:pPr>
              <w:pStyle w:val="TableParagraph"/>
              <w:spacing w:before="1"/>
              <w:ind w:left="12"/>
              <w:jc w:val="center"/>
              <w:rPr>
                <w:rFonts w:ascii="Arial"/>
                <w:b/>
                <w:sz w:val="16"/>
              </w:rPr>
            </w:pPr>
            <w:r>
              <w:rPr>
                <w:rFonts w:ascii="Arial"/>
                <w:b/>
                <w:spacing w:val="-2"/>
                <w:sz w:val="16"/>
              </w:rPr>
              <w:t>Medida</w:t>
            </w:r>
          </w:p>
        </w:tc>
        <w:tc>
          <w:tcPr>
            <w:tcW w:w="1356" w:type="dxa"/>
            <w:shd w:val="clear" w:color="auto" w:fill="D1D1D1"/>
          </w:tcPr>
          <w:p>
            <w:pPr>
              <w:pStyle w:val="TableParagraph"/>
              <w:spacing w:line="184" w:lineRule="exact"/>
              <w:ind w:left="184" w:firstLine="74"/>
              <w:rPr>
                <w:rFonts w:ascii="Arial" w:hAnsi="Arial"/>
                <w:b/>
                <w:sz w:val="16"/>
              </w:rPr>
            </w:pPr>
            <w:r>
              <w:rPr>
                <w:rFonts w:ascii="Arial" w:hAnsi="Arial"/>
                <w:b/>
                <w:sz w:val="16"/>
              </w:rPr>
              <w:t>Número de </w:t>
            </w:r>
            <w:r>
              <w:rPr>
                <w:rFonts w:ascii="Arial" w:hAnsi="Arial"/>
                <w:b/>
                <w:spacing w:val="-2"/>
                <w:sz w:val="16"/>
              </w:rPr>
              <w:t>Subpartidas*</w:t>
            </w:r>
          </w:p>
        </w:tc>
      </w:tr>
      <w:tr>
        <w:trPr>
          <w:trHeight w:val="183" w:hRule="atLeast"/>
        </w:trPr>
        <w:tc>
          <w:tcPr>
            <w:tcW w:w="3293" w:type="dxa"/>
          </w:tcPr>
          <w:p>
            <w:pPr>
              <w:pStyle w:val="TableParagraph"/>
              <w:spacing w:line="163" w:lineRule="exact"/>
              <w:ind w:left="107"/>
              <w:rPr>
                <w:sz w:val="16"/>
              </w:rPr>
            </w:pPr>
            <w:r>
              <w:rPr>
                <w:sz w:val="16"/>
              </w:rPr>
              <w:t>Arancel</w:t>
            </w:r>
            <w:r>
              <w:rPr>
                <w:spacing w:val="-6"/>
                <w:sz w:val="16"/>
              </w:rPr>
              <w:t> </w:t>
            </w:r>
            <w:r>
              <w:rPr>
                <w:sz w:val="16"/>
              </w:rPr>
              <w:t>reciproco</w:t>
            </w:r>
            <w:r>
              <w:rPr>
                <w:spacing w:val="-8"/>
                <w:sz w:val="16"/>
              </w:rPr>
              <w:t> </w:t>
            </w:r>
            <w:r>
              <w:rPr>
                <w:spacing w:val="-5"/>
                <w:sz w:val="16"/>
              </w:rPr>
              <w:t>30%</w:t>
            </w:r>
          </w:p>
        </w:tc>
        <w:tc>
          <w:tcPr>
            <w:tcW w:w="1356" w:type="dxa"/>
          </w:tcPr>
          <w:p>
            <w:pPr>
              <w:pStyle w:val="TableParagraph"/>
              <w:spacing w:line="163" w:lineRule="exact"/>
              <w:ind w:left="10" w:right="3"/>
              <w:jc w:val="center"/>
              <w:rPr>
                <w:sz w:val="16"/>
              </w:rPr>
            </w:pPr>
            <w:r>
              <w:rPr>
                <w:spacing w:val="-5"/>
                <w:sz w:val="16"/>
              </w:rPr>
              <w:t>73</w:t>
            </w:r>
          </w:p>
        </w:tc>
      </w:tr>
      <w:tr>
        <w:trPr>
          <w:trHeight w:val="184" w:hRule="atLeast"/>
        </w:trPr>
        <w:tc>
          <w:tcPr>
            <w:tcW w:w="3293" w:type="dxa"/>
          </w:tcPr>
          <w:p>
            <w:pPr>
              <w:pStyle w:val="TableParagraph"/>
              <w:spacing w:line="163" w:lineRule="exact" w:before="1"/>
              <w:ind w:left="107"/>
              <w:rPr>
                <w:sz w:val="16"/>
              </w:rPr>
            </w:pPr>
            <w:r>
              <w:rPr>
                <w:sz w:val="16"/>
              </w:rPr>
              <w:t>Restricción</w:t>
            </w:r>
            <w:r>
              <w:rPr>
                <w:spacing w:val="-11"/>
                <w:sz w:val="16"/>
              </w:rPr>
              <w:t> </w:t>
            </w:r>
            <w:r>
              <w:rPr>
                <w:sz w:val="16"/>
              </w:rPr>
              <w:t>Aduanas</w:t>
            </w:r>
            <w:r>
              <w:rPr>
                <w:spacing w:val="-6"/>
                <w:sz w:val="16"/>
              </w:rPr>
              <w:t> </w:t>
            </w:r>
            <w:r>
              <w:rPr>
                <w:spacing w:val="-2"/>
                <w:sz w:val="16"/>
              </w:rPr>
              <w:t>Ingreso</w:t>
            </w:r>
          </w:p>
        </w:tc>
        <w:tc>
          <w:tcPr>
            <w:tcW w:w="1356" w:type="dxa"/>
          </w:tcPr>
          <w:p>
            <w:pPr>
              <w:pStyle w:val="TableParagraph"/>
              <w:spacing w:line="163" w:lineRule="exact" w:before="1"/>
              <w:ind w:left="10" w:right="3"/>
              <w:jc w:val="center"/>
              <w:rPr>
                <w:sz w:val="16"/>
              </w:rPr>
            </w:pPr>
            <w:r>
              <w:rPr>
                <w:spacing w:val="-5"/>
                <w:sz w:val="16"/>
              </w:rPr>
              <w:t>30</w:t>
            </w:r>
          </w:p>
        </w:tc>
      </w:tr>
      <w:tr>
        <w:trPr>
          <w:trHeight w:val="184" w:hRule="atLeast"/>
        </w:trPr>
        <w:tc>
          <w:tcPr>
            <w:tcW w:w="3293" w:type="dxa"/>
          </w:tcPr>
          <w:p>
            <w:pPr>
              <w:pStyle w:val="TableParagraph"/>
              <w:spacing w:line="163" w:lineRule="exact" w:before="1"/>
              <w:ind w:left="107"/>
              <w:rPr>
                <w:sz w:val="16"/>
              </w:rPr>
            </w:pPr>
            <w:r>
              <w:rPr>
                <w:sz w:val="16"/>
              </w:rPr>
              <w:t>Restricción</w:t>
            </w:r>
            <w:r>
              <w:rPr>
                <w:spacing w:val="-11"/>
                <w:sz w:val="16"/>
              </w:rPr>
              <w:t> </w:t>
            </w:r>
            <w:r>
              <w:rPr>
                <w:sz w:val="16"/>
              </w:rPr>
              <w:t>Aduanas</w:t>
            </w:r>
            <w:r>
              <w:rPr>
                <w:spacing w:val="-6"/>
                <w:sz w:val="16"/>
              </w:rPr>
              <w:t> </w:t>
            </w:r>
            <w:r>
              <w:rPr>
                <w:sz w:val="16"/>
              </w:rPr>
              <w:t>Ingreso</w:t>
            </w:r>
            <w:r>
              <w:rPr>
                <w:spacing w:val="-7"/>
                <w:sz w:val="16"/>
              </w:rPr>
              <w:t> </w:t>
            </w:r>
            <w:r>
              <w:rPr>
                <w:spacing w:val="-2"/>
                <w:sz w:val="16"/>
              </w:rPr>
              <w:t>FENTANILO</w:t>
            </w:r>
          </w:p>
        </w:tc>
        <w:tc>
          <w:tcPr>
            <w:tcW w:w="1356" w:type="dxa"/>
          </w:tcPr>
          <w:p>
            <w:pPr>
              <w:pStyle w:val="TableParagraph"/>
              <w:spacing w:line="163" w:lineRule="exact" w:before="1"/>
              <w:ind w:left="10"/>
              <w:jc w:val="center"/>
              <w:rPr>
                <w:sz w:val="16"/>
              </w:rPr>
            </w:pPr>
            <w:r>
              <w:rPr>
                <w:spacing w:val="-10"/>
                <w:sz w:val="16"/>
              </w:rPr>
              <w:t>3</w:t>
            </w:r>
          </w:p>
        </w:tc>
      </w:tr>
      <w:tr>
        <w:trPr>
          <w:trHeight w:val="184" w:hRule="atLeast"/>
        </w:trPr>
        <w:tc>
          <w:tcPr>
            <w:tcW w:w="3293" w:type="dxa"/>
          </w:tcPr>
          <w:p>
            <w:pPr>
              <w:pStyle w:val="TableParagraph"/>
              <w:spacing w:line="164" w:lineRule="exact"/>
              <w:ind w:left="107"/>
              <w:rPr>
                <w:rFonts w:ascii="Arial"/>
                <w:b/>
                <w:sz w:val="16"/>
              </w:rPr>
            </w:pPr>
            <w:r>
              <w:rPr>
                <w:rFonts w:ascii="Arial"/>
                <w:b/>
                <w:sz w:val="16"/>
              </w:rPr>
              <w:t>Total</w:t>
            </w:r>
            <w:r>
              <w:rPr>
                <w:rFonts w:ascii="Arial"/>
                <w:b/>
                <w:spacing w:val="-6"/>
                <w:sz w:val="16"/>
              </w:rPr>
              <w:t> </w:t>
            </w:r>
            <w:r>
              <w:rPr>
                <w:rFonts w:ascii="Arial"/>
                <w:b/>
                <w:spacing w:val="-2"/>
                <w:sz w:val="16"/>
              </w:rPr>
              <w:t>Subpartidas</w:t>
            </w:r>
          </w:p>
        </w:tc>
        <w:tc>
          <w:tcPr>
            <w:tcW w:w="1356" w:type="dxa"/>
          </w:tcPr>
          <w:p>
            <w:pPr>
              <w:pStyle w:val="TableParagraph"/>
              <w:spacing w:line="164" w:lineRule="exact"/>
              <w:ind w:left="10"/>
              <w:jc w:val="center"/>
              <w:rPr>
                <w:rFonts w:ascii="Arial"/>
                <w:b/>
                <w:sz w:val="16"/>
              </w:rPr>
            </w:pPr>
            <w:r>
              <w:rPr>
                <w:rFonts w:ascii="Arial"/>
                <w:b/>
                <w:spacing w:val="-5"/>
                <w:sz w:val="16"/>
              </w:rPr>
              <w:t>106</w:t>
            </w:r>
          </w:p>
        </w:tc>
      </w:tr>
    </w:tbl>
    <w:p>
      <w:pPr>
        <w:spacing w:before="0"/>
        <w:ind w:left="2411" w:right="2686" w:firstLine="0"/>
        <w:jc w:val="left"/>
        <w:rPr>
          <w:rFonts w:ascii="Arial" w:hAnsi="Arial"/>
          <w:b/>
          <w:sz w:val="16"/>
        </w:rPr>
      </w:pPr>
      <w:r>
        <w:rPr>
          <w:rFonts w:ascii="Arial" w:hAnsi="Arial"/>
          <w:b/>
          <w:sz w:val="16"/>
        </w:rPr>
        <w:t>*Existen</w:t>
      </w:r>
      <w:r>
        <w:rPr>
          <w:rFonts w:ascii="Arial" w:hAnsi="Arial"/>
          <w:b/>
          <w:spacing w:val="-2"/>
          <w:sz w:val="16"/>
        </w:rPr>
        <w:t> </w:t>
      </w:r>
      <w:r>
        <w:rPr>
          <w:rFonts w:ascii="Arial" w:hAnsi="Arial"/>
          <w:b/>
          <w:sz w:val="16"/>
        </w:rPr>
        <w:t>9</w:t>
      </w:r>
      <w:r>
        <w:rPr>
          <w:rFonts w:ascii="Arial" w:hAnsi="Arial"/>
          <w:b/>
          <w:spacing w:val="-6"/>
          <w:sz w:val="16"/>
        </w:rPr>
        <w:t> </w:t>
      </w:r>
      <w:r>
        <w:rPr>
          <w:rFonts w:ascii="Arial" w:hAnsi="Arial"/>
          <w:b/>
          <w:sz w:val="16"/>
        </w:rPr>
        <w:t>subpartidas</w:t>
      </w:r>
      <w:r>
        <w:rPr>
          <w:rFonts w:ascii="Arial" w:hAnsi="Arial"/>
          <w:b/>
          <w:spacing w:val="-4"/>
          <w:sz w:val="16"/>
        </w:rPr>
        <w:t> </w:t>
      </w:r>
      <w:r>
        <w:rPr>
          <w:rFonts w:ascii="Arial" w:hAnsi="Arial"/>
          <w:b/>
          <w:sz w:val="16"/>
        </w:rPr>
        <w:t>a</w:t>
      </w:r>
      <w:r>
        <w:rPr>
          <w:rFonts w:ascii="Arial" w:hAnsi="Arial"/>
          <w:b/>
          <w:spacing w:val="-6"/>
          <w:sz w:val="16"/>
        </w:rPr>
        <w:t> </w:t>
      </w:r>
      <w:r>
        <w:rPr>
          <w:rFonts w:ascii="Arial" w:hAnsi="Arial"/>
          <w:b/>
          <w:sz w:val="16"/>
        </w:rPr>
        <w:t>las</w:t>
      </w:r>
      <w:r>
        <w:rPr>
          <w:rFonts w:ascii="Arial" w:hAnsi="Arial"/>
          <w:b/>
          <w:spacing w:val="-6"/>
          <w:sz w:val="16"/>
        </w:rPr>
        <w:t> </w:t>
      </w:r>
      <w:r>
        <w:rPr>
          <w:rFonts w:ascii="Arial" w:hAnsi="Arial"/>
          <w:b/>
          <w:sz w:val="16"/>
        </w:rPr>
        <w:t>cuales</w:t>
      </w:r>
      <w:r>
        <w:rPr>
          <w:rFonts w:ascii="Arial" w:hAnsi="Arial"/>
          <w:b/>
          <w:spacing w:val="-3"/>
          <w:sz w:val="16"/>
        </w:rPr>
        <w:t> </w:t>
      </w:r>
      <w:r>
        <w:rPr>
          <w:rFonts w:ascii="Arial" w:hAnsi="Arial"/>
          <w:b/>
          <w:sz w:val="16"/>
        </w:rPr>
        <w:t>se</w:t>
      </w:r>
      <w:r>
        <w:rPr>
          <w:rFonts w:ascii="Arial" w:hAnsi="Arial"/>
          <w:b/>
          <w:spacing w:val="-3"/>
          <w:sz w:val="16"/>
        </w:rPr>
        <w:t> </w:t>
      </w:r>
      <w:r>
        <w:rPr>
          <w:rFonts w:ascii="Arial" w:hAnsi="Arial"/>
          <w:b/>
          <w:sz w:val="16"/>
        </w:rPr>
        <w:t>aplica</w:t>
      </w:r>
      <w:r>
        <w:rPr>
          <w:rFonts w:ascii="Arial" w:hAnsi="Arial"/>
          <w:b/>
          <w:spacing w:val="-6"/>
          <w:sz w:val="16"/>
        </w:rPr>
        <w:t> </w:t>
      </w:r>
      <w:r>
        <w:rPr>
          <w:rFonts w:ascii="Arial" w:hAnsi="Arial"/>
          <w:b/>
          <w:sz w:val="16"/>
        </w:rPr>
        <w:t>tanto</w:t>
      </w:r>
      <w:r>
        <w:rPr>
          <w:rFonts w:ascii="Arial" w:hAnsi="Arial"/>
          <w:b/>
          <w:spacing w:val="-2"/>
          <w:sz w:val="16"/>
        </w:rPr>
        <w:t> </w:t>
      </w:r>
      <w:r>
        <w:rPr>
          <w:rFonts w:ascii="Arial" w:hAnsi="Arial"/>
          <w:b/>
          <w:sz w:val="16"/>
        </w:rPr>
        <w:t>el</w:t>
      </w:r>
      <w:r>
        <w:rPr>
          <w:rFonts w:ascii="Arial" w:hAnsi="Arial"/>
          <w:b/>
          <w:spacing w:val="-2"/>
          <w:sz w:val="16"/>
        </w:rPr>
        <w:t> </w:t>
      </w:r>
      <w:r>
        <w:rPr>
          <w:rFonts w:ascii="Arial" w:hAnsi="Arial"/>
          <w:b/>
          <w:sz w:val="16"/>
        </w:rPr>
        <w:t>arancel</w:t>
      </w:r>
      <w:r>
        <w:rPr>
          <w:rFonts w:ascii="Arial" w:hAnsi="Arial"/>
          <w:b/>
          <w:spacing w:val="-4"/>
          <w:sz w:val="16"/>
        </w:rPr>
        <w:t> </w:t>
      </w:r>
      <w:r>
        <w:rPr>
          <w:rFonts w:ascii="Arial" w:hAnsi="Arial"/>
          <w:b/>
          <w:sz w:val="16"/>
        </w:rPr>
        <w:t>recíproco como la restricción de aduanas de ingreso (arroz, fríjol y banano) Fuente: SICEXT.</w:t>
      </w:r>
    </w:p>
    <w:p>
      <w:pPr>
        <w:spacing w:before="0"/>
        <w:ind w:left="2411" w:right="0" w:firstLine="0"/>
        <w:jc w:val="left"/>
        <w:rPr>
          <w:rFonts w:ascii="Arial" w:hAnsi="Arial"/>
          <w:b/>
          <w:sz w:val="16"/>
        </w:rPr>
      </w:pPr>
      <w:r>
        <w:rPr>
          <w:rFonts w:ascii="Arial" w:hAnsi="Arial"/>
          <w:b/>
          <w:sz w:val="16"/>
        </w:rPr>
        <w:t>Elaboración:</w:t>
      </w:r>
      <w:r>
        <w:rPr>
          <w:rFonts w:ascii="Arial" w:hAnsi="Arial"/>
          <w:b/>
          <w:spacing w:val="-9"/>
          <w:sz w:val="16"/>
        </w:rPr>
        <w:t> </w:t>
      </w:r>
      <w:r>
        <w:rPr>
          <w:rFonts w:ascii="Arial" w:hAnsi="Arial"/>
          <w:b/>
          <w:spacing w:val="-2"/>
          <w:sz w:val="16"/>
        </w:rPr>
        <w:t>SGCAN.</w:t>
      </w:r>
    </w:p>
    <w:p>
      <w:pPr>
        <w:pStyle w:val="BodyText"/>
        <w:spacing w:before="70"/>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Por otra parte, en la Tabla No. 2, se visualizan aquellas subpartidas que, según el referido</w:t>
      </w:r>
      <w:r>
        <w:rPr>
          <w:spacing w:val="-12"/>
          <w:sz w:val="22"/>
        </w:rPr>
        <w:t> </w:t>
      </w:r>
      <w:r>
        <w:rPr>
          <w:sz w:val="22"/>
        </w:rPr>
        <w:t>Decreto,</w:t>
      </w:r>
      <w:r>
        <w:rPr>
          <w:spacing w:val="-13"/>
          <w:sz w:val="22"/>
        </w:rPr>
        <w:t> </w:t>
      </w:r>
      <w:r>
        <w:rPr>
          <w:sz w:val="22"/>
        </w:rPr>
        <w:t>estarían</w:t>
      </w:r>
      <w:r>
        <w:rPr>
          <w:spacing w:val="-11"/>
          <w:sz w:val="22"/>
        </w:rPr>
        <w:t> </w:t>
      </w:r>
      <w:r>
        <w:rPr>
          <w:sz w:val="22"/>
        </w:rPr>
        <w:t>incluidas</w:t>
      </w:r>
      <w:r>
        <w:rPr>
          <w:spacing w:val="-11"/>
          <w:sz w:val="22"/>
        </w:rPr>
        <w:t> </w:t>
      </w:r>
      <w:r>
        <w:rPr>
          <w:sz w:val="22"/>
        </w:rPr>
        <w:t>tanto</w:t>
      </w:r>
      <w:r>
        <w:rPr>
          <w:spacing w:val="-11"/>
          <w:sz w:val="22"/>
        </w:rPr>
        <w:t> </w:t>
      </w:r>
      <w:r>
        <w:rPr>
          <w:sz w:val="22"/>
        </w:rPr>
        <w:t>en</w:t>
      </w:r>
      <w:r>
        <w:rPr>
          <w:spacing w:val="-14"/>
          <w:sz w:val="22"/>
        </w:rPr>
        <w:t> </w:t>
      </w:r>
      <w:r>
        <w:rPr>
          <w:sz w:val="22"/>
        </w:rPr>
        <w:t>la</w:t>
      </w:r>
      <w:r>
        <w:rPr>
          <w:spacing w:val="-14"/>
          <w:sz w:val="22"/>
        </w:rPr>
        <w:t> </w:t>
      </w:r>
      <w:r>
        <w:rPr>
          <w:sz w:val="22"/>
        </w:rPr>
        <w:t>medida</w:t>
      </w:r>
      <w:r>
        <w:rPr>
          <w:spacing w:val="-12"/>
          <w:sz w:val="22"/>
        </w:rPr>
        <w:t> </w:t>
      </w:r>
      <w:r>
        <w:rPr>
          <w:sz w:val="22"/>
        </w:rPr>
        <w:t>contenida</w:t>
      </w:r>
      <w:r>
        <w:rPr>
          <w:spacing w:val="-12"/>
          <w:sz w:val="22"/>
        </w:rPr>
        <w:t> </w:t>
      </w:r>
      <w:r>
        <w:rPr>
          <w:sz w:val="22"/>
        </w:rPr>
        <w:t>en</w:t>
      </w:r>
      <w:r>
        <w:rPr>
          <w:spacing w:val="-14"/>
          <w:sz w:val="22"/>
        </w:rPr>
        <w:t> </w:t>
      </w:r>
      <w:r>
        <w:rPr>
          <w:sz w:val="22"/>
        </w:rPr>
        <w:t>el</w:t>
      </w:r>
      <w:r>
        <w:rPr>
          <w:spacing w:val="-12"/>
          <w:sz w:val="22"/>
        </w:rPr>
        <w:t> </w:t>
      </w:r>
      <w:r>
        <w:rPr>
          <w:sz w:val="22"/>
        </w:rPr>
        <w:t>artículo</w:t>
      </w:r>
      <w:r>
        <w:rPr>
          <w:spacing w:val="-11"/>
          <w:sz w:val="22"/>
        </w:rPr>
        <w:t> </w:t>
      </w:r>
      <w:r>
        <w:rPr>
          <w:sz w:val="22"/>
        </w:rPr>
        <w:t>1,</w:t>
      </w:r>
      <w:r>
        <w:rPr>
          <w:spacing w:val="-13"/>
          <w:sz w:val="22"/>
        </w:rPr>
        <w:t> </w:t>
      </w:r>
      <w:r>
        <w:rPr>
          <w:sz w:val="22"/>
        </w:rPr>
        <w:t>relativa al</w:t>
      </w:r>
      <w:r>
        <w:rPr>
          <w:spacing w:val="-7"/>
          <w:sz w:val="22"/>
        </w:rPr>
        <w:t> </w:t>
      </w:r>
      <w:r>
        <w:rPr>
          <w:sz w:val="22"/>
        </w:rPr>
        <w:t>“arancel</w:t>
      </w:r>
      <w:r>
        <w:rPr>
          <w:spacing w:val="-10"/>
          <w:sz w:val="22"/>
        </w:rPr>
        <w:t> </w:t>
      </w:r>
      <w:r>
        <w:rPr>
          <w:sz w:val="22"/>
        </w:rPr>
        <w:t>recíproco”,</w:t>
      </w:r>
      <w:r>
        <w:rPr>
          <w:spacing w:val="-7"/>
          <w:sz w:val="22"/>
        </w:rPr>
        <w:t> </w:t>
      </w:r>
      <w:r>
        <w:rPr>
          <w:sz w:val="22"/>
        </w:rPr>
        <w:t>como</w:t>
      </w:r>
      <w:r>
        <w:rPr>
          <w:spacing w:val="-9"/>
          <w:sz w:val="22"/>
        </w:rPr>
        <w:t> </w:t>
      </w:r>
      <w:r>
        <w:rPr>
          <w:sz w:val="22"/>
        </w:rPr>
        <w:t>en</w:t>
      </w:r>
      <w:r>
        <w:rPr>
          <w:spacing w:val="-7"/>
          <w:sz w:val="22"/>
        </w:rPr>
        <w:t> </w:t>
      </w:r>
      <w:r>
        <w:rPr>
          <w:sz w:val="22"/>
        </w:rPr>
        <w:t>la</w:t>
      </w:r>
      <w:r>
        <w:rPr>
          <w:spacing w:val="-11"/>
          <w:sz w:val="22"/>
        </w:rPr>
        <w:t> </w:t>
      </w:r>
      <w:r>
        <w:rPr>
          <w:sz w:val="22"/>
        </w:rPr>
        <w:t>medida</w:t>
      </w:r>
      <w:r>
        <w:rPr>
          <w:spacing w:val="-7"/>
          <w:sz w:val="22"/>
        </w:rPr>
        <w:t> </w:t>
      </w:r>
      <w:r>
        <w:rPr>
          <w:sz w:val="22"/>
        </w:rPr>
        <w:t>del</w:t>
      </w:r>
      <w:r>
        <w:rPr>
          <w:spacing w:val="-9"/>
          <w:sz w:val="22"/>
        </w:rPr>
        <w:t> </w:t>
      </w:r>
      <w:r>
        <w:rPr>
          <w:sz w:val="22"/>
        </w:rPr>
        <w:t>artículo</w:t>
      </w:r>
      <w:r>
        <w:rPr>
          <w:spacing w:val="-6"/>
          <w:sz w:val="22"/>
        </w:rPr>
        <w:t> </w:t>
      </w:r>
      <w:r>
        <w:rPr>
          <w:sz w:val="22"/>
        </w:rPr>
        <w:t>2,</w:t>
      </w:r>
      <w:r>
        <w:rPr>
          <w:spacing w:val="-8"/>
          <w:sz w:val="22"/>
        </w:rPr>
        <w:t> </w:t>
      </w:r>
      <w:r>
        <w:rPr>
          <w:sz w:val="22"/>
        </w:rPr>
        <w:t>referida</w:t>
      </w:r>
      <w:r>
        <w:rPr>
          <w:spacing w:val="-9"/>
          <w:sz w:val="22"/>
        </w:rPr>
        <w:t> </w:t>
      </w:r>
      <w:r>
        <w:rPr>
          <w:sz w:val="22"/>
        </w:rPr>
        <w:t>a</w:t>
      </w:r>
      <w:r>
        <w:rPr>
          <w:spacing w:val="-9"/>
          <w:sz w:val="22"/>
        </w:rPr>
        <w:t> </w:t>
      </w:r>
      <w:r>
        <w:rPr>
          <w:sz w:val="22"/>
        </w:rPr>
        <w:t>la</w:t>
      </w:r>
      <w:r>
        <w:rPr>
          <w:spacing w:val="-9"/>
          <w:sz w:val="22"/>
        </w:rPr>
        <w:t> </w:t>
      </w:r>
      <w:r>
        <w:rPr>
          <w:sz w:val="22"/>
        </w:rPr>
        <w:t>“restricción</w:t>
      </w:r>
      <w:r>
        <w:rPr>
          <w:spacing w:val="-7"/>
          <w:sz w:val="22"/>
        </w:rPr>
        <w:t> </w:t>
      </w:r>
      <w:r>
        <w:rPr>
          <w:sz w:val="22"/>
        </w:rPr>
        <w:t>ingreso </w:t>
      </w:r>
      <w:r>
        <w:rPr>
          <w:spacing w:val="-2"/>
          <w:sz w:val="22"/>
        </w:rPr>
        <w:t>mercancías”.</w:t>
      </w:r>
    </w:p>
    <w:p>
      <w:pPr>
        <w:pStyle w:val="ListParagraph"/>
        <w:spacing w:after="0" w:line="240" w:lineRule="auto"/>
        <w:jc w:val="both"/>
        <w:rPr>
          <w:sz w:val="22"/>
        </w:rPr>
        <w:sectPr>
          <w:headerReference w:type="default" r:id="rId70"/>
          <w:footerReference w:type="default" r:id="rId71"/>
          <w:pgSz w:w="11900" w:h="16850"/>
          <w:pgMar w:header="370" w:footer="651" w:top="1380" w:bottom="840" w:left="992" w:right="283"/>
        </w:sectPr>
      </w:pPr>
    </w:p>
    <w:p>
      <w:pPr>
        <w:pStyle w:val="BodyText"/>
        <w:spacing w:before="176"/>
      </w:pPr>
    </w:p>
    <w:p>
      <w:pPr>
        <w:pStyle w:val="Heading6"/>
        <w:ind w:right="412"/>
        <w:jc w:val="center"/>
      </w:pPr>
      <w:r>
        <w:rPr/>
        <w:t>Tabla</w:t>
      </w:r>
      <w:r>
        <w:rPr>
          <w:spacing w:val="-3"/>
        </w:rPr>
        <w:t> </w:t>
      </w:r>
      <w:r>
        <w:rPr/>
        <w:t>No.</w:t>
      </w:r>
      <w:r>
        <w:rPr>
          <w:spacing w:val="-2"/>
        </w:rPr>
        <w:t> </w:t>
      </w:r>
      <w:r>
        <w:rPr>
          <w:spacing w:val="-10"/>
        </w:rPr>
        <w:t>2</w:t>
      </w:r>
    </w:p>
    <w:p>
      <w:pPr>
        <w:spacing w:before="2"/>
        <w:ind w:left="-1" w:right="410" w:firstLine="0"/>
        <w:jc w:val="center"/>
        <w:rPr>
          <w:rFonts w:ascii="Arial" w:hAnsi="Arial"/>
          <w:b/>
          <w:sz w:val="22"/>
        </w:rPr>
      </w:pPr>
      <w:r>
        <w:rPr>
          <w:rFonts w:ascii="Arial" w:hAnsi="Arial"/>
          <w:b/>
          <w:sz w:val="22"/>
        </w:rPr>
        <w:t>Subpartidas</w:t>
      </w:r>
      <w:r>
        <w:rPr>
          <w:rFonts w:ascii="Arial" w:hAnsi="Arial"/>
          <w:b/>
          <w:spacing w:val="-8"/>
          <w:sz w:val="22"/>
        </w:rPr>
        <w:t> </w:t>
      </w:r>
      <w:r>
        <w:rPr>
          <w:rFonts w:ascii="Arial" w:hAnsi="Arial"/>
          <w:b/>
          <w:sz w:val="22"/>
        </w:rPr>
        <w:t>según</w:t>
      </w:r>
      <w:r>
        <w:rPr>
          <w:rFonts w:ascii="Arial" w:hAnsi="Arial"/>
          <w:b/>
          <w:spacing w:val="-2"/>
          <w:sz w:val="22"/>
        </w:rPr>
        <w:t> </w:t>
      </w:r>
      <w:r>
        <w:rPr>
          <w:rFonts w:ascii="Arial" w:hAnsi="Arial"/>
          <w:b/>
          <w:sz w:val="22"/>
        </w:rPr>
        <w:t>Decreto</w:t>
      </w:r>
      <w:r>
        <w:rPr>
          <w:rFonts w:ascii="Arial" w:hAnsi="Arial"/>
          <w:b/>
          <w:spacing w:val="-4"/>
          <w:sz w:val="22"/>
        </w:rPr>
        <w:t> </w:t>
      </w:r>
      <w:r>
        <w:rPr>
          <w:rFonts w:ascii="Arial" w:hAnsi="Arial"/>
          <w:b/>
          <w:sz w:val="22"/>
        </w:rPr>
        <w:t>0170</w:t>
      </w:r>
      <w:r>
        <w:rPr>
          <w:rFonts w:ascii="Arial" w:hAnsi="Arial"/>
          <w:b/>
          <w:spacing w:val="-7"/>
          <w:sz w:val="22"/>
        </w:rPr>
        <w:t> </w:t>
      </w:r>
      <w:r>
        <w:rPr>
          <w:rFonts w:ascii="Arial" w:hAnsi="Arial"/>
          <w:b/>
          <w:sz w:val="22"/>
        </w:rPr>
        <w:t>de</w:t>
      </w:r>
      <w:r>
        <w:rPr>
          <w:rFonts w:ascii="Arial" w:hAnsi="Arial"/>
          <w:b/>
          <w:spacing w:val="-4"/>
          <w:sz w:val="22"/>
        </w:rPr>
        <w:t> </w:t>
      </w:r>
      <w:r>
        <w:rPr>
          <w:rFonts w:ascii="Arial" w:hAnsi="Arial"/>
          <w:b/>
          <w:sz w:val="22"/>
        </w:rPr>
        <w:t>2026</w:t>
      </w:r>
      <w:r>
        <w:rPr>
          <w:rFonts w:ascii="Arial" w:hAnsi="Arial"/>
          <w:b/>
          <w:spacing w:val="-3"/>
          <w:sz w:val="22"/>
        </w:rPr>
        <w:t> </w:t>
      </w:r>
      <w:r>
        <w:rPr>
          <w:rFonts w:ascii="Arial" w:hAnsi="Arial"/>
          <w:b/>
          <w:sz w:val="22"/>
        </w:rPr>
        <w:t>con</w:t>
      </w:r>
      <w:r>
        <w:rPr>
          <w:rFonts w:ascii="Arial" w:hAnsi="Arial"/>
          <w:b/>
          <w:spacing w:val="-8"/>
          <w:sz w:val="22"/>
        </w:rPr>
        <w:t> </w:t>
      </w:r>
      <w:r>
        <w:rPr>
          <w:rFonts w:ascii="Arial" w:hAnsi="Arial"/>
          <w:b/>
          <w:sz w:val="22"/>
        </w:rPr>
        <w:t>doble</w:t>
      </w:r>
      <w:r>
        <w:rPr>
          <w:rFonts w:ascii="Arial" w:hAnsi="Arial"/>
          <w:b/>
          <w:spacing w:val="-5"/>
          <w:sz w:val="22"/>
        </w:rPr>
        <w:t> </w:t>
      </w:r>
      <w:r>
        <w:rPr>
          <w:rFonts w:ascii="Arial" w:hAnsi="Arial"/>
          <w:b/>
          <w:spacing w:val="-2"/>
          <w:sz w:val="22"/>
        </w:rPr>
        <w:t>medida</w:t>
      </w:r>
    </w:p>
    <w:tbl>
      <w:tblPr>
        <w:tblW w:w="0" w:type="auto"/>
        <w:jc w:val="left"/>
        <w:tblInd w:w="1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8"/>
        <w:gridCol w:w="3891"/>
        <w:gridCol w:w="1844"/>
      </w:tblGrid>
      <w:tr>
        <w:trPr>
          <w:trHeight w:val="184" w:hRule="atLeast"/>
        </w:trPr>
        <w:tc>
          <w:tcPr>
            <w:tcW w:w="1078" w:type="dxa"/>
            <w:shd w:val="clear" w:color="auto" w:fill="D1D1D1"/>
          </w:tcPr>
          <w:p>
            <w:pPr>
              <w:pStyle w:val="TableParagraph"/>
              <w:spacing w:line="163" w:lineRule="exact" w:before="1"/>
              <w:ind w:left="18"/>
              <w:rPr>
                <w:rFonts w:ascii="Arial"/>
                <w:b/>
                <w:sz w:val="16"/>
              </w:rPr>
            </w:pPr>
            <w:r>
              <w:rPr>
                <w:rFonts w:ascii="Arial"/>
                <w:b/>
                <w:spacing w:val="-2"/>
                <w:sz w:val="16"/>
              </w:rPr>
              <w:t>ubpartida</w:t>
            </w:r>
          </w:p>
        </w:tc>
        <w:tc>
          <w:tcPr>
            <w:tcW w:w="3891" w:type="dxa"/>
            <w:shd w:val="clear" w:color="auto" w:fill="D1D1D1"/>
          </w:tcPr>
          <w:p>
            <w:pPr>
              <w:pStyle w:val="TableParagraph"/>
              <w:spacing w:line="163" w:lineRule="exact" w:before="1"/>
              <w:ind w:left="864"/>
              <w:rPr>
                <w:rFonts w:ascii="Arial" w:hAnsi="Arial"/>
                <w:b/>
                <w:sz w:val="16"/>
              </w:rPr>
            </w:pPr>
            <w:r>
              <w:rPr>
                <w:rFonts w:ascii="Arial" w:hAnsi="Arial"/>
                <w:b/>
                <w:sz w:val="16"/>
              </w:rPr>
              <w:t>Descripción</w:t>
            </w:r>
            <w:r>
              <w:rPr>
                <w:rFonts w:ascii="Arial" w:hAnsi="Arial"/>
                <w:b/>
                <w:spacing w:val="-4"/>
                <w:sz w:val="16"/>
              </w:rPr>
              <w:t> </w:t>
            </w:r>
            <w:r>
              <w:rPr>
                <w:rFonts w:ascii="Arial" w:hAnsi="Arial"/>
                <w:b/>
                <w:sz w:val="16"/>
              </w:rPr>
              <w:t>de</w:t>
            </w:r>
            <w:r>
              <w:rPr>
                <w:rFonts w:ascii="Arial" w:hAnsi="Arial"/>
                <w:b/>
                <w:spacing w:val="-4"/>
                <w:sz w:val="16"/>
              </w:rPr>
              <w:t> </w:t>
            </w:r>
            <w:r>
              <w:rPr>
                <w:rFonts w:ascii="Arial" w:hAnsi="Arial"/>
                <w:b/>
                <w:sz w:val="16"/>
              </w:rPr>
              <w:t>la</w:t>
            </w:r>
            <w:r>
              <w:rPr>
                <w:rFonts w:ascii="Arial" w:hAnsi="Arial"/>
                <w:b/>
                <w:spacing w:val="-3"/>
                <w:sz w:val="16"/>
              </w:rPr>
              <w:t> </w:t>
            </w:r>
            <w:r>
              <w:rPr>
                <w:rFonts w:ascii="Arial" w:hAnsi="Arial"/>
                <w:b/>
                <w:spacing w:val="-2"/>
                <w:sz w:val="16"/>
              </w:rPr>
              <w:t>mercancía</w:t>
            </w:r>
          </w:p>
        </w:tc>
        <w:tc>
          <w:tcPr>
            <w:tcW w:w="1844" w:type="dxa"/>
            <w:shd w:val="clear" w:color="auto" w:fill="D1D1D1"/>
          </w:tcPr>
          <w:p>
            <w:pPr>
              <w:pStyle w:val="TableParagraph"/>
              <w:spacing w:line="163" w:lineRule="exact" w:before="1"/>
              <w:ind w:left="13"/>
              <w:jc w:val="center"/>
              <w:rPr>
                <w:rFonts w:ascii="Arial"/>
                <w:b/>
                <w:sz w:val="16"/>
              </w:rPr>
            </w:pPr>
            <w:r>
              <w:rPr>
                <w:rFonts w:ascii="Arial"/>
                <w:b/>
                <w:sz w:val="16"/>
              </w:rPr>
              <w:t>Medida</w:t>
            </w:r>
            <w:r>
              <w:rPr>
                <w:rFonts w:ascii="Arial"/>
                <w:b/>
                <w:spacing w:val="-6"/>
                <w:sz w:val="16"/>
              </w:rPr>
              <w:t> </w:t>
            </w:r>
            <w:r>
              <w:rPr>
                <w:rFonts w:ascii="Arial"/>
                <w:b/>
                <w:sz w:val="16"/>
              </w:rPr>
              <w:t>Decreto</w:t>
            </w:r>
            <w:r>
              <w:rPr>
                <w:rFonts w:ascii="Arial"/>
                <w:b/>
                <w:spacing w:val="-2"/>
                <w:sz w:val="16"/>
              </w:rPr>
              <w:t> </w:t>
            </w:r>
            <w:r>
              <w:rPr>
                <w:rFonts w:ascii="Arial"/>
                <w:b/>
                <w:spacing w:val="-4"/>
                <w:sz w:val="16"/>
              </w:rPr>
              <w:t>0170</w:t>
            </w:r>
          </w:p>
        </w:tc>
      </w:tr>
      <w:tr>
        <w:trPr>
          <w:trHeight w:val="184" w:hRule="atLeast"/>
        </w:trPr>
        <w:tc>
          <w:tcPr>
            <w:tcW w:w="1078" w:type="dxa"/>
          </w:tcPr>
          <w:p>
            <w:pPr>
              <w:pStyle w:val="TableParagraph"/>
              <w:spacing w:line="163" w:lineRule="exact" w:before="1"/>
              <w:ind w:right="108"/>
              <w:jc w:val="right"/>
              <w:rPr>
                <w:sz w:val="16"/>
              </w:rPr>
            </w:pPr>
            <w:r>
              <w:rPr>
                <w:spacing w:val="-2"/>
                <w:sz w:val="16"/>
              </w:rPr>
              <w:t>0713339900</w:t>
            </w:r>
          </w:p>
        </w:tc>
        <w:tc>
          <w:tcPr>
            <w:tcW w:w="3891" w:type="dxa"/>
          </w:tcPr>
          <w:p>
            <w:pPr>
              <w:pStyle w:val="TableParagraph"/>
              <w:spacing w:line="163" w:lineRule="exact" w:before="1"/>
              <w:ind w:left="69"/>
              <w:rPr>
                <w:sz w:val="16"/>
              </w:rPr>
            </w:pPr>
            <w:r>
              <w:rPr>
                <w:sz w:val="16"/>
              </w:rPr>
              <w:t>-</w:t>
            </w:r>
            <w:r>
              <w:rPr>
                <w:spacing w:val="-1"/>
                <w:sz w:val="16"/>
              </w:rPr>
              <w:t> </w:t>
            </w:r>
            <w:r>
              <w:rPr>
                <w:sz w:val="16"/>
              </w:rPr>
              <w:t>-</w:t>
            </w:r>
            <w:r>
              <w:rPr>
                <w:spacing w:val="-1"/>
                <w:sz w:val="16"/>
              </w:rPr>
              <w:t> </w:t>
            </w:r>
            <w:r>
              <w:rPr>
                <w:sz w:val="16"/>
              </w:rPr>
              <w:t>-</w:t>
            </w:r>
            <w:r>
              <w:rPr>
                <w:spacing w:val="-1"/>
                <w:sz w:val="16"/>
              </w:rPr>
              <w:t> </w:t>
            </w:r>
            <w:r>
              <w:rPr>
                <w:sz w:val="16"/>
              </w:rPr>
              <w:t>-</w:t>
            </w:r>
            <w:r>
              <w:rPr>
                <w:spacing w:val="-1"/>
                <w:sz w:val="16"/>
              </w:rPr>
              <w:t> </w:t>
            </w:r>
            <w:r>
              <w:rPr>
                <w:sz w:val="16"/>
              </w:rPr>
              <w:t>Los</w:t>
            </w:r>
            <w:r>
              <w:rPr>
                <w:spacing w:val="1"/>
                <w:sz w:val="16"/>
              </w:rPr>
              <w:t> </w:t>
            </w:r>
            <w:r>
              <w:rPr>
                <w:spacing w:val="-2"/>
                <w:sz w:val="16"/>
              </w:rPr>
              <w:t>demás</w:t>
            </w:r>
          </w:p>
        </w:tc>
        <w:tc>
          <w:tcPr>
            <w:tcW w:w="1844" w:type="dxa"/>
          </w:tcPr>
          <w:p>
            <w:pPr>
              <w:pStyle w:val="TableParagraph"/>
              <w:spacing w:line="163" w:lineRule="exact" w:before="1"/>
              <w:ind w:left="13" w:right="1"/>
              <w:jc w:val="center"/>
              <w:rPr>
                <w:sz w:val="16"/>
              </w:rPr>
            </w:pPr>
            <w:r>
              <w:rPr>
                <w:sz w:val="16"/>
              </w:rPr>
              <w:t>Arancel</w:t>
            </w:r>
            <w:r>
              <w:rPr>
                <w:spacing w:val="-3"/>
                <w:sz w:val="16"/>
              </w:rPr>
              <w:t> </w:t>
            </w:r>
            <w:r>
              <w:rPr>
                <w:spacing w:val="-2"/>
                <w:sz w:val="16"/>
              </w:rPr>
              <w:t>reciproco</w:t>
            </w:r>
          </w:p>
        </w:tc>
      </w:tr>
      <w:tr>
        <w:trPr>
          <w:trHeight w:val="184" w:hRule="atLeast"/>
        </w:trPr>
        <w:tc>
          <w:tcPr>
            <w:tcW w:w="1078" w:type="dxa"/>
          </w:tcPr>
          <w:p>
            <w:pPr>
              <w:pStyle w:val="TableParagraph"/>
              <w:rPr>
                <w:rFonts w:ascii="Times New Roman"/>
                <w:sz w:val="12"/>
              </w:rPr>
            </w:pPr>
          </w:p>
        </w:tc>
        <w:tc>
          <w:tcPr>
            <w:tcW w:w="3891" w:type="dxa"/>
          </w:tcPr>
          <w:p>
            <w:pPr>
              <w:pStyle w:val="TableParagraph"/>
              <w:rPr>
                <w:rFonts w:ascii="Times New Roman"/>
                <w:sz w:val="12"/>
              </w:rPr>
            </w:pPr>
          </w:p>
        </w:tc>
        <w:tc>
          <w:tcPr>
            <w:tcW w:w="1844" w:type="dxa"/>
          </w:tcPr>
          <w:p>
            <w:pPr>
              <w:pStyle w:val="TableParagraph"/>
              <w:spacing w:line="163" w:lineRule="exact" w:before="1"/>
              <w:ind w:left="13"/>
              <w:jc w:val="center"/>
              <w:rPr>
                <w:sz w:val="16"/>
              </w:rPr>
            </w:pPr>
            <w:r>
              <w:rPr>
                <w:sz w:val="16"/>
              </w:rPr>
              <w:t>Restricción</w:t>
            </w:r>
            <w:r>
              <w:rPr>
                <w:spacing w:val="-11"/>
                <w:sz w:val="16"/>
              </w:rPr>
              <w:t> </w:t>
            </w:r>
            <w:r>
              <w:rPr>
                <w:spacing w:val="-2"/>
                <w:sz w:val="16"/>
              </w:rPr>
              <w:t>aduanas</w:t>
            </w:r>
          </w:p>
        </w:tc>
      </w:tr>
      <w:tr>
        <w:trPr>
          <w:trHeight w:val="182" w:hRule="atLeast"/>
        </w:trPr>
        <w:tc>
          <w:tcPr>
            <w:tcW w:w="1078" w:type="dxa"/>
          </w:tcPr>
          <w:p>
            <w:pPr>
              <w:pStyle w:val="TableParagraph"/>
              <w:spacing w:line="162" w:lineRule="exact"/>
              <w:ind w:right="108"/>
              <w:jc w:val="right"/>
              <w:rPr>
                <w:sz w:val="16"/>
              </w:rPr>
            </w:pPr>
            <w:r>
              <w:rPr>
                <w:spacing w:val="-2"/>
                <w:sz w:val="16"/>
              </w:rPr>
              <w:t>0713359000</w:t>
            </w:r>
          </w:p>
        </w:tc>
        <w:tc>
          <w:tcPr>
            <w:tcW w:w="3891" w:type="dxa"/>
          </w:tcPr>
          <w:p>
            <w:pPr>
              <w:pStyle w:val="TableParagraph"/>
              <w:spacing w:line="162" w:lineRule="exact"/>
              <w:ind w:left="69"/>
              <w:rPr>
                <w:sz w:val="16"/>
              </w:rPr>
            </w:pPr>
            <w:r>
              <w:rPr>
                <w:sz w:val="16"/>
              </w:rPr>
              <w:t>-</w:t>
            </w:r>
            <w:r>
              <w:rPr>
                <w:spacing w:val="-1"/>
                <w:sz w:val="16"/>
              </w:rPr>
              <w:t> </w:t>
            </w:r>
            <w:r>
              <w:rPr>
                <w:sz w:val="16"/>
              </w:rPr>
              <w:t>- -</w:t>
            </w:r>
            <w:r>
              <w:rPr>
                <w:spacing w:val="-1"/>
                <w:sz w:val="16"/>
              </w:rPr>
              <w:t> </w:t>
            </w:r>
            <w:r>
              <w:rPr>
                <w:sz w:val="16"/>
              </w:rPr>
              <w:t>Los</w:t>
            </w:r>
            <w:r>
              <w:rPr>
                <w:spacing w:val="-1"/>
                <w:sz w:val="16"/>
              </w:rPr>
              <w:t> </w:t>
            </w:r>
            <w:r>
              <w:rPr>
                <w:spacing w:val="-2"/>
                <w:sz w:val="16"/>
              </w:rPr>
              <w:t>demás</w:t>
            </w:r>
          </w:p>
        </w:tc>
        <w:tc>
          <w:tcPr>
            <w:tcW w:w="1844" w:type="dxa"/>
          </w:tcPr>
          <w:p>
            <w:pPr>
              <w:pStyle w:val="TableParagraph"/>
              <w:spacing w:line="162" w:lineRule="exact"/>
              <w:ind w:left="13" w:right="1"/>
              <w:jc w:val="center"/>
              <w:rPr>
                <w:sz w:val="16"/>
              </w:rPr>
            </w:pPr>
            <w:r>
              <w:rPr>
                <w:sz w:val="16"/>
              </w:rPr>
              <w:t>Arancel</w:t>
            </w:r>
            <w:r>
              <w:rPr>
                <w:spacing w:val="-3"/>
                <w:sz w:val="16"/>
              </w:rPr>
              <w:t> </w:t>
            </w:r>
            <w:r>
              <w:rPr>
                <w:spacing w:val="-2"/>
                <w:sz w:val="16"/>
              </w:rPr>
              <w:t>reciproco</w:t>
            </w:r>
          </w:p>
        </w:tc>
      </w:tr>
      <w:tr>
        <w:trPr>
          <w:trHeight w:val="184" w:hRule="atLeast"/>
        </w:trPr>
        <w:tc>
          <w:tcPr>
            <w:tcW w:w="1078" w:type="dxa"/>
          </w:tcPr>
          <w:p>
            <w:pPr>
              <w:pStyle w:val="TableParagraph"/>
              <w:rPr>
                <w:rFonts w:ascii="Times New Roman"/>
                <w:sz w:val="12"/>
              </w:rPr>
            </w:pPr>
          </w:p>
        </w:tc>
        <w:tc>
          <w:tcPr>
            <w:tcW w:w="3891" w:type="dxa"/>
          </w:tcPr>
          <w:p>
            <w:pPr>
              <w:pStyle w:val="TableParagraph"/>
              <w:rPr>
                <w:rFonts w:ascii="Times New Roman"/>
                <w:sz w:val="12"/>
              </w:rPr>
            </w:pPr>
          </w:p>
        </w:tc>
        <w:tc>
          <w:tcPr>
            <w:tcW w:w="1844" w:type="dxa"/>
          </w:tcPr>
          <w:p>
            <w:pPr>
              <w:pStyle w:val="TableParagraph"/>
              <w:spacing w:line="163" w:lineRule="exact" w:before="1"/>
              <w:ind w:left="13"/>
              <w:jc w:val="center"/>
              <w:rPr>
                <w:sz w:val="16"/>
              </w:rPr>
            </w:pPr>
            <w:r>
              <w:rPr>
                <w:sz w:val="16"/>
              </w:rPr>
              <w:t>Restricción</w:t>
            </w:r>
            <w:r>
              <w:rPr>
                <w:spacing w:val="-11"/>
                <w:sz w:val="16"/>
              </w:rPr>
              <w:t> </w:t>
            </w:r>
            <w:r>
              <w:rPr>
                <w:spacing w:val="-2"/>
                <w:sz w:val="16"/>
              </w:rPr>
              <w:t>aduanas</w:t>
            </w:r>
          </w:p>
        </w:tc>
      </w:tr>
      <w:tr>
        <w:trPr>
          <w:trHeight w:val="184" w:hRule="atLeast"/>
        </w:trPr>
        <w:tc>
          <w:tcPr>
            <w:tcW w:w="1078" w:type="dxa"/>
          </w:tcPr>
          <w:p>
            <w:pPr>
              <w:pStyle w:val="TableParagraph"/>
              <w:spacing w:line="163" w:lineRule="exact" w:before="1"/>
              <w:ind w:right="108"/>
              <w:jc w:val="right"/>
              <w:rPr>
                <w:sz w:val="16"/>
              </w:rPr>
            </w:pPr>
            <w:r>
              <w:rPr>
                <w:spacing w:val="-2"/>
                <w:sz w:val="16"/>
              </w:rPr>
              <w:t>0803101000</w:t>
            </w:r>
          </w:p>
        </w:tc>
        <w:tc>
          <w:tcPr>
            <w:tcW w:w="3891" w:type="dxa"/>
          </w:tcPr>
          <w:p>
            <w:pPr>
              <w:pStyle w:val="TableParagraph"/>
              <w:spacing w:line="163" w:lineRule="exact" w:before="1"/>
              <w:ind w:left="69"/>
              <w:rPr>
                <w:sz w:val="16"/>
              </w:rPr>
            </w:pPr>
            <w:r>
              <w:rPr>
                <w:sz w:val="16"/>
              </w:rPr>
              <w:t>- - </w:t>
            </w:r>
            <w:r>
              <w:rPr>
                <w:spacing w:val="-2"/>
                <w:sz w:val="16"/>
              </w:rPr>
              <w:t>Frescos</w:t>
            </w:r>
          </w:p>
        </w:tc>
        <w:tc>
          <w:tcPr>
            <w:tcW w:w="1844" w:type="dxa"/>
          </w:tcPr>
          <w:p>
            <w:pPr>
              <w:pStyle w:val="TableParagraph"/>
              <w:spacing w:line="163" w:lineRule="exact" w:before="1"/>
              <w:ind w:left="13" w:right="1"/>
              <w:jc w:val="center"/>
              <w:rPr>
                <w:sz w:val="16"/>
              </w:rPr>
            </w:pPr>
            <w:r>
              <w:rPr>
                <w:sz w:val="16"/>
              </w:rPr>
              <w:t>Arancel</w:t>
            </w:r>
            <w:r>
              <w:rPr>
                <w:spacing w:val="-3"/>
                <w:sz w:val="16"/>
              </w:rPr>
              <w:t> </w:t>
            </w:r>
            <w:r>
              <w:rPr>
                <w:spacing w:val="-2"/>
                <w:sz w:val="16"/>
              </w:rPr>
              <w:t>reciproco</w:t>
            </w:r>
          </w:p>
        </w:tc>
      </w:tr>
      <w:tr>
        <w:trPr>
          <w:trHeight w:val="184" w:hRule="atLeast"/>
        </w:trPr>
        <w:tc>
          <w:tcPr>
            <w:tcW w:w="1078" w:type="dxa"/>
          </w:tcPr>
          <w:p>
            <w:pPr>
              <w:pStyle w:val="TableParagraph"/>
              <w:rPr>
                <w:rFonts w:ascii="Times New Roman"/>
                <w:sz w:val="12"/>
              </w:rPr>
            </w:pPr>
          </w:p>
        </w:tc>
        <w:tc>
          <w:tcPr>
            <w:tcW w:w="3891" w:type="dxa"/>
          </w:tcPr>
          <w:p>
            <w:pPr>
              <w:pStyle w:val="TableParagraph"/>
              <w:rPr>
                <w:rFonts w:ascii="Times New Roman"/>
                <w:sz w:val="12"/>
              </w:rPr>
            </w:pPr>
          </w:p>
        </w:tc>
        <w:tc>
          <w:tcPr>
            <w:tcW w:w="1844" w:type="dxa"/>
          </w:tcPr>
          <w:p>
            <w:pPr>
              <w:pStyle w:val="TableParagraph"/>
              <w:spacing w:line="163" w:lineRule="exact" w:before="1"/>
              <w:ind w:left="13"/>
              <w:jc w:val="center"/>
              <w:rPr>
                <w:sz w:val="16"/>
              </w:rPr>
            </w:pPr>
            <w:r>
              <w:rPr>
                <w:sz w:val="16"/>
              </w:rPr>
              <w:t>Restricción</w:t>
            </w:r>
            <w:r>
              <w:rPr>
                <w:spacing w:val="-11"/>
                <w:sz w:val="16"/>
              </w:rPr>
              <w:t> </w:t>
            </w:r>
            <w:r>
              <w:rPr>
                <w:spacing w:val="-2"/>
                <w:sz w:val="16"/>
              </w:rPr>
              <w:t>aduanas</w:t>
            </w:r>
          </w:p>
        </w:tc>
      </w:tr>
      <w:tr>
        <w:trPr>
          <w:trHeight w:val="184" w:hRule="atLeast"/>
        </w:trPr>
        <w:tc>
          <w:tcPr>
            <w:tcW w:w="1078" w:type="dxa"/>
          </w:tcPr>
          <w:p>
            <w:pPr>
              <w:pStyle w:val="TableParagraph"/>
              <w:spacing w:line="163" w:lineRule="exact" w:before="1"/>
              <w:ind w:right="108"/>
              <w:jc w:val="right"/>
              <w:rPr>
                <w:sz w:val="16"/>
              </w:rPr>
            </w:pPr>
            <w:r>
              <w:rPr>
                <w:spacing w:val="-2"/>
                <w:sz w:val="16"/>
              </w:rPr>
              <w:t>0803102000</w:t>
            </w:r>
          </w:p>
        </w:tc>
        <w:tc>
          <w:tcPr>
            <w:tcW w:w="3891" w:type="dxa"/>
          </w:tcPr>
          <w:p>
            <w:pPr>
              <w:pStyle w:val="TableParagraph"/>
              <w:spacing w:line="163" w:lineRule="exact" w:before="1"/>
              <w:ind w:left="69"/>
              <w:rPr>
                <w:sz w:val="16"/>
              </w:rPr>
            </w:pPr>
            <w:r>
              <w:rPr>
                <w:sz w:val="16"/>
              </w:rPr>
              <w:t>- - </w:t>
            </w:r>
            <w:r>
              <w:rPr>
                <w:spacing w:val="-2"/>
                <w:sz w:val="16"/>
              </w:rPr>
              <w:t>Secos</w:t>
            </w:r>
          </w:p>
        </w:tc>
        <w:tc>
          <w:tcPr>
            <w:tcW w:w="1844" w:type="dxa"/>
          </w:tcPr>
          <w:p>
            <w:pPr>
              <w:pStyle w:val="TableParagraph"/>
              <w:spacing w:line="163" w:lineRule="exact" w:before="1"/>
              <w:ind w:left="13" w:right="1"/>
              <w:jc w:val="center"/>
              <w:rPr>
                <w:sz w:val="16"/>
              </w:rPr>
            </w:pPr>
            <w:r>
              <w:rPr>
                <w:sz w:val="16"/>
              </w:rPr>
              <w:t>Arancel</w:t>
            </w:r>
            <w:r>
              <w:rPr>
                <w:spacing w:val="-3"/>
                <w:sz w:val="16"/>
              </w:rPr>
              <w:t> </w:t>
            </w:r>
            <w:r>
              <w:rPr>
                <w:spacing w:val="-2"/>
                <w:sz w:val="16"/>
              </w:rPr>
              <w:t>reciproco</w:t>
            </w:r>
          </w:p>
        </w:tc>
      </w:tr>
      <w:tr>
        <w:trPr>
          <w:trHeight w:val="181" w:hRule="atLeast"/>
        </w:trPr>
        <w:tc>
          <w:tcPr>
            <w:tcW w:w="1078" w:type="dxa"/>
          </w:tcPr>
          <w:p>
            <w:pPr>
              <w:pStyle w:val="TableParagraph"/>
              <w:rPr>
                <w:rFonts w:ascii="Times New Roman"/>
                <w:sz w:val="12"/>
              </w:rPr>
            </w:pPr>
          </w:p>
        </w:tc>
        <w:tc>
          <w:tcPr>
            <w:tcW w:w="3891" w:type="dxa"/>
          </w:tcPr>
          <w:p>
            <w:pPr>
              <w:pStyle w:val="TableParagraph"/>
              <w:rPr>
                <w:rFonts w:ascii="Times New Roman"/>
                <w:sz w:val="12"/>
              </w:rPr>
            </w:pPr>
          </w:p>
        </w:tc>
        <w:tc>
          <w:tcPr>
            <w:tcW w:w="1844" w:type="dxa"/>
          </w:tcPr>
          <w:p>
            <w:pPr>
              <w:pStyle w:val="TableParagraph"/>
              <w:spacing w:line="162" w:lineRule="exact"/>
              <w:ind w:left="13"/>
              <w:jc w:val="center"/>
              <w:rPr>
                <w:sz w:val="16"/>
              </w:rPr>
            </w:pPr>
            <w:r>
              <w:rPr>
                <w:sz w:val="16"/>
              </w:rPr>
              <w:t>Restricción</w:t>
            </w:r>
            <w:r>
              <w:rPr>
                <w:spacing w:val="-11"/>
                <w:sz w:val="16"/>
              </w:rPr>
              <w:t> </w:t>
            </w:r>
            <w:r>
              <w:rPr>
                <w:spacing w:val="-2"/>
                <w:sz w:val="16"/>
              </w:rPr>
              <w:t>aduanas</w:t>
            </w:r>
          </w:p>
        </w:tc>
      </w:tr>
      <w:tr>
        <w:trPr>
          <w:trHeight w:val="184" w:hRule="atLeast"/>
        </w:trPr>
        <w:tc>
          <w:tcPr>
            <w:tcW w:w="1078" w:type="dxa"/>
          </w:tcPr>
          <w:p>
            <w:pPr>
              <w:pStyle w:val="TableParagraph"/>
              <w:spacing w:line="163" w:lineRule="exact" w:before="1"/>
              <w:ind w:right="108"/>
              <w:jc w:val="right"/>
              <w:rPr>
                <w:sz w:val="16"/>
              </w:rPr>
            </w:pPr>
            <w:r>
              <w:rPr>
                <w:spacing w:val="-2"/>
                <w:sz w:val="16"/>
              </w:rPr>
              <w:t>0803901200</w:t>
            </w:r>
          </w:p>
        </w:tc>
        <w:tc>
          <w:tcPr>
            <w:tcW w:w="3891" w:type="dxa"/>
          </w:tcPr>
          <w:p>
            <w:pPr>
              <w:pStyle w:val="TableParagraph"/>
              <w:spacing w:line="163" w:lineRule="exact" w:before="1"/>
              <w:ind w:left="69"/>
              <w:rPr>
                <w:sz w:val="16"/>
              </w:rPr>
            </w:pPr>
            <w:r>
              <w:rPr>
                <w:sz w:val="16"/>
              </w:rPr>
              <w:t>-</w:t>
            </w:r>
            <w:r>
              <w:rPr>
                <w:spacing w:val="-4"/>
                <w:sz w:val="16"/>
              </w:rPr>
              <w:t> </w:t>
            </w:r>
            <w:r>
              <w:rPr>
                <w:sz w:val="16"/>
              </w:rPr>
              <w:t>-</w:t>
            </w:r>
            <w:r>
              <w:rPr>
                <w:spacing w:val="-3"/>
                <w:sz w:val="16"/>
              </w:rPr>
              <w:t> </w:t>
            </w:r>
            <w:r>
              <w:rPr>
                <w:sz w:val="16"/>
              </w:rPr>
              <w:t>-</w:t>
            </w:r>
            <w:r>
              <w:rPr>
                <w:spacing w:val="-3"/>
                <w:sz w:val="16"/>
              </w:rPr>
              <w:t> </w:t>
            </w:r>
            <w:r>
              <w:rPr>
                <w:sz w:val="16"/>
              </w:rPr>
              <w:t>Bocadillo</w:t>
            </w:r>
            <w:r>
              <w:rPr>
                <w:spacing w:val="-6"/>
                <w:sz w:val="16"/>
              </w:rPr>
              <w:t> </w:t>
            </w:r>
            <w:r>
              <w:rPr>
                <w:sz w:val="16"/>
              </w:rPr>
              <w:t>(manzanito,</w:t>
            </w:r>
            <w:r>
              <w:rPr>
                <w:spacing w:val="-4"/>
                <w:sz w:val="16"/>
              </w:rPr>
              <w:t> </w:t>
            </w:r>
            <w:r>
              <w:rPr>
                <w:sz w:val="16"/>
              </w:rPr>
              <w:t>orito)</w:t>
            </w:r>
            <w:r>
              <w:rPr>
                <w:spacing w:val="-3"/>
                <w:sz w:val="16"/>
              </w:rPr>
              <w:t> </w:t>
            </w:r>
            <w:r>
              <w:rPr>
                <w:sz w:val="16"/>
              </w:rPr>
              <w:t>(Musa</w:t>
            </w:r>
            <w:r>
              <w:rPr>
                <w:spacing w:val="-3"/>
                <w:sz w:val="16"/>
              </w:rPr>
              <w:t> </w:t>
            </w:r>
            <w:r>
              <w:rPr>
                <w:spacing w:val="-2"/>
                <w:sz w:val="16"/>
              </w:rPr>
              <w:t>acuminata)</w:t>
            </w:r>
          </w:p>
        </w:tc>
        <w:tc>
          <w:tcPr>
            <w:tcW w:w="1844" w:type="dxa"/>
          </w:tcPr>
          <w:p>
            <w:pPr>
              <w:pStyle w:val="TableParagraph"/>
              <w:spacing w:line="163" w:lineRule="exact" w:before="1"/>
              <w:ind w:left="13" w:right="1"/>
              <w:jc w:val="center"/>
              <w:rPr>
                <w:sz w:val="16"/>
              </w:rPr>
            </w:pPr>
            <w:r>
              <w:rPr>
                <w:sz w:val="16"/>
              </w:rPr>
              <w:t>Arancel</w:t>
            </w:r>
            <w:r>
              <w:rPr>
                <w:spacing w:val="-3"/>
                <w:sz w:val="16"/>
              </w:rPr>
              <w:t> </w:t>
            </w:r>
            <w:r>
              <w:rPr>
                <w:spacing w:val="-2"/>
                <w:sz w:val="16"/>
              </w:rPr>
              <w:t>reciproco</w:t>
            </w:r>
          </w:p>
        </w:tc>
      </w:tr>
      <w:tr>
        <w:trPr>
          <w:trHeight w:val="184" w:hRule="atLeast"/>
        </w:trPr>
        <w:tc>
          <w:tcPr>
            <w:tcW w:w="1078" w:type="dxa"/>
          </w:tcPr>
          <w:p>
            <w:pPr>
              <w:pStyle w:val="TableParagraph"/>
              <w:rPr>
                <w:rFonts w:ascii="Times New Roman"/>
                <w:sz w:val="12"/>
              </w:rPr>
            </w:pPr>
          </w:p>
        </w:tc>
        <w:tc>
          <w:tcPr>
            <w:tcW w:w="3891" w:type="dxa"/>
          </w:tcPr>
          <w:p>
            <w:pPr>
              <w:pStyle w:val="TableParagraph"/>
              <w:rPr>
                <w:rFonts w:ascii="Times New Roman"/>
                <w:sz w:val="12"/>
              </w:rPr>
            </w:pPr>
          </w:p>
        </w:tc>
        <w:tc>
          <w:tcPr>
            <w:tcW w:w="1844" w:type="dxa"/>
          </w:tcPr>
          <w:p>
            <w:pPr>
              <w:pStyle w:val="TableParagraph"/>
              <w:spacing w:line="163" w:lineRule="exact" w:before="1"/>
              <w:ind w:left="13"/>
              <w:jc w:val="center"/>
              <w:rPr>
                <w:sz w:val="16"/>
              </w:rPr>
            </w:pPr>
            <w:r>
              <w:rPr>
                <w:sz w:val="16"/>
              </w:rPr>
              <w:t>Restricción</w:t>
            </w:r>
            <w:r>
              <w:rPr>
                <w:spacing w:val="-11"/>
                <w:sz w:val="16"/>
              </w:rPr>
              <w:t> </w:t>
            </w:r>
            <w:r>
              <w:rPr>
                <w:spacing w:val="-2"/>
                <w:sz w:val="16"/>
              </w:rPr>
              <w:t>aduanas</w:t>
            </w:r>
          </w:p>
        </w:tc>
      </w:tr>
      <w:tr>
        <w:trPr>
          <w:trHeight w:val="184" w:hRule="atLeast"/>
        </w:trPr>
        <w:tc>
          <w:tcPr>
            <w:tcW w:w="1078" w:type="dxa"/>
          </w:tcPr>
          <w:p>
            <w:pPr>
              <w:pStyle w:val="TableParagraph"/>
              <w:spacing w:line="163" w:lineRule="exact" w:before="1"/>
              <w:ind w:right="108"/>
              <w:jc w:val="right"/>
              <w:rPr>
                <w:sz w:val="16"/>
              </w:rPr>
            </w:pPr>
            <w:r>
              <w:rPr>
                <w:spacing w:val="-2"/>
                <w:sz w:val="16"/>
              </w:rPr>
              <w:t>1006101000</w:t>
            </w:r>
          </w:p>
        </w:tc>
        <w:tc>
          <w:tcPr>
            <w:tcW w:w="3891" w:type="dxa"/>
          </w:tcPr>
          <w:p>
            <w:pPr>
              <w:pStyle w:val="TableParagraph"/>
              <w:spacing w:line="163" w:lineRule="exact" w:before="1"/>
              <w:ind w:left="69"/>
              <w:rPr>
                <w:sz w:val="16"/>
              </w:rPr>
            </w:pPr>
            <w:r>
              <w:rPr>
                <w:sz w:val="16"/>
              </w:rPr>
              <w:t>-</w:t>
            </w:r>
            <w:r>
              <w:rPr>
                <w:spacing w:val="-1"/>
                <w:sz w:val="16"/>
              </w:rPr>
              <w:t> </w:t>
            </w:r>
            <w:r>
              <w:rPr>
                <w:sz w:val="16"/>
              </w:rPr>
              <w:t>-</w:t>
            </w:r>
            <w:r>
              <w:rPr>
                <w:spacing w:val="-1"/>
                <w:sz w:val="16"/>
              </w:rPr>
              <w:t> </w:t>
            </w:r>
            <w:r>
              <w:rPr>
                <w:sz w:val="16"/>
              </w:rPr>
              <w:t>Para</w:t>
            </w:r>
            <w:r>
              <w:rPr>
                <w:spacing w:val="-2"/>
                <w:sz w:val="16"/>
              </w:rPr>
              <w:t> siembra</w:t>
            </w:r>
          </w:p>
        </w:tc>
        <w:tc>
          <w:tcPr>
            <w:tcW w:w="1844" w:type="dxa"/>
          </w:tcPr>
          <w:p>
            <w:pPr>
              <w:pStyle w:val="TableParagraph"/>
              <w:spacing w:line="163" w:lineRule="exact" w:before="1"/>
              <w:ind w:left="13" w:right="1"/>
              <w:jc w:val="center"/>
              <w:rPr>
                <w:sz w:val="16"/>
              </w:rPr>
            </w:pPr>
            <w:r>
              <w:rPr>
                <w:sz w:val="16"/>
              </w:rPr>
              <w:t>Arancel</w:t>
            </w:r>
            <w:r>
              <w:rPr>
                <w:spacing w:val="-3"/>
                <w:sz w:val="16"/>
              </w:rPr>
              <w:t> </w:t>
            </w:r>
            <w:r>
              <w:rPr>
                <w:spacing w:val="-2"/>
                <w:sz w:val="16"/>
              </w:rPr>
              <w:t>reciproco</w:t>
            </w:r>
          </w:p>
        </w:tc>
      </w:tr>
      <w:tr>
        <w:trPr>
          <w:trHeight w:val="184" w:hRule="atLeast"/>
        </w:trPr>
        <w:tc>
          <w:tcPr>
            <w:tcW w:w="1078" w:type="dxa"/>
          </w:tcPr>
          <w:p>
            <w:pPr>
              <w:pStyle w:val="TableParagraph"/>
              <w:rPr>
                <w:rFonts w:ascii="Times New Roman"/>
                <w:sz w:val="12"/>
              </w:rPr>
            </w:pPr>
          </w:p>
        </w:tc>
        <w:tc>
          <w:tcPr>
            <w:tcW w:w="3891" w:type="dxa"/>
          </w:tcPr>
          <w:p>
            <w:pPr>
              <w:pStyle w:val="TableParagraph"/>
              <w:rPr>
                <w:rFonts w:ascii="Times New Roman"/>
                <w:sz w:val="12"/>
              </w:rPr>
            </w:pPr>
          </w:p>
        </w:tc>
        <w:tc>
          <w:tcPr>
            <w:tcW w:w="1844" w:type="dxa"/>
          </w:tcPr>
          <w:p>
            <w:pPr>
              <w:pStyle w:val="TableParagraph"/>
              <w:spacing w:line="163" w:lineRule="exact" w:before="1"/>
              <w:ind w:left="13"/>
              <w:jc w:val="center"/>
              <w:rPr>
                <w:sz w:val="16"/>
              </w:rPr>
            </w:pPr>
            <w:r>
              <w:rPr>
                <w:sz w:val="16"/>
              </w:rPr>
              <w:t>Restricción</w:t>
            </w:r>
            <w:r>
              <w:rPr>
                <w:spacing w:val="-11"/>
                <w:sz w:val="16"/>
              </w:rPr>
              <w:t> </w:t>
            </w:r>
            <w:r>
              <w:rPr>
                <w:spacing w:val="-2"/>
                <w:sz w:val="16"/>
              </w:rPr>
              <w:t>aduanas</w:t>
            </w:r>
          </w:p>
        </w:tc>
      </w:tr>
      <w:tr>
        <w:trPr>
          <w:trHeight w:val="367" w:hRule="atLeast"/>
        </w:trPr>
        <w:tc>
          <w:tcPr>
            <w:tcW w:w="1078" w:type="dxa"/>
          </w:tcPr>
          <w:p>
            <w:pPr>
              <w:pStyle w:val="TableParagraph"/>
              <w:spacing w:before="92"/>
              <w:ind w:right="108"/>
              <w:jc w:val="right"/>
              <w:rPr>
                <w:sz w:val="16"/>
              </w:rPr>
            </w:pPr>
            <w:r>
              <w:rPr>
                <w:spacing w:val="-2"/>
                <w:sz w:val="16"/>
              </w:rPr>
              <w:t>1006300010</w:t>
            </w:r>
          </w:p>
        </w:tc>
        <w:tc>
          <w:tcPr>
            <w:tcW w:w="3891" w:type="dxa"/>
          </w:tcPr>
          <w:p>
            <w:pPr>
              <w:pStyle w:val="TableParagraph"/>
              <w:spacing w:line="182" w:lineRule="exact"/>
              <w:ind w:left="69"/>
              <w:rPr>
                <w:sz w:val="16"/>
              </w:rPr>
            </w:pPr>
            <w:r>
              <w:rPr>
                <w:sz w:val="16"/>
              </w:rPr>
              <w:t>-</w:t>
            </w:r>
            <w:r>
              <w:rPr>
                <w:spacing w:val="-1"/>
                <w:sz w:val="16"/>
              </w:rPr>
              <w:t> </w:t>
            </w:r>
            <w:r>
              <w:rPr>
                <w:sz w:val="16"/>
              </w:rPr>
              <w:t>-</w:t>
            </w:r>
            <w:r>
              <w:rPr>
                <w:spacing w:val="-1"/>
                <w:sz w:val="16"/>
              </w:rPr>
              <w:t> </w:t>
            </w:r>
            <w:r>
              <w:rPr>
                <w:sz w:val="16"/>
              </w:rPr>
              <w:t>De</w:t>
            </w:r>
            <w:r>
              <w:rPr>
                <w:spacing w:val="-3"/>
                <w:sz w:val="16"/>
              </w:rPr>
              <w:t> </w:t>
            </w:r>
            <w:r>
              <w:rPr>
                <w:sz w:val="16"/>
              </w:rPr>
              <w:t>grano</w:t>
            </w:r>
            <w:r>
              <w:rPr>
                <w:spacing w:val="-3"/>
                <w:sz w:val="16"/>
              </w:rPr>
              <w:t> </w:t>
            </w:r>
            <w:r>
              <w:rPr>
                <w:sz w:val="16"/>
              </w:rPr>
              <w:t>corto</w:t>
            </w:r>
            <w:r>
              <w:rPr>
                <w:spacing w:val="-3"/>
                <w:sz w:val="16"/>
              </w:rPr>
              <w:t> </w:t>
            </w:r>
            <w:r>
              <w:rPr>
                <w:sz w:val="16"/>
              </w:rPr>
              <w:t>o</w:t>
            </w:r>
            <w:r>
              <w:rPr>
                <w:spacing w:val="-6"/>
                <w:sz w:val="16"/>
              </w:rPr>
              <w:t> </w:t>
            </w:r>
            <w:r>
              <w:rPr>
                <w:sz w:val="16"/>
              </w:rPr>
              <w:t>mediano</w:t>
            </w:r>
            <w:r>
              <w:rPr>
                <w:spacing w:val="-1"/>
                <w:sz w:val="16"/>
              </w:rPr>
              <w:t> </w:t>
            </w:r>
            <w:r>
              <w:rPr>
                <w:sz w:val="16"/>
              </w:rPr>
              <w:t>(largo</w:t>
            </w:r>
            <w:r>
              <w:rPr>
                <w:spacing w:val="-1"/>
                <w:sz w:val="16"/>
              </w:rPr>
              <w:t> </w:t>
            </w:r>
            <w:r>
              <w:rPr>
                <w:sz w:val="16"/>
              </w:rPr>
              <w:t>inferior</w:t>
            </w:r>
            <w:r>
              <w:rPr>
                <w:spacing w:val="-3"/>
                <w:sz w:val="16"/>
              </w:rPr>
              <w:t> </w:t>
            </w:r>
            <w:r>
              <w:rPr>
                <w:sz w:val="16"/>
              </w:rPr>
              <w:t>a</w:t>
            </w:r>
            <w:r>
              <w:rPr>
                <w:spacing w:val="-3"/>
                <w:sz w:val="16"/>
              </w:rPr>
              <w:t> </w:t>
            </w:r>
            <w:r>
              <w:rPr>
                <w:sz w:val="16"/>
              </w:rPr>
              <w:t>6</w:t>
            </w:r>
            <w:r>
              <w:rPr>
                <w:spacing w:val="-3"/>
                <w:sz w:val="16"/>
              </w:rPr>
              <w:t> </w:t>
            </w:r>
            <w:r>
              <w:rPr>
                <w:sz w:val="16"/>
              </w:rPr>
              <w:t>mm</w:t>
            </w:r>
            <w:r>
              <w:rPr>
                <w:spacing w:val="-2"/>
                <w:sz w:val="16"/>
              </w:rPr>
              <w:t> </w:t>
            </w:r>
            <w:r>
              <w:rPr>
                <w:sz w:val="16"/>
              </w:rPr>
              <w:t>y espesor inferior a 2,5 mm)</w:t>
            </w:r>
          </w:p>
        </w:tc>
        <w:tc>
          <w:tcPr>
            <w:tcW w:w="1844" w:type="dxa"/>
          </w:tcPr>
          <w:p>
            <w:pPr>
              <w:pStyle w:val="TableParagraph"/>
              <w:spacing w:before="92"/>
              <w:ind w:left="13" w:right="1"/>
              <w:jc w:val="center"/>
              <w:rPr>
                <w:sz w:val="16"/>
              </w:rPr>
            </w:pPr>
            <w:r>
              <w:rPr>
                <w:sz w:val="16"/>
              </w:rPr>
              <w:t>Arancel</w:t>
            </w:r>
            <w:r>
              <w:rPr>
                <w:spacing w:val="-3"/>
                <w:sz w:val="16"/>
              </w:rPr>
              <w:t> </w:t>
            </w:r>
            <w:r>
              <w:rPr>
                <w:spacing w:val="-2"/>
                <w:sz w:val="16"/>
              </w:rPr>
              <w:t>reciproco</w:t>
            </w:r>
          </w:p>
        </w:tc>
      </w:tr>
      <w:tr>
        <w:trPr>
          <w:trHeight w:val="184" w:hRule="atLeast"/>
        </w:trPr>
        <w:tc>
          <w:tcPr>
            <w:tcW w:w="1078" w:type="dxa"/>
          </w:tcPr>
          <w:p>
            <w:pPr>
              <w:pStyle w:val="TableParagraph"/>
              <w:rPr>
                <w:rFonts w:ascii="Times New Roman"/>
                <w:sz w:val="12"/>
              </w:rPr>
            </w:pPr>
          </w:p>
        </w:tc>
        <w:tc>
          <w:tcPr>
            <w:tcW w:w="3891" w:type="dxa"/>
          </w:tcPr>
          <w:p>
            <w:pPr>
              <w:pStyle w:val="TableParagraph"/>
              <w:rPr>
                <w:rFonts w:ascii="Times New Roman"/>
                <w:sz w:val="12"/>
              </w:rPr>
            </w:pPr>
          </w:p>
        </w:tc>
        <w:tc>
          <w:tcPr>
            <w:tcW w:w="1844" w:type="dxa"/>
          </w:tcPr>
          <w:p>
            <w:pPr>
              <w:pStyle w:val="TableParagraph"/>
              <w:spacing w:line="163" w:lineRule="exact" w:before="1"/>
              <w:ind w:left="13"/>
              <w:jc w:val="center"/>
              <w:rPr>
                <w:sz w:val="16"/>
              </w:rPr>
            </w:pPr>
            <w:r>
              <w:rPr>
                <w:sz w:val="16"/>
              </w:rPr>
              <w:t>Restricción</w:t>
            </w:r>
            <w:r>
              <w:rPr>
                <w:spacing w:val="-11"/>
                <w:sz w:val="16"/>
              </w:rPr>
              <w:t> </w:t>
            </w:r>
            <w:r>
              <w:rPr>
                <w:spacing w:val="-2"/>
                <w:sz w:val="16"/>
              </w:rPr>
              <w:t>aduanas</w:t>
            </w:r>
          </w:p>
        </w:tc>
      </w:tr>
      <w:tr>
        <w:trPr>
          <w:trHeight w:val="184" w:hRule="atLeast"/>
        </w:trPr>
        <w:tc>
          <w:tcPr>
            <w:tcW w:w="1078" w:type="dxa"/>
          </w:tcPr>
          <w:p>
            <w:pPr>
              <w:pStyle w:val="TableParagraph"/>
              <w:spacing w:line="163" w:lineRule="exact" w:before="1"/>
              <w:ind w:right="108"/>
              <w:jc w:val="right"/>
              <w:rPr>
                <w:sz w:val="16"/>
              </w:rPr>
            </w:pPr>
            <w:r>
              <w:rPr>
                <w:spacing w:val="-2"/>
                <w:sz w:val="16"/>
              </w:rPr>
              <w:t>1006300090</w:t>
            </w:r>
          </w:p>
        </w:tc>
        <w:tc>
          <w:tcPr>
            <w:tcW w:w="3891" w:type="dxa"/>
          </w:tcPr>
          <w:p>
            <w:pPr>
              <w:pStyle w:val="TableParagraph"/>
              <w:spacing w:line="163" w:lineRule="exact" w:before="1"/>
              <w:ind w:left="69"/>
              <w:rPr>
                <w:sz w:val="16"/>
              </w:rPr>
            </w:pPr>
            <w:r>
              <w:rPr>
                <w:sz w:val="16"/>
              </w:rPr>
              <w:t>-</w:t>
            </w:r>
            <w:r>
              <w:rPr>
                <w:spacing w:val="-1"/>
                <w:sz w:val="16"/>
              </w:rPr>
              <w:t> </w:t>
            </w:r>
            <w:r>
              <w:rPr>
                <w:sz w:val="16"/>
              </w:rPr>
              <w:t>-</w:t>
            </w:r>
            <w:r>
              <w:rPr>
                <w:spacing w:val="-1"/>
                <w:sz w:val="16"/>
              </w:rPr>
              <w:t> </w:t>
            </w:r>
            <w:r>
              <w:rPr>
                <w:sz w:val="16"/>
              </w:rPr>
              <w:t>Los</w:t>
            </w:r>
            <w:r>
              <w:rPr>
                <w:spacing w:val="-1"/>
                <w:sz w:val="16"/>
              </w:rPr>
              <w:t> </w:t>
            </w:r>
            <w:r>
              <w:rPr>
                <w:spacing w:val="-2"/>
                <w:sz w:val="16"/>
              </w:rPr>
              <w:t>demás</w:t>
            </w:r>
          </w:p>
        </w:tc>
        <w:tc>
          <w:tcPr>
            <w:tcW w:w="1844" w:type="dxa"/>
          </w:tcPr>
          <w:p>
            <w:pPr>
              <w:pStyle w:val="TableParagraph"/>
              <w:spacing w:line="163" w:lineRule="exact" w:before="1"/>
              <w:ind w:left="13" w:right="1"/>
              <w:jc w:val="center"/>
              <w:rPr>
                <w:sz w:val="16"/>
              </w:rPr>
            </w:pPr>
            <w:r>
              <w:rPr>
                <w:sz w:val="16"/>
              </w:rPr>
              <w:t>Arancel</w:t>
            </w:r>
            <w:r>
              <w:rPr>
                <w:spacing w:val="-3"/>
                <w:sz w:val="16"/>
              </w:rPr>
              <w:t> </w:t>
            </w:r>
            <w:r>
              <w:rPr>
                <w:spacing w:val="-2"/>
                <w:sz w:val="16"/>
              </w:rPr>
              <w:t>reciproco</w:t>
            </w:r>
          </w:p>
        </w:tc>
      </w:tr>
      <w:tr>
        <w:trPr>
          <w:trHeight w:val="184" w:hRule="atLeast"/>
        </w:trPr>
        <w:tc>
          <w:tcPr>
            <w:tcW w:w="1078" w:type="dxa"/>
          </w:tcPr>
          <w:p>
            <w:pPr>
              <w:pStyle w:val="TableParagraph"/>
              <w:rPr>
                <w:rFonts w:ascii="Times New Roman"/>
                <w:sz w:val="12"/>
              </w:rPr>
            </w:pPr>
          </w:p>
        </w:tc>
        <w:tc>
          <w:tcPr>
            <w:tcW w:w="3891" w:type="dxa"/>
          </w:tcPr>
          <w:p>
            <w:pPr>
              <w:pStyle w:val="TableParagraph"/>
              <w:rPr>
                <w:rFonts w:ascii="Times New Roman"/>
                <w:sz w:val="12"/>
              </w:rPr>
            </w:pPr>
          </w:p>
        </w:tc>
        <w:tc>
          <w:tcPr>
            <w:tcW w:w="1844" w:type="dxa"/>
          </w:tcPr>
          <w:p>
            <w:pPr>
              <w:pStyle w:val="TableParagraph"/>
              <w:spacing w:line="163" w:lineRule="exact" w:before="1"/>
              <w:ind w:left="13"/>
              <w:jc w:val="center"/>
              <w:rPr>
                <w:sz w:val="16"/>
              </w:rPr>
            </w:pPr>
            <w:r>
              <w:rPr>
                <w:sz w:val="16"/>
              </w:rPr>
              <w:t>Restricción</w:t>
            </w:r>
            <w:r>
              <w:rPr>
                <w:spacing w:val="-11"/>
                <w:sz w:val="16"/>
              </w:rPr>
              <w:t> </w:t>
            </w:r>
            <w:r>
              <w:rPr>
                <w:spacing w:val="-2"/>
                <w:sz w:val="16"/>
              </w:rPr>
              <w:t>aduanas</w:t>
            </w:r>
          </w:p>
        </w:tc>
      </w:tr>
      <w:tr>
        <w:trPr>
          <w:trHeight w:val="184" w:hRule="atLeast"/>
        </w:trPr>
        <w:tc>
          <w:tcPr>
            <w:tcW w:w="1078" w:type="dxa"/>
          </w:tcPr>
          <w:p>
            <w:pPr>
              <w:pStyle w:val="TableParagraph"/>
              <w:spacing w:line="163" w:lineRule="exact" w:before="1"/>
              <w:ind w:right="108"/>
              <w:jc w:val="right"/>
              <w:rPr>
                <w:sz w:val="16"/>
              </w:rPr>
            </w:pPr>
            <w:r>
              <w:rPr>
                <w:spacing w:val="-2"/>
                <w:sz w:val="16"/>
              </w:rPr>
              <w:t>1006400000</w:t>
            </w:r>
          </w:p>
        </w:tc>
        <w:tc>
          <w:tcPr>
            <w:tcW w:w="3891" w:type="dxa"/>
          </w:tcPr>
          <w:p>
            <w:pPr>
              <w:pStyle w:val="TableParagraph"/>
              <w:spacing w:line="163" w:lineRule="exact" w:before="1"/>
              <w:ind w:left="69"/>
              <w:rPr>
                <w:sz w:val="16"/>
              </w:rPr>
            </w:pPr>
            <w:r>
              <w:rPr>
                <w:sz w:val="16"/>
              </w:rPr>
              <w:t>-</w:t>
            </w:r>
            <w:r>
              <w:rPr>
                <w:spacing w:val="-2"/>
                <w:sz w:val="16"/>
              </w:rPr>
              <w:t> </w:t>
            </w:r>
            <w:r>
              <w:rPr>
                <w:sz w:val="16"/>
              </w:rPr>
              <w:t>Arroz</w:t>
            </w:r>
            <w:r>
              <w:rPr>
                <w:spacing w:val="1"/>
                <w:sz w:val="16"/>
              </w:rPr>
              <w:t> </w:t>
            </w:r>
            <w:r>
              <w:rPr>
                <w:spacing w:val="-2"/>
                <w:sz w:val="16"/>
              </w:rPr>
              <w:t>partido</w:t>
            </w:r>
          </w:p>
        </w:tc>
        <w:tc>
          <w:tcPr>
            <w:tcW w:w="1844" w:type="dxa"/>
          </w:tcPr>
          <w:p>
            <w:pPr>
              <w:pStyle w:val="TableParagraph"/>
              <w:spacing w:line="163" w:lineRule="exact" w:before="1"/>
              <w:ind w:left="13" w:right="1"/>
              <w:jc w:val="center"/>
              <w:rPr>
                <w:sz w:val="16"/>
              </w:rPr>
            </w:pPr>
            <w:r>
              <w:rPr>
                <w:sz w:val="16"/>
              </w:rPr>
              <w:t>Arancel</w:t>
            </w:r>
            <w:r>
              <w:rPr>
                <w:spacing w:val="-3"/>
                <w:sz w:val="16"/>
              </w:rPr>
              <w:t> </w:t>
            </w:r>
            <w:r>
              <w:rPr>
                <w:spacing w:val="-2"/>
                <w:sz w:val="16"/>
              </w:rPr>
              <w:t>reciproco</w:t>
            </w:r>
          </w:p>
        </w:tc>
      </w:tr>
      <w:tr>
        <w:trPr>
          <w:trHeight w:val="184" w:hRule="atLeast"/>
        </w:trPr>
        <w:tc>
          <w:tcPr>
            <w:tcW w:w="1078" w:type="dxa"/>
          </w:tcPr>
          <w:p>
            <w:pPr>
              <w:pStyle w:val="TableParagraph"/>
              <w:rPr>
                <w:rFonts w:ascii="Times New Roman"/>
                <w:sz w:val="12"/>
              </w:rPr>
            </w:pPr>
          </w:p>
        </w:tc>
        <w:tc>
          <w:tcPr>
            <w:tcW w:w="3891" w:type="dxa"/>
          </w:tcPr>
          <w:p>
            <w:pPr>
              <w:pStyle w:val="TableParagraph"/>
              <w:rPr>
                <w:rFonts w:ascii="Times New Roman"/>
                <w:sz w:val="12"/>
              </w:rPr>
            </w:pPr>
          </w:p>
        </w:tc>
        <w:tc>
          <w:tcPr>
            <w:tcW w:w="1844" w:type="dxa"/>
          </w:tcPr>
          <w:p>
            <w:pPr>
              <w:pStyle w:val="TableParagraph"/>
              <w:spacing w:line="164" w:lineRule="exact"/>
              <w:ind w:left="13"/>
              <w:jc w:val="center"/>
              <w:rPr>
                <w:sz w:val="16"/>
              </w:rPr>
            </w:pPr>
            <w:r>
              <w:rPr>
                <w:sz w:val="16"/>
              </w:rPr>
              <w:t>Restricción</w:t>
            </w:r>
            <w:r>
              <w:rPr>
                <w:spacing w:val="-11"/>
                <w:sz w:val="16"/>
              </w:rPr>
              <w:t> </w:t>
            </w:r>
            <w:r>
              <w:rPr>
                <w:spacing w:val="-2"/>
                <w:sz w:val="16"/>
              </w:rPr>
              <w:t>aduanas</w:t>
            </w:r>
          </w:p>
        </w:tc>
      </w:tr>
    </w:tbl>
    <w:p>
      <w:pPr>
        <w:spacing w:before="5"/>
        <w:ind w:left="1420" w:right="7561" w:firstLine="0"/>
        <w:jc w:val="left"/>
        <w:rPr>
          <w:rFonts w:ascii="Arial" w:hAnsi="Arial"/>
          <w:b/>
          <w:sz w:val="16"/>
        </w:rPr>
      </w:pPr>
      <w:r>
        <w:rPr>
          <w:rFonts w:ascii="Arial" w:hAnsi="Arial"/>
          <w:b/>
          <w:sz w:val="16"/>
        </w:rPr>
        <w:t>Fuente: SICEXT. Elaboración:</w:t>
      </w:r>
      <w:r>
        <w:rPr>
          <w:rFonts w:ascii="Arial" w:hAnsi="Arial"/>
          <w:b/>
          <w:spacing w:val="-12"/>
          <w:sz w:val="16"/>
        </w:rPr>
        <w:t> </w:t>
      </w:r>
      <w:r>
        <w:rPr>
          <w:rFonts w:ascii="Arial" w:hAnsi="Arial"/>
          <w:b/>
          <w:sz w:val="16"/>
        </w:rPr>
        <w:t>SGCAN.</w:t>
      </w:r>
    </w:p>
    <w:p>
      <w:pPr>
        <w:pStyle w:val="BodyText"/>
        <w:spacing w:before="68"/>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Por</w:t>
      </w:r>
      <w:r>
        <w:rPr>
          <w:spacing w:val="-2"/>
          <w:sz w:val="22"/>
        </w:rPr>
        <w:t> </w:t>
      </w:r>
      <w:r>
        <w:rPr>
          <w:sz w:val="22"/>
        </w:rPr>
        <w:t>último,</w:t>
      </w:r>
      <w:r>
        <w:rPr>
          <w:spacing w:val="-4"/>
          <w:sz w:val="22"/>
        </w:rPr>
        <w:t> </w:t>
      </w:r>
      <w:r>
        <w:rPr>
          <w:sz w:val="22"/>
        </w:rPr>
        <w:t>el</w:t>
      </w:r>
      <w:r>
        <w:rPr>
          <w:spacing w:val="-3"/>
          <w:sz w:val="22"/>
        </w:rPr>
        <w:t> </w:t>
      </w:r>
      <w:r>
        <w:rPr>
          <w:sz w:val="22"/>
        </w:rPr>
        <w:t>artículo</w:t>
      </w:r>
      <w:r>
        <w:rPr>
          <w:spacing w:val="-3"/>
          <w:sz w:val="22"/>
        </w:rPr>
        <w:t> </w:t>
      </w:r>
      <w:r>
        <w:rPr>
          <w:sz w:val="22"/>
        </w:rPr>
        <w:t>4</w:t>
      </w:r>
      <w:r>
        <w:rPr>
          <w:spacing w:val="-5"/>
          <w:sz w:val="22"/>
        </w:rPr>
        <w:t> </w:t>
      </w:r>
      <w:r>
        <w:rPr>
          <w:sz w:val="22"/>
        </w:rPr>
        <w:t>del</w:t>
      </w:r>
      <w:r>
        <w:rPr>
          <w:spacing w:val="-4"/>
          <w:sz w:val="22"/>
        </w:rPr>
        <w:t> </w:t>
      </w:r>
      <w:r>
        <w:rPr>
          <w:sz w:val="22"/>
        </w:rPr>
        <w:t>mencionado</w:t>
      </w:r>
      <w:r>
        <w:rPr>
          <w:spacing w:val="-5"/>
          <w:sz w:val="22"/>
        </w:rPr>
        <w:t> </w:t>
      </w:r>
      <w:r>
        <w:rPr>
          <w:sz w:val="22"/>
        </w:rPr>
        <w:t>Decreto</w:t>
      </w:r>
      <w:r>
        <w:rPr>
          <w:spacing w:val="-3"/>
          <w:sz w:val="22"/>
        </w:rPr>
        <w:t> </w:t>
      </w:r>
      <w:r>
        <w:rPr>
          <w:sz w:val="22"/>
        </w:rPr>
        <w:t>establece</w:t>
      </w:r>
      <w:r>
        <w:rPr>
          <w:spacing w:val="-3"/>
          <w:sz w:val="22"/>
        </w:rPr>
        <w:t> </w:t>
      </w:r>
      <w:r>
        <w:rPr>
          <w:sz w:val="22"/>
        </w:rPr>
        <w:t>una</w:t>
      </w:r>
      <w:r>
        <w:rPr>
          <w:spacing w:val="-5"/>
          <w:sz w:val="22"/>
        </w:rPr>
        <w:t> </w:t>
      </w:r>
      <w:r>
        <w:rPr>
          <w:sz w:val="22"/>
        </w:rPr>
        <w:t>disposición</w:t>
      </w:r>
      <w:r>
        <w:rPr>
          <w:spacing w:val="-5"/>
          <w:sz w:val="22"/>
        </w:rPr>
        <w:t> </w:t>
      </w:r>
      <w:r>
        <w:rPr>
          <w:sz w:val="22"/>
        </w:rPr>
        <w:t>aplicable</w:t>
      </w:r>
      <w:r>
        <w:rPr>
          <w:spacing w:val="-3"/>
          <w:sz w:val="22"/>
        </w:rPr>
        <w:t> </w:t>
      </w:r>
      <w:r>
        <w:rPr>
          <w:sz w:val="22"/>
        </w:rPr>
        <w:t>en caso de incumplimiento</w:t>
      </w:r>
      <w:r>
        <w:rPr>
          <w:spacing w:val="-2"/>
          <w:sz w:val="22"/>
        </w:rPr>
        <w:t> </w:t>
      </w:r>
      <w:r>
        <w:rPr>
          <w:sz w:val="22"/>
        </w:rPr>
        <w:t>de lo previsto en los anteriores 3 artículos, disponiendo que su inobservancia dará lugar a la aprehensión de mercancías y del medio de transporte.</w:t>
      </w:r>
    </w:p>
    <w:p>
      <w:pPr>
        <w:pStyle w:val="BodyText"/>
        <w:spacing w:before="241"/>
      </w:pPr>
    </w:p>
    <w:p>
      <w:pPr>
        <w:pStyle w:val="Heading5"/>
        <w:numPr>
          <w:ilvl w:val="0"/>
          <w:numId w:val="49"/>
        </w:numPr>
        <w:tabs>
          <w:tab w:pos="850" w:val="left" w:leader="none"/>
        </w:tabs>
        <w:spacing w:line="240" w:lineRule="auto" w:before="0" w:after="0"/>
        <w:ind w:left="850" w:right="0" w:hanging="282"/>
        <w:jc w:val="left"/>
        <w:rPr>
          <w:rFonts w:ascii="Arial MT"/>
          <w:b w:val="0"/>
        </w:rPr>
      </w:pPr>
      <w:r>
        <w:rPr/>
        <w:t>NORMAS</w:t>
      </w:r>
      <w:r>
        <w:rPr>
          <w:spacing w:val="-7"/>
        </w:rPr>
        <w:t> </w:t>
      </w:r>
      <w:r>
        <w:rPr>
          <w:spacing w:val="-2"/>
        </w:rPr>
        <w:t>APLICABLES</w:t>
      </w:r>
    </w:p>
    <w:p>
      <w:pPr>
        <w:pStyle w:val="BodyText"/>
        <w:spacing w:before="1"/>
        <w:rPr>
          <w:rFonts w:ascii="Arial"/>
          <w:b/>
        </w:rPr>
      </w:pPr>
    </w:p>
    <w:p>
      <w:pPr>
        <w:pStyle w:val="ListParagraph"/>
        <w:numPr>
          <w:ilvl w:val="1"/>
          <w:numId w:val="49"/>
        </w:numPr>
        <w:tabs>
          <w:tab w:pos="1276" w:val="left" w:leader="none"/>
        </w:tabs>
        <w:spacing w:line="240" w:lineRule="auto" w:before="0" w:after="0"/>
        <w:ind w:left="1276" w:right="0" w:hanging="708"/>
        <w:jc w:val="left"/>
        <w:rPr>
          <w:rFonts w:ascii="Arial" w:hAnsi="Arial"/>
          <w:b/>
          <w:sz w:val="22"/>
        </w:rPr>
      </w:pPr>
      <w:r>
        <w:rPr>
          <w:rFonts w:ascii="Arial" w:hAnsi="Arial"/>
          <w:b/>
          <w:sz w:val="22"/>
        </w:rPr>
        <w:t>SOBRE</w:t>
      </w:r>
      <w:r>
        <w:rPr>
          <w:rFonts w:ascii="Arial" w:hAnsi="Arial"/>
          <w:b/>
          <w:spacing w:val="-7"/>
          <w:sz w:val="22"/>
        </w:rPr>
        <w:t> </w:t>
      </w:r>
      <w:r>
        <w:rPr>
          <w:rFonts w:ascii="Arial" w:hAnsi="Arial"/>
          <w:b/>
          <w:sz w:val="22"/>
        </w:rPr>
        <w:t>EL</w:t>
      </w:r>
      <w:r>
        <w:rPr>
          <w:rFonts w:ascii="Arial" w:hAnsi="Arial"/>
          <w:b/>
          <w:spacing w:val="-5"/>
          <w:sz w:val="22"/>
        </w:rPr>
        <w:t> </w:t>
      </w:r>
      <w:r>
        <w:rPr>
          <w:rFonts w:ascii="Arial" w:hAnsi="Arial"/>
          <w:b/>
          <w:sz w:val="22"/>
        </w:rPr>
        <w:t>PROGRAMA</w:t>
      </w:r>
      <w:r>
        <w:rPr>
          <w:rFonts w:ascii="Arial" w:hAnsi="Arial"/>
          <w:b/>
          <w:spacing w:val="-2"/>
          <w:sz w:val="22"/>
        </w:rPr>
        <w:t> </w:t>
      </w:r>
      <w:r>
        <w:rPr>
          <w:rFonts w:ascii="Arial" w:hAnsi="Arial"/>
          <w:b/>
          <w:sz w:val="22"/>
        </w:rPr>
        <w:t>DE</w:t>
      </w:r>
      <w:r>
        <w:rPr>
          <w:rFonts w:ascii="Arial" w:hAnsi="Arial"/>
          <w:b/>
          <w:spacing w:val="-7"/>
          <w:sz w:val="22"/>
        </w:rPr>
        <w:t> </w:t>
      </w:r>
      <w:r>
        <w:rPr>
          <w:rFonts w:ascii="Arial" w:hAnsi="Arial"/>
          <w:b/>
          <w:spacing w:val="-2"/>
          <w:sz w:val="22"/>
        </w:rPr>
        <w:t>LIBERACIÓN</w:t>
      </w:r>
    </w:p>
    <w:p>
      <w:pPr>
        <w:pStyle w:val="BodyText"/>
        <w:rPr>
          <w:rFonts w:ascii="Arial"/>
          <w:b/>
        </w:rPr>
      </w:pPr>
    </w:p>
    <w:p>
      <w:pPr>
        <w:pStyle w:val="ListParagraph"/>
        <w:numPr>
          <w:ilvl w:val="0"/>
          <w:numId w:val="50"/>
        </w:numPr>
        <w:tabs>
          <w:tab w:pos="1130" w:val="left" w:leader="none"/>
          <w:tab w:pos="1134" w:val="left" w:leader="none"/>
        </w:tabs>
        <w:spacing w:line="240" w:lineRule="auto" w:before="1" w:after="0"/>
        <w:ind w:left="1134" w:right="982" w:hanging="567"/>
        <w:jc w:val="both"/>
        <w:rPr>
          <w:sz w:val="22"/>
        </w:rPr>
      </w:pPr>
      <w:r>
        <w:rPr>
          <w:sz w:val="22"/>
        </w:rPr>
        <w:t>La</w:t>
      </w:r>
      <w:r>
        <w:rPr>
          <w:spacing w:val="-8"/>
          <w:sz w:val="22"/>
        </w:rPr>
        <w:t> </w:t>
      </w:r>
      <w:r>
        <w:rPr>
          <w:sz w:val="22"/>
        </w:rPr>
        <w:t>Comunidad</w:t>
      </w:r>
      <w:r>
        <w:rPr>
          <w:spacing w:val="-7"/>
          <w:sz w:val="22"/>
        </w:rPr>
        <w:t> </w:t>
      </w:r>
      <w:r>
        <w:rPr>
          <w:sz w:val="22"/>
        </w:rPr>
        <w:t>Andina,</w:t>
      </w:r>
      <w:r>
        <w:rPr>
          <w:spacing w:val="-6"/>
          <w:sz w:val="22"/>
        </w:rPr>
        <w:t> </w:t>
      </w:r>
      <w:r>
        <w:rPr>
          <w:sz w:val="22"/>
        </w:rPr>
        <w:t>integrada</w:t>
      </w:r>
      <w:r>
        <w:rPr>
          <w:spacing w:val="-7"/>
          <w:sz w:val="22"/>
        </w:rPr>
        <w:t> </w:t>
      </w:r>
      <w:r>
        <w:rPr>
          <w:sz w:val="22"/>
        </w:rPr>
        <w:t>por</w:t>
      </w:r>
      <w:r>
        <w:rPr>
          <w:spacing w:val="-6"/>
          <w:sz w:val="22"/>
        </w:rPr>
        <w:t> </w:t>
      </w:r>
      <w:r>
        <w:rPr>
          <w:sz w:val="22"/>
        </w:rPr>
        <w:t>el</w:t>
      </w:r>
      <w:r>
        <w:rPr>
          <w:spacing w:val="-8"/>
          <w:sz w:val="22"/>
        </w:rPr>
        <w:t> </w:t>
      </w:r>
      <w:r>
        <w:rPr>
          <w:sz w:val="22"/>
        </w:rPr>
        <w:t>Estado</w:t>
      </w:r>
      <w:r>
        <w:rPr>
          <w:spacing w:val="-7"/>
          <w:sz w:val="22"/>
        </w:rPr>
        <w:t> </w:t>
      </w:r>
      <w:r>
        <w:rPr>
          <w:sz w:val="22"/>
        </w:rPr>
        <w:t>Plurinacional</w:t>
      </w:r>
      <w:r>
        <w:rPr>
          <w:spacing w:val="-8"/>
          <w:sz w:val="22"/>
        </w:rPr>
        <w:t> </w:t>
      </w:r>
      <w:r>
        <w:rPr>
          <w:sz w:val="22"/>
        </w:rPr>
        <w:t>de</w:t>
      </w:r>
      <w:r>
        <w:rPr>
          <w:spacing w:val="-8"/>
          <w:sz w:val="22"/>
        </w:rPr>
        <w:t> </w:t>
      </w:r>
      <w:r>
        <w:rPr>
          <w:sz w:val="22"/>
        </w:rPr>
        <w:t>Bolivia,</w:t>
      </w:r>
      <w:r>
        <w:rPr>
          <w:spacing w:val="-6"/>
          <w:sz w:val="22"/>
        </w:rPr>
        <w:t> </w:t>
      </w:r>
      <w:r>
        <w:rPr>
          <w:sz w:val="22"/>
        </w:rPr>
        <w:t>la</w:t>
      </w:r>
      <w:r>
        <w:rPr>
          <w:spacing w:val="-7"/>
          <w:sz w:val="22"/>
        </w:rPr>
        <w:t> </w:t>
      </w:r>
      <w:r>
        <w:rPr>
          <w:sz w:val="22"/>
        </w:rPr>
        <w:t>República</w:t>
      </w:r>
      <w:r>
        <w:rPr>
          <w:spacing w:val="-7"/>
          <w:sz w:val="22"/>
        </w:rPr>
        <w:t> </w:t>
      </w:r>
      <w:r>
        <w:rPr>
          <w:sz w:val="22"/>
        </w:rPr>
        <w:t>de Colombia, la República del Ecuador y la República del Perú, es un acuerdo de integración subregional, con más de 56 años de existencia, cuyos objetivos tienen la finalidad, según el inciso 3 del artículo 1 del Acuerdo de Cartagena, de procurar un mejoramiento persistente de la calidad de vida de la población andina.</w:t>
      </w:r>
    </w:p>
    <w:p>
      <w:pPr>
        <w:pStyle w:val="ListParagraph"/>
        <w:numPr>
          <w:ilvl w:val="0"/>
          <w:numId w:val="50"/>
        </w:numPr>
        <w:tabs>
          <w:tab w:pos="1130" w:val="left" w:leader="none"/>
          <w:tab w:pos="1134" w:val="left" w:leader="none"/>
        </w:tabs>
        <w:spacing w:line="240" w:lineRule="auto" w:before="251" w:after="0"/>
        <w:ind w:left="1134" w:right="982" w:hanging="567"/>
        <w:jc w:val="both"/>
        <w:rPr>
          <w:sz w:val="22"/>
        </w:rPr>
      </w:pPr>
      <w:r>
        <w:rPr>
          <w:sz w:val="22"/>
        </w:rPr>
        <w:t>Para el logro de sus objetivos, el literal d) del artículo 3 del Acuerdo de Cartagena dispone que se emplearán como mecanismos y medidas, entre otros, el Programa de Liberación del intercambio comercial.</w:t>
      </w:r>
    </w:p>
    <w:p>
      <w:pPr>
        <w:pStyle w:val="BodyText"/>
        <w:spacing w:before="2"/>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De</w:t>
      </w:r>
      <w:r>
        <w:rPr>
          <w:spacing w:val="-6"/>
          <w:sz w:val="22"/>
        </w:rPr>
        <w:t> </w:t>
      </w:r>
      <w:r>
        <w:rPr>
          <w:sz w:val="22"/>
        </w:rPr>
        <w:t>acuerdo</w:t>
      </w:r>
      <w:r>
        <w:rPr>
          <w:spacing w:val="-9"/>
          <w:sz w:val="22"/>
        </w:rPr>
        <w:t> </w:t>
      </w:r>
      <w:r>
        <w:rPr>
          <w:sz w:val="22"/>
        </w:rPr>
        <w:t>con</w:t>
      </w:r>
      <w:r>
        <w:rPr>
          <w:spacing w:val="-9"/>
          <w:sz w:val="22"/>
        </w:rPr>
        <w:t> </w:t>
      </w:r>
      <w:r>
        <w:rPr>
          <w:sz w:val="22"/>
        </w:rPr>
        <w:t>la</w:t>
      </w:r>
      <w:r>
        <w:rPr>
          <w:spacing w:val="-9"/>
          <w:sz w:val="22"/>
        </w:rPr>
        <w:t> </w:t>
      </w:r>
      <w:r>
        <w:rPr>
          <w:sz w:val="22"/>
        </w:rPr>
        <w:t>jurisprudencia</w:t>
      </w:r>
      <w:r>
        <w:rPr>
          <w:spacing w:val="-6"/>
          <w:sz w:val="22"/>
        </w:rPr>
        <w:t> </w:t>
      </w:r>
      <w:r>
        <w:rPr>
          <w:sz w:val="22"/>
        </w:rPr>
        <w:t>del</w:t>
      </w:r>
      <w:r>
        <w:rPr>
          <w:spacing w:val="-7"/>
          <w:sz w:val="22"/>
        </w:rPr>
        <w:t> </w:t>
      </w:r>
      <w:r>
        <w:rPr>
          <w:sz w:val="22"/>
        </w:rPr>
        <w:t>TJCAN</w:t>
      </w:r>
      <w:r>
        <w:rPr>
          <w:spacing w:val="-7"/>
          <w:sz w:val="22"/>
        </w:rPr>
        <w:t> </w:t>
      </w:r>
      <w:r>
        <w:rPr>
          <w:sz w:val="22"/>
        </w:rPr>
        <w:t>en</w:t>
      </w:r>
      <w:r>
        <w:rPr>
          <w:spacing w:val="-9"/>
          <w:sz w:val="22"/>
        </w:rPr>
        <w:t> </w:t>
      </w:r>
      <w:r>
        <w:rPr>
          <w:sz w:val="22"/>
        </w:rPr>
        <w:t>el</w:t>
      </w:r>
      <w:r>
        <w:rPr>
          <w:spacing w:val="-10"/>
          <w:sz w:val="22"/>
        </w:rPr>
        <w:t> </w:t>
      </w:r>
      <w:r>
        <w:rPr>
          <w:sz w:val="22"/>
        </w:rPr>
        <w:t>Proceso</w:t>
      </w:r>
      <w:r>
        <w:rPr>
          <w:spacing w:val="-9"/>
          <w:sz w:val="22"/>
        </w:rPr>
        <w:t> </w:t>
      </w:r>
      <w:r>
        <w:rPr>
          <w:sz w:val="22"/>
        </w:rPr>
        <w:t>118-AI-2003</w:t>
      </w:r>
      <w:hyperlink w:history="true" w:anchor="_bookmark90">
        <w:r>
          <w:rPr>
            <w:sz w:val="22"/>
            <w:vertAlign w:val="superscript"/>
          </w:rPr>
          <w:t>23</w:t>
        </w:r>
        <w:r>
          <w:rPr>
            <w:sz w:val="22"/>
            <w:vertAlign w:val="baseline"/>
          </w:rPr>
          <w:t>,</w:t>
        </w:r>
      </w:hyperlink>
      <w:r>
        <w:rPr>
          <w:spacing w:val="-5"/>
          <w:sz w:val="22"/>
          <w:vertAlign w:val="baseline"/>
        </w:rPr>
        <w:t> </w:t>
      </w:r>
      <w:r>
        <w:rPr>
          <w:sz w:val="22"/>
          <w:vertAlign w:val="baseline"/>
        </w:rPr>
        <w:t>el</w:t>
      </w:r>
      <w:r>
        <w:rPr>
          <w:spacing w:val="-10"/>
          <w:sz w:val="22"/>
          <w:vertAlign w:val="baseline"/>
        </w:rPr>
        <w:t> </w:t>
      </w:r>
      <w:r>
        <w:rPr>
          <w:sz w:val="22"/>
          <w:vertAlign w:val="baseline"/>
        </w:rPr>
        <w:t>“</w:t>
      </w:r>
      <w:r>
        <w:rPr>
          <w:rFonts w:ascii="Arial" w:hAnsi="Arial"/>
          <w:i/>
          <w:sz w:val="22"/>
          <w:vertAlign w:val="baseline"/>
        </w:rPr>
        <w:t>Programa de Liberación, es considerado como uno de los instrumentos fundamentales para alcanzar</w:t>
      </w:r>
      <w:r>
        <w:rPr>
          <w:rFonts w:ascii="Arial" w:hAnsi="Arial"/>
          <w:i/>
          <w:spacing w:val="-9"/>
          <w:sz w:val="22"/>
          <w:vertAlign w:val="baseline"/>
        </w:rPr>
        <w:t> </w:t>
      </w:r>
      <w:r>
        <w:rPr>
          <w:rFonts w:ascii="Arial" w:hAnsi="Arial"/>
          <w:i/>
          <w:sz w:val="22"/>
          <w:vertAlign w:val="baseline"/>
        </w:rPr>
        <w:t>los</w:t>
      </w:r>
      <w:r>
        <w:rPr>
          <w:rFonts w:ascii="Arial" w:hAnsi="Arial"/>
          <w:i/>
          <w:spacing w:val="-11"/>
          <w:sz w:val="22"/>
          <w:vertAlign w:val="baseline"/>
        </w:rPr>
        <w:t> </w:t>
      </w:r>
      <w:r>
        <w:rPr>
          <w:rFonts w:ascii="Arial" w:hAnsi="Arial"/>
          <w:i/>
          <w:sz w:val="22"/>
          <w:vertAlign w:val="baseline"/>
        </w:rPr>
        <w:t>objetivos</w:t>
      </w:r>
      <w:r>
        <w:rPr>
          <w:rFonts w:ascii="Arial" w:hAnsi="Arial"/>
          <w:i/>
          <w:spacing w:val="-11"/>
          <w:sz w:val="22"/>
          <w:vertAlign w:val="baseline"/>
        </w:rPr>
        <w:t> </w:t>
      </w:r>
      <w:r>
        <w:rPr>
          <w:rFonts w:ascii="Arial" w:hAnsi="Arial"/>
          <w:i/>
          <w:sz w:val="22"/>
          <w:vertAlign w:val="baseline"/>
        </w:rPr>
        <w:t>del</w:t>
      </w:r>
      <w:r>
        <w:rPr>
          <w:rFonts w:ascii="Arial" w:hAnsi="Arial"/>
          <w:i/>
          <w:spacing w:val="-12"/>
          <w:sz w:val="22"/>
          <w:vertAlign w:val="baseline"/>
        </w:rPr>
        <w:t> </w:t>
      </w:r>
      <w:r>
        <w:rPr>
          <w:rFonts w:ascii="Arial" w:hAnsi="Arial"/>
          <w:i/>
          <w:sz w:val="22"/>
          <w:vertAlign w:val="baseline"/>
        </w:rPr>
        <w:t>Acuerdo.</w:t>
      </w:r>
      <w:r>
        <w:rPr>
          <w:rFonts w:ascii="Arial" w:hAnsi="Arial"/>
          <w:i/>
          <w:spacing w:val="-10"/>
          <w:sz w:val="22"/>
          <w:vertAlign w:val="baseline"/>
        </w:rPr>
        <w:t> </w:t>
      </w:r>
      <w:r>
        <w:rPr>
          <w:rFonts w:ascii="Arial" w:hAnsi="Arial"/>
          <w:i/>
          <w:sz w:val="22"/>
          <w:vertAlign w:val="baseline"/>
        </w:rPr>
        <w:t>En</w:t>
      </w:r>
      <w:r>
        <w:rPr>
          <w:rFonts w:ascii="Arial" w:hAnsi="Arial"/>
          <w:i/>
          <w:spacing w:val="-11"/>
          <w:sz w:val="22"/>
          <w:vertAlign w:val="baseline"/>
        </w:rPr>
        <w:t> </w:t>
      </w:r>
      <w:r>
        <w:rPr>
          <w:rFonts w:ascii="Arial" w:hAnsi="Arial"/>
          <w:i/>
          <w:sz w:val="22"/>
          <w:vertAlign w:val="baseline"/>
        </w:rPr>
        <w:t>efecto,</w:t>
      </w:r>
      <w:r>
        <w:rPr>
          <w:rFonts w:ascii="Arial" w:hAnsi="Arial"/>
          <w:i/>
          <w:spacing w:val="-10"/>
          <w:sz w:val="22"/>
          <w:vertAlign w:val="baseline"/>
        </w:rPr>
        <w:t> </w:t>
      </w:r>
      <w:r>
        <w:rPr>
          <w:rFonts w:ascii="Arial" w:hAnsi="Arial"/>
          <w:i/>
          <w:sz w:val="22"/>
          <w:vertAlign w:val="baseline"/>
        </w:rPr>
        <w:t>el</w:t>
      </w:r>
      <w:r>
        <w:rPr>
          <w:rFonts w:ascii="Arial" w:hAnsi="Arial"/>
          <w:i/>
          <w:spacing w:val="-12"/>
          <w:sz w:val="22"/>
          <w:vertAlign w:val="baseline"/>
        </w:rPr>
        <w:t> </w:t>
      </w:r>
      <w:r>
        <w:rPr>
          <w:rFonts w:ascii="Arial" w:hAnsi="Arial"/>
          <w:i/>
          <w:sz w:val="22"/>
          <w:vertAlign w:val="baseline"/>
        </w:rPr>
        <w:t>objetivo</w:t>
      </w:r>
      <w:r>
        <w:rPr>
          <w:rFonts w:ascii="Arial" w:hAnsi="Arial"/>
          <w:i/>
          <w:spacing w:val="-10"/>
          <w:sz w:val="22"/>
          <w:vertAlign w:val="baseline"/>
        </w:rPr>
        <w:t> </w:t>
      </w:r>
      <w:r>
        <w:rPr>
          <w:rFonts w:ascii="Arial" w:hAnsi="Arial"/>
          <w:i/>
          <w:sz w:val="22"/>
          <w:vertAlign w:val="baseline"/>
        </w:rPr>
        <w:t>final</w:t>
      </w:r>
      <w:r>
        <w:rPr>
          <w:rFonts w:ascii="Arial" w:hAnsi="Arial"/>
          <w:i/>
          <w:spacing w:val="-12"/>
          <w:sz w:val="22"/>
          <w:vertAlign w:val="baseline"/>
        </w:rPr>
        <w:t> </w:t>
      </w:r>
      <w:r>
        <w:rPr>
          <w:rFonts w:ascii="Arial" w:hAnsi="Arial"/>
          <w:i/>
          <w:sz w:val="22"/>
          <w:vertAlign w:val="baseline"/>
        </w:rPr>
        <w:t>del</w:t>
      </w:r>
      <w:r>
        <w:rPr>
          <w:rFonts w:ascii="Arial" w:hAnsi="Arial"/>
          <w:i/>
          <w:spacing w:val="-10"/>
          <w:sz w:val="22"/>
          <w:vertAlign w:val="baseline"/>
        </w:rPr>
        <w:t> </w:t>
      </w:r>
      <w:r>
        <w:rPr>
          <w:rFonts w:ascii="Arial" w:hAnsi="Arial"/>
          <w:i/>
          <w:sz w:val="22"/>
          <w:vertAlign w:val="baseline"/>
        </w:rPr>
        <w:t>proceso</w:t>
      </w:r>
      <w:r>
        <w:rPr>
          <w:rFonts w:ascii="Arial" w:hAnsi="Arial"/>
          <w:i/>
          <w:spacing w:val="-11"/>
          <w:sz w:val="22"/>
          <w:vertAlign w:val="baseline"/>
        </w:rPr>
        <w:t> </w:t>
      </w:r>
      <w:r>
        <w:rPr>
          <w:rFonts w:ascii="Arial" w:hAnsi="Arial"/>
          <w:i/>
          <w:sz w:val="22"/>
          <w:vertAlign w:val="baseline"/>
        </w:rPr>
        <w:t>de</w:t>
      </w:r>
      <w:r>
        <w:rPr>
          <w:rFonts w:ascii="Arial" w:hAnsi="Arial"/>
          <w:i/>
          <w:spacing w:val="-10"/>
          <w:sz w:val="22"/>
          <w:vertAlign w:val="baseline"/>
        </w:rPr>
        <w:t> </w:t>
      </w:r>
      <w:r>
        <w:rPr>
          <w:rFonts w:ascii="Arial" w:hAnsi="Arial"/>
          <w:i/>
          <w:sz w:val="22"/>
          <w:vertAlign w:val="baseline"/>
        </w:rPr>
        <w:t>integración subregional, orientado</w:t>
      </w:r>
      <w:r>
        <w:rPr>
          <w:rFonts w:ascii="Arial" w:hAnsi="Arial"/>
          <w:i/>
          <w:spacing w:val="-1"/>
          <w:sz w:val="22"/>
          <w:vertAlign w:val="baseline"/>
        </w:rPr>
        <w:t> </w:t>
      </w:r>
      <w:r>
        <w:rPr>
          <w:rFonts w:ascii="Arial" w:hAnsi="Arial"/>
          <w:i/>
          <w:sz w:val="22"/>
          <w:vertAlign w:val="baseline"/>
        </w:rPr>
        <w:t>a la formación de</w:t>
      </w:r>
      <w:r>
        <w:rPr>
          <w:rFonts w:ascii="Arial" w:hAnsi="Arial"/>
          <w:i/>
          <w:spacing w:val="-1"/>
          <w:sz w:val="22"/>
          <w:vertAlign w:val="baseline"/>
        </w:rPr>
        <w:t> </w:t>
      </w:r>
      <w:r>
        <w:rPr>
          <w:rFonts w:ascii="Arial" w:hAnsi="Arial"/>
          <w:i/>
          <w:sz w:val="22"/>
          <w:vertAlign w:val="baseline"/>
        </w:rPr>
        <w:t>un</w:t>
      </w:r>
      <w:r>
        <w:rPr>
          <w:rFonts w:ascii="Arial" w:hAnsi="Arial"/>
          <w:i/>
          <w:spacing w:val="-1"/>
          <w:sz w:val="22"/>
          <w:vertAlign w:val="baseline"/>
        </w:rPr>
        <w:t> </w:t>
      </w:r>
      <w:r>
        <w:rPr>
          <w:rFonts w:ascii="Arial" w:hAnsi="Arial"/>
          <w:i/>
          <w:sz w:val="22"/>
          <w:vertAlign w:val="baseline"/>
        </w:rPr>
        <w:t>mercado común latinoamericano, a que</w:t>
      </w:r>
      <w:r>
        <w:rPr>
          <w:rFonts w:ascii="Arial" w:hAnsi="Arial"/>
          <w:i/>
          <w:spacing w:val="-1"/>
          <w:sz w:val="22"/>
          <w:vertAlign w:val="baseline"/>
        </w:rPr>
        <w:t> </w:t>
      </w:r>
      <w:r>
        <w:rPr>
          <w:rFonts w:ascii="Arial" w:hAnsi="Arial"/>
          <w:i/>
          <w:sz w:val="22"/>
          <w:vertAlign w:val="baseline"/>
        </w:rPr>
        <w:t>se refiere el artículo 1 del Acuerdo de Cartagena, presupone la adopción de medidas que apunten hacia la liberalización del intercambio comercial. Solamente de esta forma podrá pensarse en lograr que mediante la cooperación comunitaria alrededor de la liberación del comercio se tienda al desarrollo económico, equilibrado, armónico y compartido de los Países Miembros. Podría decirse que en este sentido el Tratado de Integración</w:t>
      </w:r>
      <w:r>
        <w:rPr>
          <w:rFonts w:ascii="Arial" w:hAnsi="Arial"/>
          <w:i/>
          <w:spacing w:val="-2"/>
          <w:sz w:val="22"/>
          <w:vertAlign w:val="baseline"/>
        </w:rPr>
        <w:t> </w:t>
      </w:r>
      <w:r>
        <w:rPr>
          <w:rFonts w:ascii="Arial" w:hAnsi="Arial"/>
          <w:i/>
          <w:sz w:val="22"/>
          <w:vertAlign w:val="baseline"/>
        </w:rPr>
        <w:t>Subregional</w:t>
      </w:r>
      <w:r>
        <w:rPr>
          <w:rFonts w:ascii="Arial" w:hAnsi="Arial"/>
          <w:i/>
          <w:spacing w:val="-5"/>
          <w:sz w:val="22"/>
          <w:vertAlign w:val="baseline"/>
        </w:rPr>
        <w:t> </w:t>
      </w:r>
      <w:r>
        <w:rPr>
          <w:rFonts w:ascii="Arial" w:hAnsi="Arial"/>
          <w:i/>
          <w:sz w:val="22"/>
          <w:vertAlign w:val="baseline"/>
        </w:rPr>
        <w:t>Andino</w:t>
      </w:r>
      <w:r>
        <w:rPr>
          <w:rFonts w:ascii="Arial" w:hAnsi="Arial"/>
          <w:i/>
          <w:spacing w:val="-2"/>
          <w:sz w:val="22"/>
          <w:vertAlign w:val="baseline"/>
        </w:rPr>
        <w:t> </w:t>
      </w:r>
      <w:r>
        <w:rPr>
          <w:rFonts w:ascii="Arial" w:hAnsi="Arial"/>
          <w:i/>
          <w:sz w:val="22"/>
          <w:vertAlign w:val="baseline"/>
        </w:rPr>
        <w:t>propugna</w:t>
      </w:r>
      <w:r>
        <w:rPr>
          <w:rFonts w:ascii="Arial" w:hAnsi="Arial"/>
          <w:i/>
          <w:spacing w:val="-2"/>
          <w:sz w:val="22"/>
          <w:vertAlign w:val="baseline"/>
        </w:rPr>
        <w:t> </w:t>
      </w:r>
      <w:r>
        <w:rPr>
          <w:rFonts w:ascii="Arial" w:hAnsi="Arial"/>
          <w:i/>
          <w:sz w:val="22"/>
          <w:vertAlign w:val="baseline"/>
        </w:rPr>
        <w:t>por</w:t>
      </w:r>
      <w:r>
        <w:rPr>
          <w:rFonts w:ascii="Arial" w:hAnsi="Arial"/>
          <w:i/>
          <w:spacing w:val="-3"/>
          <w:sz w:val="22"/>
          <w:vertAlign w:val="baseline"/>
        </w:rPr>
        <w:t> </w:t>
      </w:r>
      <w:r>
        <w:rPr>
          <w:rFonts w:ascii="Arial" w:hAnsi="Arial"/>
          <w:i/>
          <w:sz w:val="22"/>
          <w:vertAlign w:val="baseline"/>
        </w:rPr>
        <w:t>la</w:t>
      </w:r>
      <w:r>
        <w:rPr>
          <w:rFonts w:ascii="Arial" w:hAnsi="Arial"/>
          <w:i/>
          <w:spacing w:val="-4"/>
          <w:sz w:val="22"/>
          <w:vertAlign w:val="baseline"/>
        </w:rPr>
        <w:t> </w:t>
      </w:r>
      <w:r>
        <w:rPr>
          <w:rFonts w:ascii="Arial" w:hAnsi="Arial"/>
          <w:i/>
          <w:sz w:val="22"/>
          <w:vertAlign w:val="baseline"/>
        </w:rPr>
        <w:t>solidaridad</w:t>
      </w:r>
      <w:r>
        <w:rPr>
          <w:rFonts w:ascii="Arial" w:hAnsi="Arial"/>
          <w:i/>
          <w:spacing w:val="-2"/>
          <w:sz w:val="22"/>
          <w:vertAlign w:val="baseline"/>
        </w:rPr>
        <w:t> </w:t>
      </w:r>
      <w:r>
        <w:rPr>
          <w:rFonts w:ascii="Arial" w:hAnsi="Arial"/>
          <w:i/>
          <w:sz w:val="22"/>
          <w:vertAlign w:val="baseline"/>
        </w:rPr>
        <w:t>económica</w:t>
      </w:r>
      <w:r>
        <w:rPr>
          <w:rFonts w:ascii="Arial" w:hAnsi="Arial"/>
          <w:i/>
          <w:spacing w:val="-2"/>
          <w:sz w:val="22"/>
          <w:vertAlign w:val="baseline"/>
        </w:rPr>
        <w:t> </w:t>
      </w:r>
      <w:r>
        <w:rPr>
          <w:rFonts w:ascii="Arial" w:hAnsi="Arial"/>
          <w:i/>
          <w:sz w:val="22"/>
          <w:vertAlign w:val="baseline"/>
        </w:rPr>
        <w:t>como</w:t>
      </w:r>
      <w:r>
        <w:rPr>
          <w:rFonts w:ascii="Arial" w:hAnsi="Arial"/>
          <w:i/>
          <w:spacing w:val="-4"/>
          <w:sz w:val="22"/>
          <w:vertAlign w:val="baseline"/>
        </w:rPr>
        <w:t> </w:t>
      </w:r>
      <w:r>
        <w:rPr>
          <w:rFonts w:ascii="Arial" w:hAnsi="Arial"/>
          <w:i/>
          <w:sz w:val="22"/>
          <w:vertAlign w:val="baseline"/>
        </w:rPr>
        <w:t>fuente</w:t>
      </w:r>
      <w:r>
        <w:rPr>
          <w:rFonts w:ascii="Arial" w:hAnsi="Arial"/>
          <w:i/>
          <w:spacing w:val="-1"/>
          <w:sz w:val="22"/>
          <w:vertAlign w:val="baseline"/>
        </w:rPr>
        <w:t> </w:t>
      </w:r>
      <w:r>
        <w:rPr>
          <w:rFonts w:ascii="Arial" w:hAnsi="Arial"/>
          <w:i/>
          <w:sz w:val="22"/>
          <w:vertAlign w:val="baseline"/>
        </w:rPr>
        <w:t>de las obligaciones jurídicas internacionales de los países que la conforman</w:t>
      </w:r>
      <w:r>
        <w:rPr>
          <w:sz w:val="22"/>
          <w:vertAlign w:val="baseline"/>
        </w:rPr>
        <w:t>”.</w:t>
      </w:r>
    </w:p>
    <w:p>
      <w:pPr>
        <w:pStyle w:val="BodyText"/>
        <w:rPr>
          <w:sz w:val="20"/>
        </w:rPr>
      </w:pPr>
    </w:p>
    <w:p>
      <w:pPr>
        <w:pStyle w:val="BodyText"/>
        <w:rPr>
          <w:sz w:val="20"/>
        </w:rPr>
      </w:pPr>
    </w:p>
    <w:p>
      <w:pPr>
        <w:pStyle w:val="BodyText"/>
        <w:rPr>
          <w:sz w:val="20"/>
        </w:rPr>
      </w:pPr>
    </w:p>
    <w:p>
      <w:pPr>
        <w:pStyle w:val="BodyText"/>
        <w:spacing w:before="111"/>
        <w:rPr>
          <w:sz w:val="20"/>
        </w:rPr>
      </w:pPr>
      <w:r>
        <w:rPr>
          <w:sz w:val="20"/>
        </w:rPr>
        <mc:AlternateContent>
          <mc:Choice Requires="wps">
            <w:drawing>
              <wp:anchor distT="0" distB="0" distL="0" distR="0" allowOverlap="1" layoutInCell="1" locked="0" behindDoc="1" simplePos="0" relativeHeight="487635968">
                <wp:simplePos x="0" y="0"/>
                <wp:positionH relativeFrom="page">
                  <wp:posOffset>990904</wp:posOffset>
                </wp:positionH>
                <wp:positionV relativeFrom="paragraph">
                  <wp:posOffset>232073</wp:posOffset>
                </wp:positionV>
                <wp:extent cx="1829435" cy="7620"/>
                <wp:effectExtent l="0" t="0" r="0" b="0"/>
                <wp:wrapTopAndBottom/>
                <wp:docPr id="451" name="Graphic 451"/>
                <wp:cNvGraphicFramePr>
                  <a:graphicFrameLocks/>
                </wp:cNvGraphicFramePr>
                <a:graphic>
                  <a:graphicData uri="http://schemas.microsoft.com/office/word/2010/wordprocessingShape">
                    <wps:wsp>
                      <wps:cNvPr id="451" name="Graphic 451"/>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8.273535pt;width:144.020pt;height:.60004pt;mso-position-horizontal-relative:page;mso-position-vertical-relative:paragraph;z-index:-15680512;mso-wrap-distance-left:0;mso-wrap-distance-right:0" id="docshape315" filled="true" fillcolor="#000000" stroked="false">
                <v:fill type="solid"/>
                <w10:wrap type="topAndBottom"/>
              </v:rect>
            </w:pict>
          </mc:Fallback>
        </mc:AlternateContent>
      </w:r>
    </w:p>
    <w:p>
      <w:pPr>
        <w:spacing w:before="92"/>
        <w:ind w:left="568" w:right="0" w:firstLine="0"/>
        <w:jc w:val="left"/>
        <w:rPr>
          <w:sz w:val="16"/>
        </w:rPr>
      </w:pPr>
      <w:bookmarkStart w:name="_bookmark90" w:id="91"/>
      <w:bookmarkEnd w:id="91"/>
      <w:r>
        <w:rPr/>
      </w:r>
      <w:r>
        <w:rPr>
          <w:spacing w:val="-2"/>
          <w:sz w:val="16"/>
          <w:vertAlign w:val="superscript"/>
        </w:rPr>
        <w:t>23</w:t>
      </w:r>
      <w:r>
        <w:rPr>
          <w:spacing w:val="-4"/>
          <w:sz w:val="16"/>
          <w:vertAlign w:val="baseline"/>
        </w:rPr>
        <w:t> </w:t>
      </w:r>
      <w:r>
        <w:rPr>
          <w:spacing w:val="-2"/>
          <w:sz w:val="16"/>
          <w:vertAlign w:val="baseline"/>
        </w:rPr>
        <w:t>Tribunal</w:t>
      </w:r>
      <w:r>
        <w:rPr>
          <w:spacing w:val="-3"/>
          <w:sz w:val="16"/>
          <w:vertAlign w:val="baseline"/>
        </w:rPr>
        <w:t> </w:t>
      </w:r>
      <w:r>
        <w:rPr>
          <w:spacing w:val="-2"/>
          <w:sz w:val="16"/>
          <w:vertAlign w:val="baseline"/>
        </w:rPr>
        <w:t>de</w:t>
      </w:r>
      <w:r>
        <w:rPr>
          <w:spacing w:val="-7"/>
          <w:sz w:val="16"/>
          <w:vertAlign w:val="baseline"/>
        </w:rPr>
        <w:t> </w:t>
      </w:r>
      <w:r>
        <w:rPr>
          <w:spacing w:val="-2"/>
          <w:sz w:val="16"/>
          <w:vertAlign w:val="baseline"/>
        </w:rPr>
        <w:t>Justicia</w:t>
      </w:r>
      <w:r>
        <w:rPr>
          <w:spacing w:val="-6"/>
          <w:sz w:val="16"/>
          <w:vertAlign w:val="baseline"/>
        </w:rPr>
        <w:t> </w:t>
      </w:r>
      <w:r>
        <w:rPr>
          <w:spacing w:val="-2"/>
          <w:sz w:val="16"/>
          <w:vertAlign w:val="baseline"/>
        </w:rPr>
        <w:t>de</w:t>
      </w:r>
      <w:r>
        <w:rPr>
          <w:spacing w:val="-4"/>
          <w:sz w:val="16"/>
          <w:vertAlign w:val="baseline"/>
        </w:rPr>
        <w:t> </w:t>
      </w:r>
      <w:r>
        <w:rPr>
          <w:spacing w:val="-2"/>
          <w:sz w:val="16"/>
          <w:vertAlign w:val="baseline"/>
        </w:rPr>
        <w:t>la</w:t>
      </w:r>
      <w:r>
        <w:rPr>
          <w:spacing w:val="-3"/>
          <w:sz w:val="16"/>
          <w:vertAlign w:val="baseline"/>
        </w:rPr>
        <w:t> </w:t>
      </w:r>
      <w:r>
        <w:rPr>
          <w:spacing w:val="-2"/>
          <w:sz w:val="16"/>
          <w:vertAlign w:val="baseline"/>
        </w:rPr>
        <w:t>Comunidad</w:t>
      </w:r>
      <w:r>
        <w:rPr>
          <w:spacing w:val="-4"/>
          <w:sz w:val="16"/>
          <w:vertAlign w:val="baseline"/>
        </w:rPr>
        <w:t> </w:t>
      </w:r>
      <w:r>
        <w:rPr>
          <w:spacing w:val="-2"/>
          <w:sz w:val="16"/>
          <w:vertAlign w:val="baseline"/>
        </w:rPr>
        <w:t>Andina.</w:t>
      </w:r>
      <w:r>
        <w:rPr>
          <w:spacing w:val="-4"/>
          <w:sz w:val="16"/>
          <w:vertAlign w:val="baseline"/>
        </w:rPr>
        <w:t> </w:t>
      </w:r>
      <w:r>
        <w:rPr>
          <w:spacing w:val="-2"/>
          <w:sz w:val="16"/>
          <w:vertAlign w:val="baseline"/>
        </w:rPr>
        <w:t>Sentencia del</w:t>
      </w:r>
      <w:r>
        <w:rPr>
          <w:spacing w:val="-3"/>
          <w:sz w:val="16"/>
          <w:vertAlign w:val="baseline"/>
        </w:rPr>
        <w:t> </w:t>
      </w:r>
      <w:r>
        <w:rPr>
          <w:spacing w:val="-2"/>
          <w:sz w:val="16"/>
          <w:vertAlign w:val="baseline"/>
        </w:rPr>
        <w:t>14</w:t>
      </w:r>
      <w:r>
        <w:rPr>
          <w:spacing w:val="-4"/>
          <w:sz w:val="16"/>
          <w:vertAlign w:val="baseline"/>
        </w:rPr>
        <w:t> </w:t>
      </w:r>
      <w:r>
        <w:rPr>
          <w:spacing w:val="-2"/>
          <w:sz w:val="16"/>
          <w:vertAlign w:val="baseline"/>
        </w:rPr>
        <w:t>de</w:t>
      </w:r>
      <w:r>
        <w:rPr>
          <w:spacing w:val="-6"/>
          <w:sz w:val="16"/>
          <w:vertAlign w:val="baseline"/>
        </w:rPr>
        <w:t> </w:t>
      </w:r>
      <w:r>
        <w:rPr>
          <w:spacing w:val="-2"/>
          <w:sz w:val="16"/>
          <w:vertAlign w:val="baseline"/>
        </w:rPr>
        <w:t>abril de</w:t>
      </w:r>
      <w:r>
        <w:rPr>
          <w:spacing w:val="-4"/>
          <w:sz w:val="16"/>
          <w:vertAlign w:val="baseline"/>
        </w:rPr>
        <w:t> </w:t>
      </w:r>
      <w:r>
        <w:rPr>
          <w:spacing w:val="-2"/>
          <w:sz w:val="16"/>
          <w:vertAlign w:val="baseline"/>
        </w:rPr>
        <w:t>2005,</w:t>
      </w:r>
      <w:r>
        <w:rPr>
          <w:spacing w:val="-4"/>
          <w:sz w:val="16"/>
          <w:vertAlign w:val="baseline"/>
        </w:rPr>
        <w:t> </w:t>
      </w:r>
      <w:r>
        <w:rPr>
          <w:spacing w:val="-2"/>
          <w:sz w:val="16"/>
          <w:vertAlign w:val="baseline"/>
        </w:rPr>
        <w:t>proferida</w:t>
      </w:r>
      <w:r>
        <w:rPr>
          <w:spacing w:val="-4"/>
          <w:sz w:val="16"/>
          <w:vertAlign w:val="baseline"/>
        </w:rPr>
        <w:t> </w:t>
      </w:r>
      <w:r>
        <w:rPr>
          <w:spacing w:val="-2"/>
          <w:sz w:val="16"/>
          <w:vertAlign w:val="baseline"/>
        </w:rPr>
        <w:t>en</w:t>
      </w:r>
      <w:r>
        <w:rPr>
          <w:spacing w:val="-4"/>
          <w:sz w:val="16"/>
          <w:vertAlign w:val="baseline"/>
        </w:rPr>
        <w:t> </w:t>
      </w:r>
      <w:r>
        <w:rPr>
          <w:spacing w:val="-2"/>
          <w:sz w:val="16"/>
          <w:vertAlign w:val="baseline"/>
        </w:rPr>
        <w:t>el</w:t>
      </w:r>
      <w:r>
        <w:rPr>
          <w:spacing w:val="-5"/>
          <w:sz w:val="16"/>
          <w:vertAlign w:val="baseline"/>
        </w:rPr>
        <w:t> </w:t>
      </w:r>
      <w:r>
        <w:rPr>
          <w:spacing w:val="-2"/>
          <w:sz w:val="16"/>
          <w:vertAlign w:val="baseline"/>
        </w:rPr>
        <w:t>Proceso</w:t>
      </w:r>
      <w:r>
        <w:rPr>
          <w:spacing w:val="-6"/>
          <w:sz w:val="16"/>
          <w:vertAlign w:val="baseline"/>
        </w:rPr>
        <w:t> </w:t>
      </w:r>
      <w:r>
        <w:rPr>
          <w:spacing w:val="-2"/>
          <w:sz w:val="16"/>
          <w:vertAlign w:val="baseline"/>
        </w:rPr>
        <w:t>118-AI-2003.</w:t>
      </w:r>
      <w:r>
        <w:rPr>
          <w:spacing w:val="-5"/>
          <w:sz w:val="16"/>
          <w:vertAlign w:val="baseline"/>
        </w:rPr>
        <w:t> </w:t>
      </w:r>
      <w:r>
        <w:rPr>
          <w:spacing w:val="-2"/>
          <w:sz w:val="16"/>
          <w:vertAlign w:val="baseline"/>
        </w:rPr>
        <w:t>Publicada</w:t>
      </w:r>
    </w:p>
    <w:p>
      <w:pPr>
        <w:tabs>
          <w:tab w:pos="568" w:val="left" w:leader="none"/>
          <w:tab w:pos="9816" w:val="left" w:leader="none"/>
        </w:tabs>
        <w:spacing w:before="1"/>
        <w:ind w:left="160" w:right="0" w:firstLine="0"/>
        <w:jc w:val="left"/>
        <w:rPr>
          <w:sz w:val="16"/>
        </w:rPr>
      </w:pPr>
      <w:r>
        <w:rPr>
          <w:sz w:val="16"/>
          <w:u w:val="single"/>
        </w:rPr>
        <w:tab/>
        <w:t>en</w:t>
      </w:r>
      <w:r>
        <w:rPr>
          <w:spacing w:val="-4"/>
          <w:sz w:val="16"/>
          <w:u w:val="single"/>
        </w:rPr>
        <w:t> </w:t>
      </w:r>
      <w:r>
        <w:rPr>
          <w:sz w:val="16"/>
          <w:u w:val="single"/>
        </w:rPr>
        <w:t>la</w:t>
      </w:r>
      <w:r>
        <w:rPr>
          <w:spacing w:val="-3"/>
          <w:sz w:val="16"/>
          <w:u w:val="single"/>
        </w:rPr>
        <w:t> </w:t>
      </w:r>
      <w:r>
        <w:rPr>
          <w:sz w:val="16"/>
          <w:u w:val="single"/>
        </w:rPr>
        <w:t>Gaceta</w:t>
      </w:r>
      <w:r>
        <w:rPr>
          <w:spacing w:val="-5"/>
          <w:sz w:val="16"/>
          <w:u w:val="single"/>
        </w:rPr>
        <w:t> </w:t>
      </w:r>
      <w:r>
        <w:rPr>
          <w:sz w:val="16"/>
          <w:u w:val="single"/>
        </w:rPr>
        <w:t>Oficial</w:t>
      </w:r>
      <w:r>
        <w:rPr>
          <w:spacing w:val="-5"/>
          <w:sz w:val="16"/>
          <w:u w:val="single"/>
        </w:rPr>
        <w:t> </w:t>
      </w:r>
      <w:r>
        <w:rPr>
          <w:sz w:val="16"/>
          <w:u w:val="single"/>
        </w:rPr>
        <w:t>del</w:t>
      </w:r>
      <w:r>
        <w:rPr>
          <w:spacing w:val="-4"/>
          <w:sz w:val="16"/>
          <w:u w:val="single"/>
        </w:rPr>
        <w:t> </w:t>
      </w:r>
      <w:r>
        <w:rPr>
          <w:sz w:val="16"/>
          <w:u w:val="single"/>
        </w:rPr>
        <w:t>Acuerdo</w:t>
      </w:r>
      <w:r>
        <w:rPr>
          <w:spacing w:val="-3"/>
          <w:sz w:val="16"/>
          <w:u w:val="single"/>
        </w:rPr>
        <w:t> </w:t>
      </w:r>
      <w:r>
        <w:rPr>
          <w:sz w:val="16"/>
          <w:u w:val="single"/>
        </w:rPr>
        <w:t>de</w:t>
      </w:r>
      <w:r>
        <w:rPr>
          <w:spacing w:val="-3"/>
          <w:sz w:val="16"/>
          <w:u w:val="single"/>
        </w:rPr>
        <w:t> </w:t>
      </w:r>
      <w:r>
        <w:rPr>
          <w:sz w:val="16"/>
          <w:u w:val="single"/>
        </w:rPr>
        <w:t>Cartagena</w:t>
      </w:r>
      <w:r>
        <w:rPr>
          <w:spacing w:val="-3"/>
          <w:sz w:val="16"/>
          <w:u w:val="single"/>
        </w:rPr>
        <w:t> </w:t>
      </w:r>
      <w:r>
        <w:rPr>
          <w:sz w:val="16"/>
          <w:u w:val="single"/>
        </w:rPr>
        <w:t>No.</w:t>
      </w:r>
      <w:r>
        <w:rPr>
          <w:spacing w:val="-2"/>
          <w:sz w:val="16"/>
          <w:u w:val="single"/>
        </w:rPr>
        <w:t> </w:t>
      </w:r>
      <w:r>
        <w:rPr>
          <w:sz w:val="16"/>
          <w:u w:val="single"/>
        </w:rPr>
        <w:t>1206</w:t>
      </w:r>
      <w:r>
        <w:rPr>
          <w:spacing w:val="-3"/>
          <w:sz w:val="16"/>
          <w:u w:val="single"/>
        </w:rPr>
        <w:t> </w:t>
      </w:r>
      <w:r>
        <w:rPr>
          <w:sz w:val="16"/>
          <w:u w:val="single"/>
        </w:rPr>
        <w:t>del 13</w:t>
      </w:r>
      <w:r>
        <w:rPr>
          <w:spacing w:val="-3"/>
          <w:sz w:val="16"/>
          <w:u w:val="single"/>
        </w:rPr>
        <w:t> </w:t>
      </w:r>
      <w:r>
        <w:rPr>
          <w:sz w:val="16"/>
          <w:u w:val="single"/>
        </w:rPr>
        <w:t>de</w:t>
      </w:r>
      <w:r>
        <w:rPr>
          <w:spacing w:val="-6"/>
          <w:sz w:val="16"/>
          <w:u w:val="single"/>
        </w:rPr>
        <w:t> </w:t>
      </w:r>
      <w:r>
        <w:rPr>
          <w:sz w:val="16"/>
          <w:u w:val="single"/>
        </w:rPr>
        <w:t>junio</w:t>
      </w:r>
      <w:r>
        <w:rPr>
          <w:spacing w:val="-3"/>
          <w:sz w:val="16"/>
          <w:u w:val="single"/>
        </w:rPr>
        <w:t> </w:t>
      </w:r>
      <w:r>
        <w:rPr>
          <w:sz w:val="16"/>
          <w:u w:val="single"/>
        </w:rPr>
        <w:t>de</w:t>
      </w:r>
      <w:r>
        <w:rPr>
          <w:spacing w:val="-3"/>
          <w:sz w:val="16"/>
          <w:u w:val="single"/>
        </w:rPr>
        <w:t> </w:t>
      </w:r>
      <w:r>
        <w:rPr>
          <w:spacing w:val="-2"/>
          <w:sz w:val="16"/>
          <w:u w:val="single"/>
        </w:rPr>
        <w:t>2005.</w:t>
      </w:r>
      <w:r>
        <w:rPr>
          <w:sz w:val="16"/>
          <w:u w:val="single"/>
        </w:rPr>
        <w:tab/>
      </w:r>
    </w:p>
    <w:p>
      <w:pPr>
        <w:spacing w:after="0"/>
        <w:jc w:val="left"/>
        <w:rPr>
          <w:sz w:val="16"/>
        </w:rPr>
        <w:sectPr>
          <w:headerReference w:type="default" r:id="rId72"/>
          <w:footerReference w:type="default" r:id="rId73"/>
          <w:pgSz w:w="11900" w:h="16850"/>
          <w:pgMar w:header="370" w:footer="597" w:top="1380" w:bottom="780" w:left="992" w:right="283"/>
        </w:sectPr>
      </w:pPr>
    </w:p>
    <w:p>
      <w:pPr>
        <w:pStyle w:val="BodyText"/>
        <w:spacing w:before="176"/>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En</w:t>
      </w:r>
      <w:r>
        <w:rPr>
          <w:spacing w:val="-11"/>
          <w:sz w:val="22"/>
        </w:rPr>
        <w:t> </w:t>
      </w:r>
      <w:r>
        <w:rPr>
          <w:sz w:val="22"/>
        </w:rPr>
        <w:t>ese</w:t>
      </w:r>
      <w:r>
        <w:rPr>
          <w:spacing w:val="-12"/>
          <w:sz w:val="22"/>
        </w:rPr>
        <w:t> </w:t>
      </w:r>
      <w:r>
        <w:rPr>
          <w:sz w:val="22"/>
        </w:rPr>
        <w:t>sentido,</w:t>
      </w:r>
      <w:r>
        <w:rPr>
          <w:spacing w:val="-10"/>
          <w:sz w:val="22"/>
        </w:rPr>
        <w:t> </w:t>
      </w:r>
      <w:r>
        <w:rPr>
          <w:sz w:val="22"/>
        </w:rPr>
        <w:t>es</w:t>
      </w:r>
      <w:r>
        <w:rPr>
          <w:spacing w:val="-14"/>
          <w:sz w:val="22"/>
        </w:rPr>
        <w:t> </w:t>
      </w:r>
      <w:r>
        <w:rPr>
          <w:sz w:val="22"/>
        </w:rPr>
        <w:t>importante</w:t>
      </w:r>
      <w:r>
        <w:rPr>
          <w:spacing w:val="-14"/>
          <w:sz w:val="22"/>
        </w:rPr>
        <w:t> </w:t>
      </w:r>
      <w:r>
        <w:rPr>
          <w:sz w:val="22"/>
        </w:rPr>
        <w:t>traer</w:t>
      </w:r>
      <w:r>
        <w:rPr>
          <w:spacing w:val="-10"/>
          <w:sz w:val="22"/>
        </w:rPr>
        <w:t> </w:t>
      </w:r>
      <w:r>
        <w:rPr>
          <w:sz w:val="22"/>
        </w:rPr>
        <w:t>a</w:t>
      </w:r>
      <w:r>
        <w:rPr>
          <w:spacing w:val="-14"/>
          <w:sz w:val="22"/>
        </w:rPr>
        <w:t> </w:t>
      </w:r>
      <w:r>
        <w:rPr>
          <w:sz w:val="22"/>
        </w:rPr>
        <w:t>colación</w:t>
      </w:r>
      <w:r>
        <w:rPr>
          <w:spacing w:val="-12"/>
          <w:sz w:val="22"/>
        </w:rPr>
        <w:t> </w:t>
      </w:r>
      <w:r>
        <w:rPr>
          <w:sz w:val="22"/>
        </w:rPr>
        <w:t>lo</w:t>
      </w:r>
      <w:r>
        <w:rPr>
          <w:spacing w:val="-11"/>
          <w:sz w:val="22"/>
        </w:rPr>
        <w:t> </w:t>
      </w:r>
      <w:r>
        <w:rPr>
          <w:sz w:val="22"/>
        </w:rPr>
        <w:t>señalado</w:t>
      </w:r>
      <w:r>
        <w:rPr>
          <w:spacing w:val="-11"/>
          <w:sz w:val="22"/>
        </w:rPr>
        <w:t> </w:t>
      </w:r>
      <w:r>
        <w:rPr>
          <w:sz w:val="22"/>
        </w:rPr>
        <w:t>por</w:t>
      </w:r>
      <w:r>
        <w:rPr>
          <w:spacing w:val="-10"/>
          <w:sz w:val="22"/>
        </w:rPr>
        <w:t> </w:t>
      </w:r>
      <w:r>
        <w:rPr>
          <w:sz w:val="22"/>
        </w:rPr>
        <w:t>el</w:t>
      </w:r>
      <w:r>
        <w:rPr>
          <w:spacing w:val="-12"/>
          <w:sz w:val="22"/>
        </w:rPr>
        <w:t> </w:t>
      </w:r>
      <w:r>
        <w:rPr>
          <w:sz w:val="22"/>
        </w:rPr>
        <w:t>TJCAN</w:t>
      </w:r>
      <w:r>
        <w:rPr>
          <w:spacing w:val="-12"/>
          <w:sz w:val="22"/>
        </w:rPr>
        <w:t> </w:t>
      </w:r>
      <w:r>
        <w:rPr>
          <w:sz w:val="22"/>
        </w:rPr>
        <w:t>en</w:t>
      </w:r>
      <w:r>
        <w:rPr>
          <w:spacing w:val="-14"/>
          <w:sz w:val="22"/>
        </w:rPr>
        <w:t> </w:t>
      </w:r>
      <w:r>
        <w:rPr>
          <w:sz w:val="22"/>
        </w:rPr>
        <w:t>su</w:t>
      </w:r>
      <w:r>
        <w:rPr>
          <w:spacing w:val="-11"/>
          <w:sz w:val="22"/>
        </w:rPr>
        <w:t> </w:t>
      </w:r>
      <w:r>
        <w:rPr>
          <w:sz w:val="22"/>
        </w:rPr>
        <w:t>sentencia del Proceso 02-AI-2020</w:t>
      </w:r>
      <w:hyperlink w:history="true" w:anchor="_bookmark91">
        <w:r>
          <w:rPr>
            <w:sz w:val="22"/>
            <w:vertAlign w:val="superscript"/>
          </w:rPr>
          <w:t>24</w:t>
        </w:r>
      </w:hyperlink>
      <w:r>
        <w:rPr>
          <w:sz w:val="22"/>
          <w:vertAlign w:val="baseline"/>
        </w:rPr>
        <w:t>, en el cual se resalta la importancia del Programa de </w:t>
      </w:r>
      <w:r>
        <w:rPr>
          <w:spacing w:val="-2"/>
          <w:sz w:val="22"/>
          <w:vertAlign w:val="baseline"/>
        </w:rPr>
        <w:t>Liberación:</w:t>
      </w:r>
    </w:p>
    <w:p>
      <w:pPr>
        <w:pStyle w:val="BodyText"/>
        <w:spacing w:before="1"/>
      </w:pPr>
    </w:p>
    <w:p>
      <w:pPr>
        <w:spacing w:before="0"/>
        <w:ind w:left="1701" w:right="979" w:firstLine="0"/>
        <w:jc w:val="both"/>
        <w:rPr>
          <w:rFonts w:ascii="Arial" w:hAnsi="Arial"/>
          <w:i/>
          <w:sz w:val="22"/>
        </w:rPr>
      </w:pPr>
      <w:r>
        <w:rPr>
          <w:sz w:val="22"/>
        </w:rPr>
        <w:t>“</w:t>
      </w:r>
      <w:r>
        <w:rPr>
          <w:rFonts w:ascii="Arial" w:hAnsi="Arial"/>
          <w:i/>
          <w:sz w:val="22"/>
        </w:rPr>
        <w:t>3.3.4. El Programa de Liberación de bienes sustenta la existencia de un</w:t>
      </w:r>
      <w:r>
        <w:rPr>
          <w:rFonts w:ascii="Arial" w:hAnsi="Arial"/>
          <w:i/>
          <w:spacing w:val="-2"/>
          <w:sz w:val="22"/>
        </w:rPr>
        <w:t> </w:t>
      </w:r>
      <w:r>
        <w:rPr>
          <w:rFonts w:ascii="Arial" w:hAnsi="Arial"/>
          <w:i/>
          <w:sz w:val="22"/>
        </w:rPr>
        <w:t>área de libre comercio en el mercado subregional andino, en el que los productos originarios de</w:t>
      </w:r>
      <w:r>
        <w:rPr>
          <w:rFonts w:ascii="Arial" w:hAnsi="Arial"/>
          <w:i/>
          <w:spacing w:val="-3"/>
          <w:sz w:val="22"/>
        </w:rPr>
        <w:t> </w:t>
      </w:r>
      <w:r>
        <w:rPr>
          <w:rFonts w:ascii="Arial" w:hAnsi="Arial"/>
          <w:i/>
          <w:sz w:val="22"/>
        </w:rPr>
        <w:t>los</w:t>
      </w:r>
      <w:r>
        <w:rPr>
          <w:rFonts w:ascii="Arial" w:hAnsi="Arial"/>
          <w:i/>
          <w:spacing w:val="-3"/>
          <w:sz w:val="22"/>
        </w:rPr>
        <w:t> </w:t>
      </w:r>
      <w:r>
        <w:rPr>
          <w:rFonts w:ascii="Arial" w:hAnsi="Arial"/>
          <w:i/>
          <w:sz w:val="22"/>
        </w:rPr>
        <w:t>Países</w:t>
      </w:r>
      <w:r>
        <w:rPr>
          <w:rFonts w:ascii="Arial" w:hAnsi="Arial"/>
          <w:i/>
          <w:spacing w:val="-3"/>
          <w:sz w:val="22"/>
        </w:rPr>
        <w:t> </w:t>
      </w:r>
      <w:r>
        <w:rPr>
          <w:rFonts w:ascii="Arial" w:hAnsi="Arial"/>
          <w:i/>
          <w:sz w:val="22"/>
        </w:rPr>
        <w:t>Miembros</w:t>
      </w:r>
      <w:r>
        <w:rPr>
          <w:rFonts w:ascii="Arial" w:hAnsi="Arial"/>
          <w:i/>
          <w:spacing w:val="-3"/>
          <w:sz w:val="22"/>
        </w:rPr>
        <w:t> </w:t>
      </w:r>
      <w:r>
        <w:rPr>
          <w:rFonts w:ascii="Arial" w:hAnsi="Arial"/>
          <w:i/>
          <w:sz w:val="22"/>
        </w:rPr>
        <w:t>circulan</w:t>
      </w:r>
      <w:r>
        <w:rPr>
          <w:rFonts w:ascii="Arial" w:hAnsi="Arial"/>
          <w:i/>
          <w:spacing w:val="-3"/>
          <w:sz w:val="22"/>
        </w:rPr>
        <w:t> </w:t>
      </w:r>
      <w:r>
        <w:rPr>
          <w:rFonts w:ascii="Arial" w:hAnsi="Arial"/>
          <w:i/>
          <w:sz w:val="22"/>
        </w:rPr>
        <w:t>libremente</w:t>
      </w:r>
      <w:r>
        <w:rPr>
          <w:rFonts w:ascii="Arial" w:hAnsi="Arial"/>
          <w:i/>
          <w:spacing w:val="-3"/>
          <w:sz w:val="22"/>
        </w:rPr>
        <w:t> </w:t>
      </w:r>
      <w:r>
        <w:rPr>
          <w:rFonts w:ascii="Arial" w:hAnsi="Arial"/>
          <w:i/>
          <w:sz w:val="22"/>
        </w:rPr>
        <w:t>sin</w:t>
      </w:r>
      <w:r>
        <w:rPr>
          <w:rFonts w:ascii="Arial" w:hAnsi="Arial"/>
          <w:i/>
          <w:spacing w:val="-3"/>
          <w:sz w:val="22"/>
        </w:rPr>
        <w:t> </w:t>
      </w:r>
      <w:r>
        <w:rPr>
          <w:rFonts w:ascii="Arial" w:hAnsi="Arial"/>
          <w:i/>
          <w:sz w:val="22"/>
        </w:rPr>
        <w:t>pagar</w:t>
      </w:r>
      <w:r>
        <w:rPr>
          <w:rFonts w:ascii="Arial" w:hAnsi="Arial"/>
          <w:i/>
          <w:spacing w:val="-2"/>
          <w:sz w:val="22"/>
        </w:rPr>
        <w:t> </w:t>
      </w:r>
      <w:r>
        <w:rPr>
          <w:rFonts w:ascii="Arial" w:hAnsi="Arial"/>
          <w:i/>
          <w:sz w:val="22"/>
        </w:rPr>
        <w:t>aranceles en</w:t>
      </w:r>
      <w:r>
        <w:rPr>
          <w:rFonts w:ascii="Arial" w:hAnsi="Arial"/>
          <w:i/>
          <w:spacing w:val="-3"/>
          <w:sz w:val="22"/>
        </w:rPr>
        <w:t> </w:t>
      </w:r>
      <w:r>
        <w:rPr>
          <w:rFonts w:ascii="Arial" w:hAnsi="Arial"/>
          <w:i/>
          <w:sz w:val="22"/>
        </w:rPr>
        <w:t>un mercado ampliado, lo que incrementa el poder de elección de los consumidores andinos,</w:t>
      </w:r>
      <w:r>
        <w:rPr>
          <w:rFonts w:ascii="Arial" w:hAnsi="Arial"/>
          <w:i/>
          <w:spacing w:val="-8"/>
          <w:sz w:val="22"/>
        </w:rPr>
        <w:t> </w:t>
      </w:r>
      <w:r>
        <w:rPr>
          <w:rFonts w:ascii="Arial" w:hAnsi="Arial"/>
          <w:i/>
          <w:sz w:val="22"/>
        </w:rPr>
        <w:t>pues</w:t>
      </w:r>
      <w:r>
        <w:rPr>
          <w:rFonts w:ascii="Arial" w:hAnsi="Arial"/>
          <w:i/>
          <w:spacing w:val="-11"/>
          <w:sz w:val="22"/>
        </w:rPr>
        <w:t> </w:t>
      </w:r>
      <w:r>
        <w:rPr>
          <w:rFonts w:ascii="Arial" w:hAnsi="Arial"/>
          <w:i/>
          <w:sz w:val="22"/>
        </w:rPr>
        <w:t>al</w:t>
      </w:r>
      <w:r>
        <w:rPr>
          <w:rFonts w:ascii="Arial" w:hAnsi="Arial"/>
          <w:i/>
          <w:spacing w:val="-10"/>
          <w:sz w:val="22"/>
        </w:rPr>
        <w:t> </w:t>
      </w:r>
      <w:r>
        <w:rPr>
          <w:rFonts w:ascii="Arial" w:hAnsi="Arial"/>
          <w:i/>
          <w:sz w:val="22"/>
        </w:rPr>
        <w:t>interior</w:t>
      </w:r>
      <w:r>
        <w:rPr>
          <w:rFonts w:ascii="Arial" w:hAnsi="Arial"/>
          <w:i/>
          <w:spacing w:val="-13"/>
          <w:sz w:val="22"/>
        </w:rPr>
        <w:t> </w:t>
      </w:r>
      <w:r>
        <w:rPr>
          <w:rFonts w:ascii="Arial" w:hAnsi="Arial"/>
          <w:i/>
          <w:sz w:val="22"/>
        </w:rPr>
        <w:t>de</w:t>
      </w:r>
      <w:r>
        <w:rPr>
          <w:rFonts w:ascii="Arial" w:hAnsi="Arial"/>
          <w:i/>
          <w:spacing w:val="-9"/>
          <w:sz w:val="22"/>
        </w:rPr>
        <w:t> </w:t>
      </w:r>
      <w:r>
        <w:rPr>
          <w:rFonts w:ascii="Arial" w:hAnsi="Arial"/>
          <w:i/>
          <w:sz w:val="22"/>
        </w:rPr>
        <w:t>dicho</w:t>
      </w:r>
      <w:r>
        <w:rPr>
          <w:rFonts w:ascii="Arial" w:hAnsi="Arial"/>
          <w:i/>
          <w:spacing w:val="-12"/>
          <w:sz w:val="22"/>
        </w:rPr>
        <w:t> </w:t>
      </w:r>
      <w:r>
        <w:rPr>
          <w:rFonts w:ascii="Arial" w:hAnsi="Arial"/>
          <w:i/>
          <w:sz w:val="22"/>
        </w:rPr>
        <w:t>mercado</w:t>
      </w:r>
      <w:r>
        <w:rPr>
          <w:rFonts w:ascii="Arial" w:hAnsi="Arial"/>
          <w:i/>
          <w:spacing w:val="-11"/>
          <w:sz w:val="22"/>
        </w:rPr>
        <w:t> </w:t>
      </w:r>
      <w:r>
        <w:rPr>
          <w:rFonts w:ascii="Arial" w:hAnsi="Arial"/>
          <w:i/>
          <w:sz w:val="22"/>
        </w:rPr>
        <w:t>tiene</w:t>
      </w:r>
      <w:r>
        <w:rPr>
          <w:rFonts w:ascii="Arial" w:hAnsi="Arial"/>
          <w:i/>
          <w:spacing w:val="-9"/>
          <w:sz w:val="22"/>
        </w:rPr>
        <w:t> </w:t>
      </w:r>
      <w:r>
        <w:rPr>
          <w:rFonts w:ascii="Arial" w:hAnsi="Arial"/>
          <w:i/>
          <w:sz w:val="22"/>
        </w:rPr>
        <w:t>la</w:t>
      </w:r>
      <w:r>
        <w:rPr>
          <w:rFonts w:ascii="Arial" w:hAnsi="Arial"/>
          <w:i/>
          <w:spacing w:val="-10"/>
          <w:sz w:val="22"/>
        </w:rPr>
        <w:t> </w:t>
      </w:r>
      <w:r>
        <w:rPr>
          <w:rFonts w:ascii="Arial" w:hAnsi="Arial"/>
          <w:i/>
          <w:sz w:val="22"/>
        </w:rPr>
        <w:t>oportunidad</w:t>
      </w:r>
      <w:r>
        <w:rPr>
          <w:rFonts w:ascii="Arial" w:hAnsi="Arial"/>
          <w:i/>
          <w:spacing w:val="-9"/>
          <w:sz w:val="22"/>
        </w:rPr>
        <w:t> </w:t>
      </w:r>
      <w:r>
        <w:rPr>
          <w:rFonts w:ascii="Arial" w:hAnsi="Arial"/>
          <w:i/>
          <w:sz w:val="22"/>
        </w:rPr>
        <w:t>de</w:t>
      </w:r>
      <w:r>
        <w:rPr>
          <w:rFonts w:ascii="Arial" w:hAnsi="Arial"/>
          <w:i/>
          <w:spacing w:val="-12"/>
          <w:sz w:val="22"/>
        </w:rPr>
        <w:t> </w:t>
      </w:r>
      <w:r>
        <w:rPr>
          <w:rFonts w:ascii="Arial" w:hAnsi="Arial"/>
          <w:i/>
          <w:sz w:val="22"/>
        </w:rPr>
        <w:t>elegir</w:t>
      </w:r>
      <w:r>
        <w:rPr>
          <w:rFonts w:ascii="Arial" w:hAnsi="Arial"/>
          <w:i/>
          <w:spacing w:val="-9"/>
          <w:sz w:val="22"/>
        </w:rPr>
        <w:t> </w:t>
      </w:r>
      <w:r>
        <w:rPr>
          <w:rFonts w:ascii="Arial" w:hAnsi="Arial"/>
          <w:i/>
          <w:sz w:val="22"/>
        </w:rPr>
        <w:t>entre</w:t>
      </w:r>
      <w:r>
        <w:rPr>
          <w:rFonts w:ascii="Arial" w:hAnsi="Arial"/>
          <w:i/>
          <w:spacing w:val="-11"/>
          <w:sz w:val="22"/>
        </w:rPr>
        <w:t> </w:t>
      </w:r>
      <w:r>
        <w:rPr>
          <w:rFonts w:ascii="Arial" w:hAnsi="Arial"/>
          <w:i/>
          <w:sz w:val="22"/>
        </w:rPr>
        <w:t>una mayor variedad de bienes provenientes de los diferentes rincones de Bolivia, Colombia,</w:t>
      </w:r>
      <w:r>
        <w:rPr>
          <w:rFonts w:ascii="Arial" w:hAnsi="Arial"/>
          <w:i/>
          <w:spacing w:val="-2"/>
          <w:sz w:val="22"/>
        </w:rPr>
        <w:t> </w:t>
      </w:r>
      <w:r>
        <w:rPr>
          <w:rFonts w:ascii="Arial" w:hAnsi="Arial"/>
          <w:i/>
          <w:sz w:val="22"/>
        </w:rPr>
        <w:t>Ecuador</w:t>
      </w:r>
      <w:r>
        <w:rPr>
          <w:rFonts w:ascii="Arial" w:hAnsi="Arial"/>
          <w:i/>
          <w:spacing w:val="-4"/>
          <w:sz w:val="22"/>
        </w:rPr>
        <w:t> </w:t>
      </w:r>
      <w:r>
        <w:rPr>
          <w:rFonts w:ascii="Arial" w:hAnsi="Arial"/>
          <w:i/>
          <w:sz w:val="22"/>
        </w:rPr>
        <w:t>y</w:t>
      </w:r>
      <w:r>
        <w:rPr>
          <w:rFonts w:ascii="Arial" w:hAnsi="Arial"/>
          <w:i/>
          <w:spacing w:val="-2"/>
          <w:sz w:val="22"/>
        </w:rPr>
        <w:t> </w:t>
      </w:r>
      <w:r>
        <w:rPr>
          <w:rFonts w:ascii="Arial" w:hAnsi="Arial"/>
          <w:i/>
          <w:sz w:val="22"/>
        </w:rPr>
        <w:t>Perú,</w:t>
      </w:r>
      <w:r>
        <w:rPr>
          <w:rFonts w:ascii="Arial" w:hAnsi="Arial"/>
          <w:i/>
          <w:spacing w:val="-2"/>
          <w:sz w:val="22"/>
        </w:rPr>
        <w:t> </w:t>
      </w:r>
      <w:r>
        <w:rPr>
          <w:rFonts w:ascii="Arial" w:hAnsi="Arial"/>
          <w:i/>
          <w:sz w:val="22"/>
        </w:rPr>
        <w:t>lo</w:t>
      </w:r>
      <w:r>
        <w:rPr>
          <w:rFonts w:ascii="Arial" w:hAnsi="Arial"/>
          <w:i/>
          <w:spacing w:val="-3"/>
          <w:sz w:val="22"/>
        </w:rPr>
        <w:t> </w:t>
      </w:r>
      <w:r>
        <w:rPr>
          <w:rFonts w:ascii="Arial" w:hAnsi="Arial"/>
          <w:i/>
          <w:sz w:val="22"/>
        </w:rPr>
        <w:t>que</w:t>
      </w:r>
      <w:r>
        <w:rPr>
          <w:rFonts w:ascii="Arial" w:hAnsi="Arial"/>
          <w:i/>
          <w:spacing w:val="-5"/>
          <w:sz w:val="22"/>
        </w:rPr>
        <w:t> </w:t>
      </w:r>
      <w:r>
        <w:rPr>
          <w:rFonts w:ascii="Arial" w:hAnsi="Arial"/>
          <w:i/>
          <w:sz w:val="22"/>
        </w:rPr>
        <w:t>a</w:t>
      </w:r>
      <w:r>
        <w:rPr>
          <w:rFonts w:ascii="Arial" w:hAnsi="Arial"/>
          <w:i/>
          <w:spacing w:val="-3"/>
          <w:sz w:val="22"/>
        </w:rPr>
        <w:t> </w:t>
      </w:r>
      <w:r>
        <w:rPr>
          <w:rFonts w:ascii="Arial" w:hAnsi="Arial"/>
          <w:i/>
          <w:sz w:val="22"/>
        </w:rPr>
        <w:t>vez incrementa</w:t>
      </w:r>
      <w:r>
        <w:rPr>
          <w:rFonts w:ascii="Arial" w:hAnsi="Arial"/>
          <w:i/>
          <w:spacing w:val="-3"/>
          <w:sz w:val="22"/>
        </w:rPr>
        <w:t> </w:t>
      </w:r>
      <w:r>
        <w:rPr>
          <w:rFonts w:ascii="Arial" w:hAnsi="Arial"/>
          <w:i/>
          <w:sz w:val="22"/>
        </w:rPr>
        <w:t>la</w:t>
      </w:r>
      <w:r>
        <w:rPr>
          <w:rFonts w:ascii="Arial" w:hAnsi="Arial"/>
          <w:i/>
          <w:spacing w:val="-3"/>
          <w:sz w:val="22"/>
        </w:rPr>
        <w:t> </w:t>
      </w:r>
      <w:r>
        <w:rPr>
          <w:rFonts w:ascii="Arial" w:hAnsi="Arial"/>
          <w:i/>
          <w:sz w:val="22"/>
        </w:rPr>
        <w:t>competencia</w:t>
      </w:r>
      <w:r>
        <w:rPr>
          <w:rFonts w:ascii="Arial" w:hAnsi="Arial"/>
          <w:i/>
          <w:spacing w:val="-3"/>
          <w:sz w:val="22"/>
        </w:rPr>
        <w:t> </w:t>
      </w:r>
      <w:r>
        <w:rPr>
          <w:rFonts w:ascii="Arial" w:hAnsi="Arial"/>
          <w:i/>
          <w:sz w:val="22"/>
        </w:rPr>
        <w:t>y</w:t>
      </w:r>
      <w:r>
        <w:rPr>
          <w:rFonts w:ascii="Arial" w:hAnsi="Arial"/>
          <w:i/>
          <w:spacing w:val="-4"/>
          <w:sz w:val="22"/>
        </w:rPr>
        <w:t> </w:t>
      </w:r>
      <w:r>
        <w:rPr>
          <w:rFonts w:ascii="Arial" w:hAnsi="Arial"/>
          <w:i/>
          <w:sz w:val="22"/>
        </w:rPr>
        <w:t>el</w:t>
      </w:r>
      <w:r>
        <w:rPr>
          <w:rFonts w:ascii="Arial" w:hAnsi="Arial"/>
          <w:i/>
          <w:spacing w:val="-4"/>
          <w:sz w:val="22"/>
        </w:rPr>
        <w:t> </w:t>
      </w:r>
      <w:r>
        <w:rPr>
          <w:rFonts w:ascii="Arial" w:hAnsi="Arial"/>
          <w:i/>
          <w:sz w:val="22"/>
        </w:rPr>
        <w:t>bienestar de</w:t>
      </w:r>
      <w:r>
        <w:rPr>
          <w:rFonts w:ascii="Arial" w:hAnsi="Arial"/>
          <w:i/>
          <w:spacing w:val="-6"/>
          <w:sz w:val="22"/>
        </w:rPr>
        <w:t> </w:t>
      </w:r>
      <w:r>
        <w:rPr>
          <w:rFonts w:ascii="Arial" w:hAnsi="Arial"/>
          <w:i/>
          <w:sz w:val="22"/>
        </w:rPr>
        <w:t>los</w:t>
      </w:r>
      <w:r>
        <w:rPr>
          <w:rFonts w:ascii="Arial" w:hAnsi="Arial"/>
          <w:i/>
          <w:spacing w:val="-8"/>
          <w:sz w:val="22"/>
        </w:rPr>
        <w:t> </w:t>
      </w:r>
      <w:r>
        <w:rPr>
          <w:rFonts w:ascii="Arial" w:hAnsi="Arial"/>
          <w:i/>
          <w:sz w:val="22"/>
        </w:rPr>
        <w:t>mencionados</w:t>
      </w:r>
      <w:r>
        <w:rPr>
          <w:rFonts w:ascii="Arial" w:hAnsi="Arial"/>
          <w:i/>
          <w:spacing w:val="-6"/>
          <w:sz w:val="22"/>
        </w:rPr>
        <w:t> </w:t>
      </w:r>
      <w:r>
        <w:rPr>
          <w:rFonts w:ascii="Arial" w:hAnsi="Arial"/>
          <w:i/>
          <w:sz w:val="22"/>
        </w:rPr>
        <w:t>consumidores,</w:t>
      </w:r>
      <w:r>
        <w:rPr>
          <w:rFonts w:ascii="Arial" w:hAnsi="Arial"/>
          <w:i/>
          <w:spacing w:val="-5"/>
          <w:sz w:val="22"/>
        </w:rPr>
        <w:t> </w:t>
      </w:r>
      <w:r>
        <w:rPr>
          <w:rFonts w:ascii="Arial" w:hAnsi="Arial"/>
          <w:i/>
          <w:sz w:val="22"/>
        </w:rPr>
        <w:t>quienes</w:t>
      </w:r>
      <w:r>
        <w:rPr>
          <w:rFonts w:ascii="Arial" w:hAnsi="Arial"/>
          <w:i/>
          <w:spacing w:val="-8"/>
          <w:sz w:val="22"/>
        </w:rPr>
        <w:t> </w:t>
      </w:r>
      <w:r>
        <w:rPr>
          <w:rFonts w:ascii="Arial" w:hAnsi="Arial"/>
          <w:i/>
          <w:sz w:val="22"/>
        </w:rPr>
        <w:t>pueden</w:t>
      </w:r>
      <w:r>
        <w:rPr>
          <w:rFonts w:ascii="Arial" w:hAnsi="Arial"/>
          <w:i/>
          <w:spacing w:val="-6"/>
          <w:sz w:val="22"/>
        </w:rPr>
        <w:t> </w:t>
      </w:r>
      <w:r>
        <w:rPr>
          <w:rFonts w:ascii="Arial" w:hAnsi="Arial"/>
          <w:i/>
          <w:sz w:val="22"/>
        </w:rPr>
        <w:t>tener</w:t>
      </w:r>
      <w:r>
        <w:rPr>
          <w:rFonts w:ascii="Arial" w:hAnsi="Arial"/>
          <w:i/>
          <w:spacing w:val="-5"/>
          <w:sz w:val="22"/>
        </w:rPr>
        <w:t> </w:t>
      </w:r>
      <w:r>
        <w:rPr>
          <w:rFonts w:ascii="Arial" w:hAnsi="Arial"/>
          <w:i/>
          <w:sz w:val="22"/>
        </w:rPr>
        <w:t>a</w:t>
      </w:r>
      <w:r>
        <w:rPr>
          <w:rFonts w:ascii="Arial" w:hAnsi="Arial"/>
          <w:i/>
          <w:spacing w:val="-8"/>
          <w:sz w:val="22"/>
        </w:rPr>
        <w:t> </w:t>
      </w:r>
      <w:r>
        <w:rPr>
          <w:rFonts w:ascii="Arial" w:hAnsi="Arial"/>
          <w:i/>
          <w:sz w:val="22"/>
        </w:rPr>
        <w:t>su</w:t>
      </w:r>
      <w:r>
        <w:rPr>
          <w:rFonts w:ascii="Arial" w:hAnsi="Arial"/>
          <w:i/>
          <w:spacing w:val="-6"/>
          <w:sz w:val="22"/>
        </w:rPr>
        <w:t> </w:t>
      </w:r>
      <w:r>
        <w:rPr>
          <w:rFonts w:ascii="Arial" w:hAnsi="Arial"/>
          <w:i/>
          <w:sz w:val="22"/>
        </w:rPr>
        <w:t>alcance</w:t>
      </w:r>
      <w:r>
        <w:rPr>
          <w:rFonts w:ascii="Arial" w:hAnsi="Arial"/>
          <w:i/>
          <w:spacing w:val="-8"/>
          <w:sz w:val="22"/>
        </w:rPr>
        <w:t> </w:t>
      </w:r>
      <w:r>
        <w:rPr>
          <w:rFonts w:ascii="Arial" w:hAnsi="Arial"/>
          <w:i/>
          <w:sz w:val="22"/>
        </w:rPr>
        <w:t>productos a menores precios y de mejor calidad.</w:t>
      </w:r>
    </w:p>
    <w:p>
      <w:pPr>
        <w:pStyle w:val="BodyText"/>
        <w:rPr>
          <w:rFonts w:ascii="Arial"/>
          <w:i/>
        </w:rPr>
      </w:pPr>
    </w:p>
    <w:p>
      <w:pPr>
        <w:spacing w:before="1"/>
        <w:ind w:left="1701" w:right="981" w:firstLine="0"/>
        <w:jc w:val="both"/>
        <w:rPr>
          <w:sz w:val="22"/>
        </w:rPr>
      </w:pPr>
      <w:r>
        <w:rPr>
          <w:rFonts w:ascii="Arial" w:hAnsi="Arial"/>
          <w:i/>
          <w:sz w:val="22"/>
        </w:rPr>
        <w:t>3.3.5 El aprovechamiento de un área de libre comercio requiere optimizar la integración física, especialmente a través de la facilitación del transporte de mercancías entre los Países Miembros. </w:t>
      </w:r>
      <w:r>
        <w:rPr>
          <w:sz w:val="22"/>
        </w:rPr>
        <w:t>(…)</w:t>
      </w:r>
    </w:p>
    <w:p>
      <w:pPr>
        <w:pStyle w:val="BodyText"/>
      </w:pPr>
    </w:p>
    <w:p>
      <w:pPr>
        <w:spacing w:before="0"/>
        <w:ind w:left="1701" w:right="981" w:firstLine="0"/>
        <w:jc w:val="both"/>
        <w:rPr>
          <w:sz w:val="22"/>
        </w:rPr>
      </w:pPr>
      <w:r>
        <w:rPr>
          <w:rFonts w:ascii="Arial" w:hAnsi="Arial"/>
          <w:i/>
          <w:sz w:val="22"/>
        </w:rPr>
        <w:t>3.3.10 Si bien son muchas las formas en las cuales los ciudadanos andinos pueden ser partícipes directos del proceso de integración y percibir de manera inmediata</w:t>
      </w:r>
      <w:r>
        <w:rPr>
          <w:rFonts w:ascii="Arial" w:hAnsi="Arial"/>
          <w:i/>
          <w:spacing w:val="-16"/>
          <w:sz w:val="22"/>
        </w:rPr>
        <w:t> </w:t>
      </w:r>
      <w:r>
        <w:rPr>
          <w:rFonts w:ascii="Arial" w:hAnsi="Arial"/>
          <w:i/>
          <w:sz w:val="22"/>
        </w:rPr>
        <w:t>sus</w:t>
      </w:r>
      <w:r>
        <w:rPr>
          <w:rFonts w:ascii="Arial" w:hAnsi="Arial"/>
          <w:i/>
          <w:spacing w:val="-15"/>
          <w:sz w:val="22"/>
        </w:rPr>
        <w:t> </w:t>
      </w:r>
      <w:r>
        <w:rPr>
          <w:rFonts w:ascii="Arial" w:hAnsi="Arial"/>
          <w:i/>
          <w:sz w:val="22"/>
        </w:rPr>
        <w:t>beneficios,</w:t>
      </w:r>
      <w:r>
        <w:rPr>
          <w:rFonts w:ascii="Arial" w:hAnsi="Arial"/>
          <w:i/>
          <w:spacing w:val="-15"/>
          <w:sz w:val="22"/>
        </w:rPr>
        <w:t> </w:t>
      </w:r>
      <w:r>
        <w:rPr>
          <w:rFonts w:ascii="Arial" w:hAnsi="Arial"/>
          <w:i/>
          <w:sz w:val="22"/>
        </w:rPr>
        <w:t>no</w:t>
      </w:r>
      <w:r>
        <w:rPr>
          <w:rFonts w:ascii="Arial" w:hAnsi="Arial"/>
          <w:i/>
          <w:spacing w:val="-16"/>
          <w:sz w:val="22"/>
        </w:rPr>
        <w:t> </w:t>
      </w:r>
      <w:r>
        <w:rPr>
          <w:rFonts w:ascii="Arial" w:hAnsi="Arial"/>
          <w:i/>
          <w:sz w:val="22"/>
        </w:rPr>
        <w:t>cabe</w:t>
      </w:r>
      <w:r>
        <w:rPr>
          <w:rFonts w:ascii="Arial" w:hAnsi="Arial"/>
          <w:i/>
          <w:spacing w:val="-15"/>
          <w:sz w:val="22"/>
        </w:rPr>
        <w:t> </w:t>
      </w:r>
      <w:r>
        <w:rPr>
          <w:rFonts w:ascii="Arial" w:hAnsi="Arial"/>
          <w:i/>
          <w:sz w:val="22"/>
        </w:rPr>
        <w:t>duda</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que</w:t>
      </w:r>
      <w:r>
        <w:rPr>
          <w:rFonts w:ascii="Arial" w:hAnsi="Arial"/>
          <w:i/>
          <w:spacing w:val="-16"/>
          <w:sz w:val="22"/>
        </w:rPr>
        <w:t> </w:t>
      </w:r>
      <w:r>
        <w:rPr>
          <w:rFonts w:ascii="Arial" w:hAnsi="Arial"/>
          <w:i/>
          <w:sz w:val="22"/>
        </w:rPr>
        <w:t>la</w:t>
      </w:r>
      <w:r>
        <w:rPr>
          <w:rFonts w:ascii="Arial" w:hAnsi="Arial"/>
          <w:i/>
          <w:spacing w:val="-15"/>
          <w:sz w:val="22"/>
        </w:rPr>
        <w:t> </w:t>
      </w:r>
      <w:r>
        <w:rPr>
          <w:rFonts w:ascii="Arial" w:hAnsi="Arial"/>
          <w:i/>
          <w:sz w:val="22"/>
        </w:rPr>
        <w:t>posibilidad</w:t>
      </w:r>
      <w:r>
        <w:rPr>
          <w:rFonts w:ascii="Arial" w:hAnsi="Arial"/>
          <w:i/>
          <w:spacing w:val="-15"/>
          <w:sz w:val="22"/>
        </w:rPr>
        <w:t> </w:t>
      </w:r>
      <w:r>
        <w:rPr>
          <w:rFonts w:ascii="Arial" w:hAnsi="Arial"/>
          <w:i/>
          <w:sz w:val="22"/>
        </w:rPr>
        <w:t>de</w:t>
      </w:r>
      <w:r>
        <w:rPr>
          <w:rFonts w:ascii="Arial" w:hAnsi="Arial"/>
          <w:i/>
          <w:spacing w:val="-16"/>
          <w:sz w:val="22"/>
        </w:rPr>
        <w:t> </w:t>
      </w:r>
      <w:r>
        <w:rPr>
          <w:rFonts w:ascii="Arial" w:hAnsi="Arial"/>
          <w:i/>
          <w:sz w:val="22"/>
        </w:rPr>
        <w:t>circular</w:t>
      </w:r>
      <w:r>
        <w:rPr>
          <w:rFonts w:ascii="Arial" w:hAnsi="Arial"/>
          <w:i/>
          <w:spacing w:val="-15"/>
          <w:sz w:val="22"/>
        </w:rPr>
        <w:t> </w:t>
      </w:r>
      <w:r>
        <w:rPr>
          <w:rFonts w:ascii="Arial" w:hAnsi="Arial"/>
          <w:i/>
          <w:sz w:val="22"/>
        </w:rPr>
        <w:t>libremente en el territorio comunitario es una de las más emblemáticas y constituye uno de los principales logros del proceso integrador.</w:t>
      </w:r>
      <w:r>
        <w:rPr>
          <w:sz w:val="22"/>
        </w:rPr>
        <w:t>”</w:t>
      </w:r>
    </w:p>
    <w:p>
      <w:pPr>
        <w:pStyle w:val="ListParagraph"/>
        <w:numPr>
          <w:ilvl w:val="0"/>
          <w:numId w:val="50"/>
        </w:numPr>
        <w:tabs>
          <w:tab w:pos="1134" w:val="left" w:leader="none"/>
        </w:tabs>
        <w:spacing w:line="240" w:lineRule="auto" w:before="252" w:after="0"/>
        <w:ind w:left="1134" w:right="0" w:hanging="566"/>
        <w:jc w:val="left"/>
        <w:rPr>
          <w:sz w:val="22"/>
        </w:rPr>
      </w:pPr>
      <w:r>
        <w:rPr>
          <w:sz w:val="22"/>
        </w:rPr>
        <w:t>Asimismo,</w:t>
      </w:r>
      <w:r>
        <w:rPr>
          <w:spacing w:val="-8"/>
          <w:sz w:val="22"/>
        </w:rPr>
        <w:t> </w:t>
      </w:r>
      <w:r>
        <w:rPr>
          <w:sz w:val="22"/>
        </w:rPr>
        <w:t>en</w:t>
      </w:r>
      <w:r>
        <w:rPr>
          <w:spacing w:val="-8"/>
          <w:sz w:val="22"/>
        </w:rPr>
        <w:t> </w:t>
      </w:r>
      <w:r>
        <w:rPr>
          <w:sz w:val="22"/>
        </w:rPr>
        <w:t>su</w:t>
      </w:r>
      <w:r>
        <w:rPr>
          <w:spacing w:val="-6"/>
          <w:sz w:val="22"/>
        </w:rPr>
        <w:t> </w:t>
      </w:r>
      <w:r>
        <w:rPr>
          <w:sz w:val="22"/>
        </w:rPr>
        <w:t>sentencia</w:t>
      </w:r>
      <w:r>
        <w:rPr>
          <w:spacing w:val="-7"/>
          <w:sz w:val="22"/>
        </w:rPr>
        <w:t> </w:t>
      </w:r>
      <w:r>
        <w:rPr>
          <w:sz w:val="22"/>
        </w:rPr>
        <w:t>del</w:t>
      </w:r>
      <w:r>
        <w:rPr>
          <w:spacing w:val="-6"/>
          <w:sz w:val="22"/>
        </w:rPr>
        <w:t> </w:t>
      </w:r>
      <w:r>
        <w:rPr>
          <w:sz w:val="22"/>
        </w:rPr>
        <w:t>Proceso</w:t>
      </w:r>
      <w:r>
        <w:rPr>
          <w:spacing w:val="-8"/>
          <w:sz w:val="22"/>
        </w:rPr>
        <w:t> </w:t>
      </w:r>
      <w:r>
        <w:rPr>
          <w:sz w:val="22"/>
        </w:rPr>
        <w:t>01-AN-2014</w:t>
      </w:r>
      <w:hyperlink w:history="true" w:anchor="_bookmark92">
        <w:r>
          <w:rPr>
            <w:sz w:val="22"/>
            <w:vertAlign w:val="superscript"/>
          </w:rPr>
          <w:t>25</w:t>
        </w:r>
      </w:hyperlink>
      <w:r>
        <w:rPr>
          <w:sz w:val="22"/>
          <w:vertAlign w:val="baseline"/>
        </w:rPr>
        <w:t>,</w:t>
      </w:r>
      <w:r>
        <w:rPr>
          <w:spacing w:val="-5"/>
          <w:sz w:val="22"/>
          <w:vertAlign w:val="baseline"/>
        </w:rPr>
        <w:t> </w:t>
      </w:r>
      <w:r>
        <w:rPr>
          <w:sz w:val="22"/>
          <w:vertAlign w:val="baseline"/>
        </w:rPr>
        <w:t>ese</w:t>
      </w:r>
      <w:r>
        <w:rPr>
          <w:spacing w:val="-8"/>
          <w:sz w:val="22"/>
          <w:vertAlign w:val="baseline"/>
        </w:rPr>
        <w:t> </w:t>
      </w:r>
      <w:r>
        <w:rPr>
          <w:sz w:val="22"/>
          <w:vertAlign w:val="baseline"/>
        </w:rPr>
        <w:t>Honorable</w:t>
      </w:r>
      <w:r>
        <w:rPr>
          <w:spacing w:val="-6"/>
          <w:sz w:val="22"/>
          <w:vertAlign w:val="baseline"/>
        </w:rPr>
        <w:t> </w:t>
      </w:r>
      <w:r>
        <w:rPr>
          <w:sz w:val="22"/>
          <w:vertAlign w:val="baseline"/>
        </w:rPr>
        <w:t>Tribunal</w:t>
      </w:r>
      <w:r>
        <w:rPr>
          <w:spacing w:val="-7"/>
          <w:sz w:val="22"/>
          <w:vertAlign w:val="baseline"/>
        </w:rPr>
        <w:t> </w:t>
      </w:r>
      <w:r>
        <w:rPr>
          <w:spacing w:val="-2"/>
          <w:sz w:val="22"/>
          <w:vertAlign w:val="baseline"/>
        </w:rPr>
        <w:t>añadió:</w:t>
      </w:r>
    </w:p>
    <w:p>
      <w:pPr>
        <w:pStyle w:val="BodyText"/>
        <w:spacing w:before="1"/>
      </w:pPr>
    </w:p>
    <w:p>
      <w:pPr>
        <w:spacing w:before="0"/>
        <w:ind w:left="1701" w:right="978" w:firstLine="0"/>
        <w:jc w:val="both"/>
        <w:rPr>
          <w:sz w:val="22"/>
        </w:rPr>
      </w:pPr>
      <w:r>
        <w:rPr>
          <w:sz w:val="22"/>
        </w:rPr>
        <w:t>“</w:t>
      </w:r>
      <w:r>
        <w:rPr>
          <w:rFonts w:ascii="Arial" w:hAnsi="Arial"/>
          <w:i/>
          <w:sz w:val="22"/>
        </w:rPr>
        <w:t>3.2.5. Conforme al Artículo 72 del Acuerdo de Cartagena, el Programa de Liberación</w:t>
      </w:r>
      <w:r>
        <w:rPr>
          <w:rFonts w:ascii="Arial" w:hAnsi="Arial"/>
          <w:i/>
          <w:spacing w:val="-3"/>
          <w:sz w:val="22"/>
        </w:rPr>
        <w:t> </w:t>
      </w:r>
      <w:r>
        <w:rPr>
          <w:rFonts w:ascii="Arial" w:hAnsi="Arial"/>
          <w:i/>
          <w:sz w:val="22"/>
        </w:rPr>
        <w:t>tiene por</w:t>
      </w:r>
      <w:r>
        <w:rPr>
          <w:rFonts w:ascii="Arial" w:hAnsi="Arial"/>
          <w:i/>
          <w:spacing w:val="-2"/>
          <w:sz w:val="22"/>
        </w:rPr>
        <w:t> </w:t>
      </w:r>
      <w:r>
        <w:rPr>
          <w:rFonts w:ascii="Arial" w:hAnsi="Arial"/>
          <w:i/>
          <w:sz w:val="22"/>
        </w:rPr>
        <w:t>objeto</w:t>
      </w:r>
      <w:r>
        <w:rPr>
          <w:rFonts w:ascii="Arial" w:hAnsi="Arial"/>
          <w:i/>
          <w:spacing w:val="-2"/>
          <w:sz w:val="22"/>
        </w:rPr>
        <w:t> </w:t>
      </w:r>
      <w:r>
        <w:rPr>
          <w:rFonts w:ascii="Arial" w:hAnsi="Arial"/>
          <w:i/>
          <w:sz w:val="22"/>
        </w:rPr>
        <w:t>eliminar</w:t>
      </w:r>
      <w:r>
        <w:rPr>
          <w:rFonts w:ascii="Arial" w:hAnsi="Arial"/>
          <w:i/>
          <w:spacing w:val="-2"/>
          <w:sz w:val="22"/>
        </w:rPr>
        <w:t> </w:t>
      </w:r>
      <w:r>
        <w:rPr>
          <w:rFonts w:ascii="Arial" w:hAnsi="Arial"/>
          <w:i/>
          <w:sz w:val="22"/>
        </w:rPr>
        <w:t>los gravámenes y</w:t>
      </w:r>
      <w:r>
        <w:rPr>
          <w:rFonts w:ascii="Arial" w:hAnsi="Arial"/>
          <w:i/>
          <w:spacing w:val="-5"/>
          <w:sz w:val="22"/>
        </w:rPr>
        <w:t> </w:t>
      </w:r>
      <w:r>
        <w:rPr>
          <w:rFonts w:ascii="Arial" w:hAnsi="Arial"/>
          <w:i/>
          <w:sz w:val="22"/>
        </w:rPr>
        <w:t>restricciones</w:t>
      </w:r>
      <w:r>
        <w:rPr>
          <w:rFonts w:ascii="Arial" w:hAnsi="Arial"/>
          <w:i/>
          <w:spacing w:val="-3"/>
          <w:sz w:val="22"/>
        </w:rPr>
        <w:t> </w:t>
      </w:r>
      <w:r>
        <w:rPr>
          <w:rFonts w:ascii="Arial" w:hAnsi="Arial"/>
          <w:i/>
          <w:sz w:val="22"/>
        </w:rPr>
        <w:t>de</w:t>
      </w:r>
      <w:r>
        <w:rPr>
          <w:rFonts w:ascii="Arial" w:hAnsi="Arial"/>
          <w:i/>
          <w:spacing w:val="-3"/>
          <w:sz w:val="22"/>
        </w:rPr>
        <w:t> </w:t>
      </w:r>
      <w:r>
        <w:rPr>
          <w:rFonts w:ascii="Arial" w:hAnsi="Arial"/>
          <w:i/>
          <w:sz w:val="22"/>
        </w:rPr>
        <w:t>todo orden que</w:t>
      </w:r>
      <w:r>
        <w:rPr>
          <w:rFonts w:ascii="Arial" w:hAnsi="Arial"/>
          <w:i/>
          <w:spacing w:val="-15"/>
          <w:sz w:val="22"/>
        </w:rPr>
        <w:t> </w:t>
      </w:r>
      <w:r>
        <w:rPr>
          <w:rFonts w:ascii="Arial" w:hAnsi="Arial"/>
          <w:i/>
          <w:sz w:val="22"/>
        </w:rPr>
        <w:t>incidan</w:t>
      </w:r>
      <w:r>
        <w:rPr>
          <w:rFonts w:ascii="Arial" w:hAnsi="Arial"/>
          <w:i/>
          <w:spacing w:val="-15"/>
          <w:sz w:val="22"/>
        </w:rPr>
        <w:t> </w:t>
      </w:r>
      <w:r>
        <w:rPr>
          <w:rFonts w:ascii="Arial" w:hAnsi="Arial"/>
          <w:i/>
          <w:sz w:val="22"/>
        </w:rPr>
        <w:t>sobre</w:t>
      </w:r>
      <w:r>
        <w:rPr>
          <w:rFonts w:ascii="Arial" w:hAnsi="Arial"/>
          <w:i/>
          <w:spacing w:val="-15"/>
          <w:sz w:val="22"/>
        </w:rPr>
        <w:t> </w:t>
      </w:r>
      <w:r>
        <w:rPr>
          <w:rFonts w:ascii="Arial" w:hAnsi="Arial"/>
          <w:i/>
          <w:sz w:val="22"/>
        </w:rPr>
        <w:t>la</w:t>
      </w:r>
      <w:r>
        <w:rPr>
          <w:rFonts w:ascii="Arial" w:hAnsi="Arial"/>
          <w:i/>
          <w:spacing w:val="-15"/>
          <w:sz w:val="22"/>
        </w:rPr>
        <w:t> </w:t>
      </w:r>
      <w:r>
        <w:rPr>
          <w:rFonts w:ascii="Arial" w:hAnsi="Arial"/>
          <w:i/>
          <w:sz w:val="22"/>
        </w:rPr>
        <w:t>importación</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productos</w:t>
      </w:r>
      <w:r>
        <w:rPr>
          <w:rFonts w:ascii="Arial" w:hAnsi="Arial"/>
          <w:i/>
          <w:spacing w:val="-14"/>
          <w:sz w:val="22"/>
        </w:rPr>
        <w:t> </w:t>
      </w:r>
      <w:r>
        <w:rPr>
          <w:rFonts w:ascii="Arial" w:hAnsi="Arial"/>
          <w:i/>
          <w:sz w:val="22"/>
        </w:rPr>
        <w:t>originarios</w:t>
      </w:r>
      <w:r>
        <w:rPr>
          <w:rFonts w:ascii="Arial" w:hAnsi="Arial"/>
          <w:i/>
          <w:spacing w:val="-14"/>
          <w:sz w:val="22"/>
        </w:rPr>
        <w:t> </w:t>
      </w:r>
      <w:r>
        <w:rPr>
          <w:rFonts w:ascii="Arial" w:hAnsi="Arial"/>
          <w:i/>
          <w:sz w:val="22"/>
        </w:rPr>
        <w:t>del</w:t>
      </w:r>
      <w:r>
        <w:rPr>
          <w:rFonts w:ascii="Arial" w:hAnsi="Arial"/>
          <w:i/>
          <w:spacing w:val="-15"/>
          <w:sz w:val="22"/>
        </w:rPr>
        <w:t> </w:t>
      </w:r>
      <w:r>
        <w:rPr>
          <w:rFonts w:ascii="Arial" w:hAnsi="Arial"/>
          <w:i/>
          <w:sz w:val="22"/>
        </w:rPr>
        <w:t>territorio</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cualquier país</w:t>
      </w:r>
      <w:r>
        <w:rPr>
          <w:rFonts w:ascii="Arial" w:hAnsi="Arial"/>
          <w:i/>
          <w:spacing w:val="-8"/>
          <w:sz w:val="22"/>
        </w:rPr>
        <w:t> </w:t>
      </w:r>
      <w:r>
        <w:rPr>
          <w:rFonts w:ascii="Arial" w:hAnsi="Arial"/>
          <w:i/>
          <w:sz w:val="22"/>
        </w:rPr>
        <w:t>miembro.</w:t>
      </w:r>
      <w:r>
        <w:rPr>
          <w:rFonts w:ascii="Arial" w:hAnsi="Arial"/>
          <w:i/>
          <w:spacing w:val="-8"/>
          <w:sz w:val="22"/>
        </w:rPr>
        <w:t> </w:t>
      </w:r>
      <w:r>
        <w:rPr>
          <w:rFonts w:ascii="Arial" w:hAnsi="Arial"/>
          <w:i/>
          <w:sz w:val="22"/>
        </w:rPr>
        <w:t>En</w:t>
      </w:r>
      <w:r>
        <w:rPr>
          <w:rFonts w:ascii="Arial" w:hAnsi="Arial"/>
          <w:i/>
          <w:spacing w:val="-8"/>
          <w:sz w:val="22"/>
        </w:rPr>
        <w:t> </w:t>
      </w:r>
      <w:r>
        <w:rPr>
          <w:rFonts w:ascii="Arial" w:hAnsi="Arial"/>
          <w:i/>
          <w:sz w:val="22"/>
        </w:rPr>
        <w:t>ese</w:t>
      </w:r>
      <w:r>
        <w:rPr>
          <w:rFonts w:ascii="Arial" w:hAnsi="Arial"/>
          <w:i/>
          <w:spacing w:val="-9"/>
          <w:sz w:val="22"/>
        </w:rPr>
        <w:t> </w:t>
      </w:r>
      <w:r>
        <w:rPr>
          <w:rFonts w:ascii="Arial" w:hAnsi="Arial"/>
          <w:i/>
          <w:sz w:val="22"/>
        </w:rPr>
        <w:t>sentido,</w:t>
      </w:r>
      <w:r>
        <w:rPr>
          <w:rFonts w:ascii="Arial" w:hAnsi="Arial"/>
          <w:i/>
          <w:spacing w:val="-8"/>
          <w:sz w:val="22"/>
        </w:rPr>
        <w:t> </w:t>
      </w:r>
      <w:r>
        <w:rPr>
          <w:rFonts w:ascii="Arial" w:hAnsi="Arial"/>
          <w:i/>
          <w:sz w:val="22"/>
        </w:rPr>
        <w:t>el</w:t>
      </w:r>
      <w:r>
        <w:rPr>
          <w:rFonts w:ascii="Arial" w:hAnsi="Arial"/>
          <w:i/>
          <w:spacing w:val="-8"/>
          <w:sz w:val="22"/>
        </w:rPr>
        <w:t> </w:t>
      </w:r>
      <w:r>
        <w:rPr>
          <w:rFonts w:ascii="Arial" w:hAnsi="Arial"/>
          <w:i/>
          <w:sz w:val="22"/>
        </w:rPr>
        <w:t>Artículo</w:t>
      </w:r>
      <w:r>
        <w:rPr>
          <w:rFonts w:ascii="Arial" w:hAnsi="Arial"/>
          <w:i/>
          <w:spacing w:val="-9"/>
          <w:sz w:val="22"/>
        </w:rPr>
        <w:t> </w:t>
      </w:r>
      <w:r>
        <w:rPr>
          <w:rFonts w:ascii="Arial" w:hAnsi="Arial"/>
          <w:i/>
          <w:sz w:val="22"/>
        </w:rPr>
        <w:t>73</w:t>
      </w:r>
      <w:r>
        <w:rPr>
          <w:rFonts w:ascii="Arial" w:hAnsi="Arial"/>
          <w:i/>
          <w:spacing w:val="-9"/>
          <w:sz w:val="22"/>
        </w:rPr>
        <w:t> </w:t>
      </w:r>
      <w:r>
        <w:rPr>
          <w:rFonts w:ascii="Arial" w:hAnsi="Arial"/>
          <w:i/>
          <w:sz w:val="22"/>
        </w:rPr>
        <w:t>de</w:t>
      </w:r>
      <w:r>
        <w:rPr>
          <w:rFonts w:ascii="Arial" w:hAnsi="Arial"/>
          <w:i/>
          <w:spacing w:val="-9"/>
          <w:sz w:val="22"/>
        </w:rPr>
        <w:t> </w:t>
      </w:r>
      <w:r>
        <w:rPr>
          <w:rFonts w:ascii="Arial" w:hAnsi="Arial"/>
          <w:i/>
          <w:sz w:val="22"/>
        </w:rPr>
        <w:t>la</w:t>
      </w:r>
      <w:r>
        <w:rPr>
          <w:rFonts w:ascii="Arial" w:hAnsi="Arial"/>
          <w:i/>
          <w:spacing w:val="-9"/>
          <w:sz w:val="22"/>
        </w:rPr>
        <w:t> </w:t>
      </w:r>
      <w:r>
        <w:rPr>
          <w:rFonts w:ascii="Arial" w:hAnsi="Arial"/>
          <w:i/>
          <w:sz w:val="22"/>
        </w:rPr>
        <w:t>misma</w:t>
      </w:r>
      <w:r>
        <w:rPr>
          <w:rFonts w:ascii="Arial" w:hAnsi="Arial"/>
          <w:i/>
          <w:spacing w:val="-9"/>
          <w:sz w:val="22"/>
        </w:rPr>
        <w:t> </w:t>
      </w:r>
      <w:r>
        <w:rPr>
          <w:rFonts w:ascii="Arial" w:hAnsi="Arial"/>
          <w:i/>
          <w:sz w:val="22"/>
        </w:rPr>
        <w:t>norma</w:t>
      </w:r>
      <w:r>
        <w:rPr>
          <w:rFonts w:ascii="Arial" w:hAnsi="Arial"/>
          <w:i/>
          <w:spacing w:val="-9"/>
          <w:sz w:val="22"/>
        </w:rPr>
        <w:t> </w:t>
      </w:r>
      <w:r>
        <w:rPr>
          <w:rFonts w:ascii="Arial" w:hAnsi="Arial"/>
          <w:i/>
          <w:sz w:val="22"/>
        </w:rPr>
        <w:t>le</w:t>
      </w:r>
      <w:r>
        <w:rPr>
          <w:rFonts w:ascii="Arial" w:hAnsi="Arial"/>
          <w:i/>
          <w:spacing w:val="-9"/>
          <w:sz w:val="22"/>
        </w:rPr>
        <w:t> </w:t>
      </w:r>
      <w:r>
        <w:rPr>
          <w:rFonts w:ascii="Arial" w:hAnsi="Arial"/>
          <w:i/>
          <w:sz w:val="22"/>
        </w:rPr>
        <w:t>otorga</w:t>
      </w:r>
      <w:r>
        <w:rPr>
          <w:rFonts w:ascii="Arial" w:hAnsi="Arial"/>
          <w:i/>
          <w:spacing w:val="-7"/>
          <w:sz w:val="22"/>
        </w:rPr>
        <w:t> </w:t>
      </w:r>
      <w:r>
        <w:rPr>
          <w:rFonts w:ascii="Arial" w:hAnsi="Arial"/>
          <w:i/>
          <w:sz w:val="22"/>
          <w:u w:val="single"/>
        </w:rPr>
        <w:t>carácter</w:t>
      </w:r>
      <w:r>
        <w:rPr>
          <w:rFonts w:ascii="Arial" w:hAnsi="Arial"/>
          <w:i/>
          <w:sz w:val="22"/>
        </w:rPr>
        <w:t> </w:t>
      </w:r>
      <w:r>
        <w:rPr>
          <w:rFonts w:ascii="Arial" w:hAnsi="Arial"/>
          <w:i/>
          <w:sz w:val="22"/>
          <w:u w:val="single"/>
        </w:rPr>
        <w:t>automático e irrevocable</w:t>
      </w:r>
      <w:r>
        <w:rPr>
          <w:rFonts w:ascii="Arial" w:hAnsi="Arial"/>
          <w:i/>
          <w:sz w:val="22"/>
        </w:rPr>
        <w:t>, precisando que comprende la </w:t>
      </w:r>
      <w:r>
        <w:rPr>
          <w:rFonts w:ascii="Arial" w:hAnsi="Arial"/>
          <w:i/>
          <w:sz w:val="22"/>
          <w:u w:val="single"/>
        </w:rPr>
        <w:t>universalidad de los</w:t>
      </w:r>
      <w:r>
        <w:rPr>
          <w:rFonts w:ascii="Arial" w:hAnsi="Arial"/>
          <w:i/>
          <w:sz w:val="22"/>
        </w:rPr>
        <w:t> </w:t>
      </w:r>
      <w:r>
        <w:rPr>
          <w:rFonts w:ascii="Arial" w:hAnsi="Arial"/>
          <w:i/>
          <w:sz w:val="22"/>
          <w:u w:val="single"/>
        </w:rPr>
        <w:t>productos</w:t>
      </w:r>
      <w:r>
        <w:rPr>
          <w:rFonts w:ascii="Arial" w:hAnsi="Arial"/>
          <w:i/>
          <w:sz w:val="22"/>
        </w:rPr>
        <w:t>,</w:t>
      </w:r>
      <w:r>
        <w:rPr>
          <w:rFonts w:ascii="Arial" w:hAnsi="Arial"/>
          <w:i/>
          <w:spacing w:val="-4"/>
          <w:sz w:val="22"/>
        </w:rPr>
        <w:t> </w:t>
      </w:r>
      <w:r>
        <w:rPr>
          <w:rFonts w:ascii="Arial" w:hAnsi="Arial"/>
          <w:i/>
          <w:sz w:val="22"/>
        </w:rPr>
        <w:t>salvo</w:t>
      </w:r>
      <w:r>
        <w:rPr>
          <w:rFonts w:ascii="Arial" w:hAnsi="Arial"/>
          <w:i/>
          <w:spacing w:val="-7"/>
          <w:sz w:val="22"/>
        </w:rPr>
        <w:t> </w:t>
      </w:r>
      <w:r>
        <w:rPr>
          <w:rFonts w:ascii="Arial" w:hAnsi="Arial"/>
          <w:i/>
          <w:sz w:val="22"/>
        </w:rPr>
        <w:t>las</w:t>
      </w:r>
      <w:r>
        <w:rPr>
          <w:rFonts w:ascii="Arial" w:hAnsi="Arial"/>
          <w:i/>
          <w:spacing w:val="-5"/>
          <w:sz w:val="22"/>
        </w:rPr>
        <w:t> </w:t>
      </w:r>
      <w:r>
        <w:rPr>
          <w:rFonts w:ascii="Arial" w:hAnsi="Arial"/>
          <w:i/>
          <w:sz w:val="22"/>
        </w:rPr>
        <w:t>disposiciones</w:t>
      </w:r>
      <w:r>
        <w:rPr>
          <w:rFonts w:ascii="Arial" w:hAnsi="Arial"/>
          <w:i/>
          <w:spacing w:val="-5"/>
          <w:sz w:val="22"/>
        </w:rPr>
        <w:t> </w:t>
      </w:r>
      <w:r>
        <w:rPr>
          <w:rFonts w:ascii="Arial" w:hAnsi="Arial"/>
          <w:i/>
          <w:sz w:val="22"/>
        </w:rPr>
        <w:t>de</w:t>
      </w:r>
      <w:r>
        <w:rPr>
          <w:rFonts w:ascii="Arial" w:hAnsi="Arial"/>
          <w:i/>
          <w:spacing w:val="-5"/>
          <w:sz w:val="22"/>
        </w:rPr>
        <w:t> </w:t>
      </w:r>
      <w:r>
        <w:rPr>
          <w:rFonts w:ascii="Arial" w:hAnsi="Arial"/>
          <w:i/>
          <w:sz w:val="22"/>
        </w:rPr>
        <w:t>excepción</w:t>
      </w:r>
      <w:r>
        <w:rPr>
          <w:rFonts w:ascii="Arial" w:hAnsi="Arial"/>
          <w:i/>
          <w:spacing w:val="-5"/>
          <w:sz w:val="22"/>
        </w:rPr>
        <w:t> </w:t>
      </w:r>
      <w:r>
        <w:rPr>
          <w:rFonts w:ascii="Arial" w:hAnsi="Arial"/>
          <w:i/>
          <w:sz w:val="22"/>
        </w:rPr>
        <w:t>que</w:t>
      </w:r>
      <w:r>
        <w:rPr>
          <w:rFonts w:ascii="Arial" w:hAnsi="Arial"/>
          <w:i/>
          <w:spacing w:val="-5"/>
          <w:sz w:val="22"/>
        </w:rPr>
        <w:t> </w:t>
      </w:r>
      <w:r>
        <w:rPr>
          <w:rFonts w:ascii="Arial" w:hAnsi="Arial"/>
          <w:i/>
          <w:sz w:val="22"/>
        </w:rPr>
        <w:t>se</w:t>
      </w:r>
      <w:r>
        <w:rPr>
          <w:rFonts w:ascii="Arial" w:hAnsi="Arial"/>
          <w:i/>
          <w:spacing w:val="-5"/>
          <w:sz w:val="22"/>
        </w:rPr>
        <w:t> </w:t>
      </w:r>
      <w:r>
        <w:rPr>
          <w:rFonts w:ascii="Arial" w:hAnsi="Arial"/>
          <w:i/>
          <w:sz w:val="22"/>
        </w:rPr>
        <w:t>establezca,</w:t>
      </w:r>
      <w:r>
        <w:rPr>
          <w:rFonts w:ascii="Arial" w:hAnsi="Arial"/>
          <w:i/>
          <w:spacing w:val="-6"/>
          <w:sz w:val="22"/>
        </w:rPr>
        <w:t> </w:t>
      </w:r>
      <w:r>
        <w:rPr>
          <w:rFonts w:ascii="Arial" w:hAnsi="Arial"/>
          <w:i/>
          <w:sz w:val="22"/>
        </w:rPr>
        <w:t>a</w:t>
      </w:r>
      <w:r>
        <w:rPr>
          <w:rFonts w:ascii="Arial" w:hAnsi="Arial"/>
          <w:i/>
          <w:spacing w:val="-5"/>
          <w:sz w:val="22"/>
        </w:rPr>
        <w:t> </w:t>
      </w:r>
      <w:r>
        <w:rPr>
          <w:rFonts w:ascii="Arial" w:hAnsi="Arial"/>
          <w:i/>
          <w:sz w:val="22"/>
        </w:rPr>
        <w:t>fin</w:t>
      </w:r>
      <w:r>
        <w:rPr>
          <w:rFonts w:ascii="Arial" w:hAnsi="Arial"/>
          <w:i/>
          <w:spacing w:val="-5"/>
          <w:sz w:val="22"/>
        </w:rPr>
        <w:t> </w:t>
      </w:r>
      <w:r>
        <w:rPr>
          <w:rFonts w:ascii="Arial" w:hAnsi="Arial"/>
          <w:i/>
          <w:sz w:val="22"/>
        </w:rPr>
        <w:t>de</w:t>
      </w:r>
      <w:r>
        <w:rPr>
          <w:rFonts w:ascii="Arial" w:hAnsi="Arial"/>
          <w:i/>
          <w:spacing w:val="-5"/>
          <w:sz w:val="22"/>
        </w:rPr>
        <w:t> </w:t>
      </w:r>
      <w:r>
        <w:rPr>
          <w:rFonts w:ascii="Arial" w:hAnsi="Arial"/>
          <w:i/>
          <w:sz w:val="22"/>
        </w:rPr>
        <w:t>llegar a su liberación total en los plazos y modalidades estipuladas.” </w:t>
      </w:r>
      <w:r>
        <w:rPr>
          <w:sz w:val="22"/>
        </w:rPr>
        <w:t>[énfasis añadido]</w:t>
      </w:r>
    </w:p>
    <w:p>
      <w:pPr>
        <w:pStyle w:val="ListParagraph"/>
        <w:numPr>
          <w:ilvl w:val="0"/>
          <w:numId w:val="50"/>
        </w:numPr>
        <w:tabs>
          <w:tab w:pos="1130" w:val="left" w:leader="none"/>
          <w:tab w:pos="1134" w:val="left" w:leader="none"/>
        </w:tabs>
        <w:spacing w:line="240" w:lineRule="auto" w:before="253" w:after="0"/>
        <w:ind w:left="1134" w:right="978" w:hanging="567"/>
        <w:jc w:val="both"/>
        <w:rPr>
          <w:sz w:val="22"/>
        </w:rPr>
      </w:pPr>
      <w:r>
        <w:rPr>
          <w:sz w:val="22"/>
        </w:rPr>
        <w:t>En</w:t>
      </w:r>
      <w:r>
        <w:rPr>
          <w:spacing w:val="-1"/>
          <w:sz w:val="22"/>
        </w:rPr>
        <w:t> </w:t>
      </w:r>
      <w:r>
        <w:rPr>
          <w:sz w:val="22"/>
        </w:rPr>
        <w:t>esa</w:t>
      </w:r>
      <w:r>
        <w:rPr>
          <w:spacing w:val="-1"/>
          <w:sz w:val="22"/>
        </w:rPr>
        <w:t> </w:t>
      </w:r>
      <w:r>
        <w:rPr>
          <w:sz w:val="22"/>
        </w:rPr>
        <w:t>medida, el</w:t>
      </w:r>
      <w:r>
        <w:rPr>
          <w:spacing w:val="-2"/>
          <w:sz w:val="22"/>
        </w:rPr>
        <w:t> </w:t>
      </w:r>
      <w:r>
        <w:rPr>
          <w:sz w:val="22"/>
        </w:rPr>
        <w:t>Programa de</w:t>
      </w:r>
      <w:r>
        <w:rPr>
          <w:spacing w:val="-1"/>
          <w:sz w:val="22"/>
        </w:rPr>
        <w:t> </w:t>
      </w:r>
      <w:r>
        <w:rPr>
          <w:sz w:val="22"/>
        </w:rPr>
        <w:t>Liberación</w:t>
      </w:r>
      <w:r>
        <w:rPr>
          <w:spacing w:val="-1"/>
          <w:sz w:val="22"/>
        </w:rPr>
        <w:t> </w:t>
      </w:r>
      <w:r>
        <w:rPr>
          <w:sz w:val="22"/>
        </w:rPr>
        <w:t>se</w:t>
      </w:r>
      <w:r>
        <w:rPr>
          <w:spacing w:val="-1"/>
          <w:sz w:val="22"/>
        </w:rPr>
        <w:t> </w:t>
      </w:r>
      <w:r>
        <w:rPr>
          <w:sz w:val="22"/>
        </w:rPr>
        <w:t>sustenta</w:t>
      </w:r>
      <w:r>
        <w:rPr>
          <w:spacing w:val="-1"/>
          <w:sz w:val="22"/>
        </w:rPr>
        <w:t> </w:t>
      </w:r>
      <w:r>
        <w:rPr>
          <w:sz w:val="22"/>
        </w:rPr>
        <w:t>en</w:t>
      </w:r>
      <w:r>
        <w:rPr>
          <w:spacing w:val="-1"/>
          <w:sz w:val="22"/>
        </w:rPr>
        <w:t> </w:t>
      </w:r>
      <w:r>
        <w:rPr>
          <w:sz w:val="22"/>
        </w:rPr>
        <w:t>el</w:t>
      </w:r>
      <w:r>
        <w:rPr>
          <w:spacing w:val="-2"/>
          <w:sz w:val="22"/>
        </w:rPr>
        <w:t> </w:t>
      </w:r>
      <w:r>
        <w:rPr>
          <w:sz w:val="22"/>
        </w:rPr>
        <w:t>principio</w:t>
      </w:r>
      <w:r>
        <w:rPr>
          <w:spacing w:val="-1"/>
          <w:sz w:val="22"/>
        </w:rPr>
        <w:t> </w:t>
      </w:r>
      <w:r>
        <w:rPr>
          <w:sz w:val="22"/>
        </w:rPr>
        <w:t>básico</w:t>
      </w:r>
      <w:r>
        <w:rPr>
          <w:spacing w:val="-1"/>
          <w:sz w:val="22"/>
        </w:rPr>
        <w:t> </w:t>
      </w:r>
      <w:r>
        <w:rPr>
          <w:sz w:val="22"/>
        </w:rPr>
        <w:t>de</w:t>
      </w:r>
      <w:r>
        <w:rPr>
          <w:spacing w:val="-1"/>
          <w:sz w:val="22"/>
        </w:rPr>
        <w:t> </w:t>
      </w:r>
      <w:r>
        <w:rPr>
          <w:sz w:val="22"/>
        </w:rPr>
        <w:t>la</w:t>
      </w:r>
      <w:r>
        <w:rPr>
          <w:spacing w:val="-1"/>
          <w:sz w:val="22"/>
        </w:rPr>
        <w:t> </w:t>
      </w:r>
      <w:r>
        <w:rPr>
          <w:sz w:val="22"/>
        </w:rPr>
        <w:t>libre circulación</w:t>
      </w:r>
      <w:r>
        <w:rPr>
          <w:spacing w:val="-9"/>
          <w:sz w:val="22"/>
        </w:rPr>
        <w:t> </w:t>
      </w:r>
      <w:r>
        <w:rPr>
          <w:sz w:val="22"/>
        </w:rPr>
        <w:t>de</w:t>
      </w:r>
      <w:r>
        <w:rPr>
          <w:spacing w:val="-12"/>
          <w:sz w:val="22"/>
        </w:rPr>
        <w:t> </w:t>
      </w:r>
      <w:r>
        <w:rPr>
          <w:sz w:val="22"/>
        </w:rPr>
        <w:t>mercancías,</w:t>
      </w:r>
      <w:r>
        <w:rPr>
          <w:spacing w:val="-7"/>
          <w:sz w:val="22"/>
        </w:rPr>
        <w:t> </w:t>
      </w:r>
      <w:r>
        <w:rPr>
          <w:sz w:val="22"/>
        </w:rPr>
        <w:t>dispuesto</w:t>
      </w:r>
      <w:r>
        <w:rPr>
          <w:spacing w:val="-9"/>
          <w:sz w:val="22"/>
        </w:rPr>
        <w:t> </w:t>
      </w:r>
      <w:r>
        <w:rPr>
          <w:sz w:val="22"/>
        </w:rPr>
        <w:t>en</w:t>
      </w:r>
      <w:r>
        <w:rPr>
          <w:spacing w:val="-12"/>
          <w:sz w:val="22"/>
        </w:rPr>
        <w:t> </w:t>
      </w:r>
      <w:r>
        <w:rPr>
          <w:sz w:val="22"/>
        </w:rPr>
        <w:t>el</w:t>
      </w:r>
      <w:r>
        <w:rPr>
          <w:spacing w:val="-10"/>
          <w:sz w:val="22"/>
        </w:rPr>
        <w:t> </w:t>
      </w:r>
      <w:r>
        <w:rPr>
          <w:sz w:val="22"/>
        </w:rPr>
        <w:t>artículo</w:t>
      </w:r>
      <w:r>
        <w:rPr>
          <w:spacing w:val="-9"/>
          <w:sz w:val="22"/>
        </w:rPr>
        <w:t> </w:t>
      </w:r>
      <w:r>
        <w:rPr>
          <w:sz w:val="22"/>
        </w:rPr>
        <w:t>72</w:t>
      </w:r>
      <w:r>
        <w:rPr>
          <w:spacing w:val="-9"/>
          <w:sz w:val="22"/>
        </w:rPr>
        <w:t> </w:t>
      </w:r>
      <w:r>
        <w:rPr>
          <w:sz w:val="22"/>
        </w:rPr>
        <w:t>del</w:t>
      </w:r>
      <w:r>
        <w:rPr>
          <w:spacing w:val="-10"/>
          <w:sz w:val="22"/>
        </w:rPr>
        <w:t> </w:t>
      </w:r>
      <w:r>
        <w:rPr>
          <w:sz w:val="22"/>
        </w:rPr>
        <w:t>Acuerdo</w:t>
      </w:r>
      <w:r>
        <w:rPr>
          <w:spacing w:val="-9"/>
          <w:sz w:val="22"/>
        </w:rPr>
        <w:t> </w:t>
      </w:r>
      <w:r>
        <w:rPr>
          <w:sz w:val="22"/>
        </w:rPr>
        <w:t>de</w:t>
      </w:r>
      <w:r>
        <w:rPr>
          <w:spacing w:val="-12"/>
          <w:sz w:val="22"/>
        </w:rPr>
        <w:t> </w:t>
      </w:r>
      <w:r>
        <w:rPr>
          <w:sz w:val="22"/>
        </w:rPr>
        <w:t>Cartagena.</w:t>
      </w:r>
      <w:r>
        <w:rPr>
          <w:spacing w:val="-7"/>
          <w:sz w:val="22"/>
        </w:rPr>
        <w:t> </w:t>
      </w:r>
      <w:r>
        <w:rPr>
          <w:sz w:val="22"/>
        </w:rPr>
        <w:t>Es</w:t>
      </w:r>
      <w:r>
        <w:rPr>
          <w:spacing w:val="-11"/>
          <w:sz w:val="22"/>
        </w:rPr>
        <w:t> </w:t>
      </w:r>
      <w:r>
        <w:rPr>
          <w:sz w:val="22"/>
        </w:rPr>
        <w:t>así como tiene por objeto eliminar los gravámenes y las restricciones de todo orden que incidan sobre la importación de productos originarios del territorio de cualquier País Miembro. Asimismo, se sustenta en otros principios dispuestos en el artículo 76 del Acuerdo</w:t>
      </w:r>
      <w:r>
        <w:rPr>
          <w:spacing w:val="-3"/>
          <w:sz w:val="22"/>
        </w:rPr>
        <w:t> </w:t>
      </w:r>
      <w:r>
        <w:rPr>
          <w:sz w:val="22"/>
        </w:rPr>
        <w:t>de</w:t>
      </w:r>
      <w:r>
        <w:rPr>
          <w:spacing w:val="-3"/>
          <w:sz w:val="22"/>
        </w:rPr>
        <w:t> </w:t>
      </w:r>
      <w:r>
        <w:rPr>
          <w:sz w:val="22"/>
        </w:rPr>
        <w:t>Cartagena,</w:t>
      </w:r>
      <w:r>
        <w:rPr>
          <w:spacing w:val="-2"/>
          <w:sz w:val="22"/>
        </w:rPr>
        <w:t> </w:t>
      </w:r>
      <w:r>
        <w:rPr>
          <w:sz w:val="22"/>
        </w:rPr>
        <w:t>como</w:t>
      </w:r>
      <w:r>
        <w:rPr>
          <w:spacing w:val="-3"/>
          <w:sz w:val="22"/>
        </w:rPr>
        <w:t> </w:t>
      </w:r>
      <w:r>
        <w:rPr>
          <w:sz w:val="22"/>
        </w:rPr>
        <w:t>lo</w:t>
      </w:r>
      <w:r>
        <w:rPr>
          <w:spacing w:val="-3"/>
          <w:sz w:val="22"/>
        </w:rPr>
        <w:t> </w:t>
      </w:r>
      <w:r>
        <w:rPr>
          <w:sz w:val="22"/>
        </w:rPr>
        <w:t>son</w:t>
      </w:r>
      <w:r>
        <w:rPr>
          <w:spacing w:val="-3"/>
          <w:sz w:val="22"/>
        </w:rPr>
        <w:t> </w:t>
      </w:r>
      <w:r>
        <w:rPr>
          <w:sz w:val="22"/>
        </w:rPr>
        <w:t>su</w:t>
      </w:r>
      <w:r>
        <w:rPr>
          <w:spacing w:val="-3"/>
          <w:sz w:val="22"/>
        </w:rPr>
        <w:t> </w:t>
      </w:r>
      <w:r>
        <w:rPr>
          <w:sz w:val="22"/>
        </w:rPr>
        <w:t>carácter</w:t>
      </w:r>
      <w:r>
        <w:rPr>
          <w:spacing w:val="-2"/>
          <w:sz w:val="22"/>
        </w:rPr>
        <w:t> </w:t>
      </w:r>
      <w:r>
        <w:rPr>
          <w:sz w:val="22"/>
        </w:rPr>
        <w:t>automático,</w:t>
      </w:r>
      <w:r>
        <w:rPr>
          <w:spacing w:val="-2"/>
          <w:sz w:val="22"/>
        </w:rPr>
        <w:t> </w:t>
      </w:r>
      <w:r>
        <w:rPr>
          <w:sz w:val="22"/>
        </w:rPr>
        <w:t>irrevocable</w:t>
      </w:r>
      <w:r>
        <w:rPr>
          <w:spacing w:val="-3"/>
          <w:sz w:val="22"/>
        </w:rPr>
        <w:t> </w:t>
      </w:r>
      <w:r>
        <w:rPr>
          <w:sz w:val="22"/>
        </w:rPr>
        <w:t>y</w:t>
      </w:r>
      <w:r>
        <w:rPr>
          <w:spacing w:val="-3"/>
          <w:sz w:val="22"/>
        </w:rPr>
        <w:t> </w:t>
      </w:r>
      <w:r>
        <w:rPr>
          <w:sz w:val="22"/>
        </w:rPr>
        <w:t>universa</w:t>
      </w:r>
      <w:hyperlink w:history="true" w:anchor="_bookmark93">
        <w:r>
          <w:rPr>
            <w:sz w:val="22"/>
          </w:rPr>
          <w:t>l</w:t>
        </w:r>
        <w:r>
          <w:rPr>
            <w:sz w:val="22"/>
            <w:vertAlign w:val="superscript"/>
          </w:rPr>
          <w:t>26</w:t>
        </w:r>
      </w:hyperlink>
      <w:r>
        <w:rPr>
          <w:sz w:val="22"/>
          <w:vertAlign w:val="baseline"/>
        </w:rPr>
        <w:t>.</w:t>
      </w:r>
    </w:p>
    <w:p>
      <w:pPr>
        <w:pStyle w:val="BodyText"/>
      </w:pPr>
    </w:p>
    <w:p>
      <w:pPr>
        <w:pStyle w:val="ListParagraph"/>
        <w:numPr>
          <w:ilvl w:val="0"/>
          <w:numId w:val="50"/>
        </w:numPr>
        <w:tabs>
          <w:tab w:pos="1130" w:val="left" w:leader="none"/>
          <w:tab w:pos="1134" w:val="left" w:leader="none"/>
        </w:tabs>
        <w:spacing w:line="240" w:lineRule="auto" w:before="1" w:after="0"/>
        <w:ind w:left="1134" w:right="981" w:hanging="567"/>
        <w:jc w:val="both"/>
        <w:rPr>
          <w:sz w:val="22"/>
        </w:rPr>
      </w:pPr>
      <w:r>
        <w:rPr>
          <w:sz w:val="22"/>
        </w:rPr>
        <w:t>En ese contexto, el Acuerdo de Cartagena entiende por gravamen los derechos aduaneros o cualquier otro recargo de efectos equivalentes, sean de carácter fiscal, monetario o cambiario, que incidan sobre las importaciones. El TJCAN en el Proceso 12-AN-99</w:t>
      </w:r>
      <w:hyperlink w:history="true" w:anchor="_bookmark94">
        <w:r>
          <w:rPr>
            <w:sz w:val="22"/>
            <w:vertAlign w:val="superscript"/>
          </w:rPr>
          <w:t>27</w:t>
        </w:r>
        <w:r>
          <w:rPr>
            <w:sz w:val="22"/>
            <w:vertAlign w:val="baseline"/>
          </w:rPr>
          <w:t>,</w:t>
        </w:r>
      </w:hyperlink>
      <w:r>
        <w:rPr>
          <w:sz w:val="22"/>
          <w:vertAlign w:val="baseline"/>
        </w:rPr>
        <w:t> ha indicado que:</w:t>
      </w:r>
    </w:p>
    <w:p>
      <w:pPr>
        <w:pStyle w:val="BodyText"/>
        <w:rPr>
          <w:sz w:val="20"/>
        </w:rPr>
      </w:pPr>
    </w:p>
    <w:p>
      <w:pPr>
        <w:pStyle w:val="BodyText"/>
        <w:rPr>
          <w:sz w:val="20"/>
        </w:rPr>
      </w:pPr>
    </w:p>
    <w:p>
      <w:pPr>
        <w:pStyle w:val="BodyText"/>
        <w:rPr>
          <w:sz w:val="20"/>
        </w:rPr>
      </w:pPr>
    </w:p>
    <w:p>
      <w:pPr>
        <w:pStyle w:val="BodyText"/>
        <w:spacing w:before="21"/>
        <w:rPr>
          <w:sz w:val="20"/>
        </w:rPr>
      </w:pPr>
      <w:r>
        <w:rPr>
          <w:sz w:val="20"/>
        </w:rPr>
        <mc:AlternateContent>
          <mc:Choice Requires="wps">
            <w:drawing>
              <wp:anchor distT="0" distB="0" distL="0" distR="0" allowOverlap="1" layoutInCell="1" locked="0" behindDoc="1" simplePos="0" relativeHeight="487636480">
                <wp:simplePos x="0" y="0"/>
                <wp:positionH relativeFrom="page">
                  <wp:posOffset>990904</wp:posOffset>
                </wp:positionH>
                <wp:positionV relativeFrom="paragraph">
                  <wp:posOffset>174945</wp:posOffset>
                </wp:positionV>
                <wp:extent cx="1829435" cy="7620"/>
                <wp:effectExtent l="0" t="0" r="0" b="0"/>
                <wp:wrapTopAndBottom/>
                <wp:docPr id="452" name="Graphic 452"/>
                <wp:cNvGraphicFramePr>
                  <a:graphicFrameLocks/>
                </wp:cNvGraphicFramePr>
                <a:graphic>
                  <a:graphicData uri="http://schemas.microsoft.com/office/word/2010/wordprocessingShape">
                    <wps:wsp>
                      <wps:cNvPr id="452" name="Graphic 452"/>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3.775215pt;width:144.020pt;height:.599980pt;mso-position-horizontal-relative:page;mso-position-vertical-relative:paragraph;z-index:-15680000;mso-wrap-distance-left:0;mso-wrap-distance-right:0" id="docshape316" filled="true" fillcolor="#000000" stroked="false">
                <v:fill type="solid"/>
                <w10:wrap type="topAndBottom"/>
              </v:rect>
            </w:pict>
          </mc:Fallback>
        </mc:AlternateContent>
      </w:r>
    </w:p>
    <w:p>
      <w:pPr>
        <w:spacing w:before="92"/>
        <w:ind w:left="568" w:right="977" w:firstLine="0"/>
        <w:jc w:val="both"/>
        <w:rPr>
          <w:sz w:val="16"/>
        </w:rPr>
      </w:pPr>
      <w:bookmarkStart w:name="_bookmark91" w:id="92"/>
      <w:bookmarkEnd w:id="92"/>
      <w:r>
        <w:rPr/>
      </w:r>
      <w:r>
        <w:rPr>
          <w:sz w:val="16"/>
          <w:vertAlign w:val="superscript"/>
        </w:rPr>
        <w:t>24</w:t>
      </w:r>
      <w:r>
        <w:rPr>
          <w:spacing w:val="-6"/>
          <w:sz w:val="16"/>
          <w:vertAlign w:val="baseline"/>
        </w:rPr>
        <w:t> </w:t>
      </w:r>
      <w:r>
        <w:rPr>
          <w:sz w:val="16"/>
          <w:vertAlign w:val="baseline"/>
        </w:rPr>
        <w:t>Tribunal</w:t>
      </w:r>
      <w:r>
        <w:rPr>
          <w:spacing w:val="-5"/>
          <w:sz w:val="16"/>
          <w:vertAlign w:val="baseline"/>
        </w:rPr>
        <w:t> </w:t>
      </w:r>
      <w:r>
        <w:rPr>
          <w:sz w:val="16"/>
          <w:vertAlign w:val="baseline"/>
        </w:rPr>
        <w:t>de</w:t>
      </w:r>
      <w:r>
        <w:rPr>
          <w:spacing w:val="-6"/>
          <w:sz w:val="16"/>
          <w:vertAlign w:val="baseline"/>
        </w:rPr>
        <w:t> </w:t>
      </w:r>
      <w:r>
        <w:rPr>
          <w:sz w:val="16"/>
          <w:vertAlign w:val="baseline"/>
        </w:rPr>
        <w:t>Justicia</w:t>
      </w:r>
      <w:r>
        <w:rPr>
          <w:spacing w:val="-8"/>
          <w:sz w:val="16"/>
          <w:vertAlign w:val="baseline"/>
        </w:rPr>
        <w:t> </w:t>
      </w:r>
      <w:r>
        <w:rPr>
          <w:sz w:val="16"/>
          <w:vertAlign w:val="baseline"/>
        </w:rPr>
        <w:t>de</w:t>
      </w:r>
      <w:r>
        <w:rPr>
          <w:spacing w:val="-6"/>
          <w:sz w:val="16"/>
          <w:vertAlign w:val="baseline"/>
        </w:rPr>
        <w:t> </w:t>
      </w:r>
      <w:r>
        <w:rPr>
          <w:sz w:val="16"/>
          <w:vertAlign w:val="baseline"/>
        </w:rPr>
        <w:t>la</w:t>
      </w:r>
      <w:r>
        <w:rPr>
          <w:spacing w:val="-5"/>
          <w:sz w:val="16"/>
          <w:vertAlign w:val="baseline"/>
        </w:rPr>
        <w:t> </w:t>
      </w:r>
      <w:r>
        <w:rPr>
          <w:sz w:val="16"/>
          <w:vertAlign w:val="baseline"/>
        </w:rPr>
        <w:t>Comunidad</w:t>
      </w:r>
      <w:r>
        <w:rPr>
          <w:spacing w:val="-6"/>
          <w:sz w:val="16"/>
          <w:vertAlign w:val="baseline"/>
        </w:rPr>
        <w:t> </w:t>
      </w:r>
      <w:r>
        <w:rPr>
          <w:sz w:val="16"/>
          <w:vertAlign w:val="baseline"/>
        </w:rPr>
        <w:t>Andina.</w:t>
      </w:r>
      <w:r>
        <w:rPr>
          <w:spacing w:val="-7"/>
          <w:sz w:val="16"/>
          <w:vertAlign w:val="baseline"/>
        </w:rPr>
        <w:t> </w:t>
      </w:r>
      <w:r>
        <w:rPr>
          <w:sz w:val="16"/>
          <w:vertAlign w:val="baseline"/>
        </w:rPr>
        <w:t>Sentencia</w:t>
      </w:r>
      <w:r>
        <w:rPr>
          <w:spacing w:val="-5"/>
          <w:sz w:val="16"/>
          <w:vertAlign w:val="baseline"/>
        </w:rPr>
        <w:t> </w:t>
      </w:r>
      <w:r>
        <w:rPr>
          <w:sz w:val="16"/>
          <w:vertAlign w:val="baseline"/>
        </w:rPr>
        <w:t>del</w:t>
      </w:r>
      <w:r>
        <w:rPr>
          <w:spacing w:val="-5"/>
          <w:sz w:val="16"/>
          <w:vertAlign w:val="baseline"/>
        </w:rPr>
        <w:t> </w:t>
      </w:r>
      <w:r>
        <w:rPr>
          <w:sz w:val="16"/>
          <w:vertAlign w:val="baseline"/>
        </w:rPr>
        <w:t>17</w:t>
      </w:r>
      <w:r>
        <w:rPr>
          <w:spacing w:val="-6"/>
          <w:sz w:val="16"/>
          <w:vertAlign w:val="baseline"/>
        </w:rPr>
        <w:t> </w:t>
      </w:r>
      <w:r>
        <w:rPr>
          <w:sz w:val="16"/>
          <w:vertAlign w:val="baseline"/>
        </w:rPr>
        <w:t>de</w:t>
      </w:r>
      <w:r>
        <w:rPr>
          <w:spacing w:val="-6"/>
          <w:sz w:val="16"/>
          <w:vertAlign w:val="baseline"/>
        </w:rPr>
        <w:t> </w:t>
      </w:r>
      <w:r>
        <w:rPr>
          <w:sz w:val="16"/>
          <w:vertAlign w:val="baseline"/>
        </w:rPr>
        <w:t>julio</w:t>
      </w:r>
      <w:r>
        <w:rPr>
          <w:spacing w:val="-6"/>
          <w:sz w:val="16"/>
          <w:vertAlign w:val="baseline"/>
        </w:rPr>
        <w:t> </w:t>
      </w:r>
      <w:r>
        <w:rPr>
          <w:sz w:val="16"/>
          <w:vertAlign w:val="baseline"/>
        </w:rPr>
        <w:t>de</w:t>
      </w:r>
      <w:r>
        <w:rPr>
          <w:spacing w:val="-6"/>
          <w:sz w:val="16"/>
          <w:vertAlign w:val="baseline"/>
        </w:rPr>
        <w:t> </w:t>
      </w:r>
      <w:r>
        <w:rPr>
          <w:sz w:val="16"/>
          <w:vertAlign w:val="baseline"/>
        </w:rPr>
        <w:t>2023,</w:t>
      </w:r>
      <w:r>
        <w:rPr>
          <w:spacing w:val="-4"/>
          <w:sz w:val="16"/>
          <w:vertAlign w:val="baseline"/>
        </w:rPr>
        <w:t> </w:t>
      </w:r>
      <w:r>
        <w:rPr>
          <w:sz w:val="16"/>
          <w:vertAlign w:val="baseline"/>
        </w:rPr>
        <w:t>proferida</w:t>
      </w:r>
      <w:r>
        <w:rPr>
          <w:spacing w:val="-6"/>
          <w:sz w:val="16"/>
          <w:vertAlign w:val="baseline"/>
        </w:rPr>
        <w:t> </w:t>
      </w:r>
      <w:r>
        <w:rPr>
          <w:sz w:val="16"/>
          <w:vertAlign w:val="baseline"/>
        </w:rPr>
        <w:t>en</w:t>
      </w:r>
      <w:r>
        <w:rPr>
          <w:spacing w:val="-6"/>
          <w:sz w:val="16"/>
          <w:vertAlign w:val="baseline"/>
        </w:rPr>
        <w:t> </w:t>
      </w:r>
      <w:r>
        <w:rPr>
          <w:sz w:val="16"/>
          <w:vertAlign w:val="baseline"/>
        </w:rPr>
        <w:t>el</w:t>
      </w:r>
      <w:r>
        <w:rPr>
          <w:spacing w:val="-7"/>
          <w:sz w:val="16"/>
          <w:vertAlign w:val="baseline"/>
        </w:rPr>
        <w:t> </w:t>
      </w:r>
      <w:r>
        <w:rPr>
          <w:sz w:val="16"/>
          <w:vertAlign w:val="baseline"/>
        </w:rPr>
        <w:t>Proceso</w:t>
      </w:r>
      <w:r>
        <w:rPr>
          <w:spacing w:val="-6"/>
          <w:sz w:val="16"/>
          <w:vertAlign w:val="baseline"/>
        </w:rPr>
        <w:t> </w:t>
      </w:r>
      <w:r>
        <w:rPr>
          <w:sz w:val="16"/>
          <w:vertAlign w:val="baseline"/>
        </w:rPr>
        <w:t>02-AI-2020.</w:t>
      </w:r>
      <w:r>
        <w:rPr>
          <w:spacing w:val="-7"/>
          <w:sz w:val="16"/>
          <w:vertAlign w:val="baseline"/>
        </w:rPr>
        <w:t> </w:t>
      </w:r>
      <w:r>
        <w:rPr>
          <w:sz w:val="16"/>
          <w:vertAlign w:val="baseline"/>
        </w:rPr>
        <w:t>Publicada en la Gaceta Oficial del Acuerdo de Cartagena No. 5250 del 18 de julio de 2023.</w:t>
      </w:r>
    </w:p>
    <w:p>
      <w:pPr>
        <w:spacing w:before="2"/>
        <w:ind w:left="568" w:right="955" w:firstLine="0"/>
        <w:jc w:val="left"/>
        <w:rPr>
          <w:rFonts w:ascii="Times New Roman"/>
          <w:sz w:val="16"/>
        </w:rPr>
      </w:pPr>
      <w:bookmarkStart w:name="_bookmark92" w:id="93"/>
      <w:bookmarkEnd w:id="93"/>
      <w:r>
        <w:rPr/>
      </w:r>
      <w:r>
        <w:rPr>
          <w:sz w:val="16"/>
          <w:vertAlign w:val="superscript"/>
        </w:rPr>
        <w:t>25</w:t>
      </w:r>
      <w:r>
        <w:rPr>
          <w:sz w:val="16"/>
          <w:vertAlign w:val="baseline"/>
        </w:rPr>
        <w:t> </w:t>
      </w:r>
      <w:r>
        <w:rPr>
          <w:rFonts w:ascii="Times New Roman"/>
          <w:sz w:val="16"/>
          <w:vertAlign w:val="baseline"/>
        </w:rPr>
        <w:t>Tribunal de Justicia de la Comunidad Andina. Sentencia del 19 de enero de 2017, proferida en el Proceso 01-AN-2014. Publicada en la</w:t>
      </w:r>
      <w:r>
        <w:rPr>
          <w:rFonts w:ascii="Times New Roman"/>
          <w:spacing w:val="40"/>
          <w:sz w:val="16"/>
          <w:vertAlign w:val="baseline"/>
        </w:rPr>
        <w:t> </w:t>
      </w:r>
      <w:r>
        <w:rPr>
          <w:rFonts w:ascii="Times New Roman"/>
          <w:sz w:val="16"/>
          <w:vertAlign w:val="baseline"/>
        </w:rPr>
        <w:t>Gaceta Oficial del Acuerdo de Cartagena No. 2922 del 8 de febrero de 2017.</w:t>
      </w:r>
    </w:p>
    <w:p>
      <w:pPr>
        <w:spacing w:before="0"/>
        <w:ind w:left="568" w:right="976" w:firstLine="0"/>
        <w:jc w:val="both"/>
        <w:rPr>
          <w:sz w:val="16"/>
        </w:rPr>
      </w:pPr>
      <w:bookmarkStart w:name="_bookmark93" w:id="94"/>
      <w:bookmarkEnd w:id="94"/>
      <w:r>
        <w:rPr/>
      </w:r>
      <w:r>
        <w:rPr>
          <w:sz w:val="16"/>
          <w:vertAlign w:val="superscript"/>
        </w:rPr>
        <w:t>26</w:t>
      </w:r>
      <w:r>
        <w:rPr>
          <w:spacing w:val="-7"/>
          <w:sz w:val="16"/>
          <w:vertAlign w:val="baseline"/>
        </w:rPr>
        <w:t> </w:t>
      </w:r>
      <w:r>
        <w:rPr>
          <w:sz w:val="16"/>
          <w:vertAlign w:val="baseline"/>
        </w:rPr>
        <w:t>“</w:t>
      </w:r>
      <w:r>
        <w:rPr>
          <w:rFonts w:ascii="Arial" w:hAnsi="Arial"/>
          <w:b/>
          <w:i/>
          <w:sz w:val="16"/>
          <w:vertAlign w:val="baseline"/>
        </w:rPr>
        <w:t>Artículo</w:t>
      </w:r>
      <w:r>
        <w:rPr>
          <w:rFonts w:ascii="Arial" w:hAnsi="Arial"/>
          <w:b/>
          <w:i/>
          <w:spacing w:val="-6"/>
          <w:sz w:val="16"/>
          <w:vertAlign w:val="baseline"/>
        </w:rPr>
        <w:t> </w:t>
      </w:r>
      <w:r>
        <w:rPr>
          <w:rFonts w:ascii="Arial" w:hAnsi="Arial"/>
          <w:b/>
          <w:i/>
          <w:sz w:val="16"/>
          <w:vertAlign w:val="baseline"/>
        </w:rPr>
        <w:t>76</w:t>
      </w:r>
      <w:r>
        <w:rPr>
          <w:rFonts w:ascii="Arial" w:hAnsi="Arial"/>
          <w:i/>
          <w:sz w:val="16"/>
          <w:vertAlign w:val="baseline"/>
        </w:rPr>
        <w:t>.-</w:t>
      </w:r>
      <w:r>
        <w:rPr>
          <w:rFonts w:ascii="Arial" w:hAnsi="Arial"/>
          <w:i/>
          <w:spacing w:val="-9"/>
          <w:sz w:val="16"/>
          <w:vertAlign w:val="baseline"/>
        </w:rPr>
        <w:t> </w:t>
      </w:r>
      <w:r>
        <w:rPr>
          <w:rFonts w:ascii="Arial" w:hAnsi="Arial"/>
          <w:i/>
          <w:sz w:val="16"/>
          <w:vertAlign w:val="baseline"/>
        </w:rPr>
        <w:t>El</w:t>
      </w:r>
      <w:r>
        <w:rPr>
          <w:rFonts w:ascii="Arial" w:hAnsi="Arial"/>
          <w:i/>
          <w:spacing w:val="-8"/>
          <w:sz w:val="16"/>
          <w:vertAlign w:val="baseline"/>
        </w:rPr>
        <w:t> </w:t>
      </w:r>
      <w:r>
        <w:rPr>
          <w:rFonts w:ascii="Arial" w:hAnsi="Arial"/>
          <w:i/>
          <w:sz w:val="16"/>
          <w:vertAlign w:val="baseline"/>
        </w:rPr>
        <w:t>Programa</w:t>
      </w:r>
      <w:r>
        <w:rPr>
          <w:rFonts w:ascii="Arial" w:hAnsi="Arial"/>
          <w:i/>
          <w:spacing w:val="-6"/>
          <w:sz w:val="16"/>
          <w:vertAlign w:val="baseline"/>
        </w:rPr>
        <w:t> </w:t>
      </w:r>
      <w:r>
        <w:rPr>
          <w:rFonts w:ascii="Arial" w:hAnsi="Arial"/>
          <w:i/>
          <w:sz w:val="16"/>
          <w:vertAlign w:val="baseline"/>
        </w:rPr>
        <w:t>de</w:t>
      </w:r>
      <w:r>
        <w:rPr>
          <w:rFonts w:ascii="Arial" w:hAnsi="Arial"/>
          <w:i/>
          <w:spacing w:val="-9"/>
          <w:sz w:val="16"/>
          <w:vertAlign w:val="baseline"/>
        </w:rPr>
        <w:t> </w:t>
      </w:r>
      <w:r>
        <w:rPr>
          <w:rFonts w:ascii="Arial" w:hAnsi="Arial"/>
          <w:i/>
          <w:sz w:val="16"/>
          <w:vertAlign w:val="baseline"/>
        </w:rPr>
        <w:t>Liberación</w:t>
      </w:r>
      <w:r>
        <w:rPr>
          <w:rFonts w:ascii="Arial" w:hAnsi="Arial"/>
          <w:i/>
          <w:spacing w:val="-10"/>
          <w:sz w:val="16"/>
          <w:vertAlign w:val="baseline"/>
        </w:rPr>
        <w:t> </w:t>
      </w:r>
      <w:r>
        <w:rPr>
          <w:rFonts w:ascii="Arial" w:hAnsi="Arial"/>
          <w:i/>
          <w:sz w:val="16"/>
          <w:vertAlign w:val="baseline"/>
        </w:rPr>
        <w:t>será</w:t>
      </w:r>
      <w:r>
        <w:rPr>
          <w:rFonts w:ascii="Arial" w:hAnsi="Arial"/>
          <w:i/>
          <w:spacing w:val="-7"/>
          <w:sz w:val="16"/>
          <w:vertAlign w:val="baseline"/>
        </w:rPr>
        <w:t> </w:t>
      </w:r>
      <w:r>
        <w:rPr>
          <w:rFonts w:ascii="Arial" w:hAnsi="Arial"/>
          <w:i/>
          <w:sz w:val="16"/>
          <w:vertAlign w:val="baseline"/>
        </w:rPr>
        <w:t>automático</w:t>
      </w:r>
      <w:r>
        <w:rPr>
          <w:rFonts w:ascii="Arial" w:hAnsi="Arial"/>
          <w:i/>
          <w:spacing w:val="-7"/>
          <w:sz w:val="16"/>
          <w:vertAlign w:val="baseline"/>
        </w:rPr>
        <w:t> </w:t>
      </w:r>
      <w:r>
        <w:rPr>
          <w:rFonts w:ascii="Arial" w:hAnsi="Arial"/>
          <w:i/>
          <w:sz w:val="16"/>
          <w:vertAlign w:val="baseline"/>
        </w:rPr>
        <w:t>e</w:t>
      </w:r>
      <w:r>
        <w:rPr>
          <w:rFonts w:ascii="Arial" w:hAnsi="Arial"/>
          <w:i/>
          <w:spacing w:val="-9"/>
          <w:sz w:val="16"/>
          <w:vertAlign w:val="baseline"/>
        </w:rPr>
        <w:t> </w:t>
      </w:r>
      <w:r>
        <w:rPr>
          <w:rFonts w:ascii="Arial" w:hAnsi="Arial"/>
          <w:i/>
          <w:sz w:val="16"/>
          <w:vertAlign w:val="baseline"/>
        </w:rPr>
        <w:t>irrevocable</w:t>
      </w:r>
      <w:r>
        <w:rPr>
          <w:rFonts w:ascii="Arial" w:hAnsi="Arial"/>
          <w:i/>
          <w:spacing w:val="-6"/>
          <w:sz w:val="16"/>
          <w:vertAlign w:val="baseline"/>
        </w:rPr>
        <w:t> </w:t>
      </w:r>
      <w:r>
        <w:rPr>
          <w:rFonts w:ascii="Arial" w:hAnsi="Arial"/>
          <w:i/>
          <w:sz w:val="16"/>
          <w:vertAlign w:val="baseline"/>
        </w:rPr>
        <w:t>y</w:t>
      </w:r>
      <w:r>
        <w:rPr>
          <w:rFonts w:ascii="Arial" w:hAnsi="Arial"/>
          <w:i/>
          <w:spacing w:val="-10"/>
          <w:sz w:val="16"/>
          <w:vertAlign w:val="baseline"/>
        </w:rPr>
        <w:t> </w:t>
      </w:r>
      <w:r>
        <w:rPr>
          <w:rFonts w:ascii="Arial" w:hAnsi="Arial"/>
          <w:i/>
          <w:sz w:val="16"/>
          <w:vertAlign w:val="baseline"/>
        </w:rPr>
        <w:t>comprenderá</w:t>
      </w:r>
      <w:r>
        <w:rPr>
          <w:rFonts w:ascii="Arial" w:hAnsi="Arial"/>
          <w:i/>
          <w:spacing w:val="-7"/>
          <w:sz w:val="16"/>
          <w:vertAlign w:val="baseline"/>
        </w:rPr>
        <w:t> </w:t>
      </w:r>
      <w:r>
        <w:rPr>
          <w:rFonts w:ascii="Arial" w:hAnsi="Arial"/>
          <w:i/>
          <w:sz w:val="16"/>
          <w:vertAlign w:val="baseline"/>
        </w:rPr>
        <w:t>la</w:t>
      </w:r>
      <w:r>
        <w:rPr>
          <w:rFonts w:ascii="Arial" w:hAnsi="Arial"/>
          <w:i/>
          <w:spacing w:val="-6"/>
          <w:sz w:val="16"/>
          <w:vertAlign w:val="baseline"/>
        </w:rPr>
        <w:t> </w:t>
      </w:r>
      <w:r>
        <w:rPr>
          <w:rFonts w:ascii="Arial" w:hAnsi="Arial"/>
          <w:i/>
          <w:sz w:val="16"/>
          <w:vertAlign w:val="baseline"/>
        </w:rPr>
        <w:t>universalidad</w:t>
      </w:r>
      <w:r>
        <w:rPr>
          <w:rFonts w:ascii="Arial" w:hAnsi="Arial"/>
          <w:i/>
          <w:spacing w:val="-7"/>
          <w:sz w:val="16"/>
          <w:vertAlign w:val="baseline"/>
        </w:rPr>
        <w:t> </w:t>
      </w:r>
      <w:r>
        <w:rPr>
          <w:rFonts w:ascii="Arial" w:hAnsi="Arial"/>
          <w:i/>
          <w:sz w:val="16"/>
          <w:vertAlign w:val="baseline"/>
        </w:rPr>
        <w:t>de</w:t>
      </w:r>
      <w:r>
        <w:rPr>
          <w:rFonts w:ascii="Arial" w:hAnsi="Arial"/>
          <w:i/>
          <w:spacing w:val="-7"/>
          <w:sz w:val="16"/>
          <w:vertAlign w:val="baseline"/>
        </w:rPr>
        <w:t> </w:t>
      </w:r>
      <w:r>
        <w:rPr>
          <w:rFonts w:ascii="Arial" w:hAnsi="Arial"/>
          <w:i/>
          <w:sz w:val="16"/>
          <w:vertAlign w:val="baseline"/>
        </w:rPr>
        <w:t>los</w:t>
      </w:r>
      <w:r>
        <w:rPr>
          <w:rFonts w:ascii="Arial" w:hAnsi="Arial"/>
          <w:i/>
          <w:spacing w:val="-5"/>
          <w:sz w:val="16"/>
          <w:vertAlign w:val="baseline"/>
        </w:rPr>
        <w:t> </w:t>
      </w:r>
      <w:r>
        <w:rPr>
          <w:rFonts w:ascii="Arial" w:hAnsi="Arial"/>
          <w:i/>
          <w:sz w:val="16"/>
          <w:vertAlign w:val="baseline"/>
        </w:rPr>
        <w:t>productos,</w:t>
      </w:r>
      <w:r>
        <w:rPr>
          <w:rFonts w:ascii="Arial" w:hAnsi="Arial"/>
          <w:i/>
          <w:spacing w:val="-8"/>
          <w:sz w:val="16"/>
          <w:vertAlign w:val="baseline"/>
        </w:rPr>
        <w:t> </w:t>
      </w:r>
      <w:r>
        <w:rPr>
          <w:rFonts w:ascii="Arial" w:hAnsi="Arial"/>
          <w:i/>
          <w:sz w:val="16"/>
          <w:vertAlign w:val="baseline"/>
        </w:rPr>
        <w:t>salvo las</w:t>
      </w:r>
      <w:r>
        <w:rPr>
          <w:rFonts w:ascii="Arial" w:hAnsi="Arial"/>
          <w:i/>
          <w:spacing w:val="-5"/>
          <w:sz w:val="16"/>
          <w:vertAlign w:val="baseline"/>
        </w:rPr>
        <w:t> </w:t>
      </w:r>
      <w:r>
        <w:rPr>
          <w:rFonts w:ascii="Arial" w:hAnsi="Arial"/>
          <w:i/>
          <w:sz w:val="16"/>
          <w:vertAlign w:val="baseline"/>
        </w:rPr>
        <w:t>disposiciones</w:t>
      </w:r>
      <w:r>
        <w:rPr>
          <w:rFonts w:ascii="Arial" w:hAnsi="Arial"/>
          <w:i/>
          <w:spacing w:val="-5"/>
          <w:sz w:val="16"/>
          <w:vertAlign w:val="baseline"/>
        </w:rPr>
        <w:t> </w:t>
      </w:r>
      <w:r>
        <w:rPr>
          <w:rFonts w:ascii="Arial" w:hAnsi="Arial"/>
          <w:i/>
          <w:sz w:val="16"/>
          <w:vertAlign w:val="baseline"/>
        </w:rPr>
        <w:t>de</w:t>
      </w:r>
      <w:r>
        <w:rPr>
          <w:rFonts w:ascii="Arial" w:hAnsi="Arial"/>
          <w:i/>
          <w:spacing w:val="-7"/>
          <w:sz w:val="16"/>
          <w:vertAlign w:val="baseline"/>
        </w:rPr>
        <w:t> </w:t>
      </w:r>
      <w:r>
        <w:rPr>
          <w:rFonts w:ascii="Arial" w:hAnsi="Arial"/>
          <w:i/>
          <w:sz w:val="16"/>
          <w:vertAlign w:val="baseline"/>
        </w:rPr>
        <w:t>excepción</w:t>
      </w:r>
      <w:r>
        <w:rPr>
          <w:rFonts w:ascii="Arial" w:hAnsi="Arial"/>
          <w:i/>
          <w:spacing w:val="-7"/>
          <w:sz w:val="16"/>
          <w:vertAlign w:val="baseline"/>
        </w:rPr>
        <w:t> </w:t>
      </w:r>
      <w:r>
        <w:rPr>
          <w:rFonts w:ascii="Arial" w:hAnsi="Arial"/>
          <w:i/>
          <w:sz w:val="16"/>
          <w:vertAlign w:val="baseline"/>
        </w:rPr>
        <w:t>establecidas</w:t>
      </w:r>
      <w:r>
        <w:rPr>
          <w:rFonts w:ascii="Arial" w:hAnsi="Arial"/>
          <w:i/>
          <w:spacing w:val="-7"/>
          <w:sz w:val="16"/>
          <w:vertAlign w:val="baseline"/>
        </w:rPr>
        <w:t> </w:t>
      </w:r>
      <w:r>
        <w:rPr>
          <w:rFonts w:ascii="Arial" w:hAnsi="Arial"/>
          <w:i/>
          <w:sz w:val="16"/>
          <w:vertAlign w:val="baseline"/>
        </w:rPr>
        <w:t>en</w:t>
      </w:r>
      <w:r>
        <w:rPr>
          <w:rFonts w:ascii="Arial" w:hAnsi="Arial"/>
          <w:i/>
          <w:spacing w:val="-7"/>
          <w:sz w:val="16"/>
          <w:vertAlign w:val="baseline"/>
        </w:rPr>
        <w:t> </w:t>
      </w:r>
      <w:r>
        <w:rPr>
          <w:rFonts w:ascii="Arial" w:hAnsi="Arial"/>
          <w:i/>
          <w:sz w:val="16"/>
          <w:vertAlign w:val="baseline"/>
        </w:rPr>
        <w:t>el</w:t>
      </w:r>
      <w:r>
        <w:rPr>
          <w:rFonts w:ascii="Arial" w:hAnsi="Arial"/>
          <w:i/>
          <w:spacing w:val="-6"/>
          <w:sz w:val="16"/>
          <w:vertAlign w:val="baseline"/>
        </w:rPr>
        <w:t> </w:t>
      </w:r>
      <w:r>
        <w:rPr>
          <w:rFonts w:ascii="Arial" w:hAnsi="Arial"/>
          <w:i/>
          <w:sz w:val="16"/>
          <w:vertAlign w:val="baseline"/>
        </w:rPr>
        <w:t>presente</w:t>
      </w:r>
      <w:r>
        <w:rPr>
          <w:rFonts w:ascii="Arial" w:hAnsi="Arial"/>
          <w:i/>
          <w:spacing w:val="-7"/>
          <w:sz w:val="16"/>
          <w:vertAlign w:val="baseline"/>
        </w:rPr>
        <w:t> </w:t>
      </w:r>
      <w:r>
        <w:rPr>
          <w:rFonts w:ascii="Arial" w:hAnsi="Arial"/>
          <w:i/>
          <w:sz w:val="16"/>
          <w:vertAlign w:val="baseline"/>
        </w:rPr>
        <w:t>Acuerdo,</w:t>
      </w:r>
      <w:r>
        <w:rPr>
          <w:rFonts w:ascii="Arial" w:hAnsi="Arial"/>
          <w:i/>
          <w:spacing w:val="-8"/>
          <w:sz w:val="16"/>
          <w:vertAlign w:val="baseline"/>
        </w:rPr>
        <w:t> </w:t>
      </w:r>
      <w:r>
        <w:rPr>
          <w:rFonts w:ascii="Arial" w:hAnsi="Arial"/>
          <w:i/>
          <w:sz w:val="16"/>
          <w:vertAlign w:val="baseline"/>
        </w:rPr>
        <w:t>para</w:t>
      </w:r>
      <w:r>
        <w:rPr>
          <w:rFonts w:ascii="Arial" w:hAnsi="Arial"/>
          <w:i/>
          <w:spacing w:val="-7"/>
          <w:sz w:val="16"/>
          <w:vertAlign w:val="baseline"/>
        </w:rPr>
        <w:t> </w:t>
      </w:r>
      <w:r>
        <w:rPr>
          <w:rFonts w:ascii="Arial" w:hAnsi="Arial"/>
          <w:i/>
          <w:sz w:val="16"/>
          <w:vertAlign w:val="baseline"/>
        </w:rPr>
        <w:t>llegar</w:t>
      </w:r>
      <w:r>
        <w:rPr>
          <w:rFonts w:ascii="Arial" w:hAnsi="Arial"/>
          <w:i/>
          <w:spacing w:val="-7"/>
          <w:sz w:val="16"/>
          <w:vertAlign w:val="baseline"/>
        </w:rPr>
        <w:t> </w:t>
      </w:r>
      <w:r>
        <w:rPr>
          <w:rFonts w:ascii="Arial" w:hAnsi="Arial"/>
          <w:i/>
          <w:sz w:val="16"/>
          <w:vertAlign w:val="baseline"/>
        </w:rPr>
        <w:t>a</w:t>
      </w:r>
      <w:r>
        <w:rPr>
          <w:rFonts w:ascii="Arial" w:hAnsi="Arial"/>
          <w:i/>
          <w:spacing w:val="-7"/>
          <w:sz w:val="16"/>
          <w:vertAlign w:val="baseline"/>
        </w:rPr>
        <w:t> </w:t>
      </w:r>
      <w:r>
        <w:rPr>
          <w:rFonts w:ascii="Arial" w:hAnsi="Arial"/>
          <w:i/>
          <w:sz w:val="16"/>
          <w:vertAlign w:val="baseline"/>
        </w:rPr>
        <w:t>su</w:t>
      </w:r>
      <w:r>
        <w:rPr>
          <w:rFonts w:ascii="Arial" w:hAnsi="Arial"/>
          <w:i/>
          <w:spacing w:val="-7"/>
          <w:sz w:val="16"/>
          <w:vertAlign w:val="baseline"/>
        </w:rPr>
        <w:t> </w:t>
      </w:r>
      <w:r>
        <w:rPr>
          <w:rFonts w:ascii="Arial" w:hAnsi="Arial"/>
          <w:i/>
          <w:sz w:val="16"/>
          <w:vertAlign w:val="baseline"/>
        </w:rPr>
        <w:t>liberación</w:t>
      </w:r>
      <w:r>
        <w:rPr>
          <w:rFonts w:ascii="Arial" w:hAnsi="Arial"/>
          <w:i/>
          <w:spacing w:val="-7"/>
          <w:sz w:val="16"/>
          <w:vertAlign w:val="baseline"/>
        </w:rPr>
        <w:t> </w:t>
      </w:r>
      <w:r>
        <w:rPr>
          <w:rFonts w:ascii="Arial" w:hAnsi="Arial"/>
          <w:i/>
          <w:sz w:val="16"/>
          <w:vertAlign w:val="baseline"/>
        </w:rPr>
        <w:t>total</w:t>
      </w:r>
      <w:r>
        <w:rPr>
          <w:rFonts w:ascii="Arial" w:hAnsi="Arial"/>
          <w:i/>
          <w:spacing w:val="-6"/>
          <w:sz w:val="16"/>
          <w:vertAlign w:val="baseline"/>
        </w:rPr>
        <w:t> </w:t>
      </w:r>
      <w:r>
        <w:rPr>
          <w:rFonts w:ascii="Arial" w:hAnsi="Arial"/>
          <w:i/>
          <w:sz w:val="16"/>
          <w:vertAlign w:val="baseline"/>
        </w:rPr>
        <w:t>en</w:t>
      </w:r>
      <w:r>
        <w:rPr>
          <w:rFonts w:ascii="Arial" w:hAnsi="Arial"/>
          <w:i/>
          <w:spacing w:val="-7"/>
          <w:sz w:val="16"/>
          <w:vertAlign w:val="baseline"/>
        </w:rPr>
        <w:t> </w:t>
      </w:r>
      <w:r>
        <w:rPr>
          <w:rFonts w:ascii="Arial" w:hAnsi="Arial"/>
          <w:i/>
          <w:sz w:val="16"/>
          <w:vertAlign w:val="baseline"/>
        </w:rPr>
        <w:t>los</w:t>
      </w:r>
      <w:r>
        <w:rPr>
          <w:rFonts w:ascii="Arial" w:hAnsi="Arial"/>
          <w:i/>
          <w:spacing w:val="-5"/>
          <w:sz w:val="16"/>
          <w:vertAlign w:val="baseline"/>
        </w:rPr>
        <w:t> </w:t>
      </w:r>
      <w:r>
        <w:rPr>
          <w:rFonts w:ascii="Arial" w:hAnsi="Arial"/>
          <w:i/>
          <w:sz w:val="16"/>
          <w:vertAlign w:val="baseline"/>
        </w:rPr>
        <w:t>plazos</w:t>
      </w:r>
      <w:r>
        <w:rPr>
          <w:rFonts w:ascii="Arial" w:hAnsi="Arial"/>
          <w:i/>
          <w:spacing w:val="-8"/>
          <w:sz w:val="16"/>
          <w:vertAlign w:val="baseline"/>
        </w:rPr>
        <w:t> </w:t>
      </w:r>
      <w:r>
        <w:rPr>
          <w:rFonts w:ascii="Arial" w:hAnsi="Arial"/>
          <w:i/>
          <w:sz w:val="16"/>
          <w:vertAlign w:val="baseline"/>
        </w:rPr>
        <w:t>y</w:t>
      </w:r>
      <w:r>
        <w:rPr>
          <w:rFonts w:ascii="Arial" w:hAnsi="Arial"/>
          <w:i/>
          <w:spacing w:val="-8"/>
          <w:sz w:val="16"/>
          <w:vertAlign w:val="baseline"/>
        </w:rPr>
        <w:t> </w:t>
      </w:r>
      <w:r>
        <w:rPr>
          <w:rFonts w:ascii="Arial" w:hAnsi="Arial"/>
          <w:i/>
          <w:sz w:val="16"/>
          <w:vertAlign w:val="baseline"/>
        </w:rPr>
        <w:t>modalidades que señala este Acuerdo</w:t>
      </w:r>
      <w:r>
        <w:rPr>
          <w:sz w:val="16"/>
          <w:vertAlign w:val="baseline"/>
        </w:rPr>
        <w:t>.”.</w:t>
      </w:r>
    </w:p>
    <w:p>
      <w:pPr>
        <w:spacing w:before="0"/>
        <w:ind w:left="568" w:right="0" w:firstLine="0"/>
        <w:jc w:val="left"/>
        <w:rPr>
          <w:sz w:val="16"/>
        </w:rPr>
      </w:pPr>
      <w:bookmarkStart w:name="_bookmark94" w:id="95"/>
      <w:bookmarkEnd w:id="95"/>
      <w:r>
        <w:rPr/>
      </w:r>
      <w:r>
        <w:rPr>
          <w:sz w:val="16"/>
          <w:vertAlign w:val="superscript"/>
        </w:rPr>
        <w:t>27</w:t>
      </w:r>
      <w:r>
        <w:rPr>
          <w:spacing w:val="10"/>
          <w:sz w:val="16"/>
          <w:vertAlign w:val="baseline"/>
        </w:rPr>
        <w:t> </w:t>
      </w:r>
      <w:r>
        <w:rPr>
          <w:sz w:val="16"/>
          <w:vertAlign w:val="baseline"/>
        </w:rPr>
        <w:t>Tribunal</w:t>
      </w:r>
      <w:r>
        <w:rPr>
          <w:spacing w:val="9"/>
          <w:sz w:val="16"/>
          <w:vertAlign w:val="baseline"/>
        </w:rPr>
        <w:t> </w:t>
      </w:r>
      <w:r>
        <w:rPr>
          <w:sz w:val="16"/>
          <w:vertAlign w:val="baseline"/>
        </w:rPr>
        <w:t>de</w:t>
      </w:r>
      <w:r>
        <w:rPr>
          <w:spacing w:val="8"/>
          <w:sz w:val="16"/>
          <w:vertAlign w:val="baseline"/>
        </w:rPr>
        <w:t> </w:t>
      </w:r>
      <w:r>
        <w:rPr>
          <w:sz w:val="16"/>
          <w:vertAlign w:val="baseline"/>
        </w:rPr>
        <w:t>Justicia</w:t>
      </w:r>
      <w:r>
        <w:rPr>
          <w:spacing w:val="8"/>
          <w:sz w:val="16"/>
          <w:vertAlign w:val="baseline"/>
        </w:rPr>
        <w:t> </w:t>
      </w:r>
      <w:r>
        <w:rPr>
          <w:sz w:val="16"/>
          <w:vertAlign w:val="baseline"/>
        </w:rPr>
        <w:t>de</w:t>
      </w:r>
      <w:r>
        <w:rPr>
          <w:spacing w:val="10"/>
          <w:sz w:val="16"/>
          <w:vertAlign w:val="baseline"/>
        </w:rPr>
        <w:t> </w:t>
      </w:r>
      <w:r>
        <w:rPr>
          <w:sz w:val="16"/>
          <w:vertAlign w:val="baseline"/>
        </w:rPr>
        <w:t>la</w:t>
      </w:r>
      <w:r>
        <w:rPr>
          <w:spacing w:val="8"/>
          <w:sz w:val="16"/>
          <w:vertAlign w:val="baseline"/>
        </w:rPr>
        <w:t> </w:t>
      </w:r>
      <w:r>
        <w:rPr>
          <w:sz w:val="16"/>
          <w:vertAlign w:val="baseline"/>
        </w:rPr>
        <w:t>Comunidad</w:t>
      </w:r>
      <w:r>
        <w:rPr>
          <w:spacing w:val="10"/>
          <w:sz w:val="16"/>
          <w:vertAlign w:val="baseline"/>
        </w:rPr>
        <w:t> </w:t>
      </w:r>
      <w:r>
        <w:rPr>
          <w:sz w:val="16"/>
          <w:vertAlign w:val="baseline"/>
        </w:rPr>
        <w:t>Andina.</w:t>
      </w:r>
      <w:r>
        <w:rPr>
          <w:spacing w:val="8"/>
          <w:sz w:val="16"/>
          <w:vertAlign w:val="baseline"/>
        </w:rPr>
        <w:t> </w:t>
      </w:r>
      <w:r>
        <w:rPr>
          <w:sz w:val="16"/>
          <w:vertAlign w:val="baseline"/>
        </w:rPr>
        <w:t>Sentencia</w:t>
      </w:r>
      <w:r>
        <w:rPr>
          <w:spacing w:val="14"/>
          <w:sz w:val="16"/>
          <w:vertAlign w:val="baseline"/>
        </w:rPr>
        <w:t> </w:t>
      </w:r>
      <w:r>
        <w:rPr>
          <w:sz w:val="16"/>
          <w:vertAlign w:val="baseline"/>
        </w:rPr>
        <w:t>del</w:t>
      </w:r>
      <w:r>
        <w:rPr>
          <w:spacing w:val="9"/>
          <w:sz w:val="16"/>
          <w:vertAlign w:val="baseline"/>
        </w:rPr>
        <w:t> </w:t>
      </w:r>
      <w:r>
        <w:rPr>
          <w:sz w:val="16"/>
          <w:vertAlign w:val="baseline"/>
        </w:rPr>
        <w:t>24</w:t>
      </w:r>
      <w:r>
        <w:rPr>
          <w:spacing w:val="9"/>
          <w:sz w:val="16"/>
          <w:vertAlign w:val="baseline"/>
        </w:rPr>
        <w:t> </w:t>
      </w:r>
      <w:r>
        <w:rPr>
          <w:sz w:val="16"/>
          <w:vertAlign w:val="baseline"/>
        </w:rPr>
        <w:t>de</w:t>
      </w:r>
      <w:r>
        <w:rPr>
          <w:spacing w:val="10"/>
          <w:sz w:val="16"/>
          <w:vertAlign w:val="baseline"/>
        </w:rPr>
        <w:t> </w:t>
      </w:r>
      <w:r>
        <w:rPr>
          <w:sz w:val="16"/>
          <w:vertAlign w:val="baseline"/>
        </w:rPr>
        <w:t>septiembre</w:t>
      </w:r>
      <w:r>
        <w:rPr>
          <w:spacing w:val="8"/>
          <w:sz w:val="16"/>
          <w:vertAlign w:val="baseline"/>
        </w:rPr>
        <w:t> </w:t>
      </w:r>
      <w:r>
        <w:rPr>
          <w:sz w:val="16"/>
          <w:vertAlign w:val="baseline"/>
        </w:rPr>
        <w:t>de</w:t>
      </w:r>
      <w:r>
        <w:rPr>
          <w:spacing w:val="10"/>
          <w:sz w:val="16"/>
          <w:vertAlign w:val="baseline"/>
        </w:rPr>
        <w:t> </w:t>
      </w:r>
      <w:r>
        <w:rPr>
          <w:sz w:val="16"/>
          <w:vertAlign w:val="baseline"/>
        </w:rPr>
        <w:t>1999,</w:t>
      </w:r>
      <w:r>
        <w:rPr>
          <w:spacing w:val="9"/>
          <w:sz w:val="16"/>
          <w:vertAlign w:val="baseline"/>
        </w:rPr>
        <w:t> </w:t>
      </w:r>
      <w:r>
        <w:rPr>
          <w:sz w:val="16"/>
          <w:vertAlign w:val="baseline"/>
        </w:rPr>
        <w:t>proferida</w:t>
      </w:r>
      <w:r>
        <w:rPr>
          <w:spacing w:val="5"/>
          <w:sz w:val="16"/>
          <w:vertAlign w:val="baseline"/>
        </w:rPr>
        <w:t> </w:t>
      </w:r>
      <w:r>
        <w:rPr>
          <w:sz w:val="16"/>
          <w:vertAlign w:val="baseline"/>
        </w:rPr>
        <w:t>en</w:t>
      </w:r>
      <w:r>
        <w:rPr>
          <w:spacing w:val="10"/>
          <w:sz w:val="16"/>
          <w:vertAlign w:val="baseline"/>
        </w:rPr>
        <w:t> </w:t>
      </w:r>
      <w:r>
        <w:rPr>
          <w:sz w:val="16"/>
          <w:vertAlign w:val="baseline"/>
        </w:rPr>
        <w:t>el</w:t>
      </w:r>
      <w:r>
        <w:rPr>
          <w:spacing w:val="9"/>
          <w:sz w:val="16"/>
          <w:vertAlign w:val="baseline"/>
        </w:rPr>
        <w:t> </w:t>
      </w:r>
      <w:r>
        <w:rPr>
          <w:sz w:val="16"/>
          <w:vertAlign w:val="baseline"/>
        </w:rPr>
        <w:t>Proceso</w:t>
      </w:r>
      <w:r>
        <w:rPr>
          <w:spacing w:val="9"/>
          <w:sz w:val="16"/>
          <w:vertAlign w:val="baseline"/>
        </w:rPr>
        <w:t> </w:t>
      </w:r>
      <w:r>
        <w:rPr>
          <w:sz w:val="16"/>
          <w:vertAlign w:val="baseline"/>
        </w:rPr>
        <w:t>12-AN-</w:t>
      </w:r>
      <w:r>
        <w:rPr>
          <w:spacing w:val="-5"/>
          <w:sz w:val="16"/>
          <w:vertAlign w:val="baseline"/>
        </w:rPr>
        <w:t>99.</w:t>
      </w:r>
    </w:p>
    <w:p>
      <w:pPr>
        <w:tabs>
          <w:tab w:pos="568" w:val="left" w:leader="none"/>
          <w:tab w:pos="9816" w:val="left" w:leader="none"/>
        </w:tabs>
        <w:spacing w:before="0"/>
        <w:ind w:left="160" w:right="0" w:firstLine="0"/>
        <w:jc w:val="left"/>
        <w:rPr>
          <w:sz w:val="16"/>
        </w:rPr>
      </w:pPr>
      <w:r>
        <w:rPr>
          <w:sz w:val="16"/>
          <w:u w:val="single"/>
        </w:rPr>
        <w:tab/>
        <w:t>Publicada</w:t>
      </w:r>
      <w:r>
        <w:rPr>
          <w:spacing w:val="-7"/>
          <w:sz w:val="16"/>
          <w:u w:val="single"/>
        </w:rPr>
        <w:t> </w:t>
      </w:r>
      <w:r>
        <w:rPr>
          <w:sz w:val="16"/>
          <w:u w:val="single"/>
        </w:rPr>
        <w:t>en</w:t>
      </w:r>
      <w:r>
        <w:rPr>
          <w:spacing w:val="-3"/>
          <w:sz w:val="16"/>
          <w:u w:val="single"/>
        </w:rPr>
        <w:t> </w:t>
      </w:r>
      <w:r>
        <w:rPr>
          <w:sz w:val="16"/>
          <w:u w:val="single"/>
        </w:rPr>
        <w:t>la</w:t>
      </w:r>
      <w:r>
        <w:rPr>
          <w:spacing w:val="-6"/>
          <w:sz w:val="16"/>
          <w:u w:val="single"/>
        </w:rPr>
        <w:t> </w:t>
      </w:r>
      <w:r>
        <w:rPr>
          <w:sz w:val="16"/>
          <w:u w:val="single"/>
        </w:rPr>
        <w:t>Gaceta</w:t>
      </w:r>
      <w:r>
        <w:rPr>
          <w:spacing w:val="-3"/>
          <w:sz w:val="16"/>
          <w:u w:val="single"/>
        </w:rPr>
        <w:t> </w:t>
      </w:r>
      <w:r>
        <w:rPr>
          <w:sz w:val="16"/>
          <w:u w:val="single"/>
        </w:rPr>
        <w:t>Oficial</w:t>
      </w:r>
      <w:r>
        <w:rPr>
          <w:spacing w:val="-3"/>
          <w:sz w:val="16"/>
          <w:u w:val="single"/>
        </w:rPr>
        <w:t> </w:t>
      </w:r>
      <w:r>
        <w:rPr>
          <w:sz w:val="16"/>
          <w:u w:val="single"/>
        </w:rPr>
        <w:t>del</w:t>
      </w:r>
      <w:r>
        <w:rPr>
          <w:spacing w:val="-7"/>
          <w:sz w:val="16"/>
          <w:u w:val="single"/>
        </w:rPr>
        <w:t> </w:t>
      </w:r>
      <w:r>
        <w:rPr>
          <w:sz w:val="16"/>
          <w:u w:val="single"/>
        </w:rPr>
        <w:t>Acuerdo</w:t>
      </w:r>
      <w:r>
        <w:rPr>
          <w:spacing w:val="-3"/>
          <w:sz w:val="16"/>
          <w:u w:val="single"/>
        </w:rPr>
        <w:t> </w:t>
      </w:r>
      <w:r>
        <w:rPr>
          <w:sz w:val="16"/>
          <w:u w:val="single"/>
        </w:rPr>
        <w:t>de</w:t>
      </w:r>
      <w:r>
        <w:rPr>
          <w:spacing w:val="-4"/>
          <w:sz w:val="16"/>
          <w:u w:val="single"/>
        </w:rPr>
        <w:t> </w:t>
      </w:r>
      <w:r>
        <w:rPr>
          <w:sz w:val="16"/>
          <w:u w:val="single"/>
        </w:rPr>
        <w:t>Cartagena</w:t>
      </w:r>
      <w:r>
        <w:rPr>
          <w:spacing w:val="-4"/>
          <w:sz w:val="16"/>
          <w:u w:val="single"/>
        </w:rPr>
        <w:t> </w:t>
      </w:r>
      <w:r>
        <w:rPr>
          <w:sz w:val="16"/>
          <w:u w:val="single"/>
        </w:rPr>
        <w:t>No.</w:t>
      </w:r>
      <w:r>
        <w:rPr>
          <w:spacing w:val="-2"/>
          <w:sz w:val="16"/>
          <w:u w:val="single"/>
        </w:rPr>
        <w:t> </w:t>
      </w:r>
      <w:r>
        <w:rPr>
          <w:sz w:val="16"/>
          <w:u w:val="single"/>
        </w:rPr>
        <w:t>520</w:t>
      </w:r>
      <w:r>
        <w:rPr>
          <w:spacing w:val="-6"/>
          <w:sz w:val="16"/>
          <w:u w:val="single"/>
        </w:rPr>
        <w:t> </w:t>
      </w:r>
      <w:r>
        <w:rPr>
          <w:sz w:val="16"/>
          <w:u w:val="single"/>
        </w:rPr>
        <w:t>del</w:t>
      </w:r>
      <w:r>
        <w:rPr>
          <w:spacing w:val="2"/>
          <w:sz w:val="16"/>
          <w:u w:val="single"/>
        </w:rPr>
        <w:t> </w:t>
      </w:r>
      <w:r>
        <w:rPr>
          <w:sz w:val="16"/>
          <w:u w:val="single"/>
        </w:rPr>
        <w:t>20</w:t>
      </w:r>
      <w:r>
        <w:rPr>
          <w:spacing w:val="-4"/>
          <w:sz w:val="16"/>
          <w:u w:val="single"/>
        </w:rPr>
        <w:t> </w:t>
      </w:r>
      <w:r>
        <w:rPr>
          <w:sz w:val="16"/>
          <w:u w:val="single"/>
        </w:rPr>
        <w:t>de</w:t>
      </w:r>
      <w:r>
        <w:rPr>
          <w:spacing w:val="-3"/>
          <w:sz w:val="16"/>
          <w:u w:val="single"/>
        </w:rPr>
        <w:t> </w:t>
      </w:r>
      <w:r>
        <w:rPr>
          <w:sz w:val="16"/>
          <w:u w:val="single"/>
        </w:rPr>
        <w:t>diciembre</w:t>
      </w:r>
      <w:r>
        <w:rPr>
          <w:spacing w:val="-4"/>
          <w:sz w:val="16"/>
          <w:u w:val="single"/>
        </w:rPr>
        <w:t> </w:t>
      </w:r>
      <w:r>
        <w:rPr>
          <w:sz w:val="16"/>
          <w:u w:val="single"/>
        </w:rPr>
        <w:t>de</w:t>
      </w:r>
      <w:r>
        <w:rPr>
          <w:spacing w:val="-3"/>
          <w:sz w:val="16"/>
          <w:u w:val="single"/>
        </w:rPr>
        <w:t> </w:t>
      </w:r>
      <w:r>
        <w:rPr>
          <w:spacing w:val="-2"/>
          <w:sz w:val="16"/>
          <w:u w:val="single"/>
        </w:rPr>
        <w:t>1999.</w:t>
      </w:r>
      <w:r>
        <w:rPr>
          <w:sz w:val="16"/>
          <w:u w:val="single"/>
        </w:rPr>
        <w:tab/>
      </w:r>
    </w:p>
    <w:p>
      <w:pPr>
        <w:spacing w:after="0"/>
        <w:jc w:val="left"/>
        <w:rPr>
          <w:sz w:val="16"/>
        </w:rPr>
        <w:sectPr>
          <w:pgSz w:w="11900" w:h="16850"/>
          <w:pgMar w:header="370" w:footer="597" w:top="1380" w:bottom="780" w:left="992" w:right="283"/>
        </w:sectPr>
      </w:pPr>
    </w:p>
    <w:p>
      <w:pPr>
        <w:pStyle w:val="BodyText"/>
        <w:spacing w:before="152"/>
        <w:rPr>
          <w:sz w:val="24"/>
        </w:rPr>
      </w:pPr>
    </w:p>
    <w:p>
      <w:pPr>
        <w:pStyle w:val="Heading4"/>
      </w:pPr>
      <w:r>
        <w:rPr/>
        <w:t>“Lo</w:t>
      </w:r>
      <w:r>
        <w:rPr>
          <w:spacing w:val="-7"/>
        </w:rPr>
        <w:t> </w:t>
      </w:r>
      <w:r>
        <w:rPr/>
        <w:t>primero</w:t>
      </w:r>
      <w:r>
        <w:rPr>
          <w:spacing w:val="-7"/>
        </w:rPr>
        <w:t> </w:t>
      </w:r>
      <w:r>
        <w:rPr/>
        <w:t>que</w:t>
      </w:r>
      <w:r>
        <w:rPr>
          <w:spacing w:val="-8"/>
        </w:rPr>
        <w:t> </w:t>
      </w:r>
      <w:r>
        <w:rPr/>
        <w:t>debe</w:t>
      </w:r>
      <w:r>
        <w:rPr>
          <w:spacing w:val="-6"/>
        </w:rPr>
        <w:t> </w:t>
      </w:r>
      <w:r>
        <w:rPr/>
        <w:t>destacar</w:t>
      </w:r>
      <w:r>
        <w:rPr>
          <w:spacing w:val="-7"/>
        </w:rPr>
        <w:t> </w:t>
      </w:r>
      <w:r>
        <w:rPr/>
        <w:t>El</w:t>
      </w:r>
      <w:r>
        <w:rPr>
          <w:spacing w:val="-7"/>
        </w:rPr>
        <w:t> </w:t>
      </w:r>
      <w:r>
        <w:rPr/>
        <w:t>Tribunal,</w:t>
      </w:r>
      <w:r>
        <w:rPr>
          <w:spacing w:val="-7"/>
        </w:rPr>
        <w:t> </w:t>
      </w:r>
      <w:r>
        <w:rPr/>
        <w:t>en</w:t>
      </w:r>
      <w:r>
        <w:rPr>
          <w:spacing w:val="-5"/>
        </w:rPr>
        <w:t> </w:t>
      </w:r>
      <w:r>
        <w:rPr/>
        <w:t>cuanto</w:t>
      </w:r>
      <w:r>
        <w:rPr>
          <w:spacing w:val="-7"/>
        </w:rPr>
        <w:t> </w:t>
      </w:r>
      <w:r>
        <w:rPr/>
        <w:t>a</w:t>
      </w:r>
      <w:r>
        <w:rPr>
          <w:spacing w:val="-7"/>
        </w:rPr>
        <w:t> </w:t>
      </w:r>
      <w:r>
        <w:rPr/>
        <w:t>la</w:t>
      </w:r>
      <w:r>
        <w:rPr>
          <w:spacing w:val="-7"/>
        </w:rPr>
        <w:t> </w:t>
      </w:r>
      <w:r>
        <w:rPr/>
        <w:t>definición</w:t>
      </w:r>
      <w:r>
        <w:rPr>
          <w:spacing w:val="-7"/>
        </w:rPr>
        <w:t> </w:t>
      </w:r>
      <w:r>
        <w:rPr/>
        <w:t>del</w:t>
      </w:r>
      <w:r>
        <w:rPr>
          <w:spacing w:val="-7"/>
        </w:rPr>
        <w:t> </w:t>
      </w:r>
      <w:r>
        <w:rPr/>
        <w:t>concepto de</w:t>
      </w:r>
      <w:r>
        <w:rPr>
          <w:spacing w:val="-14"/>
        </w:rPr>
        <w:t> </w:t>
      </w:r>
      <w:r>
        <w:rPr/>
        <w:t>gravamen</w:t>
      </w:r>
      <w:r>
        <w:rPr>
          <w:spacing w:val="-13"/>
        </w:rPr>
        <w:t> </w:t>
      </w:r>
      <w:r>
        <w:rPr/>
        <w:t>que</w:t>
      </w:r>
      <w:r>
        <w:rPr>
          <w:spacing w:val="-14"/>
        </w:rPr>
        <w:t> </w:t>
      </w:r>
      <w:r>
        <w:rPr/>
        <w:t>hace</w:t>
      </w:r>
      <w:r>
        <w:rPr>
          <w:spacing w:val="-14"/>
        </w:rPr>
        <w:t> </w:t>
      </w:r>
      <w:r>
        <w:rPr/>
        <w:t>la</w:t>
      </w:r>
      <w:r>
        <w:rPr>
          <w:spacing w:val="-10"/>
        </w:rPr>
        <w:t> </w:t>
      </w:r>
      <w:r>
        <w:rPr/>
        <w:t>norma</w:t>
      </w:r>
      <w:r>
        <w:rPr>
          <w:spacing w:val="-13"/>
        </w:rPr>
        <w:t> </w:t>
      </w:r>
      <w:r>
        <w:rPr/>
        <w:t>comunitaria,</w:t>
      </w:r>
      <w:r>
        <w:rPr>
          <w:spacing w:val="-13"/>
        </w:rPr>
        <w:t> </w:t>
      </w:r>
      <w:r>
        <w:rPr/>
        <w:t>es</w:t>
      </w:r>
      <w:r>
        <w:rPr>
          <w:spacing w:val="-13"/>
        </w:rPr>
        <w:t> </w:t>
      </w:r>
      <w:r>
        <w:rPr/>
        <w:t>que</w:t>
      </w:r>
      <w:r>
        <w:rPr>
          <w:spacing w:val="-14"/>
        </w:rPr>
        <w:t> </w:t>
      </w:r>
      <w:r>
        <w:rPr/>
        <w:t>ella</w:t>
      </w:r>
      <w:r>
        <w:rPr>
          <w:spacing w:val="-13"/>
        </w:rPr>
        <w:t> </w:t>
      </w:r>
      <w:r>
        <w:rPr/>
        <w:t>no</w:t>
      </w:r>
      <w:r>
        <w:rPr>
          <w:spacing w:val="-13"/>
        </w:rPr>
        <w:t> </w:t>
      </w:r>
      <w:r>
        <w:rPr/>
        <w:t>corresponde</w:t>
      </w:r>
      <w:r>
        <w:rPr>
          <w:spacing w:val="-14"/>
        </w:rPr>
        <w:t> </w:t>
      </w:r>
      <w:r>
        <w:rPr/>
        <w:t>al</w:t>
      </w:r>
      <w:r>
        <w:rPr>
          <w:spacing w:val="-13"/>
        </w:rPr>
        <w:t> </w:t>
      </w:r>
      <w:r>
        <w:rPr/>
        <w:t>criterio técnico tributario que lo restringe al campo de los impuestos, sino que cubre una generalidad</w:t>
      </w:r>
      <w:r>
        <w:rPr>
          <w:spacing w:val="-6"/>
        </w:rPr>
        <w:t> </w:t>
      </w:r>
      <w:r>
        <w:rPr/>
        <w:t>de</w:t>
      </w:r>
      <w:r>
        <w:rPr>
          <w:spacing w:val="-7"/>
        </w:rPr>
        <w:t> </w:t>
      </w:r>
      <w:r>
        <w:rPr/>
        <w:t>situaciones</w:t>
      </w:r>
      <w:r>
        <w:rPr>
          <w:spacing w:val="-6"/>
        </w:rPr>
        <w:t> </w:t>
      </w:r>
      <w:r>
        <w:rPr/>
        <w:t>y</w:t>
      </w:r>
      <w:r>
        <w:rPr>
          <w:spacing w:val="-7"/>
        </w:rPr>
        <w:t> </w:t>
      </w:r>
      <w:r>
        <w:rPr/>
        <w:t>dominios</w:t>
      </w:r>
      <w:r>
        <w:rPr>
          <w:spacing w:val="-5"/>
        </w:rPr>
        <w:t> </w:t>
      </w:r>
      <w:r>
        <w:rPr/>
        <w:t>que</w:t>
      </w:r>
      <w:r>
        <w:rPr>
          <w:spacing w:val="-5"/>
        </w:rPr>
        <w:t> </w:t>
      </w:r>
      <w:r>
        <w:rPr/>
        <w:t>trascienden</w:t>
      </w:r>
      <w:r>
        <w:rPr>
          <w:spacing w:val="-6"/>
        </w:rPr>
        <w:t> </w:t>
      </w:r>
      <w:r>
        <w:rPr/>
        <w:t>el</w:t>
      </w:r>
      <w:r>
        <w:rPr>
          <w:spacing w:val="-5"/>
        </w:rPr>
        <w:t> </w:t>
      </w:r>
      <w:r>
        <w:rPr/>
        <w:t>ámbito</w:t>
      </w:r>
      <w:r>
        <w:rPr>
          <w:spacing w:val="-5"/>
        </w:rPr>
        <w:t> </w:t>
      </w:r>
      <w:r>
        <w:rPr/>
        <w:t>de</w:t>
      </w:r>
      <w:r>
        <w:rPr>
          <w:spacing w:val="-5"/>
        </w:rPr>
        <w:t> </w:t>
      </w:r>
      <w:r>
        <w:rPr/>
        <w:t>la</w:t>
      </w:r>
      <w:r>
        <w:rPr>
          <w:spacing w:val="-5"/>
        </w:rPr>
        <w:t> </w:t>
      </w:r>
      <w:r>
        <w:rPr/>
        <w:t>tributación, para cobijar bajo su manto </w:t>
      </w:r>
      <w:r>
        <w:rPr>
          <w:u w:val="single"/>
        </w:rPr>
        <w:t>todas aquellas situaciones con las cuales se pretenda</w:t>
      </w:r>
      <w:r>
        <w:rPr/>
        <w:t> </w:t>
      </w:r>
      <w:r>
        <w:rPr>
          <w:u w:val="single"/>
        </w:rPr>
        <w:t>recargar el valor de las importaciones que, por estar realizándose dentro de una</w:t>
      </w:r>
      <w:r>
        <w:rPr/>
        <w:t> </w:t>
      </w:r>
      <w:r>
        <w:rPr>
          <w:u w:val="single"/>
        </w:rPr>
        <w:t>zona de libre comercio, no deben gravarse con suma alguna derivada del hecho</w:t>
      </w:r>
      <w:r>
        <w:rPr/>
        <w:t> </w:t>
      </w:r>
      <w:r>
        <w:rPr>
          <w:u w:val="single"/>
        </w:rPr>
        <w:t>mismo de la importación, a no ser que se trate del cobro de los servicios que,</w:t>
      </w:r>
      <w:r>
        <w:rPr/>
        <w:t> </w:t>
      </w:r>
      <w:r>
        <w:rPr>
          <w:u w:val="single"/>
        </w:rPr>
        <w:t>directamente relacionados con tal hecho, deba sufragar el importador como</w:t>
      </w:r>
      <w:r>
        <w:rPr/>
        <w:t> </w:t>
      </w:r>
      <w:r>
        <w:rPr>
          <w:u w:val="single"/>
        </w:rPr>
        <w:t>contraprestación</w:t>
      </w:r>
      <w:r>
        <w:rPr>
          <w:spacing w:val="-15"/>
          <w:u w:val="single"/>
        </w:rPr>
        <w:t> </w:t>
      </w:r>
      <w:r>
        <w:rPr>
          <w:u w:val="single"/>
        </w:rPr>
        <w:t>por</w:t>
      </w:r>
      <w:r>
        <w:rPr>
          <w:spacing w:val="-15"/>
          <w:u w:val="single"/>
        </w:rPr>
        <w:t> </w:t>
      </w:r>
      <w:r>
        <w:rPr>
          <w:u w:val="single"/>
        </w:rPr>
        <w:t>tales</w:t>
      </w:r>
      <w:r>
        <w:rPr>
          <w:spacing w:val="-15"/>
          <w:u w:val="single"/>
        </w:rPr>
        <w:t> </w:t>
      </w:r>
      <w:r>
        <w:rPr>
          <w:u w:val="single"/>
        </w:rPr>
        <w:t>servicios,</w:t>
      </w:r>
      <w:r>
        <w:rPr>
          <w:spacing w:val="-15"/>
          <w:u w:val="single"/>
        </w:rPr>
        <w:t> </w:t>
      </w:r>
      <w:r>
        <w:rPr>
          <w:u w:val="single"/>
        </w:rPr>
        <w:t>generalmente</w:t>
      </w:r>
      <w:r>
        <w:rPr>
          <w:spacing w:val="-14"/>
          <w:u w:val="single"/>
        </w:rPr>
        <w:t> </w:t>
      </w:r>
      <w:r>
        <w:rPr>
          <w:u w:val="single"/>
        </w:rPr>
        <w:t>constituidos</w:t>
      </w:r>
      <w:r>
        <w:rPr>
          <w:spacing w:val="-15"/>
          <w:u w:val="single"/>
        </w:rPr>
        <w:t> </w:t>
      </w:r>
      <w:r>
        <w:rPr>
          <w:u w:val="single"/>
        </w:rPr>
        <w:t>por</w:t>
      </w:r>
      <w:r>
        <w:rPr>
          <w:spacing w:val="-15"/>
          <w:u w:val="single"/>
        </w:rPr>
        <w:t> </w:t>
      </w:r>
      <w:r>
        <w:rPr>
          <w:u w:val="single"/>
        </w:rPr>
        <w:t>operaciones</w:t>
      </w:r>
      <w:r>
        <w:rPr>
          <w:spacing w:val="-15"/>
          <w:u w:val="single"/>
        </w:rPr>
        <w:t> </w:t>
      </w:r>
      <w:r>
        <w:rPr>
          <w:u w:val="single"/>
        </w:rPr>
        <w:t>de</w:t>
      </w:r>
      <w:r>
        <w:rPr/>
        <w:t> </w:t>
      </w:r>
      <w:r>
        <w:rPr>
          <w:u w:val="single"/>
        </w:rPr>
        <w:t>descargue, estiba y desestiba, utilización de puertos y hangares, bodegajes,</w:t>
      </w:r>
      <w:r>
        <w:rPr/>
        <w:t> </w:t>
      </w:r>
      <w:r>
        <w:rPr>
          <w:u w:val="single"/>
        </w:rPr>
        <w:t>trámites concernientes al levante de las mercancías y demás usuales dentro del</w:t>
      </w:r>
      <w:r>
        <w:rPr/>
        <w:t> </w:t>
      </w:r>
      <w:r>
        <w:rPr>
          <w:u w:val="single"/>
        </w:rPr>
        <w:t>comercio internacional de bienes</w:t>
      </w:r>
      <w:r>
        <w:rPr/>
        <w:t>.</w:t>
      </w:r>
    </w:p>
    <w:p>
      <w:pPr>
        <w:pStyle w:val="BodyText"/>
        <w:rPr>
          <w:rFonts w:ascii="Times New Roman"/>
          <w:i/>
        </w:rPr>
      </w:pPr>
    </w:p>
    <w:p>
      <w:pPr>
        <w:pStyle w:val="BodyText"/>
        <w:spacing w:before="103"/>
        <w:rPr>
          <w:rFonts w:ascii="Times New Roman"/>
          <w:i/>
        </w:rPr>
      </w:pPr>
    </w:p>
    <w:p>
      <w:pPr>
        <w:spacing w:before="0"/>
        <w:ind w:left="1701" w:right="979" w:firstLine="0"/>
        <w:jc w:val="both"/>
        <w:rPr>
          <w:rFonts w:ascii="Arial" w:hAnsi="Arial"/>
          <w:i/>
          <w:sz w:val="22"/>
        </w:rPr>
      </w:pPr>
      <w:r>
        <w:rPr>
          <w:rFonts w:ascii="Arial" w:hAnsi="Arial"/>
          <w:i/>
          <w:sz w:val="22"/>
          <w:u w:val="single"/>
        </w:rPr>
        <w:t>Nótese cómo la definición legal no restringe el concepto de gravámenes a los</w:t>
      </w:r>
      <w:r>
        <w:rPr>
          <w:rFonts w:ascii="Arial" w:hAnsi="Arial"/>
          <w:i/>
          <w:sz w:val="22"/>
        </w:rPr>
        <w:t> </w:t>
      </w:r>
      <w:r>
        <w:rPr>
          <w:rFonts w:ascii="Arial" w:hAnsi="Arial"/>
          <w:i/>
          <w:sz w:val="22"/>
          <w:u w:val="single"/>
        </w:rPr>
        <w:t>derechos aduaneros sino que lo amplía, de una manera bien generosa, a</w:t>
      </w:r>
      <w:r>
        <w:rPr>
          <w:rFonts w:ascii="Arial" w:hAnsi="Arial"/>
          <w:i/>
          <w:sz w:val="22"/>
        </w:rPr>
        <w:t> </w:t>
      </w:r>
      <w:r>
        <w:rPr>
          <w:rFonts w:ascii="Arial" w:hAnsi="Arial"/>
          <w:i/>
          <w:sz w:val="22"/>
          <w:u w:val="single"/>
        </w:rPr>
        <w:t>“cualesquier otros recargos de efectos equivalentes”, sin importar que tales</w:t>
      </w:r>
      <w:r>
        <w:rPr>
          <w:rFonts w:ascii="Arial" w:hAnsi="Arial"/>
          <w:i/>
          <w:sz w:val="22"/>
        </w:rPr>
        <w:t> </w:t>
      </w:r>
      <w:r>
        <w:rPr>
          <w:rFonts w:ascii="Arial" w:hAnsi="Arial"/>
          <w:i/>
          <w:sz w:val="22"/>
          <w:u w:val="single"/>
        </w:rPr>
        <w:t>recargos tengan tal o cual denominación, ni tampoco su naturaleza, que bien</w:t>
      </w:r>
      <w:r>
        <w:rPr>
          <w:rFonts w:ascii="Arial" w:hAnsi="Arial"/>
          <w:i/>
          <w:sz w:val="22"/>
        </w:rPr>
        <w:t> </w:t>
      </w:r>
      <w:r>
        <w:rPr>
          <w:rFonts w:ascii="Arial" w:hAnsi="Arial"/>
          <w:i/>
          <w:sz w:val="22"/>
          <w:u w:val="single"/>
        </w:rPr>
        <w:t>puede</w:t>
      </w:r>
      <w:r>
        <w:rPr>
          <w:rFonts w:ascii="Arial" w:hAnsi="Arial"/>
          <w:i/>
          <w:spacing w:val="-10"/>
          <w:sz w:val="22"/>
          <w:u w:val="single"/>
        </w:rPr>
        <w:t> </w:t>
      </w:r>
      <w:r>
        <w:rPr>
          <w:rFonts w:ascii="Arial" w:hAnsi="Arial"/>
          <w:i/>
          <w:sz w:val="22"/>
          <w:u w:val="single"/>
        </w:rPr>
        <w:t>ser</w:t>
      </w:r>
      <w:r>
        <w:rPr>
          <w:rFonts w:ascii="Arial" w:hAnsi="Arial"/>
          <w:i/>
          <w:spacing w:val="-9"/>
          <w:sz w:val="22"/>
          <w:u w:val="single"/>
        </w:rPr>
        <w:t> </w:t>
      </w:r>
      <w:r>
        <w:rPr>
          <w:rFonts w:ascii="Arial" w:hAnsi="Arial"/>
          <w:i/>
          <w:sz w:val="22"/>
          <w:u w:val="single"/>
        </w:rPr>
        <w:t>de</w:t>
      </w:r>
      <w:r>
        <w:rPr>
          <w:rFonts w:ascii="Arial" w:hAnsi="Arial"/>
          <w:i/>
          <w:spacing w:val="-13"/>
          <w:sz w:val="22"/>
          <w:u w:val="single"/>
        </w:rPr>
        <w:t> </w:t>
      </w:r>
      <w:r>
        <w:rPr>
          <w:rFonts w:ascii="Arial" w:hAnsi="Arial"/>
          <w:i/>
          <w:sz w:val="22"/>
          <w:u w:val="single"/>
        </w:rPr>
        <w:t>carácter</w:t>
      </w:r>
      <w:r>
        <w:rPr>
          <w:rFonts w:ascii="Arial" w:hAnsi="Arial"/>
          <w:i/>
          <w:spacing w:val="-11"/>
          <w:sz w:val="22"/>
          <w:u w:val="single"/>
        </w:rPr>
        <w:t> </w:t>
      </w:r>
      <w:r>
        <w:rPr>
          <w:rFonts w:ascii="Arial" w:hAnsi="Arial"/>
          <w:i/>
          <w:sz w:val="22"/>
          <w:u w:val="single"/>
        </w:rPr>
        <w:t>fiscal,</w:t>
      </w:r>
      <w:r>
        <w:rPr>
          <w:rFonts w:ascii="Arial" w:hAnsi="Arial"/>
          <w:i/>
          <w:spacing w:val="-8"/>
          <w:sz w:val="22"/>
          <w:u w:val="single"/>
        </w:rPr>
        <w:t> </w:t>
      </w:r>
      <w:r>
        <w:rPr>
          <w:rFonts w:ascii="Arial" w:hAnsi="Arial"/>
          <w:i/>
          <w:sz w:val="22"/>
          <w:u w:val="single"/>
        </w:rPr>
        <w:t>de</w:t>
      </w:r>
      <w:r>
        <w:rPr>
          <w:rFonts w:ascii="Arial" w:hAnsi="Arial"/>
          <w:i/>
          <w:spacing w:val="-10"/>
          <w:sz w:val="22"/>
          <w:u w:val="single"/>
        </w:rPr>
        <w:t> </w:t>
      </w:r>
      <w:r>
        <w:rPr>
          <w:rFonts w:ascii="Arial" w:hAnsi="Arial"/>
          <w:i/>
          <w:sz w:val="22"/>
          <w:u w:val="single"/>
        </w:rPr>
        <w:t>carácter</w:t>
      </w:r>
      <w:r>
        <w:rPr>
          <w:rFonts w:ascii="Arial" w:hAnsi="Arial"/>
          <w:i/>
          <w:spacing w:val="-9"/>
          <w:sz w:val="22"/>
          <w:u w:val="single"/>
        </w:rPr>
        <w:t> </w:t>
      </w:r>
      <w:r>
        <w:rPr>
          <w:rFonts w:ascii="Arial" w:hAnsi="Arial"/>
          <w:i/>
          <w:sz w:val="22"/>
          <w:u w:val="single"/>
        </w:rPr>
        <w:t>monetario</w:t>
      </w:r>
      <w:r>
        <w:rPr>
          <w:rFonts w:ascii="Arial" w:hAnsi="Arial"/>
          <w:i/>
          <w:spacing w:val="-10"/>
          <w:sz w:val="22"/>
          <w:u w:val="single"/>
        </w:rPr>
        <w:t> </w:t>
      </w:r>
      <w:r>
        <w:rPr>
          <w:rFonts w:ascii="Arial" w:hAnsi="Arial"/>
          <w:i/>
          <w:sz w:val="22"/>
          <w:u w:val="single"/>
        </w:rPr>
        <w:t>o</w:t>
      </w:r>
      <w:r>
        <w:rPr>
          <w:rFonts w:ascii="Arial" w:hAnsi="Arial"/>
          <w:i/>
          <w:spacing w:val="-10"/>
          <w:sz w:val="22"/>
          <w:u w:val="single"/>
        </w:rPr>
        <w:t> </w:t>
      </w:r>
      <w:r>
        <w:rPr>
          <w:rFonts w:ascii="Arial" w:hAnsi="Arial"/>
          <w:i/>
          <w:sz w:val="22"/>
          <w:u w:val="single"/>
        </w:rPr>
        <w:t>de</w:t>
      </w:r>
      <w:r>
        <w:rPr>
          <w:rFonts w:ascii="Arial" w:hAnsi="Arial"/>
          <w:i/>
          <w:spacing w:val="-10"/>
          <w:sz w:val="22"/>
          <w:u w:val="single"/>
        </w:rPr>
        <w:t> </w:t>
      </w:r>
      <w:r>
        <w:rPr>
          <w:rFonts w:ascii="Arial" w:hAnsi="Arial"/>
          <w:i/>
          <w:sz w:val="22"/>
          <w:u w:val="single"/>
        </w:rPr>
        <w:t>carácter</w:t>
      </w:r>
      <w:r>
        <w:rPr>
          <w:rFonts w:ascii="Arial" w:hAnsi="Arial"/>
          <w:i/>
          <w:spacing w:val="-9"/>
          <w:sz w:val="22"/>
          <w:u w:val="single"/>
        </w:rPr>
        <w:t> </w:t>
      </w:r>
      <w:r>
        <w:rPr>
          <w:rFonts w:ascii="Arial" w:hAnsi="Arial"/>
          <w:i/>
          <w:sz w:val="22"/>
          <w:u w:val="single"/>
        </w:rPr>
        <w:t>cambiario</w:t>
      </w:r>
      <w:r>
        <w:rPr>
          <w:rFonts w:ascii="Arial" w:hAnsi="Arial"/>
          <w:i/>
          <w:spacing w:val="-10"/>
          <w:sz w:val="22"/>
          <w:u w:val="single"/>
        </w:rPr>
        <w:t> </w:t>
      </w:r>
      <w:r>
        <w:rPr>
          <w:rFonts w:ascii="Arial" w:hAnsi="Arial"/>
          <w:i/>
          <w:sz w:val="22"/>
          <w:u w:val="single"/>
        </w:rPr>
        <w:t>y</w:t>
      </w:r>
      <w:r>
        <w:rPr>
          <w:rFonts w:ascii="Arial" w:hAnsi="Arial"/>
          <w:i/>
          <w:spacing w:val="-9"/>
          <w:sz w:val="22"/>
          <w:u w:val="single"/>
        </w:rPr>
        <w:t> </w:t>
      </w:r>
      <w:r>
        <w:rPr>
          <w:rFonts w:ascii="Arial" w:hAnsi="Arial"/>
          <w:i/>
          <w:sz w:val="22"/>
          <w:u w:val="single"/>
        </w:rPr>
        <w:t>cuyo</w:t>
      </w:r>
      <w:r>
        <w:rPr>
          <w:rFonts w:ascii="Arial" w:hAnsi="Arial"/>
          <w:i/>
          <w:sz w:val="22"/>
        </w:rPr>
        <w:t> </w:t>
      </w:r>
      <w:r>
        <w:rPr>
          <w:rFonts w:ascii="Arial" w:hAnsi="Arial"/>
          <w:i/>
          <w:sz w:val="22"/>
          <w:u w:val="single"/>
        </w:rPr>
        <w:t>único condicionante es que incidan sobre las importaciones, encareciéndolas o</w:t>
      </w:r>
      <w:r>
        <w:rPr>
          <w:rFonts w:ascii="Arial" w:hAnsi="Arial"/>
          <w:i/>
          <w:sz w:val="22"/>
        </w:rPr>
        <w:t> </w:t>
      </w:r>
      <w:r>
        <w:rPr>
          <w:rFonts w:ascii="Arial" w:hAnsi="Arial"/>
          <w:i/>
          <w:spacing w:val="-2"/>
          <w:sz w:val="22"/>
          <w:u w:val="single"/>
        </w:rPr>
        <w:t>dificultándolas</w:t>
      </w:r>
      <w:r>
        <w:rPr>
          <w:rFonts w:ascii="Arial" w:hAnsi="Arial"/>
          <w:i/>
          <w:spacing w:val="-2"/>
          <w:sz w:val="22"/>
        </w:rPr>
        <w:t>.</w:t>
      </w:r>
    </w:p>
    <w:p>
      <w:pPr>
        <w:pStyle w:val="BodyText"/>
        <w:rPr>
          <w:rFonts w:ascii="Arial"/>
          <w:i/>
        </w:rPr>
      </w:pPr>
    </w:p>
    <w:p>
      <w:pPr>
        <w:pStyle w:val="BodyText"/>
        <w:ind w:left="1701"/>
        <w:jc w:val="both"/>
      </w:pPr>
      <w:r>
        <w:rPr/>
        <w:t>(…)”</w:t>
      </w:r>
      <w:r>
        <w:rPr>
          <w:spacing w:val="-6"/>
        </w:rPr>
        <w:t> </w:t>
      </w:r>
      <w:r>
        <w:rPr/>
        <w:t>[énfasis</w:t>
      </w:r>
      <w:r>
        <w:rPr>
          <w:spacing w:val="-4"/>
        </w:rPr>
        <w:t> </w:t>
      </w:r>
      <w:r>
        <w:rPr>
          <w:spacing w:val="-2"/>
        </w:rPr>
        <w:t>añadido]</w:t>
      </w:r>
    </w:p>
    <w:p>
      <w:pPr>
        <w:pStyle w:val="BodyText"/>
      </w:pPr>
    </w:p>
    <w:p>
      <w:pPr>
        <w:pStyle w:val="ListParagraph"/>
        <w:numPr>
          <w:ilvl w:val="0"/>
          <w:numId w:val="50"/>
        </w:numPr>
        <w:tabs>
          <w:tab w:pos="1134" w:val="left" w:leader="none"/>
        </w:tabs>
        <w:spacing w:line="240" w:lineRule="auto" w:before="1" w:after="0"/>
        <w:ind w:left="1134" w:right="981" w:hanging="567"/>
        <w:jc w:val="left"/>
        <w:rPr>
          <w:sz w:val="22"/>
        </w:rPr>
      </w:pPr>
      <w:r>
        <w:rPr>
          <w:sz w:val="22"/>
        </w:rPr>
        <w:t>En</w:t>
      </w:r>
      <w:r>
        <w:rPr>
          <w:spacing w:val="-14"/>
          <w:sz w:val="22"/>
        </w:rPr>
        <w:t> </w:t>
      </w:r>
      <w:r>
        <w:rPr>
          <w:sz w:val="22"/>
        </w:rPr>
        <w:t>ese</w:t>
      </w:r>
      <w:r>
        <w:rPr>
          <w:spacing w:val="-14"/>
          <w:sz w:val="22"/>
        </w:rPr>
        <w:t> </w:t>
      </w:r>
      <w:r>
        <w:rPr>
          <w:sz w:val="22"/>
        </w:rPr>
        <w:t>contexto,</w:t>
      </w:r>
      <w:r>
        <w:rPr>
          <w:spacing w:val="-13"/>
          <w:sz w:val="22"/>
        </w:rPr>
        <w:t> </w:t>
      </w:r>
      <w:r>
        <w:rPr>
          <w:sz w:val="22"/>
        </w:rPr>
        <w:t>en</w:t>
      </w:r>
      <w:r>
        <w:rPr>
          <w:spacing w:val="-16"/>
          <w:sz w:val="22"/>
        </w:rPr>
        <w:t> </w:t>
      </w:r>
      <w:r>
        <w:rPr>
          <w:sz w:val="22"/>
        </w:rPr>
        <w:t>relación</w:t>
      </w:r>
      <w:r>
        <w:rPr>
          <w:spacing w:val="-13"/>
          <w:sz w:val="22"/>
        </w:rPr>
        <w:t> </w:t>
      </w:r>
      <w:r>
        <w:rPr>
          <w:sz w:val="22"/>
        </w:rPr>
        <w:t>con</w:t>
      </w:r>
      <w:r>
        <w:rPr>
          <w:spacing w:val="-14"/>
          <w:sz w:val="22"/>
        </w:rPr>
        <w:t> </w:t>
      </w:r>
      <w:r>
        <w:rPr>
          <w:sz w:val="22"/>
        </w:rPr>
        <w:t>la</w:t>
      </w:r>
      <w:r>
        <w:rPr>
          <w:spacing w:val="-14"/>
          <w:sz w:val="22"/>
        </w:rPr>
        <w:t> </w:t>
      </w:r>
      <w:r>
        <w:rPr>
          <w:sz w:val="22"/>
        </w:rPr>
        <w:t>única</w:t>
      </w:r>
      <w:r>
        <w:rPr>
          <w:spacing w:val="-14"/>
          <w:sz w:val="22"/>
        </w:rPr>
        <w:t> </w:t>
      </w:r>
      <w:r>
        <w:rPr>
          <w:sz w:val="22"/>
        </w:rPr>
        <w:t>excepción</w:t>
      </w:r>
      <w:r>
        <w:rPr>
          <w:spacing w:val="-14"/>
          <w:sz w:val="22"/>
        </w:rPr>
        <w:t> </w:t>
      </w:r>
      <w:r>
        <w:rPr>
          <w:sz w:val="22"/>
        </w:rPr>
        <w:t>al</w:t>
      </w:r>
      <w:r>
        <w:rPr>
          <w:spacing w:val="-15"/>
          <w:sz w:val="22"/>
        </w:rPr>
        <w:t> </w:t>
      </w:r>
      <w:r>
        <w:rPr>
          <w:sz w:val="22"/>
        </w:rPr>
        <w:t>concepto</w:t>
      </w:r>
      <w:r>
        <w:rPr>
          <w:spacing w:val="-14"/>
          <w:sz w:val="22"/>
        </w:rPr>
        <w:t> </w:t>
      </w:r>
      <w:r>
        <w:rPr>
          <w:sz w:val="22"/>
        </w:rPr>
        <w:t>de</w:t>
      </w:r>
      <w:r>
        <w:rPr>
          <w:spacing w:val="-14"/>
          <w:sz w:val="22"/>
        </w:rPr>
        <w:t> </w:t>
      </w:r>
      <w:r>
        <w:rPr>
          <w:sz w:val="22"/>
        </w:rPr>
        <w:t>gravamen,</w:t>
      </w:r>
      <w:r>
        <w:rPr>
          <w:spacing w:val="-12"/>
          <w:sz w:val="22"/>
        </w:rPr>
        <w:t> </w:t>
      </w:r>
      <w:r>
        <w:rPr>
          <w:sz w:val="22"/>
        </w:rPr>
        <w:t>el</w:t>
      </w:r>
      <w:r>
        <w:rPr>
          <w:spacing w:val="-15"/>
          <w:sz w:val="22"/>
        </w:rPr>
        <w:t> </w:t>
      </w:r>
      <w:r>
        <w:rPr>
          <w:sz w:val="22"/>
        </w:rPr>
        <w:t>TJCAN ha señalado en el Proceso 12-AN-1999</w:t>
      </w:r>
      <w:hyperlink w:history="true" w:anchor="_bookmark95">
        <w:r>
          <w:rPr>
            <w:sz w:val="22"/>
            <w:vertAlign w:val="superscript"/>
          </w:rPr>
          <w:t>28</w:t>
        </w:r>
      </w:hyperlink>
      <w:r>
        <w:rPr>
          <w:sz w:val="22"/>
          <w:vertAlign w:val="baseline"/>
        </w:rPr>
        <w:t>, que:</w:t>
      </w:r>
    </w:p>
    <w:p>
      <w:pPr>
        <w:spacing w:before="252"/>
        <w:ind w:left="1701" w:right="977" w:firstLine="0"/>
        <w:jc w:val="both"/>
        <w:rPr>
          <w:rFonts w:ascii="Arial" w:hAnsi="Arial"/>
          <w:i/>
          <w:sz w:val="22"/>
        </w:rPr>
      </w:pPr>
      <w:r>
        <w:rPr>
          <w:sz w:val="22"/>
        </w:rPr>
        <w:t>“(…) </w:t>
      </w:r>
      <w:r>
        <w:rPr>
          <w:rFonts w:ascii="Arial" w:hAnsi="Arial"/>
          <w:i/>
          <w:sz w:val="22"/>
        </w:rPr>
        <w:t>es entendible para</w:t>
      </w:r>
      <w:r>
        <w:rPr>
          <w:rFonts w:ascii="Arial" w:hAnsi="Arial"/>
          <w:i/>
          <w:spacing w:val="-4"/>
          <w:sz w:val="22"/>
        </w:rPr>
        <w:t> </w:t>
      </w:r>
      <w:r>
        <w:rPr>
          <w:rFonts w:ascii="Arial" w:hAnsi="Arial"/>
          <w:i/>
          <w:sz w:val="22"/>
        </w:rPr>
        <w:t>el</w:t>
      </w:r>
      <w:r>
        <w:rPr>
          <w:rFonts w:ascii="Arial" w:hAnsi="Arial"/>
          <w:i/>
          <w:spacing w:val="-1"/>
          <w:sz w:val="22"/>
        </w:rPr>
        <w:t> </w:t>
      </w:r>
      <w:r>
        <w:rPr>
          <w:rFonts w:ascii="Arial" w:hAnsi="Arial"/>
          <w:i/>
          <w:sz w:val="22"/>
        </w:rPr>
        <w:t>Tribunal</w:t>
      </w:r>
      <w:r>
        <w:rPr>
          <w:rFonts w:ascii="Arial" w:hAnsi="Arial"/>
          <w:i/>
          <w:spacing w:val="-1"/>
          <w:sz w:val="22"/>
        </w:rPr>
        <w:t> </w:t>
      </w:r>
      <w:r>
        <w:rPr>
          <w:rFonts w:ascii="Arial" w:hAnsi="Arial"/>
          <w:i/>
          <w:sz w:val="22"/>
        </w:rPr>
        <w:t>comunitario</w:t>
      </w:r>
      <w:r>
        <w:rPr>
          <w:rFonts w:ascii="Arial" w:hAnsi="Arial"/>
          <w:i/>
          <w:spacing w:val="-2"/>
          <w:sz w:val="22"/>
        </w:rPr>
        <w:t> </w:t>
      </w:r>
      <w:r>
        <w:rPr>
          <w:rFonts w:ascii="Arial" w:hAnsi="Arial"/>
          <w:i/>
          <w:sz w:val="22"/>
        </w:rPr>
        <w:t>que el</w:t>
      </w:r>
      <w:r>
        <w:rPr>
          <w:rFonts w:ascii="Arial" w:hAnsi="Arial"/>
          <w:i/>
          <w:spacing w:val="-1"/>
          <w:sz w:val="22"/>
        </w:rPr>
        <w:t> </w:t>
      </w:r>
      <w:r>
        <w:rPr>
          <w:rFonts w:ascii="Arial" w:hAnsi="Arial"/>
          <w:i/>
          <w:sz w:val="22"/>
        </w:rPr>
        <w:t>concepto</w:t>
      </w:r>
      <w:r>
        <w:rPr>
          <w:rFonts w:ascii="Arial" w:hAnsi="Arial"/>
          <w:i/>
          <w:spacing w:val="-2"/>
          <w:sz w:val="22"/>
        </w:rPr>
        <w:t> </w:t>
      </w:r>
      <w:r>
        <w:rPr>
          <w:rFonts w:ascii="Arial" w:hAnsi="Arial"/>
          <w:i/>
          <w:sz w:val="22"/>
        </w:rPr>
        <w:t>de gravamen, tal como lo considera el Acuerdo de Cartagena, sólo tenga en la práctica, </w:t>
      </w:r>
      <w:r>
        <w:rPr>
          <w:rFonts w:ascii="Arial" w:hAnsi="Arial"/>
          <w:i/>
          <w:sz w:val="22"/>
          <w:u w:val="single"/>
        </w:rPr>
        <w:t>una</w:t>
      </w:r>
      <w:r>
        <w:rPr>
          <w:rFonts w:ascii="Arial" w:hAnsi="Arial"/>
          <w:i/>
          <w:sz w:val="22"/>
        </w:rPr>
        <w:t> </w:t>
      </w:r>
      <w:r>
        <w:rPr>
          <w:rFonts w:ascii="Arial" w:hAnsi="Arial"/>
          <w:i/>
          <w:sz w:val="22"/>
          <w:u w:val="single"/>
        </w:rPr>
        <w:t>excepción, cual es la referente a las tasas y recargos análogos, los cuales no</w:t>
      </w:r>
      <w:r>
        <w:rPr>
          <w:rFonts w:ascii="Arial" w:hAnsi="Arial"/>
          <w:i/>
          <w:sz w:val="22"/>
        </w:rPr>
        <w:t> </w:t>
      </w:r>
      <w:r>
        <w:rPr>
          <w:rFonts w:ascii="Arial" w:hAnsi="Arial"/>
          <w:i/>
          <w:sz w:val="22"/>
          <w:u w:val="single"/>
        </w:rPr>
        <w:t>quedan</w:t>
      </w:r>
      <w:r>
        <w:rPr>
          <w:rFonts w:ascii="Arial" w:hAnsi="Arial"/>
          <w:i/>
          <w:spacing w:val="-5"/>
          <w:sz w:val="22"/>
          <w:u w:val="single"/>
        </w:rPr>
        <w:t> </w:t>
      </w:r>
      <w:r>
        <w:rPr>
          <w:rFonts w:ascii="Arial" w:hAnsi="Arial"/>
          <w:i/>
          <w:sz w:val="22"/>
          <w:u w:val="single"/>
        </w:rPr>
        <w:t>comprendidos</w:t>
      </w:r>
      <w:r>
        <w:rPr>
          <w:rFonts w:ascii="Arial" w:hAnsi="Arial"/>
          <w:i/>
          <w:spacing w:val="-5"/>
          <w:sz w:val="22"/>
          <w:u w:val="single"/>
        </w:rPr>
        <w:t> </w:t>
      </w:r>
      <w:r>
        <w:rPr>
          <w:rFonts w:ascii="Arial" w:hAnsi="Arial"/>
          <w:i/>
          <w:sz w:val="22"/>
          <w:u w:val="single"/>
        </w:rPr>
        <w:t>dentro</w:t>
      </w:r>
      <w:r>
        <w:rPr>
          <w:rFonts w:ascii="Arial" w:hAnsi="Arial"/>
          <w:i/>
          <w:spacing w:val="-7"/>
          <w:sz w:val="22"/>
          <w:u w:val="single"/>
        </w:rPr>
        <w:t> </w:t>
      </w:r>
      <w:r>
        <w:rPr>
          <w:rFonts w:ascii="Arial" w:hAnsi="Arial"/>
          <w:i/>
          <w:sz w:val="22"/>
          <w:u w:val="single"/>
        </w:rPr>
        <w:t>de</w:t>
      </w:r>
      <w:r>
        <w:rPr>
          <w:rFonts w:ascii="Arial" w:hAnsi="Arial"/>
          <w:i/>
          <w:spacing w:val="-5"/>
          <w:sz w:val="22"/>
          <w:u w:val="single"/>
        </w:rPr>
        <w:t> </w:t>
      </w:r>
      <w:r>
        <w:rPr>
          <w:rFonts w:ascii="Arial" w:hAnsi="Arial"/>
          <w:i/>
          <w:sz w:val="22"/>
          <w:u w:val="single"/>
        </w:rPr>
        <w:t>dicho</w:t>
      </w:r>
      <w:r>
        <w:rPr>
          <w:rFonts w:ascii="Arial" w:hAnsi="Arial"/>
          <w:i/>
          <w:spacing w:val="-8"/>
          <w:sz w:val="22"/>
          <w:u w:val="single"/>
        </w:rPr>
        <w:t> </w:t>
      </w:r>
      <w:r>
        <w:rPr>
          <w:rFonts w:ascii="Arial" w:hAnsi="Arial"/>
          <w:i/>
          <w:sz w:val="22"/>
          <w:u w:val="single"/>
        </w:rPr>
        <w:t>concepto</w:t>
      </w:r>
      <w:r>
        <w:rPr>
          <w:rFonts w:ascii="Arial" w:hAnsi="Arial"/>
          <w:i/>
          <w:spacing w:val="-10"/>
          <w:sz w:val="22"/>
          <w:u w:val="single"/>
        </w:rPr>
        <w:t> </w:t>
      </w:r>
      <w:r>
        <w:rPr>
          <w:rFonts w:ascii="Arial" w:hAnsi="Arial"/>
          <w:i/>
          <w:sz w:val="22"/>
          <w:u w:val="single"/>
        </w:rPr>
        <w:t>pero</w:t>
      </w:r>
      <w:r>
        <w:rPr>
          <w:rFonts w:ascii="Arial" w:hAnsi="Arial"/>
          <w:i/>
          <w:spacing w:val="-5"/>
          <w:sz w:val="22"/>
          <w:u w:val="single"/>
        </w:rPr>
        <w:t> </w:t>
      </w:r>
      <w:r>
        <w:rPr>
          <w:rFonts w:ascii="Arial" w:hAnsi="Arial"/>
          <w:i/>
          <w:sz w:val="22"/>
          <w:u w:val="single"/>
        </w:rPr>
        <w:t>con</w:t>
      </w:r>
      <w:r>
        <w:rPr>
          <w:rFonts w:ascii="Arial" w:hAnsi="Arial"/>
          <w:i/>
          <w:spacing w:val="-8"/>
          <w:sz w:val="22"/>
          <w:u w:val="single"/>
        </w:rPr>
        <w:t> </w:t>
      </w:r>
      <w:r>
        <w:rPr>
          <w:rFonts w:ascii="Arial" w:hAnsi="Arial"/>
          <w:i/>
          <w:sz w:val="22"/>
          <w:u w:val="single"/>
        </w:rPr>
        <w:t>la</w:t>
      </w:r>
      <w:r>
        <w:rPr>
          <w:rFonts w:ascii="Arial" w:hAnsi="Arial"/>
          <w:i/>
          <w:spacing w:val="-5"/>
          <w:sz w:val="22"/>
          <w:u w:val="single"/>
        </w:rPr>
        <w:t> </w:t>
      </w:r>
      <w:r>
        <w:rPr>
          <w:rFonts w:ascii="Arial" w:hAnsi="Arial"/>
          <w:i/>
          <w:sz w:val="22"/>
          <w:u w:val="single"/>
        </w:rPr>
        <w:t>condición</w:t>
      </w:r>
      <w:r>
        <w:rPr>
          <w:rFonts w:ascii="Arial" w:hAnsi="Arial"/>
          <w:i/>
          <w:spacing w:val="-5"/>
          <w:sz w:val="22"/>
          <w:u w:val="single"/>
        </w:rPr>
        <w:t> </w:t>
      </w:r>
      <w:r>
        <w:rPr>
          <w:rFonts w:ascii="Arial" w:hAnsi="Arial"/>
          <w:i/>
          <w:sz w:val="22"/>
          <w:u w:val="single"/>
        </w:rPr>
        <w:t>ineluctable</w:t>
      </w:r>
      <w:r>
        <w:rPr>
          <w:rFonts w:ascii="Arial" w:hAnsi="Arial"/>
          <w:i/>
          <w:sz w:val="22"/>
        </w:rPr>
        <w:t> </w:t>
      </w:r>
      <w:r>
        <w:rPr>
          <w:rFonts w:ascii="Arial" w:hAnsi="Arial"/>
          <w:i/>
          <w:sz w:val="22"/>
          <w:u w:val="single"/>
        </w:rPr>
        <w:t>de que tales tasas o</w:t>
      </w:r>
      <w:r>
        <w:rPr>
          <w:rFonts w:ascii="Arial" w:hAnsi="Arial"/>
          <w:i/>
          <w:spacing w:val="-2"/>
          <w:sz w:val="22"/>
          <w:u w:val="single"/>
        </w:rPr>
        <w:t> </w:t>
      </w:r>
      <w:r>
        <w:rPr>
          <w:rFonts w:ascii="Arial" w:hAnsi="Arial"/>
          <w:i/>
          <w:sz w:val="22"/>
          <w:u w:val="single"/>
        </w:rPr>
        <w:t>recargos correspondan al costo aproximado de los</w:t>
      </w:r>
      <w:r>
        <w:rPr>
          <w:rFonts w:ascii="Arial" w:hAnsi="Arial"/>
          <w:i/>
          <w:spacing w:val="-2"/>
          <w:sz w:val="22"/>
          <w:u w:val="single"/>
        </w:rPr>
        <w:t> </w:t>
      </w:r>
      <w:r>
        <w:rPr>
          <w:rFonts w:ascii="Arial" w:hAnsi="Arial"/>
          <w:i/>
          <w:sz w:val="22"/>
          <w:u w:val="single"/>
        </w:rPr>
        <w:t>servicios</w:t>
      </w:r>
      <w:r>
        <w:rPr>
          <w:rFonts w:ascii="Arial" w:hAnsi="Arial"/>
          <w:i/>
          <w:sz w:val="22"/>
        </w:rPr>
        <w:t> </w:t>
      </w:r>
      <w:r>
        <w:rPr>
          <w:rFonts w:ascii="Arial" w:hAnsi="Arial"/>
          <w:i/>
          <w:sz w:val="22"/>
          <w:u w:val="single"/>
        </w:rPr>
        <w:t>que</w:t>
      </w:r>
      <w:r>
        <w:rPr>
          <w:rFonts w:ascii="Arial" w:hAnsi="Arial"/>
          <w:i/>
          <w:spacing w:val="-9"/>
          <w:sz w:val="22"/>
          <w:u w:val="single"/>
        </w:rPr>
        <w:t> </w:t>
      </w:r>
      <w:r>
        <w:rPr>
          <w:rFonts w:ascii="Arial" w:hAnsi="Arial"/>
          <w:i/>
          <w:sz w:val="22"/>
          <w:u w:val="single"/>
        </w:rPr>
        <w:t>se</w:t>
      </w:r>
      <w:r>
        <w:rPr>
          <w:rFonts w:ascii="Arial" w:hAnsi="Arial"/>
          <w:i/>
          <w:spacing w:val="-11"/>
          <w:sz w:val="22"/>
          <w:u w:val="single"/>
        </w:rPr>
        <w:t> </w:t>
      </w:r>
      <w:r>
        <w:rPr>
          <w:rFonts w:ascii="Arial" w:hAnsi="Arial"/>
          <w:i/>
          <w:sz w:val="22"/>
          <w:u w:val="single"/>
        </w:rPr>
        <w:t>le</w:t>
      </w:r>
      <w:r>
        <w:rPr>
          <w:rFonts w:ascii="Arial" w:hAnsi="Arial"/>
          <w:i/>
          <w:spacing w:val="-9"/>
          <w:sz w:val="22"/>
          <w:u w:val="single"/>
        </w:rPr>
        <w:t> </w:t>
      </w:r>
      <w:r>
        <w:rPr>
          <w:rFonts w:ascii="Arial" w:hAnsi="Arial"/>
          <w:i/>
          <w:sz w:val="22"/>
          <w:u w:val="single"/>
        </w:rPr>
        <w:t>prestan</w:t>
      </w:r>
      <w:r>
        <w:rPr>
          <w:rFonts w:ascii="Arial" w:hAnsi="Arial"/>
          <w:i/>
          <w:spacing w:val="-12"/>
          <w:sz w:val="22"/>
          <w:u w:val="single"/>
        </w:rPr>
        <w:t> </w:t>
      </w:r>
      <w:r>
        <w:rPr>
          <w:rFonts w:ascii="Arial" w:hAnsi="Arial"/>
          <w:i/>
          <w:sz w:val="22"/>
          <w:u w:val="single"/>
        </w:rPr>
        <w:t>al</w:t>
      </w:r>
      <w:r>
        <w:rPr>
          <w:rFonts w:ascii="Arial" w:hAnsi="Arial"/>
          <w:i/>
          <w:spacing w:val="-12"/>
          <w:sz w:val="22"/>
          <w:u w:val="single"/>
        </w:rPr>
        <w:t> </w:t>
      </w:r>
      <w:r>
        <w:rPr>
          <w:rFonts w:ascii="Arial" w:hAnsi="Arial"/>
          <w:i/>
          <w:sz w:val="22"/>
          <w:u w:val="single"/>
        </w:rPr>
        <w:t>importador,</w:t>
      </w:r>
      <w:r>
        <w:rPr>
          <w:rFonts w:ascii="Arial" w:hAnsi="Arial"/>
          <w:i/>
          <w:spacing w:val="-10"/>
          <w:sz w:val="22"/>
          <w:u w:val="single"/>
        </w:rPr>
        <w:t> </w:t>
      </w:r>
      <w:r>
        <w:rPr>
          <w:rFonts w:ascii="Arial" w:hAnsi="Arial"/>
          <w:i/>
          <w:sz w:val="22"/>
          <w:u w:val="single"/>
        </w:rPr>
        <w:t>en</w:t>
      </w:r>
      <w:r>
        <w:rPr>
          <w:rFonts w:ascii="Arial" w:hAnsi="Arial"/>
          <w:i/>
          <w:spacing w:val="-12"/>
          <w:sz w:val="22"/>
          <w:u w:val="single"/>
        </w:rPr>
        <w:t> </w:t>
      </w:r>
      <w:r>
        <w:rPr>
          <w:rFonts w:ascii="Arial" w:hAnsi="Arial"/>
          <w:i/>
          <w:sz w:val="22"/>
          <w:u w:val="single"/>
        </w:rPr>
        <w:t>relación</w:t>
      </w:r>
      <w:r>
        <w:rPr>
          <w:rFonts w:ascii="Arial" w:hAnsi="Arial"/>
          <w:i/>
          <w:spacing w:val="-9"/>
          <w:sz w:val="22"/>
          <w:u w:val="single"/>
        </w:rPr>
        <w:t> </w:t>
      </w:r>
      <w:r>
        <w:rPr>
          <w:rFonts w:ascii="Arial" w:hAnsi="Arial"/>
          <w:i/>
          <w:sz w:val="22"/>
          <w:u w:val="single"/>
        </w:rPr>
        <w:t>con</w:t>
      </w:r>
      <w:r>
        <w:rPr>
          <w:rFonts w:ascii="Arial" w:hAnsi="Arial"/>
          <w:i/>
          <w:spacing w:val="-9"/>
          <w:sz w:val="22"/>
          <w:u w:val="single"/>
        </w:rPr>
        <w:t> </w:t>
      </w:r>
      <w:r>
        <w:rPr>
          <w:rFonts w:ascii="Arial" w:hAnsi="Arial"/>
          <w:i/>
          <w:sz w:val="22"/>
          <w:u w:val="single"/>
        </w:rPr>
        <w:t>el</w:t>
      </w:r>
      <w:r>
        <w:rPr>
          <w:rFonts w:ascii="Arial" w:hAnsi="Arial"/>
          <w:i/>
          <w:spacing w:val="-15"/>
          <w:sz w:val="22"/>
          <w:u w:val="single"/>
        </w:rPr>
        <w:t> </w:t>
      </w:r>
      <w:r>
        <w:rPr>
          <w:rFonts w:ascii="Arial" w:hAnsi="Arial"/>
          <w:i/>
          <w:sz w:val="22"/>
          <w:u w:val="single"/>
        </w:rPr>
        <w:t>hecho</w:t>
      </w:r>
      <w:r>
        <w:rPr>
          <w:rFonts w:ascii="Arial" w:hAnsi="Arial"/>
          <w:i/>
          <w:spacing w:val="-12"/>
          <w:sz w:val="22"/>
          <w:u w:val="single"/>
        </w:rPr>
        <w:t> </w:t>
      </w:r>
      <w:r>
        <w:rPr>
          <w:rFonts w:ascii="Arial" w:hAnsi="Arial"/>
          <w:i/>
          <w:sz w:val="22"/>
          <w:u w:val="single"/>
        </w:rPr>
        <w:t>mismo</w:t>
      </w:r>
      <w:r>
        <w:rPr>
          <w:rFonts w:ascii="Arial" w:hAnsi="Arial"/>
          <w:i/>
          <w:spacing w:val="-11"/>
          <w:sz w:val="22"/>
          <w:u w:val="single"/>
        </w:rPr>
        <w:t> </w:t>
      </w:r>
      <w:r>
        <w:rPr>
          <w:rFonts w:ascii="Arial" w:hAnsi="Arial"/>
          <w:i/>
          <w:sz w:val="22"/>
          <w:u w:val="single"/>
        </w:rPr>
        <w:t>de</w:t>
      </w:r>
      <w:r>
        <w:rPr>
          <w:rFonts w:ascii="Arial" w:hAnsi="Arial"/>
          <w:i/>
          <w:spacing w:val="-12"/>
          <w:sz w:val="22"/>
          <w:u w:val="single"/>
        </w:rPr>
        <w:t> </w:t>
      </w:r>
      <w:r>
        <w:rPr>
          <w:rFonts w:ascii="Arial" w:hAnsi="Arial"/>
          <w:i/>
          <w:sz w:val="22"/>
          <w:u w:val="single"/>
        </w:rPr>
        <w:t>la</w:t>
      </w:r>
      <w:r>
        <w:rPr>
          <w:rFonts w:ascii="Arial" w:hAnsi="Arial"/>
          <w:i/>
          <w:spacing w:val="-9"/>
          <w:sz w:val="22"/>
          <w:u w:val="single"/>
        </w:rPr>
        <w:t> </w:t>
      </w:r>
      <w:r>
        <w:rPr>
          <w:rFonts w:ascii="Arial" w:hAnsi="Arial"/>
          <w:i/>
          <w:sz w:val="22"/>
          <w:u w:val="single"/>
        </w:rPr>
        <w:t>importación</w:t>
      </w:r>
      <w:r>
        <w:rPr>
          <w:rFonts w:ascii="Arial" w:hAnsi="Arial"/>
          <w:i/>
          <w:sz w:val="22"/>
        </w:rPr>
        <w:t>.</w:t>
      </w:r>
    </w:p>
    <w:p>
      <w:pPr>
        <w:pStyle w:val="BodyText"/>
        <w:rPr>
          <w:rFonts w:ascii="Arial"/>
          <w:i/>
        </w:rPr>
      </w:pPr>
    </w:p>
    <w:p>
      <w:pPr>
        <w:spacing w:before="0"/>
        <w:ind w:left="1701" w:right="0" w:firstLine="0"/>
        <w:jc w:val="left"/>
        <w:rPr>
          <w:sz w:val="22"/>
        </w:rPr>
      </w:pPr>
      <w:r>
        <w:rPr>
          <w:spacing w:val="-5"/>
          <w:sz w:val="22"/>
        </w:rPr>
        <w:t>(…)</w:t>
      </w:r>
    </w:p>
    <w:p>
      <w:pPr>
        <w:pStyle w:val="BodyText"/>
        <w:spacing w:before="1"/>
      </w:pPr>
    </w:p>
    <w:p>
      <w:pPr>
        <w:pStyle w:val="Heading7"/>
        <w:ind w:left="1701" w:right="978"/>
        <w:rPr>
          <w:rFonts w:ascii="Arial MT" w:hAnsi="Arial MT"/>
          <w:b w:val="0"/>
          <w:i w:val="0"/>
          <w:u w:val="none"/>
        </w:rPr>
      </w:pPr>
      <w:r>
        <w:rPr>
          <w:u w:val="single"/>
        </w:rPr>
        <w:t>Son éstos, las “tasas” o “recargos análogos”, los que considera no</w:t>
      </w:r>
      <w:r>
        <w:rPr>
          <w:u w:val="none"/>
        </w:rPr>
        <w:t> </w:t>
      </w:r>
      <w:r>
        <w:rPr>
          <w:u w:val="single"/>
        </w:rPr>
        <w:t>comprendidos dentro del concepto de gravámenes, el artículo 72 del</w:t>
      </w:r>
      <w:r>
        <w:rPr>
          <w:u w:val="none"/>
        </w:rPr>
        <w:t> </w:t>
      </w:r>
      <w:r>
        <w:rPr>
          <w:u w:val="single"/>
        </w:rPr>
        <w:t>Acuerdo de Cartagena y por tanto, los únicos permitidos a los Países</w:t>
      </w:r>
      <w:r>
        <w:rPr>
          <w:u w:val="none"/>
        </w:rPr>
        <w:t> </w:t>
      </w:r>
      <w:r>
        <w:rPr>
          <w:u w:val="single"/>
        </w:rPr>
        <w:t>miembros sin que constituyan violación al programa de liberación</w:t>
      </w:r>
      <w:r>
        <w:rPr>
          <w:rFonts w:ascii="Arial MT" w:hAnsi="Arial MT"/>
          <w:b w:val="0"/>
          <w:i w:val="0"/>
          <w:u w:val="none"/>
        </w:rPr>
        <w:t>.” [énfasis </w:t>
      </w:r>
      <w:r>
        <w:rPr>
          <w:rFonts w:ascii="Arial MT" w:hAnsi="Arial MT"/>
          <w:b w:val="0"/>
          <w:i w:val="0"/>
          <w:spacing w:val="-2"/>
          <w:u w:val="none"/>
        </w:rPr>
        <w:t>añadido]</w:t>
      </w:r>
    </w:p>
    <w:p>
      <w:pPr>
        <w:pStyle w:val="ListParagraph"/>
        <w:numPr>
          <w:ilvl w:val="0"/>
          <w:numId w:val="50"/>
        </w:numPr>
        <w:tabs>
          <w:tab w:pos="1134" w:val="left" w:leader="none"/>
        </w:tabs>
        <w:spacing w:line="240" w:lineRule="auto" w:before="252" w:after="0"/>
        <w:ind w:left="1134" w:right="977" w:hanging="567"/>
        <w:jc w:val="left"/>
        <w:rPr>
          <w:sz w:val="22"/>
        </w:rPr>
      </w:pPr>
      <w:r>
        <w:rPr>
          <w:spacing w:val="-2"/>
          <w:sz w:val="22"/>
        </w:rPr>
        <w:t>Por</w:t>
      </w:r>
      <w:r>
        <w:rPr>
          <w:spacing w:val="-9"/>
          <w:sz w:val="22"/>
        </w:rPr>
        <w:t> </w:t>
      </w:r>
      <w:r>
        <w:rPr>
          <w:spacing w:val="-2"/>
          <w:sz w:val="22"/>
        </w:rPr>
        <w:t>otra</w:t>
      </w:r>
      <w:r>
        <w:rPr>
          <w:spacing w:val="-10"/>
          <w:sz w:val="22"/>
        </w:rPr>
        <w:t> </w:t>
      </w:r>
      <w:r>
        <w:rPr>
          <w:spacing w:val="-2"/>
          <w:sz w:val="22"/>
        </w:rPr>
        <w:t>parte,</w:t>
      </w:r>
      <w:r>
        <w:rPr>
          <w:spacing w:val="-8"/>
          <w:sz w:val="22"/>
        </w:rPr>
        <w:t> </w:t>
      </w:r>
      <w:r>
        <w:rPr>
          <w:spacing w:val="-2"/>
          <w:sz w:val="22"/>
        </w:rPr>
        <w:t>en</w:t>
      </w:r>
      <w:r>
        <w:rPr>
          <w:spacing w:val="-10"/>
          <w:sz w:val="22"/>
        </w:rPr>
        <w:t> </w:t>
      </w:r>
      <w:r>
        <w:rPr>
          <w:spacing w:val="-2"/>
          <w:sz w:val="22"/>
        </w:rPr>
        <w:t>relación</w:t>
      </w:r>
      <w:r>
        <w:rPr>
          <w:spacing w:val="-7"/>
          <w:sz w:val="22"/>
        </w:rPr>
        <w:t> </w:t>
      </w:r>
      <w:r>
        <w:rPr>
          <w:spacing w:val="-2"/>
          <w:sz w:val="22"/>
        </w:rPr>
        <w:t>con</w:t>
      </w:r>
      <w:r>
        <w:rPr>
          <w:spacing w:val="-10"/>
          <w:sz w:val="22"/>
        </w:rPr>
        <w:t> </w:t>
      </w:r>
      <w:r>
        <w:rPr>
          <w:spacing w:val="-2"/>
          <w:sz w:val="22"/>
        </w:rPr>
        <w:t>el</w:t>
      </w:r>
      <w:r>
        <w:rPr>
          <w:spacing w:val="-10"/>
          <w:sz w:val="22"/>
        </w:rPr>
        <w:t> </w:t>
      </w:r>
      <w:r>
        <w:rPr>
          <w:spacing w:val="-2"/>
          <w:sz w:val="22"/>
        </w:rPr>
        <w:t>concepto</w:t>
      </w:r>
      <w:r>
        <w:rPr>
          <w:spacing w:val="-10"/>
          <w:sz w:val="22"/>
        </w:rPr>
        <w:t> </w:t>
      </w:r>
      <w:r>
        <w:rPr>
          <w:spacing w:val="-2"/>
          <w:sz w:val="22"/>
        </w:rPr>
        <w:t>de</w:t>
      </w:r>
      <w:r>
        <w:rPr>
          <w:spacing w:val="-12"/>
          <w:sz w:val="22"/>
        </w:rPr>
        <w:t> </w:t>
      </w:r>
      <w:r>
        <w:rPr>
          <w:spacing w:val="-2"/>
          <w:sz w:val="22"/>
        </w:rPr>
        <w:t>restricciones</w:t>
      </w:r>
      <w:r>
        <w:rPr>
          <w:spacing w:val="-9"/>
          <w:sz w:val="22"/>
        </w:rPr>
        <w:t> </w:t>
      </w:r>
      <w:r>
        <w:rPr>
          <w:spacing w:val="-2"/>
          <w:sz w:val="22"/>
        </w:rPr>
        <w:t>de</w:t>
      </w:r>
      <w:r>
        <w:rPr>
          <w:spacing w:val="-10"/>
          <w:sz w:val="22"/>
        </w:rPr>
        <w:t> </w:t>
      </w:r>
      <w:r>
        <w:rPr>
          <w:spacing w:val="-2"/>
          <w:sz w:val="22"/>
        </w:rPr>
        <w:t>todo</w:t>
      </w:r>
      <w:r>
        <w:rPr>
          <w:spacing w:val="-10"/>
          <w:sz w:val="22"/>
        </w:rPr>
        <w:t> </w:t>
      </w:r>
      <w:r>
        <w:rPr>
          <w:spacing w:val="-2"/>
          <w:sz w:val="22"/>
        </w:rPr>
        <w:t>orden,</w:t>
      </w:r>
      <w:r>
        <w:rPr>
          <w:spacing w:val="-8"/>
          <w:sz w:val="22"/>
        </w:rPr>
        <w:t> </w:t>
      </w:r>
      <w:r>
        <w:rPr>
          <w:spacing w:val="-2"/>
          <w:sz w:val="22"/>
        </w:rPr>
        <w:t>el</w:t>
      </w:r>
      <w:r>
        <w:rPr>
          <w:spacing w:val="-10"/>
          <w:sz w:val="22"/>
        </w:rPr>
        <w:t> </w:t>
      </w:r>
      <w:r>
        <w:rPr>
          <w:spacing w:val="-2"/>
          <w:sz w:val="22"/>
        </w:rPr>
        <w:t>TJCAN</w:t>
      </w:r>
      <w:r>
        <w:rPr>
          <w:spacing w:val="-10"/>
          <w:sz w:val="22"/>
        </w:rPr>
        <w:t> </w:t>
      </w:r>
      <w:r>
        <w:rPr>
          <w:spacing w:val="-2"/>
          <w:sz w:val="22"/>
        </w:rPr>
        <w:t>en</w:t>
      </w:r>
      <w:r>
        <w:rPr>
          <w:spacing w:val="-6"/>
          <w:sz w:val="22"/>
        </w:rPr>
        <w:t> </w:t>
      </w:r>
      <w:r>
        <w:rPr>
          <w:spacing w:val="-2"/>
          <w:sz w:val="22"/>
        </w:rPr>
        <w:t>el </w:t>
      </w:r>
      <w:r>
        <w:rPr>
          <w:sz w:val="22"/>
        </w:rPr>
        <w:t>Proceso 022-IP-2014</w:t>
      </w:r>
      <w:hyperlink w:history="true" w:anchor="_bookmark96">
        <w:r>
          <w:rPr>
            <w:sz w:val="22"/>
            <w:vertAlign w:val="superscript"/>
          </w:rPr>
          <w:t>29</w:t>
        </w:r>
      </w:hyperlink>
      <w:r>
        <w:rPr>
          <w:sz w:val="22"/>
          <w:vertAlign w:val="baseline"/>
        </w:rPr>
        <w:t>, ha manifestado que:</w:t>
      </w:r>
    </w:p>
    <w:p>
      <w:pPr>
        <w:pStyle w:val="BodyText"/>
      </w:pPr>
    </w:p>
    <w:p>
      <w:pPr>
        <w:spacing w:before="0"/>
        <w:ind w:left="1845" w:right="980" w:firstLine="0"/>
        <w:jc w:val="both"/>
        <w:rPr>
          <w:rFonts w:ascii="Arial" w:hAnsi="Arial"/>
          <w:i/>
          <w:sz w:val="22"/>
        </w:rPr>
      </w:pPr>
      <w:r>
        <w:rPr>
          <w:sz w:val="22"/>
        </w:rPr>
        <w:t>“</w:t>
      </w:r>
      <w:r>
        <w:rPr>
          <w:rFonts w:ascii="Arial" w:hAnsi="Arial"/>
          <w:i/>
          <w:sz w:val="22"/>
        </w:rPr>
        <w:t>Esto nos lleva a la conclusión de que una medida de cualesquier orden que disminuya, limitando y modificando una situación actual en detrimento del comercio interandino, salvo los casos de excepción previstos, constituye una restricción al Programa de Liberación del Acuerdo de Cartagena (...)</w:t>
      </w:r>
      <w:r>
        <w:rPr>
          <w:rFonts w:ascii="Arial" w:hAnsi="Arial"/>
          <w:i/>
          <w:spacing w:val="40"/>
          <w:sz w:val="22"/>
        </w:rPr>
        <w:t> </w:t>
      </w:r>
      <w:r>
        <w:rPr>
          <w:rFonts w:ascii="Arial" w:hAnsi="Arial"/>
          <w:i/>
          <w:sz w:val="22"/>
        </w:rPr>
        <w:t>concepto</w:t>
      </w:r>
    </w:p>
    <w:p>
      <w:pPr>
        <w:pStyle w:val="BodyText"/>
        <w:spacing w:before="5"/>
        <w:rPr>
          <w:rFonts w:ascii="Arial"/>
          <w:i/>
          <w:sz w:val="17"/>
        </w:rPr>
      </w:pPr>
      <w:r>
        <w:rPr>
          <w:rFonts w:ascii="Arial"/>
          <w:i/>
          <w:sz w:val="17"/>
        </w:rPr>
        <mc:AlternateContent>
          <mc:Choice Requires="wps">
            <w:drawing>
              <wp:anchor distT="0" distB="0" distL="0" distR="0" allowOverlap="1" layoutInCell="1" locked="0" behindDoc="1" simplePos="0" relativeHeight="487636992">
                <wp:simplePos x="0" y="0"/>
                <wp:positionH relativeFrom="page">
                  <wp:posOffset>990904</wp:posOffset>
                </wp:positionH>
                <wp:positionV relativeFrom="paragraph">
                  <wp:posOffset>142608</wp:posOffset>
                </wp:positionV>
                <wp:extent cx="1829435" cy="7620"/>
                <wp:effectExtent l="0" t="0" r="0" b="0"/>
                <wp:wrapTopAndBottom/>
                <wp:docPr id="453" name="Graphic 453"/>
                <wp:cNvGraphicFramePr>
                  <a:graphicFrameLocks/>
                </wp:cNvGraphicFramePr>
                <a:graphic>
                  <a:graphicData uri="http://schemas.microsoft.com/office/word/2010/wordprocessingShape">
                    <wps:wsp>
                      <wps:cNvPr id="453" name="Graphic 453"/>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1.229024pt;width:144.020pt;height:.599980pt;mso-position-horizontal-relative:page;mso-position-vertical-relative:paragraph;z-index:-15679488;mso-wrap-distance-left:0;mso-wrap-distance-right:0" id="docshape317" filled="true" fillcolor="#000000" stroked="false">
                <v:fill type="solid"/>
                <w10:wrap type="topAndBottom"/>
              </v:rect>
            </w:pict>
          </mc:Fallback>
        </mc:AlternateContent>
      </w:r>
    </w:p>
    <w:p>
      <w:pPr>
        <w:spacing w:before="92"/>
        <w:ind w:left="710" w:right="0" w:hanging="142"/>
        <w:jc w:val="left"/>
        <w:rPr>
          <w:sz w:val="16"/>
        </w:rPr>
      </w:pPr>
      <w:bookmarkStart w:name="_bookmark95" w:id="96"/>
      <w:bookmarkEnd w:id="96"/>
      <w:r>
        <w:rPr/>
      </w:r>
      <w:r>
        <w:rPr>
          <w:sz w:val="16"/>
          <w:vertAlign w:val="superscript"/>
        </w:rPr>
        <w:t>28</w:t>
      </w:r>
      <w:r>
        <w:rPr>
          <w:spacing w:val="-5"/>
          <w:sz w:val="16"/>
          <w:vertAlign w:val="baseline"/>
        </w:rPr>
        <w:t> </w:t>
      </w:r>
      <w:r>
        <w:rPr>
          <w:sz w:val="16"/>
          <w:vertAlign w:val="baseline"/>
        </w:rPr>
        <w:t>Tribunal</w:t>
      </w:r>
      <w:r>
        <w:rPr>
          <w:spacing w:val="-3"/>
          <w:sz w:val="16"/>
          <w:vertAlign w:val="baseline"/>
        </w:rPr>
        <w:t> </w:t>
      </w:r>
      <w:r>
        <w:rPr>
          <w:sz w:val="16"/>
          <w:vertAlign w:val="baseline"/>
        </w:rPr>
        <w:t>de</w:t>
      </w:r>
      <w:r>
        <w:rPr>
          <w:spacing w:val="-4"/>
          <w:sz w:val="16"/>
          <w:vertAlign w:val="baseline"/>
        </w:rPr>
        <w:t> </w:t>
      </w:r>
      <w:r>
        <w:rPr>
          <w:sz w:val="16"/>
          <w:vertAlign w:val="baseline"/>
        </w:rPr>
        <w:t>Justicia</w:t>
      </w:r>
      <w:r>
        <w:rPr>
          <w:spacing w:val="-4"/>
          <w:sz w:val="16"/>
          <w:vertAlign w:val="baseline"/>
        </w:rPr>
        <w:t> </w:t>
      </w:r>
      <w:r>
        <w:rPr>
          <w:sz w:val="16"/>
          <w:vertAlign w:val="baseline"/>
        </w:rPr>
        <w:t>de</w:t>
      </w:r>
      <w:r>
        <w:rPr>
          <w:spacing w:val="-4"/>
          <w:sz w:val="16"/>
          <w:vertAlign w:val="baseline"/>
        </w:rPr>
        <w:t> </w:t>
      </w:r>
      <w:r>
        <w:rPr>
          <w:sz w:val="16"/>
          <w:vertAlign w:val="baseline"/>
        </w:rPr>
        <w:t>la</w:t>
      </w:r>
      <w:r>
        <w:rPr>
          <w:spacing w:val="-4"/>
          <w:sz w:val="16"/>
          <w:vertAlign w:val="baseline"/>
        </w:rPr>
        <w:t> </w:t>
      </w:r>
      <w:r>
        <w:rPr>
          <w:sz w:val="16"/>
          <w:vertAlign w:val="baseline"/>
        </w:rPr>
        <w:t>Comunidad</w:t>
      </w:r>
      <w:r>
        <w:rPr>
          <w:spacing w:val="-4"/>
          <w:sz w:val="16"/>
          <w:vertAlign w:val="baseline"/>
        </w:rPr>
        <w:t> </w:t>
      </w:r>
      <w:r>
        <w:rPr>
          <w:sz w:val="16"/>
          <w:vertAlign w:val="baseline"/>
        </w:rPr>
        <w:t>Andina.</w:t>
      </w:r>
      <w:r>
        <w:rPr>
          <w:spacing w:val="-3"/>
          <w:sz w:val="16"/>
          <w:vertAlign w:val="baseline"/>
        </w:rPr>
        <w:t> </w:t>
      </w:r>
      <w:r>
        <w:rPr>
          <w:sz w:val="16"/>
          <w:vertAlign w:val="baseline"/>
        </w:rPr>
        <w:t>Sentencia</w:t>
      </w:r>
      <w:r>
        <w:rPr>
          <w:spacing w:val="-2"/>
          <w:sz w:val="16"/>
          <w:vertAlign w:val="baseline"/>
        </w:rPr>
        <w:t> </w:t>
      </w:r>
      <w:r>
        <w:rPr>
          <w:sz w:val="16"/>
          <w:vertAlign w:val="baseline"/>
        </w:rPr>
        <w:t>del</w:t>
      </w:r>
      <w:r>
        <w:rPr>
          <w:spacing w:val="-3"/>
          <w:sz w:val="16"/>
          <w:vertAlign w:val="baseline"/>
        </w:rPr>
        <w:t> </w:t>
      </w:r>
      <w:r>
        <w:rPr>
          <w:sz w:val="16"/>
          <w:vertAlign w:val="baseline"/>
        </w:rPr>
        <w:t>24</w:t>
      </w:r>
      <w:r>
        <w:rPr>
          <w:spacing w:val="-4"/>
          <w:sz w:val="16"/>
          <w:vertAlign w:val="baseline"/>
        </w:rPr>
        <w:t> </w:t>
      </w:r>
      <w:r>
        <w:rPr>
          <w:sz w:val="16"/>
          <w:vertAlign w:val="baseline"/>
        </w:rPr>
        <w:t>de</w:t>
      </w:r>
      <w:r>
        <w:rPr>
          <w:spacing w:val="-4"/>
          <w:sz w:val="16"/>
          <w:vertAlign w:val="baseline"/>
        </w:rPr>
        <w:t> </w:t>
      </w:r>
      <w:r>
        <w:rPr>
          <w:sz w:val="16"/>
          <w:vertAlign w:val="baseline"/>
        </w:rPr>
        <w:t>septiembre</w:t>
      </w:r>
      <w:r>
        <w:rPr>
          <w:spacing w:val="-4"/>
          <w:sz w:val="16"/>
          <w:vertAlign w:val="baseline"/>
        </w:rPr>
        <w:t> </w:t>
      </w:r>
      <w:r>
        <w:rPr>
          <w:sz w:val="16"/>
          <w:vertAlign w:val="baseline"/>
        </w:rPr>
        <w:t>de</w:t>
      </w:r>
      <w:r>
        <w:rPr>
          <w:spacing w:val="-4"/>
          <w:sz w:val="16"/>
          <w:vertAlign w:val="baseline"/>
        </w:rPr>
        <w:t> </w:t>
      </w:r>
      <w:r>
        <w:rPr>
          <w:sz w:val="16"/>
          <w:vertAlign w:val="baseline"/>
        </w:rPr>
        <w:t>1999,</w:t>
      </w:r>
      <w:r>
        <w:rPr>
          <w:spacing w:val="-3"/>
          <w:sz w:val="16"/>
          <w:vertAlign w:val="baseline"/>
        </w:rPr>
        <w:t> </w:t>
      </w:r>
      <w:r>
        <w:rPr>
          <w:sz w:val="16"/>
          <w:vertAlign w:val="baseline"/>
        </w:rPr>
        <w:t>proferida</w:t>
      </w:r>
      <w:r>
        <w:rPr>
          <w:spacing w:val="-5"/>
          <w:sz w:val="16"/>
          <w:vertAlign w:val="baseline"/>
        </w:rPr>
        <w:t> </w:t>
      </w:r>
      <w:r>
        <w:rPr>
          <w:sz w:val="16"/>
          <w:vertAlign w:val="baseline"/>
        </w:rPr>
        <w:t>en</w:t>
      </w:r>
      <w:r>
        <w:rPr>
          <w:spacing w:val="-4"/>
          <w:sz w:val="16"/>
          <w:vertAlign w:val="baseline"/>
        </w:rPr>
        <w:t> </w:t>
      </w:r>
      <w:r>
        <w:rPr>
          <w:sz w:val="16"/>
          <w:vertAlign w:val="baseline"/>
        </w:rPr>
        <w:t>el</w:t>
      </w:r>
      <w:r>
        <w:rPr>
          <w:spacing w:val="-3"/>
          <w:sz w:val="16"/>
          <w:vertAlign w:val="baseline"/>
        </w:rPr>
        <w:t> </w:t>
      </w:r>
      <w:r>
        <w:rPr>
          <w:sz w:val="16"/>
          <w:vertAlign w:val="baseline"/>
        </w:rPr>
        <w:t>Proceso</w:t>
      </w:r>
      <w:r>
        <w:rPr>
          <w:spacing w:val="-4"/>
          <w:sz w:val="16"/>
          <w:vertAlign w:val="baseline"/>
        </w:rPr>
        <w:t> </w:t>
      </w:r>
      <w:r>
        <w:rPr>
          <w:sz w:val="16"/>
          <w:vertAlign w:val="baseline"/>
        </w:rPr>
        <w:t>12-AN-99.</w:t>
      </w:r>
      <w:r>
        <w:rPr>
          <w:spacing w:val="-3"/>
          <w:sz w:val="16"/>
          <w:vertAlign w:val="baseline"/>
        </w:rPr>
        <w:t> </w:t>
      </w:r>
      <w:r>
        <w:rPr>
          <w:sz w:val="16"/>
          <w:vertAlign w:val="baseline"/>
        </w:rPr>
        <w:t>Publicada</w:t>
      </w:r>
      <w:r>
        <w:rPr>
          <w:spacing w:val="-4"/>
          <w:sz w:val="16"/>
          <w:vertAlign w:val="baseline"/>
        </w:rPr>
        <w:t> </w:t>
      </w:r>
      <w:r>
        <w:rPr>
          <w:sz w:val="16"/>
          <w:vertAlign w:val="baseline"/>
        </w:rPr>
        <w:t>en</w:t>
      </w:r>
      <w:r>
        <w:rPr>
          <w:spacing w:val="-4"/>
          <w:sz w:val="16"/>
          <w:vertAlign w:val="baseline"/>
        </w:rPr>
        <w:t> </w:t>
      </w:r>
      <w:r>
        <w:rPr>
          <w:sz w:val="16"/>
          <w:vertAlign w:val="baseline"/>
        </w:rPr>
        <w:t>la Gaceta Oficial del Acuerdo de Cartagena No. 520 del 20 de diciembre de 1999.</w:t>
      </w:r>
    </w:p>
    <w:p>
      <w:pPr>
        <w:spacing w:line="183" w:lineRule="exact" w:before="0"/>
        <w:ind w:left="568" w:right="0" w:firstLine="0"/>
        <w:jc w:val="left"/>
        <w:rPr>
          <w:sz w:val="16"/>
        </w:rPr>
      </w:pPr>
      <w:bookmarkStart w:name="_bookmark96" w:id="97"/>
      <w:bookmarkEnd w:id="97"/>
      <w:r>
        <w:rPr/>
      </w:r>
      <w:r>
        <w:rPr>
          <w:sz w:val="16"/>
          <w:vertAlign w:val="superscript"/>
        </w:rPr>
        <w:t>29</w:t>
      </w:r>
      <w:r>
        <w:rPr>
          <w:spacing w:val="3"/>
          <w:sz w:val="16"/>
          <w:vertAlign w:val="baseline"/>
        </w:rPr>
        <w:t> </w:t>
      </w:r>
      <w:r>
        <w:rPr>
          <w:sz w:val="16"/>
          <w:vertAlign w:val="baseline"/>
        </w:rPr>
        <w:t>Tribunal</w:t>
      </w:r>
      <w:r>
        <w:rPr>
          <w:spacing w:val="4"/>
          <w:sz w:val="16"/>
          <w:vertAlign w:val="baseline"/>
        </w:rPr>
        <w:t> </w:t>
      </w:r>
      <w:r>
        <w:rPr>
          <w:sz w:val="16"/>
          <w:vertAlign w:val="baseline"/>
        </w:rPr>
        <w:t>de</w:t>
      </w:r>
      <w:r>
        <w:rPr>
          <w:spacing w:val="4"/>
          <w:sz w:val="16"/>
          <w:vertAlign w:val="baseline"/>
        </w:rPr>
        <w:t> </w:t>
      </w:r>
      <w:r>
        <w:rPr>
          <w:sz w:val="16"/>
          <w:vertAlign w:val="baseline"/>
        </w:rPr>
        <w:t>Justicia</w:t>
      </w:r>
      <w:r>
        <w:rPr>
          <w:spacing w:val="3"/>
          <w:sz w:val="16"/>
          <w:vertAlign w:val="baseline"/>
        </w:rPr>
        <w:t> </w:t>
      </w:r>
      <w:r>
        <w:rPr>
          <w:sz w:val="16"/>
          <w:vertAlign w:val="baseline"/>
        </w:rPr>
        <w:t>de</w:t>
      </w:r>
      <w:r>
        <w:rPr>
          <w:spacing w:val="4"/>
          <w:sz w:val="16"/>
          <w:vertAlign w:val="baseline"/>
        </w:rPr>
        <w:t> </w:t>
      </w:r>
      <w:r>
        <w:rPr>
          <w:sz w:val="16"/>
          <w:vertAlign w:val="baseline"/>
        </w:rPr>
        <w:t>la</w:t>
      </w:r>
      <w:r>
        <w:rPr>
          <w:spacing w:val="4"/>
          <w:sz w:val="16"/>
          <w:vertAlign w:val="baseline"/>
        </w:rPr>
        <w:t> </w:t>
      </w:r>
      <w:r>
        <w:rPr>
          <w:sz w:val="16"/>
          <w:vertAlign w:val="baseline"/>
        </w:rPr>
        <w:t>Comunidad</w:t>
      </w:r>
      <w:r>
        <w:rPr>
          <w:spacing w:val="3"/>
          <w:sz w:val="16"/>
          <w:vertAlign w:val="baseline"/>
        </w:rPr>
        <w:t> </w:t>
      </w:r>
      <w:r>
        <w:rPr>
          <w:sz w:val="16"/>
          <w:vertAlign w:val="baseline"/>
        </w:rPr>
        <w:t>Andina.</w:t>
      </w:r>
      <w:r>
        <w:rPr>
          <w:spacing w:val="3"/>
          <w:sz w:val="16"/>
          <w:vertAlign w:val="baseline"/>
        </w:rPr>
        <w:t> </w:t>
      </w:r>
      <w:r>
        <w:rPr>
          <w:sz w:val="16"/>
          <w:vertAlign w:val="baseline"/>
        </w:rPr>
        <w:t>Sentencia</w:t>
      </w:r>
      <w:r>
        <w:rPr>
          <w:spacing w:val="8"/>
          <w:sz w:val="16"/>
          <w:vertAlign w:val="baseline"/>
        </w:rPr>
        <w:t> </w:t>
      </w:r>
      <w:r>
        <w:rPr>
          <w:sz w:val="16"/>
          <w:vertAlign w:val="baseline"/>
        </w:rPr>
        <w:t>del</w:t>
      </w:r>
      <w:r>
        <w:rPr>
          <w:spacing w:val="4"/>
          <w:sz w:val="16"/>
          <w:vertAlign w:val="baseline"/>
        </w:rPr>
        <w:t> </w:t>
      </w:r>
      <w:r>
        <w:rPr>
          <w:sz w:val="16"/>
          <w:vertAlign w:val="baseline"/>
        </w:rPr>
        <w:t>14</w:t>
      </w:r>
      <w:r>
        <w:rPr>
          <w:spacing w:val="4"/>
          <w:sz w:val="16"/>
          <w:vertAlign w:val="baseline"/>
        </w:rPr>
        <w:t> </w:t>
      </w:r>
      <w:r>
        <w:rPr>
          <w:sz w:val="16"/>
          <w:vertAlign w:val="baseline"/>
        </w:rPr>
        <w:t>de</w:t>
      </w:r>
      <w:r>
        <w:rPr>
          <w:spacing w:val="1"/>
          <w:sz w:val="16"/>
          <w:vertAlign w:val="baseline"/>
        </w:rPr>
        <w:t> </w:t>
      </w:r>
      <w:r>
        <w:rPr>
          <w:sz w:val="16"/>
          <w:vertAlign w:val="baseline"/>
        </w:rPr>
        <w:t>mayo</w:t>
      </w:r>
      <w:r>
        <w:rPr>
          <w:spacing w:val="4"/>
          <w:sz w:val="16"/>
          <w:vertAlign w:val="baseline"/>
        </w:rPr>
        <w:t> </w:t>
      </w:r>
      <w:r>
        <w:rPr>
          <w:sz w:val="16"/>
          <w:vertAlign w:val="baseline"/>
        </w:rPr>
        <w:t>de</w:t>
      </w:r>
      <w:r>
        <w:rPr>
          <w:spacing w:val="3"/>
          <w:sz w:val="16"/>
          <w:vertAlign w:val="baseline"/>
        </w:rPr>
        <w:t> </w:t>
      </w:r>
      <w:r>
        <w:rPr>
          <w:sz w:val="16"/>
          <w:vertAlign w:val="baseline"/>
        </w:rPr>
        <w:t>2014,</w:t>
      </w:r>
      <w:r>
        <w:rPr>
          <w:spacing w:val="5"/>
          <w:sz w:val="16"/>
          <w:vertAlign w:val="baseline"/>
        </w:rPr>
        <w:t> </w:t>
      </w:r>
      <w:r>
        <w:rPr>
          <w:sz w:val="16"/>
          <w:vertAlign w:val="baseline"/>
        </w:rPr>
        <w:t>proferida</w:t>
      </w:r>
      <w:r>
        <w:rPr>
          <w:spacing w:val="3"/>
          <w:sz w:val="16"/>
          <w:vertAlign w:val="baseline"/>
        </w:rPr>
        <w:t> </w:t>
      </w:r>
      <w:r>
        <w:rPr>
          <w:sz w:val="16"/>
          <w:vertAlign w:val="baseline"/>
        </w:rPr>
        <w:t>en</w:t>
      </w:r>
      <w:r>
        <w:rPr>
          <w:spacing w:val="4"/>
          <w:sz w:val="16"/>
          <w:vertAlign w:val="baseline"/>
        </w:rPr>
        <w:t> </w:t>
      </w:r>
      <w:r>
        <w:rPr>
          <w:sz w:val="16"/>
          <w:vertAlign w:val="baseline"/>
        </w:rPr>
        <w:t>el</w:t>
      </w:r>
      <w:r>
        <w:rPr>
          <w:spacing w:val="2"/>
          <w:sz w:val="16"/>
          <w:vertAlign w:val="baseline"/>
        </w:rPr>
        <w:t> </w:t>
      </w:r>
      <w:r>
        <w:rPr>
          <w:sz w:val="16"/>
          <w:vertAlign w:val="baseline"/>
        </w:rPr>
        <w:t>Proceso</w:t>
      </w:r>
      <w:r>
        <w:rPr>
          <w:spacing w:val="4"/>
          <w:sz w:val="16"/>
          <w:vertAlign w:val="baseline"/>
        </w:rPr>
        <w:t> </w:t>
      </w:r>
      <w:r>
        <w:rPr>
          <w:sz w:val="16"/>
          <w:vertAlign w:val="baseline"/>
        </w:rPr>
        <w:t>022-IP-2014.</w:t>
      </w:r>
      <w:r>
        <w:rPr>
          <w:spacing w:val="4"/>
          <w:sz w:val="16"/>
          <w:vertAlign w:val="baseline"/>
        </w:rPr>
        <w:t> </w:t>
      </w:r>
      <w:r>
        <w:rPr>
          <w:sz w:val="16"/>
          <w:vertAlign w:val="baseline"/>
        </w:rPr>
        <w:t>Publicada</w:t>
      </w:r>
      <w:r>
        <w:rPr>
          <w:spacing w:val="4"/>
          <w:sz w:val="16"/>
          <w:vertAlign w:val="baseline"/>
        </w:rPr>
        <w:t> </w:t>
      </w:r>
      <w:r>
        <w:rPr>
          <w:sz w:val="16"/>
          <w:vertAlign w:val="baseline"/>
        </w:rPr>
        <w:t>en</w:t>
      </w:r>
      <w:r>
        <w:rPr>
          <w:spacing w:val="2"/>
          <w:sz w:val="16"/>
          <w:vertAlign w:val="baseline"/>
        </w:rPr>
        <w:t> </w:t>
      </w:r>
      <w:r>
        <w:rPr>
          <w:spacing w:val="-5"/>
          <w:sz w:val="16"/>
          <w:vertAlign w:val="baseline"/>
        </w:rPr>
        <w:t>la</w:t>
      </w:r>
    </w:p>
    <w:p>
      <w:pPr>
        <w:tabs>
          <w:tab w:pos="709" w:val="left" w:leader="none"/>
          <w:tab w:pos="9816" w:val="left" w:leader="none"/>
        </w:tabs>
        <w:spacing w:before="1"/>
        <w:ind w:left="160" w:right="0" w:firstLine="0"/>
        <w:jc w:val="left"/>
        <w:rPr>
          <w:sz w:val="16"/>
        </w:rPr>
      </w:pPr>
      <w:r>
        <w:rPr>
          <w:sz w:val="16"/>
          <w:u w:val="single"/>
        </w:rPr>
        <w:tab/>
        <w:t>Gaceta</w:t>
      </w:r>
      <w:r>
        <w:rPr>
          <w:spacing w:val="-6"/>
          <w:sz w:val="16"/>
          <w:u w:val="single"/>
        </w:rPr>
        <w:t> </w:t>
      </w:r>
      <w:r>
        <w:rPr>
          <w:sz w:val="16"/>
          <w:u w:val="single"/>
        </w:rPr>
        <w:t>Oficial</w:t>
      </w:r>
      <w:r>
        <w:rPr>
          <w:spacing w:val="-5"/>
          <w:sz w:val="16"/>
          <w:u w:val="single"/>
        </w:rPr>
        <w:t> </w:t>
      </w:r>
      <w:r>
        <w:rPr>
          <w:sz w:val="16"/>
          <w:u w:val="single"/>
        </w:rPr>
        <w:t>del</w:t>
      </w:r>
      <w:r>
        <w:rPr>
          <w:spacing w:val="-3"/>
          <w:sz w:val="16"/>
          <w:u w:val="single"/>
        </w:rPr>
        <w:t> </w:t>
      </w:r>
      <w:r>
        <w:rPr>
          <w:sz w:val="16"/>
          <w:u w:val="single"/>
        </w:rPr>
        <w:t>Acuerdo</w:t>
      </w:r>
      <w:r>
        <w:rPr>
          <w:spacing w:val="-3"/>
          <w:sz w:val="16"/>
          <w:u w:val="single"/>
        </w:rPr>
        <w:t> </w:t>
      </w:r>
      <w:r>
        <w:rPr>
          <w:sz w:val="16"/>
          <w:u w:val="single"/>
        </w:rPr>
        <w:t>de</w:t>
      </w:r>
      <w:r>
        <w:rPr>
          <w:spacing w:val="-6"/>
          <w:sz w:val="16"/>
          <w:u w:val="single"/>
        </w:rPr>
        <w:t> </w:t>
      </w:r>
      <w:r>
        <w:rPr>
          <w:sz w:val="16"/>
          <w:u w:val="single"/>
        </w:rPr>
        <w:t>Cartagena</w:t>
      </w:r>
      <w:r>
        <w:rPr>
          <w:spacing w:val="-2"/>
          <w:sz w:val="16"/>
          <w:u w:val="single"/>
        </w:rPr>
        <w:t> </w:t>
      </w:r>
      <w:r>
        <w:rPr>
          <w:sz w:val="16"/>
          <w:u w:val="single"/>
        </w:rPr>
        <w:t>No.</w:t>
      </w:r>
      <w:r>
        <w:rPr>
          <w:spacing w:val="-2"/>
          <w:sz w:val="16"/>
          <w:u w:val="single"/>
        </w:rPr>
        <w:t> </w:t>
      </w:r>
      <w:r>
        <w:rPr>
          <w:sz w:val="16"/>
          <w:u w:val="single"/>
        </w:rPr>
        <w:t>2356</w:t>
      </w:r>
      <w:r>
        <w:rPr>
          <w:spacing w:val="-3"/>
          <w:sz w:val="16"/>
          <w:u w:val="single"/>
        </w:rPr>
        <w:t> </w:t>
      </w:r>
      <w:r>
        <w:rPr>
          <w:sz w:val="16"/>
          <w:u w:val="single"/>
        </w:rPr>
        <w:t>del</w:t>
      </w:r>
      <w:r>
        <w:rPr>
          <w:spacing w:val="-1"/>
          <w:sz w:val="16"/>
          <w:u w:val="single"/>
        </w:rPr>
        <w:t> </w:t>
      </w:r>
      <w:r>
        <w:rPr>
          <w:sz w:val="16"/>
          <w:u w:val="single"/>
        </w:rPr>
        <w:t>1</w:t>
      </w:r>
      <w:r>
        <w:rPr>
          <w:spacing w:val="-3"/>
          <w:sz w:val="16"/>
          <w:u w:val="single"/>
        </w:rPr>
        <w:t> </w:t>
      </w:r>
      <w:r>
        <w:rPr>
          <w:sz w:val="16"/>
          <w:u w:val="single"/>
        </w:rPr>
        <w:t>de</w:t>
      </w:r>
      <w:r>
        <w:rPr>
          <w:spacing w:val="-5"/>
          <w:sz w:val="16"/>
          <w:u w:val="single"/>
        </w:rPr>
        <w:t> </w:t>
      </w:r>
      <w:r>
        <w:rPr>
          <w:sz w:val="16"/>
          <w:u w:val="single"/>
        </w:rPr>
        <w:t>julio</w:t>
      </w:r>
      <w:r>
        <w:rPr>
          <w:spacing w:val="-5"/>
          <w:sz w:val="16"/>
          <w:u w:val="single"/>
        </w:rPr>
        <w:t> </w:t>
      </w:r>
      <w:r>
        <w:rPr>
          <w:sz w:val="16"/>
          <w:u w:val="single"/>
        </w:rPr>
        <w:t>de</w:t>
      </w:r>
      <w:r>
        <w:rPr>
          <w:spacing w:val="-4"/>
          <w:sz w:val="16"/>
          <w:u w:val="single"/>
        </w:rPr>
        <w:t> </w:t>
      </w:r>
      <w:r>
        <w:rPr>
          <w:spacing w:val="-2"/>
          <w:sz w:val="16"/>
          <w:u w:val="single"/>
        </w:rPr>
        <w:t>2014.</w:t>
      </w:r>
      <w:r>
        <w:rPr>
          <w:sz w:val="16"/>
          <w:u w:val="single"/>
        </w:rPr>
        <w:tab/>
      </w:r>
    </w:p>
    <w:p>
      <w:pPr>
        <w:spacing w:after="0"/>
        <w:jc w:val="left"/>
        <w:rPr>
          <w:sz w:val="16"/>
        </w:rPr>
        <w:sectPr>
          <w:pgSz w:w="11900" w:h="16850"/>
          <w:pgMar w:header="370" w:footer="597" w:top="1380" w:bottom="780" w:left="992" w:right="283"/>
        </w:sectPr>
      </w:pPr>
    </w:p>
    <w:p>
      <w:pPr>
        <w:pStyle w:val="BodyText"/>
        <w:spacing w:before="176"/>
      </w:pPr>
    </w:p>
    <w:p>
      <w:pPr>
        <w:spacing w:before="0"/>
        <w:ind w:left="1845" w:right="979" w:firstLine="0"/>
        <w:jc w:val="both"/>
        <w:rPr>
          <w:sz w:val="22"/>
        </w:rPr>
      </w:pPr>
      <w:r>
        <w:rPr>
          <w:rFonts w:ascii="Arial" w:hAnsi="Arial"/>
          <w:i/>
          <w:sz w:val="22"/>
        </w:rPr>
        <w:t>que</w:t>
      </w:r>
      <w:r>
        <w:rPr>
          <w:rFonts w:ascii="Arial" w:hAnsi="Arial"/>
          <w:i/>
          <w:spacing w:val="-3"/>
          <w:sz w:val="22"/>
        </w:rPr>
        <w:t> </w:t>
      </w:r>
      <w:r>
        <w:rPr>
          <w:rFonts w:ascii="Arial" w:hAnsi="Arial"/>
          <w:i/>
          <w:sz w:val="22"/>
        </w:rPr>
        <w:t>fuera</w:t>
      </w:r>
      <w:r>
        <w:rPr>
          <w:rFonts w:ascii="Arial" w:hAnsi="Arial"/>
          <w:i/>
          <w:spacing w:val="-5"/>
          <w:sz w:val="22"/>
        </w:rPr>
        <w:t> </w:t>
      </w:r>
      <w:r>
        <w:rPr>
          <w:rFonts w:ascii="Arial" w:hAnsi="Arial"/>
          <w:i/>
          <w:sz w:val="22"/>
        </w:rPr>
        <w:t>ratificado</w:t>
      </w:r>
      <w:r>
        <w:rPr>
          <w:rFonts w:ascii="Arial" w:hAnsi="Arial"/>
          <w:i/>
          <w:spacing w:val="-3"/>
          <w:sz w:val="22"/>
        </w:rPr>
        <w:t> </w:t>
      </w:r>
      <w:r>
        <w:rPr>
          <w:rFonts w:ascii="Arial" w:hAnsi="Arial"/>
          <w:i/>
          <w:sz w:val="22"/>
        </w:rPr>
        <w:t>dentro</w:t>
      </w:r>
      <w:r>
        <w:rPr>
          <w:rFonts w:ascii="Arial" w:hAnsi="Arial"/>
          <w:i/>
          <w:spacing w:val="-3"/>
          <w:sz w:val="22"/>
        </w:rPr>
        <w:t> </w:t>
      </w:r>
      <w:r>
        <w:rPr>
          <w:rFonts w:ascii="Arial" w:hAnsi="Arial"/>
          <w:i/>
          <w:sz w:val="22"/>
        </w:rPr>
        <w:t>del</w:t>
      </w:r>
      <w:r>
        <w:rPr>
          <w:rFonts w:ascii="Arial" w:hAnsi="Arial"/>
          <w:i/>
          <w:spacing w:val="-3"/>
          <w:sz w:val="22"/>
        </w:rPr>
        <w:t> </w:t>
      </w:r>
      <w:r>
        <w:rPr>
          <w:rFonts w:ascii="Arial" w:hAnsi="Arial"/>
          <w:i/>
          <w:sz w:val="22"/>
        </w:rPr>
        <w:t>Proceso</w:t>
      </w:r>
      <w:r>
        <w:rPr>
          <w:rFonts w:ascii="Arial" w:hAnsi="Arial"/>
          <w:i/>
          <w:spacing w:val="-5"/>
          <w:sz w:val="22"/>
        </w:rPr>
        <w:t> </w:t>
      </w:r>
      <w:r>
        <w:rPr>
          <w:rFonts w:ascii="Arial" w:hAnsi="Arial"/>
          <w:i/>
          <w:sz w:val="22"/>
        </w:rPr>
        <w:t>3-Al-96</w:t>
      </w:r>
      <w:r>
        <w:rPr>
          <w:rFonts w:ascii="Arial" w:hAnsi="Arial"/>
          <w:i/>
          <w:spacing w:val="-5"/>
          <w:sz w:val="22"/>
        </w:rPr>
        <w:t> </w:t>
      </w:r>
      <w:r>
        <w:rPr>
          <w:rFonts w:ascii="Arial" w:hAnsi="Arial"/>
          <w:i/>
          <w:sz w:val="22"/>
        </w:rPr>
        <w:t>ya</w:t>
      </w:r>
      <w:r>
        <w:rPr>
          <w:rFonts w:ascii="Arial" w:hAnsi="Arial"/>
          <w:i/>
          <w:spacing w:val="-5"/>
          <w:sz w:val="22"/>
        </w:rPr>
        <w:t> </w:t>
      </w:r>
      <w:r>
        <w:rPr>
          <w:rFonts w:ascii="Arial" w:hAnsi="Arial"/>
          <w:i/>
          <w:sz w:val="22"/>
        </w:rPr>
        <w:t>citado:</w:t>
      </w:r>
      <w:r>
        <w:rPr>
          <w:rFonts w:ascii="Arial" w:hAnsi="Arial"/>
          <w:i/>
          <w:spacing w:val="-1"/>
          <w:sz w:val="22"/>
        </w:rPr>
        <w:t> </w:t>
      </w:r>
      <w:r>
        <w:rPr>
          <w:rFonts w:ascii="Arial" w:hAnsi="Arial"/>
          <w:i/>
          <w:sz w:val="22"/>
        </w:rPr>
        <w:t>‘Por</w:t>
      </w:r>
      <w:r>
        <w:rPr>
          <w:rFonts w:ascii="Arial" w:hAnsi="Arial"/>
          <w:i/>
          <w:spacing w:val="-7"/>
          <w:sz w:val="22"/>
        </w:rPr>
        <w:t> </w:t>
      </w:r>
      <w:r>
        <w:rPr>
          <w:rFonts w:ascii="Arial" w:hAnsi="Arial"/>
          <w:i/>
          <w:sz w:val="22"/>
        </w:rPr>
        <w:t>medida</w:t>
      </w:r>
      <w:r>
        <w:rPr>
          <w:rFonts w:ascii="Arial" w:hAnsi="Arial"/>
          <w:i/>
          <w:spacing w:val="-5"/>
          <w:sz w:val="22"/>
        </w:rPr>
        <w:t> </w:t>
      </w:r>
      <w:r>
        <w:rPr>
          <w:rFonts w:ascii="Arial" w:hAnsi="Arial"/>
          <w:i/>
          <w:sz w:val="22"/>
        </w:rPr>
        <w:t>restrictiva se</w:t>
      </w:r>
      <w:r>
        <w:rPr>
          <w:rFonts w:ascii="Arial" w:hAnsi="Arial"/>
          <w:i/>
          <w:spacing w:val="-16"/>
          <w:sz w:val="22"/>
        </w:rPr>
        <w:t> </w:t>
      </w:r>
      <w:r>
        <w:rPr>
          <w:rFonts w:ascii="Arial" w:hAnsi="Arial"/>
          <w:i/>
          <w:sz w:val="22"/>
        </w:rPr>
        <w:t>entiende</w:t>
      </w:r>
      <w:r>
        <w:rPr>
          <w:rFonts w:ascii="Arial" w:hAnsi="Arial"/>
          <w:i/>
          <w:spacing w:val="-15"/>
          <w:sz w:val="22"/>
        </w:rPr>
        <w:t> </w:t>
      </w:r>
      <w:r>
        <w:rPr>
          <w:rFonts w:ascii="Arial" w:hAnsi="Arial"/>
          <w:i/>
          <w:sz w:val="22"/>
        </w:rPr>
        <w:t>cualquier</w:t>
      </w:r>
      <w:r>
        <w:rPr>
          <w:rFonts w:ascii="Arial" w:hAnsi="Arial"/>
          <w:i/>
          <w:spacing w:val="-15"/>
          <w:sz w:val="22"/>
        </w:rPr>
        <w:t> </w:t>
      </w:r>
      <w:r>
        <w:rPr>
          <w:rFonts w:ascii="Arial" w:hAnsi="Arial"/>
          <w:i/>
          <w:sz w:val="22"/>
        </w:rPr>
        <w:t>acto</w:t>
      </w:r>
      <w:r>
        <w:rPr>
          <w:rFonts w:ascii="Arial" w:hAnsi="Arial"/>
          <w:i/>
          <w:spacing w:val="-16"/>
          <w:sz w:val="22"/>
        </w:rPr>
        <w:t> </w:t>
      </w:r>
      <w:r>
        <w:rPr>
          <w:rFonts w:ascii="Arial" w:hAnsi="Arial"/>
          <w:i/>
          <w:sz w:val="22"/>
        </w:rPr>
        <w:t>imputable</w:t>
      </w:r>
      <w:r>
        <w:rPr>
          <w:rFonts w:ascii="Arial" w:hAnsi="Arial"/>
          <w:i/>
          <w:spacing w:val="-14"/>
          <w:sz w:val="22"/>
        </w:rPr>
        <w:t> </w:t>
      </w:r>
      <w:r>
        <w:rPr>
          <w:rFonts w:ascii="Arial" w:hAnsi="Arial"/>
          <w:i/>
          <w:sz w:val="22"/>
        </w:rPr>
        <w:t>a</w:t>
      </w:r>
      <w:r>
        <w:rPr>
          <w:rFonts w:ascii="Arial" w:hAnsi="Arial"/>
          <w:i/>
          <w:spacing w:val="-16"/>
          <w:sz w:val="22"/>
        </w:rPr>
        <w:t> </w:t>
      </w:r>
      <w:r>
        <w:rPr>
          <w:rFonts w:ascii="Arial" w:hAnsi="Arial"/>
          <w:i/>
          <w:sz w:val="22"/>
        </w:rPr>
        <w:t>una</w:t>
      </w:r>
      <w:r>
        <w:rPr>
          <w:rFonts w:ascii="Arial" w:hAnsi="Arial"/>
          <w:i/>
          <w:spacing w:val="-14"/>
          <w:sz w:val="22"/>
        </w:rPr>
        <w:t> </w:t>
      </w:r>
      <w:r>
        <w:rPr>
          <w:rFonts w:ascii="Arial" w:hAnsi="Arial"/>
          <w:i/>
          <w:sz w:val="22"/>
        </w:rPr>
        <w:t>autoridad</w:t>
      </w:r>
      <w:r>
        <w:rPr>
          <w:rFonts w:ascii="Arial" w:hAnsi="Arial"/>
          <w:i/>
          <w:spacing w:val="-15"/>
          <w:sz w:val="22"/>
        </w:rPr>
        <w:t> </w:t>
      </w:r>
      <w:r>
        <w:rPr>
          <w:rFonts w:ascii="Arial" w:hAnsi="Arial"/>
          <w:i/>
          <w:sz w:val="22"/>
        </w:rPr>
        <w:t>pública</w:t>
      </w:r>
      <w:r>
        <w:rPr>
          <w:rFonts w:ascii="Arial" w:hAnsi="Arial"/>
          <w:i/>
          <w:spacing w:val="-15"/>
          <w:sz w:val="22"/>
        </w:rPr>
        <w:t> </w:t>
      </w:r>
      <w:r>
        <w:rPr>
          <w:rFonts w:ascii="Arial" w:hAnsi="Arial"/>
          <w:i/>
          <w:sz w:val="22"/>
        </w:rPr>
        <w:t>con</w:t>
      </w:r>
      <w:r>
        <w:rPr>
          <w:rFonts w:ascii="Arial" w:hAnsi="Arial"/>
          <w:i/>
          <w:spacing w:val="-15"/>
          <w:sz w:val="22"/>
        </w:rPr>
        <w:t> </w:t>
      </w:r>
      <w:r>
        <w:rPr>
          <w:rFonts w:ascii="Arial" w:hAnsi="Arial"/>
          <w:i/>
          <w:sz w:val="22"/>
        </w:rPr>
        <w:t>efecto</w:t>
      </w:r>
      <w:r>
        <w:rPr>
          <w:rFonts w:ascii="Arial" w:hAnsi="Arial"/>
          <w:i/>
          <w:spacing w:val="-15"/>
          <w:sz w:val="22"/>
        </w:rPr>
        <w:t> </w:t>
      </w:r>
      <w:r>
        <w:rPr>
          <w:rFonts w:ascii="Arial" w:hAnsi="Arial"/>
          <w:i/>
          <w:sz w:val="22"/>
        </w:rPr>
        <w:t>limitativo sobre las importaciones o en hacerlas más difíciles, o más costosas que los bienes de producción nacional.</w:t>
      </w:r>
      <w:r>
        <w:rPr>
          <w:rFonts w:ascii="Arial" w:hAnsi="Arial"/>
          <w:i/>
          <w:spacing w:val="40"/>
          <w:sz w:val="22"/>
        </w:rPr>
        <w:t> </w:t>
      </w:r>
      <w:r>
        <w:rPr>
          <w:rFonts w:ascii="Arial" w:hAnsi="Arial"/>
          <w:i/>
          <w:sz w:val="22"/>
        </w:rPr>
        <w:t>Las medidas administrativas pueden incluir desde</w:t>
      </w:r>
      <w:r>
        <w:rPr>
          <w:rFonts w:ascii="Arial" w:hAnsi="Arial"/>
          <w:i/>
          <w:spacing w:val="-1"/>
          <w:sz w:val="22"/>
        </w:rPr>
        <w:t> </w:t>
      </w:r>
      <w:r>
        <w:rPr>
          <w:rFonts w:ascii="Arial" w:hAnsi="Arial"/>
          <w:i/>
          <w:sz w:val="22"/>
        </w:rPr>
        <w:t>la imposición</w:t>
      </w:r>
      <w:r>
        <w:rPr>
          <w:rFonts w:ascii="Arial" w:hAnsi="Arial"/>
          <w:i/>
          <w:spacing w:val="-1"/>
          <w:sz w:val="22"/>
        </w:rPr>
        <w:t> </w:t>
      </w:r>
      <w:r>
        <w:rPr>
          <w:rFonts w:ascii="Arial" w:hAnsi="Arial"/>
          <w:i/>
          <w:sz w:val="22"/>
        </w:rPr>
        <w:t>de</w:t>
      </w:r>
      <w:r>
        <w:rPr>
          <w:rFonts w:ascii="Arial" w:hAnsi="Arial"/>
          <w:i/>
          <w:spacing w:val="-3"/>
          <w:sz w:val="22"/>
        </w:rPr>
        <w:t> </w:t>
      </w:r>
      <w:r>
        <w:rPr>
          <w:rFonts w:ascii="Arial" w:hAnsi="Arial"/>
          <w:i/>
          <w:sz w:val="22"/>
        </w:rPr>
        <w:t>precios</w:t>
      </w:r>
      <w:r>
        <w:rPr>
          <w:rFonts w:ascii="Arial" w:hAnsi="Arial"/>
          <w:i/>
          <w:spacing w:val="-3"/>
          <w:sz w:val="22"/>
        </w:rPr>
        <w:t> </w:t>
      </w:r>
      <w:r>
        <w:rPr>
          <w:rFonts w:ascii="Arial" w:hAnsi="Arial"/>
          <w:i/>
          <w:sz w:val="22"/>
        </w:rPr>
        <w:t>fijos</w:t>
      </w:r>
      <w:r>
        <w:rPr>
          <w:rFonts w:ascii="Arial" w:hAnsi="Arial"/>
          <w:i/>
          <w:spacing w:val="-3"/>
          <w:sz w:val="22"/>
        </w:rPr>
        <w:t> </w:t>
      </w:r>
      <w:r>
        <w:rPr>
          <w:rFonts w:ascii="Arial" w:hAnsi="Arial"/>
          <w:i/>
          <w:sz w:val="22"/>
        </w:rPr>
        <w:t>mínimos o</w:t>
      </w:r>
      <w:r>
        <w:rPr>
          <w:rFonts w:ascii="Arial" w:hAnsi="Arial"/>
          <w:i/>
          <w:spacing w:val="-5"/>
          <w:sz w:val="22"/>
        </w:rPr>
        <w:t> </w:t>
      </w:r>
      <w:r>
        <w:rPr>
          <w:rFonts w:ascii="Arial" w:hAnsi="Arial"/>
          <w:i/>
          <w:sz w:val="22"/>
        </w:rPr>
        <w:t>máximos</w:t>
      </w:r>
      <w:r>
        <w:rPr>
          <w:rFonts w:ascii="Arial" w:hAnsi="Arial"/>
          <w:i/>
          <w:spacing w:val="-3"/>
          <w:sz w:val="22"/>
        </w:rPr>
        <w:t> </w:t>
      </w:r>
      <w:r>
        <w:rPr>
          <w:rFonts w:ascii="Arial" w:hAnsi="Arial"/>
          <w:i/>
          <w:sz w:val="22"/>
        </w:rPr>
        <w:t>menos</w:t>
      </w:r>
      <w:r>
        <w:rPr>
          <w:rFonts w:ascii="Arial" w:hAnsi="Arial"/>
          <w:i/>
          <w:spacing w:val="-5"/>
          <w:sz w:val="22"/>
        </w:rPr>
        <w:t> </w:t>
      </w:r>
      <w:r>
        <w:rPr>
          <w:rFonts w:ascii="Arial" w:hAnsi="Arial"/>
          <w:i/>
          <w:sz w:val="22"/>
        </w:rPr>
        <w:t>favorables para los productos importados, de manera que creen obstáculos a los flujos de importaciones, hasta las limitaciones directas a las importaciones</w:t>
      </w:r>
      <w:r>
        <w:rPr>
          <w:sz w:val="22"/>
        </w:rPr>
        <w:t>´”.</w:t>
      </w:r>
    </w:p>
    <w:p>
      <w:pPr>
        <w:pStyle w:val="ListParagraph"/>
        <w:numPr>
          <w:ilvl w:val="0"/>
          <w:numId w:val="50"/>
        </w:numPr>
        <w:tabs>
          <w:tab w:pos="1130" w:val="left" w:leader="none"/>
          <w:tab w:pos="1134" w:val="left" w:leader="none"/>
        </w:tabs>
        <w:spacing w:line="240" w:lineRule="auto" w:before="253" w:after="0"/>
        <w:ind w:left="1134" w:right="983" w:hanging="567"/>
        <w:jc w:val="both"/>
        <w:rPr>
          <w:sz w:val="22"/>
        </w:rPr>
      </w:pPr>
      <w:r>
        <w:rPr>
          <w:sz w:val="22"/>
        </w:rPr>
        <w:t>Teniendo presente</w:t>
      </w:r>
      <w:r>
        <w:rPr>
          <w:spacing w:val="-2"/>
          <w:sz w:val="22"/>
        </w:rPr>
        <w:t> </w:t>
      </w:r>
      <w:r>
        <w:rPr>
          <w:sz w:val="22"/>
        </w:rPr>
        <w:t>lo expuesto, de acuerdo</w:t>
      </w:r>
      <w:r>
        <w:rPr>
          <w:spacing w:val="-2"/>
          <w:sz w:val="22"/>
        </w:rPr>
        <w:t> </w:t>
      </w:r>
      <w:r>
        <w:rPr>
          <w:sz w:val="22"/>
        </w:rPr>
        <w:t>con la normativa</w:t>
      </w:r>
      <w:r>
        <w:rPr>
          <w:spacing w:val="-2"/>
          <w:sz w:val="22"/>
        </w:rPr>
        <w:t> </w:t>
      </w:r>
      <w:r>
        <w:rPr>
          <w:sz w:val="22"/>
        </w:rPr>
        <w:t>andina y la</w:t>
      </w:r>
      <w:r>
        <w:rPr>
          <w:spacing w:val="-2"/>
          <w:sz w:val="22"/>
        </w:rPr>
        <w:t> </w:t>
      </w:r>
      <w:r>
        <w:rPr>
          <w:sz w:val="22"/>
        </w:rPr>
        <w:t>jurisprudencia del TJCAN, se identifican dos criterios para determinar si una medida puede ser calificada como restricción al comercio intracomunitario y, por ende, contraria al Programa de Liberación.</w:t>
      </w:r>
    </w:p>
    <w:p>
      <w:pPr>
        <w:pStyle w:val="BodyText"/>
        <w:spacing w:before="2"/>
      </w:pPr>
    </w:p>
    <w:p>
      <w:pPr>
        <w:pStyle w:val="ListParagraph"/>
        <w:numPr>
          <w:ilvl w:val="0"/>
          <w:numId w:val="50"/>
        </w:numPr>
        <w:tabs>
          <w:tab w:pos="1130" w:val="left" w:leader="none"/>
          <w:tab w:pos="1134" w:val="left" w:leader="none"/>
        </w:tabs>
        <w:spacing w:line="240" w:lineRule="auto" w:before="1" w:after="0"/>
        <w:ind w:left="1134" w:right="981" w:hanging="567"/>
        <w:jc w:val="both"/>
        <w:rPr>
          <w:sz w:val="22"/>
        </w:rPr>
      </w:pPr>
      <w:r>
        <w:rPr>
          <w:sz w:val="22"/>
        </w:rPr>
        <w:t>En primer lugar, corresponde analizar si los efectos de la medida en cuestión impiden, suspenden o prohíben el acceso de las importaciones procedentes u originarias de un País Miembro. En segundo lugar, debe evaluarse si la medida, aun cuando no prohíba dichas importaciones, las dificulta, encarece o hace más onerosa la operación de importación de productos de procedencia u origen andino.</w:t>
      </w:r>
    </w:p>
    <w:p>
      <w:pPr>
        <w:pStyle w:val="ListParagraph"/>
        <w:numPr>
          <w:ilvl w:val="0"/>
          <w:numId w:val="50"/>
        </w:numPr>
        <w:tabs>
          <w:tab w:pos="1134" w:val="left" w:leader="none"/>
        </w:tabs>
        <w:spacing w:line="240" w:lineRule="auto" w:before="251" w:after="0"/>
        <w:ind w:left="1134" w:right="0" w:hanging="566"/>
        <w:jc w:val="left"/>
        <w:rPr>
          <w:sz w:val="22"/>
        </w:rPr>
      </w:pPr>
      <w:r>
        <w:rPr>
          <w:sz w:val="22"/>
        </w:rPr>
        <w:t>En</w:t>
      </w:r>
      <w:r>
        <w:rPr>
          <w:spacing w:val="-5"/>
          <w:sz w:val="22"/>
        </w:rPr>
        <w:t> </w:t>
      </w:r>
      <w:r>
        <w:rPr>
          <w:sz w:val="22"/>
        </w:rPr>
        <w:t>esa</w:t>
      </w:r>
      <w:r>
        <w:rPr>
          <w:spacing w:val="-4"/>
          <w:sz w:val="22"/>
        </w:rPr>
        <w:t> </w:t>
      </w:r>
      <w:r>
        <w:rPr>
          <w:sz w:val="22"/>
        </w:rPr>
        <w:t>línea,</w:t>
      </w:r>
      <w:r>
        <w:rPr>
          <w:spacing w:val="-2"/>
          <w:sz w:val="22"/>
        </w:rPr>
        <w:t> </w:t>
      </w:r>
      <w:r>
        <w:rPr>
          <w:sz w:val="22"/>
        </w:rPr>
        <w:t>el</w:t>
      </w:r>
      <w:r>
        <w:rPr>
          <w:spacing w:val="-7"/>
          <w:sz w:val="22"/>
        </w:rPr>
        <w:t> </w:t>
      </w:r>
      <w:r>
        <w:rPr>
          <w:sz w:val="22"/>
        </w:rPr>
        <w:t>TJCAN</w:t>
      </w:r>
      <w:r>
        <w:rPr>
          <w:spacing w:val="-7"/>
          <w:sz w:val="22"/>
        </w:rPr>
        <w:t> </w:t>
      </w:r>
      <w:r>
        <w:rPr>
          <w:sz w:val="22"/>
        </w:rPr>
        <w:t>ha</w:t>
      </w:r>
      <w:r>
        <w:rPr>
          <w:spacing w:val="-4"/>
          <w:sz w:val="22"/>
        </w:rPr>
        <w:t> </w:t>
      </w:r>
      <w:r>
        <w:rPr>
          <w:sz w:val="22"/>
        </w:rPr>
        <w:t>señalado,</w:t>
      </w:r>
      <w:r>
        <w:rPr>
          <w:spacing w:val="-5"/>
          <w:sz w:val="22"/>
        </w:rPr>
        <w:t> </w:t>
      </w:r>
      <w:r>
        <w:rPr>
          <w:sz w:val="22"/>
        </w:rPr>
        <w:t>entre</w:t>
      </w:r>
      <w:r>
        <w:rPr>
          <w:spacing w:val="-5"/>
          <w:sz w:val="22"/>
        </w:rPr>
        <w:t> </w:t>
      </w:r>
      <w:r>
        <w:rPr>
          <w:sz w:val="22"/>
        </w:rPr>
        <w:t>otros,</w:t>
      </w:r>
      <w:r>
        <w:rPr>
          <w:spacing w:val="-5"/>
          <w:sz w:val="22"/>
        </w:rPr>
        <w:t> </w:t>
      </w:r>
      <w:r>
        <w:rPr>
          <w:sz w:val="22"/>
        </w:rPr>
        <w:t>en</w:t>
      </w:r>
      <w:r>
        <w:rPr>
          <w:spacing w:val="-4"/>
          <w:sz w:val="22"/>
        </w:rPr>
        <w:t> </w:t>
      </w:r>
      <w:r>
        <w:rPr>
          <w:sz w:val="22"/>
        </w:rPr>
        <w:t>el</w:t>
      </w:r>
      <w:r>
        <w:rPr>
          <w:spacing w:val="-5"/>
          <w:sz w:val="22"/>
        </w:rPr>
        <w:t> </w:t>
      </w:r>
      <w:r>
        <w:rPr>
          <w:sz w:val="22"/>
        </w:rPr>
        <w:t>Proceso</w:t>
      </w:r>
      <w:r>
        <w:rPr>
          <w:spacing w:val="-6"/>
          <w:sz w:val="22"/>
        </w:rPr>
        <w:t> </w:t>
      </w:r>
      <w:r>
        <w:rPr>
          <w:sz w:val="22"/>
        </w:rPr>
        <w:t>3-AI-97</w:t>
      </w:r>
      <w:hyperlink w:history="true" w:anchor="_bookmark97">
        <w:r>
          <w:rPr>
            <w:sz w:val="22"/>
            <w:vertAlign w:val="superscript"/>
          </w:rPr>
          <w:t>30</w:t>
        </w:r>
        <w:r>
          <w:rPr>
            <w:sz w:val="22"/>
            <w:vertAlign w:val="baseline"/>
          </w:rPr>
          <w:t>,</w:t>
        </w:r>
      </w:hyperlink>
      <w:r>
        <w:rPr>
          <w:spacing w:val="-2"/>
          <w:sz w:val="22"/>
          <w:vertAlign w:val="baseline"/>
        </w:rPr>
        <w:t> </w:t>
      </w:r>
      <w:r>
        <w:rPr>
          <w:sz w:val="22"/>
          <w:vertAlign w:val="baseline"/>
        </w:rPr>
        <w:t>lo</w:t>
      </w:r>
      <w:r>
        <w:rPr>
          <w:spacing w:val="-5"/>
          <w:sz w:val="22"/>
          <w:vertAlign w:val="baseline"/>
        </w:rPr>
        <w:t> </w:t>
      </w:r>
      <w:r>
        <w:rPr>
          <w:spacing w:val="-2"/>
          <w:sz w:val="22"/>
          <w:vertAlign w:val="baseline"/>
        </w:rPr>
        <w:t>siguiente:</w:t>
      </w:r>
    </w:p>
    <w:p>
      <w:pPr>
        <w:pStyle w:val="BodyText"/>
        <w:spacing w:before="1"/>
      </w:pPr>
    </w:p>
    <w:p>
      <w:pPr>
        <w:spacing w:before="0"/>
        <w:ind w:left="1562" w:right="979" w:firstLine="0"/>
        <w:jc w:val="both"/>
        <w:rPr>
          <w:sz w:val="22"/>
        </w:rPr>
      </w:pPr>
      <w:r>
        <w:rPr>
          <w:sz w:val="22"/>
        </w:rPr>
        <w:t>“</w:t>
      </w:r>
      <w:r>
        <w:rPr>
          <w:rFonts w:ascii="Arial" w:hAnsi="Arial"/>
          <w:i/>
          <w:sz w:val="22"/>
        </w:rPr>
        <w:t>Un</w:t>
      </w:r>
      <w:r>
        <w:rPr>
          <w:rFonts w:ascii="Arial" w:hAnsi="Arial"/>
          <w:i/>
          <w:spacing w:val="-5"/>
          <w:sz w:val="22"/>
        </w:rPr>
        <w:t> </w:t>
      </w:r>
      <w:r>
        <w:rPr>
          <w:rFonts w:ascii="Arial" w:hAnsi="Arial"/>
          <w:i/>
          <w:sz w:val="22"/>
        </w:rPr>
        <w:t>obstáculo</w:t>
      </w:r>
      <w:r>
        <w:rPr>
          <w:rFonts w:ascii="Arial" w:hAnsi="Arial"/>
          <w:i/>
          <w:spacing w:val="-7"/>
          <w:sz w:val="22"/>
        </w:rPr>
        <w:t> </w:t>
      </w:r>
      <w:r>
        <w:rPr>
          <w:rFonts w:ascii="Arial" w:hAnsi="Arial"/>
          <w:i/>
          <w:sz w:val="22"/>
        </w:rPr>
        <w:t>o</w:t>
      </w:r>
      <w:r>
        <w:rPr>
          <w:rFonts w:ascii="Arial" w:hAnsi="Arial"/>
          <w:i/>
          <w:spacing w:val="-5"/>
          <w:sz w:val="22"/>
        </w:rPr>
        <w:t> </w:t>
      </w:r>
      <w:r>
        <w:rPr>
          <w:rFonts w:ascii="Arial" w:hAnsi="Arial"/>
          <w:i/>
          <w:sz w:val="22"/>
        </w:rPr>
        <w:t>impedimento</w:t>
      </w:r>
      <w:r>
        <w:rPr>
          <w:rFonts w:ascii="Arial" w:hAnsi="Arial"/>
          <w:i/>
          <w:spacing w:val="-5"/>
          <w:sz w:val="22"/>
        </w:rPr>
        <w:t> </w:t>
      </w:r>
      <w:r>
        <w:rPr>
          <w:rFonts w:ascii="Arial" w:hAnsi="Arial"/>
          <w:i/>
          <w:sz w:val="22"/>
        </w:rPr>
        <w:t>a</w:t>
      </w:r>
      <w:r>
        <w:rPr>
          <w:rFonts w:ascii="Arial" w:hAnsi="Arial"/>
          <w:i/>
          <w:spacing w:val="-7"/>
          <w:sz w:val="22"/>
        </w:rPr>
        <w:t> </w:t>
      </w:r>
      <w:r>
        <w:rPr>
          <w:rFonts w:ascii="Arial" w:hAnsi="Arial"/>
          <w:i/>
          <w:sz w:val="22"/>
        </w:rPr>
        <w:t>la</w:t>
      </w:r>
      <w:r>
        <w:rPr>
          <w:rFonts w:ascii="Arial" w:hAnsi="Arial"/>
          <w:i/>
          <w:spacing w:val="-7"/>
          <w:sz w:val="22"/>
        </w:rPr>
        <w:t> </w:t>
      </w:r>
      <w:r>
        <w:rPr>
          <w:rFonts w:ascii="Arial" w:hAnsi="Arial"/>
          <w:i/>
          <w:sz w:val="22"/>
        </w:rPr>
        <w:t>importación</w:t>
      </w:r>
      <w:r>
        <w:rPr>
          <w:rFonts w:ascii="Arial" w:hAnsi="Arial"/>
          <w:i/>
          <w:spacing w:val="-8"/>
          <w:sz w:val="22"/>
        </w:rPr>
        <w:t> </w:t>
      </w:r>
      <w:r>
        <w:rPr>
          <w:rFonts w:ascii="Arial" w:hAnsi="Arial"/>
          <w:i/>
          <w:sz w:val="22"/>
        </w:rPr>
        <w:t>libre</w:t>
      </w:r>
      <w:r>
        <w:rPr>
          <w:rFonts w:ascii="Arial" w:hAnsi="Arial"/>
          <w:i/>
          <w:spacing w:val="-5"/>
          <w:sz w:val="22"/>
        </w:rPr>
        <w:t> </w:t>
      </w:r>
      <w:r>
        <w:rPr>
          <w:rFonts w:ascii="Arial" w:hAnsi="Arial"/>
          <w:i/>
          <w:sz w:val="22"/>
        </w:rPr>
        <w:t>de</w:t>
      </w:r>
      <w:r>
        <w:rPr>
          <w:rFonts w:ascii="Arial" w:hAnsi="Arial"/>
          <w:i/>
          <w:spacing w:val="-8"/>
          <w:sz w:val="22"/>
        </w:rPr>
        <w:t> </w:t>
      </w:r>
      <w:r>
        <w:rPr>
          <w:rFonts w:ascii="Arial" w:hAnsi="Arial"/>
          <w:i/>
          <w:sz w:val="22"/>
        </w:rPr>
        <w:t>mercancías</w:t>
      </w:r>
      <w:r>
        <w:rPr>
          <w:rFonts w:ascii="Arial" w:hAnsi="Arial"/>
          <w:i/>
          <w:spacing w:val="-7"/>
          <w:sz w:val="22"/>
        </w:rPr>
        <w:t> </w:t>
      </w:r>
      <w:r>
        <w:rPr>
          <w:rFonts w:ascii="Arial" w:hAnsi="Arial"/>
          <w:i/>
          <w:sz w:val="22"/>
        </w:rPr>
        <w:t>que</w:t>
      </w:r>
      <w:r>
        <w:rPr>
          <w:rFonts w:ascii="Arial" w:hAnsi="Arial"/>
          <w:i/>
          <w:spacing w:val="-7"/>
          <w:sz w:val="22"/>
        </w:rPr>
        <w:t> </w:t>
      </w:r>
      <w:r>
        <w:rPr>
          <w:rFonts w:ascii="Arial" w:hAnsi="Arial"/>
          <w:i/>
          <w:sz w:val="22"/>
        </w:rPr>
        <w:t>se</w:t>
      </w:r>
      <w:r>
        <w:rPr>
          <w:rFonts w:ascii="Arial" w:hAnsi="Arial"/>
          <w:i/>
          <w:spacing w:val="-10"/>
          <w:sz w:val="22"/>
        </w:rPr>
        <w:t> </w:t>
      </w:r>
      <w:r>
        <w:rPr>
          <w:rFonts w:ascii="Arial" w:hAnsi="Arial"/>
          <w:i/>
          <w:sz w:val="22"/>
        </w:rPr>
        <w:t>salga</w:t>
      </w:r>
      <w:r>
        <w:rPr>
          <w:rFonts w:ascii="Arial" w:hAnsi="Arial"/>
          <w:i/>
          <w:spacing w:val="-5"/>
          <w:sz w:val="22"/>
        </w:rPr>
        <w:t> </w:t>
      </w:r>
      <w:r>
        <w:rPr>
          <w:rFonts w:ascii="Arial" w:hAnsi="Arial"/>
          <w:i/>
          <w:sz w:val="22"/>
        </w:rPr>
        <w:t>del objeto específico de las medidas de excepción, dirigiéndose a imposibilitar injustificadamente la importación de un determinado producto o a hacer la importación</w:t>
      </w:r>
      <w:r>
        <w:rPr>
          <w:rFonts w:ascii="Arial" w:hAnsi="Arial"/>
          <w:i/>
          <w:spacing w:val="-16"/>
          <w:sz w:val="22"/>
        </w:rPr>
        <w:t> </w:t>
      </w:r>
      <w:r>
        <w:rPr>
          <w:rFonts w:ascii="Arial" w:hAnsi="Arial"/>
          <w:i/>
          <w:sz w:val="22"/>
        </w:rPr>
        <w:t>más</w:t>
      </w:r>
      <w:r>
        <w:rPr>
          <w:rFonts w:ascii="Arial" w:hAnsi="Arial"/>
          <w:i/>
          <w:spacing w:val="-15"/>
          <w:sz w:val="22"/>
        </w:rPr>
        <w:t> </w:t>
      </w:r>
      <w:r>
        <w:rPr>
          <w:rFonts w:ascii="Arial" w:hAnsi="Arial"/>
          <w:i/>
          <w:sz w:val="22"/>
        </w:rPr>
        <w:t>difícil</w:t>
      </w:r>
      <w:r>
        <w:rPr>
          <w:rFonts w:ascii="Arial" w:hAnsi="Arial"/>
          <w:i/>
          <w:spacing w:val="-15"/>
          <w:sz w:val="22"/>
        </w:rPr>
        <w:t> </w:t>
      </w:r>
      <w:r>
        <w:rPr>
          <w:rFonts w:ascii="Arial" w:hAnsi="Arial"/>
          <w:i/>
          <w:sz w:val="22"/>
        </w:rPr>
        <w:t>o</w:t>
      </w:r>
      <w:r>
        <w:rPr>
          <w:rFonts w:ascii="Arial" w:hAnsi="Arial"/>
          <w:i/>
          <w:spacing w:val="-16"/>
          <w:sz w:val="22"/>
        </w:rPr>
        <w:t> </w:t>
      </w:r>
      <w:r>
        <w:rPr>
          <w:rFonts w:ascii="Arial" w:hAnsi="Arial"/>
          <w:i/>
          <w:sz w:val="22"/>
        </w:rPr>
        <w:t>más</w:t>
      </w:r>
      <w:r>
        <w:rPr>
          <w:rFonts w:ascii="Arial" w:hAnsi="Arial"/>
          <w:i/>
          <w:spacing w:val="-15"/>
          <w:sz w:val="22"/>
        </w:rPr>
        <w:t> </w:t>
      </w:r>
      <w:r>
        <w:rPr>
          <w:rFonts w:ascii="Arial" w:hAnsi="Arial"/>
          <w:i/>
          <w:sz w:val="22"/>
        </w:rPr>
        <w:t>costosa,</w:t>
      </w:r>
      <w:r>
        <w:rPr>
          <w:rFonts w:ascii="Arial" w:hAnsi="Arial"/>
          <w:i/>
          <w:spacing w:val="-13"/>
          <w:sz w:val="22"/>
        </w:rPr>
        <w:t> </w:t>
      </w:r>
      <w:r>
        <w:rPr>
          <w:rFonts w:ascii="Arial" w:hAnsi="Arial"/>
          <w:i/>
          <w:sz w:val="22"/>
        </w:rPr>
        <w:t>puede</w:t>
      </w:r>
      <w:r>
        <w:rPr>
          <w:rFonts w:ascii="Arial" w:hAnsi="Arial"/>
          <w:i/>
          <w:spacing w:val="-15"/>
          <w:sz w:val="22"/>
        </w:rPr>
        <w:t> </w:t>
      </w:r>
      <w:r>
        <w:rPr>
          <w:rFonts w:ascii="Arial" w:hAnsi="Arial"/>
          <w:i/>
          <w:sz w:val="22"/>
        </w:rPr>
        <w:t>reunir</w:t>
      </w:r>
      <w:r>
        <w:rPr>
          <w:rFonts w:ascii="Arial" w:hAnsi="Arial"/>
          <w:i/>
          <w:spacing w:val="-14"/>
          <w:sz w:val="22"/>
        </w:rPr>
        <w:t> </w:t>
      </w:r>
      <w:r>
        <w:rPr>
          <w:rFonts w:ascii="Arial" w:hAnsi="Arial"/>
          <w:i/>
          <w:sz w:val="22"/>
        </w:rPr>
        <w:t>las</w:t>
      </w:r>
      <w:r>
        <w:rPr>
          <w:rFonts w:ascii="Arial" w:hAnsi="Arial"/>
          <w:i/>
          <w:spacing w:val="-14"/>
          <w:sz w:val="22"/>
        </w:rPr>
        <w:t> </w:t>
      </w:r>
      <w:r>
        <w:rPr>
          <w:rFonts w:ascii="Arial" w:hAnsi="Arial"/>
          <w:i/>
          <w:sz w:val="22"/>
        </w:rPr>
        <w:t>características</w:t>
      </w:r>
      <w:r>
        <w:rPr>
          <w:rFonts w:ascii="Arial" w:hAnsi="Arial"/>
          <w:i/>
          <w:spacing w:val="-14"/>
          <w:sz w:val="22"/>
        </w:rPr>
        <w:t> </w:t>
      </w:r>
      <w:r>
        <w:rPr>
          <w:rFonts w:ascii="Arial" w:hAnsi="Arial"/>
          <w:i/>
          <w:sz w:val="22"/>
        </w:rPr>
        <w:t>de</w:t>
      </w:r>
      <w:r>
        <w:rPr>
          <w:rFonts w:ascii="Arial" w:hAnsi="Arial"/>
          <w:i/>
          <w:spacing w:val="-16"/>
          <w:sz w:val="22"/>
        </w:rPr>
        <w:t> </w:t>
      </w:r>
      <w:r>
        <w:rPr>
          <w:rFonts w:ascii="Arial" w:hAnsi="Arial"/>
          <w:i/>
          <w:sz w:val="22"/>
        </w:rPr>
        <w:t>restricción al comercio, y más aún cuando una medida tiene carácter discriminatorio (…)”. </w:t>
      </w:r>
      <w:r>
        <w:rPr>
          <w:sz w:val="22"/>
        </w:rPr>
        <w:t>(Subrayado fuera del texto).</w:t>
      </w:r>
    </w:p>
    <w:p>
      <w:pPr>
        <w:pStyle w:val="BodyText"/>
      </w:pPr>
    </w:p>
    <w:p>
      <w:pPr>
        <w:pStyle w:val="ListParagraph"/>
        <w:numPr>
          <w:ilvl w:val="0"/>
          <w:numId w:val="50"/>
        </w:numPr>
        <w:tabs>
          <w:tab w:pos="1130" w:val="left" w:leader="none"/>
          <w:tab w:pos="1134" w:val="left" w:leader="none"/>
        </w:tabs>
        <w:spacing w:line="240" w:lineRule="auto" w:before="1" w:after="0"/>
        <w:ind w:left="1134" w:right="979" w:hanging="567"/>
        <w:jc w:val="both"/>
        <w:rPr>
          <w:sz w:val="22"/>
        </w:rPr>
      </w:pPr>
      <w:r>
        <w:rPr>
          <w:sz w:val="22"/>
        </w:rPr>
        <w:t>Adicionalmente,</w:t>
      </w:r>
      <w:r>
        <w:rPr>
          <w:spacing w:val="-5"/>
          <w:sz w:val="22"/>
        </w:rPr>
        <w:t> </w:t>
      </w:r>
      <w:r>
        <w:rPr>
          <w:sz w:val="22"/>
        </w:rPr>
        <w:t>el</w:t>
      </w:r>
      <w:r>
        <w:rPr>
          <w:spacing w:val="-5"/>
          <w:sz w:val="22"/>
        </w:rPr>
        <w:t> </w:t>
      </w:r>
      <w:r>
        <w:rPr>
          <w:sz w:val="22"/>
        </w:rPr>
        <w:t>TJCAN</w:t>
      </w:r>
      <w:r>
        <w:rPr>
          <w:spacing w:val="-5"/>
          <w:sz w:val="22"/>
        </w:rPr>
        <w:t> </w:t>
      </w:r>
      <w:r>
        <w:rPr>
          <w:sz w:val="22"/>
        </w:rPr>
        <w:t>en</w:t>
      </w:r>
      <w:r>
        <w:rPr>
          <w:spacing w:val="-7"/>
          <w:sz w:val="22"/>
        </w:rPr>
        <w:t> </w:t>
      </w:r>
      <w:r>
        <w:rPr>
          <w:sz w:val="22"/>
        </w:rPr>
        <w:t>su</w:t>
      </w:r>
      <w:r>
        <w:rPr>
          <w:spacing w:val="-6"/>
          <w:sz w:val="22"/>
        </w:rPr>
        <w:t> </w:t>
      </w:r>
      <w:r>
        <w:rPr>
          <w:sz w:val="22"/>
        </w:rPr>
        <w:t>sentencia</w:t>
      </w:r>
      <w:r>
        <w:rPr>
          <w:spacing w:val="-4"/>
          <w:sz w:val="22"/>
        </w:rPr>
        <w:t> </w:t>
      </w:r>
      <w:r>
        <w:rPr>
          <w:sz w:val="22"/>
        </w:rPr>
        <w:t>en</w:t>
      </w:r>
      <w:r>
        <w:rPr>
          <w:spacing w:val="-7"/>
          <w:sz w:val="22"/>
        </w:rPr>
        <w:t> </w:t>
      </w:r>
      <w:r>
        <w:rPr>
          <w:sz w:val="22"/>
        </w:rPr>
        <w:t>el</w:t>
      </w:r>
      <w:r>
        <w:rPr>
          <w:spacing w:val="-10"/>
          <w:sz w:val="22"/>
        </w:rPr>
        <w:t> </w:t>
      </w:r>
      <w:r>
        <w:rPr>
          <w:sz w:val="22"/>
        </w:rPr>
        <w:t>Proceso</w:t>
      </w:r>
      <w:r>
        <w:rPr>
          <w:spacing w:val="-6"/>
          <w:sz w:val="22"/>
        </w:rPr>
        <w:t> </w:t>
      </w:r>
      <w:r>
        <w:rPr>
          <w:sz w:val="22"/>
        </w:rPr>
        <w:t>02-AN-98</w:t>
      </w:r>
      <w:hyperlink w:history="true" w:anchor="_bookmark98">
        <w:r>
          <w:rPr>
            <w:sz w:val="22"/>
            <w:vertAlign w:val="superscript"/>
          </w:rPr>
          <w:t>31</w:t>
        </w:r>
      </w:hyperlink>
      <w:r>
        <w:rPr>
          <w:sz w:val="22"/>
          <w:vertAlign w:val="baseline"/>
        </w:rPr>
        <w:t>,</w:t>
      </w:r>
      <w:r>
        <w:rPr>
          <w:spacing w:val="-5"/>
          <w:sz w:val="22"/>
          <w:vertAlign w:val="baseline"/>
        </w:rPr>
        <w:t> </w:t>
      </w:r>
      <w:r>
        <w:rPr>
          <w:sz w:val="22"/>
          <w:vertAlign w:val="baseline"/>
        </w:rPr>
        <w:t>ha</w:t>
      </w:r>
      <w:r>
        <w:rPr>
          <w:spacing w:val="-7"/>
          <w:sz w:val="22"/>
          <w:vertAlign w:val="baseline"/>
        </w:rPr>
        <w:t> </w:t>
      </w:r>
      <w:r>
        <w:rPr>
          <w:sz w:val="22"/>
          <w:vertAlign w:val="baseline"/>
        </w:rPr>
        <w:t>precisado</w:t>
      </w:r>
      <w:r>
        <w:rPr>
          <w:spacing w:val="-4"/>
          <w:sz w:val="22"/>
          <w:vertAlign w:val="baseline"/>
        </w:rPr>
        <w:t> </w:t>
      </w:r>
      <w:r>
        <w:rPr>
          <w:sz w:val="22"/>
          <w:vertAlign w:val="baseline"/>
        </w:rPr>
        <w:t>que la calificación de una medida como restrictiva no depende de su naturaleza, sea esta definitiva o preparatoria, en los siguientes términos:</w:t>
      </w:r>
    </w:p>
    <w:p>
      <w:pPr>
        <w:spacing w:before="251"/>
        <w:ind w:left="1562" w:right="982" w:firstLine="0"/>
        <w:jc w:val="both"/>
        <w:rPr>
          <w:rFonts w:ascii="Arial" w:hAnsi="Arial"/>
          <w:i/>
          <w:sz w:val="22"/>
        </w:rPr>
      </w:pPr>
      <w:r>
        <w:rPr>
          <w:rFonts w:ascii="Arial" w:hAnsi="Arial"/>
          <w:i/>
          <w:sz w:val="22"/>
        </w:rPr>
        <w:t>“El</w:t>
      </w:r>
      <w:r>
        <w:rPr>
          <w:rFonts w:ascii="Arial" w:hAnsi="Arial"/>
          <w:i/>
          <w:spacing w:val="-2"/>
          <w:sz w:val="22"/>
        </w:rPr>
        <w:t> </w:t>
      </w:r>
      <w:r>
        <w:rPr>
          <w:rFonts w:ascii="Arial" w:hAnsi="Arial"/>
          <w:i/>
          <w:sz w:val="22"/>
        </w:rPr>
        <w:t>carácter</w:t>
      </w:r>
      <w:r>
        <w:rPr>
          <w:rFonts w:ascii="Arial" w:hAnsi="Arial"/>
          <w:i/>
          <w:spacing w:val="-1"/>
          <w:sz w:val="22"/>
        </w:rPr>
        <w:t> </w:t>
      </w:r>
      <w:r>
        <w:rPr>
          <w:rFonts w:ascii="Arial" w:hAnsi="Arial"/>
          <w:i/>
          <w:sz w:val="22"/>
        </w:rPr>
        <w:t>definitivo</w:t>
      </w:r>
      <w:r>
        <w:rPr>
          <w:rFonts w:ascii="Arial" w:hAnsi="Arial"/>
          <w:i/>
          <w:spacing w:val="-2"/>
          <w:sz w:val="22"/>
        </w:rPr>
        <w:t> </w:t>
      </w:r>
      <w:r>
        <w:rPr>
          <w:rFonts w:ascii="Arial" w:hAnsi="Arial"/>
          <w:i/>
          <w:sz w:val="22"/>
        </w:rPr>
        <w:t>o</w:t>
      </w:r>
      <w:r>
        <w:rPr>
          <w:rFonts w:ascii="Arial" w:hAnsi="Arial"/>
          <w:i/>
          <w:spacing w:val="-1"/>
          <w:sz w:val="22"/>
        </w:rPr>
        <w:t> </w:t>
      </w:r>
      <w:r>
        <w:rPr>
          <w:rFonts w:ascii="Arial" w:hAnsi="Arial"/>
          <w:i/>
          <w:sz w:val="22"/>
        </w:rPr>
        <w:t>preparatorio</w:t>
      </w:r>
      <w:r>
        <w:rPr>
          <w:rFonts w:ascii="Arial" w:hAnsi="Arial"/>
          <w:i/>
          <w:spacing w:val="-2"/>
          <w:sz w:val="22"/>
        </w:rPr>
        <w:t> </w:t>
      </w:r>
      <w:r>
        <w:rPr>
          <w:rFonts w:ascii="Arial" w:hAnsi="Arial"/>
          <w:i/>
          <w:sz w:val="22"/>
        </w:rPr>
        <w:t>de</w:t>
      </w:r>
      <w:r>
        <w:rPr>
          <w:rFonts w:ascii="Arial" w:hAnsi="Arial"/>
          <w:i/>
          <w:spacing w:val="-2"/>
          <w:sz w:val="22"/>
        </w:rPr>
        <w:t> </w:t>
      </w:r>
      <w:r>
        <w:rPr>
          <w:rFonts w:ascii="Arial" w:hAnsi="Arial"/>
          <w:i/>
          <w:sz w:val="22"/>
        </w:rPr>
        <w:t>un</w:t>
      </w:r>
      <w:r>
        <w:rPr>
          <w:rFonts w:ascii="Arial" w:hAnsi="Arial"/>
          <w:i/>
          <w:spacing w:val="-4"/>
          <w:sz w:val="22"/>
        </w:rPr>
        <w:t> </w:t>
      </w:r>
      <w:r>
        <w:rPr>
          <w:rFonts w:ascii="Arial" w:hAnsi="Arial"/>
          <w:i/>
          <w:sz w:val="22"/>
        </w:rPr>
        <w:t>acto</w:t>
      </w:r>
      <w:r>
        <w:rPr>
          <w:rFonts w:ascii="Arial" w:hAnsi="Arial"/>
          <w:i/>
          <w:spacing w:val="-4"/>
          <w:sz w:val="22"/>
        </w:rPr>
        <w:t> </w:t>
      </w:r>
      <w:r>
        <w:rPr>
          <w:rFonts w:ascii="Arial" w:hAnsi="Arial"/>
          <w:i/>
          <w:sz w:val="22"/>
        </w:rPr>
        <w:t>interno</w:t>
      </w:r>
      <w:r>
        <w:rPr>
          <w:rFonts w:ascii="Arial" w:hAnsi="Arial"/>
          <w:i/>
          <w:spacing w:val="-2"/>
          <w:sz w:val="22"/>
        </w:rPr>
        <w:t> </w:t>
      </w:r>
      <w:r>
        <w:rPr>
          <w:rFonts w:ascii="Arial" w:hAnsi="Arial"/>
          <w:i/>
          <w:sz w:val="22"/>
        </w:rPr>
        <w:t>no</w:t>
      </w:r>
      <w:r>
        <w:rPr>
          <w:rFonts w:ascii="Arial" w:hAnsi="Arial"/>
          <w:i/>
          <w:spacing w:val="-2"/>
          <w:sz w:val="22"/>
        </w:rPr>
        <w:t> </w:t>
      </w:r>
      <w:r>
        <w:rPr>
          <w:rFonts w:ascii="Arial" w:hAnsi="Arial"/>
          <w:i/>
          <w:sz w:val="22"/>
        </w:rPr>
        <w:t>es</w:t>
      </w:r>
      <w:r>
        <w:rPr>
          <w:rFonts w:ascii="Arial" w:hAnsi="Arial"/>
          <w:i/>
          <w:spacing w:val="-4"/>
          <w:sz w:val="22"/>
        </w:rPr>
        <w:t> </w:t>
      </w:r>
      <w:r>
        <w:rPr>
          <w:rFonts w:ascii="Arial" w:hAnsi="Arial"/>
          <w:i/>
          <w:sz w:val="22"/>
        </w:rPr>
        <w:t>decisivo</w:t>
      </w:r>
      <w:r>
        <w:rPr>
          <w:rFonts w:ascii="Arial" w:hAnsi="Arial"/>
          <w:i/>
          <w:spacing w:val="-2"/>
          <w:sz w:val="22"/>
        </w:rPr>
        <w:t> </w:t>
      </w:r>
      <w:r>
        <w:rPr>
          <w:rFonts w:ascii="Arial" w:hAnsi="Arial"/>
          <w:i/>
          <w:sz w:val="22"/>
        </w:rPr>
        <w:t>para</w:t>
      </w:r>
      <w:r>
        <w:rPr>
          <w:rFonts w:ascii="Arial" w:hAnsi="Arial"/>
          <w:i/>
          <w:spacing w:val="-4"/>
          <w:sz w:val="22"/>
        </w:rPr>
        <w:t> </w:t>
      </w:r>
      <w:r>
        <w:rPr>
          <w:rFonts w:ascii="Arial" w:hAnsi="Arial"/>
          <w:i/>
          <w:sz w:val="22"/>
        </w:rPr>
        <w:t>calificar una medida como restricción al comercio, sino más bien el efecto restrictivo que eventualmente pudiere producir, en las importaciones presentes o futuras”.</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De la jurisprudencia citada se desprende que, para que una medida califique como restricción</w:t>
      </w:r>
      <w:r>
        <w:rPr>
          <w:spacing w:val="-13"/>
          <w:sz w:val="22"/>
        </w:rPr>
        <w:t> </w:t>
      </w:r>
      <w:r>
        <w:rPr>
          <w:sz w:val="22"/>
        </w:rPr>
        <w:t>en</w:t>
      </w:r>
      <w:r>
        <w:rPr>
          <w:spacing w:val="-15"/>
          <w:sz w:val="22"/>
        </w:rPr>
        <w:t> </w:t>
      </w:r>
      <w:r>
        <w:rPr>
          <w:sz w:val="22"/>
        </w:rPr>
        <w:t>los</w:t>
      </w:r>
      <w:r>
        <w:rPr>
          <w:spacing w:val="-14"/>
          <w:sz w:val="22"/>
        </w:rPr>
        <w:t> </w:t>
      </w:r>
      <w:r>
        <w:rPr>
          <w:sz w:val="22"/>
        </w:rPr>
        <w:t>términos</w:t>
      </w:r>
      <w:r>
        <w:rPr>
          <w:spacing w:val="-12"/>
          <w:sz w:val="22"/>
        </w:rPr>
        <w:t> </w:t>
      </w:r>
      <w:r>
        <w:rPr>
          <w:sz w:val="22"/>
        </w:rPr>
        <w:t>del</w:t>
      </w:r>
      <w:r>
        <w:rPr>
          <w:spacing w:val="-13"/>
          <w:sz w:val="22"/>
        </w:rPr>
        <w:t> </w:t>
      </w:r>
      <w:r>
        <w:rPr>
          <w:sz w:val="22"/>
        </w:rPr>
        <w:t>artículo</w:t>
      </w:r>
      <w:r>
        <w:rPr>
          <w:spacing w:val="-12"/>
          <w:sz w:val="22"/>
        </w:rPr>
        <w:t> </w:t>
      </w:r>
      <w:r>
        <w:rPr>
          <w:sz w:val="22"/>
        </w:rPr>
        <w:t>73</w:t>
      </w:r>
      <w:r>
        <w:rPr>
          <w:spacing w:val="-15"/>
          <w:sz w:val="22"/>
        </w:rPr>
        <w:t> </w:t>
      </w:r>
      <w:r>
        <w:rPr>
          <w:sz w:val="22"/>
        </w:rPr>
        <w:t>del</w:t>
      </w:r>
      <w:r>
        <w:rPr>
          <w:spacing w:val="-13"/>
          <w:sz w:val="22"/>
        </w:rPr>
        <w:t> </w:t>
      </w:r>
      <w:r>
        <w:rPr>
          <w:sz w:val="22"/>
        </w:rPr>
        <w:t>Acuerdo</w:t>
      </w:r>
      <w:r>
        <w:rPr>
          <w:spacing w:val="-13"/>
          <w:sz w:val="22"/>
        </w:rPr>
        <w:t> </w:t>
      </w:r>
      <w:r>
        <w:rPr>
          <w:sz w:val="22"/>
        </w:rPr>
        <w:t>de</w:t>
      </w:r>
      <w:r>
        <w:rPr>
          <w:spacing w:val="-15"/>
          <w:sz w:val="22"/>
        </w:rPr>
        <w:t> </w:t>
      </w:r>
      <w:r>
        <w:rPr>
          <w:sz w:val="22"/>
        </w:rPr>
        <w:t>Cartagena,</w:t>
      </w:r>
      <w:r>
        <w:rPr>
          <w:spacing w:val="-14"/>
          <w:sz w:val="22"/>
        </w:rPr>
        <w:t> </w:t>
      </w:r>
      <w:r>
        <w:rPr>
          <w:sz w:val="22"/>
        </w:rPr>
        <w:t>esta</w:t>
      </w:r>
      <w:r>
        <w:rPr>
          <w:spacing w:val="-12"/>
          <w:sz w:val="22"/>
        </w:rPr>
        <w:t> </w:t>
      </w:r>
      <w:r>
        <w:rPr>
          <w:sz w:val="22"/>
        </w:rPr>
        <w:t>debe</w:t>
      </w:r>
      <w:r>
        <w:rPr>
          <w:spacing w:val="-12"/>
          <w:sz w:val="22"/>
        </w:rPr>
        <w:t> </w:t>
      </w:r>
      <w:r>
        <w:rPr>
          <w:sz w:val="22"/>
        </w:rPr>
        <w:t>producir, como efecto:</w:t>
      </w:r>
      <w:r>
        <w:rPr>
          <w:spacing w:val="-1"/>
          <w:sz w:val="22"/>
        </w:rPr>
        <w:t> </w:t>
      </w:r>
      <w:r>
        <w:rPr>
          <w:sz w:val="22"/>
        </w:rPr>
        <w:t>(i) impedir, suspender o prohibir las</w:t>
      </w:r>
      <w:r>
        <w:rPr>
          <w:spacing w:val="-2"/>
          <w:sz w:val="22"/>
        </w:rPr>
        <w:t> </w:t>
      </w:r>
      <w:r>
        <w:rPr>
          <w:sz w:val="22"/>
        </w:rPr>
        <w:t>importaciones de origen</w:t>
      </w:r>
      <w:r>
        <w:rPr>
          <w:spacing w:val="-2"/>
          <w:sz w:val="22"/>
        </w:rPr>
        <w:t> </w:t>
      </w:r>
      <w:r>
        <w:rPr>
          <w:sz w:val="22"/>
        </w:rPr>
        <w:t>andino; o (ii) dificultar, encarecer o hacer más onerosa la operación de importación de dichos </w:t>
      </w:r>
      <w:r>
        <w:rPr>
          <w:spacing w:val="-2"/>
          <w:sz w:val="22"/>
        </w:rPr>
        <w:t>productos.</w:t>
      </w:r>
    </w:p>
    <w:p>
      <w:pPr>
        <w:pStyle w:val="ListParagraph"/>
        <w:numPr>
          <w:ilvl w:val="0"/>
          <w:numId w:val="50"/>
        </w:numPr>
        <w:tabs>
          <w:tab w:pos="1130" w:val="left" w:leader="none"/>
          <w:tab w:pos="1134" w:val="left" w:leader="none"/>
        </w:tabs>
        <w:spacing w:line="240" w:lineRule="auto" w:before="252" w:after="0"/>
        <w:ind w:left="1134" w:right="982" w:hanging="567"/>
        <w:jc w:val="both"/>
        <w:rPr>
          <w:sz w:val="22"/>
        </w:rPr>
      </w:pPr>
      <w:r>
        <w:rPr>
          <w:sz w:val="22"/>
        </w:rPr>
        <w:t>En</w:t>
      </w:r>
      <w:r>
        <w:rPr>
          <w:spacing w:val="-10"/>
          <w:sz w:val="22"/>
        </w:rPr>
        <w:t> </w:t>
      </w:r>
      <w:r>
        <w:rPr>
          <w:sz w:val="22"/>
        </w:rPr>
        <w:t>cuanto</w:t>
      </w:r>
      <w:r>
        <w:rPr>
          <w:spacing w:val="-11"/>
          <w:sz w:val="22"/>
        </w:rPr>
        <w:t> </w:t>
      </w:r>
      <w:r>
        <w:rPr>
          <w:sz w:val="22"/>
        </w:rPr>
        <w:t>a</w:t>
      </w:r>
      <w:r>
        <w:rPr>
          <w:spacing w:val="-11"/>
          <w:sz w:val="22"/>
        </w:rPr>
        <w:t> </w:t>
      </w:r>
      <w:r>
        <w:rPr>
          <w:sz w:val="22"/>
        </w:rPr>
        <w:t>las</w:t>
      </w:r>
      <w:r>
        <w:rPr>
          <w:spacing w:val="-10"/>
          <w:sz w:val="22"/>
        </w:rPr>
        <w:t> </w:t>
      </w:r>
      <w:r>
        <w:rPr>
          <w:sz w:val="22"/>
        </w:rPr>
        <w:t>excepciones</w:t>
      </w:r>
      <w:r>
        <w:rPr>
          <w:spacing w:val="-9"/>
          <w:sz w:val="22"/>
        </w:rPr>
        <w:t> </w:t>
      </w:r>
      <w:r>
        <w:rPr>
          <w:sz w:val="22"/>
        </w:rPr>
        <w:t>del</w:t>
      </w:r>
      <w:r>
        <w:rPr>
          <w:spacing w:val="-12"/>
          <w:sz w:val="22"/>
        </w:rPr>
        <w:t> </w:t>
      </w:r>
      <w:r>
        <w:rPr>
          <w:sz w:val="22"/>
        </w:rPr>
        <w:t>artículo</w:t>
      </w:r>
      <w:r>
        <w:rPr>
          <w:spacing w:val="-10"/>
          <w:sz w:val="22"/>
        </w:rPr>
        <w:t> </w:t>
      </w:r>
      <w:r>
        <w:rPr>
          <w:sz w:val="22"/>
        </w:rPr>
        <w:t>73</w:t>
      </w:r>
      <w:r>
        <w:rPr>
          <w:spacing w:val="-12"/>
          <w:sz w:val="22"/>
        </w:rPr>
        <w:t> </w:t>
      </w:r>
      <w:r>
        <w:rPr>
          <w:sz w:val="22"/>
        </w:rPr>
        <w:t>del</w:t>
      </w:r>
      <w:r>
        <w:rPr>
          <w:spacing w:val="-12"/>
          <w:sz w:val="22"/>
        </w:rPr>
        <w:t> </w:t>
      </w:r>
      <w:r>
        <w:rPr>
          <w:sz w:val="22"/>
        </w:rPr>
        <w:t>Acuerdo</w:t>
      </w:r>
      <w:r>
        <w:rPr>
          <w:spacing w:val="-12"/>
          <w:sz w:val="22"/>
        </w:rPr>
        <w:t> </w:t>
      </w:r>
      <w:r>
        <w:rPr>
          <w:sz w:val="22"/>
        </w:rPr>
        <w:t>de</w:t>
      </w:r>
      <w:r>
        <w:rPr>
          <w:spacing w:val="-12"/>
          <w:sz w:val="22"/>
        </w:rPr>
        <w:t> </w:t>
      </w:r>
      <w:r>
        <w:rPr>
          <w:sz w:val="22"/>
        </w:rPr>
        <w:t>Cartagena,</w:t>
      </w:r>
      <w:r>
        <w:rPr>
          <w:spacing w:val="-11"/>
          <w:sz w:val="22"/>
        </w:rPr>
        <w:t> </w:t>
      </w:r>
      <w:r>
        <w:rPr>
          <w:sz w:val="22"/>
        </w:rPr>
        <w:t>el</w:t>
      </w:r>
      <w:r>
        <w:rPr>
          <w:spacing w:val="-12"/>
          <w:sz w:val="22"/>
        </w:rPr>
        <w:t> </w:t>
      </w:r>
      <w:r>
        <w:rPr>
          <w:sz w:val="22"/>
        </w:rPr>
        <w:t>TJCAN</w:t>
      </w:r>
      <w:r>
        <w:rPr>
          <w:spacing w:val="-11"/>
          <w:sz w:val="22"/>
        </w:rPr>
        <w:t> </w:t>
      </w:r>
      <w:r>
        <w:rPr>
          <w:sz w:val="22"/>
        </w:rPr>
        <w:t>dentro del Proceso 01-AN-2014</w:t>
      </w:r>
      <w:hyperlink w:history="true" w:anchor="_bookmark99">
        <w:r>
          <w:rPr>
            <w:sz w:val="22"/>
            <w:vertAlign w:val="superscript"/>
          </w:rPr>
          <w:t>32</w:t>
        </w:r>
      </w:hyperlink>
      <w:r>
        <w:rPr>
          <w:sz w:val="22"/>
          <w:vertAlign w:val="baseline"/>
        </w:rPr>
        <w:t>, desarrolló las consideraciones para justificar la excepcionalidad de una medida. En ese sentido, señaló lo siguiente:</w:t>
      </w:r>
    </w:p>
    <w:p>
      <w:pPr>
        <w:pStyle w:val="BodyText"/>
        <w:spacing w:before="1"/>
      </w:pPr>
    </w:p>
    <w:p>
      <w:pPr>
        <w:spacing w:before="0"/>
        <w:ind w:left="1562" w:right="974" w:firstLine="0"/>
        <w:jc w:val="both"/>
        <w:rPr>
          <w:rFonts w:ascii="Arial" w:hAnsi="Arial"/>
          <w:i/>
          <w:sz w:val="22"/>
        </w:rPr>
      </w:pPr>
      <w:r>
        <w:rPr>
          <w:rFonts w:ascii="Arial" w:hAnsi="Arial"/>
          <w:i/>
          <w:sz w:val="22"/>
        </w:rPr>
        <w:t>“En</w:t>
      </w:r>
      <w:r>
        <w:rPr>
          <w:rFonts w:ascii="Arial" w:hAnsi="Arial"/>
          <w:i/>
          <w:spacing w:val="-15"/>
          <w:sz w:val="22"/>
        </w:rPr>
        <w:t> </w:t>
      </w:r>
      <w:r>
        <w:rPr>
          <w:rFonts w:ascii="Arial" w:hAnsi="Arial"/>
          <w:i/>
          <w:sz w:val="22"/>
        </w:rPr>
        <w:t>ese</w:t>
      </w:r>
      <w:r>
        <w:rPr>
          <w:rFonts w:ascii="Arial" w:hAnsi="Arial"/>
          <w:i/>
          <w:spacing w:val="-13"/>
          <w:sz w:val="22"/>
        </w:rPr>
        <w:t> </w:t>
      </w:r>
      <w:r>
        <w:rPr>
          <w:rFonts w:ascii="Arial" w:hAnsi="Arial"/>
          <w:i/>
          <w:sz w:val="22"/>
        </w:rPr>
        <w:t>orden</w:t>
      </w:r>
      <w:r>
        <w:rPr>
          <w:rFonts w:ascii="Arial" w:hAnsi="Arial"/>
          <w:i/>
          <w:spacing w:val="-14"/>
          <w:sz w:val="22"/>
        </w:rPr>
        <w:t> </w:t>
      </w:r>
      <w:r>
        <w:rPr>
          <w:rFonts w:ascii="Arial" w:hAnsi="Arial"/>
          <w:i/>
          <w:sz w:val="22"/>
        </w:rPr>
        <w:t>de</w:t>
      </w:r>
      <w:r>
        <w:rPr>
          <w:rFonts w:ascii="Arial" w:hAnsi="Arial"/>
          <w:i/>
          <w:spacing w:val="-16"/>
          <w:sz w:val="22"/>
        </w:rPr>
        <w:t> </w:t>
      </w:r>
      <w:r>
        <w:rPr>
          <w:rFonts w:ascii="Arial" w:hAnsi="Arial"/>
          <w:i/>
          <w:sz w:val="22"/>
        </w:rPr>
        <w:t>ideas,</w:t>
      </w:r>
      <w:r>
        <w:rPr>
          <w:rFonts w:ascii="Arial" w:hAnsi="Arial"/>
          <w:i/>
          <w:spacing w:val="-15"/>
          <w:sz w:val="22"/>
        </w:rPr>
        <w:t> </w:t>
      </w:r>
      <w:r>
        <w:rPr>
          <w:rFonts w:ascii="Arial" w:hAnsi="Arial"/>
          <w:i/>
          <w:sz w:val="22"/>
        </w:rPr>
        <w:t>este</w:t>
      </w:r>
      <w:r>
        <w:rPr>
          <w:rFonts w:ascii="Arial" w:hAnsi="Arial"/>
          <w:i/>
          <w:spacing w:val="-12"/>
          <w:sz w:val="22"/>
        </w:rPr>
        <w:t> </w:t>
      </w:r>
      <w:r>
        <w:rPr>
          <w:rFonts w:ascii="Arial" w:hAnsi="Arial"/>
          <w:i/>
          <w:sz w:val="22"/>
        </w:rPr>
        <w:t>Tribunal</w:t>
      </w:r>
      <w:r>
        <w:rPr>
          <w:rFonts w:ascii="Arial" w:hAnsi="Arial"/>
          <w:i/>
          <w:spacing w:val="-14"/>
          <w:sz w:val="22"/>
        </w:rPr>
        <w:t> </w:t>
      </w:r>
      <w:r>
        <w:rPr>
          <w:rFonts w:ascii="Arial" w:hAnsi="Arial"/>
          <w:i/>
          <w:sz w:val="22"/>
        </w:rPr>
        <w:t>considera</w:t>
      </w:r>
      <w:r>
        <w:rPr>
          <w:rFonts w:ascii="Arial" w:hAnsi="Arial"/>
          <w:i/>
          <w:spacing w:val="-14"/>
          <w:sz w:val="22"/>
        </w:rPr>
        <w:t> </w:t>
      </w:r>
      <w:r>
        <w:rPr>
          <w:rFonts w:ascii="Arial" w:hAnsi="Arial"/>
          <w:i/>
          <w:sz w:val="22"/>
        </w:rPr>
        <w:t>que</w:t>
      </w:r>
      <w:r>
        <w:rPr>
          <w:rFonts w:ascii="Arial" w:hAnsi="Arial"/>
          <w:i/>
          <w:spacing w:val="-14"/>
          <w:sz w:val="22"/>
        </w:rPr>
        <w:t> </w:t>
      </w:r>
      <w:r>
        <w:rPr>
          <w:rFonts w:ascii="Arial" w:hAnsi="Arial"/>
          <w:i/>
          <w:sz w:val="22"/>
        </w:rPr>
        <w:t>para</w:t>
      </w:r>
      <w:r>
        <w:rPr>
          <w:rFonts w:ascii="Arial" w:hAnsi="Arial"/>
          <w:i/>
          <w:spacing w:val="-14"/>
          <w:sz w:val="22"/>
        </w:rPr>
        <w:t> </w:t>
      </w:r>
      <w:r>
        <w:rPr>
          <w:rFonts w:ascii="Arial" w:hAnsi="Arial"/>
          <w:i/>
          <w:sz w:val="22"/>
        </w:rPr>
        <w:t>que</w:t>
      </w:r>
      <w:r>
        <w:rPr>
          <w:rFonts w:ascii="Arial" w:hAnsi="Arial"/>
          <w:i/>
          <w:spacing w:val="-16"/>
          <w:sz w:val="22"/>
        </w:rPr>
        <w:t> </w:t>
      </w:r>
      <w:r>
        <w:rPr>
          <w:rFonts w:ascii="Arial" w:hAnsi="Arial"/>
          <w:i/>
          <w:sz w:val="22"/>
        </w:rPr>
        <w:t>una</w:t>
      </w:r>
      <w:r>
        <w:rPr>
          <w:rFonts w:ascii="Arial" w:hAnsi="Arial"/>
          <w:i/>
          <w:spacing w:val="-15"/>
          <w:sz w:val="22"/>
        </w:rPr>
        <w:t> </w:t>
      </w:r>
      <w:r>
        <w:rPr>
          <w:rFonts w:ascii="Arial" w:hAnsi="Arial"/>
          <w:i/>
          <w:sz w:val="22"/>
        </w:rPr>
        <w:t>medida</w:t>
      </w:r>
      <w:r>
        <w:rPr>
          <w:rFonts w:ascii="Arial" w:hAnsi="Arial"/>
          <w:i/>
          <w:spacing w:val="-15"/>
          <w:sz w:val="22"/>
        </w:rPr>
        <w:t> </w:t>
      </w:r>
      <w:r>
        <w:rPr>
          <w:rFonts w:ascii="Arial" w:hAnsi="Arial"/>
          <w:i/>
          <w:sz w:val="22"/>
        </w:rPr>
        <w:t>adoptada por un país miembro[sic] se justifique como una excepción de las previstas en el segundo párrafo del Artículo 73 del Acuerdo de Cartagena, debe cumplir, </w:t>
      </w:r>
      <w:r>
        <w:rPr>
          <w:rFonts w:ascii="Arial" w:hAnsi="Arial"/>
          <w:b/>
          <w:i/>
          <w:sz w:val="22"/>
        </w:rPr>
        <w:t>de manera concurrente</w:t>
      </w:r>
      <w:r>
        <w:rPr>
          <w:rFonts w:ascii="Arial" w:hAnsi="Arial"/>
          <w:i/>
          <w:sz w:val="22"/>
        </w:rPr>
        <w:t>, con los siguientes requisitos:</w:t>
      </w:r>
    </w:p>
    <w:p>
      <w:pPr>
        <w:pStyle w:val="BodyText"/>
        <w:spacing w:before="1"/>
        <w:rPr>
          <w:rFonts w:ascii="Arial"/>
          <w:i/>
          <w:sz w:val="20"/>
        </w:rPr>
      </w:pPr>
      <w:r>
        <w:rPr>
          <w:rFonts w:ascii="Arial"/>
          <w:i/>
          <w:sz w:val="20"/>
        </w:rPr>
        <mc:AlternateContent>
          <mc:Choice Requires="wps">
            <w:drawing>
              <wp:anchor distT="0" distB="0" distL="0" distR="0" allowOverlap="1" layoutInCell="1" locked="0" behindDoc="1" simplePos="0" relativeHeight="487637504">
                <wp:simplePos x="0" y="0"/>
                <wp:positionH relativeFrom="page">
                  <wp:posOffset>990904</wp:posOffset>
                </wp:positionH>
                <wp:positionV relativeFrom="paragraph">
                  <wp:posOffset>162502</wp:posOffset>
                </wp:positionV>
                <wp:extent cx="1829435" cy="7620"/>
                <wp:effectExtent l="0" t="0" r="0" b="0"/>
                <wp:wrapTopAndBottom/>
                <wp:docPr id="454" name="Graphic 454"/>
                <wp:cNvGraphicFramePr>
                  <a:graphicFrameLocks/>
                </wp:cNvGraphicFramePr>
                <a:graphic>
                  <a:graphicData uri="http://schemas.microsoft.com/office/word/2010/wordprocessingShape">
                    <wps:wsp>
                      <wps:cNvPr id="454" name="Graphic 454"/>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2.795448pt;width:144.020pt;height:.60004pt;mso-position-horizontal-relative:page;mso-position-vertical-relative:paragraph;z-index:-15678976;mso-wrap-distance-left:0;mso-wrap-distance-right:0" id="docshape318" filled="true" fillcolor="#000000" stroked="false">
                <v:fill type="solid"/>
                <w10:wrap type="topAndBottom"/>
              </v:rect>
            </w:pict>
          </mc:Fallback>
        </mc:AlternateContent>
      </w:r>
    </w:p>
    <w:p>
      <w:pPr>
        <w:spacing w:before="92"/>
        <w:ind w:left="710" w:right="955" w:hanging="142"/>
        <w:jc w:val="left"/>
        <w:rPr>
          <w:sz w:val="16"/>
        </w:rPr>
      </w:pPr>
      <w:bookmarkStart w:name="_bookmark97" w:id="98"/>
      <w:bookmarkEnd w:id="98"/>
      <w:r>
        <w:rPr/>
      </w:r>
      <w:r>
        <w:rPr>
          <w:sz w:val="16"/>
          <w:vertAlign w:val="superscript"/>
        </w:rPr>
        <w:t>30</w:t>
      </w:r>
      <w:r>
        <w:rPr>
          <w:spacing w:val="25"/>
          <w:sz w:val="16"/>
          <w:vertAlign w:val="baseline"/>
        </w:rPr>
        <w:t> </w:t>
      </w:r>
      <w:r>
        <w:rPr>
          <w:sz w:val="16"/>
          <w:vertAlign w:val="baseline"/>
        </w:rPr>
        <w:t>Tribunal</w:t>
      </w:r>
      <w:r>
        <w:rPr>
          <w:spacing w:val="26"/>
          <w:sz w:val="16"/>
          <w:vertAlign w:val="baseline"/>
        </w:rPr>
        <w:t> </w:t>
      </w:r>
      <w:r>
        <w:rPr>
          <w:sz w:val="16"/>
          <w:vertAlign w:val="baseline"/>
        </w:rPr>
        <w:t>de</w:t>
      </w:r>
      <w:r>
        <w:rPr>
          <w:spacing w:val="25"/>
          <w:sz w:val="16"/>
          <w:vertAlign w:val="baseline"/>
        </w:rPr>
        <w:t> </w:t>
      </w:r>
      <w:r>
        <w:rPr>
          <w:sz w:val="16"/>
          <w:vertAlign w:val="baseline"/>
        </w:rPr>
        <w:t>Justicia</w:t>
      </w:r>
      <w:r>
        <w:rPr>
          <w:spacing w:val="25"/>
          <w:sz w:val="16"/>
          <w:vertAlign w:val="baseline"/>
        </w:rPr>
        <w:t> </w:t>
      </w:r>
      <w:r>
        <w:rPr>
          <w:sz w:val="16"/>
          <w:vertAlign w:val="baseline"/>
        </w:rPr>
        <w:t>de</w:t>
      </w:r>
      <w:r>
        <w:rPr>
          <w:spacing w:val="25"/>
          <w:sz w:val="16"/>
          <w:vertAlign w:val="baseline"/>
        </w:rPr>
        <w:t> </w:t>
      </w:r>
      <w:r>
        <w:rPr>
          <w:sz w:val="16"/>
          <w:vertAlign w:val="baseline"/>
        </w:rPr>
        <w:t>la</w:t>
      </w:r>
      <w:r>
        <w:rPr>
          <w:spacing w:val="25"/>
          <w:sz w:val="16"/>
          <w:vertAlign w:val="baseline"/>
        </w:rPr>
        <w:t> </w:t>
      </w:r>
      <w:r>
        <w:rPr>
          <w:sz w:val="16"/>
          <w:vertAlign w:val="baseline"/>
        </w:rPr>
        <w:t>Comunidad</w:t>
      </w:r>
      <w:r>
        <w:rPr>
          <w:spacing w:val="25"/>
          <w:sz w:val="16"/>
          <w:vertAlign w:val="baseline"/>
        </w:rPr>
        <w:t> </w:t>
      </w:r>
      <w:r>
        <w:rPr>
          <w:sz w:val="16"/>
          <w:vertAlign w:val="baseline"/>
        </w:rPr>
        <w:t>Andina.</w:t>
      </w:r>
      <w:r>
        <w:rPr>
          <w:spacing w:val="26"/>
          <w:sz w:val="16"/>
          <w:vertAlign w:val="baseline"/>
        </w:rPr>
        <w:t> </w:t>
      </w:r>
      <w:r>
        <w:rPr>
          <w:sz w:val="16"/>
          <w:vertAlign w:val="baseline"/>
        </w:rPr>
        <w:t>Sentencia</w:t>
      </w:r>
      <w:r>
        <w:rPr>
          <w:spacing w:val="29"/>
          <w:sz w:val="16"/>
          <w:vertAlign w:val="baseline"/>
        </w:rPr>
        <w:t> </w:t>
      </w:r>
      <w:r>
        <w:rPr>
          <w:sz w:val="16"/>
          <w:vertAlign w:val="baseline"/>
        </w:rPr>
        <w:t>del</w:t>
      </w:r>
      <w:r>
        <w:rPr>
          <w:spacing w:val="24"/>
          <w:sz w:val="16"/>
          <w:vertAlign w:val="baseline"/>
        </w:rPr>
        <w:t> </w:t>
      </w:r>
      <w:r>
        <w:rPr>
          <w:sz w:val="16"/>
          <w:vertAlign w:val="baseline"/>
        </w:rPr>
        <w:t>8</w:t>
      </w:r>
      <w:r>
        <w:rPr>
          <w:spacing w:val="25"/>
          <w:sz w:val="16"/>
          <w:vertAlign w:val="baseline"/>
        </w:rPr>
        <w:t> </w:t>
      </w:r>
      <w:r>
        <w:rPr>
          <w:sz w:val="16"/>
          <w:vertAlign w:val="baseline"/>
        </w:rPr>
        <w:t>de</w:t>
      </w:r>
      <w:r>
        <w:rPr>
          <w:spacing w:val="25"/>
          <w:sz w:val="16"/>
          <w:vertAlign w:val="baseline"/>
        </w:rPr>
        <w:t> </w:t>
      </w:r>
      <w:r>
        <w:rPr>
          <w:sz w:val="16"/>
          <w:vertAlign w:val="baseline"/>
        </w:rPr>
        <w:t>diciembre</w:t>
      </w:r>
      <w:r>
        <w:rPr>
          <w:spacing w:val="25"/>
          <w:sz w:val="16"/>
          <w:vertAlign w:val="baseline"/>
        </w:rPr>
        <w:t> </w:t>
      </w:r>
      <w:r>
        <w:rPr>
          <w:sz w:val="16"/>
          <w:vertAlign w:val="baseline"/>
        </w:rPr>
        <w:t>de</w:t>
      </w:r>
      <w:r>
        <w:rPr>
          <w:spacing w:val="25"/>
          <w:sz w:val="16"/>
          <w:vertAlign w:val="baseline"/>
        </w:rPr>
        <w:t> </w:t>
      </w:r>
      <w:r>
        <w:rPr>
          <w:sz w:val="16"/>
          <w:vertAlign w:val="baseline"/>
        </w:rPr>
        <w:t>1998,</w:t>
      </w:r>
      <w:r>
        <w:rPr>
          <w:spacing w:val="26"/>
          <w:sz w:val="16"/>
          <w:vertAlign w:val="baseline"/>
        </w:rPr>
        <w:t> </w:t>
      </w:r>
      <w:r>
        <w:rPr>
          <w:sz w:val="16"/>
          <w:vertAlign w:val="baseline"/>
        </w:rPr>
        <w:t>proferida</w:t>
      </w:r>
      <w:r>
        <w:rPr>
          <w:spacing w:val="24"/>
          <w:sz w:val="16"/>
          <w:vertAlign w:val="baseline"/>
        </w:rPr>
        <w:t> </w:t>
      </w:r>
      <w:r>
        <w:rPr>
          <w:sz w:val="16"/>
          <w:vertAlign w:val="baseline"/>
        </w:rPr>
        <w:t>en</w:t>
      </w:r>
      <w:r>
        <w:rPr>
          <w:spacing w:val="25"/>
          <w:sz w:val="16"/>
          <w:vertAlign w:val="baseline"/>
        </w:rPr>
        <w:t> </w:t>
      </w:r>
      <w:r>
        <w:rPr>
          <w:sz w:val="16"/>
          <w:vertAlign w:val="baseline"/>
        </w:rPr>
        <w:t>el</w:t>
      </w:r>
      <w:r>
        <w:rPr>
          <w:spacing w:val="26"/>
          <w:sz w:val="16"/>
          <w:vertAlign w:val="baseline"/>
        </w:rPr>
        <w:t> </w:t>
      </w:r>
      <w:r>
        <w:rPr>
          <w:sz w:val="16"/>
          <w:vertAlign w:val="baseline"/>
        </w:rPr>
        <w:t>Proceso</w:t>
      </w:r>
      <w:r>
        <w:rPr>
          <w:spacing w:val="25"/>
          <w:sz w:val="16"/>
          <w:vertAlign w:val="baseline"/>
        </w:rPr>
        <w:t> </w:t>
      </w:r>
      <w:r>
        <w:rPr>
          <w:sz w:val="16"/>
          <w:vertAlign w:val="baseline"/>
        </w:rPr>
        <w:t>03-AI-97. Publicada en la Gaceta Oficial del Acuerdo de Cartagena No. 410 del 24 de febrero 1999.</w:t>
      </w:r>
    </w:p>
    <w:p>
      <w:pPr>
        <w:spacing w:before="0"/>
        <w:ind w:left="710" w:right="955" w:hanging="142"/>
        <w:jc w:val="left"/>
        <w:rPr>
          <w:sz w:val="16"/>
        </w:rPr>
      </w:pPr>
      <w:bookmarkStart w:name="_bookmark98" w:id="99"/>
      <w:bookmarkEnd w:id="99"/>
      <w:r>
        <w:rPr/>
      </w:r>
      <w:r>
        <w:rPr>
          <w:sz w:val="16"/>
          <w:vertAlign w:val="superscript"/>
        </w:rPr>
        <w:t>31</w:t>
      </w:r>
      <w:r>
        <w:rPr>
          <w:sz w:val="16"/>
          <w:vertAlign w:val="baseline"/>
        </w:rPr>
        <w:t> Tribunal de Justicia de la Comunidad Andina.</w:t>
      </w:r>
      <w:r>
        <w:rPr>
          <w:spacing w:val="-1"/>
          <w:sz w:val="16"/>
          <w:vertAlign w:val="baseline"/>
        </w:rPr>
        <w:t> </w:t>
      </w:r>
      <w:r>
        <w:rPr>
          <w:sz w:val="16"/>
          <w:vertAlign w:val="baseline"/>
        </w:rPr>
        <w:t>Sentencia del 2 de</w:t>
      </w:r>
      <w:r>
        <w:rPr>
          <w:spacing w:val="-2"/>
          <w:sz w:val="16"/>
          <w:vertAlign w:val="baseline"/>
        </w:rPr>
        <w:t> </w:t>
      </w:r>
      <w:r>
        <w:rPr>
          <w:sz w:val="16"/>
          <w:vertAlign w:val="baseline"/>
        </w:rPr>
        <w:t>junio de 2000, proferida en el</w:t>
      </w:r>
      <w:r>
        <w:rPr>
          <w:spacing w:val="-1"/>
          <w:sz w:val="16"/>
          <w:vertAlign w:val="baseline"/>
        </w:rPr>
        <w:t> </w:t>
      </w:r>
      <w:r>
        <w:rPr>
          <w:sz w:val="16"/>
          <w:vertAlign w:val="baseline"/>
        </w:rPr>
        <w:t>Proceso 02-AN-98.</w:t>
      </w:r>
      <w:r>
        <w:rPr>
          <w:spacing w:val="-1"/>
          <w:sz w:val="16"/>
          <w:vertAlign w:val="baseline"/>
        </w:rPr>
        <w:t> </w:t>
      </w:r>
      <w:r>
        <w:rPr>
          <w:sz w:val="16"/>
          <w:vertAlign w:val="baseline"/>
        </w:rPr>
        <w:t>Publicada en la Gaceta Oficial del Acuerdo de Cartagena No. 588 del 2 de agosto de 2000.</w:t>
      </w:r>
    </w:p>
    <w:p>
      <w:pPr>
        <w:spacing w:line="183" w:lineRule="exact" w:before="0"/>
        <w:ind w:left="568" w:right="0" w:firstLine="0"/>
        <w:jc w:val="left"/>
        <w:rPr>
          <w:sz w:val="16"/>
        </w:rPr>
      </w:pPr>
      <w:bookmarkStart w:name="_bookmark99" w:id="100"/>
      <w:bookmarkEnd w:id="100"/>
      <w:r>
        <w:rPr/>
      </w:r>
      <w:r>
        <w:rPr>
          <w:sz w:val="16"/>
          <w:vertAlign w:val="superscript"/>
        </w:rPr>
        <w:t>32</w:t>
      </w:r>
      <w:r>
        <w:rPr>
          <w:spacing w:val="19"/>
          <w:sz w:val="16"/>
          <w:vertAlign w:val="baseline"/>
        </w:rPr>
        <w:t> </w:t>
      </w:r>
      <w:r>
        <w:rPr>
          <w:sz w:val="16"/>
          <w:vertAlign w:val="baseline"/>
        </w:rPr>
        <w:t>Tribunal</w:t>
      </w:r>
      <w:r>
        <w:rPr>
          <w:spacing w:val="21"/>
          <w:sz w:val="16"/>
          <w:vertAlign w:val="baseline"/>
        </w:rPr>
        <w:t> </w:t>
      </w:r>
      <w:r>
        <w:rPr>
          <w:sz w:val="16"/>
          <w:vertAlign w:val="baseline"/>
        </w:rPr>
        <w:t>de</w:t>
      </w:r>
      <w:r>
        <w:rPr>
          <w:spacing w:val="20"/>
          <w:sz w:val="16"/>
          <w:vertAlign w:val="baseline"/>
        </w:rPr>
        <w:t> </w:t>
      </w:r>
      <w:r>
        <w:rPr>
          <w:sz w:val="16"/>
          <w:vertAlign w:val="baseline"/>
        </w:rPr>
        <w:t>Justicia</w:t>
      </w:r>
      <w:r>
        <w:rPr>
          <w:spacing w:val="17"/>
          <w:sz w:val="16"/>
          <w:vertAlign w:val="baseline"/>
        </w:rPr>
        <w:t> </w:t>
      </w:r>
      <w:r>
        <w:rPr>
          <w:sz w:val="16"/>
          <w:vertAlign w:val="baseline"/>
        </w:rPr>
        <w:t>de</w:t>
      </w:r>
      <w:r>
        <w:rPr>
          <w:spacing w:val="20"/>
          <w:sz w:val="16"/>
          <w:vertAlign w:val="baseline"/>
        </w:rPr>
        <w:t> </w:t>
      </w:r>
      <w:r>
        <w:rPr>
          <w:sz w:val="16"/>
          <w:vertAlign w:val="baseline"/>
        </w:rPr>
        <w:t>la</w:t>
      </w:r>
      <w:r>
        <w:rPr>
          <w:spacing w:val="21"/>
          <w:sz w:val="16"/>
          <w:vertAlign w:val="baseline"/>
        </w:rPr>
        <w:t> </w:t>
      </w:r>
      <w:r>
        <w:rPr>
          <w:sz w:val="16"/>
          <w:vertAlign w:val="baseline"/>
        </w:rPr>
        <w:t>Comunidad</w:t>
      </w:r>
      <w:r>
        <w:rPr>
          <w:spacing w:val="19"/>
          <w:sz w:val="16"/>
          <w:vertAlign w:val="baseline"/>
        </w:rPr>
        <w:t> </w:t>
      </w:r>
      <w:r>
        <w:rPr>
          <w:sz w:val="16"/>
          <w:vertAlign w:val="baseline"/>
        </w:rPr>
        <w:t>Andina.</w:t>
      </w:r>
      <w:r>
        <w:rPr>
          <w:spacing w:val="19"/>
          <w:sz w:val="16"/>
          <w:vertAlign w:val="baseline"/>
        </w:rPr>
        <w:t> </w:t>
      </w:r>
      <w:r>
        <w:rPr>
          <w:sz w:val="16"/>
          <w:vertAlign w:val="baseline"/>
        </w:rPr>
        <w:t>Sentencia</w:t>
      </w:r>
      <w:r>
        <w:rPr>
          <w:spacing w:val="21"/>
          <w:sz w:val="16"/>
          <w:vertAlign w:val="baseline"/>
        </w:rPr>
        <w:t> </w:t>
      </w:r>
      <w:r>
        <w:rPr>
          <w:sz w:val="16"/>
          <w:vertAlign w:val="baseline"/>
        </w:rPr>
        <w:t>del</w:t>
      </w:r>
      <w:r>
        <w:rPr>
          <w:spacing w:val="20"/>
          <w:sz w:val="16"/>
          <w:vertAlign w:val="baseline"/>
        </w:rPr>
        <w:t> </w:t>
      </w:r>
      <w:r>
        <w:rPr>
          <w:sz w:val="16"/>
          <w:vertAlign w:val="baseline"/>
        </w:rPr>
        <w:t>19</w:t>
      </w:r>
      <w:r>
        <w:rPr>
          <w:spacing w:val="18"/>
          <w:sz w:val="16"/>
          <w:vertAlign w:val="baseline"/>
        </w:rPr>
        <w:t> </w:t>
      </w:r>
      <w:r>
        <w:rPr>
          <w:sz w:val="16"/>
          <w:vertAlign w:val="baseline"/>
        </w:rPr>
        <w:t>de</w:t>
      </w:r>
      <w:r>
        <w:rPr>
          <w:spacing w:val="20"/>
          <w:sz w:val="16"/>
          <w:vertAlign w:val="baseline"/>
        </w:rPr>
        <w:t> </w:t>
      </w:r>
      <w:r>
        <w:rPr>
          <w:sz w:val="16"/>
          <w:vertAlign w:val="baseline"/>
        </w:rPr>
        <w:t>enero</w:t>
      </w:r>
      <w:r>
        <w:rPr>
          <w:spacing w:val="20"/>
          <w:sz w:val="16"/>
          <w:vertAlign w:val="baseline"/>
        </w:rPr>
        <w:t> </w:t>
      </w:r>
      <w:r>
        <w:rPr>
          <w:sz w:val="16"/>
          <w:vertAlign w:val="baseline"/>
        </w:rPr>
        <w:t>de</w:t>
      </w:r>
      <w:r>
        <w:rPr>
          <w:spacing w:val="19"/>
          <w:sz w:val="16"/>
          <w:vertAlign w:val="baseline"/>
        </w:rPr>
        <w:t> </w:t>
      </w:r>
      <w:r>
        <w:rPr>
          <w:sz w:val="16"/>
          <w:vertAlign w:val="baseline"/>
        </w:rPr>
        <w:t>2017,</w:t>
      </w:r>
      <w:r>
        <w:rPr>
          <w:spacing w:val="22"/>
          <w:sz w:val="16"/>
          <w:vertAlign w:val="baseline"/>
        </w:rPr>
        <w:t> </w:t>
      </w:r>
      <w:r>
        <w:rPr>
          <w:sz w:val="16"/>
          <w:vertAlign w:val="baseline"/>
        </w:rPr>
        <w:t>proferida</w:t>
      </w:r>
      <w:r>
        <w:rPr>
          <w:spacing w:val="20"/>
          <w:sz w:val="16"/>
          <w:vertAlign w:val="baseline"/>
        </w:rPr>
        <w:t> </w:t>
      </w:r>
      <w:r>
        <w:rPr>
          <w:sz w:val="16"/>
          <w:vertAlign w:val="baseline"/>
        </w:rPr>
        <w:t>en</w:t>
      </w:r>
      <w:r>
        <w:rPr>
          <w:spacing w:val="17"/>
          <w:sz w:val="16"/>
          <w:vertAlign w:val="baseline"/>
        </w:rPr>
        <w:t> </w:t>
      </w:r>
      <w:r>
        <w:rPr>
          <w:sz w:val="16"/>
          <w:vertAlign w:val="baseline"/>
        </w:rPr>
        <w:t>el</w:t>
      </w:r>
      <w:r>
        <w:rPr>
          <w:spacing w:val="21"/>
          <w:sz w:val="16"/>
          <w:vertAlign w:val="baseline"/>
        </w:rPr>
        <w:t> </w:t>
      </w:r>
      <w:r>
        <w:rPr>
          <w:sz w:val="16"/>
          <w:vertAlign w:val="baseline"/>
        </w:rPr>
        <w:t>Proceso</w:t>
      </w:r>
      <w:r>
        <w:rPr>
          <w:spacing w:val="20"/>
          <w:sz w:val="16"/>
          <w:vertAlign w:val="baseline"/>
        </w:rPr>
        <w:t> </w:t>
      </w:r>
      <w:r>
        <w:rPr>
          <w:sz w:val="16"/>
          <w:vertAlign w:val="baseline"/>
        </w:rPr>
        <w:t>01-AN-</w:t>
      </w:r>
      <w:r>
        <w:rPr>
          <w:spacing w:val="-4"/>
          <w:sz w:val="16"/>
          <w:vertAlign w:val="baseline"/>
        </w:rPr>
        <w:t>2014.</w:t>
      </w:r>
    </w:p>
    <w:p>
      <w:pPr>
        <w:tabs>
          <w:tab w:pos="709" w:val="left" w:leader="none"/>
          <w:tab w:pos="9816" w:val="left" w:leader="none"/>
        </w:tabs>
        <w:spacing w:before="0"/>
        <w:ind w:left="160" w:right="0" w:firstLine="0"/>
        <w:jc w:val="left"/>
        <w:rPr>
          <w:sz w:val="16"/>
        </w:rPr>
      </w:pPr>
      <w:r>
        <w:rPr>
          <w:sz w:val="16"/>
          <w:u w:val="single"/>
        </w:rPr>
        <w:tab/>
        <w:t>Publicada</w:t>
      </w:r>
      <w:r>
        <w:rPr>
          <w:spacing w:val="-7"/>
          <w:sz w:val="16"/>
          <w:u w:val="single"/>
        </w:rPr>
        <w:t> </w:t>
      </w:r>
      <w:r>
        <w:rPr>
          <w:sz w:val="16"/>
          <w:u w:val="single"/>
        </w:rPr>
        <w:t>en</w:t>
      </w:r>
      <w:r>
        <w:rPr>
          <w:spacing w:val="-3"/>
          <w:sz w:val="16"/>
          <w:u w:val="single"/>
        </w:rPr>
        <w:t> </w:t>
      </w:r>
      <w:r>
        <w:rPr>
          <w:sz w:val="16"/>
          <w:u w:val="single"/>
        </w:rPr>
        <w:t>la</w:t>
      </w:r>
      <w:r>
        <w:rPr>
          <w:spacing w:val="-6"/>
          <w:sz w:val="16"/>
          <w:u w:val="single"/>
        </w:rPr>
        <w:t> </w:t>
      </w:r>
      <w:r>
        <w:rPr>
          <w:sz w:val="16"/>
          <w:u w:val="single"/>
        </w:rPr>
        <w:t>Gaceta</w:t>
      </w:r>
      <w:r>
        <w:rPr>
          <w:spacing w:val="-3"/>
          <w:sz w:val="16"/>
          <w:u w:val="single"/>
        </w:rPr>
        <w:t> </w:t>
      </w:r>
      <w:r>
        <w:rPr>
          <w:sz w:val="16"/>
          <w:u w:val="single"/>
        </w:rPr>
        <w:t>Oficial</w:t>
      </w:r>
      <w:r>
        <w:rPr>
          <w:spacing w:val="-3"/>
          <w:sz w:val="16"/>
          <w:u w:val="single"/>
        </w:rPr>
        <w:t> </w:t>
      </w:r>
      <w:r>
        <w:rPr>
          <w:sz w:val="16"/>
          <w:u w:val="single"/>
        </w:rPr>
        <w:t>del</w:t>
      </w:r>
      <w:r>
        <w:rPr>
          <w:spacing w:val="-7"/>
          <w:sz w:val="16"/>
          <w:u w:val="single"/>
        </w:rPr>
        <w:t> </w:t>
      </w:r>
      <w:r>
        <w:rPr>
          <w:sz w:val="16"/>
          <w:u w:val="single"/>
        </w:rPr>
        <w:t>Acuerdo</w:t>
      </w:r>
      <w:r>
        <w:rPr>
          <w:spacing w:val="-3"/>
          <w:sz w:val="16"/>
          <w:u w:val="single"/>
        </w:rPr>
        <w:t> </w:t>
      </w:r>
      <w:r>
        <w:rPr>
          <w:sz w:val="16"/>
          <w:u w:val="single"/>
        </w:rPr>
        <w:t>de</w:t>
      </w:r>
      <w:r>
        <w:rPr>
          <w:spacing w:val="-4"/>
          <w:sz w:val="16"/>
          <w:u w:val="single"/>
        </w:rPr>
        <w:t> </w:t>
      </w:r>
      <w:r>
        <w:rPr>
          <w:sz w:val="16"/>
          <w:u w:val="single"/>
        </w:rPr>
        <w:t>Cartagena</w:t>
      </w:r>
      <w:r>
        <w:rPr>
          <w:spacing w:val="-3"/>
          <w:sz w:val="16"/>
          <w:u w:val="single"/>
        </w:rPr>
        <w:t> </w:t>
      </w:r>
      <w:r>
        <w:rPr>
          <w:sz w:val="16"/>
          <w:u w:val="single"/>
        </w:rPr>
        <w:t>No.</w:t>
      </w:r>
      <w:r>
        <w:rPr>
          <w:spacing w:val="-3"/>
          <w:sz w:val="16"/>
          <w:u w:val="single"/>
        </w:rPr>
        <w:t> </w:t>
      </w:r>
      <w:r>
        <w:rPr>
          <w:sz w:val="16"/>
          <w:u w:val="single"/>
        </w:rPr>
        <w:t>2922</w:t>
      </w:r>
      <w:r>
        <w:rPr>
          <w:spacing w:val="-3"/>
          <w:sz w:val="16"/>
          <w:u w:val="single"/>
        </w:rPr>
        <w:t> </w:t>
      </w:r>
      <w:r>
        <w:rPr>
          <w:sz w:val="16"/>
          <w:u w:val="single"/>
        </w:rPr>
        <w:t>del</w:t>
      </w:r>
      <w:r>
        <w:rPr>
          <w:spacing w:val="-3"/>
          <w:sz w:val="16"/>
          <w:u w:val="single"/>
        </w:rPr>
        <w:t> </w:t>
      </w:r>
      <w:r>
        <w:rPr>
          <w:sz w:val="16"/>
          <w:u w:val="single"/>
        </w:rPr>
        <w:t>8</w:t>
      </w:r>
      <w:r>
        <w:rPr>
          <w:spacing w:val="-3"/>
          <w:sz w:val="16"/>
          <w:u w:val="single"/>
        </w:rPr>
        <w:t> </w:t>
      </w:r>
      <w:r>
        <w:rPr>
          <w:sz w:val="16"/>
          <w:u w:val="single"/>
        </w:rPr>
        <w:t>de</w:t>
      </w:r>
      <w:r>
        <w:rPr>
          <w:spacing w:val="-6"/>
          <w:sz w:val="16"/>
          <w:u w:val="single"/>
        </w:rPr>
        <w:t> </w:t>
      </w:r>
      <w:r>
        <w:rPr>
          <w:sz w:val="16"/>
          <w:u w:val="single"/>
        </w:rPr>
        <w:t>febrero</w:t>
      </w:r>
      <w:r>
        <w:rPr>
          <w:spacing w:val="-3"/>
          <w:sz w:val="16"/>
          <w:u w:val="single"/>
        </w:rPr>
        <w:t> </w:t>
      </w:r>
      <w:r>
        <w:rPr>
          <w:sz w:val="16"/>
          <w:u w:val="single"/>
        </w:rPr>
        <w:t>de</w:t>
      </w:r>
      <w:r>
        <w:rPr>
          <w:spacing w:val="-3"/>
          <w:sz w:val="16"/>
          <w:u w:val="single"/>
        </w:rPr>
        <w:t> </w:t>
      </w:r>
      <w:r>
        <w:rPr>
          <w:spacing w:val="-2"/>
          <w:sz w:val="16"/>
          <w:u w:val="single"/>
        </w:rPr>
        <w:t>2017.</w:t>
      </w:r>
      <w:r>
        <w:rPr>
          <w:sz w:val="16"/>
          <w:u w:val="single"/>
        </w:rPr>
        <w:tab/>
      </w:r>
    </w:p>
    <w:p>
      <w:pPr>
        <w:spacing w:after="0"/>
        <w:jc w:val="left"/>
        <w:rPr>
          <w:sz w:val="16"/>
        </w:rPr>
        <w:sectPr>
          <w:pgSz w:w="11900" w:h="16850"/>
          <w:pgMar w:header="370" w:footer="597" w:top="1380" w:bottom="780" w:left="992" w:right="283"/>
        </w:sectPr>
      </w:pPr>
    </w:p>
    <w:p>
      <w:pPr>
        <w:pStyle w:val="BodyText"/>
      </w:pPr>
    </w:p>
    <w:p>
      <w:pPr>
        <w:pStyle w:val="BodyText"/>
        <w:spacing w:before="177"/>
      </w:pPr>
    </w:p>
    <w:p>
      <w:pPr>
        <w:pStyle w:val="ListParagraph"/>
        <w:numPr>
          <w:ilvl w:val="0"/>
          <w:numId w:val="58"/>
        </w:numPr>
        <w:tabs>
          <w:tab w:pos="1843" w:val="left" w:leader="none"/>
          <w:tab w:pos="1845" w:val="left" w:leader="none"/>
        </w:tabs>
        <w:spacing w:line="240" w:lineRule="auto" w:before="1" w:after="0"/>
        <w:ind w:left="1845" w:right="983" w:hanging="284"/>
        <w:jc w:val="both"/>
        <w:rPr>
          <w:rFonts w:ascii="Arial" w:hAnsi="Arial"/>
          <w:b/>
          <w:i/>
          <w:sz w:val="22"/>
        </w:rPr>
      </w:pPr>
      <w:r>
        <w:rPr>
          <w:rFonts w:ascii="Arial" w:hAnsi="Arial"/>
          <w:i/>
          <w:sz w:val="22"/>
        </w:rPr>
        <w:t>La finalidad de la medida debe fundamentarse en alguna de las excepciones </w:t>
      </w:r>
      <w:r>
        <w:rPr>
          <w:rFonts w:ascii="Arial" w:hAnsi="Arial"/>
          <w:b/>
          <w:i/>
          <w:sz w:val="22"/>
        </w:rPr>
        <w:t>(taxativamente) </w:t>
      </w:r>
      <w:r>
        <w:rPr>
          <w:rFonts w:ascii="Arial" w:hAnsi="Arial"/>
          <w:i/>
          <w:sz w:val="22"/>
        </w:rPr>
        <w:t>previstas en</w:t>
      </w:r>
      <w:r>
        <w:rPr>
          <w:rFonts w:ascii="Arial" w:hAnsi="Arial"/>
          <w:i/>
          <w:spacing w:val="-1"/>
          <w:sz w:val="22"/>
        </w:rPr>
        <w:t> </w:t>
      </w:r>
      <w:r>
        <w:rPr>
          <w:rFonts w:ascii="Arial" w:hAnsi="Arial"/>
          <w:i/>
          <w:sz w:val="22"/>
        </w:rPr>
        <w:t>el</w:t>
      </w:r>
      <w:r>
        <w:rPr>
          <w:rFonts w:ascii="Arial" w:hAnsi="Arial"/>
          <w:i/>
          <w:spacing w:val="-2"/>
          <w:sz w:val="22"/>
        </w:rPr>
        <w:t> </w:t>
      </w:r>
      <w:r>
        <w:rPr>
          <w:rFonts w:ascii="Arial" w:hAnsi="Arial"/>
          <w:i/>
          <w:sz w:val="22"/>
        </w:rPr>
        <w:t>segundo</w:t>
      </w:r>
      <w:r>
        <w:rPr>
          <w:rFonts w:ascii="Arial" w:hAnsi="Arial"/>
          <w:i/>
          <w:spacing w:val="-3"/>
          <w:sz w:val="22"/>
        </w:rPr>
        <w:t> </w:t>
      </w:r>
      <w:r>
        <w:rPr>
          <w:rFonts w:ascii="Arial" w:hAnsi="Arial"/>
          <w:i/>
          <w:sz w:val="22"/>
        </w:rPr>
        <w:t>párrafo</w:t>
      </w:r>
      <w:r>
        <w:rPr>
          <w:rFonts w:ascii="Arial" w:hAnsi="Arial"/>
          <w:i/>
          <w:spacing w:val="-5"/>
          <w:sz w:val="22"/>
        </w:rPr>
        <w:t> </w:t>
      </w:r>
      <w:r>
        <w:rPr>
          <w:rFonts w:ascii="Arial" w:hAnsi="Arial"/>
          <w:i/>
          <w:sz w:val="22"/>
        </w:rPr>
        <w:t>del</w:t>
      </w:r>
      <w:r>
        <w:rPr>
          <w:rFonts w:ascii="Arial" w:hAnsi="Arial"/>
          <w:i/>
          <w:spacing w:val="-1"/>
          <w:sz w:val="22"/>
        </w:rPr>
        <w:t> </w:t>
      </w:r>
      <w:r>
        <w:rPr>
          <w:rFonts w:ascii="Arial" w:hAnsi="Arial"/>
          <w:i/>
          <w:sz w:val="22"/>
        </w:rPr>
        <w:t>Artículo 73</w:t>
      </w:r>
      <w:r>
        <w:rPr>
          <w:rFonts w:ascii="Arial" w:hAnsi="Arial"/>
          <w:i/>
          <w:spacing w:val="-1"/>
          <w:sz w:val="22"/>
        </w:rPr>
        <w:t> </w:t>
      </w:r>
      <w:r>
        <w:rPr>
          <w:rFonts w:ascii="Arial" w:hAnsi="Arial"/>
          <w:i/>
          <w:sz w:val="22"/>
        </w:rPr>
        <w:t>del</w:t>
      </w:r>
      <w:r>
        <w:rPr>
          <w:rFonts w:ascii="Arial" w:hAnsi="Arial"/>
          <w:i/>
          <w:spacing w:val="-1"/>
          <w:sz w:val="22"/>
        </w:rPr>
        <w:t> </w:t>
      </w:r>
      <w:r>
        <w:rPr>
          <w:rFonts w:ascii="Arial" w:hAnsi="Arial"/>
          <w:i/>
          <w:sz w:val="22"/>
        </w:rPr>
        <w:t>Acuerdo</w:t>
      </w:r>
      <w:r>
        <w:rPr>
          <w:rFonts w:ascii="Arial" w:hAnsi="Arial"/>
          <w:i/>
          <w:spacing w:val="-1"/>
          <w:sz w:val="22"/>
        </w:rPr>
        <w:t> </w:t>
      </w:r>
      <w:r>
        <w:rPr>
          <w:rFonts w:ascii="Arial" w:hAnsi="Arial"/>
          <w:i/>
          <w:sz w:val="22"/>
        </w:rPr>
        <w:t>de Cartagena, </w:t>
      </w:r>
      <w:r>
        <w:rPr>
          <w:rFonts w:ascii="Arial" w:hAnsi="Arial"/>
          <w:b/>
          <w:i/>
          <w:sz w:val="22"/>
        </w:rPr>
        <w:t>las que deben ser interpretadas de manera restrictiva.</w:t>
      </w:r>
    </w:p>
    <w:p>
      <w:pPr>
        <w:pStyle w:val="ListParagraph"/>
        <w:numPr>
          <w:ilvl w:val="0"/>
          <w:numId w:val="58"/>
        </w:numPr>
        <w:tabs>
          <w:tab w:pos="1844" w:val="left" w:leader="none"/>
        </w:tabs>
        <w:spacing w:line="252" w:lineRule="exact" w:before="0" w:after="0"/>
        <w:ind w:left="1844" w:right="0" w:hanging="282"/>
        <w:jc w:val="both"/>
        <w:rPr>
          <w:rFonts w:ascii="Arial" w:hAnsi="Arial"/>
          <w:i/>
          <w:sz w:val="22"/>
        </w:rPr>
      </w:pPr>
      <w:r>
        <w:rPr>
          <w:rFonts w:ascii="Arial" w:hAnsi="Arial"/>
          <w:i/>
          <w:sz w:val="22"/>
        </w:rPr>
        <w:t>La</w:t>
      </w:r>
      <w:r>
        <w:rPr>
          <w:rFonts w:ascii="Arial" w:hAnsi="Arial"/>
          <w:i/>
          <w:spacing w:val="-5"/>
          <w:sz w:val="22"/>
        </w:rPr>
        <w:t> </w:t>
      </w:r>
      <w:r>
        <w:rPr>
          <w:rFonts w:ascii="Arial" w:hAnsi="Arial"/>
          <w:i/>
          <w:sz w:val="22"/>
        </w:rPr>
        <w:t>medida</w:t>
      </w:r>
      <w:r>
        <w:rPr>
          <w:rFonts w:ascii="Arial" w:hAnsi="Arial"/>
          <w:i/>
          <w:spacing w:val="-5"/>
          <w:sz w:val="22"/>
        </w:rPr>
        <w:t> </w:t>
      </w:r>
      <w:r>
        <w:rPr>
          <w:rFonts w:ascii="Arial" w:hAnsi="Arial"/>
          <w:i/>
          <w:sz w:val="22"/>
        </w:rPr>
        <w:t>debe</w:t>
      </w:r>
      <w:r>
        <w:rPr>
          <w:rFonts w:ascii="Arial" w:hAnsi="Arial"/>
          <w:i/>
          <w:spacing w:val="-6"/>
          <w:sz w:val="22"/>
        </w:rPr>
        <w:t> </w:t>
      </w:r>
      <w:r>
        <w:rPr>
          <w:rFonts w:ascii="Arial" w:hAnsi="Arial"/>
          <w:i/>
          <w:sz w:val="22"/>
        </w:rPr>
        <w:t>ser</w:t>
      </w:r>
      <w:r>
        <w:rPr>
          <w:rFonts w:ascii="Arial" w:hAnsi="Arial"/>
          <w:i/>
          <w:spacing w:val="-4"/>
          <w:sz w:val="22"/>
        </w:rPr>
        <w:t> </w:t>
      </w:r>
      <w:r>
        <w:rPr>
          <w:rFonts w:ascii="Arial" w:hAnsi="Arial"/>
          <w:i/>
          <w:sz w:val="22"/>
        </w:rPr>
        <w:t>idónea</w:t>
      </w:r>
      <w:r>
        <w:rPr>
          <w:rFonts w:ascii="Arial" w:hAnsi="Arial"/>
          <w:i/>
          <w:spacing w:val="-4"/>
          <w:sz w:val="22"/>
        </w:rPr>
        <w:t> </w:t>
      </w:r>
      <w:r>
        <w:rPr>
          <w:rFonts w:ascii="Arial" w:hAnsi="Arial"/>
          <w:i/>
          <w:sz w:val="22"/>
        </w:rPr>
        <w:t>para</w:t>
      </w:r>
      <w:r>
        <w:rPr>
          <w:rFonts w:ascii="Arial" w:hAnsi="Arial"/>
          <w:i/>
          <w:spacing w:val="-7"/>
          <w:sz w:val="22"/>
        </w:rPr>
        <w:t> </w:t>
      </w:r>
      <w:r>
        <w:rPr>
          <w:rFonts w:ascii="Arial" w:hAnsi="Arial"/>
          <w:i/>
          <w:sz w:val="22"/>
        </w:rPr>
        <w:t>cumplir</w:t>
      </w:r>
      <w:r>
        <w:rPr>
          <w:rFonts w:ascii="Arial" w:hAnsi="Arial"/>
          <w:i/>
          <w:spacing w:val="-5"/>
          <w:sz w:val="22"/>
        </w:rPr>
        <w:t> </w:t>
      </w:r>
      <w:r>
        <w:rPr>
          <w:rFonts w:ascii="Arial" w:hAnsi="Arial"/>
          <w:i/>
          <w:sz w:val="22"/>
        </w:rPr>
        <w:t>la</w:t>
      </w:r>
      <w:r>
        <w:rPr>
          <w:rFonts w:ascii="Arial" w:hAnsi="Arial"/>
          <w:i/>
          <w:spacing w:val="-7"/>
          <w:sz w:val="22"/>
        </w:rPr>
        <w:t> </w:t>
      </w:r>
      <w:r>
        <w:rPr>
          <w:rFonts w:ascii="Arial" w:hAnsi="Arial"/>
          <w:i/>
          <w:sz w:val="22"/>
        </w:rPr>
        <w:t>mencionada</w:t>
      </w:r>
      <w:r>
        <w:rPr>
          <w:rFonts w:ascii="Arial" w:hAnsi="Arial"/>
          <w:i/>
          <w:spacing w:val="-4"/>
          <w:sz w:val="22"/>
        </w:rPr>
        <w:t> </w:t>
      </w:r>
      <w:r>
        <w:rPr>
          <w:rFonts w:ascii="Arial" w:hAnsi="Arial"/>
          <w:i/>
          <w:spacing w:val="-2"/>
          <w:sz w:val="22"/>
        </w:rPr>
        <w:t>finalidad.</w:t>
      </w:r>
    </w:p>
    <w:p>
      <w:pPr>
        <w:pStyle w:val="ListParagraph"/>
        <w:numPr>
          <w:ilvl w:val="0"/>
          <w:numId w:val="58"/>
        </w:numPr>
        <w:tabs>
          <w:tab w:pos="1845" w:val="left" w:leader="none"/>
        </w:tabs>
        <w:spacing w:line="240" w:lineRule="auto" w:before="0" w:after="0"/>
        <w:ind w:left="1845" w:right="980" w:hanging="284"/>
        <w:jc w:val="both"/>
        <w:rPr>
          <w:rFonts w:ascii="Arial" w:hAnsi="Arial"/>
          <w:i/>
          <w:sz w:val="22"/>
        </w:rPr>
      </w:pPr>
      <w:r>
        <w:rPr>
          <w:rFonts w:ascii="Arial" w:hAnsi="Arial"/>
          <w:i/>
          <w:sz w:val="22"/>
        </w:rPr>
        <w:t>La medida debe ser necesaria (o insustituible); es decir, no debería haber otra medida menos lesiva o gravosa al comercio subregional andino que podría cumplir con la mencionada finalidad.</w:t>
      </w:r>
    </w:p>
    <w:p>
      <w:pPr>
        <w:pStyle w:val="ListParagraph"/>
        <w:numPr>
          <w:ilvl w:val="0"/>
          <w:numId w:val="58"/>
        </w:numPr>
        <w:tabs>
          <w:tab w:pos="1843" w:val="left" w:leader="none"/>
          <w:tab w:pos="1845" w:val="left" w:leader="none"/>
        </w:tabs>
        <w:spacing w:line="240" w:lineRule="auto" w:before="0" w:after="0"/>
        <w:ind w:left="1845" w:right="983" w:hanging="284"/>
        <w:jc w:val="both"/>
        <w:rPr>
          <w:rFonts w:ascii="Arial"/>
          <w:i/>
          <w:sz w:val="22"/>
        </w:rPr>
      </w:pPr>
      <w:r>
        <w:rPr>
          <w:rFonts w:ascii="Arial"/>
          <w:i/>
          <w:sz w:val="22"/>
        </w:rPr>
        <w:t>La</w:t>
      </w:r>
      <w:r>
        <w:rPr>
          <w:rFonts w:ascii="Arial"/>
          <w:i/>
          <w:spacing w:val="-1"/>
          <w:sz w:val="22"/>
        </w:rPr>
        <w:t> </w:t>
      </w:r>
      <w:r>
        <w:rPr>
          <w:rFonts w:ascii="Arial"/>
          <w:i/>
          <w:sz w:val="22"/>
        </w:rPr>
        <w:t>medida</w:t>
      </w:r>
      <w:r>
        <w:rPr>
          <w:rFonts w:ascii="Arial"/>
          <w:i/>
          <w:spacing w:val="-1"/>
          <w:sz w:val="22"/>
        </w:rPr>
        <w:t> </w:t>
      </w:r>
      <w:r>
        <w:rPr>
          <w:rFonts w:ascii="Arial"/>
          <w:i/>
          <w:sz w:val="22"/>
        </w:rPr>
        <w:t>deber ser proporcional; esto es, que sus beneficios son</w:t>
      </w:r>
      <w:r>
        <w:rPr>
          <w:rFonts w:ascii="Arial"/>
          <w:i/>
          <w:spacing w:val="-1"/>
          <w:sz w:val="22"/>
        </w:rPr>
        <w:t> </w:t>
      </w:r>
      <w:r>
        <w:rPr>
          <w:rFonts w:ascii="Arial"/>
          <w:i/>
          <w:sz w:val="22"/>
        </w:rPr>
        <w:t>superiores</w:t>
      </w:r>
      <w:r>
        <w:rPr>
          <w:rFonts w:ascii="Arial"/>
          <w:i/>
          <w:spacing w:val="-2"/>
          <w:sz w:val="22"/>
        </w:rPr>
        <w:t> </w:t>
      </w:r>
      <w:r>
        <w:rPr>
          <w:rFonts w:ascii="Arial"/>
          <w:i/>
          <w:sz w:val="22"/>
        </w:rPr>
        <w:t>a sus costos, tanto a nivel cuantitativo como cualitativo.</w:t>
      </w:r>
    </w:p>
    <w:p>
      <w:pPr>
        <w:pStyle w:val="ListParagraph"/>
        <w:numPr>
          <w:ilvl w:val="0"/>
          <w:numId w:val="58"/>
        </w:numPr>
        <w:tabs>
          <w:tab w:pos="1844" w:val="left" w:leader="none"/>
        </w:tabs>
        <w:spacing w:line="240" w:lineRule="auto" w:before="0" w:after="0"/>
        <w:ind w:left="1844" w:right="0" w:hanging="282"/>
        <w:jc w:val="both"/>
        <w:rPr>
          <w:sz w:val="22"/>
        </w:rPr>
      </w:pPr>
      <w:r>
        <w:rPr>
          <w:rFonts w:ascii="Arial" w:hAnsi="Arial"/>
          <w:i/>
          <w:sz w:val="22"/>
        </w:rPr>
        <w:t>La</w:t>
      </w:r>
      <w:r>
        <w:rPr>
          <w:rFonts w:ascii="Arial" w:hAnsi="Arial"/>
          <w:i/>
          <w:spacing w:val="-6"/>
          <w:sz w:val="22"/>
        </w:rPr>
        <w:t> </w:t>
      </w:r>
      <w:r>
        <w:rPr>
          <w:rFonts w:ascii="Arial" w:hAnsi="Arial"/>
          <w:i/>
          <w:sz w:val="22"/>
        </w:rPr>
        <w:t>medida</w:t>
      </w:r>
      <w:r>
        <w:rPr>
          <w:rFonts w:ascii="Arial" w:hAnsi="Arial"/>
          <w:i/>
          <w:spacing w:val="-5"/>
          <w:sz w:val="22"/>
        </w:rPr>
        <w:t> </w:t>
      </w:r>
      <w:r>
        <w:rPr>
          <w:rFonts w:ascii="Arial" w:hAnsi="Arial"/>
          <w:i/>
          <w:sz w:val="22"/>
        </w:rPr>
        <w:t>no</w:t>
      </w:r>
      <w:r>
        <w:rPr>
          <w:rFonts w:ascii="Arial" w:hAnsi="Arial"/>
          <w:i/>
          <w:spacing w:val="-7"/>
          <w:sz w:val="22"/>
        </w:rPr>
        <w:t> </w:t>
      </w:r>
      <w:r>
        <w:rPr>
          <w:rFonts w:ascii="Arial" w:hAnsi="Arial"/>
          <w:i/>
          <w:sz w:val="22"/>
        </w:rPr>
        <w:t>debe</w:t>
      </w:r>
      <w:r>
        <w:rPr>
          <w:rFonts w:ascii="Arial" w:hAnsi="Arial"/>
          <w:i/>
          <w:spacing w:val="-8"/>
          <w:sz w:val="22"/>
        </w:rPr>
        <w:t> </w:t>
      </w:r>
      <w:r>
        <w:rPr>
          <w:rFonts w:ascii="Arial" w:hAnsi="Arial"/>
          <w:i/>
          <w:sz w:val="22"/>
        </w:rPr>
        <w:t>de</w:t>
      </w:r>
      <w:r>
        <w:rPr>
          <w:rFonts w:ascii="Arial" w:hAnsi="Arial"/>
          <w:i/>
          <w:spacing w:val="-5"/>
          <w:sz w:val="22"/>
        </w:rPr>
        <w:t> </w:t>
      </w:r>
      <w:r>
        <w:rPr>
          <w:rFonts w:ascii="Arial" w:hAnsi="Arial"/>
          <w:i/>
          <w:sz w:val="22"/>
        </w:rPr>
        <w:t>ser</w:t>
      </w:r>
      <w:r>
        <w:rPr>
          <w:rFonts w:ascii="Arial" w:hAnsi="Arial"/>
          <w:i/>
          <w:spacing w:val="-4"/>
          <w:sz w:val="22"/>
        </w:rPr>
        <w:t> </w:t>
      </w:r>
      <w:r>
        <w:rPr>
          <w:rFonts w:ascii="Arial" w:hAnsi="Arial"/>
          <w:i/>
          <w:sz w:val="22"/>
        </w:rPr>
        <w:t>discriminatoria.”</w:t>
      </w:r>
      <w:r>
        <w:rPr>
          <w:rFonts w:ascii="Arial" w:hAnsi="Arial"/>
          <w:i/>
          <w:spacing w:val="-4"/>
          <w:sz w:val="22"/>
        </w:rPr>
        <w:t> </w:t>
      </w:r>
      <w:r>
        <w:rPr>
          <w:sz w:val="22"/>
        </w:rPr>
        <w:t>[énfasis</w:t>
      </w:r>
      <w:r>
        <w:rPr>
          <w:spacing w:val="-4"/>
          <w:sz w:val="22"/>
        </w:rPr>
        <w:t> </w:t>
      </w:r>
      <w:r>
        <w:rPr>
          <w:spacing w:val="-2"/>
          <w:sz w:val="22"/>
        </w:rPr>
        <w:t>añadido]</w:t>
      </w:r>
    </w:p>
    <w:p>
      <w:pPr>
        <w:pStyle w:val="BodyText"/>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En conclusión, el Programa de Liberación de la Comunidad Andina constituye un pilar esencial</w:t>
      </w:r>
      <w:r>
        <w:rPr>
          <w:spacing w:val="-13"/>
          <w:sz w:val="22"/>
        </w:rPr>
        <w:t> </w:t>
      </w:r>
      <w:r>
        <w:rPr>
          <w:sz w:val="22"/>
        </w:rPr>
        <w:t>para</w:t>
      </w:r>
      <w:r>
        <w:rPr>
          <w:spacing w:val="-12"/>
          <w:sz w:val="22"/>
        </w:rPr>
        <w:t> </w:t>
      </w:r>
      <w:r>
        <w:rPr>
          <w:sz w:val="22"/>
        </w:rPr>
        <w:t>la</w:t>
      </w:r>
      <w:r>
        <w:rPr>
          <w:spacing w:val="-12"/>
          <w:sz w:val="22"/>
        </w:rPr>
        <w:t> </w:t>
      </w:r>
      <w:r>
        <w:rPr>
          <w:sz w:val="22"/>
        </w:rPr>
        <w:t>integración</w:t>
      </w:r>
      <w:r>
        <w:rPr>
          <w:spacing w:val="-13"/>
          <w:sz w:val="22"/>
        </w:rPr>
        <w:t> </w:t>
      </w:r>
      <w:r>
        <w:rPr>
          <w:sz w:val="22"/>
        </w:rPr>
        <w:t>subregional,</w:t>
      </w:r>
      <w:r>
        <w:rPr>
          <w:spacing w:val="-11"/>
          <w:sz w:val="22"/>
        </w:rPr>
        <w:t> </w:t>
      </w:r>
      <w:r>
        <w:rPr>
          <w:sz w:val="22"/>
        </w:rPr>
        <w:t>orientado</w:t>
      </w:r>
      <w:r>
        <w:rPr>
          <w:spacing w:val="-12"/>
          <w:sz w:val="22"/>
        </w:rPr>
        <w:t> </w:t>
      </w:r>
      <w:r>
        <w:rPr>
          <w:sz w:val="22"/>
        </w:rPr>
        <w:t>a</w:t>
      </w:r>
      <w:r>
        <w:rPr>
          <w:spacing w:val="-12"/>
          <w:sz w:val="22"/>
        </w:rPr>
        <w:t> </w:t>
      </w:r>
      <w:r>
        <w:rPr>
          <w:sz w:val="22"/>
        </w:rPr>
        <w:t>la</w:t>
      </w:r>
      <w:r>
        <w:rPr>
          <w:spacing w:val="-12"/>
          <w:sz w:val="22"/>
        </w:rPr>
        <w:t> </w:t>
      </w:r>
      <w:r>
        <w:rPr>
          <w:sz w:val="22"/>
        </w:rPr>
        <w:t>formación</w:t>
      </w:r>
      <w:r>
        <w:rPr>
          <w:spacing w:val="-13"/>
          <w:sz w:val="22"/>
        </w:rPr>
        <w:t> </w:t>
      </w:r>
      <w:r>
        <w:rPr>
          <w:sz w:val="22"/>
        </w:rPr>
        <w:t>de</w:t>
      </w:r>
      <w:r>
        <w:rPr>
          <w:spacing w:val="-13"/>
          <w:sz w:val="22"/>
        </w:rPr>
        <w:t> </w:t>
      </w:r>
      <w:r>
        <w:rPr>
          <w:sz w:val="22"/>
        </w:rPr>
        <w:t>un</w:t>
      </w:r>
      <w:r>
        <w:rPr>
          <w:spacing w:val="-14"/>
          <w:sz w:val="22"/>
        </w:rPr>
        <w:t> </w:t>
      </w:r>
      <w:r>
        <w:rPr>
          <w:sz w:val="22"/>
        </w:rPr>
        <w:t>mercado</w:t>
      </w:r>
      <w:r>
        <w:rPr>
          <w:spacing w:val="-13"/>
          <w:sz w:val="22"/>
        </w:rPr>
        <w:t> </w:t>
      </w:r>
      <w:r>
        <w:rPr>
          <w:sz w:val="22"/>
        </w:rPr>
        <w:t>común latinoamericano que propicie el desarrollo económico equilibrado y armónico de los Países</w:t>
      </w:r>
      <w:r>
        <w:rPr>
          <w:spacing w:val="-1"/>
          <w:sz w:val="22"/>
        </w:rPr>
        <w:t> </w:t>
      </w:r>
      <w:r>
        <w:rPr>
          <w:sz w:val="22"/>
        </w:rPr>
        <w:t>Miembros. Su</w:t>
      </w:r>
      <w:r>
        <w:rPr>
          <w:spacing w:val="-1"/>
          <w:sz w:val="22"/>
        </w:rPr>
        <w:t> </w:t>
      </w:r>
      <w:r>
        <w:rPr>
          <w:sz w:val="22"/>
        </w:rPr>
        <w:t>fundamento</w:t>
      </w:r>
      <w:r>
        <w:rPr>
          <w:spacing w:val="-1"/>
          <w:sz w:val="22"/>
        </w:rPr>
        <w:t> </w:t>
      </w:r>
      <w:r>
        <w:rPr>
          <w:sz w:val="22"/>
        </w:rPr>
        <w:t>jurídico se</w:t>
      </w:r>
      <w:r>
        <w:rPr>
          <w:spacing w:val="-1"/>
          <w:sz w:val="22"/>
        </w:rPr>
        <w:t> </w:t>
      </w:r>
      <w:r>
        <w:rPr>
          <w:sz w:val="22"/>
        </w:rPr>
        <w:t>encuentra</w:t>
      </w:r>
      <w:r>
        <w:rPr>
          <w:spacing w:val="-1"/>
          <w:sz w:val="22"/>
        </w:rPr>
        <w:t> </w:t>
      </w:r>
      <w:r>
        <w:rPr>
          <w:sz w:val="22"/>
        </w:rPr>
        <w:t>en los artículos</w:t>
      </w:r>
      <w:r>
        <w:rPr>
          <w:spacing w:val="-1"/>
          <w:sz w:val="22"/>
        </w:rPr>
        <w:t> </w:t>
      </w:r>
      <w:r>
        <w:rPr>
          <w:sz w:val="22"/>
        </w:rPr>
        <w:t>72, 73 y</w:t>
      </w:r>
      <w:r>
        <w:rPr>
          <w:spacing w:val="-1"/>
          <w:sz w:val="22"/>
        </w:rPr>
        <w:t> </w:t>
      </w:r>
      <w:r>
        <w:rPr>
          <w:sz w:val="22"/>
        </w:rPr>
        <w:t>76 del Acuerdo de Cartagena, los cuales establecen que la liberación de comercio debe ser automática, irrevocable y universal, garantizando la libre circulación de mercancías originarias de los Países Miembros sin gravámenes ni restricciones indebidas.</w:t>
      </w:r>
    </w:p>
    <w:p>
      <w:pPr>
        <w:pStyle w:val="ListParagraph"/>
        <w:numPr>
          <w:ilvl w:val="0"/>
          <w:numId w:val="50"/>
        </w:numPr>
        <w:tabs>
          <w:tab w:pos="1130" w:val="left" w:leader="none"/>
          <w:tab w:pos="1134" w:val="left" w:leader="none"/>
        </w:tabs>
        <w:spacing w:line="240" w:lineRule="auto" w:before="252" w:after="0"/>
        <w:ind w:left="1134" w:right="979" w:hanging="567"/>
        <w:jc w:val="both"/>
        <w:rPr>
          <w:sz w:val="22"/>
        </w:rPr>
      </w:pPr>
      <w:r>
        <w:rPr>
          <w:sz w:val="22"/>
        </w:rPr>
        <w:t>La</w:t>
      </w:r>
      <w:r>
        <w:rPr>
          <w:spacing w:val="-4"/>
          <w:sz w:val="22"/>
        </w:rPr>
        <w:t> </w:t>
      </w:r>
      <w:r>
        <w:rPr>
          <w:sz w:val="22"/>
        </w:rPr>
        <w:t>jurisprudencia</w:t>
      </w:r>
      <w:r>
        <w:rPr>
          <w:spacing w:val="-6"/>
          <w:sz w:val="22"/>
        </w:rPr>
        <w:t> </w:t>
      </w:r>
      <w:r>
        <w:rPr>
          <w:sz w:val="22"/>
        </w:rPr>
        <w:t>del</w:t>
      </w:r>
      <w:r>
        <w:rPr>
          <w:spacing w:val="-5"/>
          <w:sz w:val="22"/>
        </w:rPr>
        <w:t> </w:t>
      </w:r>
      <w:r>
        <w:rPr>
          <w:sz w:val="22"/>
        </w:rPr>
        <w:t>TJCAN</w:t>
      </w:r>
      <w:r>
        <w:rPr>
          <w:spacing w:val="-5"/>
          <w:sz w:val="22"/>
        </w:rPr>
        <w:t> </w:t>
      </w:r>
      <w:r>
        <w:rPr>
          <w:sz w:val="22"/>
        </w:rPr>
        <w:t>ha</w:t>
      </w:r>
      <w:r>
        <w:rPr>
          <w:spacing w:val="-4"/>
          <w:sz w:val="22"/>
        </w:rPr>
        <w:t> </w:t>
      </w:r>
      <w:r>
        <w:rPr>
          <w:sz w:val="22"/>
        </w:rPr>
        <w:t>clarificado</w:t>
      </w:r>
      <w:r>
        <w:rPr>
          <w:spacing w:val="-7"/>
          <w:sz w:val="22"/>
        </w:rPr>
        <w:t> </w:t>
      </w:r>
      <w:r>
        <w:rPr>
          <w:sz w:val="22"/>
        </w:rPr>
        <w:t>que</w:t>
      </w:r>
      <w:r>
        <w:rPr>
          <w:spacing w:val="-4"/>
          <w:sz w:val="22"/>
        </w:rPr>
        <w:t> </w:t>
      </w:r>
      <w:r>
        <w:rPr>
          <w:sz w:val="22"/>
        </w:rPr>
        <w:t>el</w:t>
      </w:r>
      <w:r>
        <w:rPr>
          <w:spacing w:val="-5"/>
          <w:sz w:val="22"/>
        </w:rPr>
        <w:t> </w:t>
      </w:r>
      <w:r>
        <w:rPr>
          <w:sz w:val="22"/>
        </w:rPr>
        <w:t>concepto</w:t>
      </w:r>
      <w:r>
        <w:rPr>
          <w:spacing w:val="-6"/>
          <w:sz w:val="22"/>
        </w:rPr>
        <w:t> </w:t>
      </w:r>
      <w:r>
        <w:rPr>
          <w:sz w:val="22"/>
        </w:rPr>
        <w:t>de</w:t>
      </w:r>
      <w:r>
        <w:rPr>
          <w:spacing w:val="-4"/>
          <w:sz w:val="22"/>
        </w:rPr>
        <w:t> </w:t>
      </w:r>
      <w:r>
        <w:rPr>
          <w:sz w:val="22"/>
        </w:rPr>
        <w:t>gravamen</w:t>
      </w:r>
      <w:r>
        <w:rPr>
          <w:spacing w:val="-7"/>
          <w:sz w:val="22"/>
        </w:rPr>
        <w:t> </w:t>
      </w:r>
      <w:r>
        <w:rPr>
          <w:sz w:val="22"/>
        </w:rPr>
        <w:t>trasciende</w:t>
      </w:r>
      <w:r>
        <w:rPr>
          <w:spacing w:val="-7"/>
          <w:sz w:val="22"/>
        </w:rPr>
        <w:t> </w:t>
      </w:r>
      <w:r>
        <w:rPr>
          <w:sz w:val="22"/>
        </w:rPr>
        <w:t>los simples derechos</w:t>
      </w:r>
      <w:r>
        <w:rPr>
          <w:spacing w:val="-3"/>
          <w:sz w:val="22"/>
        </w:rPr>
        <w:t> </w:t>
      </w:r>
      <w:r>
        <w:rPr>
          <w:sz w:val="22"/>
        </w:rPr>
        <w:t>aduaneros, incluyendo</w:t>
      </w:r>
      <w:r>
        <w:rPr>
          <w:spacing w:val="-3"/>
          <w:sz w:val="22"/>
        </w:rPr>
        <w:t> </w:t>
      </w:r>
      <w:r>
        <w:rPr>
          <w:sz w:val="22"/>
        </w:rPr>
        <w:t>cualquier recargo</w:t>
      </w:r>
      <w:r>
        <w:rPr>
          <w:spacing w:val="-1"/>
          <w:sz w:val="22"/>
        </w:rPr>
        <w:t> </w:t>
      </w:r>
      <w:r>
        <w:rPr>
          <w:sz w:val="22"/>
        </w:rPr>
        <w:t>que</w:t>
      </w:r>
      <w:r>
        <w:rPr>
          <w:spacing w:val="-3"/>
          <w:sz w:val="22"/>
        </w:rPr>
        <w:t> </w:t>
      </w:r>
      <w:r>
        <w:rPr>
          <w:sz w:val="22"/>
        </w:rPr>
        <w:t>encarezca o dificulte la importación de productos andinos, cuya única excepción son las tasas o los recargos análogos, mientras que las restricciones abarcan medidas de cualquier orden que limiten, suspendan o encarezcan el comercio intracomunitario. Asimismo, se han establecido criterios precisos para determinar la excepcionalidad de una medida en el caso de restricciones, exigiendo que cumpla los principios de finalidad, idoneidad, necesidad, proporcionalidad y no discriminación.</w:t>
      </w:r>
    </w:p>
    <w:p>
      <w:pPr>
        <w:pStyle w:val="BodyText"/>
        <w:spacing w:before="2"/>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En atención a lo previsto en el Acuerdo de Cartagena, los criterios desarrollados por el TJCAN y a la información que cursa en el expediente del presente procedimiento, corresponde</w:t>
      </w:r>
      <w:r>
        <w:rPr>
          <w:spacing w:val="-1"/>
          <w:sz w:val="22"/>
        </w:rPr>
        <w:t> </w:t>
      </w:r>
      <w:r>
        <w:rPr>
          <w:sz w:val="22"/>
        </w:rPr>
        <w:t>evaluar si las medidas objeto</w:t>
      </w:r>
      <w:r>
        <w:rPr>
          <w:spacing w:val="-1"/>
          <w:sz w:val="22"/>
        </w:rPr>
        <w:t> </w:t>
      </w:r>
      <w:r>
        <w:rPr>
          <w:sz w:val="22"/>
        </w:rPr>
        <w:t>de</w:t>
      </w:r>
      <w:r>
        <w:rPr>
          <w:spacing w:val="-1"/>
          <w:sz w:val="22"/>
        </w:rPr>
        <w:t> </w:t>
      </w:r>
      <w:r>
        <w:rPr>
          <w:sz w:val="22"/>
        </w:rPr>
        <w:t>investigación constituyen</w:t>
      </w:r>
      <w:r>
        <w:rPr>
          <w:spacing w:val="-1"/>
          <w:sz w:val="22"/>
        </w:rPr>
        <w:t> </w:t>
      </w:r>
      <w:r>
        <w:rPr>
          <w:sz w:val="22"/>
        </w:rPr>
        <w:t>un gravamen o restricción</w:t>
      </w:r>
      <w:r>
        <w:rPr>
          <w:spacing w:val="-5"/>
          <w:sz w:val="22"/>
        </w:rPr>
        <w:t> </w:t>
      </w:r>
      <w:r>
        <w:rPr>
          <w:sz w:val="22"/>
        </w:rPr>
        <w:t>que</w:t>
      </w:r>
      <w:r>
        <w:rPr>
          <w:spacing w:val="-7"/>
          <w:sz w:val="22"/>
        </w:rPr>
        <w:t> </w:t>
      </w:r>
      <w:r>
        <w:rPr>
          <w:sz w:val="22"/>
        </w:rPr>
        <w:t>genere</w:t>
      </w:r>
      <w:r>
        <w:rPr>
          <w:spacing w:val="-7"/>
          <w:sz w:val="22"/>
        </w:rPr>
        <w:t> </w:t>
      </w:r>
      <w:r>
        <w:rPr>
          <w:sz w:val="22"/>
        </w:rPr>
        <w:t>una</w:t>
      </w:r>
      <w:r>
        <w:rPr>
          <w:spacing w:val="-5"/>
          <w:sz w:val="22"/>
        </w:rPr>
        <w:t> </w:t>
      </w:r>
      <w:r>
        <w:rPr>
          <w:sz w:val="22"/>
        </w:rPr>
        <w:t>violación</w:t>
      </w:r>
      <w:r>
        <w:rPr>
          <w:spacing w:val="-5"/>
          <w:sz w:val="22"/>
        </w:rPr>
        <w:t> </w:t>
      </w:r>
      <w:r>
        <w:rPr>
          <w:sz w:val="22"/>
        </w:rPr>
        <w:t>del</w:t>
      </w:r>
      <w:r>
        <w:rPr>
          <w:spacing w:val="-6"/>
          <w:sz w:val="22"/>
        </w:rPr>
        <w:t> </w:t>
      </w:r>
      <w:r>
        <w:rPr>
          <w:sz w:val="22"/>
        </w:rPr>
        <w:t>Programa</w:t>
      </w:r>
      <w:r>
        <w:rPr>
          <w:spacing w:val="-5"/>
          <w:sz w:val="22"/>
        </w:rPr>
        <w:t> </w:t>
      </w:r>
      <w:r>
        <w:rPr>
          <w:sz w:val="22"/>
        </w:rPr>
        <w:t>de</w:t>
      </w:r>
      <w:r>
        <w:rPr>
          <w:spacing w:val="-5"/>
          <w:sz w:val="22"/>
        </w:rPr>
        <w:t> </w:t>
      </w:r>
      <w:r>
        <w:rPr>
          <w:sz w:val="22"/>
        </w:rPr>
        <w:t>Liberación</w:t>
      </w:r>
      <w:r>
        <w:rPr>
          <w:spacing w:val="-5"/>
          <w:sz w:val="22"/>
        </w:rPr>
        <w:t> </w:t>
      </w:r>
      <w:r>
        <w:rPr>
          <w:sz w:val="22"/>
        </w:rPr>
        <w:t>previsto</w:t>
      </w:r>
      <w:r>
        <w:rPr>
          <w:spacing w:val="-7"/>
          <w:sz w:val="22"/>
        </w:rPr>
        <w:t> </w:t>
      </w:r>
      <w:r>
        <w:rPr>
          <w:sz w:val="22"/>
        </w:rPr>
        <w:t>en</w:t>
      </w:r>
      <w:r>
        <w:rPr>
          <w:spacing w:val="-5"/>
          <w:sz w:val="22"/>
        </w:rPr>
        <w:t> </w:t>
      </w:r>
      <w:r>
        <w:rPr>
          <w:sz w:val="22"/>
        </w:rPr>
        <w:t>el</w:t>
      </w:r>
      <w:r>
        <w:rPr>
          <w:spacing w:val="-6"/>
          <w:sz w:val="22"/>
        </w:rPr>
        <w:t> </w:t>
      </w:r>
      <w:r>
        <w:rPr>
          <w:sz w:val="22"/>
        </w:rPr>
        <w:t>Acuerdo de Cartagena.</w:t>
      </w:r>
    </w:p>
    <w:p>
      <w:pPr>
        <w:pStyle w:val="Heading5"/>
        <w:tabs>
          <w:tab w:pos="1120" w:val="left" w:leader="none"/>
        </w:tabs>
        <w:spacing w:before="252"/>
        <w:ind w:left="568"/>
      </w:pPr>
      <w:r>
        <w:rPr>
          <w:spacing w:val="-5"/>
        </w:rPr>
        <w:t>7.2</w:t>
      </w:r>
      <w:r>
        <w:rPr/>
        <w:tab/>
        <w:t>DE</w:t>
      </w:r>
      <w:r>
        <w:rPr>
          <w:spacing w:val="-6"/>
        </w:rPr>
        <w:t> </w:t>
      </w:r>
      <w:r>
        <w:rPr/>
        <w:t>LOS</w:t>
      </w:r>
      <w:r>
        <w:rPr>
          <w:spacing w:val="-6"/>
        </w:rPr>
        <w:t> </w:t>
      </w:r>
      <w:r>
        <w:rPr/>
        <w:t>ARTICULOS</w:t>
      </w:r>
      <w:r>
        <w:rPr>
          <w:spacing w:val="-3"/>
        </w:rPr>
        <w:t> </w:t>
      </w:r>
      <w:r>
        <w:rPr/>
        <w:t>72,</w:t>
      </w:r>
      <w:r>
        <w:rPr>
          <w:spacing w:val="-2"/>
        </w:rPr>
        <w:t> </w:t>
      </w:r>
      <w:r>
        <w:rPr/>
        <w:t>73,</w:t>
      </w:r>
      <w:r>
        <w:rPr>
          <w:spacing w:val="-2"/>
        </w:rPr>
        <w:t> </w:t>
      </w:r>
      <w:r>
        <w:rPr/>
        <w:t>74,</w:t>
      </w:r>
      <w:r>
        <w:rPr>
          <w:spacing w:val="-2"/>
        </w:rPr>
        <w:t> </w:t>
      </w:r>
      <w:r>
        <w:rPr/>
        <w:t>76</w:t>
      </w:r>
      <w:r>
        <w:rPr>
          <w:spacing w:val="-5"/>
        </w:rPr>
        <w:t> </w:t>
      </w:r>
      <w:r>
        <w:rPr/>
        <w:t>Y</w:t>
      </w:r>
      <w:r>
        <w:rPr>
          <w:spacing w:val="-4"/>
        </w:rPr>
        <w:t> </w:t>
      </w:r>
      <w:r>
        <w:rPr/>
        <w:t>77</w:t>
      </w:r>
      <w:r>
        <w:rPr>
          <w:spacing w:val="-5"/>
        </w:rPr>
        <w:t> </w:t>
      </w:r>
      <w:r>
        <w:rPr/>
        <w:t>DEL</w:t>
      </w:r>
      <w:r>
        <w:rPr>
          <w:spacing w:val="-4"/>
        </w:rPr>
        <w:t> </w:t>
      </w:r>
      <w:r>
        <w:rPr/>
        <w:t>ACUERDO</w:t>
      </w:r>
      <w:r>
        <w:rPr>
          <w:spacing w:val="-2"/>
        </w:rPr>
        <w:t> </w:t>
      </w:r>
      <w:r>
        <w:rPr/>
        <w:t>DE</w:t>
      </w:r>
      <w:r>
        <w:rPr>
          <w:spacing w:val="-3"/>
        </w:rPr>
        <w:t> </w:t>
      </w:r>
      <w:r>
        <w:rPr>
          <w:spacing w:val="-2"/>
        </w:rPr>
        <w:t>CARTAGENA</w:t>
      </w:r>
    </w:p>
    <w:p>
      <w:pPr>
        <w:pStyle w:val="BodyText"/>
        <w:rPr>
          <w:rFonts w:ascii="Arial"/>
          <w:b/>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Conforme a la solicitud presentada por la República del Ecuador, la información suministrada</w:t>
      </w:r>
      <w:r>
        <w:rPr>
          <w:spacing w:val="-7"/>
          <w:sz w:val="22"/>
        </w:rPr>
        <w:t> </w:t>
      </w:r>
      <w:r>
        <w:rPr>
          <w:sz w:val="22"/>
        </w:rPr>
        <w:t>por</w:t>
      </w:r>
      <w:r>
        <w:rPr>
          <w:spacing w:val="-3"/>
          <w:sz w:val="22"/>
        </w:rPr>
        <w:t> </w:t>
      </w:r>
      <w:r>
        <w:rPr>
          <w:sz w:val="22"/>
        </w:rPr>
        <w:t>la</w:t>
      </w:r>
      <w:r>
        <w:rPr>
          <w:spacing w:val="-5"/>
          <w:sz w:val="22"/>
        </w:rPr>
        <w:t> </w:t>
      </w:r>
      <w:r>
        <w:rPr>
          <w:sz w:val="22"/>
        </w:rPr>
        <w:t>República</w:t>
      </w:r>
      <w:r>
        <w:rPr>
          <w:spacing w:val="-5"/>
          <w:sz w:val="22"/>
        </w:rPr>
        <w:t> </w:t>
      </w:r>
      <w:r>
        <w:rPr>
          <w:sz w:val="22"/>
        </w:rPr>
        <w:t>de</w:t>
      </w:r>
      <w:r>
        <w:rPr>
          <w:spacing w:val="-5"/>
          <w:sz w:val="22"/>
        </w:rPr>
        <w:t> </w:t>
      </w:r>
      <w:r>
        <w:rPr>
          <w:sz w:val="22"/>
        </w:rPr>
        <w:t>Colombia,</w:t>
      </w:r>
      <w:r>
        <w:rPr>
          <w:spacing w:val="-4"/>
          <w:sz w:val="22"/>
        </w:rPr>
        <w:t> </w:t>
      </w:r>
      <w:r>
        <w:rPr>
          <w:sz w:val="22"/>
        </w:rPr>
        <w:t>y</w:t>
      </w:r>
      <w:r>
        <w:rPr>
          <w:spacing w:val="-5"/>
          <w:sz w:val="22"/>
        </w:rPr>
        <w:t> </w:t>
      </w:r>
      <w:r>
        <w:rPr>
          <w:sz w:val="22"/>
        </w:rPr>
        <w:t>las</w:t>
      </w:r>
      <w:r>
        <w:rPr>
          <w:spacing w:val="-7"/>
          <w:sz w:val="22"/>
        </w:rPr>
        <w:t> </w:t>
      </w:r>
      <w:r>
        <w:rPr>
          <w:sz w:val="22"/>
        </w:rPr>
        <w:t>medidas</w:t>
      </w:r>
      <w:r>
        <w:rPr>
          <w:spacing w:val="-5"/>
          <w:sz w:val="22"/>
        </w:rPr>
        <w:t> </w:t>
      </w:r>
      <w:r>
        <w:rPr>
          <w:sz w:val="22"/>
        </w:rPr>
        <w:t>impuestas</w:t>
      </w:r>
      <w:r>
        <w:rPr>
          <w:spacing w:val="-7"/>
          <w:sz w:val="22"/>
        </w:rPr>
        <w:t> </w:t>
      </w:r>
      <w:r>
        <w:rPr>
          <w:sz w:val="22"/>
        </w:rPr>
        <w:t>mediante</w:t>
      </w:r>
      <w:r>
        <w:rPr>
          <w:spacing w:val="-5"/>
          <w:sz w:val="22"/>
        </w:rPr>
        <w:t> </w:t>
      </w:r>
      <w:r>
        <w:rPr>
          <w:sz w:val="22"/>
        </w:rPr>
        <w:t>Decreto 0170, corresponde a la SGCAN efectuar la correspondiente evaluación y expedir su pronunciamiento con arreglo a lo dispuesto en los artículos 72, 73, 74, 76 y 77 del Acuerdo de Cartagena, relativos al </w:t>
      </w:r>
      <w:r>
        <w:rPr>
          <w:rFonts w:ascii="Arial" w:hAnsi="Arial"/>
          <w:i/>
          <w:sz w:val="22"/>
        </w:rPr>
        <w:t>Programa de Liberación</w:t>
      </w:r>
      <w:r>
        <w:rPr>
          <w:sz w:val="22"/>
        </w:rPr>
        <w:t>.</w:t>
      </w:r>
    </w:p>
    <w:p>
      <w:pPr>
        <w:pStyle w:val="BodyText"/>
        <w:spacing w:before="2"/>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Debe señalarse que, de acuerdo con la solicitud de la República del Ecuador, la evaluación</w:t>
      </w:r>
      <w:r>
        <w:rPr>
          <w:spacing w:val="-9"/>
          <w:sz w:val="22"/>
        </w:rPr>
        <w:t> </w:t>
      </w:r>
      <w:r>
        <w:rPr>
          <w:sz w:val="22"/>
        </w:rPr>
        <w:t>de</w:t>
      </w:r>
      <w:r>
        <w:rPr>
          <w:spacing w:val="-9"/>
          <w:sz w:val="22"/>
        </w:rPr>
        <w:t> </w:t>
      </w:r>
      <w:r>
        <w:rPr>
          <w:sz w:val="22"/>
        </w:rPr>
        <w:t>la</w:t>
      </w:r>
      <w:r>
        <w:rPr>
          <w:spacing w:val="-9"/>
          <w:sz w:val="22"/>
        </w:rPr>
        <w:t> </w:t>
      </w:r>
      <w:r>
        <w:rPr>
          <w:sz w:val="22"/>
        </w:rPr>
        <w:t>SGCAN</w:t>
      </w:r>
      <w:r>
        <w:rPr>
          <w:spacing w:val="-12"/>
          <w:sz w:val="22"/>
        </w:rPr>
        <w:t> </w:t>
      </w:r>
      <w:r>
        <w:rPr>
          <w:sz w:val="22"/>
        </w:rPr>
        <w:t>respecto</w:t>
      </w:r>
      <w:r>
        <w:rPr>
          <w:spacing w:val="-9"/>
          <w:sz w:val="22"/>
        </w:rPr>
        <w:t> </w:t>
      </w:r>
      <w:r>
        <w:rPr>
          <w:sz w:val="22"/>
        </w:rPr>
        <w:t>de</w:t>
      </w:r>
      <w:r>
        <w:rPr>
          <w:spacing w:val="-12"/>
          <w:sz w:val="22"/>
        </w:rPr>
        <w:t> </w:t>
      </w:r>
      <w:r>
        <w:rPr>
          <w:sz w:val="22"/>
        </w:rPr>
        <w:t>las</w:t>
      </w:r>
      <w:r>
        <w:rPr>
          <w:spacing w:val="-11"/>
          <w:sz w:val="22"/>
        </w:rPr>
        <w:t> </w:t>
      </w:r>
      <w:r>
        <w:rPr>
          <w:sz w:val="22"/>
        </w:rPr>
        <w:t>medidas</w:t>
      </w:r>
      <w:r>
        <w:rPr>
          <w:spacing w:val="-11"/>
          <w:sz w:val="22"/>
        </w:rPr>
        <w:t> </w:t>
      </w:r>
      <w:r>
        <w:rPr>
          <w:sz w:val="22"/>
        </w:rPr>
        <w:t>contenidas</w:t>
      </w:r>
      <w:r>
        <w:rPr>
          <w:spacing w:val="-11"/>
          <w:sz w:val="22"/>
        </w:rPr>
        <w:t> </w:t>
      </w:r>
      <w:r>
        <w:rPr>
          <w:sz w:val="22"/>
        </w:rPr>
        <w:t>en</w:t>
      </w:r>
      <w:r>
        <w:rPr>
          <w:spacing w:val="-9"/>
          <w:sz w:val="22"/>
        </w:rPr>
        <w:t> </w:t>
      </w:r>
      <w:r>
        <w:rPr>
          <w:sz w:val="22"/>
        </w:rPr>
        <w:t>el</w:t>
      </w:r>
      <w:r>
        <w:rPr>
          <w:spacing w:val="-10"/>
          <w:sz w:val="22"/>
        </w:rPr>
        <w:t> </w:t>
      </w:r>
      <w:r>
        <w:rPr>
          <w:sz w:val="22"/>
        </w:rPr>
        <w:t>Decreto</w:t>
      </w:r>
      <w:r>
        <w:rPr>
          <w:spacing w:val="-9"/>
          <w:sz w:val="22"/>
        </w:rPr>
        <w:t> </w:t>
      </w:r>
      <w:r>
        <w:rPr>
          <w:sz w:val="22"/>
        </w:rPr>
        <w:t>0170,</w:t>
      </w:r>
      <w:r>
        <w:rPr>
          <w:spacing w:val="-7"/>
          <w:sz w:val="22"/>
        </w:rPr>
        <w:t> </w:t>
      </w:r>
      <w:r>
        <w:rPr>
          <w:sz w:val="22"/>
        </w:rPr>
        <w:t>serán analizadas tanto en su presunto carácter de gravamen, como de restricción.</w:t>
      </w:r>
    </w:p>
    <w:p>
      <w:pPr>
        <w:pStyle w:val="ListParagraph"/>
        <w:numPr>
          <w:ilvl w:val="0"/>
          <w:numId w:val="50"/>
        </w:numPr>
        <w:tabs>
          <w:tab w:pos="1130" w:val="left" w:leader="none"/>
          <w:tab w:pos="1134" w:val="left" w:leader="none"/>
        </w:tabs>
        <w:spacing w:line="240" w:lineRule="auto" w:before="251" w:after="0"/>
        <w:ind w:left="1134" w:right="977" w:hanging="567"/>
        <w:jc w:val="both"/>
        <w:rPr>
          <w:rFonts w:ascii="Arial" w:hAnsi="Arial"/>
          <w:i/>
          <w:sz w:val="22"/>
        </w:rPr>
      </w:pPr>
      <w:r>
        <w:rPr>
          <w:sz w:val="22"/>
        </w:rPr>
        <w:t>En</w:t>
      </w:r>
      <w:r>
        <w:rPr>
          <w:spacing w:val="-9"/>
          <w:sz w:val="22"/>
        </w:rPr>
        <w:t> </w:t>
      </w:r>
      <w:r>
        <w:rPr>
          <w:sz w:val="22"/>
        </w:rPr>
        <w:t>ese</w:t>
      </w:r>
      <w:r>
        <w:rPr>
          <w:spacing w:val="-9"/>
          <w:sz w:val="22"/>
        </w:rPr>
        <w:t> </w:t>
      </w:r>
      <w:r>
        <w:rPr>
          <w:sz w:val="22"/>
        </w:rPr>
        <w:t>sentido,</w:t>
      </w:r>
      <w:r>
        <w:rPr>
          <w:spacing w:val="-10"/>
          <w:sz w:val="22"/>
        </w:rPr>
        <w:t> </w:t>
      </w:r>
      <w:r>
        <w:rPr>
          <w:sz w:val="22"/>
        </w:rPr>
        <w:t>es</w:t>
      </w:r>
      <w:r>
        <w:rPr>
          <w:spacing w:val="-11"/>
          <w:sz w:val="22"/>
        </w:rPr>
        <w:t> </w:t>
      </w:r>
      <w:r>
        <w:rPr>
          <w:sz w:val="22"/>
        </w:rPr>
        <w:t>preciso</w:t>
      </w:r>
      <w:r>
        <w:rPr>
          <w:spacing w:val="-9"/>
          <w:sz w:val="22"/>
        </w:rPr>
        <w:t> </w:t>
      </w:r>
      <w:r>
        <w:rPr>
          <w:sz w:val="22"/>
        </w:rPr>
        <w:t>señalar</w:t>
      </w:r>
      <w:r>
        <w:rPr>
          <w:spacing w:val="-10"/>
          <w:sz w:val="22"/>
        </w:rPr>
        <w:t> </w:t>
      </w:r>
      <w:r>
        <w:rPr>
          <w:sz w:val="22"/>
        </w:rPr>
        <w:t>que,</w:t>
      </w:r>
      <w:r>
        <w:rPr>
          <w:spacing w:val="-10"/>
          <w:sz w:val="22"/>
        </w:rPr>
        <w:t> </w:t>
      </w:r>
      <w:r>
        <w:rPr>
          <w:sz w:val="22"/>
        </w:rPr>
        <w:t>al</w:t>
      </w:r>
      <w:r>
        <w:rPr>
          <w:spacing w:val="-10"/>
          <w:sz w:val="22"/>
        </w:rPr>
        <w:t> </w:t>
      </w:r>
      <w:r>
        <w:rPr>
          <w:sz w:val="22"/>
        </w:rPr>
        <w:t>suscribir</w:t>
      </w:r>
      <w:r>
        <w:rPr>
          <w:spacing w:val="-8"/>
          <w:sz w:val="22"/>
        </w:rPr>
        <w:t> </w:t>
      </w:r>
      <w:r>
        <w:rPr>
          <w:sz w:val="22"/>
        </w:rPr>
        <w:t>el</w:t>
      </w:r>
      <w:r>
        <w:rPr>
          <w:spacing w:val="-10"/>
          <w:sz w:val="22"/>
        </w:rPr>
        <w:t> </w:t>
      </w:r>
      <w:r>
        <w:rPr>
          <w:sz w:val="22"/>
        </w:rPr>
        <w:t>Acuerdo</w:t>
      </w:r>
      <w:r>
        <w:rPr>
          <w:spacing w:val="-12"/>
          <w:sz w:val="22"/>
        </w:rPr>
        <w:t> </w:t>
      </w:r>
      <w:r>
        <w:rPr>
          <w:sz w:val="22"/>
        </w:rPr>
        <w:t>de</w:t>
      </w:r>
      <w:r>
        <w:rPr>
          <w:spacing w:val="-9"/>
          <w:sz w:val="22"/>
        </w:rPr>
        <w:t> </w:t>
      </w:r>
      <w:r>
        <w:rPr>
          <w:sz w:val="22"/>
        </w:rPr>
        <w:t>Cartagena,</w:t>
      </w:r>
      <w:r>
        <w:rPr>
          <w:spacing w:val="-8"/>
          <w:sz w:val="22"/>
        </w:rPr>
        <w:t> </w:t>
      </w:r>
      <w:r>
        <w:rPr>
          <w:sz w:val="22"/>
        </w:rPr>
        <w:t>los</w:t>
      </w:r>
      <w:r>
        <w:rPr>
          <w:spacing w:val="-11"/>
          <w:sz w:val="22"/>
        </w:rPr>
        <w:t> </w:t>
      </w:r>
      <w:r>
        <w:rPr>
          <w:sz w:val="22"/>
        </w:rPr>
        <w:t>Países Miembros se comprometieron a desarrollar e implementar un Programa de Liberación orientado</w:t>
      </w:r>
      <w:r>
        <w:rPr>
          <w:spacing w:val="-7"/>
          <w:sz w:val="22"/>
        </w:rPr>
        <w:t> </w:t>
      </w:r>
      <w:r>
        <w:rPr>
          <w:sz w:val="22"/>
        </w:rPr>
        <w:t>a</w:t>
      </w:r>
      <w:r>
        <w:rPr>
          <w:spacing w:val="-10"/>
          <w:sz w:val="22"/>
        </w:rPr>
        <w:t> </w:t>
      </w:r>
      <w:r>
        <w:rPr>
          <w:sz w:val="22"/>
        </w:rPr>
        <w:t>eliminar</w:t>
      </w:r>
      <w:r>
        <w:rPr>
          <w:spacing w:val="-6"/>
          <w:sz w:val="22"/>
        </w:rPr>
        <w:t> </w:t>
      </w:r>
      <w:r>
        <w:rPr>
          <w:sz w:val="22"/>
        </w:rPr>
        <w:t>las</w:t>
      </w:r>
      <w:r>
        <w:rPr>
          <w:spacing w:val="-7"/>
          <w:sz w:val="22"/>
        </w:rPr>
        <w:t> </w:t>
      </w:r>
      <w:r>
        <w:rPr>
          <w:sz w:val="22"/>
        </w:rPr>
        <w:t>barreras</w:t>
      </w:r>
      <w:r>
        <w:rPr>
          <w:spacing w:val="-7"/>
          <w:sz w:val="22"/>
        </w:rPr>
        <w:t> </w:t>
      </w:r>
      <w:r>
        <w:rPr>
          <w:sz w:val="22"/>
        </w:rPr>
        <w:t>de</w:t>
      </w:r>
      <w:r>
        <w:rPr>
          <w:spacing w:val="-10"/>
          <w:sz w:val="22"/>
        </w:rPr>
        <w:t> </w:t>
      </w:r>
      <w:r>
        <w:rPr>
          <w:sz w:val="22"/>
        </w:rPr>
        <w:t>todo</w:t>
      </w:r>
      <w:r>
        <w:rPr>
          <w:spacing w:val="-10"/>
          <w:sz w:val="22"/>
        </w:rPr>
        <w:t> </w:t>
      </w:r>
      <w:r>
        <w:rPr>
          <w:sz w:val="22"/>
        </w:rPr>
        <w:t>origen</w:t>
      </w:r>
      <w:r>
        <w:rPr>
          <w:spacing w:val="-10"/>
          <w:sz w:val="22"/>
        </w:rPr>
        <w:t> </w:t>
      </w:r>
      <w:r>
        <w:rPr>
          <w:sz w:val="22"/>
        </w:rPr>
        <w:t>respecto</w:t>
      </w:r>
      <w:r>
        <w:rPr>
          <w:spacing w:val="-7"/>
          <w:sz w:val="22"/>
        </w:rPr>
        <w:t> </w:t>
      </w:r>
      <w:r>
        <w:rPr>
          <w:sz w:val="22"/>
        </w:rPr>
        <w:t>al</w:t>
      </w:r>
      <w:r>
        <w:rPr>
          <w:spacing w:val="-11"/>
          <w:sz w:val="22"/>
        </w:rPr>
        <w:t> </w:t>
      </w:r>
      <w:r>
        <w:rPr>
          <w:sz w:val="22"/>
        </w:rPr>
        <w:t>comercio</w:t>
      </w:r>
      <w:r>
        <w:rPr>
          <w:spacing w:val="-7"/>
          <w:sz w:val="22"/>
        </w:rPr>
        <w:t> </w:t>
      </w:r>
      <w:r>
        <w:rPr>
          <w:sz w:val="22"/>
        </w:rPr>
        <w:t>intrarregional.</w:t>
      </w:r>
      <w:r>
        <w:rPr>
          <w:spacing w:val="-2"/>
          <w:sz w:val="22"/>
        </w:rPr>
        <w:t> </w:t>
      </w:r>
      <w:r>
        <w:rPr>
          <w:sz w:val="22"/>
        </w:rPr>
        <w:t>Así, en el artículo 72 de la norma fundacional se dispuso que, “</w:t>
      </w:r>
      <w:r>
        <w:rPr>
          <w:rFonts w:ascii="Arial" w:hAnsi="Arial"/>
          <w:i/>
          <w:sz w:val="22"/>
        </w:rPr>
        <w:t>[e]l programa de Liberación de bienes tiene por objeto eliminar los gravámenes y las restricciones de todo origen que</w:t>
      </w:r>
      <w:r>
        <w:rPr>
          <w:rFonts w:ascii="Arial" w:hAnsi="Arial"/>
          <w:i/>
          <w:spacing w:val="-7"/>
          <w:sz w:val="22"/>
        </w:rPr>
        <w:t> </w:t>
      </w:r>
      <w:r>
        <w:rPr>
          <w:rFonts w:ascii="Arial" w:hAnsi="Arial"/>
          <w:i/>
          <w:sz w:val="22"/>
        </w:rPr>
        <w:t>incidan</w:t>
      </w:r>
      <w:r>
        <w:rPr>
          <w:rFonts w:ascii="Arial" w:hAnsi="Arial"/>
          <w:i/>
          <w:spacing w:val="-7"/>
          <w:sz w:val="22"/>
        </w:rPr>
        <w:t> </w:t>
      </w:r>
      <w:r>
        <w:rPr>
          <w:rFonts w:ascii="Arial" w:hAnsi="Arial"/>
          <w:i/>
          <w:sz w:val="22"/>
        </w:rPr>
        <w:t>sobre</w:t>
      </w:r>
      <w:r>
        <w:rPr>
          <w:rFonts w:ascii="Arial" w:hAnsi="Arial"/>
          <w:i/>
          <w:spacing w:val="-10"/>
          <w:sz w:val="22"/>
        </w:rPr>
        <w:t> </w:t>
      </w:r>
      <w:r>
        <w:rPr>
          <w:rFonts w:ascii="Arial" w:hAnsi="Arial"/>
          <w:i/>
          <w:sz w:val="22"/>
        </w:rPr>
        <w:t>la</w:t>
      </w:r>
      <w:r>
        <w:rPr>
          <w:rFonts w:ascii="Arial" w:hAnsi="Arial"/>
          <w:i/>
          <w:spacing w:val="-7"/>
          <w:sz w:val="22"/>
        </w:rPr>
        <w:t> </w:t>
      </w:r>
      <w:r>
        <w:rPr>
          <w:rFonts w:ascii="Arial" w:hAnsi="Arial"/>
          <w:i/>
          <w:sz w:val="22"/>
        </w:rPr>
        <w:t>importación</w:t>
      </w:r>
      <w:r>
        <w:rPr>
          <w:rFonts w:ascii="Arial" w:hAnsi="Arial"/>
          <w:i/>
          <w:spacing w:val="-8"/>
          <w:sz w:val="22"/>
        </w:rPr>
        <w:t> </w:t>
      </w:r>
      <w:r>
        <w:rPr>
          <w:rFonts w:ascii="Arial" w:hAnsi="Arial"/>
          <w:i/>
          <w:sz w:val="22"/>
        </w:rPr>
        <w:t>de</w:t>
      </w:r>
      <w:r>
        <w:rPr>
          <w:rFonts w:ascii="Arial" w:hAnsi="Arial"/>
          <w:i/>
          <w:spacing w:val="-10"/>
          <w:sz w:val="22"/>
        </w:rPr>
        <w:t> </w:t>
      </w:r>
      <w:r>
        <w:rPr>
          <w:rFonts w:ascii="Arial" w:hAnsi="Arial"/>
          <w:i/>
          <w:sz w:val="22"/>
        </w:rPr>
        <w:t>productos</w:t>
      </w:r>
      <w:r>
        <w:rPr>
          <w:rFonts w:ascii="Arial" w:hAnsi="Arial"/>
          <w:i/>
          <w:spacing w:val="-10"/>
          <w:sz w:val="22"/>
        </w:rPr>
        <w:t> </w:t>
      </w:r>
      <w:r>
        <w:rPr>
          <w:rFonts w:ascii="Arial" w:hAnsi="Arial"/>
          <w:i/>
          <w:sz w:val="22"/>
        </w:rPr>
        <w:t>originarios</w:t>
      </w:r>
      <w:r>
        <w:rPr>
          <w:rFonts w:ascii="Arial" w:hAnsi="Arial"/>
          <w:i/>
          <w:spacing w:val="-7"/>
          <w:sz w:val="22"/>
        </w:rPr>
        <w:t> </w:t>
      </w:r>
      <w:r>
        <w:rPr>
          <w:rFonts w:ascii="Arial" w:hAnsi="Arial"/>
          <w:i/>
          <w:sz w:val="22"/>
        </w:rPr>
        <w:t>del</w:t>
      </w:r>
      <w:r>
        <w:rPr>
          <w:rFonts w:ascii="Arial" w:hAnsi="Arial"/>
          <w:i/>
          <w:spacing w:val="-8"/>
          <w:sz w:val="22"/>
        </w:rPr>
        <w:t> </w:t>
      </w:r>
      <w:r>
        <w:rPr>
          <w:rFonts w:ascii="Arial" w:hAnsi="Arial"/>
          <w:i/>
          <w:sz w:val="22"/>
        </w:rPr>
        <w:t>territorio</w:t>
      </w:r>
      <w:r>
        <w:rPr>
          <w:rFonts w:ascii="Arial" w:hAnsi="Arial"/>
          <w:i/>
          <w:spacing w:val="-7"/>
          <w:sz w:val="22"/>
        </w:rPr>
        <w:t> </w:t>
      </w:r>
      <w:r>
        <w:rPr>
          <w:rFonts w:ascii="Arial" w:hAnsi="Arial"/>
          <w:i/>
          <w:sz w:val="22"/>
        </w:rPr>
        <w:t>de</w:t>
      </w:r>
      <w:r>
        <w:rPr>
          <w:rFonts w:ascii="Arial" w:hAnsi="Arial"/>
          <w:i/>
          <w:spacing w:val="-8"/>
          <w:sz w:val="22"/>
        </w:rPr>
        <w:t> </w:t>
      </w:r>
      <w:r>
        <w:rPr>
          <w:rFonts w:ascii="Arial" w:hAnsi="Arial"/>
          <w:i/>
          <w:sz w:val="22"/>
        </w:rPr>
        <w:t>cualquier</w:t>
      </w:r>
      <w:r>
        <w:rPr>
          <w:rFonts w:ascii="Arial" w:hAnsi="Arial"/>
          <w:i/>
          <w:spacing w:val="-7"/>
          <w:sz w:val="22"/>
        </w:rPr>
        <w:t> </w:t>
      </w:r>
      <w:r>
        <w:rPr>
          <w:rFonts w:ascii="Arial" w:hAnsi="Arial"/>
          <w:i/>
          <w:sz w:val="22"/>
        </w:rPr>
        <w:t>País </w:t>
      </w:r>
      <w:r>
        <w:rPr>
          <w:rFonts w:ascii="Arial" w:hAnsi="Arial"/>
          <w:i/>
          <w:spacing w:val="-2"/>
          <w:sz w:val="22"/>
        </w:rPr>
        <w:t>Miembro”.</w:t>
      </w:r>
    </w:p>
    <w:p>
      <w:pPr>
        <w:pStyle w:val="ListParagraph"/>
        <w:spacing w:after="0" w:line="240" w:lineRule="auto"/>
        <w:jc w:val="both"/>
        <w:rPr>
          <w:rFonts w:ascii="Arial" w:hAnsi="Arial"/>
          <w:i/>
          <w:sz w:val="22"/>
        </w:rPr>
        <w:sectPr>
          <w:headerReference w:type="default" r:id="rId74"/>
          <w:footerReference w:type="default" r:id="rId75"/>
          <w:pgSz w:w="11900" w:h="16850"/>
          <w:pgMar w:header="370" w:footer="651" w:top="1380" w:bottom="840" w:left="992" w:right="283"/>
        </w:sectPr>
      </w:pPr>
    </w:p>
    <w:p>
      <w:pPr>
        <w:pStyle w:val="BodyText"/>
        <w:spacing w:before="176"/>
        <w:rPr>
          <w:rFonts w:ascii="Arial"/>
          <w:i/>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A su turno, en el artículo 73 se definió lo que debe entenderse por </w:t>
      </w:r>
      <w:r>
        <w:rPr>
          <w:rFonts w:ascii="Arial" w:hAnsi="Arial"/>
          <w:i/>
          <w:sz w:val="22"/>
        </w:rPr>
        <w:t>“gravámenes” </w:t>
      </w:r>
      <w:r>
        <w:rPr>
          <w:sz w:val="22"/>
        </w:rPr>
        <w:t>y </w:t>
      </w:r>
      <w:r>
        <w:rPr>
          <w:rFonts w:ascii="Arial" w:hAnsi="Arial"/>
          <w:i/>
          <w:sz w:val="22"/>
        </w:rPr>
        <w:t>“restricciones de todo orden”</w:t>
      </w:r>
      <w:r>
        <w:rPr>
          <w:sz w:val="22"/>
        </w:rPr>
        <w:t>, a los efectos del Acuerdo de Cartagena. Con relación a estos conceptos, la norma andina fundamental establece lo siguiente:</w:t>
      </w:r>
    </w:p>
    <w:p>
      <w:pPr>
        <w:pStyle w:val="BodyText"/>
        <w:spacing w:before="1"/>
      </w:pPr>
    </w:p>
    <w:p>
      <w:pPr>
        <w:spacing w:before="0"/>
        <w:ind w:left="1562" w:right="978" w:firstLine="0"/>
        <w:jc w:val="both"/>
        <w:rPr>
          <w:rFonts w:ascii="Arial" w:hAnsi="Arial"/>
          <w:i/>
          <w:sz w:val="22"/>
        </w:rPr>
      </w:pPr>
      <w:r>
        <w:rPr>
          <w:sz w:val="22"/>
        </w:rPr>
        <w:t>“</w:t>
      </w:r>
      <w:r>
        <w:rPr>
          <w:rFonts w:ascii="Arial" w:hAnsi="Arial"/>
          <w:i/>
          <w:sz w:val="22"/>
        </w:rPr>
        <w:t>Se entenderá por ´gravámenes´ los derechos aduaneros y cualesquier otros recargos de efectos equivalentes, sean de carácter fiscal, monetario o cambiario, que</w:t>
      </w:r>
      <w:r>
        <w:rPr>
          <w:rFonts w:ascii="Arial" w:hAnsi="Arial"/>
          <w:i/>
          <w:spacing w:val="-4"/>
          <w:sz w:val="22"/>
        </w:rPr>
        <w:t> </w:t>
      </w:r>
      <w:r>
        <w:rPr>
          <w:rFonts w:ascii="Arial" w:hAnsi="Arial"/>
          <w:i/>
          <w:sz w:val="22"/>
        </w:rPr>
        <w:t>incidan</w:t>
      </w:r>
      <w:r>
        <w:rPr>
          <w:rFonts w:ascii="Arial" w:hAnsi="Arial"/>
          <w:i/>
          <w:spacing w:val="-4"/>
          <w:sz w:val="22"/>
        </w:rPr>
        <w:t> </w:t>
      </w:r>
      <w:r>
        <w:rPr>
          <w:rFonts w:ascii="Arial" w:hAnsi="Arial"/>
          <w:i/>
          <w:sz w:val="22"/>
        </w:rPr>
        <w:t>sobre</w:t>
      </w:r>
      <w:r>
        <w:rPr>
          <w:rFonts w:ascii="Arial" w:hAnsi="Arial"/>
          <w:i/>
          <w:spacing w:val="-4"/>
          <w:sz w:val="22"/>
        </w:rPr>
        <w:t> </w:t>
      </w:r>
      <w:r>
        <w:rPr>
          <w:rFonts w:ascii="Arial" w:hAnsi="Arial"/>
          <w:i/>
          <w:sz w:val="22"/>
        </w:rPr>
        <w:t>las</w:t>
      </w:r>
      <w:r>
        <w:rPr>
          <w:rFonts w:ascii="Arial" w:hAnsi="Arial"/>
          <w:i/>
          <w:spacing w:val="-6"/>
          <w:sz w:val="22"/>
        </w:rPr>
        <w:t> </w:t>
      </w:r>
      <w:r>
        <w:rPr>
          <w:rFonts w:ascii="Arial" w:hAnsi="Arial"/>
          <w:i/>
          <w:sz w:val="22"/>
        </w:rPr>
        <w:t>importaciones.</w:t>
      </w:r>
      <w:r>
        <w:rPr>
          <w:rFonts w:ascii="Arial" w:hAnsi="Arial"/>
          <w:i/>
          <w:spacing w:val="-1"/>
          <w:sz w:val="22"/>
        </w:rPr>
        <w:t> </w:t>
      </w:r>
      <w:r>
        <w:rPr>
          <w:rFonts w:ascii="Arial" w:hAnsi="Arial"/>
          <w:i/>
          <w:sz w:val="22"/>
        </w:rPr>
        <w:t>No</w:t>
      </w:r>
      <w:r>
        <w:rPr>
          <w:rFonts w:ascii="Arial" w:hAnsi="Arial"/>
          <w:i/>
          <w:spacing w:val="-6"/>
          <w:sz w:val="22"/>
        </w:rPr>
        <w:t> </w:t>
      </w:r>
      <w:r>
        <w:rPr>
          <w:rFonts w:ascii="Arial" w:hAnsi="Arial"/>
          <w:i/>
          <w:sz w:val="22"/>
        </w:rPr>
        <w:t>quedarán</w:t>
      </w:r>
      <w:r>
        <w:rPr>
          <w:rFonts w:ascii="Arial" w:hAnsi="Arial"/>
          <w:i/>
          <w:spacing w:val="-4"/>
          <w:sz w:val="22"/>
        </w:rPr>
        <w:t> </w:t>
      </w:r>
      <w:r>
        <w:rPr>
          <w:rFonts w:ascii="Arial" w:hAnsi="Arial"/>
          <w:i/>
          <w:sz w:val="22"/>
        </w:rPr>
        <w:t>comprendidos</w:t>
      </w:r>
      <w:r>
        <w:rPr>
          <w:rFonts w:ascii="Arial" w:hAnsi="Arial"/>
          <w:i/>
          <w:spacing w:val="-6"/>
          <w:sz w:val="22"/>
        </w:rPr>
        <w:t> </w:t>
      </w:r>
      <w:r>
        <w:rPr>
          <w:rFonts w:ascii="Arial" w:hAnsi="Arial"/>
          <w:i/>
          <w:sz w:val="22"/>
        </w:rPr>
        <w:t>en</w:t>
      </w:r>
      <w:r>
        <w:rPr>
          <w:rFonts w:ascii="Arial" w:hAnsi="Arial"/>
          <w:i/>
          <w:spacing w:val="-4"/>
          <w:sz w:val="22"/>
        </w:rPr>
        <w:t> </w:t>
      </w:r>
      <w:r>
        <w:rPr>
          <w:rFonts w:ascii="Arial" w:hAnsi="Arial"/>
          <w:i/>
          <w:sz w:val="22"/>
        </w:rPr>
        <w:t>este</w:t>
      </w:r>
      <w:r>
        <w:rPr>
          <w:rFonts w:ascii="Arial" w:hAnsi="Arial"/>
          <w:i/>
          <w:spacing w:val="-8"/>
          <w:sz w:val="22"/>
        </w:rPr>
        <w:t> </w:t>
      </w:r>
      <w:r>
        <w:rPr>
          <w:rFonts w:ascii="Arial" w:hAnsi="Arial"/>
          <w:i/>
          <w:sz w:val="22"/>
        </w:rPr>
        <w:t>concepto las tasas y recargos análogos cuando correspondan al costo aproximado de los servicios prestados.</w:t>
      </w:r>
    </w:p>
    <w:p>
      <w:pPr>
        <w:spacing w:before="252"/>
        <w:ind w:left="1562" w:right="983" w:firstLine="0"/>
        <w:jc w:val="both"/>
        <w:rPr>
          <w:sz w:val="22"/>
        </w:rPr>
      </w:pPr>
      <w:r>
        <w:rPr>
          <w:rFonts w:ascii="Arial" w:hAnsi="Arial"/>
          <w:i/>
          <w:sz w:val="22"/>
        </w:rPr>
        <w:t>Se entenderá por “restricciones de todo orden” cualquier medida de carácter administrativo, financiero o cambiario, mediante la cual un País Miembro impida o dificulte las importaciones, por decisión unilateral. </w:t>
      </w:r>
      <w:r>
        <w:rPr>
          <w:sz w:val="22"/>
        </w:rPr>
        <w:t>(…)”.</w:t>
      </w:r>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Cabe</w:t>
      </w:r>
      <w:r>
        <w:rPr>
          <w:spacing w:val="-6"/>
          <w:sz w:val="22"/>
        </w:rPr>
        <w:t> </w:t>
      </w:r>
      <w:r>
        <w:rPr>
          <w:sz w:val="22"/>
        </w:rPr>
        <w:t>señalar</w:t>
      </w:r>
      <w:r>
        <w:rPr>
          <w:spacing w:val="-6"/>
          <w:sz w:val="22"/>
        </w:rPr>
        <w:t> </w:t>
      </w:r>
      <w:r>
        <w:rPr>
          <w:sz w:val="22"/>
        </w:rPr>
        <w:t>que,</w:t>
      </w:r>
      <w:r>
        <w:rPr>
          <w:spacing w:val="-5"/>
          <w:sz w:val="22"/>
        </w:rPr>
        <w:t> </w:t>
      </w:r>
      <w:r>
        <w:rPr>
          <w:sz w:val="22"/>
        </w:rPr>
        <w:t>en</w:t>
      </w:r>
      <w:r>
        <w:rPr>
          <w:spacing w:val="-9"/>
          <w:sz w:val="22"/>
        </w:rPr>
        <w:t> </w:t>
      </w:r>
      <w:r>
        <w:rPr>
          <w:sz w:val="22"/>
        </w:rPr>
        <w:t>la</w:t>
      </w:r>
      <w:r>
        <w:rPr>
          <w:spacing w:val="-6"/>
          <w:sz w:val="22"/>
        </w:rPr>
        <w:t> </w:t>
      </w:r>
      <w:r>
        <w:rPr>
          <w:sz w:val="22"/>
        </w:rPr>
        <w:t>respuesta</w:t>
      </w:r>
      <w:r>
        <w:rPr>
          <w:spacing w:val="-6"/>
          <w:sz w:val="22"/>
        </w:rPr>
        <w:t> </w:t>
      </w:r>
      <w:r>
        <w:rPr>
          <w:sz w:val="22"/>
        </w:rPr>
        <w:t>de</w:t>
      </w:r>
      <w:r>
        <w:rPr>
          <w:spacing w:val="-7"/>
          <w:sz w:val="22"/>
        </w:rPr>
        <w:t> </w:t>
      </w:r>
      <w:r>
        <w:rPr>
          <w:sz w:val="22"/>
        </w:rPr>
        <w:t>la</w:t>
      </w:r>
      <w:r>
        <w:rPr>
          <w:spacing w:val="-6"/>
          <w:sz w:val="22"/>
        </w:rPr>
        <w:t> </w:t>
      </w:r>
      <w:r>
        <w:rPr>
          <w:sz w:val="22"/>
        </w:rPr>
        <w:t>República</w:t>
      </w:r>
      <w:r>
        <w:rPr>
          <w:spacing w:val="-6"/>
          <w:sz w:val="22"/>
        </w:rPr>
        <w:t> </w:t>
      </w:r>
      <w:r>
        <w:rPr>
          <w:sz w:val="22"/>
        </w:rPr>
        <w:t>de</w:t>
      </w:r>
      <w:r>
        <w:rPr>
          <w:spacing w:val="-7"/>
          <w:sz w:val="22"/>
        </w:rPr>
        <w:t> </w:t>
      </w:r>
      <w:r>
        <w:rPr>
          <w:sz w:val="22"/>
        </w:rPr>
        <w:t>Colombia,</w:t>
      </w:r>
      <w:r>
        <w:rPr>
          <w:spacing w:val="-5"/>
          <w:sz w:val="22"/>
        </w:rPr>
        <w:t> </w:t>
      </w:r>
      <w:r>
        <w:rPr>
          <w:sz w:val="22"/>
        </w:rPr>
        <w:t>se</w:t>
      </w:r>
      <w:r>
        <w:rPr>
          <w:spacing w:val="-6"/>
          <w:sz w:val="22"/>
        </w:rPr>
        <w:t> </w:t>
      </w:r>
      <w:r>
        <w:rPr>
          <w:sz w:val="22"/>
        </w:rPr>
        <w:t>argumentó</w:t>
      </w:r>
      <w:r>
        <w:rPr>
          <w:spacing w:val="-6"/>
          <w:sz w:val="22"/>
        </w:rPr>
        <w:t> </w:t>
      </w:r>
      <w:r>
        <w:rPr>
          <w:sz w:val="22"/>
        </w:rPr>
        <w:t>que</w:t>
      </w:r>
      <w:r>
        <w:rPr>
          <w:spacing w:val="-6"/>
          <w:sz w:val="22"/>
        </w:rPr>
        <w:t> </w:t>
      </w:r>
      <w:r>
        <w:rPr>
          <w:sz w:val="22"/>
        </w:rPr>
        <w:t>“</w:t>
      </w:r>
      <w:r>
        <w:rPr>
          <w:rFonts w:ascii="Arial" w:hAnsi="Arial"/>
          <w:i/>
          <w:sz w:val="22"/>
        </w:rPr>
        <w:t>[e]l Decreto 170 de 2026 no es un gravamen ni una restricción, en tanto se enmarca en la excepción establecida en el artículo 73 b) del AC, y de hecho se trata de una medida destinada a salvaguardar la seguridad nacional de Colombia conculcada por los aranceles unilaterales e ilegales impuestos por Ecuador”</w:t>
      </w:r>
      <w:hyperlink w:history="true" w:anchor="_bookmark100">
        <w:r>
          <w:rPr>
            <w:rFonts w:ascii="Arial" w:hAnsi="Arial"/>
            <w:i/>
            <w:sz w:val="22"/>
            <w:vertAlign w:val="superscript"/>
          </w:rPr>
          <w:t>33</w:t>
        </w:r>
        <w:r>
          <w:rPr>
            <w:rFonts w:ascii="Arial" w:hAnsi="Arial"/>
            <w:i/>
            <w:sz w:val="22"/>
            <w:vertAlign w:val="baseline"/>
          </w:rPr>
          <w:t>.</w:t>
        </w:r>
      </w:hyperlink>
      <w:r>
        <w:rPr>
          <w:rFonts w:ascii="Arial" w:hAnsi="Arial"/>
          <w:i/>
          <w:sz w:val="22"/>
          <w:vertAlign w:val="baseline"/>
        </w:rPr>
        <w:t> </w:t>
      </w:r>
      <w:r>
        <w:rPr>
          <w:sz w:val="22"/>
          <w:vertAlign w:val="baseline"/>
        </w:rPr>
        <w:t>Asimismo</w:t>
      </w:r>
      <w:r>
        <w:rPr>
          <w:rFonts w:ascii="Arial" w:hAnsi="Arial"/>
          <w:i/>
          <w:sz w:val="22"/>
          <w:vertAlign w:val="baseline"/>
        </w:rPr>
        <w:t>, </w:t>
      </w:r>
      <w:r>
        <w:rPr>
          <w:sz w:val="22"/>
          <w:vertAlign w:val="baseline"/>
        </w:rPr>
        <w:t>la República de Colombia señaló que el “arancel recíproco” cumpliría con el estándar jurisprudencial establecido por el TJCAN para la aplicación del artículo 73 del Acuerdo de Cartagena, esto es, según su criterio, que la medida sería:</w:t>
      </w:r>
    </w:p>
    <w:p>
      <w:pPr>
        <w:pStyle w:val="BodyText"/>
      </w:pPr>
    </w:p>
    <w:p>
      <w:pPr>
        <w:pStyle w:val="ListParagraph"/>
        <w:numPr>
          <w:ilvl w:val="0"/>
          <w:numId w:val="59"/>
        </w:numPr>
        <w:tabs>
          <w:tab w:pos="1560" w:val="left" w:leader="none"/>
        </w:tabs>
        <w:spacing w:line="252" w:lineRule="exact" w:before="0" w:after="0"/>
        <w:ind w:left="1560" w:right="0" w:hanging="358"/>
        <w:jc w:val="left"/>
        <w:rPr>
          <w:sz w:val="22"/>
        </w:rPr>
      </w:pPr>
      <w:r>
        <w:rPr>
          <w:spacing w:val="-2"/>
          <w:sz w:val="22"/>
        </w:rPr>
        <w:t>Idónea.</w:t>
      </w:r>
    </w:p>
    <w:p>
      <w:pPr>
        <w:pStyle w:val="ListParagraph"/>
        <w:numPr>
          <w:ilvl w:val="0"/>
          <w:numId w:val="59"/>
        </w:numPr>
        <w:tabs>
          <w:tab w:pos="1560" w:val="left" w:leader="none"/>
        </w:tabs>
        <w:spacing w:line="252" w:lineRule="exact" w:before="0" w:after="0"/>
        <w:ind w:left="1560" w:right="0" w:hanging="358"/>
        <w:jc w:val="left"/>
        <w:rPr>
          <w:sz w:val="22"/>
        </w:rPr>
      </w:pPr>
      <w:r>
        <w:rPr>
          <w:spacing w:val="-2"/>
          <w:sz w:val="22"/>
        </w:rPr>
        <w:t>Insustituible.</w:t>
      </w:r>
    </w:p>
    <w:p>
      <w:pPr>
        <w:pStyle w:val="ListParagraph"/>
        <w:numPr>
          <w:ilvl w:val="0"/>
          <w:numId w:val="59"/>
        </w:numPr>
        <w:tabs>
          <w:tab w:pos="1561" w:val="left" w:leader="none"/>
        </w:tabs>
        <w:spacing w:line="253" w:lineRule="exact" w:before="0" w:after="0"/>
        <w:ind w:left="1561" w:right="0" w:hanging="359"/>
        <w:jc w:val="left"/>
        <w:rPr>
          <w:sz w:val="22"/>
        </w:rPr>
      </w:pPr>
      <w:r>
        <w:rPr>
          <w:spacing w:val="-2"/>
          <w:sz w:val="22"/>
        </w:rPr>
        <w:t>Proporcional.</w:t>
      </w:r>
    </w:p>
    <w:p>
      <w:pPr>
        <w:pStyle w:val="ListParagraph"/>
        <w:numPr>
          <w:ilvl w:val="0"/>
          <w:numId w:val="59"/>
        </w:numPr>
        <w:tabs>
          <w:tab w:pos="1560" w:val="left" w:leader="none"/>
        </w:tabs>
        <w:spacing w:line="240" w:lineRule="auto" w:before="2" w:after="0"/>
        <w:ind w:left="1560" w:right="0" w:hanging="358"/>
        <w:jc w:val="left"/>
        <w:rPr>
          <w:sz w:val="22"/>
        </w:rPr>
      </w:pPr>
      <w:r>
        <w:rPr>
          <w:sz w:val="22"/>
        </w:rPr>
        <w:t>No</w:t>
      </w:r>
      <w:r>
        <w:rPr>
          <w:spacing w:val="-2"/>
          <w:sz w:val="22"/>
        </w:rPr>
        <w:t> discriminatoria.</w:t>
      </w:r>
    </w:p>
    <w:p>
      <w:pPr>
        <w:pStyle w:val="BodyText"/>
      </w:pPr>
    </w:p>
    <w:p>
      <w:pPr>
        <w:pStyle w:val="ListParagraph"/>
        <w:numPr>
          <w:ilvl w:val="0"/>
          <w:numId w:val="50"/>
        </w:numPr>
        <w:tabs>
          <w:tab w:pos="1130" w:val="left" w:leader="none"/>
          <w:tab w:pos="1134" w:val="left" w:leader="none"/>
        </w:tabs>
        <w:spacing w:line="240" w:lineRule="auto" w:before="0" w:after="0"/>
        <w:ind w:left="1134" w:right="975" w:hanging="567"/>
        <w:jc w:val="both"/>
        <w:rPr>
          <w:rFonts w:ascii="Arial" w:hAnsi="Arial"/>
          <w:b/>
          <w:sz w:val="22"/>
        </w:rPr>
      </w:pPr>
      <w:r>
        <w:rPr>
          <w:sz w:val="22"/>
        </w:rPr>
        <w:t>En este contexto, sobre la medida arancelaria establecida en el artículo 1 del Decreto 0170,</w:t>
      </w:r>
      <w:r>
        <w:rPr>
          <w:spacing w:val="-14"/>
          <w:sz w:val="22"/>
        </w:rPr>
        <w:t> </w:t>
      </w:r>
      <w:r>
        <w:rPr>
          <w:sz w:val="22"/>
        </w:rPr>
        <w:t>la</w:t>
      </w:r>
      <w:r>
        <w:rPr>
          <w:spacing w:val="-14"/>
          <w:sz w:val="22"/>
        </w:rPr>
        <w:t> </w:t>
      </w:r>
      <w:r>
        <w:rPr>
          <w:sz w:val="22"/>
        </w:rPr>
        <w:t>República</w:t>
      </w:r>
      <w:r>
        <w:rPr>
          <w:spacing w:val="-15"/>
          <w:sz w:val="22"/>
        </w:rPr>
        <w:t> </w:t>
      </w:r>
      <w:r>
        <w:rPr>
          <w:sz w:val="22"/>
        </w:rPr>
        <w:t>de</w:t>
      </w:r>
      <w:r>
        <w:rPr>
          <w:spacing w:val="-15"/>
          <w:sz w:val="22"/>
        </w:rPr>
        <w:t> </w:t>
      </w:r>
      <w:r>
        <w:rPr>
          <w:sz w:val="22"/>
        </w:rPr>
        <w:t>Colombia</w:t>
      </w:r>
      <w:r>
        <w:rPr>
          <w:spacing w:val="-15"/>
          <w:sz w:val="22"/>
        </w:rPr>
        <w:t> </w:t>
      </w:r>
      <w:r>
        <w:rPr>
          <w:sz w:val="22"/>
        </w:rPr>
        <w:t>señala</w:t>
      </w:r>
      <w:r>
        <w:rPr>
          <w:spacing w:val="-15"/>
          <w:sz w:val="22"/>
        </w:rPr>
        <w:t> </w:t>
      </w:r>
      <w:r>
        <w:rPr>
          <w:sz w:val="22"/>
        </w:rPr>
        <w:t>que</w:t>
      </w:r>
      <w:r>
        <w:rPr>
          <w:spacing w:val="-15"/>
          <w:sz w:val="22"/>
        </w:rPr>
        <w:t> </w:t>
      </w:r>
      <w:r>
        <w:rPr>
          <w:sz w:val="22"/>
        </w:rPr>
        <w:t>esta</w:t>
      </w:r>
      <w:r>
        <w:rPr>
          <w:spacing w:val="-15"/>
          <w:sz w:val="22"/>
        </w:rPr>
        <w:t> </w:t>
      </w:r>
      <w:r>
        <w:rPr>
          <w:sz w:val="22"/>
        </w:rPr>
        <w:t>corresponde</w:t>
      </w:r>
      <w:r>
        <w:rPr>
          <w:spacing w:val="-16"/>
          <w:sz w:val="22"/>
        </w:rPr>
        <w:t> </w:t>
      </w:r>
      <w:r>
        <w:rPr>
          <w:rFonts w:ascii="Arial" w:hAnsi="Arial"/>
          <w:b/>
          <w:sz w:val="22"/>
        </w:rPr>
        <w:t>a</w:t>
      </w:r>
      <w:r>
        <w:rPr>
          <w:rFonts w:ascii="Arial" w:hAnsi="Arial"/>
          <w:b/>
          <w:spacing w:val="-14"/>
          <w:sz w:val="22"/>
        </w:rPr>
        <w:t> </w:t>
      </w:r>
      <w:r>
        <w:rPr>
          <w:rFonts w:ascii="Arial" w:hAnsi="Arial"/>
          <w:b/>
          <w:sz w:val="22"/>
        </w:rPr>
        <w:t>un</w:t>
      </w:r>
      <w:r>
        <w:rPr>
          <w:rFonts w:ascii="Arial" w:hAnsi="Arial"/>
          <w:b/>
          <w:spacing w:val="-16"/>
          <w:sz w:val="22"/>
        </w:rPr>
        <w:t> </w:t>
      </w:r>
      <w:r>
        <w:rPr>
          <w:rFonts w:ascii="Arial" w:hAnsi="Arial"/>
          <w:b/>
          <w:sz w:val="22"/>
        </w:rPr>
        <w:t>“arancel</w:t>
      </w:r>
      <w:r>
        <w:rPr>
          <w:rFonts w:ascii="Arial" w:hAnsi="Arial"/>
          <w:b/>
          <w:spacing w:val="-13"/>
          <w:sz w:val="22"/>
        </w:rPr>
        <w:t> </w:t>
      </w:r>
      <w:r>
        <w:rPr>
          <w:rFonts w:ascii="Arial" w:hAnsi="Arial"/>
          <w:b/>
          <w:sz w:val="22"/>
        </w:rPr>
        <w:t>recíproco” equivalente a un gravamen del 30%.</w:t>
      </w:r>
    </w:p>
    <w:p>
      <w:pPr>
        <w:pStyle w:val="ListParagraph"/>
        <w:numPr>
          <w:ilvl w:val="0"/>
          <w:numId w:val="50"/>
        </w:numPr>
        <w:tabs>
          <w:tab w:pos="1130" w:val="left" w:leader="none"/>
          <w:tab w:pos="1134" w:val="left" w:leader="none"/>
        </w:tabs>
        <w:spacing w:line="240" w:lineRule="auto" w:before="252" w:after="0"/>
        <w:ind w:left="1134" w:right="979" w:hanging="567"/>
        <w:jc w:val="both"/>
        <w:rPr>
          <w:rFonts w:ascii="Arial" w:hAnsi="Arial"/>
          <w:i/>
          <w:sz w:val="22"/>
        </w:rPr>
      </w:pPr>
      <w:r>
        <w:rPr>
          <w:sz w:val="22"/>
        </w:rPr>
        <w:t>Sobre</w:t>
      </w:r>
      <w:r>
        <w:rPr>
          <w:spacing w:val="-4"/>
          <w:sz w:val="22"/>
        </w:rPr>
        <w:t> </w:t>
      </w:r>
      <w:r>
        <w:rPr>
          <w:sz w:val="22"/>
        </w:rPr>
        <w:t>la</w:t>
      </w:r>
      <w:r>
        <w:rPr>
          <w:spacing w:val="-4"/>
          <w:sz w:val="22"/>
        </w:rPr>
        <w:t> </w:t>
      </w:r>
      <w:r>
        <w:rPr>
          <w:sz w:val="22"/>
        </w:rPr>
        <w:t>medida</w:t>
      </w:r>
      <w:r>
        <w:rPr>
          <w:spacing w:val="-4"/>
          <w:sz w:val="22"/>
        </w:rPr>
        <w:t> </w:t>
      </w:r>
      <w:r>
        <w:rPr>
          <w:sz w:val="22"/>
        </w:rPr>
        <w:t>del</w:t>
      </w:r>
      <w:r>
        <w:rPr>
          <w:spacing w:val="-5"/>
          <w:sz w:val="22"/>
        </w:rPr>
        <w:t> </w:t>
      </w:r>
      <w:r>
        <w:rPr>
          <w:sz w:val="22"/>
        </w:rPr>
        <w:t>artículo</w:t>
      </w:r>
      <w:r>
        <w:rPr>
          <w:spacing w:val="-4"/>
          <w:sz w:val="22"/>
        </w:rPr>
        <w:t> </w:t>
      </w:r>
      <w:r>
        <w:rPr>
          <w:sz w:val="22"/>
        </w:rPr>
        <w:t>2</w:t>
      </w:r>
      <w:r>
        <w:rPr>
          <w:spacing w:val="-4"/>
          <w:sz w:val="22"/>
        </w:rPr>
        <w:t> </w:t>
      </w:r>
      <w:r>
        <w:rPr>
          <w:sz w:val="22"/>
        </w:rPr>
        <w:t>del</w:t>
      </w:r>
      <w:r>
        <w:rPr>
          <w:spacing w:val="-5"/>
          <w:sz w:val="22"/>
        </w:rPr>
        <w:t> </w:t>
      </w:r>
      <w:r>
        <w:rPr>
          <w:sz w:val="22"/>
        </w:rPr>
        <w:t>Decreto</w:t>
      </w:r>
      <w:r>
        <w:rPr>
          <w:spacing w:val="-4"/>
          <w:sz w:val="22"/>
        </w:rPr>
        <w:t> </w:t>
      </w:r>
      <w:r>
        <w:rPr>
          <w:sz w:val="22"/>
        </w:rPr>
        <w:t>0170,</w:t>
      </w:r>
      <w:r>
        <w:rPr>
          <w:spacing w:val="-5"/>
          <w:sz w:val="22"/>
        </w:rPr>
        <w:t> </w:t>
      </w:r>
      <w:r>
        <w:rPr>
          <w:sz w:val="22"/>
        </w:rPr>
        <w:t>definida</w:t>
      </w:r>
      <w:r>
        <w:rPr>
          <w:spacing w:val="-4"/>
          <w:sz w:val="22"/>
        </w:rPr>
        <w:t> </w:t>
      </w:r>
      <w:r>
        <w:rPr>
          <w:sz w:val="22"/>
        </w:rPr>
        <w:t>como</w:t>
      </w:r>
      <w:r>
        <w:rPr>
          <w:spacing w:val="-4"/>
          <w:sz w:val="22"/>
        </w:rPr>
        <w:t> </w:t>
      </w:r>
      <w:r>
        <w:rPr>
          <w:sz w:val="22"/>
        </w:rPr>
        <w:t>“Restricción</w:t>
      </w:r>
      <w:r>
        <w:rPr>
          <w:spacing w:val="-4"/>
          <w:sz w:val="22"/>
        </w:rPr>
        <w:t> </w:t>
      </w:r>
      <w:r>
        <w:rPr>
          <w:sz w:val="22"/>
        </w:rPr>
        <w:t>al</w:t>
      </w:r>
      <w:r>
        <w:rPr>
          <w:spacing w:val="-5"/>
          <w:sz w:val="22"/>
        </w:rPr>
        <w:t> </w:t>
      </w:r>
      <w:r>
        <w:rPr>
          <w:sz w:val="22"/>
        </w:rPr>
        <w:t>ingreso”, la República de Colombia señala que la citada norma establece que “</w:t>
      </w:r>
      <w:r>
        <w:rPr>
          <w:rFonts w:ascii="Arial" w:hAnsi="Arial"/>
          <w:i/>
          <w:sz w:val="22"/>
        </w:rPr>
        <w:t>[no] quedarán comprendidas en este concepto la adopción y el cumplimiento de medidas destinadas a la:</w:t>
      </w:r>
    </w:p>
    <w:p>
      <w:pPr>
        <w:pStyle w:val="ListParagraph"/>
        <w:numPr>
          <w:ilvl w:val="0"/>
          <w:numId w:val="60"/>
        </w:numPr>
        <w:tabs>
          <w:tab w:pos="1699" w:val="left" w:leader="none"/>
        </w:tabs>
        <w:spacing w:line="240" w:lineRule="auto" w:before="253" w:after="0"/>
        <w:ind w:left="1699" w:right="0" w:hanging="423"/>
        <w:jc w:val="both"/>
        <w:rPr>
          <w:rFonts w:ascii="Arial" w:hAnsi="Arial"/>
          <w:i/>
          <w:sz w:val="22"/>
        </w:rPr>
      </w:pPr>
      <w:r>
        <w:rPr>
          <w:rFonts w:ascii="Arial" w:hAnsi="Arial"/>
          <w:i/>
          <w:sz w:val="22"/>
        </w:rPr>
        <w:t>Protección</w:t>
      </w:r>
      <w:r>
        <w:rPr>
          <w:rFonts w:ascii="Arial" w:hAnsi="Arial"/>
          <w:i/>
          <w:spacing w:val="-6"/>
          <w:sz w:val="22"/>
        </w:rPr>
        <w:t> </w:t>
      </w:r>
      <w:r>
        <w:rPr>
          <w:rFonts w:ascii="Arial" w:hAnsi="Arial"/>
          <w:i/>
          <w:sz w:val="22"/>
        </w:rPr>
        <w:t>de</w:t>
      </w:r>
      <w:r>
        <w:rPr>
          <w:rFonts w:ascii="Arial" w:hAnsi="Arial"/>
          <w:i/>
          <w:spacing w:val="-7"/>
          <w:sz w:val="22"/>
        </w:rPr>
        <w:t> </w:t>
      </w:r>
      <w:r>
        <w:rPr>
          <w:rFonts w:ascii="Arial" w:hAnsi="Arial"/>
          <w:i/>
          <w:sz w:val="22"/>
        </w:rPr>
        <w:t>la</w:t>
      </w:r>
      <w:r>
        <w:rPr>
          <w:rFonts w:ascii="Arial" w:hAnsi="Arial"/>
          <w:i/>
          <w:spacing w:val="-7"/>
          <w:sz w:val="22"/>
        </w:rPr>
        <w:t> </w:t>
      </w:r>
      <w:r>
        <w:rPr>
          <w:rFonts w:ascii="Arial" w:hAnsi="Arial"/>
          <w:i/>
          <w:sz w:val="22"/>
        </w:rPr>
        <w:t>moralidad</w:t>
      </w:r>
      <w:r>
        <w:rPr>
          <w:rFonts w:ascii="Arial" w:hAnsi="Arial"/>
          <w:i/>
          <w:spacing w:val="-5"/>
          <w:sz w:val="22"/>
        </w:rPr>
        <w:t> </w:t>
      </w:r>
      <w:r>
        <w:rPr>
          <w:rFonts w:ascii="Arial" w:hAnsi="Arial"/>
          <w:i/>
          <w:spacing w:val="-2"/>
          <w:sz w:val="22"/>
        </w:rPr>
        <w:t>pública;</w:t>
      </w:r>
    </w:p>
    <w:p>
      <w:pPr>
        <w:pStyle w:val="ListParagraph"/>
        <w:numPr>
          <w:ilvl w:val="0"/>
          <w:numId w:val="60"/>
        </w:numPr>
        <w:tabs>
          <w:tab w:pos="1699" w:val="left" w:leader="none"/>
        </w:tabs>
        <w:spacing w:line="253" w:lineRule="exact" w:before="1" w:after="0"/>
        <w:ind w:left="1699" w:right="0" w:hanging="423"/>
        <w:jc w:val="both"/>
        <w:rPr>
          <w:rFonts w:ascii="Arial" w:hAnsi="Arial"/>
          <w:i/>
          <w:sz w:val="22"/>
        </w:rPr>
      </w:pPr>
      <w:r>
        <w:rPr>
          <w:rFonts w:ascii="Arial" w:hAnsi="Arial"/>
          <w:i/>
          <w:sz w:val="22"/>
        </w:rPr>
        <w:t>Aplicación</w:t>
      </w:r>
      <w:r>
        <w:rPr>
          <w:rFonts w:ascii="Arial" w:hAnsi="Arial"/>
          <w:i/>
          <w:spacing w:val="-5"/>
          <w:sz w:val="22"/>
        </w:rPr>
        <w:t> </w:t>
      </w:r>
      <w:r>
        <w:rPr>
          <w:rFonts w:ascii="Arial" w:hAnsi="Arial"/>
          <w:i/>
          <w:sz w:val="22"/>
        </w:rPr>
        <w:t>de</w:t>
      </w:r>
      <w:r>
        <w:rPr>
          <w:rFonts w:ascii="Arial" w:hAnsi="Arial"/>
          <w:i/>
          <w:spacing w:val="-4"/>
          <w:sz w:val="22"/>
        </w:rPr>
        <w:t> </w:t>
      </w:r>
      <w:r>
        <w:rPr>
          <w:rFonts w:ascii="Arial" w:hAnsi="Arial"/>
          <w:i/>
          <w:sz w:val="22"/>
        </w:rPr>
        <w:t>leyes</w:t>
      </w:r>
      <w:r>
        <w:rPr>
          <w:rFonts w:ascii="Arial" w:hAnsi="Arial"/>
          <w:i/>
          <w:spacing w:val="-4"/>
          <w:sz w:val="22"/>
        </w:rPr>
        <w:t> </w:t>
      </w:r>
      <w:r>
        <w:rPr>
          <w:rFonts w:ascii="Arial" w:hAnsi="Arial"/>
          <w:i/>
          <w:sz w:val="22"/>
        </w:rPr>
        <w:t>y</w:t>
      </w:r>
      <w:r>
        <w:rPr>
          <w:rFonts w:ascii="Arial" w:hAnsi="Arial"/>
          <w:i/>
          <w:spacing w:val="-6"/>
          <w:sz w:val="22"/>
        </w:rPr>
        <w:t> </w:t>
      </w:r>
      <w:r>
        <w:rPr>
          <w:rFonts w:ascii="Arial" w:hAnsi="Arial"/>
          <w:i/>
          <w:sz w:val="22"/>
        </w:rPr>
        <w:t>reglamentos</w:t>
      </w:r>
      <w:r>
        <w:rPr>
          <w:rFonts w:ascii="Arial" w:hAnsi="Arial"/>
          <w:i/>
          <w:spacing w:val="-6"/>
          <w:sz w:val="22"/>
        </w:rPr>
        <w:t> </w:t>
      </w:r>
      <w:r>
        <w:rPr>
          <w:rFonts w:ascii="Arial" w:hAnsi="Arial"/>
          <w:i/>
          <w:sz w:val="22"/>
        </w:rPr>
        <w:t>de</w:t>
      </w:r>
      <w:r>
        <w:rPr>
          <w:rFonts w:ascii="Arial" w:hAnsi="Arial"/>
          <w:i/>
          <w:spacing w:val="-4"/>
          <w:sz w:val="22"/>
        </w:rPr>
        <w:t> </w:t>
      </w:r>
      <w:r>
        <w:rPr>
          <w:rFonts w:ascii="Arial" w:hAnsi="Arial"/>
          <w:i/>
          <w:spacing w:val="-2"/>
          <w:sz w:val="22"/>
        </w:rPr>
        <w:t>seguridad;</w:t>
      </w:r>
    </w:p>
    <w:p>
      <w:pPr>
        <w:pStyle w:val="ListParagraph"/>
        <w:numPr>
          <w:ilvl w:val="0"/>
          <w:numId w:val="60"/>
        </w:numPr>
        <w:tabs>
          <w:tab w:pos="1701" w:val="left" w:leader="none"/>
        </w:tabs>
        <w:spacing w:line="240" w:lineRule="auto" w:before="0" w:after="0"/>
        <w:ind w:left="1701" w:right="982" w:hanging="425"/>
        <w:jc w:val="both"/>
        <w:rPr>
          <w:rFonts w:ascii="Arial" w:hAnsi="Arial"/>
          <w:i/>
          <w:sz w:val="22"/>
        </w:rPr>
      </w:pPr>
      <w:r>
        <w:rPr>
          <w:rFonts w:ascii="Arial" w:hAnsi="Arial"/>
          <w:i/>
          <w:sz w:val="22"/>
        </w:rPr>
        <w:t>Regulación de las importaciones o exportaciones de armas, municiones y otros materiales de guerra y, en circunstancias excepcionales, de todos los demás artículos militares, siempre que no interfieran con lo dispuesto en tratados sobre libre tránsito irrestricto vigentes entre los Países Miembros;</w:t>
      </w:r>
    </w:p>
    <w:p>
      <w:pPr>
        <w:pStyle w:val="ListParagraph"/>
        <w:numPr>
          <w:ilvl w:val="0"/>
          <w:numId w:val="60"/>
        </w:numPr>
        <w:tabs>
          <w:tab w:pos="1701" w:val="left" w:leader="none"/>
        </w:tabs>
        <w:spacing w:line="252" w:lineRule="exact" w:before="1" w:after="0"/>
        <w:ind w:left="1701" w:right="0" w:hanging="425"/>
        <w:jc w:val="left"/>
        <w:rPr>
          <w:rFonts w:ascii="Arial" w:hAnsi="Arial"/>
          <w:i/>
          <w:sz w:val="22"/>
        </w:rPr>
      </w:pPr>
      <w:r>
        <w:rPr>
          <w:rFonts w:ascii="Arial" w:hAnsi="Arial"/>
          <w:i/>
          <w:sz w:val="22"/>
        </w:rPr>
        <w:t>Protección</w:t>
      </w:r>
      <w:r>
        <w:rPr>
          <w:rFonts w:ascii="Arial" w:hAnsi="Arial"/>
          <w:i/>
          <w:spacing w:val="-6"/>
          <w:sz w:val="22"/>
        </w:rPr>
        <w:t> </w:t>
      </w:r>
      <w:r>
        <w:rPr>
          <w:rFonts w:ascii="Arial" w:hAnsi="Arial"/>
          <w:i/>
          <w:sz w:val="22"/>
        </w:rPr>
        <w:t>de</w:t>
      </w:r>
      <w:r>
        <w:rPr>
          <w:rFonts w:ascii="Arial" w:hAnsi="Arial"/>
          <w:i/>
          <w:spacing w:val="-5"/>
          <w:sz w:val="22"/>
        </w:rPr>
        <w:t> </w:t>
      </w:r>
      <w:r>
        <w:rPr>
          <w:rFonts w:ascii="Arial" w:hAnsi="Arial"/>
          <w:i/>
          <w:sz w:val="22"/>
        </w:rPr>
        <w:t>la</w:t>
      </w:r>
      <w:r>
        <w:rPr>
          <w:rFonts w:ascii="Arial" w:hAnsi="Arial"/>
          <w:i/>
          <w:spacing w:val="-4"/>
          <w:sz w:val="22"/>
        </w:rPr>
        <w:t> </w:t>
      </w:r>
      <w:r>
        <w:rPr>
          <w:rFonts w:ascii="Arial" w:hAnsi="Arial"/>
          <w:i/>
          <w:sz w:val="22"/>
        </w:rPr>
        <w:t>vida</w:t>
      </w:r>
      <w:r>
        <w:rPr>
          <w:rFonts w:ascii="Arial" w:hAnsi="Arial"/>
          <w:i/>
          <w:spacing w:val="-5"/>
          <w:sz w:val="22"/>
        </w:rPr>
        <w:t> </w:t>
      </w:r>
      <w:r>
        <w:rPr>
          <w:rFonts w:ascii="Arial" w:hAnsi="Arial"/>
          <w:i/>
          <w:sz w:val="22"/>
        </w:rPr>
        <w:t>y</w:t>
      </w:r>
      <w:r>
        <w:rPr>
          <w:rFonts w:ascii="Arial" w:hAnsi="Arial"/>
          <w:i/>
          <w:spacing w:val="-3"/>
          <w:sz w:val="22"/>
        </w:rPr>
        <w:t> </w:t>
      </w:r>
      <w:r>
        <w:rPr>
          <w:rFonts w:ascii="Arial" w:hAnsi="Arial"/>
          <w:i/>
          <w:sz w:val="22"/>
        </w:rPr>
        <w:t>salud</w:t>
      </w:r>
      <w:r>
        <w:rPr>
          <w:rFonts w:ascii="Arial" w:hAnsi="Arial"/>
          <w:i/>
          <w:spacing w:val="-3"/>
          <w:sz w:val="22"/>
        </w:rPr>
        <w:t> </w:t>
      </w:r>
      <w:r>
        <w:rPr>
          <w:rFonts w:ascii="Arial" w:hAnsi="Arial"/>
          <w:i/>
          <w:sz w:val="22"/>
        </w:rPr>
        <w:t>de</w:t>
      </w:r>
      <w:r>
        <w:rPr>
          <w:rFonts w:ascii="Arial" w:hAnsi="Arial"/>
          <w:i/>
          <w:spacing w:val="-4"/>
          <w:sz w:val="22"/>
        </w:rPr>
        <w:t> </w:t>
      </w:r>
      <w:r>
        <w:rPr>
          <w:rFonts w:ascii="Arial" w:hAnsi="Arial"/>
          <w:i/>
          <w:sz w:val="22"/>
        </w:rPr>
        <w:t>las</w:t>
      </w:r>
      <w:r>
        <w:rPr>
          <w:rFonts w:ascii="Arial" w:hAnsi="Arial"/>
          <w:i/>
          <w:spacing w:val="-3"/>
          <w:sz w:val="22"/>
        </w:rPr>
        <w:t> </w:t>
      </w:r>
      <w:r>
        <w:rPr>
          <w:rFonts w:ascii="Arial" w:hAnsi="Arial"/>
          <w:i/>
          <w:sz w:val="22"/>
        </w:rPr>
        <w:t>personas,</w:t>
      </w:r>
      <w:r>
        <w:rPr>
          <w:rFonts w:ascii="Arial" w:hAnsi="Arial"/>
          <w:i/>
          <w:spacing w:val="-2"/>
          <w:sz w:val="22"/>
        </w:rPr>
        <w:t> </w:t>
      </w:r>
      <w:r>
        <w:rPr>
          <w:rFonts w:ascii="Arial" w:hAnsi="Arial"/>
          <w:i/>
          <w:sz w:val="22"/>
        </w:rPr>
        <w:t>los</w:t>
      </w:r>
      <w:r>
        <w:rPr>
          <w:rFonts w:ascii="Arial" w:hAnsi="Arial"/>
          <w:i/>
          <w:spacing w:val="-5"/>
          <w:sz w:val="22"/>
        </w:rPr>
        <w:t> </w:t>
      </w:r>
      <w:r>
        <w:rPr>
          <w:rFonts w:ascii="Arial" w:hAnsi="Arial"/>
          <w:i/>
          <w:sz w:val="22"/>
        </w:rPr>
        <w:t>animales</w:t>
      </w:r>
      <w:r>
        <w:rPr>
          <w:rFonts w:ascii="Arial" w:hAnsi="Arial"/>
          <w:i/>
          <w:spacing w:val="-4"/>
          <w:sz w:val="22"/>
        </w:rPr>
        <w:t> </w:t>
      </w:r>
      <w:r>
        <w:rPr>
          <w:rFonts w:ascii="Arial" w:hAnsi="Arial"/>
          <w:i/>
          <w:sz w:val="22"/>
        </w:rPr>
        <w:t>y</w:t>
      </w:r>
      <w:r>
        <w:rPr>
          <w:rFonts w:ascii="Arial" w:hAnsi="Arial"/>
          <w:i/>
          <w:spacing w:val="-4"/>
          <w:sz w:val="22"/>
        </w:rPr>
        <w:t> </w:t>
      </w:r>
      <w:r>
        <w:rPr>
          <w:rFonts w:ascii="Arial" w:hAnsi="Arial"/>
          <w:i/>
          <w:sz w:val="22"/>
        </w:rPr>
        <w:t>los</w:t>
      </w:r>
      <w:r>
        <w:rPr>
          <w:rFonts w:ascii="Arial" w:hAnsi="Arial"/>
          <w:i/>
          <w:spacing w:val="-3"/>
          <w:sz w:val="22"/>
        </w:rPr>
        <w:t> </w:t>
      </w:r>
      <w:r>
        <w:rPr>
          <w:rFonts w:ascii="Arial" w:hAnsi="Arial"/>
          <w:i/>
          <w:spacing w:val="-2"/>
          <w:sz w:val="22"/>
        </w:rPr>
        <w:t>vegetales;</w:t>
      </w:r>
    </w:p>
    <w:p>
      <w:pPr>
        <w:pStyle w:val="ListParagraph"/>
        <w:numPr>
          <w:ilvl w:val="0"/>
          <w:numId w:val="60"/>
        </w:numPr>
        <w:tabs>
          <w:tab w:pos="1701" w:val="left" w:leader="none"/>
        </w:tabs>
        <w:spacing w:line="252" w:lineRule="exact" w:before="0" w:after="0"/>
        <w:ind w:left="1701" w:right="0" w:hanging="425"/>
        <w:jc w:val="left"/>
        <w:rPr>
          <w:rFonts w:ascii="Arial" w:hAnsi="Arial"/>
          <w:i/>
          <w:sz w:val="22"/>
        </w:rPr>
      </w:pPr>
      <w:r>
        <w:rPr>
          <w:rFonts w:ascii="Arial" w:hAnsi="Arial"/>
          <w:i/>
          <w:sz w:val="22"/>
        </w:rPr>
        <w:t>Importación</w:t>
      </w:r>
      <w:r>
        <w:rPr>
          <w:rFonts w:ascii="Arial" w:hAnsi="Arial"/>
          <w:i/>
          <w:spacing w:val="-7"/>
          <w:sz w:val="22"/>
        </w:rPr>
        <w:t> </w:t>
      </w:r>
      <w:r>
        <w:rPr>
          <w:rFonts w:ascii="Arial" w:hAnsi="Arial"/>
          <w:i/>
          <w:sz w:val="22"/>
        </w:rPr>
        <w:t>y</w:t>
      </w:r>
      <w:r>
        <w:rPr>
          <w:rFonts w:ascii="Arial" w:hAnsi="Arial"/>
          <w:i/>
          <w:spacing w:val="-4"/>
          <w:sz w:val="22"/>
        </w:rPr>
        <w:t> </w:t>
      </w:r>
      <w:r>
        <w:rPr>
          <w:rFonts w:ascii="Arial" w:hAnsi="Arial"/>
          <w:i/>
          <w:sz w:val="22"/>
        </w:rPr>
        <w:t>exportación</w:t>
      </w:r>
      <w:r>
        <w:rPr>
          <w:rFonts w:ascii="Arial" w:hAnsi="Arial"/>
          <w:i/>
          <w:spacing w:val="-4"/>
          <w:sz w:val="22"/>
        </w:rPr>
        <w:t> </w:t>
      </w:r>
      <w:r>
        <w:rPr>
          <w:rFonts w:ascii="Arial" w:hAnsi="Arial"/>
          <w:i/>
          <w:sz w:val="22"/>
        </w:rPr>
        <w:t>de</w:t>
      </w:r>
      <w:r>
        <w:rPr>
          <w:rFonts w:ascii="Arial" w:hAnsi="Arial"/>
          <w:i/>
          <w:spacing w:val="-5"/>
          <w:sz w:val="22"/>
        </w:rPr>
        <w:t> </w:t>
      </w:r>
      <w:r>
        <w:rPr>
          <w:rFonts w:ascii="Arial" w:hAnsi="Arial"/>
          <w:i/>
          <w:sz w:val="22"/>
        </w:rPr>
        <w:t>oro</w:t>
      </w:r>
      <w:r>
        <w:rPr>
          <w:rFonts w:ascii="Arial" w:hAnsi="Arial"/>
          <w:i/>
          <w:spacing w:val="-4"/>
          <w:sz w:val="22"/>
        </w:rPr>
        <w:t> </w:t>
      </w:r>
      <w:r>
        <w:rPr>
          <w:rFonts w:ascii="Arial" w:hAnsi="Arial"/>
          <w:i/>
          <w:sz w:val="22"/>
        </w:rPr>
        <w:t>y</w:t>
      </w:r>
      <w:r>
        <w:rPr>
          <w:rFonts w:ascii="Arial" w:hAnsi="Arial"/>
          <w:i/>
          <w:spacing w:val="-6"/>
          <w:sz w:val="22"/>
        </w:rPr>
        <w:t> </w:t>
      </w:r>
      <w:r>
        <w:rPr>
          <w:rFonts w:ascii="Arial" w:hAnsi="Arial"/>
          <w:i/>
          <w:sz w:val="22"/>
        </w:rPr>
        <w:t>plata</w:t>
      </w:r>
      <w:r>
        <w:rPr>
          <w:rFonts w:ascii="Arial" w:hAnsi="Arial"/>
          <w:i/>
          <w:spacing w:val="-6"/>
          <w:sz w:val="22"/>
        </w:rPr>
        <w:t> </w:t>
      </w:r>
      <w:r>
        <w:rPr>
          <w:rFonts w:ascii="Arial" w:hAnsi="Arial"/>
          <w:i/>
          <w:spacing w:val="-2"/>
          <w:sz w:val="22"/>
        </w:rPr>
        <w:t>metálicos;</w:t>
      </w:r>
    </w:p>
    <w:p>
      <w:pPr>
        <w:pStyle w:val="ListParagraph"/>
        <w:numPr>
          <w:ilvl w:val="0"/>
          <w:numId w:val="60"/>
        </w:numPr>
        <w:tabs>
          <w:tab w:pos="1701" w:val="left" w:leader="none"/>
        </w:tabs>
        <w:spacing w:line="252" w:lineRule="exact" w:before="1" w:after="0"/>
        <w:ind w:left="1701" w:right="0" w:hanging="425"/>
        <w:jc w:val="left"/>
        <w:rPr>
          <w:rFonts w:ascii="Arial" w:hAnsi="Arial"/>
          <w:i/>
          <w:sz w:val="22"/>
        </w:rPr>
      </w:pPr>
      <w:r>
        <w:rPr>
          <w:rFonts w:ascii="Arial" w:hAnsi="Arial"/>
          <w:i/>
          <w:sz w:val="22"/>
        </w:rPr>
        <w:t>Protección</w:t>
      </w:r>
      <w:r>
        <w:rPr>
          <w:rFonts w:ascii="Arial" w:hAnsi="Arial"/>
          <w:i/>
          <w:spacing w:val="-7"/>
          <w:sz w:val="22"/>
        </w:rPr>
        <w:t> </w:t>
      </w:r>
      <w:r>
        <w:rPr>
          <w:rFonts w:ascii="Arial" w:hAnsi="Arial"/>
          <w:i/>
          <w:sz w:val="22"/>
        </w:rPr>
        <w:t>del</w:t>
      </w:r>
      <w:r>
        <w:rPr>
          <w:rFonts w:ascii="Arial" w:hAnsi="Arial"/>
          <w:i/>
          <w:spacing w:val="-10"/>
          <w:sz w:val="22"/>
        </w:rPr>
        <w:t> </w:t>
      </w:r>
      <w:r>
        <w:rPr>
          <w:rFonts w:ascii="Arial" w:hAnsi="Arial"/>
          <w:i/>
          <w:sz w:val="22"/>
        </w:rPr>
        <w:t>patrimonio</w:t>
      </w:r>
      <w:r>
        <w:rPr>
          <w:rFonts w:ascii="Arial" w:hAnsi="Arial"/>
          <w:i/>
          <w:spacing w:val="-7"/>
          <w:sz w:val="22"/>
        </w:rPr>
        <w:t> </w:t>
      </w:r>
      <w:r>
        <w:rPr>
          <w:rFonts w:ascii="Arial" w:hAnsi="Arial"/>
          <w:i/>
          <w:sz w:val="22"/>
        </w:rPr>
        <w:t>nacional</w:t>
      </w:r>
      <w:r>
        <w:rPr>
          <w:rFonts w:ascii="Arial" w:hAnsi="Arial"/>
          <w:i/>
          <w:spacing w:val="-7"/>
          <w:sz w:val="22"/>
        </w:rPr>
        <w:t> </w:t>
      </w:r>
      <w:r>
        <w:rPr>
          <w:rFonts w:ascii="Arial" w:hAnsi="Arial"/>
          <w:i/>
          <w:sz w:val="22"/>
        </w:rPr>
        <w:t>de</w:t>
      </w:r>
      <w:r>
        <w:rPr>
          <w:rFonts w:ascii="Arial" w:hAnsi="Arial"/>
          <w:i/>
          <w:spacing w:val="-7"/>
          <w:sz w:val="22"/>
        </w:rPr>
        <w:t> </w:t>
      </w:r>
      <w:r>
        <w:rPr>
          <w:rFonts w:ascii="Arial" w:hAnsi="Arial"/>
          <w:i/>
          <w:sz w:val="22"/>
        </w:rPr>
        <w:t>valor</w:t>
      </w:r>
      <w:r>
        <w:rPr>
          <w:rFonts w:ascii="Arial" w:hAnsi="Arial"/>
          <w:i/>
          <w:spacing w:val="-8"/>
          <w:sz w:val="22"/>
        </w:rPr>
        <w:t> </w:t>
      </w:r>
      <w:r>
        <w:rPr>
          <w:rFonts w:ascii="Arial" w:hAnsi="Arial"/>
          <w:i/>
          <w:sz w:val="22"/>
        </w:rPr>
        <w:t>artístico,</w:t>
      </w:r>
      <w:r>
        <w:rPr>
          <w:rFonts w:ascii="Arial" w:hAnsi="Arial"/>
          <w:i/>
          <w:spacing w:val="-6"/>
          <w:sz w:val="22"/>
        </w:rPr>
        <w:t> </w:t>
      </w:r>
      <w:r>
        <w:rPr>
          <w:rFonts w:ascii="Arial" w:hAnsi="Arial"/>
          <w:i/>
          <w:sz w:val="22"/>
        </w:rPr>
        <w:t>histórico</w:t>
      </w:r>
      <w:r>
        <w:rPr>
          <w:rFonts w:ascii="Arial" w:hAnsi="Arial"/>
          <w:i/>
          <w:spacing w:val="-7"/>
          <w:sz w:val="22"/>
        </w:rPr>
        <w:t> </w:t>
      </w:r>
      <w:r>
        <w:rPr>
          <w:rFonts w:ascii="Arial" w:hAnsi="Arial"/>
          <w:i/>
          <w:sz w:val="22"/>
        </w:rPr>
        <w:t>o</w:t>
      </w:r>
      <w:r>
        <w:rPr>
          <w:rFonts w:ascii="Arial" w:hAnsi="Arial"/>
          <w:i/>
          <w:spacing w:val="-9"/>
          <w:sz w:val="22"/>
        </w:rPr>
        <w:t> </w:t>
      </w:r>
      <w:r>
        <w:rPr>
          <w:rFonts w:ascii="Arial" w:hAnsi="Arial"/>
          <w:i/>
          <w:sz w:val="22"/>
        </w:rPr>
        <w:t>arqueológico;</w:t>
      </w:r>
      <w:r>
        <w:rPr>
          <w:rFonts w:ascii="Arial" w:hAnsi="Arial"/>
          <w:i/>
          <w:spacing w:val="-5"/>
          <w:sz w:val="22"/>
        </w:rPr>
        <w:t> </w:t>
      </w:r>
      <w:r>
        <w:rPr>
          <w:rFonts w:ascii="Arial" w:hAnsi="Arial"/>
          <w:i/>
          <w:spacing w:val="-10"/>
          <w:sz w:val="22"/>
        </w:rPr>
        <w:t>y</w:t>
      </w:r>
    </w:p>
    <w:p>
      <w:pPr>
        <w:pStyle w:val="ListParagraph"/>
        <w:numPr>
          <w:ilvl w:val="0"/>
          <w:numId w:val="60"/>
        </w:numPr>
        <w:tabs>
          <w:tab w:pos="1699" w:val="left" w:leader="none"/>
          <w:tab w:pos="1701" w:val="left" w:leader="none"/>
        </w:tabs>
        <w:spacing w:line="240" w:lineRule="auto" w:before="0" w:after="0"/>
        <w:ind w:left="1701" w:right="980" w:hanging="425"/>
        <w:jc w:val="both"/>
        <w:rPr>
          <w:rFonts w:ascii="Arial" w:hAnsi="Arial"/>
          <w:i/>
          <w:sz w:val="22"/>
        </w:rPr>
      </w:pPr>
      <w:r>
        <w:rPr>
          <w:rFonts w:ascii="Arial" w:hAnsi="Arial"/>
          <w:i/>
          <w:sz w:val="22"/>
        </w:rPr>
        <w:t>Exportación,</w:t>
      </w:r>
      <w:r>
        <w:rPr>
          <w:rFonts w:ascii="Arial" w:hAnsi="Arial"/>
          <w:i/>
          <w:spacing w:val="-8"/>
          <w:sz w:val="22"/>
        </w:rPr>
        <w:t> </w:t>
      </w:r>
      <w:r>
        <w:rPr>
          <w:rFonts w:ascii="Arial" w:hAnsi="Arial"/>
          <w:i/>
          <w:sz w:val="22"/>
        </w:rPr>
        <w:t>utilización</w:t>
      </w:r>
      <w:r>
        <w:rPr>
          <w:rFonts w:ascii="Arial" w:hAnsi="Arial"/>
          <w:i/>
          <w:spacing w:val="-8"/>
          <w:sz w:val="22"/>
        </w:rPr>
        <w:t> </w:t>
      </w:r>
      <w:r>
        <w:rPr>
          <w:rFonts w:ascii="Arial" w:hAnsi="Arial"/>
          <w:i/>
          <w:sz w:val="22"/>
        </w:rPr>
        <w:t>y</w:t>
      </w:r>
      <w:r>
        <w:rPr>
          <w:rFonts w:ascii="Arial" w:hAnsi="Arial"/>
          <w:i/>
          <w:spacing w:val="-9"/>
          <w:sz w:val="22"/>
        </w:rPr>
        <w:t> </w:t>
      </w:r>
      <w:r>
        <w:rPr>
          <w:rFonts w:ascii="Arial" w:hAnsi="Arial"/>
          <w:i/>
          <w:sz w:val="22"/>
        </w:rPr>
        <w:t>consumo</w:t>
      </w:r>
      <w:r>
        <w:rPr>
          <w:rFonts w:ascii="Arial" w:hAnsi="Arial"/>
          <w:i/>
          <w:spacing w:val="-9"/>
          <w:sz w:val="22"/>
        </w:rPr>
        <w:t> </w:t>
      </w:r>
      <w:r>
        <w:rPr>
          <w:rFonts w:ascii="Arial" w:hAnsi="Arial"/>
          <w:i/>
          <w:sz w:val="22"/>
        </w:rPr>
        <w:t>de</w:t>
      </w:r>
      <w:r>
        <w:rPr>
          <w:rFonts w:ascii="Arial" w:hAnsi="Arial"/>
          <w:i/>
          <w:spacing w:val="-10"/>
          <w:sz w:val="22"/>
        </w:rPr>
        <w:t> </w:t>
      </w:r>
      <w:r>
        <w:rPr>
          <w:rFonts w:ascii="Arial" w:hAnsi="Arial"/>
          <w:i/>
          <w:sz w:val="22"/>
        </w:rPr>
        <w:t>materiales</w:t>
      </w:r>
      <w:r>
        <w:rPr>
          <w:rFonts w:ascii="Arial" w:hAnsi="Arial"/>
          <w:i/>
          <w:spacing w:val="-10"/>
          <w:sz w:val="22"/>
        </w:rPr>
        <w:t> </w:t>
      </w:r>
      <w:r>
        <w:rPr>
          <w:rFonts w:ascii="Arial" w:hAnsi="Arial"/>
          <w:i/>
          <w:sz w:val="22"/>
        </w:rPr>
        <w:t>nucleares,</w:t>
      </w:r>
      <w:r>
        <w:rPr>
          <w:rFonts w:ascii="Arial" w:hAnsi="Arial"/>
          <w:i/>
          <w:spacing w:val="-6"/>
          <w:sz w:val="22"/>
        </w:rPr>
        <w:t> </w:t>
      </w:r>
      <w:r>
        <w:rPr>
          <w:rFonts w:ascii="Arial" w:hAnsi="Arial"/>
          <w:i/>
          <w:sz w:val="22"/>
        </w:rPr>
        <w:t>productos</w:t>
      </w:r>
      <w:r>
        <w:rPr>
          <w:rFonts w:ascii="Arial" w:hAnsi="Arial"/>
          <w:i/>
          <w:spacing w:val="-10"/>
          <w:sz w:val="22"/>
        </w:rPr>
        <w:t> </w:t>
      </w:r>
      <w:r>
        <w:rPr>
          <w:rFonts w:ascii="Arial" w:hAnsi="Arial"/>
          <w:i/>
          <w:sz w:val="22"/>
        </w:rPr>
        <w:t>radiactivos </w:t>
      </w:r>
      <w:r>
        <w:rPr>
          <w:rFonts w:ascii="Arial" w:hAnsi="Arial"/>
          <w:i/>
          <w:spacing w:val="-2"/>
          <w:sz w:val="22"/>
        </w:rPr>
        <w:t>o</w:t>
      </w:r>
      <w:r>
        <w:rPr>
          <w:rFonts w:ascii="Arial" w:hAnsi="Arial"/>
          <w:i/>
          <w:spacing w:val="-5"/>
          <w:sz w:val="22"/>
        </w:rPr>
        <w:t> </w:t>
      </w:r>
      <w:r>
        <w:rPr>
          <w:rFonts w:ascii="Arial" w:hAnsi="Arial"/>
          <w:i/>
          <w:spacing w:val="-2"/>
          <w:sz w:val="22"/>
        </w:rPr>
        <w:t>cualquier</w:t>
      </w:r>
      <w:r>
        <w:rPr>
          <w:rFonts w:ascii="Arial" w:hAnsi="Arial"/>
          <w:i/>
          <w:spacing w:val="-7"/>
          <w:sz w:val="22"/>
        </w:rPr>
        <w:t> </w:t>
      </w:r>
      <w:r>
        <w:rPr>
          <w:rFonts w:ascii="Arial" w:hAnsi="Arial"/>
          <w:i/>
          <w:spacing w:val="-2"/>
          <w:sz w:val="22"/>
        </w:rPr>
        <w:t>otro</w:t>
      </w:r>
      <w:r>
        <w:rPr>
          <w:rFonts w:ascii="Arial" w:hAnsi="Arial"/>
          <w:i/>
          <w:spacing w:val="-8"/>
          <w:sz w:val="22"/>
        </w:rPr>
        <w:t> </w:t>
      </w:r>
      <w:r>
        <w:rPr>
          <w:rFonts w:ascii="Arial" w:hAnsi="Arial"/>
          <w:i/>
          <w:spacing w:val="-2"/>
          <w:sz w:val="22"/>
        </w:rPr>
        <w:t>material</w:t>
      </w:r>
      <w:r>
        <w:rPr>
          <w:rFonts w:ascii="Arial" w:hAnsi="Arial"/>
          <w:i/>
          <w:spacing w:val="-8"/>
          <w:sz w:val="22"/>
        </w:rPr>
        <w:t> </w:t>
      </w:r>
      <w:r>
        <w:rPr>
          <w:rFonts w:ascii="Arial" w:hAnsi="Arial"/>
          <w:i/>
          <w:spacing w:val="-2"/>
          <w:sz w:val="22"/>
        </w:rPr>
        <w:t>utilizable</w:t>
      </w:r>
      <w:r>
        <w:rPr>
          <w:rFonts w:ascii="Arial" w:hAnsi="Arial"/>
          <w:i/>
          <w:spacing w:val="-5"/>
          <w:sz w:val="22"/>
        </w:rPr>
        <w:t> </w:t>
      </w:r>
      <w:r>
        <w:rPr>
          <w:rFonts w:ascii="Arial" w:hAnsi="Arial"/>
          <w:i/>
          <w:spacing w:val="-2"/>
          <w:sz w:val="22"/>
        </w:rPr>
        <w:t>en</w:t>
      </w:r>
      <w:r>
        <w:rPr>
          <w:rFonts w:ascii="Arial" w:hAnsi="Arial"/>
          <w:i/>
          <w:spacing w:val="-5"/>
          <w:sz w:val="22"/>
        </w:rPr>
        <w:t> </w:t>
      </w:r>
      <w:r>
        <w:rPr>
          <w:rFonts w:ascii="Arial" w:hAnsi="Arial"/>
          <w:i/>
          <w:spacing w:val="-2"/>
          <w:sz w:val="22"/>
        </w:rPr>
        <w:t>el</w:t>
      </w:r>
      <w:r>
        <w:rPr>
          <w:rFonts w:ascii="Arial" w:hAnsi="Arial"/>
          <w:i/>
          <w:spacing w:val="-8"/>
          <w:sz w:val="22"/>
        </w:rPr>
        <w:t> </w:t>
      </w:r>
      <w:r>
        <w:rPr>
          <w:rFonts w:ascii="Arial" w:hAnsi="Arial"/>
          <w:i/>
          <w:spacing w:val="-2"/>
          <w:sz w:val="22"/>
        </w:rPr>
        <w:t>desarrollo</w:t>
      </w:r>
      <w:r>
        <w:rPr>
          <w:rFonts w:ascii="Arial" w:hAnsi="Arial"/>
          <w:i/>
          <w:spacing w:val="-7"/>
          <w:sz w:val="22"/>
        </w:rPr>
        <w:t> </w:t>
      </w:r>
      <w:r>
        <w:rPr>
          <w:rFonts w:ascii="Arial" w:hAnsi="Arial"/>
          <w:i/>
          <w:spacing w:val="-2"/>
          <w:sz w:val="22"/>
        </w:rPr>
        <w:t>o</w:t>
      </w:r>
      <w:r>
        <w:rPr>
          <w:rFonts w:ascii="Arial" w:hAnsi="Arial"/>
          <w:i/>
          <w:spacing w:val="-5"/>
          <w:sz w:val="22"/>
        </w:rPr>
        <w:t> </w:t>
      </w:r>
      <w:r>
        <w:rPr>
          <w:rFonts w:ascii="Arial" w:hAnsi="Arial"/>
          <w:i/>
          <w:spacing w:val="-2"/>
          <w:sz w:val="22"/>
        </w:rPr>
        <w:t>aprovechamiento</w:t>
      </w:r>
      <w:r>
        <w:rPr>
          <w:rFonts w:ascii="Arial" w:hAnsi="Arial"/>
          <w:i/>
          <w:spacing w:val="-5"/>
          <w:sz w:val="22"/>
        </w:rPr>
        <w:t> </w:t>
      </w:r>
      <w:r>
        <w:rPr>
          <w:rFonts w:ascii="Arial" w:hAnsi="Arial"/>
          <w:i/>
          <w:spacing w:val="-2"/>
          <w:sz w:val="22"/>
        </w:rPr>
        <w:t>de</w:t>
      </w:r>
      <w:r>
        <w:rPr>
          <w:rFonts w:ascii="Arial" w:hAnsi="Arial"/>
          <w:i/>
          <w:spacing w:val="-5"/>
          <w:sz w:val="22"/>
        </w:rPr>
        <w:t> </w:t>
      </w:r>
      <w:r>
        <w:rPr>
          <w:rFonts w:ascii="Arial" w:hAnsi="Arial"/>
          <w:i/>
          <w:spacing w:val="-2"/>
          <w:sz w:val="22"/>
        </w:rPr>
        <w:t>la</w:t>
      </w:r>
      <w:r>
        <w:rPr>
          <w:rFonts w:ascii="Arial" w:hAnsi="Arial"/>
          <w:i/>
          <w:spacing w:val="-11"/>
          <w:sz w:val="22"/>
        </w:rPr>
        <w:t> </w:t>
      </w:r>
      <w:r>
        <w:rPr>
          <w:rFonts w:ascii="Arial" w:hAnsi="Arial"/>
          <w:i/>
          <w:spacing w:val="-2"/>
          <w:sz w:val="22"/>
        </w:rPr>
        <w:t>energía nuclear.”</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9" w:hanging="567"/>
        <w:jc w:val="both"/>
        <w:rPr>
          <w:rFonts w:ascii="Arial" w:hAnsi="Arial"/>
          <w:i/>
          <w:sz w:val="22"/>
        </w:rPr>
      </w:pPr>
      <w:r>
        <w:rPr>
          <w:sz w:val="22"/>
        </w:rPr>
        <w:t>Asimismo, la República de Colombia en su contestación manifiesta que la medida contenida en el artículo 2 del Decreto 0170 “</w:t>
      </w:r>
      <w:r>
        <w:rPr>
          <w:rFonts w:ascii="Arial" w:hAnsi="Arial"/>
          <w:i/>
          <w:sz w:val="22"/>
        </w:rPr>
        <w:t>no constituye una prohibición al comercio comunitario sino un mecanismo de canalización del ingreso de hacia puntos donde el</w:t>
      </w:r>
    </w:p>
    <w:p>
      <w:pPr>
        <w:pStyle w:val="BodyText"/>
        <w:spacing w:before="161"/>
        <w:rPr>
          <w:rFonts w:ascii="Arial"/>
          <w:i/>
          <w:sz w:val="20"/>
        </w:rPr>
      </w:pPr>
      <w:r>
        <w:rPr>
          <w:rFonts w:ascii="Arial"/>
          <w:i/>
          <w:sz w:val="20"/>
        </w:rPr>
        <mc:AlternateContent>
          <mc:Choice Requires="wps">
            <w:drawing>
              <wp:anchor distT="0" distB="0" distL="0" distR="0" allowOverlap="1" layoutInCell="1" locked="0" behindDoc="1" simplePos="0" relativeHeight="487638016">
                <wp:simplePos x="0" y="0"/>
                <wp:positionH relativeFrom="page">
                  <wp:posOffset>990904</wp:posOffset>
                </wp:positionH>
                <wp:positionV relativeFrom="paragraph">
                  <wp:posOffset>264038</wp:posOffset>
                </wp:positionV>
                <wp:extent cx="1829435" cy="7620"/>
                <wp:effectExtent l="0" t="0" r="0" b="0"/>
                <wp:wrapTopAndBottom/>
                <wp:docPr id="470" name="Graphic 470"/>
                <wp:cNvGraphicFramePr>
                  <a:graphicFrameLocks/>
                </wp:cNvGraphicFramePr>
                <a:graphic>
                  <a:graphicData uri="http://schemas.microsoft.com/office/word/2010/wordprocessingShape">
                    <wps:wsp>
                      <wps:cNvPr id="470" name="Graphic 470"/>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0.790451pt;width:144.020pt;height:.60004pt;mso-position-horizontal-relative:page;mso-position-vertical-relative:paragraph;z-index:-15678464;mso-wrap-distance-left:0;mso-wrap-distance-right:0" id="docshape327" filled="true" fillcolor="#000000" stroked="false">
                <v:fill type="solid"/>
                <w10:wrap type="topAndBottom"/>
              </v:rect>
            </w:pict>
          </mc:Fallback>
        </mc:AlternateContent>
      </w:r>
    </w:p>
    <w:p>
      <w:pPr>
        <w:spacing w:before="92"/>
        <w:ind w:left="568" w:right="0" w:firstLine="0"/>
        <w:jc w:val="left"/>
        <w:rPr>
          <w:sz w:val="16"/>
        </w:rPr>
      </w:pPr>
      <w:bookmarkStart w:name="_bookmark100" w:id="101"/>
      <w:bookmarkEnd w:id="101"/>
      <w:r>
        <w:rPr/>
      </w:r>
      <w:r>
        <w:rPr>
          <w:sz w:val="16"/>
          <w:vertAlign w:val="superscript"/>
        </w:rPr>
        <w:t>33</w:t>
      </w:r>
      <w:r>
        <w:rPr>
          <w:spacing w:val="-8"/>
          <w:sz w:val="16"/>
          <w:vertAlign w:val="baseline"/>
        </w:rPr>
        <w:t> </w:t>
      </w:r>
      <w:r>
        <w:rPr>
          <w:sz w:val="16"/>
          <w:vertAlign w:val="baseline"/>
        </w:rPr>
        <w:t>Expediente</w:t>
      </w:r>
      <w:r>
        <w:rPr>
          <w:spacing w:val="-9"/>
          <w:sz w:val="16"/>
          <w:vertAlign w:val="baseline"/>
        </w:rPr>
        <w:t> </w:t>
      </w:r>
      <w:r>
        <w:rPr>
          <w:sz w:val="16"/>
          <w:vertAlign w:val="baseline"/>
        </w:rPr>
        <w:t>SG/DGCOM/RES-GRAV/002,</w:t>
      </w:r>
      <w:r>
        <w:rPr>
          <w:spacing w:val="-8"/>
          <w:sz w:val="16"/>
          <w:vertAlign w:val="baseline"/>
        </w:rPr>
        <w:t> </w:t>
      </w:r>
      <w:r>
        <w:rPr>
          <w:sz w:val="16"/>
          <w:vertAlign w:val="baseline"/>
        </w:rPr>
        <w:t>folio</w:t>
      </w:r>
      <w:r>
        <w:rPr>
          <w:spacing w:val="-7"/>
          <w:sz w:val="16"/>
          <w:vertAlign w:val="baseline"/>
        </w:rPr>
        <w:t> </w:t>
      </w:r>
      <w:r>
        <w:rPr>
          <w:spacing w:val="-2"/>
          <w:sz w:val="16"/>
          <w:vertAlign w:val="baseline"/>
        </w:rPr>
        <w:t>000351.</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71" name="Group 471"/>
                <wp:cNvGraphicFramePr>
                  <a:graphicFrameLocks/>
                </wp:cNvGraphicFramePr>
                <a:graphic>
                  <a:graphicData uri="http://schemas.microsoft.com/office/word/2010/wordprocessingGroup">
                    <wpg:wgp>
                      <wpg:cNvPr id="471" name="Group 471"/>
                      <wpg:cNvGrpSpPr/>
                      <wpg:grpSpPr>
                        <a:xfrm>
                          <a:off x="0" y="0"/>
                          <a:ext cx="6131560" cy="9525"/>
                          <a:chExt cx="6131560" cy="9525"/>
                        </a:xfrm>
                      </wpg:grpSpPr>
                      <wps:wsp>
                        <wps:cNvPr id="472" name="Graphic 472"/>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28"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76"/>
          <w:footerReference w:type="default" r:id="rId77"/>
          <w:pgSz w:w="11900" w:h="16850"/>
          <w:pgMar w:header="370" w:footer="597" w:top="1380" w:bottom="780" w:left="992" w:right="283"/>
        </w:sectPr>
      </w:pPr>
    </w:p>
    <w:p>
      <w:pPr>
        <w:pStyle w:val="BodyText"/>
        <w:spacing w:before="176"/>
      </w:pPr>
    </w:p>
    <w:p>
      <w:pPr>
        <w:spacing w:before="0"/>
        <w:ind w:left="1134" w:right="955" w:firstLine="0"/>
        <w:jc w:val="left"/>
        <w:rPr>
          <w:sz w:val="22"/>
        </w:rPr>
      </w:pPr>
      <w:r>
        <w:rPr>
          <w:rFonts w:ascii="Arial" w:hAnsi="Arial"/>
          <w:i/>
          <w:sz w:val="22"/>
        </w:rPr>
        <w:t>Estado colombiano contaría con capacidad operativa efectiva para ejercer inspección, vigilancia y control.</w:t>
      </w:r>
      <w:r>
        <w:rPr>
          <w:sz w:val="22"/>
        </w:rPr>
        <w:t>”</w:t>
      </w:r>
      <w:hyperlink w:history="true" w:anchor="_bookmark101">
        <w:r>
          <w:rPr>
            <w:sz w:val="22"/>
            <w:vertAlign w:val="superscript"/>
          </w:rPr>
          <w:t>34</w:t>
        </w:r>
        <w:r>
          <w:rPr>
            <w:sz w:val="22"/>
            <w:vertAlign w:val="baseline"/>
          </w:rPr>
          <w:t>.</w:t>
        </w:r>
      </w:hyperlink>
    </w:p>
    <w:p>
      <w:pPr>
        <w:pStyle w:val="BodyText"/>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Además, argumenta que “</w:t>
      </w:r>
      <w:r>
        <w:rPr>
          <w:rFonts w:ascii="Arial" w:hAnsi="Arial"/>
          <w:i/>
          <w:sz w:val="22"/>
        </w:rPr>
        <w:t>el objeto material de protección es la sanidad agropecuaria, la</w:t>
      </w:r>
      <w:r>
        <w:rPr>
          <w:rFonts w:ascii="Arial" w:hAnsi="Arial"/>
          <w:i/>
          <w:spacing w:val="-11"/>
          <w:sz w:val="22"/>
        </w:rPr>
        <w:t> </w:t>
      </w:r>
      <w:r>
        <w:rPr>
          <w:rFonts w:ascii="Arial" w:hAnsi="Arial"/>
          <w:i/>
          <w:sz w:val="22"/>
        </w:rPr>
        <w:t>inocuidad</w:t>
      </w:r>
      <w:r>
        <w:rPr>
          <w:rFonts w:ascii="Arial" w:hAnsi="Arial"/>
          <w:i/>
          <w:spacing w:val="-11"/>
          <w:sz w:val="22"/>
        </w:rPr>
        <w:t> </w:t>
      </w:r>
      <w:r>
        <w:rPr>
          <w:rFonts w:ascii="Arial" w:hAnsi="Arial"/>
          <w:i/>
          <w:sz w:val="22"/>
        </w:rPr>
        <w:t>alimentaria</w:t>
      </w:r>
      <w:r>
        <w:rPr>
          <w:rFonts w:ascii="Arial" w:hAnsi="Arial"/>
          <w:i/>
          <w:spacing w:val="-12"/>
          <w:sz w:val="22"/>
        </w:rPr>
        <w:t> </w:t>
      </w:r>
      <w:r>
        <w:rPr>
          <w:rFonts w:ascii="Arial" w:hAnsi="Arial"/>
          <w:i/>
          <w:sz w:val="22"/>
        </w:rPr>
        <w:t>y,</w:t>
      </w:r>
      <w:r>
        <w:rPr>
          <w:rFonts w:ascii="Arial" w:hAnsi="Arial"/>
          <w:i/>
          <w:spacing w:val="-10"/>
          <w:sz w:val="22"/>
        </w:rPr>
        <w:t> </w:t>
      </w:r>
      <w:r>
        <w:rPr>
          <w:rFonts w:ascii="Arial" w:hAnsi="Arial"/>
          <w:i/>
          <w:sz w:val="22"/>
        </w:rPr>
        <w:t>por</w:t>
      </w:r>
      <w:r>
        <w:rPr>
          <w:rFonts w:ascii="Arial" w:hAnsi="Arial"/>
          <w:i/>
          <w:spacing w:val="-13"/>
          <w:sz w:val="22"/>
        </w:rPr>
        <w:t> </w:t>
      </w:r>
      <w:r>
        <w:rPr>
          <w:rFonts w:ascii="Arial" w:hAnsi="Arial"/>
          <w:i/>
          <w:sz w:val="22"/>
        </w:rPr>
        <w:t>vía</w:t>
      </w:r>
      <w:r>
        <w:rPr>
          <w:rFonts w:ascii="Arial" w:hAnsi="Arial"/>
          <w:i/>
          <w:spacing w:val="-11"/>
          <w:sz w:val="22"/>
        </w:rPr>
        <w:t> </w:t>
      </w:r>
      <w:r>
        <w:rPr>
          <w:rFonts w:ascii="Arial" w:hAnsi="Arial"/>
          <w:i/>
          <w:sz w:val="22"/>
        </w:rPr>
        <w:t>de</w:t>
      </w:r>
      <w:r>
        <w:rPr>
          <w:rFonts w:ascii="Arial" w:hAnsi="Arial"/>
          <w:i/>
          <w:spacing w:val="-14"/>
          <w:sz w:val="22"/>
        </w:rPr>
        <w:t> </w:t>
      </w:r>
      <w:r>
        <w:rPr>
          <w:rFonts w:ascii="Arial" w:hAnsi="Arial"/>
          <w:i/>
          <w:sz w:val="22"/>
        </w:rPr>
        <w:t>estas,</w:t>
      </w:r>
      <w:r>
        <w:rPr>
          <w:rFonts w:ascii="Arial" w:hAnsi="Arial"/>
          <w:i/>
          <w:spacing w:val="-10"/>
          <w:sz w:val="22"/>
        </w:rPr>
        <w:t> </w:t>
      </w:r>
      <w:r>
        <w:rPr>
          <w:rFonts w:ascii="Arial" w:hAnsi="Arial"/>
          <w:i/>
          <w:sz w:val="22"/>
        </w:rPr>
        <w:t>la</w:t>
      </w:r>
      <w:r>
        <w:rPr>
          <w:rFonts w:ascii="Arial" w:hAnsi="Arial"/>
          <w:i/>
          <w:spacing w:val="-11"/>
          <w:sz w:val="22"/>
        </w:rPr>
        <w:t> </w:t>
      </w:r>
      <w:r>
        <w:rPr>
          <w:rFonts w:ascii="Arial" w:hAnsi="Arial"/>
          <w:i/>
          <w:sz w:val="22"/>
        </w:rPr>
        <w:t>vida</w:t>
      </w:r>
      <w:r>
        <w:rPr>
          <w:rFonts w:ascii="Arial" w:hAnsi="Arial"/>
          <w:i/>
          <w:spacing w:val="-14"/>
          <w:sz w:val="22"/>
        </w:rPr>
        <w:t> </w:t>
      </w:r>
      <w:r>
        <w:rPr>
          <w:rFonts w:ascii="Arial" w:hAnsi="Arial"/>
          <w:i/>
          <w:sz w:val="22"/>
        </w:rPr>
        <w:t>y</w:t>
      </w:r>
      <w:r>
        <w:rPr>
          <w:rFonts w:ascii="Arial" w:hAnsi="Arial"/>
          <w:i/>
          <w:spacing w:val="-11"/>
          <w:sz w:val="22"/>
        </w:rPr>
        <w:t> </w:t>
      </w:r>
      <w:r>
        <w:rPr>
          <w:rFonts w:ascii="Arial" w:hAnsi="Arial"/>
          <w:i/>
          <w:sz w:val="22"/>
        </w:rPr>
        <w:t>salud</w:t>
      </w:r>
      <w:r>
        <w:rPr>
          <w:rFonts w:ascii="Arial" w:hAnsi="Arial"/>
          <w:i/>
          <w:spacing w:val="-12"/>
          <w:sz w:val="22"/>
        </w:rPr>
        <w:t> </w:t>
      </w:r>
      <w:r>
        <w:rPr>
          <w:rFonts w:ascii="Arial" w:hAnsi="Arial"/>
          <w:i/>
          <w:sz w:val="22"/>
        </w:rPr>
        <w:t>de</w:t>
      </w:r>
      <w:r>
        <w:rPr>
          <w:rFonts w:ascii="Arial" w:hAnsi="Arial"/>
          <w:i/>
          <w:spacing w:val="-12"/>
          <w:sz w:val="22"/>
        </w:rPr>
        <w:t> </w:t>
      </w:r>
      <w:r>
        <w:rPr>
          <w:rFonts w:ascii="Arial" w:hAnsi="Arial"/>
          <w:i/>
          <w:sz w:val="22"/>
        </w:rPr>
        <w:t>las</w:t>
      </w:r>
      <w:r>
        <w:rPr>
          <w:rFonts w:ascii="Arial" w:hAnsi="Arial"/>
          <w:i/>
          <w:spacing w:val="-11"/>
          <w:sz w:val="22"/>
        </w:rPr>
        <w:t> </w:t>
      </w:r>
      <w:r>
        <w:rPr>
          <w:rFonts w:ascii="Arial" w:hAnsi="Arial"/>
          <w:i/>
          <w:sz w:val="22"/>
        </w:rPr>
        <w:t>personas,</w:t>
      </w:r>
      <w:r>
        <w:rPr>
          <w:rFonts w:ascii="Arial" w:hAnsi="Arial"/>
          <w:i/>
          <w:spacing w:val="-10"/>
          <w:sz w:val="22"/>
        </w:rPr>
        <w:t> </w:t>
      </w:r>
      <w:r>
        <w:rPr>
          <w:rFonts w:ascii="Arial" w:hAnsi="Arial"/>
          <w:i/>
          <w:sz w:val="22"/>
        </w:rPr>
        <w:t>los</w:t>
      </w:r>
      <w:r>
        <w:rPr>
          <w:rFonts w:ascii="Arial" w:hAnsi="Arial"/>
          <w:i/>
          <w:spacing w:val="-11"/>
          <w:sz w:val="22"/>
        </w:rPr>
        <w:t> </w:t>
      </w:r>
      <w:r>
        <w:rPr>
          <w:rFonts w:ascii="Arial" w:hAnsi="Arial"/>
          <w:i/>
          <w:sz w:val="22"/>
        </w:rPr>
        <w:t>animales y</w:t>
      </w:r>
      <w:r>
        <w:rPr>
          <w:rFonts w:ascii="Arial" w:hAnsi="Arial"/>
          <w:i/>
          <w:spacing w:val="-6"/>
          <w:sz w:val="22"/>
        </w:rPr>
        <w:t> </w:t>
      </w:r>
      <w:r>
        <w:rPr>
          <w:rFonts w:ascii="Arial" w:hAnsi="Arial"/>
          <w:i/>
          <w:sz w:val="22"/>
        </w:rPr>
        <w:t>los</w:t>
      </w:r>
      <w:r>
        <w:rPr>
          <w:rFonts w:ascii="Arial" w:hAnsi="Arial"/>
          <w:i/>
          <w:spacing w:val="-6"/>
          <w:sz w:val="22"/>
        </w:rPr>
        <w:t> </w:t>
      </w:r>
      <w:r>
        <w:rPr>
          <w:rFonts w:ascii="Arial" w:hAnsi="Arial"/>
          <w:i/>
          <w:sz w:val="22"/>
        </w:rPr>
        <w:t>vegetales,</w:t>
      </w:r>
      <w:r>
        <w:rPr>
          <w:rFonts w:ascii="Arial" w:hAnsi="Arial"/>
          <w:i/>
          <w:spacing w:val="-5"/>
          <w:sz w:val="22"/>
        </w:rPr>
        <w:t> </w:t>
      </w:r>
      <w:r>
        <w:rPr>
          <w:rFonts w:ascii="Arial" w:hAnsi="Arial"/>
          <w:i/>
          <w:sz w:val="22"/>
        </w:rPr>
        <w:t>en</w:t>
      </w:r>
      <w:r>
        <w:rPr>
          <w:rFonts w:ascii="Arial" w:hAnsi="Arial"/>
          <w:i/>
          <w:spacing w:val="-7"/>
          <w:sz w:val="22"/>
        </w:rPr>
        <w:t> </w:t>
      </w:r>
      <w:r>
        <w:rPr>
          <w:rFonts w:ascii="Arial" w:hAnsi="Arial"/>
          <w:i/>
          <w:sz w:val="22"/>
        </w:rPr>
        <w:t>el</w:t>
      </w:r>
      <w:r>
        <w:rPr>
          <w:rFonts w:ascii="Arial" w:hAnsi="Arial"/>
          <w:i/>
          <w:spacing w:val="-10"/>
          <w:sz w:val="22"/>
        </w:rPr>
        <w:t> </w:t>
      </w:r>
      <w:r>
        <w:rPr>
          <w:rFonts w:ascii="Arial" w:hAnsi="Arial"/>
          <w:i/>
          <w:sz w:val="22"/>
        </w:rPr>
        <w:t>sentido</w:t>
      </w:r>
      <w:r>
        <w:rPr>
          <w:rFonts w:ascii="Arial" w:hAnsi="Arial"/>
          <w:i/>
          <w:spacing w:val="-7"/>
          <w:sz w:val="22"/>
        </w:rPr>
        <w:t> </w:t>
      </w:r>
      <w:r>
        <w:rPr>
          <w:rFonts w:ascii="Arial" w:hAnsi="Arial"/>
          <w:i/>
          <w:sz w:val="22"/>
        </w:rPr>
        <w:t>del</w:t>
      </w:r>
      <w:r>
        <w:rPr>
          <w:rFonts w:ascii="Arial" w:hAnsi="Arial"/>
          <w:i/>
          <w:spacing w:val="-7"/>
          <w:sz w:val="22"/>
        </w:rPr>
        <w:t> </w:t>
      </w:r>
      <w:r>
        <w:rPr>
          <w:rFonts w:ascii="Arial" w:hAnsi="Arial"/>
          <w:i/>
          <w:sz w:val="22"/>
        </w:rPr>
        <w:t>literal</w:t>
      </w:r>
      <w:r>
        <w:rPr>
          <w:rFonts w:ascii="Arial" w:hAnsi="Arial"/>
          <w:i/>
          <w:spacing w:val="-7"/>
          <w:sz w:val="22"/>
        </w:rPr>
        <w:t> </w:t>
      </w:r>
      <w:r>
        <w:rPr>
          <w:rFonts w:ascii="Arial" w:hAnsi="Arial"/>
          <w:i/>
          <w:sz w:val="22"/>
        </w:rPr>
        <w:t>d)</w:t>
      </w:r>
      <w:r>
        <w:rPr>
          <w:rFonts w:ascii="Arial" w:hAnsi="Arial"/>
          <w:i/>
          <w:spacing w:val="-8"/>
          <w:sz w:val="22"/>
        </w:rPr>
        <w:t> </w:t>
      </w:r>
      <w:r>
        <w:rPr>
          <w:rFonts w:ascii="Arial" w:hAnsi="Arial"/>
          <w:i/>
          <w:sz w:val="22"/>
        </w:rPr>
        <w:t>del</w:t>
      </w:r>
      <w:r>
        <w:rPr>
          <w:rFonts w:ascii="Arial" w:hAnsi="Arial"/>
          <w:i/>
          <w:spacing w:val="-7"/>
          <w:sz w:val="22"/>
        </w:rPr>
        <w:t> </w:t>
      </w:r>
      <w:r>
        <w:rPr>
          <w:rFonts w:ascii="Arial" w:hAnsi="Arial"/>
          <w:i/>
          <w:sz w:val="22"/>
        </w:rPr>
        <w:t>artículo</w:t>
      </w:r>
      <w:r>
        <w:rPr>
          <w:rFonts w:ascii="Arial" w:hAnsi="Arial"/>
          <w:i/>
          <w:spacing w:val="-6"/>
          <w:sz w:val="22"/>
        </w:rPr>
        <w:t> </w:t>
      </w:r>
      <w:r>
        <w:rPr>
          <w:rFonts w:ascii="Arial" w:hAnsi="Arial"/>
          <w:i/>
          <w:sz w:val="22"/>
        </w:rPr>
        <w:t>73</w:t>
      </w:r>
      <w:r>
        <w:rPr>
          <w:rFonts w:ascii="Arial" w:hAnsi="Arial"/>
          <w:i/>
          <w:spacing w:val="-7"/>
          <w:sz w:val="22"/>
        </w:rPr>
        <w:t> </w:t>
      </w:r>
      <w:r>
        <w:rPr>
          <w:rFonts w:ascii="Arial" w:hAnsi="Arial"/>
          <w:i/>
          <w:sz w:val="22"/>
        </w:rPr>
        <w:t>del</w:t>
      </w:r>
      <w:r>
        <w:rPr>
          <w:rFonts w:ascii="Arial" w:hAnsi="Arial"/>
          <w:i/>
          <w:spacing w:val="-7"/>
          <w:sz w:val="22"/>
        </w:rPr>
        <w:t> </w:t>
      </w:r>
      <w:r>
        <w:rPr>
          <w:rFonts w:ascii="Arial" w:hAnsi="Arial"/>
          <w:i/>
          <w:sz w:val="22"/>
        </w:rPr>
        <w:t>Acuerdo</w:t>
      </w:r>
      <w:r>
        <w:rPr>
          <w:rFonts w:ascii="Arial" w:hAnsi="Arial"/>
          <w:i/>
          <w:spacing w:val="-7"/>
          <w:sz w:val="22"/>
        </w:rPr>
        <w:t> </w:t>
      </w:r>
      <w:r>
        <w:rPr>
          <w:rFonts w:ascii="Arial" w:hAnsi="Arial"/>
          <w:i/>
          <w:sz w:val="22"/>
        </w:rPr>
        <w:t>de</w:t>
      </w:r>
      <w:r>
        <w:rPr>
          <w:rFonts w:ascii="Arial" w:hAnsi="Arial"/>
          <w:i/>
          <w:spacing w:val="-9"/>
          <w:sz w:val="22"/>
        </w:rPr>
        <w:t> </w:t>
      </w:r>
      <w:r>
        <w:rPr>
          <w:rFonts w:ascii="Arial" w:hAnsi="Arial"/>
          <w:i/>
          <w:sz w:val="22"/>
        </w:rPr>
        <w:t>Cartagena..</w:t>
      </w:r>
      <w:r>
        <w:rPr>
          <w:sz w:val="22"/>
        </w:rPr>
        <w:t>.”</w:t>
      </w:r>
      <w:hyperlink w:history="true" w:anchor="_bookmark102">
        <w:r>
          <w:rPr>
            <w:sz w:val="22"/>
            <w:vertAlign w:val="superscript"/>
          </w:rPr>
          <w:t>35</w:t>
        </w:r>
      </w:hyperlink>
      <w:r>
        <w:rPr>
          <w:sz w:val="22"/>
          <w:vertAlign w:val="baseline"/>
        </w:rPr>
        <w:t>.</w:t>
      </w:r>
    </w:p>
    <w:p>
      <w:pPr>
        <w:pStyle w:val="BodyText"/>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Es preciso señalar que el artículo 74 del Acuerdo de Cartagena dispuso que es la SGCAN, de oficio o a petición de parte, el órgano comunitario competente para determinar si una medida adoptada unilateralmente por un País Miembro debe considerarse</w:t>
      </w:r>
      <w:r>
        <w:rPr>
          <w:spacing w:val="-14"/>
          <w:sz w:val="22"/>
        </w:rPr>
        <w:t> </w:t>
      </w:r>
      <w:r>
        <w:rPr>
          <w:sz w:val="22"/>
        </w:rPr>
        <w:t>como</w:t>
      </w:r>
      <w:r>
        <w:rPr>
          <w:spacing w:val="-15"/>
          <w:sz w:val="22"/>
        </w:rPr>
        <w:t> </w:t>
      </w:r>
      <w:r>
        <w:rPr>
          <w:sz w:val="22"/>
        </w:rPr>
        <w:t>gravamen</w:t>
      </w:r>
      <w:r>
        <w:rPr>
          <w:spacing w:val="-15"/>
          <w:sz w:val="22"/>
        </w:rPr>
        <w:t> </w:t>
      </w:r>
      <w:r>
        <w:rPr>
          <w:sz w:val="22"/>
        </w:rPr>
        <w:t>o</w:t>
      </w:r>
      <w:r>
        <w:rPr>
          <w:spacing w:val="-15"/>
          <w:sz w:val="22"/>
        </w:rPr>
        <w:t> </w:t>
      </w:r>
      <w:r>
        <w:rPr>
          <w:sz w:val="22"/>
        </w:rPr>
        <w:t>restricción,</w:t>
      </w:r>
      <w:r>
        <w:rPr>
          <w:spacing w:val="-13"/>
          <w:sz w:val="22"/>
        </w:rPr>
        <w:t> </w:t>
      </w:r>
      <w:r>
        <w:rPr>
          <w:sz w:val="22"/>
        </w:rPr>
        <w:t>o</w:t>
      </w:r>
      <w:r>
        <w:rPr>
          <w:spacing w:val="-15"/>
          <w:sz w:val="22"/>
        </w:rPr>
        <w:t> </w:t>
      </w:r>
      <w:r>
        <w:rPr>
          <w:sz w:val="22"/>
        </w:rPr>
        <w:t>si</w:t>
      </w:r>
      <w:r>
        <w:rPr>
          <w:spacing w:val="-15"/>
          <w:sz w:val="22"/>
        </w:rPr>
        <w:t> </w:t>
      </w:r>
      <w:r>
        <w:rPr>
          <w:sz w:val="22"/>
        </w:rPr>
        <w:t>podía</w:t>
      </w:r>
      <w:r>
        <w:rPr>
          <w:spacing w:val="-11"/>
          <w:sz w:val="22"/>
        </w:rPr>
        <w:t> </w:t>
      </w:r>
      <w:r>
        <w:rPr>
          <w:sz w:val="22"/>
        </w:rPr>
        <w:t>considerarse</w:t>
      </w:r>
      <w:r>
        <w:rPr>
          <w:spacing w:val="-15"/>
          <w:sz w:val="22"/>
        </w:rPr>
        <w:t> </w:t>
      </w:r>
      <w:r>
        <w:rPr>
          <w:sz w:val="22"/>
        </w:rPr>
        <w:t>como</w:t>
      </w:r>
      <w:r>
        <w:rPr>
          <w:spacing w:val="-14"/>
          <w:sz w:val="22"/>
        </w:rPr>
        <w:t> </w:t>
      </w:r>
      <w:r>
        <w:rPr>
          <w:sz w:val="22"/>
        </w:rPr>
        <w:t>una</w:t>
      </w:r>
      <w:r>
        <w:rPr>
          <w:spacing w:val="-11"/>
          <w:sz w:val="22"/>
        </w:rPr>
        <w:t> </w:t>
      </w:r>
      <w:r>
        <w:rPr>
          <w:sz w:val="22"/>
        </w:rPr>
        <w:t>excepción contemplada en el citado artículo 73.</w:t>
      </w:r>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81" w:hanging="567"/>
        <w:jc w:val="both"/>
        <w:rPr>
          <w:sz w:val="22"/>
        </w:rPr>
      </w:pPr>
      <w:r>
        <w:rPr>
          <w:sz w:val="22"/>
        </w:rPr>
        <w:t>En este contexto, dado que en el mismo Decreto 0170 concurren dos medidas, a continuación, se</w:t>
      </w:r>
      <w:r>
        <w:rPr>
          <w:spacing w:val="-1"/>
          <w:sz w:val="22"/>
        </w:rPr>
        <w:t> </w:t>
      </w:r>
      <w:r>
        <w:rPr>
          <w:sz w:val="22"/>
        </w:rPr>
        <w:t>procederá a</w:t>
      </w:r>
      <w:r>
        <w:rPr>
          <w:spacing w:val="-1"/>
          <w:sz w:val="22"/>
        </w:rPr>
        <w:t> </w:t>
      </w:r>
      <w:r>
        <w:rPr>
          <w:sz w:val="22"/>
        </w:rPr>
        <w:t>analizar, en</w:t>
      </w:r>
      <w:r>
        <w:rPr>
          <w:spacing w:val="-1"/>
          <w:sz w:val="22"/>
        </w:rPr>
        <w:t> </w:t>
      </w:r>
      <w:r>
        <w:rPr>
          <w:sz w:val="22"/>
        </w:rPr>
        <w:t>primer lugar, la</w:t>
      </w:r>
      <w:r>
        <w:rPr>
          <w:spacing w:val="-1"/>
          <w:sz w:val="22"/>
        </w:rPr>
        <w:t> </w:t>
      </w:r>
      <w:r>
        <w:rPr>
          <w:sz w:val="22"/>
        </w:rPr>
        <w:t>medida</w:t>
      </w:r>
      <w:r>
        <w:rPr>
          <w:spacing w:val="-1"/>
          <w:sz w:val="22"/>
        </w:rPr>
        <w:t> </w:t>
      </w:r>
      <w:r>
        <w:rPr>
          <w:sz w:val="22"/>
        </w:rPr>
        <w:t>denominada “arancel recíproco” del 30%, para, en segundo lugar, abordar la referida a las “restricciones al ingreso de mercancías”.</w:t>
      </w:r>
    </w:p>
    <w:p>
      <w:pPr>
        <w:pStyle w:val="Heading5"/>
        <w:numPr>
          <w:ilvl w:val="0"/>
          <w:numId w:val="49"/>
        </w:numPr>
        <w:tabs>
          <w:tab w:pos="850" w:val="left" w:leader="none"/>
        </w:tabs>
        <w:spacing w:line="240" w:lineRule="auto" w:before="252" w:after="0"/>
        <w:ind w:left="850" w:right="0" w:hanging="282"/>
        <w:jc w:val="left"/>
        <w:rPr>
          <w:rFonts w:ascii="Arial MT" w:hAnsi="Arial MT"/>
          <w:b w:val="0"/>
        </w:rPr>
      </w:pPr>
      <w:r>
        <w:rPr/>
        <w:t>ANÁLISIS</w:t>
      </w:r>
      <w:r>
        <w:rPr>
          <w:spacing w:val="-6"/>
        </w:rPr>
        <w:t> </w:t>
      </w:r>
      <w:r>
        <w:rPr/>
        <w:t>DE</w:t>
      </w:r>
      <w:r>
        <w:rPr>
          <w:spacing w:val="-3"/>
        </w:rPr>
        <w:t> </w:t>
      </w:r>
      <w:r>
        <w:rPr/>
        <w:t>LA</w:t>
      </w:r>
      <w:r>
        <w:rPr>
          <w:spacing w:val="-1"/>
        </w:rPr>
        <w:t> </w:t>
      </w:r>
      <w:r>
        <w:rPr>
          <w:spacing w:val="-2"/>
        </w:rPr>
        <w:t>SGCAN</w:t>
      </w:r>
    </w:p>
    <w:p>
      <w:pPr>
        <w:pStyle w:val="ListParagraph"/>
        <w:numPr>
          <w:ilvl w:val="1"/>
          <w:numId w:val="61"/>
        </w:numPr>
        <w:tabs>
          <w:tab w:pos="1055" w:val="left" w:leader="none"/>
        </w:tabs>
        <w:spacing w:line="240" w:lineRule="auto" w:before="251" w:after="0"/>
        <w:ind w:left="1055" w:right="0" w:hanging="420"/>
        <w:jc w:val="left"/>
        <w:rPr>
          <w:sz w:val="22"/>
        </w:rPr>
      </w:pPr>
      <w:r>
        <w:rPr>
          <w:rFonts w:ascii="Arial" w:hAnsi="Arial"/>
          <w:b/>
          <w:sz w:val="22"/>
        </w:rPr>
        <w:t>SOBRE</w:t>
      </w:r>
      <w:r>
        <w:rPr>
          <w:rFonts w:ascii="Arial" w:hAnsi="Arial"/>
          <w:b/>
          <w:spacing w:val="-7"/>
          <w:sz w:val="22"/>
        </w:rPr>
        <w:t> </w:t>
      </w:r>
      <w:r>
        <w:rPr>
          <w:rFonts w:ascii="Arial" w:hAnsi="Arial"/>
          <w:b/>
          <w:sz w:val="22"/>
        </w:rPr>
        <w:t>LA</w:t>
      </w:r>
      <w:r>
        <w:rPr>
          <w:rFonts w:ascii="Arial" w:hAnsi="Arial"/>
          <w:b/>
          <w:spacing w:val="-4"/>
          <w:sz w:val="22"/>
        </w:rPr>
        <w:t> </w:t>
      </w:r>
      <w:r>
        <w:rPr>
          <w:rFonts w:ascii="Arial" w:hAnsi="Arial"/>
          <w:b/>
          <w:sz w:val="22"/>
        </w:rPr>
        <w:t>CALIFICACIÓN</w:t>
      </w:r>
      <w:r>
        <w:rPr>
          <w:rFonts w:ascii="Arial" w:hAnsi="Arial"/>
          <w:b/>
          <w:spacing w:val="-9"/>
          <w:sz w:val="22"/>
        </w:rPr>
        <w:t> </w:t>
      </w:r>
      <w:r>
        <w:rPr>
          <w:rFonts w:ascii="Arial" w:hAnsi="Arial"/>
          <w:b/>
          <w:sz w:val="22"/>
        </w:rPr>
        <w:t>COMO</w:t>
      </w:r>
      <w:r>
        <w:rPr>
          <w:rFonts w:ascii="Arial" w:hAnsi="Arial"/>
          <w:b/>
          <w:spacing w:val="-8"/>
          <w:sz w:val="22"/>
        </w:rPr>
        <w:t> </w:t>
      </w:r>
      <w:r>
        <w:rPr>
          <w:rFonts w:ascii="Arial" w:hAnsi="Arial"/>
          <w:b/>
          <w:spacing w:val="-2"/>
          <w:sz w:val="22"/>
        </w:rPr>
        <w:t>GRAVAMEN</w:t>
      </w:r>
    </w:p>
    <w:p>
      <w:pPr>
        <w:pStyle w:val="BodyText"/>
        <w:spacing w:before="1"/>
        <w:rPr>
          <w:rFonts w:ascii="Arial"/>
          <w:b/>
        </w:rPr>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Sobre</w:t>
      </w:r>
      <w:r>
        <w:rPr>
          <w:spacing w:val="-16"/>
          <w:sz w:val="22"/>
        </w:rPr>
        <w:t> </w:t>
      </w:r>
      <w:r>
        <w:rPr>
          <w:sz w:val="22"/>
        </w:rPr>
        <w:t>la</w:t>
      </w:r>
      <w:r>
        <w:rPr>
          <w:spacing w:val="-15"/>
          <w:sz w:val="22"/>
        </w:rPr>
        <w:t> </w:t>
      </w:r>
      <w:r>
        <w:rPr>
          <w:sz w:val="22"/>
        </w:rPr>
        <w:t>base</w:t>
      </w:r>
      <w:r>
        <w:rPr>
          <w:spacing w:val="-15"/>
          <w:sz w:val="22"/>
        </w:rPr>
        <w:t> </w:t>
      </w:r>
      <w:r>
        <w:rPr>
          <w:sz w:val="22"/>
        </w:rPr>
        <w:t>de</w:t>
      </w:r>
      <w:r>
        <w:rPr>
          <w:spacing w:val="-16"/>
          <w:sz w:val="22"/>
        </w:rPr>
        <w:t> </w:t>
      </w:r>
      <w:r>
        <w:rPr>
          <w:sz w:val="22"/>
        </w:rPr>
        <w:t>los</w:t>
      </w:r>
      <w:r>
        <w:rPr>
          <w:spacing w:val="-14"/>
          <w:sz w:val="22"/>
        </w:rPr>
        <w:t> </w:t>
      </w:r>
      <w:r>
        <w:rPr>
          <w:sz w:val="22"/>
        </w:rPr>
        <w:t>antecedentes</w:t>
      </w:r>
      <w:r>
        <w:rPr>
          <w:spacing w:val="-15"/>
          <w:sz w:val="22"/>
        </w:rPr>
        <w:t> </w:t>
      </w:r>
      <w:r>
        <w:rPr>
          <w:sz w:val="22"/>
        </w:rPr>
        <w:t>del</w:t>
      </w:r>
      <w:r>
        <w:rPr>
          <w:spacing w:val="-14"/>
          <w:sz w:val="22"/>
        </w:rPr>
        <w:t> </w:t>
      </w:r>
      <w:r>
        <w:rPr>
          <w:sz w:val="22"/>
        </w:rPr>
        <w:t>caso,</w:t>
      </w:r>
      <w:r>
        <w:rPr>
          <w:spacing w:val="-15"/>
          <w:sz w:val="22"/>
        </w:rPr>
        <w:t> </w:t>
      </w:r>
      <w:r>
        <w:rPr>
          <w:sz w:val="22"/>
        </w:rPr>
        <w:t>los</w:t>
      </w:r>
      <w:r>
        <w:rPr>
          <w:spacing w:val="-16"/>
          <w:sz w:val="22"/>
        </w:rPr>
        <w:t> </w:t>
      </w:r>
      <w:r>
        <w:rPr>
          <w:sz w:val="22"/>
        </w:rPr>
        <w:t>descargos</w:t>
      </w:r>
      <w:r>
        <w:rPr>
          <w:spacing w:val="-14"/>
          <w:sz w:val="22"/>
        </w:rPr>
        <w:t> </w:t>
      </w:r>
      <w:r>
        <w:rPr>
          <w:sz w:val="22"/>
        </w:rPr>
        <w:t>de</w:t>
      </w:r>
      <w:r>
        <w:rPr>
          <w:spacing w:val="-15"/>
          <w:sz w:val="22"/>
        </w:rPr>
        <w:t> </w:t>
      </w:r>
      <w:r>
        <w:rPr>
          <w:sz w:val="22"/>
        </w:rPr>
        <w:t>la</w:t>
      </w:r>
      <w:r>
        <w:rPr>
          <w:spacing w:val="-14"/>
          <w:sz w:val="22"/>
        </w:rPr>
        <w:t> </w:t>
      </w:r>
      <w:r>
        <w:rPr>
          <w:sz w:val="22"/>
        </w:rPr>
        <w:t>República</w:t>
      </w:r>
      <w:r>
        <w:rPr>
          <w:spacing w:val="-16"/>
          <w:sz w:val="22"/>
        </w:rPr>
        <w:t> </w:t>
      </w:r>
      <w:r>
        <w:rPr>
          <w:sz w:val="22"/>
        </w:rPr>
        <w:t>de</w:t>
      </w:r>
      <w:r>
        <w:rPr>
          <w:spacing w:val="-14"/>
          <w:sz w:val="22"/>
        </w:rPr>
        <w:t> </w:t>
      </w:r>
      <w:r>
        <w:rPr>
          <w:sz w:val="22"/>
        </w:rPr>
        <w:t>Colombia, así como los comentarios y las pruebas recabadas por la SGCAN; y con el objeto de determinar</w:t>
      </w:r>
      <w:r>
        <w:rPr>
          <w:spacing w:val="-16"/>
          <w:sz w:val="22"/>
        </w:rPr>
        <w:t> </w:t>
      </w:r>
      <w:r>
        <w:rPr>
          <w:sz w:val="22"/>
        </w:rPr>
        <w:t>si</w:t>
      </w:r>
      <w:r>
        <w:rPr>
          <w:spacing w:val="-15"/>
          <w:sz w:val="22"/>
        </w:rPr>
        <w:t> </w:t>
      </w:r>
      <w:r>
        <w:rPr>
          <w:sz w:val="22"/>
        </w:rPr>
        <w:t>el</w:t>
      </w:r>
      <w:r>
        <w:rPr>
          <w:spacing w:val="-15"/>
          <w:sz w:val="22"/>
        </w:rPr>
        <w:t> </w:t>
      </w:r>
      <w:r>
        <w:rPr>
          <w:sz w:val="22"/>
        </w:rPr>
        <w:t>“arancel</w:t>
      </w:r>
      <w:r>
        <w:rPr>
          <w:spacing w:val="-16"/>
          <w:sz w:val="22"/>
        </w:rPr>
        <w:t> </w:t>
      </w:r>
      <w:r>
        <w:rPr>
          <w:sz w:val="22"/>
        </w:rPr>
        <w:t>recíproco”</w:t>
      </w:r>
      <w:r>
        <w:rPr>
          <w:spacing w:val="-15"/>
          <w:sz w:val="22"/>
        </w:rPr>
        <w:t> </w:t>
      </w:r>
      <w:r>
        <w:rPr>
          <w:sz w:val="22"/>
        </w:rPr>
        <w:t>constituye</w:t>
      </w:r>
      <w:r>
        <w:rPr>
          <w:spacing w:val="-15"/>
          <w:sz w:val="22"/>
        </w:rPr>
        <w:t> </w:t>
      </w:r>
      <w:r>
        <w:rPr>
          <w:sz w:val="22"/>
        </w:rPr>
        <w:t>un</w:t>
      </w:r>
      <w:r>
        <w:rPr>
          <w:spacing w:val="-15"/>
          <w:sz w:val="22"/>
        </w:rPr>
        <w:t> </w:t>
      </w:r>
      <w:r>
        <w:rPr>
          <w:sz w:val="22"/>
        </w:rPr>
        <w:t>gravamen</w:t>
      </w:r>
      <w:r>
        <w:rPr>
          <w:spacing w:val="-16"/>
          <w:sz w:val="22"/>
        </w:rPr>
        <w:t> </w:t>
      </w:r>
      <w:r>
        <w:rPr>
          <w:sz w:val="22"/>
        </w:rPr>
        <w:t>a</w:t>
      </w:r>
      <w:r>
        <w:rPr>
          <w:spacing w:val="-15"/>
          <w:sz w:val="22"/>
        </w:rPr>
        <w:t> </w:t>
      </w:r>
      <w:r>
        <w:rPr>
          <w:sz w:val="22"/>
        </w:rPr>
        <w:t>las</w:t>
      </w:r>
      <w:r>
        <w:rPr>
          <w:spacing w:val="-15"/>
          <w:sz w:val="22"/>
        </w:rPr>
        <w:t> </w:t>
      </w:r>
      <w:r>
        <w:rPr>
          <w:sz w:val="22"/>
        </w:rPr>
        <w:t>importaciones</w:t>
      </w:r>
      <w:r>
        <w:rPr>
          <w:spacing w:val="-16"/>
          <w:sz w:val="22"/>
        </w:rPr>
        <w:t> </w:t>
      </w:r>
      <w:r>
        <w:rPr>
          <w:sz w:val="22"/>
        </w:rPr>
        <w:t>andinas, se procederá a realizar el siguiente análisis:</w:t>
      </w:r>
    </w:p>
    <w:p>
      <w:pPr>
        <w:pStyle w:val="BodyText"/>
      </w:pPr>
    </w:p>
    <w:p>
      <w:pPr>
        <w:pStyle w:val="ListParagraph"/>
        <w:numPr>
          <w:ilvl w:val="0"/>
          <w:numId w:val="62"/>
        </w:numPr>
        <w:tabs>
          <w:tab w:pos="1562" w:val="left" w:leader="none"/>
        </w:tabs>
        <w:spacing w:line="240" w:lineRule="auto" w:before="0" w:after="0"/>
        <w:ind w:left="1562" w:right="978" w:hanging="428"/>
        <w:jc w:val="left"/>
        <w:rPr>
          <w:sz w:val="22"/>
        </w:rPr>
      </w:pPr>
      <w:r>
        <w:rPr>
          <w:sz w:val="22"/>
        </w:rPr>
        <w:t>Si el “arancel reciproco” constituye un derecho aduanero o un recargo de efectos equivalentes, sea de carácter fiscal, monetario o cambiario.</w:t>
      </w:r>
    </w:p>
    <w:p>
      <w:pPr>
        <w:pStyle w:val="ListParagraph"/>
        <w:numPr>
          <w:ilvl w:val="0"/>
          <w:numId w:val="62"/>
        </w:numPr>
        <w:tabs>
          <w:tab w:pos="1561" w:val="left" w:leader="none"/>
        </w:tabs>
        <w:spacing w:line="240" w:lineRule="auto" w:before="1" w:after="0"/>
        <w:ind w:left="1561" w:right="0" w:hanging="427"/>
        <w:jc w:val="left"/>
        <w:rPr>
          <w:sz w:val="22"/>
        </w:rPr>
      </w:pPr>
      <w:r>
        <w:rPr>
          <w:sz w:val="22"/>
        </w:rPr>
        <w:t>La</w:t>
      </w:r>
      <w:r>
        <w:rPr>
          <w:spacing w:val="-7"/>
          <w:sz w:val="22"/>
        </w:rPr>
        <w:t> </w:t>
      </w:r>
      <w:r>
        <w:rPr>
          <w:sz w:val="22"/>
        </w:rPr>
        <w:t>incidencia</w:t>
      </w:r>
      <w:r>
        <w:rPr>
          <w:spacing w:val="-7"/>
          <w:sz w:val="22"/>
        </w:rPr>
        <w:t> </w:t>
      </w:r>
      <w:r>
        <w:rPr>
          <w:sz w:val="22"/>
        </w:rPr>
        <w:t>del</w:t>
      </w:r>
      <w:r>
        <w:rPr>
          <w:spacing w:val="-7"/>
          <w:sz w:val="22"/>
        </w:rPr>
        <w:t> </w:t>
      </w:r>
      <w:r>
        <w:rPr>
          <w:sz w:val="22"/>
        </w:rPr>
        <w:t>“arancel</w:t>
      </w:r>
      <w:r>
        <w:rPr>
          <w:spacing w:val="-7"/>
          <w:sz w:val="22"/>
        </w:rPr>
        <w:t> </w:t>
      </w:r>
      <w:r>
        <w:rPr>
          <w:sz w:val="22"/>
        </w:rPr>
        <w:t>reciproco”</w:t>
      </w:r>
      <w:r>
        <w:rPr>
          <w:spacing w:val="-6"/>
          <w:sz w:val="22"/>
        </w:rPr>
        <w:t> </w:t>
      </w:r>
      <w:r>
        <w:rPr>
          <w:sz w:val="22"/>
        </w:rPr>
        <w:t>sobre</w:t>
      </w:r>
      <w:r>
        <w:rPr>
          <w:spacing w:val="-4"/>
          <w:sz w:val="22"/>
        </w:rPr>
        <w:t> </w:t>
      </w:r>
      <w:r>
        <w:rPr>
          <w:sz w:val="22"/>
        </w:rPr>
        <w:t>las</w:t>
      </w:r>
      <w:r>
        <w:rPr>
          <w:spacing w:val="-9"/>
          <w:sz w:val="22"/>
        </w:rPr>
        <w:t> </w:t>
      </w:r>
      <w:r>
        <w:rPr>
          <w:sz w:val="22"/>
        </w:rPr>
        <w:t>importaciones</w:t>
      </w:r>
      <w:r>
        <w:rPr>
          <w:spacing w:val="-7"/>
          <w:sz w:val="22"/>
        </w:rPr>
        <w:t> </w:t>
      </w:r>
      <w:r>
        <w:rPr>
          <w:spacing w:val="-2"/>
          <w:sz w:val="22"/>
        </w:rPr>
        <w:t>intracomunitarias.</w:t>
      </w:r>
    </w:p>
    <w:p>
      <w:pPr>
        <w:pStyle w:val="BodyText"/>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Para</w:t>
      </w:r>
      <w:r>
        <w:rPr>
          <w:spacing w:val="-8"/>
          <w:sz w:val="22"/>
        </w:rPr>
        <w:t> </w:t>
      </w:r>
      <w:r>
        <w:rPr>
          <w:sz w:val="22"/>
        </w:rPr>
        <w:t>tal</w:t>
      </w:r>
      <w:r>
        <w:rPr>
          <w:spacing w:val="-10"/>
          <w:sz w:val="22"/>
        </w:rPr>
        <w:t> </w:t>
      </w:r>
      <w:r>
        <w:rPr>
          <w:sz w:val="22"/>
        </w:rPr>
        <w:t>efecto,</w:t>
      </w:r>
      <w:r>
        <w:rPr>
          <w:spacing w:val="-10"/>
          <w:sz w:val="22"/>
        </w:rPr>
        <w:t> </w:t>
      </w:r>
      <w:r>
        <w:rPr>
          <w:sz w:val="22"/>
        </w:rPr>
        <w:t>en</w:t>
      </w:r>
      <w:r>
        <w:rPr>
          <w:spacing w:val="-9"/>
          <w:sz w:val="22"/>
        </w:rPr>
        <w:t> </w:t>
      </w:r>
      <w:r>
        <w:rPr>
          <w:sz w:val="22"/>
        </w:rPr>
        <w:t>primer</w:t>
      </w:r>
      <w:r>
        <w:rPr>
          <w:spacing w:val="-10"/>
          <w:sz w:val="22"/>
        </w:rPr>
        <w:t> </w:t>
      </w:r>
      <w:r>
        <w:rPr>
          <w:sz w:val="22"/>
        </w:rPr>
        <w:t>lugar,</w:t>
      </w:r>
      <w:r>
        <w:rPr>
          <w:spacing w:val="-7"/>
          <w:sz w:val="22"/>
        </w:rPr>
        <w:t> </w:t>
      </w:r>
      <w:r>
        <w:rPr>
          <w:sz w:val="22"/>
        </w:rPr>
        <w:t>se</w:t>
      </w:r>
      <w:r>
        <w:rPr>
          <w:spacing w:val="-9"/>
          <w:sz w:val="22"/>
        </w:rPr>
        <w:t> </w:t>
      </w:r>
      <w:r>
        <w:rPr>
          <w:sz w:val="22"/>
        </w:rPr>
        <w:t>expondrán</w:t>
      </w:r>
      <w:r>
        <w:rPr>
          <w:spacing w:val="-9"/>
          <w:sz w:val="22"/>
        </w:rPr>
        <w:t> </w:t>
      </w:r>
      <w:r>
        <w:rPr>
          <w:sz w:val="22"/>
        </w:rPr>
        <w:t>los</w:t>
      </w:r>
      <w:r>
        <w:rPr>
          <w:spacing w:val="-11"/>
          <w:sz w:val="22"/>
        </w:rPr>
        <w:t> </w:t>
      </w:r>
      <w:r>
        <w:rPr>
          <w:sz w:val="22"/>
        </w:rPr>
        <w:t>argumentos</w:t>
      </w:r>
      <w:r>
        <w:rPr>
          <w:spacing w:val="-11"/>
          <w:sz w:val="22"/>
        </w:rPr>
        <w:t> </w:t>
      </w:r>
      <w:r>
        <w:rPr>
          <w:sz w:val="22"/>
        </w:rPr>
        <w:t>formulados</w:t>
      </w:r>
      <w:r>
        <w:rPr>
          <w:spacing w:val="-11"/>
          <w:sz w:val="22"/>
        </w:rPr>
        <w:t> </w:t>
      </w:r>
      <w:r>
        <w:rPr>
          <w:sz w:val="22"/>
        </w:rPr>
        <w:t>por</w:t>
      </w:r>
      <w:r>
        <w:rPr>
          <w:spacing w:val="-8"/>
          <w:sz w:val="22"/>
        </w:rPr>
        <w:t> </w:t>
      </w:r>
      <w:r>
        <w:rPr>
          <w:sz w:val="22"/>
        </w:rPr>
        <w:t>las</w:t>
      </w:r>
      <w:r>
        <w:rPr>
          <w:spacing w:val="-9"/>
          <w:sz w:val="22"/>
        </w:rPr>
        <w:t> </w:t>
      </w:r>
      <w:r>
        <w:rPr>
          <w:sz w:val="22"/>
        </w:rPr>
        <w:t>partes intervinientes</w:t>
      </w:r>
      <w:r>
        <w:rPr>
          <w:spacing w:val="-13"/>
          <w:sz w:val="22"/>
        </w:rPr>
        <w:t> </w:t>
      </w:r>
      <w:r>
        <w:rPr>
          <w:sz w:val="22"/>
        </w:rPr>
        <w:t>en</w:t>
      </w:r>
      <w:r>
        <w:rPr>
          <w:spacing w:val="-16"/>
          <w:sz w:val="22"/>
        </w:rPr>
        <w:t> </w:t>
      </w:r>
      <w:r>
        <w:rPr>
          <w:sz w:val="22"/>
        </w:rPr>
        <w:t>el</w:t>
      </w:r>
      <w:r>
        <w:rPr>
          <w:spacing w:val="-13"/>
          <w:sz w:val="22"/>
        </w:rPr>
        <w:t> </w:t>
      </w:r>
      <w:r>
        <w:rPr>
          <w:sz w:val="22"/>
        </w:rPr>
        <w:t>procedimiento</w:t>
      </w:r>
      <w:r>
        <w:rPr>
          <w:spacing w:val="-13"/>
          <w:sz w:val="22"/>
        </w:rPr>
        <w:t> </w:t>
      </w:r>
      <w:r>
        <w:rPr>
          <w:sz w:val="22"/>
        </w:rPr>
        <w:t>y,</w:t>
      </w:r>
      <w:r>
        <w:rPr>
          <w:spacing w:val="-12"/>
          <w:sz w:val="22"/>
        </w:rPr>
        <w:t> </w:t>
      </w:r>
      <w:r>
        <w:rPr>
          <w:sz w:val="22"/>
        </w:rPr>
        <w:t>posteriormente,</w:t>
      </w:r>
      <w:r>
        <w:rPr>
          <w:spacing w:val="-12"/>
          <w:sz w:val="22"/>
        </w:rPr>
        <w:t> </w:t>
      </w:r>
      <w:r>
        <w:rPr>
          <w:sz w:val="22"/>
        </w:rPr>
        <w:t>se</w:t>
      </w:r>
      <w:r>
        <w:rPr>
          <w:spacing w:val="-13"/>
          <w:sz w:val="22"/>
        </w:rPr>
        <w:t> </w:t>
      </w:r>
      <w:r>
        <w:rPr>
          <w:sz w:val="22"/>
        </w:rPr>
        <w:t>presentará</w:t>
      </w:r>
      <w:r>
        <w:rPr>
          <w:spacing w:val="-15"/>
          <w:sz w:val="22"/>
        </w:rPr>
        <w:t> </w:t>
      </w:r>
      <w:r>
        <w:rPr>
          <w:sz w:val="22"/>
        </w:rPr>
        <w:t>el</w:t>
      </w:r>
      <w:r>
        <w:rPr>
          <w:spacing w:val="-14"/>
          <w:sz w:val="22"/>
        </w:rPr>
        <w:t> </w:t>
      </w:r>
      <w:r>
        <w:rPr>
          <w:sz w:val="22"/>
        </w:rPr>
        <w:t>análisis</w:t>
      </w:r>
      <w:r>
        <w:rPr>
          <w:spacing w:val="-13"/>
          <w:sz w:val="22"/>
        </w:rPr>
        <w:t> </w:t>
      </w:r>
      <w:r>
        <w:rPr>
          <w:sz w:val="22"/>
        </w:rPr>
        <w:t>respectivo de la SGCAN.</w:t>
      </w:r>
    </w:p>
    <w:p>
      <w:pPr>
        <w:pStyle w:val="ListParagraph"/>
        <w:numPr>
          <w:ilvl w:val="0"/>
          <w:numId w:val="50"/>
        </w:numPr>
        <w:tabs>
          <w:tab w:pos="1130" w:val="left" w:leader="none"/>
          <w:tab w:pos="1134" w:val="left" w:leader="none"/>
        </w:tabs>
        <w:spacing w:line="240" w:lineRule="auto" w:before="252" w:after="0"/>
        <w:ind w:left="1134" w:right="977" w:hanging="567"/>
        <w:jc w:val="both"/>
        <w:rPr>
          <w:rFonts w:ascii="Arial" w:hAnsi="Arial"/>
          <w:i/>
          <w:sz w:val="22"/>
        </w:rPr>
      </w:pPr>
      <w:r>
        <w:rPr>
          <w:sz w:val="22"/>
        </w:rPr>
        <w:t>Corresponde,</w:t>
      </w:r>
      <w:r>
        <w:rPr>
          <w:spacing w:val="-1"/>
          <w:sz w:val="22"/>
        </w:rPr>
        <w:t> </w:t>
      </w:r>
      <w:r>
        <w:rPr>
          <w:sz w:val="22"/>
        </w:rPr>
        <w:t>señalar</w:t>
      </w:r>
      <w:r>
        <w:rPr>
          <w:spacing w:val="-2"/>
          <w:sz w:val="22"/>
        </w:rPr>
        <w:t> </w:t>
      </w:r>
      <w:r>
        <w:rPr>
          <w:sz w:val="22"/>
        </w:rPr>
        <w:t>que</w:t>
      </w:r>
      <w:r>
        <w:rPr>
          <w:spacing w:val="-2"/>
          <w:sz w:val="22"/>
        </w:rPr>
        <w:t> </w:t>
      </w:r>
      <w:r>
        <w:rPr>
          <w:sz w:val="22"/>
        </w:rPr>
        <w:t>el</w:t>
      </w:r>
      <w:r>
        <w:rPr>
          <w:spacing w:val="-2"/>
          <w:sz w:val="22"/>
        </w:rPr>
        <w:t> </w:t>
      </w:r>
      <w:r>
        <w:rPr>
          <w:sz w:val="22"/>
        </w:rPr>
        <w:t>TJCAN,</w:t>
      </w:r>
      <w:r>
        <w:rPr>
          <w:spacing w:val="-1"/>
          <w:sz w:val="22"/>
        </w:rPr>
        <w:t> </w:t>
      </w:r>
      <w:r>
        <w:rPr>
          <w:sz w:val="22"/>
        </w:rPr>
        <w:t>en</w:t>
      </w:r>
      <w:r>
        <w:rPr>
          <w:spacing w:val="-2"/>
          <w:sz w:val="22"/>
        </w:rPr>
        <w:t> </w:t>
      </w:r>
      <w:r>
        <w:rPr>
          <w:sz w:val="22"/>
        </w:rPr>
        <w:t>el</w:t>
      </w:r>
      <w:r>
        <w:rPr>
          <w:spacing w:val="-3"/>
          <w:sz w:val="22"/>
        </w:rPr>
        <w:t> </w:t>
      </w:r>
      <w:r>
        <w:rPr>
          <w:sz w:val="22"/>
        </w:rPr>
        <w:t>Proceso</w:t>
      </w:r>
      <w:r>
        <w:rPr>
          <w:spacing w:val="-2"/>
          <w:sz w:val="22"/>
        </w:rPr>
        <w:t> </w:t>
      </w:r>
      <w:r>
        <w:rPr>
          <w:sz w:val="22"/>
        </w:rPr>
        <w:t>1-AI-97</w:t>
      </w:r>
      <w:hyperlink w:history="true" w:anchor="_bookmark103">
        <w:r>
          <w:rPr>
            <w:sz w:val="22"/>
            <w:vertAlign w:val="superscript"/>
          </w:rPr>
          <w:t>36</w:t>
        </w:r>
      </w:hyperlink>
      <w:r>
        <w:rPr>
          <w:sz w:val="22"/>
          <w:vertAlign w:val="baseline"/>
        </w:rPr>
        <w:t>,</w:t>
      </w:r>
      <w:r>
        <w:rPr>
          <w:spacing w:val="-1"/>
          <w:sz w:val="22"/>
          <w:vertAlign w:val="baseline"/>
        </w:rPr>
        <w:t> </w:t>
      </w:r>
      <w:r>
        <w:rPr>
          <w:sz w:val="22"/>
          <w:vertAlign w:val="baseline"/>
        </w:rPr>
        <w:t>se</w:t>
      </w:r>
      <w:r>
        <w:rPr>
          <w:spacing w:val="-2"/>
          <w:sz w:val="22"/>
          <w:vertAlign w:val="baseline"/>
        </w:rPr>
        <w:t> </w:t>
      </w:r>
      <w:r>
        <w:rPr>
          <w:sz w:val="22"/>
          <w:vertAlign w:val="baseline"/>
        </w:rPr>
        <w:t>ha</w:t>
      </w:r>
      <w:r>
        <w:rPr>
          <w:spacing w:val="-2"/>
          <w:sz w:val="22"/>
          <w:vertAlign w:val="baseline"/>
        </w:rPr>
        <w:t> </w:t>
      </w:r>
      <w:r>
        <w:rPr>
          <w:sz w:val="22"/>
          <w:vertAlign w:val="baseline"/>
        </w:rPr>
        <w:t>pronunciado</w:t>
      </w:r>
      <w:r>
        <w:rPr>
          <w:spacing w:val="-2"/>
          <w:sz w:val="22"/>
          <w:vertAlign w:val="baseline"/>
        </w:rPr>
        <w:t> </w:t>
      </w:r>
      <w:r>
        <w:rPr>
          <w:sz w:val="22"/>
          <w:vertAlign w:val="baseline"/>
        </w:rPr>
        <w:t>sobre </w:t>
      </w:r>
      <w:r>
        <w:rPr>
          <w:sz w:val="22"/>
          <w:u w:val="single"/>
          <w:vertAlign w:val="baseline"/>
        </w:rPr>
        <w:t>el principio de libre circulación de mercancías en la Comunidad Andina</w:t>
      </w:r>
      <w:r>
        <w:rPr>
          <w:sz w:val="22"/>
          <w:vertAlign w:val="baseline"/>
        </w:rPr>
        <w:t>, al destacar </w:t>
      </w:r>
      <w:r>
        <w:rPr>
          <w:rFonts w:ascii="Arial" w:hAnsi="Arial"/>
          <w:i/>
          <w:sz w:val="22"/>
          <w:vertAlign w:val="baseline"/>
        </w:rPr>
        <w:t>“la libertad</w:t>
      </w:r>
      <w:r>
        <w:rPr>
          <w:rFonts w:ascii="Arial" w:hAnsi="Arial"/>
          <w:i/>
          <w:spacing w:val="-2"/>
          <w:sz w:val="22"/>
          <w:vertAlign w:val="baseline"/>
        </w:rPr>
        <w:t> </w:t>
      </w:r>
      <w:r>
        <w:rPr>
          <w:rFonts w:ascii="Arial" w:hAnsi="Arial"/>
          <w:i/>
          <w:sz w:val="22"/>
          <w:vertAlign w:val="baseline"/>
        </w:rPr>
        <w:t>esencial</w:t>
      </w:r>
      <w:r>
        <w:rPr>
          <w:rFonts w:ascii="Arial" w:hAnsi="Arial"/>
          <w:i/>
          <w:spacing w:val="-3"/>
          <w:sz w:val="22"/>
          <w:vertAlign w:val="baseline"/>
        </w:rPr>
        <w:t> </w:t>
      </w:r>
      <w:r>
        <w:rPr>
          <w:rFonts w:ascii="Arial" w:hAnsi="Arial"/>
          <w:i/>
          <w:sz w:val="22"/>
          <w:vertAlign w:val="baseline"/>
        </w:rPr>
        <w:t>de</w:t>
      </w:r>
      <w:r>
        <w:rPr>
          <w:rFonts w:ascii="Arial" w:hAnsi="Arial"/>
          <w:i/>
          <w:spacing w:val="-4"/>
          <w:sz w:val="22"/>
          <w:vertAlign w:val="baseline"/>
        </w:rPr>
        <w:t> </w:t>
      </w:r>
      <w:r>
        <w:rPr>
          <w:rFonts w:ascii="Arial" w:hAnsi="Arial"/>
          <w:i/>
          <w:sz w:val="22"/>
          <w:vertAlign w:val="baseline"/>
        </w:rPr>
        <w:t>circulación</w:t>
      </w:r>
      <w:r>
        <w:rPr>
          <w:rFonts w:ascii="Arial" w:hAnsi="Arial"/>
          <w:i/>
          <w:spacing w:val="-2"/>
          <w:sz w:val="22"/>
          <w:vertAlign w:val="baseline"/>
        </w:rPr>
        <w:t> </w:t>
      </w:r>
      <w:r>
        <w:rPr>
          <w:rFonts w:ascii="Arial" w:hAnsi="Arial"/>
          <w:i/>
          <w:sz w:val="22"/>
          <w:vertAlign w:val="baseline"/>
        </w:rPr>
        <w:t>de</w:t>
      </w:r>
      <w:r>
        <w:rPr>
          <w:rFonts w:ascii="Arial" w:hAnsi="Arial"/>
          <w:i/>
          <w:spacing w:val="-4"/>
          <w:sz w:val="22"/>
          <w:vertAlign w:val="baseline"/>
        </w:rPr>
        <w:t> </w:t>
      </w:r>
      <w:r>
        <w:rPr>
          <w:rFonts w:ascii="Arial" w:hAnsi="Arial"/>
          <w:i/>
          <w:sz w:val="22"/>
          <w:vertAlign w:val="baseline"/>
        </w:rPr>
        <w:t>mercancías</w:t>
      </w:r>
      <w:r>
        <w:rPr>
          <w:rFonts w:ascii="Arial" w:hAnsi="Arial"/>
          <w:i/>
          <w:spacing w:val="-4"/>
          <w:sz w:val="22"/>
          <w:vertAlign w:val="baseline"/>
        </w:rPr>
        <w:t> </w:t>
      </w:r>
      <w:r>
        <w:rPr>
          <w:rFonts w:ascii="Arial" w:hAnsi="Arial"/>
          <w:i/>
          <w:sz w:val="22"/>
          <w:vertAlign w:val="baseline"/>
        </w:rPr>
        <w:t>como</w:t>
      </w:r>
      <w:r>
        <w:rPr>
          <w:rFonts w:ascii="Arial" w:hAnsi="Arial"/>
          <w:i/>
          <w:spacing w:val="-2"/>
          <w:sz w:val="22"/>
          <w:vertAlign w:val="baseline"/>
        </w:rPr>
        <w:t> </w:t>
      </w:r>
      <w:r>
        <w:rPr>
          <w:rFonts w:ascii="Arial" w:hAnsi="Arial"/>
          <w:i/>
          <w:sz w:val="22"/>
          <w:vertAlign w:val="baseline"/>
        </w:rPr>
        <w:t>parámetro</w:t>
      </w:r>
      <w:r>
        <w:rPr>
          <w:rFonts w:ascii="Arial" w:hAnsi="Arial"/>
          <w:i/>
          <w:spacing w:val="-2"/>
          <w:sz w:val="22"/>
          <w:vertAlign w:val="baseline"/>
        </w:rPr>
        <w:t> </w:t>
      </w:r>
      <w:r>
        <w:rPr>
          <w:rFonts w:ascii="Arial" w:hAnsi="Arial"/>
          <w:i/>
          <w:sz w:val="22"/>
          <w:vertAlign w:val="baseline"/>
        </w:rPr>
        <w:t>de</w:t>
      </w:r>
      <w:r>
        <w:rPr>
          <w:rFonts w:ascii="Arial" w:hAnsi="Arial"/>
          <w:i/>
          <w:spacing w:val="-4"/>
          <w:sz w:val="22"/>
          <w:vertAlign w:val="baseline"/>
        </w:rPr>
        <w:t> </w:t>
      </w:r>
      <w:r>
        <w:rPr>
          <w:rFonts w:ascii="Arial" w:hAnsi="Arial"/>
          <w:i/>
          <w:sz w:val="22"/>
          <w:vertAlign w:val="baseline"/>
        </w:rPr>
        <w:t>primer</w:t>
      </w:r>
      <w:r>
        <w:rPr>
          <w:rFonts w:ascii="Arial" w:hAnsi="Arial"/>
          <w:i/>
          <w:spacing w:val="-6"/>
          <w:sz w:val="22"/>
          <w:vertAlign w:val="baseline"/>
        </w:rPr>
        <w:t> </w:t>
      </w:r>
      <w:r>
        <w:rPr>
          <w:rFonts w:ascii="Arial" w:hAnsi="Arial"/>
          <w:i/>
          <w:sz w:val="22"/>
          <w:vertAlign w:val="baseline"/>
        </w:rPr>
        <w:t>orden</w:t>
      </w:r>
      <w:r>
        <w:rPr>
          <w:rFonts w:ascii="Arial" w:hAnsi="Arial"/>
          <w:i/>
          <w:spacing w:val="-2"/>
          <w:sz w:val="22"/>
          <w:vertAlign w:val="baseline"/>
        </w:rPr>
        <w:t> </w:t>
      </w:r>
      <w:r>
        <w:rPr>
          <w:rFonts w:ascii="Arial" w:hAnsi="Arial"/>
          <w:i/>
          <w:sz w:val="22"/>
          <w:vertAlign w:val="baseline"/>
        </w:rPr>
        <w:t>para</w:t>
      </w:r>
      <w:r>
        <w:rPr>
          <w:rFonts w:ascii="Arial" w:hAnsi="Arial"/>
          <w:i/>
          <w:spacing w:val="-4"/>
          <w:sz w:val="22"/>
          <w:vertAlign w:val="baseline"/>
        </w:rPr>
        <w:t> </w:t>
      </w:r>
      <w:r>
        <w:rPr>
          <w:rFonts w:ascii="Arial" w:hAnsi="Arial"/>
          <w:i/>
          <w:sz w:val="22"/>
          <w:vertAlign w:val="baseline"/>
        </w:rPr>
        <w:t>el avance de la integración a nivel andino y latinoamericano” </w:t>
      </w:r>
      <w:r>
        <w:rPr>
          <w:sz w:val="22"/>
          <w:vertAlign w:val="baseline"/>
        </w:rPr>
        <w:t>y ha indicado que ese principio </w:t>
      </w:r>
      <w:r>
        <w:rPr>
          <w:rFonts w:ascii="Arial" w:hAnsi="Arial"/>
          <w:i/>
          <w:sz w:val="22"/>
          <w:vertAlign w:val="baseline"/>
        </w:rPr>
        <w:t>“se desprende no sólo del Capítulo V sobre Programa de Liberación, sino fundamentalmente</w:t>
      </w:r>
      <w:r>
        <w:rPr>
          <w:rFonts w:ascii="Arial" w:hAnsi="Arial"/>
          <w:i/>
          <w:spacing w:val="-10"/>
          <w:sz w:val="22"/>
          <w:vertAlign w:val="baseline"/>
        </w:rPr>
        <w:t> </w:t>
      </w:r>
      <w:r>
        <w:rPr>
          <w:rFonts w:ascii="Arial" w:hAnsi="Arial"/>
          <w:i/>
          <w:sz w:val="22"/>
          <w:vertAlign w:val="baseline"/>
        </w:rPr>
        <w:t>de</w:t>
      </w:r>
      <w:r>
        <w:rPr>
          <w:rFonts w:ascii="Arial" w:hAnsi="Arial"/>
          <w:i/>
          <w:spacing w:val="-9"/>
          <w:sz w:val="22"/>
          <w:vertAlign w:val="baseline"/>
        </w:rPr>
        <w:t> </w:t>
      </w:r>
      <w:r>
        <w:rPr>
          <w:rFonts w:ascii="Arial" w:hAnsi="Arial"/>
          <w:i/>
          <w:sz w:val="22"/>
          <w:vertAlign w:val="baseline"/>
        </w:rPr>
        <w:t>los</w:t>
      </w:r>
      <w:r>
        <w:rPr>
          <w:rFonts w:ascii="Arial" w:hAnsi="Arial"/>
          <w:i/>
          <w:spacing w:val="-8"/>
          <w:sz w:val="22"/>
          <w:vertAlign w:val="baseline"/>
        </w:rPr>
        <w:t> </w:t>
      </w:r>
      <w:r>
        <w:rPr>
          <w:rFonts w:ascii="Arial" w:hAnsi="Arial"/>
          <w:i/>
          <w:sz w:val="22"/>
          <w:vertAlign w:val="baseline"/>
        </w:rPr>
        <w:t>objetivos</w:t>
      </w:r>
      <w:r>
        <w:rPr>
          <w:rFonts w:ascii="Arial" w:hAnsi="Arial"/>
          <w:i/>
          <w:spacing w:val="-10"/>
          <w:sz w:val="22"/>
          <w:vertAlign w:val="baseline"/>
        </w:rPr>
        <w:t> </w:t>
      </w:r>
      <w:r>
        <w:rPr>
          <w:rFonts w:ascii="Arial" w:hAnsi="Arial"/>
          <w:i/>
          <w:sz w:val="22"/>
          <w:vertAlign w:val="baseline"/>
        </w:rPr>
        <w:t>esenciales</w:t>
      </w:r>
      <w:r>
        <w:rPr>
          <w:rFonts w:ascii="Arial" w:hAnsi="Arial"/>
          <w:i/>
          <w:spacing w:val="-10"/>
          <w:sz w:val="22"/>
          <w:vertAlign w:val="baseline"/>
        </w:rPr>
        <w:t> </w:t>
      </w:r>
      <w:r>
        <w:rPr>
          <w:rFonts w:ascii="Arial" w:hAnsi="Arial"/>
          <w:i/>
          <w:sz w:val="22"/>
          <w:vertAlign w:val="baseline"/>
        </w:rPr>
        <w:t>del</w:t>
      </w:r>
      <w:r>
        <w:rPr>
          <w:rFonts w:ascii="Arial" w:hAnsi="Arial"/>
          <w:i/>
          <w:spacing w:val="-9"/>
          <w:sz w:val="22"/>
          <w:vertAlign w:val="baseline"/>
        </w:rPr>
        <w:t> </w:t>
      </w:r>
      <w:r>
        <w:rPr>
          <w:rFonts w:ascii="Arial" w:hAnsi="Arial"/>
          <w:i/>
          <w:sz w:val="22"/>
          <w:vertAlign w:val="baseline"/>
        </w:rPr>
        <w:t>Acuerdo</w:t>
      </w:r>
      <w:r>
        <w:rPr>
          <w:rFonts w:ascii="Arial" w:hAnsi="Arial"/>
          <w:i/>
          <w:spacing w:val="-10"/>
          <w:sz w:val="22"/>
          <w:vertAlign w:val="baseline"/>
        </w:rPr>
        <w:t> </w:t>
      </w:r>
      <w:r>
        <w:rPr>
          <w:rFonts w:ascii="Arial" w:hAnsi="Arial"/>
          <w:i/>
          <w:sz w:val="22"/>
          <w:vertAlign w:val="baseline"/>
        </w:rPr>
        <w:t>establecidos</w:t>
      </w:r>
      <w:r>
        <w:rPr>
          <w:rFonts w:ascii="Arial" w:hAnsi="Arial"/>
          <w:i/>
          <w:spacing w:val="-8"/>
          <w:sz w:val="22"/>
          <w:vertAlign w:val="baseline"/>
        </w:rPr>
        <w:t> </w:t>
      </w:r>
      <w:r>
        <w:rPr>
          <w:rFonts w:ascii="Arial" w:hAnsi="Arial"/>
          <w:i/>
          <w:sz w:val="22"/>
          <w:vertAlign w:val="baseline"/>
        </w:rPr>
        <w:t>en</w:t>
      </w:r>
      <w:r>
        <w:rPr>
          <w:rFonts w:ascii="Arial" w:hAnsi="Arial"/>
          <w:i/>
          <w:spacing w:val="-8"/>
          <w:sz w:val="22"/>
          <w:vertAlign w:val="baseline"/>
        </w:rPr>
        <w:t> </w:t>
      </w:r>
      <w:r>
        <w:rPr>
          <w:rFonts w:ascii="Arial" w:hAnsi="Arial"/>
          <w:i/>
          <w:sz w:val="22"/>
          <w:vertAlign w:val="baseline"/>
        </w:rPr>
        <w:t>los</w:t>
      </w:r>
      <w:r>
        <w:rPr>
          <w:rFonts w:ascii="Arial" w:hAnsi="Arial"/>
          <w:i/>
          <w:spacing w:val="-10"/>
          <w:sz w:val="22"/>
          <w:vertAlign w:val="baseline"/>
        </w:rPr>
        <w:t> </w:t>
      </w:r>
      <w:r>
        <w:rPr>
          <w:rFonts w:ascii="Arial" w:hAnsi="Arial"/>
          <w:i/>
          <w:sz w:val="22"/>
          <w:vertAlign w:val="baseline"/>
        </w:rPr>
        <w:t>artículos 1 y 3 del Tratado”.</w:t>
      </w:r>
    </w:p>
    <w:p>
      <w:pPr>
        <w:pStyle w:val="BodyText"/>
        <w:spacing w:before="2"/>
        <w:rPr>
          <w:rFonts w:ascii="Arial"/>
          <w:i/>
        </w:rPr>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En</w:t>
      </w:r>
      <w:r>
        <w:rPr>
          <w:spacing w:val="-11"/>
          <w:sz w:val="22"/>
        </w:rPr>
        <w:t> </w:t>
      </w:r>
      <w:r>
        <w:rPr>
          <w:sz w:val="22"/>
        </w:rPr>
        <w:t>ese</w:t>
      </w:r>
      <w:r>
        <w:rPr>
          <w:spacing w:val="-14"/>
          <w:sz w:val="22"/>
        </w:rPr>
        <w:t> </w:t>
      </w:r>
      <w:r>
        <w:rPr>
          <w:sz w:val="22"/>
        </w:rPr>
        <w:t>contexto,</w:t>
      </w:r>
      <w:r>
        <w:rPr>
          <w:spacing w:val="-10"/>
          <w:sz w:val="22"/>
        </w:rPr>
        <w:t> </w:t>
      </w:r>
      <w:r>
        <w:rPr>
          <w:sz w:val="22"/>
        </w:rPr>
        <w:t>el</w:t>
      </w:r>
      <w:r>
        <w:rPr>
          <w:spacing w:val="-15"/>
          <w:sz w:val="22"/>
        </w:rPr>
        <w:t> </w:t>
      </w:r>
      <w:r>
        <w:rPr>
          <w:sz w:val="22"/>
        </w:rPr>
        <w:t>TJCAN</w:t>
      </w:r>
      <w:r>
        <w:rPr>
          <w:spacing w:val="-12"/>
          <w:sz w:val="22"/>
        </w:rPr>
        <w:t> </w:t>
      </w:r>
      <w:r>
        <w:rPr>
          <w:sz w:val="22"/>
        </w:rPr>
        <w:t>ha</w:t>
      </w:r>
      <w:r>
        <w:rPr>
          <w:spacing w:val="-14"/>
          <w:sz w:val="22"/>
        </w:rPr>
        <w:t> </w:t>
      </w:r>
      <w:r>
        <w:rPr>
          <w:sz w:val="22"/>
        </w:rPr>
        <w:t>resaltado</w:t>
      </w:r>
      <w:r>
        <w:rPr>
          <w:spacing w:val="-14"/>
          <w:sz w:val="22"/>
        </w:rPr>
        <w:t> </w:t>
      </w:r>
      <w:r>
        <w:rPr>
          <w:sz w:val="22"/>
        </w:rPr>
        <w:t>que,</w:t>
      </w:r>
      <w:r>
        <w:rPr>
          <w:spacing w:val="-10"/>
          <w:sz w:val="22"/>
        </w:rPr>
        <w:t> </w:t>
      </w:r>
      <w:r>
        <w:rPr>
          <w:sz w:val="22"/>
        </w:rPr>
        <w:t>en</w:t>
      </w:r>
      <w:r>
        <w:rPr>
          <w:spacing w:val="-14"/>
          <w:sz w:val="22"/>
        </w:rPr>
        <w:t> </w:t>
      </w:r>
      <w:r>
        <w:rPr>
          <w:sz w:val="22"/>
        </w:rPr>
        <w:t>principio,</w:t>
      </w:r>
      <w:r>
        <w:rPr>
          <w:spacing w:val="-7"/>
          <w:sz w:val="22"/>
        </w:rPr>
        <w:t> </w:t>
      </w:r>
      <w:r>
        <w:rPr>
          <w:sz w:val="22"/>
          <w:u w:val="single"/>
        </w:rPr>
        <w:t>en</w:t>
      </w:r>
      <w:r>
        <w:rPr>
          <w:spacing w:val="-12"/>
          <w:sz w:val="22"/>
          <w:u w:val="single"/>
        </w:rPr>
        <w:t> </w:t>
      </w:r>
      <w:r>
        <w:rPr>
          <w:sz w:val="22"/>
          <w:u w:val="single"/>
        </w:rPr>
        <w:t>una</w:t>
      </w:r>
      <w:r>
        <w:rPr>
          <w:spacing w:val="-14"/>
          <w:sz w:val="22"/>
          <w:u w:val="single"/>
        </w:rPr>
        <w:t> </w:t>
      </w:r>
      <w:r>
        <w:rPr>
          <w:sz w:val="22"/>
          <w:u w:val="single"/>
        </w:rPr>
        <w:t>zona</w:t>
      </w:r>
      <w:r>
        <w:rPr>
          <w:spacing w:val="-14"/>
          <w:sz w:val="22"/>
          <w:u w:val="single"/>
        </w:rPr>
        <w:t> </w:t>
      </w:r>
      <w:r>
        <w:rPr>
          <w:sz w:val="22"/>
          <w:u w:val="single"/>
        </w:rPr>
        <w:t>de</w:t>
      </w:r>
      <w:r>
        <w:rPr>
          <w:spacing w:val="-14"/>
          <w:sz w:val="22"/>
          <w:u w:val="single"/>
        </w:rPr>
        <w:t> </w:t>
      </w:r>
      <w:r>
        <w:rPr>
          <w:sz w:val="22"/>
          <w:u w:val="single"/>
        </w:rPr>
        <w:t>libre</w:t>
      </w:r>
      <w:r>
        <w:rPr>
          <w:spacing w:val="-11"/>
          <w:sz w:val="22"/>
          <w:u w:val="single"/>
        </w:rPr>
        <w:t> </w:t>
      </w:r>
      <w:r>
        <w:rPr>
          <w:sz w:val="22"/>
          <w:u w:val="single"/>
        </w:rPr>
        <w:t>comercio</w:t>
      </w:r>
      <w:r>
        <w:rPr>
          <w:sz w:val="22"/>
        </w:rPr>
        <w:t> </w:t>
      </w:r>
      <w:r>
        <w:rPr>
          <w:sz w:val="22"/>
          <w:u w:val="single"/>
        </w:rPr>
        <w:t>no</w:t>
      </w:r>
      <w:r>
        <w:rPr>
          <w:spacing w:val="-7"/>
          <w:sz w:val="22"/>
          <w:u w:val="single"/>
        </w:rPr>
        <w:t> </w:t>
      </w:r>
      <w:r>
        <w:rPr>
          <w:sz w:val="22"/>
          <w:u w:val="single"/>
        </w:rPr>
        <w:t>deben</w:t>
      </w:r>
      <w:r>
        <w:rPr>
          <w:spacing w:val="-9"/>
          <w:sz w:val="22"/>
          <w:u w:val="single"/>
        </w:rPr>
        <w:t> </w:t>
      </w:r>
      <w:r>
        <w:rPr>
          <w:sz w:val="22"/>
          <w:u w:val="single"/>
        </w:rPr>
        <w:t>gravarse</w:t>
      </w:r>
      <w:r>
        <w:rPr>
          <w:spacing w:val="-9"/>
          <w:sz w:val="22"/>
          <w:u w:val="single"/>
        </w:rPr>
        <w:t> </w:t>
      </w:r>
      <w:r>
        <w:rPr>
          <w:sz w:val="22"/>
          <w:u w:val="single"/>
        </w:rPr>
        <w:t>las</w:t>
      </w:r>
      <w:r>
        <w:rPr>
          <w:spacing w:val="-6"/>
          <w:sz w:val="22"/>
          <w:u w:val="single"/>
        </w:rPr>
        <w:t> </w:t>
      </w:r>
      <w:r>
        <w:rPr>
          <w:sz w:val="22"/>
          <w:u w:val="single"/>
        </w:rPr>
        <w:t>importaciones</w:t>
      </w:r>
      <w:r>
        <w:rPr>
          <w:sz w:val="22"/>
        </w:rPr>
        <w:t>,</w:t>
      </w:r>
      <w:r>
        <w:rPr>
          <w:spacing w:val="-5"/>
          <w:sz w:val="22"/>
        </w:rPr>
        <w:t> </w:t>
      </w:r>
      <w:r>
        <w:rPr>
          <w:sz w:val="22"/>
        </w:rPr>
        <w:t>por</w:t>
      </w:r>
      <w:r>
        <w:rPr>
          <w:spacing w:val="-8"/>
          <w:sz w:val="22"/>
        </w:rPr>
        <w:t> </w:t>
      </w:r>
      <w:r>
        <w:rPr>
          <w:sz w:val="22"/>
        </w:rPr>
        <w:t>ningún</w:t>
      </w:r>
      <w:r>
        <w:rPr>
          <w:spacing w:val="-9"/>
          <w:sz w:val="22"/>
        </w:rPr>
        <w:t> </w:t>
      </w:r>
      <w:r>
        <w:rPr>
          <w:sz w:val="22"/>
        </w:rPr>
        <w:t>motivo,</w:t>
      </w:r>
      <w:r>
        <w:rPr>
          <w:spacing w:val="-4"/>
          <w:sz w:val="22"/>
        </w:rPr>
        <w:t> </w:t>
      </w:r>
      <w:r>
        <w:rPr>
          <w:sz w:val="22"/>
          <w:u w:val="single"/>
        </w:rPr>
        <w:t>a</w:t>
      </w:r>
      <w:r>
        <w:rPr>
          <w:spacing w:val="-9"/>
          <w:sz w:val="22"/>
          <w:u w:val="single"/>
        </w:rPr>
        <w:t> </w:t>
      </w:r>
      <w:r>
        <w:rPr>
          <w:sz w:val="22"/>
          <w:u w:val="single"/>
        </w:rPr>
        <w:t>no</w:t>
      </w:r>
      <w:r>
        <w:rPr>
          <w:spacing w:val="-9"/>
          <w:sz w:val="22"/>
          <w:u w:val="single"/>
        </w:rPr>
        <w:t> </w:t>
      </w:r>
      <w:r>
        <w:rPr>
          <w:sz w:val="22"/>
          <w:u w:val="single"/>
        </w:rPr>
        <w:t>ser</w:t>
      </w:r>
      <w:r>
        <w:rPr>
          <w:spacing w:val="-8"/>
          <w:sz w:val="22"/>
          <w:u w:val="single"/>
        </w:rPr>
        <w:t> </w:t>
      </w:r>
      <w:r>
        <w:rPr>
          <w:sz w:val="22"/>
          <w:u w:val="single"/>
        </w:rPr>
        <w:t>que</w:t>
      </w:r>
      <w:r>
        <w:rPr>
          <w:spacing w:val="-9"/>
          <w:sz w:val="22"/>
          <w:u w:val="single"/>
        </w:rPr>
        <w:t> </w:t>
      </w:r>
      <w:r>
        <w:rPr>
          <w:sz w:val="22"/>
          <w:u w:val="single"/>
        </w:rPr>
        <w:t>se</w:t>
      </w:r>
      <w:r>
        <w:rPr>
          <w:spacing w:val="-9"/>
          <w:sz w:val="22"/>
          <w:u w:val="single"/>
        </w:rPr>
        <w:t> </w:t>
      </w:r>
      <w:r>
        <w:rPr>
          <w:sz w:val="22"/>
          <w:u w:val="single"/>
        </w:rPr>
        <w:t>trate</w:t>
      </w:r>
      <w:r>
        <w:rPr>
          <w:spacing w:val="-6"/>
          <w:sz w:val="22"/>
          <w:u w:val="single"/>
        </w:rPr>
        <w:t> </w:t>
      </w:r>
      <w:r>
        <w:rPr>
          <w:sz w:val="22"/>
          <w:u w:val="single"/>
        </w:rPr>
        <w:t>del</w:t>
      </w:r>
      <w:r>
        <w:rPr>
          <w:spacing w:val="-9"/>
          <w:sz w:val="22"/>
          <w:u w:val="single"/>
        </w:rPr>
        <w:t> </w:t>
      </w:r>
      <w:r>
        <w:rPr>
          <w:sz w:val="22"/>
          <w:u w:val="single"/>
        </w:rPr>
        <w:t>cobro</w:t>
      </w:r>
      <w:r>
        <w:rPr>
          <w:sz w:val="22"/>
        </w:rPr>
        <w:t> </w:t>
      </w:r>
      <w:r>
        <w:rPr>
          <w:sz w:val="22"/>
          <w:u w:val="single"/>
        </w:rPr>
        <w:t>de servicios prestados por actividades directamente vinculadas a las operaciones de</w:t>
      </w:r>
      <w:r>
        <w:rPr>
          <w:sz w:val="22"/>
        </w:rPr>
        <w:t> </w:t>
      </w:r>
      <w:r>
        <w:rPr>
          <w:sz w:val="22"/>
          <w:u w:val="single"/>
        </w:rPr>
        <w:t>importación</w:t>
      </w:r>
      <w:r>
        <w:rPr>
          <w:sz w:val="22"/>
        </w:rPr>
        <w:t>.</w:t>
      </w:r>
      <w:r>
        <w:rPr>
          <w:spacing w:val="-12"/>
          <w:sz w:val="22"/>
        </w:rPr>
        <w:t> </w:t>
      </w:r>
      <w:r>
        <w:rPr>
          <w:sz w:val="22"/>
        </w:rPr>
        <w:t>Así,</w:t>
      </w:r>
      <w:r>
        <w:rPr>
          <w:spacing w:val="-12"/>
          <w:sz w:val="22"/>
        </w:rPr>
        <w:t> </w:t>
      </w:r>
      <w:r>
        <w:rPr>
          <w:sz w:val="22"/>
        </w:rPr>
        <w:t>en</w:t>
      </w:r>
      <w:r>
        <w:rPr>
          <w:spacing w:val="-11"/>
          <w:sz w:val="22"/>
        </w:rPr>
        <w:t> </w:t>
      </w:r>
      <w:r>
        <w:rPr>
          <w:sz w:val="22"/>
        </w:rPr>
        <w:t>el</w:t>
      </w:r>
      <w:r>
        <w:rPr>
          <w:spacing w:val="-13"/>
          <w:sz w:val="22"/>
        </w:rPr>
        <w:t> </w:t>
      </w:r>
      <w:r>
        <w:rPr>
          <w:sz w:val="22"/>
        </w:rPr>
        <w:t>Proceso</w:t>
      </w:r>
      <w:r>
        <w:rPr>
          <w:spacing w:val="-11"/>
          <w:sz w:val="22"/>
        </w:rPr>
        <w:t> </w:t>
      </w:r>
      <w:r>
        <w:rPr>
          <w:sz w:val="22"/>
        </w:rPr>
        <w:t>12-AN-99</w:t>
      </w:r>
      <w:hyperlink w:history="true" w:anchor="_bookmark104">
        <w:r>
          <w:rPr>
            <w:sz w:val="22"/>
            <w:vertAlign w:val="superscript"/>
          </w:rPr>
          <w:t>37</w:t>
        </w:r>
      </w:hyperlink>
      <w:r>
        <w:rPr>
          <w:sz w:val="22"/>
          <w:vertAlign w:val="baseline"/>
        </w:rPr>
        <w:t>,</w:t>
      </w:r>
      <w:r>
        <w:rPr>
          <w:spacing w:val="-9"/>
          <w:sz w:val="22"/>
          <w:vertAlign w:val="baseline"/>
        </w:rPr>
        <w:t> </w:t>
      </w:r>
      <w:r>
        <w:rPr>
          <w:sz w:val="22"/>
          <w:vertAlign w:val="baseline"/>
        </w:rPr>
        <w:t>dicho</w:t>
      </w:r>
      <w:r>
        <w:rPr>
          <w:spacing w:val="-13"/>
          <w:sz w:val="22"/>
          <w:vertAlign w:val="baseline"/>
        </w:rPr>
        <w:t> </w:t>
      </w:r>
      <w:r>
        <w:rPr>
          <w:sz w:val="22"/>
          <w:vertAlign w:val="baseline"/>
        </w:rPr>
        <w:t>órgano</w:t>
      </w:r>
      <w:r>
        <w:rPr>
          <w:spacing w:val="-13"/>
          <w:sz w:val="22"/>
          <w:vertAlign w:val="baseline"/>
        </w:rPr>
        <w:t> </w:t>
      </w:r>
      <w:r>
        <w:rPr>
          <w:sz w:val="22"/>
          <w:vertAlign w:val="baseline"/>
        </w:rPr>
        <w:t>jurisdiccional</w:t>
      </w:r>
      <w:r>
        <w:rPr>
          <w:spacing w:val="-12"/>
          <w:sz w:val="22"/>
          <w:vertAlign w:val="baseline"/>
        </w:rPr>
        <w:t> </w:t>
      </w:r>
      <w:r>
        <w:rPr>
          <w:sz w:val="22"/>
          <w:vertAlign w:val="baseline"/>
        </w:rPr>
        <w:t>ha</w:t>
      </w:r>
      <w:r>
        <w:rPr>
          <w:spacing w:val="-11"/>
          <w:sz w:val="22"/>
          <w:vertAlign w:val="baseline"/>
        </w:rPr>
        <w:t> </w:t>
      </w:r>
      <w:r>
        <w:rPr>
          <w:sz w:val="22"/>
          <w:vertAlign w:val="baseline"/>
        </w:rPr>
        <w:t>indicado</w:t>
      </w:r>
      <w:r>
        <w:rPr>
          <w:spacing w:val="-11"/>
          <w:sz w:val="22"/>
          <w:vertAlign w:val="baseline"/>
        </w:rPr>
        <w:t> </w:t>
      </w:r>
      <w:r>
        <w:rPr>
          <w:sz w:val="22"/>
          <w:vertAlign w:val="baseline"/>
        </w:rPr>
        <w:t>que:</w:t>
      </w:r>
    </w:p>
    <w:p>
      <w:pPr>
        <w:pStyle w:val="BodyText"/>
        <w:rPr>
          <w:sz w:val="20"/>
        </w:rPr>
      </w:pPr>
    </w:p>
    <w:p>
      <w:pPr>
        <w:pStyle w:val="BodyText"/>
        <w:rPr>
          <w:sz w:val="20"/>
        </w:rPr>
      </w:pPr>
    </w:p>
    <w:p>
      <w:pPr>
        <w:pStyle w:val="BodyText"/>
        <w:spacing w:before="115"/>
        <w:rPr>
          <w:sz w:val="20"/>
        </w:rPr>
      </w:pPr>
      <w:r>
        <w:rPr>
          <w:sz w:val="20"/>
        </w:rPr>
        <mc:AlternateContent>
          <mc:Choice Requires="wps">
            <w:drawing>
              <wp:anchor distT="0" distB="0" distL="0" distR="0" allowOverlap="1" layoutInCell="1" locked="0" behindDoc="1" simplePos="0" relativeHeight="487639040">
                <wp:simplePos x="0" y="0"/>
                <wp:positionH relativeFrom="page">
                  <wp:posOffset>990904</wp:posOffset>
                </wp:positionH>
                <wp:positionV relativeFrom="paragraph">
                  <wp:posOffset>234381</wp:posOffset>
                </wp:positionV>
                <wp:extent cx="1829435" cy="7620"/>
                <wp:effectExtent l="0" t="0" r="0" b="0"/>
                <wp:wrapTopAndBottom/>
                <wp:docPr id="473" name="Graphic 473"/>
                <wp:cNvGraphicFramePr>
                  <a:graphicFrameLocks/>
                </wp:cNvGraphicFramePr>
                <a:graphic>
                  <a:graphicData uri="http://schemas.microsoft.com/office/word/2010/wordprocessingShape">
                    <wps:wsp>
                      <wps:cNvPr id="473" name="Graphic 473"/>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8.455254pt;width:144.020pt;height:.60004pt;mso-position-horizontal-relative:page;mso-position-vertical-relative:paragraph;z-index:-15677440;mso-wrap-distance-left:0;mso-wrap-distance-right:0" id="docshape329" filled="true" fillcolor="#000000" stroked="false">
                <v:fill type="solid"/>
                <w10:wrap type="topAndBottom"/>
              </v:rect>
            </w:pict>
          </mc:Fallback>
        </mc:AlternateContent>
      </w:r>
    </w:p>
    <w:p>
      <w:pPr>
        <w:spacing w:before="92"/>
        <w:ind w:left="568" w:right="0" w:firstLine="0"/>
        <w:jc w:val="left"/>
        <w:rPr>
          <w:sz w:val="16"/>
        </w:rPr>
      </w:pPr>
      <w:bookmarkStart w:name="_bookmark101" w:id="102"/>
      <w:bookmarkEnd w:id="102"/>
      <w:r>
        <w:rPr/>
      </w:r>
      <w:r>
        <w:rPr>
          <w:sz w:val="16"/>
          <w:vertAlign w:val="superscript"/>
        </w:rPr>
        <w:t>34</w:t>
      </w:r>
      <w:r>
        <w:rPr>
          <w:spacing w:val="-7"/>
          <w:sz w:val="16"/>
          <w:vertAlign w:val="baseline"/>
        </w:rPr>
        <w:t> </w:t>
      </w:r>
      <w:r>
        <w:rPr>
          <w:sz w:val="16"/>
          <w:vertAlign w:val="baseline"/>
        </w:rPr>
        <w:t>Expediente</w:t>
      </w:r>
      <w:r>
        <w:rPr>
          <w:spacing w:val="-8"/>
          <w:sz w:val="16"/>
          <w:vertAlign w:val="baseline"/>
        </w:rPr>
        <w:t> </w:t>
      </w:r>
      <w:r>
        <w:rPr>
          <w:sz w:val="16"/>
          <w:vertAlign w:val="baseline"/>
        </w:rPr>
        <w:t>SG/DGCOM/RES-GRAV/002,</w:t>
      </w:r>
      <w:r>
        <w:rPr>
          <w:spacing w:val="-7"/>
          <w:sz w:val="16"/>
          <w:vertAlign w:val="baseline"/>
        </w:rPr>
        <w:t> </w:t>
      </w:r>
      <w:r>
        <w:rPr>
          <w:sz w:val="16"/>
          <w:vertAlign w:val="baseline"/>
        </w:rPr>
        <w:t>folios</w:t>
      </w:r>
      <w:r>
        <w:rPr>
          <w:spacing w:val="-4"/>
          <w:sz w:val="16"/>
          <w:vertAlign w:val="baseline"/>
        </w:rPr>
        <w:t> </w:t>
      </w:r>
      <w:r>
        <w:rPr>
          <w:sz w:val="16"/>
          <w:vertAlign w:val="baseline"/>
        </w:rPr>
        <w:t>000357</w:t>
      </w:r>
      <w:r>
        <w:rPr>
          <w:spacing w:val="-8"/>
          <w:sz w:val="16"/>
          <w:vertAlign w:val="baseline"/>
        </w:rPr>
        <w:t> </w:t>
      </w:r>
      <w:r>
        <w:rPr>
          <w:sz w:val="16"/>
          <w:vertAlign w:val="baseline"/>
        </w:rPr>
        <w:t>y</w:t>
      </w:r>
      <w:r>
        <w:rPr>
          <w:spacing w:val="-4"/>
          <w:sz w:val="16"/>
          <w:vertAlign w:val="baseline"/>
        </w:rPr>
        <w:t> </w:t>
      </w:r>
      <w:r>
        <w:rPr>
          <w:spacing w:val="-2"/>
          <w:sz w:val="16"/>
          <w:vertAlign w:val="baseline"/>
        </w:rPr>
        <w:t>000358</w:t>
      </w:r>
    </w:p>
    <w:p>
      <w:pPr>
        <w:spacing w:line="183" w:lineRule="exact" w:before="1"/>
        <w:ind w:left="568" w:right="0" w:firstLine="0"/>
        <w:jc w:val="left"/>
        <w:rPr>
          <w:sz w:val="16"/>
        </w:rPr>
      </w:pPr>
      <w:bookmarkStart w:name="_bookmark102" w:id="103"/>
      <w:bookmarkEnd w:id="103"/>
      <w:r>
        <w:rPr/>
      </w:r>
      <w:r>
        <w:rPr>
          <w:sz w:val="16"/>
          <w:vertAlign w:val="superscript"/>
        </w:rPr>
        <w:t>35</w:t>
      </w:r>
      <w:r>
        <w:rPr>
          <w:spacing w:val="-8"/>
          <w:sz w:val="16"/>
          <w:vertAlign w:val="baseline"/>
        </w:rPr>
        <w:t> </w:t>
      </w:r>
      <w:r>
        <w:rPr>
          <w:sz w:val="16"/>
          <w:vertAlign w:val="baseline"/>
        </w:rPr>
        <w:t>Expediente</w:t>
      </w:r>
      <w:r>
        <w:rPr>
          <w:spacing w:val="-9"/>
          <w:sz w:val="16"/>
          <w:vertAlign w:val="baseline"/>
        </w:rPr>
        <w:t> </w:t>
      </w:r>
      <w:r>
        <w:rPr>
          <w:sz w:val="16"/>
          <w:vertAlign w:val="baseline"/>
        </w:rPr>
        <w:t>SG/DGCOM/RES-GRAV/002,</w:t>
      </w:r>
      <w:r>
        <w:rPr>
          <w:spacing w:val="-8"/>
          <w:sz w:val="16"/>
          <w:vertAlign w:val="baseline"/>
        </w:rPr>
        <w:t> </w:t>
      </w:r>
      <w:r>
        <w:rPr>
          <w:sz w:val="16"/>
          <w:vertAlign w:val="baseline"/>
        </w:rPr>
        <w:t>folio</w:t>
      </w:r>
      <w:r>
        <w:rPr>
          <w:spacing w:val="-7"/>
          <w:sz w:val="16"/>
          <w:vertAlign w:val="baseline"/>
        </w:rPr>
        <w:t> </w:t>
      </w:r>
      <w:r>
        <w:rPr>
          <w:spacing w:val="-2"/>
          <w:sz w:val="16"/>
          <w:vertAlign w:val="baseline"/>
        </w:rPr>
        <w:t>000358.</w:t>
      </w:r>
    </w:p>
    <w:p>
      <w:pPr>
        <w:spacing w:before="0"/>
        <w:ind w:left="568" w:right="955" w:firstLine="0"/>
        <w:jc w:val="left"/>
        <w:rPr>
          <w:sz w:val="16"/>
        </w:rPr>
      </w:pPr>
      <w:bookmarkStart w:name="_bookmark103" w:id="104"/>
      <w:bookmarkEnd w:id="104"/>
      <w:r>
        <w:rPr/>
      </w:r>
      <w:r>
        <w:rPr>
          <w:sz w:val="16"/>
          <w:vertAlign w:val="superscript"/>
        </w:rPr>
        <w:t>36</w:t>
      </w:r>
      <w:r>
        <w:rPr>
          <w:sz w:val="16"/>
          <w:vertAlign w:val="baseline"/>
        </w:rPr>
        <w:t> Tribunal de Justicia de la Comunidad Andina, Sentencia del 11 de diciembre de 1997. Proceso 1-AI-97, publicado en la Gaceta Oficial del Acuerdo de Cartagena N° 329 del 9 de marzo de 1998.</w:t>
      </w:r>
    </w:p>
    <w:p>
      <w:pPr>
        <w:spacing w:before="1"/>
        <w:ind w:left="568" w:right="955" w:firstLine="0"/>
        <w:jc w:val="left"/>
        <w:rPr>
          <w:sz w:val="16"/>
        </w:rPr>
      </w:pPr>
      <w:bookmarkStart w:name="_bookmark104" w:id="105"/>
      <w:bookmarkEnd w:id="105"/>
      <w:r>
        <w:rPr/>
      </w:r>
      <w:r>
        <w:rPr>
          <w:sz w:val="16"/>
          <w:vertAlign w:val="superscript"/>
        </w:rPr>
        <w:t>37</w:t>
      </w:r>
      <w:r>
        <w:rPr>
          <w:sz w:val="16"/>
          <w:vertAlign w:val="baseline"/>
        </w:rPr>
        <w:t> Proceso 12-AN-99, publicado en</w:t>
      </w:r>
      <w:r>
        <w:rPr>
          <w:spacing w:val="-2"/>
          <w:sz w:val="16"/>
          <w:vertAlign w:val="baseline"/>
        </w:rPr>
        <w:t> </w:t>
      </w:r>
      <w:r>
        <w:rPr>
          <w:sz w:val="16"/>
          <w:vertAlign w:val="baseline"/>
        </w:rPr>
        <w:t>la Gaceta Oficial del</w:t>
      </w:r>
      <w:r>
        <w:rPr>
          <w:spacing w:val="-1"/>
          <w:sz w:val="16"/>
          <w:vertAlign w:val="baseline"/>
        </w:rPr>
        <w:t> </w:t>
      </w:r>
      <w:r>
        <w:rPr>
          <w:sz w:val="16"/>
          <w:vertAlign w:val="baseline"/>
        </w:rPr>
        <w:t>Acuerdo de Cartagena N° 520 del 20 de diciembre de 1999. Acción de Nulidad</w:t>
      </w:r>
      <w:r>
        <w:rPr>
          <w:spacing w:val="-8"/>
          <w:sz w:val="16"/>
          <w:vertAlign w:val="baseline"/>
        </w:rPr>
        <w:t> </w:t>
      </w:r>
      <w:r>
        <w:rPr>
          <w:sz w:val="16"/>
          <w:vertAlign w:val="baseline"/>
        </w:rPr>
        <w:t>interpuesta</w:t>
      </w:r>
      <w:r>
        <w:rPr>
          <w:spacing w:val="-9"/>
          <w:sz w:val="16"/>
          <w:vertAlign w:val="baseline"/>
        </w:rPr>
        <w:t> </w:t>
      </w:r>
      <w:r>
        <w:rPr>
          <w:sz w:val="16"/>
          <w:vertAlign w:val="baseline"/>
        </w:rPr>
        <w:t>por</w:t>
      </w:r>
      <w:r>
        <w:rPr>
          <w:spacing w:val="-8"/>
          <w:sz w:val="16"/>
          <w:vertAlign w:val="baseline"/>
        </w:rPr>
        <w:t> </w:t>
      </w:r>
      <w:r>
        <w:rPr>
          <w:sz w:val="16"/>
          <w:vertAlign w:val="baseline"/>
        </w:rPr>
        <w:t>la</w:t>
      </w:r>
      <w:r>
        <w:rPr>
          <w:spacing w:val="-7"/>
          <w:sz w:val="16"/>
          <w:vertAlign w:val="baseline"/>
        </w:rPr>
        <w:t> </w:t>
      </w:r>
      <w:r>
        <w:rPr>
          <w:sz w:val="16"/>
          <w:vertAlign w:val="baseline"/>
        </w:rPr>
        <w:t>Corporación</w:t>
      </w:r>
      <w:r>
        <w:rPr>
          <w:spacing w:val="-9"/>
          <w:sz w:val="16"/>
          <w:vertAlign w:val="baseline"/>
        </w:rPr>
        <w:t> </w:t>
      </w:r>
      <w:r>
        <w:rPr>
          <w:sz w:val="16"/>
          <w:vertAlign w:val="baseline"/>
        </w:rPr>
        <w:t>de</w:t>
      </w:r>
      <w:r>
        <w:rPr>
          <w:spacing w:val="-7"/>
          <w:sz w:val="16"/>
          <w:vertAlign w:val="baseline"/>
        </w:rPr>
        <w:t> </w:t>
      </w:r>
      <w:r>
        <w:rPr>
          <w:sz w:val="16"/>
          <w:vertAlign w:val="baseline"/>
        </w:rPr>
        <w:t>Promoción</w:t>
      </w:r>
      <w:r>
        <w:rPr>
          <w:spacing w:val="-9"/>
          <w:sz w:val="16"/>
          <w:vertAlign w:val="baseline"/>
        </w:rPr>
        <w:t> </w:t>
      </w:r>
      <w:r>
        <w:rPr>
          <w:sz w:val="16"/>
          <w:vertAlign w:val="baseline"/>
        </w:rPr>
        <w:t>de</w:t>
      </w:r>
      <w:r>
        <w:rPr>
          <w:spacing w:val="-8"/>
          <w:sz w:val="16"/>
          <w:vertAlign w:val="baseline"/>
        </w:rPr>
        <w:t> </w:t>
      </w:r>
      <w:r>
        <w:rPr>
          <w:sz w:val="16"/>
          <w:vertAlign w:val="baseline"/>
        </w:rPr>
        <w:t>Exportaciones</w:t>
      </w:r>
      <w:r>
        <w:rPr>
          <w:spacing w:val="-7"/>
          <w:sz w:val="16"/>
          <w:vertAlign w:val="baseline"/>
        </w:rPr>
        <w:t> </w:t>
      </w:r>
      <w:r>
        <w:rPr>
          <w:sz w:val="16"/>
          <w:vertAlign w:val="baseline"/>
        </w:rPr>
        <w:t>e</w:t>
      </w:r>
      <w:r>
        <w:rPr>
          <w:spacing w:val="-7"/>
          <w:sz w:val="16"/>
          <w:vertAlign w:val="baseline"/>
        </w:rPr>
        <w:t> </w:t>
      </w:r>
      <w:r>
        <w:rPr>
          <w:sz w:val="16"/>
          <w:vertAlign w:val="baseline"/>
        </w:rPr>
        <w:t>Inversiones</w:t>
      </w:r>
      <w:r>
        <w:rPr>
          <w:spacing w:val="-7"/>
          <w:sz w:val="16"/>
          <w:vertAlign w:val="baseline"/>
        </w:rPr>
        <w:t> </w:t>
      </w:r>
      <w:r>
        <w:rPr>
          <w:sz w:val="16"/>
          <w:vertAlign w:val="baseline"/>
        </w:rPr>
        <w:t>(CORPEI)</w:t>
      </w:r>
      <w:r>
        <w:rPr>
          <w:spacing w:val="-7"/>
          <w:sz w:val="16"/>
          <w:vertAlign w:val="baseline"/>
        </w:rPr>
        <w:t> </w:t>
      </w:r>
      <w:r>
        <w:rPr>
          <w:sz w:val="16"/>
          <w:vertAlign w:val="baseline"/>
        </w:rPr>
        <w:t>contra</w:t>
      </w:r>
      <w:r>
        <w:rPr>
          <w:spacing w:val="-9"/>
          <w:sz w:val="16"/>
          <w:vertAlign w:val="baseline"/>
        </w:rPr>
        <w:t> </w:t>
      </w:r>
      <w:r>
        <w:rPr>
          <w:sz w:val="16"/>
          <w:vertAlign w:val="baseline"/>
        </w:rPr>
        <w:t>las</w:t>
      </w:r>
      <w:r>
        <w:rPr>
          <w:spacing w:val="-6"/>
          <w:sz w:val="16"/>
          <w:vertAlign w:val="baseline"/>
        </w:rPr>
        <w:t> </w:t>
      </w:r>
      <w:r>
        <w:rPr>
          <w:sz w:val="16"/>
          <w:vertAlign w:val="baseline"/>
        </w:rPr>
        <w:t>Resoluciones</w:t>
      </w:r>
      <w:r>
        <w:rPr>
          <w:spacing w:val="-7"/>
          <w:sz w:val="16"/>
          <w:vertAlign w:val="baseline"/>
        </w:rPr>
        <w:t> </w:t>
      </w:r>
      <w:r>
        <w:rPr>
          <w:sz w:val="16"/>
          <w:vertAlign w:val="baseline"/>
        </w:rPr>
        <w:t>N°</w:t>
      </w:r>
      <w:r>
        <w:rPr>
          <w:spacing w:val="-6"/>
          <w:sz w:val="16"/>
          <w:vertAlign w:val="baseline"/>
        </w:rPr>
        <w:t> </w:t>
      </w:r>
      <w:r>
        <w:rPr>
          <w:spacing w:val="-5"/>
          <w:sz w:val="16"/>
          <w:vertAlign w:val="baseline"/>
        </w:rPr>
        <w:t>139</w:t>
      </w:r>
    </w:p>
    <w:p>
      <w:pPr>
        <w:tabs>
          <w:tab w:pos="568" w:val="left" w:leader="none"/>
          <w:tab w:pos="9816" w:val="left" w:leader="none"/>
        </w:tabs>
        <w:spacing w:line="183" w:lineRule="exact" w:before="0"/>
        <w:ind w:left="160" w:right="0" w:firstLine="0"/>
        <w:jc w:val="left"/>
        <w:rPr>
          <w:sz w:val="16"/>
        </w:rPr>
      </w:pPr>
      <w:r>
        <w:rPr>
          <w:sz w:val="16"/>
          <w:u w:val="single"/>
        </w:rPr>
        <w:tab/>
        <w:t>del</w:t>
      </w:r>
      <w:r>
        <w:rPr>
          <w:spacing w:val="-5"/>
          <w:sz w:val="16"/>
          <w:u w:val="single"/>
        </w:rPr>
        <w:t> </w:t>
      </w:r>
      <w:r>
        <w:rPr>
          <w:sz w:val="16"/>
          <w:u w:val="single"/>
        </w:rPr>
        <w:t>14</w:t>
      </w:r>
      <w:r>
        <w:rPr>
          <w:spacing w:val="-3"/>
          <w:sz w:val="16"/>
          <w:u w:val="single"/>
        </w:rPr>
        <w:t> </w:t>
      </w:r>
      <w:r>
        <w:rPr>
          <w:sz w:val="16"/>
          <w:u w:val="single"/>
        </w:rPr>
        <w:t>de</w:t>
      </w:r>
      <w:r>
        <w:rPr>
          <w:spacing w:val="-3"/>
          <w:sz w:val="16"/>
          <w:u w:val="single"/>
        </w:rPr>
        <w:t> </w:t>
      </w:r>
      <w:r>
        <w:rPr>
          <w:sz w:val="16"/>
          <w:u w:val="single"/>
        </w:rPr>
        <w:t>octubre</w:t>
      </w:r>
      <w:r>
        <w:rPr>
          <w:spacing w:val="-3"/>
          <w:sz w:val="16"/>
          <w:u w:val="single"/>
        </w:rPr>
        <w:t> </w:t>
      </w:r>
      <w:r>
        <w:rPr>
          <w:sz w:val="16"/>
          <w:u w:val="single"/>
        </w:rPr>
        <w:t>de</w:t>
      </w:r>
      <w:r>
        <w:rPr>
          <w:spacing w:val="-6"/>
          <w:sz w:val="16"/>
          <w:u w:val="single"/>
        </w:rPr>
        <w:t> </w:t>
      </w:r>
      <w:r>
        <w:rPr>
          <w:sz w:val="16"/>
          <w:u w:val="single"/>
        </w:rPr>
        <w:t>1998</w:t>
      </w:r>
      <w:r>
        <w:rPr>
          <w:spacing w:val="-3"/>
          <w:sz w:val="16"/>
          <w:u w:val="single"/>
        </w:rPr>
        <w:t> </w:t>
      </w:r>
      <w:r>
        <w:rPr>
          <w:sz w:val="16"/>
          <w:u w:val="single"/>
        </w:rPr>
        <w:t>y</w:t>
      </w:r>
      <w:r>
        <w:rPr>
          <w:spacing w:val="-4"/>
          <w:sz w:val="16"/>
          <w:u w:val="single"/>
        </w:rPr>
        <w:t> </w:t>
      </w:r>
      <w:r>
        <w:rPr>
          <w:sz w:val="16"/>
          <w:u w:val="single"/>
        </w:rPr>
        <w:t>N°</w:t>
      </w:r>
      <w:r>
        <w:rPr>
          <w:spacing w:val="-4"/>
          <w:sz w:val="16"/>
          <w:u w:val="single"/>
        </w:rPr>
        <w:t> </w:t>
      </w:r>
      <w:r>
        <w:rPr>
          <w:sz w:val="16"/>
          <w:u w:val="single"/>
        </w:rPr>
        <w:t>179</w:t>
      </w:r>
      <w:r>
        <w:rPr>
          <w:spacing w:val="-3"/>
          <w:sz w:val="16"/>
          <w:u w:val="single"/>
        </w:rPr>
        <w:t> </w:t>
      </w:r>
      <w:r>
        <w:rPr>
          <w:sz w:val="16"/>
          <w:u w:val="single"/>
        </w:rPr>
        <w:t>del</w:t>
      </w:r>
      <w:r>
        <w:rPr>
          <w:spacing w:val="-2"/>
          <w:sz w:val="16"/>
          <w:u w:val="single"/>
        </w:rPr>
        <w:t> </w:t>
      </w:r>
      <w:r>
        <w:rPr>
          <w:sz w:val="16"/>
          <w:u w:val="single"/>
        </w:rPr>
        <w:t>14</w:t>
      </w:r>
      <w:r>
        <w:rPr>
          <w:spacing w:val="-3"/>
          <w:sz w:val="16"/>
          <w:u w:val="single"/>
        </w:rPr>
        <w:t> </w:t>
      </w:r>
      <w:r>
        <w:rPr>
          <w:sz w:val="16"/>
          <w:u w:val="single"/>
        </w:rPr>
        <w:t>de</w:t>
      </w:r>
      <w:r>
        <w:rPr>
          <w:spacing w:val="-6"/>
          <w:sz w:val="16"/>
          <w:u w:val="single"/>
        </w:rPr>
        <w:t> </w:t>
      </w:r>
      <w:r>
        <w:rPr>
          <w:sz w:val="16"/>
          <w:u w:val="single"/>
        </w:rPr>
        <w:t>enero</w:t>
      </w:r>
      <w:r>
        <w:rPr>
          <w:spacing w:val="-3"/>
          <w:sz w:val="16"/>
          <w:u w:val="single"/>
        </w:rPr>
        <w:t> </w:t>
      </w:r>
      <w:r>
        <w:rPr>
          <w:sz w:val="16"/>
          <w:u w:val="single"/>
        </w:rPr>
        <w:t>de</w:t>
      </w:r>
      <w:r>
        <w:rPr>
          <w:spacing w:val="-4"/>
          <w:sz w:val="16"/>
          <w:u w:val="single"/>
        </w:rPr>
        <w:t> </w:t>
      </w:r>
      <w:r>
        <w:rPr>
          <w:sz w:val="16"/>
          <w:u w:val="single"/>
        </w:rPr>
        <w:t>1999,</w:t>
      </w:r>
      <w:r>
        <w:rPr>
          <w:spacing w:val="-2"/>
          <w:sz w:val="16"/>
          <w:u w:val="single"/>
        </w:rPr>
        <w:t> </w:t>
      </w:r>
      <w:r>
        <w:rPr>
          <w:sz w:val="16"/>
          <w:u w:val="single"/>
        </w:rPr>
        <w:t>expedidas</w:t>
      </w:r>
      <w:r>
        <w:rPr>
          <w:spacing w:val="-1"/>
          <w:sz w:val="16"/>
          <w:u w:val="single"/>
        </w:rPr>
        <w:t> </w:t>
      </w:r>
      <w:r>
        <w:rPr>
          <w:sz w:val="16"/>
          <w:u w:val="single"/>
        </w:rPr>
        <w:t>por</w:t>
      </w:r>
      <w:r>
        <w:rPr>
          <w:spacing w:val="-3"/>
          <w:sz w:val="16"/>
          <w:u w:val="single"/>
        </w:rPr>
        <w:t> </w:t>
      </w:r>
      <w:r>
        <w:rPr>
          <w:sz w:val="16"/>
          <w:u w:val="single"/>
        </w:rPr>
        <w:t>la</w:t>
      </w:r>
      <w:r>
        <w:rPr>
          <w:spacing w:val="-5"/>
          <w:sz w:val="16"/>
          <w:u w:val="single"/>
        </w:rPr>
        <w:t> </w:t>
      </w:r>
      <w:r>
        <w:rPr>
          <w:sz w:val="16"/>
          <w:u w:val="single"/>
        </w:rPr>
        <w:t>Secretaría</w:t>
      </w:r>
      <w:r>
        <w:rPr>
          <w:spacing w:val="-6"/>
          <w:sz w:val="16"/>
          <w:u w:val="single"/>
        </w:rPr>
        <w:t> </w:t>
      </w:r>
      <w:r>
        <w:rPr>
          <w:sz w:val="16"/>
          <w:u w:val="single"/>
        </w:rPr>
        <w:t>General</w:t>
      </w:r>
      <w:r>
        <w:rPr>
          <w:spacing w:val="-2"/>
          <w:sz w:val="16"/>
          <w:u w:val="single"/>
        </w:rPr>
        <w:t> </w:t>
      </w:r>
      <w:r>
        <w:rPr>
          <w:sz w:val="16"/>
          <w:u w:val="single"/>
        </w:rPr>
        <w:t>de</w:t>
      </w:r>
      <w:r>
        <w:rPr>
          <w:spacing w:val="-3"/>
          <w:sz w:val="16"/>
          <w:u w:val="single"/>
        </w:rPr>
        <w:t> </w:t>
      </w:r>
      <w:r>
        <w:rPr>
          <w:sz w:val="16"/>
          <w:u w:val="single"/>
        </w:rPr>
        <w:t>la</w:t>
      </w:r>
      <w:r>
        <w:rPr>
          <w:spacing w:val="-3"/>
          <w:sz w:val="16"/>
          <w:u w:val="single"/>
        </w:rPr>
        <w:t> </w:t>
      </w:r>
      <w:r>
        <w:rPr>
          <w:sz w:val="16"/>
          <w:u w:val="single"/>
        </w:rPr>
        <w:t>Comunidad</w:t>
      </w:r>
      <w:r>
        <w:rPr>
          <w:spacing w:val="-3"/>
          <w:sz w:val="16"/>
          <w:u w:val="single"/>
        </w:rPr>
        <w:t> </w:t>
      </w:r>
      <w:r>
        <w:rPr>
          <w:spacing w:val="-2"/>
          <w:sz w:val="16"/>
          <w:u w:val="single"/>
        </w:rPr>
        <w:t>Andina.</w:t>
      </w:r>
      <w:r>
        <w:rPr>
          <w:sz w:val="16"/>
          <w:u w:val="single"/>
        </w:rPr>
        <w:tab/>
      </w:r>
    </w:p>
    <w:p>
      <w:pPr>
        <w:spacing w:after="0" w:line="183" w:lineRule="exact"/>
        <w:jc w:val="left"/>
        <w:rPr>
          <w:sz w:val="16"/>
        </w:rPr>
        <w:sectPr>
          <w:pgSz w:w="11900" w:h="16850"/>
          <w:pgMar w:header="370" w:footer="597" w:top="1380" w:bottom="780" w:left="992" w:right="283"/>
        </w:sectPr>
      </w:pPr>
    </w:p>
    <w:p>
      <w:pPr>
        <w:pStyle w:val="BodyText"/>
        <w:spacing w:before="152"/>
        <w:rPr>
          <w:sz w:val="24"/>
        </w:rPr>
      </w:pPr>
    </w:p>
    <w:p>
      <w:pPr>
        <w:pStyle w:val="Heading4"/>
        <w:ind w:left="1562"/>
      </w:pPr>
      <w:r>
        <w:rPr>
          <w:i w:val="0"/>
        </w:rPr>
        <w:t>“</w:t>
      </w:r>
      <w:r>
        <w:rPr/>
        <w:t>Lo primero que debe destacar El Tribunal, en cuanto a la definición del concepto de</w:t>
      </w:r>
      <w:r>
        <w:rPr>
          <w:spacing w:val="-3"/>
        </w:rPr>
        <w:t> </w:t>
      </w:r>
      <w:r>
        <w:rPr/>
        <w:t>gravamen</w:t>
      </w:r>
      <w:r>
        <w:rPr>
          <w:spacing w:val="-2"/>
        </w:rPr>
        <w:t> </w:t>
      </w:r>
      <w:r>
        <w:rPr/>
        <w:t>que</w:t>
      </w:r>
      <w:r>
        <w:rPr>
          <w:spacing w:val="-3"/>
        </w:rPr>
        <w:t> </w:t>
      </w:r>
      <w:r>
        <w:rPr/>
        <w:t>hace</w:t>
      </w:r>
      <w:r>
        <w:rPr>
          <w:spacing w:val="-3"/>
        </w:rPr>
        <w:t> </w:t>
      </w:r>
      <w:r>
        <w:rPr/>
        <w:t>la norma</w:t>
      </w:r>
      <w:r>
        <w:rPr>
          <w:spacing w:val="-2"/>
        </w:rPr>
        <w:t> </w:t>
      </w:r>
      <w:r>
        <w:rPr/>
        <w:t>comunitaria,</w:t>
      </w:r>
      <w:r>
        <w:rPr>
          <w:spacing w:val="-2"/>
        </w:rPr>
        <w:t> </w:t>
      </w:r>
      <w:r>
        <w:rPr/>
        <w:t>es</w:t>
      </w:r>
      <w:r>
        <w:rPr>
          <w:spacing w:val="-3"/>
        </w:rPr>
        <w:t> </w:t>
      </w:r>
      <w:r>
        <w:rPr/>
        <w:t>que</w:t>
      </w:r>
      <w:r>
        <w:rPr>
          <w:spacing w:val="-3"/>
        </w:rPr>
        <w:t> </w:t>
      </w:r>
      <w:r>
        <w:rPr/>
        <w:t>ella</w:t>
      </w:r>
      <w:r>
        <w:rPr>
          <w:spacing w:val="-2"/>
        </w:rPr>
        <w:t> </w:t>
      </w:r>
      <w:r>
        <w:rPr/>
        <w:t>no corresponde</w:t>
      </w:r>
      <w:r>
        <w:rPr>
          <w:spacing w:val="-3"/>
        </w:rPr>
        <w:t> </w:t>
      </w:r>
      <w:r>
        <w:rPr/>
        <w:t>al</w:t>
      </w:r>
      <w:r>
        <w:rPr>
          <w:spacing w:val="-2"/>
        </w:rPr>
        <w:t> </w:t>
      </w:r>
      <w:r>
        <w:rPr/>
        <w:t>criterio técnico tributario que lo restringe al campo de los impuestos, sino que cubre una generalidad de situaciones y dominios que trascienden el ámbito de la tributación, para cobijar bajo su manto </w:t>
      </w:r>
      <w:r>
        <w:rPr>
          <w:u w:val="single"/>
        </w:rPr>
        <w:t>todas aquellas situaciones con las cuales se pretenda</w:t>
      </w:r>
      <w:r>
        <w:rPr/>
        <w:t> </w:t>
      </w:r>
      <w:r>
        <w:rPr>
          <w:u w:val="single"/>
        </w:rPr>
        <w:t>recargar el valor de las importaciones que, por estar realizándose dentro de una</w:t>
      </w:r>
      <w:r>
        <w:rPr/>
        <w:t> </w:t>
      </w:r>
      <w:r>
        <w:rPr>
          <w:u w:val="single"/>
        </w:rPr>
        <w:t>zona de libre comercio, no deben gravarse con suma alguna derivada del hecho</w:t>
      </w:r>
      <w:r>
        <w:rPr/>
        <w:t> </w:t>
      </w:r>
      <w:r>
        <w:rPr>
          <w:u w:val="single"/>
        </w:rPr>
        <w:t>mismo de la importación, a no ser que se trate del cobro de los servicios que,</w:t>
      </w:r>
      <w:r>
        <w:rPr/>
        <w:t> </w:t>
      </w:r>
      <w:r>
        <w:rPr>
          <w:u w:val="single"/>
        </w:rPr>
        <w:t>directamente relacionados con tal hecho, deba sufragar el importador como</w:t>
      </w:r>
      <w:r>
        <w:rPr/>
        <w:t> </w:t>
      </w:r>
      <w:r>
        <w:rPr>
          <w:u w:val="single"/>
        </w:rPr>
        <w:t>contraprestación por tales servicios, generalmente constituidos por operaciones de</w:t>
      </w:r>
      <w:r>
        <w:rPr/>
        <w:t> </w:t>
      </w:r>
      <w:r>
        <w:rPr>
          <w:u w:val="single"/>
        </w:rPr>
        <w:t>descargue,</w:t>
      </w:r>
      <w:r>
        <w:rPr>
          <w:spacing w:val="-6"/>
          <w:u w:val="single"/>
        </w:rPr>
        <w:t> </w:t>
      </w:r>
      <w:r>
        <w:rPr>
          <w:u w:val="single"/>
        </w:rPr>
        <w:t>estiba</w:t>
      </w:r>
      <w:r>
        <w:rPr>
          <w:spacing w:val="-8"/>
          <w:u w:val="single"/>
        </w:rPr>
        <w:t> </w:t>
      </w:r>
      <w:r>
        <w:rPr>
          <w:u w:val="single"/>
        </w:rPr>
        <w:t>y</w:t>
      </w:r>
      <w:r>
        <w:rPr>
          <w:spacing w:val="-9"/>
          <w:u w:val="single"/>
        </w:rPr>
        <w:t> </w:t>
      </w:r>
      <w:r>
        <w:rPr>
          <w:u w:val="single"/>
        </w:rPr>
        <w:t>desestiba,</w:t>
      </w:r>
      <w:r>
        <w:rPr>
          <w:spacing w:val="-8"/>
          <w:u w:val="single"/>
        </w:rPr>
        <w:t> </w:t>
      </w:r>
      <w:r>
        <w:rPr>
          <w:u w:val="single"/>
        </w:rPr>
        <w:t>utilización</w:t>
      </w:r>
      <w:r>
        <w:rPr>
          <w:spacing w:val="-8"/>
          <w:u w:val="single"/>
        </w:rPr>
        <w:t> </w:t>
      </w:r>
      <w:r>
        <w:rPr>
          <w:u w:val="single"/>
        </w:rPr>
        <w:t>de</w:t>
      </w:r>
      <w:r>
        <w:rPr>
          <w:spacing w:val="-9"/>
          <w:u w:val="single"/>
        </w:rPr>
        <w:t> </w:t>
      </w:r>
      <w:r>
        <w:rPr>
          <w:u w:val="single"/>
        </w:rPr>
        <w:t>puertos</w:t>
      </w:r>
      <w:r>
        <w:rPr>
          <w:spacing w:val="-8"/>
          <w:u w:val="single"/>
        </w:rPr>
        <w:t> </w:t>
      </w:r>
      <w:r>
        <w:rPr>
          <w:u w:val="single"/>
        </w:rPr>
        <w:t>y</w:t>
      </w:r>
      <w:r>
        <w:rPr>
          <w:spacing w:val="-9"/>
          <w:u w:val="single"/>
        </w:rPr>
        <w:t> </w:t>
      </w:r>
      <w:r>
        <w:rPr>
          <w:u w:val="single"/>
        </w:rPr>
        <w:t>hangares,</w:t>
      </w:r>
      <w:r>
        <w:rPr>
          <w:spacing w:val="-6"/>
          <w:u w:val="single"/>
        </w:rPr>
        <w:t> </w:t>
      </w:r>
      <w:r>
        <w:rPr>
          <w:u w:val="single"/>
        </w:rPr>
        <w:t>bodegajes,</w:t>
      </w:r>
      <w:r>
        <w:rPr>
          <w:spacing w:val="-8"/>
          <w:u w:val="single"/>
        </w:rPr>
        <w:t> </w:t>
      </w:r>
      <w:r>
        <w:rPr>
          <w:u w:val="single"/>
        </w:rPr>
        <w:t>trámites</w:t>
      </w:r>
      <w:r>
        <w:rPr/>
        <w:t> </w:t>
      </w:r>
      <w:r>
        <w:rPr>
          <w:u w:val="single"/>
        </w:rPr>
        <w:t>concernientes al levante de las mercancías y demás usuales dentro del comercio</w:t>
      </w:r>
      <w:r>
        <w:rPr/>
        <w:t> </w:t>
      </w:r>
      <w:r>
        <w:rPr>
          <w:u w:val="single"/>
        </w:rPr>
        <w:t>internacional de bienes</w:t>
      </w:r>
      <w:r>
        <w:rPr/>
        <w:t>.</w:t>
      </w:r>
    </w:p>
    <w:p>
      <w:pPr>
        <w:pStyle w:val="BodyText"/>
        <w:rPr>
          <w:rFonts w:ascii="Times New Roman"/>
          <w:i/>
        </w:rPr>
      </w:pPr>
    </w:p>
    <w:p>
      <w:pPr>
        <w:pStyle w:val="BodyText"/>
        <w:rPr>
          <w:rFonts w:ascii="Times New Roman"/>
          <w:i/>
        </w:rPr>
      </w:pPr>
    </w:p>
    <w:p>
      <w:pPr>
        <w:pStyle w:val="BodyText"/>
        <w:spacing w:before="78"/>
        <w:rPr>
          <w:rFonts w:ascii="Times New Roman"/>
          <w:i/>
        </w:rPr>
      </w:pPr>
    </w:p>
    <w:p>
      <w:pPr>
        <w:spacing w:before="0"/>
        <w:ind w:left="1562" w:right="982" w:firstLine="0"/>
        <w:jc w:val="both"/>
        <w:rPr>
          <w:rFonts w:ascii="Arial" w:hAnsi="Arial"/>
          <w:i/>
          <w:sz w:val="22"/>
        </w:rPr>
      </w:pPr>
      <w:r>
        <w:rPr>
          <w:rFonts w:ascii="Arial" w:hAnsi="Arial"/>
          <w:i/>
          <w:sz w:val="22"/>
          <w:u w:val="single"/>
        </w:rPr>
        <w:t>Nótese cómo la definición legal no restringe el concepto de gravámenes a los</w:t>
      </w:r>
      <w:r>
        <w:rPr>
          <w:rFonts w:ascii="Arial" w:hAnsi="Arial"/>
          <w:i/>
          <w:sz w:val="22"/>
        </w:rPr>
        <w:t> </w:t>
      </w:r>
      <w:r>
        <w:rPr>
          <w:rFonts w:ascii="Arial" w:hAnsi="Arial"/>
          <w:i/>
          <w:sz w:val="22"/>
          <w:u w:val="single"/>
        </w:rPr>
        <w:t>derechos aduaneros sino que lo amplía, de una manera bien generosa, a</w:t>
      </w:r>
      <w:r>
        <w:rPr>
          <w:rFonts w:ascii="Arial" w:hAnsi="Arial"/>
          <w:i/>
          <w:sz w:val="22"/>
        </w:rPr>
        <w:t> </w:t>
      </w:r>
      <w:r>
        <w:rPr>
          <w:rFonts w:ascii="Arial" w:hAnsi="Arial"/>
          <w:i/>
          <w:sz w:val="22"/>
          <w:u w:val="single"/>
        </w:rPr>
        <w:t>“cualesquier otros recargos de efectos equivalentes”, sin importar que tales</w:t>
      </w:r>
      <w:r>
        <w:rPr>
          <w:rFonts w:ascii="Arial" w:hAnsi="Arial"/>
          <w:i/>
          <w:sz w:val="22"/>
        </w:rPr>
        <w:t> </w:t>
      </w:r>
      <w:r>
        <w:rPr>
          <w:rFonts w:ascii="Arial" w:hAnsi="Arial"/>
          <w:i/>
          <w:sz w:val="22"/>
          <w:u w:val="single"/>
        </w:rPr>
        <w:t>recargos</w:t>
      </w:r>
      <w:r>
        <w:rPr>
          <w:rFonts w:ascii="Arial" w:hAnsi="Arial"/>
          <w:i/>
          <w:spacing w:val="-14"/>
          <w:sz w:val="22"/>
          <w:u w:val="single"/>
        </w:rPr>
        <w:t> </w:t>
      </w:r>
      <w:r>
        <w:rPr>
          <w:rFonts w:ascii="Arial" w:hAnsi="Arial"/>
          <w:i/>
          <w:sz w:val="22"/>
          <w:u w:val="single"/>
        </w:rPr>
        <w:t>tengan</w:t>
      </w:r>
      <w:r>
        <w:rPr>
          <w:rFonts w:ascii="Arial" w:hAnsi="Arial"/>
          <w:i/>
          <w:spacing w:val="-15"/>
          <w:sz w:val="22"/>
          <w:u w:val="single"/>
        </w:rPr>
        <w:t> </w:t>
      </w:r>
      <w:r>
        <w:rPr>
          <w:rFonts w:ascii="Arial" w:hAnsi="Arial"/>
          <w:i/>
          <w:sz w:val="22"/>
          <w:u w:val="single"/>
        </w:rPr>
        <w:t>tal</w:t>
      </w:r>
      <w:r>
        <w:rPr>
          <w:rFonts w:ascii="Arial" w:hAnsi="Arial"/>
          <w:i/>
          <w:spacing w:val="-13"/>
          <w:sz w:val="22"/>
          <w:u w:val="single"/>
        </w:rPr>
        <w:t> </w:t>
      </w:r>
      <w:r>
        <w:rPr>
          <w:rFonts w:ascii="Arial" w:hAnsi="Arial"/>
          <w:i/>
          <w:sz w:val="22"/>
          <w:u w:val="single"/>
        </w:rPr>
        <w:t>o</w:t>
      </w:r>
      <w:r>
        <w:rPr>
          <w:rFonts w:ascii="Arial" w:hAnsi="Arial"/>
          <w:i/>
          <w:spacing w:val="-12"/>
          <w:sz w:val="22"/>
          <w:u w:val="single"/>
        </w:rPr>
        <w:t> </w:t>
      </w:r>
      <w:r>
        <w:rPr>
          <w:rFonts w:ascii="Arial" w:hAnsi="Arial"/>
          <w:i/>
          <w:sz w:val="22"/>
          <w:u w:val="single"/>
        </w:rPr>
        <w:t>cual</w:t>
      </w:r>
      <w:r>
        <w:rPr>
          <w:rFonts w:ascii="Arial" w:hAnsi="Arial"/>
          <w:i/>
          <w:spacing w:val="-13"/>
          <w:sz w:val="22"/>
          <w:u w:val="single"/>
        </w:rPr>
        <w:t> </w:t>
      </w:r>
      <w:r>
        <w:rPr>
          <w:rFonts w:ascii="Arial" w:hAnsi="Arial"/>
          <w:i/>
          <w:sz w:val="22"/>
          <w:u w:val="single"/>
        </w:rPr>
        <w:t>denominación,</w:t>
      </w:r>
      <w:r>
        <w:rPr>
          <w:rFonts w:ascii="Arial" w:hAnsi="Arial"/>
          <w:i/>
          <w:spacing w:val="-11"/>
          <w:sz w:val="22"/>
          <w:u w:val="single"/>
        </w:rPr>
        <w:t> </w:t>
      </w:r>
      <w:r>
        <w:rPr>
          <w:rFonts w:ascii="Arial" w:hAnsi="Arial"/>
          <w:i/>
          <w:sz w:val="22"/>
          <w:u w:val="single"/>
        </w:rPr>
        <w:t>ni</w:t>
      </w:r>
      <w:r>
        <w:rPr>
          <w:rFonts w:ascii="Arial" w:hAnsi="Arial"/>
          <w:i/>
          <w:spacing w:val="-13"/>
          <w:sz w:val="22"/>
          <w:u w:val="single"/>
        </w:rPr>
        <w:t> </w:t>
      </w:r>
      <w:r>
        <w:rPr>
          <w:rFonts w:ascii="Arial" w:hAnsi="Arial"/>
          <w:i/>
          <w:sz w:val="22"/>
          <w:u w:val="single"/>
        </w:rPr>
        <w:t>tampoco</w:t>
      </w:r>
      <w:r>
        <w:rPr>
          <w:rFonts w:ascii="Arial" w:hAnsi="Arial"/>
          <w:i/>
          <w:spacing w:val="-12"/>
          <w:sz w:val="22"/>
          <w:u w:val="single"/>
        </w:rPr>
        <w:t> </w:t>
      </w:r>
      <w:r>
        <w:rPr>
          <w:rFonts w:ascii="Arial" w:hAnsi="Arial"/>
          <w:i/>
          <w:sz w:val="22"/>
          <w:u w:val="single"/>
        </w:rPr>
        <w:t>su</w:t>
      </w:r>
      <w:r>
        <w:rPr>
          <w:rFonts w:ascii="Arial" w:hAnsi="Arial"/>
          <w:i/>
          <w:spacing w:val="-12"/>
          <w:sz w:val="22"/>
          <w:u w:val="single"/>
        </w:rPr>
        <w:t> </w:t>
      </w:r>
      <w:r>
        <w:rPr>
          <w:rFonts w:ascii="Arial" w:hAnsi="Arial"/>
          <w:i/>
          <w:sz w:val="22"/>
          <w:u w:val="single"/>
        </w:rPr>
        <w:t>naturaleza,</w:t>
      </w:r>
      <w:r>
        <w:rPr>
          <w:rFonts w:ascii="Arial" w:hAnsi="Arial"/>
          <w:i/>
          <w:spacing w:val="-11"/>
          <w:sz w:val="22"/>
          <w:u w:val="single"/>
        </w:rPr>
        <w:t> </w:t>
      </w:r>
      <w:r>
        <w:rPr>
          <w:rFonts w:ascii="Arial" w:hAnsi="Arial"/>
          <w:i/>
          <w:sz w:val="22"/>
          <w:u w:val="single"/>
        </w:rPr>
        <w:t>que</w:t>
      </w:r>
      <w:r>
        <w:rPr>
          <w:rFonts w:ascii="Arial" w:hAnsi="Arial"/>
          <w:i/>
          <w:spacing w:val="-12"/>
          <w:sz w:val="22"/>
          <w:u w:val="single"/>
        </w:rPr>
        <w:t> </w:t>
      </w:r>
      <w:r>
        <w:rPr>
          <w:rFonts w:ascii="Arial" w:hAnsi="Arial"/>
          <w:i/>
          <w:sz w:val="22"/>
          <w:u w:val="single"/>
        </w:rPr>
        <w:t>bien</w:t>
      </w:r>
      <w:r>
        <w:rPr>
          <w:rFonts w:ascii="Arial" w:hAnsi="Arial"/>
          <w:i/>
          <w:spacing w:val="-12"/>
          <w:sz w:val="22"/>
          <w:u w:val="single"/>
        </w:rPr>
        <w:t> </w:t>
      </w:r>
      <w:r>
        <w:rPr>
          <w:rFonts w:ascii="Arial" w:hAnsi="Arial"/>
          <w:i/>
          <w:sz w:val="22"/>
          <w:u w:val="single"/>
        </w:rPr>
        <w:t>puede</w:t>
      </w:r>
      <w:r>
        <w:rPr>
          <w:rFonts w:ascii="Arial" w:hAnsi="Arial"/>
          <w:i/>
          <w:sz w:val="22"/>
        </w:rPr>
        <w:t> </w:t>
      </w:r>
      <w:r>
        <w:rPr>
          <w:rFonts w:ascii="Arial" w:hAnsi="Arial"/>
          <w:i/>
          <w:sz w:val="22"/>
          <w:u w:val="single"/>
        </w:rPr>
        <w:t>ser de carácter fiscal, de carácter monetario o de carácter cambiario y cuyo único</w:t>
      </w:r>
      <w:r>
        <w:rPr>
          <w:rFonts w:ascii="Arial" w:hAnsi="Arial"/>
          <w:i/>
          <w:sz w:val="22"/>
        </w:rPr>
        <w:t> </w:t>
      </w:r>
      <w:r>
        <w:rPr>
          <w:rFonts w:ascii="Arial" w:hAnsi="Arial"/>
          <w:i/>
          <w:sz w:val="22"/>
          <w:u w:val="single"/>
        </w:rPr>
        <w:t>condicionante es que incidan sobre las importaciones, encareciéndolas o</w:t>
      </w:r>
      <w:r>
        <w:rPr>
          <w:rFonts w:ascii="Arial" w:hAnsi="Arial"/>
          <w:i/>
          <w:sz w:val="22"/>
        </w:rPr>
        <w:t> </w:t>
      </w:r>
      <w:r>
        <w:rPr>
          <w:rFonts w:ascii="Arial" w:hAnsi="Arial"/>
          <w:i/>
          <w:spacing w:val="-2"/>
          <w:sz w:val="22"/>
          <w:u w:val="single"/>
        </w:rPr>
        <w:t>dificultándolas</w:t>
      </w:r>
    </w:p>
    <w:p>
      <w:pPr>
        <w:spacing w:before="1"/>
        <w:ind w:left="1562" w:right="0" w:firstLine="0"/>
        <w:jc w:val="left"/>
        <w:rPr>
          <w:rFonts w:ascii="Arial" w:hAnsi="Arial"/>
          <w:i/>
          <w:sz w:val="22"/>
        </w:rPr>
      </w:pPr>
      <w:r>
        <w:rPr>
          <w:rFonts w:ascii="Arial" w:hAnsi="Arial"/>
          <w:i/>
          <w:spacing w:val="-5"/>
          <w:sz w:val="22"/>
        </w:rPr>
        <w:t>(…)</w:t>
      </w:r>
    </w:p>
    <w:p>
      <w:pPr>
        <w:spacing w:before="2"/>
        <w:ind w:left="1562" w:right="977" w:firstLine="0"/>
        <w:jc w:val="both"/>
        <w:rPr>
          <w:sz w:val="22"/>
        </w:rPr>
      </w:pPr>
      <w:r>
        <w:rPr>
          <w:rFonts w:ascii="Arial" w:hAnsi="Arial"/>
          <w:i/>
          <w:sz w:val="22"/>
          <w:u w:val="single"/>
        </w:rPr>
        <w:t>Es perfectamente entendible para El Tribunal el empeño del legislador andino en</w:t>
      </w:r>
      <w:r>
        <w:rPr>
          <w:rFonts w:ascii="Arial" w:hAnsi="Arial"/>
          <w:i/>
          <w:sz w:val="22"/>
        </w:rPr>
        <w:t> </w:t>
      </w:r>
      <w:r>
        <w:rPr>
          <w:rFonts w:ascii="Arial" w:hAnsi="Arial"/>
          <w:i/>
          <w:sz w:val="22"/>
          <w:u w:val="single"/>
        </w:rPr>
        <w:t>prevenir cualquier intento de desviación</w:t>
      </w:r>
      <w:r>
        <w:rPr>
          <w:rFonts w:ascii="Arial" w:hAnsi="Arial"/>
          <w:i/>
          <w:sz w:val="22"/>
        </w:rPr>
        <w:t>, que utilizando la vía de los recargos monetarios,</w:t>
      </w:r>
      <w:r>
        <w:rPr>
          <w:rFonts w:ascii="Arial" w:hAnsi="Arial"/>
          <w:i/>
          <w:spacing w:val="-7"/>
          <w:sz w:val="22"/>
        </w:rPr>
        <w:t> </w:t>
      </w:r>
      <w:r>
        <w:rPr>
          <w:rFonts w:ascii="Arial" w:hAnsi="Arial"/>
          <w:i/>
          <w:sz w:val="22"/>
        </w:rPr>
        <w:t>cualquiera</w:t>
      </w:r>
      <w:r>
        <w:rPr>
          <w:rFonts w:ascii="Arial" w:hAnsi="Arial"/>
          <w:i/>
          <w:spacing w:val="-8"/>
          <w:sz w:val="22"/>
        </w:rPr>
        <w:t> </w:t>
      </w:r>
      <w:r>
        <w:rPr>
          <w:rFonts w:ascii="Arial" w:hAnsi="Arial"/>
          <w:i/>
          <w:sz w:val="22"/>
        </w:rPr>
        <w:t>fuere</w:t>
      </w:r>
      <w:r>
        <w:rPr>
          <w:rFonts w:ascii="Arial" w:hAnsi="Arial"/>
          <w:i/>
          <w:spacing w:val="-6"/>
          <w:sz w:val="22"/>
        </w:rPr>
        <w:t> </w:t>
      </w:r>
      <w:r>
        <w:rPr>
          <w:rFonts w:ascii="Arial" w:hAnsi="Arial"/>
          <w:i/>
          <w:sz w:val="22"/>
        </w:rPr>
        <w:t>su</w:t>
      </w:r>
      <w:r>
        <w:rPr>
          <w:rFonts w:ascii="Arial" w:hAnsi="Arial"/>
          <w:i/>
          <w:spacing w:val="-8"/>
          <w:sz w:val="22"/>
        </w:rPr>
        <w:t> </w:t>
      </w:r>
      <w:r>
        <w:rPr>
          <w:rFonts w:ascii="Arial" w:hAnsi="Arial"/>
          <w:i/>
          <w:sz w:val="22"/>
        </w:rPr>
        <w:t>naturaleza,</w:t>
      </w:r>
      <w:r>
        <w:rPr>
          <w:rFonts w:ascii="Arial" w:hAnsi="Arial"/>
          <w:i/>
          <w:spacing w:val="-7"/>
          <w:sz w:val="22"/>
        </w:rPr>
        <w:t> </w:t>
      </w:r>
      <w:r>
        <w:rPr>
          <w:rFonts w:ascii="Arial" w:hAnsi="Arial"/>
          <w:i/>
          <w:sz w:val="22"/>
        </w:rPr>
        <w:t>su</w:t>
      </w:r>
      <w:r>
        <w:rPr>
          <w:rFonts w:ascii="Arial" w:hAnsi="Arial"/>
          <w:i/>
          <w:spacing w:val="-6"/>
          <w:sz w:val="22"/>
        </w:rPr>
        <w:t> </w:t>
      </w:r>
      <w:r>
        <w:rPr>
          <w:rFonts w:ascii="Arial" w:hAnsi="Arial"/>
          <w:i/>
          <w:sz w:val="22"/>
        </w:rPr>
        <w:t>propósito</w:t>
      </w:r>
      <w:r>
        <w:rPr>
          <w:rFonts w:ascii="Arial" w:hAnsi="Arial"/>
          <w:i/>
          <w:spacing w:val="-6"/>
          <w:sz w:val="22"/>
        </w:rPr>
        <w:t> </w:t>
      </w:r>
      <w:r>
        <w:rPr>
          <w:rFonts w:ascii="Arial" w:hAnsi="Arial"/>
          <w:i/>
          <w:sz w:val="22"/>
        </w:rPr>
        <w:t>y</w:t>
      </w:r>
      <w:r>
        <w:rPr>
          <w:rFonts w:ascii="Arial" w:hAnsi="Arial"/>
          <w:i/>
          <w:spacing w:val="-8"/>
          <w:sz w:val="22"/>
        </w:rPr>
        <w:t> </w:t>
      </w:r>
      <w:r>
        <w:rPr>
          <w:rFonts w:ascii="Arial" w:hAnsi="Arial"/>
          <w:i/>
          <w:sz w:val="22"/>
        </w:rPr>
        <w:t>su</w:t>
      </w:r>
      <w:r>
        <w:rPr>
          <w:rFonts w:ascii="Arial" w:hAnsi="Arial"/>
          <w:i/>
          <w:spacing w:val="-8"/>
          <w:sz w:val="22"/>
        </w:rPr>
        <w:t> </w:t>
      </w:r>
      <w:r>
        <w:rPr>
          <w:rFonts w:ascii="Arial" w:hAnsi="Arial"/>
          <w:i/>
          <w:sz w:val="22"/>
        </w:rPr>
        <w:t>destinación,</w:t>
      </w:r>
      <w:r>
        <w:rPr>
          <w:rFonts w:ascii="Arial" w:hAnsi="Arial"/>
          <w:i/>
          <w:spacing w:val="-4"/>
          <w:sz w:val="22"/>
        </w:rPr>
        <w:t> </w:t>
      </w:r>
      <w:r>
        <w:rPr>
          <w:rFonts w:ascii="Arial" w:hAnsi="Arial"/>
          <w:i/>
          <w:sz w:val="22"/>
          <w:u w:val="single"/>
        </w:rPr>
        <w:t>pudieran</w:t>
      </w:r>
      <w:r>
        <w:rPr>
          <w:rFonts w:ascii="Arial" w:hAnsi="Arial"/>
          <w:i/>
          <w:sz w:val="22"/>
        </w:rPr>
        <w:t> </w:t>
      </w:r>
      <w:r>
        <w:rPr>
          <w:rFonts w:ascii="Arial" w:hAnsi="Arial"/>
          <w:i/>
          <w:sz w:val="22"/>
          <w:u w:val="single"/>
        </w:rPr>
        <w:t>realizar los Países Miembros, desnaturalizando con ello el programa de liberación</w:t>
      </w:r>
      <w:r>
        <w:rPr>
          <w:rFonts w:ascii="Arial" w:hAnsi="Arial"/>
          <w:i/>
          <w:sz w:val="22"/>
        </w:rPr>
        <w:t> </w:t>
      </w:r>
      <w:r>
        <w:rPr>
          <w:rFonts w:ascii="Arial" w:hAnsi="Arial"/>
          <w:i/>
          <w:sz w:val="22"/>
          <w:u w:val="single"/>
        </w:rPr>
        <w:t>que es, por cierto, (…) uno de los fines propios del Acuerdo de Integración</w:t>
      </w:r>
      <w:r>
        <w:rPr>
          <w:rFonts w:ascii="Arial" w:hAnsi="Arial"/>
          <w:i/>
          <w:sz w:val="22"/>
        </w:rPr>
        <w:t> </w:t>
      </w:r>
      <w:r>
        <w:rPr>
          <w:rFonts w:ascii="Arial" w:hAnsi="Arial"/>
          <w:i/>
          <w:sz w:val="22"/>
          <w:u w:val="single"/>
        </w:rPr>
        <w:t>Subregional</w:t>
      </w:r>
      <w:r>
        <w:rPr>
          <w:rFonts w:ascii="Arial" w:hAnsi="Arial"/>
          <w:i/>
          <w:sz w:val="22"/>
        </w:rPr>
        <w:t>.” </w:t>
      </w:r>
      <w:r>
        <w:rPr>
          <w:sz w:val="22"/>
        </w:rPr>
        <w:t>[énfasis añadido]</w:t>
      </w:r>
    </w:p>
    <w:p>
      <w:pPr>
        <w:pStyle w:val="BodyText"/>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En ese sentido, como ya ha sido analizado anteriormente, la aplicación de la figura del complemento indispensable no tiene asidero en el presente caso como lo pretende la República de Colombia, toda vez que, a través de su aplicación se busca: (i) trasladar indebidamente</w:t>
      </w:r>
      <w:r>
        <w:rPr>
          <w:spacing w:val="-7"/>
          <w:sz w:val="22"/>
        </w:rPr>
        <w:t> </w:t>
      </w:r>
      <w:r>
        <w:rPr>
          <w:sz w:val="22"/>
        </w:rPr>
        <w:t>normas</w:t>
      </w:r>
      <w:r>
        <w:rPr>
          <w:spacing w:val="-10"/>
          <w:sz w:val="22"/>
        </w:rPr>
        <w:t> </w:t>
      </w:r>
      <w:r>
        <w:rPr>
          <w:sz w:val="22"/>
        </w:rPr>
        <w:t>del</w:t>
      </w:r>
      <w:r>
        <w:rPr>
          <w:spacing w:val="-8"/>
          <w:sz w:val="22"/>
        </w:rPr>
        <w:t> </w:t>
      </w:r>
      <w:r>
        <w:rPr>
          <w:sz w:val="22"/>
        </w:rPr>
        <w:t>régimen</w:t>
      </w:r>
      <w:r>
        <w:rPr>
          <w:spacing w:val="-10"/>
          <w:sz w:val="22"/>
        </w:rPr>
        <w:t> </w:t>
      </w:r>
      <w:r>
        <w:rPr>
          <w:sz w:val="22"/>
        </w:rPr>
        <w:t>de</w:t>
      </w:r>
      <w:r>
        <w:rPr>
          <w:spacing w:val="-10"/>
          <w:sz w:val="22"/>
        </w:rPr>
        <w:t> </w:t>
      </w:r>
      <w:r>
        <w:rPr>
          <w:sz w:val="22"/>
        </w:rPr>
        <w:t>servicios</w:t>
      </w:r>
      <w:r>
        <w:rPr>
          <w:spacing w:val="-7"/>
          <w:sz w:val="22"/>
        </w:rPr>
        <w:t> </w:t>
      </w:r>
      <w:r>
        <w:rPr>
          <w:sz w:val="22"/>
        </w:rPr>
        <w:t>al</w:t>
      </w:r>
      <w:r>
        <w:rPr>
          <w:spacing w:val="-8"/>
          <w:sz w:val="22"/>
        </w:rPr>
        <w:t> </w:t>
      </w:r>
      <w:r>
        <w:rPr>
          <w:sz w:val="22"/>
        </w:rPr>
        <w:t>de</w:t>
      </w:r>
      <w:r>
        <w:rPr>
          <w:spacing w:val="-8"/>
          <w:sz w:val="22"/>
        </w:rPr>
        <w:t> </w:t>
      </w:r>
      <w:r>
        <w:rPr>
          <w:sz w:val="22"/>
        </w:rPr>
        <w:t>bienes;</w:t>
      </w:r>
      <w:r>
        <w:rPr>
          <w:spacing w:val="-8"/>
          <w:sz w:val="22"/>
        </w:rPr>
        <w:t> </w:t>
      </w:r>
      <w:r>
        <w:rPr>
          <w:sz w:val="22"/>
        </w:rPr>
        <w:t>(ii)</w:t>
      </w:r>
      <w:r>
        <w:rPr>
          <w:spacing w:val="-9"/>
          <w:sz w:val="22"/>
        </w:rPr>
        <w:t> </w:t>
      </w:r>
      <w:r>
        <w:rPr>
          <w:sz w:val="22"/>
        </w:rPr>
        <w:t>desconocer</w:t>
      </w:r>
      <w:r>
        <w:rPr>
          <w:spacing w:val="-6"/>
          <w:sz w:val="22"/>
        </w:rPr>
        <w:t> </w:t>
      </w:r>
      <w:r>
        <w:rPr>
          <w:sz w:val="22"/>
        </w:rPr>
        <w:t>el</w:t>
      </w:r>
      <w:r>
        <w:rPr>
          <w:spacing w:val="-11"/>
          <w:sz w:val="22"/>
        </w:rPr>
        <w:t> </w:t>
      </w:r>
      <w:r>
        <w:rPr>
          <w:sz w:val="22"/>
        </w:rPr>
        <w:t>carácter exhaustivo de</w:t>
      </w:r>
      <w:r>
        <w:rPr>
          <w:spacing w:val="-3"/>
          <w:sz w:val="22"/>
        </w:rPr>
        <w:t> </w:t>
      </w:r>
      <w:r>
        <w:rPr>
          <w:sz w:val="22"/>
        </w:rPr>
        <w:t>las excepciones previstas en</w:t>
      </w:r>
      <w:r>
        <w:rPr>
          <w:spacing w:val="-3"/>
          <w:sz w:val="22"/>
        </w:rPr>
        <w:t> </w:t>
      </w:r>
      <w:r>
        <w:rPr>
          <w:sz w:val="22"/>
        </w:rPr>
        <w:t>el</w:t>
      </w:r>
      <w:r>
        <w:rPr>
          <w:spacing w:val="-2"/>
          <w:sz w:val="22"/>
        </w:rPr>
        <w:t> </w:t>
      </w:r>
      <w:r>
        <w:rPr>
          <w:sz w:val="22"/>
        </w:rPr>
        <w:t>artículo 73</w:t>
      </w:r>
      <w:r>
        <w:rPr>
          <w:spacing w:val="-3"/>
          <w:sz w:val="22"/>
        </w:rPr>
        <w:t> </w:t>
      </w:r>
      <w:r>
        <w:rPr>
          <w:sz w:val="22"/>
        </w:rPr>
        <w:t>del</w:t>
      </w:r>
      <w:r>
        <w:rPr>
          <w:spacing w:val="-1"/>
          <w:sz w:val="22"/>
        </w:rPr>
        <w:t> </w:t>
      </w:r>
      <w:r>
        <w:rPr>
          <w:sz w:val="22"/>
        </w:rPr>
        <w:t>Acuerdo</w:t>
      </w:r>
      <w:r>
        <w:rPr>
          <w:spacing w:val="-3"/>
          <w:sz w:val="22"/>
        </w:rPr>
        <w:t> </w:t>
      </w:r>
      <w:r>
        <w:rPr>
          <w:sz w:val="22"/>
        </w:rPr>
        <w:t>de</w:t>
      </w:r>
      <w:r>
        <w:rPr>
          <w:spacing w:val="-3"/>
          <w:sz w:val="22"/>
        </w:rPr>
        <w:t> </w:t>
      </w:r>
      <w:r>
        <w:rPr>
          <w:sz w:val="22"/>
        </w:rPr>
        <w:t>Cartagena; y,</w:t>
      </w:r>
    </w:p>
    <w:p>
      <w:pPr>
        <w:pStyle w:val="BodyText"/>
        <w:ind w:left="1134" w:right="980"/>
        <w:jc w:val="both"/>
      </w:pPr>
      <w:r>
        <w:rPr/>
        <w:t>(iii) contradecir los principios de liberalización y primacía del derecho comunitario </w:t>
      </w:r>
      <w:r>
        <w:rPr>
          <w:spacing w:val="-2"/>
        </w:rPr>
        <w:t>andino.</w:t>
      </w:r>
    </w:p>
    <w:p>
      <w:pPr>
        <w:pStyle w:val="Heading6"/>
        <w:numPr>
          <w:ilvl w:val="0"/>
          <w:numId w:val="63"/>
        </w:numPr>
        <w:tabs>
          <w:tab w:pos="1561" w:val="left" w:leader="none"/>
        </w:tabs>
        <w:spacing w:line="240" w:lineRule="auto" w:before="252" w:after="0"/>
        <w:ind w:left="1561" w:right="0" w:hanging="359"/>
        <w:jc w:val="both"/>
      </w:pPr>
      <w:r>
        <w:rPr/>
        <w:t>Argumentos</w:t>
      </w:r>
      <w:r>
        <w:rPr>
          <w:spacing w:val="-5"/>
        </w:rPr>
        <w:t> </w:t>
      </w:r>
      <w:r>
        <w:rPr/>
        <w:t>de</w:t>
      </w:r>
      <w:r>
        <w:rPr>
          <w:spacing w:val="-6"/>
        </w:rPr>
        <w:t> </w:t>
      </w:r>
      <w:r>
        <w:rPr/>
        <w:t>la</w:t>
      </w:r>
      <w:r>
        <w:rPr>
          <w:spacing w:val="-3"/>
        </w:rPr>
        <w:t> </w:t>
      </w:r>
      <w:r>
        <w:rPr/>
        <w:t>República</w:t>
      </w:r>
      <w:r>
        <w:rPr>
          <w:spacing w:val="-6"/>
        </w:rPr>
        <w:t> </w:t>
      </w:r>
      <w:r>
        <w:rPr/>
        <w:t>del</w:t>
      </w:r>
      <w:r>
        <w:rPr>
          <w:spacing w:val="-3"/>
        </w:rPr>
        <w:t> </w:t>
      </w:r>
      <w:r>
        <w:rPr>
          <w:spacing w:val="-2"/>
        </w:rPr>
        <w:t>Ecuador</w:t>
      </w:r>
    </w:p>
    <w:p>
      <w:pPr>
        <w:pStyle w:val="ListParagraph"/>
        <w:numPr>
          <w:ilvl w:val="0"/>
          <w:numId w:val="50"/>
        </w:numPr>
        <w:tabs>
          <w:tab w:pos="1130" w:val="left" w:leader="none"/>
          <w:tab w:pos="1134" w:val="left" w:leader="none"/>
        </w:tabs>
        <w:spacing w:line="240" w:lineRule="auto" w:before="252" w:after="0"/>
        <w:ind w:left="1134" w:right="978" w:hanging="567"/>
        <w:jc w:val="both"/>
        <w:rPr>
          <w:sz w:val="22"/>
        </w:rPr>
      </w:pPr>
      <w:r>
        <w:rPr>
          <w:sz w:val="22"/>
        </w:rPr>
        <w:t>En</w:t>
      </w:r>
      <w:r>
        <w:rPr>
          <w:spacing w:val="-14"/>
          <w:sz w:val="22"/>
        </w:rPr>
        <w:t> </w:t>
      </w:r>
      <w:r>
        <w:rPr>
          <w:sz w:val="22"/>
        </w:rPr>
        <w:t>la</w:t>
      </w:r>
      <w:r>
        <w:rPr>
          <w:spacing w:val="-14"/>
          <w:sz w:val="22"/>
        </w:rPr>
        <w:t> </w:t>
      </w:r>
      <w:r>
        <w:rPr>
          <w:sz w:val="22"/>
        </w:rPr>
        <w:t>solicitud</w:t>
      </w:r>
      <w:r>
        <w:rPr>
          <w:spacing w:val="-14"/>
          <w:sz w:val="22"/>
        </w:rPr>
        <w:t> </w:t>
      </w:r>
      <w:r>
        <w:rPr>
          <w:sz w:val="22"/>
        </w:rPr>
        <w:t>presentada</w:t>
      </w:r>
      <w:r>
        <w:rPr>
          <w:spacing w:val="-14"/>
          <w:sz w:val="22"/>
        </w:rPr>
        <w:t> </w:t>
      </w:r>
      <w:r>
        <w:rPr>
          <w:sz w:val="22"/>
        </w:rPr>
        <w:t>por</w:t>
      </w:r>
      <w:r>
        <w:rPr>
          <w:spacing w:val="-13"/>
          <w:sz w:val="22"/>
        </w:rPr>
        <w:t> </w:t>
      </w:r>
      <w:r>
        <w:rPr>
          <w:sz w:val="22"/>
        </w:rPr>
        <w:t>la</w:t>
      </w:r>
      <w:r>
        <w:rPr>
          <w:spacing w:val="-14"/>
          <w:sz w:val="22"/>
        </w:rPr>
        <w:t> </w:t>
      </w:r>
      <w:r>
        <w:rPr>
          <w:sz w:val="22"/>
        </w:rPr>
        <w:t>República</w:t>
      </w:r>
      <w:r>
        <w:rPr>
          <w:spacing w:val="-14"/>
          <w:sz w:val="22"/>
        </w:rPr>
        <w:t> </w:t>
      </w:r>
      <w:r>
        <w:rPr>
          <w:sz w:val="22"/>
        </w:rPr>
        <w:t>del</w:t>
      </w:r>
      <w:r>
        <w:rPr>
          <w:spacing w:val="-14"/>
          <w:sz w:val="22"/>
        </w:rPr>
        <w:t> </w:t>
      </w:r>
      <w:r>
        <w:rPr>
          <w:sz w:val="22"/>
        </w:rPr>
        <w:t>Ecuador,</w:t>
      </w:r>
      <w:r>
        <w:rPr>
          <w:spacing w:val="-12"/>
          <w:sz w:val="22"/>
        </w:rPr>
        <w:t> </w:t>
      </w:r>
      <w:r>
        <w:rPr>
          <w:sz w:val="22"/>
        </w:rPr>
        <w:t>se</w:t>
      </w:r>
      <w:r>
        <w:rPr>
          <w:spacing w:val="-16"/>
          <w:sz w:val="22"/>
        </w:rPr>
        <w:t> </w:t>
      </w:r>
      <w:r>
        <w:rPr>
          <w:sz w:val="22"/>
        </w:rPr>
        <w:t>señala,</w:t>
      </w:r>
      <w:r>
        <w:rPr>
          <w:spacing w:val="-12"/>
          <w:sz w:val="22"/>
        </w:rPr>
        <w:t> </w:t>
      </w:r>
      <w:r>
        <w:rPr>
          <w:sz w:val="22"/>
        </w:rPr>
        <w:t>entre</w:t>
      </w:r>
      <w:r>
        <w:rPr>
          <w:spacing w:val="-14"/>
          <w:sz w:val="22"/>
        </w:rPr>
        <w:t> </w:t>
      </w:r>
      <w:r>
        <w:rPr>
          <w:sz w:val="22"/>
        </w:rPr>
        <w:t>otros</w:t>
      </w:r>
      <w:r>
        <w:rPr>
          <w:spacing w:val="-13"/>
          <w:sz w:val="22"/>
        </w:rPr>
        <w:t> </w:t>
      </w:r>
      <w:r>
        <w:rPr>
          <w:sz w:val="22"/>
        </w:rPr>
        <w:t>aspectos, que “</w:t>
      </w:r>
      <w:r>
        <w:rPr>
          <w:rFonts w:ascii="Arial" w:hAnsi="Arial"/>
          <w:i/>
          <w:sz w:val="22"/>
        </w:rPr>
        <w:t>El Decreto 170 configura un arancel obligatorio y restricciones materiales de acceso, lo que lo convierte en una disposición incompatible con el Programa de Liberación y con el principio de libre circulación de mercancías en la Subregión...</w:t>
      </w:r>
      <w:r>
        <w:rPr>
          <w:sz w:val="22"/>
        </w:rPr>
        <w:t>”.</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Además, señala que la República de Colombia adoptó los “aranceles recíprocos”, </w:t>
      </w:r>
      <w:r>
        <w:rPr>
          <w:rFonts w:ascii="Arial" w:hAnsi="Arial"/>
          <w:i/>
          <w:sz w:val="22"/>
        </w:rPr>
        <w:t>por protección de la producción nacional a los acuerdos, convenios y tratados suscritos y vigentes para Colombia</w:t>
      </w:r>
      <w:r>
        <w:rPr>
          <w:sz w:val="22"/>
        </w:rPr>
        <w:t>, lo que significaría, según el solicitante, un reconocimiento expreso de “</w:t>
      </w:r>
      <w:r>
        <w:rPr>
          <w:rFonts w:ascii="Arial" w:hAnsi="Arial"/>
          <w:i/>
          <w:sz w:val="22"/>
        </w:rPr>
        <w:t>que la finalidad de la medida es proteger su producción nacional frente a las importaciones. Este es, precisamente, el propósito clásico de los aranceles: crear una</w:t>
      </w:r>
      <w:r>
        <w:rPr>
          <w:rFonts w:ascii="Arial" w:hAnsi="Arial"/>
          <w:i/>
          <w:spacing w:val="-5"/>
          <w:sz w:val="22"/>
        </w:rPr>
        <w:t> </w:t>
      </w:r>
      <w:r>
        <w:rPr>
          <w:rFonts w:ascii="Arial" w:hAnsi="Arial"/>
          <w:i/>
          <w:sz w:val="22"/>
        </w:rPr>
        <w:t>ventaja</w:t>
      </w:r>
      <w:r>
        <w:rPr>
          <w:rFonts w:ascii="Arial" w:hAnsi="Arial"/>
          <w:i/>
          <w:spacing w:val="-5"/>
          <w:sz w:val="22"/>
        </w:rPr>
        <w:t> </w:t>
      </w:r>
      <w:r>
        <w:rPr>
          <w:rFonts w:ascii="Arial" w:hAnsi="Arial"/>
          <w:i/>
          <w:sz w:val="22"/>
        </w:rPr>
        <w:t>competitiva</w:t>
      </w:r>
      <w:r>
        <w:rPr>
          <w:rFonts w:ascii="Arial" w:hAnsi="Arial"/>
          <w:i/>
          <w:spacing w:val="-7"/>
          <w:sz w:val="22"/>
        </w:rPr>
        <w:t> </w:t>
      </w:r>
      <w:r>
        <w:rPr>
          <w:rFonts w:ascii="Arial" w:hAnsi="Arial"/>
          <w:i/>
          <w:sz w:val="22"/>
        </w:rPr>
        <w:t>para</w:t>
      </w:r>
      <w:r>
        <w:rPr>
          <w:rFonts w:ascii="Arial" w:hAnsi="Arial"/>
          <w:i/>
          <w:spacing w:val="-5"/>
          <w:sz w:val="22"/>
        </w:rPr>
        <w:t> </w:t>
      </w:r>
      <w:r>
        <w:rPr>
          <w:rFonts w:ascii="Arial" w:hAnsi="Arial"/>
          <w:i/>
          <w:sz w:val="22"/>
        </w:rPr>
        <w:t>los</w:t>
      </w:r>
      <w:r>
        <w:rPr>
          <w:rFonts w:ascii="Arial" w:hAnsi="Arial"/>
          <w:i/>
          <w:spacing w:val="-5"/>
          <w:sz w:val="22"/>
        </w:rPr>
        <w:t> </w:t>
      </w:r>
      <w:r>
        <w:rPr>
          <w:rFonts w:ascii="Arial" w:hAnsi="Arial"/>
          <w:i/>
          <w:sz w:val="22"/>
        </w:rPr>
        <w:t>productores</w:t>
      </w:r>
      <w:r>
        <w:rPr>
          <w:rFonts w:ascii="Arial" w:hAnsi="Arial"/>
          <w:i/>
          <w:spacing w:val="-5"/>
          <w:sz w:val="22"/>
        </w:rPr>
        <w:t> </w:t>
      </w:r>
      <w:r>
        <w:rPr>
          <w:rFonts w:ascii="Arial" w:hAnsi="Arial"/>
          <w:i/>
          <w:sz w:val="22"/>
        </w:rPr>
        <w:t>locales</w:t>
      </w:r>
      <w:r>
        <w:rPr>
          <w:rFonts w:ascii="Arial" w:hAnsi="Arial"/>
          <w:i/>
          <w:spacing w:val="-5"/>
          <w:sz w:val="22"/>
        </w:rPr>
        <w:t> </w:t>
      </w:r>
      <w:r>
        <w:rPr>
          <w:rFonts w:ascii="Arial" w:hAnsi="Arial"/>
          <w:i/>
          <w:sz w:val="22"/>
        </w:rPr>
        <w:t>mediante</w:t>
      </w:r>
      <w:r>
        <w:rPr>
          <w:rFonts w:ascii="Arial" w:hAnsi="Arial"/>
          <w:i/>
          <w:spacing w:val="-5"/>
          <w:sz w:val="22"/>
        </w:rPr>
        <w:t> </w:t>
      </w:r>
      <w:r>
        <w:rPr>
          <w:rFonts w:ascii="Arial" w:hAnsi="Arial"/>
          <w:i/>
          <w:sz w:val="22"/>
        </w:rPr>
        <w:t>el</w:t>
      </w:r>
      <w:r>
        <w:rPr>
          <w:rFonts w:ascii="Arial" w:hAnsi="Arial"/>
          <w:i/>
          <w:spacing w:val="-6"/>
          <w:sz w:val="22"/>
        </w:rPr>
        <w:t> </w:t>
      </w:r>
      <w:r>
        <w:rPr>
          <w:rFonts w:ascii="Arial" w:hAnsi="Arial"/>
          <w:i/>
          <w:sz w:val="22"/>
        </w:rPr>
        <w:t>encarecimiento</w:t>
      </w:r>
      <w:r>
        <w:rPr>
          <w:rFonts w:ascii="Arial" w:hAnsi="Arial"/>
          <w:i/>
          <w:spacing w:val="-5"/>
          <w:sz w:val="22"/>
        </w:rPr>
        <w:t> </w:t>
      </w:r>
      <w:r>
        <w:rPr>
          <w:rFonts w:ascii="Arial" w:hAnsi="Arial"/>
          <w:i/>
          <w:sz w:val="22"/>
        </w:rPr>
        <w:t>de</w:t>
      </w:r>
      <w:r>
        <w:rPr>
          <w:rFonts w:ascii="Arial" w:hAnsi="Arial"/>
          <w:i/>
          <w:spacing w:val="-5"/>
          <w:sz w:val="22"/>
        </w:rPr>
        <w:t> </w:t>
      </w:r>
      <w:r>
        <w:rPr>
          <w:rFonts w:ascii="Arial" w:hAnsi="Arial"/>
          <w:i/>
          <w:sz w:val="22"/>
        </w:rPr>
        <w:t>los productos importados…</w:t>
      </w:r>
      <w:r>
        <w:rPr>
          <w:sz w:val="22"/>
        </w:rPr>
        <w:t>”.</w:t>
      </w:r>
    </w:p>
    <w:p>
      <w:pPr>
        <w:pStyle w:val="ListParagraph"/>
        <w:spacing w:after="0" w:line="240" w:lineRule="auto"/>
        <w:jc w:val="both"/>
        <w:rPr>
          <w:sz w:val="22"/>
        </w:rPr>
        <w:sectPr>
          <w:headerReference w:type="default" r:id="rId78"/>
          <w:footerReference w:type="default" r:id="rId79"/>
          <w:pgSz w:w="11900" w:h="16850"/>
          <w:pgMar w:header="370" w:footer="651" w:top="1380" w:bottom="840" w:left="992" w:right="283"/>
        </w:sectPr>
      </w:pPr>
    </w:p>
    <w:p>
      <w:pPr>
        <w:pStyle w:val="BodyText"/>
        <w:spacing w:before="176"/>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Continúan</w:t>
      </w:r>
      <w:r>
        <w:rPr>
          <w:spacing w:val="-15"/>
          <w:sz w:val="22"/>
        </w:rPr>
        <w:t> </w:t>
      </w:r>
      <w:r>
        <w:rPr>
          <w:sz w:val="22"/>
        </w:rPr>
        <w:t>señalando</w:t>
      </w:r>
      <w:r>
        <w:rPr>
          <w:spacing w:val="-15"/>
          <w:sz w:val="22"/>
        </w:rPr>
        <w:t> </w:t>
      </w:r>
      <w:r>
        <w:rPr>
          <w:sz w:val="22"/>
        </w:rPr>
        <w:t>que</w:t>
      </w:r>
      <w:r>
        <w:rPr>
          <w:rFonts w:ascii="Arial" w:hAnsi="Arial"/>
          <w:b/>
          <w:sz w:val="22"/>
        </w:rPr>
        <w:t>,</w:t>
      </w:r>
      <w:r>
        <w:rPr>
          <w:rFonts w:ascii="Arial" w:hAnsi="Arial"/>
          <w:b/>
          <w:spacing w:val="-13"/>
          <w:sz w:val="22"/>
        </w:rPr>
        <w:t> </w:t>
      </w:r>
      <w:r>
        <w:rPr>
          <w:rFonts w:ascii="Arial" w:hAnsi="Arial"/>
          <w:b/>
          <w:sz w:val="22"/>
        </w:rPr>
        <w:t>“…</w:t>
      </w:r>
      <w:r>
        <w:rPr>
          <w:sz w:val="22"/>
        </w:rPr>
        <w:t>[el]</w:t>
      </w:r>
      <w:r>
        <w:rPr>
          <w:spacing w:val="-16"/>
          <w:sz w:val="22"/>
        </w:rPr>
        <w:t> </w:t>
      </w:r>
      <w:r>
        <w:rPr>
          <w:rFonts w:ascii="Arial" w:hAnsi="Arial"/>
          <w:i/>
          <w:sz w:val="22"/>
        </w:rPr>
        <w:t>decreto</w:t>
      </w:r>
      <w:r>
        <w:rPr>
          <w:rFonts w:ascii="Arial" w:hAnsi="Arial"/>
          <w:i/>
          <w:spacing w:val="-14"/>
          <w:sz w:val="22"/>
        </w:rPr>
        <w:t> </w:t>
      </w:r>
      <w:r>
        <w:rPr>
          <w:rFonts w:ascii="Arial" w:hAnsi="Arial"/>
          <w:i/>
          <w:sz w:val="22"/>
        </w:rPr>
        <w:t>presenta</w:t>
      </w:r>
      <w:r>
        <w:rPr>
          <w:rFonts w:ascii="Arial" w:hAnsi="Arial"/>
          <w:i/>
          <w:spacing w:val="-15"/>
          <w:sz w:val="22"/>
        </w:rPr>
        <w:t> </w:t>
      </w:r>
      <w:r>
        <w:rPr>
          <w:rFonts w:ascii="Arial" w:hAnsi="Arial"/>
          <w:i/>
          <w:sz w:val="22"/>
        </w:rPr>
        <w:t>el</w:t>
      </w:r>
      <w:r>
        <w:rPr>
          <w:rFonts w:ascii="Arial" w:hAnsi="Arial"/>
          <w:i/>
          <w:spacing w:val="-16"/>
          <w:sz w:val="22"/>
        </w:rPr>
        <w:t> </w:t>
      </w:r>
      <w:r>
        <w:rPr>
          <w:rFonts w:ascii="Arial" w:hAnsi="Arial"/>
          <w:i/>
          <w:sz w:val="22"/>
        </w:rPr>
        <w:t>arancel</w:t>
      </w:r>
      <w:r>
        <w:rPr>
          <w:rFonts w:ascii="Arial" w:hAnsi="Arial"/>
          <w:i/>
          <w:spacing w:val="-15"/>
          <w:sz w:val="22"/>
        </w:rPr>
        <w:t> </w:t>
      </w:r>
      <w:r>
        <w:rPr>
          <w:rFonts w:ascii="Arial" w:hAnsi="Arial"/>
          <w:i/>
          <w:sz w:val="22"/>
        </w:rPr>
        <w:t>del</w:t>
      </w:r>
      <w:r>
        <w:rPr>
          <w:rFonts w:ascii="Arial" w:hAnsi="Arial"/>
          <w:i/>
          <w:spacing w:val="-14"/>
          <w:sz w:val="22"/>
        </w:rPr>
        <w:t> </w:t>
      </w:r>
      <w:r>
        <w:rPr>
          <w:rFonts w:ascii="Arial" w:hAnsi="Arial"/>
          <w:i/>
          <w:sz w:val="22"/>
        </w:rPr>
        <w:t>30%</w:t>
      </w:r>
      <w:r>
        <w:rPr>
          <w:rFonts w:ascii="Arial" w:hAnsi="Arial"/>
          <w:i/>
          <w:spacing w:val="-16"/>
          <w:sz w:val="22"/>
        </w:rPr>
        <w:t> </w:t>
      </w:r>
      <w:r>
        <w:rPr>
          <w:rFonts w:ascii="Arial" w:hAnsi="Arial"/>
          <w:i/>
          <w:sz w:val="22"/>
        </w:rPr>
        <w:t>como</w:t>
      </w:r>
      <w:r>
        <w:rPr>
          <w:rFonts w:ascii="Arial" w:hAnsi="Arial"/>
          <w:i/>
          <w:spacing w:val="-14"/>
          <w:sz w:val="22"/>
        </w:rPr>
        <w:t> </w:t>
      </w:r>
      <w:r>
        <w:rPr>
          <w:rFonts w:ascii="Arial" w:hAnsi="Arial"/>
          <w:i/>
          <w:sz w:val="22"/>
        </w:rPr>
        <w:t>una</w:t>
      </w:r>
      <w:r>
        <w:rPr>
          <w:rFonts w:ascii="Arial" w:hAnsi="Arial"/>
          <w:i/>
          <w:spacing w:val="-16"/>
          <w:sz w:val="22"/>
        </w:rPr>
        <w:t> </w:t>
      </w:r>
      <w:r>
        <w:rPr>
          <w:rFonts w:ascii="Arial" w:hAnsi="Arial"/>
          <w:i/>
          <w:sz w:val="22"/>
        </w:rPr>
        <w:t>medida recíproca, destinada a contrarrestar los efectos de la medida ecuatoriana. Esta lógica de reciprocidad es propia de las represalias comerciales, no de las excepciones de seguridad nacional…</w:t>
      </w:r>
      <w:r>
        <w:rPr>
          <w:sz w:val="22"/>
        </w:rPr>
        <w:t>”.</w:t>
      </w:r>
    </w:p>
    <w:p>
      <w:pPr>
        <w:pStyle w:val="BodyText"/>
      </w:pPr>
    </w:p>
    <w:p>
      <w:pPr>
        <w:pStyle w:val="ListParagraph"/>
        <w:numPr>
          <w:ilvl w:val="0"/>
          <w:numId w:val="50"/>
        </w:numPr>
        <w:tabs>
          <w:tab w:pos="1130" w:val="left" w:leader="none"/>
          <w:tab w:pos="1134" w:val="left" w:leader="none"/>
        </w:tabs>
        <w:spacing w:line="240" w:lineRule="auto" w:before="0" w:after="0"/>
        <w:ind w:left="1134" w:right="975" w:hanging="567"/>
        <w:jc w:val="both"/>
        <w:rPr>
          <w:sz w:val="22"/>
        </w:rPr>
      </w:pPr>
      <w:r>
        <w:rPr>
          <w:sz w:val="22"/>
        </w:rPr>
        <w:t>La República del Ecuador hace mención del informe que presentaron como prueba número 2) y contiene un análisis sobre la adopción del arancel recíproco y su impacto en el comercio intracomunitario, elaborado por el Ministerio de Producción, Comercio Exterior</w:t>
      </w:r>
      <w:r>
        <w:rPr>
          <w:spacing w:val="-8"/>
          <w:sz w:val="22"/>
        </w:rPr>
        <w:t> </w:t>
      </w:r>
      <w:r>
        <w:rPr>
          <w:sz w:val="22"/>
        </w:rPr>
        <w:t>e</w:t>
      </w:r>
      <w:r>
        <w:rPr>
          <w:spacing w:val="-9"/>
          <w:sz w:val="22"/>
        </w:rPr>
        <w:t> </w:t>
      </w:r>
      <w:r>
        <w:rPr>
          <w:sz w:val="22"/>
        </w:rPr>
        <w:t>Inversiones,</w:t>
      </w:r>
      <w:r>
        <w:rPr>
          <w:spacing w:val="-7"/>
          <w:sz w:val="22"/>
        </w:rPr>
        <w:t> </w:t>
      </w:r>
      <w:r>
        <w:rPr>
          <w:sz w:val="22"/>
        </w:rPr>
        <w:t>con</w:t>
      </w:r>
      <w:r>
        <w:rPr>
          <w:spacing w:val="-7"/>
          <w:sz w:val="22"/>
        </w:rPr>
        <w:t> </w:t>
      </w:r>
      <w:r>
        <w:rPr>
          <w:sz w:val="22"/>
        </w:rPr>
        <w:t>base</w:t>
      </w:r>
      <w:r>
        <w:rPr>
          <w:spacing w:val="-9"/>
          <w:sz w:val="22"/>
        </w:rPr>
        <w:t> </w:t>
      </w:r>
      <w:r>
        <w:rPr>
          <w:sz w:val="22"/>
        </w:rPr>
        <w:t>en</w:t>
      </w:r>
      <w:r>
        <w:rPr>
          <w:spacing w:val="-7"/>
          <w:sz w:val="22"/>
        </w:rPr>
        <w:t> </w:t>
      </w:r>
      <w:r>
        <w:rPr>
          <w:sz w:val="22"/>
        </w:rPr>
        <w:t>datos</w:t>
      </w:r>
      <w:r>
        <w:rPr>
          <w:spacing w:val="-9"/>
          <w:sz w:val="22"/>
        </w:rPr>
        <w:t> </w:t>
      </w:r>
      <w:r>
        <w:rPr>
          <w:sz w:val="22"/>
        </w:rPr>
        <w:t>del</w:t>
      </w:r>
      <w:r>
        <w:rPr>
          <w:spacing w:val="-7"/>
          <w:sz w:val="22"/>
        </w:rPr>
        <w:t> </w:t>
      </w:r>
      <w:r>
        <w:rPr>
          <w:sz w:val="22"/>
        </w:rPr>
        <w:t>Banco</w:t>
      </w:r>
      <w:r>
        <w:rPr>
          <w:spacing w:val="-7"/>
          <w:sz w:val="22"/>
        </w:rPr>
        <w:t> </w:t>
      </w:r>
      <w:r>
        <w:rPr>
          <w:sz w:val="22"/>
        </w:rPr>
        <w:t>Central</w:t>
      </w:r>
      <w:r>
        <w:rPr>
          <w:spacing w:val="-7"/>
          <w:sz w:val="22"/>
        </w:rPr>
        <w:t> </w:t>
      </w:r>
      <w:r>
        <w:rPr>
          <w:sz w:val="22"/>
        </w:rPr>
        <w:t>del</w:t>
      </w:r>
      <w:r>
        <w:rPr>
          <w:spacing w:val="-7"/>
          <w:sz w:val="22"/>
        </w:rPr>
        <w:t> </w:t>
      </w:r>
      <w:r>
        <w:rPr>
          <w:sz w:val="22"/>
        </w:rPr>
        <w:t>Ecuador.</w:t>
      </w:r>
      <w:r>
        <w:rPr>
          <w:spacing w:val="-7"/>
          <w:sz w:val="22"/>
        </w:rPr>
        <w:t> </w:t>
      </w:r>
      <w:r>
        <w:rPr>
          <w:sz w:val="22"/>
        </w:rPr>
        <w:t>Dicho</w:t>
      </w:r>
      <w:r>
        <w:rPr>
          <w:spacing w:val="-7"/>
          <w:sz w:val="22"/>
        </w:rPr>
        <w:t> </w:t>
      </w:r>
      <w:r>
        <w:rPr>
          <w:sz w:val="22"/>
        </w:rPr>
        <w:t>análisis señala que “</w:t>
      </w:r>
      <w:r>
        <w:rPr>
          <w:rFonts w:ascii="Arial" w:hAnsi="Arial"/>
          <w:i/>
          <w:sz w:val="22"/>
        </w:rPr>
        <w:t>las 73 subpartidas arancelarias ecuatorianas afectadas por el arancel del 30%</w:t>
      </w:r>
      <w:r>
        <w:rPr>
          <w:rFonts w:ascii="Arial" w:hAnsi="Arial"/>
          <w:i/>
          <w:spacing w:val="-10"/>
          <w:sz w:val="22"/>
        </w:rPr>
        <w:t> </w:t>
      </w:r>
      <w:r>
        <w:rPr>
          <w:rFonts w:ascii="Arial" w:hAnsi="Arial"/>
          <w:i/>
          <w:sz w:val="22"/>
        </w:rPr>
        <w:t>representaron,</w:t>
      </w:r>
      <w:r>
        <w:rPr>
          <w:rFonts w:ascii="Arial" w:hAnsi="Arial"/>
          <w:i/>
          <w:spacing w:val="-12"/>
          <w:sz w:val="22"/>
        </w:rPr>
        <w:t> </w:t>
      </w:r>
      <w:r>
        <w:rPr>
          <w:rFonts w:ascii="Arial" w:hAnsi="Arial"/>
          <w:i/>
          <w:sz w:val="22"/>
        </w:rPr>
        <w:t>en</w:t>
      </w:r>
      <w:r>
        <w:rPr>
          <w:rFonts w:ascii="Arial" w:hAnsi="Arial"/>
          <w:i/>
          <w:spacing w:val="-12"/>
          <w:sz w:val="22"/>
        </w:rPr>
        <w:t> </w:t>
      </w:r>
      <w:r>
        <w:rPr>
          <w:rFonts w:ascii="Arial" w:hAnsi="Arial"/>
          <w:i/>
          <w:sz w:val="22"/>
        </w:rPr>
        <w:t>el</w:t>
      </w:r>
      <w:r>
        <w:rPr>
          <w:rFonts w:ascii="Arial" w:hAnsi="Arial"/>
          <w:i/>
          <w:spacing w:val="-15"/>
          <w:sz w:val="22"/>
        </w:rPr>
        <w:t> </w:t>
      </w:r>
      <w:r>
        <w:rPr>
          <w:rFonts w:ascii="Arial" w:hAnsi="Arial"/>
          <w:i/>
          <w:sz w:val="22"/>
        </w:rPr>
        <w:t>período</w:t>
      </w:r>
      <w:r>
        <w:rPr>
          <w:rFonts w:ascii="Arial" w:hAnsi="Arial"/>
          <w:i/>
          <w:spacing w:val="-11"/>
          <w:sz w:val="22"/>
        </w:rPr>
        <w:t> </w:t>
      </w:r>
      <w:r>
        <w:rPr>
          <w:rFonts w:ascii="Arial" w:hAnsi="Arial"/>
          <w:i/>
          <w:sz w:val="22"/>
        </w:rPr>
        <w:t>2023-2025,</w:t>
      </w:r>
      <w:r>
        <w:rPr>
          <w:rFonts w:ascii="Arial" w:hAnsi="Arial"/>
          <w:i/>
          <w:spacing w:val="-10"/>
          <w:sz w:val="22"/>
        </w:rPr>
        <w:t> </w:t>
      </w:r>
      <w:r>
        <w:rPr>
          <w:rFonts w:ascii="Arial" w:hAnsi="Arial"/>
          <w:i/>
          <w:sz w:val="22"/>
        </w:rPr>
        <w:t>un</w:t>
      </w:r>
      <w:r>
        <w:rPr>
          <w:rFonts w:ascii="Arial" w:hAnsi="Arial"/>
          <w:i/>
          <w:spacing w:val="-12"/>
          <w:sz w:val="22"/>
        </w:rPr>
        <w:t> </w:t>
      </w:r>
      <w:r>
        <w:rPr>
          <w:rFonts w:ascii="Arial" w:hAnsi="Arial"/>
          <w:i/>
          <w:sz w:val="22"/>
        </w:rPr>
        <w:t>valor</w:t>
      </w:r>
      <w:r>
        <w:rPr>
          <w:rFonts w:ascii="Arial" w:hAnsi="Arial"/>
          <w:i/>
          <w:spacing w:val="-10"/>
          <w:sz w:val="22"/>
        </w:rPr>
        <w:t> </w:t>
      </w:r>
      <w:r>
        <w:rPr>
          <w:rFonts w:ascii="Arial" w:hAnsi="Arial"/>
          <w:i/>
          <w:sz w:val="22"/>
        </w:rPr>
        <w:t>promedio</w:t>
      </w:r>
      <w:r>
        <w:rPr>
          <w:rFonts w:ascii="Arial" w:hAnsi="Arial"/>
          <w:i/>
          <w:spacing w:val="-11"/>
          <w:sz w:val="22"/>
        </w:rPr>
        <w:t> </w:t>
      </w:r>
      <w:r>
        <w:rPr>
          <w:rFonts w:ascii="Arial" w:hAnsi="Arial"/>
          <w:i/>
          <w:sz w:val="22"/>
        </w:rPr>
        <w:t>anual</w:t>
      </w:r>
      <w:r>
        <w:rPr>
          <w:rFonts w:ascii="Arial" w:hAnsi="Arial"/>
          <w:i/>
          <w:spacing w:val="-12"/>
          <w:sz w:val="22"/>
        </w:rPr>
        <w:t> </w:t>
      </w:r>
      <w:r>
        <w:rPr>
          <w:rFonts w:ascii="Arial" w:hAnsi="Arial"/>
          <w:i/>
          <w:sz w:val="22"/>
        </w:rPr>
        <w:t>de</w:t>
      </w:r>
      <w:r>
        <w:rPr>
          <w:rFonts w:ascii="Arial" w:hAnsi="Arial"/>
          <w:i/>
          <w:spacing w:val="-12"/>
          <w:sz w:val="22"/>
        </w:rPr>
        <w:t> </w:t>
      </w:r>
      <w:r>
        <w:rPr>
          <w:rFonts w:ascii="Arial" w:hAnsi="Arial"/>
          <w:i/>
          <w:sz w:val="22"/>
        </w:rPr>
        <w:t>251.949</w:t>
      </w:r>
      <w:r>
        <w:rPr>
          <w:rFonts w:ascii="Arial" w:hAnsi="Arial"/>
          <w:i/>
          <w:spacing w:val="-11"/>
          <w:sz w:val="22"/>
        </w:rPr>
        <w:t> </w:t>
      </w:r>
      <w:r>
        <w:rPr>
          <w:rFonts w:ascii="Arial" w:hAnsi="Arial"/>
          <w:i/>
          <w:sz w:val="22"/>
        </w:rPr>
        <w:t>miles de dólares</w:t>
      </w:r>
      <w:r>
        <w:rPr>
          <w:sz w:val="22"/>
        </w:rPr>
        <w:t>”</w:t>
      </w:r>
      <w:hyperlink w:history="true" w:anchor="_bookmark105">
        <w:r>
          <w:rPr>
            <w:sz w:val="22"/>
            <w:vertAlign w:val="superscript"/>
          </w:rPr>
          <w:t>38</w:t>
        </w:r>
        <w:r>
          <w:rPr>
            <w:sz w:val="22"/>
            <w:vertAlign w:val="baseline"/>
          </w:rPr>
          <w:t>.</w:t>
        </w:r>
      </w:hyperlink>
    </w:p>
    <w:p>
      <w:pPr>
        <w:pStyle w:val="BodyText"/>
        <w:spacing w:before="2"/>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Se señala que la medida del 30% adoptada mediante Decreto 0170, no se trataría de un</w:t>
      </w:r>
      <w:r>
        <w:rPr>
          <w:spacing w:val="-16"/>
          <w:sz w:val="22"/>
        </w:rPr>
        <w:t> </w:t>
      </w:r>
      <w:r>
        <w:rPr>
          <w:sz w:val="22"/>
        </w:rPr>
        <w:t>ajuste</w:t>
      </w:r>
      <w:r>
        <w:rPr>
          <w:spacing w:val="-15"/>
          <w:sz w:val="22"/>
        </w:rPr>
        <w:t> </w:t>
      </w:r>
      <w:r>
        <w:rPr>
          <w:sz w:val="22"/>
        </w:rPr>
        <w:t>técnico</w:t>
      </w:r>
      <w:r>
        <w:rPr>
          <w:spacing w:val="-15"/>
          <w:sz w:val="22"/>
        </w:rPr>
        <w:t> </w:t>
      </w:r>
      <w:r>
        <w:rPr>
          <w:sz w:val="22"/>
        </w:rPr>
        <w:t>o</w:t>
      </w:r>
      <w:r>
        <w:rPr>
          <w:spacing w:val="-16"/>
          <w:sz w:val="22"/>
        </w:rPr>
        <w:t> </w:t>
      </w:r>
      <w:r>
        <w:rPr>
          <w:sz w:val="22"/>
        </w:rPr>
        <w:t>de</w:t>
      </w:r>
      <w:r>
        <w:rPr>
          <w:spacing w:val="-15"/>
          <w:sz w:val="22"/>
        </w:rPr>
        <w:t> </w:t>
      </w:r>
      <w:r>
        <w:rPr>
          <w:sz w:val="22"/>
        </w:rPr>
        <w:t>una</w:t>
      </w:r>
      <w:r>
        <w:rPr>
          <w:spacing w:val="-15"/>
          <w:sz w:val="22"/>
        </w:rPr>
        <w:t> </w:t>
      </w:r>
      <w:r>
        <w:rPr>
          <w:sz w:val="22"/>
        </w:rPr>
        <w:t>medida</w:t>
      </w:r>
      <w:r>
        <w:rPr>
          <w:spacing w:val="-15"/>
          <w:sz w:val="22"/>
        </w:rPr>
        <w:t> </w:t>
      </w:r>
      <w:r>
        <w:rPr>
          <w:sz w:val="22"/>
        </w:rPr>
        <w:t>aislada</w:t>
      </w:r>
      <w:r>
        <w:rPr>
          <w:spacing w:val="-16"/>
          <w:sz w:val="22"/>
        </w:rPr>
        <w:t> </w:t>
      </w:r>
      <w:r>
        <w:rPr>
          <w:sz w:val="22"/>
        </w:rPr>
        <w:t>sobre</w:t>
      </w:r>
      <w:r>
        <w:rPr>
          <w:spacing w:val="-15"/>
          <w:sz w:val="22"/>
        </w:rPr>
        <w:t> </w:t>
      </w:r>
      <w:r>
        <w:rPr>
          <w:sz w:val="22"/>
        </w:rPr>
        <w:t>productos</w:t>
      </w:r>
      <w:r>
        <w:rPr>
          <w:spacing w:val="-15"/>
          <w:sz w:val="22"/>
        </w:rPr>
        <w:t> </w:t>
      </w:r>
      <w:r>
        <w:rPr>
          <w:sz w:val="22"/>
        </w:rPr>
        <w:t>marginales.</w:t>
      </w:r>
      <w:r>
        <w:rPr>
          <w:spacing w:val="-16"/>
          <w:sz w:val="22"/>
        </w:rPr>
        <w:t> </w:t>
      </w:r>
      <w:r>
        <w:rPr>
          <w:sz w:val="22"/>
        </w:rPr>
        <w:t>“</w:t>
      </w:r>
      <w:r>
        <w:rPr>
          <w:rFonts w:ascii="Arial" w:hAnsi="Arial"/>
          <w:i/>
          <w:sz w:val="22"/>
        </w:rPr>
        <w:t>Es</w:t>
      </w:r>
      <w:r>
        <w:rPr>
          <w:rFonts w:ascii="Arial" w:hAnsi="Arial"/>
          <w:i/>
          <w:spacing w:val="-15"/>
          <w:sz w:val="22"/>
        </w:rPr>
        <w:t> </w:t>
      </w:r>
      <w:r>
        <w:rPr>
          <w:rFonts w:ascii="Arial" w:hAnsi="Arial"/>
          <w:i/>
          <w:sz w:val="22"/>
        </w:rPr>
        <w:t>un</w:t>
      </w:r>
      <w:r>
        <w:rPr>
          <w:rFonts w:ascii="Arial" w:hAnsi="Arial"/>
          <w:i/>
          <w:spacing w:val="-15"/>
          <w:sz w:val="22"/>
        </w:rPr>
        <w:t> </w:t>
      </w:r>
      <w:r>
        <w:rPr>
          <w:rFonts w:ascii="Arial" w:hAnsi="Arial"/>
          <w:i/>
          <w:sz w:val="22"/>
        </w:rPr>
        <w:t>gravamen de gran calado que encarece artificialmente casi un tercio de la oferta exportable ecuatoriana hacia Colombia, distorsionando gravemente las condiciones de competencia que el Programa de Liberación busca garantizar.</w:t>
      </w:r>
      <w:r>
        <w:rPr>
          <w:sz w:val="22"/>
        </w:rPr>
        <w:t>”</w:t>
      </w:r>
      <w:hyperlink w:history="true" w:anchor="_bookmark106">
        <w:r>
          <w:rPr>
            <w:sz w:val="22"/>
            <w:vertAlign w:val="superscript"/>
          </w:rPr>
          <w:t>39</w:t>
        </w:r>
      </w:hyperlink>
      <w:r>
        <w:rPr>
          <w:sz w:val="22"/>
          <w:vertAlign w:val="baseline"/>
        </w:rPr>
        <w:t>.</w:t>
      </w:r>
    </w:p>
    <w:p>
      <w:pPr>
        <w:pStyle w:val="BodyText"/>
      </w:pPr>
    </w:p>
    <w:p>
      <w:pPr>
        <w:pStyle w:val="Heading6"/>
        <w:numPr>
          <w:ilvl w:val="0"/>
          <w:numId w:val="64"/>
        </w:numPr>
        <w:tabs>
          <w:tab w:pos="1276" w:val="left" w:leader="none"/>
        </w:tabs>
        <w:spacing w:line="240" w:lineRule="auto" w:before="0" w:after="0"/>
        <w:ind w:left="1276" w:right="0" w:hanging="360"/>
        <w:jc w:val="left"/>
      </w:pPr>
      <w:r>
        <w:rPr/>
        <w:t>Argumentos</w:t>
      </w:r>
      <w:r>
        <w:rPr>
          <w:spacing w:val="-6"/>
        </w:rPr>
        <w:t> </w:t>
      </w:r>
      <w:r>
        <w:rPr/>
        <w:t>de</w:t>
      </w:r>
      <w:r>
        <w:rPr>
          <w:spacing w:val="-4"/>
        </w:rPr>
        <w:t> </w:t>
      </w:r>
      <w:r>
        <w:rPr/>
        <w:t>la</w:t>
      </w:r>
      <w:r>
        <w:rPr>
          <w:spacing w:val="-4"/>
        </w:rPr>
        <w:t> </w:t>
      </w:r>
      <w:r>
        <w:rPr/>
        <w:t>República</w:t>
      </w:r>
      <w:r>
        <w:rPr>
          <w:spacing w:val="-5"/>
        </w:rPr>
        <w:t> </w:t>
      </w:r>
      <w:r>
        <w:rPr/>
        <w:t>de</w:t>
      </w:r>
      <w:r>
        <w:rPr>
          <w:spacing w:val="-3"/>
        </w:rPr>
        <w:t> </w:t>
      </w:r>
      <w:r>
        <w:rPr>
          <w:spacing w:val="-2"/>
        </w:rPr>
        <w:t>Colombia</w:t>
      </w:r>
    </w:p>
    <w:p>
      <w:pPr>
        <w:pStyle w:val="ListParagraph"/>
        <w:numPr>
          <w:ilvl w:val="0"/>
          <w:numId w:val="50"/>
        </w:numPr>
        <w:tabs>
          <w:tab w:pos="1130" w:val="left" w:leader="none"/>
          <w:tab w:pos="1134" w:val="left" w:leader="none"/>
        </w:tabs>
        <w:spacing w:line="240" w:lineRule="auto" w:before="250" w:after="0"/>
        <w:ind w:left="1134" w:right="979" w:hanging="567"/>
        <w:jc w:val="both"/>
        <w:rPr>
          <w:sz w:val="22"/>
        </w:rPr>
      </w:pPr>
      <w:r>
        <w:rPr>
          <w:sz w:val="22"/>
        </w:rPr>
        <w:t>Como se ha señalado anteriormente, la República de Colombia manifestó en su respuesta</w:t>
      </w:r>
      <w:r>
        <w:rPr>
          <w:spacing w:val="-9"/>
          <w:sz w:val="22"/>
        </w:rPr>
        <w:t> </w:t>
      </w:r>
      <w:r>
        <w:rPr>
          <w:sz w:val="22"/>
        </w:rPr>
        <w:t>que</w:t>
      </w:r>
      <w:r>
        <w:rPr>
          <w:spacing w:val="-6"/>
          <w:sz w:val="22"/>
        </w:rPr>
        <w:t> </w:t>
      </w:r>
      <w:r>
        <w:rPr>
          <w:sz w:val="22"/>
        </w:rPr>
        <w:t>el</w:t>
      </w:r>
      <w:r>
        <w:rPr>
          <w:spacing w:val="-10"/>
          <w:sz w:val="22"/>
        </w:rPr>
        <w:t> </w:t>
      </w:r>
      <w:r>
        <w:rPr>
          <w:sz w:val="22"/>
        </w:rPr>
        <w:t>“arancel</w:t>
      </w:r>
      <w:r>
        <w:rPr>
          <w:spacing w:val="-7"/>
          <w:sz w:val="22"/>
        </w:rPr>
        <w:t> </w:t>
      </w:r>
      <w:r>
        <w:rPr>
          <w:sz w:val="22"/>
        </w:rPr>
        <w:t>recíproco”</w:t>
      </w:r>
      <w:r>
        <w:rPr>
          <w:spacing w:val="-8"/>
          <w:sz w:val="22"/>
        </w:rPr>
        <w:t> </w:t>
      </w:r>
      <w:r>
        <w:rPr>
          <w:sz w:val="22"/>
        </w:rPr>
        <w:t>debe</w:t>
      </w:r>
      <w:r>
        <w:rPr>
          <w:spacing w:val="-7"/>
          <w:sz w:val="22"/>
        </w:rPr>
        <w:t> </w:t>
      </w:r>
      <w:r>
        <w:rPr>
          <w:sz w:val="22"/>
        </w:rPr>
        <w:t>considerarse</w:t>
      </w:r>
      <w:r>
        <w:rPr>
          <w:spacing w:val="-9"/>
          <w:sz w:val="22"/>
        </w:rPr>
        <w:t> </w:t>
      </w:r>
      <w:r>
        <w:rPr>
          <w:sz w:val="22"/>
        </w:rPr>
        <w:t>como</w:t>
      </w:r>
      <w:r>
        <w:rPr>
          <w:spacing w:val="-8"/>
          <w:sz w:val="22"/>
        </w:rPr>
        <w:t> </w:t>
      </w:r>
      <w:r>
        <w:rPr>
          <w:sz w:val="22"/>
        </w:rPr>
        <w:t>una</w:t>
      </w:r>
      <w:r>
        <w:rPr>
          <w:spacing w:val="-9"/>
          <w:sz w:val="22"/>
        </w:rPr>
        <w:t> </w:t>
      </w:r>
      <w:r>
        <w:rPr>
          <w:sz w:val="22"/>
        </w:rPr>
        <w:t>medida</w:t>
      </w:r>
      <w:r>
        <w:rPr>
          <w:spacing w:val="-7"/>
          <w:sz w:val="22"/>
        </w:rPr>
        <w:t> </w:t>
      </w:r>
      <w:r>
        <w:rPr>
          <w:sz w:val="22"/>
        </w:rPr>
        <w:t>comprendida en el</w:t>
      </w:r>
      <w:r>
        <w:rPr>
          <w:spacing w:val="-1"/>
          <w:sz w:val="22"/>
        </w:rPr>
        <w:t> </w:t>
      </w:r>
      <w:r>
        <w:rPr>
          <w:sz w:val="22"/>
        </w:rPr>
        <w:t>ámbito de aplicación del artículo 73 del Acuerdo de Cartagena. Asimismo, señaló que dicha medida “</w:t>
      </w:r>
      <w:r>
        <w:rPr>
          <w:rFonts w:ascii="Arial" w:hAnsi="Arial"/>
          <w:i/>
          <w:sz w:val="22"/>
        </w:rPr>
        <w:t>pretende salvaguardar la seguridad nacional de Colombia en el ámbito</w:t>
      </w:r>
      <w:r>
        <w:rPr>
          <w:rFonts w:ascii="Arial" w:hAnsi="Arial"/>
          <w:i/>
          <w:spacing w:val="-12"/>
          <w:sz w:val="22"/>
        </w:rPr>
        <w:t> </w:t>
      </w:r>
      <w:r>
        <w:rPr>
          <w:rFonts w:ascii="Arial" w:hAnsi="Arial"/>
          <w:i/>
          <w:sz w:val="22"/>
        </w:rPr>
        <w:t>del</w:t>
      </w:r>
      <w:r>
        <w:rPr>
          <w:rFonts w:ascii="Arial" w:hAnsi="Arial"/>
          <w:i/>
          <w:spacing w:val="-13"/>
          <w:sz w:val="22"/>
        </w:rPr>
        <w:t> </w:t>
      </w:r>
      <w:r>
        <w:rPr>
          <w:rFonts w:ascii="Arial" w:hAnsi="Arial"/>
          <w:i/>
          <w:sz w:val="22"/>
        </w:rPr>
        <w:t>comercio</w:t>
      </w:r>
      <w:r>
        <w:rPr>
          <w:rFonts w:ascii="Arial" w:hAnsi="Arial"/>
          <w:i/>
          <w:spacing w:val="-12"/>
          <w:sz w:val="22"/>
        </w:rPr>
        <w:t> </w:t>
      </w:r>
      <w:r>
        <w:rPr>
          <w:rFonts w:ascii="Arial" w:hAnsi="Arial"/>
          <w:i/>
          <w:sz w:val="22"/>
        </w:rPr>
        <w:t>internacional,</w:t>
      </w:r>
      <w:r>
        <w:rPr>
          <w:rFonts w:ascii="Arial" w:hAnsi="Arial"/>
          <w:i/>
          <w:spacing w:val="-8"/>
          <w:sz w:val="22"/>
        </w:rPr>
        <w:t> </w:t>
      </w:r>
      <w:r>
        <w:rPr>
          <w:rFonts w:ascii="Arial" w:hAnsi="Arial"/>
          <w:i/>
          <w:sz w:val="22"/>
        </w:rPr>
        <w:t>para</w:t>
      </w:r>
      <w:r>
        <w:rPr>
          <w:rFonts w:ascii="Arial" w:hAnsi="Arial"/>
          <w:i/>
          <w:spacing w:val="-12"/>
          <w:sz w:val="22"/>
        </w:rPr>
        <w:t> </w:t>
      </w:r>
      <w:r>
        <w:rPr>
          <w:rFonts w:ascii="Arial" w:hAnsi="Arial"/>
          <w:i/>
          <w:sz w:val="22"/>
        </w:rPr>
        <w:t>lo</w:t>
      </w:r>
      <w:r>
        <w:rPr>
          <w:rFonts w:ascii="Arial" w:hAnsi="Arial"/>
          <w:i/>
          <w:spacing w:val="-10"/>
          <w:sz w:val="22"/>
        </w:rPr>
        <w:t> </w:t>
      </w:r>
      <w:r>
        <w:rPr>
          <w:rFonts w:ascii="Arial" w:hAnsi="Arial"/>
          <w:i/>
          <w:sz w:val="22"/>
        </w:rPr>
        <w:t>cual</w:t>
      </w:r>
      <w:r>
        <w:rPr>
          <w:rFonts w:ascii="Arial" w:hAnsi="Arial"/>
          <w:i/>
          <w:spacing w:val="-13"/>
          <w:sz w:val="22"/>
        </w:rPr>
        <w:t> </w:t>
      </w:r>
      <w:r>
        <w:rPr>
          <w:rFonts w:ascii="Arial" w:hAnsi="Arial"/>
          <w:i/>
          <w:sz w:val="22"/>
        </w:rPr>
        <w:t>bien</w:t>
      </w:r>
      <w:r>
        <w:rPr>
          <w:rFonts w:ascii="Arial" w:hAnsi="Arial"/>
          <w:i/>
          <w:spacing w:val="-10"/>
          <w:sz w:val="22"/>
        </w:rPr>
        <w:t> </w:t>
      </w:r>
      <w:r>
        <w:rPr>
          <w:rFonts w:ascii="Arial" w:hAnsi="Arial"/>
          <w:i/>
          <w:sz w:val="22"/>
        </w:rPr>
        <w:t>puede</w:t>
      </w:r>
      <w:r>
        <w:rPr>
          <w:rFonts w:ascii="Arial" w:hAnsi="Arial"/>
          <w:i/>
          <w:spacing w:val="-12"/>
          <w:sz w:val="22"/>
        </w:rPr>
        <w:t> </w:t>
      </w:r>
      <w:r>
        <w:rPr>
          <w:rFonts w:ascii="Arial" w:hAnsi="Arial"/>
          <w:i/>
          <w:sz w:val="22"/>
        </w:rPr>
        <w:t>invocarse</w:t>
      </w:r>
      <w:r>
        <w:rPr>
          <w:rFonts w:ascii="Arial" w:hAnsi="Arial"/>
          <w:i/>
          <w:spacing w:val="-12"/>
          <w:sz w:val="22"/>
        </w:rPr>
        <w:t> </w:t>
      </w:r>
      <w:r>
        <w:rPr>
          <w:rFonts w:ascii="Arial" w:hAnsi="Arial"/>
          <w:i/>
          <w:sz w:val="22"/>
        </w:rPr>
        <w:t>el</w:t>
      </w:r>
      <w:r>
        <w:rPr>
          <w:rFonts w:ascii="Arial" w:hAnsi="Arial"/>
          <w:i/>
          <w:spacing w:val="-11"/>
          <w:sz w:val="22"/>
        </w:rPr>
        <w:t> </w:t>
      </w:r>
      <w:r>
        <w:rPr>
          <w:rFonts w:ascii="Arial" w:hAnsi="Arial"/>
          <w:i/>
          <w:sz w:val="22"/>
        </w:rPr>
        <w:t>artículo</w:t>
      </w:r>
      <w:r>
        <w:rPr>
          <w:rFonts w:ascii="Arial" w:hAnsi="Arial"/>
          <w:i/>
          <w:spacing w:val="-10"/>
          <w:sz w:val="22"/>
        </w:rPr>
        <w:t> </w:t>
      </w:r>
      <w:r>
        <w:rPr>
          <w:rFonts w:ascii="Arial" w:hAnsi="Arial"/>
          <w:i/>
          <w:sz w:val="22"/>
        </w:rPr>
        <w:t>73</w:t>
      </w:r>
      <w:r>
        <w:rPr>
          <w:rFonts w:ascii="Arial" w:hAnsi="Arial"/>
          <w:i/>
          <w:spacing w:val="-13"/>
          <w:sz w:val="22"/>
        </w:rPr>
        <w:t> </w:t>
      </w:r>
      <w:r>
        <w:rPr>
          <w:rFonts w:ascii="Arial" w:hAnsi="Arial"/>
          <w:i/>
          <w:sz w:val="22"/>
        </w:rPr>
        <w:t>b)</w:t>
      </w:r>
      <w:r>
        <w:rPr>
          <w:rFonts w:ascii="Arial" w:hAnsi="Arial"/>
          <w:i/>
          <w:spacing w:val="-11"/>
          <w:sz w:val="22"/>
        </w:rPr>
        <w:t> </w:t>
      </w:r>
      <w:r>
        <w:rPr>
          <w:rFonts w:ascii="Arial" w:hAnsi="Arial"/>
          <w:i/>
          <w:sz w:val="22"/>
        </w:rPr>
        <w:t>del Acuerdo de Cartagena o, de manera subsidiaria, en aplicación del principio de complemento indispensable, el artículo 11.3 de la Decisión Andina 439.</w:t>
      </w:r>
      <w:r>
        <w:rPr>
          <w:sz w:val="22"/>
        </w:rPr>
        <w:t>”</w:t>
      </w:r>
      <w:hyperlink w:history="true" w:anchor="_bookmark107">
        <w:r>
          <w:rPr>
            <w:sz w:val="22"/>
            <w:vertAlign w:val="superscript"/>
          </w:rPr>
          <w:t>40</w:t>
        </w:r>
      </w:hyperlink>
      <w:r>
        <w:rPr>
          <w:sz w:val="22"/>
          <w:vertAlign w:val="baseline"/>
        </w:rPr>
        <w:t>.</w:t>
      </w:r>
    </w:p>
    <w:p>
      <w:pPr>
        <w:pStyle w:val="ListParagraph"/>
        <w:numPr>
          <w:ilvl w:val="0"/>
          <w:numId w:val="50"/>
        </w:numPr>
        <w:tabs>
          <w:tab w:pos="1130" w:val="left" w:leader="none"/>
          <w:tab w:pos="1134" w:val="left" w:leader="none"/>
        </w:tabs>
        <w:spacing w:line="240" w:lineRule="auto" w:before="253" w:after="0"/>
        <w:ind w:left="1134" w:right="977" w:hanging="567"/>
        <w:jc w:val="both"/>
        <w:rPr>
          <w:sz w:val="22"/>
        </w:rPr>
      </w:pPr>
      <w:r>
        <w:rPr>
          <w:sz w:val="22"/>
        </w:rPr>
        <w:t>En opinión de la República de Colombia, el “arancel reciproco” se trataría “</w:t>
      </w:r>
      <w:r>
        <w:rPr>
          <w:rFonts w:ascii="Arial" w:hAnsi="Arial"/>
          <w:i/>
          <w:sz w:val="22"/>
        </w:rPr>
        <w:t>de una medida</w:t>
      </w:r>
      <w:r>
        <w:rPr>
          <w:rFonts w:ascii="Arial" w:hAnsi="Arial"/>
          <w:i/>
          <w:spacing w:val="-8"/>
          <w:sz w:val="22"/>
        </w:rPr>
        <w:t> </w:t>
      </w:r>
      <w:r>
        <w:rPr>
          <w:rFonts w:ascii="Arial" w:hAnsi="Arial"/>
          <w:i/>
          <w:sz w:val="22"/>
        </w:rPr>
        <w:t>que</w:t>
      </w:r>
      <w:r>
        <w:rPr>
          <w:rFonts w:ascii="Arial" w:hAnsi="Arial"/>
          <w:i/>
          <w:spacing w:val="-10"/>
          <w:sz w:val="22"/>
        </w:rPr>
        <w:t> </w:t>
      </w:r>
      <w:r>
        <w:rPr>
          <w:rFonts w:ascii="Arial" w:hAnsi="Arial"/>
          <w:i/>
          <w:sz w:val="22"/>
        </w:rPr>
        <w:t>busca</w:t>
      </w:r>
      <w:r>
        <w:rPr>
          <w:rFonts w:ascii="Arial" w:hAnsi="Arial"/>
          <w:i/>
          <w:spacing w:val="-10"/>
          <w:sz w:val="22"/>
        </w:rPr>
        <w:t> </w:t>
      </w:r>
      <w:r>
        <w:rPr>
          <w:rFonts w:ascii="Arial" w:hAnsi="Arial"/>
          <w:i/>
          <w:sz w:val="22"/>
        </w:rPr>
        <w:t>evitar</w:t>
      </w:r>
      <w:r>
        <w:rPr>
          <w:rFonts w:ascii="Arial" w:hAnsi="Arial"/>
          <w:i/>
          <w:spacing w:val="-11"/>
          <w:sz w:val="22"/>
        </w:rPr>
        <w:t> </w:t>
      </w:r>
      <w:r>
        <w:rPr>
          <w:rFonts w:ascii="Arial" w:hAnsi="Arial"/>
          <w:i/>
          <w:sz w:val="22"/>
        </w:rPr>
        <w:t>un</w:t>
      </w:r>
      <w:r>
        <w:rPr>
          <w:rFonts w:ascii="Arial" w:hAnsi="Arial"/>
          <w:i/>
          <w:spacing w:val="-8"/>
          <w:sz w:val="22"/>
        </w:rPr>
        <w:t> </w:t>
      </w:r>
      <w:r>
        <w:rPr>
          <w:rFonts w:ascii="Arial" w:hAnsi="Arial"/>
          <w:i/>
          <w:sz w:val="22"/>
        </w:rPr>
        <w:t>perjuicio</w:t>
      </w:r>
      <w:r>
        <w:rPr>
          <w:rFonts w:ascii="Arial" w:hAnsi="Arial"/>
          <w:i/>
          <w:spacing w:val="-7"/>
          <w:sz w:val="22"/>
        </w:rPr>
        <w:t> </w:t>
      </w:r>
      <w:r>
        <w:rPr>
          <w:rFonts w:ascii="Arial" w:hAnsi="Arial"/>
          <w:i/>
          <w:sz w:val="22"/>
        </w:rPr>
        <w:t>irremediable</w:t>
      </w:r>
      <w:r>
        <w:rPr>
          <w:rFonts w:ascii="Arial" w:hAnsi="Arial"/>
          <w:i/>
          <w:spacing w:val="-10"/>
          <w:sz w:val="22"/>
        </w:rPr>
        <w:t> </w:t>
      </w:r>
      <w:r>
        <w:rPr>
          <w:rFonts w:ascii="Arial" w:hAnsi="Arial"/>
          <w:i/>
          <w:sz w:val="22"/>
        </w:rPr>
        <w:t>a</w:t>
      </w:r>
      <w:r>
        <w:rPr>
          <w:rFonts w:ascii="Arial" w:hAnsi="Arial"/>
          <w:i/>
          <w:spacing w:val="-7"/>
          <w:sz w:val="22"/>
        </w:rPr>
        <w:t> </w:t>
      </w:r>
      <w:r>
        <w:rPr>
          <w:rFonts w:ascii="Arial" w:hAnsi="Arial"/>
          <w:i/>
          <w:sz w:val="22"/>
        </w:rPr>
        <w:t>productos</w:t>
      </w:r>
      <w:r>
        <w:rPr>
          <w:rFonts w:ascii="Arial" w:hAnsi="Arial"/>
          <w:i/>
          <w:spacing w:val="-10"/>
          <w:sz w:val="22"/>
        </w:rPr>
        <w:t> </w:t>
      </w:r>
      <w:r>
        <w:rPr>
          <w:rFonts w:ascii="Arial" w:hAnsi="Arial"/>
          <w:i/>
          <w:sz w:val="22"/>
        </w:rPr>
        <w:t>nacionales</w:t>
      </w:r>
      <w:r>
        <w:rPr>
          <w:rFonts w:ascii="Arial" w:hAnsi="Arial"/>
          <w:i/>
          <w:spacing w:val="-7"/>
          <w:sz w:val="22"/>
        </w:rPr>
        <w:t> </w:t>
      </w:r>
      <w:r>
        <w:rPr>
          <w:rFonts w:ascii="Arial" w:hAnsi="Arial"/>
          <w:i/>
          <w:sz w:val="22"/>
        </w:rPr>
        <w:t>que</w:t>
      </w:r>
      <w:r>
        <w:rPr>
          <w:rFonts w:ascii="Arial" w:hAnsi="Arial"/>
          <w:i/>
          <w:spacing w:val="-8"/>
          <w:sz w:val="22"/>
        </w:rPr>
        <w:t> </w:t>
      </w:r>
      <w:r>
        <w:rPr>
          <w:rFonts w:ascii="Arial" w:hAnsi="Arial"/>
          <w:i/>
          <w:sz w:val="22"/>
        </w:rPr>
        <w:t>compiten con</w:t>
      </w:r>
      <w:r>
        <w:rPr>
          <w:rFonts w:ascii="Arial" w:hAnsi="Arial"/>
          <w:i/>
          <w:spacing w:val="-10"/>
          <w:sz w:val="22"/>
        </w:rPr>
        <w:t> </w:t>
      </w:r>
      <w:r>
        <w:rPr>
          <w:rFonts w:ascii="Arial" w:hAnsi="Arial"/>
          <w:i/>
          <w:sz w:val="22"/>
        </w:rPr>
        <w:t>productos</w:t>
      </w:r>
      <w:r>
        <w:rPr>
          <w:rFonts w:ascii="Arial" w:hAnsi="Arial"/>
          <w:i/>
          <w:spacing w:val="-12"/>
          <w:sz w:val="22"/>
        </w:rPr>
        <w:t> </w:t>
      </w:r>
      <w:r>
        <w:rPr>
          <w:rFonts w:ascii="Arial" w:hAnsi="Arial"/>
          <w:i/>
          <w:sz w:val="22"/>
        </w:rPr>
        <w:t>ecuatorianos</w:t>
      </w:r>
      <w:r>
        <w:rPr>
          <w:rFonts w:ascii="Arial" w:hAnsi="Arial"/>
          <w:i/>
          <w:spacing w:val="-10"/>
          <w:sz w:val="22"/>
        </w:rPr>
        <w:t> </w:t>
      </w:r>
      <w:r>
        <w:rPr>
          <w:rFonts w:ascii="Arial" w:hAnsi="Arial"/>
          <w:i/>
          <w:sz w:val="22"/>
        </w:rPr>
        <w:t>en</w:t>
      </w:r>
      <w:r>
        <w:rPr>
          <w:rFonts w:ascii="Arial" w:hAnsi="Arial"/>
          <w:i/>
          <w:spacing w:val="-10"/>
          <w:sz w:val="22"/>
        </w:rPr>
        <w:t> </w:t>
      </w:r>
      <w:r>
        <w:rPr>
          <w:rFonts w:ascii="Arial" w:hAnsi="Arial"/>
          <w:i/>
          <w:sz w:val="22"/>
        </w:rPr>
        <w:t>el</w:t>
      </w:r>
      <w:r>
        <w:rPr>
          <w:rFonts w:ascii="Arial" w:hAnsi="Arial"/>
          <w:i/>
          <w:spacing w:val="-13"/>
          <w:sz w:val="22"/>
        </w:rPr>
        <w:t> </w:t>
      </w:r>
      <w:r>
        <w:rPr>
          <w:rFonts w:ascii="Arial" w:hAnsi="Arial"/>
          <w:i/>
          <w:sz w:val="22"/>
        </w:rPr>
        <w:t>mercado</w:t>
      </w:r>
      <w:r>
        <w:rPr>
          <w:rFonts w:ascii="Arial" w:hAnsi="Arial"/>
          <w:i/>
          <w:spacing w:val="-12"/>
          <w:sz w:val="22"/>
        </w:rPr>
        <w:t> </w:t>
      </w:r>
      <w:r>
        <w:rPr>
          <w:rFonts w:ascii="Arial" w:hAnsi="Arial"/>
          <w:i/>
          <w:sz w:val="22"/>
        </w:rPr>
        <w:t>intrasubregional</w:t>
      </w:r>
      <w:r>
        <w:rPr>
          <w:rFonts w:ascii="Arial" w:hAnsi="Arial"/>
          <w:i/>
          <w:spacing w:val="-11"/>
          <w:sz w:val="22"/>
        </w:rPr>
        <w:t> </w:t>
      </w:r>
      <w:r>
        <w:rPr>
          <w:rFonts w:ascii="Arial" w:hAnsi="Arial"/>
          <w:i/>
          <w:sz w:val="22"/>
        </w:rPr>
        <w:t>andino,</w:t>
      </w:r>
      <w:r>
        <w:rPr>
          <w:rFonts w:ascii="Arial" w:hAnsi="Arial"/>
          <w:i/>
          <w:spacing w:val="-8"/>
          <w:sz w:val="22"/>
        </w:rPr>
        <w:t> </w:t>
      </w:r>
      <w:r>
        <w:rPr>
          <w:rFonts w:ascii="Arial" w:hAnsi="Arial"/>
          <w:i/>
          <w:sz w:val="22"/>
        </w:rPr>
        <w:t>lo</w:t>
      </w:r>
      <w:r>
        <w:rPr>
          <w:rFonts w:ascii="Arial" w:hAnsi="Arial"/>
          <w:i/>
          <w:spacing w:val="-10"/>
          <w:sz w:val="22"/>
        </w:rPr>
        <w:t> </w:t>
      </w:r>
      <w:r>
        <w:rPr>
          <w:rFonts w:ascii="Arial" w:hAnsi="Arial"/>
          <w:i/>
          <w:sz w:val="22"/>
        </w:rPr>
        <w:t>que</w:t>
      </w:r>
      <w:r>
        <w:rPr>
          <w:rFonts w:ascii="Arial" w:hAnsi="Arial"/>
          <w:i/>
          <w:spacing w:val="-12"/>
          <w:sz w:val="22"/>
        </w:rPr>
        <w:t> </w:t>
      </w:r>
      <w:r>
        <w:rPr>
          <w:rFonts w:ascii="Arial" w:hAnsi="Arial"/>
          <w:i/>
          <w:sz w:val="22"/>
        </w:rPr>
        <w:t>constituye</w:t>
      </w:r>
      <w:r>
        <w:rPr>
          <w:rFonts w:ascii="Arial" w:hAnsi="Arial"/>
          <w:i/>
          <w:spacing w:val="-13"/>
          <w:sz w:val="22"/>
        </w:rPr>
        <w:t> </w:t>
      </w:r>
      <w:r>
        <w:rPr>
          <w:rFonts w:ascii="Arial" w:hAnsi="Arial"/>
          <w:i/>
          <w:sz w:val="22"/>
        </w:rPr>
        <w:t>un asunto de seguridad nacional</w:t>
      </w:r>
      <w:r>
        <w:rPr>
          <w:sz w:val="22"/>
        </w:rPr>
        <w:t>”</w:t>
      </w:r>
      <w:hyperlink w:history="true" w:anchor="_bookmark108">
        <w:r>
          <w:rPr>
            <w:sz w:val="22"/>
            <w:vertAlign w:val="superscript"/>
          </w:rPr>
          <w:t>41</w:t>
        </w:r>
        <w:r>
          <w:rPr>
            <w:rFonts w:ascii="Arial" w:hAnsi="Arial"/>
            <w:i/>
            <w:sz w:val="22"/>
            <w:vertAlign w:val="baseline"/>
          </w:rPr>
          <w:t>,</w:t>
        </w:r>
      </w:hyperlink>
      <w:r>
        <w:rPr>
          <w:rFonts w:ascii="Arial" w:hAnsi="Arial"/>
          <w:i/>
          <w:sz w:val="22"/>
          <w:vertAlign w:val="baseline"/>
        </w:rPr>
        <w:t> </w:t>
      </w:r>
      <w:r>
        <w:rPr>
          <w:sz w:val="22"/>
          <w:vertAlign w:val="baseline"/>
        </w:rPr>
        <w:t>por lo que no debería entendida como una </w:t>
      </w:r>
      <w:r>
        <w:rPr>
          <w:spacing w:val="-2"/>
          <w:sz w:val="22"/>
          <w:vertAlign w:val="baseline"/>
        </w:rPr>
        <w:t>contramedida.</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7" w:hanging="567"/>
        <w:jc w:val="both"/>
        <w:rPr>
          <w:rFonts w:ascii="Arial" w:hAnsi="Arial"/>
          <w:i/>
          <w:sz w:val="22"/>
        </w:rPr>
      </w:pPr>
      <w:r>
        <w:rPr>
          <w:sz w:val="22"/>
        </w:rPr>
        <w:t>La República de Colombia argumentó adicionalmente la existencia de un escenario de tensión en las relaciones bilaterales entre ambos países, así como una presunta negativa de la</w:t>
      </w:r>
      <w:r>
        <w:rPr>
          <w:spacing w:val="-1"/>
          <w:sz w:val="22"/>
        </w:rPr>
        <w:t> </w:t>
      </w:r>
      <w:r>
        <w:rPr>
          <w:sz w:val="22"/>
        </w:rPr>
        <w:t>República del Ecuador a entablar negociaciones. Además, sostiene</w:t>
      </w:r>
      <w:r>
        <w:rPr>
          <w:spacing w:val="-1"/>
          <w:sz w:val="22"/>
        </w:rPr>
        <w:t> </w:t>
      </w:r>
      <w:r>
        <w:rPr>
          <w:sz w:val="22"/>
        </w:rPr>
        <w:t>que </w:t>
      </w:r>
      <w:r>
        <w:rPr>
          <w:rFonts w:ascii="Arial" w:hAnsi="Arial"/>
          <w:i/>
          <w:sz w:val="22"/>
        </w:rPr>
        <w:t>“uno</w:t>
      </w:r>
      <w:r>
        <w:rPr>
          <w:rFonts w:ascii="Arial" w:hAnsi="Arial"/>
          <w:i/>
          <w:spacing w:val="-7"/>
          <w:sz w:val="22"/>
        </w:rPr>
        <w:t> </w:t>
      </w:r>
      <w:r>
        <w:rPr>
          <w:rFonts w:ascii="Arial" w:hAnsi="Arial"/>
          <w:i/>
          <w:sz w:val="22"/>
        </w:rPr>
        <w:t>de</w:t>
      </w:r>
      <w:r>
        <w:rPr>
          <w:rFonts w:ascii="Arial" w:hAnsi="Arial"/>
          <w:i/>
          <w:spacing w:val="-10"/>
          <w:sz w:val="22"/>
        </w:rPr>
        <w:t> </w:t>
      </w:r>
      <w:r>
        <w:rPr>
          <w:rFonts w:ascii="Arial" w:hAnsi="Arial"/>
          <w:i/>
          <w:sz w:val="22"/>
        </w:rPr>
        <w:t>los</w:t>
      </w:r>
      <w:r>
        <w:rPr>
          <w:rFonts w:ascii="Arial" w:hAnsi="Arial"/>
          <w:i/>
          <w:spacing w:val="-7"/>
          <w:sz w:val="22"/>
        </w:rPr>
        <w:t> </w:t>
      </w:r>
      <w:r>
        <w:rPr>
          <w:rFonts w:ascii="Arial" w:hAnsi="Arial"/>
          <w:i/>
          <w:sz w:val="22"/>
        </w:rPr>
        <w:t>intereses</w:t>
      </w:r>
      <w:r>
        <w:rPr>
          <w:rFonts w:ascii="Arial" w:hAnsi="Arial"/>
          <w:i/>
          <w:spacing w:val="-7"/>
          <w:sz w:val="22"/>
        </w:rPr>
        <w:t> </w:t>
      </w:r>
      <w:r>
        <w:rPr>
          <w:rFonts w:ascii="Arial" w:hAnsi="Arial"/>
          <w:i/>
          <w:sz w:val="22"/>
        </w:rPr>
        <w:t>esenciales</w:t>
      </w:r>
      <w:r>
        <w:rPr>
          <w:rFonts w:ascii="Arial" w:hAnsi="Arial"/>
          <w:i/>
          <w:spacing w:val="-7"/>
          <w:sz w:val="22"/>
        </w:rPr>
        <w:t> </w:t>
      </w:r>
      <w:r>
        <w:rPr>
          <w:rFonts w:ascii="Arial" w:hAnsi="Arial"/>
          <w:i/>
          <w:sz w:val="22"/>
        </w:rPr>
        <w:t>de</w:t>
      </w:r>
      <w:r>
        <w:rPr>
          <w:rFonts w:ascii="Arial" w:hAnsi="Arial"/>
          <w:i/>
          <w:spacing w:val="-8"/>
          <w:sz w:val="22"/>
        </w:rPr>
        <w:t> </w:t>
      </w:r>
      <w:r>
        <w:rPr>
          <w:rFonts w:ascii="Arial" w:hAnsi="Arial"/>
          <w:i/>
          <w:sz w:val="22"/>
        </w:rPr>
        <w:t>seguridad</w:t>
      </w:r>
      <w:r>
        <w:rPr>
          <w:rFonts w:ascii="Arial" w:hAnsi="Arial"/>
          <w:i/>
          <w:spacing w:val="-7"/>
          <w:sz w:val="22"/>
        </w:rPr>
        <w:t> </w:t>
      </w:r>
      <w:r>
        <w:rPr>
          <w:rFonts w:ascii="Arial" w:hAnsi="Arial"/>
          <w:i/>
          <w:sz w:val="22"/>
        </w:rPr>
        <w:t>nacional</w:t>
      </w:r>
      <w:r>
        <w:rPr>
          <w:rFonts w:ascii="Arial" w:hAnsi="Arial"/>
          <w:i/>
          <w:spacing w:val="-8"/>
          <w:sz w:val="22"/>
        </w:rPr>
        <w:t> </w:t>
      </w:r>
      <w:r>
        <w:rPr>
          <w:rFonts w:ascii="Arial" w:hAnsi="Arial"/>
          <w:i/>
          <w:sz w:val="22"/>
        </w:rPr>
        <w:t>de</w:t>
      </w:r>
      <w:r>
        <w:rPr>
          <w:rFonts w:ascii="Arial" w:hAnsi="Arial"/>
          <w:i/>
          <w:spacing w:val="-8"/>
          <w:sz w:val="22"/>
        </w:rPr>
        <w:t> </w:t>
      </w:r>
      <w:r>
        <w:rPr>
          <w:rFonts w:ascii="Arial" w:hAnsi="Arial"/>
          <w:i/>
          <w:sz w:val="22"/>
        </w:rPr>
        <w:t>Colombia</w:t>
      </w:r>
      <w:r>
        <w:rPr>
          <w:rFonts w:ascii="Arial" w:hAnsi="Arial"/>
          <w:i/>
          <w:spacing w:val="-7"/>
          <w:sz w:val="22"/>
        </w:rPr>
        <w:t> </w:t>
      </w:r>
      <w:r>
        <w:rPr>
          <w:rFonts w:ascii="Arial" w:hAnsi="Arial"/>
          <w:i/>
          <w:sz w:val="22"/>
        </w:rPr>
        <w:t>es</w:t>
      </w:r>
      <w:r>
        <w:rPr>
          <w:rFonts w:ascii="Arial" w:hAnsi="Arial"/>
          <w:i/>
          <w:spacing w:val="-10"/>
          <w:sz w:val="22"/>
        </w:rPr>
        <w:t> </w:t>
      </w:r>
      <w:r>
        <w:rPr>
          <w:rFonts w:ascii="Arial" w:hAnsi="Arial"/>
          <w:i/>
          <w:sz w:val="22"/>
        </w:rPr>
        <w:t>evitar</w:t>
      </w:r>
      <w:r>
        <w:rPr>
          <w:rFonts w:ascii="Arial" w:hAnsi="Arial"/>
          <w:i/>
          <w:spacing w:val="-7"/>
          <w:sz w:val="22"/>
        </w:rPr>
        <w:t> </w:t>
      </w:r>
      <w:r>
        <w:rPr>
          <w:rFonts w:ascii="Arial" w:hAnsi="Arial"/>
          <w:i/>
          <w:sz w:val="22"/>
        </w:rPr>
        <w:t>la</w:t>
      </w:r>
      <w:r>
        <w:rPr>
          <w:rFonts w:ascii="Arial" w:hAnsi="Arial"/>
          <w:i/>
          <w:spacing w:val="-10"/>
          <w:sz w:val="22"/>
        </w:rPr>
        <w:t> </w:t>
      </w:r>
      <w:r>
        <w:rPr>
          <w:rFonts w:ascii="Arial" w:hAnsi="Arial"/>
          <w:i/>
          <w:sz w:val="22"/>
        </w:rPr>
        <w:t>quiebra de</w:t>
      </w:r>
      <w:r>
        <w:rPr>
          <w:rFonts w:ascii="Arial" w:hAnsi="Arial"/>
          <w:i/>
          <w:spacing w:val="-16"/>
          <w:sz w:val="22"/>
        </w:rPr>
        <w:t> </w:t>
      </w:r>
      <w:r>
        <w:rPr>
          <w:rFonts w:ascii="Arial" w:hAnsi="Arial"/>
          <w:i/>
          <w:sz w:val="22"/>
        </w:rPr>
        <w:t>su</w:t>
      </w:r>
      <w:r>
        <w:rPr>
          <w:rFonts w:ascii="Arial" w:hAnsi="Arial"/>
          <w:i/>
          <w:spacing w:val="-13"/>
          <w:sz w:val="22"/>
        </w:rPr>
        <w:t> </w:t>
      </w:r>
      <w:r>
        <w:rPr>
          <w:rFonts w:ascii="Arial" w:hAnsi="Arial"/>
          <w:i/>
          <w:sz w:val="22"/>
        </w:rPr>
        <w:t>sector</w:t>
      </w:r>
      <w:r>
        <w:rPr>
          <w:rFonts w:ascii="Arial" w:hAnsi="Arial"/>
          <w:i/>
          <w:spacing w:val="-15"/>
          <w:sz w:val="22"/>
        </w:rPr>
        <w:t> </w:t>
      </w:r>
      <w:r>
        <w:rPr>
          <w:rFonts w:ascii="Arial" w:hAnsi="Arial"/>
          <w:i/>
          <w:sz w:val="22"/>
        </w:rPr>
        <w:t>productivo.</w:t>
      </w:r>
      <w:r>
        <w:rPr>
          <w:rFonts w:ascii="Arial" w:hAnsi="Arial"/>
          <w:i/>
          <w:spacing w:val="-16"/>
          <w:sz w:val="22"/>
        </w:rPr>
        <w:t> </w:t>
      </w:r>
      <w:r>
        <w:rPr>
          <w:rFonts w:ascii="Arial" w:hAnsi="Arial"/>
          <w:i/>
          <w:sz w:val="22"/>
        </w:rPr>
        <w:t>Las</w:t>
      </w:r>
      <w:r>
        <w:rPr>
          <w:rFonts w:ascii="Arial" w:hAnsi="Arial"/>
          <w:i/>
          <w:spacing w:val="-12"/>
          <w:sz w:val="22"/>
        </w:rPr>
        <w:t> </w:t>
      </w:r>
      <w:r>
        <w:rPr>
          <w:rFonts w:ascii="Arial" w:hAnsi="Arial"/>
          <w:i/>
          <w:sz w:val="22"/>
        </w:rPr>
        <w:t>medidas</w:t>
      </w:r>
      <w:r>
        <w:rPr>
          <w:rFonts w:ascii="Arial" w:hAnsi="Arial"/>
          <w:i/>
          <w:spacing w:val="-16"/>
          <w:sz w:val="22"/>
        </w:rPr>
        <w:t> </w:t>
      </w:r>
      <w:r>
        <w:rPr>
          <w:rFonts w:ascii="Arial" w:hAnsi="Arial"/>
          <w:i/>
          <w:sz w:val="22"/>
        </w:rPr>
        <w:t>tomadas</w:t>
      </w:r>
      <w:r>
        <w:rPr>
          <w:rFonts w:ascii="Arial" w:hAnsi="Arial"/>
          <w:i/>
          <w:spacing w:val="-12"/>
          <w:sz w:val="22"/>
        </w:rPr>
        <w:t> </w:t>
      </w:r>
      <w:r>
        <w:rPr>
          <w:rFonts w:ascii="Arial" w:hAnsi="Arial"/>
          <w:i/>
          <w:sz w:val="22"/>
        </w:rPr>
        <w:t>por</w:t>
      </w:r>
      <w:r>
        <w:rPr>
          <w:rFonts w:ascii="Arial" w:hAnsi="Arial"/>
          <w:i/>
          <w:spacing w:val="-13"/>
          <w:sz w:val="22"/>
        </w:rPr>
        <w:t> </w:t>
      </w:r>
      <w:r>
        <w:rPr>
          <w:rFonts w:ascii="Arial" w:hAnsi="Arial"/>
          <w:i/>
          <w:sz w:val="22"/>
        </w:rPr>
        <w:t>Ecuador</w:t>
      </w:r>
      <w:r>
        <w:rPr>
          <w:rFonts w:ascii="Arial" w:hAnsi="Arial"/>
          <w:i/>
          <w:spacing w:val="-15"/>
          <w:sz w:val="22"/>
        </w:rPr>
        <w:t> </w:t>
      </w:r>
      <w:r>
        <w:rPr>
          <w:rFonts w:ascii="Arial" w:hAnsi="Arial"/>
          <w:i/>
          <w:sz w:val="22"/>
        </w:rPr>
        <w:t>a</w:t>
      </w:r>
      <w:r>
        <w:rPr>
          <w:rFonts w:ascii="Arial" w:hAnsi="Arial"/>
          <w:i/>
          <w:spacing w:val="-16"/>
          <w:sz w:val="22"/>
        </w:rPr>
        <w:t> </w:t>
      </w:r>
      <w:r>
        <w:rPr>
          <w:rFonts w:ascii="Arial" w:hAnsi="Arial"/>
          <w:i/>
          <w:sz w:val="22"/>
        </w:rPr>
        <w:t>través</w:t>
      </w:r>
      <w:r>
        <w:rPr>
          <w:rFonts w:ascii="Arial" w:hAnsi="Arial"/>
          <w:i/>
          <w:spacing w:val="-12"/>
          <w:sz w:val="22"/>
        </w:rPr>
        <w:t> </w:t>
      </w:r>
      <w:r>
        <w:rPr>
          <w:rFonts w:ascii="Arial" w:hAnsi="Arial"/>
          <w:i/>
          <w:sz w:val="22"/>
        </w:rPr>
        <w:t>de</w:t>
      </w:r>
      <w:r>
        <w:rPr>
          <w:rFonts w:ascii="Arial" w:hAnsi="Arial"/>
          <w:i/>
          <w:spacing w:val="-16"/>
          <w:sz w:val="22"/>
        </w:rPr>
        <w:t> </w:t>
      </w:r>
      <w:r>
        <w:rPr>
          <w:rFonts w:ascii="Arial" w:hAnsi="Arial"/>
          <w:i/>
          <w:sz w:val="22"/>
        </w:rPr>
        <w:t>sus</w:t>
      </w:r>
      <w:r>
        <w:rPr>
          <w:rFonts w:ascii="Arial" w:hAnsi="Arial"/>
          <w:i/>
          <w:spacing w:val="-15"/>
          <w:sz w:val="22"/>
        </w:rPr>
        <w:t> </w:t>
      </w:r>
      <w:r>
        <w:rPr>
          <w:rFonts w:ascii="Arial" w:hAnsi="Arial"/>
          <w:i/>
          <w:sz w:val="22"/>
        </w:rPr>
        <w:t>resoluciones SENAE</w:t>
      </w:r>
      <w:r>
        <w:rPr>
          <w:rFonts w:ascii="Arial" w:hAnsi="Arial"/>
          <w:i/>
          <w:spacing w:val="40"/>
          <w:sz w:val="22"/>
        </w:rPr>
        <w:t> </w:t>
      </w:r>
      <w:r>
        <w:rPr>
          <w:rFonts w:ascii="Arial" w:hAnsi="Arial"/>
          <w:i/>
          <w:sz w:val="22"/>
        </w:rPr>
        <w:t>SENAE-2026-0006-RE;</w:t>
      </w:r>
      <w:r>
        <w:rPr>
          <w:rFonts w:ascii="Arial" w:hAnsi="Arial"/>
          <w:i/>
          <w:spacing w:val="40"/>
          <w:sz w:val="22"/>
        </w:rPr>
        <w:t> </w:t>
      </w:r>
      <w:r>
        <w:rPr>
          <w:rFonts w:ascii="Arial" w:hAnsi="Arial"/>
          <w:i/>
          <w:sz w:val="22"/>
        </w:rPr>
        <w:t>SENAE</w:t>
      </w:r>
      <w:r>
        <w:rPr>
          <w:rFonts w:ascii="Arial" w:hAnsi="Arial"/>
          <w:i/>
          <w:spacing w:val="40"/>
          <w:sz w:val="22"/>
        </w:rPr>
        <w:t> </w:t>
      </w:r>
      <w:r>
        <w:rPr>
          <w:rFonts w:ascii="Arial" w:hAnsi="Arial"/>
          <w:i/>
          <w:sz w:val="22"/>
        </w:rPr>
        <w:t>SENAE-2026-0017-RE</w:t>
      </w:r>
      <w:r>
        <w:rPr>
          <w:rFonts w:ascii="Arial" w:hAnsi="Arial"/>
          <w:i/>
          <w:spacing w:val="40"/>
          <w:sz w:val="22"/>
        </w:rPr>
        <w:t> </w:t>
      </w:r>
      <w:r>
        <w:rPr>
          <w:rFonts w:ascii="Arial" w:hAnsi="Arial"/>
          <w:i/>
          <w:sz w:val="22"/>
        </w:rPr>
        <w:t>y</w:t>
      </w:r>
      <w:r>
        <w:rPr>
          <w:rFonts w:ascii="Arial" w:hAnsi="Arial"/>
          <w:i/>
          <w:spacing w:val="40"/>
          <w:sz w:val="22"/>
        </w:rPr>
        <w:t> </w:t>
      </w:r>
      <w:r>
        <w:rPr>
          <w:rFonts w:ascii="Arial" w:hAnsi="Arial"/>
          <w:i/>
          <w:sz w:val="22"/>
        </w:rPr>
        <w:t>SENAE-SENAE-</w:t>
      </w:r>
    </w:p>
    <w:p>
      <w:pPr>
        <w:spacing w:before="0"/>
        <w:ind w:left="1134" w:right="977" w:firstLine="0"/>
        <w:jc w:val="both"/>
        <w:rPr>
          <w:sz w:val="22"/>
        </w:rPr>
      </w:pPr>
      <w:r>
        <w:rPr>
          <w:rFonts w:ascii="Arial" w:hAnsi="Arial"/>
          <w:i/>
          <w:sz w:val="22"/>
        </w:rPr>
        <w:t>2026-0031-RE, generaron una afectación significativa a los exportadores colombianos que derivan su sustento de exportar mercancías a Ecuador. Así mismo, resultan perjudicados los productos colombianos</w:t>
      </w:r>
      <w:r>
        <w:rPr>
          <w:rFonts w:ascii="Arial" w:hAnsi="Arial"/>
          <w:i/>
          <w:spacing w:val="-1"/>
          <w:sz w:val="22"/>
        </w:rPr>
        <w:t> </w:t>
      </w:r>
      <w:r>
        <w:rPr>
          <w:rFonts w:ascii="Arial" w:hAnsi="Arial"/>
          <w:i/>
          <w:sz w:val="22"/>
        </w:rPr>
        <w:t>que compiten con</w:t>
      </w:r>
      <w:r>
        <w:rPr>
          <w:rFonts w:ascii="Arial" w:hAnsi="Arial"/>
          <w:i/>
          <w:spacing w:val="-1"/>
          <w:sz w:val="22"/>
        </w:rPr>
        <w:t> </w:t>
      </w:r>
      <w:r>
        <w:rPr>
          <w:rFonts w:ascii="Arial" w:hAnsi="Arial"/>
          <w:i/>
          <w:sz w:val="22"/>
        </w:rPr>
        <w:t>los productos</w:t>
      </w:r>
      <w:r>
        <w:rPr>
          <w:rFonts w:ascii="Arial" w:hAnsi="Arial"/>
          <w:i/>
          <w:spacing w:val="-3"/>
          <w:sz w:val="22"/>
        </w:rPr>
        <w:t> </w:t>
      </w:r>
      <w:r>
        <w:rPr>
          <w:rFonts w:ascii="Arial" w:hAnsi="Arial"/>
          <w:i/>
          <w:sz w:val="22"/>
        </w:rPr>
        <w:t>ecuatorianos, en los mercados de ambos países, en condiciones de desigualdad.</w:t>
      </w:r>
      <w:r>
        <w:rPr>
          <w:sz w:val="22"/>
        </w:rPr>
        <w:t>”</w:t>
      </w:r>
      <w:hyperlink w:history="true" w:anchor="_bookmark109">
        <w:r>
          <w:rPr>
            <w:sz w:val="22"/>
            <w:vertAlign w:val="superscript"/>
          </w:rPr>
          <w:t>42</w:t>
        </w:r>
      </w:hyperlink>
      <w:r>
        <w:rPr>
          <w:sz w:val="22"/>
          <w:vertAlign w:val="baseline"/>
        </w:rPr>
        <w:t>.</w:t>
      </w:r>
    </w:p>
    <w:p>
      <w:pPr>
        <w:pStyle w:val="ListParagraph"/>
        <w:numPr>
          <w:ilvl w:val="0"/>
          <w:numId w:val="50"/>
        </w:numPr>
        <w:tabs>
          <w:tab w:pos="1130" w:val="left" w:leader="none"/>
          <w:tab w:pos="1134" w:val="left" w:leader="none"/>
        </w:tabs>
        <w:spacing w:line="240" w:lineRule="auto" w:before="252" w:after="0"/>
        <w:ind w:left="1134" w:right="979" w:hanging="567"/>
        <w:jc w:val="both"/>
        <w:rPr>
          <w:sz w:val="22"/>
        </w:rPr>
      </w:pPr>
      <w:r>
        <w:rPr>
          <w:sz w:val="22"/>
        </w:rPr>
        <w:t>La</w:t>
      </w:r>
      <w:r>
        <w:rPr>
          <w:spacing w:val="-9"/>
          <w:sz w:val="22"/>
        </w:rPr>
        <w:t> </w:t>
      </w:r>
      <w:r>
        <w:rPr>
          <w:sz w:val="22"/>
        </w:rPr>
        <w:t>República</w:t>
      </w:r>
      <w:r>
        <w:rPr>
          <w:spacing w:val="-9"/>
          <w:sz w:val="22"/>
        </w:rPr>
        <w:t> </w:t>
      </w:r>
      <w:r>
        <w:rPr>
          <w:sz w:val="22"/>
        </w:rPr>
        <w:t>de</w:t>
      </w:r>
      <w:r>
        <w:rPr>
          <w:spacing w:val="-12"/>
          <w:sz w:val="22"/>
        </w:rPr>
        <w:t> </w:t>
      </w:r>
      <w:r>
        <w:rPr>
          <w:sz w:val="22"/>
        </w:rPr>
        <w:t>Colombia</w:t>
      </w:r>
      <w:r>
        <w:rPr>
          <w:spacing w:val="-9"/>
          <w:sz w:val="22"/>
        </w:rPr>
        <w:t> </w:t>
      </w:r>
      <w:r>
        <w:rPr>
          <w:sz w:val="22"/>
        </w:rPr>
        <w:t>precisa</w:t>
      </w:r>
      <w:r>
        <w:rPr>
          <w:spacing w:val="-9"/>
          <w:sz w:val="22"/>
        </w:rPr>
        <w:t> </w:t>
      </w:r>
      <w:r>
        <w:rPr>
          <w:sz w:val="22"/>
        </w:rPr>
        <w:t>que,</w:t>
      </w:r>
      <w:r>
        <w:rPr>
          <w:spacing w:val="-10"/>
          <w:sz w:val="22"/>
        </w:rPr>
        <w:t> </w:t>
      </w:r>
      <w:r>
        <w:rPr>
          <w:sz w:val="22"/>
        </w:rPr>
        <w:t>en</w:t>
      </w:r>
      <w:r>
        <w:rPr>
          <w:spacing w:val="-12"/>
          <w:sz w:val="22"/>
        </w:rPr>
        <w:t> </w:t>
      </w:r>
      <w:r>
        <w:rPr>
          <w:sz w:val="22"/>
        </w:rPr>
        <w:t>caso</w:t>
      </w:r>
      <w:r>
        <w:rPr>
          <w:spacing w:val="-12"/>
          <w:sz w:val="22"/>
        </w:rPr>
        <w:t> </w:t>
      </w:r>
      <w:r>
        <w:rPr>
          <w:sz w:val="22"/>
        </w:rPr>
        <w:t>de</w:t>
      </w:r>
      <w:r>
        <w:rPr>
          <w:spacing w:val="-7"/>
          <w:sz w:val="22"/>
        </w:rPr>
        <w:t> </w:t>
      </w:r>
      <w:r>
        <w:rPr>
          <w:sz w:val="22"/>
        </w:rPr>
        <w:t>no</w:t>
      </w:r>
      <w:r>
        <w:rPr>
          <w:spacing w:val="-12"/>
          <w:sz w:val="22"/>
        </w:rPr>
        <w:t> </w:t>
      </w:r>
      <w:r>
        <w:rPr>
          <w:sz w:val="22"/>
        </w:rPr>
        <w:t>responder</w:t>
      </w:r>
      <w:r>
        <w:rPr>
          <w:spacing w:val="-10"/>
          <w:sz w:val="22"/>
        </w:rPr>
        <w:t> </w:t>
      </w:r>
      <w:r>
        <w:rPr>
          <w:rFonts w:ascii="Arial" w:hAnsi="Arial"/>
          <w:i/>
          <w:sz w:val="22"/>
        </w:rPr>
        <w:t>“de</w:t>
      </w:r>
      <w:r>
        <w:rPr>
          <w:rFonts w:ascii="Arial" w:hAnsi="Arial"/>
          <w:i/>
          <w:spacing w:val="-14"/>
          <w:sz w:val="22"/>
        </w:rPr>
        <w:t> </w:t>
      </w:r>
      <w:r>
        <w:rPr>
          <w:rFonts w:ascii="Arial" w:hAnsi="Arial"/>
          <w:i/>
          <w:sz w:val="22"/>
        </w:rPr>
        <w:t>forma</w:t>
      </w:r>
      <w:r>
        <w:rPr>
          <w:rFonts w:ascii="Arial" w:hAnsi="Arial"/>
          <w:i/>
          <w:spacing w:val="-11"/>
          <w:sz w:val="22"/>
        </w:rPr>
        <w:t> </w:t>
      </w:r>
      <w:r>
        <w:rPr>
          <w:rFonts w:ascii="Arial" w:hAnsi="Arial"/>
          <w:i/>
          <w:sz w:val="22"/>
        </w:rPr>
        <w:t>proporcional y de conformidad con los estándares aplicables bajo el Acuerdo de Cartagena y el GATT, por lo menos 606 sectores de la economía colombiana se verían en riesgo de quiebra por cuenta de los aranceles de Ecuador</w:t>
      </w:r>
      <w:r>
        <w:rPr>
          <w:sz w:val="22"/>
        </w:rPr>
        <w:t>”</w:t>
      </w:r>
      <w:hyperlink w:history="true" w:anchor="_bookmark110">
        <w:r>
          <w:rPr>
            <w:sz w:val="22"/>
            <w:vertAlign w:val="superscript"/>
          </w:rPr>
          <w:t>43</w:t>
        </w:r>
      </w:hyperlink>
      <w:r>
        <w:rPr>
          <w:sz w:val="22"/>
          <w:vertAlign w:val="baseline"/>
        </w:rPr>
        <w:t>.</w:t>
      </w:r>
    </w:p>
    <w:p>
      <w:pPr>
        <w:pStyle w:val="BodyText"/>
        <w:spacing w:before="10"/>
        <w:rPr>
          <w:sz w:val="18"/>
        </w:rPr>
      </w:pPr>
      <w:r>
        <w:rPr>
          <w:sz w:val="18"/>
        </w:rPr>
        <mc:AlternateContent>
          <mc:Choice Requires="wps">
            <w:drawing>
              <wp:anchor distT="0" distB="0" distL="0" distR="0" allowOverlap="1" layoutInCell="1" locked="0" behindDoc="1" simplePos="0" relativeHeight="487639552">
                <wp:simplePos x="0" y="0"/>
                <wp:positionH relativeFrom="page">
                  <wp:posOffset>990904</wp:posOffset>
                </wp:positionH>
                <wp:positionV relativeFrom="paragraph">
                  <wp:posOffset>153281</wp:posOffset>
                </wp:positionV>
                <wp:extent cx="1829435" cy="7620"/>
                <wp:effectExtent l="0" t="0" r="0" b="0"/>
                <wp:wrapTopAndBottom/>
                <wp:docPr id="489" name="Graphic 489"/>
                <wp:cNvGraphicFramePr>
                  <a:graphicFrameLocks/>
                </wp:cNvGraphicFramePr>
                <a:graphic>
                  <a:graphicData uri="http://schemas.microsoft.com/office/word/2010/wordprocessingShape">
                    <wps:wsp>
                      <wps:cNvPr id="489" name="Graphic 489"/>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2.069374pt;width:144.020pt;height:.60004pt;mso-position-horizontal-relative:page;mso-position-vertical-relative:paragraph;z-index:-15676928;mso-wrap-distance-left:0;mso-wrap-distance-right:0" id="docshape338" filled="true" fillcolor="#000000" stroked="false">
                <v:fill type="solid"/>
                <w10:wrap type="topAndBottom"/>
              </v:rect>
            </w:pict>
          </mc:Fallback>
        </mc:AlternateContent>
      </w:r>
    </w:p>
    <w:p>
      <w:pPr>
        <w:spacing w:line="183" w:lineRule="exact" w:before="92"/>
        <w:ind w:left="568" w:right="0" w:firstLine="0"/>
        <w:jc w:val="left"/>
        <w:rPr>
          <w:sz w:val="16"/>
        </w:rPr>
      </w:pPr>
      <w:bookmarkStart w:name="_bookmark105" w:id="106"/>
      <w:bookmarkEnd w:id="106"/>
      <w:r>
        <w:rPr/>
      </w:r>
      <w:r>
        <w:rPr>
          <w:sz w:val="16"/>
          <w:vertAlign w:val="superscript"/>
        </w:rPr>
        <w:t>38</w:t>
      </w:r>
      <w:r>
        <w:rPr>
          <w:spacing w:val="-8"/>
          <w:sz w:val="16"/>
          <w:vertAlign w:val="baseline"/>
        </w:rPr>
        <w:t> </w:t>
      </w:r>
      <w:r>
        <w:rPr>
          <w:sz w:val="16"/>
          <w:vertAlign w:val="baseline"/>
        </w:rPr>
        <w:t>Expediente</w:t>
      </w:r>
      <w:r>
        <w:rPr>
          <w:spacing w:val="-9"/>
          <w:sz w:val="16"/>
          <w:vertAlign w:val="baseline"/>
        </w:rPr>
        <w:t> </w:t>
      </w:r>
      <w:r>
        <w:rPr>
          <w:sz w:val="16"/>
          <w:vertAlign w:val="baseline"/>
        </w:rPr>
        <w:t>SG/DGCOM/RES-GRAV/002,</w:t>
      </w:r>
      <w:r>
        <w:rPr>
          <w:spacing w:val="-8"/>
          <w:sz w:val="16"/>
          <w:vertAlign w:val="baseline"/>
        </w:rPr>
        <w:t> </w:t>
      </w:r>
      <w:r>
        <w:rPr>
          <w:sz w:val="16"/>
          <w:vertAlign w:val="baseline"/>
        </w:rPr>
        <w:t>folio</w:t>
      </w:r>
      <w:r>
        <w:rPr>
          <w:spacing w:val="-7"/>
          <w:sz w:val="16"/>
          <w:vertAlign w:val="baseline"/>
        </w:rPr>
        <w:t> </w:t>
      </w:r>
      <w:r>
        <w:rPr>
          <w:spacing w:val="-2"/>
          <w:sz w:val="16"/>
          <w:vertAlign w:val="baseline"/>
        </w:rPr>
        <w:t>000012.</w:t>
      </w:r>
    </w:p>
    <w:p>
      <w:pPr>
        <w:spacing w:line="183" w:lineRule="exact" w:before="0"/>
        <w:ind w:left="568" w:right="0" w:firstLine="0"/>
        <w:jc w:val="left"/>
        <w:rPr>
          <w:sz w:val="16"/>
        </w:rPr>
      </w:pPr>
      <w:bookmarkStart w:name="_bookmark106" w:id="107"/>
      <w:bookmarkEnd w:id="107"/>
      <w:r>
        <w:rPr/>
      </w:r>
      <w:r>
        <w:rPr>
          <w:sz w:val="16"/>
          <w:vertAlign w:val="superscript"/>
        </w:rPr>
        <w:t>39</w:t>
      </w:r>
      <w:r>
        <w:rPr>
          <w:spacing w:val="-8"/>
          <w:sz w:val="16"/>
          <w:vertAlign w:val="baseline"/>
        </w:rPr>
        <w:t> </w:t>
      </w:r>
      <w:r>
        <w:rPr>
          <w:sz w:val="16"/>
          <w:vertAlign w:val="baseline"/>
        </w:rPr>
        <w:t>Expediente</w:t>
      </w:r>
      <w:r>
        <w:rPr>
          <w:spacing w:val="-9"/>
          <w:sz w:val="16"/>
          <w:vertAlign w:val="baseline"/>
        </w:rPr>
        <w:t> </w:t>
      </w:r>
      <w:r>
        <w:rPr>
          <w:sz w:val="16"/>
          <w:vertAlign w:val="baseline"/>
        </w:rPr>
        <w:t>SG/DGCOM/RES-GRAV/002,</w:t>
      </w:r>
      <w:r>
        <w:rPr>
          <w:spacing w:val="-8"/>
          <w:sz w:val="16"/>
          <w:vertAlign w:val="baseline"/>
        </w:rPr>
        <w:t> </w:t>
      </w:r>
      <w:r>
        <w:rPr>
          <w:sz w:val="16"/>
          <w:vertAlign w:val="baseline"/>
        </w:rPr>
        <w:t>folio</w:t>
      </w:r>
      <w:r>
        <w:rPr>
          <w:spacing w:val="-7"/>
          <w:sz w:val="16"/>
          <w:vertAlign w:val="baseline"/>
        </w:rPr>
        <w:t> </w:t>
      </w:r>
      <w:r>
        <w:rPr>
          <w:spacing w:val="-2"/>
          <w:sz w:val="16"/>
          <w:vertAlign w:val="baseline"/>
        </w:rPr>
        <w:t>000014.</w:t>
      </w:r>
    </w:p>
    <w:p>
      <w:pPr>
        <w:spacing w:before="1"/>
        <w:ind w:left="568" w:right="0" w:firstLine="0"/>
        <w:jc w:val="left"/>
        <w:rPr>
          <w:sz w:val="16"/>
        </w:rPr>
      </w:pPr>
      <w:bookmarkStart w:name="_bookmark107" w:id="108"/>
      <w:bookmarkEnd w:id="108"/>
      <w:r>
        <w:rPr/>
      </w:r>
      <w:r>
        <w:rPr>
          <w:sz w:val="16"/>
          <w:vertAlign w:val="superscript"/>
        </w:rPr>
        <w:t>40</w:t>
      </w:r>
      <w:r>
        <w:rPr>
          <w:spacing w:val="-8"/>
          <w:sz w:val="16"/>
          <w:vertAlign w:val="baseline"/>
        </w:rPr>
        <w:t> </w:t>
      </w:r>
      <w:r>
        <w:rPr>
          <w:sz w:val="16"/>
          <w:vertAlign w:val="baseline"/>
        </w:rPr>
        <w:t>Expediente</w:t>
      </w:r>
      <w:r>
        <w:rPr>
          <w:spacing w:val="-9"/>
          <w:sz w:val="16"/>
          <w:vertAlign w:val="baseline"/>
        </w:rPr>
        <w:t> </w:t>
      </w:r>
      <w:r>
        <w:rPr>
          <w:sz w:val="16"/>
          <w:vertAlign w:val="baseline"/>
        </w:rPr>
        <w:t>SG/DGCOM/RES-GRAV/002,</w:t>
      </w:r>
      <w:r>
        <w:rPr>
          <w:spacing w:val="-8"/>
          <w:sz w:val="16"/>
          <w:vertAlign w:val="baseline"/>
        </w:rPr>
        <w:t> </w:t>
      </w:r>
      <w:r>
        <w:rPr>
          <w:sz w:val="16"/>
          <w:vertAlign w:val="baseline"/>
        </w:rPr>
        <w:t>folio</w:t>
      </w:r>
      <w:r>
        <w:rPr>
          <w:spacing w:val="-7"/>
          <w:sz w:val="16"/>
          <w:vertAlign w:val="baseline"/>
        </w:rPr>
        <w:t> </w:t>
      </w:r>
      <w:r>
        <w:rPr>
          <w:spacing w:val="-2"/>
          <w:sz w:val="16"/>
          <w:vertAlign w:val="baseline"/>
        </w:rPr>
        <w:t>000352.</w:t>
      </w:r>
    </w:p>
    <w:p>
      <w:pPr>
        <w:spacing w:line="183" w:lineRule="exact" w:before="1"/>
        <w:ind w:left="568" w:right="0" w:firstLine="0"/>
        <w:jc w:val="left"/>
        <w:rPr>
          <w:sz w:val="16"/>
        </w:rPr>
      </w:pPr>
      <w:bookmarkStart w:name="_bookmark108" w:id="109"/>
      <w:bookmarkEnd w:id="109"/>
      <w:r>
        <w:rPr/>
      </w:r>
      <w:r>
        <w:rPr>
          <w:sz w:val="16"/>
          <w:vertAlign w:val="superscript"/>
        </w:rPr>
        <w:t>41</w:t>
      </w:r>
      <w:r>
        <w:rPr>
          <w:spacing w:val="-10"/>
          <w:sz w:val="16"/>
          <w:vertAlign w:val="baseline"/>
        </w:rPr>
        <w:t> </w:t>
      </w:r>
      <w:r>
        <w:rPr>
          <w:sz w:val="16"/>
          <w:vertAlign w:val="baseline"/>
        </w:rPr>
        <w:t>Expediente</w:t>
      </w:r>
      <w:r>
        <w:rPr>
          <w:spacing w:val="-10"/>
          <w:sz w:val="16"/>
          <w:vertAlign w:val="baseline"/>
        </w:rPr>
        <w:t> </w:t>
      </w:r>
      <w:r>
        <w:rPr>
          <w:sz w:val="16"/>
          <w:vertAlign w:val="baseline"/>
        </w:rPr>
        <w:t>SG/DGCOM/RES-GRAV/002,</w:t>
      </w:r>
      <w:r>
        <w:rPr>
          <w:spacing w:val="-10"/>
          <w:sz w:val="16"/>
          <w:vertAlign w:val="baseline"/>
        </w:rPr>
        <w:t> </w:t>
      </w:r>
      <w:r>
        <w:rPr>
          <w:rFonts w:ascii="Arial"/>
          <w:i/>
          <w:spacing w:val="-2"/>
          <w:sz w:val="16"/>
          <w:vertAlign w:val="baseline"/>
        </w:rPr>
        <w:t>Ibidem</w:t>
      </w:r>
      <w:r>
        <w:rPr>
          <w:spacing w:val="-2"/>
          <w:sz w:val="16"/>
          <w:vertAlign w:val="baseline"/>
        </w:rPr>
        <w:t>.</w:t>
      </w:r>
    </w:p>
    <w:p>
      <w:pPr>
        <w:spacing w:line="183" w:lineRule="exact" w:before="0"/>
        <w:ind w:left="568" w:right="0" w:firstLine="0"/>
        <w:jc w:val="left"/>
        <w:rPr>
          <w:sz w:val="16"/>
        </w:rPr>
      </w:pPr>
      <w:bookmarkStart w:name="_bookmark109" w:id="110"/>
      <w:bookmarkEnd w:id="110"/>
      <w:r>
        <w:rPr/>
      </w:r>
      <w:r>
        <w:rPr>
          <w:sz w:val="16"/>
          <w:vertAlign w:val="superscript"/>
        </w:rPr>
        <w:t>42</w:t>
      </w:r>
      <w:r>
        <w:rPr>
          <w:spacing w:val="-8"/>
          <w:sz w:val="16"/>
          <w:vertAlign w:val="baseline"/>
        </w:rPr>
        <w:t> </w:t>
      </w:r>
      <w:r>
        <w:rPr>
          <w:sz w:val="16"/>
          <w:vertAlign w:val="baseline"/>
        </w:rPr>
        <w:t>Expediente</w:t>
      </w:r>
      <w:r>
        <w:rPr>
          <w:spacing w:val="-9"/>
          <w:sz w:val="16"/>
          <w:vertAlign w:val="baseline"/>
        </w:rPr>
        <w:t> </w:t>
      </w:r>
      <w:r>
        <w:rPr>
          <w:sz w:val="16"/>
          <w:vertAlign w:val="baseline"/>
        </w:rPr>
        <w:t>SG/DGCOM/RES-GRAV/002,</w:t>
      </w:r>
      <w:r>
        <w:rPr>
          <w:spacing w:val="-8"/>
          <w:sz w:val="16"/>
          <w:vertAlign w:val="baseline"/>
        </w:rPr>
        <w:t> </w:t>
      </w:r>
      <w:r>
        <w:rPr>
          <w:sz w:val="16"/>
          <w:vertAlign w:val="baseline"/>
        </w:rPr>
        <w:t>folio</w:t>
      </w:r>
      <w:r>
        <w:rPr>
          <w:spacing w:val="-7"/>
          <w:sz w:val="16"/>
          <w:vertAlign w:val="baseline"/>
        </w:rPr>
        <w:t> </w:t>
      </w:r>
      <w:r>
        <w:rPr>
          <w:spacing w:val="-2"/>
          <w:sz w:val="16"/>
          <w:vertAlign w:val="baseline"/>
        </w:rPr>
        <w:t>000354.</w:t>
      </w:r>
    </w:p>
    <w:p>
      <w:pPr>
        <w:spacing w:before="0"/>
        <w:ind w:left="568" w:right="0" w:firstLine="0"/>
        <w:jc w:val="left"/>
        <w:rPr>
          <w:sz w:val="16"/>
        </w:rPr>
      </w:pPr>
      <w:bookmarkStart w:name="_bookmark110" w:id="111"/>
      <w:bookmarkEnd w:id="111"/>
      <w:r>
        <w:rPr/>
      </w:r>
      <w:r>
        <w:rPr>
          <w:sz w:val="16"/>
          <w:vertAlign w:val="superscript"/>
        </w:rPr>
        <w:t>43</w:t>
      </w:r>
      <w:r>
        <w:rPr>
          <w:spacing w:val="-8"/>
          <w:sz w:val="16"/>
          <w:vertAlign w:val="baseline"/>
        </w:rPr>
        <w:t> </w:t>
      </w:r>
      <w:r>
        <w:rPr>
          <w:sz w:val="16"/>
          <w:vertAlign w:val="baseline"/>
        </w:rPr>
        <w:t>Expediente</w:t>
      </w:r>
      <w:r>
        <w:rPr>
          <w:spacing w:val="-9"/>
          <w:sz w:val="16"/>
          <w:vertAlign w:val="baseline"/>
        </w:rPr>
        <w:t> </w:t>
      </w:r>
      <w:r>
        <w:rPr>
          <w:sz w:val="16"/>
          <w:vertAlign w:val="baseline"/>
        </w:rPr>
        <w:t>SG/DGCOM/RES-GRAV/002,</w:t>
      </w:r>
      <w:r>
        <w:rPr>
          <w:spacing w:val="-8"/>
          <w:sz w:val="16"/>
          <w:vertAlign w:val="baseline"/>
        </w:rPr>
        <w:t> </w:t>
      </w:r>
      <w:r>
        <w:rPr>
          <w:sz w:val="16"/>
          <w:vertAlign w:val="baseline"/>
        </w:rPr>
        <w:t>folio</w:t>
      </w:r>
      <w:r>
        <w:rPr>
          <w:spacing w:val="-7"/>
          <w:sz w:val="16"/>
          <w:vertAlign w:val="baseline"/>
        </w:rPr>
        <w:t> </w:t>
      </w:r>
      <w:r>
        <w:rPr>
          <w:spacing w:val="-2"/>
          <w:sz w:val="16"/>
          <w:vertAlign w:val="baseline"/>
        </w:rPr>
        <w:t>000355.</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90" name="Group 490"/>
                <wp:cNvGraphicFramePr>
                  <a:graphicFrameLocks/>
                </wp:cNvGraphicFramePr>
                <a:graphic>
                  <a:graphicData uri="http://schemas.microsoft.com/office/word/2010/wordprocessingGroup">
                    <wpg:wgp>
                      <wpg:cNvPr id="490" name="Group 490"/>
                      <wpg:cNvGrpSpPr/>
                      <wpg:grpSpPr>
                        <a:xfrm>
                          <a:off x="0" y="0"/>
                          <a:ext cx="6131560" cy="9525"/>
                          <a:chExt cx="6131560" cy="9525"/>
                        </a:xfrm>
                      </wpg:grpSpPr>
                      <wps:wsp>
                        <wps:cNvPr id="491" name="Graphic 491"/>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39"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80"/>
          <w:footerReference w:type="default" r:id="rId81"/>
          <w:pgSz w:w="11900" w:h="16850"/>
          <w:pgMar w:header="370" w:footer="597" w:top="1380" w:bottom="780" w:left="992" w:right="283"/>
        </w:sectPr>
      </w:pPr>
    </w:p>
    <w:p>
      <w:pPr>
        <w:pStyle w:val="BodyText"/>
        <w:spacing w:before="176"/>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En relación con la medida del “arancel recíproco”, la República de Colombia presentó un análisis según el cual dicha medida </w:t>
      </w:r>
      <w:r>
        <w:rPr>
          <w:rFonts w:ascii="Arial" w:hAnsi="Arial"/>
          <w:i/>
          <w:sz w:val="22"/>
        </w:rPr>
        <w:t>“cumpliría con el estándar jurisprudencial de la TJCAN</w:t>
      </w:r>
      <w:r>
        <w:rPr>
          <w:rFonts w:ascii="Arial" w:hAnsi="Arial"/>
          <w:i/>
          <w:spacing w:val="-2"/>
          <w:sz w:val="22"/>
        </w:rPr>
        <w:t> </w:t>
      </w:r>
      <w:r>
        <w:rPr>
          <w:rFonts w:ascii="Arial" w:hAnsi="Arial"/>
          <w:i/>
          <w:sz w:val="22"/>
        </w:rPr>
        <w:t>frente</w:t>
      </w:r>
      <w:r>
        <w:rPr>
          <w:rFonts w:ascii="Arial" w:hAnsi="Arial"/>
          <w:i/>
          <w:spacing w:val="-2"/>
          <w:sz w:val="22"/>
        </w:rPr>
        <w:t> </w:t>
      </w:r>
      <w:r>
        <w:rPr>
          <w:rFonts w:ascii="Arial" w:hAnsi="Arial"/>
          <w:i/>
          <w:sz w:val="22"/>
        </w:rPr>
        <w:t>a</w:t>
      </w:r>
      <w:r>
        <w:rPr>
          <w:rFonts w:ascii="Arial" w:hAnsi="Arial"/>
          <w:i/>
          <w:spacing w:val="-1"/>
          <w:sz w:val="22"/>
        </w:rPr>
        <w:t> </w:t>
      </w:r>
      <w:r>
        <w:rPr>
          <w:rFonts w:ascii="Arial" w:hAnsi="Arial"/>
          <w:i/>
          <w:sz w:val="22"/>
        </w:rPr>
        <w:t>la</w:t>
      </w:r>
      <w:r>
        <w:rPr>
          <w:rFonts w:ascii="Arial" w:hAnsi="Arial"/>
          <w:i/>
          <w:spacing w:val="-2"/>
          <w:sz w:val="22"/>
        </w:rPr>
        <w:t> </w:t>
      </w:r>
      <w:r>
        <w:rPr>
          <w:rFonts w:ascii="Arial" w:hAnsi="Arial"/>
          <w:i/>
          <w:sz w:val="22"/>
        </w:rPr>
        <w:t>aplicación</w:t>
      </w:r>
      <w:r>
        <w:rPr>
          <w:rFonts w:ascii="Arial" w:hAnsi="Arial"/>
          <w:i/>
          <w:spacing w:val="-2"/>
          <w:sz w:val="22"/>
        </w:rPr>
        <w:t> </w:t>
      </w:r>
      <w:r>
        <w:rPr>
          <w:rFonts w:ascii="Arial" w:hAnsi="Arial"/>
          <w:i/>
          <w:sz w:val="22"/>
        </w:rPr>
        <w:t>del</w:t>
      </w:r>
      <w:r>
        <w:rPr>
          <w:rFonts w:ascii="Arial" w:hAnsi="Arial"/>
          <w:i/>
          <w:spacing w:val="-2"/>
          <w:sz w:val="22"/>
        </w:rPr>
        <w:t> </w:t>
      </w:r>
      <w:r>
        <w:rPr>
          <w:rFonts w:ascii="Arial" w:hAnsi="Arial"/>
          <w:i/>
          <w:sz w:val="22"/>
        </w:rPr>
        <w:t>artículo</w:t>
      </w:r>
      <w:r>
        <w:rPr>
          <w:rFonts w:ascii="Arial" w:hAnsi="Arial"/>
          <w:i/>
          <w:spacing w:val="-2"/>
          <w:sz w:val="22"/>
        </w:rPr>
        <w:t> </w:t>
      </w:r>
      <w:r>
        <w:rPr>
          <w:rFonts w:ascii="Arial" w:hAnsi="Arial"/>
          <w:i/>
          <w:sz w:val="22"/>
        </w:rPr>
        <w:t>73, toda</w:t>
      </w:r>
      <w:r>
        <w:rPr>
          <w:rFonts w:ascii="Arial" w:hAnsi="Arial"/>
          <w:i/>
          <w:spacing w:val="-4"/>
          <w:sz w:val="22"/>
        </w:rPr>
        <w:t> </w:t>
      </w:r>
      <w:r>
        <w:rPr>
          <w:rFonts w:ascii="Arial" w:hAnsi="Arial"/>
          <w:i/>
          <w:sz w:val="22"/>
        </w:rPr>
        <w:t>vez</w:t>
      </w:r>
      <w:r>
        <w:rPr>
          <w:rFonts w:ascii="Arial" w:hAnsi="Arial"/>
          <w:i/>
          <w:spacing w:val="-2"/>
          <w:sz w:val="22"/>
        </w:rPr>
        <w:t> </w:t>
      </w:r>
      <w:r>
        <w:rPr>
          <w:rFonts w:ascii="Arial" w:hAnsi="Arial"/>
          <w:i/>
          <w:sz w:val="22"/>
        </w:rPr>
        <w:t>que</w:t>
      </w:r>
      <w:r>
        <w:rPr>
          <w:rFonts w:ascii="Arial" w:hAnsi="Arial"/>
          <w:i/>
          <w:spacing w:val="-4"/>
          <w:sz w:val="22"/>
        </w:rPr>
        <w:t> </w:t>
      </w:r>
      <w:r>
        <w:rPr>
          <w:rFonts w:ascii="Arial" w:hAnsi="Arial"/>
          <w:i/>
          <w:sz w:val="22"/>
        </w:rPr>
        <w:t>la</w:t>
      </w:r>
      <w:r>
        <w:rPr>
          <w:rFonts w:ascii="Arial" w:hAnsi="Arial"/>
          <w:i/>
          <w:spacing w:val="-2"/>
          <w:sz w:val="22"/>
        </w:rPr>
        <w:t> </w:t>
      </w:r>
      <w:r>
        <w:rPr>
          <w:rFonts w:ascii="Arial" w:hAnsi="Arial"/>
          <w:i/>
          <w:sz w:val="22"/>
        </w:rPr>
        <w:t>medida</w:t>
      </w:r>
      <w:r>
        <w:rPr>
          <w:rFonts w:ascii="Arial" w:hAnsi="Arial"/>
          <w:i/>
          <w:spacing w:val="-2"/>
          <w:sz w:val="22"/>
        </w:rPr>
        <w:t> </w:t>
      </w:r>
      <w:r>
        <w:rPr>
          <w:rFonts w:ascii="Arial" w:hAnsi="Arial"/>
          <w:i/>
          <w:sz w:val="22"/>
        </w:rPr>
        <w:t>es</w:t>
      </w:r>
      <w:r>
        <w:rPr>
          <w:rFonts w:ascii="Arial" w:hAnsi="Arial"/>
          <w:i/>
          <w:spacing w:val="-4"/>
          <w:sz w:val="22"/>
        </w:rPr>
        <w:t> </w:t>
      </w:r>
      <w:r>
        <w:rPr>
          <w:rFonts w:ascii="Arial" w:hAnsi="Arial"/>
          <w:i/>
          <w:sz w:val="22"/>
        </w:rPr>
        <w:t>(i)</w:t>
      </w:r>
      <w:r>
        <w:rPr>
          <w:rFonts w:ascii="Arial" w:hAnsi="Arial"/>
          <w:i/>
          <w:spacing w:val="-3"/>
          <w:sz w:val="22"/>
        </w:rPr>
        <w:t> </w:t>
      </w:r>
      <w:r>
        <w:rPr>
          <w:rFonts w:ascii="Arial" w:hAnsi="Arial"/>
          <w:i/>
          <w:sz w:val="22"/>
        </w:rPr>
        <w:t>idónea,</w:t>
      </w:r>
      <w:r>
        <w:rPr>
          <w:rFonts w:ascii="Arial" w:hAnsi="Arial"/>
          <w:i/>
          <w:spacing w:val="-1"/>
          <w:sz w:val="22"/>
        </w:rPr>
        <w:t> </w:t>
      </w:r>
      <w:r>
        <w:rPr>
          <w:rFonts w:ascii="Arial" w:hAnsi="Arial"/>
          <w:i/>
          <w:sz w:val="22"/>
        </w:rPr>
        <w:t>pues cumple con el propósito de evitar la materialización de un perjuicio irremediable sobre productores colombianos; (ii) insustituible, pues no existe medida alternativa que permita competir en igualdad de condiciones a los productores colombianos y evitar causarles un perjuicio irremediable (iii) proporcional, pues no excede el gravamen arancelario</w:t>
      </w:r>
      <w:r>
        <w:rPr>
          <w:rFonts w:ascii="Arial" w:hAnsi="Arial"/>
          <w:i/>
          <w:spacing w:val="-7"/>
          <w:sz w:val="22"/>
        </w:rPr>
        <w:t> </w:t>
      </w:r>
      <w:r>
        <w:rPr>
          <w:rFonts w:ascii="Arial" w:hAnsi="Arial"/>
          <w:i/>
          <w:sz w:val="22"/>
        </w:rPr>
        <w:t>impuesto</w:t>
      </w:r>
      <w:r>
        <w:rPr>
          <w:rFonts w:ascii="Arial" w:hAnsi="Arial"/>
          <w:i/>
          <w:spacing w:val="-6"/>
          <w:sz w:val="22"/>
        </w:rPr>
        <w:t> </w:t>
      </w:r>
      <w:r>
        <w:rPr>
          <w:rFonts w:ascii="Arial" w:hAnsi="Arial"/>
          <w:i/>
          <w:sz w:val="22"/>
        </w:rPr>
        <w:t>por</w:t>
      </w:r>
      <w:r>
        <w:rPr>
          <w:rFonts w:ascii="Arial" w:hAnsi="Arial"/>
          <w:i/>
          <w:spacing w:val="-8"/>
          <w:sz w:val="22"/>
        </w:rPr>
        <w:t> </w:t>
      </w:r>
      <w:r>
        <w:rPr>
          <w:rFonts w:ascii="Arial" w:hAnsi="Arial"/>
          <w:i/>
          <w:sz w:val="22"/>
        </w:rPr>
        <w:t>Ecuador,</w:t>
      </w:r>
      <w:r>
        <w:rPr>
          <w:rFonts w:ascii="Arial" w:hAnsi="Arial"/>
          <w:i/>
          <w:spacing w:val="-7"/>
          <w:sz w:val="22"/>
        </w:rPr>
        <w:t> </w:t>
      </w:r>
      <w:r>
        <w:rPr>
          <w:rFonts w:ascii="Arial" w:hAnsi="Arial"/>
          <w:i/>
          <w:sz w:val="22"/>
        </w:rPr>
        <w:t>y</w:t>
      </w:r>
      <w:r>
        <w:rPr>
          <w:rFonts w:ascii="Arial" w:hAnsi="Arial"/>
          <w:i/>
          <w:spacing w:val="-8"/>
          <w:sz w:val="22"/>
        </w:rPr>
        <w:t> </w:t>
      </w:r>
      <w:r>
        <w:rPr>
          <w:rFonts w:ascii="Arial" w:hAnsi="Arial"/>
          <w:i/>
          <w:sz w:val="22"/>
        </w:rPr>
        <w:t>(iv)</w:t>
      </w:r>
      <w:r>
        <w:rPr>
          <w:rFonts w:ascii="Arial" w:hAnsi="Arial"/>
          <w:i/>
          <w:spacing w:val="-5"/>
          <w:sz w:val="22"/>
        </w:rPr>
        <w:t> </w:t>
      </w:r>
      <w:r>
        <w:rPr>
          <w:rFonts w:ascii="Arial" w:hAnsi="Arial"/>
          <w:i/>
          <w:sz w:val="22"/>
        </w:rPr>
        <w:t>no</w:t>
      </w:r>
      <w:r>
        <w:rPr>
          <w:rFonts w:ascii="Arial" w:hAnsi="Arial"/>
          <w:i/>
          <w:spacing w:val="-7"/>
          <w:sz w:val="22"/>
        </w:rPr>
        <w:t> </w:t>
      </w:r>
      <w:r>
        <w:rPr>
          <w:rFonts w:ascii="Arial" w:hAnsi="Arial"/>
          <w:i/>
          <w:sz w:val="22"/>
        </w:rPr>
        <w:t>es</w:t>
      </w:r>
      <w:r>
        <w:rPr>
          <w:rFonts w:ascii="Arial" w:hAnsi="Arial"/>
          <w:i/>
          <w:spacing w:val="-6"/>
          <w:sz w:val="22"/>
        </w:rPr>
        <w:t> </w:t>
      </w:r>
      <w:r>
        <w:rPr>
          <w:rFonts w:ascii="Arial" w:hAnsi="Arial"/>
          <w:i/>
          <w:sz w:val="22"/>
        </w:rPr>
        <w:t>discriminatoria,</w:t>
      </w:r>
      <w:r>
        <w:rPr>
          <w:rFonts w:ascii="Arial" w:hAnsi="Arial"/>
          <w:i/>
          <w:spacing w:val="-5"/>
          <w:sz w:val="22"/>
        </w:rPr>
        <w:t> </w:t>
      </w:r>
      <w:r>
        <w:rPr>
          <w:rFonts w:ascii="Arial" w:hAnsi="Arial"/>
          <w:i/>
          <w:sz w:val="22"/>
        </w:rPr>
        <w:t>en</w:t>
      </w:r>
      <w:r>
        <w:rPr>
          <w:rFonts w:ascii="Arial" w:hAnsi="Arial"/>
          <w:i/>
          <w:spacing w:val="-9"/>
          <w:sz w:val="22"/>
        </w:rPr>
        <w:t> </w:t>
      </w:r>
      <w:r>
        <w:rPr>
          <w:rFonts w:ascii="Arial" w:hAnsi="Arial"/>
          <w:i/>
          <w:sz w:val="22"/>
        </w:rPr>
        <w:t>tanto</w:t>
      </w:r>
      <w:r>
        <w:rPr>
          <w:rFonts w:ascii="Arial" w:hAnsi="Arial"/>
          <w:i/>
          <w:spacing w:val="-9"/>
          <w:sz w:val="22"/>
        </w:rPr>
        <w:t> </w:t>
      </w:r>
      <w:r>
        <w:rPr>
          <w:rFonts w:ascii="Arial" w:hAnsi="Arial"/>
          <w:i/>
          <w:sz w:val="22"/>
        </w:rPr>
        <w:t>los</w:t>
      </w:r>
      <w:r>
        <w:rPr>
          <w:rFonts w:ascii="Arial" w:hAnsi="Arial"/>
          <w:i/>
          <w:spacing w:val="-9"/>
          <w:sz w:val="22"/>
        </w:rPr>
        <w:t> </w:t>
      </w:r>
      <w:r>
        <w:rPr>
          <w:rFonts w:ascii="Arial" w:hAnsi="Arial"/>
          <w:i/>
          <w:sz w:val="22"/>
        </w:rPr>
        <w:t>aranceles</w:t>
      </w:r>
      <w:r>
        <w:rPr>
          <w:rFonts w:ascii="Arial" w:hAnsi="Arial"/>
          <w:i/>
          <w:spacing w:val="-6"/>
          <w:sz w:val="22"/>
        </w:rPr>
        <w:t> </w:t>
      </w:r>
      <w:r>
        <w:rPr>
          <w:rFonts w:ascii="Arial" w:hAnsi="Arial"/>
          <w:i/>
          <w:sz w:val="22"/>
        </w:rPr>
        <w:t>no se</w:t>
      </w:r>
      <w:r>
        <w:rPr>
          <w:rFonts w:ascii="Arial" w:hAnsi="Arial"/>
          <w:i/>
          <w:spacing w:val="-4"/>
          <w:sz w:val="22"/>
        </w:rPr>
        <w:t> </w:t>
      </w:r>
      <w:r>
        <w:rPr>
          <w:rFonts w:ascii="Arial" w:hAnsi="Arial"/>
          <w:i/>
          <w:sz w:val="22"/>
        </w:rPr>
        <w:t>imponen</w:t>
      </w:r>
      <w:r>
        <w:rPr>
          <w:rFonts w:ascii="Arial" w:hAnsi="Arial"/>
          <w:i/>
          <w:spacing w:val="-6"/>
          <w:sz w:val="22"/>
        </w:rPr>
        <w:t> </w:t>
      </w:r>
      <w:r>
        <w:rPr>
          <w:rFonts w:ascii="Arial" w:hAnsi="Arial"/>
          <w:i/>
          <w:sz w:val="22"/>
        </w:rPr>
        <w:t>de</w:t>
      </w:r>
      <w:r>
        <w:rPr>
          <w:rFonts w:ascii="Arial" w:hAnsi="Arial"/>
          <w:i/>
          <w:spacing w:val="-7"/>
          <w:sz w:val="22"/>
        </w:rPr>
        <w:t> </w:t>
      </w:r>
      <w:r>
        <w:rPr>
          <w:rFonts w:ascii="Arial" w:hAnsi="Arial"/>
          <w:i/>
          <w:sz w:val="22"/>
        </w:rPr>
        <w:t>manera</w:t>
      </w:r>
      <w:r>
        <w:rPr>
          <w:rFonts w:ascii="Arial" w:hAnsi="Arial"/>
          <w:i/>
          <w:spacing w:val="-6"/>
          <w:sz w:val="22"/>
        </w:rPr>
        <w:t> </w:t>
      </w:r>
      <w:r>
        <w:rPr>
          <w:rFonts w:ascii="Arial" w:hAnsi="Arial"/>
          <w:i/>
          <w:sz w:val="22"/>
        </w:rPr>
        <w:t>horizontal</w:t>
      </w:r>
      <w:r>
        <w:rPr>
          <w:rFonts w:ascii="Arial" w:hAnsi="Arial"/>
          <w:i/>
          <w:spacing w:val="-4"/>
          <w:sz w:val="22"/>
        </w:rPr>
        <w:t> </w:t>
      </w:r>
      <w:r>
        <w:rPr>
          <w:rFonts w:ascii="Arial" w:hAnsi="Arial"/>
          <w:i/>
          <w:sz w:val="22"/>
        </w:rPr>
        <w:t>a</w:t>
      </w:r>
      <w:r>
        <w:rPr>
          <w:rFonts w:ascii="Arial" w:hAnsi="Arial"/>
          <w:i/>
          <w:spacing w:val="-9"/>
          <w:sz w:val="22"/>
        </w:rPr>
        <w:t> </w:t>
      </w:r>
      <w:r>
        <w:rPr>
          <w:rFonts w:ascii="Arial" w:hAnsi="Arial"/>
          <w:i/>
          <w:sz w:val="22"/>
        </w:rPr>
        <w:t>todos</w:t>
      </w:r>
      <w:r>
        <w:rPr>
          <w:rFonts w:ascii="Arial" w:hAnsi="Arial"/>
          <w:i/>
          <w:spacing w:val="-4"/>
          <w:sz w:val="22"/>
        </w:rPr>
        <w:t> </w:t>
      </w:r>
      <w:r>
        <w:rPr>
          <w:rFonts w:ascii="Arial" w:hAnsi="Arial"/>
          <w:i/>
          <w:sz w:val="22"/>
        </w:rPr>
        <w:t>los</w:t>
      </w:r>
      <w:r>
        <w:rPr>
          <w:rFonts w:ascii="Arial" w:hAnsi="Arial"/>
          <w:i/>
          <w:spacing w:val="-6"/>
          <w:sz w:val="22"/>
        </w:rPr>
        <w:t> </w:t>
      </w:r>
      <w:r>
        <w:rPr>
          <w:rFonts w:ascii="Arial" w:hAnsi="Arial"/>
          <w:i/>
          <w:sz w:val="22"/>
        </w:rPr>
        <w:t>países</w:t>
      </w:r>
      <w:r>
        <w:rPr>
          <w:rFonts w:ascii="Arial" w:hAnsi="Arial"/>
          <w:i/>
          <w:spacing w:val="-4"/>
          <w:sz w:val="22"/>
        </w:rPr>
        <w:t> </w:t>
      </w:r>
      <w:r>
        <w:rPr>
          <w:rFonts w:ascii="Arial" w:hAnsi="Arial"/>
          <w:i/>
          <w:sz w:val="22"/>
        </w:rPr>
        <w:t>de</w:t>
      </w:r>
      <w:r>
        <w:rPr>
          <w:rFonts w:ascii="Arial" w:hAnsi="Arial"/>
          <w:i/>
          <w:spacing w:val="-7"/>
          <w:sz w:val="22"/>
        </w:rPr>
        <w:t> </w:t>
      </w:r>
      <w:r>
        <w:rPr>
          <w:rFonts w:ascii="Arial" w:hAnsi="Arial"/>
          <w:i/>
          <w:sz w:val="22"/>
        </w:rPr>
        <w:t>la</w:t>
      </w:r>
      <w:r>
        <w:rPr>
          <w:rFonts w:ascii="Arial" w:hAnsi="Arial"/>
          <w:i/>
          <w:spacing w:val="-4"/>
          <w:sz w:val="22"/>
        </w:rPr>
        <w:t> </w:t>
      </w:r>
      <w:r>
        <w:rPr>
          <w:rFonts w:ascii="Arial" w:hAnsi="Arial"/>
          <w:i/>
          <w:sz w:val="22"/>
        </w:rPr>
        <w:t>CAN,</w:t>
      </w:r>
      <w:r>
        <w:rPr>
          <w:rFonts w:ascii="Arial" w:hAnsi="Arial"/>
          <w:i/>
          <w:spacing w:val="-5"/>
          <w:sz w:val="22"/>
        </w:rPr>
        <w:t> </w:t>
      </w:r>
      <w:r>
        <w:rPr>
          <w:rFonts w:ascii="Arial" w:hAnsi="Arial"/>
          <w:i/>
          <w:sz w:val="22"/>
        </w:rPr>
        <w:t>sino</w:t>
      </w:r>
      <w:r>
        <w:rPr>
          <w:rFonts w:ascii="Arial" w:hAnsi="Arial"/>
          <w:i/>
          <w:spacing w:val="-7"/>
          <w:sz w:val="22"/>
        </w:rPr>
        <w:t> </w:t>
      </w:r>
      <w:r>
        <w:rPr>
          <w:rFonts w:ascii="Arial" w:hAnsi="Arial"/>
          <w:i/>
          <w:sz w:val="22"/>
        </w:rPr>
        <w:t>solamente</w:t>
      </w:r>
      <w:r>
        <w:rPr>
          <w:rFonts w:ascii="Arial" w:hAnsi="Arial"/>
          <w:i/>
          <w:spacing w:val="-4"/>
          <w:sz w:val="22"/>
        </w:rPr>
        <w:t> </w:t>
      </w:r>
      <w:r>
        <w:rPr>
          <w:rFonts w:ascii="Arial" w:hAnsi="Arial"/>
          <w:i/>
          <w:sz w:val="22"/>
        </w:rPr>
        <w:t>a</w:t>
      </w:r>
      <w:r>
        <w:rPr>
          <w:rFonts w:ascii="Arial" w:hAnsi="Arial"/>
          <w:i/>
          <w:spacing w:val="-6"/>
          <w:sz w:val="22"/>
        </w:rPr>
        <w:t> </w:t>
      </w:r>
      <w:r>
        <w:rPr>
          <w:rFonts w:ascii="Arial" w:hAnsi="Arial"/>
          <w:i/>
          <w:sz w:val="22"/>
        </w:rPr>
        <w:t>aquel que está causando perjuicio a productores colombianos con sus medidas</w:t>
      </w:r>
      <w:r>
        <w:rPr>
          <w:sz w:val="22"/>
        </w:rPr>
        <w:t>”</w:t>
      </w:r>
      <w:hyperlink w:history="true" w:anchor="_bookmark111">
        <w:r>
          <w:rPr>
            <w:sz w:val="22"/>
            <w:vertAlign w:val="superscript"/>
          </w:rPr>
          <w:t>44</w:t>
        </w:r>
      </w:hyperlink>
      <w:r>
        <w:rPr>
          <w:sz w:val="22"/>
          <w:vertAlign w:val="baseline"/>
        </w:rPr>
        <w:t>.</w:t>
      </w:r>
    </w:p>
    <w:p>
      <w:pPr>
        <w:pStyle w:val="BodyText"/>
        <w:spacing w:before="1"/>
      </w:pPr>
    </w:p>
    <w:p>
      <w:pPr>
        <w:pStyle w:val="Heading6"/>
        <w:numPr>
          <w:ilvl w:val="0"/>
          <w:numId w:val="65"/>
        </w:numPr>
        <w:tabs>
          <w:tab w:pos="1276" w:val="left" w:leader="none"/>
        </w:tabs>
        <w:spacing w:line="240" w:lineRule="auto" w:before="0" w:after="0"/>
        <w:ind w:left="1276" w:right="0" w:hanging="360"/>
        <w:jc w:val="left"/>
      </w:pPr>
      <w:r>
        <w:rPr/>
        <w:t>Visitas</w:t>
      </w:r>
      <w:r>
        <w:rPr>
          <w:spacing w:val="-3"/>
        </w:rPr>
        <w:t> </w:t>
      </w:r>
      <w:r>
        <w:rPr/>
        <w:t>de</w:t>
      </w:r>
      <w:r>
        <w:rPr>
          <w:spacing w:val="-4"/>
        </w:rPr>
        <w:t> </w:t>
      </w:r>
      <w:r>
        <w:rPr>
          <w:spacing w:val="-2"/>
        </w:rPr>
        <w:t>Verificación</w:t>
      </w:r>
    </w:p>
    <w:p>
      <w:pPr>
        <w:pStyle w:val="ListParagraph"/>
        <w:numPr>
          <w:ilvl w:val="0"/>
          <w:numId w:val="50"/>
        </w:numPr>
        <w:tabs>
          <w:tab w:pos="1130" w:val="left" w:leader="none"/>
          <w:tab w:pos="1134" w:val="left" w:leader="none"/>
        </w:tabs>
        <w:spacing w:line="240" w:lineRule="auto" w:before="252" w:after="0"/>
        <w:ind w:left="1134" w:right="978" w:hanging="567"/>
        <w:jc w:val="both"/>
        <w:rPr>
          <w:sz w:val="22"/>
        </w:rPr>
      </w:pPr>
      <w:r>
        <w:rPr>
          <w:sz w:val="22"/>
        </w:rPr>
        <w:t>Con fecha 19 de marzo de 2026, mediante comunicación SG/E/DGCOM/497/2026, la SGCAN notificó a la República de Colombia su intención de realizar visitas de verificación en el marco del presente caso. El objetivo de dichas visitas fue recopilar información adicional que permitiera evidenciar los impactos argumentados por la República</w:t>
      </w:r>
      <w:r>
        <w:rPr>
          <w:spacing w:val="-9"/>
          <w:sz w:val="22"/>
        </w:rPr>
        <w:t> </w:t>
      </w:r>
      <w:r>
        <w:rPr>
          <w:sz w:val="22"/>
        </w:rPr>
        <w:t>de</w:t>
      </w:r>
      <w:r>
        <w:rPr>
          <w:spacing w:val="-9"/>
          <w:sz w:val="22"/>
        </w:rPr>
        <w:t> </w:t>
      </w:r>
      <w:r>
        <w:rPr>
          <w:sz w:val="22"/>
        </w:rPr>
        <w:t>Colombia</w:t>
      </w:r>
      <w:r>
        <w:rPr>
          <w:spacing w:val="-8"/>
          <w:sz w:val="22"/>
        </w:rPr>
        <w:t> </w:t>
      </w:r>
      <w:r>
        <w:rPr>
          <w:sz w:val="22"/>
        </w:rPr>
        <w:t>como</w:t>
      </w:r>
      <w:r>
        <w:rPr>
          <w:spacing w:val="-8"/>
          <w:sz w:val="22"/>
        </w:rPr>
        <w:t> </w:t>
      </w:r>
      <w:r>
        <w:rPr>
          <w:sz w:val="22"/>
        </w:rPr>
        <w:t>consecuencia</w:t>
      </w:r>
      <w:r>
        <w:rPr>
          <w:spacing w:val="-9"/>
          <w:sz w:val="22"/>
        </w:rPr>
        <w:t> </w:t>
      </w:r>
      <w:r>
        <w:rPr>
          <w:sz w:val="22"/>
        </w:rPr>
        <w:t>del</w:t>
      </w:r>
      <w:r>
        <w:rPr>
          <w:spacing w:val="-10"/>
          <w:sz w:val="22"/>
        </w:rPr>
        <w:t> </w:t>
      </w:r>
      <w:r>
        <w:rPr>
          <w:sz w:val="22"/>
        </w:rPr>
        <w:t>establecimiento</w:t>
      </w:r>
      <w:r>
        <w:rPr>
          <w:spacing w:val="-9"/>
          <w:sz w:val="22"/>
        </w:rPr>
        <w:t> </w:t>
      </w:r>
      <w:r>
        <w:rPr>
          <w:sz w:val="22"/>
        </w:rPr>
        <w:t>de</w:t>
      </w:r>
      <w:r>
        <w:rPr>
          <w:spacing w:val="-9"/>
          <w:sz w:val="22"/>
        </w:rPr>
        <w:t> </w:t>
      </w:r>
      <w:r>
        <w:rPr>
          <w:sz w:val="22"/>
        </w:rPr>
        <w:t>la</w:t>
      </w:r>
      <w:r>
        <w:rPr>
          <w:spacing w:val="-11"/>
          <w:sz w:val="22"/>
        </w:rPr>
        <w:t> </w:t>
      </w:r>
      <w:r>
        <w:rPr>
          <w:sz w:val="22"/>
        </w:rPr>
        <w:t>tasa</w:t>
      </w:r>
      <w:r>
        <w:rPr>
          <w:spacing w:val="-12"/>
          <w:sz w:val="22"/>
        </w:rPr>
        <w:t> </w:t>
      </w:r>
      <w:r>
        <w:rPr>
          <w:sz w:val="22"/>
        </w:rPr>
        <w:t>de</w:t>
      </w:r>
      <w:r>
        <w:rPr>
          <w:spacing w:val="-9"/>
          <w:sz w:val="22"/>
        </w:rPr>
        <w:t> </w:t>
      </w:r>
      <w:r>
        <w:rPr>
          <w:sz w:val="22"/>
        </w:rPr>
        <w:t>seguridad del 50%, aplicada por la República del Ecuador a las importaciones provenientes de </w:t>
      </w:r>
      <w:r>
        <w:rPr>
          <w:spacing w:val="-2"/>
          <w:sz w:val="22"/>
        </w:rPr>
        <w:t>Colombia.</w:t>
      </w:r>
    </w:p>
    <w:p>
      <w:pPr>
        <w:pStyle w:val="BodyText"/>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Se solicitó a la República de Colombia realizar las coordinaciones necesarias a fin de contar</w:t>
      </w:r>
      <w:r>
        <w:rPr>
          <w:spacing w:val="-4"/>
          <w:sz w:val="22"/>
        </w:rPr>
        <w:t> </w:t>
      </w:r>
      <w:r>
        <w:rPr>
          <w:sz w:val="22"/>
        </w:rPr>
        <w:t>con</w:t>
      </w:r>
      <w:r>
        <w:rPr>
          <w:spacing w:val="-5"/>
          <w:sz w:val="22"/>
        </w:rPr>
        <w:t> </w:t>
      </w:r>
      <w:r>
        <w:rPr>
          <w:sz w:val="22"/>
        </w:rPr>
        <w:t>el</w:t>
      </w:r>
      <w:r>
        <w:rPr>
          <w:spacing w:val="-6"/>
          <w:sz w:val="22"/>
        </w:rPr>
        <w:t> </w:t>
      </w:r>
      <w:r>
        <w:rPr>
          <w:sz w:val="22"/>
        </w:rPr>
        <w:t>acompañamiento</w:t>
      </w:r>
      <w:r>
        <w:rPr>
          <w:spacing w:val="-5"/>
          <w:sz w:val="22"/>
        </w:rPr>
        <w:t> </w:t>
      </w:r>
      <w:r>
        <w:rPr>
          <w:sz w:val="22"/>
        </w:rPr>
        <w:t>de</w:t>
      </w:r>
      <w:r>
        <w:rPr>
          <w:spacing w:val="-5"/>
          <w:sz w:val="22"/>
        </w:rPr>
        <w:t> </w:t>
      </w:r>
      <w:r>
        <w:rPr>
          <w:sz w:val="22"/>
        </w:rPr>
        <w:t>funcionarios</w:t>
      </w:r>
      <w:r>
        <w:rPr>
          <w:spacing w:val="-5"/>
          <w:sz w:val="22"/>
        </w:rPr>
        <w:t> </w:t>
      </w:r>
      <w:r>
        <w:rPr>
          <w:sz w:val="22"/>
        </w:rPr>
        <w:t>que</w:t>
      </w:r>
      <w:r>
        <w:rPr>
          <w:spacing w:val="-3"/>
          <w:sz w:val="22"/>
        </w:rPr>
        <w:t> </w:t>
      </w:r>
      <w:r>
        <w:rPr>
          <w:sz w:val="22"/>
        </w:rPr>
        <w:t>puedan</w:t>
      </w:r>
      <w:r>
        <w:rPr>
          <w:spacing w:val="-5"/>
          <w:sz w:val="22"/>
        </w:rPr>
        <w:t> </w:t>
      </w:r>
      <w:r>
        <w:rPr>
          <w:sz w:val="22"/>
        </w:rPr>
        <w:t>proporcionar</w:t>
      </w:r>
      <w:r>
        <w:rPr>
          <w:spacing w:val="-4"/>
          <w:sz w:val="22"/>
        </w:rPr>
        <w:t> </w:t>
      </w:r>
      <w:r>
        <w:rPr>
          <w:sz w:val="22"/>
        </w:rPr>
        <w:t>la</w:t>
      </w:r>
      <w:r>
        <w:rPr>
          <w:spacing w:val="-3"/>
          <w:sz w:val="22"/>
        </w:rPr>
        <w:t> </w:t>
      </w:r>
      <w:r>
        <w:rPr>
          <w:sz w:val="22"/>
        </w:rPr>
        <w:t>información requerida</w:t>
      </w:r>
      <w:r>
        <w:rPr>
          <w:spacing w:val="-14"/>
          <w:sz w:val="22"/>
        </w:rPr>
        <w:t> </w:t>
      </w:r>
      <w:r>
        <w:rPr>
          <w:sz w:val="22"/>
        </w:rPr>
        <w:t>por</w:t>
      </w:r>
      <w:r>
        <w:rPr>
          <w:spacing w:val="-13"/>
          <w:sz w:val="22"/>
        </w:rPr>
        <w:t> </w:t>
      </w:r>
      <w:r>
        <w:rPr>
          <w:sz w:val="22"/>
        </w:rPr>
        <w:t>la</w:t>
      </w:r>
      <w:r>
        <w:rPr>
          <w:spacing w:val="-14"/>
          <w:sz w:val="22"/>
        </w:rPr>
        <w:t> </w:t>
      </w:r>
      <w:r>
        <w:rPr>
          <w:sz w:val="22"/>
        </w:rPr>
        <w:t>SGCAN.</w:t>
      </w:r>
      <w:r>
        <w:rPr>
          <w:spacing w:val="-15"/>
          <w:sz w:val="22"/>
        </w:rPr>
        <w:t> </w:t>
      </w:r>
      <w:r>
        <w:rPr>
          <w:sz w:val="22"/>
        </w:rPr>
        <w:t>En</w:t>
      </w:r>
      <w:r>
        <w:rPr>
          <w:spacing w:val="-14"/>
          <w:sz w:val="22"/>
        </w:rPr>
        <w:t> </w:t>
      </w:r>
      <w:r>
        <w:rPr>
          <w:sz w:val="22"/>
        </w:rPr>
        <w:t>la</w:t>
      </w:r>
      <w:r>
        <w:rPr>
          <w:spacing w:val="-14"/>
          <w:sz w:val="22"/>
        </w:rPr>
        <w:t> </w:t>
      </w:r>
      <w:r>
        <w:rPr>
          <w:sz w:val="22"/>
        </w:rPr>
        <w:t>citada</w:t>
      </w:r>
      <w:r>
        <w:rPr>
          <w:spacing w:val="-14"/>
          <w:sz w:val="22"/>
        </w:rPr>
        <w:t> </w:t>
      </w:r>
      <w:r>
        <w:rPr>
          <w:sz w:val="22"/>
        </w:rPr>
        <w:t>comunicación</w:t>
      </w:r>
      <w:r>
        <w:rPr>
          <w:spacing w:val="-14"/>
          <w:sz w:val="22"/>
        </w:rPr>
        <w:t> </w:t>
      </w:r>
      <w:r>
        <w:rPr>
          <w:sz w:val="22"/>
        </w:rPr>
        <w:t>se</w:t>
      </w:r>
      <w:r>
        <w:rPr>
          <w:spacing w:val="-14"/>
          <w:sz w:val="22"/>
        </w:rPr>
        <w:t> </w:t>
      </w:r>
      <w:r>
        <w:rPr>
          <w:sz w:val="22"/>
        </w:rPr>
        <w:t>adjuntó</w:t>
      </w:r>
      <w:r>
        <w:rPr>
          <w:spacing w:val="-14"/>
          <w:sz w:val="22"/>
        </w:rPr>
        <w:t> </w:t>
      </w:r>
      <w:r>
        <w:rPr>
          <w:sz w:val="22"/>
        </w:rPr>
        <w:t>el</w:t>
      </w:r>
      <w:r>
        <w:rPr>
          <w:spacing w:val="-15"/>
          <w:sz w:val="22"/>
        </w:rPr>
        <w:t> </w:t>
      </w:r>
      <w:r>
        <w:rPr>
          <w:sz w:val="22"/>
        </w:rPr>
        <w:t>cronograma</w:t>
      </w:r>
      <w:r>
        <w:rPr>
          <w:spacing w:val="-14"/>
          <w:sz w:val="22"/>
        </w:rPr>
        <w:t> </w:t>
      </w:r>
      <w:r>
        <w:rPr>
          <w:sz w:val="22"/>
        </w:rPr>
        <w:t>de</w:t>
      </w:r>
      <w:r>
        <w:rPr>
          <w:spacing w:val="-14"/>
          <w:sz w:val="22"/>
        </w:rPr>
        <w:t> </w:t>
      </w:r>
      <w:r>
        <w:rPr>
          <w:sz w:val="22"/>
        </w:rPr>
        <w:t>visitas, que incluía las fechas propuestas, el lugar de visita y el objetivo de cada reunión</w:t>
      </w:r>
      <w:hyperlink w:history="true" w:anchor="_bookmark112">
        <w:r>
          <w:rPr>
            <w:sz w:val="22"/>
            <w:vertAlign w:val="superscript"/>
          </w:rPr>
          <w:t>45</w:t>
        </w:r>
      </w:hyperlink>
      <w:r>
        <w:rPr>
          <w:sz w:val="22"/>
          <w:vertAlign w:val="baseline"/>
        </w:rPr>
        <w:t>.</w:t>
      </w:r>
    </w:p>
    <w:p>
      <w:pPr>
        <w:pStyle w:val="BodyText"/>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La</w:t>
      </w:r>
      <w:r>
        <w:rPr>
          <w:spacing w:val="-3"/>
          <w:sz w:val="22"/>
        </w:rPr>
        <w:t> </w:t>
      </w:r>
      <w:r>
        <w:rPr>
          <w:sz w:val="22"/>
        </w:rPr>
        <w:t>SGCAN</w:t>
      </w:r>
      <w:r>
        <w:rPr>
          <w:spacing w:val="-3"/>
          <w:sz w:val="22"/>
        </w:rPr>
        <w:t> </w:t>
      </w:r>
      <w:r>
        <w:rPr>
          <w:sz w:val="22"/>
        </w:rPr>
        <w:t>mediante</w:t>
      </w:r>
      <w:r>
        <w:rPr>
          <w:spacing w:val="-4"/>
          <w:sz w:val="22"/>
        </w:rPr>
        <w:t> </w:t>
      </w:r>
      <w:r>
        <w:rPr>
          <w:sz w:val="22"/>
        </w:rPr>
        <w:t>comunicación</w:t>
      </w:r>
      <w:r>
        <w:rPr>
          <w:spacing w:val="-3"/>
          <w:sz w:val="22"/>
        </w:rPr>
        <w:t> </w:t>
      </w:r>
      <w:r>
        <w:rPr>
          <w:sz w:val="22"/>
        </w:rPr>
        <w:t>SG/E/DGCOM/500/2026,</w:t>
      </w:r>
      <w:r>
        <w:rPr>
          <w:spacing w:val="-3"/>
          <w:sz w:val="22"/>
        </w:rPr>
        <w:t> </w:t>
      </w:r>
      <w:r>
        <w:rPr>
          <w:sz w:val="22"/>
        </w:rPr>
        <w:t>de</w:t>
      </w:r>
      <w:r>
        <w:rPr>
          <w:spacing w:val="-3"/>
          <w:sz w:val="22"/>
        </w:rPr>
        <w:t> </w:t>
      </w:r>
      <w:r>
        <w:rPr>
          <w:sz w:val="22"/>
        </w:rPr>
        <w:t>19</w:t>
      </w:r>
      <w:r>
        <w:rPr>
          <w:spacing w:val="-3"/>
          <w:sz w:val="22"/>
        </w:rPr>
        <w:t> </w:t>
      </w:r>
      <w:r>
        <w:rPr>
          <w:sz w:val="22"/>
        </w:rPr>
        <w:t>de</w:t>
      </w:r>
      <w:r>
        <w:rPr>
          <w:spacing w:val="-4"/>
          <w:sz w:val="22"/>
        </w:rPr>
        <w:t> </w:t>
      </w:r>
      <w:r>
        <w:rPr>
          <w:sz w:val="22"/>
        </w:rPr>
        <w:t>marzo</w:t>
      </w:r>
      <w:r>
        <w:rPr>
          <w:spacing w:val="-2"/>
          <w:sz w:val="22"/>
        </w:rPr>
        <w:t> </w:t>
      </w:r>
      <w:r>
        <w:rPr>
          <w:sz w:val="22"/>
        </w:rPr>
        <w:t>de</w:t>
      </w:r>
      <w:r>
        <w:rPr>
          <w:spacing w:val="-3"/>
          <w:sz w:val="22"/>
        </w:rPr>
        <w:t> </w:t>
      </w:r>
      <w:r>
        <w:rPr>
          <w:sz w:val="22"/>
        </w:rPr>
        <w:t>2026, notificó</w:t>
      </w:r>
      <w:r>
        <w:rPr>
          <w:spacing w:val="-7"/>
          <w:sz w:val="22"/>
        </w:rPr>
        <w:t> </w:t>
      </w:r>
      <w:r>
        <w:rPr>
          <w:sz w:val="22"/>
        </w:rPr>
        <w:t>a</w:t>
      </w:r>
      <w:r>
        <w:rPr>
          <w:spacing w:val="-10"/>
          <w:sz w:val="22"/>
        </w:rPr>
        <w:t> </w:t>
      </w:r>
      <w:r>
        <w:rPr>
          <w:sz w:val="22"/>
        </w:rPr>
        <w:t>la</w:t>
      </w:r>
      <w:r>
        <w:rPr>
          <w:spacing w:val="-7"/>
          <w:sz w:val="22"/>
        </w:rPr>
        <w:t> </w:t>
      </w:r>
      <w:r>
        <w:rPr>
          <w:sz w:val="22"/>
        </w:rPr>
        <w:t>República</w:t>
      </w:r>
      <w:r>
        <w:rPr>
          <w:spacing w:val="-7"/>
          <w:sz w:val="22"/>
        </w:rPr>
        <w:t> </w:t>
      </w:r>
      <w:r>
        <w:rPr>
          <w:sz w:val="22"/>
        </w:rPr>
        <w:t>del</w:t>
      </w:r>
      <w:r>
        <w:rPr>
          <w:spacing w:val="-8"/>
          <w:sz w:val="22"/>
        </w:rPr>
        <w:t> </w:t>
      </w:r>
      <w:r>
        <w:rPr>
          <w:sz w:val="22"/>
        </w:rPr>
        <w:t>Ecuador</w:t>
      </w:r>
      <w:r>
        <w:rPr>
          <w:spacing w:val="-5"/>
          <w:sz w:val="22"/>
        </w:rPr>
        <w:t> </w:t>
      </w:r>
      <w:r>
        <w:rPr>
          <w:sz w:val="22"/>
        </w:rPr>
        <w:t>su</w:t>
      </w:r>
      <w:r>
        <w:rPr>
          <w:spacing w:val="-10"/>
          <w:sz w:val="22"/>
        </w:rPr>
        <w:t> </w:t>
      </w:r>
      <w:r>
        <w:rPr>
          <w:sz w:val="22"/>
        </w:rPr>
        <w:t>intención</w:t>
      </w:r>
      <w:r>
        <w:rPr>
          <w:spacing w:val="-10"/>
          <w:sz w:val="22"/>
        </w:rPr>
        <w:t> </w:t>
      </w:r>
      <w:r>
        <w:rPr>
          <w:sz w:val="22"/>
        </w:rPr>
        <w:t>de</w:t>
      </w:r>
      <w:r>
        <w:rPr>
          <w:spacing w:val="-10"/>
          <w:sz w:val="22"/>
        </w:rPr>
        <w:t> </w:t>
      </w:r>
      <w:r>
        <w:rPr>
          <w:sz w:val="22"/>
        </w:rPr>
        <w:t>realizar</w:t>
      </w:r>
      <w:r>
        <w:rPr>
          <w:spacing w:val="-9"/>
          <w:sz w:val="22"/>
        </w:rPr>
        <w:t> </w:t>
      </w:r>
      <w:r>
        <w:rPr>
          <w:sz w:val="22"/>
        </w:rPr>
        <w:t>visitas</w:t>
      </w:r>
      <w:r>
        <w:rPr>
          <w:spacing w:val="-7"/>
          <w:sz w:val="22"/>
        </w:rPr>
        <w:t> </w:t>
      </w:r>
      <w:r>
        <w:rPr>
          <w:sz w:val="22"/>
        </w:rPr>
        <w:t>de</w:t>
      </w:r>
      <w:r>
        <w:rPr>
          <w:spacing w:val="-10"/>
          <w:sz w:val="22"/>
        </w:rPr>
        <w:t> </w:t>
      </w:r>
      <w:r>
        <w:rPr>
          <w:sz w:val="22"/>
        </w:rPr>
        <w:t>verificación</w:t>
      </w:r>
      <w:r>
        <w:rPr>
          <w:spacing w:val="-8"/>
          <w:sz w:val="22"/>
        </w:rPr>
        <w:t> </w:t>
      </w:r>
      <w:r>
        <w:rPr>
          <w:sz w:val="22"/>
        </w:rPr>
        <w:t>con</w:t>
      </w:r>
      <w:r>
        <w:rPr>
          <w:spacing w:val="-5"/>
          <w:sz w:val="22"/>
        </w:rPr>
        <w:t> </w:t>
      </w:r>
      <w:r>
        <w:rPr>
          <w:sz w:val="22"/>
        </w:rPr>
        <w:t>un objetivo</w:t>
      </w:r>
      <w:r>
        <w:rPr>
          <w:spacing w:val="-4"/>
          <w:sz w:val="22"/>
        </w:rPr>
        <w:t> </w:t>
      </w:r>
      <w:r>
        <w:rPr>
          <w:sz w:val="22"/>
        </w:rPr>
        <w:t>similar</w:t>
      </w:r>
      <w:r>
        <w:rPr>
          <w:spacing w:val="-2"/>
          <w:sz w:val="22"/>
        </w:rPr>
        <w:t> </w:t>
      </w:r>
      <w:r>
        <w:rPr>
          <w:sz w:val="22"/>
        </w:rPr>
        <w:t>al</w:t>
      </w:r>
      <w:r>
        <w:rPr>
          <w:spacing w:val="-5"/>
          <w:sz w:val="22"/>
        </w:rPr>
        <w:t> </w:t>
      </w:r>
      <w:r>
        <w:rPr>
          <w:sz w:val="22"/>
        </w:rPr>
        <w:t>notificado</w:t>
      </w:r>
      <w:r>
        <w:rPr>
          <w:spacing w:val="-4"/>
          <w:sz w:val="22"/>
        </w:rPr>
        <w:t> </w:t>
      </w:r>
      <w:r>
        <w:rPr>
          <w:sz w:val="22"/>
        </w:rPr>
        <w:t>a</w:t>
      </w:r>
      <w:r>
        <w:rPr>
          <w:spacing w:val="-4"/>
          <w:sz w:val="22"/>
        </w:rPr>
        <w:t> </w:t>
      </w:r>
      <w:r>
        <w:rPr>
          <w:sz w:val="22"/>
        </w:rPr>
        <w:t>la</w:t>
      </w:r>
      <w:r>
        <w:rPr>
          <w:spacing w:val="-4"/>
          <w:sz w:val="22"/>
        </w:rPr>
        <w:t> </w:t>
      </w:r>
      <w:r>
        <w:rPr>
          <w:sz w:val="22"/>
        </w:rPr>
        <w:t>República</w:t>
      </w:r>
      <w:r>
        <w:rPr>
          <w:spacing w:val="-4"/>
          <w:sz w:val="22"/>
        </w:rPr>
        <w:t> </w:t>
      </w:r>
      <w:r>
        <w:rPr>
          <w:sz w:val="22"/>
        </w:rPr>
        <w:t>de</w:t>
      </w:r>
      <w:r>
        <w:rPr>
          <w:spacing w:val="-4"/>
          <w:sz w:val="22"/>
        </w:rPr>
        <w:t> </w:t>
      </w:r>
      <w:r>
        <w:rPr>
          <w:sz w:val="22"/>
        </w:rPr>
        <w:t>Colombia.</w:t>
      </w:r>
      <w:r>
        <w:rPr>
          <w:spacing w:val="-3"/>
          <w:sz w:val="22"/>
        </w:rPr>
        <w:t> </w:t>
      </w:r>
      <w:r>
        <w:rPr>
          <w:sz w:val="22"/>
        </w:rPr>
        <w:t>Dichas</w:t>
      </w:r>
      <w:r>
        <w:rPr>
          <w:spacing w:val="-4"/>
          <w:sz w:val="22"/>
        </w:rPr>
        <w:t> </w:t>
      </w:r>
      <w:r>
        <w:rPr>
          <w:sz w:val="22"/>
        </w:rPr>
        <w:t>visitas</w:t>
      </w:r>
      <w:r>
        <w:rPr>
          <w:spacing w:val="-4"/>
          <w:sz w:val="22"/>
        </w:rPr>
        <w:t> </w:t>
      </w:r>
      <w:r>
        <w:rPr>
          <w:sz w:val="22"/>
        </w:rPr>
        <w:t>se</w:t>
      </w:r>
      <w:r>
        <w:rPr>
          <w:spacing w:val="-9"/>
          <w:sz w:val="22"/>
        </w:rPr>
        <w:t> </w:t>
      </w:r>
      <w:r>
        <w:rPr>
          <w:sz w:val="22"/>
        </w:rPr>
        <w:t>realizarían</w:t>
      </w:r>
      <w:r>
        <w:rPr>
          <w:spacing w:val="-4"/>
          <w:sz w:val="22"/>
        </w:rPr>
        <w:t> </w:t>
      </w:r>
      <w:r>
        <w:rPr>
          <w:sz w:val="22"/>
        </w:rPr>
        <w:t>el 23 de marzo de 2026 en el Centro Binacional de Atención en Frontera de San Miguel </w:t>
      </w:r>
      <w:r>
        <w:rPr>
          <w:spacing w:val="-2"/>
          <w:sz w:val="22"/>
        </w:rPr>
        <w:t>(CEBAF).</w:t>
      </w:r>
    </w:p>
    <w:p>
      <w:pPr>
        <w:pStyle w:val="BodyText"/>
        <w:spacing w:before="1"/>
      </w:pPr>
    </w:p>
    <w:p>
      <w:pPr>
        <w:pStyle w:val="Heading6"/>
        <w:numPr>
          <w:ilvl w:val="0"/>
          <w:numId w:val="66"/>
        </w:numPr>
        <w:tabs>
          <w:tab w:pos="1276" w:val="left" w:leader="none"/>
        </w:tabs>
        <w:spacing w:line="240" w:lineRule="auto" w:before="0" w:after="0"/>
        <w:ind w:left="1276" w:right="0" w:hanging="360"/>
        <w:jc w:val="left"/>
      </w:pPr>
      <w:r>
        <w:rPr/>
        <w:t>Desarrollo</w:t>
      </w:r>
      <w:r>
        <w:rPr>
          <w:spacing w:val="-3"/>
        </w:rPr>
        <w:t> </w:t>
      </w:r>
      <w:r>
        <w:rPr/>
        <w:t>de</w:t>
      </w:r>
      <w:r>
        <w:rPr>
          <w:spacing w:val="-5"/>
        </w:rPr>
        <w:t> </w:t>
      </w:r>
      <w:r>
        <w:rPr/>
        <w:t>las</w:t>
      </w:r>
      <w:r>
        <w:rPr>
          <w:spacing w:val="-4"/>
        </w:rPr>
        <w:t> </w:t>
      </w:r>
      <w:r>
        <w:rPr>
          <w:spacing w:val="-2"/>
        </w:rPr>
        <w:t>visitas</w:t>
      </w:r>
    </w:p>
    <w:p>
      <w:pPr>
        <w:pStyle w:val="ListParagraph"/>
        <w:numPr>
          <w:ilvl w:val="0"/>
          <w:numId w:val="50"/>
        </w:numPr>
        <w:tabs>
          <w:tab w:pos="1130" w:val="left" w:leader="none"/>
          <w:tab w:pos="1134" w:val="left" w:leader="none"/>
        </w:tabs>
        <w:spacing w:line="240" w:lineRule="auto" w:before="249" w:after="0"/>
        <w:ind w:left="1134" w:right="975" w:hanging="567"/>
        <w:jc w:val="both"/>
        <w:rPr>
          <w:sz w:val="22"/>
        </w:rPr>
      </w:pPr>
      <w:r>
        <w:rPr>
          <w:sz w:val="22"/>
        </w:rPr>
        <w:t>Como</w:t>
      </w:r>
      <w:r>
        <w:rPr>
          <w:spacing w:val="-11"/>
          <w:sz w:val="22"/>
        </w:rPr>
        <w:t> </w:t>
      </w:r>
      <w:r>
        <w:rPr>
          <w:sz w:val="22"/>
        </w:rPr>
        <w:t>se</w:t>
      </w:r>
      <w:r>
        <w:rPr>
          <w:spacing w:val="-14"/>
          <w:sz w:val="22"/>
        </w:rPr>
        <w:t> </w:t>
      </w:r>
      <w:r>
        <w:rPr>
          <w:sz w:val="22"/>
        </w:rPr>
        <w:t>ha</w:t>
      </w:r>
      <w:r>
        <w:rPr>
          <w:spacing w:val="-14"/>
          <w:sz w:val="22"/>
        </w:rPr>
        <w:t> </w:t>
      </w:r>
      <w:r>
        <w:rPr>
          <w:sz w:val="22"/>
        </w:rPr>
        <w:t>señalado,</w:t>
      </w:r>
      <w:r>
        <w:rPr>
          <w:spacing w:val="-13"/>
          <w:sz w:val="22"/>
        </w:rPr>
        <w:t> </w:t>
      </w:r>
      <w:r>
        <w:rPr>
          <w:sz w:val="22"/>
        </w:rPr>
        <w:t>funcionarios</w:t>
      </w:r>
      <w:r>
        <w:rPr>
          <w:spacing w:val="-11"/>
          <w:sz w:val="22"/>
        </w:rPr>
        <w:t> </w:t>
      </w:r>
      <w:r>
        <w:rPr>
          <w:sz w:val="22"/>
        </w:rPr>
        <w:t>de</w:t>
      </w:r>
      <w:r>
        <w:rPr>
          <w:spacing w:val="-12"/>
          <w:sz w:val="22"/>
        </w:rPr>
        <w:t> </w:t>
      </w:r>
      <w:r>
        <w:rPr>
          <w:sz w:val="22"/>
        </w:rPr>
        <w:t>la</w:t>
      </w:r>
      <w:r>
        <w:rPr>
          <w:spacing w:val="-14"/>
          <w:sz w:val="22"/>
        </w:rPr>
        <w:t> </w:t>
      </w:r>
      <w:r>
        <w:rPr>
          <w:sz w:val="22"/>
        </w:rPr>
        <w:t>SGCAN</w:t>
      </w:r>
      <w:r>
        <w:rPr>
          <w:spacing w:val="-14"/>
          <w:sz w:val="22"/>
        </w:rPr>
        <w:t> </w:t>
      </w:r>
      <w:r>
        <w:rPr>
          <w:sz w:val="22"/>
        </w:rPr>
        <w:t>realizaron</w:t>
      </w:r>
      <w:r>
        <w:rPr>
          <w:spacing w:val="-11"/>
          <w:sz w:val="22"/>
        </w:rPr>
        <w:t> </w:t>
      </w:r>
      <w:r>
        <w:rPr>
          <w:sz w:val="22"/>
        </w:rPr>
        <w:t>visitas</w:t>
      </w:r>
      <w:r>
        <w:rPr>
          <w:spacing w:val="-14"/>
          <w:sz w:val="22"/>
        </w:rPr>
        <w:t> </w:t>
      </w:r>
      <w:r>
        <w:rPr>
          <w:sz w:val="22"/>
        </w:rPr>
        <w:t>de</w:t>
      </w:r>
      <w:r>
        <w:rPr>
          <w:spacing w:val="-14"/>
          <w:sz w:val="22"/>
        </w:rPr>
        <w:t> </w:t>
      </w:r>
      <w:r>
        <w:rPr>
          <w:sz w:val="22"/>
        </w:rPr>
        <w:t>verificación</w:t>
      </w:r>
      <w:r>
        <w:rPr>
          <w:spacing w:val="-8"/>
          <w:sz w:val="22"/>
        </w:rPr>
        <w:t> </w:t>
      </w:r>
      <w:r>
        <w:rPr>
          <w:rFonts w:ascii="Arial" w:hAnsi="Arial"/>
          <w:i/>
          <w:sz w:val="22"/>
        </w:rPr>
        <w:t>in</w:t>
      </w:r>
      <w:r>
        <w:rPr>
          <w:rFonts w:ascii="Arial" w:hAnsi="Arial"/>
          <w:i/>
          <w:spacing w:val="-11"/>
          <w:sz w:val="22"/>
        </w:rPr>
        <w:t> </w:t>
      </w:r>
      <w:r>
        <w:rPr>
          <w:rFonts w:ascii="Arial" w:hAnsi="Arial"/>
          <w:i/>
          <w:sz w:val="22"/>
        </w:rPr>
        <w:t>situ </w:t>
      </w:r>
      <w:r>
        <w:rPr>
          <w:sz w:val="22"/>
        </w:rPr>
        <w:t>en ambos países, con el propósito de recopilar información adicional que permitiera evidenciar</w:t>
      </w:r>
      <w:r>
        <w:rPr>
          <w:spacing w:val="-9"/>
          <w:sz w:val="22"/>
        </w:rPr>
        <w:t> </w:t>
      </w:r>
      <w:r>
        <w:rPr>
          <w:sz w:val="22"/>
        </w:rPr>
        <w:t>los</w:t>
      </w:r>
      <w:r>
        <w:rPr>
          <w:spacing w:val="-10"/>
          <w:sz w:val="22"/>
        </w:rPr>
        <w:t> </w:t>
      </w:r>
      <w:r>
        <w:rPr>
          <w:sz w:val="22"/>
        </w:rPr>
        <w:t>impactos</w:t>
      </w:r>
      <w:r>
        <w:rPr>
          <w:spacing w:val="-10"/>
          <w:sz w:val="22"/>
        </w:rPr>
        <w:t> </w:t>
      </w:r>
      <w:r>
        <w:rPr>
          <w:sz w:val="22"/>
        </w:rPr>
        <w:t>generados</w:t>
      </w:r>
      <w:r>
        <w:rPr>
          <w:spacing w:val="-10"/>
          <w:sz w:val="22"/>
        </w:rPr>
        <w:t> </w:t>
      </w:r>
      <w:r>
        <w:rPr>
          <w:sz w:val="22"/>
        </w:rPr>
        <w:t>y</w:t>
      </w:r>
      <w:r>
        <w:rPr>
          <w:spacing w:val="-9"/>
          <w:sz w:val="22"/>
        </w:rPr>
        <w:t> </w:t>
      </w:r>
      <w:r>
        <w:rPr>
          <w:sz w:val="22"/>
        </w:rPr>
        <w:t>argumentados</w:t>
      </w:r>
      <w:r>
        <w:rPr>
          <w:spacing w:val="-9"/>
          <w:sz w:val="22"/>
        </w:rPr>
        <w:t> </w:t>
      </w:r>
      <w:r>
        <w:rPr>
          <w:sz w:val="22"/>
        </w:rPr>
        <w:t>por</w:t>
      </w:r>
      <w:r>
        <w:rPr>
          <w:spacing w:val="-9"/>
          <w:sz w:val="22"/>
        </w:rPr>
        <w:t> </w:t>
      </w:r>
      <w:r>
        <w:rPr>
          <w:sz w:val="22"/>
        </w:rPr>
        <w:t>la</w:t>
      </w:r>
      <w:r>
        <w:rPr>
          <w:spacing w:val="-10"/>
          <w:sz w:val="22"/>
        </w:rPr>
        <w:t> </w:t>
      </w:r>
      <w:r>
        <w:rPr>
          <w:sz w:val="22"/>
        </w:rPr>
        <w:t>República</w:t>
      </w:r>
      <w:r>
        <w:rPr>
          <w:spacing w:val="-10"/>
          <w:sz w:val="22"/>
        </w:rPr>
        <w:t> </w:t>
      </w:r>
      <w:r>
        <w:rPr>
          <w:sz w:val="22"/>
        </w:rPr>
        <w:t>de</w:t>
      </w:r>
      <w:r>
        <w:rPr>
          <w:spacing w:val="-10"/>
          <w:sz w:val="22"/>
        </w:rPr>
        <w:t> </w:t>
      </w:r>
      <w:r>
        <w:rPr>
          <w:sz w:val="22"/>
        </w:rPr>
        <w:t>Colombia</w:t>
      </w:r>
      <w:r>
        <w:rPr>
          <w:spacing w:val="-10"/>
          <w:sz w:val="22"/>
        </w:rPr>
        <w:t> </w:t>
      </w:r>
      <w:r>
        <w:rPr>
          <w:sz w:val="22"/>
        </w:rPr>
        <w:t>como consecuencia de la implementación de la medida ecuatoriana consistente en la aplicación de una tasa de control equivalente al 50%.</w:t>
      </w:r>
    </w:p>
    <w:p>
      <w:pPr>
        <w:pStyle w:val="BodyText"/>
        <w:spacing w:before="2"/>
      </w:pPr>
    </w:p>
    <w:p>
      <w:pPr>
        <w:pStyle w:val="Heading6"/>
        <w:numPr>
          <w:ilvl w:val="0"/>
          <w:numId w:val="67"/>
        </w:numPr>
        <w:tabs>
          <w:tab w:pos="1276" w:val="left" w:leader="none"/>
        </w:tabs>
        <w:spacing w:line="240" w:lineRule="auto" w:before="0" w:after="0"/>
        <w:ind w:left="1276" w:right="0" w:hanging="360"/>
        <w:jc w:val="left"/>
      </w:pPr>
      <w:r>
        <w:rPr/>
        <w:t>Visita</w:t>
      </w:r>
      <w:r>
        <w:rPr>
          <w:spacing w:val="-5"/>
        </w:rPr>
        <w:t> </w:t>
      </w:r>
      <w:r>
        <w:rPr/>
        <w:t>a</w:t>
      </w:r>
      <w:r>
        <w:rPr>
          <w:spacing w:val="-4"/>
        </w:rPr>
        <w:t> </w:t>
      </w:r>
      <w:r>
        <w:rPr/>
        <w:t>la</w:t>
      </w:r>
      <w:r>
        <w:rPr>
          <w:spacing w:val="-4"/>
        </w:rPr>
        <w:t> </w:t>
      </w:r>
      <w:r>
        <w:rPr/>
        <w:t>República</w:t>
      </w:r>
      <w:r>
        <w:rPr>
          <w:spacing w:val="-4"/>
        </w:rPr>
        <w:t> </w:t>
      </w:r>
      <w:r>
        <w:rPr/>
        <w:t>del </w:t>
      </w:r>
      <w:r>
        <w:rPr>
          <w:spacing w:val="-2"/>
        </w:rPr>
        <w:t>Ecuador</w:t>
      </w:r>
    </w:p>
    <w:p>
      <w:pPr>
        <w:pStyle w:val="ListParagraph"/>
        <w:numPr>
          <w:ilvl w:val="0"/>
          <w:numId w:val="50"/>
        </w:numPr>
        <w:tabs>
          <w:tab w:pos="1130" w:val="left" w:leader="none"/>
          <w:tab w:pos="1134" w:val="left" w:leader="none"/>
        </w:tabs>
        <w:spacing w:line="240" w:lineRule="auto" w:before="251" w:after="0"/>
        <w:ind w:left="1134" w:right="981" w:hanging="567"/>
        <w:jc w:val="both"/>
        <w:rPr>
          <w:sz w:val="22"/>
        </w:rPr>
      </w:pPr>
      <w:r>
        <w:rPr>
          <w:sz w:val="22"/>
        </w:rPr>
        <w:t>La</w:t>
      </w:r>
      <w:r>
        <w:rPr>
          <w:spacing w:val="-4"/>
          <w:sz w:val="22"/>
        </w:rPr>
        <w:t> </w:t>
      </w:r>
      <w:r>
        <w:rPr>
          <w:sz w:val="22"/>
        </w:rPr>
        <w:t>visita</w:t>
      </w:r>
      <w:r>
        <w:rPr>
          <w:spacing w:val="-4"/>
          <w:sz w:val="22"/>
        </w:rPr>
        <w:t> </w:t>
      </w:r>
      <w:r>
        <w:rPr>
          <w:sz w:val="22"/>
        </w:rPr>
        <w:t>llevada</w:t>
      </w:r>
      <w:r>
        <w:rPr>
          <w:spacing w:val="-4"/>
          <w:sz w:val="22"/>
        </w:rPr>
        <w:t> </w:t>
      </w:r>
      <w:r>
        <w:rPr>
          <w:sz w:val="22"/>
        </w:rPr>
        <w:t>a</w:t>
      </w:r>
      <w:r>
        <w:rPr>
          <w:spacing w:val="-4"/>
          <w:sz w:val="22"/>
        </w:rPr>
        <w:t> </w:t>
      </w:r>
      <w:r>
        <w:rPr>
          <w:sz w:val="22"/>
        </w:rPr>
        <w:t>cabo</w:t>
      </w:r>
      <w:r>
        <w:rPr>
          <w:spacing w:val="-6"/>
          <w:sz w:val="22"/>
        </w:rPr>
        <w:t> </w:t>
      </w:r>
      <w:r>
        <w:rPr>
          <w:sz w:val="22"/>
        </w:rPr>
        <w:t>en</w:t>
      </w:r>
      <w:r>
        <w:rPr>
          <w:spacing w:val="-4"/>
          <w:sz w:val="22"/>
        </w:rPr>
        <w:t> </w:t>
      </w:r>
      <w:r>
        <w:rPr>
          <w:sz w:val="22"/>
        </w:rPr>
        <w:t>la</w:t>
      </w:r>
      <w:r>
        <w:rPr>
          <w:spacing w:val="-4"/>
          <w:sz w:val="22"/>
        </w:rPr>
        <w:t> </w:t>
      </w:r>
      <w:r>
        <w:rPr>
          <w:sz w:val="22"/>
        </w:rPr>
        <w:t>República</w:t>
      </w:r>
      <w:r>
        <w:rPr>
          <w:spacing w:val="-4"/>
          <w:sz w:val="22"/>
        </w:rPr>
        <w:t> </w:t>
      </w:r>
      <w:r>
        <w:rPr>
          <w:sz w:val="22"/>
        </w:rPr>
        <w:t>del</w:t>
      </w:r>
      <w:r>
        <w:rPr>
          <w:spacing w:val="-5"/>
          <w:sz w:val="22"/>
        </w:rPr>
        <w:t> </w:t>
      </w:r>
      <w:r>
        <w:rPr>
          <w:sz w:val="22"/>
        </w:rPr>
        <w:t>Ecuador</w:t>
      </w:r>
      <w:r>
        <w:rPr>
          <w:spacing w:val="-3"/>
          <w:sz w:val="22"/>
        </w:rPr>
        <w:t> </w:t>
      </w:r>
      <w:r>
        <w:rPr>
          <w:sz w:val="22"/>
        </w:rPr>
        <w:t>se</w:t>
      </w:r>
      <w:r>
        <w:rPr>
          <w:spacing w:val="-6"/>
          <w:sz w:val="22"/>
        </w:rPr>
        <w:t> </w:t>
      </w:r>
      <w:r>
        <w:rPr>
          <w:sz w:val="22"/>
        </w:rPr>
        <w:t>realizó</w:t>
      </w:r>
      <w:r>
        <w:rPr>
          <w:spacing w:val="-4"/>
          <w:sz w:val="22"/>
        </w:rPr>
        <w:t> </w:t>
      </w:r>
      <w:r>
        <w:rPr>
          <w:sz w:val="22"/>
        </w:rPr>
        <w:t>el</w:t>
      </w:r>
      <w:r>
        <w:rPr>
          <w:spacing w:val="-5"/>
          <w:sz w:val="22"/>
        </w:rPr>
        <w:t> </w:t>
      </w:r>
      <w:r>
        <w:rPr>
          <w:sz w:val="22"/>
        </w:rPr>
        <w:t>23</w:t>
      </w:r>
      <w:r>
        <w:rPr>
          <w:spacing w:val="-4"/>
          <w:sz w:val="22"/>
        </w:rPr>
        <w:t> </w:t>
      </w:r>
      <w:r>
        <w:rPr>
          <w:sz w:val="22"/>
        </w:rPr>
        <w:t>de</w:t>
      </w:r>
      <w:r>
        <w:rPr>
          <w:spacing w:val="-7"/>
          <w:sz w:val="22"/>
        </w:rPr>
        <w:t> </w:t>
      </w:r>
      <w:r>
        <w:rPr>
          <w:sz w:val="22"/>
        </w:rPr>
        <w:t>marzo</w:t>
      </w:r>
      <w:r>
        <w:rPr>
          <w:spacing w:val="-4"/>
          <w:sz w:val="22"/>
        </w:rPr>
        <w:t> </w:t>
      </w:r>
      <w:r>
        <w:rPr>
          <w:sz w:val="22"/>
        </w:rPr>
        <w:t>de</w:t>
      </w:r>
      <w:r>
        <w:rPr>
          <w:spacing w:val="-4"/>
          <w:sz w:val="22"/>
        </w:rPr>
        <w:t> </w:t>
      </w:r>
      <w:r>
        <w:rPr>
          <w:sz w:val="22"/>
        </w:rPr>
        <w:t>2026, en las instalaciones del CEBAF San Miguel. La reunión contó con la presencia de funcionarios de diversas instituciones ecuatorianas, y estuvo representada el Director Distrital del Servicio Nacional de Aduanas del Ecuador (SENAE). Entre las entidades presentes destacaron el SENAE, los Ministerios de Relaciones Exteriores, del Interior, y de Producción, Comercio Exterior e Inversiones, junto con autoridades militares y policiales fronterizas.</w:t>
      </w:r>
    </w:p>
    <w:p>
      <w:pPr>
        <w:pStyle w:val="BodyText"/>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Durante la visita, se constató, entre otras cosas, el cierre total del paso fronterizo en el Puente</w:t>
      </w:r>
      <w:r>
        <w:rPr>
          <w:spacing w:val="-16"/>
          <w:sz w:val="22"/>
        </w:rPr>
        <w:t> </w:t>
      </w:r>
      <w:r>
        <w:rPr>
          <w:sz w:val="22"/>
        </w:rPr>
        <w:t>San</w:t>
      </w:r>
      <w:r>
        <w:rPr>
          <w:spacing w:val="-15"/>
          <w:sz w:val="22"/>
        </w:rPr>
        <w:t> </w:t>
      </w:r>
      <w:r>
        <w:rPr>
          <w:sz w:val="22"/>
        </w:rPr>
        <w:t>Miguel,</w:t>
      </w:r>
      <w:r>
        <w:rPr>
          <w:spacing w:val="-15"/>
          <w:sz w:val="22"/>
        </w:rPr>
        <w:t> </w:t>
      </w:r>
      <w:r>
        <w:rPr>
          <w:sz w:val="22"/>
        </w:rPr>
        <w:t>el</w:t>
      </w:r>
      <w:r>
        <w:rPr>
          <w:spacing w:val="-16"/>
          <w:sz w:val="22"/>
        </w:rPr>
        <w:t> </w:t>
      </w:r>
      <w:r>
        <w:rPr>
          <w:sz w:val="22"/>
        </w:rPr>
        <w:t>cual</w:t>
      </w:r>
      <w:r>
        <w:rPr>
          <w:spacing w:val="-15"/>
          <w:sz w:val="22"/>
        </w:rPr>
        <w:t> </w:t>
      </w:r>
      <w:r>
        <w:rPr>
          <w:sz w:val="22"/>
        </w:rPr>
        <w:t>se</w:t>
      </w:r>
      <w:r>
        <w:rPr>
          <w:spacing w:val="-15"/>
          <w:sz w:val="22"/>
        </w:rPr>
        <w:t> </w:t>
      </w:r>
      <w:r>
        <w:rPr>
          <w:sz w:val="22"/>
        </w:rPr>
        <w:t>encontraba</w:t>
      </w:r>
      <w:r>
        <w:rPr>
          <w:spacing w:val="-15"/>
          <w:sz w:val="22"/>
        </w:rPr>
        <w:t> </w:t>
      </w:r>
      <w:r>
        <w:rPr>
          <w:sz w:val="22"/>
        </w:rPr>
        <w:t>restringido</w:t>
      </w:r>
      <w:r>
        <w:rPr>
          <w:spacing w:val="-16"/>
          <w:sz w:val="22"/>
        </w:rPr>
        <w:t> </w:t>
      </w:r>
      <w:r>
        <w:rPr>
          <w:sz w:val="22"/>
        </w:rPr>
        <w:t>mediante</w:t>
      </w:r>
      <w:r>
        <w:rPr>
          <w:spacing w:val="-15"/>
          <w:sz w:val="22"/>
        </w:rPr>
        <w:t> </w:t>
      </w:r>
      <w:r>
        <w:rPr>
          <w:sz w:val="22"/>
        </w:rPr>
        <w:t>vallas</w:t>
      </w:r>
      <w:r>
        <w:rPr>
          <w:spacing w:val="-15"/>
          <w:sz w:val="22"/>
        </w:rPr>
        <w:t> </w:t>
      </w:r>
      <w:r>
        <w:rPr>
          <w:sz w:val="22"/>
        </w:rPr>
        <w:t>metálicas.</w:t>
      </w:r>
      <w:r>
        <w:rPr>
          <w:spacing w:val="-16"/>
          <w:sz w:val="22"/>
        </w:rPr>
        <w:t> </w:t>
      </w:r>
      <w:r>
        <w:rPr>
          <w:sz w:val="22"/>
        </w:rPr>
        <w:t>El</w:t>
      </w:r>
      <w:r>
        <w:rPr>
          <w:spacing w:val="-15"/>
          <w:sz w:val="22"/>
        </w:rPr>
        <w:t> </w:t>
      </w:r>
      <w:r>
        <w:rPr>
          <w:sz w:val="22"/>
        </w:rPr>
        <w:t>cruce de la delegación de funcionarios de la SGCAN fue posible gracias a una autorización</w:t>
      </w:r>
    </w:p>
    <w:p>
      <w:pPr>
        <w:pStyle w:val="BodyText"/>
        <w:spacing w:before="2"/>
        <w:rPr>
          <w:sz w:val="14"/>
        </w:rPr>
      </w:pPr>
      <w:r>
        <w:rPr>
          <w:sz w:val="14"/>
        </w:rPr>
        <mc:AlternateContent>
          <mc:Choice Requires="wps">
            <w:drawing>
              <wp:anchor distT="0" distB="0" distL="0" distR="0" allowOverlap="1" layoutInCell="1" locked="0" behindDoc="1" simplePos="0" relativeHeight="487640576">
                <wp:simplePos x="0" y="0"/>
                <wp:positionH relativeFrom="page">
                  <wp:posOffset>990904</wp:posOffset>
                </wp:positionH>
                <wp:positionV relativeFrom="paragraph">
                  <wp:posOffset>118850</wp:posOffset>
                </wp:positionV>
                <wp:extent cx="1829435" cy="7620"/>
                <wp:effectExtent l="0" t="0" r="0" b="0"/>
                <wp:wrapTopAndBottom/>
                <wp:docPr id="492" name="Graphic 492"/>
                <wp:cNvGraphicFramePr>
                  <a:graphicFrameLocks/>
                </wp:cNvGraphicFramePr>
                <a:graphic>
                  <a:graphicData uri="http://schemas.microsoft.com/office/word/2010/wordprocessingShape">
                    <wps:wsp>
                      <wps:cNvPr id="492" name="Graphic 492"/>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9.3583pt;width:144.020pt;height:.60004pt;mso-position-horizontal-relative:page;mso-position-vertical-relative:paragraph;z-index:-15675904;mso-wrap-distance-left:0;mso-wrap-distance-right:0" id="docshape340" filled="true" fillcolor="#000000" stroked="false">
                <v:fill type="solid"/>
                <w10:wrap type="topAndBottom"/>
              </v:rect>
            </w:pict>
          </mc:Fallback>
        </mc:AlternateContent>
      </w:r>
    </w:p>
    <w:p>
      <w:pPr>
        <w:spacing w:before="92"/>
        <w:ind w:left="568" w:right="0" w:firstLine="0"/>
        <w:jc w:val="left"/>
        <w:rPr>
          <w:sz w:val="16"/>
        </w:rPr>
      </w:pPr>
      <w:bookmarkStart w:name="_bookmark111" w:id="112"/>
      <w:bookmarkEnd w:id="112"/>
      <w:r>
        <w:rPr/>
      </w:r>
      <w:r>
        <w:rPr>
          <w:sz w:val="16"/>
          <w:vertAlign w:val="superscript"/>
        </w:rPr>
        <w:t>44</w:t>
      </w:r>
      <w:r>
        <w:rPr>
          <w:spacing w:val="-10"/>
          <w:sz w:val="16"/>
          <w:vertAlign w:val="baseline"/>
        </w:rPr>
        <w:t> </w:t>
      </w:r>
      <w:r>
        <w:rPr>
          <w:sz w:val="16"/>
          <w:vertAlign w:val="baseline"/>
        </w:rPr>
        <w:t>Expediente</w:t>
      </w:r>
      <w:r>
        <w:rPr>
          <w:spacing w:val="-10"/>
          <w:sz w:val="16"/>
          <w:vertAlign w:val="baseline"/>
        </w:rPr>
        <w:t> </w:t>
      </w:r>
      <w:r>
        <w:rPr>
          <w:sz w:val="16"/>
          <w:vertAlign w:val="baseline"/>
        </w:rPr>
        <w:t>SG/DGCOM/RES-GRAV/002,</w:t>
      </w:r>
      <w:r>
        <w:rPr>
          <w:spacing w:val="-10"/>
          <w:sz w:val="16"/>
          <w:vertAlign w:val="baseline"/>
        </w:rPr>
        <w:t> </w:t>
      </w:r>
      <w:r>
        <w:rPr>
          <w:rFonts w:ascii="Arial"/>
          <w:i/>
          <w:spacing w:val="-2"/>
          <w:sz w:val="16"/>
          <w:vertAlign w:val="baseline"/>
        </w:rPr>
        <w:t>Ibidem</w:t>
      </w:r>
      <w:r>
        <w:rPr>
          <w:spacing w:val="-2"/>
          <w:sz w:val="16"/>
          <w:vertAlign w:val="baseline"/>
        </w:rPr>
        <w:t>.</w:t>
      </w:r>
    </w:p>
    <w:p>
      <w:pPr>
        <w:spacing w:before="1"/>
        <w:ind w:left="568" w:right="0" w:firstLine="0"/>
        <w:jc w:val="left"/>
        <w:rPr>
          <w:sz w:val="16"/>
        </w:rPr>
      </w:pPr>
      <w:bookmarkStart w:name="_bookmark112" w:id="113"/>
      <w:bookmarkEnd w:id="113"/>
      <w:r>
        <w:rPr/>
      </w:r>
      <w:r>
        <w:rPr>
          <w:sz w:val="16"/>
          <w:vertAlign w:val="superscript"/>
        </w:rPr>
        <w:t>45</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000203.</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493" name="Group 493"/>
                <wp:cNvGraphicFramePr>
                  <a:graphicFrameLocks/>
                </wp:cNvGraphicFramePr>
                <a:graphic>
                  <a:graphicData uri="http://schemas.microsoft.com/office/word/2010/wordprocessingGroup">
                    <wpg:wgp>
                      <wpg:cNvPr id="493" name="Group 493"/>
                      <wpg:cNvGrpSpPr/>
                      <wpg:grpSpPr>
                        <a:xfrm>
                          <a:off x="0" y="0"/>
                          <a:ext cx="6131560" cy="9525"/>
                          <a:chExt cx="6131560" cy="9525"/>
                        </a:xfrm>
                      </wpg:grpSpPr>
                      <wps:wsp>
                        <wps:cNvPr id="494" name="Graphic 494"/>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41"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spacing w:before="176"/>
      </w:pPr>
    </w:p>
    <w:p>
      <w:pPr>
        <w:pStyle w:val="BodyText"/>
        <w:ind w:left="1134" w:right="955"/>
      </w:pPr>
      <w:r>
        <w:rPr/>
        <w:t>especial, gestionada por las autoridades ecuatorianas, otorgada específicamente en el marco de la investigación conducida por la SGCAN.</w:t>
      </w:r>
    </w:p>
    <w:p>
      <w:pPr>
        <w:pStyle w:val="BodyText"/>
        <w:spacing w:before="2"/>
      </w:pPr>
    </w:p>
    <w:p>
      <w:pPr>
        <w:pStyle w:val="Heading6"/>
        <w:numPr>
          <w:ilvl w:val="0"/>
          <w:numId w:val="68"/>
        </w:numPr>
        <w:tabs>
          <w:tab w:pos="1276" w:val="left" w:leader="none"/>
        </w:tabs>
        <w:spacing w:line="240" w:lineRule="auto" w:before="0" w:after="0"/>
        <w:ind w:left="1276" w:right="0" w:hanging="360"/>
        <w:jc w:val="left"/>
      </w:pPr>
      <w:r>
        <w:rPr/>
        <w:t>Visita</w:t>
      </w:r>
      <w:r>
        <w:rPr>
          <w:spacing w:val="-4"/>
        </w:rPr>
        <w:t> </w:t>
      </w:r>
      <w:r>
        <w:rPr/>
        <w:t>a</w:t>
      </w:r>
      <w:r>
        <w:rPr>
          <w:spacing w:val="-3"/>
        </w:rPr>
        <w:t> </w:t>
      </w:r>
      <w:r>
        <w:rPr/>
        <w:t>la</w:t>
      </w:r>
      <w:r>
        <w:rPr>
          <w:spacing w:val="-4"/>
        </w:rPr>
        <w:t> </w:t>
      </w:r>
      <w:r>
        <w:rPr/>
        <w:t>República</w:t>
      </w:r>
      <w:r>
        <w:rPr>
          <w:spacing w:val="-3"/>
        </w:rPr>
        <w:t> </w:t>
      </w:r>
      <w:r>
        <w:rPr/>
        <w:t>de</w:t>
      </w:r>
      <w:r>
        <w:rPr>
          <w:spacing w:val="-4"/>
        </w:rPr>
        <w:t> </w:t>
      </w:r>
      <w:r>
        <w:rPr>
          <w:spacing w:val="-2"/>
        </w:rPr>
        <w:t>Colombia</w:t>
      </w:r>
    </w:p>
    <w:p>
      <w:pPr>
        <w:pStyle w:val="ListParagraph"/>
        <w:numPr>
          <w:ilvl w:val="0"/>
          <w:numId w:val="50"/>
        </w:numPr>
        <w:tabs>
          <w:tab w:pos="1130" w:val="left" w:leader="none"/>
          <w:tab w:pos="1134" w:val="left" w:leader="none"/>
        </w:tabs>
        <w:spacing w:line="240" w:lineRule="auto" w:before="249" w:after="0"/>
        <w:ind w:left="1134" w:right="982" w:hanging="567"/>
        <w:jc w:val="both"/>
        <w:rPr>
          <w:sz w:val="22"/>
        </w:rPr>
      </w:pPr>
      <w:r>
        <w:rPr>
          <w:sz w:val="22"/>
        </w:rPr>
        <w:t>Las visitas programas en la República de Colombia tuvieron como finalidad recopilar información que permita evidenciar los impactos argumentados por la República de Colombia, derivados del establecimiento de la tasa de seguridad, aplicada por la República del Ecuador, así como aquellos relacionados al Decreto colombiano Nro. 0170 de 2026.</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Para cumplir con dicho objetivo, la SGCAN programó reuniones con las siguientes </w:t>
      </w:r>
      <w:r>
        <w:rPr>
          <w:spacing w:val="-2"/>
          <w:sz w:val="22"/>
        </w:rPr>
        <w:t>instituciones:</w:t>
      </w:r>
    </w:p>
    <w:p>
      <w:pPr>
        <w:pStyle w:val="BodyText"/>
      </w:pPr>
    </w:p>
    <w:p>
      <w:pPr>
        <w:pStyle w:val="ListParagraph"/>
        <w:numPr>
          <w:ilvl w:val="0"/>
          <w:numId w:val="69"/>
        </w:numPr>
        <w:tabs>
          <w:tab w:pos="1561" w:val="left" w:leader="none"/>
        </w:tabs>
        <w:spacing w:line="240" w:lineRule="auto" w:before="0" w:after="0"/>
        <w:ind w:left="1561" w:right="0" w:hanging="427"/>
        <w:jc w:val="left"/>
        <w:rPr>
          <w:sz w:val="22"/>
        </w:rPr>
      </w:pPr>
      <w:r>
        <w:rPr>
          <w:sz w:val="22"/>
        </w:rPr>
        <w:t>Gobernación</w:t>
      </w:r>
      <w:r>
        <w:rPr>
          <w:spacing w:val="-10"/>
          <w:sz w:val="22"/>
        </w:rPr>
        <w:t> </w:t>
      </w:r>
      <w:r>
        <w:rPr>
          <w:sz w:val="22"/>
        </w:rPr>
        <w:t>del</w:t>
      </w:r>
      <w:r>
        <w:rPr>
          <w:spacing w:val="-5"/>
          <w:sz w:val="22"/>
        </w:rPr>
        <w:t> </w:t>
      </w:r>
      <w:r>
        <w:rPr>
          <w:sz w:val="22"/>
        </w:rPr>
        <w:t>Putumayo</w:t>
      </w:r>
      <w:r>
        <w:rPr>
          <w:spacing w:val="-5"/>
          <w:sz w:val="22"/>
        </w:rPr>
        <w:t> </w:t>
      </w:r>
      <w:r>
        <w:rPr>
          <w:sz w:val="22"/>
        </w:rPr>
        <w:t>y</w:t>
      </w:r>
      <w:r>
        <w:rPr>
          <w:spacing w:val="-5"/>
          <w:sz w:val="22"/>
        </w:rPr>
        <w:t> </w:t>
      </w:r>
      <w:r>
        <w:rPr>
          <w:sz w:val="22"/>
        </w:rPr>
        <w:t>Cámara</w:t>
      </w:r>
      <w:r>
        <w:rPr>
          <w:spacing w:val="-7"/>
          <w:sz w:val="22"/>
        </w:rPr>
        <w:t> </w:t>
      </w:r>
      <w:r>
        <w:rPr>
          <w:sz w:val="22"/>
        </w:rPr>
        <w:t>de</w:t>
      </w:r>
      <w:r>
        <w:rPr>
          <w:spacing w:val="-5"/>
          <w:sz w:val="22"/>
        </w:rPr>
        <w:t> </w:t>
      </w:r>
      <w:r>
        <w:rPr>
          <w:sz w:val="22"/>
        </w:rPr>
        <w:t>Comercio</w:t>
      </w:r>
      <w:r>
        <w:rPr>
          <w:spacing w:val="-5"/>
          <w:sz w:val="22"/>
        </w:rPr>
        <w:t> </w:t>
      </w:r>
      <w:r>
        <w:rPr>
          <w:sz w:val="22"/>
        </w:rPr>
        <w:t>del</w:t>
      </w:r>
      <w:r>
        <w:rPr>
          <w:spacing w:val="-5"/>
          <w:sz w:val="22"/>
        </w:rPr>
        <w:t> </w:t>
      </w:r>
      <w:r>
        <w:rPr>
          <w:spacing w:val="-2"/>
          <w:sz w:val="22"/>
        </w:rPr>
        <w:t>Putumayo.</w:t>
      </w:r>
    </w:p>
    <w:p>
      <w:pPr>
        <w:pStyle w:val="ListParagraph"/>
        <w:numPr>
          <w:ilvl w:val="0"/>
          <w:numId w:val="69"/>
        </w:numPr>
        <w:tabs>
          <w:tab w:pos="1561" w:val="left" w:leader="none"/>
        </w:tabs>
        <w:spacing w:line="252" w:lineRule="exact" w:before="2" w:after="0"/>
        <w:ind w:left="1561" w:right="0" w:hanging="427"/>
        <w:jc w:val="left"/>
        <w:rPr>
          <w:sz w:val="22"/>
        </w:rPr>
      </w:pPr>
      <w:r>
        <w:rPr>
          <w:sz w:val="22"/>
        </w:rPr>
        <w:t>Cámara</w:t>
      </w:r>
      <w:r>
        <w:rPr>
          <w:spacing w:val="-5"/>
          <w:sz w:val="22"/>
        </w:rPr>
        <w:t> </w:t>
      </w:r>
      <w:r>
        <w:rPr>
          <w:sz w:val="22"/>
        </w:rPr>
        <w:t>Colombo</w:t>
      </w:r>
      <w:r>
        <w:rPr>
          <w:spacing w:val="-5"/>
          <w:sz w:val="22"/>
        </w:rPr>
        <w:t> </w:t>
      </w:r>
      <w:r>
        <w:rPr>
          <w:spacing w:val="-2"/>
          <w:sz w:val="22"/>
        </w:rPr>
        <w:t>Ecuatoriana.</w:t>
      </w:r>
    </w:p>
    <w:p>
      <w:pPr>
        <w:pStyle w:val="ListParagraph"/>
        <w:numPr>
          <w:ilvl w:val="0"/>
          <w:numId w:val="69"/>
        </w:numPr>
        <w:tabs>
          <w:tab w:pos="1561" w:val="left" w:leader="none"/>
        </w:tabs>
        <w:spacing w:line="252" w:lineRule="exact" w:before="0" w:after="0"/>
        <w:ind w:left="1561" w:right="0" w:hanging="427"/>
        <w:jc w:val="left"/>
        <w:rPr>
          <w:sz w:val="22"/>
        </w:rPr>
      </w:pPr>
      <w:r>
        <w:rPr>
          <w:sz w:val="22"/>
        </w:rPr>
        <w:t>Asociación</w:t>
      </w:r>
      <w:r>
        <w:rPr>
          <w:spacing w:val="-7"/>
          <w:sz w:val="22"/>
        </w:rPr>
        <w:t> </w:t>
      </w:r>
      <w:r>
        <w:rPr>
          <w:sz w:val="22"/>
        </w:rPr>
        <w:t>Nacional</w:t>
      </w:r>
      <w:r>
        <w:rPr>
          <w:spacing w:val="-8"/>
          <w:sz w:val="22"/>
        </w:rPr>
        <w:t> </w:t>
      </w:r>
      <w:r>
        <w:rPr>
          <w:sz w:val="22"/>
        </w:rPr>
        <w:t>de</w:t>
      </w:r>
      <w:r>
        <w:rPr>
          <w:spacing w:val="-8"/>
          <w:sz w:val="22"/>
        </w:rPr>
        <w:t> </w:t>
      </w:r>
      <w:r>
        <w:rPr>
          <w:sz w:val="22"/>
        </w:rPr>
        <w:t>Comercio</w:t>
      </w:r>
      <w:r>
        <w:rPr>
          <w:spacing w:val="-7"/>
          <w:sz w:val="22"/>
        </w:rPr>
        <w:t> </w:t>
      </w:r>
      <w:r>
        <w:rPr>
          <w:sz w:val="22"/>
        </w:rPr>
        <w:t>Exterior</w:t>
      </w:r>
      <w:r>
        <w:rPr>
          <w:spacing w:val="-7"/>
          <w:sz w:val="22"/>
        </w:rPr>
        <w:t> </w:t>
      </w:r>
      <w:r>
        <w:rPr>
          <w:spacing w:val="-2"/>
          <w:sz w:val="22"/>
        </w:rPr>
        <w:t>(ANALDEX).</w:t>
      </w:r>
    </w:p>
    <w:p>
      <w:pPr>
        <w:pStyle w:val="ListParagraph"/>
        <w:numPr>
          <w:ilvl w:val="0"/>
          <w:numId w:val="69"/>
        </w:numPr>
        <w:tabs>
          <w:tab w:pos="1561" w:val="left" w:leader="none"/>
        </w:tabs>
        <w:spacing w:line="252" w:lineRule="exact" w:before="0" w:after="0"/>
        <w:ind w:left="1561" w:right="0" w:hanging="427"/>
        <w:jc w:val="left"/>
        <w:rPr>
          <w:sz w:val="22"/>
        </w:rPr>
      </w:pPr>
      <w:r>
        <w:rPr>
          <w:sz w:val="22"/>
        </w:rPr>
        <w:t>Ministerio</w:t>
      </w:r>
      <w:r>
        <w:rPr>
          <w:spacing w:val="-5"/>
          <w:sz w:val="22"/>
        </w:rPr>
        <w:t> </w:t>
      </w:r>
      <w:r>
        <w:rPr>
          <w:sz w:val="22"/>
        </w:rPr>
        <w:t>de</w:t>
      </w:r>
      <w:r>
        <w:rPr>
          <w:spacing w:val="-7"/>
          <w:sz w:val="22"/>
        </w:rPr>
        <w:t> </w:t>
      </w:r>
      <w:r>
        <w:rPr>
          <w:sz w:val="22"/>
        </w:rPr>
        <w:t>Comercio,</w:t>
      </w:r>
      <w:r>
        <w:rPr>
          <w:spacing w:val="-6"/>
          <w:sz w:val="22"/>
        </w:rPr>
        <w:t> </w:t>
      </w:r>
      <w:r>
        <w:rPr>
          <w:sz w:val="22"/>
        </w:rPr>
        <w:t>Industria</w:t>
      </w:r>
      <w:r>
        <w:rPr>
          <w:spacing w:val="-7"/>
          <w:sz w:val="22"/>
        </w:rPr>
        <w:t> </w:t>
      </w:r>
      <w:r>
        <w:rPr>
          <w:sz w:val="22"/>
        </w:rPr>
        <w:t>y</w:t>
      </w:r>
      <w:r>
        <w:rPr>
          <w:spacing w:val="-3"/>
          <w:sz w:val="22"/>
        </w:rPr>
        <w:t> </w:t>
      </w:r>
      <w:r>
        <w:rPr>
          <w:spacing w:val="-2"/>
          <w:sz w:val="22"/>
        </w:rPr>
        <w:t>Turismo.</w:t>
      </w:r>
    </w:p>
    <w:p>
      <w:pPr>
        <w:pStyle w:val="BodyText"/>
        <w:spacing w:before="2"/>
      </w:pPr>
    </w:p>
    <w:p>
      <w:pPr>
        <w:pStyle w:val="Heading6"/>
        <w:numPr>
          <w:ilvl w:val="0"/>
          <w:numId w:val="70"/>
        </w:numPr>
        <w:tabs>
          <w:tab w:pos="1276" w:val="left" w:leader="none"/>
        </w:tabs>
        <w:spacing w:line="240" w:lineRule="auto" w:before="0" w:after="0"/>
        <w:ind w:left="1276" w:right="0" w:hanging="360"/>
        <w:jc w:val="left"/>
      </w:pPr>
      <w:r>
        <w:rPr/>
        <w:t>Reunión</w:t>
      </w:r>
      <w:r>
        <w:rPr>
          <w:spacing w:val="-3"/>
        </w:rPr>
        <w:t> </w:t>
      </w:r>
      <w:r>
        <w:rPr/>
        <w:t>con</w:t>
      </w:r>
      <w:r>
        <w:rPr>
          <w:spacing w:val="-5"/>
        </w:rPr>
        <w:t> </w:t>
      </w:r>
      <w:r>
        <w:rPr/>
        <w:t>la</w:t>
      </w:r>
      <w:r>
        <w:rPr>
          <w:spacing w:val="-4"/>
        </w:rPr>
        <w:t> </w:t>
      </w:r>
      <w:r>
        <w:rPr/>
        <w:t>Gobernación</w:t>
      </w:r>
      <w:r>
        <w:rPr>
          <w:spacing w:val="-3"/>
        </w:rPr>
        <w:t> </w:t>
      </w:r>
      <w:r>
        <w:rPr/>
        <w:t>y</w:t>
      </w:r>
      <w:r>
        <w:rPr>
          <w:spacing w:val="-5"/>
        </w:rPr>
        <w:t> </w:t>
      </w:r>
      <w:r>
        <w:rPr/>
        <w:t>la</w:t>
      </w:r>
      <w:r>
        <w:rPr>
          <w:spacing w:val="-4"/>
        </w:rPr>
        <w:t> </w:t>
      </w:r>
      <w:r>
        <w:rPr/>
        <w:t>Cámara</w:t>
      </w:r>
      <w:r>
        <w:rPr>
          <w:spacing w:val="-5"/>
        </w:rPr>
        <w:t> </w:t>
      </w:r>
      <w:r>
        <w:rPr/>
        <w:t>de</w:t>
      </w:r>
      <w:r>
        <w:rPr>
          <w:spacing w:val="-2"/>
        </w:rPr>
        <w:t> </w:t>
      </w:r>
      <w:r>
        <w:rPr/>
        <w:t>Comercio</w:t>
      </w:r>
      <w:r>
        <w:rPr>
          <w:spacing w:val="-5"/>
        </w:rPr>
        <w:t> </w:t>
      </w:r>
      <w:r>
        <w:rPr/>
        <w:t>del</w:t>
      </w:r>
      <w:r>
        <w:rPr>
          <w:spacing w:val="-3"/>
        </w:rPr>
        <w:t> </w:t>
      </w:r>
      <w:r>
        <w:rPr>
          <w:spacing w:val="-2"/>
        </w:rPr>
        <w:t>Putumayo</w:t>
      </w:r>
      <w:hyperlink w:history="true" w:anchor="_bookmark113">
        <w:r>
          <w:rPr>
            <w:spacing w:val="-2"/>
            <w:vertAlign w:val="superscript"/>
          </w:rPr>
          <w:t>46</w:t>
        </w:r>
      </w:hyperlink>
    </w:p>
    <w:p>
      <w:pPr>
        <w:pStyle w:val="ListParagraph"/>
        <w:numPr>
          <w:ilvl w:val="0"/>
          <w:numId w:val="50"/>
        </w:numPr>
        <w:tabs>
          <w:tab w:pos="1130" w:val="left" w:leader="none"/>
          <w:tab w:pos="1134" w:val="left" w:leader="none"/>
        </w:tabs>
        <w:spacing w:line="240" w:lineRule="auto" w:before="250" w:after="0"/>
        <w:ind w:left="1134" w:right="977" w:hanging="567"/>
        <w:jc w:val="both"/>
        <w:rPr>
          <w:sz w:val="22"/>
        </w:rPr>
      </w:pPr>
      <w:r>
        <w:rPr>
          <w:sz w:val="22"/>
        </w:rPr>
        <w:t>La reunión se realizó en la ciudad de Puerto Asís, el 25 de marzo de 2026, con la Cámara de Comercio del Putumayo, y, de manera virtual, con el Gobernador del Putumayo, la Secretaria de Competitividad y Productividad y el Secretario de la Gobernación del Putumayo.</w:t>
      </w:r>
    </w:p>
    <w:p>
      <w:pPr>
        <w:pStyle w:val="BodyText"/>
      </w:pPr>
    </w:p>
    <w:p>
      <w:pPr>
        <w:pStyle w:val="ListParagraph"/>
        <w:numPr>
          <w:ilvl w:val="0"/>
          <w:numId w:val="50"/>
        </w:numPr>
        <w:tabs>
          <w:tab w:pos="1131" w:val="left" w:leader="none"/>
        </w:tabs>
        <w:spacing w:line="240" w:lineRule="auto" w:before="0" w:after="0"/>
        <w:ind w:left="1131" w:right="0" w:hanging="563"/>
        <w:jc w:val="left"/>
        <w:rPr>
          <w:sz w:val="22"/>
        </w:rPr>
      </w:pPr>
      <w:r>
        <w:rPr>
          <w:sz w:val="22"/>
        </w:rPr>
        <w:t>Los</w:t>
      </w:r>
      <w:r>
        <w:rPr>
          <w:spacing w:val="-7"/>
          <w:sz w:val="22"/>
        </w:rPr>
        <w:t> </w:t>
      </w:r>
      <w:r>
        <w:rPr>
          <w:sz w:val="22"/>
        </w:rPr>
        <w:t>principales</w:t>
      </w:r>
      <w:r>
        <w:rPr>
          <w:spacing w:val="-6"/>
          <w:sz w:val="22"/>
        </w:rPr>
        <w:t> </w:t>
      </w:r>
      <w:r>
        <w:rPr>
          <w:sz w:val="22"/>
        </w:rPr>
        <w:t>elementos</w:t>
      </w:r>
      <w:r>
        <w:rPr>
          <w:spacing w:val="-5"/>
          <w:sz w:val="22"/>
        </w:rPr>
        <w:t> </w:t>
      </w:r>
      <w:r>
        <w:rPr>
          <w:sz w:val="22"/>
        </w:rPr>
        <w:t>señalados</w:t>
      </w:r>
      <w:r>
        <w:rPr>
          <w:spacing w:val="-6"/>
          <w:sz w:val="22"/>
        </w:rPr>
        <w:t> </w:t>
      </w:r>
      <w:r>
        <w:rPr>
          <w:sz w:val="22"/>
        </w:rPr>
        <w:t>por</w:t>
      </w:r>
      <w:r>
        <w:rPr>
          <w:spacing w:val="-4"/>
          <w:sz w:val="22"/>
        </w:rPr>
        <w:t> </w:t>
      </w:r>
      <w:r>
        <w:rPr>
          <w:sz w:val="22"/>
        </w:rPr>
        <w:t>los</w:t>
      </w:r>
      <w:r>
        <w:rPr>
          <w:spacing w:val="-8"/>
          <w:sz w:val="22"/>
        </w:rPr>
        <w:t> </w:t>
      </w:r>
      <w:r>
        <w:rPr>
          <w:sz w:val="22"/>
        </w:rPr>
        <w:t>participantes</w:t>
      </w:r>
      <w:r>
        <w:rPr>
          <w:spacing w:val="-5"/>
          <w:sz w:val="22"/>
        </w:rPr>
        <w:t> </w:t>
      </w:r>
      <w:r>
        <w:rPr>
          <w:sz w:val="22"/>
        </w:rPr>
        <w:t>se</w:t>
      </w:r>
      <w:r>
        <w:rPr>
          <w:spacing w:val="-7"/>
          <w:sz w:val="22"/>
        </w:rPr>
        <w:t> </w:t>
      </w:r>
      <w:r>
        <w:rPr>
          <w:sz w:val="22"/>
        </w:rPr>
        <w:t>resumen</w:t>
      </w:r>
      <w:r>
        <w:rPr>
          <w:spacing w:val="-8"/>
          <w:sz w:val="22"/>
        </w:rPr>
        <w:t> </w:t>
      </w:r>
      <w:r>
        <w:rPr>
          <w:sz w:val="22"/>
        </w:rPr>
        <w:t>a</w:t>
      </w:r>
      <w:r>
        <w:rPr>
          <w:spacing w:val="-5"/>
          <w:sz w:val="22"/>
        </w:rPr>
        <w:t> </w:t>
      </w:r>
      <w:r>
        <w:rPr>
          <w:spacing w:val="-2"/>
          <w:sz w:val="22"/>
        </w:rPr>
        <w:t>continuación:</w:t>
      </w:r>
    </w:p>
    <w:p>
      <w:pPr>
        <w:pStyle w:val="BodyText"/>
      </w:pPr>
    </w:p>
    <w:p>
      <w:pPr>
        <w:pStyle w:val="ListParagraph"/>
        <w:numPr>
          <w:ilvl w:val="0"/>
          <w:numId w:val="71"/>
        </w:numPr>
        <w:tabs>
          <w:tab w:pos="1559" w:val="left" w:leader="none"/>
          <w:tab w:pos="1562" w:val="left" w:leader="none"/>
        </w:tabs>
        <w:spacing w:line="240" w:lineRule="auto" w:before="0" w:after="0"/>
        <w:ind w:left="1562" w:right="976" w:hanging="428"/>
        <w:jc w:val="both"/>
        <w:rPr>
          <w:sz w:val="22"/>
        </w:rPr>
      </w:pPr>
      <w:r>
        <w:rPr>
          <w:sz w:val="22"/>
        </w:rPr>
        <w:t>Los argumentos de seguridad invocados para la adopción de la medida por parte de la República del Ecuador carecerían de sustento, dado que el año 2025 fue considerado el año más seguro para el departamento del Putumayo.</w:t>
      </w:r>
    </w:p>
    <w:p>
      <w:pPr>
        <w:pStyle w:val="ListParagraph"/>
        <w:numPr>
          <w:ilvl w:val="0"/>
          <w:numId w:val="71"/>
        </w:numPr>
        <w:tabs>
          <w:tab w:pos="1559" w:val="left" w:leader="none"/>
          <w:tab w:pos="1562" w:val="left" w:leader="none"/>
        </w:tabs>
        <w:spacing w:line="240" w:lineRule="auto" w:before="0" w:after="0"/>
        <w:ind w:left="1562" w:right="975" w:hanging="428"/>
        <w:jc w:val="both"/>
        <w:rPr>
          <w:sz w:val="22"/>
        </w:rPr>
      </w:pPr>
      <w:r>
        <w:rPr>
          <w:sz w:val="22"/>
        </w:rPr>
        <w:t>Se señaló</w:t>
      </w:r>
      <w:r>
        <w:rPr>
          <w:spacing w:val="-2"/>
          <w:sz w:val="22"/>
        </w:rPr>
        <w:t> </w:t>
      </w:r>
      <w:r>
        <w:rPr>
          <w:sz w:val="22"/>
        </w:rPr>
        <w:t>que</w:t>
      </w:r>
      <w:r>
        <w:rPr>
          <w:spacing w:val="-2"/>
          <w:sz w:val="22"/>
        </w:rPr>
        <w:t> </w:t>
      </w:r>
      <w:r>
        <w:rPr>
          <w:sz w:val="22"/>
        </w:rPr>
        <w:t>existiría</w:t>
      </w:r>
      <w:r>
        <w:rPr>
          <w:spacing w:val="-2"/>
          <w:sz w:val="22"/>
        </w:rPr>
        <w:t> </w:t>
      </w:r>
      <w:r>
        <w:rPr>
          <w:sz w:val="22"/>
        </w:rPr>
        <w:t>una afectación</w:t>
      </w:r>
      <w:r>
        <w:rPr>
          <w:spacing w:val="-1"/>
          <w:sz w:val="22"/>
        </w:rPr>
        <w:t> </w:t>
      </w:r>
      <w:r>
        <w:rPr>
          <w:sz w:val="22"/>
        </w:rPr>
        <w:t>a</w:t>
      </w:r>
      <w:r>
        <w:rPr>
          <w:spacing w:val="-2"/>
          <w:sz w:val="22"/>
        </w:rPr>
        <w:t> </w:t>
      </w:r>
      <w:r>
        <w:rPr>
          <w:sz w:val="22"/>
        </w:rPr>
        <w:t>lo</w:t>
      </w:r>
      <w:r>
        <w:rPr>
          <w:spacing w:val="-2"/>
          <w:sz w:val="22"/>
        </w:rPr>
        <w:t> </w:t>
      </w:r>
      <w:r>
        <w:rPr>
          <w:sz w:val="22"/>
        </w:rPr>
        <w:t>largo</w:t>
      </w:r>
      <w:r>
        <w:rPr>
          <w:spacing w:val="-4"/>
          <w:sz w:val="22"/>
        </w:rPr>
        <w:t> </w:t>
      </w:r>
      <w:r>
        <w:rPr>
          <w:sz w:val="22"/>
        </w:rPr>
        <w:t>de</w:t>
      </w:r>
      <w:r>
        <w:rPr>
          <w:spacing w:val="-1"/>
          <w:sz w:val="22"/>
        </w:rPr>
        <w:t> </w:t>
      </w:r>
      <w:r>
        <w:rPr>
          <w:sz w:val="22"/>
        </w:rPr>
        <w:t>toda</w:t>
      </w:r>
      <w:r>
        <w:rPr>
          <w:spacing w:val="-2"/>
          <w:sz w:val="22"/>
        </w:rPr>
        <w:t> </w:t>
      </w:r>
      <w:r>
        <w:rPr>
          <w:sz w:val="22"/>
        </w:rPr>
        <w:t>la cadena</w:t>
      </w:r>
      <w:r>
        <w:rPr>
          <w:spacing w:val="-2"/>
          <w:sz w:val="22"/>
        </w:rPr>
        <w:t> </w:t>
      </w:r>
      <w:r>
        <w:rPr>
          <w:sz w:val="22"/>
        </w:rPr>
        <w:t>de</w:t>
      </w:r>
      <w:r>
        <w:rPr>
          <w:spacing w:val="-2"/>
          <w:sz w:val="22"/>
        </w:rPr>
        <w:t> </w:t>
      </w:r>
      <w:r>
        <w:rPr>
          <w:sz w:val="22"/>
        </w:rPr>
        <w:t>comercio</w:t>
      </w:r>
      <w:r>
        <w:rPr>
          <w:spacing w:val="-2"/>
          <w:sz w:val="22"/>
        </w:rPr>
        <w:t> </w:t>
      </w:r>
      <w:r>
        <w:rPr>
          <w:sz w:val="22"/>
        </w:rPr>
        <w:t>en la zona, que incluiría a los operadores turísticos y, de manera particular, a las personas colombianas residentes al otro lado de la frontera, quienes se han visto limitadas por las restricciones en este paso fronterizo.</w:t>
      </w:r>
    </w:p>
    <w:p>
      <w:pPr>
        <w:pStyle w:val="ListParagraph"/>
        <w:numPr>
          <w:ilvl w:val="0"/>
          <w:numId w:val="71"/>
        </w:numPr>
        <w:tabs>
          <w:tab w:pos="1560" w:val="left" w:leader="none"/>
          <w:tab w:pos="1562" w:val="left" w:leader="none"/>
        </w:tabs>
        <w:spacing w:line="240" w:lineRule="auto" w:before="1" w:after="0"/>
        <w:ind w:left="1562" w:right="976" w:hanging="428"/>
        <w:jc w:val="both"/>
        <w:rPr>
          <w:sz w:val="22"/>
        </w:rPr>
      </w:pPr>
      <w:r>
        <w:rPr>
          <w:sz w:val="22"/>
        </w:rPr>
        <w:t>Se destacó que los Municipios de Valle del Guamuez y Bajo Putumayo mantienen una</w:t>
      </w:r>
      <w:r>
        <w:rPr>
          <w:spacing w:val="-16"/>
          <w:sz w:val="22"/>
        </w:rPr>
        <w:t> </w:t>
      </w:r>
      <w:r>
        <w:rPr>
          <w:sz w:val="22"/>
        </w:rPr>
        <w:t>alta</w:t>
      </w:r>
      <w:r>
        <w:rPr>
          <w:spacing w:val="-15"/>
          <w:sz w:val="22"/>
        </w:rPr>
        <w:t> </w:t>
      </w:r>
      <w:r>
        <w:rPr>
          <w:sz w:val="22"/>
        </w:rPr>
        <w:t>dependencia</w:t>
      </w:r>
      <w:r>
        <w:rPr>
          <w:spacing w:val="-15"/>
          <w:sz w:val="22"/>
        </w:rPr>
        <w:t> </w:t>
      </w:r>
      <w:r>
        <w:rPr>
          <w:sz w:val="22"/>
        </w:rPr>
        <w:t>de</w:t>
      </w:r>
      <w:r>
        <w:rPr>
          <w:spacing w:val="-16"/>
          <w:sz w:val="22"/>
        </w:rPr>
        <w:t> </w:t>
      </w:r>
      <w:r>
        <w:rPr>
          <w:sz w:val="22"/>
        </w:rPr>
        <w:t>la</w:t>
      </w:r>
      <w:r>
        <w:rPr>
          <w:spacing w:val="-15"/>
          <w:sz w:val="22"/>
        </w:rPr>
        <w:t> </w:t>
      </w:r>
      <w:r>
        <w:rPr>
          <w:sz w:val="22"/>
        </w:rPr>
        <w:t>dinámica</w:t>
      </w:r>
      <w:r>
        <w:rPr>
          <w:spacing w:val="-15"/>
          <w:sz w:val="22"/>
        </w:rPr>
        <w:t> </w:t>
      </w:r>
      <w:r>
        <w:rPr>
          <w:sz w:val="22"/>
        </w:rPr>
        <w:t>económica</w:t>
      </w:r>
      <w:r>
        <w:rPr>
          <w:spacing w:val="-15"/>
          <w:sz w:val="22"/>
        </w:rPr>
        <w:t> </w:t>
      </w:r>
      <w:r>
        <w:rPr>
          <w:sz w:val="22"/>
        </w:rPr>
        <w:t>ecuatoriana,</w:t>
      </w:r>
      <w:r>
        <w:rPr>
          <w:spacing w:val="-16"/>
          <w:sz w:val="22"/>
        </w:rPr>
        <w:t> </w:t>
      </w:r>
      <w:r>
        <w:rPr>
          <w:sz w:val="22"/>
        </w:rPr>
        <w:t>especialmente</w:t>
      </w:r>
      <w:r>
        <w:rPr>
          <w:spacing w:val="-13"/>
          <w:sz w:val="22"/>
        </w:rPr>
        <w:t> </w:t>
      </w:r>
      <w:r>
        <w:rPr>
          <w:sz w:val="22"/>
        </w:rPr>
        <w:t>debido a la visita frecuente de nacionales de ese país, lo cual constituye un factor determinante para la actividad comercial y turística de la región.</w:t>
      </w:r>
    </w:p>
    <w:p>
      <w:pPr>
        <w:pStyle w:val="ListParagraph"/>
        <w:numPr>
          <w:ilvl w:val="0"/>
          <w:numId w:val="71"/>
        </w:numPr>
        <w:tabs>
          <w:tab w:pos="1559" w:val="left" w:leader="none"/>
          <w:tab w:pos="1562" w:val="left" w:leader="none"/>
        </w:tabs>
        <w:spacing w:line="240" w:lineRule="auto" w:before="0" w:after="0"/>
        <w:ind w:left="1562" w:right="981" w:hanging="428"/>
        <w:jc w:val="both"/>
        <w:rPr>
          <w:sz w:val="22"/>
        </w:rPr>
      </w:pPr>
      <w:r>
        <w:rPr>
          <w:sz w:val="22"/>
        </w:rPr>
        <w:t>Se expuso la situación vinculada a la movilidad humana, destacando la existencia </w:t>
      </w:r>
      <w:r>
        <w:rPr>
          <w:spacing w:val="-2"/>
          <w:sz w:val="22"/>
        </w:rPr>
        <w:t>de</w:t>
      </w:r>
      <w:r>
        <w:rPr>
          <w:spacing w:val="-10"/>
          <w:sz w:val="22"/>
        </w:rPr>
        <w:t> </w:t>
      </w:r>
      <w:r>
        <w:rPr>
          <w:spacing w:val="-2"/>
          <w:sz w:val="22"/>
        </w:rPr>
        <w:t>más</w:t>
      </w:r>
      <w:r>
        <w:rPr>
          <w:spacing w:val="-10"/>
          <w:sz w:val="22"/>
        </w:rPr>
        <w:t> </w:t>
      </w:r>
      <w:r>
        <w:rPr>
          <w:spacing w:val="-2"/>
          <w:sz w:val="22"/>
        </w:rPr>
        <w:t>de</w:t>
      </w:r>
      <w:r>
        <w:rPr>
          <w:spacing w:val="-10"/>
          <w:sz w:val="22"/>
        </w:rPr>
        <w:t> </w:t>
      </w:r>
      <w:r>
        <w:rPr>
          <w:spacing w:val="-2"/>
          <w:sz w:val="22"/>
        </w:rPr>
        <w:t>100</w:t>
      </w:r>
      <w:r>
        <w:rPr>
          <w:spacing w:val="-6"/>
          <w:sz w:val="22"/>
        </w:rPr>
        <w:t> </w:t>
      </w:r>
      <w:r>
        <w:rPr>
          <w:spacing w:val="-2"/>
          <w:sz w:val="22"/>
        </w:rPr>
        <w:t>niños</w:t>
      </w:r>
      <w:r>
        <w:rPr>
          <w:spacing w:val="-9"/>
          <w:sz w:val="22"/>
        </w:rPr>
        <w:t> </w:t>
      </w:r>
      <w:r>
        <w:rPr>
          <w:spacing w:val="-2"/>
          <w:sz w:val="22"/>
        </w:rPr>
        <w:t>en</w:t>
      </w:r>
      <w:r>
        <w:rPr>
          <w:spacing w:val="-10"/>
          <w:sz w:val="22"/>
        </w:rPr>
        <w:t> </w:t>
      </w:r>
      <w:r>
        <w:rPr>
          <w:spacing w:val="-2"/>
          <w:sz w:val="22"/>
        </w:rPr>
        <w:t>edad</w:t>
      </w:r>
      <w:r>
        <w:rPr>
          <w:spacing w:val="-6"/>
          <w:sz w:val="22"/>
        </w:rPr>
        <w:t> </w:t>
      </w:r>
      <w:r>
        <w:rPr>
          <w:spacing w:val="-2"/>
          <w:sz w:val="22"/>
        </w:rPr>
        <w:t>escolar</w:t>
      </w:r>
      <w:r>
        <w:rPr>
          <w:spacing w:val="-9"/>
          <w:sz w:val="22"/>
        </w:rPr>
        <w:t> </w:t>
      </w:r>
      <w:r>
        <w:rPr>
          <w:spacing w:val="-2"/>
          <w:sz w:val="22"/>
        </w:rPr>
        <w:t>que</w:t>
      </w:r>
      <w:r>
        <w:rPr>
          <w:spacing w:val="-10"/>
          <w:sz w:val="22"/>
        </w:rPr>
        <w:t> </w:t>
      </w:r>
      <w:r>
        <w:rPr>
          <w:spacing w:val="-2"/>
          <w:sz w:val="22"/>
        </w:rPr>
        <w:t>enfrentan</w:t>
      </w:r>
      <w:r>
        <w:rPr>
          <w:spacing w:val="-6"/>
          <w:sz w:val="22"/>
        </w:rPr>
        <w:t> </w:t>
      </w:r>
      <w:r>
        <w:rPr>
          <w:spacing w:val="-2"/>
          <w:sz w:val="22"/>
        </w:rPr>
        <w:t>dificultades</w:t>
      </w:r>
      <w:r>
        <w:rPr>
          <w:spacing w:val="-10"/>
          <w:sz w:val="22"/>
        </w:rPr>
        <w:t> </w:t>
      </w:r>
      <w:r>
        <w:rPr>
          <w:spacing w:val="-2"/>
          <w:sz w:val="22"/>
        </w:rPr>
        <w:t>en</w:t>
      </w:r>
      <w:r>
        <w:rPr>
          <w:spacing w:val="-10"/>
          <w:sz w:val="22"/>
        </w:rPr>
        <w:t> </w:t>
      </w:r>
      <w:r>
        <w:rPr>
          <w:spacing w:val="-2"/>
          <w:sz w:val="22"/>
        </w:rPr>
        <w:t>el</w:t>
      </w:r>
      <w:r>
        <w:rPr>
          <w:spacing w:val="-10"/>
          <w:sz w:val="22"/>
        </w:rPr>
        <w:t> </w:t>
      </w:r>
      <w:r>
        <w:rPr>
          <w:spacing w:val="-2"/>
          <w:sz w:val="22"/>
        </w:rPr>
        <w:t>acceso</w:t>
      </w:r>
      <w:r>
        <w:rPr>
          <w:spacing w:val="-6"/>
          <w:sz w:val="22"/>
        </w:rPr>
        <w:t> </w:t>
      </w:r>
      <w:r>
        <w:rPr>
          <w:spacing w:val="-2"/>
          <w:sz w:val="22"/>
        </w:rPr>
        <w:t>regular </w:t>
      </w:r>
      <w:r>
        <w:rPr>
          <w:sz w:val="22"/>
        </w:rPr>
        <w:t>a la educación como consecuencia de las restricciones al tránsito fronterizo</w:t>
      </w:r>
    </w:p>
    <w:p>
      <w:pPr>
        <w:pStyle w:val="ListParagraph"/>
        <w:numPr>
          <w:ilvl w:val="0"/>
          <w:numId w:val="71"/>
        </w:numPr>
        <w:tabs>
          <w:tab w:pos="1559" w:val="left" w:leader="none"/>
          <w:tab w:pos="1562" w:val="left" w:leader="none"/>
        </w:tabs>
        <w:spacing w:line="240" w:lineRule="auto" w:before="1" w:after="0"/>
        <w:ind w:left="1562" w:right="979" w:hanging="428"/>
        <w:jc w:val="both"/>
        <w:rPr>
          <w:sz w:val="22"/>
        </w:rPr>
      </w:pPr>
      <w:r>
        <w:rPr>
          <w:sz w:val="22"/>
        </w:rPr>
        <w:t>Se señaló, además, la presión que enfrentan los servicios de salud en la provincia de</w:t>
      </w:r>
      <w:r>
        <w:rPr>
          <w:spacing w:val="-16"/>
          <w:sz w:val="22"/>
        </w:rPr>
        <w:t> </w:t>
      </w:r>
      <w:r>
        <w:rPr>
          <w:sz w:val="22"/>
        </w:rPr>
        <w:t>Sucumbíos,</w:t>
      </w:r>
      <w:r>
        <w:rPr>
          <w:spacing w:val="-15"/>
          <w:sz w:val="22"/>
        </w:rPr>
        <w:t> </w:t>
      </w:r>
      <w:r>
        <w:rPr>
          <w:sz w:val="22"/>
        </w:rPr>
        <w:t>así</w:t>
      </w:r>
      <w:r>
        <w:rPr>
          <w:spacing w:val="-15"/>
          <w:sz w:val="22"/>
        </w:rPr>
        <w:t> </w:t>
      </w:r>
      <w:r>
        <w:rPr>
          <w:sz w:val="22"/>
        </w:rPr>
        <w:t>como</w:t>
      </w:r>
      <w:r>
        <w:rPr>
          <w:spacing w:val="-16"/>
          <w:sz w:val="22"/>
        </w:rPr>
        <w:t> </w:t>
      </w:r>
      <w:r>
        <w:rPr>
          <w:sz w:val="22"/>
        </w:rPr>
        <w:t>las</w:t>
      </w:r>
      <w:r>
        <w:rPr>
          <w:spacing w:val="-15"/>
          <w:sz w:val="22"/>
        </w:rPr>
        <w:t> </w:t>
      </w:r>
      <w:r>
        <w:rPr>
          <w:sz w:val="22"/>
        </w:rPr>
        <w:t>limitaciones</w:t>
      </w:r>
      <w:r>
        <w:rPr>
          <w:spacing w:val="-15"/>
          <w:sz w:val="22"/>
        </w:rPr>
        <w:t> </w:t>
      </w:r>
      <w:r>
        <w:rPr>
          <w:sz w:val="22"/>
        </w:rPr>
        <w:t>derivadas</w:t>
      </w:r>
      <w:r>
        <w:rPr>
          <w:spacing w:val="-15"/>
          <w:sz w:val="22"/>
        </w:rPr>
        <w:t> </w:t>
      </w:r>
      <w:r>
        <w:rPr>
          <w:sz w:val="22"/>
        </w:rPr>
        <w:t>de</w:t>
      </w:r>
      <w:r>
        <w:rPr>
          <w:spacing w:val="-16"/>
          <w:sz w:val="22"/>
        </w:rPr>
        <w:t> </w:t>
      </w:r>
      <w:r>
        <w:rPr>
          <w:sz w:val="22"/>
        </w:rPr>
        <w:t>la</w:t>
      </w:r>
      <w:r>
        <w:rPr>
          <w:spacing w:val="-15"/>
          <w:sz w:val="22"/>
        </w:rPr>
        <w:t> </w:t>
      </w:r>
      <w:r>
        <w:rPr>
          <w:sz w:val="22"/>
        </w:rPr>
        <w:t>distancia</w:t>
      </w:r>
      <w:r>
        <w:rPr>
          <w:spacing w:val="-15"/>
          <w:sz w:val="22"/>
        </w:rPr>
        <w:t> </w:t>
      </w:r>
      <w:r>
        <w:rPr>
          <w:sz w:val="22"/>
        </w:rPr>
        <w:t>respecto</w:t>
      </w:r>
      <w:r>
        <w:rPr>
          <w:spacing w:val="-16"/>
          <w:sz w:val="22"/>
        </w:rPr>
        <w:t> </w:t>
      </w:r>
      <w:r>
        <w:rPr>
          <w:sz w:val="22"/>
        </w:rPr>
        <w:t>a</w:t>
      </w:r>
      <w:r>
        <w:rPr>
          <w:spacing w:val="-15"/>
          <w:sz w:val="22"/>
        </w:rPr>
        <w:t> </w:t>
      </w:r>
      <w:r>
        <w:rPr>
          <w:sz w:val="22"/>
        </w:rPr>
        <w:t>Puerto Asís, lo cual incrementa las dificultades de acceso y atención para la población.</w:t>
      </w:r>
    </w:p>
    <w:p>
      <w:pPr>
        <w:pStyle w:val="ListParagraph"/>
        <w:numPr>
          <w:ilvl w:val="0"/>
          <w:numId w:val="71"/>
        </w:numPr>
        <w:tabs>
          <w:tab w:pos="1562" w:val="left" w:leader="none"/>
          <w:tab w:pos="1867" w:val="left" w:leader="none"/>
        </w:tabs>
        <w:spacing w:line="240" w:lineRule="auto" w:before="0" w:after="0"/>
        <w:ind w:left="1562" w:right="979" w:hanging="428"/>
        <w:jc w:val="both"/>
        <w:rPr>
          <w:sz w:val="22"/>
        </w:rPr>
      </w:pPr>
      <w:r>
        <w:rPr>
          <w:sz w:val="22"/>
        </w:rPr>
        <w:tab/>
        <w:t>Por</w:t>
      </w:r>
      <w:r>
        <w:rPr>
          <w:spacing w:val="-4"/>
          <w:sz w:val="22"/>
        </w:rPr>
        <w:t> </w:t>
      </w:r>
      <w:r>
        <w:rPr>
          <w:sz w:val="22"/>
        </w:rPr>
        <w:t>parte</w:t>
      </w:r>
      <w:r>
        <w:rPr>
          <w:spacing w:val="-3"/>
          <w:sz w:val="22"/>
        </w:rPr>
        <w:t> </w:t>
      </w:r>
      <w:r>
        <w:rPr>
          <w:sz w:val="22"/>
        </w:rPr>
        <w:t>de</w:t>
      </w:r>
      <w:r>
        <w:rPr>
          <w:spacing w:val="-5"/>
          <w:sz w:val="22"/>
        </w:rPr>
        <w:t> </w:t>
      </w:r>
      <w:r>
        <w:rPr>
          <w:sz w:val="22"/>
        </w:rPr>
        <w:t>la</w:t>
      </w:r>
      <w:r>
        <w:rPr>
          <w:spacing w:val="-5"/>
          <w:sz w:val="22"/>
        </w:rPr>
        <w:t> </w:t>
      </w:r>
      <w:r>
        <w:rPr>
          <w:sz w:val="22"/>
        </w:rPr>
        <w:t>Gobernación</w:t>
      </w:r>
      <w:r>
        <w:rPr>
          <w:spacing w:val="-3"/>
          <w:sz w:val="22"/>
        </w:rPr>
        <w:t> </w:t>
      </w:r>
      <w:r>
        <w:rPr>
          <w:sz w:val="22"/>
        </w:rPr>
        <w:t>del</w:t>
      </w:r>
      <w:r>
        <w:rPr>
          <w:spacing w:val="-3"/>
          <w:sz w:val="22"/>
        </w:rPr>
        <w:t> </w:t>
      </w:r>
      <w:r>
        <w:rPr>
          <w:sz w:val="22"/>
        </w:rPr>
        <w:t>Putumayo</w:t>
      </w:r>
      <w:r>
        <w:rPr>
          <w:spacing w:val="-5"/>
          <w:sz w:val="22"/>
        </w:rPr>
        <w:t> </w:t>
      </w:r>
      <w:r>
        <w:rPr>
          <w:sz w:val="22"/>
        </w:rPr>
        <w:t>y</w:t>
      </w:r>
      <w:r>
        <w:rPr>
          <w:spacing w:val="-5"/>
          <w:sz w:val="22"/>
        </w:rPr>
        <w:t> </w:t>
      </w:r>
      <w:r>
        <w:rPr>
          <w:sz w:val="22"/>
        </w:rPr>
        <w:t>de</w:t>
      </w:r>
      <w:r>
        <w:rPr>
          <w:spacing w:val="-3"/>
          <w:sz w:val="22"/>
        </w:rPr>
        <w:t> </w:t>
      </w:r>
      <w:r>
        <w:rPr>
          <w:sz w:val="22"/>
        </w:rPr>
        <w:t>la</w:t>
      </w:r>
      <w:r>
        <w:rPr>
          <w:spacing w:val="-3"/>
          <w:sz w:val="22"/>
        </w:rPr>
        <w:t> </w:t>
      </w:r>
      <w:r>
        <w:rPr>
          <w:sz w:val="22"/>
        </w:rPr>
        <w:t>Secretaría</w:t>
      </w:r>
      <w:r>
        <w:rPr>
          <w:spacing w:val="-5"/>
          <w:sz w:val="22"/>
        </w:rPr>
        <w:t> </w:t>
      </w:r>
      <w:r>
        <w:rPr>
          <w:sz w:val="22"/>
        </w:rPr>
        <w:t>de</w:t>
      </w:r>
      <w:r>
        <w:rPr>
          <w:spacing w:val="-5"/>
          <w:sz w:val="22"/>
        </w:rPr>
        <w:t> </w:t>
      </w:r>
      <w:r>
        <w:rPr>
          <w:sz w:val="22"/>
        </w:rPr>
        <w:t>Competitividad y</w:t>
      </w:r>
      <w:r>
        <w:rPr>
          <w:spacing w:val="-2"/>
          <w:sz w:val="22"/>
        </w:rPr>
        <w:t> </w:t>
      </w:r>
      <w:r>
        <w:rPr>
          <w:sz w:val="22"/>
        </w:rPr>
        <w:t>Productividad</w:t>
      </w:r>
      <w:r>
        <w:rPr>
          <w:spacing w:val="-3"/>
          <w:sz w:val="22"/>
        </w:rPr>
        <w:t> </w:t>
      </w:r>
      <w:r>
        <w:rPr>
          <w:sz w:val="22"/>
        </w:rPr>
        <w:t>de</w:t>
      </w:r>
      <w:r>
        <w:rPr>
          <w:spacing w:val="-3"/>
          <w:sz w:val="22"/>
        </w:rPr>
        <w:t> </w:t>
      </w:r>
      <w:r>
        <w:rPr>
          <w:sz w:val="22"/>
        </w:rPr>
        <w:t>la</w:t>
      </w:r>
      <w:r>
        <w:rPr>
          <w:spacing w:val="-5"/>
          <w:sz w:val="22"/>
        </w:rPr>
        <w:t> </w:t>
      </w:r>
      <w:r>
        <w:rPr>
          <w:sz w:val="22"/>
        </w:rPr>
        <w:t>Gobernación,</w:t>
      </w:r>
      <w:r>
        <w:rPr>
          <w:spacing w:val="-1"/>
          <w:sz w:val="22"/>
        </w:rPr>
        <w:t> </w:t>
      </w:r>
      <w:r>
        <w:rPr>
          <w:sz w:val="22"/>
        </w:rPr>
        <w:t>se</w:t>
      </w:r>
      <w:r>
        <w:rPr>
          <w:spacing w:val="-5"/>
          <w:sz w:val="22"/>
        </w:rPr>
        <w:t> </w:t>
      </w:r>
      <w:r>
        <w:rPr>
          <w:sz w:val="22"/>
        </w:rPr>
        <w:t>entregaron,</w:t>
      </w:r>
      <w:r>
        <w:rPr>
          <w:spacing w:val="-1"/>
          <w:sz w:val="22"/>
        </w:rPr>
        <w:t> </w:t>
      </w:r>
      <w:r>
        <w:rPr>
          <w:sz w:val="22"/>
        </w:rPr>
        <w:t>en</w:t>
      </w:r>
      <w:r>
        <w:rPr>
          <w:spacing w:val="-3"/>
          <w:sz w:val="22"/>
        </w:rPr>
        <w:t> </w:t>
      </w:r>
      <w:r>
        <w:rPr>
          <w:sz w:val="22"/>
        </w:rPr>
        <w:t>versión</w:t>
      </w:r>
      <w:r>
        <w:rPr>
          <w:spacing w:val="-3"/>
          <w:sz w:val="22"/>
        </w:rPr>
        <w:t> </w:t>
      </w:r>
      <w:r>
        <w:rPr>
          <w:sz w:val="22"/>
        </w:rPr>
        <w:t>digital,</w:t>
      </w:r>
      <w:r>
        <w:rPr>
          <w:spacing w:val="-1"/>
          <w:sz w:val="22"/>
        </w:rPr>
        <w:t> </w:t>
      </w:r>
      <w:r>
        <w:rPr>
          <w:sz w:val="22"/>
        </w:rPr>
        <w:t>los</w:t>
      </w:r>
      <w:r>
        <w:rPr>
          <w:spacing w:val="-3"/>
          <w:sz w:val="22"/>
        </w:rPr>
        <w:t> </w:t>
      </w:r>
      <w:r>
        <w:rPr>
          <w:sz w:val="22"/>
        </w:rPr>
        <w:t>siguientes documentos que fueron puesto en conocimiento de los Países Miembros</w:t>
      </w:r>
      <w:hyperlink w:history="true" w:anchor="_bookmark114">
        <w:r>
          <w:rPr>
            <w:sz w:val="22"/>
            <w:vertAlign w:val="superscript"/>
          </w:rPr>
          <w:t>47</w:t>
        </w:r>
      </w:hyperlink>
      <w:r>
        <w:rPr>
          <w:sz w:val="22"/>
          <w:vertAlign w:val="baseline"/>
        </w:rPr>
        <w:t>:</w:t>
      </w:r>
    </w:p>
    <w:p>
      <w:pPr>
        <w:pStyle w:val="ListParagraph"/>
        <w:numPr>
          <w:ilvl w:val="1"/>
          <w:numId w:val="71"/>
        </w:numPr>
        <w:tabs>
          <w:tab w:pos="1984" w:val="left" w:leader="none"/>
          <w:tab w:pos="1986" w:val="left" w:leader="none"/>
        </w:tabs>
        <w:spacing w:line="237" w:lineRule="auto" w:before="3" w:after="0"/>
        <w:ind w:left="1986" w:right="981" w:hanging="219"/>
        <w:jc w:val="both"/>
        <w:rPr>
          <w:sz w:val="22"/>
        </w:rPr>
      </w:pPr>
      <w:r>
        <w:rPr>
          <w:sz w:val="22"/>
        </w:rPr>
        <w:t>Diagnóstico y afectaciones económicas y sociales derivadas del cierre del puente internacional San Miguel, Departamento del Putumayo y propuesta de declaratoria ZEIF Putumayo.</w:t>
      </w:r>
    </w:p>
    <w:p>
      <w:pPr>
        <w:pStyle w:val="BodyText"/>
        <w:spacing w:before="73"/>
        <w:rPr>
          <w:sz w:val="20"/>
        </w:rPr>
      </w:pPr>
      <w:r>
        <w:rPr>
          <w:sz w:val="20"/>
        </w:rPr>
        <mc:AlternateContent>
          <mc:Choice Requires="wps">
            <w:drawing>
              <wp:anchor distT="0" distB="0" distL="0" distR="0" allowOverlap="1" layoutInCell="1" locked="0" behindDoc="1" simplePos="0" relativeHeight="487641600">
                <wp:simplePos x="0" y="0"/>
                <wp:positionH relativeFrom="page">
                  <wp:posOffset>990904</wp:posOffset>
                </wp:positionH>
                <wp:positionV relativeFrom="paragraph">
                  <wp:posOffset>208062</wp:posOffset>
                </wp:positionV>
                <wp:extent cx="1829435" cy="7620"/>
                <wp:effectExtent l="0" t="0" r="0" b="0"/>
                <wp:wrapTopAndBottom/>
                <wp:docPr id="495" name="Graphic 495"/>
                <wp:cNvGraphicFramePr>
                  <a:graphicFrameLocks/>
                </wp:cNvGraphicFramePr>
                <a:graphic>
                  <a:graphicData uri="http://schemas.microsoft.com/office/word/2010/wordprocessingShape">
                    <wps:wsp>
                      <wps:cNvPr id="495" name="Graphic 495"/>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6.382864pt;width:144.020pt;height:.599980pt;mso-position-horizontal-relative:page;mso-position-vertical-relative:paragraph;z-index:-15674880;mso-wrap-distance-left:0;mso-wrap-distance-right:0" id="docshape342" filled="true" fillcolor="#000000" stroked="false">
                <v:fill type="solid"/>
                <w10:wrap type="topAndBottom"/>
              </v:rect>
            </w:pict>
          </mc:Fallback>
        </mc:AlternateContent>
      </w:r>
    </w:p>
    <w:p>
      <w:pPr>
        <w:spacing w:before="92"/>
        <w:ind w:left="568" w:right="0" w:firstLine="0"/>
        <w:jc w:val="left"/>
        <w:rPr>
          <w:sz w:val="16"/>
        </w:rPr>
      </w:pPr>
      <w:bookmarkStart w:name="_bookmark113" w:id="114"/>
      <w:bookmarkEnd w:id="114"/>
      <w:r>
        <w:rPr/>
      </w:r>
      <w:r>
        <w:rPr>
          <w:sz w:val="16"/>
          <w:vertAlign w:val="superscript"/>
        </w:rPr>
        <w:t>46</w:t>
      </w:r>
      <w:r>
        <w:rPr>
          <w:spacing w:val="-7"/>
          <w:sz w:val="16"/>
          <w:vertAlign w:val="baseline"/>
        </w:rPr>
        <w:t> </w:t>
      </w:r>
      <w:r>
        <w:rPr>
          <w:sz w:val="16"/>
          <w:vertAlign w:val="baseline"/>
        </w:rPr>
        <w:t>Expediente</w:t>
      </w:r>
      <w:r>
        <w:rPr>
          <w:spacing w:val="-6"/>
          <w:sz w:val="16"/>
          <w:vertAlign w:val="baseline"/>
        </w:rPr>
        <w:t> </w:t>
      </w:r>
      <w:r>
        <w:rPr>
          <w:sz w:val="16"/>
          <w:vertAlign w:val="baseline"/>
        </w:rPr>
        <w:t>DGCOM/GRAV-REST/002/2026,</w:t>
      </w:r>
      <w:r>
        <w:rPr>
          <w:spacing w:val="-7"/>
          <w:sz w:val="16"/>
          <w:vertAlign w:val="baseline"/>
        </w:rPr>
        <w:t> </w:t>
      </w:r>
      <w:r>
        <w:rPr>
          <w:sz w:val="16"/>
          <w:vertAlign w:val="baseline"/>
        </w:rPr>
        <w:t>Acta</w:t>
      </w:r>
      <w:r>
        <w:rPr>
          <w:spacing w:val="-9"/>
          <w:sz w:val="16"/>
          <w:vertAlign w:val="baseline"/>
        </w:rPr>
        <w:t> </w:t>
      </w:r>
      <w:r>
        <w:rPr>
          <w:sz w:val="16"/>
          <w:vertAlign w:val="baseline"/>
        </w:rPr>
        <w:t>de</w:t>
      </w:r>
      <w:r>
        <w:rPr>
          <w:spacing w:val="-6"/>
          <w:sz w:val="16"/>
          <w:vertAlign w:val="baseline"/>
        </w:rPr>
        <w:t> </w:t>
      </w:r>
      <w:r>
        <w:rPr>
          <w:sz w:val="16"/>
          <w:vertAlign w:val="baseline"/>
        </w:rPr>
        <w:t>Reunión,</w:t>
      </w:r>
      <w:r>
        <w:rPr>
          <w:spacing w:val="-7"/>
          <w:sz w:val="16"/>
          <w:vertAlign w:val="baseline"/>
        </w:rPr>
        <w:t> </w:t>
      </w:r>
      <w:r>
        <w:rPr>
          <w:sz w:val="16"/>
          <w:vertAlign w:val="baseline"/>
        </w:rPr>
        <w:t>folio</w:t>
      </w:r>
      <w:r>
        <w:rPr>
          <w:spacing w:val="-6"/>
          <w:sz w:val="16"/>
          <w:vertAlign w:val="baseline"/>
        </w:rPr>
        <w:t> </w:t>
      </w:r>
      <w:r>
        <w:rPr>
          <w:spacing w:val="-2"/>
          <w:sz w:val="16"/>
          <w:vertAlign w:val="baseline"/>
        </w:rPr>
        <w:t>000221.</w:t>
      </w:r>
    </w:p>
    <w:p>
      <w:pPr>
        <w:spacing w:before="1"/>
        <w:ind w:left="710" w:right="955" w:hanging="142"/>
        <w:jc w:val="left"/>
        <w:rPr>
          <w:sz w:val="16"/>
        </w:rPr>
      </w:pPr>
      <w:bookmarkStart w:name="_bookmark114" w:id="115"/>
      <w:bookmarkEnd w:id="115"/>
      <w:r>
        <w:rPr/>
      </w:r>
      <w:r>
        <w:rPr>
          <w:sz w:val="16"/>
          <w:vertAlign w:val="superscript"/>
        </w:rPr>
        <w:t>47</w:t>
      </w:r>
      <w:r>
        <w:rPr>
          <w:spacing w:val="27"/>
          <w:sz w:val="16"/>
          <w:vertAlign w:val="baseline"/>
        </w:rPr>
        <w:t> </w:t>
      </w:r>
      <w:r>
        <w:rPr>
          <w:sz w:val="16"/>
          <w:vertAlign w:val="baseline"/>
        </w:rPr>
        <w:t>Mediante</w:t>
      </w:r>
      <w:r>
        <w:rPr>
          <w:spacing w:val="22"/>
          <w:sz w:val="16"/>
          <w:vertAlign w:val="baseline"/>
        </w:rPr>
        <w:t> </w:t>
      </w:r>
      <w:r>
        <w:rPr>
          <w:sz w:val="16"/>
          <w:vertAlign w:val="baseline"/>
        </w:rPr>
        <w:t>carta</w:t>
      </w:r>
      <w:r>
        <w:rPr>
          <w:spacing w:val="25"/>
          <w:sz w:val="16"/>
          <w:vertAlign w:val="baseline"/>
        </w:rPr>
        <w:t> </w:t>
      </w:r>
      <w:r>
        <w:rPr>
          <w:sz w:val="16"/>
          <w:vertAlign w:val="baseline"/>
        </w:rPr>
        <w:t>SG/E/DGCOM/720/2026</w:t>
      </w:r>
      <w:r>
        <w:rPr>
          <w:spacing w:val="27"/>
          <w:sz w:val="16"/>
          <w:vertAlign w:val="baseline"/>
        </w:rPr>
        <w:t> </w:t>
      </w:r>
      <w:r>
        <w:rPr>
          <w:sz w:val="16"/>
          <w:vertAlign w:val="baseline"/>
        </w:rPr>
        <w:t>de</w:t>
      </w:r>
      <w:r>
        <w:rPr>
          <w:spacing w:val="27"/>
          <w:sz w:val="16"/>
          <w:vertAlign w:val="baseline"/>
        </w:rPr>
        <w:t> </w:t>
      </w:r>
      <w:r>
        <w:rPr>
          <w:sz w:val="16"/>
          <w:vertAlign w:val="baseline"/>
        </w:rPr>
        <w:t>15</w:t>
      </w:r>
      <w:r>
        <w:rPr>
          <w:spacing w:val="25"/>
          <w:sz w:val="16"/>
          <w:vertAlign w:val="baseline"/>
        </w:rPr>
        <w:t> </w:t>
      </w:r>
      <w:r>
        <w:rPr>
          <w:sz w:val="16"/>
          <w:vertAlign w:val="baseline"/>
        </w:rPr>
        <w:t>de</w:t>
      </w:r>
      <w:r>
        <w:rPr>
          <w:spacing w:val="27"/>
          <w:sz w:val="16"/>
          <w:vertAlign w:val="baseline"/>
        </w:rPr>
        <w:t> </w:t>
      </w:r>
      <w:r>
        <w:rPr>
          <w:sz w:val="16"/>
          <w:vertAlign w:val="baseline"/>
        </w:rPr>
        <w:t>abril</w:t>
      </w:r>
      <w:r>
        <w:rPr>
          <w:spacing w:val="26"/>
          <w:sz w:val="16"/>
          <w:vertAlign w:val="baseline"/>
        </w:rPr>
        <w:t> </w:t>
      </w:r>
      <w:r>
        <w:rPr>
          <w:sz w:val="16"/>
          <w:vertAlign w:val="baseline"/>
        </w:rPr>
        <w:t>de</w:t>
      </w:r>
      <w:r>
        <w:rPr>
          <w:spacing w:val="27"/>
          <w:sz w:val="16"/>
          <w:vertAlign w:val="baseline"/>
        </w:rPr>
        <w:t> </w:t>
      </w:r>
      <w:r>
        <w:rPr>
          <w:sz w:val="16"/>
          <w:vertAlign w:val="baseline"/>
        </w:rPr>
        <w:t>2026</w:t>
      </w:r>
      <w:r>
        <w:rPr>
          <w:spacing w:val="25"/>
          <w:sz w:val="16"/>
          <w:vertAlign w:val="baseline"/>
        </w:rPr>
        <w:t> </w:t>
      </w:r>
      <w:r>
        <w:rPr>
          <w:sz w:val="16"/>
          <w:vertAlign w:val="baseline"/>
        </w:rPr>
        <w:t>se</w:t>
      </w:r>
      <w:r>
        <w:rPr>
          <w:spacing w:val="25"/>
          <w:sz w:val="16"/>
          <w:vertAlign w:val="baseline"/>
        </w:rPr>
        <w:t> </w:t>
      </w:r>
      <w:r>
        <w:rPr>
          <w:sz w:val="16"/>
          <w:vertAlign w:val="baseline"/>
        </w:rPr>
        <w:t>trasladó</w:t>
      </w:r>
      <w:r>
        <w:rPr>
          <w:spacing w:val="27"/>
          <w:sz w:val="16"/>
          <w:vertAlign w:val="baseline"/>
        </w:rPr>
        <w:t> </w:t>
      </w:r>
      <w:r>
        <w:rPr>
          <w:sz w:val="16"/>
          <w:vertAlign w:val="baseline"/>
        </w:rPr>
        <w:t>la</w:t>
      </w:r>
      <w:r>
        <w:rPr>
          <w:spacing w:val="25"/>
          <w:sz w:val="16"/>
          <w:vertAlign w:val="baseline"/>
        </w:rPr>
        <w:t> </w:t>
      </w:r>
      <w:r>
        <w:rPr>
          <w:sz w:val="16"/>
          <w:vertAlign w:val="baseline"/>
        </w:rPr>
        <w:t>información</w:t>
      </w:r>
      <w:r>
        <w:rPr>
          <w:spacing w:val="27"/>
          <w:sz w:val="16"/>
          <w:vertAlign w:val="baseline"/>
        </w:rPr>
        <w:t> </w:t>
      </w:r>
      <w:r>
        <w:rPr>
          <w:sz w:val="16"/>
          <w:vertAlign w:val="baseline"/>
        </w:rPr>
        <w:t>a</w:t>
      </w:r>
      <w:r>
        <w:rPr>
          <w:spacing w:val="25"/>
          <w:sz w:val="16"/>
          <w:vertAlign w:val="baseline"/>
        </w:rPr>
        <w:t> </w:t>
      </w:r>
      <w:r>
        <w:rPr>
          <w:sz w:val="16"/>
          <w:vertAlign w:val="baseline"/>
        </w:rPr>
        <w:t>la</w:t>
      </w:r>
      <w:r>
        <w:rPr>
          <w:spacing w:val="25"/>
          <w:sz w:val="16"/>
          <w:vertAlign w:val="baseline"/>
        </w:rPr>
        <w:t> </w:t>
      </w:r>
      <w:r>
        <w:rPr>
          <w:sz w:val="16"/>
          <w:vertAlign w:val="baseline"/>
        </w:rPr>
        <w:t>República</w:t>
      </w:r>
      <w:r>
        <w:rPr>
          <w:spacing w:val="27"/>
          <w:sz w:val="16"/>
          <w:vertAlign w:val="baseline"/>
        </w:rPr>
        <w:t> </w:t>
      </w:r>
      <w:r>
        <w:rPr>
          <w:sz w:val="16"/>
          <w:vertAlign w:val="baseline"/>
        </w:rPr>
        <w:t>de</w:t>
      </w:r>
      <w:r>
        <w:rPr>
          <w:spacing w:val="25"/>
          <w:sz w:val="16"/>
          <w:vertAlign w:val="baseline"/>
        </w:rPr>
        <w:t> </w:t>
      </w:r>
      <w:r>
        <w:rPr>
          <w:sz w:val="16"/>
          <w:vertAlign w:val="baseline"/>
        </w:rPr>
        <w:t>Colombia. Expediente</w:t>
      </w:r>
      <w:r>
        <w:rPr>
          <w:spacing w:val="-11"/>
          <w:sz w:val="16"/>
          <w:vertAlign w:val="baseline"/>
        </w:rPr>
        <w:t> </w:t>
      </w:r>
      <w:r>
        <w:rPr>
          <w:sz w:val="16"/>
          <w:vertAlign w:val="baseline"/>
        </w:rPr>
        <w:t>DGCOM/GRAV-REST/002/2026,</w:t>
      </w:r>
      <w:r>
        <w:rPr>
          <w:spacing w:val="-7"/>
          <w:sz w:val="16"/>
          <w:vertAlign w:val="baseline"/>
        </w:rPr>
        <w:t> </w:t>
      </w:r>
      <w:r>
        <w:rPr>
          <w:sz w:val="16"/>
          <w:vertAlign w:val="baseline"/>
        </w:rPr>
        <w:t>folio</w:t>
      </w:r>
      <w:r>
        <w:rPr>
          <w:spacing w:val="-6"/>
          <w:sz w:val="16"/>
          <w:vertAlign w:val="baseline"/>
        </w:rPr>
        <w:t> </w:t>
      </w:r>
      <w:r>
        <w:rPr>
          <w:sz w:val="16"/>
          <w:vertAlign w:val="baseline"/>
        </w:rPr>
        <w:t>000237.</w:t>
      </w:r>
      <w:r>
        <w:rPr>
          <w:spacing w:val="-6"/>
          <w:sz w:val="16"/>
          <w:vertAlign w:val="baseline"/>
        </w:rPr>
        <w:t> </w:t>
      </w:r>
      <w:r>
        <w:rPr>
          <w:sz w:val="16"/>
          <w:vertAlign w:val="baseline"/>
        </w:rPr>
        <w:t>A</w:t>
      </w:r>
      <w:r>
        <w:rPr>
          <w:spacing w:val="-7"/>
          <w:sz w:val="16"/>
          <w:vertAlign w:val="baseline"/>
        </w:rPr>
        <w:t> </w:t>
      </w:r>
      <w:r>
        <w:rPr>
          <w:sz w:val="16"/>
          <w:vertAlign w:val="baseline"/>
        </w:rPr>
        <w:t>los</w:t>
      </w:r>
      <w:r>
        <w:rPr>
          <w:spacing w:val="-4"/>
          <w:sz w:val="16"/>
          <w:vertAlign w:val="baseline"/>
        </w:rPr>
        <w:t> </w:t>
      </w:r>
      <w:r>
        <w:rPr>
          <w:sz w:val="16"/>
          <w:vertAlign w:val="baseline"/>
        </w:rPr>
        <w:t>demás</w:t>
      </w:r>
      <w:r>
        <w:rPr>
          <w:spacing w:val="-7"/>
          <w:sz w:val="16"/>
          <w:vertAlign w:val="baseline"/>
        </w:rPr>
        <w:t> </w:t>
      </w:r>
      <w:r>
        <w:rPr>
          <w:sz w:val="16"/>
          <w:vertAlign w:val="baseline"/>
        </w:rPr>
        <w:t>Países</w:t>
      </w:r>
      <w:r>
        <w:rPr>
          <w:spacing w:val="-7"/>
          <w:sz w:val="16"/>
          <w:vertAlign w:val="baseline"/>
        </w:rPr>
        <w:t> </w:t>
      </w:r>
      <w:r>
        <w:rPr>
          <w:sz w:val="16"/>
          <w:vertAlign w:val="baseline"/>
        </w:rPr>
        <w:t>Miembros</w:t>
      </w:r>
      <w:r>
        <w:rPr>
          <w:spacing w:val="-9"/>
          <w:sz w:val="16"/>
          <w:vertAlign w:val="baseline"/>
        </w:rPr>
        <w:t> </w:t>
      </w:r>
      <w:r>
        <w:rPr>
          <w:sz w:val="16"/>
          <w:vertAlign w:val="baseline"/>
        </w:rPr>
        <w:t>se</w:t>
      </w:r>
      <w:r>
        <w:rPr>
          <w:spacing w:val="-5"/>
          <w:sz w:val="16"/>
          <w:vertAlign w:val="baseline"/>
        </w:rPr>
        <w:t> </w:t>
      </w:r>
      <w:r>
        <w:rPr>
          <w:sz w:val="16"/>
          <w:vertAlign w:val="baseline"/>
        </w:rPr>
        <w:t>trasladó</w:t>
      </w:r>
      <w:r>
        <w:rPr>
          <w:spacing w:val="-8"/>
          <w:sz w:val="16"/>
          <w:vertAlign w:val="baseline"/>
        </w:rPr>
        <w:t> </w:t>
      </w:r>
      <w:r>
        <w:rPr>
          <w:sz w:val="16"/>
          <w:vertAlign w:val="baseline"/>
        </w:rPr>
        <w:t>la</w:t>
      </w:r>
      <w:r>
        <w:rPr>
          <w:spacing w:val="-6"/>
          <w:sz w:val="16"/>
          <w:vertAlign w:val="baseline"/>
        </w:rPr>
        <w:t> </w:t>
      </w:r>
      <w:r>
        <w:rPr>
          <w:sz w:val="16"/>
          <w:vertAlign w:val="baseline"/>
        </w:rPr>
        <w:t>información</w:t>
      </w:r>
      <w:r>
        <w:rPr>
          <w:spacing w:val="-8"/>
          <w:sz w:val="16"/>
          <w:vertAlign w:val="baseline"/>
        </w:rPr>
        <w:t> </w:t>
      </w:r>
      <w:r>
        <w:rPr>
          <w:spacing w:val="-2"/>
          <w:sz w:val="16"/>
          <w:vertAlign w:val="baseline"/>
        </w:rPr>
        <w:t>mediante</w:t>
      </w:r>
    </w:p>
    <w:p>
      <w:pPr>
        <w:tabs>
          <w:tab w:pos="709" w:val="left" w:leader="none"/>
          <w:tab w:pos="9816" w:val="left" w:leader="none"/>
        </w:tabs>
        <w:spacing w:line="183" w:lineRule="exact" w:before="0"/>
        <w:ind w:left="160" w:right="0" w:firstLine="0"/>
        <w:jc w:val="left"/>
        <w:rPr>
          <w:sz w:val="16"/>
        </w:rPr>
      </w:pPr>
      <w:r>
        <w:rPr>
          <w:sz w:val="16"/>
          <w:u w:val="single"/>
        </w:rPr>
        <w:tab/>
        <w:t>carta</w:t>
      </w:r>
      <w:r>
        <w:rPr>
          <w:spacing w:val="-8"/>
          <w:sz w:val="16"/>
          <w:u w:val="single"/>
        </w:rPr>
        <w:t> </w:t>
      </w:r>
      <w:r>
        <w:rPr>
          <w:sz w:val="16"/>
          <w:u w:val="single"/>
        </w:rPr>
        <w:t>SG/E/DGCOM/721/2026</w:t>
      </w:r>
      <w:r>
        <w:rPr>
          <w:spacing w:val="-7"/>
          <w:sz w:val="16"/>
          <w:u w:val="single"/>
        </w:rPr>
        <w:t> </w:t>
      </w:r>
      <w:r>
        <w:rPr>
          <w:sz w:val="16"/>
          <w:u w:val="single"/>
        </w:rPr>
        <w:t>de</w:t>
      </w:r>
      <w:r>
        <w:rPr>
          <w:spacing w:val="-8"/>
          <w:sz w:val="16"/>
          <w:u w:val="single"/>
        </w:rPr>
        <w:t> </w:t>
      </w:r>
      <w:r>
        <w:rPr>
          <w:sz w:val="16"/>
          <w:u w:val="single"/>
        </w:rPr>
        <w:t>15</w:t>
      </w:r>
      <w:r>
        <w:rPr>
          <w:spacing w:val="-6"/>
          <w:sz w:val="16"/>
          <w:u w:val="single"/>
        </w:rPr>
        <w:t> </w:t>
      </w:r>
      <w:r>
        <w:rPr>
          <w:sz w:val="16"/>
          <w:u w:val="single"/>
        </w:rPr>
        <w:t>de</w:t>
      </w:r>
      <w:r>
        <w:rPr>
          <w:spacing w:val="-6"/>
          <w:sz w:val="16"/>
          <w:u w:val="single"/>
        </w:rPr>
        <w:t> </w:t>
      </w:r>
      <w:r>
        <w:rPr>
          <w:sz w:val="16"/>
          <w:u w:val="single"/>
        </w:rPr>
        <w:t>abril</w:t>
      </w:r>
      <w:r>
        <w:rPr>
          <w:spacing w:val="-6"/>
          <w:sz w:val="16"/>
          <w:u w:val="single"/>
        </w:rPr>
        <w:t> </w:t>
      </w:r>
      <w:r>
        <w:rPr>
          <w:sz w:val="16"/>
          <w:u w:val="single"/>
        </w:rPr>
        <w:t>de</w:t>
      </w:r>
      <w:r>
        <w:rPr>
          <w:spacing w:val="-6"/>
          <w:sz w:val="16"/>
          <w:u w:val="single"/>
        </w:rPr>
        <w:t> </w:t>
      </w:r>
      <w:r>
        <w:rPr>
          <w:sz w:val="16"/>
          <w:u w:val="single"/>
        </w:rPr>
        <w:t>2026.</w:t>
      </w:r>
      <w:r>
        <w:rPr>
          <w:spacing w:val="-7"/>
          <w:sz w:val="16"/>
          <w:u w:val="single"/>
        </w:rPr>
        <w:t> </w:t>
      </w:r>
      <w:r>
        <w:rPr>
          <w:sz w:val="16"/>
          <w:u w:val="single"/>
        </w:rPr>
        <w:t>Expediente</w:t>
      </w:r>
      <w:r>
        <w:rPr>
          <w:spacing w:val="-6"/>
          <w:sz w:val="16"/>
          <w:u w:val="single"/>
        </w:rPr>
        <w:t> </w:t>
      </w:r>
      <w:r>
        <w:rPr>
          <w:sz w:val="16"/>
          <w:u w:val="single"/>
        </w:rPr>
        <w:t>DGCOM/GRAV-REST/002/2026,</w:t>
      </w:r>
      <w:r>
        <w:rPr>
          <w:spacing w:val="-7"/>
          <w:sz w:val="16"/>
          <w:u w:val="single"/>
        </w:rPr>
        <w:t> </w:t>
      </w:r>
      <w:r>
        <w:rPr>
          <w:sz w:val="16"/>
          <w:u w:val="single"/>
        </w:rPr>
        <w:t>folio</w:t>
      </w:r>
      <w:r>
        <w:rPr>
          <w:spacing w:val="-6"/>
          <w:sz w:val="16"/>
          <w:u w:val="single"/>
        </w:rPr>
        <w:t> </w:t>
      </w:r>
      <w:r>
        <w:rPr>
          <w:spacing w:val="-2"/>
          <w:sz w:val="16"/>
          <w:u w:val="single"/>
        </w:rPr>
        <w:t>000304.</w:t>
      </w:r>
      <w:r>
        <w:rPr>
          <w:sz w:val="16"/>
          <w:u w:val="single"/>
        </w:rPr>
        <w:tab/>
      </w:r>
    </w:p>
    <w:p>
      <w:pPr>
        <w:spacing w:after="0" w:line="183" w:lineRule="exact"/>
        <w:jc w:val="left"/>
        <w:rPr>
          <w:sz w:val="16"/>
        </w:rPr>
        <w:sectPr>
          <w:pgSz w:w="11900" w:h="16850"/>
          <w:pgMar w:header="370" w:footer="597" w:top="1380" w:bottom="780" w:left="992" w:right="283"/>
        </w:sectPr>
      </w:pPr>
    </w:p>
    <w:p>
      <w:pPr>
        <w:pStyle w:val="BodyText"/>
        <w:spacing w:before="180"/>
      </w:pPr>
    </w:p>
    <w:p>
      <w:pPr>
        <w:pStyle w:val="ListParagraph"/>
        <w:numPr>
          <w:ilvl w:val="1"/>
          <w:numId w:val="71"/>
        </w:numPr>
        <w:tabs>
          <w:tab w:pos="1986" w:val="left" w:leader="none"/>
        </w:tabs>
        <w:spacing w:line="237" w:lineRule="auto" w:before="0" w:after="0"/>
        <w:ind w:left="1986" w:right="984" w:hanging="286"/>
        <w:jc w:val="both"/>
        <w:rPr>
          <w:sz w:val="22"/>
        </w:rPr>
      </w:pPr>
      <w:bookmarkStart w:name="_bookmark116" w:id="116"/>
      <w:bookmarkEnd w:id="116"/>
      <w:r>
        <w:rPr/>
      </w:r>
      <w:r>
        <w:rPr>
          <w:sz w:val="22"/>
        </w:rPr>
        <w:t>Informe Técnico de la Gobernación del Putumayo “Afectaciones socioeconómicas por el cierre del puente internacional San Miguel” de 12 de marzo de 2026.</w:t>
      </w:r>
    </w:p>
    <w:p>
      <w:pPr>
        <w:pStyle w:val="ListParagraph"/>
        <w:numPr>
          <w:ilvl w:val="1"/>
          <w:numId w:val="71"/>
        </w:numPr>
        <w:tabs>
          <w:tab w:pos="2127" w:val="left" w:leader="none"/>
        </w:tabs>
        <w:spacing w:line="240" w:lineRule="auto" w:before="3" w:after="0"/>
        <w:ind w:left="2127" w:right="0" w:hanging="359"/>
        <w:jc w:val="both"/>
        <w:rPr>
          <w:sz w:val="22"/>
        </w:rPr>
      </w:pPr>
      <w:r>
        <w:rPr>
          <w:sz w:val="22"/>
        </w:rPr>
        <w:t>Resumen</w:t>
      </w:r>
      <w:r>
        <w:rPr>
          <w:spacing w:val="-9"/>
          <w:sz w:val="22"/>
        </w:rPr>
        <w:t> </w:t>
      </w:r>
      <w:r>
        <w:rPr>
          <w:sz w:val="22"/>
        </w:rPr>
        <w:t>Ejecutivo:</w:t>
      </w:r>
      <w:r>
        <w:rPr>
          <w:spacing w:val="-7"/>
          <w:sz w:val="22"/>
        </w:rPr>
        <w:t> </w:t>
      </w:r>
      <w:r>
        <w:rPr>
          <w:sz w:val="22"/>
        </w:rPr>
        <w:t>Impacto</w:t>
      </w:r>
      <w:r>
        <w:rPr>
          <w:spacing w:val="-5"/>
          <w:sz w:val="22"/>
        </w:rPr>
        <w:t> </w:t>
      </w:r>
      <w:r>
        <w:rPr>
          <w:sz w:val="22"/>
        </w:rPr>
        <w:t>Sectorial</w:t>
      </w:r>
      <w:r>
        <w:rPr>
          <w:spacing w:val="-7"/>
          <w:sz w:val="22"/>
        </w:rPr>
        <w:t> </w:t>
      </w:r>
      <w:r>
        <w:rPr>
          <w:sz w:val="22"/>
        </w:rPr>
        <w:t>por</w:t>
      </w:r>
      <w:r>
        <w:rPr>
          <w:spacing w:val="-5"/>
          <w:sz w:val="22"/>
        </w:rPr>
        <w:t> </w:t>
      </w:r>
      <w:r>
        <w:rPr>
          <w:sz w:val="22"/>
        </w:rPr>
        <w:t>Cierre</w:t>
      </w:r>
      <w:r>
        <w:rPr>
          <w:spacing w:val="-8"/>
          <w:sz w:val="22"/>
        </w:rPr>
        <w:t> </w:t>
      </w:r>
      <w:r>
        <w:rPr>
          <w:sz w:val="22"/>
        </w:rPr>
        <w:t>de</w:t>
      </w:r>
      <w:r>
        <w:rPr>
          <w:spacing w:val="-6"/>
          <w:sz w:val="22"/>
        </w:rPr>
        <w:t> </w:t>
      </w:r>
      <w:r>
        <w:rPr>
          <w:spacing w:val="-2"/>
          <w:sz w:val="22"/>
        </w:rPr>
        <w:t>Frontera</w:t>
      </w:r>
    </w:p>
    <w:p>
      <w:pPr>
        <w:pStyle w:val="Heading6"/>
        <w:numPr>
          <w:ilvl w:val="0"/>
          <w:numId w:val="72"/>
        </w:numPr>
        <w:tabs>
          <w:tab w:pos="1276" w:val="left" w:leader="none"/>
        </w:tabs>
        <w:spacing w:line="240" w:lineRule="auto" w:before="252" w:after="0"/>
        <w:ind w:left="1276" w:right="0" w:hanging="360"/>
        <w:jc w:val="left"/>
      </w:pPr>
      <w:r>
        <w:rPr/>
        <w:t>Reunión</w:t>
      </w:r>
      <w:r>
        <w:rPr>
          <w:spacing w:val="-3"/>
        </w:rPr>
        <w:t> </w:t>
      </w:r>
      <w:r>
        <w:rPr/>
        <w:t>con</w:t>
      </w:r>
      <w:r>
        <w:rPr>
          <w:spacing w:val="-4"/>
        </w:rPr>
        <w:t> </w:t>
      </w:r>
      <w:r>
        <w:rPr/>
        <w:t>la</w:t>
      </w:r>
      <w:r>
        <w:rPr>
          <w:spacing w:val="-3"/>
        </w:rPr>
        <w:t> </w:t>
      </w:r>
      <w:r>
        <w:rPr/>
        <w:t>Cámara</w:t>
      </w:r>
      <w:r>
        <w:rPr>
          <w:spacing w:val="-4"/>
        </w:rPr>
        <w:t> </w:t>
      </w:r>
      <w:r>
        <w:rPr/>
        <w:t>Colombo</w:t>
      </w:r>
      <w:r>
        <w:rPr>
          <w:spacing w:val="-4"/>
        </w:rPr>
        <w:t> </w:t>
      </w:r>
      <w:r>
        <w:rPr>
          <w:spacing w:val="-2"/>
        </w:rPr>
        <w:t>Ecuatoriana</w:t>
      </w:r>
      <w:hyperlink w:history="true" w:anchor="_bookmark115">
        <w:r>
          <w:rPr>
            <w:spacing w:val="-2"/>
            <w:vertAlign w:val="superscript"/>
          </w:rPr>
          <w:t>48</w:t>
        </w:r>
      </w:hyperlink>
    </w:p>
    <w:p>
      <w:pPr>
        <w:pStyle w:val="ListParagraph"/>
        <w:numPr>
          <w:ilvl w:val="0"/>
          <w:numId w:val="50"/>
        </w:numPr>
        <w:tabs>
          <w:tab w:pos="1131" w:val="left" w:leader="none"/>
        </w:tabs>
        <w:spacing w:line="240" w:lineRule="auto" w:before="251" w:after="0"/>
        <w:ind w:left="1131" w:right="0" w:hanging="563"/>
        <w:jc w:val="left"/>
        <w:rPr>
          <w:sz w:val="22"/>
        </w:rPr>
      </w:pPr>
      <w:r>
        <w:rPr>
          <w:sz w:val="22"/>
        </w:rPr>
        <w:t>La</w:t>
      </w:r>
      <w:r>
        <w:rPr>
          <w:spacing w:val="-7"/>
          <w:sz w:val="22"/>
        </w:rPr>
        <w:t> </w:t>
      </w:r>
      <w:r>
        <w:rPr>
          <w:sz w:val="22"/>
        </w:rPr>
        <w:t>reunión</w:t>
      </w:r>
      <w:r>
        <w:rPr>
          <w:spacing w:val="-5"/>
          <w:sz w:val="22"/>
        </w:rPr>
        <w:t> </w:t>
      </w:r>
      <w:r>
        <w:rPr>
          <w:sz w:val="22"/>
        </w:rPr>
        <w:t>se</w:t>
      </w:r>
      <w:r>
        <w:rPr>
          <w:spacing w:val="-6"/>
          <w:sz w:val="22"/>
        </w:rPr>
        <w:t> </w:t>
      </w:r>
      <w:r>
        <w:rPr>
          <w:sz w:val="22"/>
        </w:rPr>
        <w:t>desarrolló</w:t>
      </w:r>
      <w:r>
        <w:rPr>
          <w:spacing w:val="-7"/>
          <w:sz w:val="22"/>
        </w:rPr>
        <w:t> </w:t>
      </w:r>
      <w:r>
        <w:rPr>
          <w:sz w:val="22"/>
        </w:rPr>
        <w:t>con</w:t>
      </w:r>
      <w:r>
        <w:rPr>
          <w:spacing w:val="-4"/>
          <w:sz w:val="22"/>
        </w:rPr>
        <w:t> </w:t>
      </w:r>
      <w:r>
        <w:rPr>
          <w:sz w:val="22"/>
        </w:rPr>
        <w:t>la</w:t>
      </w:r>
      <w:r>
        <w:rPr>
          <w:spacing w:val="-5"/>
          <w:sz w:val="22"/>
        </w:rPr>
        <w:t> </w:t>
      </w:r>
      <w:r>
        <w:rPr>
          <w:sz w:val="22"/>
        </w:rPr>
        <w:t>Directora</w:t>
      </w:r>
      <w:r>
        <w:rPr>
          <w:spacing w:val="-7"/>
          <w:sz w:val="22"/>
        </w:rPr>
        <w:t> </w:t>
      </w:r>
      <w:r>
        <w:rPr>
          <w:sz w:val="22"/>
        </w:rPr>
        <w:t>de</w:t>
      </w:r>
      <w:r>
        <w:rPr>
          <w:spacing w:val="-4"/>
          <w:sz w:val="22"/>
        </w:rPr>
        <w:t> </w:t>
      </w:r>
      <w:r>
        <w:rPr>
          <w:sz w:val="22"/>
        </w:rPr>
        <w:t>la</w:t>
      </w:r>
      <w:r>
        <w:rPr>
          <w:spacing w:val="-5"/>
          <w:sz w:val="22"/>
        </w:rPr>
        <w:t> </w:t>
      </w:r>
      <w:r>
        <w:rPr>
          <w:sz w:val="22"/>
        </w:rPr>
        <w:t>Cámara</w:t>
      </w:r>
      <w:r>
        <w:rPr>
          <w:spacing w:val="-6"/>
          <w:sz w:val="22"/>
        </w:rPr>
        <w:t> </w:t>
      </w:r>
      <w:r>
        <w:rPr>
          <w:sz w:val="22"/>
        </w:rPr>
        <w:t>Colombo-</w:t>
      </w:r>
      <w:r>
        <w:rPr>
          <w:spacing w:val="-2"/>
          <w:sz w:val="22"/>
        </w:rPr>
        <w:t>Ecuatoriana.</w:t>
      </w:r>
    </w:p>
    <w:p>
      <w:pPr>
        <w:pStyle w:val="ListParagraph"/>
        <w:numPr>
          <w:ilvl w:val="0"/>
          <w:numId w:val="50"/>
        </w:numPr>
        <w:tabs>
          <w:tab w:pos="1131" w:val="left" w:leader="none"/>
        </w:tabs>
        <w:spacing w:line="240" w:lineRule="auto" w:before="251" w:after="0"/>
        <w:ind w:left="1131" w:right="0" w:hanging="563"/>
        <w:jc w:val="left"/>
        <w:rPr>
          <w:sz w:val="22"/>
        </w:rPr>
      </w:pPr>
      <w:r>
        <w:rPr>
          <w:sz w:val="22"/>
        </w:rPr>
        <w:t>Los</w:t>
      </w:r>
      <w:r>
        <w:rPr>
          <w:spacing w:val="-7"/>
          <w:sz w:val="22"/>
        </w:rPr>
        <w:t> </w:t>
      </w:r>
      <w:r>
        <w:rPr>
          <w:sz w:val="22"/>
        </w:rPr>
        <w:t>principales</w:t>
      </w:r>
      <w:r>
        <w:rPr>
          <w:spacing w:val="-6"/>
          <w:sz w:val="22"/>
        </w:rPr>
        <w:t> </w:t>
      </w:r>
      <w:r>
        <w:rPr>
          <w:sz w:val="22"/>
        </w:rPr>
        <w:t>elementos</w:t>
      </w:r>
      <w:r>
        <w:rPr>
          <w:spacing w:val="-5"/>
          <w:sz w:val="22"/>
        </w:rPr>
        <w:t> </w:t>
      </w:r>
      <w:r>
        <w:rPr>
          <w:sz w:val="22"/>
        </w:rPr>
        <w:t>señalados</w:t>
      </w:r>
      <w:r>
        <w:rPr>
          <w:spacing w:val="-6"/>
          <w:sz w:val="22"/>
        </w:rPr>
        <w:t> </w:t>
      </w:r>
      <w:r>
        <w:rPr>
          <w:sz w:val="22"/>
        </w:rPr>
        <w:t>por</w:t>
      </w:r>
      <w:r>
        <w:rPr>
          <w:spacing w:val="-4"/>
          <w:sz w:val="22"/>
        </w:rPr>
        <w:t> </w:t>
      </w:r>
      <w:r>
        <w:rPr>
          <w:sz w:val="22"/>
        </w:rPr>
        <w:t>los</w:t>
      </w:r>
      <w:r>
        <w:rPr>
          <w:spacing w:val="-8"/>
          <w:sz w:val="22"/>
        </w:rPr>
        <w:t> </w:t>
      </w:r>
      <w:r>
        <w:rPr>
          <w:sz w:val="22"/>
        </w:rPr>
        <w:t>participantes</w:t>
      </w:r>
      <w:r>
        <w:rPr>
          <w:spacing w:val="-5"/>
          <w:sz w:val="22"/>
        </w:rPr>
        <w:t> </w:t>
      </w:r>
      <w:r>
        <w:rPr>
          <w:sz w:val="22"/>
        </w:rPr>
        <w:t>se</w:t>
      </w:r>
      <w:r>
        <w:rPr>
          <w:spacing w:val="-7"/>
          <w:sz w:val="22"/>
        </w:rPr>
        <w:t> </w:t>
      </w:r>
      <w:r>
        <w:rPr>
          <w:sz w:val="22"/>
        </w:rPr>
        <w:t>resumen</w:t>
      </w:r>
      <w:r>
        <w:rPr>
          <w:spacing w:val="-8"/>
          <w:sz w:val="22"/>
        </w:rPr>
        <w:t> </w:t>
      </w:r>
      <w:r>
        <w:rPr>
          <w:sz w:val="22"/>
        </w:rPr>
        <w:t>a</w:t>
      </w:r>
      <w:r>
        <w:rPr>
          <w:spacing w:val="-5"/>
          <w:sz w:val="22"/>
        </w:rPr>
        <w:t> </w:t>
      </w:r>
      <w:r>
        <w:rPr>
          <w:spacing w:val="-2"/>
          <w:sz w:val="22"/>
        </w:rPr>
        <w:t>continuación:</w:t>
      </w:r>
    </w:p>
    <w:p>
      <w:pPr>
        <w:pStyle w:val="BodyText"/>
        <w:spacing w:before="1"/>
      </w:pPr>
    </w:p>
    <w:p>
      <w:pPr>
        <w:pStyle w:val="ListParagraph"/>
        <w:numPr>
          <w:ilvl w:val="0"/>
          <w:numId w:val="73"/>
        </w:numPr>
        <w:tabs>
          <w:tab w:pos="1560" w:val="left" w:leader="none"/>
          <w:tab w:pos="1562" w:val="left" w:leader="none"/>
        </w:tabs>
        <w:spacing w:line="240" w:lineRule="auto" w:before="0" w:after="0"/>
        <w:ind w:left="1562" w:right="980" w:hanging="360"/>
        <w:jc w:val="both"/>
        <w:rPr>
          <w:sz w:val="22"/>
        </w:rPr>
      </w:pPr>
      <w:r>
        <w:rPr>
          <w:sz w:val="22"/>
        </w:rPr>
        <w:t>La afectación de las medidas se extendería a la cadena logística de insumos destinados a la exportación, tales como el plástico utilizado en la floricultura y las cajas de cartón empleadas para la exportación de bananos.</w:t>
      </w:r>
    </w:p>
    <w:p>
      <w:pPr>
        <w:pStyle w:val="ListParagraph"/>
        <w:numPr>
          <w:ilvl w:val="0"/>
          <w:numId w:val="73"/>
        </w:numPr>
        <w:tabs>
          <w:tab w:pos="1560" w:val="left" w:leader="none"/>
          <w:tab w:pos="1562" w:val="left" w:leader="none"/>
        </w:tabs>
        <w:spacing w:line="240" w:lineRule="auto" w:before="0" w:after="0"/>
        <w:ind w:left="1562" w:right="981" w:hanging="360"/>
        <w:jc w:val="both"/>
        <w:rPr>
          <w:sz w:val="22"/>
        </w:rPr>
      </w:pPr>
      <w:r>
        <w:rPr>
          <w:sz w:val="22"/>
        </w:rPr>
        <w:t>Las</w:t>
      </w:r>
      <w:r>
        <w:rPr>
          <w:spacing w:val="-12"/>
          <w:sz w:val="22"/>
        </w:rPr>
        <w:t> </w:t>
      </w:r>
      <w:r>
        <w:rPr>
          <w:sz w:val="22"/>
        </w:rPr>
        <w:t>medidas</w:t>
      </w:r>
      <w:r>
        <w:rPr>
          <w:spacing w:val="-12"/>
          <w:sz w:val="22"/>
        </w:rPr>
        <w:t> </w:t>
      </w:r>
      <w:r>
        <w:rPr>
          <w:sz w:val="22"/>
        </w:rPr>
        <w:t>evidenciarían</w:t>
      </w:r>
      <w:r>
        <w:rPr>
          <w:spacing w:val="-13"/>
          <w:sz w:val="22"/>
        </w:rPr>
        <w:t> </w:t>
      </w:r>
      <w:r>
        <w:rPr>
          <w:sz w:val="22"/>
        </w:rPr>
        <w:t>que</w:t>
      </w:r>
      <w:r>
        <w:rPr>
          <w:spacing w:val="-12"/>
          <w:sz w:val="22"/>
        </w:rPr>
        <w:t> </w:t>
      </w:r>
      <w:r>
        <w:rPr>
          <w:sz w:val="22"/>
        </w:rPr>
        <w:t>las</w:t>
      </w:r>
      <w:r>
        <w:rPr>
          <w:spacing w:val="-12"/>
          <w:sz w:val="22"/>
        </w:rPr>
        <w:t> </w:t>
      </w:r>
      <w:r>
        <w:rPr>
          <w:sz w:val="22"/>
        </w:rPr>
        <w:t>alternativas</w:t>
      </w:r>
      <w:r>
        <w:rPr>
          <w:spacing w:val="-12"/>
          <w:sz w:val="22"/>
        </w:rPr>
        <w:t> </w:t>
      </w:r>
      <w:r>
        <w:rPr>
          <w:sz w:val="22"/>
        </w:rPr>
        <w:t>distintas</w:t>
      </w:r>
      <w:r>
        <w:rPr>
          <w:spacing w:val="-12"/>
          <w:sz w:val="22"/>
        </w:rPr>
        <w:t> </w:t>
      </w:r>
      <w:r>
        <w:rPr>
          <w:sz w:val="22"/>
        </w:rPr>
        <w:t>al</w:t>
      </w:r>
      <w:r>
        <w:rPr>
          <w:spacing w:val="-16"/>
          <w:sz w:val="22"/>
        </w:rPr>
        <w:t> </w:t>
      </w:r>
      <w:r>
        <w:rPr>
          <w:sz w:val="22"/>
        </w:rPr>
        <w:t>transporte</w:t>
      </w:r>
      <w:r>
        <w:rPr>
          <w:spacing w:val="-14"/>
          <w:sz w:val="22"/>
        </w:rPr>
        <w:t> </w:t>
      </w:r>
      <w:r>
        <w:rPr>
          <w:sz w:val="22"/>
        </w:rPr>
        <w:t>terrestre</w:t>
      </w:r>
      <w:r>
        <w:rPr>
          <w:spacing w:val="-12"/>
          <w:sz w:val="22"/>
        </w:rPr>
        <w:t> </w:t>
      </w:r>
      <w:r>
        <w:rPr>
          <w:sz w:val="22"/>
        </w:rPr>
        <w:t>entre Colombia y Ecuador resultarían inviables, dado que no existen cupos disponibles en la vía marítima y los costos logísticos por vía aérea son significativamente </w:t>
      </w:r>
      <w:r>
        <w:rPr>
          <w:spacing w:val="-2"/>
          <w:sz w:val="22"/>
        </w:rPr>
        <w:t>superiores.</w:t>
      </w:r>
    </w:p>
    <w:p>
      <w:pPr>
        <w:pStyle w:val="ListParagraph"/>
        <w:numPr>
          <w:ilvl w:val="0"/>
          <w:numId w:val="73"/>
        </w:numPr>
        <w:tabs>
          <w:tab w:pos="1562" w:val="left" w:leader="none"/>
        </w:tabs>
        <w:spacing w:line="240" w:lineRule="auto" w:before="1" w:after="0"/>
        <w:ind w:left="1562" w:right="977" w:hanging="360"/>
        <w:jc w:val="both"/>
        <w:rPr>
          <w:sz w:val="22"/>
        </w:rPr>
      </w:pPr>
      <w:r>
        <w:rPr>
          <w:sz w:val="22"/>
        </w:rPr>
        <w:t>Se indicó que uno de los efectos adversos del cierre de frontera en Ipiales – Rumichaca habría sido el incremento del contrabando en la zona fronteriza.</w:t>
      </w:r>
    </w:p>
    <w:p>
      <w:pPr>
        <w:pStyle w:val="ListParagraph"/>
        <w:numPr>
          <w:ilvl w:val="0"/>
          <w:numId w:val="73"/>
        </w:numPr>
        <w:tabs>
          <w:tab w:pos="1560" w:val="left" w:leader="none"/>
          <w:tab w:pos="1562" w:val="left" w:leader="none"/>
        </w:tabs>
        <w:spacing w:line="240" w:lineRule="auto" w:before="0" w:after="0"/>
        <w:ind w:left="1562" w:right="982" w:hanging="360"/>
        <w:jc w:val="both"/>
        <w:rPr>
          <w:sz w:val="22"/>
        </w:rPr>
      </w:pPr>
      <w:r>
        <w:rPr>
          <w:sz w:val="22"/>
        </w:rPr>
        <w:t>Los departamentos del Putumayo, Nariño y Cauca consumen el arroz de origen ecuatoriano por preferencia, por lo cual debería facilitarse el ingreso de dicho </w:t>
      </w:r>
      <w:r>
        <w:rPr>
          <w:spacing w:val="-2"/>
          <w:sz w:val="22"/>
        </w:rPr>
        <w:t>producto.</w:t>
      </w:r>
    </w:p>
    <w:p>
      <w:pPr>
        <w:pStyle w:val="ListParagraph"/>
        <w:numPr>
          <w:ilvl w:val="0"/>
          <w:numId w:val="73"/>
        </w:numPr>
        <w:tabs>
          <w:tab w:pos="1560" w:val="left" w:leader="none"/>
          <w:tab w:pos="1562" w:val="left" w:leader="none"/>
        </w:tabs>
        <w:spacing w:line="240" w:lineRule="auto" w:before="0" w:after="0"/>
        <w:ind w:left="1562" w:right="975" w:hanging="360"/>
        <w:jc w:val="both"/>
        <w:rPr>
          <w:sz w:val="22"/>
        </w:rPr>
      </w:pPr>
      <w:r>
        <w:rPr>
          <w:sz w:val="22"/>
        </w:rPr>
        <w:t>En el sector floricultor, las exportaciones de la República del Ecuador se ven afectadas</w:t>
      </w:r>
      <w:r>
        <w:rPr>
          <w:spacing w:val="-15"/>
          <w:sz w:val="22"/>
        </w:rPr>
        <w:t> </w:t>
      </w:r>
      <w:r>
        <w:rPr>
          <w:sz w:val="22"/>
        </w:rPr>
        <w:t>si</w:t>
      </w:r>
      <w:r>
        <w:rPr>
          <w:spacing w:val="-10"/>
          <w:sz w:val="22"/>
        </w:rPr>
        <w:t> </w:t>
      </w:r>
      <w:r>
        <w:rPr>
          <w:sz w:val="22"/>
        </w:rPr>
        <w:t>la</w:t>
      </w:r>
      <w:r>
        <w:rPr>
          <w:spacing w:val="-12"/>
          <w:sz w:val="22"/>
        </w:rPr>
        <w:t> </w:t>
      </w:r>
      <w:r>
        <w:rPr>
          <w:sz w:val="22"/>
        </w:rPr>
        <w:t>República</w:t>
      </w:r>
      <w:r>
        <w:rPr>
          <w:spacing w:val="-10"/>
          <w:sz w:val="22"/>
        </w:rPr>
        <w:t> </w:t>
      </w:r>
      <w:r>
        <w:rPr>
          <w:sz w:val="22"/>
        </w:rPr>
        <w:t>de</w:t>
      </w:r>
      <w:r>
        <w:rPr>
          <w:spacing w:val="-12"/>
          <w:sz w:val="22"/>
        </w:rPr>
        <w:t> </w:t>
      </w:r>
      <w:r>
        <w:rPr>
          <w:sz w:val="22"/>
        </w:rPr>
        <w:t>Colombia</w:t>
      </w:r>
      <w:r>
        <w:rPr>
          <w:spacing w:val="-12"/>
          <w:sz w:val="22"/>
        </w:rPr>
        <w:t> </w:t>
      </w:r>
      <w:r>
        <w:rPr>
          <w:sz w:val="22"/>
        </w:rPr>
        <w:t>no</w:t>
      </w:r>
      <w:r>
        <w:rPr>
          <w:spacing w:val="-13"/>
          <w:sz w:val="22"/>
        </w:rPr>
        <w:t> </w:t>
      </w:r>
      <w:r>
        <w:rPr>
          <w:sz w:val="22"/>
        </w:rPr>
        <w:t>suministra</w:t>
      </w:r>
      <w:r>
        <w:rPr>
          <w:spacing w:val="-9"/>
          <w:sz w:val="22"/>
        </w:rPr>
        <w:t> </w:t>
      </w:r>
      <w:r>
        <w:rPr>
          <w:sz w:val="22"/>
        </w:rPr>
        <w:t>los</w:t>
      </w:r>
      <w:r>
        <w:rPr>
          <w:spacing w:val="-12"/>
          <w:sz w:val="22"/>
        </w:rPr>
        <w:t> </w:t>
      </w:r>
      <w:r>
        <w:rPr>
          <w:sz w:val="22"/>
        </w:rPr>
        <w:t>empaques</w:t>
      </w:r>
      <w:r>
        <w:rPr>
          <w:spacing w:val="-11"/>
          <w:sz w:val="22"/>
        </w:rPr>
        <w:t> </w:t>
      </w:r>
      <w:r>
        <w:rPr>
          <w:sz w:val="22"/>
        </w:rPr>
        <w:t>necesarios</w:t>
      </w:r>
      <w:r>
        <w:rPr>
          <w:spacing w:val="-10"/>
          <w:sz w:val="22"/>
        </w:rPr>
        <w:t> </w:t>
      </w:r>
      <w:r>
        <w:rPr>
          <w:sz w:val="22"/>
        </w:rPr>
        <w:t>para esta mercancía; actualmente, el abastecimiento de estos insumos se realizaría desde zona franca, por vía aérea, hacia territorio ecuatoriano.</w:t>
      </w:r>
    </w:p>
    <w:p>
      <w:pPr>
        <w:pStyle w:val="ListParagraph"/>
        <w:numPr>
          <w:ilvl w:val="0"/>
          <w:numId w:val="73"/>
        </w:numPr>
        <w:tabs>
          <w:tab w:pos="1562" w:val="left" w:leader="none"/>
        </w:tabs>
        <w:spacing w:line="240" w:lineRule="auto" w:before="1" w:after="0"/>
        <w:ind w:left="1562" w:right="979" w:hanging="360"/>
        <w:jc w:val="both"/>
        <w:rPr>
          <w:sz w:val="22"/>
        </w:rPr>
      </w:pPr>
      <w:r>
        <w:rPr>
          <w:sz w:val="22"/>
        </w:rPr>
        <w:t>Se hizo énfasis en el detrimento de la fuerza laboral en frontera, así como en la reducción</w:t>
      </w:r>
      <w:r>
        <w:rPr>
          <w:spacing w:val="-1"/>
          <w:sz w:val="22"/>
        </w:rPr>
        <w:t> </w:t>
      </w:r>
      <w:r>
        <w:rPr>
          <w:sz w:val="22"/>
        </w:rPr>
        <w:t>del</w:t>
      </w:r>
      <w:r>
        <w:rPr>
          <w:spacing w:val="-4"/>
          <w:sz w:val="22"/>
        </w:rPr>
        <w:t> </w:t>
      </w:r>
      <w:r>
        <w:rPr>
          <w:sz w:val="22"/>
        </w:rPr>
        <w:t>comercio</w:t>
      </w:r>
      <w:r>
        <w:rPr>
          <w:spacing w:val="-3"/>
          <w:sz w:val="22"/>
        </w:rPr>
        <w:t> </w:t>
      </w:r>
      <w:r>
        <w:rPr>
          <w:sz w:val="22"/>
        </w:rPr>
        <w:t>en aproximadamente</w:t>
      </w:r>
      <w:r>
        <w:rPr>
          <w:spacing w:val="-2"/>
          <w:sz w:val="22"/>
        </w:rPr>
        <w:t> </w:t>
      </w:r>
      <w:r>
        <w:rPr>
          <w:sz w:val="22"/>
        </w:rPr>
        <w:t>un</w:t>
      </w:r>
      <w:r>
        <w:rPr>
          <w:spacing w:val="-3"/>
          <w:sz w:val="22"/>
        </w:rPr>
        <w:t> </w:t>
      </w:r>
      <w:r>
        <w:rPr>
          <w:sz w:val="22"/>
        </w:rPr>
        <w:t>90%,</w:t>
      </w:r>
      <w:r>
        <w:rPr>
          <w:spacing w:val="-1"/>
          <w:sz w:val="22"/>
        </w:rPr>
        <w:t> </w:t>
      </w:r>
      <w:r>
        <w:rPr>
          <w:sz w:val="22"/>
        </w:rPr>
        <w:t>lo cual</w:t>
      </w:r>
      <w:r>
        <w:rPr>
          <w:spacing w:val="-3"/>
          <w:sz w:val="22"/>
        </w:rPr>
        <w:t> </w:t>
      </w:r>
      <w:r>
        <w:rPr>
          <w:sz w:val="22"/>
        </w:rPr>
        <w:t>estaría afectando</w:t>
      </w:r>
      <w:r>
        <w:rPr>
          <w:spacing w:val="-1"/>
          <w:sz w:val="22"/>
        </w:rPr>
        <w:t> </w:t>
      </w:r>
      <w:r>
        <w:rPr>
          <w:sz w:val="22"/>
        </w:rPr>
        <w:t>los ingresos de manera alarmante a la población y la afectación al sistema productivo de ambos países.</w:t>
      </w:r>
    </w:p>
    <w:p>
      <w:pPr>
        <w:pStyle w:val="Heading6"/>
        <w:numPr>
          <w:ilvl w:val="0"/>
          <w:numId w:val="74"/>
        </w:numPr>
        <w:tabs>
          <w:tab w:pos="1276" w:val="left" w:leader="none"/>
        </w:tabs>
        <w:spacing w:line="240" w:lineRule="auto" w:before="252" w:after="0"/>
        <w:ind w:left="1276" w:right="0" w:hanging="360"/>
        <w:jc w:val="left"/>
      </w:pPr>
      <w:r>
        <w:rPr/>
        <w:t>Reunión</w:t>
      </w:r>
      <w:r>
        <w:rPr>
          <w:spacing w:val="-7"/>
        </w:rPr>
        <w:t> </w:t>
      </w:r>
      <w:r>
        <w:rPr/>
        <w:t>con</w:t>
      </w:r>
      <w:r>
        <w:rPr>
          <w:spacing w:val="-7"/>
        </w:rPr>
        <w:t> </w:t>
      </w:r>
      <w:r>
        <w:rPr/>
        <w:t>la</w:t>
      </w:r>
      <w:r>
        <w:rPr>
          <w:spacing w:val="-6"/>
        </w:rPr>
        <w:t> </w:t>
      </w:r>
      <w:r>
        <w:rPr/>
        <w:t>Asociación</w:t>
      </w:r>
      <w:r>
        <w:rPr>
          <w:spacing w:val="-5"/>
        </w:rPr>
        <w:t> </w:t>
      </w:r>
      <w:r>
        <w:rPr/>
        <w:t>Nacional</w:t>
      </w:r>
      <w:r>
        <w:rPr>
          <w:spacing w:val="-6"/>
        </w:rPr>
        <w:t> </w:t>
      </w:r>
      <w:r>
        <w:rPr/>
        <w:t>de</w:t>
      </w:r>
      <w:r>
        <w:rPr>
          <w:spacing w:val="-4"/>
        </w:rPr>
        <w:t> </w:t>
      </w:r>
      <w:r>
        <w:rPr/>
        <w:t>Comercio</w:t>
      </w:r>
      <w:r>
        <w:rPr>
          <w:spacing w:val="-5"/>
        </w:rPr>
        <w:t> </w:t>
      </w:r>
      <w:r>
        <w:rPr/>
        <w:t>Exterior</w:t>
      </w:r>
      <w:r>
        <w:rPr>
          <w:spacing w:val="-6"/>
        </w:rPr>
        <w:t> </w:t>
      </w:r>
      <w:r>
        <w:rPr>
          <w:spacing w:val="-2"/>
        </w:rPr>
        <w:t>(ANALDEX)</w:t>
      </w:r>
      <w:hyperlink w:history="true" w:anchor="_bookmark116">
        <w:r>
          <w:rPr>
            <w:spacing w:val="-2"/>
            <w:vertAlign w:val="superscript"/>
          </w:rPr>
          <w:t>49</w:t>
        </w:r>
      </w:hyperlink>
    </w:p>
    <w:p>
      <w:pPr>
        <w:pStyle w:val="ListParagraph"/>
        <w:numPr>
          <w:ilvl w:val="0"/>
          <w:numId w:val="50"/>
        </w:numPr>
        <w:tabs>
          <w:tab w:pos="1130" w:val="left" w:leader="none"/>
          <w:tab w:pos="1134" w:val="left" w:leader="none"/>
        </w:tabs>
        <w:spacing w:line="240" w:lineRule="auto" w:before="252" w:after="0"/>
        <w:ind w:left="1134" w:right="982" w:hanging="567"/>
        <w:jc w:val="both"/>
        <w:rPr>
          <w:sz w:val="22"/>
        </w:rPr>
      </w:pPr>
      <w:r>
        <w:rPr>
          <w:sz w:val="22"/>
        </w:rPr>
        <w:t>La reunión se realizó en la ciudad de Bogotá, el 27 de marzo de 2026, y contó la participación del Presidente Ejecutivo y el Director de Asuntos Económicos de la Asociación Nacional de Comercio Exterior (ANALDEX).</w:t>
      </w:r>
    </w:p>
    <w:p>
      <w:pPr>
        <w:pStyle w:val="ListParagraph"/>
        <w:numPr>
          <w:ilvl w:val="0"/>
          <w:numId w:val="50"/>
        </w:numPr>
        <w:tabs>
          <w:tab w:pos="1131" w:val="left" w:leader="none"/>
        </w:tabs>
        <w:spacing w:line="240" w:lineRule="auto" w:before="252" w:after="0"/>
        <w:ind w:left="1131" w:right="0" w:hanging="563"/>
        <w:jc w:val="left"/>
        <w:rPr>
          <w:sz w:val="22"/>
        </w:rPr>
      </w:pPr>
      <w:r>
        <w:rPr>
          <w:sz w:val="22"/>
        </w:rPr>
        <w:t>Los</w:t>
      </w:r>
      <w:r>
        <w:rPr>
          <w:spacing w:val="-7"/>
          <w:sz w:val="22"/>
        </w:rPr>
        <w:t> </w:t>
      </w:r>
      <w:r>
        <w:rPr>
          <w:sz w:val="22"/>
        </w:rPr>
        <w:t>principales</w:t>
      </w:r>
      <w:r>
        <w:rPr>
          <w:spacing w:val="-6"/>
          <w:sz w:val="22"/>
        </w:rPr>
        <w:t> </w:t>
      </w:r>
      <w:r>
        <w:rPr>
          <w:sz w:val="22"/>
        </w:rPr>
        <w:t>elementos</w:t>
      </w:r>
      <w:r>
        <w:rPr>
          <w:spacing w:val="-5"/>
          <w:sz w:val="22"/>
        </w:rPr>
        <w:t> </w:t>
      </w:r>
      <w:r>
        <w:rPr>
          <w:sz w:val="22"/>
        </w:rPr>
        <w:t>señalados</w:t>
      </w:r>
      <w:r>
        <w:rPr>
          <w:spacing w:val="-6"/>
          <w:sz w:val="22"/>
        </w:rPr>
        <w:t> </w:t>
      </w:r>
      <w:r>
        <w:rPr>
          <w:sz w:val="22"/>
        </w:rPr>
        <w:t>por</w:t>
      </w:r>
      <w:r>
        <w:rPr>
          <w:spacing w:val="-4"/>
          <w:sz w:val="22"/>
        </w:rPr>
        <w:t> </w:t>
      </w:r>
      <w:r>
        <w:rPr>
          <w:sz w:val="22"/>
        </w:rPr>
        <w:t>los</w:t>
      </w:r>
      <w:r>
        <w:rPr>
          <w:spacing w:val="-8"/>
          <w:sz w:val="22"/>
        </w:rPr>
        <w:t> </w:t>
      </w:r>
      <w:r>
        <w:rPr>
          <w:sz w:val="22"/>
        </w:rPr>
        <w:t>participantes</w:t>
      </w:r>
      <w:r>
        <w:rPr>
          <w:spacing w:val="-5"/>
          <w:sz w:val="22"/>
        </w:rPr>
        <w:t> </w:t>
      </w:r>
      <w:r>
        <w:rPr>
          <w:sz w:val="22"/>
        </w:rPr>
        <w:t>se</w:t>
      </w:r>
      <w:r>
        <w:rPr>
          <w:spacing w:val="-7"/>
          <w:sz w:val="22"/>
        </w:rPr>
        <w:t> </w:t>
      </w:r>
      <w:r>
        <w:rPr>
          <w:sz w:val="22"/>
        </w:rPr>
        <w:t>resumen</w:t>
      </w:r>
      <w:r>
        <w:rPr>
          <w:spacing w:val="-8"/>
          <w:sz w:val="22"/>
        </w:rPr>
        <w:t> </w:t>
      </w:r>
      <w:r>
        <w:rPr>
          <w:sz w:val="22"/>
        </w:rPr>
        <w:t>a</w:t>
      </w:r>
      <w:r>
        <w:rPr>
          <w:spacing w:val="-5"/>
          <w:sz w:val="22"/>
        </w:rPr>
        <w:t> </w:t>
      </w:r>
      <w:r>
        <w:rPr>
          <w:spacing w:val="-2"/>
          <w:sz w:val="22"/>
        </w:rPr>
        <w:t>continuación:</w:t>
      </w:r>
    </w:p>
    <w:p>
      <w:pPr>
        <w:pStyle w:val="BodyText"/>
      </w:pPr>
    </w:p>
    <w:p>
      <w:pPr>
        <w:pStyle w:val="ListParagraph"/>
        <w:numPr>
          <w:ilvl w:val="0"/>
          <w:numId w:val="75"/>
        </w:numPr>
        <w:tabs>
          <w:tab w:pos="1698" w:val="left" w:leader="none"/>
          <w:tab w:pos="1701" w:val="left" w:leader="none"/>
        </w:tabs>
        <w:spacing w:line="240" w:lineRule="auto" w:before="1" w:after="0"/>
        <w:ind w:left="1701" w:right="979" w:hanging="567"/>
        <w:jc w:val="both"/>
        <w:rPr>
          <w:sz w:val="22"/>
        </w:rPr>
      </w:pPr>
      <w:r>
        <w:rPr>
          <w:sz w:val="22"/>
        </w:rPr>
        <w:t>Se mencionó que desde el 24 de diciembre de 2025 se mantiene el cierre de las fronteras entre la República de Colombia y la República del Ecuador, con excepción del paso Rumichaca.</w:t>
      </w:r>
    </w:p>
    <w:p>
      <w:pPr>
        <w:pStyle w:val="ListParagraph"/>
        <w:numPr>
          <w:ilvl w:val="0"/>
          <w:numId w:val="75"/>
        </w:numPr>
        <w:tabs>
          <w:tab w:pos="1698" w:val="left" w:leader="none"/>
          <w:tab w:pos="1701" w:val="left" w:leader="none"/>
        </w:tabs>
        <w:spacing w:line="240" w:lineRule="auto" w:before="0" w:after="0"/>
        <w:ind w:left="1701" w:right="980" w:hanging="567"/>
        <w:jc w:val="both"/>
        <w:rPr>
          <w:sz w:val="22"/>
        </w:rPr>
      </w:pPr>
      <w:r>
        <w:rPr>
          <w:sz w:val="22"/>
        </w:rPr>
        <w:t>Las empresas de la República de Colombia no podrían exportar debido a la tasa del 50%, en la media que dicha tasa las excluiría del mercado ecuatoriano.</w:t>
      </w:r>
    </w:p>
    <w:p>
      <w:pPr>
        <w:pStyle w:val="ListParagraph"/>
        <w:numPr>
          <w:ilvl w:val="0"/>
          <w:numId w:val="75"/>
        </w:numPr>
        <w:tabs>
          <w:tab w:pos="1699" w:val="left" w:leader="none"/>
          <w:tab w:pos="1701" w:val="left" w:leader="none"/>
        </w:tabs>
        <w:spacing w:line="240" w:lineRule="auto" w:before="0" w:after="0"/>
        <w:ind w:left="1701" w:right="980" w:hanging="567"/>
        <w:jc w:val="both"/>
        <w:rPr>
          <w:sz w:val="22"/>
        </w:rPr>
      </w:pPr>
      <w:r>
        <w:rPr>
          <w:sz w:val="22"/>
        </w:rPr>
        <w:t>Las medidas adoptadas por los dos países serían contrarias al Programa de Liberación previsto en el Acuerdo de Cartagena.</w:t>
      </w:r>
    </w:p>
    <w:p>
      <w:pPr>
        <w:pStyle w:val="ListParagraph"/>
        <w:numPr>
          <w:ilvl w:val="0"/>
          <w:numId w:val="75"/>
        </w:numPr>
        <w:tabs>
          <w:tab w:pos="1698" w:val="left" w:leader="none"/>
          <w:tab w:pos="1701" w:val="left" w:leader="none"/>
        </w:tabs>
        <w:spacing w:line="240" w:lineRule="auto" w:before="0" w:after="0"/>
        <w:ind w:left="1701" w:right="979" w:hanging="567"/>
        <w:jc w:val="both"/>
        <w:rPr>
          <w:sz w:val="22"/>
        </w:rPr>
      </w:pPr>
      <w:r>
        <w:rPr>
          <w:sz w:val="22"/>
        </w:rPr>
        <w:t>Se señaló que ha realizado consultas con funcionarios de seguridad de la República de Colombia, quienes habrían manifestado que se encuentran coordinando acciones con sus homólogos de la República del Ecuador.</w:t>
      </w:r>
    </w:p>
    <w:p>
      <w:pPr>
        <w:pStyle w:val="ListParagraph"/>
        <w:numPr>
          <w:ilvl w:val="0"/>
          <w:numId w:val="75"/>
        </w:numPr>
        <w:tabs>
          <w:tab w:pos="1698" w:val="left" w:leader="none"/>
        </w:tabs>
        <w:spacing w:line="252" w:lineRule="exact" w:before="0" w:after="0"/>
        <w:ind w:left="1698" w:right="0" w:hanging="564"/>
        <w:jc w:val="both"/>
        <w:rPr>
          <w:sz w:val="22"/>
        </w:rPr>
      </w:pPr>
      <w:r>
        <w:rPr>
          <w:sz w:val="22"/>
        </w:rPr>
        <w:t>Se</w:t>
      </w:r>
      <w:r>
        <w:rPr>
          <w:spacing w:val="35"/>
          <w:sz w:val="22"/>
        </w:rPr>
        <w:t> </w:t>
      </w:r>
      <w:r>
        <w:rPr>
          <w:sz w:val="22"/>
        </w:rPr>
        <w:t>indicó</w:t>
      </w:r>
      <w:r>
        <w:rPr>
          <w:spacing w:val="37"/>
          <w:sz w:val="22"/>
        </w:rPr>
        <w:t> </w:t>
      </w:r>
      <w:r>
        <w:rPr>
          <w:sz w:val="22"/>
        </w:rPr>
        <w:t>que</w:t>
      </w:r>
      <w:r>
        <w:rPr>
          <w:spacing w:val="37"/>
          <w:sz w:val="22"/>
        </w:rPr>
        <w:t> </w:t>
      </w:r>
      <w:r>
        <w:rPr>
          <w:sz w:val="22"/>
        </w:rPr>
        <w:t>enviarían</w:t>
      </w:r>
      <w:r>
        <w:rPr>
          <w:spacing w:val="36"/>
          <w:sz w:val="22"/>
        </w:rPr>
        <w:t> </w:t>
      </w:r>
      <w:r>
        <w:rPr>
          <w:sz w:val="22"/>
        </w:rPr>
        <w:t>información</w:t>
      </w:r>
      <w:r>
        <w:rPr>
          <w:spacing w:val="-3"/>
          <w:sz w:val="22"/>
        </w:rPr>
        <w:t> </w:t>
      </w:r>
      <w:r>
        <w:rPr>
          <w:sz w:val="22"/>
        </w:rPr>
        <w:t>estadística</w:t>
      </w:r>
      <w:r>
        <w:rPr>
          <w:spacing w:val="-7"/>
          <w:sz w:val="22"/>
        </w:rPr>
        <w:t> </w:t>
      </w:r>
      <w:r>
        <w:rPr>
          <w:sz w:val="22"/>
        </w:rPr>
        <w:t>sobre</w:t>
      </w:r>
      <w:r>
        <w:rPr>
          <w:spacing w:val="37"/>
          <w:sz w:val="22"/>
        </w:rPr>
        <w:t> </w:t>
      </w:r>
      <w:r>
        <w:rPr>
          <w:sz w:val="22"/>
        </w:rPr>
        <w:t>la</w:t>
      </w:r>
      <w:r>
        <w:rPr>
          <w:spacing w:val="36"/>
          <w:sz w:val="22"/>
        </w:rPr>
        <w:t> </w:t>
      </w:r>
      <w:r>
        <w:rPr>
          <w:sz w:val="22"/>
        </w:rPr>
        <w:t>adopción</w:t>
      </w:r>
      <w:r>
        <w:rPr>
          <w:spacing w:val="37"/>
          <w:sz w:val="22"/>
        </w:rPr>
        <w:t> </w:t>
      </w:r>
      <w:r>
        <w:rPr>
          <w:sz w:val="22"/>
        </w:rPr>
        <w:t>del</w:t>
      </w:r>
      <w:r>
        <w:rPr>
          <w:spacing w:val="35"/>
          <w:sz w:val="22"/>
        </w:rPr>
        <w:t> </w:t>
      </w:r>
      <w:r>
        <w:rPr>
          <w:spacing w:val="-2"/>
          <w:sz w:val="22"/>
        </w:rPr>
        <w:t>Decreto</w:t>
      </w:r>
    </w:p>
    <w:p>
      <w:pPr>
        <w:pStyle w:val="BodyText"/>
        <w:spacing w:before="1"/>
        <w:ind w:left="1701" w:right="980"/>
        <w:jc w:val="both"/>
      </w:pPr>
      <w:r>
        <w:rPr/>
        <w:t>170.</w:t>
      </w:r>
      <w:r>
        <w:rPr>
          <w:spacing w:val="-1"/>
        </w:rPr>
        <w:t> </w:t>
      </w:r>
      <w:r>
        <w:rPr/>
        <w:t>Asimismo, se señaló que la medida adoptada por la República de Colombia estaría afectado a cadenas productivas, como por ejemplo el sector de papel.</w:t>
      </w:r>
    </w:p>
    <w:p>
      <w:pPr>
        <w:pStyle w:val="BodyText"/>
        <w:spacing w:before="9"/>
        <w:rPr>
          <w:sz w:val="12"/>
        </w:rPr>
      </w:pPr>
      <w:r>
        <w:rPr>
          <w:sz w:val="12"/>
        </w:rPr>
        <mc:AlternateContent>
          <mc:Choice Requires="wps">
            <w:drawing>
              <wp:anchor distT="0" distB="0" distL="0" distR="0" allowOverlap="1" layoutInCell="1" locked="0" behindDoc="1" simplePos="0" relativeHeight="487642112">
                <wp:simplePos x="0" y="0"/>
                <wp:positionH relativeFrom="page">
                  <wp:posOffset>990904</wp:posOffset>
                </wp:positionH>
                <wp:positionV relativeFrom="paragraph">
                  <wp:posOffset>109123</wp:posOffset>
                </wp:positionV>
                <wp:extent cx="1829435" cy="7620"/>
                <wp:effectExtent l="0" t="0" r="0" b="0"/>
                <wp:wrapTopAndBottom/>
                <wp:docPr id="505" name="Graphic 505"/>
                <wp:cNvGraphicFramePr>
                  <a:graphicFrameLocks/>
                </wp:cNvGraphicFramePr>
                <a:graphic>
                  <a:graphicData uri="http://schemas.microsoft.com/office/word/2010/wordprocessingShape">
                    <wps:wsp>
                      <wps:cNvPr id="505" name="Graphic 505"/>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8.59244pt;width:144.020pt;height:.60004pt;mso-position-horizontal-relative:page;mso-position-vertical-relative:paragraph;z-index:-15674368;mso-wrap-distance-left:0;mso-wrap-distance-right:0" id="docshape348" filled="true" fillcolor="#000000" stroked="false">
                <v:fill type="solid"/>
                <w10:wrap type="topAndBottom"/>
              </v:rect>
            </w:pict>
          </mc:Fallback>
        </mc:AlternateContent>
      </w:r>
    </w:p>
    <w:p>
      <w:pPr>
        <w:spacing w:before="92"/>
        <w:ind w:left="568" w:right="0" w:firstLine="0"/>
        <w:jc w:val="left"/>
        <w:rPr>
          <w:sz w:val="16"/>
        </w:rPr>
      </w:pPr>
      <w:bookmarkStart w:name="_bookmark115" w:id="117"/>
      <w:bookmarkEnd w:id="117"/>
      <w:r>
        <w:rPr/>
      </w:r>
      <w:r>
        <w:rPr>
          <w:sz w:val="16"/>
          <w:vertAlign w:val="superscript"/>
        </w:rPr>
        <w:t>48</w:t>
      </w:r>
      <w:r>
        <w:rPr>
          <w:spacing w:val="-7"/>
          <w:sz w:val="16"/>
          <w:vertAlign w:val="baseline"/>
        </w:rPr>
        <w:t> </w:t>
      </w:r>
      <w:r>
        <w:rPr>
          <w:sz w:val="16"/>
          <w:vertAlign w:val="baseline"/>
        </w:rPr>
        <w:t>Expediente</w:t>
      </w:r>
      <w:r>
        <w:rPr>
          <w:spacing w:val="-6"/>
          <w:sz w:val="16"/>
          <w:vertAlign w:val="baseline"/>
        </w:rPr>
        <w:t> </w:t>
      </w:r>
      <w:r>
        <w:rPr>
          <w:sz w:val="16"/>
          <w:vertAlign w:val="baseline"/>
        </w:rPr>
        <w:t>DGCOM/GRAV-REST/002/2026,</w:t>
      </w:r>
      <w:r>
        <w:rPr>
          <w:spacing w:val="-7"/>
          <w:sz w:val="16"/>
          <w:vertAlign w:val="baseline"/>
        </w:rPr>
        <w:t> </w:t>
      </w:r>
      <w:r>
        <w:rPr>
          <w:sz w:val="16"/>
          <w:vertAlign w:val="baseline"/>
        </w:rPr>
        <w:t>Acta</w:t>
      </w:r>
      <w:r>
        <w:rPr>
          <w:spacing w:val="-9"/>
          <w:sz w:val="16"/>
          <w:vertAlign w:val="baseline"/>
        </w:rPr>
        <w:t> </w:t>
      </w:r>
      <w:r>
        <w:rPr>
          <w:sz w:val="16"/>
          <w:vertAlign w:val="baseline"/>
        </w:rPr>
        <w:t>de</w:t>
      </w:r>
      <w:r>
        <w:rPr>
          <w:spacing w:val="-6"/>
          <w:sz w:val="16"/>
          <w:vertAlign w:val="baseline"/>
        </w:rPr>
        <w:t> </w:t>
      </w:r>
      <w:r>
        <w:rPr>
          <w:sz w:val="16"/>
          <w:vertAlign w:val="baseline"/>
        </w:rPr>
        <w:t>Reunión,</w:t>
      </w:r>
      <w:r>
        <w:rPr>
          <w:spacing w:val="-7"/>
          <w:sz w:val="16"/>
          <w:vertAlign w:val="baseline"/>
        </w:rPr>
        <w:t> </w:t>
      </w:r>
      <w:r>
        <w:rPr>
          <w:sz w:val="16"/>
          <w:vertAlign w:val="baseline"/>
        </w:rPr>
        <w:t>folio</w:t>
      </w:r>
      <w:r>
        <w:rPr>
          <w:spacing w:val="-6"/>
          <w:sz w:val="16"/>
          <w:vertAlign w:val="baseline"/>
        </w:rPr>
        <w:t> </w:t>
      </w:r>
      <w:r>
        <w:rPr>
          <w:spacing w:val="-2"/>
          <w:sz w:val="16"/>
          <w:vertAlign w:val="baseline"/>
        </w:rPr>
        <w:t>000225.</w:t>
      </w:r>
    </w:p>
    <w:p>
      <w:pPr>
        <w:spacing w:after="0"/>
        <w:jc w:val="left"/>
        <w:rPr>
          <w:sz w:val="16"/>
        </w:rPr>
        <w:sectPr>
          <w:headerReference w:type="default" r:id="rId82"/>
          <w:footerReference w:type="default" r:id="rId83"/>
          <w:pgSz w:w="11900" w:h="16850"/>
          <w:pgMar w:header="370" w:footer="651" w:top="1380" w:bottom="840" w:left="992" w:right="283"/>
        </w:sectPr>
      </w:pPr>
    </w:p>
    <w:p>
      <w:pPr>
        <w:pStyle w:val="BodyText"/>
      </w:pPr>
    </w:p>
    <w:p>
      <w:pPr>
        <w:pStyle w:val="BodyText"/>
        <w:spacing w:before="177"/>
      </w:pPr>
    </w:p>
    <w:p>
      <w:pPr>
        <w:pStyle w:val="Heading6"/>
        <w:numPr>
          <w:ilvl w:val="0"/>
          <w:numId w:val="76"/>
        </w:numPr>
        <w:tabs>
          <w:tab w:pos="1276" w:val="left" w:leader="none"/>
        </w:tabs>
        <w:spacing w:line="240" w:lineRule="auto" w:before="0" w:after="0"/>
        <w:ind w:left="1276" w:right="0" w:hanging="360"/>
        <w:jc w:val="left"/>
      </w:pPr>
      <w:r>
        <w:rPr/>
        <w:t>Reunión</w:t>
      </w:r>
      <w:r>
        <w:rPr>
          <w:spacing w:val="-7"/>
        </w:rPr>
        <w:t> </w:t>
      </w:r>
      <w:r>
        <w:rPr/>
        <w:t>con</w:t>
      </w:r>
      <w:r>
        <w:rPr>
          <w:spacing w:val="-4"/>
        </w:rPr>
        <w:t> </w:t>
      </w:r>
      <w:r>
        <w:rPr/>
        <w:t>el</w:t>
      </w:r>
      <w:r>
        <w:rPr>
          <w:spacing w:val="-5"/>
        </w:rPr>
        <w:t> </w:t>
      </w:r>
      <w:r>
        <w:rPr/>
        <w:t>Ministerio</w:t>
      </w:r>
      <w:r>
        <w:rPr>
          <w:spacing w:val="-4"/>
        </w:rPr>
        <w:t> </w:t>
      </w:r>
      <w:r>
        <w:rPr/>
        <w:t>de</w:t>
      </w:r>
      <w:r>
        <w:rPr>
          <w:spacing w:val="-6"/>
        </w:rPr>
        <w:t> </w:t>
      </w:r>
      <w:r>
        <w:rPr/>
        <w:t>Comercio,</w:t>
      </w:r>
      <w:r>
        <w:rPr>
          <w:spacing w:val="-5"/>
        </w:rPr>
        <w:t> </w:t>
      </w:r>
      <w:r>
        <w:rPr/>
        <w:t>Industria</w:t>
      </w:r>
      <w:r>
        <w:rPr>
          <w:spacing w:val="-6"/>
        </w:rPr>
        <w:t> </w:t>
      </w:r>
      <w:r>
        <w:rPr/>
        <w:t>y</w:t>
      </w:r>
      <w:r>
        <w:rPr>
          <w:spacing w:val="-6"/>
        </w:rPr>
        <w:t> </w:t>
      </w:r>
      <w:r>
        <w:rPr/>
        <w:t>Turismo</w:t>
      </w:r>
      <w:r>
        <w:rPr>
          <w:spacing w:val="-5"/>
        </w:rPr>
        <w:t> </w:t>
      </w:r>
      <w:r>
        <w:rPr>
          <w:spacing w:val="-2"/>
        </w:rPr>
        <w:t>(MINCIT)</w:t>
      </w:r>
      <w:hyperlink w:history="true" w:anchor="_bookmark117">
        <w:r>
          <w:rPr>
            <w:spacing w:val="-2"/>
            <w:vertAlign w:val="superscript"/>
          </w:rPr>
          <w:t>50</w:t>
        </w:r>
      </w:hyperlink>
    </w:p>
    <w:p>
      <w:pPr>
        <w:pStyle w:val="ListParagraph"/>
        <w:numPr>
          <w:ilvl w:val="0"/>
          <w:numId w:val="50"/>
        </w:numPr>
        <w:tabs>
          <w:tab w:pos="1130" w:val="left" w:leader="none"/>
          <w:tab w:pos="1134" w:val="left" w:leader="none"/>
        </w:tabs>
        <w:spacing w:line="240" w:lineRule="auto" w:before="252" w:after="0"/>
        <w:ind w:left="1134" w:right="975" w:hanging="567"/>
        <w:jc w:val="both"/>
        <w:rPr>
          <w:sz w:val="22"/>
        </w:rPr>
      </w:pPr>
      <w:r>
        <w:rPr>
          <w:sz w:val="22"/>
        </w:rPr>
        <w:t>La reunión se llevó a cabo en la ciudad de Bogotá, el 27 de marzo de 2026, con la participación del Jefe de Asuntos Legales Internacionales de la Oficina de Asuntos Legales Internacionales del Ministerio de Comercio, Industria y Turismo. Asimismo, en la reunión se contó con la presencia de representantes del Ministerio de Agricultura de la República de Colombia.</w:t>
      </w:r>
    </w:p>
    <w:p>
      <w:pPr>
        <w:pStyle w:val="ListParagraph"/>
        <w:numPr>
          <w:ilvl w:val="0"/>
          <w:numId w:val="50"/>
        </w:numPr>
        <w:tabs>
          <w:tab w:pos="1131" w:val="left" w:leader="none"/>
        </w:tabs>
        <w:spacing w:line="240" w:lineRule="auto" w:before="252" w:after="0"/>
        <w:ind w:left="1131" w:right="0" w:hanging="563"/>
        <w:jc w:val="left"/>
        <w:rPr>
          <w:sz w:val="22"/>
        </w:rPr>
      </w:pPr>
      <w:r>
        <w:rPr>
          <w:sz w:val="22"/>
        </w:rPr>
        <w:t>Los</w:t>
      </w:r>
      <w:r>
        <w:rPr>
          <w:spacing w:val="-7"/>
          <w:sz w:val="22"/>
        </w:rPr>
        <w:t> </w:t>
      </w:r>
      <w:r>
        <w:rPr>
          <w:sz w:val="22"/>
        </w:rPr>
        <w:t>principales</w:t>
      </w:r>
      <w:r>
        <w:rPr>
          <w:spacing w:val="-6"/>
          <w:sz w:val="22"/>
        </w:rPr>
        <w:t> </w:t>
      </w:r>
      <w:r>
        <w:rPr>
          <w:sz w:val="22"/>
        </w:rPr>
        <w:t>elementos</w:t>
      </w:r>
      <w:r>
        <w:rPr>
          <w:spacing w:val="-5"/>
          <w:sz w:val="22"/>
        </w:rPr>
        <w:t> </w:t>
      </w:r>
      <w:r>
        <w:rPr>
          <w:sz w:val="22"/>
        </w:rPr>
        <w:t>señalados</w:t>
      </w:r>
      <w:r>
        <w:rPr>
          <w:spacing w:val="-6"/>
          <w:sz w:val="22"/>
        </w:rPr>
        <w:t> </w:t>
      </w:r>
      <w:r>
        <w:rPr>
          <w:sz w:val="22"/>
        </w:rPr>
        <w:t>por</w:t>
      </w:r>
      <w:r>
        <w:rPr>
          <w:spacing w:val="-4"/>
          <w:sz w:val="22"/>
        </w:rPr>
        <w:t> </w:t>
      </w:r>
      <w:r>
        <w:rPr>
          <w:sz w:val="22"/>
        </w:rPr>
        <w:t>los</w:t>
      </w:r>
      <w:r>
        <w:rPr>
          <w:spacing w:val="-8"/>
          <w:sz w:val="22"/>
        </w:rPr>
        <w:t> </w:t>
      </w:r>
      <w:r>
        <w:rPr>
          <w:sz w:val="22"/>
        </w:rPr>
        <w:t>participantes</w:t>
      </w:r>
      <w:r>
        <w:rPr>
          <w:spacing w:val="-5"/>
          <w:sz w:val="22"/>
        </w:rPr>
        <w:t> </w:t>
      </w:r>
      <w:r>
        <w:rPr>
          <w:sz w:val="22"/>
        </w:rPr>
        <w:t>se</w:t>
      </w:r>
      <w:r>
        <w:rPr>
          <w:spacing w:val="-7"/>
          <w:sz w:val="22"/>
        </w:rPr>
        <w:t> </w:t>
      </w:r>
      <w:r>
        <w:rPr>
          <w:sz w:val="22"/>
        </w:rPr>
        <w:t>resumen</w:t>
      </w:r>
      <w:r>
        <w:rPr>
          <w:spacing w:val="-8"/>
          <w:sz w:val="22"/>
        </w:rPr>
        <w:t> </w:t>
      </w:r>
      <w:r>
        <w:rPr>
          <w:sz w:val="22"/>
        </w:rPr>
        <w:t>a</w:t>
      </w:r>
      <w:r>
        <w:rPr>
          <w:spacing w:val="-5"/>
          <w:sz w:val="22"/>
        </w:rPr>
        <w:t> </w:t>
      </w:r>
      <w:r>
        <w:rPr>
          <w:spacing w:val="-2"/>
          <w:sz w:val="22"/>
        </w:rPr>
        <w:t>continuación:</w:t>
      </w:r>
    </w:p>
    <w:p>
      <w:pPr>
        <w:pStyle w:val="BodyText"/>
      </w:pPr>
    </w:p>
    <w:p>
      <w:pPr>
        <w:pStyle w:val="ListParagraph"/>
        <w:numPr>
          <w:ilvl w:val="0"/>
          <w:numId w:val="77"/>
        </w:numPr>
        <w:tabs>
          <w:tab w:pos="1559" w:val="left" w:leader="none"/>
          <w:tab w:pos="1562" w:val="left" w:leader="none"/>
        </w:tabs>
        <w:spacing w:line="240" w:lineRule="auto" w:before="0" w:after="0"/>
        <w:ind w:left="1562" w:right="975" w:hanging="428"/>
        <w:jc w:val="both"/>
        <w:rPr>
          <w:sz w:val="22"/>
        </w:rPr>
      </w:pPr>
      <w:r>
        <w:rPr>
          <w:sz w:val="22"/>
        </w:rPr>
        <w:t>MINCIT argumentó que</w:t>
      </w:r>
      <w:r>
        <w:rPr>
          <w:spacing w:val="-1"/>
          <w:sz w:val="22"/>
        </w:rPr>
        <w:t> </w:t>
      </w:r>
      <w:r>
        <w:rPr>
          <w:sz w:val="22"/>
        </w:rPr>
        <w:t>el sustento de la medida obedece a que las exportaciones colombianas a la República del Ecuador se reducirían en un 85,38% como consecuencia del establecimiento de una tasa del 30 % por parte de dicho país.</w:t>
      </w:r>
    </w:p>
    <w:p>
      <w:pPr>
        <w:pStyle w:val="ListParagraph"/>
        <w:numPr>
          <w:ilvl w:val="0"/>
          <w:numId w:val="77"/>
        </w:numPr>
        <w:tabs>
          <w:tab w:pos="1559" w:val="left" w:leader="none"/>
          <w:tab w:pos="1562" w:val="left" w:leader="none"/>
        </w:tabs>
        <w:spacing w:line="240" w:lineRule="auto" w:before="0" w:after="0"/>
        <w:ind w:left="1562" w:right="978" w:hanging="428"/>
        <w:jc w:val="both"/>
        <w:rPr>
          <w:sz w:val="22"/>
        </w:rPr>
      </w:pPr>
      <w:r>
        <w:rPr>
          <w:sz w:val="22"/>
        </w:rPr>
        <w:t>Se</w:t>
      </w:r>
      <w:r>
        <w:rPr>
          <w:spacing w:val="-2"/>
          <w:sz w:val="22"/>
        </w:rPr>
        <w:t> </w:t>
      </w:r>
      <w:r>
        <w:rPr>
          <w:sz w:val="22"/>
        </w:rPr>
        <w:t>señaló</w:t>
      </w:r>
      <w:r>
        <w:rPr>
          <w:spacing w:val="-2"/>
          <w:sz w:val="22"/>
        </w:rPr>
        <w:t> </w:t>
      </w:r>
      <w:r>
        <w:rPr>
          <w:sz w:val="22"/>
        </w:rPr>
        <w:t>que</w:t>
      </w:r>
      <w:r>
        <w:rPr>
          <w:spacing w:val="-2"/>
          <w:sz w:val="22"/>
        </w:rPr>
        <w:t> </w:t>
      </w:r>
      <w:r>
        <w:rPr>
          <w:sz w:val="22"/>
        </w:rPr>
        <w:t>el</w:t>
      </w:r>
      <w:r>
        <w:rPr>
          <w:spacing w:val="-2"/>
          <w:sz w:val="22"/>
        </w:rPr>
        <w:t> </w:t>
      </w:r>
      <w:r>
        <w:rPr>
          <w:sz w:val="22"/>
        </w:rPr>
        <w:t>objetivo</w:t>
      </w:r>
      <w:r>
        <w:rPr>
          <w:spacing w:val="-2"/>
          <w:sz w:val="22"/>
        </w:rPr>
        <w:t> </w:t>
      </w:r>
      <w:r>
        <w:rPr>
          <w:sz w:val="22"/>
        </w:rPr>
        <w:t>del</w:t>
      </w:r>
      <w:r>
        <w:rPr>
          <w:spacing w:val="-2"/>
          <w:sz w:val="22"/>
        </w:rPr>
        <w:t> </w:t>
      </w:r>
      <w:r>
        <w:rPr>
          <w:sz w:val="22"/>
        </w:rPr>
        <w:t>Decreto</w:t>
      </w:r>
      <w:r>
        <w:rPr>
          <w:spacing w:val="-4"/>
          <w:sz w:val="22"/>
        </w:rPr>
        <w:t> </w:t>
      </w:r>
      <w:r>
        <w:rPr>
          <w:sz w:val="22"/>
        </w:rPr>
        <w:t>0170 sería</w:t>
      </w:r>
      <w:r>
        <w:rPr>
          <w:spacing w:val="-4"/>
          <w:sz w:val="22"/>
        </w:rPr>
        <w:t> </w:t>
      </w:r>
      <w:r>
        <w:rPr>
          <w:sz w:val="22"/>
        </w:rPr>
        <w:t>mitigar</w:t>
      </w:r>
      <w:r>
        <w:rPr>
          <w:spacing w:val="-3"/>
          <w:sz w:val="22"/>
        </w:rPr>
        <w:t> </w:t>
      </w:r>
      <w:r>
        <w:rPr>
          <w:sz w:val="22"/>
        </w:rPr>
        <w:t>el</w:t>
      </w:r>
      <w:r>
        <w:rPr>
          <w:spacing w:val="-3"/>
          <w:sz w:val="22"/>
        </w:rPr>
        <w:t> </w:t>
      </w:r>
      <w:r>
        <w:rPr>
          <w:sz w:val="22"/>
        </w:rPr>
        <w:t>impacto</w:t>
      </w:r>
      <w:r>
        <w:rPr>
          <w:spacing w:val="-4"/>
          <w:sz w:val="22"/>
        </w:rPr>
        <w:t> </w:t>
      </w:r>
      <w:r>
        <w:rPr>
          <w:sz w:val="22"/>
        </w:rPr>
        <w:t>de</w:t>
      </w:r>
      <w:r>
        <w:rPr>
          <w:spacing w:val="-2"/>
          <w:sz w:val="22"/>
        </w:rPr>
        <w:t> </w:t>
      </w:r>
      <w:r>
        <w:rPr>
          <w:sz w:val="22"/>
        </w:rPr>
        <w:t>las</w:t>
      </w:r>
      <w:r>
        <w:rPr>
          <w:spacing w:val="-4"/>
          <w:sz w:val="22"/>
        </w:rPr>
        <w:t> </w:t>
      </w:r>
      <w:r>
        <w:rPr>
          <w:sz w:val="22"/>
        </w:rPr>
        <w:t>medidas ecuatorianas, defender la estabilidad macroeconómica del país, y evitar que 606 bienes de</w:t>
      </w:r>
      <w:r>
        <w:rPr>
          <w:spacing w:val="-1"/>
          <w:sz w:val="22"/>
        </w:rPr>
        <w:t> </w:t>
      </w:r>
      <w:r>
        <w:rPr>
          <w:sz w:val="22"/>
        </w:rPr>
        <w:t>la economía colombiana que compiten</w:t>
      </w:r>
      <w:r>
        <w:rPr>
          <w:spacing w:val="-3"/>
          <w:sz w:val="22"/>
        </w:rPr>
        <w:t> </w:t>
      </w:r>
      <w:r>
        <w:rPr>
          <w:sz w:val="22"/>
        </w:rPr>
        <w:t>en</w:t>
      </w:r>
      <w:r>
        <w:rPr>
          <w:spacing w:val="-1"/>
          <w:sz w:val="22"/>
        </w:rPr>
        <w:t> </w:t>
      </w:r>
      <w:r>
        <w:rPr>
          <w:sz w:val="22"/>
        </w:rPr>
        <w:t>el</w:t>
      </w:r>
      <w:r>
        <w:rPr>
          <w:spacing w:val="-2"/>
          <w:sz w:val="22"/>
        </w:rPr>
        <w:t> </w:t>
      </w:r>
      <w:r>
        <w:rPr>
          <w:sz w:val="22"/>
        </w:rPr>
        <w:t>mercado ecuatoriano como en el mercado colombiano desaparezcan como resultado de la imposición de aranceles del 30% por parte de la República del Ecuador.</w:t>
      </w:r>
    </w:p>
    <w:p>
      <w:pPr>
        <w:pStyle w:val="ListParagraph"/>
        <w:numPr>
          <w:ilvl w:val="0"/>
          <w:numId w:val="77"/>
        </w:numPr>
        <w:tabs>
          <w:tab w:pos="1560" w:val="left" w:leader="none"/>
          <w:tab w:pos="1562" w:val="left" w:leader="none"/>
        </w:tabs>
        <w:spacing w:line="240" w:lineRule="auto" w:before="0" w:after="0"/>
        <w:ind w:left="1562" w:right="977" w:hanging="428"/>
        <w:jc w:val="both"/>
        <w:rPr>
          <w:sz w:val="22"/>
        </w:rPr>
      </w:pPr>
      <w:r>
        <w:rPr>
          <w:sz w:val="22"/>
        </w:rPr>
        <w:t>Se indicó que</w:t>
      </w:r>
      <w:r>
        <w:rPr>
          <w:spacing w:val="-1"/>
          <w:sz w:val="22"/>
        </w:rPr>
        <w:t> </w:t>
      </w:r>
      <w:r>
        <w:rPr>
          <w:sz w:val="22"/>
        </w:rPr>
        <w:t>el</w:t>
      </w:r>
      <w:r>
        <w:rPr>
          <w:spacing w:val="-3"/>
          <w:sz w:val="22"/>
        </w:rPr>
        <w:t> </w:t>
      </w:r>
      <w:r>
        <w:rPr>
          <w:sz w:val="22"/>
        </w:rPr>
        <w:t>96% de</w:t>
      </w:r>
      <w:r>
        <w:rPr>
          <w:spacing w:val="-4"/>
          <w:sz w:val="22"/>
        </w:rPr>
        <w:t> </w:t>
      </w:r>
      <w:r>
        <w:rPr>
          <w:sz w:val="22"/>
        </w:rPr>
        <w:t>las aprehensiones</w:t>
      </w:r>
      <w:r>
        <w:rPr>
          <w:spacing w:val="-3"/>
          <w:sz w:val="22"/>
        </w:rPr>
        <w:t> </w:t>
      </w:r>
      <w:r>
        <w:rPr>
          <w:sz w:val="22"/>
        </w:rPr>
        <w:t>de arroz correspondería</w:t>
      </w:r>
      <w:r>
        <w:rPr>
          <w:spacing w:val="-1"/>
          <w:sz w:val="22"/>
        </w:rPr>
        <w:t> </w:t>
      </w:r>
      <w:r>
        <w:rPr>
          <w:sz w:val="22"/>
        </w:rPr>
        <w:t>a</w:t>
      </w:r>
      <w:r>
        <w:rPr>
          <w:spacing w:val="-1"/>
          <w:sz w:val="22"/>
        </w:rPr>
        <w:t> </w:t>
      </w:r>
      <w:r>
        <w:rPr>
          <w:sz w:val="22"/>
        </w:rPr>
        <w:t>producto de origen ecuatoriano.</w:t>
      </w:r>
      <w:r>
        <w:rPr>
          <w:spacing w:val="-1"/>
          <w:sz w:val="22"/>
        </w:rPr>
        <w:t> </w:t>
      </w:r>
      <w:r>
        <w:rPr>
          <w:sz w:val="22"/>
        </w:rPr>
        <w:t>Los representantes del Ministerio de Agricultura manifestaron que</w:t>
      </w:r>
      <w:r>
        <w:rPr>
          <w:spacing w:val="-5"/>
          <w:sz w:val="22"/>
        </w:rPr>
        <w:t> </w:t>
      </w:r>
      <w:r>
        <w:rPr>
          <w:sz w:val="22"/>
        </w:rPr>
        <w:t>la</w:t>
      </w:r>
      <w:r>
        <w:rPr>
          <w:spacing w:val="-7"/>
          <w:sz w:val="22"/>
        </w:rPr>
        <w:t> </w:t>
      </w:r>
      <w:r>
        <w:rPr>
          <w:sz w:val="22"/>
        </w:rPr>
        <w:t>existencia</w:t>
      </w:r>
      <w:r>
        <w:rPr>
          <w:spacing w:val="-7"/>
          <w:sz w:val="22"/>
        </w:rPr>
        <w:t> </w:t>
      </w:r>
      <w:r>
        <w:rPr>
          <w:sz w:val="22"/>
        </w:rPr>
        <w:t>de</w:t>
      </w:r>
      <w:r>
        <w:rPr>
          <w:spacing w:val="-8"/>
          <w:sz w:val="22"/>
        </w:rPr>
        <w:t> </w:t>
      </w:r>
      <w:r>
        <w:rPr>
          <w:sz w:val="22"/>
        </w:rPr>
        <w:t>inventarios</w:t>
      </w:r>
      <w:r>
        <w:rPr>
          <w:spacing w:val="-7"/>
          <w:sz w:val="22"/>
        </w:rPr>
        <w:t> </w:t>
      </w:r>
      <w:r>
        <w:rPr>
          <w:sz w:val="22"/>
        </w:rPr>
        <w:t>en</w:t>
      </w:r>
      <w:r>
        <w:rPr>
          <w:spacing w:val="-6"/>
          <w:sz w:val="22"/>
        </w:rPr>
        <w:t> </w:t>
      </w:r>
      <w:r>
        <w:rPr>
          <w:sz w:val="22"/>
        </w:rPr>
        <w:t>la</w:t>
      </w:r>
      <w:r>
        <w:rPr>
          <w:spacing w:val="-5"/>
          <w:sz w:val="22"/>
        </w:rPr>
        <w:t> </w:t>
      </w:r>
      <w:r>
        <w:rPr>
          <w:sz w:val="22"/>
        </w:rPr>
        <w:t>Republica</w:t>
      </w:r>
      <w:r>
        <w:rPr>
          <w:spacing w:val="-7"/>
          <w:sz w:val="22"/>
        </w:rPr>
        <w:t> </w:t>
      </w:r>
      <w:r>
        <w:rPr>
          <w:sz w:val="22"/>
        </w:rPr>
        <w:t>de</w:t>
      </w:r>
      <w:r>
        <w:rPr>
          <w:spacing w:val="-5"/>
          <w:sz w:val="22"/>
        </w:rPr>
        <w:t> </w:t>
      </w:r>
      <w:r>
        <w:rPr>
          <w:sz w:val="22"/>
        </w:rPr>
        <w:t>Colombia</w:t>
      </w:r>
      <w:r>
        <w:rPr>
          <w:spacing w:val="-7"/>
          <w:sz w:val="22"/>
        </w:rPr>
        <w:t> </w:t>
      </w:r>
      <w:r>
        <w:rPr>
          <w:sz w:val="22"/>
        </w:rPr>
        <w:t>podría</w:t>
      </w:r>
      <w:r>
        <w:rPr>
          <w:spacing w:val="-7"/>
          <w:sz w:val="22"/>
        </w:rPr>
        <w:t> </w:t>
      </w:r>
      <w:r>
        <w:rPr>
          <w:sz w:val="22"/>
        </w:rPr>
        <w:t>estar</w:t>
      </w:r>
      <w:r>
        <w:rPr>
          <w:spacing w:val="-9"/>
          <w:sz w:val="22"/>
        </w:rPr>
        <w:t> </w:t>
      </w:r>
      <w:r>
        <w:rPr>
          <w:sz w:val="22"/>
        </w:rPr>
        <w:t>asociada a la dinámica de contrabando de este producto, especialmente en la frontera de Ipiales – Rumichaca, entre otras zonas.</w:t>
      </w:r>
    </w:p>
    <w:p>
      <w:pPr>
        <w:pStyle w:val="ListParagraph"/>
        <w:numPr>
          <w:ilvl w:val="0"/>
          <w:numId w:val="77"/>
        </w:numPr>
        <w:tabs>
          <w:tab w:pos="1559" w:val="left" w:leader="none"/>
          <w:tab w:pos="1562" w:val="left" w:leader="none"/>
        </w:tabs>
        <w:spacing w:line="240" w:lineRule="auto" w:before="0" w:after="0"/>
        <w:ind w:left="1562" w:right="976" w:hanging="428"/>
        <w:jc w:val="both"/>
        <w:rPr>
          <w:sz w:val="22"/>
        </w:rPr>
      </w:pPr>
      <w:r>
        <w:rPr>
          <w:sz w:val="22"/>
        </w:rPr>
        <w:t>Se sostuvo que las justificaciones para la adopción de las medidas estarían vinculadas al control del contrabando y</w:t>
      </w:r>
      <w:r>
        <w:rPr>
          <w:spacing w:val="-2"/>
          <w:sz w:val="22"/>
        </w:rPr>
        <w:t> </w:t>
      </w:r>
      <w:r>
        <w:rPr>
          <w:sz w:val="22"/>
        </w:rPr>
        <w:t>a consideraciones sanitarias. Adicionalmente, se indicó que la adopción del arancel tuvo como finalidad permitir una</w:t>
      </w:r>
      <w:r>
        <w:rPr>
          <w:spacing w:val="-7"/>
          <w:sz w:val="22"/>
        </w:rPr>
        <w:t> </w:t>
      </w:r>
      <w:r>
        <w:rPr>
          <w:sz w:val="22"/>
        </w:rPr>
        <w:t>competencia</w:t>
      </w:r>
      <w:r>
        <w:rPr>
          <w:spacing w:val="-7"/>
          <w:sz w:val="22"/>
        </w:rPr>
        <w:t> </w:t>
      </w:r>
      <w:r>
        <w:rPr>
          <w:sz w:val="22"/>
        </w:rPr>
        <w:t>en</w:t>
      </w:r>
      <w:r>
        <w:rPr>
          <w:spacing w:val="-7"/>
          <w:sz w:val="22"/>
        </w:rPr>
        <w:t> </w:t>
      </w:r>
      <w:r>
        <w:rPr>
          <w:sz w:val="22"/>
        </w:rPr>
        <w:t>condiciones</w:t>
      </w:r>
      <w:r>
        <w:rPr>
          <w:spacing w:val="-7"/>
          <w:sz w:val="22"/>
        </w:rPr>
        <w:t> </w:t>
      </w:r>
      <w:r>
        <w:rPr>
          <w:sz w:val="22"/>
        </w:rPr>
        <w:t>de</w:t>
      </w:r>
      <w:r>
        <w:rPr>
          <w:spacing w:val="-7"/>
          <w:sz w:val="22"/>
        </w:rPr>
        <w:t> </w:t>
      </w:r>
      <w:r>
        <w:rPr>
          <w:sz w:val="22"/>
        </w:rPr>
        <w:t>igualdad,</w:t>
      </w:r>
      <w:r>
        <w:rPr>
          <w:spacing w:val="-6"/>
          <w:sz w:val="22"/>
        </w:rPr>
        <w:t> </w:t>
      </w:r>
      <w:r>
        <w:rPr>
          <w:sz w:val="22"/>
        </w:rPr>
        <w:t>frente</w:t>
      </w:r>
      <w:r>
        <w:rPr>
          <w:spacing w:val="-6"/>
          <w:sz w:val="22"/>
        </w:rPr>
        <w:t> </w:t>
      </w:r>
      <w:r>
        <w:rPr>
          <w:sz w:val="22"/>
        </w:rPr>
        <w:t>a</w:t>
      </w:r>
      <w:r>
        <w:rPr>
          <w:spacing w:val="-7"/>
          <w:sz w:val="22"/>
        </w:rPr>
        <w:t> </w:t>
      </w:r>
      <w:r>
        <w:rPr>
          <w:sz w:val="22"/>
        </w:rPr>
        <w:t>lo</w:t>
      </w:r>
      <w:r>
        <w:rPr>
          <w:spacing w:val="-7"/>
          <w:sz w:val="22"/>
        </w:rPr>
        <w:t> </w:t>
      </w:r>
      <w:r>
        <w:rPr>
          <w:sz w:val="22"/>
        </w:rPr>
        <w:t>que</w:t>
      </w:r>
      <w:r>
        <w:rPr>
          <w:spacing w:val="-7"/>
          <w:sz w:val="22"/>
        </w:rPr>
        <w:t> </w:t>
      </w:r>
      <w:r>
        <w:rPr>
          <w:sz w:val="22"/>
        </w:rPr>
        <w:t>denominaron</w:t>
      </w:r>
      <w:r>
        <w:rPr>
          <w:spacing w:val="-7"/>
          <w:sz w:val="22"/>
        </w:rPr>
        <w:t> </w:t>
      </w:r>
      <w:r>
        <w:rPr>
          <w:sz w:val="22"/>
        </w:rPr>
        <w:t>“cambio de reglas de juego” en el</w:t>
      </w:r>
      <w:r>
        <w:rPr>
          <w:spacing w:val="-1"/>
          <w:sz w:val="22"/>
        </w:rPr>
        <w:t> </w:t>
      </w:r>
      <w:r>
        <w:rPr>
          <w:sz w:val="22"/>
        </w:rPr>
        <w:t>comercio bilateral por parte de la República del</w:t>
      </w:r>
      <w:r>
        <w:rPr>
          <w:spacing w:val="-1"/>
          <w:sz w:val="22"/>
        </w:rPr>
        <w:t> </w:t>
      </w:r>
      <w:r>
        <w:rPr>
          <w:sz w:val="22"/>
        </w:rPr>
        <w:t>Ecuador.</w:t>
      </w:r>
    </w:p>
    <w:p>
      <w:pPr>
        <w:pStyle w:val="ListParagraph"/>
        <w:numPr>
          <w:ilvl w:val="0"/>
          <w:numId w:val="77"/>
        </w:numPr>
        <w:tabs>
          <w:tab w:pos="1559" w:val="left" w:leader="none"/>
          <w:tab w:pos="1562" w:val="left" w:leader="none"/>
        </w:tabs>
        <w:spacing w:line="240" w:lineRule="auto" w:before="1" w:after="0"/>
        <w:ind w:left="1562" w:right="977" w:hanging="428"/>
        <w:jc w:val="both"/>
        <w:rPr>
          <w:sz w:val="22"/>
        </w:rPr>
      </w:pPr>
      <w:r>
        <w:rPr>
          <w:sz w:val="22"/>
        </w:rPr>
        <w:t>Adicionalmente, los representantes del Ministerio de Agricultura señalaron que los pasos fronterizos irregulares o no oficiales, como es el caso de la zona de Mataje, afectan la dinámica regional principalmente en temas de movilidad humana y comercio de subsistencia.</w:t>
      </w:r>
    </w:p>
    <w:p>
      <w:pPr>
        <w:pStyle w:val="ListParagraph"/>
        <w:numPr>
          <w:ilvl w:val="0"/>
          <w:numId w:val="77"/>
        </w:numPr>
        <w:tabs>
          <w:tab w:pos="1560" w:val="left" w:leader="none"/>
          <w:tab w:pos="1562" w:val="left" w:leader="none"/>
        </w:tabs>
        <w:spacing w:line="240" w:lineRule="auto" w:before="0" w:after="0"/>
        <w:ind w:left="1562" w:right="975" w:hanging="428"/>
        <w:jc w:val="both"/>
        <w:rPr>
          <w:sz w:val="22"/>
        </w:rPr>
      </w:pPr>
      <w:r>
        <w:rPr>
          <w:sz w:val="22"/>
        </w:rPr>
        <w:t>Si bien Mataje es considerado un paso oficial, se mencionó que no se encuentra habilitado</w:t>
      </w:r>
      <w:r>
        <w:rPr>
          <w:spacing w:val="-16"/>
          <w:sz w:val="22"/>
        </w:rPr>
        <w:t> </w:t>
      </w:r>
      <w:r>
        <w:rPr>
          <w:sz w:val="22"/>
        </w:rPr>
        <w:t>para</w:t>
      </w:r>
      <w:r>
        <w:rPr>
          <w:spacing w:val="-15"/>
          <w:sz w:val="22"/>
        </w:rPr>
        <w:t> </w:t>
      </w:r>
      <w:r>
        <w:rPr>
          <w:sz w:val="22"/>
        </w:rPr>
        <w:t>el</w:t>
      </w:r>
      <w:r>
        <w:rPr>
          <w:spacing w:val="-15"/>
          <w:sz w:val="22"/>
        </w:rPr>
        <w:t> </w:t>
      </w:r>
      <w:r>
        <w:rPr>
          <w:sz w:val="22"/>
        </w:rPr>
        <w:t>transporte</w:t>
      </w:r>
      <w:r>
        <w:rPr>
          <w:spacing w:val="-16"/>
          <w:sz w:val="22"/>
        </w:rPr>
        <w:t> </w:t>
      </w:r>
      <w:r>
        <w:rPr>
          <w:sz w:val="22"/>
        </w:rPr>
        <w:t>de</w:t>
      </w:r>
      <w:r>
        <w:rPr>
          <w:spacing w:val="-15"/>
          <w:sz w:val="22"/>
        </w:rPr>
        <w:t> </w:t>
      </w:r>
      <w:r>
        <w:rPr>
          <w:sz w:val="22"/>
        </w:rPr>
        <w:t>carga</w:t>
      </w:r>
      <w:r>
        <w:rPr>
          <w:spacing w:val="-15"/>
          <w:sz w:val="22"/>
        </w:rPr>
        <w:t> </w:t>
      </w:r>
      <w:r>
        <w:rPr>
          <w:sz w:val="22"/>
        </w:rPr>
        <w:t>pesada;</w:t>
      </w:r>
      <w:r>
        <w:rPr>
          <w:spacing w:val="-15"/>
          <w:sz w:val="22"/>
        </w:rPr>
        <w:t> </w:t>
      </w:r>
      <w:r>
        <w:rPr>
          <w:sz w:val="22"/>
        </w:rPr>
        <w:t>no</w:t>
      </w:r>
      <w:r>
        <w:rPr>
          <w:spacing w:val="-16"/>
          <w:sz w:val="22"/>
        </w:rPr>
        <w:t> </w:t>
      </w:r>
      <w:r>
        <w:rPr>
          <w:sz w:val="22"/>
        </w:rPr>
        <w:t>obstante,</w:t>
      </w:r>
      <w:r>
        <w:rPr>
          <w:spacing w:val="-15"/>
          <w:sz w:val="22"/>
        </w:rPr>
        <w:t> </w:t>
      </w:r>
      <w:r>
        <w:rPr>
          <w:sz w:val="22"/>
        </w:rPr>
        <w:t>continúa</w:t>
      </w:r>
      <w:r>
        <w:rPr>
          <w:spacing w:val="-15"/>
          <w:sz w:val="22"/>
        </w:rPr>
        <w:t> </w:t>
      </w:r>
      <w:r>
        <w:rPr>
          <w:sz w:val="22"/>
        </w:rPr>
        <w:t>siendo</w:t>
      </w:r>
      <w:r>
        <w:rPr>
          <w:spacing w:val="-16"/>
          <w:sz w:val="22"/>
        </w:rPr>
        <w:t> </w:t>
      </w:r>
      <w:r>
        <w:rPr>
          <w:sz w:val="22"/>
        </w:rPr>
        <w:t>utilizado para el tránsito de personas, por lo que podría existir riesgo de contrabando en dicha zona.</w:t>
      </w:r>
    </w:p>
    <w:p>
      <w:pPr>
        <w:pStyle w:val="BodyText"/>
      </w:pPr>
    </w:p>
    <w:p>
      <w:pPr>
        <w:pStyle w:val="Heading6"/>
        <w:numPr>
          <w:ilvl w:val="0"/>
          <w:numId w:val="78"/>
        </w:numPr>
        <w:tabs>
          <w:tab w:pos="1276" w:val="left" w:leader="none"/>
        </w:tabs>
        <w:spacing w:line="240" w:lineRule="auto" w:before="0" w:after="0"/>
        <w:ind w:left="1276" w:right="0" w:hanging="360"/>
        <w:jc w:val="left"/>
      </w:pPr>
      <w:r>
        <w:rPr/>
        <w:t>Análisis</w:t>
      </w:r>
      <w:r>
        <w:rPr>
          <w:spacing w:val="-5"/>
        </w:rPr>
        <w:t> </w:t>
      </w:r>
      <w:r>
        <w:rPr/>
        <w:t>de</w:t>
      </w:r>
      <w:r>
        <w:rPr>
          <w:spacing w:val="-4"/>
        </w:rPr>
        <w:t> </w:t>
      </w:r>
      <w:r>
        <w:rPr/>
        <w:t>la</w:t>
      </w:r>
      <w:r>
        <w:rPr>
          <w:spacing w:val="-4"/>
        </w:rPr>
        <w:t> SGCAN</w:t>
      </w:r>
    </w:p>
    <w:p>
      <w:pPr>
        <w:pStyle w:val="ListParagraph"/>
        <w:numPr>
          <w:ilvl w:val="0"/>
          <w:numId w:val="50"/>
        </w:numPr>
        <w:tabs>
          <w:tab w:pos="1130" w:val="left" w:leader="none"/>
          <w:tab w:pos="1134" w:val="left" w:leader="none"/>
        </w:tabs>
        <w:spacing w:line="240" w:lineRule="auto" w:before="252" w:after="0"/>
        <w:ind w:left="1134" w:right="974" w:hanging="567"/>
        <w:jc w:val="both"/>
        <w:rPr>
          <w:sz w:val="22"/>
        </w:rPr>
      </w:pPr>
      <w:r>
        <w:rPr>
          <w:sz w:val="22"/>
        </w:rPr>
        <w:t>De conformidad con los artículos 72 y 73 del Acuerdo de Cartagena, el </w:t>
      </w:r>
      <w:r>
        <w:rPr>
          <w:rFonts w:ascii="Arial" w:hAnsi="Arial"/>
          <w:i/>
          <w:sz w:val="22"/>
        </w:rPr>
        <w:t>Programa de Liberación </w:t>
      </w:r>
      <w:r>
        <w:rPr>
          <w:sz w:val="22"/>
        </w:rPr>
        <w:t>tiene por </w:t>
      </w:r>
      <w:r>
        <w:rPr>
          <w:rFonts w:ascii="Arial" w:hAnsi="Arial"/>
          <w:b/>
          <w:sz w:val="22"/>
        </w:rPr>
        <w:t>objeto eliminar los gravámenes de todo origen sobre las importaciones de productos andinos. </w:t>
      </w:r>
      <w:r>
        <w:rPr>
          <w:sz w:val="22"/>
        </w:rPr>
        <w:t>A estos efectos, se entiende por gravámenes los </w:t>
      </w:r>
      <w:r>
        <w:rPr>
          <w:rFonts w:ascii="Arial" w:hAnsi="Arial"/>
          <w:b/>
          <w:sz w:val="22"/>
        </w:rPr>
        <w:t>derechos </w:t>
      </w:r>
      <w:r>
        <w:rPr>
          <w:sz w:val="22"/>
        </w:rPr>
        <w:t>aduaneros y cualquier otro recargo de efectos equivalente que incidan sobre</w:t>
      </w:r>
      <w:r>
        <w:rPr>
          <w:spacing w:val="-16"/>
          <w:sz w:val="22"/>
        </w:rPr>
        <w:t> </w:t>
      </w:r>
      <w:r>
        <w:rPr>
          <w:sz w:val="22"/>
        </w:rPr>
        <w:t>las</w:t>
      </w:r>
      <w:r>
        <w:rPr>
          <w:spacing w:val="-15"/>
          <w:sz w:val="22"/>
        </w:rPr>
        <w:t> </w:t>
      </w:r>
      <w:r>
        <w:rPr>
          <w:sz w:val="22"/>
        </w:rPr>
        <w:t>importaciones,</w:t>
      </w:r>
      <w:r>
        <w:rPr>
          <w:spacing w:val="-15"/>
          <w:sz w:val="22"/>
        </w:rPr>
        <w:t> </w:t>
      </w:r>
      <w:r>
        <w:rPr>
          <w:sz w:val="22"/>
        </w:rPr>
        <w:t>sin</w:t>
      </w:r>
      <w:r>
        <w:rPr>
          <w:spacing w:val="-16"/>
          <w:sz w:val="22"/>
        </w:rPr>
        <w:t> </w:t>
      </w:r>
      <w:r>
        <w:rPr>
          <w:sz w:val="22"/>
        </w:rPr>
        <w:t>quedar</w:t>
      </w:r>
      <w:r>
        <w:rPr>
          <w:spacing w:val="-15"/>
          <w:sz w:val="22"/>
        </w:rPr>
        <w:t> </w:t>
      </w:r>
      <w:r>
        <w:rPr>
          <w:sz w:val="22"/>
        </w:rPr>
        <w:t>comprendidas</w:t>
      </w:r>
      <w:r>
        <w:rPr>
          <w:spacing w:val="-15"/>
          <w:sz w:val="22"/>
        </w:rPr>
        <w:t> </w:t>
      </w:r>
      <w:r>
        <w:rPr>
          <w:sz w:val="22"/>
        </w:rPr>
        <w:t>en</w:t>
      </w:r>
      <w:r>
        <w:rPr>
          <w:spacing w:val="-15"/>
          <w:sz w:val="22"/>
        </w:rPr>
        <w:t> </w:t>
      </w:r>
      <w:r>
        <w:rPr>
          <w:sz w:val="22"/>
        </w:rPr>
        <w:t>este</w:t>
      </w:r>
      <w:r>
        <w:rPr>
          <w:spacing w:val="-16"/>
          <w:sz w:val="22"/>
        </w:rPr>
        <w:t> </w:t>
      </w:r>
      <w:r>
        <w:rPr>
          <w:sz w:val="22"/>
        </w:rPr>
        <w:t>concepto</w:t>
      </w:r>
      <w:r>
        <w:rPr>
          <w:spacing w:val="-15"/>
          <w:sz w:val="22"/>
        </w:rPr>
        <w:t> </w:t>
      </w:r>
      <w:r>
        <w:rPr>
          <w:sz w:val="22"/>
        </w:rPr>
        <w:t>las</w:t>
      </w:r>
      <w:r>
        <w:rPr>
          <w:spacing w:val="-15"/>
          <w:sz w:val="22"/>
        </w:rPr>
        <w:t> </w:t>
      </w:r>
      <w:r>
        <w:rPr>
          <w:sz w:val="22"/>
        </w:rPr>
        <w:t>tasas</w:t>
      </w:r>
      <w:r>
        <w:rPr>
          <w:spacing w:val="-16"/>
          <w:sz w:val="22"/>
        </w:rPr>
        <w:t> </w:t>
      </w:r>
      <w:r>
        <w:rPr>
          <w:sz w:val="22"/>
        </w:rPr>
        <w:t>y</w:t>
      </w:r>
      <w:r>
        <w:rPr>
          <w:spacing w:val="-15"/>
          <w:sz w:val="22"/>
        </w:rPr>
        <w:t> </w:t>
      </w:r>
      <w:r>
        <w:rPr>
          <w:sz w:val="22"/>
        </w:rPr>
        <w:t>recargos análogos cuando correspondan al costo aproximado de los servicios prestados.</w:t>
      </w:r>
    </w:p>
    <w:p>
      <w:pPr>
        <w:pStyle w:val="BodyText"/>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Cabe señalar que, en el Decreto 0170 no menciona que el “arancel recíproco” sea adoptado</w:t>
      </w:r>
      <w:r>
        <w:rPr>
          <w:spacing w:val="-12"/>
          <w:sz w:val="22"/>
        </w:rPr>
        <w:t> </w:t>
      </w:r>
      <w:r>
        <w:rPr>
          <w:sz w:val="22"/>
        </w:rPr>
        <w:t>como</w:t>
      </w:r>
      <w:r>
        <w:rPr>
          <w:spacing w:val="-12"/>
          <w:sz w:val="22"/>
        </w:rPr>
        <w:t> </w:t>
      </w:r>
      <w:r>
        <w:rPr>
          <w:sz w:val="22"/>
        </w:rPr>
        <w:t>una</w:t>
      </w:r>
      <w:r>
        <w:rPr>
          <w:spacing w:val="-13"/>
          <w:sz w:val="22"/>
        </w:rPr>
        <w:t> </w:t>
      </w:r>
      <w:r>
        <w:rPr>
          <w:sz w:val="22"/>
        </w:rPr>
        <w:t>contraprestación</w:t>
      </w:r>
      <w:r>
        <w:rPr>
          <w:spacing w:val="-13"/>
          <w:sz w:val="22"/>
        </w:rPr>
        <w:t> </w:t>
      </w:r>
      <w:r>
        <w:rPr>
          <w:sz w:val="22"/>
        </w:rPr>
        <w:t>de</w:t>
      </w:r>
      <w:r>
        <w:rPr>
          <w:spacing w:val="-15"/>
          <w:sz w:val="22"/>
        </w:rPr>
        <w:t> </w:t>
      </w:r>
      <w:r>
        <w:rPr>
          <w:sz w:val="22"/>
        </w:rPr>
        <w:t>un</w:t>
      </w:r>
      <w:r>
        <w:rPr>
          <w:spacing w:val="-13"/>
          <w:sz w:val="22"/>
        </w:rPr>
        <w:t> </w:t>
      </w:r>
      <w:r>
        <w:rPr>
          <w:sz w:val="22"/>
        </w:rPr>
        <w:t>servicio</w:t>
      </w:r>
      <w:r>
        <w:rPr>
          <w:spacing w:val="-12"/>
          <w:sz w:val="22"/>
        </w:rPr>
        <w:t> </w:t>
      </w:r>
      <w:r>
        <w:rPr>
          <w:sz w:val="22"/>
        </w:rPr>
        <w:t>prestado;</w:t>
      </w:r>
      <w:r>
        <w:rPr>
          <w:spacing w:val="-11"/>
          <w:sz w:val="22"/>
        </w:rPr>
        <w:t> </w:t>
      </w:r>
      <w:r>
        <w:rPr>
          <w:sz w:val="22"/>
        </w:rPr>
        <w:t>por</w:t>
      </w:r>
      <w:r>
        <w:rPr>
          <w:spacing w:val="-14"/>
          <w:sz w:val="22"/>
        </w:rPr>
        <w:t> </w:t>
      </w:r>
      <w:r>
        <w:rPr>
          <w:sz w:val="22"/>
        </w:rPr>
        <w:t>tanto,</w:t>
      </w:r>
      <w:r>
        <w:rPr>
          <w:spacing w:val="-14"/>
          <w:sz w:val="22"/>
        </w:rPr>
        <w:t> </w:t>
      </w:r>
      <w:r>
        <w:rPr>
          <w:sz w:val="22"/>
        </w:rPr>
        <w:t>no</w:t>
      </w:r>
      <w:r>
        <w:rPr>
          <w:spacing w:val="-15"/>
          <w:sz w:val="22"/>
        </w:rPr>
        <w:t> </w:t>
      </w:r>
      <w:r>
        <w:rPr>
          <w:sz w:val="22"/>
        </w:rPr>
        <w:t>corresponde realizar el</w:t>
      </w:r>
      <w:r>
        <w:rPr>
          <w:spacing w:val="-3"/>
          <w:sz w:val="22"/>
        </w:rPr>
        <w:t> </w:t>
      </w:r>
      <w:r>
        <w:rPr>
          <w:sz w:val="22"/>
        </w:rPr>
        <w:t>análisis de</w:t>
      </w:r>
      <w:r>
        <w:rPr>
          <w:spacing w:val="-2"/>
          <w:sz w:val="22"/>
        </w:rPr>
        <w:t> </w:t>
      </w:r>
      <w:r>
        <w:rPr>
          <w:sz w:val="22"/>
        </w:rPr>
        <w:t>la</w:t>
      </w:r>
      <w:r>
        <w:rPr>
          <w:spacing w:val="-4"/>
          <w:sz w:val="22"/>
        </w:rPr>
        <w:t> </w:t>
      </w:r>
      <w:r>
        <w:rPr>
          <w:sz w:val="22"/>
        </w:rPr>
        <w:t>excepción prevista</w:t>
      </w:r>
      <w:r>
        <w:rPr>
          <w:spacing w:val="-2"/>
          <w:sz w:val="22"/>
        </w:rPr>
        <w:t> </w:t>
      </w:r>
      <w:r>
        <w:rPr>
          <w:sz w:val="22"/>
        </w:rPr>
        <w:t>en</w:t>
      </w:r>
      <w:r>
        <w:rPr>
          <w:spacing w:val="-2"/>
          <w:sz w:val="22"/>
        </w:rPr>
        <w:t> </w:t>
      </w:r>
      <w:r>
        <w:rPr>
          <w:sz w:val="22"/>
        </w:rPr>
        <w:t>el</w:t>
      </w:r>
      <w:r>
        <w:rPr>
          <w:spacing w:val="-5"/>
          <w:sz w:val="22"/>
        </w:rPr>
        <w:t> </w:t>
      </w:r>
      <w:r>
        <w:rPr>
          <w:sz w:val="22"/>
        </w:rPr>
        <w:t>artículo 73</w:t>
      </w:r>
      <w:r>
        <w:rPr>
          <w:spacing w:val="-2"/>
          <w:sz w:val="22"/>
        </w:rPr>
        <w:t> </w:t>
      </w:r>
      <w:r>
        <w:rPr>
          <w:sz w:val="22"/>
        </w:rPr>
        <w:t>del</w:t>
      </w:r>
      <w:r>
        <w:rPr>
          <w:spacing w:val="-2"/>
          <w:sz w:val="22"/>
        </w:rPr>
        <w:t> </w:t>
      </w:r>
      <w:r>
        <w:rPr>
          <w:sz w:val="22"/>
        </w:rPr>
        <w:t>Acuerdo</w:t>
      </w:r>
      <w:r>
        <w:rPr>
          <w:spacing w:val="-2"/>
          <w:sz w:val="22"/>
        </w:rPr>
        <w:t> </w:t>
      </w:r>
      <w:r>
        <w:rPr>
          <w:sz w:val="22"/>
        </w:rPr>
        <w:t>de Cartagena. Por el contrario, el referido Decreto señala que el arancel recíproco se adopta en los siguientes términos:</w:t>
      </w:r>
    </w:p>
    <w:p>
      <w:pPr>
        <w:pStyle w:val="BodyText"/>
        <w:rPr>
          <w:sz w:val="20"/>
        </w:rPr>
      </w:pPr>
    </w:p>
    <w:p>
      <w:pPr>
        <w:pStyle w:val="BodyText"/>
        <w:spacing w:before="154"/>
        <w:rPr>
          <w:sz w:val="20"/>
        </w:rPr>
      </w:pPr>
      <w:r>
        <w:rPr>
          <w:sz w:val="20"/>
        </w:rPr>
        <mc:AlternateContent>
          <mc:Choice Requires="wps">
            <w:drawing>
              <wp:anchor distT="0" distB="0" distL="0" distR="0" allowOverlap="1" layoutInCell="1" locked="0" behindDoc="1" simplePos="0" relativeHeight="487642624">
                <wp:simplePos x="0" y="0"/>
                <wp:positionH relativeFrom="page">
                  <wp:posOffset>990904</wp:posOffset>
                </wp:positionH>
                <wp:positionV relativeFrom="paragraph">
                  <wp:posOffset>259401</wp:posOffset>
                </wp:positionV>
                <wp:extent cx="1829435" cy="7620"/>
                <wp:effectExtent l="0" t="0" r="0" b="0"/>
                <wp:wrapTopAndBottom/>
                <wp:docPr id="513" name="Graphic 513"/>
                <wp:cNvGraphicFramePr>
                  <a:graphicFrameLocks/>
                </wp:cNvGraphicFramePr>
                <a:graphic>
                  <a:graphicData uri="http://schemas.microsoft.com/office/word/2010/wordprocessingShape">
                    <wps:wsp>
                      <wps:cNvPr id="513" name="Graphic 513"/>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0.425350pt;width:144.020pt;height:.60004pt;mso-position-horizontal-relative:page;mso-position-vertical-relative:paragraph;z-index:-15673856;mso-wrap-distance-left:0;mso-wrap-distance-right:0" id="docshape353" filled="true" fillcolor="#000000" stroked="false">
                <v:fill type="solid"/>
                <w10:wrap type="topAndBottom"/>
              </v:rect>
            </w:pict>
          </mc:Fallback>
        </mc:AlternateContent>
      </w:r>
    </w:p>
    <w:p>
      <w:pPr>
        <w:spacing w:before="92"/>
        <w:ind w:left="568" w:right="0" w:firstLine="0"/>
        <w:jc w:val="left"/>
        <w:rPr>
          <w:sz w:val="16"/>
        </w:rPr>
      </w:pPr>
      <w:bookmarkStart w:name="_bookmark117" w:id="118"/>
      <w:bookmarkEnd w:id="118"/>
      <w:r>
        <w:rPr/>
      </w:r>
      <w:r>
        <w:rPr>
          <w:sz w:val="16"/>
          <w:vertAlign w:val="superscript"/>
        </w:rPr>
        <w:t>50</w:t>
      </w:r>
      <w:r>
        <w:rPr>
          <w:spacing w:val="-7"/>
          <w:sz w:val="16"/>
          <w:vertAlign w:val="baseline"/>
        </w:rPr>
        <w:t> </w:t>
      </w:r>
      <w:r>
        <w:rPr>
          <w:sz w:val="16"/>
          <w:vertAlign w:val="baseline"/>
        </w:rPr>
        <w:t>Expediente</w:t>
      </w:r>
      <w:r>
        <w:rPr>
          <w:spacing w:val="-6"/>
          <w:sz w:val="16"/>
          <w:vertAlign w:val="baseline"/>
        </w:rPr>
        <w:t> </w:t>
      </w:r>
      <w:r>
        <w:rPr>
          <w:sz w:val="16"/>
          <w:vertAlign w:val="baseline"/>
        </w:rPr>
        <w:t>DGCOM/GRAV-REST/002/2026,</w:t>
      </w:r>
      <w:r>
        <w:rPr>
          <w:spacing w:val="-7"/>
          <w:sz w:val="16"/>
          <w:vertAlign w:val="baseline"/>
        </w:rPr>
        <w:t> </w:t>
      </w:r>
      <w:r>
        <w:rPr>
          <w:sz w:val="16"/>
          <w:vertAlign w:val="baseline"/>
        </w:rPr>
        <w:t>Acta</w:t>
      </w:r>
      <w:r>
        <w:rPr>
          <w:spacing w:val="-9"/>
          <w:sz w:val="16"/>
          <w:vertAlign w:val="baseline"/>
        </w:rPr>
        <w:t> </w:t>
      </w:r>
      <w:r>
        <w:rPr>
          <w:sz w:val="16"/>
          <w:vertAlign w:val="baseline"/>
        </w:rPr>
        <w:t>de</w:t>
      </w:r>
      <w:r>
        <w:rPr>
          <w:spacing w:val="-6"/>
          <w:sz w:val="16"/>
          <w:vertAlign w:val="baseline"/>
        </w:rPr>
        <w:t> </w:t>
      </w:r>
      <w:r>
        <w:rPr>
          <w:sz w:val="16"/>
          <w:vertAlign w:val="baseline"/>
        </w:rPr>
        <w:t>Reunión,</w:t>
      </w:r>
      <w:r>
        <w:rPr>
          <w:spacing w:val="-7"/>
          <w:sz w:val="16"/>
          <w:vertAlign w:val="baseline"/>
        </w:rPr>
        <w:t> </w:t>
      </w:r>
      <w:r>
        <w:rPr>
          <w:sz w:val="16"/>
          <w:vertAlign w:val="baseline"/>
        </w:rPr>
        <w:t>folio</w:t>
      </w:r>
      <w:r>
        <w:rPr>
          <w:spacing w:val="-6"/>
          <w:sz w:val="16"/>
          <w:vertAlign w:val="baseline"/>
        </w:rPr>
        <w:t> </w:t>
      </w:r>
      <w:r>
        <w:rPr>
          <w:spacing w:val="-2"/>
          <w:sz w:val="16"/>
          <w:vertAlign w:val="baseline"/>
        </w:rPr>
        <w:t>000229.</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14" name="Group 514"/>
                <wp:cNvGraphicFramePr>
                  <a:graphicFrameLocks/>
                </wp:cNvGraphicFramePr>
                <a:graphic>
                  <a:graphicData uri="http://schemas.microsoft.com/office/word/2010/wordprocessingGroup">
                    <wpg:wgp>
                      <wpg:cNvPr id="514" name="Group 514"/>
                      <wpg:cNvGrpSpPr/>
                      <wpg:grpSpPr>
                        <a:xfrm>
                          <a:off x="0" y="0"/>
                          <a:ext cx="6131560" cy="9525"/>
                          <a:chExt cx="6131560" cy="9525"/>
                        </a:xfrm>
                      </wpg:grpSpPr>
                      <wps:wsp>
                        <wps:cNvPr id="515" name="Graphic 515"/>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54"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84"/>
          <w:footerReference w:type="default" r:id="rId85"/>
          <w:pgSz w:w="11900" w:h="16850"/>
          <w:pgMar w:header="370" w:footer="597" w:top="1380" w:bottom="780" w:left="992" w:right="283"/>
        </w:sectPr>
      </w:pPr>
    </w:p>
    <w:p>
      <w:pPr>
        <w:pStyle w:val="BodyText"/>
        <w:spacing w:before="176"/>
      </w:pPr>
    </w:p>
    <w:p>
      <w:pPr>
        <w:pStyle w:val="ListParagraph"/>
        <w:numPr>
          <w:ilvl w:val="0"/>
          <w:numId w:val="79"/>
        </w:numPr>
        <w:tabs>
          <w:tab w:pos="1559" w:val="left" w:leader="none"/>
          <w:tab w:pos="1562" w:val="left" w:leader="none"/>
        </w:tabs>
        <w:spacing w:line="240" w:lineRule="auto" w:before="0" w:after="0"/>
        <w:ind w:left="1562" w:right="983" w:hanging="428"/>
        <w:jc w:val="both"/>
        <w:rPr>
          <w:rFonts w:ascii="Arial" w:hAnsi="Arial"/>
          <w:i/>
          <w:sz w:val="22"/>
        </w:rPr>
      </w:pPr>
      <w:r>
        <w:rPr>
          <w:sz w:val="22"/>
        </w:rPr>
        <w:t>Como una</w:t>
      </w:r>
      <w:r>
        <w:rPr>
          <w:spacing w:val="-1"/>
          <w:sz w:val="22"/>
        </w:rPr>
        <w:t> </w:t>
      </w:r>
      <w:r>
        <w:rPr>
          <w:sz w:val="22"/>
        </w:rPr>
        <w:t>medida</w:t>
      </w:r>
      <w:r>
        <w:rPr>
          <w:spacing w:val="-1"/>
          <w:sz w:val="22"/>
        </w:rPr>
        <w:t> </w:t>
      </w:r>
      <w:r>
        <w:rPr>
          <w:sz w:val="22"/>
        </w:rPr>
        <w:t>disuasoria en</w:t>
      </w:r>
      <w:r>
        <w:rPr>
          <w:spacing w:val="-1"/>
          <w:sz w:val="22"/>
        </w:rPr>
        <w:t> </w:t>
      </w:r>
      <w:r>
        <w:rPr>
          <w:sz w:val="22"/>
        </w:rPr>
        <w:t>defensa</w:t>
      </w:r>
      <w:r>
        <w:rPr>
          <w:spacing w:val="-1"/>
          <w:sz w:val="22"/>
        </w:rPr>
        <w:t> </w:t>
      </w:r>
      <w:r>
        <w:rPr>
          <w:sz w:val="22"/>
        </w:rPr>
        <w:t>de</w:t>
      </w:r>
      <w:r>
        <w:rPr>
          <w:spacing w:val="-1"/>
          <w:sz w:val="22"/>
        </w:rPr>
        <w:t> </w:t>
      </w:r>
      <w:r>
        <w:rPr>
          <w:sz w:val="22"/>
        </w:rPr>
        <w:t>la</w:t>
      </w:r>
      <w:r>
        <w:rPr>
          <w:spacing w:val="-1"/>
          <w:sz w:val="22"/>
        </w:rPr>
        <w:t> </w:t>
      </w:r>
      <w:r>
        <w:rPr>
          <w:sz w:val="22"/>
        </w:rPr>
        <w:t>seguridad nacional, en</w:t>
      </w:r>
      <w:r>
        <w:rPr>
          <w:spacing w:val="-3"/>
          <w:sz w:val="22"/>
        </w:rPr>
        <w:t> </w:t>
      </w:r>
      <w:r>
        <w:rPr>
          <w:sz w:val="22"/>
        </w:rPr>
        <w:t>respuesta a la “tasa de seguridad” del 30% adoptada por la República del Ecuador.</w:t>
      </w:r>
    </w:p>
    <w:p>
      <w:pPr>
        <w:pStyle w:val="ListParagraph"/>
        <w:numPr>
          <w:ilvl w:val="0"/>
          <w:numId w:val="79"/>
        </w:numPr>
        <w:tabs>
          <w:tab w:pos="1559" w:val="left" w:leader="none"/>
          <w:tab w:pos="1562" w:val="left" w:leader="none"/>
        </w:tabs>
        <w:spacing w:line="240" w:lineRule="auto" w:before="1" w:after="0"/>
        <w:ind w:left="1562" w:right="975" w:hanging="428"/>
        <w:jc w:val="both"/>
        <w:rPr>
          <w:sz w:val="22"/>
        </w:rPr>
      </w:pPr>
      <w:r>
        <w:rPr>
          <w:sz w:val="22"/>
        </w:rPr>
        <w:t>Debido a que la “tasa de seguridad” aplicada por la República del Ecuador tendría un profundo impacto en la industria exportadora colombiana, ocasionando una alteración</w:t>
      </w:r>
      <w:r>
        <w:rPr>
          <w:spacing w:val="-4"/>
          <w:sz w:val="22"/>
        </w:rPr>
        <w:t> </w:t>
      </w:r>
      <w:r>
        <w:rPr>
          <w:sz w:val="22"/>
        </w:rPr>
        <w:t>súbita</w:t>
      </w:r>
      <w:r>
        <w:rPr>
          <w:spacing w:val="-6"/>
          <w:sz w:val="22"/>
        </w:rPr>
        <w:t> </w:t>
      </w:r>
      <w:r>
        <w:rPr>
          <w:sz w:val="22"/>
        </w:rPr>
        <w:t>a</w:t>
      </w:r>
      <w:r>
        <w:rPr>
          <w:spacing w:val="-4"/>
          <w:sz w:val="22"/>
        </w:rPr>
        <w:t> </w:t>
      </w:r>
      <w:r>
        <w:rPr>
          <w:sz w:val="22"/>
        </w:rPr>
        <w:t>las</w:t>
      </w:r>
      <w:r>
        <w:rPr>
          <w:spacing w:val="-6"/>
          <w:sz w:val="22"/>
        </w:rPr>
        <w:t> </w:t>
      </w:r>
      <w:r>
        <w:rPr>
          <w:sz w:val="22"/>
        </w:rPr>
        <w:t>condiciones</w:t>
      </w:r>
      <w:r>
        <w:rPr>
          <w:spacing w:val="-4"/>
          <w:sz w:val="22"/>
        </w:rPr>
        <w:t> </w:t>
      </w:r>
      <w:r>
        <w:rPr>
          <w:sz w:val="22"/>
        </w:rPr>
        <w:t>de</w:t>
      </w:r>
      <w:r>
        <w:rPr>
          <w:spacing w:val="-4"/>
          <w:sz w:val="22"/>
        </w:rPr>
        <w:t> </w:t>
      </w:r>
      <w:r>
        <w:rPr>
          <w:sz w:val="22"/>
        </w:rPr>
        <w:t>comercio</w:t>
      </w:r>
      <w:r>
        <w:rPr>
          <w:spacing w:val="-4"/>
          <w:sz w:val="22"/>
        </w:rPr>
        <w:t> </w:t>
      </w:r>
      <w:r>
        <w:rPr>
          <w:sz w:val="22"/>
        </w:rPr>
        <w:t>bilateral,</w:t>
      </w:r>
      <w:r>
        <w:rPr>
          <w:spacing w:val="-3"/>
          <w:sz w:val="22"/>
        </w:rPr>
        <w:t> </w:t>
      </w:r>
      <w:r>
        <w:rPr>
          <w:sz w:val="22"/>
        </w:rPr>
        <w:t>y</w:t>
      </w:r>
      <w:r>
        <w:rPr>
          <w:spacing w:val="-6"/>
          <w:sz w:val="22"/>
        </w:rPr>
        <w:t> </w:t>
      </w:r>
      <w:r>
        <w:rPr>
          <w:sz w:val="22"/>
        </w:rPr>
        <w:t>poner</w:t>
      </w:r>
      <w:r>
        <w:rPr>
          <w:spacing w:val="-5"/>
          <w:sz w:val="22"/>
        </w:rPr>
        <w:t> </w:t>
      </w:r>
      <w:r>
        <w:rPr>
          <w:sz w:val="22"/>
        </w:rPr>
        <w:t>en</w:t>
      </w:r>
      <w:r>
        <w:rPr>
          <w:spacing w:val="-4"/>
          <w:sz w:val="22"/>
        </w:rPr>
        <w:t> </w:t>
      </w:r>
      <w:r>
        <w:rPr>
          <w:sz w:val="22"/>
        </w:rPr>
        <w:t>grave</w:t>
      </w:r>
      <w:r>
        <w:rPr>
          <w:spacing w:val="-9"/>
          <w:sz w:val="22"/>
        </w:rPr>
        <w:t> </w:t>
      </w:r>
      <w:r>
        <w:rPr>
          <w:sz w:val="22"/>
        </w:rPr>
        <w:t>riesgo</w:t>
      </w:r>
      <w:r>
        <w:rPr>
          <w:spacing w:val="-4"/>
          <w:sz w:val="22"/>
        </w:rPr>
        <w:t> </w:t>
      </w:r>
      <w:r>
        <w:rPr>
          <w:sz w:val="22"/>
        </w:rPr>
        <w:t>la economía del país.</w:t>
      </w:r>
    </w:p>
    <w:p>
      <w:pPr>
        <w:pStyle w:val="ListParagraph"/>
        <w:numPr>
          <w:ilvl w:val="0"/>
          <w:numId w:val="79"/>
        </w:numPr>
        <w:tabs>
          <w:tab w:pos="1560" w:val="left" w:leader="none"/>
          <w:tab w:pos="1562" w:val="left" w:leader="none"/>
        </w:tabs>
        <w:spacing w:line="240" w:lineRule="auto" w:before="1" w:after="0"/>
        <w:ind w:left="1562" w:right="980" w:hanging="428"/>
        <w:jc w:val="both"/>
        <w:rPr>
          <w:sz w:val="22"/>
        </w:rPr>
      </w:pPr>
      <w:r>
        <w:rPr>
          <w:sz w:val="22"/>
        </w:rPr>
        <w:t>En atención</w:t>
      </w:r>
      <w:r>
        <w:rPr>
          <w:spacing w:val="-2"/>
          <w:sz w:val="22"/>
        </w:rPr>
        <w:t> </w:t>
      </w:r>
      <w:r>
        <w:rPr>
          <w:sz w:val="22"/>
        </w:rPr>
        <w:t>a que</w:t>
      </w:r>
      <w:r>
        <w:rPr>
          <w:spacing w:val="-2"/>
          <w:sz w:val="22"/>
        </w:rPr>
        <w:t> </w:t>
      </w:r>
      <w:r>
        <w:rPr>
          <w:sz w:val="22"/>
        </w:rPr>
        <w:t>la</w:t>
      </w:r>
      <w:r>
        <w:rPr>
          <w:spacing w:val="-2"/>
          <w:sz w:val="22"/>
        </w:rPr>
        <w:t> </w:t>
      </w:r>
      <w:r>
        <w:rPr>
          <w:sz w:val="22"/>
        </w:rPr>
        <w:t>medida</w:t>
      </w:r>
      <w:r>
        <w:rPr>
          <w:spacing w:val="-1"/>
          <w:sz w:val="22"/>
        </w:rPr>
        <w:t> </w:t>
      </w:r>
      <w:r>
        <w:rPr>
          <w:sz w:val="22"/>
        </w:rPr>
        <w:t>ecuatoriana del</w:t>
      </w:r>
      <w:r>
        <w:rPr>
          <w:spacing w:val="-1"/>
          <w:sz w:val="22"/>
        </w:rPr>
        <w:t> </w:t>
      </w:r>
      <w:r>
        <w:rPr>
          <w:sz w:val="22"/>
        </w:rPr>
        <w:t>30% generaría una</w:t>
      </w:r>
      <w:r>
        <w:rPr>
          <w:spacing w:val="-2"/>
          <w:sz w:val="22"/>
        </w:rPr>
        <w:t> </w:t>
      </w:r>
      <w:r>
        <w:rPr>
          <w:sz w:val="22"/>
        </w:rPr>
        <w:t>caída</w:t>
      </w:r>
      <w:r>
        <w:rPr>
          <w:spacing w:val="-1"/>
          <w:sz w:val="22"/>
        </w:rPr>
        <w:t> </w:t>
      </w:r>
      <w:r>
        <w:rPr>
          <w:sz w:val="22"/>
        </w:rPr>
        <w:t>del</w:t>
      </w:r>
      <w:r>
        <w:rPr>
          <w:spacing w:val="-1"/>
          <w:sz w:val="22"/>
        </w:rPr>
        <w:t> </w:t>
      </w:r>
      <w:r>
        <w:rPr>
          <w:sz w:val="22"/>
        </w:rPr>
        <w:t>97% en las exportaciones colombianas hacia la República del Ecuador.</w:t>
      </w:r>
    </w:p>
    <w:p>
      <w:pPr>
        <w:pStyle w:val="ListParagraph"/>
        <w:numPr>
          <w:ilvl w:val="0"/>
          <w:numId w:val="79"/>
        </w:numPr>
        <w:tabs>
          <w:tab w:pos="1559" w:val="left" w:leader="none"/>
          <w:tab w:pos="1562" w:val="left" w:leader="none"/>
        </w:tabs>
        <w:spacing w:line="240" w:lineRule="auto" w:before="0" w:after="0"/>
        <w:ind w:left="1562" w:right="981" w:hanging="428"/>
        <w:jc w:val="both"/>
        <w:rPr>
          <w:sz w:val="22"/>
        </w:rPr>
      </w:pPr>
      <w:r>
        <w:rPr>
          <w:sz w:val="22"/>
        </w:rPr>
        <w:t>Dado que la medida ecuatoriana atentaría contra la seguridad nacional, resultaría necesario adoptar medidas arancelarias correctivas, con el fin de restablecer las condiciones equitativas de comercio.</w:t>
      </w:r>
    </w:p>
    <w:p>
      <w:pPr>
        <w:pStyle w:val="ListParagraph"/>
        <w:numPr>
          <w:ilvl w:val="0"/>
          <w:numId w:val="50"/>
        </w:numPr>
        <w:tabs>
          <w:tab w:pos="1130" w:val="left" w:leader="none"/>
          <w:tab w:pos="1134" w:val="left" w:leader="none"/>
        </w:tabs>
        <w:spacing w:line="240" w:lineRule="auto" w:before="252" w:after="0"/>
        <w:ind w:left="1134" w:right="978" w:hanging="567"/>
        <w:jc w:val="both"/>
        <w:rPr>
          <w:sz w:val="22"/>
        </w:rPr>
      </w:pPr>
      <w:r>
        <w:rPr>
          <w:sz w:val="22"/>
        </w:rPr>
        <w:t>Al analizar el principio de complemento indispensable se concluyó que, en el presente caso,</w:t>
      </w:r>
      <w:r>
        <w:rPr>
          <w:spacing w:val="-4"/>
          <w:sz w:val="22"/>
        </w:rPr>
        <w:t> </w:t>
      </w:r>
      <w:r>
        <w:rPr>
          <w:sz w:val="22"/>
        </w:rPr>
        <w:t>no</w:t>
      </w:r>
      <w:r>
        <w:rPr>
          <w:spacing w:val="-7"/>
          <w:sz w:val="22"/>
        </w:rPr>
        <w:t> </w:t>
      </w:r>
      <w:r>
        <w:rPr>
          <w:sz w:val="22"/>
        </w:rPr>
        <w:t>resulta</w:t>
      </w:r>
      <w:r>
        <w:rPr>
          <w:spacing w:val="-7"/>
          <w:sz w:val="22"/>
        </w:rPr>
        <w:t> </w:t>
      </w:r>
      <w:r>
        <w:rPr>
          <w:sz w:val="22"/>
        </w:rPr>
        <w:t>jurídicamente</w:t>
      </w:r>
      <w:r>
        <w:rPr>
          <w:spacing w:val="-7"/>
          <w:sz w:val="22"/>
        </w:rPr>
        <w:t> </w:t>
      </w:r>
      <w:r>
        <w:rPr>
          <w:sz w:val="22"/>
        </w:rPr>
        <w:t>viable</w:t>
      </w:r>
      <w:r>
        <w:rPr>
          <w:spacing w:val="-5"/>
          <w:sz w:val="22"/>
        </w:rPr>
        <w:t> </w:t>
      </w:r>
      <w:r>
        <w:rPr>
          <w:sz w:val="22"/>
        </w:rPr>
        <w:t>invocar</w:t>
      </w:r>
      <w:r>
        <w:rPr>
          <w:spacing w:val="-4"/>
          <w:sz w:val="22"/>
        </w:rPr>
        <w:t> </w:t>
      </w:r>
      <w:r>
        <w:rPr>
          <w:sz w:val="22"/>
        </w:rPr>
        <w:t>una</w:t>
      </w:r>
      <w:r>
        <w:rPr>
          <w:spacing w:val="-7"/>
          <w:sz w:val="22"/>
        </w:rPr>
        <w:t> </w:t>
      </w:r>
      <w:r>
        <w:rPr>
          <w:sz w:val="22"/>
        </w:rPr>
        <w:t>disposición</w:t>
      </w:r>
      <w:r>
        <w:rPr>
          <w:spacing w:val="-5"/>
          <w:sz w:val="22"/>
        </w:rPr>
        <w:t> </w:t>
      </w:r>
      <w:r>
        <w:rPr>
          <w:sz w:val="22"/>
        </w:rPr>
        <w:t>de</w:t>
      </w:r>
      <w:r>
        <w:rPr>
          <w:spacing w:val="-5"/>
          <w:sz w:val="22"/>
        </w:rPr>
        <w:t> </w:t>
      </w:r>
      <w:r>
        <w:rPr>
          <w:sz w:val="22"/>
        </w:rPr>
        <w:t>la</w:t>
      </w:r>
      <w:r>
        <w:rPr>
          <w:spacing w:val="-7"/>
          <w:sz w:val="22"/>
        </w:rPr>
        <w:t> </w:t>
      </w:r>
      <w:r>
        <w:rPr>
          <w:sz w:val="22"/>
        </w:rPr>
        <w:t>Decisión</w:t>
      </w:r>
      <w:r>
        <w:rPr>
          <w:spacing w:val="-5"/>
          <w:sz w:val="22"/>
        </w:rPr>
        <w:t> </w:t>
      </w:r>
      <w:r>
        <w:rPr>
          <w:sz w:val="22"/>
        </w:rPr>
        <w:t>439</w:t>
      </w:r>
      <w:r>
        <w:rPr>
          <w:spacing w:val="-7"/>
          <w:sz w:val="22"/>
        </w:rPr>
        <w:t> </w:t>
      </w:r>
      <w:r>
        <w:rPr>
          <w:sz w:val="22"/>
        </w:rPr>
        <w:t>“Marco General de Principios y Normas para la Liberalización del Comercio de Servicios en la Comunidad Andina”, como</w:t>
      </w:r>
      <w:r>
        <w:rPr>
          <w:spacing w:val="-3"/>
          <w:sz w:val="22"/>
        </w:rPr>
        <w:t> </w:t>
      </w:r>
      <w:r>
        <w:rPr>
          <w:sz w:val="22"/>
        </w:rPr>
        <w:t>fundamento</w:t>
      </w:r>
      <w:r>
        <w:rPr>
          <w:spacing w:val="-3"/>
          <w:sz w:val="22"/>
        </w:rPr>
        <w:t> </w:t>
      </w:r>
      <w:r>
        <w:rPr>
          <w:sz w:val="22"/>
        </w:rPr>
        <w:t>para la</w:t>
      </w:r>
      <w:r>
        <w:rPr>
          <w:spacing w:val="-3"/>
          <w:sz w:val="22"/>
        </w:rPr>
        <w:t> </w:t>
      </w:r>
      <w:r>
        <w:rPr>
          <w:sz w:val="22"/>
        </w:rPr>
        <w:t>adopción</w:t>
      </w:r>
      <w:r>
        <w:rPr>
          <w:spacing w:val="-1"/>
          <w:sz w:val="22"/>
        </w:rPr>
        <w:t> </w:t>
      </w:r>
      <w:r>
        <w:rPr>
          <w:sz w:val="22"/>
        </w:rPr>
        <w:t>de</w:t>
      </w:r>
      <w:r>
        <w:rPr>
          <w:spacing w:val="-3"/>
          <w:sz w:val="22"/>
        </w:rPr>
        <w:t> </w:t>
      </w:r>
      <w:r>
        <w:rPr>
          <w:sz w:val="22"/>
        </w:rPr>
        <w:t>las</w:t>
      </w:r>
      <w:r>
        <w:rPr>
          <w:spacing w:val="-3"/>
          <w:sz w:val="22"/>
        </w:rPr>
        <w:t> </w:t>
      </w:r>
      <w:r>
        <w:rPr>
          <w:sz w:val="22"/>
        </w:rPr>
        <w:t>medidas</w:t>
      </w:r>
      <w:r>
        <w:rPr>
          <w:spacing w:val="-2"/>
          <w:sz w:val="22"/>
        </w:rPr>
        <w:t> </w:t>
      </w:r>
      <w:r>
        <w:rPr>
          <w:sz w:val="22"/>
        </w:rPr>
        <w:t>contempladas en el Decreto 0170.</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Cabe precisar que la norma comunitaria no prevé una excepción por seguridad en la adopción de gravámenes. Como se señaló, </w:t>
      </w:r>
      <w:r>
        <w:rPr>
          <w:rFonts w:ascii="Arial" w:hAnsi="Arial"/>
          <w:b/>
          <w:sz w:val="22"/>
          <w:u w:val="single"/>
        </w:rPr>
        <w:t>la única excepción contemplada por la</w:t>
      </w:r>
      <w:r>
        <w:rPr>
          <w:rFonts w:ascii="Arial" w:hAnsi="Arial"/>
          <w:b/>
          <w:sz w:val="22"/>
        </w:rPr>
        <w:t> </w:t>
      </w:r>
      <w:r>
        <w:rPr>
          <w:rFonts w:ascii="Arial" w:hAnsi="Arial"/>
          <w:b/>
          <w:sz w:val="22"/>
          <w:u w:val="single"/>
        </w:rPr>
        <w:t>norma andina en materia de gravámenes se refiere a las tasas y recargos</w:t>
      </w:r>
      <w:r>
        <w:rPr>
          <w:rFonts w:ascii="Arial" w:hAnsi="Arial"/>
          <w:b/>
          <w:sz w:val="22"/>
        </w:rPr>
        <w:t> </w:t>
      </w:r>
      <w:r>
        <w:rPr>
          <w:rFonts w:ascii="Arial" w:hAnsi="Arial"/>
          <w:b/>
          <w:sz w:val="22"/>
          <w:u w:val="single"/>
        </w:rPr>
        <w:t>análogos, siempre que estos correspondan al costo aproximado de los servicios</w:t>
      </w:r>
      <w:r>
        <w:rPr>
          <w:rFonts w:ascii="Arial" w:hAnsi="Arial"/>
          <w:b/>
          <w:sz w:val="22"/>
        </w:rPr>
        <w:t> </w:t>
      </w:r>
      <w:r>
        <w:rPr>
          <w:rFonts w:ascii="Arial" w:hAnsi="Arial"/>
          <w:b/>
          <w:spacing w:val="-2"/>
          <w:sz w:val="22"/>
          <w:u w:val="single"/>
        </w:rPr>
        <w:t>prestados</w:t>
      </w:r>
      <w:r>
        <w:rPr>
          <w:spacing w:val="-2"/>
          <w:sz w:val="22"/>
        </w:rPr>
        <w:t>.</w:t>
      </w:r>
    </w:p>
    <w:p>
      <w:pPr>
        <w:pStyle w:val="ListParagraph"/>
        <w:numPr>
          <w:ilvl w:val="0"/>
          <w:numId w:val="50"/>
        </w:numPr>
        <w:tabs>
          <w:tab w:pos="1130" w:val="left" w:leader="none"/>
          <w:tab w:pos="1134" w:val="left" w:leader="none"/>
        </w:tabs>
        <w:spacing w:line="240" w:lineRule="auto" w:before="252" w:after="0"/>
        <w:ind w:left="1134" w:right="977" w:hanging="567"/>
        <w:jc w:val="both"/>
        <w:rPr>
          <w:sz w:val="22"/>
        </w:rPr>
      </w:pPr>
      <w:r>
        <w:rPr>
          <w:sz w:val="22"/>
        </w:rPr>
        <w:t>Dicho esto, el análisis se centrará en determinar la incidencia que tiene el “arancel recíproco” sobre las importaciones originarias y provenientes de la República del Ecuador, a efectos de determinar si el “arancel reciproco” constituye un derecho aduanero, y en qué medida dicho arancel encarecería o dificultarían la realización de tales importaciones.</w:t>
      </w:r>
    </w:p>
    <w:p>
      <w:pPr>
        <w:pStyle w:val="ListParagraph"/>
        <w:numPr>
          <w:ilvl w:val="0"/>
          <w:numId w:val="50"/>
        </w:numPr>
        <w:tabs>
          <w:tab w:pos="1130" w:val="left" w:leader="none"/>
          <w:tab w:pos="1134" w:val="left" w:leader="none"/>
        </w:tabs>
        <w:spacing w:line="240" w:lineRule="auto" w:before="253" w:after="0"/>
        <w:ind w:left="1134" w:right="975" w:hanging="567"/>
        <w:jc w:val="both"/>
        <w:rPr>
          <w:sz w:val="22"/>
        </w:rPr>
      </w:pPr>
      <w:r>
        <w:rPr>
          <w:sz w:val="22"/>
        </w:rPr>
        <w:t>Al</w:t>
      </w:r>
      <w:r>
        <w:rPr>
          <w:spacing w:val="-2"/>
          <w:sz w:val="22"/>
        </w:rPr>
        <w:t> </w:t>
      </w:r>
      <w:r>
        <w:rPr>
          <w:sz w:val="22"/>
        </w:rPr>
        <w:t>respecto,</w:t>
      </w:r>
      <w:r>
        <w:rPr>
          <w:spacing w:val="-3"/>
          <w:sz w:val="22"/>
        </w:rPr>
        <w:t> </w:t>
      </w:r>
      <w:r>
        <w:rPr>
          <w:sz w:val="22"/>
        </w:rPr>
        <w:t>según</w:t>
      </w:r>
      <w:r>
        <w:rPr>
          <w:spacing w:val="-4"/>
          <w:sz w:val="22"/>
        </w:rPr>
        <w:t> </w:t>
      </w:r>
      <w:r>
        <w:rPr>
          <w:sz w:val="22"/>
        </w:rPr>
        <w:t>la</w:t>
      </w:r>
      <w:r>
        <w:rPr>
          <w:spacing w:val="-2"/>
          <w:sz w:val="22"/>
        </w:rPr>
        <w:t> </w:t>
      </w:r>
      <w:r>
        <w:rPr>
          <w:sz w:val="22"/>
        </w:rPr>
        <w:t>información</w:t>
      </w:r>
      <w:r>
        <w:rPr>
          <w:spacing w:val="-4"/>
          <w:sz w:val="22"/>
        </w:rPr>
        <w:t> </w:t>
      </w:r>
      <w:r>
        <w:rPr>
          <w:sz w:val="22"/>
        </w:rPr>
        <w:t>presentada</w:t>
      </w:r>
      <w:r>
        <w:rPr>
          <w:spacing w:val="-4"/>
          <w:sz w:val="22"/>
        </w:rPr>
        <w:t> </w:t>
      </w:r>
      <w:r>
        <w:rPr>
          <w:sz w:val="22"/>
        </w:rPr>
        <w:t>por</w:t>
      </w:r>
      <w:r>
        <w:rPr>
          <w:spacing w:val="-3"/>
          <w:sz w:val="22"/>
        </w:rPr>
        <w:t> </w:t>
      </w:r>
      <w:r>
        <w:rPr>
          <w:sz w:val="22"/>
        </w:rPr>
        <w:t>la</w:t>
      </w:r>
      <w:r>
        <w:rPr>
          <w:spacing w:val="-2"/>
          <w:sz w:val="22"/>
        </w:rPr>
        <w:t> </w:t>
      </w:r>
      <w:r>
        <w:rPr>
          <w:sz w:val="22"/>
        </w:rPr>
        <w:t>República</w:t>
      </w:r>
      <w:r>
        <w:rPr>
          <w:spacing w:val="-2"/>
          <w:sz w:val="22"/>
        </w:rPr>
        <w:t> </w:t>
      </w:r>
      <w:r>
        <w:rPr>
          <w:sz w:val="22"/>
        </w:rPr>
        <w:t>de</w:t>
      </w:r>
      <w:r>
        <w:rPr>
          <w:spacing w:val="-4"/>
          <w:sz w:val="22"/>
        </w:rPr>
        <w:t> </w:t>
      </w:r>
      <w:r>
        <w:rPr>
          <w:sz w:val="22"/>
        </w:rPr>
        <w:t>Colombia,</w:t>
      </w:r>
      <w:r>
        <w:rPr>
          <w:spacing w:val="-1"/>
          <w:sz w:val="22"/>
        </w:rPr>
        <w:t> </w:t>
      </w:r>
      <w:r>
        <w:rPr>
          <w:sz w:val="22"/>
        </w:rPr>
        <w:t>el</w:t>
      </w:r>
      <w:r>
        <w:rPr>
          <w:spacing w:val="-5"/>
          <w:sz w:val="22"/>
        </w:rPr>
        <w:t> </w:t>
      </w:r>
      <w:r>
        <w:rPr>
          <w:sz w:val="22"/>
        </w:rPr>
        <w:t>“arancel reciproco”</w:t>
      </w:r>
      <w:r>
        <w:rPr>
          <w:spacing w:val="-14"/>
          <w:sz w:val="22"/>
        </w:rPr>
        <w:t> </w:t>
      </w:r>
      <w:r>
        <w:rPr>
          <w:sz w:val="22"/>
        </w:rPr>
        <w:t>del</w:t>
      </w:r>
      <w:r>
        <w:rPr>
          <w:spacing w:val="-15"/>
          <w:sz w:val="22"/>
        </w:rPr>
        <w:t> </w:t>
      </w:r>
      <w:r>
        <w:rPr>
          <w:sz w:val="22"/>
        </w:rPr>
        <w:t>30%,</w:t>
      </w:r>
      <w:r>
        <w:rPr>
          <w:spacing w:val="-13"/>
          <w:sz w:val="22"/>
        </w:rPr>
        <w:t> </w:t>
      </w:r>
      <w:r>
        <w:rPr>
          <w:sz w:val="22"/>
        </w:rPr>
        <w:t>aplicado</w:t>
      </w:r>
      <w:r>
        <w:rPr>
          <w:spacing w:val="-12"/>
          <w:sz w:val="22"/>
        </w:rPr>
        <w:t> </w:t>
      </w:r>
      <w:r>
        <w:rPr>
          <w:sz w:val="22"/>
        </w:rPr>
        <w:t>para</w:t>
      </w:r>
      <w:r>
        <w:rPr>
          <w:spacing w:val="-15"/>
          <w:sz w:val="22"/>
        </w:rPr>
        <w:t> </w:t>
      </w:r>
      <w:r>
        <w:rPr>
          <w:sz w:val="22"/>
        </w:rPr>
        <w:t>73</w:t>
      </w:r>
      <w:r>
        <w:rPr>
          <w:spacing w:val="-15"/>
          <w:sz w:val="22"/>
        </w:rPr>
        <w:t> </w:t>
      </w:r>
      <w:r>
        <w:rPr>
          <w:sz w:val="22"/>
        </w:rPr>
        <w:t>subpartidas</w:t>
      </w:r>
      <w:r>
        <w:rPr>
          <w:spacing w:val="-16"/>
          <w:sz w:val="22"/>
        </w:rPr>
        <w:t> </w:t>
      </w:r>
      <w:r>
        <w:rPr>
          <w:sz w:val="22"/>
        </w:rPr>
        <w:t>arancelarias</w:t>
      </w:r>
      <w:r>
        <w:rPr>
          <w:spacing w:val="-13"/>
          <w:sz w:val="22"/>
        </w:rPr>
        <w:t> </w:t>
      </w:r>
      <w:r>
        <w:rPr>
          <w:sz w:val="22"/>
        </w:rPr>
        <w:t>originarias</w:t>
      </w:r>
      <w:r>
        <w:rPr>
          <w:spacing w:val="-14"/>
          <w:sz w:val="22"/>
        </w:rPr>
        <w:t> </w:t>
      </w:r>
      <w:r>
        <w:rPr>
          <w:sz w:val="22"/>
        </w:rPr>
        <w:t>y</w:t>
      </w:r>
      <w:r>
        <w:rPr>
          <w:spacing w:val="-14"/>
          <w:sz w:val="22"/>
        </w:rPr>
        <w:t> </w:t>
      </w:r>
      <w:r>
        <w:rPr>
          <w:sz w:val="22"/>
        </w:rPr>
        <w:t>provenientes de</w:t>
      </w:r>
      <w:r>
        <w:rPr>
          <w:spacing w:val="-4"/>
          <w:sz w:val="22"/>
        </w:rPr>
        <w:t> </w:t>
      </w:r>
      <w:r>
        <w:rPr>
          <w:sz w:val="22"/>
        </w:rPr>
        <w:t>la</w:t>
      </w:r>
      <w:r>
        <w:rPr>
          <w:spacing w:val="-4"/>
          <w:sz w:val="22"/>
        </w:rPr>
        <w:t> </w:t>
      </w:r>
      <w:r>
        <w:rPr>
          <w:sz w:val="22"/>
        </w:rPr>
        <w:t>República</w:t>
      </w:r>
      <w:r>
        <w:rPr>
          <w:spacing w:val="-4"/>
          <w:sz w:val="22"/>
        </w:rPr>
        <w:t> </w:t>
      </w:r>
      <w:r>
        <w:rPr>
          <w:sz w:val="22"/>
        </w:rPr>
        <w:t>del</w:t>
      </w:r>
      <w:r>
        <w:rPr>
          <w:spacing w:val="-5"/>
          <w:sz w:val="22"/>
        </w:rPr>
        <w:t> </w:t>
      </w:r>
      <w:r>
        <w:rPr>
          <w:sz w:val="22"/>
        </w:rPr>
        <w:t>Ecuador,</w:t>
      </w:r>
      <w:r>
        <w:rPr>
          <w:spacing w:val="-3"/>
          <w:sz w:val="22"/>
        </w:rPr>
        <w:t> </w:t>
      </w:r>
      <w:r>
        <w:rPr>
          <w:sz w:val="22"/>
        </w:rPr>
        <w:t>se</w:t>
      </w:r>
      <w:r>
        <w:rPr>
          <w:spacing w:val="-6"/>
          <w:sz w:val="22"/>
        </w:rPr>
        <w:t> </w:t>
      </w:r>
      <w:r>
        <w:rPr>
          <w:sz w:val="22"/>
        </w:rPr>
        <w:t>cobraría</w:t>
      </w:r>
      <w:r>
        <w:rPr>
          <w:spacing w:val="-4"/>
          <w:sz w:val="22"/>
        </w:rPr>
        <w:t> </w:t>
      </w:r>
      <w:r>
        <w:rPr>
          <w:sz w:val="22"/>
        </w:rPr>
        <w:t>al</w:t>
      </w:r>
      <w:r>
        <w:rPr>
          <w:spacing w:val="-7"/>
          <w:sz w:val="22"/>
        </w:rPr>
        <w:t> </w:t>
      </w:r>
      <w:r>
        <w:rPr>
          <w:sz w:val="22"/>
        </w:rPr>
        <w:t>momento</w:t>
      </w:r>
      <w:r>
        <w:rPr>
          <w:spacing w:val="-3"/>
          <w:sz w:val="22"/>
        </w:rPr>
        <w:t> </w:t>
      </w:r>
      <w:r>
        <w:rPr>
          <w:sz w:val="22"/>
        </w:rPr>
        <w:t>del</w:t>
      </w:r>
      <w:r>
        <w:rPr>
          <w:spacing w:val="-5"/>
          <w:sz w:val="22"/>
        </w:rPr>
        <w:t> </w:t>
      </w:r>
      <w:r>
        <w:rPr>
          <w:sz w:val="22"/>
        </w:rPr>
        <w:t>ingreso</w:t>
      </w:r>
      <w:r>
        <w:rPr>
          <w:spacing w:val="-4"/>
          <w:sz w:val="22"/>
        </w:rPr>
        <w:t> </w:t>
      </w:r>
      <w:r>
        <w:rPr>
          <w:sz w:val="22"/>
        </w:rPr>
        <w:t>de</w:t>
      </w:r>
      <w:r>
        <w:rPr>
          <w:spacing w:val="-4"/>
          <w:sz w:val="22"/>
        </w:rPr>
        <w:t> </w:t>
      </w:r>
      <w:r>
        <w:rPr>
          <w:sz w:val="22"/>
        </w:rPr>
        <w:t>dichas</w:t>
      </w:r>
      <w:r>
        <w:rPr>
          <w:spacing w:val="-6"/>
          <w:sz w:val="22"/>
        </w:rPr>
        <w:t> </w:t>
      </w:r>
      <w:r>
        <w:rPr>
          <w:sz w:val="22"/>
        </w:rPr>
        <w:t>mercancías al territorio colombiano, calculándose sobre el valor CIF de importación.</w:t>
      </w:r>
    </w:p>
    <w:p>
      <w:pPr>
        <w:pStyle w:val="ListParagraph"/>
        <w:numPr>
          <w:ilvl w:val="0"/>
          <w:numId w:val="50"/>
        </w:numPr>
        <w:tabs>
          <w:tab w:pos="1130" w:val="left" w:leader="none"/>
          <w:tab w:pos="1134" w:val="left" w:leader="none"/>
        </w:tabs>
        <w:spacing w:line="240" w:lineRule="auto" w:before="253" w:after="0"/>
        <w:ind w:left="1134" w:right="979" w:hanging="567"/>
        <w:jc w:val="both"/>
        <w:rPr>
          <w:sz w:val="22"/>
        </w:rPr>
      </w:pPr>
      <w:r>
        <w:rPr>
          <w:sz w:val="22"/>
        </w:rPr>
        <w:t>Resulta pertinente reiterar, en este punto, que el TJCAN en el Proceso 12-AN-99</w:t>
      </w:r>
      <w:hyperlink w:history="true" w:anchor="_bookmark118">
        <w:r>
          <w:rPr>
            <w:sz w:val="22"/>
            <w:vertAlign w:val="superscript"/>
          </w:rPr>
          <w:t>51</w:t>
        </w:r>
      </w:hyperlink>
      <w:r>
        <w:rPr>
          <w:sz w:val="22"/>
          <w:vertAlign w:val="baseline"/>
        </w:rPr>
        <w:t>, se ha</w:t>
      </w:r>
      <w:r>
        <w:rPr>
          <w:spacing w:val="-1"/>
          <w:sz w:val="22"/>
          <w:vertAlign w:val="baseline"/>
        </w:rPr>
        <w:t> </w:t>
      </w:r>
      <w:r>
        <w:rPr>
          <w:sz w:val="22"/>
          <w:vertAlign w:val="baseline"/>
        </w:rPr>
        <w:t>pronunciado sobre</w:t>
      </w:r>
      <w:r>
        <w:rPr>
          <w:spacing w:val="-3"/>
          <w:sz w:val="22"/>
          <w:vertAlign w:val="baseline"/>
        </w:rPr>
        <w:t> </w:t>
      </w:r>
      <w:r>
        <w:rPr>
          <w:sz w:val="22"/>
          <w:vertAlign w:val="baseline"/>
        </w:rPr>
        <w:t>lo</w:t>
      </w:r>
      <w:r>
        <w:rPr>
          <w:spacing w:val="-3"/>
          <w:sz w:val="22"/>
          <w:vertAlign w:val="baseline"/>
        </w:rPr>
        <w:t> </w:t>
      </w:r>
      <w:r>
        <w:rPr>
          <w:sz w:val="22"/>
          <w:vertAlign w:val="baseline"/>
        </w:rPr>
        <w:t>que</w:t>
      </w:r>
      <w:r>
        <w:rPr>
          <w:spacing w:val="-1"/>
          <w:sz w:val="22"/>
          <w:vertAlign w:val="baseline"/>
        </w:rPr>
        <w:t> </w:t>
      </w:r>
      <w:r>
        <w:rPr>
          <w:sz w:val="22"/>
          <w:vertAlign w:val="baseline"/>
        </w:rPr>
        <w:t>se</w:t>
      </w:r>
      <w:r>
        <w:rPr>
          <w:spacing w:val="-3"/>
          <w:sz w:val="22"/>
          <w:vertAlign w:val="baseline"/>
        </w:rPr>
        <w:t> </w:t>
      </w:r>
      <w:r>
        <w:rPr>
          <w:sz w:val="22"/>
          <w:vertAlign w:val="baseline"/>
        </w:rPr>
        <w:t>considera</w:t>
      </w:r>
      <w:r>
        <w:rPr>
          <w:spacing w:val="-3"/>
          <w:sz w:val="22"/>
          <w:vertAlign w:val="baseline"/>
        </w:rPr>
        <w:t> </w:t>
      </w:r>
      <w:r>
        <w:rPr>
          <w:sz w:val="22"/>
          <w:vertAlign w:val="baseline"/>
        </w:rPr>
        <w:t>como</w:t>
      </w:r>
      <w:r>
        <w:rPr>
          <w:spacing w:val="-5"/>
          <w:sz w:val="22"/>
          <w:vertAlign w:val="baseline"/>
        </w:rPr>
        <w:t> </w:t>
      </w:r>
      <w:r>
        <w:rPr>
          <w:sz w:val="22"/>
          <w:vertAlign w:val="baseline"/>
        </w:rPr>
        <w:t>gravamen,</w:t>
      </w:r>
      <w:r>
        <w:rPr>
          <w:spacing w:val="-1"/>
          <w:sz w:val="22"/>
          <w:vertAlign w:val="baseline"/>
        </w:rPr>
        <w:t> </w:t>
      </w:r>
      <w:r>
        <w:rPr>
          <w:sz w:val="22"/>
          <w:vertAlign w:val="baseline"/>
        </w:rPr>
        <w:t>resultando</w:t>
      </w:r>
      <w:r>
        <w:rPr>
          <w:spacing w:val="-1"/>
          <w:sz w:val="22"/>
          <w:vertAlign w:val="baseline"/>
        </w:rPr>
        <w:t> </w:t>
      </w:r>
      <w:r>
        <w:rPr>
          <w:sz w:val="22"/>
          <w:vertAlign w:val="baseline"/>
        </w:rPr>
        <w:t>importante para este acápite, lo siguiente:</w:t>
      </w:r>
    </w:p>
    <w:p>
      <w:pPr>
        <w:pStyle w:val="BodyText"/>
        <w:spacing w:before="1"/>
      </w:pPr>
    </w:p>
    <w:p>
      <w:pPr>
        <w:spacing w:before="0"/>
        <w:ind w:left="1420" w:right="977" w:firstLine="0"/>
        <w:jc w:val="both"/>
        <w:rPr>
          <w:sz w:val="22"/>
        </w:rPr>
      </w:pPr>
      <w:r>
        <w:rPr>
          <w:rFonts w:ascii="Arial" w:hAnsi="Arial"/>
          <w:i/>
          <w:sz w:val="22"/>
        </w:rPr>
        <w:t>Nótese cómo la definición legal no restringe el concepto de gravámenes a los derechos aduaneros sino que lo amplía, de una manera bien generosa, a “cualesquier</w:t>
      </w:r>
      <w:r>
        <w:rPr>
          <w:rFonts w:ascii="Arial" w:hAnsi="Arial"/>
          <w:i/>
          <w:spacing w:val="-8"/>
          <w:sz w:val="22"/>
        </w:rPr>
        <w:t> </w:t>
      </w:r>
      <w:r>
        <w:rPr>
          <w:rFonts w:ascii="Arial" w:hAnsi="Arial"/>
          <w:i/>
          <w:sz w:val="22"/>
        </w:rPr>
        <w:t>otros</w:t>
      </w:r>
      <w:r>
        <w:rPr>
          <w:rFonts w:ascii="Arial" w:hAnsi="Arial"/>
          <w:i/>
          <w:spacing w:val="-8"/>
          <w:sz w:val="22"/>
        </w:rPr>
        <w:t> </w:t>
      </w:r>
      <w:r>
        <w:rPr>
          <w:rFonts w:ascii="Arial" w:hAnsi="Arial"/>
          <w:i/>
          <w:sz w:val="22"/>
        </w:rPr>
        <w:t>recargos</w:t>
      </w:r>
      <w:r>
        <w:rPr>
          <w:rFonts w:ascii="Arial" w:hAnsi="Arial"/>
          <w:i/>
          <w:spacing w:val="-6"/>
          <w:sz w:val="22"/>
        </w:rPr>
        <w:t> </w:t>
      </w:r>
      <w:r>
        <w:rPr>
          <w:rFonts w:ascii="Arial" w:hAnsi="Arial"/>
          <w:i/>
          <w:sz w:val="22"/>
        </w:rPr>
        <w:t>de</w:t>
      </w:r>
      <w:r>
        <w:rPr>
          <w:rFonts w:ascii="Arial" w:hAnsi="Arial"/>
          <w:i/>
          <w:spacing w:val="-8"/>
          <w:sz w:val="22"/>
        </w:rPr>
        <w:t> </w:t>
      </w:r>
      <w:r>
        <w:rPr>
          <w:rFonts w:ascii="Arial" w:hAnsi="Arial"/>
          <w:i/>
          <w:sz w:val="22"/>
        </w:rPr>
        <w:t>efectos</w:t>
      </w:r>
      <w:r>
        <w:rPr>
          <w:rFonts w:ascii="Arial" w:hAnsi="Arial"/>
          <w:i/>
          <w:spacing w:val="-8"/>
          <w:sz w:val="22"/>
        </w:rPr>
        <w:t> </w:t>
      </w:r>
      <w:r>
        <w:rPr>
          <w:rFonts w:ascii="Arial" w:hAnsi="Arial"/>
          <w:i/>
          <w:sz w:val="22"/>
        </w:rPr>
        <w:t>equivalentes”,</w:t>
      </w:r>
      <w:r>
        <w:rPr>
          <w:rFonts w:ascii="Arial" w:hAnsi="Arial"/>
          <w:i/>
          <w:spacing w:val="-6"/>
          <w:sz w:val="22"/>
        </w:rPr>
        <w:t> </w:t>
      </w:r>
      <w:r>
        <w:rPr>
          <w:rFonts w:ascii="Arial" w:hAnsi="Arial"/>
          <w:i/>
          <w:sz w:val="22"/>
        </w:rPr>
        <w:t>sin</w:t>
      </w:r>
      <w:r>
        <w:rPr>
          <w:rFonts w:ascii="Arial" w:hAnsi="Arial"/>
          <w:i/>
          <w:spacing w:val="-8"/>
          <w:sz w:val="22"/>
        </w:rPr>
        <w:t> </w:t>
      </w:r>
      <w:r>
        <w:rPr>
          <w:rFonts w:ascii="Arial" w:hAnsi="Arial"/>
          <w:i/>
          <w:sz w:val="22"/>
        </w:rPr>
        <w:t>importar</w:t>
      </w:r>
      <w:r>
        <w:rPr>
          <w:rFonts w:ascii="Arial" w:hAnsi="Arial"/>
          <w:i/>
          <w:spacing w:val="-7"/>
          <w:sz w:val="22"/>
        </w:rPr>
        <w:t> </w:t>
      </w:r>
      <w:r>
        <w:rPr>
          <w:rFonts w:ascii="Arial" w:hAnsi="Arial"/>
          <w:i/>
          <w:sz w:val="22"/>
        </w:rPr>
        <w:t>que</w:t>
      </w:r>
      <w:r>
        <w:rPr>
          <w:rFonts w:ascii="Arial" w:hAnsi="Arial"/>
          <w:i/>
          <w:spacing w:val="-8"/>
          <w:sz w:val="22"/>
        </w:rPr>
        <w:t> </w:t>
      </w:r>
      <w:r>
        <w:rPr>
          <w:rFonts w:ascii="Arial" w:hAnsi="Arial"/>
          <w:i/>
          <w:sz w:val="22"/>
        </w:rPr>
        <w:t>tales</w:t>
      </w:r>
      <w:r>
        <w:rPr>
          <w:rFonts w:ascii="Arial" w:hAnsi="Arial"/>
          <w:i/>
          <w:spacing w:val="-8"/>
          <w:sz w:val="22"/>
        </w:rPr>
        <w:t> </w:t>
      </w:r>
      <w:r>
        <w:rPr>
          <w:rFonts w:ascii="Arial" w:hAnsi="Arial"/>
          <w:i/>
          <w:sz w:val="22"/>
        </w:rPr>
        <w:t>recargos tengan tal o cual denominación, ni tampoco su naturaleza, que bien puede ser de carácter fiscal, de carácter monetario o de carácter cambiario y </w:t>
      </w:r>
      <w:r>
        <w:rPr>
          <w:rFonts w:ascii="Arial" w:hAnsi="Arial"/>
          <w:b/>
          <w:i/>
          <w:sz w:val="22"/>
          <w:u w:val="single"/>
        </w:rPr>
        <w:t>cuyo único</w:t>
      </w:r>
      <w:r>
        <w:rPr>
          <w:rFonts w:ascii="Arial" w:hAnsi="Arial"/>
          <w:b/>
          <w:i/>
          <w:sz w:val="22"/>
        </w:rPr>
        <w:t> </w:t>
      </w:r>
      <w:r>
        <w:rPr>
          <w:rFonts w:ascii="Arial" w:hAnsi="Arial"/>
          <w:b/>
          <w:i/>
          <w:sz w:val="22"/>
          <w:u w:val="single"/>
        </w:rPr>
        <w:t>condicionante es que incidan sobre las importaciones, encareciéndolas o</w:t>
      </w:r>
      <w:r>
        <w:rPr>
          <w:rFonts w:ascii="Arial" w:hAnsi="Arial"/>
          <w:b/>
          <w:i/>
          <w:sz w:val="22"/>
        </w:rPr>
        <w:t> </w:t>
      </w:r>
      <w:r>
        <w:rPr>
          <w:rFonts w:ascii="Arial" w:hAnsi="Arial"/>
          <w:b/>
          <w:i/>
          <w:sz w:val="22"/>
          <w:u w:val="single"/>
        </w:rPr>
        <w:t>dificultándolas</w:t>
      </w:r>
      <w:r>
        <w:rPr>
          <w:rFonts w:ascii="Arial" w:hAnsi="Arial"/>
          <w:b/>
          <w:i/>
          <w:sz w:val="22"/>
        </w:rPr>
        <w:t> </w:t>
      </w:r>
      <w:r>
        <w:rPr>
          <w:sz w:val="22"/>
        </w:rPr>
        <w:t>(…) [énfasis añadido]</w:t>
      </w:r>
    </w:p>
    <w:p>
      <w:pPr>
        <w:pStyle w:val="BodyText"/>
        <w:spacing w:before="11"/>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El anterior pronunciamiento emitido por TJCAN resulta relevante, en la medida en que define</w:t>
      </w:r>
      <w:r>
        <w:rPr>
          <w:spacing w:val="-1"/>
          <w:sz w:val="22"/>
        </w:rPr>
        <w:t> </w:t>
      </w:r>
      <w:r>
        <w:rPr>
          <w:sz w:val="22"/>
        </w:rPr>
        <w:t>el</w:t>
      </w:r>
      <w:r>
        <w:rPr>
          <w:spacing w:val="-2"/>
          <w:sz w:val="22"/>
        </w:rPr>
        <w:t> </w:t>
      </w:r>
      <w:r>
        <w:rPr>
          <w:sz w:val="22"/>
        </w:rPr>
        <w:t>concepto de</w:t>
      </w:r>
      <w:r>
        <w:rPr>
          <w:spacing w:val="-3"/>
          <w:sz w:val="22"/>
        </w:rPr>
        <w:t> </w:t>
      </w:r>
      <w:r>
        <w:rPr>
          <w:sz w:val="22"/>
        </w:rPr>
        <w:t>gravamen,</w:t>
      </w:r>
      <w:r>
        <w:rPr>
          <w:spacing w:val="-1"/>
          <w:sz w:val="22"/>
        </w:rPr>
        <w:t> </w:t>
      </w:r>
      <w:r>
        <w:rPr>
          <w:sz w:val="22"/>
        </w:rPr>
        <w:t>comprendiendo</w:t>
      </w:r>
      <w:r>
        <w:rPr>
          <w:spacing w:val="-3"/>
          <w:sz w:val="22"/>
        </w:rPr>
        <w:t> </w:t>
      </w:r>
      <w:r>
        <w:rPr>
          <w:sz w:val="22"/>
        </w:rPr>
        <w:t>no</w:t>
      </w:r>
      <w:r>
        <w:rPr>
          <w:spacing w:val="-1"/>
          <w:sz w:val="22"/>
        </w:rPr>
        <w:t> </w:t>
      </w:r>
      <w:r>
        <w:rPr>
          <w:sz w:val="22"/>
        </w:rPr>
        <w:t>solo los derechos</w:t>
      </w:r>
      <w:r>
        <w:rPr>
          <w:spacing w:val="-3"/>
          <w:sz w:val="22"/>
        </w:rPr>
        <w:t> </w:t>
      </w:r>
      <w:r>
        <w:rPr>
          <w:sz w:val="22"/>
        </w:rPr>
        <w:t>aduaneros,</w:t>
      </w:r>
      <w:r>
        <w:rPr>
          <w:spacing w:val="-2"/>
          <w:sz w:val="22"/>
        </w:rPr>
        <w:t> </w:t>
      </w:r>
      <w:r>
        <w:rPr>
          <w:sz w:val="22"/>
        </w:rPr>
        <w:t>sino también cualquier otro recargo de efecto equivalente, con independencia de su denominación o naturaleza, siempre que incida sobre las importaciones, encareciéndolas o dificultándolas. Por tanto, el análisis se centrará en demostrar si el</w:t>
      </w:r>
    </w:p>
    <w:p>
      <w:pPr>
        <w:pStyle w:val="BodyText"/>
        <w:spacing w:before="37"/>
        <w:rPr>
          <w:sz w:val="20"/>
        </w:rPr>
      </w:pPr>
      <w:r>
        <w:rPr>
          <w:sz w:val="20"/>
        </w:rPr>
        <mc:AlternateContent>
          <mc:Choice Requires="wps">
            <w:drawing>
              <wp:anchor distT="0" distB="0" distL="0" distR="0" allowOverlap="1" layoutInCell="1" locked="0" behindDoc="1" simplePos="0" relativeHeight="487643648">
                <wp:simplePos x="0" y="0"/>
                <wp:positionH relativeFrom="page">
                  <wp:posOffset>990904</wp:posOffset>
                </wp:positionH>
                <wp:positionV relativeFrom="paragraph">
                  <wp:posOffset>185009</wp:posOffset>
                </wp:positionV>
                <wp:extent cx="1829435" cy="7620"/>
                <wp:effectExtent l="0" t="0" r="0" b="0"/>
                <wp:wrapTopAndBottom/>
                <wp:docPr id="516" name="Graphic 516"/>
                <wp:cNvGraphicFramePr>
                  <a:graphicFrameLocks/>
                </wp:cNvGraphicFramePr>
                <a:graphic>
                  <a:graphicData uri="http://schemas.microsoft.com/office/word/2010/wordprocessingShape">
                    <wps:wsp>
                      <wps:cNvPr id="516" name="Graphic 516"/>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4.567657pt;width:144.020pt;height:.599980pt;mso-position-horizontal-relative:page;mso-position-vertical-relative:paragraph;z-index:-15672832;mso-wrap-distance-left:0;mso-wrap-distance-right:0" id="docshape355" filled="true" fillcolor="#000000" stroked="false">
                <v:fill type="solid"/>
                <w10:wrap type="topAndBottom"/>
              </v:rect>
            </w:pict>
          </mc:Fallback>
        </mc:AlternateContent>
      </w:r>
    </w:p>
    <w:p>
      <w:pPr>
        <w:spacing w:before="92"/>
        <w:ind w:left="710" w:right="955" w:hanging="142"/>
        <w:jc w:val="left"/>
        <w:rPr>
          <w:sz w:val="16"/>
        </w:rPr>
      </w:pPr>
      <w:bookmarkStart w:name="_bookmark118" w:id="119"/>
      <w:bookmarkEnd w:id="119"/>
      <w:r>
        <w:rPr/>
      </w:r>
      <w:r>
        <w:rPr>
          <w:sz w:val="16"/>
          <w:vertAlign w:val="superscript"/>
        </w:rPr>
        <w:t>51</w:t>
      </w:r>
      <w:r>
        <w:rPr>
          <w:sz w:val="16"/>
          <w:vertAlign w:val="baseline"/>
        </w:rPr>
        <w:t> Proceso 12-AN-99, publicado en</w:t>
      </w:r>
      <w:r>
        <w:rPr>
          <w:spacing w:val="-2"/>
          <w:sz w:val="16"/>
          <w:vertAlign w:val="baseline"/>
        </w:rPr>
        <w:t> </w:t>
      </w:r>
      <w:r>
        <w:rPr>
          <w:sz w:val="16"/>
          <w:vertAlign w:val="baseline"/>
        </w:rPr>
        <w:t>la Gaceta Oficial del</w:t>
      </w:r>
      <w:r>
        <w:rPr>
          <w:spacing w:val="-1"/>
          <w:sz w:val="16"/>
          <w:vertAlign w:val="baseline"/>
        </w:rPr>
        <w:t> </w:t>
      </w:r>
      <w:r>
        <w:rPr>
          <w:sz w:val="16"/>
          <w:vertAlign w:val="baseline"/>
        </w:rPr>
        <w:t>Acuerdo de Cartagena N° 520 del 20 de diciembre de 1999. Acción de Nulidad</w:t>
      </w:r>
      <w:r>
        <w:rPr>
          <w:spacing w:val="3"/>
          <w:sz w:val="16"/>
          <w:vertAlign w:val="baseline"/>
        </w:rPr>
        <w:t> </w:t>
      </w:r>
      <w:r>
        <w:rPr>
          <w:sz w:val="16"/>
          <w:vertAlign w:val="baseline"/>
        </w:rPr>
        <w:t>interpuesta</w:t>
      </w:r>
      <w:r>
        <w:rPr>
          <w:spacing w:val="2"/>
          <w:sz w:val="16"/>
          <w:vertAlign w:val="baseline"/>
        </w:rPr>
        <w:t> </w:t>
      </w:r>
      <w:r>
        <w:rPr>
          <w:sz w:val="16"/>
          <w:vertAlign w:val="baseline"/>
        </w:rPr>
        <w:t>por</w:t>
      </w:r>
      <w:r>
        <w:rPr>
          <w:spacing w:val="3"/>
          <w:sz w:val="16"/>
          <w:vertAlign w:val="baseline"/>
        </w:rPr>
        <w:t> </w:t>
      </w:r>
      <w:r>
        <w:rPr>
          <w:sz w:val="16"/>
          <w:vertAlign w:val="baseline"/>
        </w:rPr>
        <w:t>la</w:t>
      </w:r>
      <w:r>
        <w:rPr>
          <w:spacing w:val="5"/>
          <w:sz w:val="16"/>
          <w:vertAlign w:val="baseline"/>
        </w:rPr>
        <w:t> </w:t>
      </w:r>
      <w:r>
        <w:rPr>
          <w:sz w:val="16"/>
          <w:vertAlign w:val="baseline"/>
        </w:rPr>
        <w:t>Corporación</w:t>
      </w:r>
      <w:r>
        <w:rPr>
          <w:spacing w:val="4"/>
          <w:sz w:val="16"/>
          <w:vertAlign w:val="baseline"/>
        </w:rPr>
        <w:t> </w:t>
      </w:r>
      <w:r>
        <w:rPr>
          <w:sz w:val="16"/>
          <w:vertAlign w:val="baseline"/>
        </w:rPr>
        <w:t>de</w:t>
      </w:r>
      <w:r>
        <w:rPr>
          <w:spacing w:val="1"/>
          <w:sz w:val="16"/>
          <w:vertAlign w:val="baseline"/>
        </w:rPr>
        <w:t> </w:t>
      </w:r>
      <w:r>
        <w:rPr>
          <w:sz w:val="16"/>
          <w:vertAlign w:val="baseline"/>
        </w:rPr>
        <w:t>Promoción</w:t>
      </w:r>
      <w:r>
        <w:rPr>
          <w:spacing w:val="4"/>
          <w:sz w:val="16"/>
          <w:vertAlign w:val="baseline"/>
        </w:rPr>
        <w:t> </w:t>
      </w:r>
      <w:r>
        <w:rPr>
          <w:sz w:val="16"/>
          <w:vertAlign w:val="baseline"/>
        </w:rPr>
        <w:t>de</w:t>
      </w:r>
      <w:r>
        <w:rPr>
          <w:spacing w:val="4"/>
          <w:sz w:val="16"/>
          <w:vertAlign w:val="baseline"/>
        </w:rPr>
        <w:t> </w:t>
      </w:r>
      <w:r>
        <w:rPr>
          <w:sz w:val="16"/>
          <w:vertAlign w:val="baseline"/>
        </w:rPr>
        <w:t>Exportaciones</w:t>
      </w:r>
      <w:r>
        <w:rPr>
          <w:spacing w:val="5"/>
          <w:sz w:val="16"/>
          <w:vertAlign w:val="baseline"/>
        </w:rPr>
        <w:t> </w:t>
      </w:r>
      <w:r>
        <w:rPr>
          <w:sz w:val="16"/>
          <w:vertAlign w:val="baseline"/>
        </w:rPr>
        <w:t>e</w:t>
      </w:r>
      <w:r>
        <w:rPr>
          <w:spacing w:val="4"/>
          <w:sz w:val="16"/>
          <w:vertAlign w:val="baseline"/>
        </w:rPr>
        <w:t> </w:t>
      </w:r>
      <w:r>
        <w:rPr>
          <w:sz w:val="16"/>
          <w:vertAlign w:val="baseline"/>
        </w:rPr>
        <w:t>Inversiones</w:t>
      </w:r>
      <w:r>
        <w:rPr>
          <w:spacing w:val="5"/>
          <w:sz w:val="16"/>
          <w:vertAlign w:val="baseline"/>
        </w:rPr>
        <w:t> </w:t>
      </w:r>
      <w:r>
        <w:rPr>
          <w:sz w:val="16"/>
          <w:vertAlign w:val="baseline"/>
        </w:rPr>
        <w:t>(CORPEI)</w:t>
      </w:r>
      <w:r>
        <w:rPr>
          <w:spacing w:val="2"/>
          <w:sz w:val="16"/>
          <w:vertAlign w:val="baseline"/>
        </w:rPr>
        <w:t> </w:t>
      </w:r>
      <w:r>
        <w:rPr>
          <w:sz w:val="16"/>
          <w:vertAlign w:val="baseline"/>
        </w:rPr>
        <w:t>contra</w:t>
      </w:r>
      <w:r>
        <w:rPr>
          <w:spacing w:val="3"/>
          <w:sz w:val="16"/>
          <w:vertAlign w:val="baseline"/>
        </w:rPr>
        <w:t> </w:t>
      </w:r>
      <w:r>
        <w:rPr>
          <w:sz w:val="16"/>
          <w:vertAlign w:val="baseline"/>
        </w:rPr>
        <w:t>las</w:t>
      </w:r>
      <w:r>
        <w:rPr>
          <w:spacing w:val="4"/>
          <w:sz w:val="16"/>
          <w:vertAlign w:val="baseline"/>
        </w:rPr>
        <w:t> </w:t>
      </w:r>
      <w:r>
        <w:rPr>
          <w:sz w:val="16"/>
          <w:vertAlign w:val="baseline"/>
        </w:rPr>
        <w:t>Resoluciones</w:t>
      </w:r>
      <w:r>
        <w:rPr>
          <w:spacing w:val="4"/>
          <w:sz w:val="16"/>
          <w:vertAlign w:val="baseline"/>
        </w:rPr>
        <w:t> </w:t>
      </w:r>
      <w:r>
        <w:rPr>
          <w:spacing w:val="-5"/>
          <w:sz w:val="16"/>
          <w:vertAlign w:val="baseline"/>
        </w:rPr>
        <w:t>N°</w:t>
      </w:r>
    </w:p>
    <w:p>
      <w:pPr>
        <w:tabs>
          <w:tab w:pos="709" w:val="left" w:leader="none"/>
          <w:tab w:pos="9816" w:val="left" w:leader="none"/>
        </w:tabs>
        <w:spacing w:line="183" w:lineRule="exact" w:before="0"/>
        <w:ind w:left="160" w:right="0" w:firstLine="0"/>
        <w:jc w:val="left"/>
        <w:rPr>
          <w:sz w:val="16"/>
        </w:rPr>
      </w:pPr>
      <w:r>
        <w:rPr>
          <w:sz w:val="16"/>
          <w:u w:val="single"/>
        </w:rPr>
        <w:tab/>
        <w:t>139</w:t>
      </w:r>
      <w:r>
        <w:rPr>
          <w:spacing w:val="-4"/>
          <w:sz w:val="16"/>
          <w:u w:val="single"/>
        </w:rPr>
        <w:t> </w:t>
      </w:r>
      <w:r>
        <w:rPr>
          <w:sz w:val="16"/>
          <w:u w:val="single"/>
        </w:rPr>
        <w:t>del</w:t>
      </w:r>
      <w:r>
        <w:rPr>
          <w:spacing w:val="-2"/>
          <w:sz w:val="16"/>
          <w:u w:val="single"/>
        </w:rPr>
        <w:t> </w:t>
      </w:r>
      <w:r>
        <w:rPr>
          <w:sz w:val="16"/>
          <w:u w:val="single"/>
        </w:rPr>
        <w:t>14</w:t>
      </w:r>
      <w:r>
        <w:rPr>
          <w:spacing w:val="-3"/>
          <w:sz w:val="16"/>
          <w:u w:val="single"/>
        </w:rPr>
        <w:t> </w:t>
      </w:r>
      <w:r>
        <w:rPr>
          <w:sz w:val="16"/>
          <w:u w:val="single"/>
        </w:rPr>
        <w:t>de</w:t>
      </w:r>
      <w:r>
        <w:rPr>
          <w:spacing w:val="-3"/>
          <w:sz w:val="16"/>
          <w:u w:val="single"/>
        </w:rPr>
        <w:t> </w:t>
      </w:r>
      <w:r>
        <w:rPr>
          <w:sz w:val="16"/>
          <w:u w:val="single"/>
        </w:rPr>
        <w:t>octubre</w:t>
      </w:r>
      <w:r>
        <w:rPr>
          <w:spacing w:val="-4"/>
          <w:sz w:val="16"/>
          <w:u w:val="single"/>
        </w:rPr>
        <w:t> </w:t>
      </w:r>
      <w:r>
        <w:rPr>
          <w:sz w:val="16"/>
          <w:u w:val="single"/>
        </w:rPr>
        <w:t>de</w:t>
      </w:r>
      <w:r>
        <w:rPr>
          <w:spacing w:val="-6"/>
          <w:sz w:val="16"/>
          <w:u w:val="single"/>
        </w:rPr>
        <w:t> </w:t>
      </w:r>
      <w:r>
        <w:rPr>
          <w:sz w:val="16"/>
          <w:u w:val="single"/>
        </w:rPr>
        <w:t>1998</w:t>
      </w:r>
      <w:r>
        <w:rPr>
          <w:spacing w:val="-5"/>
          <w:sz w:val="16"/>
          <w:u w:val="single"/>
        </w:rPr>
        <w:t> </w:t>
      </w:r>
      <w:r>
        <w:rPr>
          <w:sz w:val="16"/>
          <w:u w:val="single"/>
        </w:rPr>
        <w:t>y</w:t>
      </w:r>
      <w:r>
        <w:rPr>
          <w:spacing w:val="-1"/>
          <w:sz w:val="16"/>
          <w:u w:val="single"/>
        </w:rPr>
        <w:t> </w:t>
      </w:r>
      <w:r>
        <w:rPr>
          <w:sz w:val="16"/>
          <w:u w:val="single"/>
        </w:rPr>
        <w:t>179</w:t>
      </w:r>
      <w:r>
        <w:rPr>
          <w:spacing w:val="-3"/>
          <w:sz w:val="16"/>
          <w:u w:val="single"/>
        </w:rPr>
        <w:t> </w:t>
      </w:r>
      <w:r>
        <w:rPr>
          <w:sz w:val="16"/>
          <w:u w:val="single"/>
        </w:rPr>
        <w:t>del</w:t>
      </w:r>
      <w:r>
        <w:rPr>
          <w:spacing w:val="-3"/>
          <w:sz w:val="16"/>
          <w:u w:val="single"/>
        </w:rPr>
        <w:t> </w:t>
      </w:r>
      <w:r>
        <w:rPr>
          <w:sz w:val="16"/>
          <w:u w:val="single"/>
        </w:rPr>
        <w:t>14</w:t>
      </w:r>
      <w:r>
        <w:rPr>
          <w:spacing w:val="-3"/>
          <w:sz w:val="16"/>
          <w:u w:val="single"/>
        </w:rPr>
        <w:t> </w:t>
      </w:r>
      <w:r>
        <w:rPr>
          <w:sz w:val="16"/>
          <w:u w:val="single"/>
        </w:rPr>
        <w:t>de</w:t>
      </w:r>
      <w:r>
        <w:rPr>
          <w:spacing w:val="-3"/>
          <w:sz w:val="16"/>
          <w:u w:val="single"/>
        </w:rPr>
        <w:t> </w:t>
      </w:r>
      <w:r>
        <w:rPr>
          <w:sz w:val="16"/>
          <w:u w:val="single"/>
        </w:rPr>
        <w:t>enero</w:t>
      </w:r>
      <w:r>
        <w:rPr>
          <w:spacing w:val="-3"/>
          <w:sz w:val="16"/>
          <w:u w:val="single"/>
        </w:rPr>
        <w:t> </w:t>
      </w:r>
      <w:r>
        <w:rPr>
          <w:sz w:val="16"/>
          <w:u w:val="single"/>
        </w:rPr>
        <w:t>de</w:t>
      </w:r>
      <w:r>
        <w:rPr>
          <w:spacing w:val="-6"/>
          <w:sz w:val="16"/>
          <w:u w:val="single"/>
        </w:rPr>
        <w:t> </w:t>
      </w:r>
      <w:r>
        <w:rPr>
          <w:sz w:val="16"/>
          <w:u w:val="single"/>
        </w:rPr>
        <w:t>1999,</w:t>
      </w:r>
      <w:r>
        <w:rPr>
          <w:spacing w:val="-2"/>
          <w:sz w:val="16"/>
          <w:u w:val="single"/>
        </w:rPr>
        <w:t> </w:t>
      </w:r>
      <w:r>
        <w:rPr>
          <w:sz w:val="16"/>
          <w:u w:val="single"/>
        </w:rPr>
        <w:t>expedidas</w:t>
      </w:r>
      <w:r>
        <w:rPr>
          <w:spacing w:val="-2"/>
          <w:sz w:val="16"/>
          <w:u w:val="single"/>
        </w:rPr>
        <w:t> </w:t>
      </w:r>
      <w:r>
        <w:rPr>
          <w:sz w:val="16"/>
          <w:u w:val="single"/>
        </w:rPr>
        <w:t>por</w:t>
      </w:r>
      <w:r>
        <w:rPr>
          <w:spacing w:val="-3"/>
          <w:sz w:val="16"/>
          <w:u w:val="single"/>
        </w:rPr>
        <w:t> </w:t>
      </w:r>
      <w:r>
        <w:rPr>
          <w:sz w:val="16"/>
          <w:u w:val="single"/>
        </w:rPr>
        <w:t>la</w:t>
      </w:r>
      <w:r>
        <w:rPr>
          <w:spacing w:val="-5"/>
          <w:sz w:val="16"/>
          <w:u w:val="single"/>
        </w:rPr>
        <w:t> </w:t>
      </w:r>
      <w:r>
        <w:rPr>
          <w:sz w:val="16"/>
          <w:u w:val="single"/>
        </w:rPr>
        <w:t>Secretaría</w:t>
      </w:r>
      <w:r>
        <w:rPr>
          <w:spacing w:val="-6"/>
          <w:sz w:val="16"/>
          <w:u w:val="single"/>
        </w:rPr>
        <w:t> </w:t>
      </w:r>
      <w:r>
        <w:rPr>
          <w:sz w:val="16"/>
          <w:u w:val="single"/>
        </w:rPr>
        <w:t>General</w:t>
      </w:r>
      <w:r>
        <w:rPr>
          <w:spacing w:val="-2"/>
          <w:sz w:val="16"/>
          <w:u w:val="single"/>
        </w:rPr>
        <w:t> </w:t>
      </w:r>
      <w:r>
        <w:rPr>
          <w:sz w:val="16"/>
          <w:u w:val="single"/>
        </w:rPr>
        <w:t>de</w:t>
      </w:r>
      <w:r>
        <w:rPr>
          <w:spacing w:val="-6"/>
          <w:sz w:val="16"/>
          <w:u w:val="single"/>
        </w:rPr>
        <w:t> </w:t>
      </w:r>
      <w:r>
        <w:rPr>
          <w:sz w:val="16"/>
          <w:u w:val="single"/>
        </w:rPr>
        <w:t>la</w:t>
      </w:r>
      <w:r>
        <w:rPr>
          <w:spacing w:val="-3"/>
          <w:sz w:val="16"/>
          <w:u w:val="single"/>
        </w:rPr>
        <w:t> </w:t>
      </w:r>
      <w:r>
        <w:rPr>
          <w:sz w:val="16"/>
          <w:u w:val="single"/>
        </w:rPr>
        <w:t>Comunidad</w:t>
      </w:r>
      <w:r>
        <w:rPr>
          <w:spacing w:val="-6"/>
          <w:sz w:val="16"/>
          <w:u w:val="single"/>
        </w:rPr>
        <w:t> </w:t>
      </w:r>
      <w:r>
        <w:rPr>
          <w:spacing w:val="-2"/>
          <w:sz w:val="16"/>
          <w:u w:val="single"/>
        </w:rPr>
        <w:t>Andina.</w:t>
      </w:r>
      <w:r>
        <w:rPr>
          <w:sz w:val="16"/>
          <w:u w:val="single"/>
        </w:rPr>
        <w:tab/>
      </w:r>
    </w:p>
    <w:p>
      <w:pPr>
        <w:spacing w:after="0" w:line="183" w:lineRule="exact"/>
        <w:jc w:val="left"/>
        <w:rPr>
          <w:sz w:val="16"/>
        </w:rPr>
        <w:sectPr>
          <w:pgSz w:w="11900" w:h="16850"/>
          <w:pgMar w:header="370" w:footer="597" w:top="1380" w:bottom="780" w:left="992" w:right="283"/>
        </w:sectPr>
      </w:pPr>
    </w:p>
    <w:p>
      <w:pPr>
        <w:pStyle w:val="BodyText"/>
        <w:spacing w:before="176"/>
      </w:pPr>
    </w:p>
    <w:p>
      <w:pPr>
        <w:pStyle w:val="BodyText"/>
        <w:ind w:left="1134" w:right="955"/>
      </w:pPr>
      <w:r>
        <w:rPr/>
        <w:t>“arancel</w:t>
      </w:r>
      <w:r>
        <w:rPr>
          <w:spacing w:val="40"/>
        </w:rPr>
        <w:t> </w:t>
      </w:r>
      <w:r>
        <w:rPr/>
        <w:t>recíproco”</w:t>
      </w:r>
      <w:r>
        <w:rPr>
          <w:spacing w:val="40"/>
        </w:rPr>
        <w:t> </w:t>
      </w:r>
      <w:r>
        <w:rPr/>
        <w:t>del</w:t>
      </w:r>
      <w:r>
        <w:rPr>
          <w:spacing w:val="40"/>
        </w:rPr>
        <w:t> </w:t>
      </w:r>
      <w:r>
        <w:rPr/>
        <w:t>30%,</w:t>
      </w:r>
      <w:r>
        <w:rPr>
          <w:spacing w:val="40"/>
        </w:rPr>
        <w:t> </w:t>
      </w:r>
      <w:r>
        <w:rPr/>
        <w:t>adoptado</w:t>
      </w:r>
      <w:r>
        <w:rPr>
          <w:spacing w:val="40"/>
        </w:rPr>
        <w:t> </w:t>
      </w:r>
      <w:r>
        <w:rPr/>
        <w:t>por</w:t>
      </w:r>
      <w:r>
        <w:rPr>
          <w:spacing w:val="40"/>
        </w:rPr>
        <w:t> </w:t>
      </w:r>
      <w:r>
        <w:rPr/>
        <w:t>la</w:t>
      </w:r>
      <w:r>
        <w:rPr>
          <w:spacing w:val="40"/>
        </w:rPr>
        <w:t> </w:t>
      </w:r>
      <w:r>
        <w:rPr/>
        <w:t>República</w:t>
      </w:r>
      <w:r>
        <w:rPr>
          <w:spacing w:val="40"/>
        </w:rPr>
        <w:t> </w:t>
      </w:r>
      <w:r>
        <w:rPr/>
        <w:t>de</w:t>
      </w:r>
      <w:r>
        <w:rPr>
          <w:spacing w:val="40"/>
        </w:rPr>
        <w:t> </w:t>
      </w:r>
      <w:r>
        <w:rPr/>
        <w:t>Colombia,</w:t>
      </w:r>
      <w:r>
        <w:rPr>
          <w:spacing w:val="40"/>
        </w:rPr>
        <w:t> </w:t>
      </w:r>
      <w:r>
        <w:rPr/>
        <w:t>encarece</w:t>
      </w:r>
      <w:r>
        <w:rPr>
          <w:spacing w:val="40"/>
        </w:rPr>
        <w:t> </w:t>
      </w:r>
      <w:r>
        <w:rPr/>
        <w:t>o dificulta las importaciones provenientes de la República del Ecuador.</w:t>
      </w:r>
    </w:p>
    <w:p>
      <w:pPr>
        <w:pStyle w:val="BodyText"/>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La norma comunitaria, en la Decisión 848</w:t>
      </w:r>
      <w:hyperlink w:history="true" w:anchor="_bookmark119">
        <w:r>
          <w:rPr>
            <w:sz w:val="22"/>
            <w:vertAlign w:val="superscript"/>
          </w:rPr>
          <w:t>52</w:t>
        </w:r>
      </w:hyperlink>
      <w:r>
        <w:rPr>
          <w:sz w:val="22"/>
          <w:vertAlign w:val="baseline"/>
        </w:rPr>
        <w:t>, precisa la definición de derechos de aduana, indicando que son “[l]</w:t>
      </w:r>
      <w:r>
        <w:rPr>
          <w:rFonts w:ascii="Arial" w:hAnsi="Arial"/>
          <w:i/>
          <w:sz w:val="22"/>
          <w:vertAlign w:val="baseline"/>
        </w:rPr>
        <w:t>os derechos establecidos en los aranceles de aduana, a los cuales se encuentran</w:t>
      </w:r>
      <w:r>
        <w:rPr>
          <w:rFonts w:ascii="Arial" w:hAnsi="Arial"/>
          <w:i/>
          <w:spacing w:val="-2"/>
          <w:sz w:val="22"/>
          <w:vertAlign w:val="baseline"/>
        </w:rPr>
        <w:t> </w:t>
      </w:r>
      <w:r>
        <w:rPr>
          <w:rFonts w:ascii="Arial" w:hAnsi="Arial"/>
          <w:i/>
          <w:sz w:val="22"/>
          <w:vertAlign w:val="baseline"/>
        </w:rPr>
        <w:t>sometidas las mercancías tanto a la entrada</w:t>
      </w:r>
      <w:r>
        <w:rPr>
          <w:rFonts w:ascii="Arial" w:hAnsi="Arial"/>
          <w:i/>
          <w:spacing w:val="-2"/>
          <w:sz w:val="22"/>
          <w:vertAlign w:val="baseline"/>
        </w:rPr>
        <w:t> </w:t>
      </w:r>
      <w:r>
        <w:rPr>
          <w:rFonts w:ascii="Arial" w:hAnsi="Arial"/>
          <w:i/>
          <w:sz w:val="22"/>
          <w:vertAlign w:val="baseline"/>
        </w:rPr>
        <w:t>como a la salida del territorio aduanero comunitario, cuando haya lugar a ello</w:t>
      </w:r>
      <w:r>
        <w:rPr>
          <w:sz w:val="22"/>
          <w:vertAlign w:val="baseline"/>
        </w:rPr>
        <w:t>”</w:t>
      </w:r>
      <w:hyperlink w:history="true" w:anchor="_bookmark120">
        <w:r>
          <w:rPr>
            <w:sz w:val="22"/>
            <w:vertAlign w:val="superscript"/>
          </w:rPr>
          <w:t>53</w:t>
        </w:r>
      </w:hyperlink>
      <w:r>
        <w:rPr>
          <w:sz w:val="22"/>
          <w:vertAlign w:val="baseline"/>
        </w:rPr>
        <w:t>.</w:t>
      </w:r>
    </w:p>
    <w:p>
      <w:pPr>
        <w:pStyle w:val="ListParagraph"/>
        <w:numPr>
          <w:ilvl w:val="0"/>
          <w:numId w:val="50"/>
        </w:numPr>
        <w:tabs>
          <w:tab w:pos="1130" w:val="left" w:leader="none"/>
          <w:tab w:pos="1134" w:val="left" w:leader="none"/>
        </w:tabs>
        <w:spacing w:line="240" w:lineRule="auto" w:before="253" w:after="0"/>
        <w:ind w:left="1134" w:right="979" w:hanging="567"/>
        <w:jc w:val="both"/>
        <w:rPr>
          <w:sz w:val="22"/>
        </w:rPr>
      </w:pPr>
      <w:r>
        <w:rPr>
          <w:sz w:val="22"/>
        </w:rPr>
        <w:t>Por su parte</w:t>
      </w:r>
      <w:hyperlink w:history="true" w:anchor="_bookmark121">
        <w:r>
          <w:rPr>
            <w:sz w:val="22"/>
            <w:vertAlign w:val="superscript"/>
          </w:rPr>
          <w:t>54</w:t>
        </w:r>
        <w:r>
          <w:rPr>
            <w:sz w:val="22"/>
            <w:vertAlign w:val="baseline"/>
          </w:rPr>
          <w:t>,</w:t>
        </w:r>
      </w:hyperlink>
      <w:r>
        <w:rPr>
          <w:sz w:val="22"/>
          <w:vertAlign w:val="baseline"/>
        </w:rPr>
        <w:t> se definen como aranceles: </w:t>
      </w:r>
      <w:r>
        <w:rPr>
          <w:rFonts w:ascii="Arial" w:hAnsi="Arial"/>
          <w:i/>
          <w:sz w:val="22"/>
          <w:vertAlign w:val="baseline"/>
        </w:rPr>
        <w:t>“los derechos de aduana aplicados a las importaciones de mercancías se denominan aranceles. Los aranceles proporcionan a las</w:t>
      </w:r>
      <w:r>
        <w:rPr>
          <w:rFonts w:ascii="Arial" w:hAnsi="Arial"/>
          <w:i/>
          <w:spacing w:val="-2"/>
          <w:sz w:val="22"/>
          <w:vertAlign w:val="baseline"/>
        </w:rPr>
        <w:t> </w:t>
      </w:r>
      <w:r>
        <w:rPr>
          <w:rFonts w:ascii="Arial" w:hAnsi="Arial"/>
          <w:i/>
          <w:sz w:val="22"/>
          <w:vertAlign w:val="baseline"/>
        </w:rPr>
        <w:t>mercancías</w:t>
      </w:r>
      <w:r>
        <w:rPr>
          <w:rFonts w:ascii="Arial" w:hAnsi="Arial"/>
          <w:i/>
          <w:spacing w:val="-2"/>
          <w:sz w:val="22"/>
          <w:vertAlign w:val="baseline"/>
        </w:rPr>
        <w:t> </w:t>
      </w:r>
      <w:r>
        <w:rPr>
          <w:rFonts w:ascii="Arial" w:hAnsi="Arial"/>
          <w:i/>
          <w:sz w:val="22"/>
          <w:vertAlign w:val="baseline"/>
        </w:rPr>
        <w:t>producidas</w:t>
      </w:r>
      <w:r>
        <w:rPr>
          <w:rFonts w:ascii="Arial" w:hAnsi="Arial"/>
          <w:i/>
          <w:spacing w:val="-2"/>
          <w:sz w:val="22"/>
          <w:vertAlign w:val="baseline"/>
        </w:rPr>
        <w:t> </w:t>
      </w:r>
      <w:r>
        <w:rPr>
          <w:rFonts w:ascii="Arial" w:hAnsi="Arial"/>
          <w:i/>
          <w:sz w:val="22"/>
          <w:vertAlign w:val="baseline"/>
        </w:rPr>
        <w:t>en</w:t>
      </w:r>
      <w:r>
        <w:rPr>
          <w:rFonts w:ascii="Arial" w:hAnsi="Arial"/>
          <w:i/>
          <w:spacing w:val="-4"/>
          <w:sz w:val="22"/>
          <w:vertAlign w:val="baseline"/>
        </w:rPr>
        <w:t> </w:t>
      </w:r>
      <w:r>
        <w:rPr>
          <w:rFonts w:ascii="Arial" w:hAnsi="Arial"/>
          <w:i/>
          <w:sz w:val="22"/>
          <w:vertAlign w:val="baseline"/>
        </w:rPr>
        <w:t>el</w:t>
      </w:r>
      <w:r>
        <w:rPr>
          <w:rFonts w:ascii="Arial" w:hAnsi="Arial"/>
          <w:i/>
          <w:spacing w:val="-3"/>
          <w:sz w:val="22"/>
          <w:vertAlign w:val="baseline"/>
        </w:rPr>
        <w:t> </w:t>
      </w:r>
      <w:r>
        <w:rPr>
          <w:rFonts w:ascii="Arial" w:hAnsi="Arial"/>
          <w:i/>
          <w:sz w:val="22"/>
          <w:vertAlign w:val="baseline"/>
        </w:rPr>
        <w:t>país</w:t>
      </w:r>
      <w:r>
        <w:rPr>
          <w:rFonts w:ascii="Arial" w:hAnsi="Arial"/>
          <w:i/>
          <w:spacing w:val="-1"/>
          <w:sz w:val="22"/>
          <w:vertAlign w:val="baseline"/>
        </w:rPr>
        <w:t> </w:t>
      </w:r>
      <w:r>
        <w:rPr>
          <w:rFonts w:ascii="Arial" w:hAnsi="Arial"/>
          <w:i/>
          <w:sz w:val="22"/>
          <w:vertAlign w:val="baseline"/>
        </w:rPr>
        <w:t>una</w:t>
      </w:r>
      <w:r>
        <w:rPr>
          <w:rFonts w:ascii="Arial" w:hAnsi="Arial"/>
          <w:i/>
          <w:spacing w:val="-2"/>
          <w:sz w:val="22"/>
          <w:vertAlign w:val="baseline"/>
        </w:rPr>
        <w:t> </w:t>
      </w:r>
      <w:r>
        <w:rPr>
          <w:rFonts w:ascii="Arial" w:hAnsi="Arial"/>
          <w:i/>
          <w:sz w:val="22"/>
          <w:vertAlign w:val="baseline"/>
        </w:rPr>
        <w:t>ventaja</w:t>
      </w:r>
      <w:r>
        <w:rPr>
          <w:rFonts w:ascii="Arial" w:hAnsi="Arial"/>
          <w:i/>
          <w:spacing w:val="-4"/>
          <w:sz w:val="22"/>
          <w:vertAlign w:val="baseline"/>
        </w:rPr>
        <w:t> </w:t>
      </w:r>
      <w:r>
        <w:rPr>
          <w:rFonts w:ascii="Arial" w:hAnsi="Arial"/>
          <w:i/>
          <w:sz w:val="22"/>
          <w:vertAlign w:val="baseline"/>
        </w:rPr>
        <w:t>en</w:t>
      </w:r>
      <w:r>
        <w:rPr>
          <w:rFonts w:ascii="Arial" w:hAnsi="Arial"/>
          <w:i/>
          <w:spacing w:val="-4"/>
          <w:sz w:val="22"/>
          <w:vertAlign w:val="baseline"/>
        </w:rPr>
        <w:t> </w:t>
      </w:r>
      <w:r>
        <w:rPr>
          <w:rFonts w:ascii="Arial" w:hAnsi="Arial"/>
          <w:i/>
          <w:sz w:val="22"/>
          <w:vertAlign w:val="baseline"/>
        </w:rPr>
        <w:t>materia</w:t>
      </w:r>
      <w:r>
        <w:rPr>
          <w:rFonts w:ascii="Arial" w:hAnsi="Arial"/>
          <w:i/>
          <w:spacing w:val="-5"/>
          <w:sz w:val="22"/>
          <w:vertAlign w:val="baseline"/>
        </w:rPr>
        <w:t> </w:t>
      </w:r>
      <w:r>
        <w:rPr>
          <w:rFonts w:ascii="Arial" w:hAnsi="Arial"/>
          <w:i/>
          <w:sz w:val="22"/>
          <w:vertAlign w:val="baseline"/>
        </w:rPr>
        <w:t>de</w:t>
      </w:r>
      <w:r>
        <w:rPr>
          <w:rFonts w:ascii="Arial" w:hAnsi="Arial"/>
          <w:i/>
          <w:spacing w:val="-2"/>
          <w:sz w:val="22"/>
          <w:vertAlign w:val="baseline"/>
        </w:rPr>
        <w:t> </w:t>
      </w:r>
      <w:r>
        <w:rPr>
          <w:rFonts w:ascii="Arial" w:hAnsi="Arial"/>
          <w:i/>
          <w:sz w:val="22"/>
          <w:vertAlign w:val="baseline"/>
        </w:rPr>
        <w:t>precios</w:t>
      </w:r>
      <w:r>
        <w:rPr>
          <w:rFonts w:ascii="Arial" w:hAnsi="Arial"/>
          <w:i/>
          <w:spacing w:val="-4"/>
          <w:sz w:val="22"/>
          <w:vertAlign w:val="baseline"/>
        </w:rPr>
        <w:t> </w:t>
      </w:r>
      <w:r>
        <w:rPr>
          <w:rFonts w:ascii="Arial" w:hAnsi="Arial"/>
          <w:i/>
          <w:sz w:val="22"/>
          <w:vertAlign w:val="baseline"/>
        </w:rPr>
        <w:t>con</w:t>
      </w:r>
      <w:r>
        <w:rPr>
          <w:rFonts w:ascii="Arial" w:hAnsi="Arial"/>
          <w:i/>
          <w:spacing w:val="-2"/>
          <w:sz w:val="22"/>
          <w:vertAlign w:val="baseline"/>
        </w:rPr>
        <w:t> </w:t>
      </w:r>
      <w:r>
        <w:rPr>
          <w:rFonts w:ascii="Arial" w:hAnsi="Arial"/>
          <w:i/>
          <w:sz w:val="22"/>
          <w:vertAlign w:val="baseline"/>
        </w:rPr>
        <w:t>respecto</w:t>
      </w:r>
      <w:r>
        <w:rPr>
          <w:rFonts w:ascii="Arial" w:hAnsi="Arial"/>
          <w:i/>
          <w:spacing w:val="-4"/>
          <w:sz w:val="22"/>
          <w:vertAlign w:val="baseline"/>
        </w:rPr>
        <w:t> </w:t>
      </w:r>
      <w:r>
        <w:rPr>
          <w:rFonts w:ascii="Arial" w:hAnsi="Arial"/>
          <w:i/>
          <w:sz w:val="22"/>
          <w:vertAlign w:val="baseline"/>
        </w:rPr>
        <w:t>a las mercancías similares importadas, y constituyen una fuente de ingresos para los </w:t>
      </w:r>
      <w:r>
        <w:rPr>
          <w:rFonts w:ascii="Arial" w:hAnsi="Arial"/>
          <w:i/>
          <w:spacing w:val="-2"/>
          <w:sz w:val="22"/>
          <w:vertAlign w:val="baseline"/>
        </w:rPr>
        <w:t>gobiernos</w:t>
      </w:r>
      <w:r>
        <w:rPr>
          <w:spacing w:val="-2"/>
          <w:sz w:val="22"/>
          <w:vertAlign w:val="baseline"/>
        </w:rPr>
        <w:t>”</w:t>
      </w:r>
      <w:hyperlink w:history="true" w:anchor="_bookmark122">
        <w:r>
          <w:rPr>
            <w:spacing w:val="-2"/>
            <w:sz w:val="22"/>
            <w:vertAlign w:val="superscript"/>
          </w:rPr>
          <w:t>55</w:t>
        </w:r>
        <w:r>
          <w:rPr>
            <w:spacing w:val="-2"/>
            <w:sz w:val="22"/>
            <w:vertAlign w:val="baseline"/>
          </w:rPr>
          <w:t>.</w:t>
        </w:r>
      </w:hyperlink>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Además, los aranceles “</w:t>
      </w:r>
      <w:r>
        <w:rPr>
          <w:rFonts w:ascii="Arial" w:hAnsi="Arial"/>
          <w:i/>
          <w:sz w:val="22"/>
        </w:rPr>
        <w:t>pueden ser de muchas clases diferentes, pero los más frecuentes</w:t>
      </w:r>
      <w:r>
        <w:rPr>
          <w:rFonts w:ascii="Arial" w:hAnsi="Arial"/>
          <w:i/>
          <w:spacing w:val="-9"/>
          <w:sz w:val="22"/>
        </w:rPr>
        <w:t> </w:t>
      </w:r>
      <w:r>
        <w:rPr>
          <w:rFonts w:ascii="Arial" w:hAnsi="Arial"/>
          <w:i/>
          <w:sz w:val="22"/>
        </w:rPr>
        <w:t>por</w:t>
      </w:r>
      <w:r>
        <w:rPr>
          <w:rFonts w:ascii="Arial" w:hAnsi="Arial"/>
          <w:i/>
          <w:spacing w:val="-8"/>
          <w:sz w:val="22"/>
        </w:rPr>
        <w:t> </w:t>
      </w:r>
      <w:r>
        <w:rPr>
          <w:rFonts w:ascii="Arial" w:hAnsi="Arial"/>
          <w:i/>
          <w:sz w:val="22"/>
        </w:rPr>
        <w:t>lejos</w:t>
      </w:r>
      <w:r>
        <w:rPr>
          <w:rFonts w:ascii="Arial" w:hAnsi="Arial"/>
          <w:i/>
          <w:spacing w:val="-9"/>
          <w:sz w:val="22"/>
        </w:rPr>
        <w:t> </w:t>
      </w:r>
      <w:r>
        <w:rPr>
          <w:rFonts w:ascii="Arial" w:hAnsi="Arial"/>
          <w:i/>
          <w:sz w:val="22"/>
        </w:rPr>
        <w:t>son</w:t>
      </w:r>
      <w:r>
        <w:rPr>
          <w:rFonts w:ascii="Arial" w:hAnsi="Arial"/>
          <w:i/>
          <w:spacing w:val="-9"/>
          <w:sz w:val="22"/>
        </w:rPr>
        <w:t> </w:t>
      </w:r>
      <w:r>
        <w:rPr>
          <w:rFonts w:ascii="Arial" w:hAnsi="Arial"/>
          <w:i/>
          <w:sz w:val="22"/>
        </w:rPr>
        <w:t>los</w:t>
      </w:r>
      <w:r>
        <w:rPr>
          <w:rFonts w:ascii="Arial" w:hAnsi="Arial"/>
          <w:i/>
          <w:spacing w:val="-6"/>
          <w:sz w:val="22"/>
        </w:rPr>
        <w:t> </w:t>
      </w:r>
      <w:r>
        <w:rPr>
          <w:rFonts w:ascii="Arial" w:hAnsi="Arial"/>
          <w:i/>
          <w:sz w:val="22"/>
        </w:rPr>
        <w:t>que</w:t>
      </w:r>
      <w:r>
        <w:rPr>
          <w:rFonts w:ascii="Arial" w:hAnsi="Arial"/>
          <w:i/>
          <w:spacing w:val="-9"/>
          <w:sz w:val="22"/>
        </w:rPr>
        <w:t> </w:t>
      </w:r>
      <w:r>
        <w:rPr>
          <w:rFonts w:ascii="Arial" w:hAnsi="Arial"/>
          <w:i/>
          <w:sz w:val="22"/>
        </w:rPr>
        <w:t>se</w:t>
      </w:r>
      <w:r>
        <w:rPr>
          <w:rFonts w:ascii="Arial" w:hAnsi="Arial"/>
          <w:i/>
          <w:spacing w:val="-9"/>
          <w:sz w:val="22"/>
        </w:rPr>
        <w:t> </w:t>
      </w:r>
      <w:r>
        <w:rPr>
          <w:rFonts w:ascii="Arial" w:hAnsi="Arial"/>
          <w:i/>
          <w:sz w:val="22"/>
        </w:rPr>
        <w:t>expresan</w:t>
      </w:r>
      <w:r>
        <w:rPr>
          <w:rFonts w:ascii="Arial" w:hAnsi="Arial"/>
          <w:i/>
          <w:spacing w:val="-9"/>
          <w:sz w:val="22"/>
        </w:rPr>
        <w:t> </w:t>
      </w:r>
      <w:r>
        <w:rPr>
          <w:rFonts w:ascii="Arial" w:hAnsi="Arial"/>
          <w:i/>
          <w:sz w:val="22"/>
        </w:rPr>
        <w:t>como</w:t>
      </w:r>
      <w:r>
        <w:rPr>
          <w:rFonts w:ascii="Arial" w:hAnsi="Arial"/>
          <w:i/>
          <w:spacing w:val="-6"/>
          <w:sz w:val="22"/>
        </w:rPr>
        <w:t> </w:t>
      </w:r>
      <w:r>
        <w:rPr>
          <w:rFonts w:ascii="Arial" w:hAnsi="Arial"/>
          <w:i/>
          <w:sz w:val="22"/>
        </w:rPr>
        <w:t>un</w:t>
      </w:r>
      <w:r>
        <w:rPr>
          <w:rFonts w:ascii="Arial" w:hAnsi="Arial"/>
          <w:i/>
          <w:spacing w:val="-9"/>
          <w:sz w:val="22"/>
        </w:rPr>
        <w:t> </w:t>
      </w:r>
      <w:r>
        <w:rPr>
          <w:rFonts w:ascii="Arial" w:hAnsi="Arial"/>
          <w:i/>
          <w:sz w:val="22"/>
        </w:rPr>
        <w:t>porcentaje</w:t>
      </w:r>
      <w:r>
        <w:rPr>
          <w:rFonts w:ascii="Arial" w:hAnsi="Arial"/>
          <w:i/>
          <w:spacing w:val="-9"/>
          <w:sz w:val="22"/>
        </w:rPr>
        <w:t> </w:t>
      </w:r>
      <w:r>
        <w:rPr>
          <w:rFonts w:ascii="Arial" w:hAnsi="Arial"/>
          <w:i/>
          <w:sz w:val="22"/>
        </w:rPr>
        <w:t>del</w:t>
      </w:r>
      <w:r>
        <w:rPr>
          <w:rFonts w:ascii="Arial" w:hAnsi="Arial"/>
          <w:i/>
          <w:spacing w:val="-7"/>
          <w:sz w:val="22"/>
        </w:rPr>
        <w:t> </w:t>
      </w:r>
      <w:r>
        <w:rPr>
          <w:rFonts w:ascii="Arial" w:hAnsi="Arial"/>
          <w:i/>
          <w:sz w:val="22"/>
        </w:rPr>
        <w:t>valor</w:t>
      </w:r>
      <w:r>
        <w:rPr>
          <w:rFonts w:ascii="Arial" w:hAnsi="Arial"/>
          <w:i/>
          <w:spacing w:val="-8"/>
          <w:sz w:val="22"/>
        </w:rPr>
        <w:t> </w:t>
      </w:r>
      <w:r>
        <w:rPr>
          <w:rFonts w:ascii="Arial" w:hAnsi="Arial"/>
          <w:i/>
          <w:sz w:val="22"/>
        </w:rPr>
        <w:t>del</w:t>
      </w:r>
      <w:r>
        <w:rPr>
          <w:rFonts w:ascii="Arial" w:hAnsi="Arial"/>
          <w:i/>
          <w:spacing w:val="-7"/>
          <w:sz w:val="22"/>
        </w:rPr>
        <w:t> </w:t>
      </w:r>
      <w:r>
        <w:rPr>
          <w:rFonts w:ascii="Arial" w:hAnsi="Arial"/>
          <w:i/>
          <w:sz w:val="22"/>
        </w:rPr>
        <w:t>producto, llamados</w:t>
      </w:r>
      <w:r>
        <w:rPr>
          <w:rFonts w:ascii="Arial" w:hAnsi="Arial"/>
          <w:i/>
          <w:spacing w:val="-2"/>
          <w:sz w:val="22"/>
        </w:rPr>
        <w:t> </w:t>
      </w:r>
      <w:r>
        <w:rPr>
          <w:rFonts w:ascii="Arial" w:hAnsi="Arial"/>
          <w:i/>
          <w:sz w:val="22"/>
        </w:rPr>
        <w:t>derechos ad valorem, que se calculan utilizando el</w:t>
      </w:r>
      <w:r>
        <w:rPr>
          <w:rFonts w:ascii="Arial" w:hAnsi="Arial"/>
          <w:i/>
          <w:spacing w:val="-1"/>
          <w:sz w:val="22"/>
        </w:rPr>
        <w:t> </w:t>
      </w:r>
      <w:r>
        <w:rPr>
          <w:rFonts w:ascii="Arial" w:hAnsi="Arial"/>
          <w:i/>
          <w:sz w:val="22"/>
        </w:rPr>
        <w:t>valor en aduana</w:t>
      </w:r>
      <w:r>
        <w:rPr>
          <w:rFonts w:ascii="Arial" w:hAnsi="Arial"/>
          <w:i/>
          <w:spacing w:val="-1"/>
          <w:sz w:val="22"/>
        </w:rPr>
        <w:t> </w:t>
      </w:r>
      <w:r>
        <w:rPr>
          <w:rFonts w:ascii="Arial" w:hAnsi="Arial"/>
          <w:i/>
          <w:sz w:val="22"/>
        </w:rPr>
        <w:t>de las mercancías importadas. Sin embargo, los aranceles también pueden constituir un “derecho específico” (por ejemplo, una cantidad determinada por kilogramo u otra unidad de medida). Los países a veces también combinan ambos tipos en forma de derechos compuestos o mixtos</w:t>
      </w:r>
      <w:r>
        <w:rPr>
          <w:sz w:val="22"/>
        </w:rPr>
        <w:t>”</w:t>
      </w:r>
      <w:hyperlink w:history="true" w:anchor="_bookmark123">
        <w:r>
          <w:rPr>
            <w:sz w:val="22"/>
            <w:vertAlign w:val="superscript"/>
          </w:rPr>
          <w:t>56</w:t>
        </w:r>
        <w:r>
          <w:rPr>
            <w:sz w:val="22"/>
            <w:vertAlign w:val="baseline"/>
          </w:rPr>
          <w:t>.</w:t>
        </w:r>
      </w:hyperlink>
    </w:p>
    <w:p>
      <w:pPr>
        <w:pStyle w:val="ListParagraph"/>
        <w:numPr>
          <w:ilvl w:val="0"/>
          <w:numId w:val="50"/>
        </w:numPr>
        <w:tabs>
          <w:tab w:pos="1130" w:val="left" w:leader="none"/>
          <w:tab w:pos="1134" w:val="left" w:leader="none"/>
        </w:tabs>
        <w:spacing w:line="240" w:lineRule="auto" w:before="252" w:after="0"/>
        <w:ind w:left="1134" w:right="977" w:hanging="567"/>
        <w:jc w:val="both"/>
        <w:rPr>
          <w:sz w:val="22"/>
        </w:rPr>
      </w:pPr>
      <w:r>
        <w:rPr>
          <w:sz w:val="22"/>
        </w:rPr>
        <w:t>De la revisión efectuada se advierte la existencia</w:t>
      </w:r>
      <w:r>
        <w:rPr>
          <w:spacing w:val="-2"/>
          <w:sz w:val="22"/>
        </w:rPr>
        <w:t> </w:t>
      </w:r>
      <w:r>
        <w:rPr>
          <w:sz w:val="22"/>
        </w:rPr>
        <w:t>de distintas denominaciones para los aranceles. Por un lado, la normativa andina los</w:t>
      </w:r>
      <w:r>
        <w:rPr>
          <w:spacing w:val="-1"/>
          <w:sz w:val="22"/>
        </w:rPr>
        <w:t> </w:t>
      </w:r>
      <w:r>
        <w:rPr>
          <w:sz w:val="22"/>
        </w:rPr>
        <w:t>refiere como gravámenes arancelarios, derechos arancelarios o derechos de aduana</w:t>
      </w:r>
      <w:hyperlink w:history="true" w:anchor="_bookmark124">
        <w:r>
          <w:rPr>
            <w:sz w:val="22"/>
            <w:vertAlign w:val="superscript"/>
          </w:rPr>
          <w:t>57</w:t>
        </w:r>
      </w:hyperlink>
      <w:r>
        <w:rPr>
          <w:sz w:val="22"/>
          <w:vertAlign w:val="baseline"/>
        </w:rPr>
        <w:t>. Por otro lado, la OMC los define como derechos</w:t>
      </w:r>
      <w:r>
        <w:rPr>
          <w:spacing w:val="-13"/>
          <w:sz w:val="22"/>
          <w:vertAlign w:val="baseline"/>
        </w:rPr>
        <w:t> </w:t>
      </w:r>
      <w:r>
        <w:rPr>
          <w:sz w:val="22"/>
          <w:vertAlign w:val="baseline"/>
        </w:rPr>
        <w:t>de</w:t>
      </w:r>
      <w:r>
        <w:rPr>
          <w:spacing w:val="-15"/>
          <w:sz w:val="22"/>
          <w:vertAlign w:val="baseline"/>
        </w:rPr>
        <w:t> </w:t>
      </w:r>
      <w:r>
        <w:rPr>
          <w:sz w:val="22"/>
          <w:vertAlign w:val="baseline"/>
        </w:rPr>
        <w:t>aduana</w:t>
      </w:r>
      <w:r>
        <w:rPr>
          <w:spacing w:val="-14"/>
          <w:sz w:val="22"/>
          <w:vertAlign w:val="baseline"/>
        </w:rPr>
        <w:t> </w:t>
      </w:r>
      <w:r>
        <w:rPr>
          <w:sz w:val="22"/>
          <w:vertAlign w:val="baseline"/>
        </w:rPr>
        <w:t>aplicables</w:t>
      </w:r>
      <w:r>
        <w:rPr>
          <w:spacing w:val="-13"/>
          <w:sz w:val="22"/>
          <w:vertAlign w:val="baseline"/>
        </w:rPr>
        <w:t> </w:t>
      </w:r>
      <w:r>
        <w:rPr>
          <w:sz w:val="22"/>
          <w:vertAlign w:val="baseline"/>
        </w:rPr>
        <w:t>a</w:t>
      </w:r>
      <w:r>
        <w:rPr>
          <w:spacing w:val="-13"/>
          <w:sz w:val="22"/>
          <w:vertAlign w:val="baseline"/>
        </w:rPr>
        <w:t> </w:t>
      </w:r>
      <w:r>
        <w:rPr>
          <w:sz w:val="22"/>
          <w:vertAlign w:val="baseline"/>
        </w:rPr>
        <w:t>las</w:t>
      </w:r>
      <w:r>
        <w:rPr>
          <w:spacing w:val="-13"/>
          <w:sz w:val="22"/>
          <w:vertAlign w:val="baseline"/>
        </w:rPr>
        <w:t> </w:t>
      </w:r>
      <w:r>
        <w:rPr>
          <w:sz w:val="22"/>
          <w:vertAlign w:val="baseline"/>
        </w:rPr>
        <w:t>importaciones.</w:t>
      </w:r>
      <w:r>
        <w:rPr>
          <w:spacing w:val="-10"/>
          <w:sz w:val="22"/>
          <w:vertAlign w:val="baseline"/>
        </w:rPr>
        <w:t> </w:t>
      </w:r>
      <w:r>
        <w:rPr>
          <w:sz w:val="22"/>
          <w:vertAlign w:val="baseline"/>
        </w:rPr>
        <w:t>Estos</w:t>
      </w:r>
      <w:r>
        <w:rPr>
          <w:spacing w:val="-13"/>
          <w:sz w:val="22"/>
          <w:vertAlign w:val="baseline"/>
        </w:rPr>
        <w:t> </w:t>
      </w:r>
      <w:r>
        <w:rPr>
          <w:sz w:val="22"/>
          <w:vertAlign w:val="baseline"/>
        </w:rPr>
        <w:t>derechos</w:t>
      </w:r>
      <w:r>
        <w:rPr>
          <w:spacing w:val="-15"/>
          <w:sz w:val="22"/>
          <w:vertAlign w:val="baseline"/>
        </w:rPr>
        <w:t> </w:t>
      </w:r>
      <w:r>
        <w:rPr>
          <w:sz w:val="22"/>
          <w:vertAlign w:val="baseline"/>
        </w:rPr>
        <w:t>(aranceles)</w:t>
      </w:r>
      <w:r>
        <w:rPr>
          <w:spacing w:val="-12"/>
          <w:sz w:val="22"/>
          <w:vertAlign w:val="baseline"/>
        </w:rPr>
        <w:t> </w:t>
      </w:r>
      <w:r>
        <w:rPr>
          <w:sz w:val="22"/>
          <w:vertAlign w:val="baseline"/>
        </w:rPr>
        <w:t>pueden clasificarse en ad valorem, específicos o mixtos, y tienen como finalidad otorgar una ventaja de precios en favor del productor nacional.</w:t>
      </w:r>
    </w:p>
    <w:p>
      <w:pPr>
        <w:pStyle w:val="BodyText"/>
      </w:pPr>
    </w:p>
    <w:p>
      <w:pPr>
        <w:pStyle w:val="ListParagraph"/>
        <w:numPr>
          <w:ilvl w:val="0"/>
          <w:numId w:val="50"/>
        </w:numPr>
        <w:tabs>
          <w:tab w:pos="1130" w:val="left" w:leader="none"/>
          <w:tab w:pos="1134" w:val="left" w:leader="none"/>
        </w:tabs>
        <w:spacing w:line="240" w:lineRule="auto" w:before="1" w:after="0"/>
        <w:ind w:left="1134" w:right="982" w:hanging="567"/>
        <w:jc w:val="both"/>
        <w:rPr>
          <w:sz w:val="22"/>
        </w:rPr>
      </w:pPr>
      <w:r>
        <w:rPr>
          <w:sz w:val="22"/>
        </w:rPr>
        <w:t>El presente análisis resulta relevante, en la medida que permite caracterizar la naturaleza de la medida adoptada por la República de Colombia. En tal sentido, el denominado</w:t>
      </w:r>
      <w:r>
        <w:rPr>
          <w:spacing w:val="-8"/>
          <w:sz w:val="22"/>
        </w:rPr>
        <w:t> </w:t>
      </w:r>
      <w:r>
        <w:rPr>
          <w:sz w:val="22"/>
        </w:rPr>
        <w:t>“arancel</w:t>
      </w:r>
      <w:r>
        <w:rPr>
          <w:spacing w:val="-8"/>
          <w:sz w:val="22"/>
        </w:rPr>
        <w:t> </w:t>
      </w:r>
      <w:r>
        <w:rPr>
          <w:sz w:val="22"/>
        </w:rPr>
        <w:t>recíproco”</w:t>
      </w:r>
      <w:r>
        <w:rPr>
          <w:spacing w:val="-6"/>
          <w:sz w:val="22"/>
        </w:rPr>
        <w:t> </w:t>
      </w:r>
      <w:r>
        <w:rPr>
          <w:sz w:val="22"/>
        </w:rPr>
        <w:t>del</w:t>
      </w:r>
      <w:r>
        <w:rPr>
          <w:spacing w:val="-6"/>
          <w:sz w:val="22"/>
        </w:rPr>
        <w:t> </w:t>
      </w:r>
      <w:r>
        <w:rPr>
          <w:sz w:val="22"/>
        </w:rPr>
        <w:t>30%</w:t>
      </w:r>
      <w:r>
        <w:rPr>
          <w:spacing w:val="-7"/>
          <w:sz w:val="22"/>
        </w:rPr>
        <w:t> </w:t>
      </w:r>
      <w:r>
        <w:rPr>
          <w:sz w:val="22"/>
        </w:rPr>
        <w:t>constituiría</w:t>
      </w:r>
      <w:r>
        <w:rPr>
          <w:spacing w:val="-7"/>
          <w:sz w:val="22"/>
        </w:rPr>
        <w:t> </w:t>
      </w:r>
      <w:r>
        <w:rPr>
          <w:sz w:val="22"/>
        </w:rPr>
        <w:t>un</w:t>
      </w:r>
      <w:r>
        <w:rPr>
          <w:spacing w:val="-8"/>
          <w:sz w:val="22"/>
        </w:rPr>
        <w:t> </w:t>
      </w:r>
      <w:r>
        <w:rPr>
          <w:sz w:val="22"/>
        </w:rPr>
        <w:t>arancel</w:t>
      </w:r>
      <w:r>
        <w:rPr>
          <w:spacing w:val="-6"/>
          <w:sz w:val="22"/>
        </w:rPr>
        <w:t> </w:t>
      </w:r>
      <w:r>
        <w:rPr>
          <w:sz w:val="22"/>
        </w:rPr>
        <w:t>ad</w:t>
      </w:r>
      <w:r>
        <w:rPr>
          <w:spacing w:val="-10"/>
          <w:sz w:val="22"/>
        </w:rPr>
        <w:t> </w:t>
      </w:r>
      <w:r>
        <w:rPr>
          <w:sz w:val="22"/>
        </w:rPr>
        <w:t>valorem</w:t>
      </w:r>
      <w:r>
        <w:rPr>
          <w:spacing w:val="-6"/>
          <w:sz w:val="22"/>
        </w:rPr>
        <w:t> </w:t>
      </w:r>
      <w:r>
        <w:rPr>
          <w:sz w:val="22"/>
        </w:rPr>
        <w:t>(esto</w:t>
      </w:r>
      <w:r>
        <w:rPr>
          <w:spacing w:val="-7"/>
          <w:sz w:val="22"/>
        </w:rPr>
        <w:t> </w:t>
      </w:r>
      <w:r>
        <w:rPr>
          <w:sz w:val="22"/>
        </w:rPr>
        <w:t>es,</w:t>
      </w:r>
      <w:r>
        <w:rPr>
          <w:spacing w:val="-6"/>
          <w:sz w:val="22"/>
        </w:rPr>
        <w:t> </w:t>
      </w:r>
      <w:r>
        <w:rPr>
          <w:sz w:val="22"/>
        </w:rPr>
        <w:t>un porcentaje</w:t>
      </w:r>
      <w:r>
        <w:rPr>
          <w:spacing w:val="-15"/>
          <w:sz w:val="22"/>
        </w:rPr>
        <w:t> </w:t>
      </w:r>
      <w:r>
        <w:rPr>
          <w:sz w:val="22"/>
        </w:rPr>
        <w:t>aplicado</w:t>
      </w:r>
      <w:r>
        <w:rPr>
          <w:spacing w:val="-15"/>
          <w:sz w:val="22"/>
        </w:rPr>
        <w:t> </w:t>
      </w:r>
      <w:r>
        <w:rPr>
          <w:sz w:val="22"/>
        </w:rPr>
        <w:t>sobre</w:t>
      </w:r>
      <w:r>
        <w:rPr>
          <w:spacing w:val="-12"/>
          <w:sz w:val="22"/>
        </w:rPr>
        <w:t> </w:t>
      </w:r>
      <w:r>
        <w:rPr>
          <w:sz w:val="22"/>
        </w:rPr>
        <w:t>el</w:t>
      </w:r>
      <w:r>
        <w:rPr>
          <w:spacing w:val="-16"/>
          <w:sz w:val="22"/>
        </w:rPr>
        <w:t> </w:t>
      </w:r>
      <w:r>
        <w:rPr>
          <w:sz w:val="22"/>
        </w:rPr>
        <w:t>valor</w:t>
      </w:r>
      <w:r>
        <w:rPr>
          <w:spacing w:val="-13"/>
          <w:sz w:val="22"/>
        </w:rPr>
        <w:t> </w:t>
      </w:r>
      <w:r>
        <w:rPr>
          <w:sz w:val="22"/>
        </w:rPr>
        <w:t>del</w:t>
      </w:r>
      <w:r>
        <w:rPr>
          <w:spacing w:val="-15"/>
          <w:sz w:val="22"/>
        </w:rPr>
        <w:t> </w:t>
      </w:r>
      <w:r>
        <w:rPr>
          <w:sz w:val="22"/>
        </w:rPr>
        <w:t>producto</w:t>
      </w:r>
      <w:r>
        <w:rPr>
          <w:spacing w:val="-15"/>
          <w:sz w:val="22"/>
        </w:rPr>
        <w:t> </w:t>
      </w:r>
      <w:r>
        <w:rPr>
          <w:sz w:val="22"/>
        </w:rPr>
        <w:t>importado),</w:t>
      </w:r>
      <w:r>
        <w:rPr>
          <w:spacing w:val="-13"/>
          <w:sz w:val="22"/>
        </w:rPr>
        <w:t> </w:t>
      </w:r>
      <w:r>
        <w:rPr>
          <w:sz w:val="22"/>
        </w:rPr>
        <w:t>y</w:t>
      </w:r>
      <w:r>
        <w:rPr>
          <w:spacing w:val="-14"/>
          <w:sz w:val="22"/>
        </w:rPr>
        <w:t> </w:t>
      </w:r>
      <w:r>
        <w:rPr>
          <w:sz w:val="22"/>
        </w:rPr>
        <w:t>conforme</w:t>
      </w:r>
      <w:r>
        <w:rPr>
          <w:spacing w:val="-15"/>
          <w:sz w:val="22"/>
        </w:rPr>
        <w:t> </w:t>
      </w:r>
      <w:r>
        <w:rPr>
          <w:sz w:val="22"/>
        </w:rPr>
        <w:t>a</w:t>
      </w:r>
      <w:r>
        <w:rPr>
          <w:spacing w:val="-15"/>
          <w:sz w:val="22"/>
        </w:rPr>
        <w:t> </w:t>
      </w:r>
      <w:r>
        <w:rPr>
          <w:sz w:val="22"/>
        </w:rPr>
        <w:t>las</w:t>
      </w:r>
      <w:r>
        <w:rPr>
          <w:spacing w:val="-12"/>
          <w:sz w:val="22"/>
        </w:rPr>
        <w:t> </w:t>
      </w:r>
      <w:r>
        <w:rPr>
          <w:sz w:val="22"/>
        </w:rPr>
        <w:t>definiciones expuestas, incidiría directamente sobre las importaciones, al tiempo que conferiría una ventaja en materia de precios a los productos producidos en el mercado colombiano frente a los bienes ecuatorianos importados.</w:t>
      </w:r>
    </w:p>
    <w:p>
      <w:pPr>
        <w:pStyle w:val="ListParagraph"/>
        <w:numPr>
          <w:ilvl w:val="0"/>
          <w:numId w:val="50"/>
        </w:numPr>
        <w:tabs>
          <w:tab w:pos="1130" w:val="left" w:leader="none"/>
          <w:tab w:pos="1134" w:val="left" w:leader="none"/>
        </w:tabs>
        <w:spacing w:line="240" w:lineRule="auto" w:before="252" w:after="0"/>
        <w:ind w:left="1134" w:right="975" w:hanging="567"/>
        <w:jc w:val="both"/>
        <w:rPr>
          <w:sz w:val="22"/>
        </w:rPr>
      </w:pPr>
      <w:r>
        <w:rPr>
          <w:sz w:val="22"/>
        </w:rPr>
        <w:t>El criterio expuesto es reiterado en el Informe Técnico presentado por la República del Ecuador, en el cual se indica que, “[l]</w:t>
      </w:r>
      <w:r>
        <w:rPr>
          <w:rFonts w:ascii="Arial" w:hAnsi="Arial"/>
          <w:i/>
          <w:sz w:val="22"/>
        </w:rPr>
        <w:t>a exportación de las 73 subpartidas arancelarias ascendió a 252 millones de dólares, correspondiendo al 30% del total exportado por Ecuador</w:t>
      </w:r>
      <w:r>
        <w:rPr>
          <w:rFonts w:ascii="Arial" w:hAnsi="Arial"/>
          <w:i/>
          <w:spacing w:val="-2"/>
          <w:sz w:val="22"/>
        </w:rPr>
        <w:t> </w:t>
      </w:r>
      <w:r>
        <w:rPr>
          <w:rFonts w:ascii="Arial" w:hAnsi="Arial"/>
          <w:i/>
          <w:sz w:val="22"/>
        </w:rPr>
        <w:t>en</w:t>
      </w:r>
      <w:r>
        <w:rPr>
          <w:rFonts w:ascii="Arial" w:hAnsi="Arial"/>
          <w:i/>
          <w:spacing w:val="-3"/>
          <w:sz w:val="22"/>
        </w:rPr>
        <w:t> </w:t>
      </w:r>
      <w:r>
        <w:rPr>
          <w:rFonts w:ascii="Arial" w:hAnsi="Arial"/>
          <w:i/>
          <w:sz w:val="22"/>
        </w:rPr>
        <w:t>promedio</w:t>
      </w:r>
      <w:r>
        <w:rPr>
          <w:rFonts w:ascii="Arial" w:hAnsi="Arial"/>
          <w:i/>
          <w:spacing w:val="-3"/>
          <w:sz w:val="22"/>
        </w:rPr>
        <w:t> </w:t>
      </w:r>
      <w:r>
        <w:rPr>
          <w:rFonts w:ascii="Arial" w:hAnsi="Arial"/>
          <w:i/>
          <w:sz w:val="22"/>
        </w:rPr>
        <w:t>en</w:t>
      </w:r>
      <w:r>
        <w:rPr>
          <w:rFonts w:ascii="Arial" w:hAnsi="Arial"/>
          <w:i/>
          <w:spacing w:val="-4"/>
          <w:sz w:val="22"/>
        </w:rPr>
        <w:t> </w:t>
      </w:r>
      <w:r>
        <w:rPr>
          <w:rFonts w:ascii="Arial" w:hAnsi="Arial"/>
          <w:i/>
          <w:sz w:val="22"/>
        </w:rPr>
        <w:t>el</w:t>
      </w:r>
      <w:r>
        <w:rPr>
          <w:rFonts w:ascii="Arial" w:hAnsi="Arial"/>
          <w:i/>
          <w:spacing w:val="-4"/>
          <w:sz w:val="22"/>
        </w:rPr>
        <w:t> </w:t>
      </w:r>
      <w:r>
        <w:rPr>
          <w:rFonts w:ascii="Arial" w:hAnsi="Arial"/>
          <w:i/>
          <w:sz w:val="22"/>
        </w:rPr>
        <w:t>período</w:t>
      </w:r>
      <w:r>
        <w:rPr>
          <w:rFonts w:ascii="Arial" w:hAnsi="Arial"/>
          <w:i/>
          <w:spacing w:val="-4"/>
          <w:sz w:val="22"/>
        </w:rPr>
        <w:t> </w:t>
      </w:r>
      <w:r>
        <w:rPr>
          <w:rFonts w:ascii="Arial" w:hAnsi="Arial"/>
          <w:i/>
          <w:sz w:val="22"/>
        </w:rPr>
        <w:t>2023-2025.</w:t>
      </w:r>
      <w:r>
        <w:rPr>
          <w:rFonts w:ascii="Arial" w:hAnsi="Arial"/>
          <w:i/>
          <w:spacing w:val="-1"/>
          <w:sz w:val="22"/>
        </w:rPr>
        <w:t> </w:t>
      </w:r>
      <w:r>
        <w:rPr>
          <w:rFonts w:ascii="Arial" w:hAnsi="Arial"/>
          <w:i/>
          <w:sz w:val="22"/>
        </w:rPr>
        <w:t>Este</w:t>
      </w:r>
      <w:r>
        <w:rPr>
          <w:rFonts w:ascii="Arial" w:hAnsi="Arial"/>
          <w:i/>
          <w:spacing w:val="-3"/>
          <w:sz w:val="22"/>
        </w:rPr>
        <w:t> </w:t>
      </w:r>
      <w:r>
        <w:rPr>
          <w:rFonts w:ascii="Arial" w:hAnsi="Arial"/>
          <w:i/>
          <w:sz w:val="22"/>
        </w:rPr>
        <w:t>arancel</w:t>
      </w:r>
      <w:r>
        <w:rPr>
          <w:rFonts w:ascii="Arial" w:hAnsi="Arial"/>
          <w:i/>
          <w:spacing w:val="-3"/>
          <w:sz w:val="22"/>
        </w:rPr>
        <w:t> </w:t>
      </w:r>
      <w:r>
        <w:rPr>
          <w:rFonts w:ascii="Arial" w:hAnsi="Arial"/>
          <w:b/>
          <w:i/>
          <w:sz w:val="22"/>
          <w:u w:val="single"/>
        </w:rPr>
        <w:t>incrementará</w:t>
      </w:r>
      <w:r>
        <w:rPr>
          <w:rFonts w:ascii="Arial" w:hAnsi="Arial"/>
          <w:b/>
          <w:i/>
          <w:spacing w:val="-3"/>
          <w:sz w:val="22"/>
          <w:u w:val="single"/>
        </w:rPr>
        <w:t> </w:t>
      </w:r>
      <w:r>
        <w:rPr>
          <w:rFonts w:ascii="Arial" w:hAnsi="Arial"/>
          <w:b/>
          <w:i/>
          <w:sz w:val="22"/>
          <w:u w:val="single"/>
        </w:rPr>
        <w:t>el</w:t>
      </w:r>
      <w:r>
        <w:rPr>
          <w:rFonts w:ascii="Arial" w:hAnsi="Arial"/>
          <w:b/>
          <w:i/>
          <w:spacing w:val="-1"/>
          <w:sz w:val="22"/>
          <w:u w:val="single"/>
        </w:rPr>
        <w:t> </w:t>
      </w:r>
      <w:r>
        <w:rPr>
          <w:rFonts w:ascii="Arial" w:hAnsi="Arial"/>
          <w:b/>
          <w:i/>
          <w:sz w:val="22"/>
          <w:u w:val="single"/>
        </w:rPr>
        <w:t>valor</w:t>
      </w:r>
      <w:r>
        <w:rPr>
          <w:rFonts w:ascii="Arial" w:hAnsi="Arial"/>
          <w:b/>
          <w:i/>
          <w:spacing w:val="-2"/>
          <w:sz w:val="22"/>
          <w:u w:val="single"/>
        </w:rPr>
        <w:t> </w:t>
      </w:r>
      <w:r>
        <w:rPr>
          <w:rFonts w:ascii="Arial" w:hAnsi="Arial"/>
          <w:b/>
          <w:i/>
          <w:sz w:val="22"/>
          <w:u w:val="single"/>
        </w:rPr>
        <w:t>de</w:t>
      </w:r>
      <w:r>
        <w:rPr>
          <w:rFonts w:ascii="Arial" w:hAnsi="Arial"/>
          <w:b/>
          <w:i/>
          <w:sz w:val="22"/>
        </w:rPr>
        <w:t> </w:t>
      </w:r>
      <w:r>
        <w:rPr>
          <w:rFonts w:ascii="Arial" w:hAnsi="Arial"/>
          <w:b/>
          <w:i/>
          <w:sz w:val="22"/>
          <w:u w:val="single"/>
        </w:rPr>
        <w:t>estos productos ecuatorianos en un 30% en el mercado colombiano</w:t>
      </w:r>
      <w:r>
        <w:rPr>
          <w:rFonts w:ascii="Arial" w:hAnsi="Arial"/>
          <w:i/>
          <w:sz w:val="22"/>
        </w:rPr>
        <w:t>, lo cual afectará su competitividad con los productos nacionales y extranjeros</w:t>
      </w:r>
      <w:r>
        <w:rPr>
          <w:sz w:val="22"/>
        </w:rPr>
        <w:t>”</w:t>
      </w:r>
      <w:hyperlink w:history="true" w:anchor="_bookmark125">
        <w:r>
          <w:rPr>
            <w:sz w:val="22"/>
            <w:vertAlign w:val="superscript"/>
          </w:rPr>
          <w:t>58</w:t>
        </w:r>
      </w:hyperlink>
      <w:r>
        <w:rPr>
          <w:sz w:val="22"/>
          <w:vertAlign w:val="baseline"/>
        </w:rPr>
        <w:t> [énfasis </w:t>
      </w:r>
      <w:r>
        <w:rPr>
          <w:spacing w:val="-2"/>
          <w:sz w:val="22"/>
          <w:vertAlign w:val="baseline"/>
        </w:rPr>
        <w:t>añadido]</w:t>
      </w:r>
    </w:p>
    <w:p>
      <w:pPr>
        <w:pStyle w:val="BodyText"/>
        <w:spacing w:before="2"/>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Por</w:t>
      </w:r>
      <w:r>
        <w:rPr>
          <w:spacing w:val="-6"/>
          <w:sz w:val="22"/>
        </w:rPr>
        <w:t> </w:t>
      </w:r>
      <w:r>
        <w:rPr>
          <w:sz w:val="22"/>
        </w:rPr>
        <w:t>otra</w:t>
      </w:r>
      <w:r>
        <w:rPr>
          <w:spacing w:val="-6"/>
          <w:sz w:val="22"/>
        </w:rPr>
        <w:t> </w:t>
      </w:r>
      <w:r>
        <w:rPr>
          <w:sz w:val="22"/>
        </w:rPr>
        <w:t>parte,</w:t>
      </w:r>
      <w:r>
        <w:rPr>
          <w:spacing w:val="-5"/>
          <w:sz w:val="22"/>
        </w:rPr>
        <w:t> </w:t>
      </w:r>
      <w:r>
        <w:rPr>
          <w:sz w:val="22"/>
        </w:rPr>
        <w:t>con</w:t>
      </w:r>
      <w:r>
        <w:rPr>
          <w:spacing w:val="-9"/>
          <w:sz w:val="22"/>
        </w:rPr>
        <w:t> </w:t>
      </w:r>
      <w:r>
        <w:rPr>
          <w:sz w:val="22"/>
        </w:rPr>
        <w:t>el</w:t>
      </w:r>
      <w:r>
        <w:rPr>
          <w:spacing w:val="-7"/>
          <w:sz w:val="22"/>
        </w:rPr>
        <w:t> </w:t>
      </w:r>
      <w:r>
        <w:rPr>
          <w:sz w:val="22"/>
        </w:rPr>
        <w:t>fin</w:t>
      </w:r>
      <w:r>
        <w:rPr>
          <w:spacing w:val="-9"/>
          <w:sz w:val="22"/>
        </w:rPr>
        <w:t> </w:t>
      </w:r>
      <w:r>
        <w:rPr>
          <w:sz w:val="22"/>
        </w:rPr>
        <w:t>de</w:t>
      </w:r>
      <w:r>
        <w:rPr>
          <w:spacing w:val="-7"/>
          <w:sz w:val="22"/>
        </w:rPr>
        <w:t> </w:t>
      </w:r>
      <w:r>
        <w:rPr>
          <w:sz w:val="22"/>
        </w:rPr>
        <w:t>evidenciar</w:t>
      </w:r>
      <w:r>
        <w:rPr>
          <w:spacing w:val="-6"/>
          <w:sz w:val="22"/>
        </w:rPr>
        <w:t> </w:t>
      </w:r>
      <w:r>
        <w:rPr>
          <w:sz w:val="22"/>
        </w:rPr>
        <w:t>la</w:t>
      </w:r>
      <w:r>
        <w:rPr>
          <w:spacing w:val="-6"/>
          <w:sz w:val="22"/>
        </w:rPr>
        <w:t> </w:t>
      </w:r>
      <w:r>
        <w:rPr>
          <w:sz w:val="22"/>
        </w:rPr>
        <w:t>incidencia</w:t>
      </w:r>
      <w:r>
        <w:rPr>
          <w:spacing w:val="-6"/>
          <w:sz w:val="22"/>
        </w:rPr>
        <w:t> </w:t>
      </w:r>
      <w:r>
        <w:rPr>
          <w:sz w:val="22"/>
        </w:rPr>
        <w:t>de</w:t>
      </w:r>
      <w:r>
        <w:rPr>
          <w:spacing w:val="-7"/>
          <w:sz w:val="22"/>
        </w:rPr>
        <w:t> </w:t>
      </w:r>
      <w:r>
        <w:rPr>
          <w:sz w:val="22"/>
        </w:rPr>
        <w:t>la</w:t>
      </w:r>
      <w:r>
        <w:rPr>
          <w:spacing w:val="-9"/>
          <w:sz w:val="22"/>
        </w:rPr>
        <w:t> </w:t>
      </w:r>
      <w:r>
        <w:rPr>
          <w:sz w:val="22"/>
        </w:rPr>
        <w:t>medida</w:t>
      </w:r>
      <w:r>
        <w:rPr>
          <w:spacing w:val="-7"/>
          <w:sz w:val="22"/>
        </w:rPr>
        <w:t> </w:t>
      </w:r>
      <w:r>
        <w:rPr>
          <w:sz w:val="22"/>
        </w:rPr>
        <w:t>del</w:t>
      </w:r>
      <w:r>
        <w:rPr>
          <w:spacing w:val="-7"/>
          <w:sz w:val="22"/>
        </w:rPr>
        <w:t> </w:t>
      </w:r>
      <w:r>
        <w:rPr>
          <w:sz w:val="22"/>
        </w:rPr>
        <w:t>“arancel</w:t>
      </w:r>
      <w:r>
        <w:rPr>
          <w:spacing w:val="-7"/>
          <w:sz w:val="22"/>
        </w:rPr>
        <w:t> </w:t>
      </w:r>
      <w:r>
        <w:rPr>
          <w:sz w:val="22"/>
        </w:rPr>
        <w:t>recíproco” del</w:t>
      </w:r>
      <w:r>
        <w:rPr>
          <w:spacing w:val="-13"/>
          <w:sz w:val="22"/>
        </w:rPr>
        <w:t> </w:t>
      </w:r>
      <w:r>
        <w:rPr>
          <w:sz w:val="22"/>
        </w:rPr>
        <w:t>30%,</w:t>
      </w:r>
      <w:r>
        <w:rPr>
          <w:spacing w:val="-10"/>
          <w:sz w:val="22"/>
        </w:rPr>
        <w:t> </w:t>
      </w:r>
      <w:r>
        <w:rPr>
          <w:sz w:val="22"/>
        </w:rPr>
        <w:t>sobre</w:t>
      </w:r>
      <w:r>
        <w:rPr>
          <w:spacing w:val="-12"/>
          <w:sz w:val="22"/>
        </w:rPr>
        <w:t> </w:t>
      </w:r>
      <w:r>
        <w:rPr>
          <w:sz w:val="22"/>
        </w:rPr>
        <w:t>las</w:t>
      </w:r>
      <w:r>
        <w:rPr>
          <w:spacing w:val="-12"/>
          <w:sz w:val="22"/>
        </w:rPr>
        <w:t> </w:t>
      </w:r>
      <w:r>
        <w:rPr>
          <w:sz w:val="22"/>
        </w:rPr>
        <w:t>importaciones</w:t>
      </w:r>
      <w:r>
        <w:rPr>
          <w:spacing w:val="-12"/>
          <w:sz w:val="22"/>
        </w:rPr>
        <w:t> </w:t>
      </w:r>
      <w:r>
        <w:rPr>
          <w:sz w:val="22"/>
        </w:rPr>
        <w:t>provenientes</w:t>
      </w:r>
      <w:r>
        <w:rPr>
          <w:spacing w:val="-12"/>
          <w:sz w:val="22"/>
        </w:rPr>
        <w:t> </w:t>
      </w:r>
      <w:r>
        <w:rPr>
          <w:sz w:val="22"/>
        </w:rPr>
        <w:t>de</w:t>
      </w:r>
      <w:r>
        <w:rPr>
          <w:spacing w:val="-16"/>
          <w:sz w:val="22"/>
        </w:rPr>
        <w:t> </w:t>
      </w:r>
      <w:r>
        <w:rPr>
          <w:sz w:val="22"/>
        </w:rPr>
        <w:t>la</w:t>
      </w:r>
      <w:r>
        <w:rPr>
          <w:spacing w:val="-11"/>
          <w:sz w:val="22"/>
        </w:rPr>
        <w:t> </w:t>
      </w:r>
      <w:r>
        <w:rPr>
          <w:sz w:val="22"/>
        </w:rPr>
        <w:t>República</w:t>
      </w:r>
      <w:r>
        <w:rPr>
          <w:spacing w:val="-12"/>
          <w:sz w:val="22"/>
        </w:rPr>
        <w:t> </w:t>
      </w:r>
      <w:r>
        <w:rPr>
          <w:sz w:val="22"/>
        </w:rPr>
        <w:t>del</w:t>
      </w:r>
      <w:r>
        <w:rPr>
          <w:spacing w:val="-13"/>
          <w:sz w:val="22"/>
        </w:rPr>
        <w:t> </w:t>
      </w:r>
      <w:r>
        <w:rPr>
          <w:sz w:val="22"/>
        </w:rPr>
        <w:t>Ecuador,</w:t>
      </w:r>
      <w:r>
        <w:rPr>
          <w:spacing w:val="-11"/>
          <w:sz w:val="22"/>
        </w:rPr>
        <w:t> </w:t>
      </w:r>
      <w:r>
        <w:rPr>
          <w:sz w:val="22"/>
        </w:rPr>
        <w:t>se</w:t>
      </w:r>
      <w:r>
        <w:rPr>
          <w:spacing w:val="-12"/>
          <w:sz w:val="22"/>
        </w:rPr>
        <w:t> </w:t>
      </w:r>
      <w:r>
        <w:rPr>
          <w:sz w:val="22"/>
        </w:rPr>
        <w:t>consultó la</w:t>
      </w:r>
      <w:r>
        <w:rPr>
          <w:spacing w:val="19"/>
          <w:sz w:val="22"/>
        </w:rPr>
        <w:t> </w:t>
      </w:r>
      <w:r>
        <w:rPr>
          <w:sz w:val="22"/>
        </w:rPr>
        <w:t>página</w:t>
      </w:r>
      <w:r>
        <w:rPr>
          <w:spacing w:val="18"/>
          <w:sz w:val="22"/>
        </w:rPr>
        <w:t> </w:t>
      </w:r>
      <w:r>
        <w:rPr>
          <w:sz w:val="22"/>
        </w:rPr>
        <w:t>web</w:t>
      </w:r>
      <w:r>
        <w:rPr>
          <w:spacing w:val="18"/>
          <w:sz w:val="22"/>
        </w:rPr>
        <w:t> </w:t>
      </w:r>
      <w:r>
        <w:rPr>
          <w:sz w:val="22"/>
        </w:rPr>
        <w:t>de</w:t>
      </w:r>
      <w:r>
        <w:rPr>
          <w:spacing w:val="18"/>
          <w:sz w:val="22"/>
        </w:rPr>
        <w:t> </w:t>
      </w:r>
      <w:r>
        <w:rPr>
          <w:sz w:val="22"/>
        </w:rPr>
        <w:t>la</w:t>
      </w:r>
      <w:r>
        <w:rPr>
          <w:spacing w:val="19"/>
          <w:sz w:val="22"/>
        </w:rPr>
        <w:t> </w:t>
      </w:r>
      <w:r>
        <w:rPr>
          <w:sz w:val="22"/>
        </w:rPr>
        <w:t>Dirección</w:t>
      </w:r>
      <w:r>
        <w:rPr>
          <w:spacing w:val="18"/>
          <w:sz w:val="22"/>
        </w:rPr>
        <w:t> </w:t>
      </w:r>
      <w:r>
        <w:rPr>
          <w:sz w:val="22"/>
        </w:rPr>
        <w:t>de</w:t>
      </w:r>
      <w:r>
        <w:rPr>
          <w:spacing w:val="18"/>
          <w:sz w:val="22"/>
        </w:rPr>
        <w:t> </w:t>
      </w:r>
      <w:r>
        <w:rPr>
          <w:sz w:val="22"/>
        </w:rPr>
        <w:t>Impuestos</w:t>
      </w:r>
      <w:r>
        <w:rPr>
          <w:spacing w:val="19"/>
          <w:sz w:val="22"/>
        </w:rPr>
        <w:t> </w:t>
      </w:r>
      <w:r>
        <w:rPr>
          <w:sz w:val="22"/>
        </w:rPr>
        <w:t>y</w:t>
      </w:r>
      <w:r>
        <w:rPr>
          <w:spacing w:val="17"/>
          <w:sz w:val="22"/>
        </w:rPr>
        <w:t> </w:t>
      </w:r>
      <w:r>
        <w:rPr>
          <w:sz w:val="22"/>
        </w:rPr>
        <w:t>Aduanas</w:t>
      </w:r>
      <w:r>
        <w:rPr>
          <w:spacing w:val="19"/>
          <w:sz w:val="22"/>
        </w:rPr>
        <w:t> </w:t>
      </w:r>
      <w:r>
        <w:rPr>
          <w:sz w:val="22"/>
        </w:rPr>
        <w:t>Nacionales</w:t>
      </w:r>
      <w:hyperlink w:history="true" w:anchor="_bookmark126">
        <w:r>
          <w:rPr>
            <w:sz w:val="22"/>
            <w:vertAlign w:val="superscript"/>
          </w:rPr>
          <w:t>59</w:t>
        </w:r>
      </w:hyperlink>
      <w:r>
        <w:rPr>
          <w:spacing w:val="19"/>
          <w:sz w:val="22"/>
          <w:vertAlign w:val="baseline"/>
        </w:rPr>
        <w:t> </w:t>
      </w:r>
      <w:r>
        <w:rPr>
          <w:sz w:val="22"/>
          <w:vertAlign w:val="baseline"/>
        </w:rPr>
        <w:t>(DIAN),</w:t>
      </w:r>
      <w:r>
        <w:rPr>
          <w:spacing w:val="20"/>
          <w:sz w:val="22"/>
          <w:vertAlign w:val="baseline"/>
        </w:rPr>
        <w:t> </w:t>
      </w:r>
      <w:r>
        <w:rPr>
          <w:sz w:val="22"/>
          <w:vertAlign w:val="baseline"/>
        </w:rPr>
        <w:t>entidad</w:t>
      </w:r>
    </w:p>
    <w:p>
      <w:pPr>
        <w:pStyle w:val="BodyText"/>
        <w:rPr>
          <w:sz w:val="16"/>
        </w:rPr>
      </w:pPr>
      <w:r>
        <w:rPr>
          <w:sz w:val="16"/>
        </w:rPr>
        <mc:AlternateContent>
          <mc:Choice Requires="wps">
            <w:drawing>
              <wp:anchor distT="0" distB="0" distL="0" distR="0" allowOverlap="1" layoutInCell="1" locked="0" behindDoc="1" simplePos="0" relativeHeight="487644160">
                <wp:simplePos x="0" y="0"/>
                <wp:positionH relativeFrom="page">
                  <wp:posOffset>990904</wp:posOffset>
                </wp:positionH>
                <wp:positionV relativeFrom="paragraph">
                  <wp:posOffset>132644</wp:posOffset>
                </wp:positionV>
                <wp:extent cx="1829435" cy="7620"/>
                <wp:effectExtent l="0" t="0" r="0" b="0"/>
                <wp:wrapTopAndBottom/>
                <wp:docPr id="517" name="Graphic 517"/>
                <wp:cNvGraphicFramePr>
                  <a:graphicFrameLocks/>
                </wp:cNvGraphicFramePr>
                <a:graphic>
                  <a:graphicData uri="http://schemas.microsoft.com/office/word/2010/wordprocessingShape">
                    <wps:wsp>
                      <wps:cNvPr id="517" name="Graphic 517"/>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0.444434pt;width:144.020pt;height:.599980pt;mso-position-horizontal-relative:page;mso-position-vertical-relative:paragraph;z-index:-15672320;mso-wrap-distance-left:0;mso-wrap-distance-right:0" id="docshape356" filled="true" fillcolor="#000000" stroked="false">
                <v:fill type="solid"/>
                <w10:wrap type="topAndBottom"/>
              </v:rect>
            </w:pict>
          </mc:Fallback>
        </mc:AlternateContent>
      </w:r>
    </w:p>
    <w:p>
      <w:pPr>
        <w:spacing w:line="183" w:lineRule="exact" w:before="92"/>
        <w:ind w:left="568" w:right="0" w:firstLine="0"/>
        <w:jc w:val="left"/>
        <w:rPr>
          <w:sz w:val="16"/>
        </w:rPr>
      </w:pPr>
      <w:bookmarkStart w:name="_bookmark119" w:id="120"/>
      <w:bookmarkEnd w:id="120"/>
      <w:r>
        <w:rPr/>
      </w:r>
      <w:r>
        <w:rPr>
          <w:sz w:val="16"/>
          <w:vertAlign w:val="superscript"/>
        </w:rPr>
        <w:t>52</w:t>
      </w:r>
      <w:r>
        <w:rPr>
          <w:spacing w:val="-4"/>
          <w:sz w:val="16"/>
          <w:vertAlign w:val="baseline"/>
        </w:rPr>
        <w:t> </w:t>
      </w:r>
      <w:r>
        <w:rPr>
          <w:sz w:val="16"/>
          <w:vertAlign w:val="baseline"/>
        </w:rPr>
        <w:t>Actualización</w:t>
      </w:r>
      <w:r>
        <w:rPr>
          <w:spacing w:val="-4"/>
          <w:sz w:val="16"/>
          <w:vertAlign w:val="baseline"/>
        </w:rPr>
        <w:t> </w:t>
      </w:r>
      <w:r>
        <w:rPr>
          <w:sz w:val="16"/>
          <w:vertAlign w:val="baseline"/>
        </w:rPr>
        <w:t>de</w:t>
      </w:r>
      <w:r>
        <w:rPr>
          <w:spacing w:val="-6"/>
          <w:sz w:val="16"/>
          <w:vertAlign w:val="baseline"/>
        </w:rPr>
        <w:t> </w:t>
      </w:r>
      <w:r>
        <w:rPr>
          <w:sz w:val="16"/>
          <w:vertAlign w:val="baseline"/>
        </w:rPr>
        <w:t>la</w:t>
      </w:r>
      <w:r>
        <w:rPr>
          <w:spacing w:val="-6"/>
          <w:sz w:val="16"/>
          <w:vertAlign w:val="baseline"/>
        </w:rPr>
        <w:t> </w:t>
      </w:r>
      <w:r>
        <w:rPr>
          <w:sz w:val="16"/>
          <w:vertAlign w:val="baseline"/>
        </w:rPr>
        <w:t>Armonización</w:t>
      </w:r>
      <w:r>
        <w:rPr>
          <w:spacing w:val="-8"/>
          <w:sz w:val="16"/>
          <w:vertAlign w:val="baseline"/>
        </w:rPr>
        <w:t> </w:t>
      </w:r>
      <w:r>
        <w:rPr>
          <w:sz w:val="16"/>
          <w:vertAlign w:val="baseline"/>
        </w:rPr>
        <w:t>de</w:t>
      </w:r>
      <w:r>
        <w:rPr>
          <w:spacing w:val="-4"/>
          <w:sz w:val="16"/>
          <w:vertAlign w:val="baseline"/>
        </w:rPr>
        <w:t> </w:t>
      </w:r>
      <w:r>
        <w:rPr>
          <w:sz w:val="16"/>
          <w:vertAlign w:val="baseline"/>
        </w:rPr>
        <w:t>Regímenes</w:t>
      </w:r>
      <w:r>
        <w:rPr>
          <w:spacing w:val="-5"/>
          <w:sz w:val="16"/>
          <w:vertAlign w:val="baseline"/>
        </w:rPr>
        <w:t> </w:t>
      </w:r>
      <w:r>
        <w:rPr>
          <w:sz w:val="16"/>
          <w:vertAlign w:val="baseline"/>
        </w:rPr>
        <w:t>Aduaneros</w:t>
      </w:r>
      <w:r>
        <w:rPr>
          <w:spacing w:val="-5"/>
          <w:sz w:val="16"/>
          <w:vertAlign w:val="baseline"/>
        </w:rPr>
        <w:t> </w:t>
      </w:r>
      <w:r>
        <w:rPr>
          <w:sz w:val="16"/>
          <w:vertAlign w:val="baseline"/>
        </w:rPr>
        <w:t>de 26</w:t>
      </w:r>
      <w:r>
        <w:rPr>
          <w:spacing w:val="-4"/>
          <w:sz w:val="16"/>
          <w:vertAlign w:val="baseline"/>
        </w:rPr>
        <w:t> </w:t>
      </w:r>
      <w:r>
        <w:rPr>
          <w:sz w:val="16"/>
          <w:vertAlign w:val="baseline"/>
        </w:rPr>
        <w:t>de</w:t>
      </w:r>
      <w:r>
        <w:rPr>
          <w:spacing w:val="-4"/>
          <w:sz w:val="16"/>
          <w:vertAlign w:val="baseline"/>
        </w:rPr>
        <w:t> </w:t>
      </w:r>
      <w:r>
        <w:rPr>
          <w:sz w:val="16"/>
          <w:vertAlign w:val="baseline"/>
        </w:rPr>
        <w:t>julio</w:t>
      </w:r>
      <w:r>
        <w:rPr>
          <w:spacing w:val="-4"/>
          <w:sz w:val="16"/>
          <w:vertAlign w:val="baseline"/>
        </w:rPr>
        <w:t> </w:t>
      </w:r>
      <w:r>
        <w:rPr>
          <w:sz w:val="16"/>
          <w:vertAlign w:val="baseline"/>
        </w:rPr>
        <w:t>de</w:t>
      </w:r>
      <w:r>
        <w:rPr>
          <w:spacing w:val="-6"/>
          <w:sz w:val="16"/>
          <w:vertAlign w:val="baseline"/>
        </w:rPr>
        <w:t> </w:t>
      </w:r>
      <w:r>
        <w:rPr>
          <w:spacing w:val="-2"/>
          <w:sz w:val="16"/>
          <w:vertAlign w:val="baseline"/>
        </w:rPr>
        <w:t>2019.</w:t>
      </w:r>
    </w:p>
    <w:p>
      <w:pPr>
        <w:spacing w:before="0"/>
        <w:ind w:left="710" w:right="955" w:hanging="142"/>
        <w:jc w:val="left"/>
        <w:rPr>
          <w:sz w:val="16"/>
        </w:rPr>
      </w:pPr>
      <w:bookmarkStart w:name="_bookmark120" w:id="121"/>
      <w:bookmarkEnd w:id="121"/>
      <w:r>
        <w:rPr/>
      </w:r>
      <w:r>
        <w:rPr>
          <w:sz w:val="16"/>
          <w:vertAlign w:val="superscript"/>
        </w:rPr>
        <w:t>53</w:t>
      </w:r>
      <w:r>
        <w:rPr>
          <w:sz w:val="16"/>
          <w:vertAlign w:val="baseline"/>
        </w:rPr>
        <w:t> Artículo 2 de la Decisión 884. Esta definición también es adoptada por la DIAN para definir los derechos de aduana, según consta en su sitio Web: </w:t>
      </w:r>
      <w:hyperlink r:id="rId86">
        <w:r>
          <w:rPr>
            <w:sz w:val="16"/>
            <w:vertAlign w:val="baseline"/>
          </w:rPr>
          <w:t>https://www.dian.gov.co/tramitesservicios/tramites-y-servicios/Paginas/tramites-aduaneros.aspx</w:t>
        </w:r>
      </w:hyperlink>
      <w:r>
        <w:rPr>
          <w:sz w:val="16"/>
          <w:vertAlign w:val="baseline"/>
        </w:rPr>
        <w:t>.</w:t>
      </w:r>
    </w:p>
    <w:p>
      <w:pPr>
        <w:spacing w:line="183" w:lineRule="exact" w:before="1"/>
        <w:ind w:left="568" w:right="0" w:firstLine="0"/>
        <w:jc w:val="left"/>
        <w:rPr>
          <w:sz w:val="16"/>
        </w:rPr>
      </w:pPr>
      <w:bookmarkStart w:name="_bookmark121" w:id="122"/>
      <w:bookmarkEnd w:id="122"/>
      <w:r>
        <w:rPr/>
      </w:r>
      <w:r>
        <w:rPr>
          <w:sz w:val="16"/>
          <w:vertAlign w:val="superscript"/>
        </w:rPr>
        <w:t>54</w:t>
      </w:r>
      <w:r>
        <w:rPr>
          <w:spacing w:val="-5"/>
          <w:sz w:val="16"/>
          <w:vertAlign w:val="baseline"/>
        </w:rPr>
        <w:t> </w:t>
      </w:r>
      <w:r>
        <w:rPr>
          <w:sz w:val="16"/>
          <w:vertAlign w:val="baseline"/>
        </w:rPr>
        <w:t>Organización</w:t>
      </w:r>
      <w:r>
        <w:rPr>
          <w:spacing w:val="-8"/>
          <w:sz w:val="16"/>
          <w:vertAlign w:val="baseline"/>
        </w:rPr>
        <w:t> </w:t>
      </w:r>
      <w:r>
        <w:rPr>
          <w:sz w:val="16"/>
          <w:vertAlign w:val="baseline"/>
        </w:rPr>
        <w:t>Mundial</w:t>
      </w:r>
      <w:r>
        <w:rPr>
          <w:spacing w:val="-4"/>
          <w:sz w:val="16"/>
          <w:vertAlign w:val="baseline"/>
        </w:rPr>
        <w:t> </w:t>
      </w:r>
      <w:r>
        <w:rPr>
          <w:sz w:val="16"/>
          <w:vertAlign w:val="baseline"/>
        </w:rPr>
        <w:t>del</w:t>
      </w:r>
      <w:r>
        <w:rPr>
          <w:spacing w:val="-7"/>
          <w:sz w:val="16"/>
          <w:vertAlign w:val="baseline"/>
        </w:rPr>
        <w:t> </w:t>
      </w:r>
      <w:r>
        <w:rPr>
          <w:sz w:val="16"/>
          <w:vertAlign w:val="baseline"/>
        </w:rPr>
        <w:t>Comercio</w:t>
      </w:r>
      <w:r>
        <w:rPr>
          <w:spacing w:val="-4"/>
          <w:sz w:val="16"/>
          <w:vertAlign w:val="baseline"/>
        </w:rPr>
        <w:t> </w:t>
      </w:r>
      <w:r>
        <w:rPr>
          <w:spacing w:val="-2"/>
          <w:sz w:val="16"/>
          <w:vertAlign w:val="baseline"/>
        </w:rPr>
        <w:t>(OMC).</w:t>
      </w:r>
    </w:p>
    <w:p>
      <w:pPr>
        <w:spacing w:line="183" w:lineRule="exact" w:before="0"/>
        <w:ind w:left="568" w:right="0" w:firstLine="0"/>
        <w:jc w:val="left"/>
        <w:rPr>
          <w:sz w:val="16"/>
        </w:rPr>
      </w:pPr>
      <w:bookmarkStart w:name="_bookmark122" w:id="123"/>
      <w:bookmarkEnd w:id="123"/>
      <w:r>
        <w:rPr/>
      </w:r>
      <w:r>
        <w:rPr>
          <w:sz w:val="16"/>
          <w:vertAlign w:val="superscript"/>
        </w:rPr>
        <w:t>55</w:t>
      </w:r>
      <w:r>
        <w:rPr>
          <w:sz w:val="16"/>
          <w:vertAlign w:val="baseline"/>
        </w:rPr>
        <w:t> </w:t>
      </w:r>
      <w:hyperlink r:id="rId87">
        <w:r>
          <w:rPr>
            <w:spacing w:val="-2"/>
            <w:sz w:val="16"/>
            <w:vertAlign w:val="baseline"/>
          </w:rPr>
          <w:t>https://www.wto.org/spanish/tratop_s/tariffs_s/tariffs_s.htm</w:t>
        </w:r>
      </w:hyperlink>
      <w:r>
        <w:rPr>
          <w:spacing w:val="-2"/>
          <w:sz w:val="16"/>
          <w:vertAlign w:val="baseline"/>
        </w:rPr>
        <w:t>.</w:t>
      </w:r>
    </w:p>
    <w:p>
      <w:pPr>
        <w:spacing w:before="1"/>
        <w:ind w:left="568" w:right="0" w:firstLine="0"/>
        <w:jc w:val="left"/>
        <w:rPr>
          <w:sz w:val="16"/>
        </w:rPr>
      </w:pPr>
      <w:bookmarkStart w:name="_bookmark123" w:id="124"/>
      <w:bookmarkEnd w:id="124"/>
      <w:r>
        <w:rPr/>
      </w:r>
      <w:r>
        <w:rPr>
          <w:sz w:val="16"/>
          <w:vertAlign w:val="superscript"/>
        </w:rPr>
        <w:t>56</w:t>
      </w:r>
      <w:r>
        <w:rPr>
          <w:sz w:val="16"/>
          <w:vertAlign w:val="baseline"/>
        </w:rPr>
        <w:t> </w:t>
      </w:r>
      <w:hyperlink r:id="rId88">
        <w:r>
          <w:rPr>
            <w:spacing w:val="-2"/>
            <w:sz w:val="16"/>
            <w:vertAlign w:val="baseline"/>
          </w:rPr>
          <w:t>https://www.wto.org/spanish/res_s/webcas_s/ltt_s/ltt2_s.htm</w:t>
        </w:r>
      </w:hyperlink>
      <w:r>
        <w:rPr>
          <w:spacing w:val="-2"/>
          <w:sz w:val="16"/>
          <w:vertAlign w:val="baseline"/>
        </w:rPr>
        <w:t>.</w:t>
      </w:r>
    </w:p>
    <w:p>
      <w:pPr>
        <w:spacing w:line="183" w:lineRule="exact" w:before="0"/>
        <w:ind w:left="568" w:right="0" w:firstLine="0"/>
        <w:jc w:val="left"/>
        <w:rPr>
          <w:sz w:val="16"/>
        </w:rPr>
      </w:pPr>
      <w:bookmarkStart w:name="_bookmark124" w:id="125"/>
      <w:bookmarkEnd w:id="125"/>
      <w:r>
        <w:rPr/>
      </w:r>
      <w:r>
        <w:rPr>
          <w:sz w:val="16"/>
          <w:vertAlign w:val="superscript"/>
        </w:rPr>
        <w:t>57</w:t>
      </w:r>
      <w:r>
        <w:rPr>
          <w:spacing w:val="-4"/>
          <w:sz w:val="16"/>
          <w:vertAlign w:val="baseline"/>
        </w:rPr>
        <w:t> </w:t>
      </w:r>
      <w:r>
        <w:rPr>
          <w:sz w:val="16"/>
          <w:vertAlign w:val="baseline"/>
        </w:rPr>
        <w:t>Artículo</w:t>
      </w:r>
      <w:r>
        <w:rPr>
          <w:spacing w:val="-3"/>
          <w:sz w:val="16"/>
          <w:vertAlign w:val="baseline"/>
        </w:rPr>
        <w:t> </w:t>
      </w:r>
      <w:r>
        <w:rPr>
          <w:sz w:val="16"/>
          <w:vertAlign w:val="baseline"/>
        </w:rPr>
        <w:t>3</w:t>
      </w:r>
      <w:r>
        <w:rPr>
          <w:spacing w:val="-4"/>
          <w:sz w:val="16"/>
          <w:vertAlign w:val="baseline"/>
        </w:rPr>
        <w:t> </w:t>
      </w:r>
      <w:r>
        <w:rPr>
          <w:sz w:val="16"/>
          <w:vertAlign w:val="baseline"/>
        </w:rPr>
        <w:t>de</w:t>
      </w:r>
      <w:r>
        <w:rPr>
          <w:spacing w:val="-6"/>
          <w:sz w:val="16"/>
          <w:vertAlign w:val="baseline"/>
        </w:rPr>
        <w:t> </w:t>
      </w:r>
      <w:r>
        <w:rPr>
          <w:sz w:val="16"/>
          <w:vertAlign w:val="baseline"/>
        </w:rPr>
        <w:t>la</w:t>
      </w:r>
      <w:r>
        <w:rPr>
          <w:spacing w:val="-3"/>
          <w:sz w:val="16"/>
          <w:vertAlign w:val="baseline"/>
        </w:rPr>
        <w:t> </w:t>
      </w:r>
      <w:r>
        <w:rPr>
          <w:sz w:val="16"/>
          <w:vertAlign w:val="baseline"/>
        </w:rPr>
        <w:t>Decisión</w:t>
      </w:r>
      <w:r>
        <w:rPr>
          <w:spacing w:val="-3"/>
          <w:sz w:val="16"/>
          <w:vertAlign w:val="baseline"/>
        </w:rPr>
        <w:t> </w:t>
      </w:r>
      <w:r>
        <w:rPr>
          <w:spacing w:val="-4"/>
          <w:sz w:val="16"/>
          <w:vertAlign w:val="baseline"/>
        </w:rPr>
        <w:t>657.</w:t>
      </w:r>
    </w:p>
    <w:p>
      <w:pPr>
        <w:spacing w:line="183" w:lineRule="exact" w:before="0"/>
        <w:ind w:left="568" w:right="0" w:firstLine="0"/>
        <w:jc w:val="left"/>
        <w:rPr>
          <w:sz w:val="16"/>
        </w:rPr>
      </w:pPr>
      <w:bookmarkStart w:name="_bookmark125" w:id="126"/>
      <w:bookmarkEnd w:id="126"/>
      <w:r>
        <w:rPr/>
      </w:r>
      <w:r>
        <w:rPr>
          <w:sz w:val="16"/>
          <w:vertAlign w:val="superscript"/>
        </w:rPr>
        <w:t>58</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000107.</w:t>
      </w:r>
    </w:p>
    <w:p>
      <w:pPr>
        <w:spacing w:before="1"/>
        <w:ind w:left="568" w:right="0" w:firstLine="0"/>
        <w:jc w:val="left"/>
        <w:rPr>
          <w:sz w:val="16"/>
        </w:rPr>
      </w:pPr>
      <w:bookmarkStart w:name="_bookmark126" w:id="127"/>
      <w:bookmarkEnd w:id="127"/>
      <w:r>
        <w:rPr/>
      </w:r>
      <w:r>
        <w:rPr>
          <w:spacing w:val="-2"/>
          <w:sz w:val="16"/>
          <w:vertAlign w:val="superscript"/>
        </w:rPr>
        <w:t>59</w:t>
      </w:r>
      <w:r>
        <w:rPr>
          <w:spacing w:val="68"/>
          <w:w w:val="150"/>
          <w:sz w:val="16"/>
          <w:vertAlign w:val="baseline"/>
        </w:rPr>
        <w:t> </w:t>
      </w:r>
      <w:hyperlink r:id="rId86">
        <w:r>
          <w:rPr>
            <w:spacing w:val="-2"/>
            <w:sz w:val="16"/>
            <w:vertAlign w:val="baseline"/>
          </w:rPr>
          <w:t>https://www.dian.gov.co/tramitesservicios/tramites-y-servicios/Paginas/tramites-aduaneros.aspx</w:t>
        </w:r>
      </w:hyperlink>
      <w:r>
        <w:rPr>
          <w:spacing w:val="-2"/>
          <w:sz w:val="16"/>
          <w:vertAlign w:val="baseline"/>
        </w:rPr>
        <w:t>.</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18" name="Group 518"/>
                <wp:cNvGraphicFramePr>
                  <a:graphicFrameLocks/>
                </wp:cNvGraphicFramePr>
                <a:graphic>
                  <a:graphicData uri="http://schemas.microsoft.com/office/word/2010/wordprocessingGroup">
                    <wpg:wgp>
                      <wpg:cNvPr id="518" name="Group 518"/>
                      <wpg:cNvGrpSpPr/>
                      <wpg:grpSpPr>
                        <a:xfrm>
                          <a:off x="0" y="0"/>
                          <a:ext cx="6131560" cy="9525"/>
                          <a:chExt cx="6131560" cy="9525"/>
                        </a:xfrm>
                      </wpg:grpSpPr>
                      <wps:wsp>
                        <wps:cNvPr id="519" name="Graphic 519"/>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57"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780" w:left="992" w:right="283"/>
        </w:sectPr>
      </w:pPr>
    </w:p>
    <w:p>
      <w:pPr>
        <w:pStyle w:val="BodyText"/>
        <w:spacing w:before="176"/>
      </w:pPr>
    </w:p>
    <w:p>
      <w:pPr>
        <w:pStyle w:val="BodyText"/>
        <w:ind w:left="1134" w:right="982"/>
        <w:jc w:val="both"/>
      </w:pPr>
      <w:r>
        <w:rPr/>
        <w:t>competente para la administración de los derechos de aduana</w:t>
      </w:r>
      <w:hyperlink w:history="true" w:anchor="_bookmark127">
        <w:r>
          <w:rPr>
            <w:vertAlign w:val="superscript"/>
          </w:rPr>
          <w:t>60</w:t>
        </w:r>
      </w:hyperlink>
      <w:r>
        <w:rPr>
          <w:vertAlign w:val="baseline"/>
        </w:rPr>
        <w:t> de la República de Colombia, a efectos de conocer el procedimiento de liquidación de los tributos aduaneros aplicable a una importación, obteniéndose lo siguiente:</w:t>
      </w:r>
    </w:p>
    <w:p>
      <w:pPr>
        <w:pStyle w:val="BodyText"/>
        <w:spacing w:before="1"/>
      </w:pPr>
    </w:p>
    <w:p>
      <w:pPr>
        <w:pStyle w:val="Heading7"/>
        <w:spacing w:line="252" w:lineRule="exact"/>
        <w:rPr>
          <w:u w:val="none"/>
        </w:rPr>
      </w:pPr>
      <w:r>
        <w:rPr>
          <w:u w:val="none"/>
        </w:rPr>
        <w:t>“¿Cómo</w:t>
      </w:r>
      <w:r>
        <w:rPr>
          <w:spacing w:val="-6"/>
          <w:u w:val="none"/>
        </w:rPr>
        <w:t> </w:t>
      </w:r>
      <w:r>
        <w:rPr>
          <w:u w:val="none"/>
        </w:rPr>
        <w:t>se</w:t>
      </w:r>
      <w:r>
        <w:rPr>
          <w:spacing w:val="-6"/>
          <w:u w:val="none"/>
        </w:rPr>
        <w:t> </w:t>
      </w:r>
      <w:r>
        <w:rPr>
          <w:u w:val="none"/>
        </w:rPr>
        <w:t>liquidan</w:t>
      </w:r>
      <w:r>
        <w:rPr>
          <w:spacing w:val="-6"/>
          <w:u w:val="none"/>
        </w:rPr>
        <w:t> </w:t>
      </w:r>
      <w:r>
        <w:rPr>
          <w:u w:val="none"/>
        </w:rPr>
        <w:t>los</w:t>
      </w:r>
      <w:r>
        <w:rPr>
          <w:spacing w:val="-4"/>
          <w:u w:val="none"/>
        </w:rPr>
        <w:t> </w:t>
      </w:r>
      <w:r>
        <w:rPr>
          <w:u w:val="none"/>
        </w:rPr>
        <w:t>tributos</w:t>
      </w:r>
      <w:r>
        <w:rPr>
          <w:spacing w:val="-6"/>
          <w:u w:val="none"/>
        </w:rPr>
        <w:t> </w:t>
      </w:r>
      <w:r>
        <w:rPr>
          <w:u w:val="none"/>
        </w:rPr>
        <w:t>aduaneros</w:t>
      </w:r>
      <w:r>
        <w:rPr>
          <w:spacing w:val="-6"/>
          <w:u w:val="none"/>
        </w:rPr>
        <w:t> </w:t>
      </w:r>
      <w:r>
        <w:rPr>
          <w:u w:val="none"/>
        </w:rPr>
        <w:t>en</w:t>
      </w:r>
      <w:r>
        <w:rPr>
          <w:spacing w:val="-4"/>
          <w:u w:val="none"/>
        </w:rPr>
        <w:t> </w:t>
      </w:r>
      <w:r>
        <w:rPr>
          <w:u w:val="none"/>
        </w:rPr>
        <w:t>una</w:t>
      </w:r>
      <w:r>
        <w:rPr>
          <w:spacing w:val="-5"/>
          <w:u w:val="none"/>
        </w:rPr>
        <w:t> </w:t>
      </w:r>
      <w:r>
        <w:rPr>
          <w:spacing w:val="-2"/>
          <w:u w:val="none"/>
        </w:rPr>
        <w:t>importación?</w:t>
      </w:r>
    </w:p>
    <w:p>
      <w:pPr>
        <w:spacing w:before="0"/>
        <w:ind w:left="1420" w:right="980" w:firstLine="0"/>
        <w:jc w:val="both"/>
        <w:rPr>
          <w:rFonts w:ascii="Arial" w:hAnsi="Arial"/>
          <w:i/>
          <w:sz w:val="22"/>
        </w:rPr>
      </w:pPr>
      <w:r>
        <w:rPr>
          <w:rFonts w:ascii="Arial" w:hAnsi="Arial"/>
          <w:i/>
          <w:sz w:val="22"/>
        </w:rPr>
        <w:t>Una vez se conozca la subpartida arancelaria, el declarante tomará las tarifas que, de</w:t>
      </w:r>
      <w:r>
        <w:rPr>
          <w:rFonts w:ascii="Arial" w:hAnsi="Arial"/>
          <w:i/>
          <w:spacing w:val="-2"/>
          <w:sz w:val="22"/>
        </w:rPr>
        <w:t> </w:t>
      </w:r>
      <w:r>
        <w:rPr>
          <w:rFonts w:ascii="Arial" w:hAnsi="Arial"/>
          <w:i/>
          <w:sz w:val="22"/>
        </w:rPr>
        <w:t>acuerdo</w:t>
      </w:r>
      <w:r>
        <w:rPr>
          <w:rFonts w:ascii="Arial" w:hAnsi="Arial"/>
          <w:i/>
          <w:spacing w:val="-4"/>
          <w:sz w:val="22"/>
        </w:rPr>
        <w:t> </w:t>
      </w:r>
      <w:r>
        <w:rPr>
          <w:rFonts w:ascii="Arial" w:hAnsi="Arial"/>
          <w:i/>
          <w:sz w:val="22"/>
        </w:rPr>
        <w:t>con</w:t>
      </w:r>
      <w:r>
        <w:rPr>
          <w:rFonts w:ascii="Arial" w:hAnsi="Arial"/>
          <w:i/>
          <w:spacing w:val="-2"/>
          <w:sz w:val="22"/>
        </w:rPr>
        <w:t> </w:t>
      </w:r>
      <w:r>
        <w:rPr>
          <w:rFonts w:ascii="Arial" w:hAnsi="Arial"/>
          <w:i/>
          <w:sz w:val="22"/>
        </w:rPr>
        <w:t>el</w:t>
      </w:r>
      <w:r>
        <w:rPr>
          <w:rFonts w:ascii="Arial" w:hAnsi="Arial"/>
          <w:i/>
          <w:spacing w:val="-3"/>
          <w:sz w:val="22"/>
        </w:rPr>
        <w:t> </w:t>
      </w:r>
      <w:r>
        <w:rPr>
          <w:rFonts w:ascii="Arial" w:hAnsi="Arial"/>
          <w:i/>
          <w:sz w:val="22"/>
        </w:rPr>
        <w:t>arancel</w:t>
      </w:r>
      <w:r>
        <w:rPr>
          <w:rFonts w:ascii="Arial" w:hAnsi="Arial"/>
          <w:i/>
          <w:spacing w:val="-3"/>
          <w:sz w:val="22"/>
        </w:rPr>
        <w:t> </w:t>
      </w:r>
      <w:r>
        <w:rPr>
          <w:rFonts w:ascii="Arial" w:hAnsi="Arial"/>
          <w:i/>
          <w:sz w:val="22"/>
        </w:rPr>
        <w:t>de</w:t>
      </w:r>
      <w:r>
        <w:rPr>
          <w:rFonts w:ascii="Arial" w:hAnsi="Arial"/>
          <w:i/>
          <w:spacing w:val="-2"/>
          <w:sz w:val="22"/>
        </w:rPr>
        <w:t> </w:t>
      </w:r>
      <w:r>
        <w:rPr>
          <w:rFonts w:ascii="Arial" w:hAnsi="Arial"/>
          <w:i/>
          <w:sz w:val="22"/>
        </w:rPr>
        <w:t>aduanas,</w:t>
      </w:r>
      <w:r>
        <w:rPr>
          <w:rFonts w:ascii="Arial" w:hAnsi="Arial"/>
          <w:i/>
          <w:spacing w:val="-3"/>
          <w:sz w:val="22"/>
        </w:rPr>
        <w:t> </w:t>
      </w:r>
      <w:r>
        <w:rPr>
          <w:rFonts w:ascii="Arial" w:hAnsi="Arial"/>
          <w:i/>
          <w:sz w:val="22"/>
        </w:rPr>
        <w:t>correspondan</w:t>
      </w:r>
      <w:r>
        <w:rPr>
          <w:rFonts w:ascii="Arial" w:hAnsi="Arial"/>
          <w:i/>
          <w:spacing w:val="-2"/>
          <w:sz w:val="22"/>
        </w:rPr>
        <w:t> </w:t>
      </w:r>
      <w:r>
        <w:rPr>
          <w:rFonts w:ascii="Arial" w:hAnsi="Arial"/>
          <w:i/>
          <w:sz w:val="22"/>
        </w:rPr>
        <w:t>a</w:t>
      </w:r>
      <w:r>
        <w:rPr>
          <w:rFonts w:ascii="Arial" w:hAnsi="Arial"/>
          <w:i/>
          <w:spacing w:val="-4"/>
          <w:sz w:val="22"/>
        </w:rPr>
        <w:t> </w:t>
      </w:r>
      <w:r>
        <w:rPr>
          <w:rFonts w:ascii="Arial" w:hAnsi="Arial"/>
          <w:i/>
          <w:sz w:val="22"/>
        </w:rPr>
        <w:t>tal</w:t>
      </w:r>
      <w:r>
        <w:rPr>
          <w:rFonts w:ascii="Arial" w:hAnsi="Arial"/>
          <w:i/>
          <w:spacing w:val="-3"/>
          <w:sz w:val="22"/>
        </w:rPr>
        <w:t> </w:t>
      </w:r>
      <w:r>
        <w:rPr>
          <w:rFonts w:ascii="Arial" w:hAnsi="Arial"/>
          <w:i/>
          <w:sz w:val="22"/>
        </w:rPr>
        <w:t>subpartida,</w:t>
      </w:r>
      <w:r>
        <w:rPr>
          <w:rFonts w:ascii="Arial" w:hAnsi="Arial"/>
          <w:i/>
          <w:spacing w:val="-3"/>
          <w:sz w:val="22"/>
        </w:rPr>
        <w:t> </w:t>
      </w:r>
      <w:r>
        <w:rPr>
          <w:rFonts w:ascii="Arial" w:hAnsi="Arial"/>
          <w:i/>
          <w:sz w:val="22"/>
        </w:rPr>
        <w:t>y</w:t>
      </w:r>
      <w:r>
        <w:rPr>
          <w:rFonts w:ascii="Arial" w:hAnsi="Arial"/>
          <w:i/>
          <w:spacing w:val="-1"/>
          <w:sz w:val="22"/>
        </w:rPr>
        <w:t> </w:t>
      </w:r>
      <w:r>
        <w:rPr>
          <w:rFonts w:ascii="Arial" w:hAnsi="Arial"/>
          <w:i/>
          <w:sz w:val="22"/>
        </w:rPr>
        <w:t>las</w:t>
      </w:r>
      <w:r>
        <w:rPr>
          <w:rFonts w:ascii="Arial" w:hAnsi="Arial"/>
          <w:i/>
          <w:spacing w:val="-2"/>
          <w:sz w:val="22"/>
        </w:rPr>
        <w:t> </w:t>
      </w:r>
      <w:r>
        <w:rPr>
          <w:rFonts w:ascii="Arial" w:hAnsi="Arial"/>
          <w:i/>
          <w:sz w:val="22"/>
        </w:rPr>
        <w:t>aplica</w:t>
      </w:r>
      <w:r>
        <w:rPr>
          <w:rFonts w:ascii="Arial" w:hAnsi="Arial"/>
          <w:i/>
          <w:spacing w:val="-2"/>
          <w:sz w:val="22"/>
        </w:rPr>
        <w:t> </w:t>
      </w:r>
      <w:r>
        <w:rPr>
          <w:rFonts w:ascii="Arial" w:hAnsi="Arial"/>
          <w:i/>
          <w:sz w:val="22"/>
        </w:rPr>
        <w:t>al valor en aduanas de las mercancías así:</w:t>
      </w:r>
    </w:p>
    <w:p>
      <w:pPr>
        <w:pStyle w:val="ListParagraph"/>
        <w:numPr>
          <w:ilvl w:val="0"/>
          <w:numId w:val="80"/>
        </w:numPr>
        <w:tabs>
          <w:tab w:pos="1287" w:val="left" w:leader="none"/>
        </w:tabs>
        <w:spacing w:line="252" w:lineRule="exact" w:before="0" w:after="0"/>
        <w:ind w:left="1287" w:right="0" w:hanging="227"/>
        <w:jc w:val="both"/>
        <w:rPr>
          <w:rFonts w:ascii="Arial" w:hAnsi="Arial"/>
          <w:i/>
          <w:sz w:val="22"/>
        </w:rPr>
      </w:pPr>
      <w:r>
        <w:rPr>
          <w:rFonts w:ascii="Arial" w:hAnsi="Arial"/>
          <w:b/>
          <w:i/>
          <w:sz w:val="22"/>
        </w:rPr>
        <w:t>Valor</w:t>
      </w:r>
      <w:r>
        <w:rPr>
          <w:rFonts w:ascii="Arial" w:hAnsi="Arial"/>
          <w:b/>
          <w:i/>
          <w:spacing w:val="-4"/>
          <w:sz w:val="22"/>
        </w:rPr>
        <w:t> </w:t>
      </w:r>
      <w:r>
        <w:rPr>
          <w:rFonts w:ascii="Arial" w:hAnsi="Arial"/>
          <w:b/>
          <w:i/>
          <w:sz w:val="22"/>
        </w:rPr>
        <w:t>en</w:t>
      </w:r>
      <w:r>
        <w:rPr>
          <w:rFonts w:ascii="Arial" w:hAnsi="Arial"/>
          <w:b/>
          <w:i/>
          <w:spacing w:val="-6"/>
          <w:sz w:val="22"/>
        </w:rPr>
        <w:t> </w:t>
      </w:r>
      <w:r>
        <w:rPr>
          <w:rFonts w:ascii="Arial" w:hAnsi="Arial"/>
          <w:b/>
          <w:i/>
          <w:sz w:val="22"/>
        </w:rPr>
        <w:t>aduanas</w:t>
      </w:r>
      <w:r>
        <w:rPr>
          <w:rFonts w:ascii="Arial" w:hAnsi="Arial"/>
          <w:b/>
          <w:i/>
          <w:spacing w:val="-3"/>
          <w:sz w:val="22"/>
        </w:rPr>
        <w:t> </w:t>
      </w:r>
      <w:r>
        <w:rPr>
          <w:rFonts w:ascii="Arial" w:hAnsi="Arial"/>
          <w:i/>
          <w:sz w:val="22"/>
        </w:rPr>
        <w:t>=</w:t>
      </w:r>
      <w:r>
        <w:rPr>
          <w:rFonts w:ascii="Arial" w:hAnsi="Arial"/>
          <w:i/>
          <w:spacing w:val="-2"/>
          <w:sz w:val="22"/>
        </w:rPr>
        <w:t> </w:t>
      </w:r>
      <w:r>
        <w:rPr>
          <w:rFonts w:ascii="Arial" w:hAnsi="Arial"/>
          <w:i/>
          <w:sz w:val="22"/>
        </w:rPr>
        <w:t>Valor</w:t>
      </w:r>
      <w:r>
        <w:rPr>
          <w:rFonts w:ascii="Arial" w:hAnsi="Arial"/>
          <w:i/>
          <w:spacing w:val="-1"/>
          <w:sz w:val="22"/>
        </w:rPr>
        <w:t> </w:t>
      </w:r>
      <w:r>
        <w:rPr>
          <w:rFonts w:ascii="Arial" w:hAnsi="Arial"/>
          <w:i/>
          <w:sz w:val="22"/>
        </w:rPr>
        <w:t>FOB</w:t>
      </w:r>
      <w:r>
        <w:rPr>
          <w:rFonts w:ascii="Arial" w:hAnsi="Arial"/>
          <w:i/>
          <w:spacing w:val="-5"/>
          <w:sz w:val="22"/>
        </w:rPr>
        <w:t> </w:t>
      </w:r>
      <w:r>
        <w:rPr>
          <w:rFonts w:ascii="Arial" w:hAnsi="Arial"/>
          <w:i/>
          <w:sz w:val="22"/>
        </w:rPr>
        <w:t>+</w:t>
      </w:r>
      <w:r>
        <w:rPr>
          <w:rFonts w:ascii="Arial" w:hAnsi="Arial"/>
          <w:i/>
          <w:spacing w:val="-2"/>
          <w:sz w:val="22"/>
        </w:rPr>
        <w:t> </w:t>
      </w:r>
      <w:r>
        <w:rPr>
          <w:rFonts w:ascii="Arial" w:hAnsi="Arial"/>
          <w:i/>
          <w:sz w:val="22"/>
        </w:rPr>
        <w:t>Fletes</w:t>
      </w:r>
      <w:r>
        <w:rPr>
          <w:rFonts w:ascii="Arial" w:hAnsi="Arial"/>
          <w:i/>
          <w:spacing w:val="-4"/>
          <w:sz w:val="22"/>
        </w:rPr>
        <w:t> </w:t>
      </w:r>
      <w:r>
        <w:rPr>
          <w:rFonts w:ascii="Arial" w:hAnsi="Arial"/>
          <w:i/>
          <w:sz w:val="22"/>
        </w:rPr>
        <w:t>+</w:t>
      </w:r>
      <w:r>
        <w:rPr>
          <w:rFonts w:ascii="Arial" w:hAnsi="Arial"/>
          <w:i/>
          <w:spacing w:val="-4"/>
          <w:sz w:val="22"/>
        </w:rPr>
        <w:t> </w:t>
      </w:r>
      <w:r>
        <w:rPr>
          <w:rFonts w:ascii="Arial" w:hAnsi="Arial"/>
          <w:i/>
          <w:sz w:val="22"/>
        </w:rPr>
        <w:t>Seguros</w:t>
      </w:r>
      <w:r>
        <w:rPr>
          <w:rFonts w:ascii="Arial" w:hAnsi="Arial"/>
          <w:i/>
          <w:spacing w:val="-2"/>
          <w:sz w:val="22"/>
        </w:rPr>
        <w:t> </w:t>
      </w:r>
      <w:r>
        <w:rPr>
          <w:rFonts w:ascii="Arial" w:hAnsi="Arial"/>
          <w:i/>
          <w:sz w:val="22"/>
        </w:rPr>
        <w:t>+</w:t>
      </w:r>
      <w:r>
        <w:rPr>
          <w:rFonts w:ascii="Arial" w:hAnsi="Arial"/>
          <w:i/>
          <w:spacing w:val="-3"/>
          <w:sz w:val="22"/>
        </w:rPr>
        <w:t> </w:t>
      </w:r>
      <w:r>
        <w:rPr>
          <w:rFonts w:ascii="Arial" w:hAnsi="Arial"/>
          <w:i/>
          <w:sz w:val="22"/>
        </w:rPr>
        <w:t>otros</w:t>
      </w:r>
      <w:r>
        <w:rPr>
          <w:rFonts w:ascii="Arial" w:hAnsi="Arial"/>
          <w:i/>
          <w:spacing w:val="-3"/>
          <w:sz w:val="22"/>
        </w:rPr>
        <w:t> </w:t>
      </w:r>
      <w:r>
        <w:rPr>
          <w:rFonts w:ascii="Arial" w:hAnsi="Arial"/>
          <w:i/>
          <w:sz w:val="22"/>
        </w:rPr>
        <w:t>gastos</w:t>
      </w:r>
      <w:r>
        <w:rPr>
          <w:rFonts w:ascii="Arial" w:hAnsi="Arial"/>
          <w:i/>
          <w:spacing w:val="-4"/>
          <w:sz w:val="22"/>
        </w:rPr>
        <w:t> </w:t>
      </w:r>
      <w:r>
        <w:rPr>
          <w:rFonts w:ascii="Arial" w:hAnsi="Arial"/>
          <w:i/>
          <w:sz w:val="22"/>
        </w:rPr>
        <w:t>(Valor</w:t>
      </w:r>
      <w:r>
        <w:rPr>
          <w:rFonts w:ascii="Arial" w:hAnsi="Arial"/>
          <w:i/>
          <w:spacing w:val="-6"/>
          <w:sz w:val="22"/>
        </w:rPr>
        <w:t> </w:t>
      </w:r>
      <w:r>
        <w:rPr>
          <w:rFonts w:ascii="Arial" w:hAnsi="Arial"/>
          <w:i/>
          <w:spacing w:val="-2"/>
          <w:sz w:val="22"/>
        </w:rPr>
        <w:t>CIF).</w:t>
      </w:r>
    </w:p>
    <w:p>
      <w:pPr>
        <w:pStyle w:val="ListParagraph"/>
        <w:numPr>
          <w:ilvl w:val="0"/>
          <w:numId w:val="80"/>
        </w:numPr>
        <w:tabs>
          <w:tab w:pos="1287" w:val="left" w:leader="none"/>
          <w:tab w:pos="1420" w:val="left" w:leader="none"/>
        </w:tabs>
        <w:spacing w:line="240" w:lineRule="auto" w:before="1" w:after="0"/>
        <w:ind w:left="1420" w:right="984" w:hanging="360"/>
        <w:jc w:val="both"/>
        <w:rPr>
          <w:rFonts w:ascii="Arial" w:hAnsi="Arial"/>
          <w:i/>
          <w:sz w:val="22"/>
        </w:rPr>
      </w:pPr>
      <w:r>
        <w:rPr>
          <w:rFonts w:ascii="Arial" w:hAnsi="Arial"/>
          <w:b/>
          <w:i/>
          <w:sz w:val="22"/>
        </w:rPr>
        <w:t>Gravamen arancelario</w:t>
      </w:r>
      <w:r>
        <w:rPr>
          <w:rFonts w:ascii="Arial" w:hAnsi="Arial"/>
          <w:b/>
          <w:i/>
          <w:spacing w:val="-6"/>
          <w:sz w:val="22"/>
        </w:rPr>
        <w:t> </w:t>
      </w:r>
      <w:r>
        <w:rPr>
          <w:rFonts w:ascii="Arial" w:hAnsi="Arial"/>
          <w:i/>
          <w:sz w:val="22"/>
        </w:rPr>
        <w:t>= Valor CIF * % de la Tarifa Arancelaria establecida para la Subpartida (arancel de aduanas)</w:t>
      </w:r>
    </w:p>
    <w:p>
      <w:pPr>
        <w:pStyle w:val="ListParagraph"/>
        <w:numPr>
          <w:ilvl w:val="0"/>
          <w:numId w:val="80"/>
        </w:numPr>
        <w:tabs>
          <w:tab w:pos="1287" w:val="left" w:leader="none"/>
          <w:tab w:pos="1420" w:val="left" w:leader="none"/>
        </w:tabs>
        <w:spacing w:line="240" w:lineRule="auto" w:before="1" w:after="0"/>
        <w:ind w:left="1420" w:right="985" w:hanging="360"/>
        <w:jc w:val="both"/>
        <w:rPr>
          <w:rFonts w:ascii="Arial" w:hAnsi="Arial"/>
          <w:i/>
          <w:sz w:val="22"/>
        </w:rPr>
      </w:pPr>
      <w:r>
        <w:rPr>
          <w:rFonts w:ascii="Arial" w:hAnsi="Arial"/>
          <w:b/>
          <w:i/>
          <w:sz w:val="22"/>
        </w:rPr>
        <w:t>IVA</w:t>
      </w:r>
      <w:r>
        <w:rPr>
          <w:rFonts w:ascii="Arial" w:hAnsi="Arial"/>
          <w:b/>
          <w:i/>
          <w:spacing w:val="-1"/>
          <w:sz w:val="22"/>
        </w:rPr>
        <w:t> </w:t>
      </w:r>
      <w:r>
        <w:rPr>
          <w:rFonts w:ascii="Arial" w:hAnsi="Arial"/>
          <w:i/>
          <w:sz w:val="22"/>
        </w:rPr>
        <w:t>= (Valor CIF + Gravamen Arancelario) * Tarifa del IVA establecida para la </w:t>
      </w:r>
      <w:r>
        <w:rPr>
          <w:rFonts w:ascii="Arial" w:hAnsi="Arial"/>
          <w:i/>
          <w:spacing w:val="-2"/>
          <w:sz w:val="22"/>
        </w:rPr>
        <w:t>Subpartida.</w:t>
      </w:r>
    </w:p>
    <w:p>
      <w:pPr>
        <w:pStyle w:val="ListParagraph"/>
        <w:numPr>
          <w:ilvl w:val="0"/>
          <w:numId w:val="80"/>
        </w:numPr>
        <w:tabs>
          <w:tab w:pos="1287" w:val="left" w:leader="none"/>
        </w:tabs>
        <w:spacing w:line="252" w:lineRule="exact" w:before="1" w:after="0"/>
        <w:ind w:left="1287" w:right="0" w:hanging="227"/>
        <w:jc w:val="both"/>
        <w:rPr>
          <w:rFonts w:ascii="Arial" w:hAnsi="Arial"/>
          <w:i/>
          <w:sz w:val="22"/>
        </w:rPr>
      </w:pPr>
      <w:r>
        <w:rPr>
          <w:rFonts w:ascii="Arial" w:hAnsi="Arial"/>
          <w:b/>
          <w:i/>
          <w:sz w:val="22"/>
        </w:rPr>
        <w:t>Tributos</w:t>
      </w:r>
      <w:r>
        <w:rPr>
          <w:rFonts w:ascii="Arial" w:hAnsi="Arial"/>
          <w:b/>
          <w:i/>
          <w:spacing w:val="-8"/>
          <w:sz w:val="22"/>
        </w:rPr>
        <w:t> </w:t>
      </w:r>
      <w:r>
        <w:rPr>
          <w:rFonts w:ascii="Arial" w:hAnsi="Arial"/>
          <w:b/>
          <w:i/>
          <w:sz w:val="22"/>
        </w:rPr>
        <w:t>aduaneros</w:t>
      </w:r>
      <w:r>
        <w:rPr>
          <w:rFonts w:ascii="Arial" w:hAnsi="Arial"/>
          <w:b/>
          <w:i/>
          <w:spacing w:val="-5"/>
          <w:sz w:val="22"/>
        </w:rPr>
        <w:t> </w:t>
      </w:r>
      <w:r>
        <w:rPr>
          <w:rFonts w:ascii="Arial" w:hAnsi="Arial"/>
          <w:i/>
          <w:sz w:val="22"/>
        </w:rPr>
        <w:t>=</w:t>
      </w:r>
      <w:r>
        <w:rPr>
          <w:rFonts w:ascii="Arial" w:hAnsi="Arial"/>
          <w:i/>
          <w:spacing w:val="-8"/>
          <w:sz w:val="22"/>
        </w:rPr>
        <w:t> </w:t>
      </w:r>
      <w:r>
        <w:rPr>
          <w:rFonts w:ascii="Arial" w:hAnsi="Arial"/>
          <w:i/>
          <w:sz w:val="22"/>
        </w:rPr>
        <w:t>Gravamen</w:t>
      </w:r>
      <w:r>
        <w:rPr>
          <w:rFonts w:ascii="Arial" w:hAnsi="Arial"/>
          <w:i/>
          <w:spacing w:val="-6"/>
          <w:sz w:val="22"/>
        </w:rPr>
        <w:t> </w:t>
      </w:r>
      <w:r>
        <w:rPr>
          <w:rFonts w:ascii="Arial" w:hAnsi="Arial"/>
          <w:i/>
          <w:sz w:val="22"/>
        </w:rPr>
        <w:t>Arancelario</w:t>
      </w:r>
      <w:r>
        <w:rPr>
          <w:rFonts w:ascii="Arial" w:hAnsi="Arial"/>
          <w:i/>
          <w:spacing w:val="-7"/>
          <w:sz w:val="22"/>
        </w:rPr>
        <w:t> </w:t>
      </w:r>
      <w:r>
        <w:rPr>
          <w:rFonts w:ascii="Arial" w:hAnsi="Arial"/>
          <w:i/>
          <w:sz w:val="22"/>
        </w:rPr>
        <w:t>+</w:t>
      </w:r>
      <w:r>
        <w:rPr>
          <w:rFonts w:ascii="Arial" w:hAnsi="Arial"/>
          <w:i/>
          <w:spacing w:val="-5"/>
          <w:sz w:val="22"/>
        </w:rPr>
        <w:t> </w:t>
      </w:r>
      <w:r>
        <w:rPr>
          <w:rFonts w:ascii="Arial" w:hAnsi="Arial"/>
          <w:i/>
          <w:spacing w:val="-4"/>
          <w:sz w:val="22"/>
        </w:rPr>
        <w:t>IVA.</w:t>
      </w:r>
    </w:p>
    <w:p>
      <w:pPr>
        <w:spacing w:before="0"/>
        <w:ind w:left="1420" w:right="982" w:firstLine="0"/>
        <w:jc w:val="both"/>
        <w:rPr>
          <w:rFonts w:ascii="Arial" w:hAnsi="Arial"/>
          <w:i/>
          <w:sz w:val="22"/>
        </w:rPr>
      </w:pPr>
      <w:r>
        <w:rPr>
          <w:rFonts w:ascii="Arial" w:hAnsi="Arial"/>
          <w:b/>
          <w:i/>
          <w:sz w:val="22"/>
        </w:rPr>
        <w:t>Nota:</w:t>
      </w:r>
      <w:r>
        <w:rPr>
          <w:rFonts w:ascii="Arial" w:hAnsi="Arial"/>
          <w:b/>
          <w:i/>
          <w:spacing w:val="-1"/>
          <w:sz w:val="22"/>
        </w:rPr>
        <w:t> </w:t>
      </w:r>
      <w:r>
        <w:rPr>
          <w:rFonts w:ascii="Arial" w:hAnsi="Arial"/>
          <w:i/>
          <w:sz w:val="22"/>
        </w:rPr>
        <w:t>Recuerde</w:t>
      </w:r>
      <w:r>
        <w:rPr>
          <w:rFonts w:ascii="Arial" w:hAnsi="Arial"/>
          <w:i/>
          <w:spacing w:val="-1"/>
          <w:sz w:val="22"/>
        </w:rPr>
        <w:t> </w:t>
      </w:r>
      <w:r>
        <w:rPr>
          <w:rFonts w:ascii="Arial" w:hAnsi="Arial"/>
          <w:i/>
          <w:sz w:val="22"/>
        </w:rPr>
        <w:t>que el</w:t>
      </w:r>
      <w:r>
        <w:rPr>
          <w:rFonts w:ascii="Arial" w:hAnsi="Arial"/>
          <w:i/>
          <w:spacing w:val="-2"/>
          <w:sz w:val="22"/>
        </w:rPr>
        <w:t> </w:t>
      </w:r>
      <w:r>
        <w:rPr>
          <w:rFonts w:ascii="Arial" w:hAnsi="Arial"/>
          <w:i/>
          <w:sz w:val="22"/>
        </w:rPr>
        <w:t>valor en</w:t>
      </w:r>
      <w:r>
        <w:rPr>
          <w:rFonts w:ascii="Arial" w:hAnsi="Arial"/>
          <w:i/>
          <w:spacing w:val="-1"/>
          <w:sz w:val="22"/>
        </w:rPr>
        <w:t> </w:t>
      </w:r>
      <w:r>
        <w:rPr>
          <w:rFonts w:ascii="Arial" w:hAnsi="Arial"/>
          <w:i/>
          <w:sz w:val="22"/>
        </w:rPr>
        <w:t>aduana</w:t>
      </w:r>
      <w:r>
        <w:rPr>
          <w:rFonts w:ascii="Arial" w:hAnsi="Arial"/>
          <w:i/>
          <w:spacing w:val="-1"/>
          <w:sz w:val="22"/>
        </w:rPr>
        <w:t> </w:t>
      </w:r>
      <w:r>
        <w:rPr>
          <w:rFonts w:ascii="Arial" w:hAnsi="Arial"/>
          <w:i/>
          <w:sz w:val="22"/>
        </w:rPr>
        <w:t>corresponde al</w:t>
      </w:r>
      <w:r>
        <w:rPr>
          <w:rFonts w:ascii="Arial" w:hAnsi="Arial"/>
          <w:i/>
          <w:spacing w:val="-2"/>
          <w:sz w:val="22"/>
        </w:rPr>
        <w:t> </w:t>
      </w:r>
      <w:r>
        <w:rPr>
          <w:rFonts w:ascii="Arial" w:hAnsi="Arial"/>
          <w:i/>
          <w:sz w:val="22"/>
        </w:rPr>
        <w:t>valor CIF</w:t>
      </w:r>
      <w:r>
        <w:rPr>
          <w:rFonts w:ascii="Arial" w:hAnsi="Arial"/>
          <w:i/>
          <w:spacing w:val="-3"/>
          <w:sz w:val="22"/>
        </w:rPr>
        <w:t> </w:t>
      </w:r>
      <w:r>
        <w:rPr>
          <w:rFonts w:ascii="Arial" w:hAnsi="Arial"/>
          <w:i/>
          <w:sz w:val="22"/>
        </w:rPr>
        <w:t>multiplicado por la tasa</w:t>
      </w:r>
      <w:r>
        <w:rPr>
          <w:rFonts w:ascii="Arial" w:hAnsi="Arial"/>
          <w:i/>
          <w:spacing w:val="-8"/>
          <w:sz w:val="22"/>
        </w:rPr>
        <w:t> </w:t>
      </w:r>
      <w:r>
        <w:rPr>
          <w:rFonts w:ascii="Arial" w:hAnsi="Arial"/>
          <w:i/>
          <w:sz w:val="22"/>
        </w:rPr>
        <w:t>representativa</w:t>
      </w:r>
      <w:r>
        <w:rPr>
          <w:rFonts w:ascii="Arial" w:hAnsi="Arial"/>
          <w:i/>
          <w:spacing w:val="-5"/>
          <w:sz w:val="22"/>
        </w:rPr>
        <w:t> </w:t>
      </w:r>
      <w:r>
        <w:rPr>
          <w:rFonts w:ascii="Arial" w:hAnsi="Arial"/>
          <w:i/>
          <w:sz w:val="22"/>
        </w:rPr>
        <w:t>del</w:t>
      </w:r>
      <w:r>
        <w:rPr>
          <w:rFonts w:ascii="Arial" w:hAnsi="Arial"/>
          <w:i/>
          <w:spacing w:val="-10"/>
          <w:sz w:val="22"/>
        </w:rPr>
        <w:t> </w:t>
      </w:r>
      <w:r>
        <w:rPr>
          <w:rFonts w:ascii="Arial" w:hAnsi="Arial"/>
          <w:i/>
          <w:sz w:val="22"/>
        </w:rPr>
        <w:t>mercado,</w:t>
      </w:r>
      <w:r>
        <w:rPr>
          <w:rFonts w:ascii="Arial" w:hAnsi="Arial"/>
          <w:i/>
          <w:spacing w:val="-6"/>
          <w:sz w:val="22"/>
        </w:rPr>
        <w:t> </w:t>
      </w:r>
      <w:r>
        <w:rPr>
          <w:rFonts w:ascii="Arial" w:hAnsi="Arial"/>
          <w:i/>
          <w:sz w:val="22"/>
        </w:rPr>
        <w:t>establecida</w:t>
      </w:r>
      <w:r>
        <w:rPr>
          <w:rFonts w:ascii="Arial" w:hAnsi="Arial"/>
          <w:i/>
          <w:spacing w:val="-8"/>
          <w:sz w:val="22"/>
        </w:rPr>
        <w:t> </w:t>
      </w:r>
      <w:r>
        <w:rPr>
          <w:rFonts w:ascii="Arial" w:hAnsi="Arial"/>
          <w:i/>
          <w:sz w:val="22"/>
        </w:rPr>
        <w:t>por</w:t>
      </w:r>
      <w:r>
        <w:rPr>
          <w:rFonts w:ascii="Arial" w:hAnsi="Arial"/>
          <w:i/>
          <w:spacing w:val="-4"/>
          <w:sz w:val="22"/>
        </w:rPr>
        <w:t> </w:t>
      </w:r>
      <w:r>
        <w:rPr>
          <w:rFonts w:ascii="Arial" w:hAnsi="Arial"/>
          <w:i/>
          <w:sz w:val="22"/>
        </w:rPr>
        <w:t>el</w:t>
      </w:r>
      <w:r>
        <w:rPr>
          <w:rFonts w:ascii="Arial" w:hAnsi="Arial"/>
          <w:i/>
          <w:spacing w:val="-8"/>
          <w:sz w:val="22"/>
        </w:rPr>
        <w:t> </w:t>
      </w:r>
      <w:r>
        <w:rPr>
          <w:rFonts w:ascii="Arial" w:hAnsi="Arial"/>
          <w:i/>
          <w:sz w:val="22"/>
        </w:rPr>
        <w:t>Banco</w:t>
      </w:r>
      <w:r>
        <w:rPr>
          <w:rFonts w:ascii="Arial" w:hAnsi="Arial"/>
          <w:i/>
          <w:spacing w:val="-5"/>
          <w:sz w:val="22"/>
        </w:rPr>
        <w:t> </w:t>
      </w:r>
      <w:r>
        <w:rPr>
          <w:rFonts w:ascii="Arial" w:hAnsi="Arial"/>
          <w:i/>
          <w:sz w:val="22"/>
        </w:rPr>
        <w:t>de</w:t>
      </w:r>
      <w:r>
        <w:rPr>
          <w:rFonts w:ascii="Arial" w:hAnsi="Arial"/>
          <w:i/>
          <w:spacing w:val="-8"/>
          <w:sz w:val="22"/>
        </w:rPr>
        <w:t> </w:t>
      </w:r>
      <w:r>
        <w:rPr>
          <w:rFonts w:ascii="Arial" w:hAnsi="Arial"/>
          <w:i/>
          <w:sz w:val="22"/>
        </w:rPr>
        <w:t>la</w:t>
      </w:r>
      <w:r>
        <w:rPr>
          <w:rFonts w:ascii="Arial" w:hAnsi="Arial"/>
          <w:i/>
          <w:spacing w:val="-5"/>
          <w:sz w:val="22"/>
        </w:rPr>
        <w:t> </w:t>
      </w:r>
      <w:r>
        <w:rPr>
          <w:rFonts w:ascii="Arial" w:hAnsi="Arial"/>
          <w:i/>
          <w:sz w:val="22"/>
        </w:rPr>
        <w:t>República</w:t>
      </w:r>
      <w:r>
        <w:rPr>
          <w:rFonts w:ascii="Arial" w:hAnsi="Arial"/>
          <w:i/>
          <w:spacing w:val="-5"/>
          <w:sz w:val="22"/>
        </w:rPr>
        <w:t> </w:t>
      </w:r>
      <w:r>
        <w:rPr>
          <w:rFonts w:ascii="Arial" w:hAnsi="Arial"/>
          <w:i/>
          <w:sz w:val="22"/>
        </w:rPr>
        <w:t>del</w:t>
      </w:r>
      <w:r>
        <w:rPr>
          <w:rFonts w:ascii="Arial" w:hAnsi="Arial"/>
          <w:i/>
          <w:spacing w:val="-6"/>
          <w:sz w:val="22"/>
        </w:rPr>
        <w:t> </w:t>
      </w:r>
      <w:r>
        <w:rPr>
          <w:rFonts w:ascii="Arial" w:hAnsi="Arial"/>
          <w:i/>
          <w:sz w:val="22"/>
        </w:rPr>
        <w:t>último día hábil de la semana inmediatamente anterior…”</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Según la fuente consultada, el gravamen arancelario se determina mediante la multiplicación del valor CIF de importación por el porcentaje de la tarifa arancelaria establecido para la subpartida correspondiente (arancel de aduanas). Para efectos del presente análisis, interesa exclusivamente la determinación del gravamen arancelario, el cual operaría de la siguiente manera:</w:t>
      </w:r>
    </w:p>
    <w:p>
      <w:pPr>
        <w:pStyle w:val="Heading6"/>
        <w:spacing w:line="253" w:lineRule="exact" w:before="252"/>
        <w:ind w:right="412"/>
        <w:jc w:val="center"/>
      </w:pPr>
      <w:r>
        <w:rPr/>
        <w:t>Tabla</w:t>
      </w:r>
      <w:r>
        <w:rPr>
          <w:spacing w:val="-3"/>
        </w:rPr>
        <w:t> </w:t>
      </w:r>
      <w:r>
        <w:rPr/>
        <w:t>No.</w:t>
      </w:r>
      <w:r>
        <w:rPr>
          <w:spacing w:val="-2"/>
        </w:rPr>
        <w:t> </w:t>
      </w:r>
      <w:r>
        <w:rPr>
          <w:spacing w:val="-10"/>
        </w:rPr>
        <w:t>3</w:t>
      </w:r>
    </w:p>
    <w:p>
      <w:pPr>
        <w:spacing w:before="0"/>
        <w:ind w:left="1421" w:right="1836" w:firstLine="0"/>
        <w:jc w:val="center"/>
        <w:rPr>
          <w:rFonts w:ascii="Arial" w:hAnsi="Arial"/>
          <w:b/>
          <w:sz w:val="22"/>
        </w:rPr>
      </w:pPr>
      <w:r>
        <w:rPr>
          <w:rFonts w:ascii="Arial" w:hAnsi="Arial"/>
          <w:b/>
          <w:sz w:val="22"/>
        </w:rPr>
        <w:t>Ejemplo hipotético de aplicación de un gravamen arancelario Procedimiento</w:t>
      </w:r>
      <w:r>
        <w:rPr>
          <w:rFonts w:ascii="Arial" w:hAnsi="Arial"/>
          <w:b/>
          <w:spacing w:val="-5"/>
          <w:sz w:val="22"/>
        </w:rPr>
        <w:t> </w:t>
      </w:r>
      <w:r>
        <w:rPr>
          <w:rFonts w:ascii="Arial" w:hAnsi="Arial"/>
          <w:b/>
          <w:sz w:val="22"/>
        </w:rPr>
        <w:t>de</w:t>
      </w:r>
      <w:r>
        <w:rPr>
          <w:rFonts w:ascii="Arial" w:hAnsi="Arial"/>
          <w:b/>
          <w:spacing w:val="-5"/>
          <w:sz w:val="22"/>
        </w:rPr>
        <w:t> </w:t>
      </w:r>
      <w:r>
        <w:rPr>
          <w:rFonts w:ascii="Arial" w:hAnsi="Arial"/>
          <w:b/>
          <w:sz w:val="22"/>
        </w:rPr>
        <w:t>liquidación</w:t>
      </w:r>
      <w:r>
        <w:rPr>
          <w:rFonts w:ascii="Arial" w:hAnsi="Arial"/>
          <w:b/>
          <w:spacing w:val="-3"/>
          <w:sz w:val="22"/>
        </w:rPr>
        <w:t> </w:t>
      </w:r>
      <w:r>
        <w:rPr>
          <w:rFonts w:ascii="Arial" w:hAnsi="Arial"/>
          <w:b/>
          <w:sz w:val="22"/>
        </w:rPr>
        <w:t>de</w:t>
      </w:r>
      <w:r>
        <w:rPr>
          <w:rFonts w:ascii="Arial" w:hAnsi="Arial"/>
          <w:b/>
          <w:spacing w:val="-5"/>
          <w:sz w:val="22"/>
        </w:rPr>
        <w:t> </w:t>
      </w:r>
      <w:r>
        <w:rPr>
          <w:rFonts w:ascii="Arial" w:hAnsi="Arial"/>
          <w:b/>
          <w:sz w:val="22"/>
        </w:rPr>
        <w:t>tributos</w:t>
      </w:r>
      <w:r>
        <w:rPr>
          <w:rFonts w:ascii="Arial" w:hAnsi="Arial"/>
          <w:b/>
          <w:spacing w:val="-6"/>
          <w:sz w:val="22"/>
        </w:rPr>
        <w:t> </w:t>
      </w:r>
      <w:r>
        <w:rPr>
          <w:rFonts w:ascii="Arial" w:hAnsi="Arial"/>
          <w:b/>
          <w:sz w:val="22"/>
        </w:rPr>
        <w:t>aduaneros</w:t>
      </w:r>
      <w:r>
        <w:rPr>
          <w:rFonts w:ascii="Arial" w:hAnsi="Arial"/>
          <w:b/>
          <w:spacing w:val="-3"/>
          <w:sz w:val="22"/>
        </w:rPr>
        <w:t> </w:t>
      </w:r>
      <w:r>
        <w:rPr>
          <w:rFonts w:ascii="Arial" w:hAnsi="Arial"/>
          <w:b/>
          <w:sz w:val="22"/>
        </w:rPr>
        <w:t>según</w:t>
      </w:r>
      <w:r>
        <w:rPr>
          <w:rFonts w:ascii="Arial" w:hAnsi="Arial"/>
          <w:b/>
          <w:spacing w:val="-5"/>
          <w:sz w:val="22"/>
        </w:rPr>
        <w:t> </w:t>
      </w:r>
      <w:r>
        <w:rPr>
          <w:rFonts w:ascii="Arial" w:hAnsi="Arial"/>
          <w:b/>
          <w:sz w:val="22"/>
        </w:rPr>
        <w:t>la</w:t>
      </w:r>
      <w:r>
        <w:rPr>
          <w:rFonts w:ascii="Arial" w:hAnsi="Arial"/>
          <w:b/>
          <w:spacing w:val="-5"/>
          <w:sz w:val="22"/>
        </w:rPr>
        <w:t> </w:t>
      </w:r>
      <w:r>
        <w:rPr>
          <w:rFonts w:ascii="Arial" w:hAnsi="Arial"/>
          <w:b/>
          <w:sz w:val="22"/>
        </w:rPr>
        <w:t>DIAN</w:t>
      </w:r>
    </w:p>
    <w:tbl>
      <w:tblPr>
        <w:tblW w:w="0" w:type="auto"/>
        <w:jc w:val="left"/>
        <w:tblInd w:w="1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19"/>
        <w:gridCol w:w="1456"/>
        <w:gridCol w:w="1685"/>
      </w:tblGrid>
      <w:tr>
        <w:trPr>
          <w:trHeight w:val="184" w:hRule="atLeast"/>
        </w:trPr>
        <w:tc>
          <w:tcPr>
            <w:tcW w:w="3519" w:type="dxa"/>
            <w:shd w:val="clear" w:color="auto" w:fill="D1D1D1"/>
          </w:tcPr>
          <w:p>
            <w:pPr>
              <w:pStyle w:val="TableParagraph"/>
              <w:spacing w:line="163" w:lineRule="exact" w:before="1"/>
              <w:ind w:left="12"/>
              <w:jc w:val="center"/>
              <w:rPr>
                <w:rFonts w:ascii="Arial"/>
                <w:b/>
                <w:sz w:val="16"/>
              </w:rPr>
            </w:pPr>
            <w:r>
              <w:rPr>
                <w:rFonts w:ascii="Arial"/>
                <w:b/>
                <w:spacing w:val="-2"/>
                <w:sz w:val="16"/>
              </w:rPr>
              <w:t>CONCEPTO</w:t>
            </w:r>
          </w:p>
        </w:tc>
        <w:tc>
          <w:tcPr>
            <w:tcW w:w="1456" w:type="dxa"/>
            <w:shd w:val="clear" w:color="auto" w:fill="D1D1D1"/>
          </w:tcPr>
          <w:p>
            <w:pPr>
              <w:pStyle w:val="TableParagraph"/>
              <w:spacing w:line="163" w:lineRule="exact" w:before="1"/>
              <w:ind w:right="101"/>
              <w:jc w:val="right"/>
              <w:rPr>
                <w:rFonts w:ascii="Arial"/>
                <w:b/>
                <w:sz w:val="16"/>
              </w:rPr>
            </w:pPr>
            <w:r>
              <w:rPr>
                <w:rFonts w:ascii="Arial"/>
                <w:b/>
                <w:sz w:val="16"/>
              </w:rPr>
              <w:t>ESCENARIO</w:t>
            </w:r>
            <w:r>
              <w:rPr>
                <w:rFonts w:ascii="Arial"/>
                <w:b/>
                <w:spacing w:val="-8"/>
                <w:sz w:val="16"/>
              </w:rPr>
              <w:t> </w:t>
            </w:r>
            <w:r>
              <w:rPr>
                <w:rFonts w:ascii="Arial"/>
                <w:b/>
                <w:spacing w:val="-5"/>
                <w:sz w:val="16"/>
              </w:rPr>
              <w:t>0%</w:t>
            </w:r>
          </w:p>
        </w:tc>
        <w:tc>
          <w:tcPr>
            <w:tcW w:w="1685" w:type="dxa"/>
            <w:shd w:val="clear" w:color="auto" w:fill="D1D1D1"/>
          </w:tcPr>
          <w:p>
            <w:pPr>
              <w:pStyle w:val="TableParagraph"/>
              <w:spacing w:line="163" w:lineRule="exact" w:before="1"/>
              <w:ind w:left="185"/>
              <w:rPr>
                <w:rFonts w:ascii="Arial"/>
                <w:b/>
                <w:sz w:val="16"/>
              </w:rPr>
            </w:pPr>
            <w:r>
              <w:rPr>
                <w:rFonts w:ascii="Arial"/>
                <w:b/>
                <w:sz w:val="16"/>
              </w:rPr>
              <w:t>ESCENARIO</w:t>
            </w:r>
            <w:r>
              <w:rPr>
                <w:rFonts w:ascii="Arial"/>
                <w:b/>
                <w:spacing w:val="-8"/>
                <w:sz w:val="16"/>
              </w:rPr>
              <w:t> </w:t>
            </w:r>
            <w:r>
              <w:rPr>
                <w:rFonts w:ascii="Arial"/>
                <w:b/>
                <w:spacing w:val="-5"/>
                <w:sz w:val="16"/>
              </w:rPr>
              <w:t>30%</w:t>
            </w:r>
          </w:p>
        </w:tc>
      </w:tr>
      <w:tr>
        <w:trPr>
          <w:trHeight w:val="184" w:hRule="atLeast"/>
        </w:trPr>
        <w:tc>
          <w:tcPr>
            <w:tcW w:w="3519" w:type="dxa"/>
          </w:tcPr>
          <w:p>
            <w:pPr>
              <w:pStyle w:val="TableParagraph"/>
              <w:spacing w:line="163" w:lineRule="exact" w:before="1"/>
              <w:ind w:left="71"/>
              <w:rPr>
                <w:sz w:val="16"/>
              </w:rPr>
            </w:pPr>
            <w:r>
              <w:rPr>
                <w:spacing w:val="-2"/>
                <w:sz w:val="16"/>
              </w:rPr>
              <w:t>SUBPARTIDA</w:t>
            </w:r>
          </w:p>
        </w:tc>
        <w:tc>
          <w:tcPr>
            <w:tcW w:w="1456" w:type="dxa"/>
          </w:tcPr>
          <w:p>
            <w:pPr>
              <w:pStyle w:val="TableParagraph"/>
              <w:spacing w:line="163" w:lineRule="exact" w:before="1"/>
              <w:ind w:left="281"/>
              <w:rPr>
                <w:sz w:val="16"/>
              </w:rPr>
            </w:pPr>
            <w:r>
              <w:rPr>
                <w:spacing w:val="-2"/>
                <w:sz w:val="16"/>
              </w:rPr>
              <w:t>0000000000</w:t>
            </w:r>
          </w:p>
        </w:tc>
        <w:tc>
          <w:tcPr>
            <w:tcW w:w="1685" w:type="dxa"/>
          </w:tcPr>
          <w:p>
            <w:pPr>
              <w:pStyle w:val="TableParagraph"/>
              <w:spacing w:line="163" w:lineRule="exact" w:before="1"/>
              <w:ind w:left="397"/>
              <w:rPr>
                <w:sz w:val="16"/>
              </w:rPr>
            </w:pPr>
            <w:r>
              <w:rPr>
                <w:spacing w:val="-2"/>
                <w:sz w:val="16"/>
              </w:rPr>
              <w:t>0000000000</w:t>
            </w:r>
          </w:p>
        </w:tc>
      </w:tr>
      <w:tr>
        <w:trPr>
          <w:trHeight w:val="184" w:hRule="atLeast"/>
        </w:trPr>
        <w:tc>
          <w:tcPr>
            <w:tcW w:w="3519" w:type="dxa"/>
          </w:tcPr>
          <w:p>
            <w:pPr>
              <w:pStyle w:val="TableParagraph"/>
              <w:spacing w:line="163" w:lineRule="exact" w:before="1"/>
              <w:ind w:left="71"/>
              <w:rPr>
                <w:sz w:val="16"/>
              </w:rPr>
            </w:pPr>
            <w:r>
              <w:rPr>
                <w:sz w:val="16"/>
              </w:rPr>
              <w:t>ARANCEL</w:t>
            </w:r>
            <w:r>
              <w:rPr>
                <w:spacing w:val="-5"/>
                <w:sz w:val="16"/>
              </w:rPr>
              <w:t> </w:t>
            </w:r>
            <w:r>
              <w:rPr>
                <w:sz w:val="16"/>
              </w:rPr>
              <w:t>DE</w:t>
            </w:r>
            <w:r>
              <w:rPr>
                <w:spacing w:val="-3"/>
                <w:sz w:val="16"/>
              </w:rPr>
              <w:t> </w:t>
            </w:r>
            <w:r>
              <w:rPr>
                <w:spacing w:val="-2"/>
                <w:sz w:val="16"/>
              </w:rPr>
              <w:t>ADUANAS</w:t>
            </w:r>
          </w:p>
        </w:tc>
        <w:tc>
          <w:tcPr>
            <w:tcW w:w="1456" w:type="dxa"/>
          </w:tcPr>
          <w:p>
            <w:pPr>
              <w:pStyle w:val="TableParagraph"/>
              <w:spacing w:line="163" w:lineRule="exact" w:before="1"/>
              <w:ind w:right="58"/>
              <w:jc w:val="right"/>
              <w:rPr>
                <w:sz w:val="16"/>
              </w:rPr>
            </w:pPr>
            <w:r>
              <w:rPr>
                <w:spacing w:val="-5"/>
                <w:sz w:val="16"/>
              </w:rPr>
              <w:t>0%</w:t>
            </w:r>
          </w:p>
        </w:tc>
        <w:tc>
          <w:tcPr>
            <w:tcW w:w="1685" w:type="dxa"/>
          </w:tcPr>
          <w:p>
            <w:pPr>
              <w:pStyle w:val="TableParagraph"/>
              <w:spacing w:line="163" w:lineRule="exact" w:before="1"/>
              <w:ind w:right="55"/>
              <w:jc w:val="right"/>
              <w:rPr>
                <w:sz w:val="16"/>
              </w:rPr>
            </w:pPr>
            <w:r>
              <w:rPr>
                <w:spacing w:val="-5"/>
                <w:sz w:val="16"/>
              </w:rPr>
              <w:t>30%</w:t>
            </w:r>
          </w:p>
        </w:tc>
      </w:tr>
      <w:tr>
        <w:trPr>
          <w:trHeight w:val="184" w:hRule="atLeast"/>
        </w:trPr>
        <w:tc>
          <w:tcPr>
            <w:tcW w:w="3519" w:type="dxa"/>
          </w:tcPr>
          <w:p>
            <w:pPr>
              <w:pStyle w:val="TableParagraph"/>
              <w:spacing w:line="163" w:lineRule="exact" w:before="1"/>
              <w:ind w:left="71"/>
              <w:rPr>
                <w:sz w:val="16"/>
              </w:rPr>
            </w:pPr>
            <w:r>
              <w:rPr>
                <w:sz w:val="16"/>
              </w:rPr>
              <w:t>VALOR</w:t>
            </w:r>
            <w:r>
              <w:rPr>
                <w:spacing w:val="-5"/>
                <w:sz w:val="16"/>
              </w:rPr>
              <w:t> </w:t>
            </w:r>
            <w:r>
              <w:rPr>
                <w:sz w:val="16"/>
              </w:rPr>
              <w:t>CIF</w:t>
            </w:r>
            <w:r>
              <w:rPr>
                <w:spacing w:val="-4"/>
                <w:sz w:val="16"/>
              </w:rPr>
              <w:t> </w:t>
            </w:r>
            <w:r>
              <w:rPr>
                <w:spacing w:val="-5"/>
                <w:sz w:val="16"/>
              </w:rPr>
              <w:t>USD</w:t>
            </w:r>
          </w:p>
        </w:tc>
        <w:tc>
          <w:tcPr>
            <w:tcW w:w="1456" w:type="dxa"/>
          </w:tcPr>
          <w:p>
            <w:pPr>
              <w:pStyle w:val="TableParagraph"/>
              <w:spacing w:line="163" w:lineRule="exact" w:before="1"/>
              <w:ind w:right="60"/>
              <w:jc w:val="right"/>
              <w:rPr>
                <w:sz w:val="16"/>
              </w:rPr>
            </w:pPr>
            <w:r>
              <w:rPr>
                <w:spacing w:val="-4"/>
                <w:sz w:val="16"/>
              </w:rPr>
              <w:t>1000</w:t>
            </w:r>
          </w:p>
        </w:tc>
        <w:tc>
          <w:tcPr>
            <w:tcW w:w="1685" w:type="dxa"/>
          </w:tcPr>
          <w:p>
            <w:pPr>
              <w:pStyle w:val="TableParagraph"/>
              <w:spacing w:line="163" w:lineRule="exact" w:before="1"/>
              <w:ind w:right="56"/>
              <w:jc w:val="right"/>
              <w:rPr>
                <w:sz w:val="16"/>
              </w:rPr>
            </w:pPr>
            <w:r>
              <w:rPr>
                <w:spacing w:val="-4"/>
                <w:sz w:val="16"/>
              </w:rPr>
              <w:t>1000</w:t>
            </w:r>
          </w:p>
        </w:tc>
      </w:tr>
      <w:tr>
        <w:trPr>
          <w:trHeight w:val="366" w:hRule="atLeast"/>
        </w:trPr>
        <w:tc>
          <w:tcPr>
            <w:tcW w:w="3519" w:type="dxa"/>
          </w:tcPr>
          <w:p>
            <w:pPr>
              <w:pStyle w:val="TableParagraph"/>
              <w:spacing w:line="183" w:lineRule="exact"/>
              <w:ind w:left="71"/>
              <w:rPr>
                <w:sz w:val="16"/>
              </w:rPr>
            </w:pPr>
            <w:r>
              <w:rPr>
                <w:sz w:val="16"/>
              </w:rPr>
              <w:t>GRAVAMEN</w:t>
            </w:r>
            <w:r>
              <w:rPr>
                <w:spacing w:val="-7"/>
                <w:sz w:val="16"/>
              </w:rPr>
              <w:t> </w:t>
            </w:r>
            <w:r>
              <w:rPr>
                <w:spacing w:val="-2"/>
                <w:sz w:val="16"/>
              </w:rPr>
              <w:t>ARANCELARIO</w:t>
            </w:r>
          </w:p>
          <w:p>
            <w:pPr>
              <w:pStyle w:val="TableParagraph"/>
              <w:spacing w:line="163" w:lineRule="exact" w:before="1"/>
              <w:ind w:left="71"/>
              <w:rPr>
                <w:sz w:val="16"/>
              </w:rPr>
            </w:pPr>
            <w:r>
              <w:rPr>
                <w:sz w:val="16"/>
              </w:rPr>
              <w:t>(Valor</w:t>
            </w:r>
            <w:r>
              <w:rPr>
                <w:spacing w:val="-2"/>
                <w:sz w:val="16"/>
              </w:rPr>
              <w:t> </w:t>
            </w:r>
            <w:r>
              <w:rPr>
                <w:sz w:val="16"/>
              </w:rPr>
              <w:t>CIF</w:t>
            </w:r>
            <w:r>
              <w:rPr>
                <w:spacing w:val="-3"/>
                <w:sz w:val="16"/>
              </w:rPr>
              <w:t> </w:t>
            </w:r>
            <w:r>
              <w:rPr>
                <w:sz w:val="16"/>
              </w:rPr>
              <w:t>*</w:t>
            </w:r>
            <w:r>
              <w:rPr>
                <w:spacing w:val="-3"/>
                <w:sz w:val="16"/>
              </w:rPr>
              <w:t> </w:t>
            </w:r>
            <w:r>
              <w:rPr>
                <w:sz w:val="16"/>
              </w:rPr>
              <w:t>%</w:t>
            </w:r>
            <w:r>
              <w:rPr>
                <w:spacing w:val="1"/>
                <w:sz w:val="16"/>
              </w:rPr>
              <w:t> </w:t>
            </w:r>
            <w:r>
              <w:rPr>
                <w:sz w:val="16"/>
              </w:rPr>
              <w:t>de</w:t>
            </w:r>
            <w:r>
              <w:rPr>
                <w:spacing w:val="-4"/>
                <w:sz w:val="16"/>
              </w:rPr>
              <w:t> </w:t>
            </w:r>
            <w:r>
              <w:rPr>
                <w:sz w:val="16"/>
              </w:rPr>
              <w:t>la</w:t>
            </w:r>
            <w:r>
              <w:rPr>
                <w:spacing w:val="-3"/>
                <w:sz w:val="16"/>
              </w:rPr>
              <w:t> </w:t>
            </w:r>
            <w:r>
              <w:rPr>
                <w:sz w:val="16"/>
              </w:rPr>
              <w:t>Tarifa</w:t>
            </w:r>
            <w:r>
              <w:rPr>
                <w:spacing w:val="-2"/>
                <w:sz w:val="16"/>
              </w:rPr>
              <w:t> Arancelaria)</w:t>
            </w:r>
          </w:p>
        </w:tc>
        <w:tc>
          <w:tcPr>
            <w:tcW w:w="1456" w:type="dxa"/>
          </w:tcPr>
          <w:p>
            <w:pPr>
              <w:pStyle w:val="TableParagraph"/>
              <w:spacing w:before="92"/>
              <w:ind w:right="58"/>
              <w:jc w:val="right"/>
              <w:rPr>
                <w:sz w:val="16"/>
              </w:rPr>
            </w:pPr>
            <w:r>
              <w:rPr>
                <w:spacing w:val="-10"/>
                <w:sz w:val="16"/>
              </w:rPr>
              <w:t>0</w:t>
            </w:r>
          </w:p>
        </w:tc>
        <w:tc>
          <w:tcPr>
            <w:tcW w:w="1685" w:type="dxa"/>
          </w:tcPr>
          <w:p>
            <w:pPr>
              <w:pStyle w:val="TableParagraph"/>
              <w:spacing w:before="92"/>
              <w:ind w:right="56"/>
              <w:jc w:val="right"/>
              <w:rPr>
                <w:sz w:val="16"/>
              </w:rPr>
            </w:pPr>
            <w:r>
              <w:rPr>
                <w:spacing w:val="-5"/>
                <w:sz w:val="16"/>
              </w:rPr>
              <w:t>300</w:t>
            </w:r>
          </w:p>
        </w:tc>
      </w:tr>
      <w:tr>
        <w:trPr>
          <w:trHeight w:val="184" w:hRule="atLeast"/>
        </w:trPr>
        <w:tc>
          <w:tcPr>
            <w:tcW w:w="3519" w:type="dxa"/>
          </w:tcPr>
          <w:p>
            <w:pPr>
              <w:pStyle w:val="TableParagraph"/>
              <w:spacing w:line="163" w:lineRule="exact" w:before="1"/>
              <w:ind w:left="71"/>
              <w:rPr>
                <w:sz w:val="16"/>
              </w:rPr>
            </w:pPr>
            <w:r>
              <w:rPr>
                <w:sz w:val="16"/>
              </w:rPr>
              <w:t>VALOR</w:t>
            </w:r>
            <w:r>
              <w:rPr>
                <w:spacing w:val="-5"/>
                <w:sz w:val="16"/>
              </w:rPr>
              <w:t> </w:t>
            </w:r>
            <w:r>
              <w:rPr>
                <w:sz w:val="16"/>
              </w:rPr>
              <w:t>CIF</w:t>
            </w:r>
            <w:r>
              <w:rPr>
                <w:spacing w:val="-6"/>
                <w:sz w:val="16"/>
              </w:rPr>
              <w:t> </w:t>
            </w:r>
            <w:r>
              <w:rPr>
                <w:sz w:val="16"/>
              </w:rPr>
              <w:t>+</w:t>
            </w:r>
            <w:r>
              <w:rPr>
                <w:spacing w:val="-4"/>
                <w:sz w:val="16"/>
              </w:rPr>
              <w:t> </w:t>
            </w:r>
            <w:r>
              <w:rPr>
                <w:sz w:val="16"/>
              </w:rPr>
              <w:t>GRAVAMEN</w:t>
            </w:r>
            <w:r>
              <w:rPr>
                <w:spacing w:val="-6"/>
                <w:sz w:val="16"/>
              </w:rPr>
              <w:t> </w:t>
            </w:r>
            <w:r>
              <w:rPr>
                <w:spacing w:val="-2"/>
                <w:sz w:val="16"/>
              </w:rPr>
              <w:t>ARANCELARIO</w:t>
            </w:r>
          </w:p>
        </w:tc>
        <w:tc>
          <w:tcPr>
            <w:tcW w:w="1456" w:type="dxa"/>
          </w:tcPr>
          <w:p>
            <w:pPr>
              <w:pStyle w:val="TableParagraph"/>
              <w:spacing w:line="163" w:lineRule="exact" w:before="1"/>
              <w:ind w:right="60"/>
              <w:jc w:val="right"/>
              <w:rPr>
                <w:sz w:val="16"/>
              </w:rPr>
            </w:pPr>
            <w:r>
              <w:rPr>
                <w:spacing w:val="-4"/>
                <w:sz w:val="16"/>
              </w:rPr>
              <w:t>1000</w:t>
            </w:r>
          </w:p>
        </w:tc>
        <w:tc>
          <w:tcPr>
            <w:tcW w:w="1685" w:type="dxa"/>
          </w:tcPr>
          <w:p>
            <w:pPr>
              <w:pStyle w:val="TableParagraph"/>
              <w:spacing w:line="163" w:lineRule="exact" w:before="1"/>
              <w:ind w:right="56"/>
              <w:jc w:val="right"/>
              <w:rPr>
                <w:sz w:val="16"/>
              </w:rPr>
            </w:pPr>
            <w:r>
              <w:rPr>
                <w:spacing w:val="-4"/>
                <w:sz w:val="16"/>
              </w:rPr>
              <w:t>1300</w:t>
            </w:r>
          </w:p>
        </w:tc>
      </w:tr>
      <w:tr>
        <w:trPr>
          <w:trHeight w:val="366" w:hRule="atLeast"/>
        </w:trPr>
        <w:tc>
          <w:tcPr>
            <w:tcW w:w="3519" w:type="dxa"/>
            <w:shd w:val="clear" w:color="auto" w:fill="D1D1D1"/>
          </w:tcPr>
          <w:p>
            <w:pPr>
              <w:pStyle w:val="TableParagraph"/>
              <w:tabs>
                <w:tab w:pos="1601" w:val="left" w:leader="none"/>
                <w:tab w:pos="2516" w:val="left" w:leader="none"/>
              </w:tabs>
              <w:spacing w:line="182" w:lineRule="exact"/>
              <w:ind w:left="71" w:right="54"/>
              <w:rPr>
                <w:rFonts w:ascii="Arial"/>
                <w:b/>
                <w:sz w:val="16"/>
              </w:rPr>
            </w:pPr>
            <w:r>
              <w:rPr>
                <w:rFonts w:ascii="Arial"/>
                <w:b/>
                <w:spacing w:val="-2"/>
                <w:sz w:val="16"/>
              </w:rPr>
              <w:t>INCIDENCIA</w:t>
            </w:r>
            <w:r>
              <w:rPr>
                <w:rFonts w:ascii="Arial"/>
                <w:b/>
                <w:sz w:val="16"/>
              </w:rPr>
              <w:tab/>
            </w:r>
            <w:r>
              <w:rPr>
                <w:rFonts w:ascii="Arial"/>
                <w:b/>
                <w:spacing w:val="-4"/>
                <w:sz w:val="16"/>
              </w:rPr>
              <w:t>DEL</w:t>
            </w:r>
            <w:r>
              <w:rPr>
                <w:rFonts w:ascii="Arial"/>
                <w:b/>
                <w:sz w:val="16"/>
              </w:rPr>
              <w:tab/>
            </w:r>
            <w:r>
              <w:rPr>
                <w:rFonts w:ascii="Arial"/>
                <w:b/>
                <w:spacing w:val="-2"/>
                <w:sz w:val="16"/>
              </w:rPr>
              <w:t>GRAVAMEN </w:t>
            </w:r>
            <w:r>
              <w:rPr>
                <w:rFonts w:ascii="Arial"/>
                <w:b/>
                <w:sz w:val="16"/>
              </w:rPr>
              <w:t>ARANCELARIO (ENCARECIMIENTO)</w:t>
            </w:r>
          </w:p>
        </w:tc>
        <w:tc>
          <w:tcPr>
            <w:tcW w:w="1456" w:type="dxa"/>
            <w:shd w:val="clear" w:color="auto" w:fill="D1D1D1"/>
          </w:tcPr>
          <w:p>
            <w:pPr>
              <w:pStyle w:val="TableParagraph"/>
              <w:rPr>
                <w:rFonts w:ascii="Times New Roman"/>
                <w:sz w:val="18"/>
              </w:rPr>
            </w:pPr>
          </w:p>
        </w:tc>
        <w:tc>
          <w:tcPr>
            <w:tcW w:w="1685" w:type="dxa"/>
            <w:shd w:val="clear" w:color="auto" w:fill="D1D1D1"/>
          </w:tcPr>
          <w:p>
            <w:pPr>
              <w:pStyle w:val="TableParagraph"/>
              <w:spacing w:before="92"/>
              <w:ind w:right="56"/>
              <w:jc w:val="right"/>
              <w:rPr>
                <w:rFonts w:ascii="Arial"/>
                <w:b/>
                <w:sz w:val="16"/>
              </w:rPr>
            </w:pPr>
            <w:r>
              <w:rPr>
                <w:rFonts w:ascii="Arial"/>
                <w:b/>
                <w:spacing w:val="-5"/>
                <w:sz w:val="16"/>
              </w:rPr>
              <w:t>300</w:t>
            </w:r>
          </w:p>
        </w:tc>
      </w:tr>
    </w:tbl>
    <w:p>
      <w:pPr>
        <w:spacing w:before="4"/>
        <w:ind w:left="1562" w:right="0" w:firstLine="0"/>
        <w:jc w:val="left"/>
        <w:rPr>
          <w:rFonts w:ascii="Arial" w:hAnsi="Arial"/>
          <w:b/>
          <w:sz w:val="16"/>
        </w:rPr>
      </w:pPr>
      <w:r>
        <w:rPr>
          <w:rFonts w:ascii="Arial" w:hAnsi="Arial"/>
          <w:b/>
          <w:sz w:val="16"/>
        </w:rPr>
        <w:t>Elaboración:</w:t>
      </w:r>
      <w:r>
        <w:rPr>
          <w:rFonts w:ascii="Arial" w:hAnsi="Arial"/>
          <w:b/>
          <w:spacing w:val="-11"/>
          <w:sz w:val="16"/>
        </w:rPr>
        <w:t> </w:t>
      </w:r>
      <w:r>
        <w:rPr>
          <w:rFonts w:ascii="Arial" w:hAnsi="Arial"/>
          <w:b/>
          <w:spacing w:val="-4"/>
          <w:sz w:val="16"/>
        </w:rPr>
        <w:t>SGCAN</w:t>
      </w:r>
    </w:p>
    <w:p>
      <w:pPr>
        <w:pStyle w:val="BodyText"/>
        <w:rPr>
          <w:rFonts w:ascii="Arial"/>
          <w:b/>
          <w:sz w:val="16"/>
        </w:rPr>
      </w:pPr>
    </w:p>
    <w:p>
      <w:pPr>
        <w:pStyle w:val="ListParagraph"/>
        <w:numPr>
          <w:ilvl w:val="0"/>
          <w:numId w:val="50"/>
        </w:numPr>
        <w:tabs>
          <w:tab w:pos="1130" w:val="left" w:leader="none"/>
          <w:tab w:pos="1134" w:val="left" w:leader="none"/>
        </w:tabs>
        <w:spacing w:line="240" w:lineRule="auto" w:before="1" w:after="0"/>
        <w:ind w:left="1134" w:right="979" w:hanging="567"/>
        <w:jc w:val="both"/>
        <w:rPr>
          <w:sz w:val="22"/>
        </w:rPr>
      </w:pPr>
      <w:r>
        <w:rPr>
          <w:sz w:val="22"/>
        </w:rPr>
        <w:t>El ejemplo hipotético</w:t>
      </w:r>
      <w:hyperlink w:history="true" w:anchor="_bookmark128">
        <w:r>
          <w:rPr>
            <w:sz w:val="22"/>
            <w:vertAlign w:val="superscript"/>
          </w:rPr>
          <w:t>61</w:t>
        </w:r>
      </w:hyperlink>
      <w:r>
        <w:rPr>
          <w:sz w:val="22"/>
          <w:vertAlign w:val="baseline"/>
        </w:rPr>
        <w:t> ilustra la forma en que operan los gravámenes arancelarios conforme al procedimiento utilizado por la DIAN. En el caso de las importaciones provenientes de la República del Ecuador, estas</w:t>
      </w:r>
      <w:r>
        <w:rPr>
          <w:spacing w:val="-1"/>
          <w:sz w:val="22"/>
          <w:vertAlign w:val="baseline"/>
        </w:rPr>
        <w:t> </w:t>
      </w:r>
      <w:r>
        <w:rPr>
          <w:sz w:val="22"/>
          <w:vertAlign w:val="baseline"/>
        </w:rPr>
        <w:t>pasarían de un</w:t>
      </w:r>
      <w:r>
        <w:rPr>
          <w:spacing w:val="-2"/>
          <w:sz w:val="22"/>
          <w:vertAlign w:val="baseline"/>
        </w:rPr>
        <w:t> </w:t>
      </w:r>
      <w:r>
        <w:rPr>
          <w:sz w:val="22"/>
          <w:vertAlign w:val="baseline"/>
        </w:rPr>
        <w:t>escenario con arancel del 0% a otro con la aplicación del 30%, lo cual encarece directamente el</w:t>
      </w:r>
      <w:r>
        <w:rPr>
          <w:spacing w:val="-1"/>
          <w:sz w:val="22"/>
          <w:vertAlign w:val="baseline"/>
        </w:rPr>
        <w:t> </w:t>
      </w:r>
      <w:r>
        <w:rPr>
          <w:sz w:val="22"/>
          <w:vertAlign w:val="baseline"/>
        </w:rPr>
        <w:t>precio de las importaciones. Esta circunstancia resulta suficiente, de acuerdo con la jurisprudencia</w:t>
      </w:r>
    </w:p>
    <w:p>
      <w:pPr>
        <w:pStyle w:val="BodyText"/>
        <w:rPr>
          <w:sz w:val="20"/>
        </w:rPr>
      </w:pPr>
    </w:p>
    <w:p>
      <w:pPr>
        <w:pStyle w:val="BodyText"/>
        <w:spacing w:before="65"/>
        <w:rPr>
          <w:sz w:val="20"/>
        </w:rPr>
      </w:pPr>
      <w:r>
        <w:rPr>
          <w:sz w:val="20"/>
        </w:rPr>
        <mc:AlternateContent>
          <mc:Choice Requires="wps">
            <w:drawing>
              <wp:anchor distT="0" distB="0" distL="0" distR="0" allowOverlap="1" layoutInCell="1" locked="0" behindDoc="1" simplePos="0" relativeHeight="487645184">
                <wp:simplePos x="0" y="0"/>
                <wp:positionH relativeFrom="page">
                  <wp:posOffset>990904</wp:posOffset>
                </wp:positionH>
                <wp:positionV relativeFrom="paragraph">
                  <wp:posOffset>203174</wp:posOffset>
                </wp:positionV>
                <wp:extent cx="1829435" cy="7620"/>
                <wp:effectExtent l="0" t="0" r="0" b="0"/>
                <wp:wrapTopAndBottom/>
                <wp:docPr id="520" name="Graphic 520"/>
                <wp:cNvGraphicFramePr>
                  <a:graphicFrameLocks/>
                </wp:cNvGraphicFramePr>
                <a:graphic>
                  <a:graphicData uri="http://schemas.microsoft.com/office/word/2010/wordprocessingShape">
                    <wps:wsp>
                      <wps:cNvPr id="520" name="Graphic 520"/>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5.997955pt;width:144.020pt;height:.599980pt;mso-position-horizontal-relative:page;mso-position-vertical-relative:paragraph;z-index:-15671296;mso-wrap-distance-left:0;mso-wrap-distance-right:0" id="docshape358" filled="true" fillcolor="#000000" stroked="false">
                <v:fill type="solid"/>
                <w10:wrap type="topAndBottom"/>
              </v:rect>
            </w:pict>
          </mc:Fallback>
        </mc:AlternateContent>
      </w:r>
    </w:p>
    <w:p>
      <w:pPr>
        <w:spacing w:before="94"/>
        <w:ind w:left="710" w:right="976" w:hanging="142"/>
        <w:jc w:val="both"/>
        <w:rPr>
          <w:sz w:val="16"/>
        </w:rPr>
      </w:pPr>
      <w:bookmarkStart w:name="_bookmark127" w:id="128"/>
      <w:bookmarkEnd w:id="128"/>
      <w:r>
        <w:rPr/>
      </w:r>
      <w:r>
        <w:rPr>
          <w:sz w:val="16"/>
          <w:vertAlign w:val="superscript"/>
        </w:rPr>
        <w:t>60</w:t>
      </w:r>
      <w:r>
        <w:rPr>
          <w:spacing w:val="-7"/>
          <w:sz w:val="16"/>
          <w:vertAlign w:val="baseline"/>
        </w:rPr>
        <w:t> </w:t>
      </w:r>
      <w:r>
        <w:rPr>
          <w:sz w:val="16"/>
          <w:vertAlign w:val="baseline"/>
        </w:rPr>
        <w:t>Conforme</w:t>
      </w:r>
      <w:r>
        <w:rPr>
          <w:spacing w:val="-9"/>
          <w:sz w:val="16"/>
          <w:vertAlign w:val="baseline"/>
        </w:rPr>
        <w:t> </w:t>
      </w:r>
      <w:r>
        <w:rPr>
          <w:sz w:val="16"/>
          <w:vertAlign w:val="baseline"/>
        </w:rPr>
        <w:t>a</w:t>
      </w:r>
      <w:r>
        <w:rPr>
          <w:spacing w:val="-9"/>
          <w:sz w:val="16"/>
          <w:vertAlign w:val="baseline"/>
        </w:rPr>
        <w:t> </w:t>
      </w:r>
      <w:r>
        <w:rPr>
          <w:sz w:val="16"/>
          <w:vertAlign w:val="baseline"/>
        </w:rPr>
        <w:t>lo</w:t>
      </w:r>
      <w:r>
        <w:rPr>
          <w:spacing w:val="-9"/>
          <w:sz w:val="16"/>
          <w:vertAlign w:val="baseline"/>
        </w:rPr>
        <w:t> </w:t>
      </w:r>
      <w:r>
        <w:rPr>
          <w:sz w:val="16"/>
          <w:vertAlign w:val="baseline"/>
        </w:rPr>
        <w:t>señalado</w:t>
      </w:r>
      <w:r>
        <w:rPr>
          <w:spacing w:val="-9"/>
          <w:sz w:val="16"/>
          <w:vertAlign w:val="baseline"/>
        </w:rPr>
        <w:t> </w:t>
      </w:r>
      <w:r>
        <w:rPr>
          <w:sz w:val="16"/>
          <w:vertAlign w:val="baseline"/>
        </w:rPr>
        <w:t>en</w:t>
      </w:r>
      <w:r>
        <w:rPr>
          <w:spacing w:val="-7"/>
          <w:sz w:val="16"/>
          <w:vertAlign w:val="baseline"/>
        </w:rPr>
        <w:t> </w:t>
      </w:r>
      <w:r>
        <w:rPr>
          <w:sz w:val="16"/>
          <w:vertAlign w:val="baseline"/>
        </w:rPr>
        <w:t>los</w:t>
      </w:r>
      <w:r>
        <w:rPr>
          <w:spacing w:val="-7"/>
          <w:sz w:val="16"/>
          <w:vertAlign w:val="baseline"/>
        </w:rPr>
        <w:t> </w:t>
      </w:r>
      <w:r>
        <w:rPr>
          <w:sz w:val="16"/>
          <w:vertAlign w:val="baseline"/>
        </w:rPr>
        <w:t>artículos</w:t>
      </w:r>
      <w:r>
        <w:rPr>
          <w:spacing w:val="-8"/>
          <w:sz w:val="16"/>
          <w:vertAlign w:val="baseline"/>
        </w:rPr>
        <w:t> </w:t>
      </w:r>
      <w:r>
        <w:rPr>
          <w:sz w:val="16"/>
          <w:vertAlign w:val="baseline"/>
        </w:rPr>
        <w:t>1</w:t>
      </w:r>
      <w:r>
        <w:rPr>
          <w:spacing w:val="-9"/>
          <w:sz w:val="16"/>
          <w:vertAlign w:val="baseline"/>
        </w:rPr>
        <w:t> </w:t>
      </w:r>
      <w:r>
        <w:rPr>
          <w:sz w:val="16"/>
          <w:vertAlign w:val="baseline"/>
        </w:rPr>
        <w:t>(Competencia)</w:t>
      </w:r>
      <w:r>
        <w:rPr>
          <w:spacing w:val="-9"/>
          <w:sz w:val="16"/>
          <w:vertAlign w:val="baseline"/>
        </w:rPr>
        <w:t> </w:t>
      </w:r>
      <w:r>
        <w:rPr>
          <w:sz w:val="16"/>
          <w:vertAlign w:val="baseline"/>
        </w:rPr>
        <w:t>y</w:t>
      </w:r>
      <w:r>
        <w:rPr>
          <w:spacing w:val="-7"/>
          <w:sz w:val="16"/>
          <w:vertAlign w:val="baseline"/>
        </w:rPr>
        <w:t> </w:t>
      </w:r>
      <w:r>
        <w:rPr>
          <w:sz w:val="16"/>
          <w:vertAlign w:val="baseline"/>
        </w:rPr>
        <w:t>3</w:t>
      </w:r>
      <w:r>
        <w:rPr>
          <w:spacing w:val="-9"/>
          <w:sz w:val="16"/>
          <w:vertAlign w:val="baseline"/>
        </w:rPr>
        <w:t> </w:t>
      </w:r>
      <w:r>
        <w:rPr>
          <w:sz w:val="16"/>
          <w:vertAlign w:val="baseline"/>
        </w:rPr>
        <w:t>(Funciones),</w:t>
      </w:r>
      <w:r>
        <w:rPr>
          <w:spacing w:val="-8"/>
          <w:sz w:val="16"/>
          <w:vertAlign w:val="baseline"/>
        </w:rPr>
        <w:t> </w:t>
      </w:r>
      <w:r>
        <w:rPr>
          <w:sz w:val="16"/>
          <w:vertAlign w:val="baseline"/>
        </w:rPr>
        <w:t>del</w:t>
      </w:r>
      <w:r>
        <w:rPr>
          <w:spacing w:val="-6"/>
          <w:sz w:val="16"/>
          <w:vertAlign w:val="baseline"/>
        </w:rPr>
        <w:t> </w:t>
      </w:r>
      <w:r>
        <w:rPr>
          <w:sz w:val="16"/>
          <w:vertAlign w:val="baseline"/>
        </w:rPr>
        <w:t>Decreto</w:t>
      </w:r>
      <w:r>
        <w:rPr>
          <w:spacing w:val="-9"/>
          <w:sz w:val="16"/>
          <w:vertAlign w:val="baseline"/>
        </w:rPr>
        <w:t> </w:t>
      </w:r>
      <w:r>
        <w:rPr>
          <w:sz w:val="16"/>
          <w:vertAlign w:val="baseline"/>
        </w:rPr>
        <w:t>1742</w:t>
      </w:r>
      <w:r>
        <w:rPr>
          <w:spacing w:val="-7"/>
          <w:sz w:val="16"/>
          <w:vertAlign w:val="baseline"/>
        </w:rPr>
        <w:t> </w:t>
      </w:r>
      <w:r>
        <w:rPr>
          <w:sz w:val="16"/>
          <w:vertAlign w:val="baseline"/>
        </w:rPr>
        <w:t>de</w:t>
      </w:r>
      <w:r>
        <w:rPr>
          <w:spacing w:val="-9"/>
          <w:sz w:val="16"/>
          <w:vertAlign w:val="baseline"/>
        </w:rPr>
        <w:t> </w:t>
      </w:r>
      <w:r>
        <w:rPr>
          <w:sz w:val="16"/>
          <w:vertAlign w:val="baseline"/>
        </w:rPr>
        <w:t>2020,</w:t>
      </w:r>
      <w:r>
        <w:rPr>
          <w:spacing w:val="-8"/>
          <w:sz w:val="16"/>
          <w:vertAlign w:val="baseline"/>
        </w:rPr>
        <w:t> </w:t>
      </w:r>
      <w:r>
        <w:rPr>
          <w:sz w:val="16"/>
          <w:vertAlign w:val="baseline"/>
        </w:rPr>
        <w:t>respectivamente,</w:t>
      </w:r>
      <w:r>
        <w:rPr>
          <w:spacing w:val="-8"/>
          <w:sz w:val="16"/>
          <w:vertAlign w:val="baseline"/>
        </w:rPr>
        <w:t> </w:t>
      </w:r>
      <w:r>
        <w:rPr>
          <w:sz w:val="16"/>
          <w:vertAlign w:val="baseline"/>
        </w:rPr>
        <w:t>la</w:t>
      </w:r>
      <w:r>
        <w:rPr>
          <w:spacing w:val="-6"/>
          <w:sz w:val="16"/>
          <w:vertAlign w:val="baseline"/>
        </w:rPr>
        <w:t> </w:t>
      </w:r>
      <w:r>
        <w:rPr>
          <w:sz w:val="16"/>
          <w:vertAlign w:val="baseline"/>
        </w:rPr>
        <w:t>DIAN tiene</w:t>
      </w:r>
      <w:r>
        <w:rPr>
          <w:spacing w:val="-3"/>
          <w:sz w:val="16"/>
          <w:vertAlign w:val="baseline"/>
        </w:rPr>
        <w:t> </w:t>
      </w:r>
      <w:r>
        <w:rPr>
          <w:sz w:val="16"/>
          <w:vertAlign w:val="baseline"/>
        </w:rPr>
        <w:t>funciones</w:t>
      </w:r>
      <w:r>
        <w:rPr>
          <w:spacing w:val="-2"/>
          <w:sz w:val="16"/>
          <w:vertAlign w:val="baseline"/>
        </w:rPr>
        <w:t> </w:t>
      </w:r>
      <w:r>
        <w:rPr>
          <w:sz w:val="16"/>
          <w:vertAlign w:val="baseline"/>
        </w:rPr>
        <w:t>relacionadas</w:t>
      </w:r>
      <w:r>
        <w:rPr>
          <w:spacing w:val="-2"/>
          <w:sz w:val="16"/>
          <w:vertAlign w:val="baseline"/>
        </w:rPr>
        <w:t> </w:t>
      </w:r>
      <w:r>
        <w:rPr>
          <w:sz w:val="16"/>
          <w:vertAlign w:val="baseline"/>
        </w:rPr>
        <w:t>con</w:t>
      </w:r>
      <w:r>
        <w:rPr>
          <w:spacing w:val="-4"/>
          <w:sz w:val="16"/>
          <w:vertAlign w:val="baseline"/>
        </w:rPr>
        <w:t> </w:t>
      </w:r>
      <w:r>
        <w:rPr>
          <w:sz w:val="16"/>
          <w:vertAlign w:val="baseline"/>
        </w:rPr>
        <w:t>“[l]</w:t>
      </w:r>
      <w:r>
        <w:rPr>
          <w:rFonts w:ascii="Arial" w:hAnsi="Arial"/>
          <w:i/>
          <w:sz w:val="16"/>
          <w:vertAlign w:val="baseline"/>
        </w:rPr>
        <w:t>a</w:t>
      </w:r>
      <w:r>
        <w:rPr>
          <w:rFonts w:ascii="Arial" w:hAnsi="Arial"/>
          <w:i/>
          <w:spacing w:val="-4"/>
          <w:sz w:val="16"/>
          <w:vertAlign w:val="baseline"/>
        </w:rPr>
        <w:t> </w:t>
      </w:r>
      <w:r>
        <w:rPr>
          <w:rFonts w:ascii="Arial" w:hAnsi="Arial"/>
          <w:i/>
          <w:sz w:val="16"/>
          <w:vertAlign w:val="baseline"/>
        </w:rPr>
        <w:t>administración</w:t>
      </w:r>
      <w:r>
        <w:rPr>
          <w:rFonts w:ascii="Arial" w:hAnsi="Arial"/>
          <w:i/>
          <w:spacing w:val="-4"/>
          <w:sz w:val="16"/>
          <w:vertAlign w:val="baseline"/>
        </w:rPr>
        <w:t> </w:t>
      </w:r>
      <w:r>
        <w:rPr>
          <w:rFonts w:ascii="Arial" w:hAnsi="Arial"/>
          <w:i/>
          <w:sz w:val="16"/>
          <w:vertAlign w:val="baseline"/>
        </w:rPr>
        <w:t>de</w:t>
      </w:r>
      <w:r>
        <w:rPr>
          <w:rFonts w:ascii="Arial" w:hAnsi="Arial"/>
          <w:i/>
          <w:spacing w:val="-4"/>
          <w:sz w:val="16"/>
          <w:vertAlign w:val="baseline"/>
        </w:rPr>
        <w:t> </w:t>
      </w:r>
      <w:r>
        <w:rPr>
          <w:rFonts w:ascii="Arial" w:hAnsi="Arial"/>
          <w:i/>
          <w:sz w:val="16"/>
          <w:vertAlign w:val="baseline"/>
        </w:rPr>
        <w:t>los</w:t>
      </w:r>
      <w:r>
        <w:rPr>
          <w:rFonts w:ascii="Arial" w:hAnsi="Arial"/>
          <w:i/>
          <w:spacing w:val="-4"/>
          <w:sz w:val="16"/>
          <w:vertAlign w:val="baseline"/>
        </w:rPr>
        <w:t> </w:t>
      </w:r>
      <w:r>
        <w:rPr>
          <w:rFonts w:ascii="Arial" w:hAnsi="Arial"/>
          <w:i/>
          <w:sz w:val="16"/>
          <w:vertAlign w:val="baseline"/>
        </w:rPr>
        <w:t>impuestos</w:t>
      </w:r>
      <w:r>
        <w:rPr>
          <w:rFonts w:ascii="Arial" w:hAnsi="Arial"/>
          <w:i/>
          <w:spacing w:val="-2"/>
          <w:sz w:val="16"/>
          <w:vertAlign w:val="baseline"/>
        </w:rPr>
        <w:t> </w:t>
      </w:r>
      <w:r>
        <w:rPr>
          <w:rFonts w:ascii="Arial" w:hAnsi="Arial"/>
          <w:i/>
          <w:sz w:val="16"/>
          <w:vertAlign w:val="baseline"/>
        </w:rPr>
        <w:t>de</w:t>
      </w:r>
      <w:r>
        <w:rPr>
          <w:rFonts w:ascii="Arial" w:hAnsi="Arial"/>
          <w:i/>
          <w:spacing w:val="-1"/>
          <w:sz w:val="16"/>
          <w:vertAlign w:val="baseline"/>
        </w:rPr>
        <w:t> </w:t>
      </w:r>
      <w:r>
        <w:rPr>
          <w:rFonts w:ascii="Arial" w:hAnsi="Arial"/>
          <w:i/>
          <w:sz w:val="16"/>
          <w:vertAlign w:val="baseline"/>
        </w:rPr>
        <w:t>renta</w:t>
      </w:r>
      <w:r>
        <w:rPr>
          <w:rFonts w:ascii="Arial" w:hAnsi="Arial"/>
          <w:i/>
          <w:spacing w:val="-6"/>
          <w:sz w:val="16"/>
          <w:vertAlign w:val="baseline"/>
        </w:rPr>
        <w:t> </w:t>
      </w:r>
      <w:r>
        <w:rPr>
          <w:rFonts w:ascii="Arial" w:hAnsi="Arial"/>
          <w:i/>
          <w:sz w:val="16"/>
          <w:vertAlign w:val="baseline"/>
        </w:rPr>
        <w:t>y</w:t>
      </w:r>
      <w:r>
        <w:rPr>
          <w:rFonts w:ascii="Arial" w:hAnsi="Arial"/>
          <w:i/>
          <w:spacing w:val="-2"/>
          <w:sz w:val="16"/>
          <w:vertAlign w:val="baseline"/>
        </w:rPr>
        <w:t> </w:t>
      </w:r>
      <w:r>
        <w:rPr>
          <w:rFonts w:ascii="Arial" w:hAnsi="Arial"/>
          <w:i/>
          <w:sz w:val="16"/>
          <w:vertAlign w:val="baseline"/>
        </w:rPr>
        <w:t>complementarios, de</w:t>
      </w:r>
      <w:r>
        <w:rPr>
          <w:rFonts w:ascii="Arial" w:hAnsi="Arial"/>
          <w:i/>
          <w:spacing w:val="-6"/>
          <w:sz w:val="16"/>
          <w:vertAlign w:val="baseline"/>
        </w:rPr>
        <w:t> </w:t>
      </w:r>
      <w:r>
        <w:rPr>
          <w:rFonts w:ascii="Arial" w:hAnsi="Arial"/>
          <w:i/>
          <w:sz w:val="16"/>
          <w:vertAlign w:val="baseline"/>
        </w:rPr>
        <w:t>timbre</w:t>
      </w:r>
      <w:r>
        <w:rPr>
          <w:rFonts w:ascii="Arial" w:hAnsi="Arial"/>
          <w:i/>
          <w:spacing w:val="-1"/>
          <w:sz w:val="16"/>
          <w:vertAlign w:val="baseline"/>
        </w:rPr>
        <w:t> </w:t>
      </w:r>
      <w:r>
        <w:rPr>
          <w:rFonts w:ascii="Arial" w:hAnsi="Arial"/>
          <w:i/>
          <w:sz w:val="16"/>
          <w:vertAlign w:val="baseline"/>
        </w:rPr>
        <w:t>nacional</w:t>
      </w:r>
      <w:r>
        <w:rPr>
          <w:rFonts w:ascii="Arial" w:hAnsi="Arial"/>
          <w:i/>
          <w:spacing w:val="-3"/>
          <w:sz w:val="16"/>
          <w:vertAlign w:val="baseline"/>
        </w:rPr>
        <w:t> </w:t>
      </w:r>
      <w:r>
        <w:rPr>
          <w:rFonts w:ascii="Arial" w:hAnsi="Arial"/>
          <w:i/>
          <w:sz w:val="16"/>
          <w:vertAlign w:val="baseline"/>
        </w:rPr>
        <w:t>y</w:t>
      </w:r>
      <w:r>
        <w:rPr>
          <w:rFonts w:ascii="Arial" w:hAnsi="Arial"/>
          <w:i/>
          <w:spacing w:val="-4"/>
          <w:sz w:val="16"/>
          <w:vertAlign w:val="baseline"/>
        </w:rPr>
        <w:t> </w:t>
      </w:r>
      <w:r>
        <w:rPr>
          <w:rFonts w:ascii="Arial" w:hAnsi="Arial"/>
          <w:i/>
          <w:sz w:val="16"/>
          <w:vertAlign w:val="baseline"/>
        </w:rPr>
        <w:t>sobre las ventas; </w:t>
      </w:r>
      <w:r>
        <w:rPr>
          <w:rFonts w:ascii="Arial" w:hAnsi="Arial"/>
          <w:b/>
          <w:i/>
          <w:sz w:val="16"/>
          <w:u w:val="single"/>
          <w:vertAlign w:val="baseline"/>
        </w:rPr>
        <w:t>los derechos de aduana</w:t>
      </w:r>
      <w:r>
        <w:rPr>
          <w:rFonts w:ascii="Arial" w:hAnsi="Arial"/>
          <w:b/>
          <w:i/>
          <w:sz w:val="16"/>
          <w:vertAlign w:val="baseline"/>
        </w:rPr>
        <w:t> </w:t>
      </w:r>
      <w:r>
        <w:rPr>
          <w:rFonts w:ascii="Arial" w:hAnsi="Arial"/>
          <w:i/>
          <w:sz w:val="16"/>
          <w:vertAlign w:val="baseline"/>
        </w:rPr>
        <w:t>y los demás impuestos internos del orden nacional cuya</w:t>
      </w:r>
      <w:r>
        <w:rPr>
          <w:rFonts w:ascii="Arial" w:hAnsi="Arial"/>
          <w:i/>
          <w:spacing w:val="-2"/>
          <w:sz w:val="16"/>
          <w:vertAlign w:val="baseline"/>
        </w:rPr>
        <w:t> </w:t>
      </w:r>
      <w:r>
        <w:rPr>
          <w:rFonts w:ascii="Arial" w:hAnsi="Arial"/>
          <w:i/>
          <w:sz w:val="16"/>
          <w:vertAlign w:val="baseline"/>
        </w:rPr>
        <w:t>competencia no esté asignada a</w:t>
      </w:r>
      <w:r>
        <w:rPr>
          <w:rFonts w:ascii="Arial" w:hAnsi="Arial"/>
          <w:i/>
          <w:spacing w:val="-3"/>
          <w:sz w:val="16"/>
          <w:vertAlign w:val="baseline"/>
        </w:rPr>
        <w:t> </w:t>
      </w:r>
      <w:r>
        <w:rPr>
          <w:rFonts w:ascii="Arial" w:hAnsi="Arial"/>
          <w:i/>
          <w:sz w:val="16"/>
          <w:vertAlign w:val="baseline"/>
        </w:rPr>
        <w:t>otras</w:t>
      </w:r>
      <w:r>
        <w:rPr>
          <w:rFonts w:ascii="Arial" w:hAnsi="Arial"/>
          <w:i/>
          <w:spacing w:val="-2"/>
          <w:sz w:val="16"/>
          <w:vertAlign w:val="baseline"/>
        </w:rPr>
        <w:t> </w:t>
      </w:r>
      <w:r>
        <w:rPr>
          <w:rFonts w:ascii="Arial" w:hAnsi="Arial"/>
          <w:i/>
          <w:sz w:val="16"/>
          <w:vertAlign w:val="baseline"/>
        </w:rPr>
        <w:t>entidades</w:t>
      </w:r>
      <w:r>
        <w:rPr>
          <w:rFonts w:ascii="Arial" w:hAnsi="Arial"/>
          <w:i/>
          <w:spacing w:val="-4"/>
          <w:sz w:val="16"/>
          <w:vertAlign w:val="baseline"/>
        </w:rPr>
        <w:t> </w:t>
      </w:r>
      <w:r>
        <w:rPr>
          <w:rFonts w:ascii="Arial" w:hAnsi="Arial"/>
          <w:i/>
          <w:sz w:val="16"/>
          <w:vertAlign w:val="baseline"/>
        </w:rPr>
        <w:t>del</w:t>
      </w:r>
      <w:r>
        <w:rPr>
          <w:rFonts w:ascii="Arial" w:hAnsi="Arial"/>
          <w:i/>
          <w:spacing w:val="-5"/>
          <w:sz w:val="16"/>
          <w:vertAlign w:val="baseline"/>
        </w:rPr>
        <w:t> </w:t>
      </w:r>
      <w:r>
        <w:rPr>
          <w:rFonts w:ascii="Arial" w:hAnsi="Arial"/>
          <w:i/>
          <w:sz w:val="16"/>
          <w:vertAlign w:val="baseline"/>
        </w:rPr>
        <w:t>Estado,</w:t>
      </w:r>
      <w:r>
        <w:rPr>
          <w:rFonts w:ascii="Arial" w:hAnsi="Arial"/>
          <w:i/>
          <w:spacing w:val="-2"/>
          <w:sz w:val="16"/>
          <w:vertAlign w:val="baseline"/>
        </w:rPr>
        <w:t> </w:t>
      </w:r>
      <w:r>
        <w:rPr>
          <w:rFonts w:ascii="Arial" w:hAnsi="Arial"/>
          <w:i/>
          <w:sz w:val="16"/>
          <w:vertAlign w:val="baseline"/>
        </w:rPr>
        <w:t>bien</w:t>
      </w:r>
      <w:r>
        <w:rPr>
          <w:rFonts w:ascii="Arial" w:hAnsi="Arial"/>
          <w:i/>
          <w:spacing w:val="-6"/>
          <w:sz w:val="16"/>
          <w:vertAlign w:val="baseline"/>
        </w:rPr>
        <w:t> </w:t>
      </w:r>
      <w:r>
        <w:rPr>
          <w:rFonts w:ascii="Arial" w:hAnsi="Arial"/>
          <w:i/>
          <w:sz w:val="16"/>
          <w:vertAlign w:val="baseline"/>
        </w:rPr>
        <w:t>se</w:t>
      </w:r>
      <w:r>
        <w:rPr>
          <w:rFonts w:ascii="Arial" w:hAnsi="Arial"/>
          <w:i/>
          <w:spacing w:val="-3"/>
          <w:sz w:val="16"/>
          <w:vertAlign w:val="baseline"/>
        </w:rPr>
        <w:t> </w:t>
      </w:r>
      <w:r>
        <w:rPr>
          <w:rFonts w:ascii="Arial" w:hAnsi="Arial"/>
          <w:i/>
          <w:sz w:val="16"/>
          <w:vertAlign w:val="baseline"/>
        </w:rPr>
        <w:t>trate</w:t>
      </w:r>
      <w:r>
        <w:rPr>
          <w:rFonts w:ascii="Arial" w:hAnsi="Arial"/>
          <w:i/>
          <w:spacing w:val="-3"/>
          <w:sz w:val="16"/>
          <w:vertAlign w:val="baseline"/>
        </w:rPr>
        <w:t> </w:t>
      </w:r>
      <w:r>
        <w:rPr>
          <w:rFonts w:ascii="Arial" w:hAnsi="Arial"/>
          <w:i/>
          <w:sz w:val="16"/>
          <w:vertAlign w:val="baseline"/>
        </w:rPr>
        <w:t>de</w:t>
      </w:r>
      <w:r>
        <w:rPr>
          <w:rFonts w:ascii="Arial" w:hAnsi="Arial"/>
          <w:i/>
          <w:spacing w:val="-3"/>
          <w:sz w:val="16"/>
          <w:vertAlign w:val="baseline"/>
        </w:rPr>
        <w:t> </w:t>
      </w:r>
      <w:r>
        <w:rPr>
          <w:rFonts w:ascii="Arial" w:hAnsi="Arial"/>
          <w:i/>
          <w:sz w:val="16"/>
          <w:vertAlign w:val="baseline"/>
        </w:rPr>
        <w:t>impuestos</w:t>
      </w:r>
      <w:r>
        <w:rPr>
          <w:rFonts w:ascii="Arial" w:hAnsi="Arial"/>
          <w:i/>
          <w:spacing w:val="-4"/>
          <w:sz w:val="16"/>
          <w:vertAlign w:val="baseline"/>
        </w:rPr>
        <w:t> </w:t>
      </w:r>
      <w:r>
        <w:rPr>
          <w:rFonts w:ascii="Arial" w:hAnsi="Arial"/>
          <w:i/>
          <w:sz w:val="16"/>
          <w:vertAlign w:val="baseline"/>
        </w:rPr>
        <w:t>internos</w:t>
      </w:r>
      <w:r>
        <w:rPr>
          <w:rFonts w:ascii="Arial" w:hAnsi="Arial"/>
          <w:i/>
          <w:spacing w:val="-4"/>
          <w:sz w:val="16"/>
          <w:vertAlign w:val="baseline"/>
        </w:rPr>
        <w:t> </w:t>
      </w:r>
      <w:r>
        <w:rPr>
          <w:rFonts w:ascii="Arial" w:hAnsi="Arial"/>
          <w:i/>
          <w:sz w:val="16"/>
          <w:vertAlign w:val="baseline"/>
        </w:rPr>
        <w:t>o</w:t>
      </w:r>
      <w:r>
        <w:rPr>
          <w:rFonts w:ascii="Arial" w:hAnsi="Arial"/>
          <w:i/>
          <w:spacing w:val="-3"/>
          <w:sz w:val="16"/>
          <w:vertAlign w:val="baseline"/>
        </w:rPr>
        <w:t> </w:t>
      </w:r>
      <w:r>
        <w:rPr>
          <w:rFonts w:ascii="Arial" w:hAnsi="Arial"/>
          <w:i/>
          <w:sz w:val="16"/>
          <w:vertAlign w:val="baseline"/>
        </w:rPr>
        <w:t>al</w:t>
      </w:r>
      <w:r>
        <w:rPr>
          <w:rFonts w:ascii="Arial" w:hAnsi="Arial"/>
          <w:i/>
          <w:spacing w:val="-5"/>
          <w:sz w:val="16"/>
          <w:vertAlign w:val="baseline"/>
        </w:rPr>
        <w:t> </w:t>
      </w:r>
      <w:r>
        <w:rPr>
          <w:rFonts w:ascii="Arial" w:hAnsi="Arial"/>
          <w:i/>
          <w:sz w:val="16"/>
          <w:vertAlign w:val="baseline"/>
        </w:rPr>
        <w:t>comercio</w:t>
      </w:r>
      <w:r>
        <w:rPr>
          <w:rFonts w:ascii="Arial" w:hAnsi="Arial"/>
          <w:i/>
          <w:spacing w:val="-3"/>
          <w:sz w:val="16"/>
          <w:vertAlign w:val="baseline"/>
        </w:rPr>
        <w:t> </w:t>
      </w:r>
      <w:r>
        <w:rPr>
          <w:rFonts w:ascii="Arial" w:hAnsi="Arial"/>
          <w:i/>
          <w:sz w:val="16"/>
          <w:vertAlign w:val="baseline"/>
        </w:rPr>
        <w:t>exterior;</w:t>
      </w:r>
      <w:r>
        <w:rPr>
          <w:rFonts w:ascii="Arial" w:hAnsi="Arial"/>
          <w:i/>
          <w:spacing w:val="-4"/>
          <w:sz w:val="16"/>
          <w:vertAlign w:val="baseline"/>
        </w:rPr>
        <w:t> </w:t>
      </w:r>
      <w:r>
        <w:rPr>
          <w:rFonts w:ascii="Arial" w:hAnsi="Arial"/>
          <w:i/>
          <w:sz w:val="16"/>
          <w:vertAlign w:val="baseline"/>
        </w:rPr>
        <w:t>así</w:t>
      </w:r>
      <w:r>
        <w:rPr>
          <w:rFonts w:ascii="Arial" w:hAnsi="Arial"/>
          <w:i/>
          <w:spacing w:val="-4"/>
          <w:sz w:val="16"/>
          <w:vertAlign w:val="baseline"/>
        </w:rPr>
        <w:t> </w:t>
      </w:r>
      <w:r>
        <w:rPr>
          <w:rFonts w:ascii="Arial" w:hAnsi="Arial"/>
          <w:i/>
          <w:sz w:val="16"/>
          <w:vertAlign w:val="baseline"/>
        </w:rPr>
        <w:t>como</w:t>
      </w:r>
      <w:r>
        <w:rPr>
          <w:rFonts w:ascii="Arial" w:hAnsi="Arial"/>
          <w:i/>
          <w:spacing w:val="-5"/>
          <w:sz w:val="16"/>
          <w:vertAlign w:val="baseline"/>
        </w:rPr>
        <w:t> </w:t>
      </w:r>
      <w:r>
        <w:rPr>
          <w:rFonts w:ascii="Arial" w:hAnsi="Arial"/>
          <w:i/>
          <w:sz w:val="16"/>
          <w:vertAlign w:val="baseline"/>
        </w:rPr>
        <w:t>la</w:t>
      </w:r>
      <w:r>
        <w:rPr>
          <w:rFonts w:ascii="Arial" w:hAnsi="Arial"/>
          <w:i/>
          <w:spacing w:val="-3"/>
          <w:sz w:val="16"/>
          <w:vertAlign w:val="baseline"/>
        </w:rPr>
        <w:t> </w:t>
      </w:r>
      <w:r>
        <w:rPr>
          <w:rFonts w:ascii="Arial" w:hAnsi="Arial"/>
          <w:i/>
          <w:sz w:val="16"/>
          <w:vertAlign w:val="baseline"/>
        </w:rPr>
        <w:t>dirección</w:t>
      </w:r>
      <w:r>
        <w:rPr>
          <w:rFonts w:ascii="Arial" w:hAnsi="Arial"/>
          <w:i/>
          <w:spacing w:val="-6"/>
          <w:sz w:val="16"/>
          <w:vertAlign w:val="baseline"/>
        </w:rPr>
        <w:t> </w:t>
      </w:r>
      <w:r>
        <w:rPr>
          <w:rFonts w:ascii="Arial" w:hAnsi="Arial"/>
          <w:i/>
          <w:sz w:val="16"/>
          <w:vertAlign w:val="baseline"/>
        </w:rPr>
        <w:t>y</w:t>
      </w:r>
      <w:r>
        <w:rPr>
          <w:rFonts w:ascii="Arial" w:hAnsi="Arial"/>
          <w:i/>
          <w:spacing w:val="-4"/>
          <w:sz w:val="16"/>
          <w:vertAlign w:val="baseline"/>
        </w:rPr>
        <w:t> </w:t>
      </w:r>
      <w:r>
        <w:rPr>
          <w:rFonts w:ascii="Arial" w:hAnsi="Arial"/>
          <w:i/>
          <w:sz w:val="16"/>
          <w:vertAlign w:val="baseline"/>
        </w:rPr>
        <w:t>administración de la gestión aduanera, incluyendo la aprehensión, decomiso o declaración en abandono a</w:t>
      </w:r>
      <w:r>
        <w:rPr>
          <w:rFonts w:ascii="Arial" w:hAnsi="Arial"/>
          <w:i/>
          <w:spacing w:val="-1"/>
          <w:sz w:val="16"/>
          <w:vertAlign w:val="baseline"/>
        </w:rPr>
        <w:t> </w:t>
      </w:r>
      <w:r>
        <w:rPr>
          <w:rFonts w:ascii="Arial" w:hAnsi="Arial"/>
          <w:i/>
          <w:sz w:val="16"/>
          <w:vertAlign w:val="baseline"/>
        </w:rPr>
        <w:t>favor</w:t>
      </w:r>
      <w:r>
        <w:rPr>
          <w:rFonts w:ascii="Arial" w:hAnsi="Arial"/>
          <w:i/>
          <w:spacing w:val="-1"/>
          <w:sz w:val="16"/>
          <w:vertAlign w:val="baseline"/>
        </w:rPr>
        <w:t> </w:t>
      </w:r>
      <w:r>
        <w:rPr>
          <w:rFonts w:ascii="Arial" w:hAnsi="Arial"/>
          <w:i/>
          <w:sz w:val="16"/>
          <w:vertAlign w:val="baseline"/>
        </w:rPr>
        <w:t>de la</w:t>
      </w:r>
      <w:r>
        <w:rPr>
          <w:rFonts w:ascii="Arial" w:hAnsi="Arial"/>
          <w:i/>
          <w:spacing w:val="-1"/>
          <w:sz w:val="16"/>
          <w:vertAlign w:val="baseline"/>
        </w:rPr>
        <w:t> </w:t>
      </w:r>
      <w:r>
        <w:rPr>
          <w:rFonts w:ascii="Arial" w:hAnsi="Arial"/>
          <w:i/>
          <w:sz w:val="16"/>
          <w:vertAlign w:val="baseline"/>
        </w:rPr>
        <w:t>Nación de</w:t>
      </w:r>
      <w:r>
        <w:rPr>
          <w:rFonts w:ascii="Arial" w:hAnsi="Arial"/>
          <w:i/>
          <w:spacing w:val="-1"/>
          <w:sz w:val="16"/>
          <w:vertAlign w:val="baseline"/>
        </w:rPr>
        <w:t> </w:t>
      </w:r>
      <w:r>
        <w:rPr>
          <w:rFonts w:ascii="Arial" w:hAnsi="Arial"/>
          <w:i/>
          <w:sz w:val="16"/>
          <w:vertAlign w:val="baseline"/>
        </w:rPr>
        <w:t>mercancías y su administración y disposición.” </w:t>
      </w:r>
      <w:r>
        <w:rPr>
          <w:sz w:val="16"/>
          <w:vertAlign w:val="baseline"/>
        </w:rPr>
        <w:t>[énfasis añadido]</w:t>
      </w:r>
    </w:p>
    <w:p>
      <w:pPr>
        <w:spacing w:before="1"/>
        <w:ind w:left="568" w:right="987" w:firstLine="0"/>
        <w:jc w:val="left"/>
        <w:rPr>
          <w:sz w:val="16"/>
        </w:rPr>
      </w:pPr>
      <w:bookmarkStart w:name="_bookmark128" w:id="129"/>
      <w:bookmarkEnd w:id="129"/>
      <w:r>
        <w:rPr/>
      </w:r>
      <w:r>
        <w:rPr>
          <w:sz w:val="16"/>
          <w:vertAlign w:val="superscript"/>
        </w:rPr>
        <w:t>61</w:t>
      </w:r>
      <w:r>
        <w:rPr>
          <w:sz w:val="16"/>
          <w:vertAlign w:val="baseline"/>
        </w:rPr>
        <w:t> En</w:t>
      </w:r>
      <w:r>
        <w:rPr>
          <w:spacing w:val="-2"/>
          <w:sz w:val="16"/>
          <w:vertAlign w:val="baseline"/>
        </w:rPr>
        <w:t> </w:t>
      </w:r>
      <w:r>
        <w:rPr>
          <w:sz w:val="16"/>
          <w:vertAlign w:val="baseline"/>
        </w:rPr>
        <w:t>el</w:t>
      </w:r>
      <w:r>
        <w:rPr>
          <w:spacing w:val="-1"/>
          <w:sz w:val="16"/>
          <w:vertAlign w:val="baseline"/>
        </w:rPr>
        <w:t> </w:t>
      </w:r>
      <w:r>
        <w:rPr>
          <w:sz w:val="16"/>
          <w:vertAlign w:val="baseline"/>
        </w:rPr>
        <w:t>sitio web de</w:t>
      </w:r>
      <w:r>
        <w:rPr>
          <w:spacing w:val="-2"/>
          <w:sz w:val="16"/>
          <w:vertAlign w:val="baseline"/>
        </w:rPr>
        <w:t> </w:t>
      </w:r>
      <w:r>
        <w:rPr>
          <w:sz w:val="16"/>
          <w:vertAlign w:val="baseline"/>
        </w:rPr>
        <w:t>la DIAN</w:t>
      </w:r>
      <w:r>
        <w:rPr>
          <w:spacing w:val="-2"/>
          <w:sz w:val="16"/>
          <w:vertAlign w:val="baseline"/>
        </w:rPr>
        <w:t> </w:t>
      </w:r>
      <w:r>
        <w:rPr>
          <w:sz w:val="16"/>
          <w:vertAlign w:val="baseline"/>
        </w:rPr>
        <w:t>se</w:t>
      </w:r>
      <w:r>
        <w:rPr>
          <w:spacing w:val="-2"/>
          <w:sz w:val="16"/>
          <w:vertAlign w:val="baseline"/>
        </w:rPr>
        <w:t> </w:t>
      </w:r>
      <w:r>
        <w:rPr>
          <w:sz w:val="16"/>
          <w:vertAlign w:val="baseline"/>
        </w:rPr>
        <w:t>puede visualizar un ejemplo de</w:t>
      </w:r>
      <w:r>
        <w:rPr>
          <w:spacing w:val="-5"/>
          <w:sz w:val="16"/>
          <w:vertAlign w:val="baseline"/>
        </w:rPr>
        <w:t> </w:t>
      </w:r>
      <w:r>
        <w:rPr>
          <w:sz w:val="16"/>
          <w:vertAlign w:val="baseline"/>
        </w:rPr>
        <w:t>cálculo de los tributos aduaneros similar</w:t>
      </w:r>
      <w:r>
        <w:rPr>
          <w:spacing w:val="-2"/>
          <w:sz w:val="16"/>
          <w:vertAlign w:val="baseline"/>
        </w:rPr>
        <w:t> </w:t>
      </w:r>
      <w:r>
        <w:rPr>
          <w:sz w:val="16"/>
          <w:vertAlign w:val="baseline"/>
        </w:rPr>
        <w:t>al ejemplo presentado: </w:t>
      </w:r>
      <w:hyperlink r:id="rId86">
        <w:r>
          <w:rPr>
            <w:spacing w:val="-2"/>
            <w:sz w:val="16"/>
            <w:vertAlign w:val="baseline"/>
          </w:rPr>
          <w:t>https://www.dian.gov.co/tramitesservicios/tramites-y-servicios/Paginas/tramites-aduaneros.aspx</w:t>
        </w:r>
      </w:hyperlink>
    </w:p>
    <w:p>
      <w:pPr>
        <w:spacing w:line="240" w:lineRule="auto"/>
        <w:ind w:left="153" w:right="0" w:firstLine="0"/>
        <w:rPr>
          <w:sz w:val="20"/>
        </w:rPr>
      </w:pPr>
      <w:r>
        <w:rPr>
          <w:sz w:val="20"/>
        </w:rPr>
        <mc:AlternateContent>
          <mc:Choice Requires="wps">
            <w:drawing>
              <wp:inline distT="0" distB="0" distL="0" distR="0">
                <wp:extent cx="6131560" cy="1136015"/>
                <wp:effectExtent l="9525" t="0" r="2539" b="6984"/>
                <wp:docPr id="521" name="Group 521"/>
                <wp:cNvGraphicFramePr>
                  <a:graphicFrameLocks/>
                </wp:cNvGraphicFramePr>
                <a:graphic>
                  <a:graphicData uri="http://schemas.microsoft.com/office/word/2010/wordprocessingGroup">
                    <wpg:wgp>
                      <wpg:cNvPr id="521" name="Group 521"/>
                      <wpg:cNvGrpSpPr/>
                      <wpg:grpSpPr>
                        <a:xfrm>
                          <a:off x="0" y="0"/>
                          <a:ext cx="6131560" cy="1136015"/>
                          <a:chExt cx="6131560" cy="1136015"/>
                        </a:xfrm>
                      </wpg:grpSpPr>
                      <wps:wsp>
                        <wps:cNvPr id="522" name="Graphic 522"/>
                        <wps:cNvSpPr/>
                        <wps:spPr>
                          <a:xfrm>
                            <a:off x="0" y="1130935"/>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pic:pic>
                        <pic:nvPicPr>
                          <pic:cNvPr id="523" name="Image 523" descr="Páginas - Trámites aduaneros - Google Chrome"/>
                          <pic:cNvPicPr/>
                        </pic:nvPicPr>
                        <pic:blipFill>
                          <a:blip r:embed="rId89" cstate="print"/>
                          <a:stretch>
                            <a:fillRect/>
                          </a:stretch>
                        </pic:blipFill>
                        <pic:spPr>
                          <a:xfrm>
                            <a:off x="258445" y="0"/>
                            <a:ext cx="3019425" cy="1133475"/>
                          </a:xfrm>
                          <a:prstGeom prst="rect">
                            <a:avLst/>
                          </a:prstGeom>
                        </pic:spPr>
                      </pic:pic>
                    </wpg:wgp>
                  </a:graphicData>
                </a:graphic>
              </wp:inline>
            </w:drawing>
          </mc:Choice>
          <mc:Fallback>
            <w:pict>
              <v:group style="width:482.8pt;height:89.45pt;mso-position-horizontal-relative:char;mso-position-vertical-relative:line" id="docshapegroup359" coordorigin="0,0" coordsize="9656,1789">
                <v:line style="position:absolute" from="0,1781" to="9656,1781" stroked="true" strokeweight=".75pt" strokecolor="#000000">
                  <v:stroke dashstyle="solid"/>
                </v:line>
                <v:shape style="position:absolute;left:407;top:0;width:4755;height:1785" type="#_x0000_t75" id="docshape360" alt="Páginas - Trámites aduaneros - Google Chrome" stroked="false">
                  <v:imagedata r:id="rId89" o:title=""/>
                </v:shape>
              </v:group>
            </w:pict>
          </mc:Fallback>
        </mc:AlternateContent>
      </w:r>
      <w:r>
        <w:rPr>
          <w:sz w:val="20"/>
        </w:rPr>
      </w:r>
    </w:p>
    <w:p>
      <w:pPr>
        <w:spacing w:after="0" w:line="240" w:lineRule="auto"/>
        <w:rPr>
          <w:sz w:val="20"/>
        </w:rPr>
        <w:sectPr>
          <w:pgSz w:w="11900" w:h="16850"/>
          <w:pgMar w:header="370" w:footer="597" w:top="1380" w:bottom="780" w:left="992" w:right="283"/>
        </w:sectPr>
      </w:pPr>
    </w:p>
    <w:p>
      <w:pPr>
        <w:pStyle w:val="BodyText"/>
        <w:spacing w:before="176"/>
      </w:pPr>
    </w:p>
    <w:p>
      <w:pPr>
        <w:pStyle w:val="BodyText"/>
        <w:ind w:left="1134" w:right="955"/>
      </w:pPr>
      <w:r>
        <w:rPr/>
        <w:t>del</w:t>
      </w:r>
      <w:r>
        <w:rPr>
          <w:spacing w:val="-8"/>
        </w:rPr>
        <w:t> </w:t>
      </w:r>
      <w:r>
        <w:rPr/>
        <w:t>TJCAN,</w:t>
      </w:r>
      <w:r>
        <w:rPr>
          <w:spacing w:val="-6"/>
        </w:rPr>
        <w:t> </w:t>
      </w:r>
      <w:r>
        <w:rPr/>
        <w:t>para</w:t>
      </w:r>
      <w:r>
        <w:rPr>
          <w:spacing w:val="-7"/>
        </w:rPr>
        <w:t> </w:t>
      </w:r>
      <w:r>
        <w:rPr/>
        <w:t>calificar</w:t>
      </w:r>
      <w:r>
        <w:rPr>
          <w:spacing w:val="-9"/>
        </w:rPr>
        <w:t> </w:t>
      </w:r>
      <w:r>
        <w:rPr/>
        <w:t>como</w:t>
      </w:r>
      <w:r>
        <w:rPr>
          <w:spacing w:val="-7"/>
        </w:rPr>
        <w:t> </w:t>
      </w:r>
      <w:r>
        <w:rPr/>
        <w:t>gravamen</w:t>
      </w:r>
      <w:r>
        <w:rPr>
          <w:spacing w:val="-10"/>
        </w:rPr>
        <w:t> </w:t>
      </w:r>
      <w:r>
        <w:rPr/>
        <w:t>al</w:t>
      </w:r>
      <w:r>
        <w:rPr>
          <w:spacing w:val="-8"/>
        </w:rPr>
        <w:t> </w:t>
      </w:r>
      <w:r>
        <w:rPr/>
        <w:t>denominado</w:t>
      </w:r>
      <w:r>
        <w:rPr>
          <w:spacing w:val="-8"/>
        </w:rPr>
        <w:t> </w:t>
      </w:r>
      <w:r>
        <w:rPr/>
        <w:t>“arancel</w:t>
      </w:r>
      <w:r>
        <w:rPr>
          <w:spacing w:val="-8"/>
        </w:rPr>
        <w:t> </w:t>
      </w:r>
      <w:r>
        <w:rPr/>
        <w:t>equivalente”</w:t>
      </w:r>
      <w:r>
        <w:rPr>
          <w:spacing w:val="-7"/>
        </w:rPr>
        <w:t> </w:t>
      </w:r>
      <w:r>
        <w:rPr/>
        <w:t>del</w:t>
      </w:r>
      <w:r>
        <w:rPr>
          <w:spacing w:val="-8"/>
        </w:rPr>
        <w:t> </w:t>
      </w:r>
      <w:r>
        <w:rPr/>
        <w:t>30% adoptado por la República de Colombia mediante el Decreto 0170.</w:t>
      </w:r>
    </w:p>
    <w:p>
      <w:pPr>
        <w:pStyle w:val="BodyText"/>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Es preciso recordar los datos presentados por la República del Ecuador relativos a las exportaciones dirigidas a la República de Colombia de los productos incluidos en el artículo 1 del Decreto 0170, al señalar que </w:t>
      </w:r>
      <w:r>
        <w:rPr>
          <w:rFonts w:ascii="Arial" w:hAnsi="Arial"/>
          <w:i/>
          <w:sz w:val="22"/>
        </w:rPr>
        <w:t>“[l]a exportación de las 73 subpartidas arancelarias ascendió a 252 millones de dólares, correspondiendo al 30% del total </w:t>
      </w:r>
      <w:r>
        <w:rPr>
          <w:rFonts w:ascii="Arial" w:hAnsi="Arial"/>
          <w:i/>
          <w:spacing w:val="-2"/>
          <w:sz w:val="22"/>
        </w:rPr>
        <w:t>exportado</w:t>
      </w:r>
      <w:r>
        <w:rPr>
          <w:rFonts w:ascii="Arial" w:hAnsi="Arial"/>
          <w:i/>
          <w:spacing w:val="-7"/>
          <w:sz w:val="22"/>
        </w:rPr>
        <w:t> </w:t>
      </w:r>
      <w:r>
        <w:rPr>
          <w:rFonts w:ascii="Arial" w:hAnsi="Arial"/>
          <w:i/>
          <w:spacing w:val="-2"/>
          <w:sz w:val="22"/>
        </w:rPr>
        <w:t>por Ecuador</w:t>
      </w:r>
      <w:r>
        <w:rPr>
          <w:rFonts w:ascii="Arial" w:hAnsi="Arial"/>
          <w:i/>
          <w:spacing w:val="-5"/>
          <w:sz w:val="22"/>
        </w:rPr>
        <w:t> </w:t>
      </w:r>
      <w:r>
        <w:rPr>
          <w:rFonts w:ascii="Arial" w:hAnsi="Arial"/>
          <w:i/>
          <w:spacing w:val="-2"/>
          <w:sz w:val="22"/>
        </w:rPr>
        <w:t>en</w:t>
      </w:r>
      <w:r>
        <w:rPr>
          <w:rFonts w:ascii="Arial" w:hAnsi="Arial"/>
          <w:i/>
          <w:spacing w:val="-4"/>
          <w:sz w:val="22"/>
        </w:rPr>
        <w:t> </w:t>
      </w:r>
      <w:r>
        <w:rPr>
          <w:rFonts w:ascii="Arial" w:hAnsi="Arial"/>
          <w:i/>
          <w:spacing w:val="-2"/>
          <w:sz w:val="22"/>
        </w:rPr>
        <w:t>promedio</w:t>
      </w:r>
      <w:r>
        <w:rPr>
          <w:rFonts w:ascii="Arial" w:hAnsi="Arial"/>
          <w:i/>
          <w:spacing w:val="-4"/>
          <w:sz w:val="22"/>
        </w:rPr>
        <w:t> </w:t>
      </w:r>
      <w:r>
        <w:rPr>
          <w:rFonts w:ascii="Arial" w:hAnsi="Arial"/>
          <w:i/>
          <w:spacing w:val="-2"/>
          <w:sz w:val="22"/>
        </w:rPr>
        <w:t>en</w:t>
      </w:r>
      <w:r>
        <w:rPr>
          <w:rFonts w:ascii="Arial" w:hAnsi="Arial"/>
          <w:i/>
          <w:spacing w:val="-4"/>
          <w:sz w:val="22"/>
        </w:rPr>
        <w:t> </w:t>
      </w:r>
      <w:r>
        <w:rPr>
          <w:rFonts w:ascii="Arial" w:hAnsi="Arial"/>
          <w:i/>
          <w:spacing w:val="-2"/>
          <w:sz w:val="22"/>
        </w:rPr>
        <w:t>el</w:t>
      </w:r>
      <w:r>
        <w:rPr>
          <w:rFonts w:ascii="Arial" w:hAnsi="Arial"/>
          <w:i/>
          <w:spacing w:val="-7"/>
          <w:sz w:val="22"/>
        </w:rPr>
        <w:t> </w:t>
      </w:r>
      <w:r>
        <w:rPr>
          <w:rFonts w:ascii="Arial" w:hAnsi="Arial"/>
          <w:i/>
          <w:spacing w:val="-2"/>
          <w:sz w:val="22"/>
        </w:rPr>
        <w:t>período</w:t>
      </w:r>
      <w:r>
        <w:rPr>
          <w:rFonts w:ascii="Arial" w:hAnsi="Arial"/>
          <w:i/>
          <w:spacing w:val="-10"/>
          <w:sz w:val="22"/>
        </w:rPr>
        <w:t> </w:t>
      </w:r>
      <w:r>
        <w:rPr>
          <w:rFonts w:ascii="Arial" w:hAnsi="Arial"/>
          <w:i/>
          <w:spacing w:val="-2"/>
          <w:sz w:val="22"/>
        </w:rPr>
        <w:t>2023-2025.</w:t>
      </w:r>
      <w:r>
        <w:rPr>
          <w:rFonts w:ascii="Arial" w:hAnsi="Arial"/>
          <w:i/>
          <w:spacing w:val="-5"/>
          <w:sz w:val="22"/>
        </w:rPr>
        <w:t> </w:t>
      </w:r>
      <w:r>
        <w:rPr>
          <w:rFonts w:ascii="Arial" w:hAnsi="Arial"/>
          <w:i/>
          <w:spacing w:val="-2"/>
          <w:sz w:val="22"/>
        </w:rPr>
        <w:t>Este</w:t>
      </w:r>
      <w:r>
        <w:rPr>
          <w:rFonts w:ascii="Arial" w:hAnsi="Arial"/>
          <w:i/>
          <w:spacing w:val="-4"/>
          <w:sz w:val="22"/>
        </w:rPr>
        <w:t> </w:t>
      </w:r>
      <w:r>
        <w:rPr>
          <w:rFonts w:ascii="Arial" w:hAnsi="Arial"/>
          <w:i/>
          <w:spacing w:val="-2"/>
          <w:sz w:val="22"/>
        </w:rPr>
        <w:t>arancel</w:t>
      </w:r>
      <w:r>
        <w:rPr>
          <w:rFonts w:ascii="Arial" w:hAnsi="Arial"/>
          <w:i/>
          <w:spacing w:val="-7"/>
          <w:sz w:val="22"/>
        </w:rPr>
        <w:t> </w:t>
      </w:r>
      <w:r>
        <w:rPr>
          <w:rFonts w:ascii="Arial" w:hAnsi="Arial"/>
          <w:i/>
          <w:spacing w:val="-2"/>
          <w:sz w:val="22"/>
        </w:rPr>
        <w:t>incrementará </w:t>
      </w:r>
      <w:r>
        <w:rPr>
          <w:rFonts w:ascii="Arial" w:hAnsi="Arial"/>
          <w:i/>
          <w:sz w:val="22"/>
        </w:rPr>
        <w:t>el</w:t>
      </w:r>
      <w:r>
        <w:rPr>
          <w:rFonts w:ascii="Arial" w:hAnsi="Arial"/>
          <w:i/>
          <w:spacing w:val="-1"/>
          <w:sz w:val="22"/>
        </w:rPr>
        <w:t> </w:t>
      </w:r>
      <w:r>
        <w:rPr>
          <w:rFonts w:ascii="Arial" w:hAnsi="Arial"/>
          <w:i/>
          <w:sz w:val="22"/>
        </w:rPr>
        <w:t>valor de estos productos ecuatorianos en un 30% en el</w:t>
      </w:r>
      <w:r>
        <w:rPr>
          <w:rFonts w:ascii="Arial" w:hAnsi="Arial"/>
          <w:i/>
          <w:spacing w:val="-3"/>
          <w:sz w:val="22"/>
        </w:rPr>
        <w:t> </w:t>
      </w:r>
      <w:r>
        <w:rPr>
          <w:rFonts w:ascii="Arial" w:hAnsi="Arial"/>
          <w:i/>
          <w:sz w:val="22"/>
        </w:rPr>
        <w:t>mercado</w:t>
      </w:r>
      <w:r>
        <w:rPr>
          <w:rFonts w:ascii="Arial" w:hAnsi="Arial"/>
          <w:i/>
          <w:spacing w:val="-2"/>
          <w:sz w:val="22"/>
        </w:rPr>
        <w:t> </w:t>
      </w:r>
      <w:r>
        <w:rPr>
          <w:rFonts w:ascii="Arial" w:hAnsi="Arial"/>
          <w:i/>
          <w:sz w:val="22"/>
        </w:rPr>
        <w:t>colombiano, lo cual afectará su competitividad con los productos nacionales y extranjeros.</w:t>
      </w:r>
      <w:r>
        <w:rPr>
          <w:sz w:val="22"/>
        </w:rPr>
        <w:t>”</w:t>
      </w:r>
      <w:hyperlink w:history="true" w:anchor="_bookmark129">
        <w:r>
          <w:rPr>
            <w:sz w:val="22"/>
            <w:vertAlign w:val="superscript"/>
          </w:rPr>
          <w:t>62</w:t>
        </w:r>
      </w:hyperlink>
      <w:r>
        <w:rPr>
          <w:sz w:val="22"/>
          <w:vertAlign w:val="baseline"/>
        </w:rPr>
        <w:t>.</w:t>
      </w:r>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80" w:hanging="567"/>
        <w:jc w:val="both"/>
        <w:rPr>
          <w:sz w:val="22"/>
        </w:rPr>
      </w:pPr>
      <w:r>
        <w:rPr>
          <w:sz w:val="22"/>
        </w:rPr>
        <w:t>Con</w:t>
      </w:r>
      <w:r>
        <w:rPr>
          <w:spacing w:val="-10"/>
          <w:sz w:val="22"/>
        </w:rPr>
        <w:t> </w:t>
      </w:r>
      <w:r>
        <w:rPr>
          <w:sz w:val="22"/>
        </w:rPr>
        <w:t>base</w:t>
      </w:r>
      <w:r>
        <w:rPr>
          <w:spacing w:val="-12"/>
          <w:sz w:val="22"/>
        </w:rPr>
        <w:t> </w:t>
      </w:r>
      <w:r>
        <w:rPr>
          <w:sz w:val="22"/>
        </w:rPr>
        <w:t>en</w:t>
      </w:r>
      <w:r>
        <w:rPr>
          <w:spacing w:val="-13"/>
          <w:sz w:val="22"/>
        </w:rPr>
        <w:t> </w:t>
      </w:r>
      <w:r>
        <w:rPr>
          <w:sz w:val="22"/>
        </w:rPr>
        <w:t>la</w:t>
      </w:r>
      <w:r>
        <w:rPr>
          <w:spacing w:val="-12"/>
          <w:sz w:val="22"/>
        </w:rPr>
        <w:t> </w:t>
      </w:r>
      <w:r>
        <w:rPr>
          <w:sz w:val="22"/>
        </w:rPr>
        <w:t>información</w:t>
      </w:r>
      <w:r>
        <w:rPr>
          <w:spacing w:val="-10"/>
          <w:sz w:val="22"/>
        </w:rPr>
        <w:t> </w:t>
      </w:r>
      <w:r>
        <w:rPr>
          <w:sz w:val="22"/>
        </w:rPr>
        <w:t>obtenida</w:t>
      </w:r>
      <w:r>
        <w:rPr>
          <w:spacing w:val="-10"/>
          <w:sz w:val="22"/>
        </w:rPr>
        <w:t> </w:t>
      </w:r>
      <w:r>
        <w:rPr>
          <w:sz w:val="22"/>
        </w:rPr>
        <w:t>por</w:t>
      </w:r>
      <w:r>
        <w:rPr>
          <w:spacing w:val="-11"/>
          <w:sz w:val="22"/>
        </w:rPr>
        <w:t> </w:t>
      </w:r>
      <w:r>
        <w:rPr>
          <w:sz w:val="22"/>
        </w:rPr>
        <w:t>la</w:t>
      </w:r>
      <w:r>
        <w:rPr>
          <w:spacing w:val="-10"/>
          <w:sz w:val="22"/>
        </w:rPr>
        <w:t> </w:t>
      </w:r>
      <w:r>
        <w:rPr>
          <w:sz w:val="22"/>
        </w:rPr>
        <w:t>SGCAN,</w:t>
      </w:r>
      <w:r>
        <w:rPr>
          <w:spacing w:val="-8"/>
          <w:sz w:val="22"/>
        </w:rPr>
        <w:t> </w:t>
      </w:r>
      <w:r>
        <w:rPr>
          <w:sz w:val="22"/>
        </w:rPr>
        <w:t>se</w:t>
      </w:r>
      <w:r>
        <w:rPr>
          <w:spacing w:val="-12"/>
          <w:sz w:val="22"/>
        </w:rPr>
        <w:t> </w:t>
      </w:r>
      <w:r>
        <w:rPr>
          <w:sz w:val="22"/>
        </w:rPr>
        <w:t>replicó</w:t>
      </w:r>
      <w:r>
        <w:rPr>
          <w:spacing w:val="-10"/>
          <w:sz w:val="22"/>
        </w:rPr>
        <w:t> </w:t>
      </w:r>
      <w:r>
        <w:rPr>
          <w:sz w:val="22"/>
        </w:rPr>
        <w:t>el</w:t>
      </w:r>
      <w:r>
        <w:rPr>
          <w:spacing w:val="-13"/>
          <w:sz w:val="22"/>
        </w:rPr>
        <w:t> </w:t>
      </w:r>
      <w:r>
        <w:rPr>
          <w:sz w:val="22"/>
        </w:rPr>
        <w:t>cálculo</w:t>
      </w:r>
      <w:r>
        <w:rPr>
          <w:spacing w:val="-12"/>
          <w:sz w:val="22"/>
        </w:rPr>
        <w:t> </w:t>
      </w:r>
      <w:r>
        <w:rPr>
          <w:sz w:val="22"/>
        </w:rPr>
        <w:t>presentado</w:t>
      </w:r>
      <w:r>
        <w:rPr>
          <w:spacing w:val="-12"/>
          <w:sz w:val="22"/>
        </w:rPr>
        <w:t> </w:t>
      </w:r>
      <w:r>
        <w:rPr>
          <w:sz w:val="22"/>
        </w:rPr>
        <w:t>por la</w:t>
      </w:r>
      <w:r>
        <w:rPr>
          <w:spacing w:val="-9"/>
          <w:sz w:val="22"/>
        </w:rPr>
        <w:t> </w:t>
      </w:r>
      <w:r>
        <w:rPr>
          <w:sz w:val="22"/>
        </w:rPr>
        <w:t>República</w:t>
      </w:r>
      <w:r>
        <w:rPr>
          <w:spacing w:val="-9"/>
          <w:sz w:val="22"/>
        </w:rPr>
        <w:t> </w:t>
      </w:r>
      <w:r>
        <w:rPr>
          <w:sz w:val="22"/>
        </w:rPr>
        <w:t>del</w:t>
      </w:r>
      <w:r>
        <w:rPr>
          <w:spacing w:val="-10"/>
          <w:sz w:val="22"/>
        </w:rPr>
        <w:t> </w:t>
      </w:r>
      <w:r>
        <w:rPr>
          <w:sz w:val="22"/>
        </w:rPr>
        <w:t>Ecuador,</w:t>
      </w:r>
      <w:r>
        <w:rPr>
          <w:spacing w:val="-8"/>
          <w:sz w:val="22"/>
        </w:rPr>
        <w:t> </w:t>
      </w:r>
      <w:r>
        <w:rPr>
          <w:sz w:val="22"/>
        </w:rPr>
        <w:t>obteniéndose</w:t>
      </w:r>
      <w:r>
        <w:rPr>
          <w:spacing w:val="-11"/>
          <w:sz w:val="22"/>
        </w:rPr>
        <w:t> </w:t>
      </w:r>
      <w:r>
        <w:rPr>
          <w:sz w:val="22"/>
        </w:rPr>
        <w:t>que</w:t>
      </w:r>
      <w:r>
        <w:rPr>
          <w:spacing w:val="-11"/>
          <w:sz w:val="22"/>
        </w:rPr>
        <w:t> </w:t>
      </w:r>
      <w:r>
        <w:rPr>
          <w:sz w:val="22"/>
        </w:rPr>
        <w:t>el</w:t>
      </w:r>
      <w:r>
        <w:rPr>
          <w:spacing w:val="-10"/>
          <w:sz w:val="22"/>
        </w:rPr>
        <w:t> </w:t>
      </w:r>
      <w:r>
        <w:rPr>
          <w:sz w:val="22"/>
        </w:rPr>
        <w:t>promedio</w:t>
      </w:r>
      <w:r>
        <w:rPr>
          <w:spacing w:val="-9"/>
          <w:sz w:val="22"/>
        </w:rPr>
        <w:t> </w:t>
      </w:r>
      <w:r>
        <w:rPr>
          <w:sz w:val="22"/>
        </w:rPr>
        <w:t>de</w:t>
      </w:r>
      <w:r>
        <w:rPr>
          <w:spacing w:val="-11"/>
          <w:sz w:val="22"/>
        </w:rPr>
        <w:t> </w:t>
      </w:r>
      <w:r>
        <w:rPr>
          <w:sz w:val="22"/>
        </w:rPr>
        <w:t>importaciones</w:t>
      </w:r>
      <w:r>
        <w:rPr>
          <w:spacing w:val="-9"/>
          <w:sz w:val="22"/>
        </w:rPr>
        <w:t> </w:t>
      </w:r>
      <w:r>
        <w:rPr>
          <w:sz w:val="22"/>
        </w:rPr>
        <w:t>colombianas asciende a 251.2 millones de dólares. La diferencia con el promedio presentado por la República del Ecuador seguramente se produce debido a que, por disponibilidad de información, las cifras de la SGCAN para el año 2025 registran datos hasta el mes de noviembre de dicho año.</w:t>
      </w:r>
    </w:p>
    <w:p>
      <w:pPr>
        <w:pStyle w:val="BodyText"/>
      </w:pPr>
    </w:p>
    <w:p>
      <w:pPr>
        <w:pStyle w:val="Heading6"/>
        <w:spacing w:line="252" w:lineRule="exact"/>
        <w:ind w:right="411"/>
        <w:jc w:val="center"/>
      </w:pPr>
      <w:r>
        <w:rPr/>
        <w:t>Tabla</w:t>
      </w:r>
      <w:r>
        <w:rPr>
          <w:spacing w:val="-2"/>
        </w:rPr>
        <w:t> </w:t>
      </w:r>
      <w:r>
        <w:rPr/>
        <w:t>No.</w:t>
      </w:r>
      <w:r>
        <w:rPr>
          <w:spacing w:val="-2"/>
        </w:rPr>
        <w:t> </w:t>
      </w:r>
      <w:r>
        <w:rPr>
          <w:spacing w:val="-10"/>
        </w:rPr>
        <w:t>4</w:t>
      </w:r>
    </w:p>
    <w:p>
      <w:pPr>
        <w:spacing w:before="0"/>
        <w:ind w:left="1426" w:right="1836" w:firstLine="0"/>
        <w:jc w:val="center"/>
        <w:rPr>
          <w:rFonts w:ascii="Arial" w:hAnsi="Arial"/>
          <w:b/>
          <w:sz w:val="22"/>
        </w:rPr>
      </w:pPr>
      <w:r>
        <w:rPr>
          <w:rFonts w:ascii="Arial" w:hAnsi="Arial"/>
          <w:b/>
          <w:sz w:val="22"/>
        </w:rPr>
        <w:t>Importaciones</w:t>
      </w:r>
      <w:r>
        <w:rPr>
          <w:rFonts w:ascii="Arial" w:hAnsi="Arial"/>
          <w:b/>
          <w:spacing w:val="-5"/>
          <w:sz w:val="22"/>
        </w:rPr>
        <w:t> </w:t>
      </w:r>
      <w:r>
        <w:rPr>
          <w:rFonts w:ascii="Arial" w:hAnsi="Arial"/>
          <w:b/>
          <w:sz w:val="22"/>
        </w:rPr>
        <w:t>colombianas</w:t>
      </w:r>
      <w:r>
        <w:rPr>
          <w:rFonts w:ascii="Arial" w:hAnsi="Arial"/>
          <w:b/>
          <w:spacing w:val="-4"/>
          <w:sz w:val="22"/>
        </w:rPr>
        <w:t> </w:t>
      </w:r>
      <w:r>
        <w:rPr>
          <w:rFonts w:ascii="Arial" w:hAnsi="Arial"/>
          <w:b/>
          <w:sz w:val="22"/>
        </w:rPr>
        <w:t>originarias</w:t>
      </w:r>
      <w:r>
        <w:rPr>
          <w:rFonts w:ascii="Arial" w:hAnsi="Arial"/>
          <w:b/>
          <w:spacing w:val="-4"/>
          <w:sz w:val="22"/>
        </w:rPr>
        <w:t> </w:t>
      </w:r>
      <w:r>
        <w:rPr>
          <w:rFonts w:ascii="Arial" w:hAnsi="Arial"/>
          <w:b/>
          <w:sz w:val="22"/>
        </w:rPr>
        <w:t>de</w:t>
      </w:r>
      <w:r>
        <w:rPr>
          <w:rFonts w:ascii="Arial" w:hAnsi="Arial"/>
          <w:b/>
          <w:spacing w:val="-6"/>
          <w:sz w:val="22"/>
        </w:rPr>
        <w:t> </w:t>
      </w:r>
      <w:r>
        <w:rPr>
          <w:rFonts w:ascii="Arial" w:hAnsi="Arial"/>
          <w:b/>
          <w:sz w:val="22"/>
        </w:rPr>
        <w:t>la</w:t>
      </w:r>
      <w:r>
        <w:rPr>
          <w:rFonts w:ascii="Arial" w:hAnsi="Arial"/>
          <w:b/>
          <w:spacing w:val="-8"/>
          <w:sz w:val="22"/>
        </w:rPr>
        <w:t> </w:t>
      </w:r>
      <w:r>
        <w:rPr>
          <w:rFonts w:ascii="Arial" w:hAnsi="Arial"/>
          <w:b/>
          <w:sz w:val="22"/>
        </w:rPr>
        <w:t>República</w:t>
      </w:r>
      <w:r>
        <w:rPr>
          <w:rFonts w:ascii="Arial" w:hAnsi="Arial"/>
          <w:b/>
          <w:spacing w:val="-3"/>
          <w:sz w:val="22"/>
        </w:rPr>
        <w:t> </w:t>
      </w:r>
      <w:r>
        <w:rPr>
          <w:rFonts w:ascii="Arial" w:hAnsi="Arial"/>
          <w:b/>
          <w:sz w:val="22"/>
        </w:rPr>
        <w:t>del</w:t>
      </w:r>
      <w:r>
        <w:rPr>
          <w:rFonts w:ascii="Arial" w:hAnsi="Arial"/>
          <w:b/>
          <w:spacing w:val="-5"/>
          <w:sz w:val="22"/>
        </w:rPr>
        <w:t> </w:t>
      </w:r>
      <w:r>
        <w:rPr>
          <w:rFonts w:ascii="Arial" w:hAnsi="Arial"/>
          <w:b/>
          <w:sz w:val="22"/>
        </w:rPr>
        <w:t>Ecuador Subpartidas del artículo 1 del Decreto 0170 / en dólares</w:t>
      </w:r>
    </w:p>
    <w:tbl>
      <w:tblPr>
        <w:tblW w:w="0" w:type="auto"/>
        <w:jc w:val="left"/>
        <w:tblInd w:w="1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81"/>
        <w:gridCol w:w="1182"/>
        <w:gridCol w:w="1143"/>
        <w:gridCol w:w="1273"/>
        <w:gridCol w:w="1141"/>
        <w:gridCol w:w="1413"/>
      </w:tblGrid>
      <w:tr>
        <w:trPr>
          <w:trHeight w:val="412" w:hRule="atLeast"/>
        </w:trPr>
        <w:tc>
          <w:tcPr>
            <w:tcW w:w="881" w:type="dxa"/>
            <w:shd w:val="clear" w:color="auto" w:fill="E8E8E8"/>
          </w:tcPr>
          <w:p>
            <w:pPr>
              <w:pStyle w:val="TableParagraph"/>
              <w:spacing w:before="102"/>
              <w:ind w:left="129"/>
              <w:rPr>
                <w:rFonts w:ascii="Arial"/>
                <w:b/>
                <w:sz w:val="18"/>
              </w:rPr>
            </w:pPr>
            <w:r>
              <w:rPr>
                <w:rFonts w:ascii="Arial"/>
                <w:b/>
                <w:spacing w:val="-2"/>
                <w:sz w:val="18"/>
              </w:rPr>
              <w:t>Medida</w:t>
            </w:r>
          </w:p>
        </w:tc>
        <w:tc>
          <w:tcPr>
            <w:tcW w:w="1182" w:type="dxa"/>
            <w:shd w:val="clear" w:color="auto" w:fill="E8E8E8"/>
          </w:tcPr>
          <w:p>
            <w:pPr>
              <w:pStyle w:val="TableParagraph"/>
              <w:spacing w:line="206" w:lineRule="exact"/>
              <w:ind w:left="69" w:firstLine="48"/>
              <w:rPr>
                <w:rFonts w:ascii="Arial" w:hAnsi="Arial"/>
                <w:b/>
                <w:sz w:val="18"/>
              </w:rPr>
            </w:pPr>
            <w:r>
              <w:rPr>
                <w:rFonts w:ascii="Arial" w:hAnsi="Arial"/>
                <w:b/>
                <w:sz w:val="18"/>
              </w:rPr>
              <w:t>Número de </w:t>
            </w:r>
            <w:r>
              <w:rPr>
                <w:rFonts w:ascii="Arial" w:hAnsi="Arial"/>
                <w:b/>
                <w:spacing w:val="-2"/>
                <w:sz w:val="18"/>
              </w:rPr>
              <w:t>Subpartidas</w:t>
            </w:r>
          </w:p>
        </w:tc>
        <w:tc>
          <w:tcPr>
            <w:tcW w:w="1143" w:type="dxa"/>
            <w:shd w:val="clear" w:color="auto" w:fill="E8E8E8"/>
          </w:tcPr>
          <w:p>
            <w:pPr>
              <w:pStyle w:val="TableParagraph"/>
              <w:spacing w:line="206" w:lineRule="exact"/>
              <w:ind w:left="368" w:right="199" w:hanging="161"/>
              <w:rPr>
                <w:rFonts w:ascii="Arial"/>
                <w:b/>
                <w:sz w:val="18"/>
              </w:rPr>
            </w:pPr>
            <w:r>
              <w:rPr>
                <w:rFonts w:ascii="Arial"/>
                <w:b/>
                <w:sz w:val="18"/>
              </w:rPr>
              <w:t>USD</w:t>
            </w:r>
            <w:r>
              <w:rPr>
                <w:rFonts w:ascii="Arial"/>
                <w:b/>
                <w:spacing w:val="-13"/>
                <w:sz w:val="18"/>
              </w:rPr>
              <w:t> </w:t>
            </w:r>
            <w:r>
              <w:rPr>
                <w:rFonts w:ascii="Arial"/>
                <w:b/>
                <w:sz w:val="18"/>
              </w:rPr>
              <w:t>CIF </w:t>
            </w:r>
            <w:r>
              <w:rPr>
                <w:rFonts w:ascii="Arial"/>
                <w:b/>
                <w:spacing w:val="-4"/>
                <w:sz w:val="18"/>
              </w:rPr>
              <w:t>2023</w:t>
            </w:r>
          </w:p>
        </w:tc>
        <w:tc>
          <w:tcPr>
            <w:tcW w:w="1273" w:type="dxa"/>
            <w:shd w:val="clear" w:color="auto" w:fill="E8E8E8"/>
          </w:tcPr>
          <w:p>
            <w:pPr>
              <w:pStyle w:val="TableParagraph"/>
              <w:spacing w:line="206" w:lineRule="exact"/>
              <w:ind w:left="433" w:right="267" w:hanging="159"/>
              <w:rPr>
                <w:rFonts w:ascii="Arial"/>
                <w:b/>
                <w:sz w:val="18"/>
              </w:rPr>
            </w:pPr>
            <w:r>
              <w:rPr>
                <w:rFonts w:ascii="Arial"/>
                <w:b/>
                <w:sz w:val="18"/>
              </w:rPr>
              <w:t>USD</w:t>
            </w:r>
            <w:r>
              <w:rPr>
                <w:rFonts w:ascii="Arial"/>
                <w:b/>
                <w:spacing w:val="-13"/>
                <w:sz w:val="18"/>
              </w:rPr>
              <w:t> </w:t>
            </w:r>
            <w:r>
              <w:rPr>
                <w:rFonts w:ascii="Arial"/>
                <w:b/>
                <w:sz w:val="18"/>
              </w:rPr>
              <w:t>CIF </w:t>
            </w:r>
            <w:r>
              <w:rPr>
                <w:rFonts w:ascii="Arial"/>
                <w:b/>
                <w:spacing w:val="-4"/>
                <w:sz w:val="18"/>
              </w:rPr>
              <w:t>2024</w:t>
            </w:r>
          </w:p>
        </w:tc>
        <w:tc>
          <w:tcPr>
            <w:tcW w:w="1141" w:type="dxa"/>
            <w:shd w:val="clear" w:color="auto" w:fill="E8E8E8"/>
          </w:tcPr>
          <w:p>
            <w:pPr>
              <w:pStyle w:val="TableParagraph"/>
              <w:spacing w:line="206" w:lineRule="exact"/>
              <w:ind w:left="331" w:right="203" w:hanging="125"/>
              <w:rPr>
                <w:rFonts w:ascii="Arial"/>
                <w:b/>
                <w:sz w:val="18"/>
              </w:rPr>
            </w:pPr>
            <w:r>
              <w:rPr>
                <w:rFonts w:ascii="Arial"/>
                <w:b/>
                <w:sz w:val="18"/>
              </w:rPr>
              <w:t>USD</w:t>
            </w:r>
            <w:r>
              <w:rPr>
                <w:rFonts w:ascii="Arial"/>
                <w:b/>
                <w:spacing w:val="-13"/>
                <w:sz w:val="18"/>
              </w:rPr>
              <w:t> </w:t>
            </w:r>
            <w:r>
              <w:rPr>
                <w:rFonts w:ascii="Arial"/>
                <w:b/>
                <w:sz w:val="18"/>
              </w:rPr>
              <w:t>CIF </w:t>
            </w:r>
            <w:r>
              <w:rPr>
                <w:rFonts w:ascii="Arial"/>
                <w:b/>
                <w:spacing w:val="-2"/>
                <w:sz w:val="18"/>
              </w:rPr>
              <w:t>2025*</w:t>
            </w:r>
          </w:p>
        </w:tc>
        <w:tc>
          <w:tcPr>
            <w:tcW w:w="1413" w:type="dxa"/>
            <w:shd w:val="clear" w:color="auto" w:fill="E8E8E8"/>
          </w:tcPr>
          <w:p>
            <w:pPr>
              <w:pStyle w:val="TableParagraph"/>
              <w:spacing w:line="206" w:lineRule="exact"/>
              <w:ind w:left="340"/>
              <w:rPr>
                <w:rFonts w:ascii="Arial"/>
                <w:b/>
                <w:sz w:val="18"/>
              </w:rPr>
            </w:pPr>
            <w:r>
              <w:rPr>
                <w:rFonts w:ascii="Arial"/>
                <w:b/>
                <w:sz w:val="18"/>
              </w:rPr>
              <w:t>USD</w:t>
            </w:r>
            <w:r>
              <w:rPr>
                <w:rFonts w:ascii="Arial"/>
                <w:b/>
                <w:spacing w:val="-5"/>
                <w:sz w:val="18"/>
              </w:rPr>
              <w:t> CIF</w:t>
            </w:r>
          </w:p>
          <w:p>
            <w:pPr>
              <w:pStyle w:val="TableParagraph"/>
              <w:spacing w:line="187" w:lineRule="exact"/>
              <w:ind w:left="284"/>
              <w:rPr>
                <w:rFonts w:ascii="Arial"/>
                <w:b/>
                <w:sz w:val="18"/>
              </w:rPr>
            </w:pPr>
            <w:r>
              <w:rPr>
                <w:rFonts w:ascii="Arial"/>
                <w:b/>
                <w:spacing w:val="-2"/>
                <w:sz w:val="18"/>
              </w:rPr>
              <w:t>Promedio</w:t>
            </w:r>
          </w:p>
        </w:tc>
      </w:tr>
      <w:tr>
        <w:trPr>
          <w:trHeight w:val="414" w:hRule="atLeast"/>
        </w:trPr>
        <w:tc>
          <w:tcPr>
            <w:tcW w:w="881" w:type="dxa"/>
          </w:tcPr>
          <w:p>
            <w:pPr>
              <w:pStyle w:val="TableParagraph"/>
              <w:spacing w:line="206" w:lineRule="exact"/>
              <w:ind w:left="69" w:firstLine="64"/>
              <w:rPr>
                <w:sz w:val="18"/>
              </w:rPr>
            </w:pPr>
            <w:r>
              <w:rPr>
                <w:spacing w:val="-2"/>
                <w:sz w:val="18"/>
              </w:rPr>
              <w:t>Arancel reciproco</w:t>
            </w:r>
          </w:p>
        </w:tc>
        <w:tc>
          <w:tcPr>
            <w:tcW w:w="1182" w:type="dxa"/>
          </w:tcPr>
          <w:p>
            <w:pPr>
              <w:pStyle w:val="TableParagraph"/>
              <w:spacing w:before="104"/>
              <w:ind w:left="9"/>
              <w:jc w:val="center"/>
              <w:rPr>
                <w:sz w:val="18"/>
              </w:rPr>
            </w:pPr>
            <w:r>
              <w:rPr>
                <w:spacing w:val="-5"/>
                <w:sz w:val="18"/>
              </w:rPr>
              <w:t>73</w:t>
            </w:r>
          </w:p>
        </w:tc>
        <w:tc>
          <w:tcPr>
            <w:tcW w:w="1143" w:type="dxa"/>
          </w:tcPr>
          <w:p>
            <w:pPr>
              <w:pStyle w:val="TableParagraph"/>
              <w:spacing w:before="104"/>
              <w:ind w:left="68"/>
              <w:rPr>
                <w:sz w:val="18"/>
              </w:rPr>
            </w:pPr>
            <w:r>
              <w:rPr>
                <w:spacing w:val="-2"/>
                <w:sz w:val="18"/>
              </w:rPr>
              <w:t>220,686,762</w:t>
            </w:r>
          </w:p>
        </w:tc>
        <w:tc>
          <w:tcPr>
            <w:tcW w:w="1273" w:type="dxa"/>
          </w:tcPr>
          <w:p>
            <w:pPr>
              <w:pStyle w:val="TableParagraph"/>
              <w:spacing w:before="104"/>
              <w:ind w:left="132"/>
              <w:rPr>
                <w:sz w:val="18"/>
              </w:rPr>
            </w:pPr>
            <w:r>
              <w:rPr>
                <w:spacing w:val="-2"/>
                <w:sz w:val="18"/>
              </w:rPr>
              <w:t>275,390,627</w:t>
            </w:r>
          </w:p>
        </w:tc>
        <w:tc>
          <w:tcPr>
            <w:tcW w:w="1141" w:type="dxa"/>
          </w:tcPr>
          <w:p>
            <w:pPr>
              <w:pStyle w:val="TableParagraph"/>
              <w:spacing w:before="104"/>
              <w:ind w:left="67"/>
              <w:rPr>
                <w:sz w:val="18"/>
              </w:rPr>
            </w:pPr>
            <w:r>
              <w:rPr>
                <w:spacing w:val="-2"/>
                <w:sz w:val="18"/>
              </w:rPr>
              <w:t>257,753,403</w:t>
            </w:r>
          </w:p>
        </w:tc>
        <w:tc>
          <w:tcPr>
            <w:tcW w:w="1413" w:type="dxa"/>
          </w:tcPr>
          <w:p>
            <w:pPr>
              <w:pStyle w:val="TableParagraph"/>
              <w:spacing w:before="104"/>
              <w:ind w:left="200"/>
              <w:rPr>
                <w:sz w:val="18"/>
              </w:rPr>
            </w:pPr>
            <w:r>
              <w:rPr>
                <w:spacing w:val="-2"/>
                <w:sz w:val="18"/>
              </w:rPr>
              <w:t>251,276,931</w:t>
            </w:r>
          </w:p>
        </w:tc>
      </w:tr>
    </w:tbl>
    <w:p>
      <w:pPr>
        <w:spacing w:before="2"/>
        <w:ind w:left="1420" w:right="7605" w:firstLine="0"/>
        <w:jc w:val="left"/>
        <w:rPr>
          <w:rFonts w:ascii="Arial" w:hAnsi="Arial"/>
          <w:b/>
          <w:sz w:val="16"/>
        </w:rPr>
      </w:pPr>
      <w:r>
        <w:rPr>
          <w:rFonts w:ascii="Arial" w:hAnsi="Arial"/>
          <w:b/>
          <w:sz w:val="16"/>
        </w:rPr>
        <w:t>*hasta noviembre Fuente: SICEXT Elaboración:</w:t>
      </w:r>
      <w:r>
        <w:rPr>
          <w:rFonts w:ascii="Arial" w:hAnsi="Arial"/>
          <w:b/>
          <w:spacing w:val="-12"/>
          <w:sz w:val="16"/>
        </w:rPr>
        <w:t> </w:t>
      </w:r>
      <w:r>
        <w:rPr>
          <w:rFonts w:ascii="Arial" w:hAnsi="Arial"/>
          <w:b/>
          <w:sz w:val="16"/>
        </w:rPr>
        <w:t>SGCAN</w:t>
      </w:r>
    </w:p>
    <w:p>
      <w:pPr>
        <w:pStyle w:val="BodyText"/>
        <w:spacing w:before="69"/>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En ese sentido, con base en la información recabada por la SGCAN, puede afirmarse que</w:t>
      </w:r>
      <w:r>
        <w:rPr>
          <w:spacing w:val="-10"/>
          <w:sz w:val="22"/>
        </w:rPr>
        <w:t> </w:t>
      </w:r>
      <w:r>
        <w:rPr>
          <w:sz w:val="22"/>
        </w:rPr>
        <w:t>el</w:t>
      </w:r>
      <w:r>
        <w:rPr>
          <w:spacing w:val="-13"/>
          <w:sz w:val="22"/>
        </w:rPr>
        <w:t> </w:t>
      </w:r>
      <w:r>
        <w:rPr>
          <w:sz w:val="22"/>
        </w:rPr>
        <w:t>“arancel</w:t>
      </w:r>
      <w:r>
        <w:rPr>
          <w:spacing w:val="-13"/>
          <w:sz w:val="22"/>
        </w:rPr>
        <w:t> </w:t>
      </w:r>
      <w:r>
        <w:rPr>
          <w:sz w:val="22"/>
        </w:rPr>
        <w:t>recíproco”</w:t>
      </w:r>
      <w:r>
        <w:rPr>
          <w:spacing w:val="-9"/>
          <w:sz w:val="22"/>
        </w:rPr>
        <w:t> </w:t>
      </w:r>
      <w:r>
        <w:rPr>
          <w:sz w:val="22"/>
        </w:rPr>
        <w:t>equivalente</w:t>
      </w:r>
      <w:r>
        <w:rPr>
          <w:spacing w:val="-12"/>
          <w:sz w:val="22"/>
        </w:rPr>
        <w:t> </w:t>
      </w:r>
      <w:r>
        <w:rPr>
          <w:sz w:val="22"/>
        </w:rPr>
        <w:t>del</w:t>
      </w:r>
      <w:r>
        <w:rPr>
          <w:spacing w:val="-11"/>
          <w:sz w:val="22"/>
        </w:rPr>
        <w:t> </w:t>
      </w:r>
      <w:r>
        <w:rPr>
          <w:sz w:val="22"/>
        </w:rPr>
        <w:t>30%,</w:t>
      </w:r>
      <w:r>
        <w:rPr>
          <w:spacing w:val="-10"/>
          <w:sz w:val="22"/>
        </w:rPr>
        <w:t> </w:t>
      </w:r>
      <w:r>
        <w:rPr>
          <w:sz w:val="22"/>
        </w:rPr>
        <w:t>adoptado</w:t>
      </w:r>
      <w:r>
        <w:rPr>
          <w:spacing w:val="-10"/>
          <w:sz w:val="22"/>
        </w:rPr>
        <w:t> </w:t>
      </w:r>
      <w:r>
        <w:rPr>
          <w:sz w:val="22"/>
        </w:rPr>
        <w:t>por</w:t>
      </w:r>
      <w:r>
        <w:rPr>
          <w:spacing w:val="-11"/>
          <w:sz w:val="22"/>
        </w:rPr>
        <w:t> </w:t>
      </w:r>
      <w:r>
        <w:rPr>
          <w:sz w:val="22"/>
        </w:rPr>
        <w:t>la</w:t>
      </w:r>
      <w:r>
        <w:rPr>
          <w:spacing w:val="-10"/>
          <w:sz w:val="22"/>
        </w:rPr>
        <w:t> </w:t>
      </w:r>
      <w:r>
        <w:rPr>
          <w:sz w:val="22"/>
        </w:rPr>
        <w:t>República</w:t>
      </w:r>
      <w:r>
        <w:rPr>
          <w:spacing w:val="-12"/>
          <w:sz w:val="22"/>
        </w:rPr>
        <w:t> </w:t>
      </w:r>
      <w:r>
        <w:rPr>
          <w:sz w:val="22"/>
        </w:rPr>
        <w:t>de</w:t>
      </w:r>
      <w:r>
        <w:rPr>
          <w:spacing w:val="-10"/>
          <w:sz w:val="22"/>
        </w:rPr>
        <w:t> </w:t>
      </w:r>
      <w:r>
        <w:rPr>
          <w:sz w:val="22"/>
        </w:rPr>
        <w:t>Colombia, afectaría</w:t>
      </w:r>
      <w:r>
        <w:rPr>
          <w:spacing w:val="-16"/>
          <w:sz w:val="22"/>
        </w:rPr>
        <w:t> </w:t>
      </w:r>
      <w:r>
        <w:rPr>
          <w:sz w:val="22"/>
        </w:rPr>
        <w:t>las</w:t>
      </w:r>
      <w:r>
        <w:rPr>
          <w:spacing w:val="-15"/>
          <w:sz w:val="22"/>
        </w:rPr>
        <w:t> </w:t>
      </w:r>
      <w:r>
        <w:rPr>
          <w:sz w:val="22"/>
        </w:rPr>
        <w:t>importaciones</w:t>
      </w:r>
      <w:r>
        <w:rPr>
          <w:spacing w:val="-15"/>
          <w:sz w:val="22"/>
        </w:rPr>
        <w:t> </w:t>
      </w:r>
      <w:r>
        <w:rPr>
          <w:sz w:val="22"/>
        </w:rPr>
        <w:t>correspondientes</w:t>
      </w:r>
      <w:r>
        <w:rPr>
          <w:spacing w:val="-16"/>
          <w:sz w:val="22"/>
        </w:rPr>
        <w:t> </w:t>
      </w:r>
      <w:r>
        <w:rPr>
          <w:sz w:val="22"/>
        </w:rPr>
        <w:t>a</w:t>
      </w:r>
      <w:r>
        <w:rPr>
          <w:spacing w:val="-15"/>
          <w:sz w:val="22"/>
        </w:rPr>
        <w:t> </w:t>
      </w:r>
      <w:r>
        <w:rPr>
          <w:sz w:val="22"/>
        </w:rPr>
        <w:t>las</w:t>
      </w:r>
      <w:r>
        <w:rPr>
          <w:spacing w:val="-15"/>
          <w:sz w:val="22"/>
        </w:rPr>
        <w:t> </w:t>
      </w:r>
      <w:r>
        <w:rPr>
          <w:sz w:val="22"/>
        </w:rPr>
        <w:t>73</w:t>
      </w:r>
      <w:r>
        <w:rPr>
          <w:spacing w:val="-15"/>
          <w:sz w:val="22"/>
        </w:rPr>
        <w:t> </w:t>
      </w:r>
      <w:r>
        <w:rPr>
          <w:sz w:val="22"/>
        </w:rPr>
        <w:t>subpartidas</w:t>
      </w:r>
      <w:r>
        <w:rPr>
          <w:spacing w:val="-16"/>
          <w:sz w:val="22"/>
        </w:rPr>
        <w:t> </w:t>
      </w:r>
      <w:r>
        <w:rPr>
          <w:sz w:val="22"/>
        </w:rPr>
        <w:t>incluidas</w:t>
      </w:r>
      <w:r>
        <w:rPr>
          <w:spacing w:val="-15"/>
          <w:sz w:val="22"/>
        </w:rPr>
        <w:t> </w:t>
      </w:r>
      <w:r>
        <w:rPr>
          <w:sz w:val="22"/>
        </w:rPr>
        <w:t>en</w:t>
      </w:r>
      <w:r>
        <w:rPr>
          <w:spacing w:val="-15"/>
          <w:sz w:val="22"/>
        </w:rPr>
        <w:t> </w:t>
      </w:r>
      <w:r>
        <w:rPr>
          <w:sz w:val="22"/>
        </w:rPr>
        <w:t>el</w:t>
      </w:r>
      <w:r>
        <w:rPr>
          <w:spacing w:val="-16"/>
          <w:sz w:val="22"/>
        </w:rPr>
        <w:t> </w:t>
      </w:r>
      <w:r>
        <w:rPr>
          <w:sz w:val="22"/>
        </w:rPr>
        <w:t>artículo 1 del Decreto 0170, originarias y procedentes de la República del Ecuador, las cuales registran, en promedio, un valor aproximado de 251.2 millones de dólares para el periodo comprendido entre 2023 – noviembre 2025 y por tanto es un gravamen que incide en las importaciones de origen andino.</w:t>
      </w:r>
    </w:p>
    <w:p>
      <w:pPr>
        <w:pStyle w:val="BodyText"/>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En consecuencia, el</w:t>
      </w:r>
      <w:r>
        <w:rPr>
          <w:spacing w:val="-2"/>
          <w:sz w:val="22"/>
        </w:rPr>
        <w:t> </w:t>
      </w:r>
      <w:r>
        <w:rPr>
          <w:sz w:val="22"/>
        </w:rPr>
        <w:t>“arancel recíproco” constituye un gravamen, al ser un derecho aduanero que incide directamente en las importaciones</w:t>
      </w:r>
      <w:r>
        <w:rPr>
          <w:spacing w:val="-1"/>
          <w:sz w:val="22"/>
        </w:rPr>
        <w:t> </w:t>
      </w:r>
      <w:r>
        <w:rPr>
          <w:sz w:val="22"/>
        </w:rPr>
        <w:t>de las mercancías afectadas, en la medida en que</w:t>
      </w:r>
      <w:r>
        <w:rPr>
          <w:spacing w:val="-2"/>
          <w:sz w:val="22"/>
        </w:rPr>
        <w:t> </w:t>
      </w:r>
      <w:r>
        <w:rPr>
          <w:sz w:val="22"/>
        </w:rPr>
        <w:t>dificulta su ingreso al mercado colombiano y encarece su nacionalización, tornando las operaciones de importación</w:t>
      </w:r>
      <w:r>
        <w:rPr>
          <w:spacing w:val="-2"/>
          <w:sz w:val="22"/>
        </w:rPr>
        <w:t> </w:t>
      </w:r>
      <w:r>
        <w:rPr>
          <w:sz w:val="22"/>
        </w:rPr>
        <w:t>más onerosas</w:t>
      </w:r>
      <w:r>
        <w:rPr>
          <w:spacing w:val="-2"/>
          <w:sz w:val="22"/>
        </w:rPr>
        <w:t> </w:t>
      </w:r>
      <w:r>
        <w:rPr>
          <w:sz w:val="22"/>
        </w:rPr>
        <w:t>y alterando</w:t>
      </w:r>
      <w:r>
        <w:rPr>
          <w:spacing w:val="40"/>
          <w:sz w:val="22"/>
        </w:rPr>
        <w:t> </w:t>
      </w:r>
      <w:r>
        <w:rPr>
          <w:sz w:val="22"/>
        </w:rPr>
        <w:t>las</w:t>
      </w:r>
      <w:r>
        <w:rPr>
          <w:spacing w:val="-2"/>
          <w:sz w:val="22"/>
        </w:rPr>
        <w:t> </w:t>
      </w:r>
      <w:r>
        <w:rPr>
          <w:sz w:val="22"/>
        </w:rPr>
        <w:t>condiciones normales de acceso y competencia en el comercio intracomunitario </w:t>
      </w:r>
      <w:r>
        <w:rPr>
          <w:spacing w:val="-2"/>
          <w:sz w:val="22"/>
        </w:rPr>
        <w:t>andino.</w:t>
      </w:r>
    </w:p>
    <w:p>
      <w:pPr>
        <w:pStyle w:val="BodyText"/>
        <w:spacing w:before="1"/>
      </w:pPr>
    </w:p>
    <w:p>
      <w:pPr>
        <w:pStyle w:val="Heading5"/>
        <w:numPr>
          <w:ilvl w:val="1"/>
          <w:numId w:val="61"/>
        </w:numPr>
        <w:tabs>
          <w:tab w:pos="1131" w:val="left" w:leader="none"/>
          <w:tab w:pos="1134" w:val="left" w:leader="none"/>
        </w:tabs>
        <w:spacing w:line="240" w:lineRule="auto" w:before="0" w:after="0"/>
        <w:ind w:left="1134" w:right="983" w:hanging="360"/>
        <w:jc w:val="both"/>
      </w:pPr>
      <w:r>
        <w:rPr/>
        <w:t>ANÁLISIS DE LA RESTRICCIÓN AL INGRESO DE MERCANCÍAS POR LAS DIRECCIONES SECCIONALES DE IMPUESTOS Y ADUANAS DE IPIALES Y PUERTO ASÍS.</w:t>
      </w:r>
    </w:p>
    <w:p>
      <w:pPr>
        <w:pStyle w:val="BodyText"/>
        <w:spacing w:before="238"/>
        <w:rPr>
          <w:rFonts w:ascii="Arial"/>
          <w:b/>
        </w:rPr>
      </w:pPr>
    </w:p>
    <w:p>
      <w:pPr>
        <w:pStyle w:val="ListParagraph"/>
        <w:numPr>
          <w:ilvl w:val="0"/>
          <w:numId w:val="50"/>
        </w:numPr>
        <w:tabs>
          <w:tab w:pos="1131" w:val="left" w:leader="none"/>
        </w:tabs>
        <w:spacing w:line="240" w:lineRule="auto" w:before="0" w:after="0"/>
        <w:ind w:left="1131" w:right="0" w:hanging="563"/>
        <w:jc w:val="left"/>
        <w:rPr>
          <w:sz w:val="22"/>
        </w:rPr>
      </w:pPr>
      <w:r>
        <w:rPr>
          <w:sz w:val="22"/>
        </w:rPr>
        <w:t>El</w:t>
      </w:r>
      <w:r>
        <w:rPr>
          <w:spacing w:val="-4"/>
          <w:sz w:val="22"/>
        </w:rPr>
        <w:t> </w:t>
      </w:r>
      <w:r>
        <w:rPr>
          <w:sz w:val="22"/>
        </w:rPr>
        <w:t>artículo</w:t>
      </w:r>
      <w:r>
        <w:rPr>
          <w:spacing w:val="-3"/>
          <w:sz w:val="22"/>
        </w:rPr>
        <w:t> </w:t>
      </w:r>
      <w:r>
        <w:rPr>
          <w:sz w:val="22"/>
        </w:rPr>
        <w:t>2</w:t>
      </w:r>
      <w:r>
        <w:rPr>
          <w:spacing w:val="-4"/>
          <w:sz w:val="22"/>
        </w:rPr>
        <w:t> </w:t>
      </w:r>
      <w:r>
        <w:rPr>
          <w:sz w:val="22"/>
        </w:rPr>
        <w:t>y</w:t>
      </w:r>
      <w:r>
        <w:rPr>
          <w:spacing w:val="-2"/>
          <w:sz w:val="22"/>
        </w:rPr>
        <w:t> </w:t>
      </w:r>
      <w:r>
        <w:rPr>
          <w:sz w:val="22"/>
        </w:rPr>
        <w:t>3</w:t>
      </w:r>
      <w:r>
        <w:rPr>
          <w:spacing w:val="-4"/>
          <w:sz w:val="22"/>
        </w:rPr>
        <w:t> </w:t>
      </w:r>
      <w:r>
        <w:rPr>
          <w:sz w:val="22"/>
        </w:rPr>
        <w:t>del</w:t>
      </w:r>
      <w:r>
        <w:rPr>
          <w:spacing w:val="-4"/>
          <w:sz w:val="22"/>
        </w:rPr>
        <w:t> </w:t>
      </w:r>
      <w:r>
        <w:rPr>
          <w:sz w:val="22"/>
        </w:rPr>
        <w:t>Decreto</w:t>
      </w:r>
      <w:r>
        <w:rPr>
          <w:spacing w:val="-2"/>
          <w:sz w:val="22"/>
        </w:rPr>
        <w:t> </w:t>
      </w:r>
      <w:r>
        <w:rPr>
          <w:sz w:val="22"/>
        </w:rPr>
        <w:t>0170,</w:t>
      </w:r>
      <w:r>
        <w:rPr>
          <w:spacing w:val="-1"/>
          <w:sz w:val="22"/>
        </w:rPr>
        <w:t> </w:t>
      </w:r>
      <w:r>
        <w:rPr>
          <w:sz w:val="22"/>
        </w:rPr>
        <w:t>establece</w:t>
      </w:r>
      <w:r>
        <w:rPr>
          <w:spacing w:val="-2"/>
          <w:sz w:val="22"/>
        </w:rPr>
        <w:t> </w:t>
      </w:r>
      <w:r>
        <w:rPr>
          <w:sz w:val="22"/>
        </w:rPr>
        <w:t>lo</w:t>
      </w:r>
      <w:r>
        <w:rPr>
          <w:spacing w:val="-5"/>
          <w:sz w:val="22"/>
        </w:rPr>
        <w:t> </w:t>
      </w:r>
      <w:r>
        <w:rPr>
          <w:spacing w:val="-2"/>
          <w:sz w:val="22"/>
        </w:rPr>
        <w:t>siguiente:</w:t>
      </w:r>
    </w:p>
    <w:p>
      <w:pPr>
        <w:pStyle w:val="BodyText"/>
      </w:pPr>
    </w:p>
    <w:p>
      <w:pPr>
        <w:spacing w:before="1"/>
        <w:ind w:left="1562" w:right="981" w:firstLine="0"/>
        <w:jc w:val="both"/>
        <w:rPr>
          <w:rFonts w:ascii="Arial" w:hAnsi="Arial"/>
          <w:i/>
          <w:sz w:val="22"/>
        </w:rPr>
      </w:pPr>
      <w:r>
        <w:rPr>
          <w:rFonts w:ascii="Arial" w:hAnsi="Arial"/>
          <w:i/>
          <w:sz w:val="22"/>
        </w:rPr>
        <w:t>“Artículo 2°. Restricción al ingreso de mercancías proveniente de Ecuador por las Direcciones Seccionales de</w:t>
      </w:r>
      <w:r>
        <w:rPr>
          <w:rFonts w:ascii="Arial" w:hAnsi="Arial"/>
          <w:i/>
          <w:spacing w:val="-2"/>
          <w:sz w:val="22"/>
        </w:rPr>
        <w:t> </w:t>
      </w:r>
      <w:r>
        <w:rPr>
          <w:rFonts w:ascii="Arial" w:hAnsi="Arial"/>
          <w:i/>
          <w:sz w:val="22"/>
        </w:rPr>
        <w:t>Impuestos y Aduanas de</w:t>
      </w:r>
      <w:r>
        <w:rPr>
          <w:rFonts w:ascii="Arial" w:hAnsi="Arial"/>
          <w:i/>
          <w:spacing w:val="-2"/>
          <w:sz w:val="22"/>
        </w:rPr>
        <w:t> </w:t>
      </w:r>
      <w:r>
        <w:rPr>
          <w:rFonts w:ascii="Arial" w:hAnsi="Arial"/>
          <w:i/>
          <w:sz w:val="22"/>
        </w:rPr>
        <w:t>Ipiales y de Puerto</w:t>
      </w:r>
      <w:r>
        <w:rPr>
          <w:rFonts w:ascii="Arial" w:hAnsi="Arial"/>
          <w:i/>
          <w:spacing w:val="-2"/>
          <w:sz w:val="22"/>
        </w:rPr>
        <w:t> </w:t>
      </w:r>
      <w:r>
        <w:rPr>
          <w:rFonts w:ascii="Arial" w:hAnsi="Arial"/>
          <w:i/>
          <w:sz w:val="22"/>
        </w:rPr>
        <w:t>Asís. Las mercancías</w:t>
      </w:r>
      <w:r>
        <w:rPr>
          <w:rFonts w:ascii="Arial" w:hAnsi="Arial"/>
          <w:i/>
          <w:spacing w:val="40"/>
          <w:sz w:val="22"/>
        </w:rPr>
        <w:t> </w:t>
      </w:r>
      <w:r>
        <w:rPr>
          <w:rFonts w:ascii="Arial" w:hAnsi="Arial"/>
          <w:i/>
          <w:sz w:val="22"/>
        </w:rPr>
        <w:t>clasificables</w:t>
      </w:r>
      <w:r>
        <w:rPr>
          <w:rFonts w:ascii="Arial" w:hAnsi="Arial"/>
          <w:i/>
          <w:spacing w:val="40"/>
          <w:sz w:val="22"/>
        </w:rPr>
        <w:t> </w:t>
      </w:r>
      <w:r>
        <w:rPr>
          <w:rFonts w:ascii="Arial" w:hAnsi="Arial"/>
          <w:i/>
          <w:sz w:val="22"/>
        </w:rPr>
        <w:t>en</w:t>
      </w:r>
      <w:r>
        <w:rPr>
          <w:rFonts w:ascii="Arial" w:hAnsi="Arial"/>
          <w:i/>
          <w:spacing w:val="40"/>
          <w:sz w:val="22"/>
        </w:rPr>
        <w:t> </w:t>
      </w:r>
      <w:r>
        <w:rPr>
          <w:rFonts w:ascii="Arial" w:hAnsi="Arial"/>
          <w:i/>
          <w:sz w:val="22"/>
        </w:rPr>
        <w:t>las</w:t>
      </w:r>
      <w:r>
        <w:rPr>
          <w:rFonts w:ascii="Arial" w:hAnsi="Arial"/>
          <w:i/>
          <w:spacing w:val="40"/>
          <w:sz w:val="22"/>
        </w:rPr>
        <w:t> </w:t>
      </w:r>
      <w:r>
        <w:rPr>
          <w:rFonts w:ascii="Arial" w:hAnsi="Arial"/>
          <w:i/>
          <w:sz w:val="22"/>
        </w:rPr>
        <w:t>siguientes</w:t>
      </w:r>
      <w:r>
        <w:rPr>
          <w:rFonts w:ascii="Arial" w:hAnsi="Arial"/>
          <w:i/>
          <w:spacing w:val="40"/>
          <w:sz w:val="22"/>
        </w:rPr>
        <w:t> </w:t>
      </w:r>
      <w:r>
        <w:rPr>
          <w:rFonts w:ascii="Arial" w:hAnsi="Arial"/>
          <w:i/>
          <w:sz w:val="22"/>
        </w:rPr>
        <w:t>subpartidas</w:t>
      </w:r>
      <w:r>
        <w:rPr>
          <w:rFonts w:ascii="Arial" w:hAnsi="Arial"/>
          <w:i/>
          <w:spacing w:val="40"/>
          <w:sz w:val="22"/>
        </w:rPr>
        <w:t> </w:t>
      </w:r>
      <w:r>
        <w:rPr>
          <w:rFonts w:ascii="Arial" w:hAnsi="Arial"/>
          <w:i/>
          <w:sz w:val="22"/>
        </w:rPr>
        <w:t>no</w:t>
      </w:r>
      <w:r>
        <w:rPr>
          <w:rFonts w:ascii="Arial" w:hAnsi="Arial"/>
          <w:i/>
          <w:spacing w:val="40"/>
          <w:sz w:val="22"/>
        </w:rPr>
        <w:t> </w:t>
      </w:r>
      <w:r>
        <w:rPr>
          <w:rFonts w:ascii="Arial" w:hAnsi="Arial"/>
          <w:i/>
          <w:sz w:val="22"/>
        </w:rPr>
        <w:t>podrán</w:t>
      </w:r>
      <w:r>
        <w:rPr>
          <w:rFonts w:ascii="Arial" w:hAnsi="Arial"/>
          <w:i/>
          <w:spacing w:val="40"/>
          <w:sz w:val="22"/>
        </w:rPr>
        <w:t> </w:t>
      </w:r>
      <w:r>
        <w:rPr>
          <w:rFonts w:ascii="Arial" w:hAnsi="Arial"/>
          <w:i/>
          <w:sz w:val="22"/>
        </w:rPr>
        <w:t>ingresar</w:t>
      </w:r>
      <w:r>
        <w:rPr>
          <w:rFonts w:ascii="Arial" w:hAnsi="Arial"/>
          <w:i/>
          <w:spacing w:val="40"/>
          <w:sz w:val="22"/>
        </w:rPr>
        <w:t> </w:t>
      </w:r>
      <w:r>
        <w:rPr>
          <w:rFonts w:ascii="Arial" w:hAnsi="Arial"/>
          <w:i/>
          <w:sz w:val="22"/>
        </w:rPr>
        <w:t>bajo</w:t>
      </w:r>
    </w:p>
    <w:p>
      <w:pPr>
        <w:pStyle w:val="BodyText"/>
        <w:rPr>
          <w:rFonts w:ascii="Arial"/>
          <w:i/>
          <w:sz w:val="20"/>
        </w:rPr>
      </w:pPr>
    </w:p>
    <w:p>
      <w:pPr>
        <w:pStyle w:val="BodyText"/>
        <w:spacing w:before="53"/>
        <w:rPr>
          <w:rFonts w:ascii="Arial"/>
          <w:i/>
          <w:sz w:val="20"/>
        </w:rPr>
      </w:pPr>
      <w:r>
        <w:rPr>
          <w:rFonts w:ascii="Arial"/>
          <w:i/>
          <w:sz w:val="20"/>
        </w:rPr>
        <mc:AlternateContent>
          <mc:Choice Requires="wps">
            <w:drawing>
              <wp:anchor distT="0" distB="0" distL="0" distR="0" allowOverlap="1" layoutInCell="1" locked="0" behindDoc="1" simplePos="0" relativeHeight="487646208">
                <wp:simplePos x="0" y="0"/>
                <wp:positionH relativeFrom="page">
                  <wp:posOffset>990904</wp:posOffset>
                </wp:positionH>
                <wp:positionV relativeFrom="paragraph">
                  <wp:posOffset>195196</wp:posOffset>
                </wp:positionV>
                <wp:extent cx="1829435" cy="7620"/>
                <wp:effectExtent l="0" t="0" r="0" b="0"/>
                <wp:wrapTopAndBottom/>
                <wp:docPr id="524" name="Graphic 524"/>
                <wp:cNvGraphicFramePr>
                  <a:graphicFrameLocks/>
                </wp:cNvGraphicFramePr>
                <a:graphic>
                  <a:graphicData uri="http://schemas.microsoft.com/office/word/2010/wordprocessingShape">
                    <wps:wsp>
                      <wps:cNvPr id="524" name="Graphic 524"/>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5.369838pt;width:144.020pt;height:.60004pt;mso-position-horizontal-relative:page;mso-position-vertical-relative:paragraph;z-index:-15670272;mso-wrap-distance-left:0;mso-wrap-distance-right:0" id="docshape361" filled="true" fillcolor="#000000" stroked="false">
                <v:fill type="solid"/>
                <w10:wrap type="topAndBottom"/>
              </v:rect>
            </w:pict>
          </mc:Fallback>
        </mc:AlternateContent>
      </w:r>
    </w:p>
    <w:p>
      <w:pPr>
        <w:spacing w:before="92"/>
        <w:ind w:left="568" w:right="0" w:firstLine="0"/>
        <w:jc w:val="left"/>
        <w:rPr>
          <w:sz w:val="16"/>
        </w:rPr>
      </w:pPr>
      <w:bookmarkStart w:name="_bookmark129" w:id="130"/>
      <w:bookmarkEnd w:id="130"/>
      <w:r>
        <w:rPr/>
      </w:r>
      <w:r>
        <w:rPr>
          <w:sz w:val="16"/>
          <w:vertAlign w:val="superscript"/>
        </w:rPr>
        <w:t>62</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000107.</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25" name="Group 525"/>
                <wp:cNvGraphicFramePr>
                  <a:graphicFrameLocks/>
                </wp:cNvGraphicFramePr>
                <a:graphic>
                  <a:graphicData uri="http://schemas.microsoft.com/office/word/2010/wordprocessingGroup">
                    <wpg:wgp>
                      <wpg:cNvPr id="525" name="Group 525"/>
                      <wpg:cNvGrpSpPr/>
                      <wpg:grpSpPr>
                        <a:xfrm>
                          <a:off x="0" y="0"/>
                          <a:ext cx="6131560" cy="9525"/>
                          <a:chExt cx="6131560" cy="9525"/>
                        </a:xfrm>
                      </wpg:grpSpPr>
                      <wps:wsp>
                        <wps:cNvPr id="526" name="Graphic 526"/>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62"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spacing w:before="176"/>
      </w:pPr>
    </w:p>
    <w:p>
      <w:pPr>
        <w:spacing w:before="0"/>
        <w:ind w:left="1562" w:right="979" w:firstLine="0"/>
        <w:jc w:val="both"/>
        <w:rPr>
          <w:rFonts w:ascii="Arial" w:hAnsi="Arial"/>
          <w:i/>
          <w:sz w:val="22"/>
        </w:rPr>
      </w:pPr>
      <w:r>
        <w:rPr>
          <w:rFonts w:ascii="Arial" w:hAnsi="Arial"/>
          <w:i/>
          <w:sz w:val="22"/>
        </w:rPr>
        <w:t>ningún</w:t>
      </w:r>
      <w:r>
        <w:rPr>
          <w:rFonts w:ascii="Arial" w:hAnsi="Arial"/>
          <w:i/>
          <w:spacing w:val="-3"/>
          <w:sz w:val="22"/>
        </w:rPr>
        <w:t> </w:t>
      </w:r>
      <w:r>
        <w:rPr>
          <w:rFonts w:ascii="Arial" w:hAnsi="Arial"/>
          <w:i/>
          <w:sz w:val="22"/>
        </w:rPr>
        <w:t>régimen</w:t>
      </w:r>
      <w:r>
        <w:rPr>
          <w:rFonts w:ascii="Arial" w:hAnsi="Arial"/>
          <w:i/>
          <w:spacing w:val="-5"/>
          <w:sz w:val="22"/>
        </w:rPr>
        <w:t> </w:t>
      </w:r>
      <w:r>
        <w:rPr>
          <w:rFonts w:ascii="Arial" w:hAnsi="Arial"/>
          <w:i/>
          <w:sz w:val="22"/>
        </w:rPr>
        <w:t>aduanero</w:t>
      </w:r>
      <w:r>
        <w:rPr>
          <w:rFonts w:ascii="Arial" w:hAnsi="Arial"/>
          <w:i/>
          <w:spacing w:val="-3"/>
          <w:sz w:val="22"/>
        </w:rPr>
        <w:t> </w:t>
      </w:r>
      <w:r>
        <w:rPr>
          <w:rFonts w:ascii="Arial" w:hAnsi="Arial"/>
          <w:i/>
          <w:sz w:val="22"/>
        </w:rPr>
        <w:t>por</w:t>
      </w:r>
      <w:r>
        <w:rPr>
          <w:rFonts w:ascii="Arial" w:hAnsi="Arial"/>
          <w:i/>
          <w:spacing w:val="-4"/>
          <w:sz w:val="22"/>
        </w:rPr>
        <w:t> </w:t>
      </w:r>
      <w:r>
        <w:rPr>
          <w:rFonts w:ascii="Arial" w:hAnsi="Arial"/>
          <w:i/>
          <w:sz w:val="22"/>
        </w:rPr>
        <w:t>los</w:t>
      </w:r>
      <w:r>
        <w:rPr>
          <w:rFonts w:ascii="Arial" w:hAnsi="Arial"/>
          <w:i/>
          <w:spacing w:val="-5"/>
          <w:sz w:val="22"/>
        </w:rPr>
        <w:t> </w:t>
      </w:r>
      <w:r>
        <w:rPr>
          <w:rFonts w:ascii="Arial" w:hAnsi="Arial"/>
          <w:i/>
          <w:sz w:val="22"/>
        </w:rPr>
        <w:t>cruces</w:t>
      </w:r>
      <w:r>
        <w:rPr>
          <w:rFonts w:ascii="Arial" w:hAnsi="Arial"/>
          <w:i/>
          <w:spacing w:val="-5"/>
          <w:sz w:val="22"/>
        </w:rPr>
        <w:t> </w:t>
      </w:r>
      <w:r>
        <w:rPr>
          <w:rFonts w:ascii="Arial" w:hAnsi="Arial"/>
          <w:i/>
          <w:sz w:val="22"/>
        </w:rPr>
        <w:t>de</w:t>
      </w:r>
      <w:r>
        <w:rPr>
          <w:rFonts w:ascii="Arial" w:hAnsi="Arial"/>
          <w:i/>
          <w:spacing w:val="-5"/>
          <w:sz w:val="22"/>
        </w:rPr>
        <w:t> </w:t>
      </w:r>
      <w:r>
        <w:rPr>
          <w:rFonts w:ascii="Arial" w:hAnsi="Arial"/>
          <w:i/>
          <w:sz w:val="22"/>
        </w:rPr>
        <w:t>frontera</w:t>
      </w:r>
      <w:r>
        <w:rPr>
          <w:rFonts w:ascii="Arial" w:hAnsi="Arial"/>
          <w:i/>
          <w:spacing w:val="-5"/>
          <w:sz w:val="22"/>
        </w:rPr>
        <w:t> </w:t>
      </w:r>
      <w:r>
        <w:rPr>
          <w:rFonts w:ascii="Arial" w:hAnsi="Arial"/>
          <w:i/>
          <w:sz w:val="22"/>
        </w:rPr>
        <w:t>terrestres</w:t>
      </w:r>
      <w:r>
        <w:rPr>
          <w:rFonts w:ascii="Arial" w:hAnsi="Arial"/>
          <w:i/>
          <w:spacing w:val="-5"/>
          <w:sz w:val="22"/>
        </w:rPr>
        <w:t> </w:t>
      </w:r>
      <w:r>
        <w:rPr>
          <w:rFonts w:ascii="Arial" w:hAnsi="Arial"/>
          <w:i/>
          <w:sz w:val="22"/>
        </w:rPr>
        <w:t>de</w:t>
      </w:r>
      <w:r>
        <w:rPr>
          <w:rFonts w:ascii="Arial" w:hAnsi="Arial"/>
          <w:i/>
          <w:spacing w:val="-3"/>
          <w:sz w:val="22"/>
        </w:rPr>
        <w:t> </w:t>
      </w:r>
      <w:r>
        <w:rPr>
          <w:rFonts w:ascii="Arial" w:hAnsi="Arial"/>
          <w:i/>
          <w:sz w:val="22"/>
        </w:rPr>
        <w:t>las</w:t>
      </w:r>
      <w:r>
        <w:rPr>
          <w:rFonts w:ascii="Arial" w:hAnsi="Arial"/>
          <w:i/>
          <w:spacing w:val="-5"/>
          <w:sz w:val="22"/>
        </w:rPr>
        <w:t> </w:t>
      </w:r>
      <w:r>
        <w:rPr>
          <w:rFonts w:ascii="Arial" w:hAnsi="Arial"/>
          <w:i/>
          <w:sz w:val="22"/>
        </w:rPr>
        <w:t>jurisdicciones de</w:t>
      </w:r>
      <w:r>
        <w:rPr>
          <w:rFonts w:ascii="Arial" w:hAnsi="Arial"/>
          <w:i/>
          <w:spacing w:val="-16"/>
          <w:sz w:val="22"/>
        </w:rPr>
        <w:t> </w:t>
      </w:r>
      <w:r>
        <w:rPr>
          <w:rFonts w:ascii="Arial" w:hAnsi="Arial"/>
          <w:i/>
          <w:sz w:val="22"/>
        </w:rPr>
        <w:t>las</w:t>
      </w:r>
      <w:r>
        <w:rPr>
          <w:rFonts w:ascii="Arial" w:hAnsi="Arial"/>
          <w:i/>
          <w:spacing w:val="-15"/>
          <w:sz w:val="22"/>
        </w:rPr>
        <w:t> </w:t>
      </w:r>
      <w:r>
        <w:rPr>
          <w:rFonts w:ascii="Arial" w:hAnsi="Arial"/>
          <w:i/>
          <w:sz w:val="22"/>
        </w:rPr>
        <w:t>Direcciones</w:t>
      </w:r>
      <w:r>
        <w:rPr>
          <w:rFonts w:ascii="Arial" w:hAnsi="Arial"/>
          <w:i/>
          <w:spacing w:val="-17"/>
          <w:sz w:val="22"/>
        </w:rPr>
        <w:t> </w:t>
      </w:r>
      <w:r>
        <w:rPr>
          <w:rFonts w:ascii="Arial" w:hAnsi="Arial"/>
          <w:i/>
          <w:sz w:val="22"/>
        </w:rPr>
        <w:t>Seccionales</w:t>
      </w:r>
      <w:r>
        <w:rPr>
          <w:rFonts w:ascii="Arial" w:hAnsi="Arial"/>
          <w:i/>
          <w:spacing w:val="-15"/>
          <w:sz w:val="22"/>
        </w:rPr>
        <w:t> </w:t>
      </w:r>
      <w:r>
        <w:rPr>
          <w:rFonts w:ascii="Arial" w:hAnsi="Arial"/>
          <w:i/>
          <w:sz w:val="22"/>
        </w:rPr>
        <w:t>de</w:t>
      </w:r>
      <w:r>
        <w:rPr>
          <w:rFonts w:ascii="Arial" w:hAnsi="Arial"/>
          <w:i/>
          <w:spacing w:val="-17"/>
          <w:sz w:val="22"/>
        </w:rPr>
        <w:t> </w:t>
      </w:r>
      <w:r>
        <w:rPr>
          <w:rFonts w:ascii="Arial" w:hAnsi="Arial"/>
          <w:i/>
          <w:sz w:val="22"/>
        </w:rPr>
        <w:t>Impuestos</w:t>
      </w:r>
      <w:r>
        <w:rPr>
          <w:rFonts w:ascii="Arial" w:hAnsi="Arial"/>
          <w:i/>
          <w:spacing w:val="-17"/>
          <w:sz w:val="22"/>
        </w:rPr>
        <w:t> </w:t>
      </w:r>
      <w:r>
        <w:rPr>
          <w:rFonts w:ascii="Arial" w:hAnsi="Arial"/>
          <w:i/>
          <w:sz w:val="22"/>
        </w:rPr>
        <w:t>y</w:t>
      </w:r>
      <w:r>
        <w:rPr>
          <w:rFonts w:ascii="Arial" w:hAnsi="Arial"/>
          <w:i/>
          <w:spacing w:val="-16"/>
          <w:sz w:val="22"/>
        </w:rPr>
        <w:t> </w:t>
      </w:r>
      <w:r>
        <w:rPr>
          <w:rFonts w:ascii="Arial" w:hAnsi="Arial"/>
          <w:i/>
          <w:sz w:val="22"/>
        </w:rPr>
        <w:t>Aduanas</w:t>
      </w:r>
      <w:r>
        <w:rPr>
          <w:rFonts w:ascii="Arial" w:hAnsi="Arial"/>
          <w:i/>
          <w:spacing w:val="-15"/>
          <w:sz w:val="22"/>
        </w:rPr>
        <w:t> </w:t>
      </w:r>
      <w:r>
        <w:rPr>
          <w:rFonts w:ascii="Arial" w:hAnsi="Arial"/>
          <w:i/>
          <w:sz w:val="22"/>
        </w:rPr>
        <w:t>de</w:t>
      </w:r>
      <w:r>
        <w:rPr>
          <w:rFonts w:ascii="Arial" w:hAnsi="Arial"/>
          <w:i/>
          <w:spacing w:val="-17"/>
          <w:sz w:val="22"/>
        </w:rPr>
        <w:t> </w:t>
      </w:r>
      <w:r>
        <w:rPr>
          <w:rFonts w:ascii="Arial" w:hAnsi="Arial"/>
          <w:i/>
          <w:sz w:val="22"/>
        </w:rPr>
        <w:t>Ipiales</w:t>
      </w:r>
      <w:r>
        <w:rPr>
          <w:rFonts w:ascii="Arial" w:hAnsi="Arial"/>
          <w:i/>
          <w:spacing w:val="-15"/>
          <w:sz w:val="22"/>
        </w:rPr>
        <w:t> </w:t>
      </w:r>
      <w:r>
        <w:rPr>
          <w:rFonts w:ascii="Arial" w:hAnsi="Arial"/>
          <w:i/>
          <w:sz w:val="22"/>
        </w:rPr>
        <w:t>y</w:t>
      </w:r>
      <w:r>
        <w:rPr>
          <w:rFonts w:ascii="Arial" w:hAnsi="Arial"/>
          <w:i/>
          <w:spacing w:val="-16"/>
          <w:sz w:val="22"/>
        </w:rPr>
        <w:t> </w:t>
      </w:r>
      <w:r>
        <w:rPr>
          <w:rFonts w:ascii="Arial" w:hAnsi="Arial"/>
          <w:i/>
          <w:sz w:val="22"/>
        </w:rPr>
        <w:t>de</w:t>
      </w:r>
      <w:r>
        <w:rPr>
          <w:rFonts w:ascii="Arial" w:hAnsi="Arial"/>
          <w:i/>
          <w:spacing w:val="-15"/>
          <w:sz w:val="22"/>
        </w:rPr>
        <w:t> </w:t>
      </w:r>
      <w:r>
        <w:rPr>
          <w:rFonts w:ascii="Arial" w:hAnsi="Arial"/>
          <w:i/>
          <w:sz w:val="22"/>
        </w:rPr>
        <w:t>Puerto</w:t>
      </w:r>
      <w:r>
        <w:rPr>
          <w:rFonts w:ascii="Arial" w:hAnsi="Arial"/>
          <w:i/>
          <w:spacing w:val="-17"/>
          <w:sz w:val="22"/>
        </w:rPr>
        <w:t> </w:t>
      </w:r>
      <w:r>
        <w:rPr>
          <w:rFonts w:ascii="Arial" w:hAnsi="Arial"/>
          <w:i/>
          <w:sz w:val="22"/>
        </w:rPr>
        <w:t>Asís.</w:t>
      </w:r>
    </w:p>
    <w:p>
      <w:pPr>
        <w:pStyle w:val="BodyText"/>
        <w:rPr>
          <w:rFonts w:ascii="Arial"/>
          <w:i/>
        </w:rPr>
      </w:pPr>
    </w:p>
    <w:p>
      <w:pPr>
        <w:spacing w:before="0"/>
        <w:ind w:left="1562" w:right="980" w:firstLine="0"/>
        <w:jc w:val="both"/>
        <w:rPr>
          <w:rFonts w:ascii="Arial" w:hAnsi="Arial"/>
          <w:i/>
          <w:sz w:val="22"/>
        </w:rPr>
      </w:pPr>
      <w:r>
        <w:rPr>
          <w:rFonts w:ascii="Arial" w:hAnsi="Arial"/>
          <w:i/>
          <w:sz w:val="22"/>
        </w:rPr>
        <w:t>Artículo 3°. Restricción al ingreso de mercancías utilizadas en la producción de Fentanilo.</w:t>
      </w:r>
      <w:r>
        <w:rPr>
          <w:rFonts w:ascii="Arial" w:hAnsi="Arial"/>
          <w:i/>
          <w:spacing w:val="-6"/>
          <w:sz w:val="22"/>
        </w:rPr>
        <w:t> </w:t>
      </w:r>
      <w:r>
        <w:rPr>
          <w:rFonts w:ascii="Arial" w:hAnsi="Arial"/>
          <w:i/>
          <w:sz w:val="22"/>
        </w:rPr>
        <w:t>Las</w:t>
      </w:r>
      <w:r>
        <w:rPr>
          <w:rFonts w:ascii="Arial" w:hAnsi="Arial"/>
          <w:i/>
          <w:spacing w:val="-7"/>
          <w:sz w:val="22"/>
        </w:rPr>
        <w:t> </w:t>
      </w:r>
      <w:r>
        <w:rPr>
          <w:rFonts w:ascii="Arial" w:hAnsi="Arial"/>
          <w:i/>
          <w:sz w:val="22"/>
        </w:rPr>
        <w:t>mercancías</w:t>
      </w:r>
      <w:r>
        <w:rPr>
          <w:rFonts w:ascii="Arial" w:hAnsi="Arial"/>
          <w:i/>
          <w:spacing w:val="-7"/>
          <w:sz w:val="22"/>
        </w:rPr>
        <w:t> </w:t>
      </w:r>
      <w:r>
        <w:rPr>
          <w:rFonts w:ascii="Arial" w:hAnsi="Arial"/>
          <w:i/>
          <w:sz w:val="22"/>
        </w:rPr>
        <w:t>usadas</w:t>
      </w:r>
      <w:r>
        <w:rPr>
          <w:rFonts w:ascii="Arial" w:hAnsi="Arial"/>
          <w:i/>
          <w:spacing w:val="-7"/>
          <w:sz w:val="22"/>
        </w:rPr>
        <w:t> </w:t>
      </w:r>
      <w:r>
        <w:rPr>
          <w:rFonts w:ascii="Arial" w:hAnsi="Arial"/>
          <w:i/>
          <w:sz w:val="22"/>
        </w:rPr>
        <w:t>en</w:t>
      </w:r>
      <w:r>
        <w:rPr>
          <w:rFonts w:ascii="Arial" w:hAnsi="Arial"/>
          <w:i/>
          <w:spacing w:val="-8"/>
          <w:sz w:val="22"/>
        </w:rPr>
        <w:t> </w:t>
      </w:r>
      <w:r>
        <w:rPr>
          <w:rFonts w:ascii="Arial" w:hAnsi="Arial"/>
          <w:i/>
          <w:sz w:val="22"/>
        </w:rPr>
        <w:t>la</w:t>
      </w:r>
      <w:r>
        <w:rPr>
          <w:rFonts w:ascii="Arial" w:hAnsi="Arial"/>
          <w:i/>
          <w:spacing w:val="-7"/>
          <w:sz w:val="22"/>
        </w:rPr>
        <w:t> </w:t>
      </w:r>
      <w:r>
        <w:rPr>
          <w:rFonts w:ascii="Arial" w:hAnsi="Arial"/>
          <w:i/>
          <w:sz w:val="22"/>
        </w:rPr>
        <w:t>producción</w:t>
      </w:r>
      <w:r>
        <w:rPr>
          <w:rFonts w:ascii="Arial" w:hAnsi="Arial"/>
          <w:i/>
          <w:spacing w:val="-8"/>
          <w:sz w:val="22"/>
        </w:rPr>
        <w:t> </w:t>
      </w:r>
      <w:r>
        <w:rPr>
          <w:rFonts w:ascii="Arial" w:hAnsi="Arial"/>
          <w:i/>
          <w:sz w:val="22"/>
        </w:rPr>
        <w:t>de</w:t>
      </w:r>
      <w:r>
        <w:rPr>
          <w:rFonts w:ascii="Arial" w:hAnsi="Arial"/>
          <w:i/>
          <w:spacing w:val="-8"/>
          <w:sz w:val="22"/>
        </w:rPr>
        <w:t> </w:t>
      </w:r>
      <w:r>
        <w:rPr>
          <w:rFonts w:ascii="Arial" w:hAnsi="Arial"/>
          <w:i/>
          <w:sz w:val="22"/>
        </w:rPr>
        <w:t>fentanilo</w:t>
      </w:r>
      <w:r>
        <w:rPr>
          <w:rFonts w:ascii="Arial" w:hAnsi="Arial"/>
          <w:i/>
          <w:spacing w:val="-7"/>
          <w:sz w:val="22"/>
        </w:rPr>
        <w:t> </w:t>
      </w:r>
      <w:r>
        <w:rPr>
          <w:rFonts w:ascii="Arial" w:hAnsi="Arial"/>
          <w:i/>
          <w:sz w:val="22"/>
        </w:rPr>
        <w:t>clasificables</w:t>
      </w:r>
      <w:r>
        <w:rPr>
          <w:rFonts w:ascii="Arial" w:hAnsi="Arial"/>
          <w:i/>
          <w:spacing w:val="-7"/>
          <w:sz w:val="22"/>
        </w:rPr>
        <w:t> </w:t>
      </w:r>
      <w:r>
        <w:rPr>
          <w:rFonts w:ascii="Arial" w:hAnsi="Arial"/>
          <w:i/>
          <w:sz w:val="22"/>
        </w:rPr>
        <w:t>en</w:t>
      </w:r>
      <w:r>
        <w:rPr>
          <w:rFonts w:ascii="Arial" w:hAnsi="Arial"/>
          <w:i/>
          <w:spacing w:val="-8"/>
          <w:sz w:val="22"/>
        </w:rPr>
        <w:t> </w:t>
      </w:r>
      <w:r>
        <w:rPr>
          <w:rFonts w:ascii="Arial" w:hAnsi="Arial"/>
          <w:i/>
          <w:sz w:val="22"/>
        </w:rPr>
        <w:t>las siguientes</w:t>
      </w:r>
      <w:r>
        <w:rPr>
          <w:rFonts w:ascii="Arial" w:hAnsi="Arial"/>
          <w:i/>
          <w:spacing w:val="-1"/>
          <w:sz w:val="22"/>
        </w:rPr>
        <w:t> </w:t>
      </w:r>
      <w:r>
        <w:rPr>
          <w:rFonts w:ascii="Arial" w:hAnsi="Arial"/>
          <w:i/>
          <w:sz w:val="22"/>
        </w:rPr>
        <w:t>partidas</w:t>
      </w:r>
      <w:r>
        <w:rPr>
          <w:rFonts w:ascii="Arial" w:hAnsi="Arial"/>
          <w:i/>
          <w:spacing w:val="-1"/>
          <w:sz w:val="22"/>
        </w:rPr>
        <w:t> </w:t>
      </w:r>
      <w:r>
        <w:rPr>
          <w:rFonts w:ascii="Arial" w:hAnsi="Arial"/>
          <w:i/>
          <w:sz w:val="22"/>
        </w:rPr>
        <w:t>arancelarias</w:t>
      </w:r>
      <w:r>
        <w:rPr>
          <w:rFonts w:ascii="Arial" w:hAnsi="Arial"/>
          <w:i/>
          <w:spacing w:val="-1"/>
          <w:sz w:val="22"/>
        </w:rPr>
        <w:t> </w:t>
      </w:r>
      <w:r>
        <w:rPr>
          <w:rFonts w:ascii="Arial" w:hAnsi="Arial"/>
          <w:i/>
          <w:sz w:val="22"/>
        </w:rPr>
        <w:t>no</w:t>
      </w:r>
      <w:r>
        <w:rPr>
          <w:rFonts w:ascii="Arial" w:hAnsi="Arial"/>
          <w:i/>
          <w:spacing w:val="-2"/>
          <w:sz w:val="22"/>
        </w:rPr>
        <w:t> </w:t>
      </w:r>
      <w:r>
        <w:rPr>
          <w:rFonts w:ascii="Arial" w:hAnsi="Arial"/>
          <w:i/>
          <w:sz w:val="22"/>
        </w:rPr>
        <w:t>podrán</w:t>
      </w:r>
      <w:r>
        <w:rPr>
          <w:rFonts w:ascii="Arial" w:hAnsi="Arial"/>
          <w:i/>
          <w:spacing w:val="-1"/>
          <w:sz w:val="22"/>
        </w:rPr>
        <w:t> </w:t>
      </w:r>
      <w:r>
        <w:rPr>
          <w:rFonts w:ascii="Arial" w:hAnsi="Arial"/>
          <w:i/>
          <w:sz w:val="22"/>
        </w:rPr>
        <w:t>ingresar bajo</w:t>
      </w:r>
      <w:r>
        <w:rPr>
          <w:rFonts w:ascii="Arial" w:hAnsi="Arial"/>
          <w:i/>
          <w:spacing w:val="-1"/>
          <w:sz w:val="22"/>
        </w:rPr>
        <w:t> </w:t>
      </w:r>
      <w:r>
        <w:rPr>
          <w:rFonts w:ascii="Arial" w:hAnsi="Arial"/>
          <w:i/>
          <w:sz w:val="22"/>
        </w:rPr>
        <w:t>ningún</w:t>
      </w:r>
      <w:r>
        <w:rPr>
          <w:rFonts w:ascii="Arial" w:hAnsi="Arial"/>
          <w:i/>
          <w:spacing w:val="-2"/>
          <w:sz w:val="22"/>
        </w:rPr>
        <w:t> </w:t>
      </w:r>
      <w:r>
        <w:rPr>
          <w:rFonts w:ascii="Arial" w:hAnsi="Arial"/>
          <w:i/>
          <w:sz w:val="22"/>
        </w:rPr>
        <w:t>régimen</w:t>
      </w:r>
      <w:r>
        <w:rPr>
          <w:rFonts w:ascii="Arial" w:hAnsi="Arial"/>
          <w:i/>
          <w:spacing w:val="-2"/>
          <w:sz w:val="22"/>
        </w:rPr>
        <w:t> </w:t>
      </w:r>
      <w:r>
        <w:rPr>
          <w:rFonts w:ascii="Arial" w:hAnsi="Arial"/>
          <w:i/>
          <w:sz w:val="22"/>
        </w:rPr>
        <w:t>aduanero por los cruces de frontera terrestres de las jurisdicciones de las Direcciones Seccionales de Impuestos y Aduanas de Ipiales y de Puerto Asís.”</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De la lectura de los citados artículos se advierte que el propio texto normativo califica las medidas adoptadas como una </w:t>
      </w:r>
      <w:r>
        <w:rPr>
          <w:rFonts w:ascii="Arial" w:hAnsi="Arial"/>
          <w:b/>
          <w:sz w:val="22"/>
        </w:rPr>
        <w:t>“restricción al ingreso de mercancías provenientes del Ecuador”. </w:t>
      </w:r>
      <w:r>
        <w:rPr>
          <w:sz w:val="22"/>
        </w:rPr>
        <w:t>En ambos artículos, la naturaleza de la medida es sustancialmente similar, diferenciándose únicamente en los tipos de mercancías a las que resulta</w:t>
      </w:r>
      <w:r>
        <w:rPr>
          <w:spacing w:val="-3"/>
          <w:sz w:val="22"/>
        </w:rPr>
        <w:t> </w:t>
      </w:r>
      <w:r>
        <w:rPr>
          <w:sz w:val="22"/>
        </w:rPr>
        <w:t>aplicable. Tal</w:t>
      </w:r>
      <w:r>
        <w:rPr>
          <w:spacing w:val="-3"/>
          <w:sz w:val="22"/>
        </w:rPr>
        <w:t> </w:t>
      </w:r>
      <w:r>
        <w:rPr>
          <w:sz w:val="22"/>
        </w:rPr>
        <w:t>como</w:t>
      </w:r>
      <w:r>
        <w:rPr>
          <w:spacing w:val="-3"/>
          <w:sz w:val="22"/>
        </w:rPr>
        <w:t> </w:t>
      </w:r>
      <w:r>
        <w:rPr>
          <w:sz w:val="22"/>
        </w:rPr>
        <w:t>se</w:t>
      </w:r>
      <w:r>
        <w:rPr>
          <w:spacing w:val="-3"/>
          <w:sz w:val="22"/>
        </w:rPr>
        <w:t> </w:t>
      </w:r>
      <w:r>
        <w:rPr>
          <w:sz w:val="22"/>
        </w:rPr>
        <w:t>indicó anteriormente,</w:t>
      </w:r>
      <w:r>
        <w:rPr>
          <w:spacing w:val="-1"/>
          <w:sz w:val="22"/>
        </w:rPr>
        <w:t> </w:t>
      </w:r>
      <w:r>
        <w:rPr>
          <w:sz w:val="22"/>
        </w:rPr>
        <w:t>el</w:t>
      </w:r>
      <w:r>
        <w:rPr>
          <w:spacing w:val="-2"/>
          <w:sz w:val="22"/>
        </w:rPr>
        <w:t> </w:t>
      </w:r>
      <w:r>
        <w:rPr>
          <w:sz w:val="22"/>
        </w:rPr>
        <w:t>artículo 2</w:t>
      </w:r>
      <w:r>
        <w:rPr>
          <w:spacing w:val="-5"/>
          <w:sz w:val="22"/>
        </w:rPr>
        <w:t> </w:t>
      </w:r>
      <w:r>
        <w:rPr>
          <w:sz w:val="22"/>
        </w:rPr>
        <w:t>comprende</w:t>
      </w:r>
      <w:r>
        <w:rPr>
          <w:spacing w:val="-3"/>
          <w:sz w:val="22"/>
        </w:rPr>
        <w:t> </w:t>
      </w:r>
      <w:r>
        <w:rPr>
          <w:sz w:val="22"/>
        </w:rPr>
        <w:t>treinta</w:t>
      </w:r>
    </w:p>
    <w:p>
      <w:pPr>
        <w:pStyle w:val="BodyText"/>
        <w:spacing w:before="1"/>
        <w:ind w:left="1134" w:right="982"/>
        <w:jc w:val="both"/>
      </w:pPr>
      <w:r>
        <w:rPr/>
        <w:t>(30)</w:t>
      </w:r>
      <w:r>
        <w:rPr>
          <w:spacing w:val="-6"/>
        </w:rPr>
        <w:t> </w:t>
      </w:r>
      <w:r>
        <w:rPr/>
        <w:t>subpartidas</w:t>
      </w:r>
      <w:r>
        <w:rPr>
          <w:spacing w:val="-9"/>
        </w:rPr>
        <w:t> </w:t>
      </w:r>
      <w:r>
        <w:rPr/>
        <w:t>arancelarias,</w:t>
      </w:r>
      <w:r>
        <w:rPr>
          <w:spacing w:val="-7"/>
        </w:rPr>
        <w:t> </w:t>
      </w:r>
      <w:r>
        <w:rPr/>
        <w:t>mientras</w:t>
      </w:r>
      <w:r>
        <w:rPr>
          <w:spacing w:val="-7"/>
        </w:rPr>
        <w:t> </w:t>
      </w:r>
      <w:r>
        <w:rPr/>
        <w:t>que</w:t>
      </w:r>
      <w:r>
        <w:rPr>
          <w:spacing w:val="-7"/>
        </w:rPr>
        <w:t> </w:t>
      </w:r>
      <w:r>
        <w:rPr/>
        <w:t>el</w:t>
      </w:r>
      <w:r>
        <w:rPr>
          <w:spacing w:val="-8"/>
        </w:rPr>
        <w:t> </w:t>
      </w:r>
      <w:r>
        <w:rPr/>
        <w:t>artículo</w:t>
      </w:r>
      <w:r>
        <w:rPr>
          <w:spacing w:val="-7"/>
        </w:rPr>
        <w:t> </w:t>
      </w:r>
      <w:r>
        <w:rPr/>
        <w:t>3</w:t>
      </w:r>
      <w:r>
        <w:rPr>
          <w:spacing w:val="-7"/>
        </w:rPr>
        <w:t> </w:t>
      </w:r>
      <w:r>
        <w:rPr/>
        <w:t>se</w:t>
      </w:r>
      <w:r>
        <w:rPr>
          <w:spacing w:val="-10"/>
        </w:rPr>
        <w:t> </w:t>
      </w:r>
      <w:r>
        <w:rPr/>
        <w:t>refiere</w:t>
      </w:r>
      <w:r>
        <w:rPr>
          <w:spacing w:val="-7"/>
        </w:rPr>
        <w:t> </w:t>
      </w:r>
      <w:r>
        <w:rPr/>
        <w:t>a</w:t>
      </w:r>
      <w:r>
        <w:rPr>
          <w:spacing w:val="-10"/>
        </w:rPr>
        <w:t> </w:t>
      </w:r>
      <w:r>
        <w:rPr/>
        <w:t>tres</w:t>
      </w:r>
      <w:r>
        <w:rPr>
          <w:spacing w:val="-10"/>
        </w:rPr>
        <w:t> </w:t>
      </w:r>
      <w:r>
        <w:rPr/>
        <w:t>(3)</w:t>
      </w:r>
      <w:r>
        <w:rPr>
          <w:spacing w:val="-7"/>
        </w:rPr>
        <w:t> </w:t>
      </w:r>
      <w:r>
        <w:rPr/>
        <w:t>subpartidas </w:t>
      </w:r>
      <w:r>
        <w:rPr>
          <w:spacing w:val="-2"/>
        </w:rPr>
        <w:t>arancelarias</w:t>
      </w:r>
      <w:hyperlink w:history="true" w:anchor="_bookmark130">
        <w:r>
          <w:rPr>
            <w:spacing w:val="-2"/>
            <w:vertAlign w:val="superscript"/>
          </w:rPr>
          <w:t>63</w:t>
        </w:r>
        <w:r>
          <w:rPr>
            <w:spacing w:val="-2"/>
            <w:vertAlign w:val="baseline"/>
          </w:rPr>
          <w:t>.</w:t>
        </w:r>
      </w:hyperlink>
    </w:p>
    <w:p>
      <w:pPr>
        <w:pStyle w:val="ListParagraph"/>
        <w:numPr>
          <w:ilvl w:val="0"/>
          <w:numId w:val="50"/>
        </w:numPr>
        <w:tabs>
          <w:tab w:pos="1130" w:val="left" w:leader="none"/>
          <w:tab w:pos="1134" w:val="left" w:leader="none"/>
        </w:tabs>
        <w:spacing w:line="240" w:lineRule="auto" w:before="252" w:after="0"/>
        <w:ind w:left="1134" w:right="977" w:hanging="567"/>
        <w:jc w:val="both"/>
        <w:rPr>
          <w:sz w:val="22"/>
        </w:rPr>
      </w:pPr>
      <w:r>
        <w:rPr>
          <w:sz w:val="22"/>
        </w:rPr>
        <w:t>Como se indicó anteriormente, el artículo 73 del Acuerdo de Cartagena define lo que debe entenderse, por </w:t>
      </w:r>
      <w:r>
        <w:rPr>
          <w:rFonts w:ascii="Arial" w:hAnsi="Arial"/>
          <w:i/>
          <w:sz w:val="22"/>
        </w:rPr>
        <w:t>“gravámenes” </w:t>
      </w:r>
      <w:r>
        <w:rPr>
          <w:sz w:val="22"/>
        </w:rPr>
        <w:t>y </w:t>
      </w:r>
      <w:r>
        <w:rPr>
          <w:rFonts w:ascii="Arial" w:hAnsi="Arial"/>
          <w:i/>
          <w:sz w:val="22"/>
        </w:rPr>
        <w:t>“restricciones de todo orden”</w:t>
      </w:r>
      <w:r>
        <w:rPr>
          <w:sz w:val="22"/>
        </w:rPr>
        <w:t>. Con relación al concepto de restricciones, que es el que resulta pertinente para el presente acápite de la investigación, la norma comunitaria establece que:</w:t>
      </w:r>
    </w:p>
    <w:p>
      <w:pPr>
        <w:spacing w:before="241"/>
        <w:ind w:left="1701" w:right="979" w:firstLine="0"/>
        <w:jc w:val="both"/>
        <w:rPr>
          <w:rFonts w:ascii="Arial" w:hAnsi="Arial"/>
          <w:i/>
          <w:sz w:val="22"/>
        </w:rPr>
      </w:pPr>
      <w:r>
        <w:rPr>
          <w:sz w:val="22"/>
        </w:rPr>
        <w:t>“S</w:t>
      </w:r>
      <w:r>
        <w:rPr>
          <w:rFonts w:ascii="Arial" w:hAnsi="Arial"/>
          <w:i/>
          <w:sz w:val="22"/>
        </w:rPr>
        <w:t>e entenderá por ‘restricciones de todo orden’ cualquier medida de carácter administrativo,</w:t>
      </w:r>
      <w:r>
        <w:rPr>
          <w:rFonts w:ascii="Arial" w:hAnsi="Arial"/>
          <w:i/>
          <w:spacing w:val="-6"/>
          <w:sz w:val="22"/>
        </w:rPr>
        <w:t> </w:t>
      </w:r>
      <w:r>
        <w:rPr>
          <w:rFonts w:ascii="Arial" w:hAnsi="Arial"/>
          <w:i/>
          <w:sz w:val="22"/>
        </w:rPr>
        <w:t>financiero</w:t>
      </w:r>
      <w:r>
        <w:rPr>
          <w:rFonts w:ascii="Arial" w:hAnsi="Arial"/>
          <w:i/>
          <w:spacing w:val="-7"/>
          <w:sz w:val="22"/>
        </w:rPr>
        <w:t> </w:t>
      </w:r>
      <w:r>
        <w:rPr>
          <w:rFonts w:ascii="Arial" w:hAnsi="Arial"/>
          <w:i/>
          <w:sz w:val="22"/>
        </w:rPr>
        <w:t>o</w:t>
      </w:r>
      <w:r>
        <w:rPr>
          <w:rFonts w:ascii="Arial" w:hAnsi="Arial"/>
          <w:i/>
          <w:spacing w:val="-7"/>
          <w:sz w:val="22"/>
        </w:rPr>
        <w:t> </w:t>
      </w:r>
      <w:r>
        <w:rPr>
          <w:rFonts w:ascii="Arial" w:hAnsi="Arial"/>
          <w:i/>
          <w:sz w:val="22"/>
        </w:rPr>
        <w:t>cambiario,</w:t>
      </w:r>
      <w:r>
        <w:rPr>
          <w:rFonts w:ascii="Arial" w:hAnsi="Arial"/>
          <w:i/>
          <w:spacing w:val="-6"/>
          <w:sz w:val="22"/>
        </w:rPr>
        <w:t> </w:t>
      </w:r>
      <w:r>
        <w:rPr>
          <w:rFonts w:ascii="Arial" w:hAnsi="Arial"/>
          <w:i/>
          <w:sz w:val="22"/>
        </w:rPr>
        <w:t>mediante</w:t>
      </w:r>
      <w:r>
        <w:rPr>
          <w:rFonts w:ascii="Arial" w:hAnsi="Arial"/>
          <w:i/>
          <w:spacing w:val="-5"/>
          <w:sz w:val="22"/>
        </w:rPr>
        <w:t> </w:t>
      </w:r>
      <w:r>
        <w:rPr>
          <w:rFonts w:ascii="Arial" w:hAnsi="Arial"/>
          <w:i/>
          <w:sz w:val="22"/>
        </w:rPr>
        <w:t>la</w:t>
      </w:r>
      <w:r>
        <w:rPr>
          <w:rFonts w:ascii="Arial" w:hAnsi="Arial"/>
          <w:i/>
          <w:spacing w:val="-7"/>
          <w:sz w:val="22"/>
        </w:rPr>
        <w:t> </w:t>
      </w:r>
      <w:r>
        <w:rPr>
          <w:rFonts w:ascii="Arial" w:hAnsi="Arial"/>
          <w:i/>
          <w:sz w:val="22"/>
        </w:rPr>
        <w:t>cual</w:t>
      </w:r>
      <w:r>
        <w:rPr>
          <w:rFonts w:ascii="Arial" w:hAnsi="Arial"/>
          <w:i/>
          <w:spacing w:val="-8"/>
          <w:sz w:val="22"/>
        </w:rPr>
        <w:t> </w:t>
      </w:r>
      <w:r>
        <w:rPr>
          <w:rFonts w:ascii="Arial" w:hAnsi="Arial"/>
          <w:i/>
          <w:sz w:val="22"/>
        </w:rPr>
        <w:t>un</w:t>
      </w:r>
      <w:r>
        <w:rPr>
          <w:rFonts w:ascii="Arial" w:hAnsi="Arial"/>
          <w:i/>
          <w:spacing w:val="-5"/>
          <w:sz w:val="22"/>
        </w:rPr>
        <w:t> </w:t>
      </w:r>
      <w:r>
        <w:rPr>
          <w:rFonts w:ascii="Arial" w:hAnsi="Arial"/>
          <w:i/>
          <w:sz w:val="22"/>
        </w:rPr>
        <w:t>País</w:t>
      </w:r>
      <w:r>
        <w:rPr>
          <w:rFonts w:ascii="Arial" w:hAnsi="Arial"/>
          <w:i/>
          <w:spacing w:val="-7"/>
          <w:sz w:val="22"/>
        </w:rPr>
        <w:t> </w:t>
      </w:r>
      <w:r>
        <w:rPr>
          <w:rFonts w:ascii="Arial" w:hAnsi="Arial"/>
          <w:i/>
          <w:sz w:val="22"/>
        </w:rPr>
        <w:t>Miembro</w:t>
      </w:r>
      <w:r>
        <w:rPr>
          <w:rFonts w:ascii="Arial" w:hAnsi="Arial"/>
          <w:i/>
          <w:spacing w:val="-7"/>
          <w:sz w:val="22"/>
        </w:rPr>
        <w:t> </w:t>
      </w:r>
      <w:r>
        <w:rPr>
          <w:rFonts w:ascii="Arial" w:hAnsi="Arial"/>
          <w:i/>
          <w:sz w:val="22"/>
        </w:rPr>
        <w:t>impida</w:t>
      </w:r>
      <w:r>
        <w:rPr>
          <w:rFonts w:ascii="Arial" w:hAnsi="Arial"/>
          <w:i/>
          <w:spacing w:val="-5"/>
          <w:sz w:val="22"/>
        </w:rPr>
        <w:t> </w:t>
      </w:r>
      <w:r>
        <w:rPr>
          <w:rFonts w:ascii="Arial" w:hAnsi="Arial"/>
          <w:i/>
          <w:sz w:val="22"/>
        </w:rPr>
        <w:t>o dificulte</w:t>
      </w:r>
      <w:r>
        <w:rPr>
          <w:rFonts w:ascii="Arial" w:hAnsi="Arial"/>
          <w:i/>
          <w:spacing w:val="-1"/>
          <w:sz w:val="22"/>
        </w:rPr>
        <w:t> </w:t>
      </w:r>
      <w:r>
        <w:rPr>
          <w:rFonts w:ascii="Arial" w:hAnsi="Arial"/>
          <w:i/>
          <w:sz w:val="22"/>
        </w:rPr>
        <w:t>las</w:t>
      </w:r>
      <w:r>
        <w:rPr>
          <w:rFonts w:ascii="Arial" w:hAnsi="Arial"/>
          <w:i/>
          <w:spacing w:val="-4"/>
          <w:sz w:val="22"/>
        </w:rPr>
        <w:t> </w:t>
      </w:r>
      <w:r>
        <w:rPr>
          <w:rFonts w:ascii="Arial" w:hAnsi="Arial"/>
          <w:i/>
          <w:sz w:val="22"/>
        </w:rPr>
        <w:t>importaciones,</w:t>
      </w:r>
      <w:r>
        <w:rPr>
          <w:rFonts w:ascii="Arial" w:hAnsi="Arial"/>
          <w:i/>
          <w:spacing w:val="-2"/>
          <w:sz w:val="22"/>
        </w:rPr>
        <w:t> </w:t>
      </w:r>
      <w:r>
        <w:rPr>
          <w:rFonts w:ascii="Arial" w:hAnsi="Arial"/>
          <w:i/>
          <w:sz w:val="22"/>
        </w:rPr>
        <w:t>por</w:t>
      </w:r>
      <w:r>
        <w:rPr>
          <w:rFonts w:ascii="Arial" w:hAnsi="Arial"/>
          <w:i/>
          <w:spacing w:val="-3"/>
          <w:sz w:val="22"/>
        </w:rPr>
        <w:t> </w:t>
      </w:r>
      <w:r>
        <w:rPr>
          <w:rFonts w:ascii="Arial" w:hAnsi="Arial"/>
          <w:i/>
          <w:sz w:val="22"/>
        </w:rPr>
        <w:t>decisión</w:t>
      </w:r>
      <w:r>
        <w:rPr>
          <w:rFonts w:ascii="Arial" w:hAnsi="Arial"/>
          <w:i/>
          <w:spacing w:val="-4"/>
          <w:sz w:val="22"/>
        </w:rPr>
        <w:t> </w:t>
      </w:r>
      <w:r>
        <w:rPr>
          <w:rFonts w:ascii="Arial" w:hAnsi="Arial"/>
          <w:i/>
          <w:sz w:val="22"/>
        </w:rPr>
        <w:t>unilateral. </w:t>
      </w:r>
      <w:r>
        <w:rPr>
          <w:rFonts w:ascii="Arial" w:hAnsi="Arial"/>
          <w:i/>
          <w:sz w:val="22"/>
          <w:u w:val="single"/>
        </w:rPr>
        <w:t>No</w:t>
      </w:r>
      <w:r>
        <w:rPr>
          <w:rFonts w:ascii="Arial" w:hAnsi="Arial"/>
          <w:i/>
          <w:spacing w:val="-4"/>
          <w:sz w:val="22"/>
          <w:u w:val="single"/>
        </w:rPr>
        <w:t> </w:t>
      </w:r>
      <w:r>
        <w:rPr>
          <w:rFonts w:ascii="Arial" w:hAnsi="Arial"/>
          <w:i/>
          <w:sz w:val="22"/>
          <w:u w:val="single"/>
        </w:rPr>
        <w:t>quedarán</w:t>
      </w:r>
      <w:r>
        <w:rPr>
          <w:rFonts w:ascii="Arial" w:hAnsi="Arial"/>
          <w:i/>
          <w:spacing w:val="-4"/>
          <w:sz w:val="22"/>
          <w:u w:val="single"/>
        </w:rPr>
        <w:t> </w:t>
      </w:r>
      <w:r>
        <w:rPr>
          <w:rFonts w:ascii="Arial" w:hAnsi="Arial"/>
          <w:i/>
          <w:sz w:val="22"/>
          <w:u w:val="single"/>
        </w:rPr>
        <w:t>comprendidas</w:t>
      </w:r>
      <w:r>
        <w:rPr>
          <w:rFonts w:ascii="Arial" w:hAnsi="Arial"/>
          <w:i/>
          <w:spacing w:val="-1"/>
          <w:sz w:val="22"/>
          <w:u w:val="single"/>
        </w:rPr>
        <w:t> </w:t>
      </w:r>
      <w:r>
        <w:rPr>
          <w:rFonts w:ascii="Arial" w:hAnsi="Arial"/>
          <w:i/>
          <w:sz w:val="22"/>
          <w:u w:val="single"/>
        </w:rPr>
        <w:t>en</w:t>
      </w:r>
      <w:r>
        <w:rPr>
          <w:rFonts w:ascii="Arial" w:hAnsi="Arial"/>
          <w:i/>
          <w:sz w:val="22"/>
        </w:rPr>
        <w:t> </w:t>
      </w:r>
      <w:r>
        <w:rPr>
          <w:rFonts w:ascii="Arial" w:hAnsi="Arial"/>
          <w:i/>
          <w:sz w:val="22"/>
          <w:u w:val="single"/>
        </w:rPr>
        <w:t>este concepto la adopción y el cumplimiento de medidas destinadas a la</w:t>
      </w:r>
      <w:r>
        <w:rPr>
          <w:rFonts w:ascii="Arial" w:hAnsi="Arial"/>
          <w:i/>
          <w:sz w:val="22"/>
        </w:rPr>
        <w:t>:</w:t>
      </w:r>
    </w:p>
    <w:p>
      <w:pPr>
        <w:pStyle w:val="BodyText"/>
        <w:rPr>
          <w:rFonts w:ascii="Arial"/>
          <w:i/>
        </w:rPr>
      </w:pPr>
    </w:p>
    <w:p>
      <w:pPr>
        <w:pStyle w:val="ListParagraph"/>
        <w:numPr>
          <w:ilvl w:val="0"/>
          <w:numId w:val="81"/>
        </w:numPr>
        <w:tabs>
          <w:tab w:pos="1985" w:val="left" w:leader="none"/>
        </w:tabs>
        <w:spacing w:line="240" w:lineRule="auto" w:before="0" w:after="0"/>
        <w:ind w:left="1985" w:right="0" w:hanging="284"/>
        <w:jc w:val="both"/>
        <w:rPr>
          <w:rFonts w:ascii="Arial" w:hAnsi="Arial"/>
          <w:i/>
          <w:sz w:val="22"/>
        </w:rPr>
      </w:pPr>
      <w:r>
        <w:rPr>
          <w:rFonts w:ascii="Arial" w:hAnsi="Arial"/>
          <w:i/>
          <w:sz w:val="22"/>
        </w:rPr>
        <w:t>Protección</w:t>
      </w:r>
      <w:r>
        <w:rPr>
          <w:rFonts w:ascii="Arial" w:hAnsi="Arial"/>
          <w:i/>
          <w:spacing w:val="-6"/>
          <w:sz w:val="22"/>
        </w:rPr>
        <w:t> </w:t>
      </w:r>
      <w:r>
        <w:rPr>
          <w:rFonts w:ascii="Arial" w:hAnsi="Arial"/>
          <w:i/>
          <w:sz w:val="22"/>
        </w:rPr>
        <w:t>de</w:t>
      </w:r>
      <w:r>
        <w:rPr>
          <w:rFonts w:ascii="Arial" w:hAnsi="Arial"/>
          <w:i/>
          <w:spacing w:val="-7"/>
          <w:sz w:val="22"/>
        </w:rPr>
        <w:t> </w:t>
      </w:r>
      <w:r>
        <w:rPr>
          <w:rFonts w:ascii="Arial" w:hAnsi="Arial"/>
          <w:i/>
          <w:sz w:val="22"/>
        </w:rPr>
        <w:t>la</w:t>
      </w:r>
      <w:r>
        <w:rPr>
          <w:rFonts w:ascii="Arial" w:hAnsi="Arial"/>
          <w:i/>
          <w:spacing w:val="-7"/>
          <w:sz w:val="22"/>
        </w:rPr>
        <w:t> </w:t>
      </w:r>
      <w:r>
        <w:rPr>
          <w:rFonts w:ascii="Arial" w:hAnsi="Arial"/>
          <w:i/>
          <w:sz w:val="22"/>
        </w:rPr>
        <w:t>moralidad</w:t>
      </w:r>
      <w:r>
        <w:rPr>
          <w:rFonts w:ascii="Arial" w:hAnsi="Arial"/>
          <w:i/>
          <w:spacing w:val="-5"/>
          <w:sz w:val="22"/>
        </w:rPr>
        <w:t> </w:t>
      </w:r>
      <w:r>
        <w:rPr>
          <w:rFonts w:ascii="Arial" w:hAnsi="Arial"/>
          <w:i/>
          <w:spacing w:val="-2"/>
          <w:sz w:val="22"/>
        </w:rPr>
        <w:t>pública;</w:t>
      </w:r>
    </w:p>
    <w:p>
      <w:pPr>
        <w:pStyle w:val="ListParagraph"/>
        <w:numPr>
          <w:ilvl w:val="0"/>
          <w:numId w:val="81"/>
        </w:numPr>
        <w:tabs>
          <w:tab w:pos="1985" w:val="left" w:leader="none"/>
        </w:tabs>
        <w:spacing w:line="252" w:lineRule="exact" w:before="2" w:after="0"/>
        <w:ind w:left="1985" w:right="0" w:hanging="284"/>
        <w:jc w:val="both"/>
        <w:rPr>
          <w:rFonts w:ascii="Arial" w:hAnsi="Arial"/>
          <w:i/>
          <w:sz w:val="22"/>
        </w:rPr>
      </w:pPr>
      <w:r>
        <w:rPr>
          <w:rFonts w:ascii="Arial" w:hAnsi="Arial"/>
          <w:i/>
          <w:sz w:val="22"/>
        </w:rPr>
        <w:t>Aplicación</w:t>
      </w:r>
      <w:r>
        <w:rPr>
          <w:rFonts w:ascii="Arial" w:hAnsi="Arial"/>
          <w:i/>
          <w:spacing w:val="-5"/>
          <w:sz w:val="22"/>
        </w:rPr>
        <w:t> </w:t>
      </w:r>
      <w:r>
        <w:rPr>
          <w:rFonts w:ascii="Arial" w:hAnsi="Arial"/>
          <w:i/>
          <w:sz w:val="22"/>
        </w:rPr>
        <w:t>de</w:t>
      </w:r>
      <w:r>
        <w:rPr>
          <w:rFonts w:ascii="Arial" w:hAnsi="Arial"/>
          <w:i/>
          <w:spacing w:val="-4"/>
          <w:sz w:val="22"/>
        </w:rPr>
        <w:t> </w:t>
      </w:r>
      <w:r>
        <w:rPr>
          <w:rFonts w:ascii="Arial" w:hAnsi="Arial"/>
          <w:i/>
          <w:sz w:val="22"/>
        </w:rPr>
        <w:t>leyes</w:t>
      </w:r>
      <w:r>
        <w:rPr>
          <w:rFonts w:ascii="Arial" w:hAnsi="Arial"/>
          <w:i/>
          <w:spacing w:val="-4"/>
          <w:sz w:val="22"/>
        </w:rPr>
        <w:t> </w:t>
      </w:r>
      <w:r>
        <w:rPr>
          <w:rFonts w:ascii="Arial" w:hAnsi="Arial"/>
          <w:i/>
          <w:sz w:val="22"/>
        </w:rPr>
        <w:t>y</w:t>
      </w:r>
      <w:r>
        <w:rPr>
          <w:rFonts w:ascii="Arial" w:hAnsi="Arial"/>
          <w:i/>
          <w:spacing w:val="-6"/>
          <w:sz w:val="22"/>
        </w:rPr>
        <w:t> </w:t>
      </w:r>
      <w:r>
        <w:rPr>
          <w:rFonts w:ascii="Arial" w:hAnsi="Arial"/>
          <w:i/>
          <w:sz w:val="22"/>
        </w:rPr>
        <w:t>reglamentos</w:t>
      </w:r>
      <w:r>
        <w:rPr>
          <w:rFonts w:ascii="Arial" w:hAnsi="Arial"/>
          <w:i/>
          <w:spacing w:val="-6"/>
          <w:sz w:val="22"/>
        </w:rPr>
        <w:t> </w:t>
      </w:r>
      <w:r>
        <w:rPr>
          <w:rFonts w:ascii="Arial" w:hAnsi="Arial"/>
          <w:i/>
          <w:sz w:val="22"/>
        </w:rPr>
        <w:t>de</w:t>
      </w:r>
      <w:r>
        <w:rPr>
          <w:rFonts w:ascii="Arial" w:hAnsi="Arial"/>
          <w:i/>
          <w:spacing w:val="-4"/>
          <w:sz w:val="22"/>
        </w:rPr>
        <w:t> </w:t>
      </w:r>
      <w:r>
        <w:rPr>
          <w:rFonts w:ascii="Arial" w:hAnsi="Arial"/>
          <w:i/>
          <w:spacing w:val="-2"/>
          <w:sz w:val="22"/>
        </w:rPr>
        <w:t>seguridad;</w:t>
      </w:r>
    </w:p>
    <w:p>
      <w:pPr>
        <w:pStyle w:val="ListParagraph"/>
        <w:numPr>
          <w:ilvl w:val="0"/>
          <w:numId w:val="81"/>
        </w:numPr>
        <w:tabs>
          <w:tab w:pos="1986" w:val="left" w:leader="none"/>
        </w:tabs>
        <w:spacing w:line="240" w:lineRule="auto" w:before="0" w:after="0"/>
        <w:ind w:left="1701" w:right="977" w:firstLine="0"/>
        <w:jc w:val="both"/>
        <w:rPr>
          <w:rFonts w:ascii="Arial" w:hAnsi="Arial"/>
          <w:i/>
          <w:sz w:val="22"/>
        </w:rPr>
      </w:pPr>
      <w:r>
        <w:rPr>
          <w:rFonts w:ascii="Arial" w:hAnsi="Arial"/>
          <w:i/>
          <w:sz w:val="22"/>
        </w:rPr>
        <w:t>Regulación</w:t>
      </w:r>
      <w:r>
        <w:rPr>
          <w:rFonts w:ascii="Arial" w:hAnsi="Arial"/>
          <w:i/>
          <w:spacing w:val="-10"/>
          <w:sz w:val="22"/>
        </w:rPr>
        <w:t> </w:t>
      </w:r>
      <w:r>
        <w:rPr>
          <w:rFonts w:ascii="Arial" w:hAnsi="Arial"/>
          <w:i/>
          <w:sz w:val="22"/>
        </w:rPr>
        <w:t>de</w:t>
      </w:r>
      <w:r>
        <w:rPr>
          <w:rFonts w:ascii="Arial" w:hAnsi="Arial"/>
          <w:i/>
          <w:spacing w:val="-10"/>
          <w:sz w:val="22"/>
        </w:rPr>
        <w:t> </w:t>
      </w:r>
      <w:r>
        <w:rPr>
          <w:rFonts w:ascii="Arial" w:hAnsi="Arial"/>
          <w:i/>
          <w:sz w:val="22"/>
        </w:rPr>
        <w:t>las</w:t>
      </w:r>
      <w:r>
        <w:rPr>
          <w:rFonts w:ascii="Arial" w:hAnsi="Arial"/>
          <w:i/>
          <w:spacing w:val="-10"/>
          <w:sz w:val="22"/>
        </w:rPr>
        <w:t> </w:t>
      </w:r>
      <w:r>
        <w:rPr>
          <w:rFonts w:ascii="Arial" w:hAnsi="Arial"/>
          <w:i/>
          <w:sz w:val="22"/>
        </w:rPr>
        <w:t>importaciones</w:t>
      </w:r>
      <w:r>
        <w:rPr>
          <w:rFonts w:ascii="Arial" w:hAnsi="Arial"/>
          <w:i/>
          <w:spacing w:val="-10"/>
          <w:sz w:val="22"/>
        </w:rPr>
        <w:t> </w:t>
      </w:r>
      <w:r>
        <w:rPr>
          <w:rFonts w:ascii="Arial" w:hAnsi="Arial"/>
          <w:i/>
          <w:sz w:val="22"/>
        </w:rPr>
        <w:t>o</w:t>
      </w:r>
      <w:r>
        <w:rPr>
          <w:rFonts w:ascii="Arial" w:hAnsi="Arial"/>
          <w:i/>
          <w:spacing w:val="-10"/>
          <w:sz w:val="22"/>
        </w:rPr>
        <w:t> </w:t>
      </w:r>
      <w:r>
        <w:rPr>
          <w:rFonts w:ascii="Arial" w:hAnsi="Arial"/>
          <w:i/>
          <w:sz w:val="22"/>
        </w:rPr>
        <w:t>exportaciones</w:t>
      </w:r>
      <w:r>
        <w:rPr>
          <w:rFonts w:ascii="Arial" w:hAnsi="Arial"/>
          <w:i/>
          <w:spacing w:val="-12"/>
          <w:sz w:val="22"/>
        </w:rPr>
        <w:t> </w:t>
      </w:r>
      <w:r>
        <w:rPr>
          <w:rFonts w:ascii="Arial" w:hAnsi="Arial"/>
          <w:i/>
          <w:sz w:val="22"/>
        </w:rPr>
        <w:t>de</w:t>
      </w:r>
      <w:r>
        <w:rPr>
          <w:rFonts w:ascii="Arial" w:hAnsi="Arial"/>
          <w:i/>
          <w:spacing w:val="-10"/>
          <w:sz w:val="22"/>
        </w:rPr>
        <w:t> </w:t>
      </w:r>
      <w:r>
        <w:rPr>
          <w:rFonts w:ascii="Arial" w:hAnsi="Arial"/>
          <w:i/>
          <w:sz w:val="22"/>
        </w:rPr>
        <w:t>armas,</w:t>
      </w:r>
      <w:r>
        <w:rPr>
          <w:rFonts w:ascii="Arial" w:hAnsi="Arial"/>
          <w:i/>
          <w:spacing w:val="-14"/>
          <w:sz w:val="22"/>
        </w:rPr>
        <w:t> </w:t>
      </w:r>
      <w:r>
        <w:rPr>
          <w:rFonts w:ascii="Arial" w:hAnsi="Arial"/>
          <w:i/>
          <w:sz w:val="22"/>
        </w:rPr>
        <w:t>municiones</w:t>
      </w:r>
      <w:r>
        <w:rPr>
          <w:rFonts w:ascii="Arial" w:hAnsi="Arial"/>
          <w:i/>
          <w:spacing w:val="-10"/>
          <w:sz w:val="22"/>
        </w:rPr>
        <w:t> </w:t>
      </w:r>
      <w:r>
        <w:rPr>
          <w:rFonts w:ascii="Arial" w:hAnsi="Arial"/>
          <w:i/>
          <w:sz w:val="22"/>
        </w:rPr>
        <w:t>y</w:t>
      </w:r>
      <w:r>
        <w:rPr>
          <w:rFonts w:ascii="Arial" w:hAnsi="Arial"/>
          <w:i/>
          <w:spacing w:val="-14"/>
          <w:sz w:val="22"/>
        </w:rPr>
        <w:t> </w:t>
      </w:r>
      <w:r>
        <w:rPr>
          <w:rFonts w:ascii="Arial" w:hAnsi="Arial"/>
          <w:i/>
          <w:sz w:val="22"/>
        </w:rPr>
        <w:t>otros materiales de guerra y, en circunstancias excepcionales, de todos los demás artículos militares, siempre que no interfieran con lo dispuesto en tratados sobre libre tránsito irrestricto vigentes entre los Países Miembros;</w:t>
      </w:r>
    </w:p>
    <w:p>
      <w:pPr>
        <w:pStyle w:val="ListParagraph"/>
        <w:numPr>
          <w:ilvl w:val="0"/>
          <w:numId w:val="81"/>
        </w:numPr>
        <w:tabs>
          <w:tab w:pos="1985" w:val="left" w:leader="none"/>
        </w:tabs>
        <w:spacing w:line="252" w:lineRule="exact" w:before="0" w:after="0"/>
        <w:ind w:left="1985" w:right="0" w:hanging="284"/>
        <w:jc w:val="both"/>
        <w:rPr>
          <w:rFonts w:ascii="Arial" w:hAnsi="Arial"/>
          <w:i/>
          <w:sz w:val="22"/>
        </w:rPr>
      </w:pPr>
      <w:r>
        <w:rPr>
          <w:rFonts w:ascii="Arial" w:hAnsi="Arial"/>
          <w:i/>
          <w:sz w:val="22"/>
        </w:rPr>
        <w:t>Protección</w:t>
      </w:r>
      <w:r>
        <w:rPr>
          <w:rFonts w:ascii="Arial" w:hAnsi="Arial"/>
          <w:i/>
          <w:spacing w:val="-6"/>
          <w:sz w:val="22"/>
        </w:rPr>
        <w:t> </w:t>
      </w:r>
      <w:r>
        <w:rPr>
          <w:rFonts w:ascii="Arial" w:hAnsi="Arial"/>
          <w:i/>
          <w:sz w:val="22"/>
        </w:rPr>
        <w:t>de</w:t>
      </w:r>
      <w:r>
        <w:rPr>
          <w:rFonts w:ascii="Arial" w:hAnsi="Arial"/>
          <w:i/>
          <w:spacing w:val="-5"/>
          <w:sz w:val="22"/>
        </w:rPr>
        <w:t> </w:t>
      </w:r>
      <w:r>
        <w:rPr>
          <w:rFonts w:ascii="Arial" w:hAnsi="Arial"/>
          <w:i/>
          <w:sz w:val="22"/>
        </w:rPr>
        <w:t>la</w:t>
      </w:r>
      <w:r>
        <w:rPr>
          <w:rFonts w:ascii="Arial" w:hAnsi="Arial"/>
          <w:i/>
          <w:spacing w:val="-4"/>
          <w:sz w:val="22"/>
        </w:rPr>
        <w:t> </w:t>
      </w:r>
      <w:r>
        <w:rPr>
          <w:rFonts w:ascii="Arial" w:hAnsi="Arial"/>
          <w:i/>
          <w:sz w:val="22"/>
        </w:rPr>
        <w:t>vida</w:t>
      </w:r>
      <w:r>
        <w:rPr>
          <w:rFonts w:ascii="Arial" w:hAnsi="Arial"/>
          <w:i/>
          <w:spacing w:val="-5"/>
          <w:sz w:val="22"/>
        </w:rPr>
        <w:t> </w:t>
      </w:r>
      <w:r>
        <w:rPr>
          <w:rFonts w:ascii="Arial" w:hAnsi="Arial"/>
          <w:i/>
          <w:sz w:val="22"/>
        </w:rPr>
        <w:t>y</w:t>
      </w:r>
      <w:r>
        <w:rPr>
          <w:rFonts w:ascii="Arial" w:hAnsi="Arial"/>
          <w:i/>
          <w:spacing w:val="-3"/>
          <w:sz w:val="22"/>
        </w:rPr>
        <w:t> </w:t>
      </w:r>
      <w:r>
        <w:rPr>
          <w:rFonts w:ascii="Arial" w:hAnsi="Arial"/>
          <w:i/>
          <w:sz w:val="22"/>
        </w:rPr>
        <w:t>salud</w:t>
      </w:r>
      <w:r>
        <w:rPr>
          <w:rFonts w:ascii="Arial" w:hAnsi="Arial"/>
          <w:i/>
          <w:spacing w:val="-3"/>
          <w:sz w:val="22"/>
        </w:rPr>
        <w:t> </w:t>
      </w:r>
      <w:r>
        <w:rPr>
          <w:rFonts w:ascii="Arial" w:hAnsi="Arial"/>
          <w:i/>
          <w:sz w:val="22"/>
        </w:rPr>
        <w:t>de</w:t>
      </w:r>
      <w:r>
        <w:rPr>
          <w:rFonts w:ascii="Arial" w:hAnsi="Arial"/>
          <w:i/>
          <w:spacing w:val="-4"/>
          <w:sz w:val="22"/>
        </w:rPr>
        <w:t> </w:t>
      </w:r>
      <w:r>
        <w:rPr>
          <w:rFonts w:ascii="Arial" w:hAnsi="Arial"/>
          <w:i/>
          <w:sz w:val="22"/>
        </w:rPr>
        <w:t>las</w:t>
      </w:r>
      <w:r>
        <w:rPr>
          <w:rFonts w:ascii="Arial" w:hAnsi="Arial"/>
          <w:i/>
          <w:spacing w:val="-3"/>
          <w:sz w:val="22"/>
        </w:rPr>
        <w:t> </w:t>
      </w:r>
      <w:r>
        <w:rPr>
          <w:rFonts w:ascii="Arial" w:hAnsi="Arial"/>
          <w:i/>
          <w:sz w:val="22"/>
        </w:rPr>
        <w:t>personas,</w:t>
      </w:r>
      <w:r>
        <w:rPr>
          <w:rFonts w:ascii="Arial" w:hAnsi="Arial"/>
          <w:i/>
          <w:spacing w:val="-2"/>
          <w:sz w:val="22"/>
        </w:rPr>
        <w:t> </w:t>
      </w:r>
      <w:r>
        <w:rPr>
          <w:rFonts w:ascii="Arial" w:hAnsi="Arial"/>
          <w:i/>
          <w:sz w:val="22"/>
        </w:rPr>
        <w:t>los</w:t>
      </w:r>
      <w:r>
        <w:rPr>
          <w:rFonts w:ascii="Arial" w:hAnsi="Arial"/>
          <w:i/>
          <w:spacing w:val="-5"/>
          <w:sz w:val="22"/>
        </w:rPr>
        <w:t> </w:t>
      </w:r>
      <w:r>
        <w:rPr>
          <w:rFonts w:ascii="Arial" w:hAnsi="Arial"/>
          <w:i/>
          <w:sz w:val="22"/>
        </w:rPr>
        <w:t>animales</w:t>
      </w:r>
      <w:r>
        <w:rPr>
          <w:rFonts w:ascii="Arial" w:hAnsi="Arial"/>
          <w:i/>
          <w:spacing w:val="-4"/>
          <w:sz w:val="22"/>
        </w:rPr>
        <w:t> </w:t>
      </w:r>
      <w:r>
        <w:rPr>
          <w:rFonts w:ascii="Arial" w:hAnsi="Arial"/>
          <w:i/>
          <w:sz w:val="22"/>
        </w:rPr>
        <w:t>y</w:t>
      </w:r>
      <w:r>
        <w:rPr>
          <w:rFonts w:ascii="Arial" w:hAnsi="Arial"/>
          <w:i/>
          <w:spacing w:val="-4"/>
          <w:sz w:val="22"/>
        </w:rPr>
        <w:t> </w:t>
      </w:r>
      <w:r>
        <w:rPr>
          <w:rFonts w:ascii="Arial" w:hAnsi="Arial"/>
          <w:i/>
          <w:sz w:val="22"/>
        </w:rPr>
        <w:t>los</w:t>
      </w:r>
      <w:r>
        <w:rPr>
          <w:rFonts w:ascii="Arial" w:hAnsi="Arial"/>
          <w:i/>
          <w:spacing w:val="-3"/>
          <w:sz w:val="22"/>
        </w:rPr>
        <w:t> </w:t>
      </w:r>
      <w:r>
        <w:rPr>
          <w:rFonts w:ascii="Arial" w:hAnsi="Arial"/>
          <w:i/>
          <w:spacing w:val="-2"/>
          <w:sz w:val="22"/>
        </w:rPr>
        <w:t>vegetales;</w:t>
      </w:r>
    </w:p>
    <w:p>
      <w:pPr>
        <w:pStyle w:val="ListParagraph"/>
        <w:numPr>
          <w:ilvl w:val="0"/>
          <w:numId w:val="81"/>
        </w:numPr>
        <w:tabs>
          <w:tab w:pos="1985" w:val="left" w:leader="none"/>
        </w:tabs>
        <w:spacing w:line="252" w:lineRule="exact" w:before="0" w:after="0"/>
        <w:ind w:left="1985" w:right="0" w:hanging="284"/>
        <w:jc w:val="both"/>
        <w:rPr>
          <w:rFonts w:ascii="Arial" w:hAnsi="Arial"/>
          <w:i/>
          <w:sz w:val="22"/>
        </w:rPr>
      </w:pPr>
      <w:r>
        <w:rPr>
          <w:rFonts w:ascii="Arial" w:hAnsi="Arial"/>
          <w:i/>
          <w:sz w:val="22"/>
        </w:rPr>
        <w:t>Importación</w:t>
      </w:r>
      <w:r>
        <w:rPr>
          <w:rFonts w:ascii="Arial" w:hAnsi="Arial"/>
          <w:i/>
          <w:spacing w:val="-7"/>
          <w:sz w:val="22"/>
        </w:rPr>
        <w:t> </w:t>
      </w:r>
      <w:r>
        <w:rPr>
          <w:rFonts w:ascii="Arial" w:hAnsi="Arial"/>
          <w:i/>
          <w:sz w:val="22"/>
        </w:rPr>
        <w:t>y</w:t>
      </w:r>
      <w:r>
        <w:rPr>
          <w:rFonts w:ascii="Arial" w:hAnsi="Arial"/>
          <w:i/>
          <w:spacing w:val="-4"/>
          <w:sz w:val="22"/>
        </w:rPr>
        <w:t> </w:t>
      </w:r>
      <w:r>
        <w:rPr>
          <w:rFonts w:ascii="Arial" w:hAnsi="Arial"/>
          <w:i/>
          <w:sz w:val="22"/>
        </w:rPr>
        <w:t>exportación</w:t>
      </w:r>
      <w:r>
        <w:rPr>
          <w:rFonts w:ascii="Arial" w:hAnsi="Arial"/>
          <w:i/>
          <w:spacing w:val="-4"/>
          <w:sz w:val="22"/>
        </w:rPr>
        <w:t> </w:t>
      </w:r>
      <w:r>
        <w:rPr>
          <w:rFonts w:ascii="Arial" w:hAnsi="Arial"/>
          <w:i/>
          <w:sz w:val="22"/>
        </w:rPr>
        <w:t>de</w:t>
      </w:r>
      <w:r>
        <w:rPr>
          <w:rFonts w:ascii="Arial" w:hAnsi="Arial"/>
          <w:i/>
          <w:spacing w:val="-5"/>
          <w:sz w:val="22"/>
        </w:rPr>
        <w:t> </w:t>
      </w:r>
      <w:r>
        <w:rPr>
          <w:rFonts w:ascii="Arial" w:hAnsi="Arial"/>
          <w:i/>
          <w:sz w:val="22"/>
        </w:rPr>
        <w:t>oro</w:t>
      </w:r>
      <w:r>
        <w:rPr>
          <w:rFonts w:ascii="Arial" w:hAnsi="Arial"/>
          <w:i/>
          <w:spacing w:val="-4"/>
          <w:sz w:val="22"/>
        </w:rPr>
        <w:t> </w:t>
      </w:r>
      <w:r>
        <w:rPr>
          <w:rFonts w:ascii="Arial" w:hAnsi="Arial"/>
          <w:i/>
          <w:sz w:val="22"/>
        </w:rPr>
        <w:t>y</w:t>
      </w:r>
      <w:r>
        <w:rPr>
          <w:rFonts w:ascii="Arial" w:hAnsi="Arial"/>
          <w:i/>
          <w:spacing w:val="-6"/>
          <w:sz w:val="22"/>
        </w:rPr>
        <w:t> </w:t>
      </w:r>
      <w:r>
        <w:rPr>
          <w:rFonts w:ascii="Arial" w:hAnsi="Arial"/>
          <w:i/>
          <w:sz w:val="22"/>
        </w:rPr>
        <w:t>plata</w:t>
      </w:r>
      <w:r>
        <w:rPr>
          <w:rFonts w:ascii="Arial" w:hAnsi="Arial"/>
          <w:i/>
          <w:spacing w:val="-6"/>
          <w:sz w:val="22"/>
        </w:rPr>
        <w:t> </w:t>
      </w:r>
      <w:r>
        <w:rPr>
          <w:rFonts w:ascii="Arial" w:hAnsi="Arial"/>
          <w:i/>
          <w:spacing w:val="-2"/>
          <w:sz w:val="22"/>
        </w:rPr>
        <w:t>metálicos;</w:t>
      </w:r>
    </w:p>
    <w:p>
      <w:pPr>
        <w:pStyle w:val="ListParagraph"/>
        <w:numPr>
          <w:ilvl w:val="0"/>
          <w:numId w:val="81"/>
        </w:numPr>
        <w:tabs>
          <w:tab w:pos="1986" w:val="left" w:leader="none"/>
        </w:tabs>
        <w:spacing w:line="240" w:lineRule="auto" w:before="1" w:after="0"/>
        <w:ind w:left="1701" w:right="983" w:firstLine="0"/>
        <w:jc w:val="both"/>
        <w:rPr>
          <w:rFonts w:ascii="Arial" w:hAnsi="Arial"/>
          <w:i/>
          <w:sz w:val="22"/>
        </w:rPr>
      </w:pPr>
      <w:r>
        <w:rPr>
          <w:rFonts w:ascii="Arial" w:hAnsi="Arial"/>
          <w:i/>
          <w:sz w:val="22"/>
        </w:rPr>
        <w:t>Protección del patrimonio nacional de valor artístico, histórico o arqueológico; </w:t>
      </w:r>
      <w:r>
        <w:rPr>
          <w:rFonts w:ascii="Arial" w:hAnsi="Arial"/>
          <w:i/>
          <w:spacing w:val="-10"/>
          <w:sz w:val="22"/>
        </w:rPr>
        <w:t>y</w:t>
      </w:r>
    </w:p>
    <w:p>
      <w:pPr>
        <w:pStyle w:val="ListParagraph"/>
        <w:numPr>
          <w:ilvl w:val="0"/>
          <w:numId w:val="81"/>
        </w:numPr>
        <w:tabs>
          <w:tab w:pos="1985" w:val="left" w:leader="none"/>
        </w:tabs>
        <w:spacing w:line="240" w:lineRule="auto" w:before="1" w:after="0"/>
        <w:ind w:left="1701" w:right="982" w:firstLine="0"/>
        <w:jc w:val="both"/>
        <w:rPr>
          <w:sz w:val="22"/>
        </w:rPr>
      </w:pPr>
      <w:r>
        <w:rPr>
          <w:rFonts w:ascii="Arial" w:hAnsi="Arial"/>
          <w:i/>
          <w:sz w:val="22"/>
        </w:rPr>
        <w:t>Exportación, utilización y consumo de materiales nucleares, productos radiactivos o</w:t>
      </w:r>
      <w:r>
        <w:rPr>
          <w:rFonts w:ascii="Arial" w:hAnsi="Arial"/>
          <w:i/>
          <w:spacing w:val="-1"/>
          <w:sz w:val="22"/>
        </w:rPr>
        <w:t> </w:t>
      </w:r>
      <w:r>
        <w:rPr>
          <w:rFonts w:ascii="Arial" w:hAnsi="Arial"/>
          <w:i/>
          <w:sz w:val="22"/>
        </w:rPr>
        <w:t>cualquier otro material utilizable en el desarrollo o aprovechamiento de la energía nuclear.” </w:t>
      </w:r>
      <w:r>
        <w:rPr>
          <w:sz w:val="22"/>
        </w:rPr>
        <w:t>[énfasis añadido]</w:t>
      </w:r>
    </w:p>
    <w:p>
      <w:pPr>
        <w:pStyle w:val="ListParagraph"/>
        <w:numPr>
          <w:ilvl w:val="0"/>
          <w:numId w:val="50"/>
        </w:numPr>
        <w:tabs>
          <w:tab w:pos="1130" w:val="left" w:leader="none"/>
          <w:tab w:pos="1134" w:val="left" w:leader="none"/>
        </w:tabs>
        <w:spacing w:line="240" w:lineRule="auto" w:before="240" w:after="0"/>
        <w:ind w:left="1134" w:right="976" w:hanging="567"/>
        <w:jc w:val="both"/>
        <w:rPr>
          <w:sz w:val="22"/>
        </w:rPr>
      </w:pPr>
      <w:r>
        <w:rPr>
          <w:sz w:val="22"/>
        </w:rPr>
        <w:t>Es preciso reiterar en este punto, que las disposiciones referidas al </w:t>
      </w:r>
      <w:r>
        <w:rPr>
          <w:rFonts w:ascii="Arial" w:hAnsi="Arial"/>
          <w:i/>
          <w:sz w:val="22"/>
        </w:rPr>
        <w:t>Programa de Liberación </w:t>
      </w:r>
      <w:r>
        <w:rPr>
          <w:sz w:val="22"/>
        </w:rPr>
        <w:t>han sido objeto de pronunciamientos del TJCAN, los cuales han permitido precisar su alcance y la correcta interpretación, y constituyen una guía relevante para evaluar,</w:t>
      </w:r>
      <w:r>
        <w:rPr>
          <w:spacing w:val="-7"/>
          <w:sz w:val="22"/>
        </w:rPr>
        <w:t> </w:t>
      </w:r>
      <w:r>
        <w:rPr>
          <w:sz w:val="22"/>
        </w:rPr>
        <w:t>en</w:t>
      </w:r>
      <w:r>
        <w:rPr>
          <w:spacing w:val="-12"/>
          <w:sz w:val="22"/>
        </w:rPr>
        <w:t> </w:t>
      </w:r>
      <w:r>
        <w:rPr>
          <w:sz w:val="22"/>
        </w:rPr>
        <w:t>el</w:t>
      </w:r>
      <w:r>
        <w:rPr>
          <w:spacing w:val="-10"/>
          <w:sz w:val="22"/>
        </w:rPr>
        <w:t> </w:t>
      </w:r>
      <w:r>
        <w:rPr>
          <w:sz w:val="22"/>
        </w:rPr>
        <w:t>presente</w:t>
      </w:r>
      <w:r>
        <w:rPr>
          <w:spacing w:val="-11"/>
          <w:sz w:val="22"/>
        </w:rPr>
        <w:t> </w:t>
      </w:r>
      <w:r>
        <w:rPr>
          <w:sz w:val="22"/>
        </w:rPr>
        <w:t>caso,</w:t>
      </w:r>
      <w:r>
        <w:rPr>
          <w:spacing w:val="-7"/>
          <w:sz w:val="22"/>
        </w:rPr>
        <w:t> </w:t>
      </w:r>
      <w:r>
        <w:rPr>
          <w:sz w:val="22"/>
        </w:rPr>
        <w:t>si</w:t>
      </w:r>
      <w:r>
        <w:rPr>
          <w:spacing w:val="-10"/>
          <w:sz w:val="22"/>
        </w:rPr>
        <w:t> </w:t>
      </w:r>
      <w:r>
        <w:rPr>
          <w:sz w:val="22"/>
        </w:rPr>
        <w:t>la</w:t>
      </w:r>
      <w:r>
        <w:rPr>
          <w:spacing w:val="-11"/>
          <w:sz w:val="22"/>
        </w:rPr>
        <w:t> </w:t>
      </w:r>
      <w:r>
        <w:rPr>
          <w:sz w:val="22"/>
        </w:rPr>
        <w:t>medida</w:t>
      </w:r>
      <w:r>
        <w:rPr>
          <w:spacing w:val="-9"/>
          <w:sz w:val="22"/>
        </w:rPr>
        <w:t> </w:t>
      </w:r>
      <w:r>
        <w:rPr>
          <w:sz w:val="22"/>
        </w:rPr>
        <w:t>objeto</w:t>
      </w:r>
      <w:r>
        <w:rPr>
          <w:spacing w:val="-13"/>
          <w:sz w:val="22"/>
        </w:rPr>
        <w:t> </w:t>
      </w:r>
      <w:r>
        <w:rPr>
          <w:sz w:val="22"/>
        </w:rPr>
        <w:t>de</w:t>
      </w:r>
      <w:r>
        <w:rPr>
          <w:spacing w:val="-9"/>
          <w:sz w:val="22"/>
        </w:rPr>
        <w:t> </w:t>
      </w:r>
      <w:r>
        <w:rPr>
          <w:sz w:val="22"/>
        </w:rPr>
        <w:t>investigación</w:t>
      </w:r>
      <w:r>
        <w:rPr>
          <w:spacing w:val="-9"/>
          <w:sz w:val="22"/>
        </w:rPr>
        <w:t> </w:t>
      </w:r>
      <w:r>
        <w:rPr>
          <w:sz w:val="22"/>
        </w:rPr>
        <w:t>califica</w:t>
      </w:r>
      <w:r>
        <w:rPr>
          <w:spacing w:val="-11"/>
          <w:sz w:val="22"/>
        </w:rPr>
        <w:t> </w:t>
      </w:r>
      <w:r>
        <w:rPr>
          <w:sz w:val="22"/>
        </w:rPr>
        <w:t>o</w:t>
      </w:r>
      <w:r>
        <w:rPr>
          <w:spacing w:val="-9"/>
          <w:sz w:val="22"/>
        </w:rPr>
        <w:t> </w:t>
      </w:r>
      <w:r>
        <w:rPr>
          <w:sz w:val="22"/>
        </w:rPr>
        <w:t>no</w:t>
      </w:r>
      <w:r>
        <w:rPr>
          <w:spacing w:val="-9"/>
          <w:sz w:val="22"/>
        </w:rPr>
        <w:t> </w:t>
      </w:r>
      <w:r>
        <w:rPr>
          <w:sz w:val="22"/>
        </w:rPr>
        <w:t>como</w:t>
      </w:r>
      <w:r>
        <w:rPr>
          <w:spacing w:val="-9"/>
          <w:sz w:val="22"/>
        </w:rPr>
        <w:t> </w:t>
      </w:r>
      <w:r>
        <w:rPr>
          <w:sz w:val="22"/>
        </w:rPr>
        <w:t>una restricción a las importaciones intracomunitarias. En particular, resulta pertinente lo señalado por el Honorable Tribunal en los Procesos 118-AI-2003, 02-AN-98, 3-AI-97, entre otros, los cuales serán citados en la medida que resulten relevantes para el análisis de los siguientes aspectos:</w:t>
      </w:r>
    </w:p>
    <w:p>
      <w:pPr>
        <w:pStyle w:val="BodyText"/>
        <w:spacing w:before="1"/>
      </w:pPr>
    </w:p>
    <w:p>
      <w:pPr>
        <w:pStyle w:val="ListParagraph"/>
        <w:numPr>
          <w:ilvl w:val="0"/>
          <w:numId w:val="82"/>
        </w:numPr>
        <w:tabs>
          <w:tab w:pos="1275" w:val="left" w:leader="none"/>
        </w:tabs>
        <w:spacing w:line="252" w:lineRule="exact" w:before="0" w:after="0"/>
        <w:ind w:left="1275" w:right="0" w:hanging="251"/>
        <w:jc w:val="left"/>
        <w:rPr>
          <w:sz w:val="22"/>
        </w:rPr>
      </w:pPr>
      <w:r>
        <w:rPr>
          <w:sz w:val="22"/>
        </w:rPr>
        <w:t>La</w:t>
      </w:r>
      <w:r>
        <w:rPr>
          <w:spacing w:val="-9"/>
          <w:sz w:val="22"/>
        </w:rPr>
        <w:t> </w:t>
      </w:r>
      <w:r>
        <w:rPr>
          <w:sz w:val="22"/>
        </w:rPr>
        <w:t>medida</w:t>
      </w:r>
      <w:r>
        <w:rPr>
          <w:spacing w:val="-6"/>
          <w:sz w:val="22"/>
        </w:rPr>
        <w:t> </w:t>
      </w:r>
      <w:r>
        <w:rPr>
          <w:sz w:val="22"/>
        </w:rPr>
        <w:t>objeto</w:t>
      </w:r>
      <w:r>
        <w:rPr>
          <w:spacing w:val="-6"/>
          <w:sz w:val="22"/>
        </w:rPr>
        <w:t> </w:t>
      </w:r>
      <w:r>
        <w:rPr>
          <w:sz w:val="22"/>
        </w:rPr>
        <w:t>de</w:t>
      </w:r>
      <w:r>
        <w:rPr>
          <w:spacing w:val="-8"/>
          <w:sz w:val="22"/>
        </w:rPr>
        <w:t> </w:t>
      </w:r>
      <w:r>
        <w:rPr>
          <w:sz w:val="22"/>
        </w:rPr>
        <w:t>investigación</w:t>
      </w:r>
      <w:r>
        <w:rPr>
          <w:spacing w:val="-7"/>
          <w:sz w:val="22"/>
        </w:rPr>
        <w:t> </w:t>
      </w:r>
      <w:r>
        <w:rPr>
          <w:sz w:val="22"/>
        </w:rPr>
        <w:t>impide</w:t>
      </w:r>
      <w:r>
        <w:rPr>
          <w:spacing w:val="-6"/>
          <w:sz w:val="22"/>
        </w:rPr>
        <w:t> </w:t>
      </w:r>
      <w:r>
        <w:rPr>
          <w:sz w:val="22"/>
        </w:rPr>
        <w:t>o</w:t>
      </w:r>
      <w:r>
        <w:rPr>
          <w:spacing w:val="-8"/>
          <w:sz w:val="22"/>
        </w:rPr>
        <w:t> </w:t>
      </w:r>
      <w:r>
        <w:rPr>
          <w:sz w:val="22"/>
        </w:rPr>
        <w:t>dificulta</w:t>
      </w:r>
      <w:r>
        <w:rPr>
          <w:spacing w:val="-6"/>
          <w:sz w:val="22"/>
        </w:rPr>
        <w:t> </w:t>
      </w:r>
      <w:r>
        <w:rPr>
          <w:sz w:val="22"/>
        </w:rPr>
        <w:t>las</w:t>
      </w:r>
      <w:r>
        <w:rPr>
          <w:spacing w:val="-6"/>
          <w:sz w:val="22"/>
        </w:rPr>
        <w:t> </w:t>
      </w:r>
      <w:r>
        <w:rPr>
          <w:sz w:val="22"/>
        </w:rPr>
        <w:t>importaciones;</w:t>
      </w:r>
      <w:r>
        <w:rPr>
          <w:spacing w:val="-3"/>
          <w:sz w:val="22"/>
        </w:rPr>
        <w:t> </w:t>
      </w:r>
      <w:r>
        <w:rPr>
          <w:spacing w:val="-5"/>
          <w:sz w:val="22"/>
        </w:rPr>
        <w:t>y,</w:t>
      </w:r>
    </w:p>
    <w:p>
      <w:pPr>
        <w:pStyle w:val="ListParagraph"/>
        <w:numPr>
          <w:ilvl w:val="0"/>
          <w:numId w:val="82"/>
        </w:numPr>
        <w:tabs>
          <w:tab w:pos="1276" w:val="left" w:leader="none"/>
        </w:tabs>
        <w:spacing w:line="240" w:lineRule="auto" w:before="0" w:after="0"/>
        <w:ind w:left="1276" w:right="976" w:hanging="300"/>
        <w:jc w:val="left"/>
        <w:rPr>
          <w:sz w:val="22"/>
        </w:rPr>
      </w:pPr>
      <w:r>
        <w:rPr>
          <w:sz w:val="22"/>
        </w:rPr>
        <w:t>La medida objeto de investigación califica como una posible excepción al artículo 73 del Acuerdo de Cartagena.</w:t>
      </w:r>
    </w:p>
    <w:p>
      <w:pPr>
        <w:pStyle w:val="BodyText"/>
        <w:rPr>
          <w:sz w:val="20"/>
        </w:rPr>
      </w:pPr>
      <w:r>
        <w:rPr>
          <w:sz w:val="20"/>
        </w:rPr>
        <mc:AlternateContent>
          <mc:Choice Requires="wps">
            <w:drawing>
              <wp:anchor distT="0" distB="0" distL="0" distR="0" allowOverlap="1" layoutInCell="1" locked="0" behindDoc="1" simplePos="0" relativeHeight="487647232">
                <wp:simplePos x="0" y="0"/>
                <wp:positionH relativeFrom="page">
                  <wp:posOffset>990904</wp:posOffset>
                </wp:positionH>
                <wp:positionV relativeFrom="paragraph">
                  <wp:posOffset>161792</wp:posOffset>
                </wp:positionV>
                <wp:extent cx="1829435" cy="7620"/>
                <wp:effectExtent l="0" t="0" r="0" b="0"/>
                <wp:wrapTopAndBottom/>
                <wp:docPr id="527" name="Graphic 527"/>
                <wp:cNvGraphicFramePr>
                  <a:graphicFrameLocks/>
                </wp:cNvGraphicFramePr>
                <a:graphic>
                  <a:graphicData uri="http://schemas.microsoft.com/office/word/2010/wordprocessingShape">
                    <wps:wsp>
                      <wps:cNvPr id="527" name="Graphic 527"/>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2.739587pt;width:144.020pt;height:.60004pt;mso-position-horizontal-relative:page;mso-position-vertical-relative:paragraph;z-index:-15669248;mso-wrap-distance-left:0;mso-wrap-distance-right:0" id="docshape363" filled="true" fillcolor="#000000" stroked="false">
                <v:fill type="solid"/>
                <w10:wrap type="topAndBottom"/>
              </v:rect>
            </w:pict>
          </mc:Fallback>
        </mc:AlternateContent>
      </w:r>
    </w:p>
    <w:p>
      <w:pPr>
        <w:spacing w:before="92"/>
        <w:ind w:left="568" w:right="0" w:firstLine="0"/>
        <w:jc w:val="left"/>
        <w:rPr>
          <w:sz w:val="16"/>
        </w:rPr>
      </w:pPr>
      <w:bookmarkStart w:name="_bookmark130" w:id="131"/>
      <w:bookmarkEnd w:id="131"/>
      <w:r>
        <w:rPr/>
      </w:r>
      <w:r>
        <w:rPr>
          <w:sz w:val="16"/>
          <w:vertAlign w:val="superscript"/>
        </w:rPr>
        <w:t>63</w:t>
      </w:r>
      <w:r>
        <w:rPr>
          <w:spacing w:val="-8"/>
          <w:sz w:val="16"/>
          <w:vertAlign w:val="baseline"/>
        </w:rPr>
        <w:t> </w:t>
      </w:r>
      <w:r>
        <w:rPr>
          <w:sz w:val="16"/>
          <w:vertAlign w:val="baseline"/>
        </w:rPr>
        <w:t>De</w:t>
      </w:r>
      <w:r>
        <w:rPr>
          <w:spacing w:val="-10"/>
          <w:sz w:val="16"/>
          <w:vertAlign w:val="baseline"/>
        </w:rPr>
        <w:t> </w:t>
      </w:r>
      <w:r>
        <w:rPr>
          <w:sz w:val="16"/>
          <w:vertAlign w:val="baseline"/>
        </w:rPr>
        <w:t>acuerdo</w:t>
      </w:r>
      <w:r>
        <w:rPr>
          <w:spacing w:val="-9"/>
          <w:sz w:val="16"/>
          <w:vertAlign w:val="baseline"/>
        </w:rPr>
        <w:t> </w:t>
      </w:r>
      <w:r>
        <w:rPr>
          <w:sz w:val="16"/>
          <w:vertAlign w:val="baseline"/>
        </w:rPr>
        <w:t>con</w:t>
      </w:r>
      <w:r>
        <w:rPr>
          <w:spacing w:val="-10"/>
          <w:sz w:val="16"/>
          <w:vertAlign w:val="baseline"/>
        </w:rPr>
        <w:t> </w:t>
      </w:r>
      <w:r>
        <w:rPr>
          <w:sz w:val="16"/>
          <w:vertAlign w:val="baseline"/>
        </w:rPr>
        <w:t>la</w:t>
      </w:r>
      <w:r>
        <w:rPr>
          <w:spacing w:val="-9"/>
          <w:sz w:val="16"/>
          <w:vertAlign w:val="baseline"/>
        </w:rPr>
        <w:t> </w:t>
      </w:r>
      <w:r>
        <w:rPr>
          <w:sz w:val="16"/>
          <w:vertAlign w:val="baseline"/>
        </w:rPr>
        <w:t>disponibilidad</w:t>
      </w:r>
      <w:r>
        <w:rPr>
          <w:spacing w:val="-11"/>
          <w:sz w:val="16"/>
          <w:vertAlign w:val="baseline"/>
        </w:rPr>
        <w:t> </w:t>
      </w:r>
      <w:r>
        <w:rPr>
          <w:sz w:val="16"/>
          <w:vertAlign w:val="baseline"/>
        </w:rPr>
        <w:t>de</w:t>
      </w:r>
      <w:r>
        <w:rPr>
          <w:spacing w:val="-7"/>
          <w:sz w:val="16"/>
          <w:vertAlign w:val="baseline"/>
        </w:rPr>
        <w:t> </w:t>
      </w:r>
      <w:r>
        <w:rPr>
          <w:sz w:val="16"/>
          <w:vertAlign w:val="baseline"/>
        </w:rPr>
        <w:t>información,</w:t>
      </w:r>
      <w:r>
        <w:rPr>
          <w:spacing w:val="-7"/>
          <w:sz w:val="16"/>
          <w:vertAlign w:val="baseline"/>
        </w:rPr>
        <w:t> </w:t>
      </w:r>
      <w:r>
        <w:rPr>
          <w:sz w:val="16"/>
          <w:vertAlign w:val="baseline"/>
        </w:rPr>
        <w:t>no</w:t>
      </w:r>
      <w:r>
        <w:rPr>
          <w:spacing w:val="-10"/>
          <w:sz w:val="16"/>
          <w:vertAlign w:val="baseline"/>
        </w:rPr>
        <w:t> </w:t>
      </w:r>
      <w:r>
        <w:rPr>
          <w:sz w:val="16"/>
          <w:vertAlign w:val="baseline"/>
        </w:rPr>
        <w:t>se</w:t>
      </w:r>
      <w:r>
        <w:rPr>
          <w:spacing w:val="-9"/>
          <w:sz w:val="16"/>
          <w:vertAlign w:val="baseline"/>
        </w:rPr>
        <w:t> </w:t>
      </w:r>
      <w:r>
        <w:rPr>
          <w:sz w:val="16"/>
          <w:vertAlign w:val="baseline"/>
        </w:rPr>
        <w:t>pudo</w:t>
      </w:r>
      <w:r>
        <w:rPr>
          <w:spacing w:val="-10"/>
          <w:sz w:val="16"/>
          <w:vertAlign w:val="baseline"/>
        </w:rPr>
        <w:t> </w:t>
      </w:r>
      <w:r>
        <w:rPr>
          <w:sz w:val="16"/>
          <w:vertAlign w:val="baseline"/>
        </w:rPr>
        <w:t>verificar</w:t>
      </w:r>
      <w:r>
        <w:rPr>
          <w:spacing w:val="-7"/>
          <w:sz w:val="16"/>
          <w:vertAlign w:val="baseline"/>
        </w:rPr>
        <w:t> </w:t>
      </w:r>
      <w:r>
        <w:rPr>
          <w:sz w:val="16"/>
          <w:vertAlign w:val="baseline"/>
        </w:rPr>
        <w:t>que</w:t>
      </w:r>
      <w:r>
        <w:rPr>
          <w:spacing w:val="-7"/>
          <w:sz w:val="16"/>
          <w:vertAlign w:val="baseline"/>
        </w:rPr>
        <w:t> </w:t>
      </w:r>
      <w:r>
        <w:rPr>
          <w:sz w:val="16"/>
          <w:vertAlign w:val="baseline"/>
        </w:rPr>
        <w:t>existan</w:t>
      </w:r>
      <w:r>
        <w:rPr>
          <w:spacing w:val="-9"/>
          <w:sz w:val="16"/>
          <w:vertAlign w:val="baseline"/>
        </w:rPr>
        <w:t> </w:t>
      </w:r>
      <w:r>
        <w:rPr>
          <w:sz w:val="16"/>
          <w:vertAlign w:val="baseline"/>
        </w:rPr>
        <w:t>importaciones</w:t>
      </w:r>
      <w:r>
        <w:rPr>
          <w:spacing w:val="-8"/>
          <w:sz w:val="16"/>
          <w:vertAlign w:val="baseline"/>
        </w:rPr>
        <w:t> </w:t>
      </w:r>
      <w:r>
        <w:rPr>
          <w:sz w:val="16"/>
          <w:vertAlign w:val="baseline"/>
        </w:rPr>
        <w:t>originarias</w:t>
      </w:r>
      <w:r>
        <w:rPr>
          <w:spacing w:val="-6"/>
          <w:sz w:val="16"/>
          <w:vertAlign w:val="baseline"/>
        </w:rPr>
        <w:t> </w:t>
      </w:r>
      <w:r>
        <w:rPr>
          <w:sz w:val="16"/>
          <w:vertAlign w:val="baseline"/>
        </w:rPr>
        <w:t>de</w:t>
      </w:r>
      <w:r>
        <w:rPr>
          <w:spacing w:val="-9"/>
          <w:sz w:val="16"/>
          <w:vertAlign w:val="baseline"/>
        </w:rPr>
        <w:t> </w:t>
      </w:r>
      <w:r>
        <w:rPr>
          <w:sz w:val="16"/>
          <w:vertAlign w:val="baseline"/>
        </w:rPr>
        <w:t>la</w:t>
      </w:r>
      <w:r>
        <w:rPr>
          <w:spacing w:val="-9"/>
          <w:sz w:val="16"/>
          <w:vertAlign w:val="baseline"/>
        </w:rPr>
        <w:t> </w:t>
      </w:r>
      <w:r>
        <w:rPr>
          <w:sz w:val="16"/>
          <w:vertAlign w:val="baseline"/>
        </w:rPr>
        <w:t>República</w:t>
      </w:r>
      <w:r>
        <w:rPr>
          <w:spacing w:val="-9"/>
          <w:sz w:val="16"/>
          <w:vertAlign w:val="baseline"/>
        </w:rPr>
        <w:t> </w:t>
      </w:r>
      <w:r>
        <w:rPr>
          <w:spacing w:val="-5"/>
          <w:sz w:val="16"/>
          <w:vertAlign w:val="baseline"/>
        </w:rPr>
        <w:t>del</w:t>
      </w:r>
    </w:p>
    <w:p>
      <w:pPr>
        <w:tabs>
          <w:tab w:pos="709" w:val="left" w:leader="none"/>
          <w:tab w:pos="9816" w:val="left" w:leader="none"/>
        </w:tabs>
        <w:spacing w:before="1"/>
        <w:ind w:left="160" w:right="0" w:firstLine="0"/>
        <w:jc w:val="left"/>
        <w:rPr>
          <w:sz w:val="16"/>
        </w:rPr>
      </w:pPr>
      <w:r>
        <w:rPr>
          <w:sz w:val="16"/>
          <w:u w:val="single"/>
        </w:rPr>
        <w:tab/>
        <w:t>Ecuador</w:t>
      </w:r>
      <w:r>
        <w:rPr>
          <w:spacing w:val="-4"/>
          <w:sz w:val="16"/>
          <w:u w:val="single"/>
        </w:rPr>
        <w:t> </w:t>
      </w:r>
      <w:r>
        <w:rPr>
          <w:sz w:val="16"/>
          <w:u w:val="single"/>
        </w:rPr>
        <w:t>de</w:t>
      </w:r>
      <w:r>
        <w:rPr>
          <w:spacing w:val="-3"/>
          <w:sz w:val="16"/>
          <w:u w:val="single"/>
        </w:rPr>
        <w:t> </w:t>
      </w:r>
      <w:r>
        <w:rPr>
          <w:sz w:val="16"/>
          <w:u w:val="single"/>
        </w:rPr>
        <w:t>estas</w:t>
      </w:r>
      <w:r>
        <w:rPr>
          <w:spacing w:val="-4"/>
          <w:sz w:val="16"/>
          <w:u w:val="single"/>
        </w:rPr>
        <w:t> </w:t>
      </w:r>
      <w:r>
        <w:rPr>
          <w:sz w:val="16"/>
          <w:u w:val="single"/>
        </w:rPr>
        <w:t>3</w:t>
      </w:r>
      <w:r>
        <w:rPr>
          <w:spacing w:val="-4"/>
          <w:sz w:val="16"/>
          <w:u w:val="single"/>
        </w:rPr>
        <w:t> </w:t>
      </w:r>
      <w:r>
        <w:rPr>
          <w:spacing w:val="-2"/>
          <w:sz w:val="16"/>
          <w:u w:val="single"/>
        </w:rPr>
        <w:t>subpartidas.</w:t>
      </w:r>
      <w:r>
        <w:rPr>
          <w:sz w:val="16"/>
          <w:u w:val="single"/>
        </w:rPr>
        <w:tab/>
      </w:r>
    </w:p>
    <w:p>
      <w:pPr>
        <w:spacing w:after="0"/>
        <w:jc w:val="left"/>
        <w:rPr>
          <w:sz w:val="16"/>
        </w:rPr>
        <w:sectPr>
          <w:pgSz w:w="11900" w:h="16850"/>
          <w:pgMar w:header="370" w:footer="597" w:top="1380" w:bottom="78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78" w:hanging="567"/>
        <w:jc w:val="both"/>
        <w:rPr>
          <w:sz w:val="22"/>
        </w:rPr>
      </w:pPr>
      <w:r>
        <w:rPr>
          <w:sz w:val="22"/>
        </w:rPr>
        <w:t>No obstante lo anterior, antes de efectuar el análisis correspondiente, se procederá a realizar algunas precisiones respecto a la medida objeto de investigación.</w:t>
      </w:r>
    </w:p>
    <w:p>
      <w:pPr>
        <w:pStyle w:val="Heading6"/>
        <w:numPr>
          <w:ilvl w:val="0"/>
          <w:numId w:val="83"/>
        </w:numPr>
        <w:tabs>
          <w:tab w:pos="994" w:val="left" w:leader="none"/>
        </w:tabs>
        <w:spacing w:line="240" w:lineRule="auto" w:before="252" w:after="0"/>
        <w:ind w:left="994" w:right="0" w:hanging="179"/>
        <w:jc w:val="left"/>
      </w:pPr>
      <w:r>
        <w:rPr/>
        <w:t>La</w:t>
      </w:r>
      <w:r>
        <w:rPr>
          <w:spacing w:val="-3"/>
        </w:rPr>
        <w:t> </w:t>
      </w:r>
      <w:r>
        <w:rPr/>
        <w:t>medida</w:t>
      </w:r>
      <w:r>
        <w:rPr>
          <w:spacing w:val="-3"/>
        </w:rPr>
        <w:t> </w:t>
      </w:r>
      <w:r>
        <w:rPr/>
        <w:t>objeto</w:t>
      </w:r>
      <w:r>
        <w:rPr>
          <w:spacing w:val="-4"/>
        </w:rPr>
        <w:t> </w:t>
      </w:r>
      <w:r>
        <w:rPr/>
        <w:t>de</w:t>
      </w:r>
      <w:r>
        <w:rPr>
          <w:spacing w:val="-4"/>
        </w:rPr>
        <w:t> </w:t>
      </w:r>
      <w:r>
        <w:rPr>
          <w:spacing w:val="-2"/>
        </w:rPr>
        <w:t>investigación</w:t>
      </w:r>
    </w:p>
    <w:p>
      <w:pPr>
        <w:pStyle w:val="ListParagraph"/>
        <w:numPr>
          <w:ilvl w:val="0"/>
          <w:numId w:val="50"/>
        </w:numPr>
        <w:tabs>
          <w:tab w:pos="1130" w:val="left" w:leader="none"/>
          <w:tab w:pos="1134" w:val="left" w:leader="none"/>
        </w:tabs>
        <w:spacing w:line="240" w:lineRule="auto" w:before="251" w:after="0"/>
        <w:ind w:left="1134" w:right="978" w:hanging="567"/>
        <w:jc w:val="both"/>
        <w:rPr>
          <w:sz w:val="22"/>
        </w:rPr>
      </w:pPr>
      <w:r>
        <w:rPr>
          <w:sz w:val="22"/>
        </w:rPr>
        <w:t>De conformidad con lo dispuesto en los artículos 2 y 3 del Decreto 0170, la medida de restricción de ingreso de mercancías resulta aplicable a un total de treinta y tres (33) subpartidas arancelarias. De la revisión</w:t>
      </w:r>
      <w:r>
        <w:rPr>
          <w:spacing w:val="-1"/>
          <w:sz w:val="22"/>
        </w:rPr>
        <w:t> </w:t>
      </w:r>
      <w:r>
        <w:rPr>
          <w:sz w:val="22"/>
        </w:rPr>
        <w:t>de</w:t>
      </w:r>
      <w:r>
        <w:rPr>
          <w:spacing w:val="-1"/>
          <w:sz w:val="22"/>
        </w:rPr>
        <w:t> </w:t>
      </w:r>
      <w:r>
        <w:rPr>
          <w:sz w:val="22"/>
        </w:rPr>
        <w:t>los considerandos</w:t>
      </w:r>
      <w:r>
        <w:rPr>
          <w:spacing w:val="80"/>
          <w:sz w:val="22"/>
        </w:rPr>
        <w:t> </w:t>
      </w:r>
      <w:r>
        <w:rPr>
          <w:sz w:val="22"/>
        </w:rPr>
        <w:t>del</w:t>
      </w:r>
      <w:r>
        <w:rPr>
          <w:spacing w:val="-1"/>
          <w:sz w:val="22"/>
        </w:rPr>
        <w:t> </w:t>
      </w:r>
      <w:r>
        <w:rPr>
          <w:sz w:val="22"/>
        </w:rPr>
        <w:t>referido Decreto, se observa que las</w:t>
      </w:r>
      <w:r>
        <w:rPr>
          <w:spacing w:val="-2"/>
          <w:sz w:val="22"/>
        </w:rPr>
        <w:t> </w:t>
      </w:r>
      <w:r>
        <w:rPr>
          <w:sz w:val="22"/>
        </w:rPr>
        <w:t>motivaciones que sustentan el establecimiento de dichas restricciones difieren</w:t>
      </w:r>
      <w:r>
        <w:rPr>
          <w:spacing w:val="-2"/>
          <w:sz w:val="22"/>
        </w:rPr>
        <w:t> </w:t>
      </w:r>
      <w:r>
        <w:rPr>
          <w:sz w:val="22"/>
        </w:rPr>
        <w:t>según</w:t>
      </w:r>
      <w:r>
        <w:rPr>
          <w:spacing w:val="-2"/>
          <w:sz w:val="22"/>
        </w:rPr>
        <w:t> </w:t>
      </w:r>
      <w:r>
        <w:rPr>
          <w:sz w:val="22"/>
        </w:rPr>
        <w:t>el</w:t>
      </w:r>
      <w:r>
        <w:rPr>
          <w:spacing w:val="-3"/>
          <w:sz w:val="22"/>
        </w:rPr>
        <w:t> </w:t>
      </w:r>
      <w:r>
        <w:rPr>
          <w:sz w:val="22"/>
        </w:rPr>
        <w:t>producto</w:t>
      </w:r>
      <w:r>
        <w:rPr>
          <w:spacing w:val="-2"/>
          <w:sz w:val="22"/>
        </w:rPr>
        <w:t> </w:t>
      </w:r>
      <w:r>
        <w:rPr>
          <w:sz w:val="22"/>
        </w:rPr>
        <w:t>del</w:t>
      </w:r>
      <w:r>
        <w:rPr>
          <w:spacing w:val="-2"/>
          <w:sz w:val="22"/>
        </w:rPr>
        <w:t> </w:t>
      </w:r>
      <w:r>
        <w:rPr>
          <w:sz w:val="22"/>
        </w:rPr>
        <w:t>que</w:t>
      </w:r>
      <w:r>
        <w:rPr>
          <w:spacing w:val="-2"/>
          <w:sz w:val="22"/>
        </w:rPr>
        <w:t> </w:t>
      </w:r>
      <w:r>
        <w:rPr>
          <w:sz w:val="22"/>
        </w:rPr>
        <w:t>se</w:t>
      </w:r>
      <w:r>
        <w:rPr>
          <w:spacing w:val="-3"/>
          <w:sz w:val="22"/>
        </w:rPr>
        <w:t> </w:t>
      </w:r>
      <w:r>
        <w:rPr>
          <w:sz w:val="22"/>
        </w:rPr>
        <w:t>trate.</w:t>
      </w:r>
      <w:r>
        <w:rPr>
          <w:spacing w:val="-3"/>
          <w:sz w:val="22"/>
        </w:rPr>
        <w:t> </w:t>
      </w:r>
      <w:r>
        <w:rPr>
          <w:sz w:val="22"/>
        </w:rPr>
        <w:t>Así,</w:t>
      </w:r>
      <w:r>
        <w:rPr>
          <w:spacing w:val="-3"/>
          <w:sz w:val="22"/>
        </w:rPr>
        <w:t> </w:t>
      </w:r>
      <w:r>
        <w:rPr>
          <w:sz w:val="22"/>
        </w:rPr>
        <w:t>respecto</w:t>
      </w:r>
      <w:r>
        <w:rPr>
          <w:spacing w:val="-1"/>
          <w:sz w:val="22"/>
        </w:rPr>
        <w:t> </w:t>
      </w:r>
      <w:r>
        <w:rPr>
          <w:sz w:val="22"/>
        </w:rPr>
        <w:t>de</w:t>
      </w:r>
      <w:r>
        <w:rPr>
          <w:spacing w:val="-4"/>
          <w:sz w:val="22"/>
        </w:rPr>
        <w:t> </w:t>
      </w:r>
      <w:r>
        <w:rPr>
          <w:sz w:val="22"/>
        </w:rPr>
        <w:t>las</w:t>
      </w:r>
      <w:r>
        <w:rPr>
          <w:spacing w:val="-2"/>
          <w:sz w:val="22"/>
        </w:rPr>
        <w:t> </w:t>
      </w:r>
      <w:r>
        <w:rPr>
          <w:sz w:val="22"/>
        </w:rPr>
        <w:t>subpartidas</w:t>
      </w:r>
      <w:r>
        <w:rPr>
          <w:spacing w:val="-2"/>
          <w:sz w:val="22"/>
        </w:rPr>
        <w:t> </w:t>
      </w:r>
      <w:r>
        <w:rPr>
          <w:sz w:val="22"/>
        </w:rPr>
        <w:t>del</w:t>
      </w:r>
      <w:r>
        <w:rPr>
          <w:spacing w:val="-2"/>
          <w:sz w:val="22"/>
        </w:rPr>
        <w:t> </w:t>
      </w:r>
      <w:r>
        <w:rPr>
          <w:sz w:val="22"/>
        </w:rPr>
        <w:t>artículo 2, se argumenta, de manera general, lo siguiente:</w:t>
      </w:r>
    </w:p>
    <w:p>
      <w:pPr>
        <w:pStyle w:val="BodyText"/>
        <w:spacing w:before="1"/>
      </w:pPr>
    </w:p>
    <w:p>
      <w:pPr>
        <w:pStyle w:val="ListParagraph"/>
        <w:numPr>
          <w:ilvl w:val="0"/>
          <w:numId w:val="84"/>
        </w:numPr>
        <w:tabs>
          <w:tab w:pos="1560" w:val="left" w:leader="none"/>
          <w:tab w:pos="1562" w:val="left" w:leader="none"/>
        </w:tabs>
        <w:spacing w:line="240" w:lineRule="auto" w:before="0" w:after="0"/>
        <w:ind w:left="1562" w:right="982" w:hanging="360"/>
        <w:jc w:val="left"/>
        <w:rPr>
          <w:sz w:val="22"/>
        </w:rPr>
      </w:pPr>
      <w:r>
        <w:rPr>
          <w:sz w:val="22"/>
        </w:rPr>
        <w:t>Garantizar</w:t>
      </w:r>
      <w:r>
        <w:rPr>
          <w:spacing w:val="40"/>
          <w:sz w:val="22"/>
        </w:rPr>
        <w:t> </w:t>
      </w:r>
      <w:r>
        <w:rPr>
          <w:sz w:val="22"/>
        </w:rPr>
        <w:t>el</w:t>
      </w:r>
      <w:r>
        <w:rPr>
          <w:spacing w:val="40"/>
          <w:sz w:val="22"/>
        </w:rPr>
        <w:t> </w:t>
      </w:r>
      <w:r>
        <w:rPr>
          <w:sz w:val="22"/>
        </w:rPr>
        <w:t>equilibrio</w:t>
      </w:r>
      <w:r>
        <w:rPr>
          <w:spacing w:val="40"/>
          <w:sz w:val="22"/>
        </w:rPr>
        <w:t> </w:t>
      </w:r>
      <w:r>
        <w:rPr>
          <w:sz w:val="22"/>
        </w:rPr>
        <w:t>en</w:t>
      </w:r>
      <w:r>
        <w:rPr>
          <w:spacing w:val="40"/>
          <w:sz w:val="22"/>
        </w:rPr>
        <w:t> </w:t>
      </w:r>
      <w:r>
        <w:rPr>
          <w:sz w:val="22"/>
        </w:rPr>
        <w:t>las</w:t>
      </w:r>
      <w:r>
        <w:rPr>
          <w:spacing w:val="40"/>
          <w:sz w:val="22"/>
        </w:rPr>
        <w:t> </w:t>
      </w:r>
      <w:r>
        <w:rPr>
          <w:sz w:val="22"/>
        </w:rPr>
        <w:t>condiciones</w:t>
      </w:r>
      <w:r>
        <w:rPr>
          <w:spacing w:val="40"/>
          <w:sz w:val="22"/>
        </w:rPr>
        <w:t> </w:t>
      </w:r>
      <w:r>
        <w:rPr>
          <w:sz w:val="22"/>
        </w:rPr>
        <w:t>de</w:t>
      </w:r>
      <w:r>
        <w:rPr>
          <w:spacing w:val="40"/>
          <w:sz w:val="22"/>
        </w:rPr>
        <w:t> </w:t>
      </w:r>
      <w:r>
        <w:rPr>
          <w:sz w:val="22"/>
        </w:rPr>
        <w:t>competencia</w:t>
      </w:r>
      <w:r>
        <w:rPr>
          <w:spacing w:val="40"/>
          <w:sz w:val="22"/>
        </w:rPr>
        <w:t> </w:t>
      </w:r>
      <w:r>
        <w:rPr>
          <w:sz w:val="22"/>
        </w:rPr>
        <w:t>entre</w:t>
      </w:r>
      <w:r>
        <w:rPr>
          <w:spacing w:val="40"/>
          <w:sz w:val="22"/>
        </w:rPr>
        <w:t> </w:t>
      </w:r>
      <w:r>
        <w:rPr>
          <w:sz w:val="22"/>
        </w:rPr>
        <w:t>la</w:t>
      </w:r>
      <w:r>
        <w:rPr>
          <w:spacing w:val="40"/>
          <w:sz w:val="22"/>
        </w:rPr>
        <w:t> </w:t>
      </w:r>
      <w:r>
        <w:rPr>
          <w:sz w:val="22"/>
        </w:rPr>
        <w:t>producción nacional y las importaciones.</w:t>
      </w:r>
    </w:p>
    <w:p>
      <w:pPr>
        <w:pStyle w:val="ListParagraph"/>
        <w:numPr>
          <w:ilvl w:val="0"/>
          <w:numId w:val="84"/>
        </w:numPr>
        <w:tabs>
          <w:tab w:pos="1560" w:val="left" w:leader="none"/>
        </w:tabs>
        <w:spacing w:line="252" w:lineRule="exact" w:before="1" w:after="0"/>
        <w:ind w:left="1560" w:right="0" w:hanging="358"/>
        <w:jc w:val="left"/>
        <w:rPr>
          <w:sz w:val="22"/>
        </w:rPr>
      </w:pPr>
      <w:r>
        <w:rPr>
          <w:sz w:val="22"/>
        </w:rPr>
        <w:t>Salvaguardar</w:t>
      </w:r>
      <w:r>
        <w:rPr>
          <w:spacing w:val="-5"/>
          <w:sz w:val="22"/>
        </w:rPr>
        <w:t> </w:t>
      </w:r>
      <w:r>
        <w:rPr>
          <w:sz w:val="22"/>
        </w:rPr>
        <w:t>las</w:t>
      </w:r>
      <w:r>
        <w:rPr>
          <w:spacing w:val="-7"/>
          <w:sz w:val="22"/>
        </w:rPr>
        <w:t> </w:t>
      </w:r>
      <w:r>
        <w:rPr>
          <w:sz w:val="22"/>
        </w:rPr>
        <w:t>ramas</w:t>
      </w:r>
      <w:r>
        <w:rPr>
          <w:spacing w:val="-8"/>
          <w:sz w:val="22"/>
        </w:rPr>
        <w:t> </w:t>
      </w:r>
      <w:r>
        <w:rPr>
          <w:sz w:val="22"/>
        </w:rPr>
        <w:t>de</w:t>
      </w:r>
      <w:r>
        <w:rPr>
          <w:spacing w:val="-5"/>
          <w:sz w:val="22"/>
        </w:rPr>
        <w:t> </w:t>
      </w:r>
      <w:r>
        <w:rPr>
          <w:sz w:val="22"/>
        </w:rPr>
        <w:t>producción</w:t>
      </w:r>
      <w:r>
        <w:rPr>
          <w:spacing w:val="-7"/>
          <w:sz w:val="22"/>
        </w:rPr>
        <w:t> </w:t>
      </w:r>
      <w:r>
        <w:rPr>
          <w:spacing w:val="-2"/>
          <w:sz w:val="22"/>
        </w:rPr>
        <w:t>nacional.</w:t>
      </w:r>
    </w:p>
    <w:p>
      <w:pPr>
        <w:pStyle w:val="ListParagraph"/>
        <w:numPr>
          <w:ilvl w:val="0"/>
          <w:numId w:val="84"/>
        </w:numPr>
        <w:tabs>
          <w:tab w:pos="1561" w:val="left" w:leader="none"/>
        </w:tabs>
        <w:spacing w:line="252" w:lineRule="exact" w:before="0" w:after="0"/>
        <w:ind w:left="1561" w:right="0" w:hanging="359"/>
        <w:jc w:val="left"/>
        <w:rPr>
          <w:sz w:val="22"/>
        </w:rPr>
      </w:pPr>
      <w:r>
        <w:rPr>
          <w:sz w:val="22"/>
        </w:rPr>
        <w:t>Proteger</w:t>
      </w:r>
      <w:r>
        <w:rPr>
          <w:spacing w:val="-16"/>
          <w:sz w:val="22"/>
        </w:rPr>
        <w:t> </w:t>
      </w:r>
      <w:r>
        <w:rPr>
          <w:sz w:val="22"/>
        </w:rPr>
        <w:t>la</w:t>
      </w:r>
      <w:r>
        <w:rPr>
          <w:spacing w:val="-13"/>
          <w:sz w:val="22"/>
        </w:rPr>
        <w:t> </w:t>
      </w:r>
      <w:r>
        <w:rPr>
          <w:sz w:val="22"/>
        </w:rPr>
        <w:t>seguridad</w:t>
      </w:r>
      <w:r>
        <w:rPr>
          <w:spacing w:val="-14"/>
          <w:sz w:val="22"/>
        </w:rPr>
        <w:t> </w:t>
      </w:r>
      <w:r>
        <w:rPr>
          <w:sz w:val="22"/>
        </w:rPr>
        <w:t>alimentaria</w:t>
      </w:r>
      <w:r>
        <w:rPr>
          <w:spacing w:val="-13"/>
          <w:sz w:val="22"/>
        </w:rPr>
        <w:t> </w:t>
      </w:r>
      <w:r>
        <w:rPr>
          <w:sz w:val="22"/>
        </w:rPr>
        <w:t>y</w:t>
      </w:r>
      <w:r>
        <w:rPr>
          <w:spacing w:val="-12"/>
          <w:sz w:val="22"/>
        </w:rPr>
        <w:t> </w:t>
      </w:r>
      <w:r>
        <w:rPr>
          <w:sz w:val="22"/>
        </w:rPr>
        <w:t>el</w:t>
      </w:r>
      <w:r>
        <w:rPr>
          <w:spacing w:val="-14"/>
          <w:sz w:val="22"/>
        </w:rPr>
        <w:t> </w:t>
      </w:r>
      <w:r>
        <w:rPr>
          <w:sz w:val="22"/>
        </w:rPr>
        <w:t>funcionamiento</w:t>
      </w:r>
      <w:r>
        <w:rPr>
          <w:spacing w:val="-13"/>
          <w:sz w:val="22"/>
        </w:rPr>
        <w:t> </w:t>
      </w:r>
      <w:r>
        <w:rPr>
          <w:sz w:val="22"/>
        </w:rPr>
        <w:t>eficiente</w:t>
      </w:r>
      <w:r>
        <w:rPr>
          <w:spacing w:val="-15"/>
          <w:sz w:val="22"/>
        </w:rPr>
        <w:t> </w:t>
      </w:r>
      <w:r>
        <w:rPr>
          <w:sz w:val="22"/>
        </w:rPr>
        <w:t>del</w:t>
      </w:r>
      <w:r>
        <w:rPr>
          <w:spacing w:val="-13"/>
          <w:sz w:val="22"/>
        </w:rPr>
        <w:t> </w:t>
      </w:r>
      <w:r>
        <w:rPr>
          <w:sz w:val="22"/>
        </w:rPr>
        <w:t>mercado</w:t>
      </w:r>
      <w:r>
        <w:rPr>
          <w:spacing w:val="-13"/>
          <w:sz w:val="22"/>
        </w:rPr>
        <w:t> </w:t>
      </w:r>
      <w:r>
        <w:rPr>
          <w:spacing w:val="-2"/>
          <w:sz w:val="22"/>
        </w:rPr>
        <w:t>interno.</w:t>
      </w:r>
    </w:p>
    <w:p>
      <w:pPr>
        <w:pStyle w:val="ListParagraph"/>
        <w:numPr>
          <w:ilvl w:val="0"/>
          <w:numId w:val="84"/>
        </w:numPr>
        <w:tabs>
          <w:tab w:pos="1560" w:val="left" w:leader="none"/>
        </w:tabs>
        <w:spacing w:line="252" w:lineRule="exact" w:before="0" w:after="0"/>
        <w:ind w:left="1560" w:right="0" w:hanging="358"/>
        <w:jc w:val="left"/>
        <w:rPr>
          <w:sz w:val="22"/>
        </w:rPr>
      </w:pPr>
      <w:r>
        <w:rPr>
          <w:sz w:val="22"/>
        </w:rPr>
        <w:t>Contrabando</w:t>
      </w:r>
      <w:r>
        <w:rPr>
          <w:spacing w:val="-8"/>
          <w:sz w:val="22"/>
        </w:rPr>
        <w:t> </w:t>
      </w:r>
      <w:r>
        <w:rPr>
          <w:sz w:val="22"/>
        </w:rPr>
        <w:t>y</w:t>
      </w:r>
      <w:r>
        <w:rPr>
          <w:spacing w:val="-5"/>
          <w:sz w:val="22"/>
        </w:rPr>
        <w:t> </w:t>
      </w:r>
      <w:r>
        <w:rPr>
          <w:sz w:val="22"/>
        </w:rPr>
        <w:t>comercio</w:t>
      </w:r>
      <w:r>
        <w:rPr>
          <w:spacing w:val="-6"/>
          <w:sz w:val="22"/>
        </w:rPr>
        <w:t> </w:t>
      </w:r>
      <w:r>
        <w:rPr>
          <w:spacing w:val="-2"/>
          <w:sz w:val="22"/>
        </w:rPr>
        <w:t>informal.</w:t>
      </w:r>
    </w:p>
    <w:p>
      <w:pPr>
        <w:pStyle w:val="BodyText"/>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A efectos de proporcionar un mayor detalle respecto del conjunto de productos comprendidos en la medida, la Tabla No. 5. contiene un resumen de los argumentos expuestos en el Decreto 0170, correspondientes a cada uno de los productos allí </w:t>
      </w:r>
      <w:r>
        <w:rPr>
          <w:spacing w:val="-2"/>
          <w:sz w:val="22"/>
        </w:rPr>
        <w:t>señalados.</w:t>
      </w:r>
    </w:p>
    <w:p>
      <w:pPr>
        <w:pStyle w:val="BodyText"/>
      </w:pPr>
    </w:p>
    <w:p>
      <w:pPr>
        <w:pStyle w:val="Heading6"/>
        <w:ind w:right="411"/>
        <w:jc w:val="center"/>
      </w:pPr>
      <w:r>
        <w:rPr/>
        <w:t>Tabla</w:t>
      </w:r>
      <w:r>
        <w:rPr>
          <w:spacing w:val="-2"/>
        </w:rPr>
        <w:t> </w:t>
      </w:r>
      <w:r>
        <w:rPr/>
        <w:t>No.</w:t>
      </w:r>
      <w:r>
        <w:rPr>
          <w:spacing w:val="-2"/>
        </w:rPr>
        <w:t> </w:t>
      </w:r>
      <w:r>
        <w:rPr>
          <w:spacing w:val="-10"/>
        </w:rPr>
        <w:t>5</w:t>
      </w:r>
    </w:p>
    <w:p>
      <w:pPr>
        <w:spacing w:before="2"/>
        <w:ind w:left="2339" w:right="2753" w:firstLine="0"/>
        <w:jc w:val="center"/>
        <w:rPr>
          <w:rFonts w:ascii="Arial" w:hAnsi="Arial"/>
          <w:b/>
          <w:sz w:val="22"/>
        </w:rPr>
      </w:pPr>
      <w:r>
        <w:rPr>
          <w:rFonts w:ascii="Arial" w:hAnsi="Arial"/>
          <w:b/>
          <w:sz w:val="22"/>
        </w:rPr>
        <w:t>Productos</w:t>
      </w:r>
      <w:r>
        <w:rPr>
          <w:rFonts w:ascii="Arial" w:hAnsi="Arial"/>
          <w:b/>
          <w:spacing w:val="-5"/>
          <w:sz w:val="22"/>
        </w:rPr>
        <w:t> </w:t>
      </w:r>
      <w:r>
        <w:rPr>
          <w:rFonts w:ascii="Arial" w:hAnsi="Arial"/>
          <w:b/>
          <w:sz w:val="22"/>
        </w:rPr>
        <w:t>incluidos</w:t>
      </w:r>
      <w:r>
        <w:rPr>
          <w:rFonts w:ascii="Arial" w:hAnsi="Arial"/>
          <w:b/>
          <w:spacing w:val="-3"/>
          <w:sz w:val="22"/>
        </w:rPr>
        <w:t> </w:t>
      </w:r>
      <w:r>
        <w:rPr>
          <w:rFonts w:ascii="Arial" w:hAnsi="Arial"/>
          <w:b/>
          <w:sz w:val="22"/>
        </w:rPr>
        <w:t>en</w:t>
      </w:r>
      <w:r>
        <w:rPr>
          <w:rFonts w:ascii="Arial" w:hAnsi="Arial"/>
          <w:b/>
          <w:spacing w:val="-5"/>
          <w:sz w:val="22"/>
        </w:rPr>
        <w:t> </w:t>
      </w:r>
      <w:r>
        <w:rPr>
          <w:rFonts w:ascii="Arial" w:hAnsi="Arial"/>
          <w:b/>
          <w:sz w:val="22"/>
        </w:rPr>
        <w:t>el</w:t>
      </w:r>
      <w:r>
        <w:rPr>
          <w:rFonts w:ascii="Arial" w:hAnsi="Arial"/>
          <w:b/>
          <w:spacing w:val="-4"/>
          <w:sz w:val="22"/>
        </w:rPr>
        <w:t> </w:t>
      </w:r>
      <w:r>
        <w:rPr>
          <w:rFonts w:ascii="Arial" w:hAnsi="Arial"/>
          <w:b/>
          <w:sz w:val="22"/>
        </w:rPr>
        <w:t>artículo</w:t>
      </w:r>
      <w:r>
        <w:rPr>
          <w:rFonts w:ascii="Arial" w:hAnsi="Arial"/>
          <w:b/>
          <w:spacing w:val="-5"/>
          <w:sz w:val="22"/>
        </w:rPr>
        <w:t> </w:t>
      </w:r>
      <w:r>
        <w:rPr>
          <w:rFonts w:ascii="Arial" w:hAnsi="Arial"/>
          <w:b/>
          <w:sz w:val="22"/>
        </w:rPr>
        <w:t>2</w:t>
      </w:r>
      <w:r>
        <w:rPr>
          <w:rFonts w:ascii="Arial" w:hAnsi="Arial"/>
          <w:b/>
          <w:spacing w:val="-5"/>
          <w:sz w:val="22"/>
        </w:rPr>
        <w:t> </w:t>
      </w:r>
      <w:r>
        <w:rPr>
          <w:rFonts w:ascii="Arial" w:hAnsi="Arial"/>
          <w:b/>
          <w:sz w:val="22"/>
        </w:rPr>
        <w:t>del</w:t>
      </w:r>
      <w:r>
        <w:rPr>
          <w:rFonts w:ascii="Arial" w:hAnsi="Arial"/>
          <w:b/>
          <w:spacing w:val="-4"/>
          <w:sz w:val="22"/>
        </w:rPr>
        <w:t> </w:t>
      </w:r>
      <w:r>
        <w:rPr>
          <w:rFonts w:ascii="Arial" w:hAnsi="Arial"/>
          <w:b/>
          <w:sz w:val="22"/>
        </w:rPr>
        <w:t>Decreto</w:t>
      </w:r>
      <w:r>
        <w:rPr>
          <w:rFonts w:ascii="Arial" w:hAnsi="Arial"/>
          <w:b/>
          <w:spacing w:val="-3"/>
          <w:sz w:val="22"/>
        </w:rPr>
        <w:t> </w:t>
      </w:r>
      <w:r>
        <w:rPr>
          <w:rFonts w:ascii="Arial" w:hAnsi="Arial"/>
          <w:b/>
          <w:sz w:val="22"/>
        </w:rPr>
        <w:t>0170 Resumen de argumentos</w:t>
      </w:r>
    </w:p>
    <w:tbl>
      <w:tblPr>
        <w:tblW w:w="0" w:type="auto"/>
        <w:jc w:val="left"/>
        <w:tblInd w:w="7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97"/>
        <w:gridCol w:w="1771"/>
        <w:gridCol w:w="5439"/>
      </w:tblGrid>
      <w:tr>
        <w:trPr>
          <w:trHeight w:val="414" w:hRule="atLeast"/>
        </w:trPr>
        <w:tc>
          <w:tcPr>
            <w:tcW w:w="2597" w:type="dxa"/>
            <w:shd w:val="clear" w:color="auto" w:fill="D1D1D1"/>
          </w:tcPr>
          <w:p>
            <w:pPr>
              <w:pStyle w:val="TableParagraph"/>
              <w:spacing w:line="206" w:lineRule="exact"/>
              <w:ind w:left="659" w:right="100" w:hanging="540"/>
              <w:rPr>
                <w:rFonts w:ascii="Arial"/>
                <w:b/>
                <w:sz w:val="18"/>
              </w:rPr>
            </w:pPr>
            <w:r>
              <w:rPr>
                <w:rFonts w:ascii="Arial"/>
                <w:b/>
                <w:sz w:val="18"/>
              </w:rPr>
              <w:t>PRODUCTO</w:t>
            </w:r>
            <w:r>
              <w:rPr>
                <w:rFonts w:ascii="Arial"/>
                <w:b/>
                <w:spacing w:val="-13"/>
                <w:sz w:val="18"/>
              </w:rPr>
              <w:t> </w:t>
            </w:r>
            <w:r>
              <w:rPr>
                <w:rFonts w:ascii="Arial"/>
                <w:b/>
                <w:sz w:val="18"/>
              </w:rPr>
              <w:t>REFERENCIAL DECRETO 0170</w:t>
            </w:r>
          </w:p>
        </w:tc>
        <w:tc>
          <w:tcPr>
            <w:tcW w:w="1771" w:type="dxa"/>
            <w:shd w:val="clear" w:color="auto" w:fill="D1D1D1"/>
          </w:tcPr>
          <w:p>
            <w:pPr>
              <w:pStyle w:val="TableParagraph"/>
              <w:spacing w:line="206" w:lineRule="exact"/>
              <w:ind w:left="235" w:firstLine="249"/>
              <w:rPr>
                <w:rFonts w:ascii="Arial" w:hAnsi="Arial"/>
                <w:b/>
                <w:sz w:val="18"/>
              </w:rPr>
            </w:pPr>
            <w:r>
              <w:rPr>
                <w:rFonts w:ascii="Arial" w:hAnsi="Arial"/>
                <w:b/>
                <w:spacing w:val="-2"/>
                <w:sz w:val="18"/>
              </w:rPr>
              <w:t>NÚMERO SUBPARTIDAS</w:t>
            </w:r>
          </w:p>
        </w:tc>
        <w:tc>
          <w:tcPr>
            <w:tcW w:w="5439" w:type="dxa"/>
            <w:shd w:val="clear" w:color="auto" w:fill="D1D1D1"/>
          </w:tcPr>
          <w:p>
            <w:pPr>
              <w:pStyle w:val="TableParagraph"/>
              <w:spacing w:before="104"/>
              <w:ind w:left="1438"/>
              <w:rPr>
                <w:rFonts w:ascii="Arial"/>
                <w:b/>
                <w:sz w:val="18"/>
              </w:rPr>
            </w:pPr>
            <w:r>
              <w:rPr>
                <w:rFonts w:ascii="Arial"/>
                <w:b/>
                <w:sz w:val="18"/>
              </w:rPr>
              <w:t>ARGUMENTO</w:t>
            </w:r>
            <w:r>
              <w:rPr>
                <w:rFonts w:ascii="Arial"/>
                <w:b/>
                <w:spacing w:val="-5"/>
                <w:sz w:val="18"/>
              </w:rPr>
              <w:t> </w:t>
            </w:r>
            <w:r>
              <w:rPr>
                <w:rFonts w:ascii="Arial"/>
                <w:b/>
                <w:sz w:val="18"/>
              </w:rPr>
              <w:t>DECRETO</w:t>
            </w:r>
            <w:r>
              <w:rPr>
                <w:rFonts w:ascii="Arial"/>
                <w:b/>
                <w:spacing w:val="-3"/>
                <w:sz w:val="18"/>
              </w:rPr>
              <w:t> </w:t>
            </w:r>
            <w:r>
              <w:rPr>
                <w:rFonts w:ascii="Arial"/>
                <w:b/>
                <w:spacing w:val="-4"/>
                <w:sz w:val="18"/>
              </w:rPr>
              <w:t>0170</w:t>
            </w:r>
          </w:p>
        </w:tc>
      </w:tr>
      <w:tr>
        <w:trPr>
          <w:trHeight w:val="205" w:hRule="atLeast"/>
        </w:trPr>
        <w:tc>
          <w:tcPr>
            <w:tcW w:w="2597" w:type="dxa"/>
          </w:tcPr>
          <w:p>
            <w:pPr>
              <w:pStyle w:val="TableParagraph"/>
              <w:spacing w:line="186" w:lineRule="exact"/>
              <w:ind w:left="71"/>
              <w:rPr>
                <w:sz w:val="18"/>
              </w:rPr>
            </w:pPr>
            <w:r>
              <w:rPr>
                <w:spacing w:val="-2"/>
                <w:sz w:val="18"/>
              </w:rPr>
              <w:t>Arroz</w:t>
            </w:r>
          </w:p>
        </w:tc>
        <w:tc>
          <w:tcPr>
            <w:tcW w:w="1771" w:type="dxa"/>
          </w:tcPr>
          <w:p>
            <w:pPr>
              <w:pStyle w:val="TableParagraph"/>
              <w:spacing w:line="186" w:lineRule="exact"/>
              <w:ind w:right="823"/>
              <w:jc w:val="right"/>
              <w:rPr>
                <w:sz w:val="18"/>
              </w:rPr>
            </w:pPr>
            <w:r>
              <w:rPr>
                <w:spacing w:val="-10"/>
                <w:sz w:val="18"/>
              </w:rPr>
              <w:t>6</w:t>
            </w:r>
          </w:p>
        </w:tc>
        <w:tc>
          <w:tcPr>
            <w:tcW w:w="5439" w:type="dxa"/>
          </w:tcPr>
          <w:p>
            <w:pPr>
              <w:pStyle w:val="TableParagraph"/>
              <w:spacing w:line="186" w:lineRule="exact"/>
              <w:ind w:left="70"/>
              <w:rPr>
                <w:sz w:val="18"/>
              </w:rPr>
            </w:pPr>
            <w:r>
              <w:rPr>
                <w:sz w:val="18"/>
                <w:u w:val="single"/>
              </w:rPr>
              <w:t>Contrabando</w:t>
            </w:r>
            <w:r>
              <w:rPr>
                <w:sz w:val="18"/>
              </w:rPr>
              <w:t>,</w:t>
            </w:r>
            <w:r>
              <w:rPr>
                <w:spacing w:val="-6"/>
                <w:sz w:val="18"/>
              </w:rPr>
              <w:t> </w:t>
            </w:r>
            <w:r>
              <w:rPr>
                <w:sz w:val="18"/>
              </w:rPr>
              <w:t>incremento</w:t>
            </w:r>
            <w:r>
              <w:rPr>
                <w:spacing w:val="-5"/>
                <w:sz w:val="18"/>
              </w:rPr>
              <w:t> </w:t>
            </w:r>
            <w:r>
              <w:rPr>
                <w:sz w:val="18"/>
              </w:rPr>
              <w:t>inventarios,</w:t>
            </w:r>
            <w:r>
              <w:rPr>
                <w:spacing w:val="-6"/>
                <w:sz w:val="18"/>
              </w:rPr>
              <w:t> </w:t>
            </w:r>
            <w:r>
              <w:rPr>
                <w:sz w:val="18"/>
              </w:rPr>
              <w:t>subsidios</w:t>
            </w:r>
            <w:r>
              <w:rPr>
                <w:spacing w:val="-5"/>
                <w:sz w:val="18"/>
              </w:rPr>
              <w:t> </w:t>
            </w:r>
            <w:r>
              <w:rPr>
                <w:spacing w:val="-2"/>
                <w:sz w:val="18"/>
              </w:rPr>
              <w:t>Ecuador</w:t>
            </w:r>
          </w:p>
        </w:tc>
      </w:tr>
      <w:tr>
        <w:trPr>
          <w:trHeight w:val="414" w:hRule="atLeast"/>
        </w:trPr>
        <w:tc>
          <w:tcPr>
            <w:tcW w:w="2597" w:type="dxa"/>
          </w:tcPr>
          <w:p>
            <w:pPr>
              <w:pStyle w:val="TableParagraph"/>
              <w:spacing w:before="104"/>
              <w:ind w:left="71"/>
              <w:rPr>
                <w:sz w:val="18"/>
              </w:rPr>
            </w:pPr>
            <w:r>
              <w:rPr>
                <w:sz w:val="18"/>
              </w:rPr>
              <w:t>Plátanos</w:t>
            </w:r>
            <w:r>
              <w:rPr>
                <w:spacing w:val="-5"/>
                <w:sz w:val="18"/>
              </w:rPr>
              <w:t> </w:t>
            </w:r>
            <w:r>
              <w:rPr>
                <w:spacing w:val="-2"/>
                <w:sz w:val="18"/>
              </w:rPr>
              <w:t>frescos</w:t>
            </w:r>
          </w:p>
        </w:tc>
        <w:tc>
          <w:tcPr>
            <w:tcW w:w="1771" w:type="dxa"/>
          </w:tcPr>
          <w:p>
            <w:pPr>
              <w:pStyle w:val="TableParagraph"/>
              <w:spacing w:before="104"/>
              <w:ind w:right="823"/>
              <w:jc w:val="right"/>
              <w:rPr>
                <w:sz w:val="18"/>
              </w:rPr>
            </w:pPr>
            <w:r>
              <w:rPr>
                <w:spacing w:val="-10"/>
                <w:sz w:val="18"/>
              </w:rPr>
              <w:t>1</w:t>
            </w:r>
          </w:p>
        </w:tc>
        <w:tc>
          <w:tcPr>
            <w:tcW w:w="5439" w:type="dxa"/>
          </w:tcPr>
          <w:p>
            <w:pPr>
              <w:pStyle w:val="TableParagraph"/>
              <w:spacing w:line="206" w:lineRule="exact"/>
              <w:ind w:left="70" w:right="57"/>
              <w:rPr>
                <w:sz w:val="18"/>
              </w:rPr>
            </w:pPr>
            <w:r>
              <w:rPr>
                <w:sz w:val="18"/>
              </w:rPr>
              <w:t>Incremento</w:t>
            </w:r>
            <w:r>
              <w:rPr>
                <w:spacing w:val="-13"/>
                <w:sz w:val="18"/>
              </w:rPr>
              <w:t> </w:t>
            </w:r>
            <w:r>
              <w:rPr>
                <w:sz w:val="18"/>
              </w:rPr>
              <w:t>riesgo</w:t>
            </w:r>
            <w:r>
              <w:rPr>
                <w:spacing w:val="-12"/>
                <w:sz w:val="18"/>
              </w:rPr>
              <w:t> </w:t>
            </w:r>
            <w:r>
              <w:rPr>
                <w:sz w:val="18"/>
              </w:rPr>
              <w:t>de</w:t>
            </w:r>
            <w:r>
              <w:rPr>
                <w:spacing w:val="-13"/>
                <w:sz w:val="18"/>
              </w:rPr>
              <w:t> </w:t>
            </w:r>
            <w:r>
              <w:rPr>
                <w:sz w:val="18"/>
              </w:rPr>
              <w:t>plagas:</w:t>
            </w:r>
            <w:r>
              <w:rPr>
                <w:spacing w:val="-12"/>
                <w:sz w:val="18"/>
              </w:rPr>
              <w:t> </w:t>
            </w:r>
            <w:r>
              <w:rPr>
                <w:sz w:val="18"/>
              </w:rPr>
              <w:t>fusarium</w:t>
            </w:r>
            <w:r>
              <w:rPr>
                <w:spacing w:val="-13"/>
                <w:sz w:val="18"/>
              </w:rPr>
              <w:t> </w:t>
            </w:r>
            <w:r>
              <w:rPr>
                <w:sz w:val="18"/>
              </w:rPr>
              <w:t>y</w:t>
            </w:r>
            <w:r>
              <w:rPr>
                <w:spacing w:val="-13"/>
                <w:sz w:val="18"/>
              </w:rPr>
              <w:t> </w:t>
            </w:r>
            <w:r>
              <w:rPr>
                <w:sz w:val="18"/>
              </w:rPr>
              <w:t>moko</w:t>
            </w:r>
            <w:r>
              <w:rPr>
                <w:spacing w:val="-12"/>
                <w:sz w:val="18"/>
              </w:rPr>
              <w:t> </w:t>
            </w:r>
            <w:r>
              <w:rPr>
                <w:sz w:val="18"/>
              </w:rPr>
              <w:t>bacteriano,</w:t>
            </w:r>
            <w:r>
              <w:rPr>
                <w:spacing w:val="-13"/>
                <w:sz w:val="18"/>
              </w:rPr>
              <w:t> </w:t>
            </w:r>
            <w:r>
              <w:rPr>
                <w:sz w:val="18"/>
              </w:rPr>
              <w:t>mercado sensible, </w:t>
            </w:r>
            <w:r>
              <w:rPr>
                <w:sz w:val="18"/>
                <w:u w:val="single"/>
              </w:rPr>
              <w:t>contrabando</w:t>
            </w:r>
          </w:p>
        </w:tc>
      </w:tr>
      <w:tr>
        <w:trPr>
          <w:trHeight w:val="208" w:hRule="atLeast"/>
        </w:trPr>
        <w:tc>
          <w:tcPr>
            <w:tcW w:w="2597" w:type="dxa"/>
          </w:tcPr>
          <w:p>
            <w:pPr>
              <w:pStyle w:val="TableParagraph"/>
              <w:spacing w:line="188" w:lineRule="exact"/>
              <w:ind w:left="71"/>
              <w:rPr>
                <w:sz w:val="18"/>
              </w:rPr>
            </w:pPr>
            <w:r>
              <w:rPr>
                <w:sz w:val="18"/>
              </w:rPr>
              <w:t>Plátanos</w:t>
            </w:r>
            <w:r>
              <w:rPr>
                <w:spacing w:val="-5"/>
                <w:sz w:val="18"/>
              </w:rPr>
              <w:t> </w:t>
            </w:r>
            <w:r>
              <w:rPr>
                <w:spacing w:val="-2"/>
                <w:sz w:val="18"/>
              </w:rPr>
              <w:t>secos</w:t>
            </w:r>
          </w:p>
        </w:tc>
        <w:tc>
          <w:tcPr>
            <w:tcW w:w="1771" w:type="dxa"/>
          </w:tcPr>
          <w:p>
            <w:pPr>
              <w:pStyle w:val="TableParagraph"/>
              <w:spacing w:line="188" w:lineRule="exact"/>
              <w:ind w:right="823"/>
              <w:jc w:val="right"/>
              <w:rPr>
                <w:sz w:val="18"/>
              </w:rPr>
            </w:pPr>
            <w:r>
              <w:rPr>
                <w:spacing w:val="-10"/>
                <w:sz w:val="18"/>
              </w:rPr>
              <w:t>1</w:t>
            </w:r>
          </w:p>
        </w:tc>
        <w:tc>
          <w:tcPr>
            <w:tcW w:w="5439" w:type="dxa"/>
          </w:tcPr>
          <w:p>
            <w:pPr>
              <w:pStyle w:val="TableParagraph"/>
              <w:spacing w:line="188" w:lineRule="exact"/>
              <w:ind w:left="70"/>
              <w:rPr>
                <w:sz w:val="18"/>
              </w:rPr>
            </w:pPr>
            <w:r>
              <w:rPr>
                <w:sz w:val="18"/>
                <w:u w:val="single"/>
              </w:rPr>
              <w:t>Contrabando</w:t>
            </w:r>
            <w:r>
              <w:rPr>
                <w:spacing w:val="-6"/>
                <w:sz w:val="18"/>
              </w:rPr>
              <w:t> </w:t>
            </w:r>
            <w:r>
              <w:rPr>
                <w:sz w:val="18"/>
              </w:rPr>
              <w:t>y</w:t>
            </w:r>
            <w:r>
              <w:rPr>
                <w:spacing w:val="-5"/>
                <w:sz w:val="18"/>
              </w:rPr>
              <w:t> </w:t>
            </w:r>
            <w:r>
              <w:rPr>
                <w:sz w:val="18"/>
              </w:rPr>
              <w:t>comercialización</w:t>
            </w:r>
            <w:r>
              <w:rPr>
                <w:spacing w:val="-4"/>
                <w:sz w:val="18"/>
              </w:rPr>
              <w:t> </w:t>
            </w:r>
            <w:r>
              <w:rPr>
                <w:spacing w:val="-2"/>
                <w:sz w:val="18"/>
              </w:rPr>
              <w:t>informal</w:t>
            </w:r>
          </w:p>
        </w:tc>
      </w:tr>
      <w:tr>
        <w:trPr>
          <w:trHeight w:val="206" w:hRule="atLeast"/>
        </w:trPr>
        <w:tc>
          <w:tcPr>
            <w:tcW w:w="2597" w:type="dxa"/>
          </w:tcPr>
          <w:p>
            <w:pPr>
              <w:pStyle w:val="TableParagraph"/>
              <w:spacing w:line="186" w:lineRule="exact"/>
              <w:ind w:left="71"/>
              <w:rPr>
                <w:sz w:val="18"/>
              </w:rPr>
            </w:pPr>
            <w:r>
              <w:rPr>
                <w:sz w:val="18"/>
              </w:rPr>
              <w:t>Banano</w:t>
            </w:r>
            <w:r>
              <w:rPr>
                <w:spacing w:val="-4"/>
                <w:sz w:val="18"/>
              </w:rPr>
              <w:t> </w:t>
            </w:r>
            <w:r>
              <w:rPr>
                <w:sz w:val="18"/>
              </w:rPr>
              <w:t>bocadillo</w:t>
            </w:r>
            <w:r>
              <w:rPr>
                <w:spacing w:val="-4"/>
                <w:sz w:val="18"/>
              </w:rPr>
              <w:t> </w:t>
            </w:r>
            <w:r>
              <w:rPr>
                <w:spacing w:val="-2"/>
                <w:sz w:val="18"/>
              </w:rPr>
              <w:t>(orito)</w:t>
            </w:r>
          </w:p>
        </w:tc>
        <w:tc>
          <w:tcPr>
            <w:tcW w:w="1771" w:type="dxa"/>
          </w:tcPr>
          <w:p>
            <w:pPr>
              <w:pStyle w:val="TableParagraph"/>
              <w:spacing w:line="186" w:lineRule="exact"/>
              <w:ind w:right="823"/>
              <w:jc w:val="right"/>
              <w:rPr>
                <w:sz w:val="18"/>
              </w:rPr>
            </w:pPr>
            <w:r>
              <w:rPr>
                <w:spacing w:val="-10"/>
                <w:sz w:val="18"/>
              </w:rPr>
              <w:t>1</w:t>
            </w:r>
          </w:p>
        </w:tc>
        <w:tc>
          <w:tcPr>
            <w:tcW w:w="5439" w:type="dxa"/>
          </w:tcPr>
          <w:p>
            <w:pPr>
              <w:pStyle w:val="TableParagraph"/>
              <w:spacing w:line="186" w:lineRule="exact"/>
              <w:ind w:left="70"/>
              <w:rPr>
                <w:sz w:val="18"/>
              </w:rPr>
            </w:pPr>
            <w:r>
              <w:rPr>
                <w:sz w:val="18"/>
                <w:u w:val="single"/>
              </w:rPr>
              <w:t>Contrabando</w:t>
            </w:r>
            <w:r>
              <w:rPr>
                <w:spacing w:val="-5"/>
                <w:sz w:val="18"/>
              </w:rPr>
              <w:t> </w:t>
            </w:r>
            <w:r>
              <w:rPr>
                <w:sz w:val="18"/>
              </w:rPr>
              <w:t>y</w:t>
            </w:r>
            <w:r>
              <w:rPr>
                <w:spacing w:val="-3"/>
                <w:sz w:val="18"/>
              </w:rPr>
              <w:t> </w:t>
            </w:r>
            <w:r>
              <w:rPr>
                <w:sz w:val="18"/>
              </w:rPr>
              <w:t>riesgos</w:t>
            </w:r>
            <w:r>
              <w:rPr>
                <w:spacing w:val="-4"/>
                <w:sz w:val="18"/>
              </w:rPr>
              <w:t> </w:t>
            </w:r>
            <w:r>
              <w:rPr>
                <w:spacing w:val="-2"/>
                <w:sz w:val="18"/>
              </w:rPr>
              <w:t>fitosanitarios</w:t>
            </w:r>
          </w:p>
        </w:tc>
      </w:tr>
      <w:tr>
        <w:trPr>
          <w:trHeight w:val="205" w:hRule="atLeast"/>
        </w:trPr>
        <w:tc>
          <w:tcPr>
            <w:tcW w:w="2597" w:type="dxa"/>
          </w:tcPr>
          <w:p>
            <w:pPr>
              <w:pStyle w:val="TableParagraph"/>
              <w:spacing w:line="186" w:lineRule="exact"/>
              <w:ind w:left="71"/>
              <w:rPr>
                <w:sz w:val="18"/>
              </w:rPr>
            </w:pPr>
            <w:r>
              <w:rPr>
                <w:sz w:val="18"/>
              </w:rPr>
              <w:t>Aguacate</w:t>
            </w:r>
            <w:r>
              <w:rPr>
                <w:spacing w:val="-6"/>
                <w:sz w:val="18"/>
              </w:rPr>
              <w:t> </w:t>
            </w:r>
            <w:r>
              <w:rPr>
                <w:spacing w:val="-4"/>
                <w:sz w:val="18"/>
              </w:rPr>
              <w:t>Hass</w:t>
            </w:r>
          </w:p>
        </w:tc>
        <w:tc>
          <w:tcPr>
            <w:tcW w:w="1771" w:type="dxa"/>
          </w:tcPr>
          <w:p>
            <w:pPr>
              <w:pStyle w:val="TableParagraph"/>
              <w:spacing w:line="186" w:lineRule="exact"/>
              <w:ind w:right="823"/>
              <w:jc w:val="right"/>
              <w:rPr>
                <w:sz w:val="18"/>
              </w:rPr>
            </w:pPr>
            <w:r>
              <w:rPr>
                <w:spacing w:val="-10"/>
                <w:sz w:val="18"/>
              </w:rPr>
              <w:t>1</w:t>
            </w:r>
          </w:p>
        </w:tc>
        <w:tc>
          <w:tcPr>
            <w:tcW w:w="5439" w:type="dxa"/>
          </w:tcPr>
          <w:p>
            <w:pPr>
              <w:pStyle w:val="TableParagraph"/>
              <w:spacing w:line="186" w:lineRule="exact"/>
              <w:ind w:left="70"/>
              <w:rPr>
                <w:sz w:val="18"/>
              </w:rPr>
            </w:pPr>
            <w:r>
              <w:rPr>
                <w:sz w:val="18"/>
              </w:rPr>
              <w:t>Incremento</w:t>
            </w:r>
            <w:r>
              <w:rPr>
                <w:spacing w:val="-3"/>
                <w:sz w:val="18"/>
              </w:rPr>
              <w:t> </w:t>
            </w:r>
            <w:r>
              <w:rPr>
                <w:sz w:val="18"/>
              </w:rPr>
              <w:t>de</w:t>
            </w:r>
            <w:r>
              <w:rPr>
                <w:spacing w:val="-3"/>
                <w:sz w:val="18"/>
              </w:rPr>
              <w:t> </w:t>
            </w:r>
            <w:r>
              <w:rPr>
                <w:sz w:val="18"/>
              </w:rPr>
              <w:t>riesgo</w:t>
            </w:r>
            <w:r>
              <w:rPr>
                <w:spacing w:val="-4"/>
                <w:sz w:val="18"/>
              </w:rPr>
              <w:t> </w:t>
            </w:r>
            <w:r>
              <w:rPr>
                <w:sz w:val="18"/>
              </w:rPr>
              <w:t>de</w:t>
            </w:r>
            <w:r>
              <w:rPr>
                <w:spacing w:val="-4"/>
                <w:sz w:val="18"/>
              </w:rPr>
              <w:t> </w:t>
            </w:r>
            <w:r>
              <w:rPr>
                <w:sz w:val="18"/>
              </w:rPr>
              <w:t>introducción</w:t>
            </w:r>
            <w:r>
              <w:rPr>
                <w:spacing w:val="-5"/>
                <w:sz w:val="18"/>
              </w:rPr>
              <w:t> </w:t>
            </w:r>
            <w:r>
              <w:rPr>
                <w:sz w:val="18"/>
              </w:rPr>
              <w:t>de</w:t>
            </w:r>
            <w:r>
              <w:rPr>
                <w:spacing w:val="-2"/>
                <w:sz w:val="18"/>
              </w:rPr>
              <w:t> patógenos</w:t>
            </w:r>
          </w:p>
        </w:tc>
      </w:tr>
      <w:tr>
        <w:trPr>
          <w:trHeight w:val="414" w:hRule="atLeast"/>
        </w:trPr>
        <w:tc>
          <w:tcPr>
            <w:tcW w:w="2597" w:type="dxa"/>
          </w:tcPr>
          <w:p>
            <w:pPr>
              <w:pStyle w:val="TableParagraph"/>
              <w:spacing w:before="104"/>
              <w:ind w:left="71"/>
              <w:rPr>
                <w:sz w:val="18"/>
              </w:rPr>
            </w:pPr>
            <w:r>
              <w:rPr>
                <w:sz w:val="18"/>
              </w:rPr>
              <w:t>Coco</w:t>
            </w:r>
            <w:r>
              <w:rPr>
                <w:spacing w:val="-1"/>
                <w:sz w:val="18"/>
              </w:rPr>
              <w:t> </w:t>
            </w:r>
            <w:r>
              <w:rPr>
                <w:sz w:val="18"/>
              </w:rPr>
              <w:t>fresco</w:t>
            </w:r>
            <w:r>
              <w:rPr>
                <w:spacing w:val="-2"/>
                <w:sz w:val="18"/>
              </w:rPr>
              <w:t> </w:t>
            </w:r>
            <w:r>
              <w:rPr>
                <w:sz w:val="18"/>
              </w:rPr>
              <w:t>y</w:t>
            </w:r>
            <w:r>
              <w:rPr>
                <w:spacing w:val="-1"/>
                <w:sz w:val="18"/>
              </w:rPr>
              <w:t> </w:t>
            </w:r>
            <w:r>
              <w:rPr>
                <w:spacing w:val="-2"/>
                <w:sz w:val="18"/>
              </w:rPr>
              <w:t>seco*</w:t>
            </w:r>
          </w:p>
        </w:tc>
        <w:tc>
          <w:tcPr>
            <w:tcW w:w="1771" w:type="dxa"/>
          </w:tcPr>
          <w:p>
            <w:pPr>
              <w:pStyle w:val="TableParagraph"/>
              <w:spacing w:before="104"/>
              <w:ind w:right="823"/>
              <w:jc w:val="right"/>
              <w:rPr>
                <w:sz w:val="18"/>
              </w:rPr>
            </w:pPr>
            <w:r>
              <w:rPr>
                <w:spacing w:val="-10"/>
                <w:sz w:val="18"/>
              </w:rPr>
              <w:t>0</w:t>
            </w:r>
          </w:p>
        </w:tc>
        <w:tc>
          <w:tcPr>
            <w:tcW w:w="5439" w:type="dxa"/>
          </w:tcPr>
          <w:p>
            <w:pPr>
              <w:pStyle w:val="TableParagraph"/>
              <w:spacing w:line="206" w:lineRule="exact"/>
              <w:ind w:left="70"/>
              <w:rPr>
                <w:sz w:val="18"/>
              </w:rPr>
            </w:pPr>
            <w:r>
              <w:rPr>
                <w:sz w:val="18"/>
                <w:u w:val="single"/>
              </w:rPr>
              <w:t>Contrabando</w:t>
            </w:r>
            <w:r>
              <w:rPr>
                <w:sz w:val="18"/>
              </w:rPr>
              <w:t>,</w:t>
            </w:r>
            <w:r>
              <w:rPr>
                <w:spacing w:val="40"/>
                <w:sz w:val="18"/>
              </w:rPr>
              <w:t> </w:t>
            </w:r>
            <w:r>
              <w:rPr>
                <w:sz w:val="18"/>
              </w:rPr>
              <w:t>riesgo</w:t>
            </w:r>
            <w:r>
              <w:rPr>
                <w:spacing w:val="40"/>
                <w:sz w:val="18"/>
              </w:rPr>
              <w:t> </w:t>
            </w:r>
            <w:r>
              <w:rPr>
                <w:sz w:val="18"/>
              </w:rPr>
              <w:t>por</w:t>
            </w:r>
            <w:r>
              <w:rPr>
                <w:spacing w:val="40"/>
                <w:sz w:val="18"/>
              </w:rPr>
              <w:t> </w:t>
            </w:r>
            <w:r>
              <w:rPr>
                <w:sz w:val="18"/>
              </w:rPr>
              <w:t>plagas</w:t>
            </w:r>
            <w:r>
              <w:rPr>
                <w:spacing w:val="40"/>
                <w:sz w:val="18"/>
              </w:rPr>
              <w:t> </w:t>
            </w:r>
            <w:r>
              <w:rPr>
                <w:sz w:val="18"/>
              </w:rPr>
              <w:t>como</w:t>
            </w:r>
            <w:r>
              <w:rPr>
                <w:spacing w:val="40"/>
                <w:sz w:val="18"/>
              </w:rPr>
              <w:t> </w:t>
            </w:r>
            <w:r>
              <w:rPr>
                <w:sz w:val="18"/>
              </w:rPr>
              <w:t>el</w:t>
            </w:r>
            <w:r>
              <w:rPr>
                <w:spacing w:val="40"/>
                <w:sz w:val="18"/>
              </w:rPr>
              <w:t> </w:t>
            </w:r>
            <w:r>
              <w:rPr>
                <w:sz w:val="18"/>
              </w:rPr>
              <w:t>picudo</w:t>
            </w:r>
            <w:r>
              <w:rPr>
                <w:spacing w:val="40"/>
                <w:sz w:val="18"/>
              </w:rPr>
              <w:t> </w:t>
            </w:r>
            <w:r>
              <w:rPr>
                <w:sz w:val="18"/>
              </w:rPr>
              <w:t>del</w:t>
            </w:r>
            <w:r>
              <w:rPr>
                <w:spacing w:val="40"/>
                <w:sz w:val="18"/>
              </w:rPr>
              <w:t> </w:t>
            </w:r>
            <w:r>
              <w:rPr>
                <w:sz w:val="18"/>
              </w:rPr>
              <w:t>cocotero (Rhynchophorus palmarum)</w:t>
            </w:r>
          </w:p>
        </w:tc>
      </w:tr>
      <w:tr>
        <w:trPr>
          <w:trHeight w:val="299" w:hRule="atLeast"/>
        </w:trPr>
        <w:tc>
          <w:tcPr>
            <w:tcW w:w="2597" w:type="dxa"/>
          </w:tcPr>
          <w:p>
            <w:pPr>
              <w:pStyle w:val="TableParagraph"/>
              <w:spacing w:before="47"/>
              <w:ind w:left="71"/>
              <w:rPr>
                <w:sz w:val="18"/>
              </w:rPr>
            </w:pPr>
            <w:r>
              <w:rPr>
                <w:sz w:val="18"/>
              </w:rPr>
              <w:t>Papa</w:t>
            </w:r>
            <w:r>
              <w:rPr>
                <w:spacing w:val="-2"/>
                <w:sz w:val="18"/>
              </w:rPr>
              <w:t> </w:t>
            </w:r>
            <w:r>
              <w:rPr>
                <w:sz w:val="18"/>
              </w:rPr>
              <w:t>y</w:t>
            </w:r>
            <w:r>
              <w:rPr>
                <w:spacing w:val="-3"/>
                <w:sz w:val="18"/>
              </w:rPr>
              <w:t> </w:t>
            </w:r>
            <w:r>
              <w:rPr>
                <w:sz w:val="18"/>
              </w:rPr>
              <w:t>otras</w:t>
            </w:r>
            <w:r>
              <w:rPr>
                <w:spacing w:val="-2"/>
                <w:sz w:val="18"/>
              </w:rPr>
              <w:t> solanáceas</w:t>
            </w:r>
          </w:p>
        </w:tc>
        <w:tc>
          <w:tcPr>
            <w:tcW w:w="1771" w:type="dxa"/>
          </w:tcPr>
          <w:p>
            <w:pPr>
              <w:pStyle w:val="TableParagraph"/>
              <w:spacing w:before="47"/>
              <w:ind w:right="823"/>
              <w:jc w:val="right"/>
              <w:rPr>
                <w:sz w:val="18"/>
              </w:rPr>
            </w:pPr>
            <w:r>
              <w:rPr>
                <w:spacing w:val="-10"/>
                <w:sz w:val="18"/>
              </w:rPr>
              <w:t>1</w:t>
            </w:r>
          </w:p>
        </w:tc>
        <w:tc>
          <w:tcPr>
            <w:tcW w:w="5439" w:type="dxa"/>
          </w:tcPr>
          <w:p>
            <w:pPr>
              <w:pStyle w:val="TableParagraph"/>
              <w:spacing w:before="47"/>
              <w:ind w:left="70"/>
              <w:rPr>
                <w:sz w:val="18"/>
              </w:rPr>
            </w:pPr>
            <w:r>
              <w:rPr>
                <w:sz w:val="18"/>
              </w:rPr>
              <w:t>Enfermedad</w:t>
            </w:r>
            <w:r>
              <w:rPr>
                <w:spacing w:val="-6"/>
                <w:sz w:val="18"/>
              </w:rPr>
              <w:t> </w:t>
            </w:r>
            <w:r>
              <w:rPr>
                <w:sz w:val="18"/>
              </w:rPr>
              <w:t>Punta</w:t>
            </w:r>
            <w:r>
              <w:rPr>
                <w:spacing w:val="-3"/>
                <w:sz w:val="18"/>
              </w:rPr>
              <w:t> </w:t>
            </w:r>
            <w:r>
              <w:rPr>
                <w:sz w:val="18"/>
              </w:rPr>
              <w:t>Morada,</w:t>
            </w:r>
            <w:r>
              <w:rPr>
                <w:spacing w:val="-4"/>
                <w:sz w:val="18"/>
              </w:rPr>
              <w:t> </w:t>
            </w:r>
            <w:r>
              <w:rPr>
                <w:sz w:val="18"/>
              </w:rPr>
              <w:t>Zebra</w:t>
            </w:r>
            <w:r>
              <w:rPr>
                <w:spacing w:val="-3"/>
                <w:sz w:val="18"/>
              </w:rPr>
              <w:t> </w:t>
            </w:r>
            <w:r>
              <w:rPr>
                <w:sz w:val="18"/>
              </w:rPr>
              <w:t>Chip,</w:t>
            </w:r>
            <w:r>
              <w:rPr>
                <w:spacing w:val="-1"/>
                <w:sz w:val="18"/>
              </w:rPr>
              <w:t> </w:t>
            </w:r>
            <w:r>
              <w:rPr>
                <w:spacing w:val="-2"/>
                <w:sz w:val="18"/>
                <w:u w:val="single"/>
              </w:rPr>
              <w:t>contrabando</w:t>
            </w:r>
          </w:p>
        </w:tc>
      </w:tr>
      <w:tr>
        <w:trPr>
          <w:trHeight w:val="299" w:hRule="atLeast"/>
        </w:trPr>
        <w:tc>
          <w:tcPr>
            <w:tcW w:w="2597" w:type="dxa"/>
          </w:tcPr>
          <w:p>
            <w:pPr>
              <w:pStyle w:val="TableParagraph"/>
              <w:spacing w:before="47"/>
              <w:ind w:left="71"/>
              <w:rPr>
                <w:sz w:val="18"/>
              </w:rPr>
            </w:pPr>
            <w:r>
              <w:rPr>
                <w:sz w:val="18"/>
              </w:rPr>
              <w:t>Cebolla</w:t>
            </w:r>
            <w:r>
              <w:rPr>
                <w:spacing w:val="-5"/>
                <w:sz w:val="18"/>
              </w:rPr>
              <w:t> </w:t>
            </w:r>
            <w:r>
              <w:rPr>
                <w:sz w:val="18"/>
              </w:rPr>
              <w:t>de</w:t>
            </w:r>
            <w:r>
              <w:rPr>
                <w:spacing w:val="-3"/>
                <w:sz w:val="18"/>
              </w:rPr>
              <w:t> </w:t>
            </w:r>
            <w:r>
              <w:rPr>
                <w:sz w:val="18"/>
              </w:rPr>
              <w:t>bulbo</w:t>
            </w:r>
            <w:r>
              <w:rPr>
                <w:spacing w:val="-2"/>
                <w:sz w:val="18"/>
              </w:rPr>
              <w:t> </w:t>
            </w:r>
            <w:r>
              <w:rPr>
                <w:spacing w:val="-4"/>
                <w:sz w:val="18"/>
              </w:rPr>
              <w:t>rojo</w:t>
            </w:r>
          </w:p>
        </w:tc>
        <w:tc>
          <w:tcPr>
            <w:tcW w:w="1771" w:type="dxa"/>
          </w:tcPr>
          <w:p>
            <w:pPr>
              <w:pStyle w:val="TableParagraph"/>
              <w:spacing w:before="47"/>
              <w:ind w:right="823"/>
              <w:jc w:val="right"/>
              <w:rPr>
                <w:sz w:val="18"/>
              </w:rPr>
            </w:pPr>
            <w:r>
              <w:rPr>
                <w:spacing w:val="-10"/>
                <w:sz w:val="18"/>
              </w:rPr>
              <w:t>1</w:t>
            </w:r>
          </w:p>
        </w:tc>
        <w:tc>
          <w:tcPr>
            <w:tcW w:w="5439" w:type="dxa"/>
          </w:tcPr>
          <w:p>
            <w:pPr>
              <w:pStyle w:val="TableParagraph"/>
              <w:spacing w:before="47"/>
              <w:ind w:left="70"/>
              <w:rPr>
                <w:sz w:val="18"/>
              </w:rPr>
            </w:pPr>
            <w:r>
              <w:rPr>
                <w:sz w:val="18"/>
              </w:rPr>
              <w:t>Problemas</w:t>
            </w:r>
            <w:r>
              <w:rPr>
                <w:spacing w:val="-5"/>
                <w:sz w:val="18"/>
              </w:rPr>
              <w:t> </w:t>
            </w:r>
            <w:r>
              <w:rPr>
                <w:sz w:val="18"/>
              </w:rPr>
              <w:t>en</w:t>
            </w:r>
            <w:r>
              <w:rPr>
                <w:spacing w:val="-4"/>
                <w:sz w:val="18"/>
              </w:rPr>
              <w:t> </w:t>
            </w:r>
            <w:r>
              <w:rPr>
                <w:sz w:val="18"/>
              </w:rPr>
              <w:t>el</w:t>
            </w:r>
            <w:r>
              <w:rPr>
                <w:spacing w:val="-4"/>
                <w:sz w:val="18"/>
              </w:rPr>
              <w:t> </w:t>
            </w:r>
            <w:r>
              <w:rPr>
                <w:sz w:val="18"/>
              </w:rPr>
              <w:t>sector:</w:t>
            </w:r>
            <w:r>
              <w:rPr>
                <w:spacing w:val="-4"/>
                <w:sz w:val="18"/>
              </w:rPr>
              <w:t> </w:t>
            </w:r>
            <w:r>
              <w:rPr>
                <w:sz w:val="18"/>
              </w:rPr>
              <w:t>precios,</w:t>
            </w:r>
            <w:r>
              <w:rPr>
                <w:spacing w:val="-2"/>
                <w:sz w:val="18"/>
              </w:rPr>
              <w:t> </w:t>
            </w:r>
            <w:r>
              <w:rPr>
                <w:sz w:val="18"/>
              </w:rPr>
              <w:t>área</w:t>
            </w:r>
            <w:r>
              <w:rPr>
                <w:spacing w:val="-2"/>
                <w:sz w:val="18"/>
              </w:rPr>
              <w:t> </w:t>
            </w:r>
            <w:r>
              <w:rPr>
                <w:sz w:val="18"/>
              </w:rPr>
              <w:t>sembrada,</w:t>
            </w:r>
            <w:r>
              <w:rPr>
                <w:spacing w:val="1"/>
                <w:sz w:val="18"/>
              </w:rPr>
              <w:t> </w:t>
            </w:r>
            <w:r>
              <w:rPr>
                <w:spacing w:val="-2"/>
                <w:sz w:val="18"/>
                <w:u w:val="single"/>
              </w:rPr>
              <w:t>contrabando</w:t>
            </w:r>
          </w:p>
        </w:tc>
      </w:tr>
      <w:tr>
        <w:trPr>
          <w:trHeight w:val="300" w:hRule="atLeast"/>
        </w:trPr>
        <w:tc>
          <w:tcPr>
            <w:tcW w:w="2597" w:type="dxa"/>
          </w:tcPr>
          <w:p>
            <w:pPr>
              <w:pStyle w:val="TableParagraph"/>
              <w:spacing w:before="47"/>
              <w:ind w:left="71"/>
              <w:rPr>
                <w:sz w:val="18"/>
              </w:rPr>
            </w:pPr>
            <w:r>
              <w:rPr>
                <w:sz w:val="18"/>
              </w:rPr>
              <w:t>Cebolla</w:t>
            </w:r>
            <w:r>
              <w:rPr>
                <w:spacing w:val="-3"/>
                <w:sz w:val="18"/>
              </w:rPr>
              <w:t> </w:t>
            </w:r>
            <w:r>
              <w:rPr>
                <w:sz w:val="18"/>
              </w:rPr>
              <w:t>de</w:t>
            </w:r>
            <w:r>
              <w:rPr>
                <w:spacing w:val="-3"/>
                <w:sz w:val="18"/>
              </w:rPr>
              <w:t> </w:t>
            </w:r>
            <w:r>
              <w:rPr>
                <w:sz w:val="18"/>
              </w:rPr>
              <w:t>bulbo</w:t>
            </w:r>
            <w:r>
              <w:rPr>
                <w:spacing w:val="-2"/>
                <w:sz w:val="18"/>
              </w:rPr>
              <w:t> blanco</w:t>
            </w:r>
          </w:p>
        </w:tc>
        <w:tc>
          <w:tcPr>
            <w:tcW w:w="1771" w:type="dxa"/>
          </w:tcPr>
          <w:p>
            <w:pPr>
              <w:pStyle w:val="TableParagraph"/>
              <w:spacing w:before="47"/>
              <w:ind w:right="823"/>
              <w:jc w:val="right"/>
              <w:rPr>
                <w:sz w:val="18"/>
              </w:rPr>
            </w:pPr>
            <w:r>
              <w:rPr>
                <w:spacing w:val="-10"/>
                <w:sz w:val="18"/>
              </w:rPr>
              <w:t>1</w:t>
            </w:r>
          </w:p>
        </w:tc>
        <w:tc>
          <w:tcPr>
            <w:tcW w:w="5439" w:type="dxa"/>
          </w:tcPr>
          <w:p>
            <w:pPr>
              <w:pStyle w:val="TableParagraph"/>
              <w:spacing w:before="47"/>
              <w:ind w:left="70"/>
              <w:rPr>
                <w:sz w:val="18"/>
              </w:rPr>
            </w:pPr>
            <w:r>
              <w:rPr>
                <w:sz w:val="18"/>
              </w:rPr>
              <w:t>Problemas</w:t>
            </w:r>
            <w:r>
              <w:rPr>
                <w:spacing w:val="-4"/>
                <w:sz w:val="18"/>
              </w:rPr>
              <w:t> </w:t>
            </w:r>
            <w:r>
              <w:rPr>
                <w:sz w:val="18"/>
              </w:rPr>
              <w:t>en</w:t>
            </w:r>
            <w:r>
              <w:rPr>
                <w:spacing w:val="-4"/>
                <w:sz w:val="18"/>
              </w:rPr>
              <w:t> </w:t>
            </w:r>
            <w:r>
              <w:rPr>
                <w:sz w:val="18"/>
              </w:rPr>
              <w:t>el</w:t>
            </w:r>
            <w:r>
              <w:rPr>
                <w:spacing w:val="-4"/>
                <w:sz w:val="18"/>
              </w:rPr>
              <w:t> </w:t>
            </w:r>
            <w:r>
              <w:rPr>
                <w:sz w:val="18"/>
              </w:rPr>
              <w:t>sector:</w:t>
            </w:r>
            <w:r>
              <w:rPr>
                <w:spacing w:val="-4"/>
                <w:sz w:val="18"/>
              </w:rPr>
              <w:t> </w:t>
            </w:r>
            <w:r>
              <w:rPr>
                <w:sz w:val="18"/>
              </w:rPr>
              <w:t>precios,</w:t>
            </w:r>
            <w:r>
              <w:rPr>
                <w:spacing w:val="-2"/>
                <w:sz w:val="18"/>
              </w:rPr>
              <w:t> </w:t>
            </w:r>
            <w:r>
              <w:rPr>
                <w:sz w:val="18"/>
              </w:rPr>
              <w:t>área</w:t>
            </w:r>
            <w:r>
              <w:rPr>
                <w:spacing w:val="-2"/>
                <w:sz w:val="18"/>
              </w:rPr>
              <w:t> sembrada</w:t>
            </w:r>
          </w:p>
        </w:tc>
      </w:tr>
      <w:tr>
        <w:trPr>
          <w:trHeight w:val="208" w:hRule="atLeast"/>
        </w:trPr>
        <w:tc>
          <w:tcPr>
            <w:tcW w:w="2597" w:type="dxa"/>
          </w:tcPr>
          <w:p>
            <w:pPr>
              <w:pStyle w:val="TableParagraph"/>
              <w:spacing w:line="187" w:lineRule="exact" w:before="1"/>
              <w:ind w:left="71"/>
              <w:rPr>
                <w:sz w:val="18"/>
              </w:rPr>
            </w:pPr>
            <w:r>
              <w:rPr>
                <w:spacing w:val="-2"/>
                <w:sz w:val="18"/>
              </w:rPr>
              <w:t>Tomate</w:t>
            </w:r>
          </w:p>
        </w:tc>
        <w:tc>
          <w:tcPr>
            <w:tcW w:w="1771" w:type="dxa"/>
          </w:tcPr>
          <w:p>
            <w:pPr>
              <w:pStyle w:val="TableParagraph"/>
              <w:spacing w:line="187" w:lineRule="exact" w:before="1"/>
              <w:ind w:right="823"/>
              <w:jc w:val="right"/>
              <w:rPr>
                <w:sz w:val="18"/>
              </w:rPr>
            </w:pPr>
            <w:r>
              <w:rPr>
                <w:spacing w:val="-10"/>
                <w:sz w:val="18"/>
              </w:rPr>
              <w:t>1</w:t>
            </w:r>
          </w:p>
        </w:tc>
        <w:tc>
          <w:tcPr>
            <w:tcW w:w="5439" w:type="dxa"/>
          </w:tcPr>
          <w:p>
            <w:pPr>
              <w:pStyle w:val="TableParagraph"/>
              <w:spacing w:line="187" w:lineRule="exact" w:before="1"/>
              <w:ind w:left="70"/>
              <w:rPr>
                <w:sz w:val="18"/>
              </w:rPr>
            </w:pPr>
            <w:r>
              <w:rPr>
                <w:sz w:val="18"/>
                <w:u w:val="single"/>
              </w:rPr>
              <w:t>Contrabando</w:t>
            </w:r>
            <w:r>
              <w:rPr>
                <w:spacing w:val="-5"/>
                <w:sz w:val="18"/>
              </w:rPr>
              <w:t> </w:t>
            </w:r>
            <w:r>
              <w:rPr>
                <w:sz w:val="18"/>
              </w:rPr>
              <w:t>y</w:t>
            </w:r>
            <w:r>
              <w:rPr>
                <w:spacing w:val="-3"/>
                <w:sz w:val="18"/>
              </w:rPr>
              <w:t> </w:t>
            </w:r>
            <w:r>
              <w:rPr>
                <w:sz w:val="18"/>
              </w:rPr>
              <w:t>riesgo</w:t>
            </w:r>
            <w:r>
              <w:rPr>
                <w:spacing w:val="-3"/>
                <w:sz w:val="18"/>
              </w:rPr>
              <w:t> </w:t>
            </w:r>
            <w:r>
              <w:rPr>
                <w:spacing w:val="-2"/>
                <w:sz w:val="18"/>
              </w:rPr>
              <w:t>fitosanitario</w:t>
            </w:r>
          </w:p>
        </w:tc>
      </w:tr>
      <w:tr>
        <w:trPr>
          <w:trHeight w:val="205" w:hRule="atLeast"/>
        </w:trPr>
        <w:tc>
          <w:tcPr>
            <w:tcW w:w="2597" w:type="dxa"/>
          </w:tcPr>
          <w:p>
            <w:pPr>
              <w:pStyle w:val="TableParagraph"/>
              <w:spacing w:line="186" w:lineRule="exact"/>
              <w:ind w:left="71"/>
              <w:rPr>
                <w:sz w:val="18"/>
              </w:rPr>
            </w:pPr>
            <w:r>
              <w:rPr>
                <w:spacing w:val="-2"/>
                <w:sz w:val="18"/>
              </w:rPr>
              <w:t>Frijol</w:t>
            </w:r>
          </w:p>
        </w:tc>
        <w:tc>
          <w:tcPr>
            <w:tcW w:w="1771" w:type="dxa"/>
          </w:tcPr>
          <w:p>
            <w:pPr>
              <w:pStyle w:val="TableParagraph"/>
              <w:spacing w:line="186" w:lineRule="exact"/>
              <w:ind w:right="823"/>
              <w:jc w:val="right"/>
              <w:rPr>
                <w:sz w:val="18"/>
              </w:rPr>
            </w:pPr>
            <w:r>
              <w:rPr>
                <w:spacing w:val="-10"/>
                <w:sz w:val="18"/>
              </w:rPr>
              <w:t>9</w:t>
            </w:r>
          </w:p>
        </w:tc>
        <w:tc>
          <w:tcPr>
            <w:tcW w:w="5439" w:type="dxa"/>
          </w:tcPr>
          <w:p>
            <w:pPr>
              <w:pStyle w:val="TableParagraph"/>
              <w:spacing w:line="186" w:lineRule="exact"/>
              <w:ind w:left="70"/>
              <w:rPr>
                <w:sz w:val="18"/>
              </w:rPr>
            </w:pPr>
            <w:r>
              <w:rPr>
                <w:spacing w:val="-2"/>
                <w:sz w:val="18"/>
                <w:u w:val="single"/>
              </w:rPr>
              <w:t>Contrabando</w:t>
            </w:r>
          </w:p>
        </w:tc>
      </w:tr>
      <w:tr>
        <w:trPr>
          <w:trHeight w:val="208" w:hRule="atLeast"/>
        </w:trPr>
        <w:tc>
          <w:tcPr>
            <w:tcW w:w="2597" w:type="dxa"/>
          </w:tcPr>
          <w:p>
            <w:pPr>
              <w:pStyle w:val="TableParagraph"/>
              <w:spacing w:line="188" w:lineRule="exact"/>
              <w:ind w:left="71"/>
              <w:rPr>
                <w:sz w:val="18"/>
              </w:rPr>
            </w:pPr>
            <w:r>
              <w:rPr>
                <w:spacing w:val="-2"/>
                <w:sz w:val="18"/>
              </w:rPr>
              <w:t>Maracuyá</w:t>
            </w:r>
          </w:p>
        </w:tc>
        <w:tc>
          <w:tcPr>
            <w:tcW w:w="1771" w:type="dxa"/>
          </w:tcPr>
          <w:p>
            <w:pPr>
              <w:pStyle w:val="TableParagraph"/>
              <w:spacing w:line="188" w:lineRule="exact"/>
              <w:ind w:right="823"/>
              <w:jc w:val="right"/>
              <w:rPr>
                <w:sz w:val="18"/>
              </w:rPr>
            </w:pPr>
            <w:r>
              <w:rPr>
                <w:spacing w:val="-10"/>
                <w:sz w:val="18"/>
              </w:rPr>
              <w:t>1</w:t>
            </w:r>
          </w:p>
        </w:tc>
        <w:tc>
          <w:tcPr>
            <w:tcW w:w="5439" w:type="dxa"/>
          </w:tcPr>
          <w:p>
            <w:pPr>
              <w:pStyle w:val="TableParagraph"/>
              <w:spacing w:line="188" w:lineRule="exact"/>
              <w:ind w:left="70"/>
              <w:rPr>
                <w:sz w:val="18"/>
              </w:rPr>
            </w:pPr>
            <w:r>
              <w:rPr>
                <w:sz w:val="18"/>
              </w:rPr>
              <w:t>Riesgos</w:t>
            </w:r>
            <w:r>
              <w:rPr>
                <w:spacing w:val="-3"/>
                <w:sz w:val="18"/>
              </w:rPr>
              <w:t> </w:t>
            </w:r>
            <w:r>
              <w:rPr>
                <w:sz w:val="18"/>
              </w:rPr>
              <w:t>fitosanitarios</w:t>
            </w:r>
            <w:r>
              <w:rPr>
                <w:spacing w:val="-4"/>
                <w:sz w:val="18"/>
              </w:rPr>
              <w:t> </w:t>
            </w:r>
            <w:r>
              <w:rPr>
                <w:sz w:val="18"/>
              </w:rPr>
              <w:t>y</w:t>
            </w:r>
            <w:r>
              <w:rPr>
                <w:spacing w:val="-3"/>
                <w:sz w:val="18"/>
              </w:rPr>
              <w:t> </w:t>
            </w:r>
            <w:r>
              <w:rPr>
                <w:sz w:val="18"/>
              </w:rPr>
              <w:t>de</w:t>
            </w:r>
            <w:r>
              <w:rPr>
                <w:spacing w:val="-3"/>
                <w:sz w:val="18"/>
              </w:rPr>
              <w:t> </w:t>
            </w:r>
            <w:r>
              <w:rPr>
                <w:spacing w:val="-2"/>
                <w:sz w:val="18"/>
              </w:rPr>
              <w:t>inocuidad</w:t>
            </w:r>
          </w:p>
        </w:tc>
      </w:tr>
      <w:tr>
        <w:trPr>
          <w:trHeight w:val="412" w:hRule="atLeast"/>
        </w:trPr>
        <w:tc>
          <w:tcPr>
            <w:tcW w:w="2597" w:type="dxa"/>
          </w:tcPr>
          <w:p>
            <w:pPr>
              <w:pStyle w:val="TableParagraph"/>
              <w:tabs>
                <w:tab w:pos="844" w:val="left" w:leader="none"/>
                <w:tab w:pos="1524" w:val="left" w:leader="none"/>
                <w:tab w:pos="1886" w:val="left" w:leader="none"/>
              </w:tabs>
              <w:spacing w:line="206" w:lineRule="exact"/>
              <w:ind w:left="71" w:right="58"/>
              <w:rPr>
                <w:sz w:val="18"/>
              </w:rPr>
            </w:pPr>
            <w:r>
              <w:rPr>
                <w:spacing w:val="-2"/>
                <w:sz w:val="18"/>
              </w:rPr>
              <w:t>Peces</w:t>
            </w:r>
            <w:r>
              <w:rPr>
                <w:sz w:val="18"/>
              </w:rPr>
              <w:tab/>
            </w:r>
            <w:r>
              <w:rPr>
                <w:spacing w:val="-2"/>
                <w:sz w:val="18"/>
              </w:rPr>
              <w:t>vivos</w:t>
            </w:r>
            <w:r>
              <w:rPr>
                <w:sz w:val="18"/>
              </w:rPr>
              <w:tab/>
            </w:r>
            <w:r>
              <w:rPr>
                <w:spacing w:val="-10"/>
                <w:sz w:val="18"/>
              </w:rPr>
              <w:t>y</w:t>
            </w:r>
            <w:r>
              <w:rPr>
                <w:sz w:val="18"/>
              </w:rPr>
              <w:tab/>
            </w:r>
            <w:r>
              <w:rPr>
                <w:spacing w:val="-2"/>
                <w:sz w:val="18"/>
              </w:rPr>
              <w:t>material </w:t>
            </w:r>
            <w:r>
              <w:rPr>
                <w:sz w:val="18"/>
              </w:rPr>
              <w:t>biológico acuícola</w:t>
            </w:r>
          </w:p>
        </w:tc>
        <w:tc>
          <w:tcPr>
            <w:tcW w:w="1771" w:type="dxa"/>
          </w:tcPr>
          <w:p>
            <w:pPr>
              <w:pStyle w:val="TableParagraph"/>
              <w:spacing w:before="102"/>
              <w:ind w:right="823"/>
              <w:jc w:val="right"/>
              <w:rPr>
                <w:sz w:val="18"/>
              </w:rPr>
            </w:pPr>
            <w:r>
              <w:rPr>
                <w:spacing w:val="-10"/>
                <w:sz w:val="18"/>
              </w:rPr>
              <w:t>3</w:t>
            </w:r>
          </w:p>
        </w:tc>
        <w:tc>
          <w:tcPr>
            <w:tcW w:w="5439" w:type="dxa"/>
          </w:tcPr>
          <w:p>
            <w:pPr>
              <w:pStyle w:val="TableParagraph"/>
              <w:spacing w:before="102"/>
              <w:ind w:left="70"/>
              <w:rPr>
                <w:sz w:val="18"/>
              </w:rPr>
            </w:pPr>
            <w:r>
              <w:rPr>
                <w:sz w:val="18"/>
              </w:rPr>
              <w:t>Riesgo</w:t>
            </w:r>
            <w:r>
              <w:rPr>
                <w:spacing w:val="-3"/>
                <w:sz w:val="18"/>
              </w:rPr>
              <w:t> </w:t>
            </w:r>
            <w:r>
              <w:rPr>
                <w:sz w:val="18"/>
              </w:rPr>
              <w:t>sanitario,</w:t>
            </w:r>
            <w:r>
              <w:rPr>
                <w:spacing w:val="-4"/>
                <w:sz w:val="18"/>
              </w:rPr>
              <w:t> </w:t>
            </w:r>
            <w:r>
              <w:rPr>
                <w:sz w:val="18"/>
                <w:u w:val="single"/>
              </w:rPr>
              <w:t>ingreso</w:t>
            </w:r>
            <w:r>
              <w:rPr>
                <w:spacing w:val="-4"/>
                <w:sz w:val="18"/>
                <w:u w:val="single"/>
              </w:rPr>
              <w:t> </w:t>
            </w:r>
            <w:r>
              <w:rPr>
                <w:spacing w:val="-2"/>
                <w:sz w:val="18"/>
                <w:u w:val="single"/>
              </w:rPr>
              <w:t>irregular</w:t>
            </w:r>
          </w:p>
        </w:tc>
      </w:tr>
      <w:tr>
        <w:trPr>
          <w:trHeight w:val="208" w:hRule="atLeast"/>
        </w:trPr>
        <w:tc>
          <w:tcPr>
            <w:tcW w:w="2597" w:type="dxa"/>
          </w:tcPr>
          <w:p>
            <w:pPr>
              <w:pStyle w:val="TableParagraph"/>
              <w:spacing w:line="187" w:lineRule="exact" w:before="1"/>
              <w:ind w:left="71"/>
              <w:rPr>
                <w:sz w:val="18"/>
              </w:rPr>
            </w:pPr>
            <w:r>
              <w:rPr>
                <w:spacing w:val="-2"/>
                <w:sz w:val="18"/>
              </w:rPr>
              <w:t>Trucha</w:t>
            </w:r>
          </w:p>
        </w:tc>
        <w:tc>
          <w:tcPr>
            <w:tcW w:w="1771" w:type="dxa"/>
          </w:tcPr>
          <w:p>
            <w:pPr>
              <w:pStyle w:val="TableParagraph"/>
              <w:spacing w:line="187" w:lineRule="exact" w:before="1"/>
              <w:ind w:right="823"/>
              <w:jc w:val="right"/>
              <w:rPr>
                <w:sz w:val="18"/>
              </w:rPr>
            </w:pPr>
            <w:r>
              <w:rPr>
                <w:spacing w:val="-10"/>
                <w:sz w:val="18"/>
              </w:rPr>
              <w:t>1</w:t>
            </w:r>
          </w:p>
        </w:tc>
        <w:tc>
          <w:tcPr>
            <w:tcW w:w="5439" w:type="dxa"/>
          </w:tcPr>
          <w:p>
            <w:pPr>
              <w:pStyle w:val="TableParagraph"/>
              <w:spacing w:line="187" w:lineRule="exact" w:before="1"/>
              <w:ind w:left="70"/>
              <w:rPr>
                <w:sz w:val="18"/>
              </w:rPr>
            </w:pPr>
            <w:r>
              <w:rPr>
                <w:sz w:val="18"/>
              </w:rPr>
              <w:t>Riesgo</w:t>
            </w:r>
            <w:r>
              <w:rPr>
                <w:spacing w:val="-3"/>
                <w:sz w:val="18"/>
              </w:rPr>
              <w:t> </w:t>
            </w:r>
            <w:r>
              <w:rPr>
                <w:sz w:val="18"/>
              </w:rPr>
              <w:t>sanitario,</w:t>
            </w:r>
            <w:r>
              <w:rPr>
                <w:spacing w:val="-4"/>
                <w:sz w:val="18"/>
              </w:rPr>
              <w:t> </w:t>
            </w:r>
            <w:r>
              <w:rPr>
                <w:sz w:val="18"/>
                <w:u w:val="single"/>
              </w:rPr>
              <w:t>ingreso</w:t>
            </w:r>
            <w:r>
              <w:rPr>
                <w:spacing w:val="-4"/>
                <w:sz w:val="18"/>
                <w:u w:val="single"/>
              </w:rPr>
              <w:t> </w:t>
            </w:r>
            <w:r>
              <w:rPr>
                <w:spacing w:val="-2"/>
                <w:sz w:val="18"/>
                <w:u w:val="single"/>
              </w:rPr>
              <w:t>irregular</w:t>
            </w:r>
          </w:p>
        </w:tc>
      </w:tr>
      <w:tr>
        <w:trPr>
          <w:trHeight w:val="412" w:hRule="atLeast"/>
        </w:trPr>
        <w:tc>
          <w:tcPr>
            <w:tcW w:w="2597" w:type="dxa"/>
          </w:tcPr>
          <w:p>
            <w:pPr>
              <w:pStyle w:val="TableParagraph"/>
              <w:spacing w:before="102"/>
              <w:ind w:left="71"/>
              <w:rPr>
                <w:sz w:val="18"/>
              </w:rPr>
            </w:pPr>
            <w:r>
              <w:rPr>
                <w:sz w:val="18"/>
              </w:rPr>
              <w:t>Camarón</w:t>
            </w:r>
            <w:r>
              <w:rPr>
                <w:spacing w:val="-2"/>
                <w:sz w:val="18"/>
              </w:rPr>
              <w:t> </w:t>
            </w:r>
            <w:r>
              <w:rPr>
                <w:sz w:val="18"/>
              </w:rPr>
              <w:t>y</w:t>
            </w:r>
            <w:r>
              <w:rPr>
                <w:spacing w:val="-1"/>
                <w:sz w:val="18"/>
              </w:rPr>
              <w:t> </w:t>
            </w:r>
            <w:r>
              <w:rPr>
                <w:spacing w:val="-2"/>
                <w:sz w:val="18"/>
              </w:rPr>
              <w:t>langostino</w:t>
            </w:r>
          </w:p>
        </w:tc>
        <w:tc>
          <w:tcPr>
            <w:tcW w:w="1771" w:type="dxa"/>
          </w:tcPr>
          <w:p>
            <w:pPr>
              <w:pStyle w:val="TableParagraph"/>
              <w:spacing w:before="102"/>
              <w:ind w:right="823"/>
              <w:jc w:val="right"/>
              <w:rPr>
                <w:sz w:val="18"/>
              </w:rPr>
            </w:pPr>
            <w:r>
              <w:rPr>
                <w:spacing w:val="-10"/>
                <w:sz w:val="18"/>
              </w:rPr>
              <w:t>2</w:t>
            </w:r>
          </w:p>
        </w:tc>
        <w:tc>
          <w:tcPr>
            <w:tcW w:w="5439" w:type="dxa"/>
          </w:tcPr>
          <w:p>
            <w:pPr>
              <w:pStyle w:val="TableParagraph"/>
              <w:spacing w:line="206" w:lineRule="exact"/>
              <w:ind w:left="70"/>
              <w:rPr>
                <w:sz w:val="18"/>
              </w:rPr>
            </w:pPr>
            <w:r>
              <w:rPr>
                <w:sz w:val="18"/>
              </w:rPr>
              <w:t>Riesgo para la sanidad acuícola por enfermedades</w:t>
            </w:r>
            <w:r>
              <w:rPr>
                <w:spacing w:val="-2"/>
                <w:sz w:val="18"/>
              </w:rPr>
              <w:t> </w:t>
            </w:r>
            <w:r>
              <w:rPr>
                <w:sz w:val="18"/>
              </w:rPr>
              <w:t>como mancha blanca y virus de la cabeza amarilla</w:t>
            </w:r>
          </w:p>
        </w:tc>
      </w:tr>
      <w:tr>
        <w:trPr>
          <w:trHeight w:val="208" w:hRule="atLeast"/>
        </w:trPr>
        <w:tc>
          <w:tcPr>
            <w:tcW w:w="2597" w:type="dxa"/>
          </w:tcPr>
          <w:p>
            <w:pPr>
              <w:pStyle w:val="TableParagraph"/>
              <w:spacing w:line="187" w:lineRule="exact" w:before="1"/>
              <w:ind w:left="71"/>
              <w:rPr>
                <w:rFonts w:ascii="Arial"/>
                <w:b/>
                <w:sz w:val="18"/>
              </w:rPr>
            </w:pPr>
            <w:r>
              <w:rPr>
                <w:rFonts w:ascii="Arial"/>
                <w:b/>
                <w:sz w:val="18"/>
              </w:rPr>
              <w:t>Total</w:t>
            </w:r>
            <w:r>
              <w:rPr>
                <w:rFonts w:ascii="Arial"/>
                <w:b/>
                <w:spacing w:val="-3"/>
                <w:sz w:val="18"/>
              </w:rPr>
              <w:t> </w:t>
            </w:r>
            <w:r>
              <w:rPr>
                <w:rFonts w:ascii="Arial"/>
                <w:b/>
                <w:spacing w:val="-2"/>
                <w:sz w:val="18"/>
              </w:rPr>
              <w:t>subpartidas</w:t>
            </w:r>
          </w:p>
        </w:tc>
        <w:tc>
          <w:tcPr>
            <w:tcW w:w="1771" w:type="dxa"/>
          </w:tcPr>
          <w:p>
            <w:pPr>
              <w:pStyle w:val="TableParagraph"/>
              <w:spacing w:line="187" w:lineRule="exact" w:before="1"/>
              <w:ind w:right="773"/>
              <w:jc w:val="right"/>
              <w:rPr>
                <w:rFonts w:ascii="Arial"/>
                <w:b/>
                <w:sz w:val="18"/>
              </w:rPr>
            </w:pPr>
            <w:r>
              <w:rPr>
                <w:rFonts w:ascii="Arial"/>
                <w:b/>
                <w:spacing w:val="-5"/>
                <w:sz w:val="18"/>
              </w:rPr>
              <w:t>30</w:t>
            </w:r>
          </w:p>
        </w:tc>
        <w:tc>
          <w:tcPr>
            <w:tcW w:w="5439" w:type="dxa"/>
          </w:tcPr>
          <w:p>
            <w:pPr>
              <w:pStyle w:val="TableParagraph"/>
              <w:rPr>
                <w:rFonts w:ascii="Times New Roman"/>
                <w:sz w:val="14"/>
              </w:rPr>
            </w:pPr>
          </w:p>
        </w:tc>
      </w:tr>
    </w:tbl>
    <w:p>
      <w:pPr>
        <w:spacing w:before="8"/>
        <w:ind w:left="851" w:right="3439" w:firstLine="0"/>
        <w:jc w:val="left"/>
        <w:rPr>
          <w:rFonts w:ascii="Arial" w:hAnsi="Arial"/>
          <w:b/>
          <w:sz w:val="16"/>
        </w:rPr>
      </w:pPr>
      <w:r>
        <w:rPr>
          <w:rFonts w:ascii="Arial" w:hAnsi="Arial"/>
          <w:b/>
          <w:sz w:val="16"/>
        </w:rPr>
        <w:t>*La</w:t>
      </w:r>
      <w:r>
        <w:rPr>
          <w:rFonts w:ascii="Arial" w:hAnsi="Arial"/>
          <w:b/>
          <w:spacing w:val="-2"/>
          <w:sz w:val="16"/>
        </w:rPr>
        <w:t> </w:t>
      </w:r>
      <w:r>
        <w:rPr>
          <w:rFonts w:ascii="Arial" w:hAnsi="Arial"/>
          <w:b/>
          <w:sz w:val="16"/>
        </w:rPr>
        <w:t>subpartida</w:t>
      </w:r>
      <w:r>
        <w:rPr>
          <w:rFonts w:ascii="Arial" w:hAnsi="Arial"/>
          <w:b/>
          <w:spacing w:val="-2"/>
          <w:sz w:val="16"/>
        </w:rPr>
        <w:t> </w:t>
      </w:r>
      <w:r>
        <w:rPr>
          <w:rFonts w:ascii="Arial" w:hAnsi="Arial"/>
          <w:b/>
          <w:sz w:val="16"/>
        </w:rPr>
        <w:t>arancelaria</w:t>
      </w:r>
      <w:r>
        <w:rPr>
          <w:rFonts w:ascii="Arial" w:hAnsi="Arial"/>
          <w:b/>
          <w:spacing w:val="-5"/>
          <w:sz w:val="16"/>
        </w:rPr>
        <w:t> </w:t>
      </w:r>
      <w:r>
        <w:rPr>
          <w:rFonts w:ascii="Arial" w:hAnsi="Arial"/>
          <w:b/>
          <w:sz w:val="16"/>
        </w:rPr>
        <w:t>no</w:t>
      </w:r>
      <w:r>
        <w:rPr>
          <w:rFonts w:ascii="Arial" w:hAnsi="Arial"/>
          <w:b/>
          <w:spacing w:val="-4"/>
          <w:sz w:val="16"/>
        </w:rPr>
        <w:t> </w:t>
      </w:r>
      <w:r>
        <w:rPr>
          <w:rFonts w:ascii="Arial" w:hAnsi="Arial"/>
          <w:b/>
          <w:sz w:val="16"/>
        </w:rPr>
        <w:t>consta</w:t>
      </w:r>
      <w:r>
        <w:rPr>
          <w:rFonts w:ascii="Arial" w:hAnsi="Arial"/>
          <w:b/>
          <w:spacing w:val="-2"/>
          <w:sz w:val="16"/>
        </w:rPr>
        <w:t> </w:t>
      </w:r>
      <w:r>
        <w:rPr>
          <w:rFonts w:ascii="Arial" w:hAnsi="Arial"/>
          <w:b/>
          <w:sz w:val="16"/>
        </w:rPr>
        <w:t>en</w:t>
      </w:r>
      <w:r>
        <w:rPr>
          <w:rFonts w:ascii="Arial" w:hAnsi="Arial"/>
          <w:b/>
          <w:spacing w:val="-1"/>
          <w:sz w:val="16"/>
        </w:rPr>
        <w:t> </w:t>
      </w:r>
      <w:r>
        <w:rPr>
          <w:rFonts w:ascii="Arial" w:hAnsi="Arial"/>
          <w:b/>
          <w:sz w:val="16"/>
        </w:rPr>
        <w:t>el</w:t>
      </w:r>
      <w:r>
        <w:rPr>
          <w:rFonts w:ascii="Arial" w:hAnsi="Arial"/>
          <w:b/>
          <w:spacing w:val="-3"/>
          <w:sz w:val="16"/>
        </w:rPr>
        <w:t> </w:t>
      </w:r>
      <w:r>
        <w:rPr>
          <w:rFonts w:ascii="Arial" w:hAnsi="Arial"/>
          <w:b/>
          <w:sz w:val="16"/>
        </w:rPr>
        <w:t>listado</w:t>
      </w:r>
      <w:r>
        <w:rPr>
          <w:rFonts w:ascii="Arial" w:hAnsi="Arial"/>
          <w:b/>
          <w:spacing w:val="-4"/>
          <w:sz w:val="16"/>
        </w:rPr>
        <w:t> </w:t>
      </w:r>
      <w:r>
        <w:rPr>
          <w:rFonts w:ascii="Arial" w:hAnsi="Arial"/>
          <w:b/>
          <w:sz w:val="16"/>
        </w:rPr>
        <w:t>del</w:t>
      </w:r>
      <w:r>
        <w:rPr>
          <w:rFonts w:ascii="Arial" w:hAnsi="Arial"/>
          <w:b/>
          <w:spacing w:val="-3"/>
          <w:sz w:val="16"/>
        </w:rPr>
        <w:t> </w:t>
      </w:r>
      <w:r>
        <w:rPr>
          <w:rFonts w:ascii="Arial" w:hAnsi="Arial"/>
          <w:b/>
          <w:sz w:val="16"/>
        </w:rPr>
        <w:t>artículo</w:t>
      </w:r>
      <w:r>
        <w:rPr>
          <w:rFonts w:ascii="Arial" w:hAnsi="Arial"/>
          <w:b/>
          <w:spacing w:val="-4"/>
          <w:sz w:val="16"/>
        </w:rPr>
        <w:t> </w:t>
      </w:r>
      <w:r>
        <w:rPr>
          <w:rFonts w:ascii="Arial" w:hAnsi="Arial"/>
          <w:b/>
          <w:sz w:val="16"/>
        </w:rPr>
        <w:t>2</w:t>
      </w:r>
      <w:r>
        <w:rPr>
          <w:rFonts w:ascii="Arial" w:hAnsi="Arial"/>
          <w:b/>
          <w:spacing w:val="-5"/>
          <w:sz w:val="16"/>
        </w:rPr>
        <w:t> </w:t>
      </w:r>
      <w:r>
        <w:rPr>
          <w:rFonts w:ascii="Arial" w:hAnsi="Arial"/>
          <w:b/>
          <w:sz w:val="16"/>
        </w:rPr>
        <w:t>del</w:t>
      </w:r>
      <w:r>
        <w:rPr>
          <w:rFonts w:ascii="Arial" w:hAnsi="Arial"/>
          <w:b/>
          <w:spacing w:val="-3"/>
          <w:sz w:val="16"/>
        </w:rPr>
        <w:t> </w:t>
      </w:r>
      <w:r>
        <w:rPr>
          <w:rFonts w:ascii="Arial" w:hAnsi="Arial"/>
          <w:b/>
          <w:sz w:val="16"/>
        </w:rPr>
        <w:t>Decreto</w:t>
      </w:r>
      <w:r>
        <w:rPr>
          <w:rFonts w:ascii="Arial" w:hAnsi="Arial"/>
          <w:b/>
          <w:spacing w:val="-1"/>
          <w:sz w:val="16"/>
        </w:rPr>
        <w:t> </w:t>
      </w:r>
      <w:r>
        <w:rPr>
          <w:rFonts w:ascii="Arial" w:hAnsi="Arial"/>
          <w:b/>
          <w:sz w:val="16"/>
        </w:rPr>
        <w:t>0170 Fuente: SICEXT.</w:t>
      </w:r>
    </w:p>
    <w:p>
      <w:pPr>
        <w:spacing w:line="183" w:lineRule="exact" w:before="0"/>
        <w:ind w:left="851" w:right="0" w:firstLine="0"/>
        <w:jc w:val="left"/>
        <w:rPr>
          <w:rFonts w:ascii="Arial" w:hAnsi="Arial"/>
          <w:b/>
          <w:sz w:val="16"/>
        </w:rPr>
      </w:pPr>
      <w:r>
        <w:rPr>
          <w:rFonts w:ascii="Arial" w:hAnsi="Arial"/>
          <w:b/>
          <w:sz w:val="16"/>
        </w:rPr>
        <w:t>Elaboración:</w:t>
      </w:r>
      <w:r>
        <w:rPr>
          <w:rFonts w:ascii="Arial" w:hAnsi="Arial"/>
          <w:b/>
          <w:spacing w:val="-9"/>
          <w:sz w:val="16"/>
        </w:rPr>
        <w:t> </w:t>
      </w:r>
      <w:r>
        <w:rPr>
          <w:rFonts w:ascii="Arial" w:hAnsi="Arial"/>
          <w:b/>
          <w:spacing w:val="-2"/>
          <w:sz w:val="16"/>
        </w:rPr>
        <w:t>SGCAN.</w:t>
      </w:r>
    </w:p>
    <w:p>
      <w:pPr>
        <w:pStyle w:val="BodyText"/>
        <w:spacing w:before="68"/>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Como se puede observar, un elemento recurrente en los argumentos identificados en los considerandos del Decreto 0170 es la referencia a la existencia de un supuesto contrabando</w:t>
      </w:r>
      <w:r>
        <w:rPr>
          <w:spacing w:val="-12"/>
          <w:sz w:val="22"/>
        </w:rPr>
        <w:t> </w:t>
      </w:r>
      <w:r>
        <w:rPr>
          <w:sz w:val="22"/>
        </w:rPr>
        <w:t>en</w:t>
      </w:r>
      <w:r>
        <w:rPr>
          <w:spacing w:val="-12"/>
          <w:sz w:val="22"/>
        </w:rPr>
        <w:t> </w:t>
      </w:r>
      <w:r>
        <w:rPr>
          <w:sz w:val="22"/>
        </w:rPr>
        <w:t>la</w:t>
      </w:r>
      <w:r>
        <w:rPr>
          <w:spacing w:val="-11"/>
          <w:sz w:val="22"/>
        </w:rPr>
        <w:t> </w:t>
      </w:r>
      <w:r>
        <w:rPr>
          <w:sz w:val="22"/>
        </w:rPr>
        <w:t>comercialización</w:t>
      </w:r>
      <w:r>
        <w:rPr>
          <w:spacing w:val="-9"/>
          <w:sz w:val="22"/>
        </w:rPr>
        <w:t> </w:t>
      </w:r>
      <w:r>
        <w:rPr>
          <w:sz w:val="22"/>
        </w:rPr>
        <w:t>de</w:t>
      </w:r>
      <w:r>
        <w:rPr>
          <w:spacing w:val="-9"/>
          <w:sz w:val="22"/>
        </w:rPr>
        <w:t> </w:t>
      </w:r>
      <w:r>
        <w:rPr>
          <w:sz w:val="22"/>
        </w:rPr>
        <w:t>esos</w:t>
      </w:r>
      <w:r>
        <w:rPr>
          <w:spacing w:val="-11"/>
          <w:sz w:val="22"/>
        </w:rPr>
        <w:t> </w:t>
      </w:r>
      <w:r>
        <w:rPr>
          <w:sz w:val="22"/>
        </w:rPr>
        <w:t>productos,</w:t>
      </w:r>
      <w:r>
        <w:rPr>
          <w:spacing w:val="-10"/>
          <w:sz w:val="22"/>
        </w:rPr>
        <w:t> </w:t>
      </w:r>
      <w:r>
        <w:rPr>
          <w:sz w:val="22"/>
        </w:rPr>
        <w:t>lo</w:t>
      </w:r>
      <w:r>
        <w:rPr>
          <w:spacing w:val="-11"/>
          <w:sz w:val="22"/>
        </w:rPr>
        <w:t> </w:t>
      </w:r>
      <w:r>
        <w:rPr>
          <w:sz w:val="22"/>
        </w:rPr>
        <w:t>cual</w:t>
      </w:r>
      <w:r>
        <w:rPr>
          <w:spacing w:val="-12"/>
          <w:sz w:val="22"/>
        </w:rPr>
        <w:t> </w:t>
      </w:r>
      <w:r>
        <w:rPr>
          <w:sz w:val="22"/>
        </w:rPr>
        <w:t>se</w:t>
      </w:r>
      <w:r>
        <w:rPr>
          <w:spacing w:val="-11"/>
          <w:sz w:val="22"/>
        </w:rPr>
        <w:t> </w:t>
      </w:r>
      <w:r>
        <w:rPr>
          <w:sz w:val="22"/>
        </w:rPr>
        <w:t>presenta</w:t>
      </w:r>
      <w:r>
        <w:rPr>
          <w:spacing w:val="-14"/>
          <w:sz w:val="22"/>
        </w:rPr>
        <w:t> </w:t>
      </w:r>
      <w:r>
        <w:rPr>
          <w:sz w:val="22"/>
        </w:rPr>
        <w:t>como</w:t>
      </w:r>
      <w:r>
        <w:rPr>
          <w:spacing w:val="-11"/>
          <w:sz w:val="22"/>
        </w:rPr>
        <w:t> </w:t>
      </w:r>
      <w:r>
        <w:rPr>
          <w:sz w:val="22"/>
        </w:rPr>
        <w:t>una</w:t>
      </w:r>
      <w:r>
        <w:rPr>
          <w:spacing w:val="-11"/>
          <w:sz w:val="22"/>
        </w:rPr>
        <w:t> </w:t>
      </w:r>
      <w:r>
        <w:rPr>
          <w:sz w:val="22"/>
        </w:rPr>
        <w:t>de las</w:t>
      </w:r>
      <w:r>
        <w:rPr>
          <w:spacing w:val="-2"/>
          <w:sz w:val="22"/>
        </w:rPr>
        <w:t> </w:t>
      </w:r>
      <w:r>
        <w:rPr>
          <w:sz w:val="22"/>
        </w:rPr>
        <w:t>causas</w:t>
      </w:r>
      <w:r>
        <w:rPr>
          <w:spacing w:val="-2"/>
          <w:sz w:val="22"/>
        </w:rPr>
        <w:t> </w:t>
      </w:r>
      <w:r>
        <w:rPr>
          <w:sz w:val="22"/>
        </w:rPr>
        <w:t>que</w:t>
      </w:r>
      <w:r>
        <w:rPr>
          <w:spacing w:val="-4"/>
          <w:sz w:val="22"/>
        </w:rPr>
        <w:t> </w:t>
      </w:r>
      <w:r>
        <w:rPr>
          <w:sz w:val="22"/>
        </w:rPr>
        <w:t>habrían</w:t>
      </w:r>
      <w:r>
        <w:rPr>
          <w:spacing w:val="-4"/>
          <w:sz w:val="22"/>
        </w:rPr>
        <w:t> </w:t>
      </w:r>
      <w:r>
        <w:rPr>
          <w:sz w:val="22"/>
        </w:rPr>
        <w:t>motivado</w:t>
      </w:r>
      <w:r>
        <w:rPr>
          <w:spacing w:val="-2"/>
          <w:sz w:val="22"/>
        </w:rPr>
        <w:t> </w:t>
      </w:r>
      <w:r>
        <w:rPr>
          <w:sz w:val="22"/>
        </w:rPr>
        <w:t>la</w:t>
      </w:r>
      <w:r>
        <w:rPr>
          <w:spacing w:val="-2"/>
          <w:sz w:val="22"/>
        </w:rPr>
        <w:t> </w:t>
      </w:r>
      <w:r>
        <w:rPr>
          <w:sz w:val="22"/>
        </w:rPr>
        <w:t>adopción</w:t>
      </w:r>
      <w:r>
        <w:rPr>
          <w:spacing w:val="-2"/>
          <w:sz w:val="22"/>
        </w:rPr>
        <w:t> </w:t>
      </w:r>
      <w:r>
        <w:rPr>
          <w:sz w:val="22"/>
        </w:rPr>
        <w:t>de</w:t>
      </w:r>
      <w:r>
        <w:rPr>
          <w:spacing w:val="-4"/>
          <w:sz w:val="22"/>
        </w:rPr>
        <w:t> </w:t>
      </w:r>
      <w:r>
        <w:rPr>
          <w:sz w:val="22"/>
        </w:rPr>
        <w:t>la</w:t>
      </w:r>
      <w:r>
        <w:rPr>
          <w:spacing w:val="-2"/>
          <w:sz w:val="22"/>
        </w:rPr>
        <w:t> </w:t>
      </w:r>
      <w:r>
        <w:rPr>
          <w:sz w:val="22"/>
        </w:rPr>
        <w:t>medida</w:t>
      </w:r>
      <w:r>
        <w:rPr>
          <w:spacing w:val="-2"/>
          <w:sz w:val="22"/>
        </w:rPr>
        <w:t> </w:t>
      </w:r>
      <w:r>
        <w:rPr>
          <w:sz w:val="22"/>
        </w:rPr>
        <w:t>de</w:t>
      </w:r>
      <w:r>
        <w:rPr>
          <w:spacing w:val="-4"/>
          <w:sz w:val="22"/>
        </w:rPr>
        <w:t> </w:t>
      </w:r>
      <w:r>
        <w:rPr>
          <w:sz w:val="22"/>
        </w:rPr>
        <w:t>restricción</w:t>
      </w:r>
      <w:r>
        <w:rPr>
          <w:spacing w:val="-4"/>
          <w:sz w:val="22"/>
        </w:rPr>
        <w:t> </w:t>
      </w:r>
      <w:r>
        <w:rPr>
          <w:sz w:val="22"/>
        </w:rPr>
        <w:t>de</w:t>
      </w:r>
      <w:r>
        <w:rPr>
          <w:spacing w:val="-2"/>
          <w:sz w:val="22"/>
        </w:rPr>
        <w:t> </w:t>
      </w:r>
      <w:r>
        <w:rPr>
          <w:sz w:val="22"/>
        </w:rPr>
        <w:t>ingreso</w:t>
      </w:r>
      <w:r>
        <w:rPr>
          <w:spacing w:val="-2"/>
          <w:sz w:val="22"/>
        </w:rPr>
        <w:t> </w:t>
      </w:r>
      <w:r>
        <w:rPr>
          <w:sz w:val="22"/>
        </w:rPr>
        <w:t>de mercancías a través de las Aduanas de Ipiales y Puerto Asís.</w:t>
      </w:r>
    </w:p>
    <w:p>
      <w:pPr>
        <w:pStyle w:val="BodyText"/>
        <w:spacing w:before="5"/>
        <w:rPr>
          <w:sz w:val="13"/>
        </w:rPr>
      </w:pPr>
      <w:r>
        <w:rPr>
          <w:sz w:val="13"/>
        </w:rPr>
        <mc:AlternateContent>
          <mc:Choice Requires="wps">
            <w:drawing>
              <wp:anchor distT="0" distB="0" distL="0" distR="0" allowOverlap="1" layoutInCell="1" locked="0" behindDoc="1" simplePos="0" relativeHeight="487647744">
                <wp:simplePos x="0" y="0"/>
                <wp:positionH relativeFrom="page">
                  <wp:posOffset>732155</wp:posOffset>
                </wp:positionH>
                <wp:positionV relativeFrom="paragraph">
                  <wp:posOffset>113339</wp:posOffset>
                </wp:positionV>
                <wp:extent cx="6131560" cy="1270"/>
                <wp:effectExtent l="0" t="0" r="0" b="0"/>
                <wp:wrapTopAndBottom/>
                <wp:docPr id="528" name="Graphic 528"/>
                <wp:cNvGraphicFramePr>
                  <a:graphicFrameLocks/>
                </wp:cNvGraphicFramePr>
                <a:graphic>
                  <a:graphicData uri="http://schemas.microsoft.com/office/word/2010/wordprocessingShape">
                    <wps:wsp>
                      <wps:cNvPr id="528" name="Graphic 528"/>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7.650002pt;margin-top:8.924365pt;width:482.8pt;height:.1pt;mso-position-horizontal-relative:page;mso-position-vertical-relative:paragraph;z-index:-15668736;mso-wrap-distance-left:0;mso-wrap-distance-right:0" id="docshape364" coordorigin="1153,178" coordsize="9656,0" path="m1153,178l10809,178e" filled="false" stroked="true" strokeweight=".75pt" strokecolor="#000000">
                <v:path arrowok="t"/>
                <v:stroke dashstyle="solid"/>
                <w10:wrap type="topAndBottom"/>
              </v:shape>
            </w:pict>
          </mc:Fallback>
        </mc:AlternateContent>
      </w:r>
    </w:p>
    <w:p>
      <w:pPr>
        <w:pStyle w:val="BodyText"/>
        <w:spacing w:after="0"/>
        <w:rPr>
          <w:sz w:val="13"/>
        </w:rPr>
        <w:sectPr>
          <w:pgSz w:w="11900" w:h="16850"/>
          <w:pgMar w:header="370" w:footer="597" w:top="1380" w:bottom="78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82" w:hanging="567"/>
        <w:jc w:val="both"/>
        <w:rPr>
          <w:sz w:val="22"/>
        </w:rPr>
      </w:pPr>
      <w:r>
        <w:rPr>
          <w:sz w:val="22"/>
        </w:rPr>
        <w:t>Por su parte, para las subpartidas establecidas en el artículo 3 del Decreto 0170 presentadas en la Tabla No.6, se argumenta de manera general, lo siguiente:</w:t>
      </w:r>
    </w:p>
    <w:p>
      <w:pPr>
        <w:pStyle w:val="ListParagraph"/>
        <w:numPr>
          <w:ilvl w:val="0"/>
          <w:numId w:val="85"/>
        </w:numPr>
        <w:tabs>
          <w:tab w:pos="1561" w:val="left" w:leader="none"/>
        </w:tabs>
        <w:spacing w:line="252" w:lineRule="exact" w:before="252" w:after="0"/>
        <w:ind w:left="1561" w:right="0" w:hanging="427"/>
        <w:jc w:val="left"/>
        <w:rPr>
          <w:sz w:val="22"/>
        </w:rPr>
      </w:pPr>
      <w:r>
        <w:rPr>
          <w:sz w:val="22"/>
        </w:rPr>
        <w:t>Lucha</w:t>
      </w:r>
      <w:r>
        <w:rPr>
          <w:spacing w:val="-4"/>
          <w:sz w:val="22"/>
        </w:rPr>
        <w:t> </w:t>
      </w:r>
      <w:r>
        <w:rPr>
          <w:sz w:val="22"/>
        </w:rPr>
        <w:t>contra</w:t>
      </w:r>
      <w:r>
        <w:rPr>
          <w:spacing w:val="-5"/>
          <w:sz w:val="22"/>
        </w:rPr>
        <w:t> </w:t>
      </w:r>
      <w:r>
        <w:rPr>
          <w:sz w:val="22"/>
        </w:rPr>
        <w:t>el</w:t>
      </w:r>
      <w:r>
        <w:rPr>
          <w:spacing w:val="-4"/>
          <w:sz w:val="22"/>
        </w:rPr>
        <w:t> </w:t>
      </w:r>
      <w:r>
        <w:rPr>
          <w:spacing w:val="-2"/>
          <w:sz w:val="22"/>
        </w:rPr>
        <w:t>fentanilo.</w:t>
      </w:r>
    </w:p>
    <w:p>
      <w:pPr>
        <w:pStyle w:val="ListParagraph"/>
        <w:numPr>
          <w:ilvl w:val="0"/>
          <w:numId w:val="85"/>
        </w:numPr>
        <w:tabs>
          <w:tab w:pos="1562" w:val="left" w:leader="none"/>
        </w:tabs>
        <w:spacing w:line="240" w:lineRule="auto" w:before="0" w:after="0"/>
        <w:ind w:left="1562" w:right="982" w:hanging="428"/>
        <w:jc w:val="left"/>
        <w:rPr>
          <w:sz w:val="22"/>
        </w:rPr>
      </w:pPr>
      <w:r>
        <w:rPr>
          <w:sz w:val="22"/>
        </w:rPr>
        <w:t>Fortalecer</w:t>
      </w:r>
      <w:r>
        <w:rPr>
          <w:spacing w:val="80"/>
          <w:sz w:val="22"/>
        </w:rPr>
        <w:t> </w:t>
      </w:r>
      <w:r>
        <w:rPr>
          <w:sz w:val="22"/>
        </w:rPr>
        <w:t>medidas</w:t>
      </w:r>
      <w:r>
        <w:rPr>
          <w:spacing w:val="80"/>
          <w:sz w:val="22"/>
        </w:rPr>
        <w:t> </w:t>
      </w:r>
      <w:r>
        <w:rPr>
          <w:sz w:val="22"/>
        </w:rPr>
        <w:t>para</w:t>
      </w:r>
      <w:r>
        <w:rPr>
          <w:spacing w:val="80"/>
          <w:sz w:val="22"/>
        </w:rPr>
        <w:t> </w:t>
      </w:r>
      <w:r>
        <w:rPr>
          <w:sz w:val="22"/>
        </w:rPr>
        <w:t>enfrentar</w:t>
      </w:r>
      <w:r>
        <w:rPr>
          <w:spacing w:val="80"/>
          <w:sz w:val="22"/>
        </w:rPr>
        <w:t> </w:t>
      </w:r>
      <w:r>
        <w:rPr>
          <w:sz w:val="22"/>
        </w:rPr>
        <w:t>los</w:t>
      </w:r>
      <w:r>
        <w:rPr>
          <w:spacing w:val="80"/>
          <w:sz w:val="22"/>
        </w:rPr>
        <w:t> </w:t>
      </w:r>
      <w:r>
        <w:rPr>
          <w:sz w:val="22"/>
        </w:rPr>
        <w:t>desafíos</w:t>
      </w:r>
      <w:r>
        <w:rPr>
          <w:spacing w:val="80"/>
          <w:sz w:val="22"/>
        </w:rPr>
        <w:t> </w:t>
      </w:r>
      <w:r>
        <w:rPr>
          <w:sz w:val="22"/>
        </w:rPr>
        <w:t>de</w:t>
      </w:r>
      <w:r>
        <w:rPr>
          <w:spacing w:val="80"/>
          <w:sz w:val="22"/>
        </w:rPr>
        <w:t> </w:t>
      </w:r>
      <w:r>
        <w:rPr>
          <w:sz w:val="22"/>
        </w:rPr>
        <w:t>las</w:t>
      </w:r>
      <w:r>
        <w:rPr>
          <w:spacing w:val="80"/>
          <w:sz w:val="22"/>
        </w:rPr>
        <w:t> </w:t>
      </w:r>
      <w:r>
        <w:rPr>
          <w:sz w:val="22"/>
        </w:rPr>
        <w:t>Nuevas</w:t>
      </w:r>
      <w:r>
        <w:rPr>
          <w:spacing w:val="80"/>
          <w:sz w:val="22"/>
        </w:rPr>
        <w:t> </w:t>
      </w:r>
      <w:r>
        <w:rPr>
          <w:sz w:val="22"/>
        </w:rPr>
        <w:t>Sustancias Psicoactivas (NSP).</w:t>
      </w:r>
    </w:p>
    <w:p>
      <w:pPr>
        <w:pStyle w:val="ListParagraph"/>
        <w:numPr>
          <w:ilvl w:val="0"/>
          <w:numId w:val="85"/>
        </w:numPr>
        <w:tabs>
          <w:tab w:pos="1562" w:val="left" w:leader="none"/>
        </w:tabs>
        <w:spacing w:line="240" w:lineRule="auto" w:before="0" w:after="0"/>
        <w:ind w:left="1562" w:right="982" w:hanging="428"/>
        <w:jc w:val="left"/>
        <w:rPr>
          <w:sz w:val="22"/>
        </w:rPr>
      </w:pPr>
      <w:r>
        <w:rPr>
          <w:sz w:val="22"/>
        </w:rPr>
        <w:t>Controlar</w:t>
      </w:r>
      <w:r>
        <w:rPr>
          <w:spacing w:val="40"/>
          <w:sz w:val="22"/>
        </w:rPr>
        <w:t> </w:t>
      </w:r>
      <w:r>
        <w:rPr>
          <w:sz w:val="22"/>
        </w:rPr>
        <w:t>y</w:t>
      </w:r>
      <w:r>
        <w:rPr>
          <w:spacing w:val="40"/>
          <w:sz w:val="22"/>
        </w:rPr>
        <w:t> </w:t>
      </w:r>
      <w:r>
        <w:rPr>
          <w:sz w:val="22"/>
        </w:rPr>
        <w:t>vigilar</w:t>
      </w:r>
      <w:r>
        <w:rPr>
          <w:spacing w:val="40"/>
          <w:sz w:val="22"/>
        </w:rPr>
        <w:t> </w:t>
      </w:r>
      <w:r>
        <w:rPr>
          <w:sz w:val="22"/>
        </w:rPr>
        <w:t>las</w:t>
      </w:r>
      <w:r>
        <w:rPr>
          <w:spacing w:val="40"/>
          <w:sz w:val="22"/>
        </w:rPr>
        <w:t> </w:t>
      </w:r>
      <w:r>
        <w:rPr>
          <w:sz w:val="22"/>
        </w:rPr>
        <w:t>sustancias</w:t>
      </w:r>
      <w:r>
        <w:rPr>
          <w:spacing w:val="40"/>
          <w:sz w:val="22"/>
        </w:rPr>
        <w:t> </w:t>
      </w:r>
      <w:r>
        <w:rPr>
          <w:sz w:val="22"/>
        </w:rPr>
        <w:t>y</w:t>
      </w:r>
      <w:r>
        <w:rPr>
          <w:spacing w:val="40"/>
          <w:sz w:val="22"/>
        </w:rPr>
        <w:t> </w:t>
      </w:r>
      <w:r>
        <w:rPr>
          <w:sz w:val="22"/>
        </w:rPr>
        <w:t>elementos</w:t>
      </w:r>
      <w:r>
        <w:rPr>
          <w:spacing w:val="40"/>
          <w:sz w:val="22"/>
        </w:rPr>
        <w:t> </w:t>
      </w:r>
      <w:r>
        <w:rPr>
          <w:sz w:val="22"/>
        </w:rPr>
        <w:t>que</w:t>
      </w:r>
      <w:r>
        <w:rPr>
          <w:spacing w:val="40"/>
          <w:sz w:val="22"/>
        </w:rPr>
        <w:t> </w:t>
      </w:r>
      <w:r>
        <w:rPr>
          <w:sz w:val="22"/>
        </w:rPr>
        <w:t>puedan</w:t>
      </w:r>
      <w:r>
        <w:rPr>
          <w:spacing w:val="40"/>
          <w:sz w:val="22"/>
        </w:rPr>
        <w:t> </w:t>
      </w:r>
      <w:r>
        <w:rPr>
          <w:sz w:val="22"/>
        </w:rPr>
        <w:t>introducirse</w:t>
      </w:r>
      <w:r>
        <w:rPr>
          <w:spacing w:val="40"/>
          <w:sz w:val="22"/>
        </w:rPr>
        <w:t> </w:t>
      </w:r>
      <w:r>
        <w:rPr>
          <w:sz w:val="22"/>
        </w:rPr>
        <w:t>para</w:t>
      </w:r>
      <w:r>
        <w:rPr>
          <w:spacing w:val="40"/>
          <w:sz w:val="22"/>
        </w:rPr>
        <w:t> </w:t>
      </w:r>
      <w:r>
        <w:rPr>
          <w:sz w:val="22"/>
        </w:rPr>
        <w:t>el procesamiento ilícito de fentanilo.</w:t>
      </w:r>
    </w:p>
    <w:p>
      <w:pPr>
        <w:pStyle w:val="Heading6"/>
        <w:spacing w:before="253"/>
        <w:ind w:right="411"/>
        <w:jc w:val="center"/>
      </w:pPr>
      <w:r>
        <w:rPr/>
        <w:t>Tabla</w:t>
      </w:r>
      <w:r>
        <w:rPr>
          <w:spacing w:val="-2"/>
        </w:rPr>
        <w:t> </w:t>
      </w:r>
      <w:r>
        <w:rPr/>
        <w:t>No.</w:t>
      </w:r>
      <w:r>
        <w:rPr>
          <w:spacing w:val="-2"/>
        </w:rPr>
        <w:t> </w:t>
      </w:r>
      <w:r>
        <w:rPr>
          <w:spacing w:val="-10"/>
        </w:rPr>
        <w:t>6</w:t>
      </w:r>
    </w:p>
    <w:p>
      <w:pPr>
        <w:spacing w:before="1"/>
        <w:ind w:left="2339" w:right="2753" w:firstLine="0"/>
        <w:jc w:val="center"/>
        <w:rPr>
          <w:rFonts w:ascii="Arial" w:hAnsi="Arial"/>
          <w:b/>
          <w:sz w:val="22"/>
        </w:rPr>
      </w:pPr>
      <w:r>
        <w:rPr>
          <w:rFonts w:ascii="Arial" w:hAnsi="Arial"/>
          <w:b/>
          <w:sz w:val="22"/>
        </w:rPr>
        <w:t>Productos</w:t>
      </w:r>
      <w:r>
        <w:rPr>
          <w:rFonts w:ascii="Arial" w:hAnsi="Arial"/>
          <w:b/>
          <w:spacing w:val="-5"/>
          <w:sz w:val="22"/>
        </w:rPr>
        <w:t> </w:t>
      </w:r>
      <w:r>
        <w:rPr>
          <w:rFonts w:ascii="Arial" w:hAnsi="Arial"/>
          <w:b/>
          <w:sz w:val="22"/>
        </w:rPr>
        <w:t>incluidos</w:t>
      </w:r>
      <w:r>
        <w:rPr>
          <w:rFonts w:ascii="Arial" w:hAnsi="Arial"/>
          <w:b/>
          <w:spacing w:val="-3"/>
          <w:sz w:val="22"/>
        </w:rPr>
        <w:t> </w:t>
      </w:r>
      <w:r>
        <w:rPr>
          <w:rFonts w:ascii="Arial" w:hAnsi="Arial"/>
          <w:b/>
          <w:sz w:val="22"/>
        </w:rPr>
        <w:t>en</w:t>
      </w:r>
      <w:r>
        <w:rPr>
          <w:rFonts w:ascii="Arial" w:hAnsi="Arial"/>
          <w:b/>
          <w:spacing w:val="-5"/>
          <w:sz w:val="22"/>
        </w:rPr>
        <w:t> </w:t>
      </w:r>
      <w:r>
        <w:rPr>
          <w:rFonts w:ascii="Arial" w:hAnsi="Arial"/>
          <w:b/>
          <w:sz w:val="22"/>
        </w:rPr>
        <w:t>el</w:t>
      </w:r>
      <w:r>
        <w:rPr>
          <w:rFonts w:ascii="Arial" w:hAnsi="Arial"/>
          <w:b/>
          <w:spacing w:val="-4"/>
          <w:sz w:val="22"/>
        </w:rPr>
        <w:t> </w:t>
      </w:r>
      <w:r>
        <w:rPr>
          <w:rFonts w:ascii="Arial" w:hAnsi="Arial"/>
          <w:b/>
          <w:sz w:val="22"/>
        </w:rPr>
        <w:t>artículo</w:t>
      </w:r>
      <w:r>
        <w:rPr>
          <w:rFonts w:ascii="Arial" w:hAnsi="Arial"/>
          <w:b/>
          <w:spacing w:val="-5"/>
          <w:sz w:val="22"/>
        </w:rPr>
        <w:t> </w:t>
      </w:r>
      <w:r>
        <w:rPr>
          <w:rFonts w:ascii="Arial" w:hAnsi="Arial"/>
          <w:b/>
          <w:sz w:val="22"/>
        </w:rPr>
        <w:t>3</w:t>
      </w:r>
      <w:r>
        <w:rPr>
          <w:rFonts w:ascii="Arial" w:hAnsi="Arial"/>
          <w:b/>
          <w:spacing w:val="-5"/>
          <w:sz w:val="22"/>
        </w:rPr>
        <w:t> </w:t>
      </w:r>
      <w:r>
        <w:rPr>
          <w:rFonts w:ascii="Arial" w:hAnsi="Arial"/>
          <w:b/>
          <w:sz w:val="22"/>
        </w:rPr>
        <w:t>del</w:t>
      </w:r>
      <w:r>
        <w:rPr>
          <w:rFonts w:ascii="Arial" w:hAnsi="Arial"/>
          <w:b/>
          <w:spacing w:val="-4"/>
          <w:sz w:val="22"/>
        </w:rPr>
        <w:t> </w:t>
      </w:r>
      <w:r>
        <w:rPr>
          <w:rFonts w:ascii="Arial" w:hAnsi="Arial"/>
          <w:b/>
          <w:sz w:val="22"/>
        </w:rPr>
        <w:t>Decreto</w:t>
      </w:r>
      <w:r>
        <w:rPr>
          <w:rFonts w:ascii="Arial" w:hAnsi="Arial"/>
          <w:b/>
          <w:spacing w:val="-3"/>
          <w:sz w:val="22"/>
        </w:rPr>
        <w:t> </w:t>
      </w:r>
      <w:r>
        <w:rPr>
          <w:rFonts w:ascii="Arial" w:hAnsi="Arial"/>
          <w:b/>
          <w:sz w:val="22"/>
        </w:rPr>
        <w:t>0170 Resumen de argumentos</w:t>
      </w:r>
    </w:p>
    <w:tbl>
      <w:tblPr>
        <w:tblW w:w="0" w:type="auto"/>
        <w:jc w:val="left"/>
        <w:tblInd w:w="7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97"/>
        <w:gridCol w:w="1743"/>
        <w:gridCol w:w="3862"/>
      </w:tblGrid>
      <w:tr>
        <w:trPr>
          <w:trHeight w:val="599" w:hRule="atLeast"/>
        </w:trPr>
        <w:tc>
          <w:tcPr>
            <w:tcW w:w="2797" w:type="dxa"/>
            <w:shd w:val="clear" w:color="auto" w:fill="E8E8E8"/>
          </w:tcPr>
          <w:p>
            <w:pPr>
              <w:pStyle w:val="TableParagraph"/>
              <w:spacing w:before="90"/>
              <w:ind w:left="758" w:right="201" w:hanging="540"/>
              <w:rPr>
                <w:rFonts w:ascii="Arial"/>
                <w:b/>
                <w:sz w:val="18"/>
              </w:rPr>
            </w:pPr>
            <w:r>
              <w:rPr>
                <w:rFonts w:ascii="Arial"/>
                <w:b/>
                <w:sz w:val="18"/>
              </w:rPr>
              <w:t>PRODUCTO</w:t>
            </w:r>
            <w:r>
              <w:rPr>
                <w:rFonts w:ascii="Arial"/>
                <w:b/>
                <w:spacing w:val="-13"/>
                <w:sz w:val="18"/>
              </w:rPr>
              <w:t> </w:t>
            </w:r>
            <w:r>
              <w:rPr>
                <w:rFonts w:ascii="Arial"/>
                <w:b/>
                <w:sz w:val="18"/>
              </w:rPr>
              <w:t>REFERENCIAL DECRETO 0170</w:t>
            </w:r>
          </w:p>
        </w:tc>
        <w:tc>
          <w:tcPr>
            <w:tcW w:w="1743" w:type="dxa"/>
            <w:shd w:val="clear" w:color="auto" w:fill="E8E8E8"/>
          </w:tcPr>
          <w:p>
            <w:pPr>
              <w:pStyle w:val="TableParagraph"/>
              <w:spacing w:before="90"/>
              <w:ind w:left="220" w:firstLine="249"/>
              <w:rPr>
                <w:rFonts w:ascii="Arial" w:hAnsi="Arial"/>
                <w:b/>
                <w:sz w:val="18"/>
              </w:rPr>
            </w:pPr>
            <w:r>
              <w:rPr>
                <w:rFonts w:ascii="Arial" w:hAnsi="Arial"/>
                <w:b/>
                <w:spacing w:val="-2"/>
                <w:sz w:val="18"/>
              </w:rPr>
              <w:t>NÚMERO SUBPARTIDAS</w:t>
            </w:r>
          </w:p>
        </w:tc>
        <w:tc>
          <w:tcPr>
            <w:tcW w:w="3862" w:type="dxa"/>
            <w:shd w:val="clear" w:color="auto" w:fill="E8E8E8"/>
          </w:tcPr>
          <w:p>
            <w:pPr>
              <w:pStyle w:val="TableParagraph"/>
              <w:spacing w:before="195"/>
              <w:ind w:left="649"/>
              <w:rPr>
                <w:rFonts w:ascii="Arial"/>
                <w:b/>
                <w:sz w:val="18"/>
              </w:rPr>
            </w:pPr>
            <w:r>
              <w:rPr>
                <w:rFonts w:ascii="Arial"/>
                <w:b/>
                <w:sz w:val="18"/>
              </w:rPr>
              <w:t>ARGUMENTO</w:t>
            </w:r>
            <w:r>
              <w:rPr>
                <w:rFonts w:ascii="Arial"/>
                <w:b/>
                <w:spacing w:val="-5"/>
                <w:sz w:val="18"/>
              </w:rPr>
              <w:t> </w:t>
            </w:r>
            <w:r>
              <w:rPr>
                <w:rFonts w:ascii="Arial"/>
                <w:b/>
                <w:sz w:val="18"/>
              </w:rPr>
              <w:t>DECRETO</w:t>
            </w:r>
            <w:r>
              <w:rPr>
                <w:rFonts w:ascii="Arial"/>
                <w:b/>
                <w:spacing w:val="-3"/>
                <w:sz w:val="18"/>
              </w:rPr>
              <w:t> </w:t>
            </w:r>
            <w:r>
              <w:rPr>
                <w:rFonts w:ascii="Arial"/>
                <w:b/>
                <w:spacing w:val="-4"/>
                <w:sz w:val="18"/>
              </w:rPr>
              <w:t>0170</w:t>
            </w:r>
          </w:p>
        </w:tc>
      </w:tr>
      <w:tr>
        <w:trPr>
          <w:trHeight w:val="412" w:hRule="atLeast"/>
        </w:trPr>
        <w:tc>
          <w:tcPr>
            <w:tcW w:w="2797" w:type="dxa"/>
          </w:tcPr>
          <w:p>
            <w:pPr>
              <w:pStyle w:val="TableParagraph"/>
              <w:spacing w:before="102"/>
              <w:ind w:left="9"/>
              <w:jc w:val="center"/>
              <w:rPr>
                <w:sz w:val="18"/>
              </w:rPr>
            </w:pPr>
            <w:r>
              <w:rPr>
                <w:spacing w:val="-2"/>
                <w:sz w:val="18"/>
              </w:rPr>
              <w:t>Fentanilo</w:t>
            </w:r>
          </w:p>
        </w:tc>
        <w:tc>
          <w:tcPr>
            <w:tcW w:w="1743" w:type="dxa"/>
          </w:tcPr>
          <w:p>
            <w:pPr>
              <w:pStyle w:val="TableParagraph"/>
              <w:spacing w:before="102"/>
              <w:ind w:left="7"/>
              <w:jc w:val="center"/>
              <w:rPr>
                <w:sz w:val="18"/>
              </w:rPr>
            </w:pPr>
            <w:r>
              <w:rPr>
                <w:spacing w:val="-10"/>
                <w:sz w:val="18"/>
              </w:rPr>
              <w:t>3</w:t>
            </w:r>
          </w:p>
        </w:tc>
        <w:tc>
          <w:tcPr>
            <w:tcW w:w="3862" w:type="dxa"/>
          </w:tcPr>
          <w:p>
            <w:pPr>
              <w:pStyle w:val="TableParagraph"/>
              <w:spacing w:line="206" w:lineRule="exact"/>
              <w:ind w:left="68" w:right="63"/>
              <w:rPr>
                <w:sz w:val="18"/>
              </w:rPr>
            </w:pPr>
            <w:r>
              <w:rPr>
                <w:sz w:val="18"/>
              </w:rPr>
              <w:t>Sustancia</w:t>
            </w:r>
            <w:r>
              <w:rPr>
                <w:spacing w:val="40"/>
                <w:sz w:val="18"/>
              </w:rPr>
              <w:t> </w:t>
            </w:r>
            <w:r>
              <w:rPr>
                <w:sz w:val="18"/>
              </w:rPr>
              <w:t>que</w:t>
            </w:r>
            <w:r>
              <w:rPr>
                <w:spacing w:val="40"/>
                <w:sz w:val="18"/>
              </w:rPr>
              <w:t> </w:t>
            </w:r>
            <w:r>
              <w:rPr>
                <w:sz w:val="18"/>
              </w:rPr>
              <w:t>amenaza</w:t>
            </w:r>
            <w:r>
              <w:rPr>
                <w:spacing w:val="40"/>
                <w:sz w:val="18"/>
              </w:rPr>
              <w:t> </w:t>
            </w:r>
            <w:r>
              <w:rPr>
                <w:sz w:val="18"/>
              </w:rPr>
              <w:t>la</w:t>
            </w:r>
            <w:r>
              <w:rPr>
                <w:spacing w:val="40"/>
                <w:sz w:val="18"/>
              </w:rPr>
              <w:t> </w:t>
            </w:r>
            <w:r>
              <w:rPr>
                <w:sz w:val="18"/>
              </w:rPr>
              <w:t>salud,</w:t>
            </w:r>
            <w:r>
              <w:rPr>
                <w:spacing w:val="40"/>
                <w:sz w:val="18"/>
              </w:rPr>
              <w:t> </w:t>
            </w:r>
            <w:r>
              <w:rPr>
                <w:sz w:val="18"/>
              </w:rPr>
              <w:t>fortalecer medidas nacionales,</w:t>
            </w:r>
          </w:p>
        </w:tc>
      </w:tr>
    </w:tbl>
    <w:p>
      <w:pPr>
        <w:spacing w:before="1"/>
        <w:ind w:left="995" w:right="7986" w:firstLine="0"/>
        <w:jc w:val="left"/>
        <w:rPr>
          <w:rFonts w:ascii="Arial" w:hAnsi="Arial"/>
          <w:b/>
          <w:sz w:val="16"/>
        </w:rPr>
      </w:pPr>
      <w:r>
        <w:rPr>
          <w:rFonts w:ascii="Arial" w:hAnsi="Arial"/>
          <w:b/>
          <w:sz w:val="16"/>
        </w:rPr>
        <w:t>Fuente: SICEXT. Elaboración:</w:t>
      </w:r>
      <w:r>
        <w:rPr>
          <w:rFonts w:ascii="Arial" w:hAnsi="Arial"/>
          <w:b/>
          <w:spacing w:val="-12"/>
          <w:sz w:val="16"/>
        </w:rPr>
        <w:t> </w:t>
      </w:r>
      <w:r>
        <w:rPr>
          <w:rFonts w:ascii="Arial" w:hAnsi="Arial"/>
          <w:b/>
          <w:sz w:val="16"/>
        </w:rPr>
        <w:t>SGCAN.</w:t>
      </w:r>
    </w:p>
    <w:p>
      <w:pPr>
        <w:pStyle w:val="BodyText"/>
        <w:rPr>
          <w:rFonts w:ascii="Arial"/>
          <w:b/>
          <w:sz w:val="16"/>
        </w:rPr>
      </w:pPr>
    </w:p>
    <w:p>
      <w:pPr>
        <w:pStyle w:val="BodyText"/>
        <w:spacing w:before="141"/>
        <w:rPr>
          <w:rFonts w:ascii="Arial"/>
          <w:b/>
          <w:sz w:val="16"/>
        </w:rPr>
      </w:pPr>
    </w:p>
    <w:p>
      <w:pPr>
        <w:pStyle w:val="Heading6"/>
        <w:numPr>
          <w:ilvl w:val="0"/>
          <w:numId w:val="86"/>
        </w:numPr>
        <w:tabs>
          <w:tab w:pos="1134" w:val="left" w:leader="none"/>
        </w:tabs>
        <w:spacing w:line="237" w:lineRule="auto" w:before="0" w:after="0"/>
        <w:ind w:left="1134" w:right="982" w:hanging="360"/>
        <w:jc w:val="left"/>
      </w:pPr>
      <w:r>
        <w:rPr/>
        <w:t>Evaluación</w:t>
      </w:r>
      <w:r>
        <w:rPr>
          <w:spacing w:val="40"/>
        </w:rPr>
        <w:t> </w:t>
      </w:r>
      <w:r>
        <w:rPr/>
        <w:t>sobre</w:t>
      </w:r>
      <w:r>
        <w:rPr>
          <w:spacing w:val="40"/>
        </w:rPr>
        <w:t> </w:t>
      </w:r>
      <w:r>
        <w:rPr/>
        <w:t>si</w:t>
      </w:r>
      <w:r>
        <w:rPr>
          <w:spacing w:val="40"/>
        </w:rPr>
        <w:t> </w:t>
      </w:r>
      <w:r>
        <w:rPr/>
        <w:t>la</w:t>
      </w:r>
      <w:r>
        <w:rPr>
          <w:spacing w:val="40"/>
        </w:rPr>
        <w:t> </w:t>
      </w:r>
      <w:r>
        <w:rPr/>
        <w:t>medida</w:t>
      </w:r>
      <w:r>
        <w:rPr>
          <w:spacing w:val="40"/>
        </w:rPr>
        <w:t> </w:t>
      </w:r>
      <w:r>
        <w:rPr/>
        <w:t>objeto</w:t>
      </w:r>
      <w:r>
        <w:rPr>
          <w:spacing w:val="40"/>
        </w:rPr>
        <w:t> </w:t>
      </w:r>
      <w:r>
        <w:rPr/>
        <w:t>de</w:t>
      </w:r>
      <w:r>
        <w:rPr>
          <w:spacing w:val="40"/>
        </w:rPr>
        <w:t> </w:t>
      </w:r>
      <w:r>
        <w:rPr/>
        <w:t>investigación</w:t>
      </w:r>
      <w:r>
        <w:rPr>
          <w:spacing w:val="40"/>
        </w:rPr>
        <w:t> </w:t>
      </w:r>
      <w:r>
        <w:rPr/>
        <w:t>impide</w:t>
      </w:r>
      <w:r>
        <w:rPr>
          <w:spacing w:val="40"/>
        </w:rPr>
        <w:t> </w:t>
      </w:r>
      <w:r>
        <w:rPr/>
        <w:t>o</w:t>
      </w:r>
      <w:r>
        <w:rPr>
          <w:spacing w:val="40"/>
        </w:rPr>
        <w:t> </w:t>
      </w:r>
      <w:r>
        <w:rPr/>
        <w:t>dificulta</w:t>
      </w:r>
      <w:r>
        <w:rPr>
          <w:spacing w:val="40"/>
        </w:rPr>
        <w:t> </w:t>
      </w:r>
      <w:r>
        <w:rPr/>
        <w:t>las </w:t>
      </w:r>
      <w:r>
        <w:rPr>
          <w:spacing w:val="-2"/>
        </w:rPr>
        <w:t>importaciones</w:t>
      </w:r>
    </w:p>
    <w:p>
      <w:pPr>
        <w:pStyle w:val="BodyText"/>
        <w:spacing w:before="241"/>
        <w:rPr>
          <w:rFonts w:ascii="Arial"/>
          <w:b/>
        </w:rPr>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En el presente acápite se analizará si la medida objeto de investigación, establecida mediante Decreto 0170, ha impedido o dificultado las importaciones de origen ecuatoriano,</w:t>
      </w:r>
      <w:r>
        <w:rPr>
          <w:spacing w:val="-6"/>
          <w:sz w:val="22"/>
        </w:rPr>
        <w:t> </w:t>
      </w:r>
      <w:r>
        <w:rPr>
          <w:sz w:val="22"/>
        </w:rPr>
        <w:t>en</w:t>
      </w:r>
      <w:r>
        <w:rPr>
          <w:spacing w:val="-6"/>
          <w:sz w:val="22"/>
        </w:rPr>
        <w:t> </w:t>
      </w:r>
      <w:r>
        <w:rPr>
          <w:sz w:val="22"/>
        </w:rPr>
        <w:t>el</w:t>
      </w:r>
      <w:r>
        <w:rPr>
          <w:spacing w:val="-6"/>
          <w:sz w:val="22"/>
        </w:rPr>
        <w:t> </w:t>
      </w:r>
      <w:r>
        <w:rPr>
          <w:sz w:val="22"/>
        </w:rPr>
        <w:t>marco</w:t>
      </w:r>
      <w:r>
        <w:rPr>
          <w:spacing w:val="-8"/>
          <w:sz w:val="22"/>
        </w:rPr>
        <w:t> </w:t>
      </w:r>
      <w:r>
        <w:rPr>
          <w:sz w:val="22"/>
        </w:rPr>
        <w:t>de</w:t>
      </w:r>
      <w:r>
        <w:rPr>
          <w:spacing w:val="-6"/>
          <w:sz w:val="22"/>
        </w:rPr>
        <w:t> </w:t>
      </w:r>
      <w:r>
        <w:rPr>
          <w:sz w:val="22"/>
        </w:rPr>
        <w:t>lo</w:t>
      </w:r>
      <w:r>
        <w:rPr>
          <w:spacing w:val="-5"/>
          <w:sz w:val="22"/>
        </w:rPr>
        <w:t> </w:t>
      </w:r>
      <w:r>
        <w:rPr>
          <w:sz w:val="22"/>
        </w:rPr>
        <w:t>establecido</w:t>
      </w:r>
      <w:r>
        <w:rPr>
          <w:spacing w:val="-6"/>
          <w:sz w:val="22"/>
        </w:rPr>
        <w:t> </w:t>
      </w:r>
      <w:r>
        <w:rPr>
          <w:sz w:val="22"/>
        </w:rPr>
        <w:t>en</w:t>
      </w:r>
      <w:r>
        <w:rPr>
          <w:spacing w:val="-6"/>
          <w:sz w:val="22"/>
        </w:rPr>
        <w:t> </w:t>
      </w:r>
      <w:r>
        <w:rPr>
          <w:sz w:val="22"/>
        </w:rPr>
        <w:t>el</w:t>
      </w:r>
      <w:r>
        <w:rPr>
          <w:spacing w:val="-6"/>
          <w:sz w:val="22"/>
        </w:rPr>
        <w:t> </w:t>
      </w:r>
      <w:r>
        <w:rPr>
          <w:sz w:val="22"/>
        </w:rPr>
        <w:t>artículo</w:t>
      </w:r>
      <w:r>
        <w:rPr>
          <w:spacing w:val="-5"/>
          <w:sz w:val="22"/>
        </w:rPr>
        <w:t> </w:t>
      </w:r>
      <w:r>
        <w:rPr>
          <w:sz w:val="22"/>
        </w:rPr>
        <w:t>73</w:t>
      </w:r>
      <w:r>
        <w:rPr>
          <w:spacing w:val="-6"/>
          <w:sz w:val="22"/>
        </w:rPr>
        <w:t> </w:t>
      </w:r>
      <w:r>
        <w:rPr>
          <w:sz w:val="22"/>
        </w:rPr>
        <w:t>del</w:t>
      </w:r>
      <w:r>
        <w:rPr>
          <w:spacing w:val="-6"/>
          <w:sz w:val="22"/>
        </w:rPr>
        <w:t> </w:t>
      </w:r>
      <w:r>
        <w:rPr>
          <w:sz w:val="22"/>
        </w:rPr>
        <w:t>Acuerdo</w:t>
      </w:r>
      <w:r>
        <w:rPr>
          <w:spacing w:val="-6"/>
          <w:sz w:val="22"/>
        </w:rPr>
        <w:t> </w:t>
      </w:r>
      <w:r>
        <w:rPr>
          <w:sz w:val="22"/>
        </w:rPr>
        <w:t>de</w:t>
      </w:r>
      <w:r>
        <w:rPr>
          <w:spacing w:val="-8"/>
          <w:sz w:val="22"/>
        </w:rPr>
        <w:t> </w:t>
      </w:r>
      <w:r>
        <w:rPr>
          <w:sz w:val="22"/>
        </w:rPr>
        <w:t>Cartagena</w:t>
      </w:r>
      <w:r>
        <w:rPr>
          <w:spacing w:val="-5"/>
          <w:sz w:val="22"/>
        </w:rPr>
        <w:t> </w:t>
      </w:r>
      <w:r>
        <w:rPr>
          <w:sz w:val="22"/>
        </w:rPr>
        <w:t>y la jurisprudencia del TJCAN.</w:t>
      </w:r>
    </w:p>
    <w:p>
      <w:pPr>
        <w:pStyle w:val="BodyText"/>
        <w:spacing w:before="2"/>
      </w:pPr>
    </w:p>
    <w:p>
      <w:pPr>
        <w:pStyle w:val="Heading6"/>
        <w:numPr>
          <w:ilvl w:val="0"/>
          <w:numId w:val="87"/>
        </w:numPr>
        <w:tabs>
          <w:tab w:pos="1134" w:val="left" w:leader="none"/>
        </w:tabs>
        <w:spacing w:line="240" w:lineRule="auto" w:before="0" w:after="0"/>
        <w:ind w:left="1134" w:right="0" w:hanging="360"/>
        <w:jc w:val="left"/>
      </w:pPr>
      <w:r>
        <w:rPr>
          <w:spacing w:val="-2"/>
        </w:rPr>
        <w:t>Consideraciones</w:t>
      </w:r>
      <w:r>
        <w:rPr>
          <w:spacing w:val="13"/>
        </w:rPr>
        <w:t> </w:t>
      </w:r>
      <w:r>
        <w:rPr>
          <w:spacing w:val="-2"/>
        </w:rPr>
        <w:t>iniciales</w:t>
      </w:r>
    </w:p>
    <w:p>
      <w:pPr>
        <w:pStyle w:val="BodyText"/>
        <w:spacing w:before="236"/>
        <w:rPr>
          <w:rFonts w:ascii="Arial"/>
          <w:b/>
        </w:rPr>
      </w:pPr>
    </w:p>
    <w:p>
      <w:pPr>
        <w:pStyle w:val="ListParagraph"/>
        <w:numPr>
          <w:ilvl w:val="0"/>
          <w:numId w:val="50"/>
        </w:numPr>
        <w:tabs>
          <w:tab w:pos="1130" w:val="left" w:leader="none"/>
          <w:tab w:pos="1134" w:val="left" w:leader="none"/>
        </w:tabs>
        <w:spacing w:line="240" w:lineRule="auto" w:before="1" w:after="0"/>
        <w:ind w:left="1134" w:right="975" w:hanging="567"/>
        <w:jc w:val="both"/>
        <w:rPr>
          <w:sz w:val="22"/>
        </w:rPr>
      </w:pPr>
      <w:r>
        <w:rPr>
          <w:sz w:val="22"/>
        </w:rPr>
        <w:t>En</w:t>
      </w:r>
      <w:r>
        <w:rPr>
          <w:spacing w:val="-13"/>
          <w:sz w:val="22"/>
        </w:rPr>
        <w:t> </w:t>
      </w:r>
      <w:r>
        <w:rPr>
          <w:sz w:val="22"/>
        </w:rPr>
        <w:t>la</w:t>
      </w:r>
      <w:r>
        <w:rPr>
          <w:spacing w:val="-13"/>
          <w:sz w:val="22"/>
        </w:rPr>
        <w:t> </w:t>
      </w:r>
      <w:r>
        <w:rPr>
          <w:sz w:val="22"/>
        </w:rPr>
        <w:t>norma</w:t>
      </w:r>
      <w:r>
        <w:rPr>
          <w:spacing w:val="-13"/>
          <w:sz w:val="22"/>
        </w:rPr>
        <w:t> </w:t>
      </w:r>
      <w:r>
        <w:rPr>
          <w:sz w:val="22"/>
        </w:rPr>
        <w:t>andina</w:t>
      </w:r>
      <w:r>
        <w:rPr>
          <w:spacing w:val="-13"/>
          <w:sz w:val="22"/>
        </w:rPr>
        <w:t> </w:t>
      </w:r>
      <w:r>
        <w:rPr>
          <w:sz w:val="22"/>
        </w:rPr>
        <w:t>y</w:t>
      </w:r>
      <w:r>
        <w:rPr>
          <w:spacing w:val="-12"/>
          <w:sz w:val="22"/>
        </w:rPr>
        <w:t> </w:t>
      </w:r>
      <w:r>
        <w:rPr>
          <w:sz w:val="22"/>
        </w:rPr>
        <w:t>su</w:t>
      </w:r>
      <w:r>
        <w:rPr>
          <w:spacing w:val="-14"/>
          <w:sz w:val="22"/>
        </w:rPr>
        <w:t> </w:t>
      </w:r>
      <w:r>
        <w:rPr>
          <w:sz w:val="22"/>
        </w:rPr>
        <w:t>jurisprudencia</w:t>
      </w:r>
      <w:r>
        <w:rPr>
          <w:spacing w:val="-12"/>
          <w:sz w:val="22"/>
        </w:rPr>
        <w:t> </w:t>
      </w:r>
      <w:r>
        <w:rPr>
          <w:sz w:val="22"/>
        </w:rPr>
        <w:t>se</w:t>
      </w:r>
      <w:r>
        <w:rPr>
          <w:spacing w:val="-13"/>
          <w:sz w:val="22"/>
        </w:rPr>
        <w:t> </w:t>
      </w:r>
      <w:r>
        <w:rPr>
          <w:sz w:val="22"/>
        </w:rPr>
        <w:t>distinguen</w:t>
      </w:r>
      <w:r>
        <w:rPr>
          <w:spacing w:val="-13"/>
          <w:sz w:val="22"/>
        </w:rPr>
        <w:t> </w:t>
      </w:r>
      <w:r>
        <w:rPr>
          <w:sz w:val="22"/>
        </w:rPr>
        <w:t>dos</w:t>
      </w:r>
      <w:r>
        <w:rPr>
          <w:spacing w:val="-12"/>
          <w:sz w:val="22"/>
        </w:rPr>
        <w:t> </w:t>
      </w:r>
      <w:r>
        <w:rPr>
          <w:rFonts w:ascii="Arial" w:hAnsi="Arial"/>
          <w:b/>
          <w:sz w:val="22"/>
        </w:rPr>
        <w:t>tipos</w:t>
      </w:r>
      <w:r>
        <w:rPr>
          <w:rFonts w:ascii="Arial" w:hAnsi="Arial"/>
          <w:b/>
          <w:spacing w:val="-13"/>
          <w:sz w:val="22"/>
        </w:rPr>
        <w:t> </w:t>
      </w:r>
      <w:r>
        <w:rPr>
          <w:rFonts w:ascii="Arial" w:hAnsi="Arial"/>
          <w:b/>
          <w:sz w:val="22"/>
        </w:rPr>
        <w:t>de</w:t>
      </w:r>
      <w:r>
        <w:rPr>
          <w:rFonts w:ascii="Arial" w:hAnsi="Arial"/>
          <w:b/>
          <w:spacing w:val="-16"/>
          <w:sz w:val="22"/>
        </w:rPr>
        <w:t> </w:t>
      </w:r>
      <w:r>
        <w:rPr>
          <w:rFonts w:ascii="Arial" w:hAnsi="Arial"/>
          <w:b/>
          <w:sz w:val="22"/>
        </w:rPr>
        <w:t>análisis</w:t>
      </w:r>
      <w:r>
        <w:rPr>
          <w:rFonts w:ascii="Arial" w:hAnsi="Arial"/>
          <w:b/>
          <w:spacing w:val="-12"/>
          <w:sz w:val="22"/>
        </w:rPr>
        <w:t> </w:t>
      </w:r>
      <w:r>
        <w:rPr>
          <w:sz w:val="22"/>
        </w:rPr>
        <w:t>para</w:t>
      </w:r>
      <w:r>
        <w:rPr>
          <w:spacing w:val="-13"/>
          <w:sz w:val="22"/>
        </w:rPr>
        <w:t> </w:t>
      </w:r>
      <w:r>
        <w:rPr>
          <w:sz w:val="22"/>
        </w:rPr>
        <w:t>calificar el efecto de una medida. El primero consiste en verificar si la medida objeto de investigación impide, suspende o prohíbe el acceso de las importaciones provenientes de los Países Miembros. El segundo evalúa si, aun cuando la medida no prohíba formalmente</w:t>
      </w:r>
      <w:r>
        <w:rPr>
          <w:spacing w:val="-7"/>
          <w:sz w:val="22"/>
        </w:rPr>
        <w:t> </w:t>
      </w:r>
      <w:r>
        <w:rPr>
          <w:sz w:val="22"/>
        </w:rPr>
        <w:t>las</w:t>
      </w:r>
      <w:r>
        <w:rPr>
          <w:spacing w:val="-10"/>
          <w:sz w:val="22"/>
        </w:rPr>
        <w:t> </w:t>
      </w:r>
      <w:r>
        <w:rPr>
          <w:sz w:val="22"/>
        </w:rPr>
        <w:t>importaciones,</w:t>
      </w:r>
      <w:r>
        <w:rPr>
          <w:spacing w:val="-6"/>
          <w:sz w:val="22"/>
        </w:rPr>
        <w:t> </w:t>
      </w:r>
      <w:r>
        <w:rPr>
          <w:sz w:val="22"/>
        </w:rPr>
        <w:t>estas</w:t>
      </w:r>
      <w:r>
        <w:rPr>
          <w:spacing w:val="-10"/>
          <w:sz w:val="22"/>
        </w:rPr>
        <w:t> </w:t>
      </w:r>
      <w:r>
        <w:rPr>
          <w:sz w:val="22"/>
        </w:rPr>
        <w:t>se</w:t>
      </w:r>
      <w:r>
        <w:rPr>
          <w:spacing w:val="-5"/>
          <w:sz w:val="22"/>
        </w:rPr>
        <w:t> </w:t>
      </w:r>
      <w:r>
        <w:rPr>
          <w:sz w:val="22"/>
        </w:rPr>
        <w:t>dificultan</w:t>
      </w:r>
      <w:r>
        <w:rPr>
          <w:spacing w:val="-7"/>
          <w:sz w:val="22"/>
        </w:rPr>
        <w:t> </w:t>
      </w:r>
      <w:r>
        <w:rPr>
          <w:sz w:val="22"/>
        </w:rPr>
        <w:t>encarece,</w:t>
      </w:r>
      <w:r>
        <w:rPr>
          <w:spacing w:val="-8"/>
          <w:sz w:val="22"/>
        </w:rPr>
        <w:t> </w:t>
      </w:r>
      <w:r>
        <w:rPr>
          <w:sz w:val="22"/>
        </w:rPr>
        <w:t>o</w:t>
      </w:r>
      <w:r>
        <w:rPr>
          <w:spacing w:val="-7"/>
          <w:sz w:val="22"/>
        </w:rPr>
        <w:t> </w:t>
      </w:r>
      <w:r>
        <w:rPr>
          <w:sz w:val="22"/>
        </w:rPr>
        <w:t>se</w:t>
      </w:r>
      <w:r>
        <w:rPr>
          <w:spacing w:val="-12"/>
          <w:sz w:val="22"/>
        </w:rPr>
        <w:t> </w:t>
      </w:r>
      <w:r>
        <w:rPr>
          <w:sz w:val="22"/>
        </w:rPr>
        <w:t>tornan</w:t>
      </w:r>
      <w:r>
        <w:rPr>
          <w:spacing w:val="-12"/>
          <w:sz w:val="22"/>
        </w:rPr>
        <w:t> </w:t>
      </w:r>
      <w:r>
        <w:rPr>
          <w:sz w:val="22"/>
        </w:rPr>
        <w:t>más</w:t>
      </w:r>
      <w:r>
        <w:rPr>
          <w:spacing w:val="-7"/>
          <w:sz w:val="22"/>
        </w:rPr>
        <w:t> </w:t>
      </w:r>
      <w:r>
        <w:rPr>
          <w:sz w:val="22"/>
        </w:rPr>
        <w:t>onerosas. Lo</w:t>
      </w:r>
      <w:r>
        <w:rPr>
          <w:spacing w:val="-4"/>
          <w:sz w:val="22"/>
        </w:rPr>
        <w:t> </w:t>
      </w:r>
      <w:r>
        <w:rPr>
          <w:sz w:val="22"/>
        </w:rPr>
        <w:t>anterior</w:t>
      </w:r>
      <w:r>
        <w:rPr>
          <w:spacing w:val="-3"/>
          <w:sz w:val="22"/>
        </w:rPr>
        <w:t> </w:t>
      </w:r>
      <w:r>
        <w:rPr>
          <w:sz w:val="22"/>
        </w:rPr>
        <w:t>se</w:t>
      </w:r>
      <w:r>
        <w:rPr>
          <w:spacing w:val="-6"/>
          <w:sz w:val="22"/>
        </w:rPr>
        <w:t> </w:t>
      </w:r>
      <w:r>
        <w:rPr>
          <w:sz w:val="22"/>
        </w:rPr>
        <w:t>desprende</w:t>
      </w:r>
      <w:r>
        <w:rPr>
          <w:spacing w:val="-7"/>
          <w:sz w:val="22"/>
        </w:rPr>
        <w:t> </w:t>
      </w:r>
      <w:r>
        <w:rPr>
          <w:sz w:val="22"/>
        </w:rPr>
        <w:t>de</w:t>
      </w:r>
      <w:r>
        <w:rPr>
          <w:spacing w:val="-4"/>
          <w:sz w:val="22"/>
        </w:rPr>
        <w:t> </w:t>
      </w:r>
      <w:r>
        <w:rPr>
          <w:sz w:val="22"/>
        </w:rPr>
        <w:t>lo</w:t>
      </w:r>
      <w:r>
        <w:rPr>
          <w:spacing w:val="-4"/>
          <w:sz w:val="22"/>
        </w:rPr>
        <w:t> </w:t>
      </w:r>
      <w:r>
        <w:rPr>
          <w:sz w:val="22"/>
        </w:rPr>
        <w:t>señalado</w:t>
      </w:r>
      <w:r>
        <w:rPr>
          <w:spacing w:val="-4"/>
          <w:sz w:val="22"/>
        </w:rPr>
        <w:t> </w:t>
      </w:r>
      <w:r>
        <w:rPr>
          <w:sz w:val="22"/>
        </w:rPr>
        <w:t>por</w:t>
      </w:r>
      <w:r>
        <w:rPr>
          <w:spacing w:val="-3"/>
          <w:sz w:val="22"/>
        </w:rPr>
        <w:t> </w:t>
      </w:r>
      <w:r>
        <w:rPr>
          <w:sz w:val="22"/>
        </w:rPr>
        <w:t>el</w:t>
      </w:r>
      <w:r>
        <w:rPr>
          <w:spacing w:val="-5"/>
          <w:sz w:val="22"/>
        </w:rPr>
        <w:t> </w:t>
      </w:r>
      <w:r>
        <w:rPr>
          <w:sz w:val="22"/>
        </w:rPr>
        <w:t>TJCAN</w:t>
      </w:r>
      <w:r>
        <w:rPr>
          <w:spacing w:val="-5"/>
          <w:sz w:val="22"/>
        </w:rPr>
        <w:t> </w:t>
      </w:r>
      <w:r>
        <w:rPr>
          <w:sz w:val="22"/>
        </w:rPr>
        <w:t>en</w:t>
      </w:r>
      <w:r>
        <w:rPr>
          <w:spacing w:val="-4"/>
          <w:sz w:val="22"/>
        </w:rPr>
        <w:t> </w:t>
      </w:r>
      <w:r>
        <w:rPr>
          <w:sz w:val="22"/>
        </w:rPr>
        <w:t>el</w:t>
      </w:r>
      <w:r>
        <w:rPr>
          <w:spacing w:val="-5"/>
          <w:sz w:val="22"/>
        </w:rPr>
        <w:t> </w:t>
      </w:r>
      <w:r>
        <w:rPr>
          <w:sz w:val="22"/>
        </w:rPr>
        <w:t>marco</w:t>
      </w:r>
      <w:r>
        <w:rPr>
          <w:spacing w:val="-4"/>
          <w:sz w:val="22"/>
        </w:rPr>
        <w:t> </w:t>
      </w:r>
      <w:r>
        <w:rPr>
          <w:sz w:val="22"/>
        </w:rPr>
        <w:t>del</w:t>
      </w:r>
      <w:r>
        <w:rPr>
          <w:spacing w:val="-5"/>
          <w:sz w:val="22"/>
        </w:rPr>
        <w:t> </w:t>
      </w:r>
      <w:r>
        <w:rPr>
          <w:sz w:val="22"/>
        </w:rPr>
        <w:t>Proceso</w:t>
      </w:r>
      <w:r>
        <w:rPr>
          <w:spacing w:val="-4"/>
          <w:sz w:val="22"/>
        </w:rPr>
        <w:t> </w:t>
      </w:r>
      <w:r>
        <w:rPr>
          <w:sz w:val="22"/>
        </w:rPr>
        <w:t>118-AI-</w:t>
      </w:r>
      <w:r>
        <w:rPr>
          <w:spacing w:val="-2"/>
          <w:sz w:val="22"/>
        </w:rPr>
        <w:t>2003</w:t>
      </w:r>
      <w:hyperlink w:history="true" w:anchor="_bookmark131">
        <w:r>
          <w:rPr>
            <w:spacing w:val="-2"/>
            <w:sz w:val="22"/>
            <w:vertAlign w:val="superscript"/>
          </w:rPr>
          <w:t>64</w:t>
        </w:r>
        <w:r>
          <w:rPr>
            <w:spacing w:val="-2"/>
            <w:sz w:val="22"/>
            <w:vertAlign w:val="baseline"/>
          </w:rPr>
          <w:t>:</w:t>
        </w:r>
      </w:hyperlink>
    </w:p>
    <w:p>
      <w:pPr>
        <w:spacing w:before="252"/>
        <w:ind w:left="1701" w:right="976" w:firstLine="0"/>
        <w:jc w:val="both"/>
        <w:rPr>
          <w:sz w:val="21"/>
        </w:rPr>
      </w:pPr>
      <w:r>
        <w:rPr>
          <w:spacing w:val="-2"/>
          <w:sz w:val="21"/>
        </w:rPr>
        <w:t>“</w:t>
      </w:r>
      <w:r>
        <w:rPr>
          <w:rFonts w:ascii="Arial" w:hAnsi="Arial"/>
          <w:i/>
          <w:spacing w:val="-2"/>
          <w:sz w:val="21"/>
        </w:rPr>
        <w:t>Por</w:t>
      </w:r>
      <w:r>
        <w:rPr>
          <w:rFonts w:ascii="Arial" w:hAnsi="Arial"/>
          <w:i/>
          <w:spacing w:val="-13"/>
          <w:sz w:val="21"/>
        </w:rPr>
        <w:t> </w:t>
      </w:r>
      <w:r>
        <w:rPr>
          <w:rFonts w:ascii="Arial" w:hAnsi="Arial"/>
          <w:i/>
          <w:spacing w:val="-2"/>
          <w:sz w:val="21"/>
        </w:rPr>
        <w:t>medida</w:t>
      </w:r>
      <w:r>
        <w:rPr>
          <w:rFonts w:ascii="Arial" w:hAnsi="Arial"/>
          <w:i/>
          <w:spacing w:val="-13"/>
          <w:sz w:val="21"/>
        </w:rPr>
        <w:t> </w:t>
      </w:r>
      <w:r>
        <w:rPr>
          <w:rFonts w:ascii="Arial" w:hAnsi="Arial"/>
          <w:i/>
          <w:spacing w:val="-2"/>
          <w:sz w:val="21"/>
        </w:rPr>
        <w:t>restrictiva</w:t>
      </w:r>
      <w:r>
        <w:rPr>
          <w:rFonts w:ascii="Arial" w:hAnsi="Arial"/>
          <w:i/>
          <w:spacing w:val="-12"/>
          <w:sz w:val="21"/>
        </w:rPr>
        <w:t> </w:t>
      </w:r>
      <w:r>
        <w:rPr>
          <w:rFonts w:ascii="Arial" w:hAnsi="Arial"/>
          <w:i/>
          <w:spacing w:val="-2"/>
          <w:sz w:val="21"/>
        </w:rPr>
        <w:t>se</w:t>
      </w:r>
      <w:r>
        <w:rPr>
          <w:rFonts w:ascii="Arial" w:hAnsi="Arial"/>
          <w:i/>
          <w:spacing w:val="-13"/>
          <w:sz w:val="21"/>
        </w:rPr>
        <w:t> </w:t>
      </w:r>
      <w:r>
        <w:rPr>
          <w:rFonts w:ascii="Arial" w:hAnsi="Arial"/>
          <w:i/>
          <w:spacing w:val="-2"/>
          <w:sz w:val="21"/>
        </w:rPr>
        <w:t>entiende</w:t>
      </w:r>
      <w:r>
        <w:rPr>
          <w:rFonts w:ascii="Arial" w:hAnsi="Arial"/>
          <w:i/>
          <w:spacing w:val="-12"/>
          <w:sz w:val="21"/>
        </w:rPr>
        <w:t> </w:t>
      </w:r>
      <w:r>
        <w:rPr>
          <w:rFonts w:ascii="Arial" w:hAnsi="Arial"/>
          <w:i/>
          <w:spacing w:val="-2"/>
          <w:sz w:val="21"/>
        </w:rPr>
        <w:t>cualquier</w:t>
      </w:r>
      <w:r>
        <w:rPr>
          <w:rFonts w:ascii="Arial" w:hAnsi="Arial"/>
          <w:i/>
          <w:spacing w:val="-13"/>
          <w:sz w:val="21"/>
        </w:rPr>
        <w:t> </w:t>
      </w:r>
      <w:r>
        <w:rPr>
          <w:rFonts w:ascii="Arial" w:hAnsi="Arial"/>
          <w:i/>
          <w:spacing w:val="-2"/>
          <w:sz w:val="21"/>
        </w:rPr>
        <w:t>acto</w:t>
      </w:r>
      <w:r>
        <w:rPr>
          <w:rFonts w:ascii="Arial" w:hAnsi="Arial"/>
          <w:i/>
          <w:spacing w:val="-13"/>
          <w:sz w:val="21"/>
        </w:rPr>
        <w:t> </w:t>
      </w:r>
      <w:r>
        <w:rPr>
          <w:rFonts w:ascii="Arial" w:hAnsi="Arial"/>
          <w:i/>
          <w:spacing w:val="-2"/>
          <w:sz w:val="21"/>
        </w:rPr>
        <w:t>imputable</w:t>
      </w:r>
      <w:r>
        <w:rPr>
          <w:rFonts w:ascii="Arial" w:hAnsi="Arial"/>
          <w:i/>
          <w:spacing w:val="-12"/>
          <w:sz w:val="21"/>
        </w:rPr>
        <w:t> </w:t>
      </w:r>
      <w:r>
        <w:rPr>
          <w:rFonts w:ascii="Arial" w:hAnsi="Arial"/>
          <w:i/>
          <w:spacing w:val="-2"/>
          <w:sz w:val="21"/>
        </w:rPr>
        <w:t>a</w:t>
      </w:r>
      <w:r>
        <w:rPr>
          <w:rFonts w:ascii="Arial" w:hAnsi="Arial"/>
          <w:i/>
          <w:spacing w:val="-13"/>
          <w:sz w:val="21"/>
        </w:rPr>
        <w:t> </w:t>
      </w:r>
      <w:r>
        <w:rPr>
          <w:rFonts w:ascii="Arial" w:hAnsi="Arial"/>
          <w:i/>
          <w:spacing w:val="-2"/>
          <w:sz w:val="21"/>
        </w:rPr>
        <w:t>una</w:t>
      </w:r>
      <w:r>
        <w:rPr>
          <w:rFonts w:ascii="Arial" w:hAnsi="Arial"/>
          <w:i/>
          <w:spacing w:val="-12"/>
          <w:sz w:val="21"/>
        </w:rPr>
        <w:t> </w:t>
      </w:r>
      <w:r>
        <w:rPr>
          <w:rFonts w:ascii="Arial" w:hAnsi="Arial"/>
          <w:i/>
          <w:spacing w:val="-2"/>
          <w:sz w:val="21"/>
        </w:rPr>
        <w:t>autoridad</w:t>
      </w:r>
      <w:r>
        <w:rPr>
          <w:rFonts w:ascii="Arial" w:hAnsi="Arial"/>
          <w:i/>
          <w:spacing w:val="-13"/>
          <w:sz w:val="21"/>
        </w:rPr>
        <w:t> </w:t>
      </w:r>
      <w:r>
        <w:rPr>
          <w:rFonts w:ascii="Arial" w:hAnsi="Arial"/>
          <w:i/>
          <w:spacing w:val="-2"/>
          <w:sz w:val="21"/>
        </w:rPr>
        <w:t>pública</w:t>
      </w:r>
      <w:r>
        <w:rPr>
          <w:rFonts w:ascii="Arial" w:hAnsi="Arial"/>
          <w:i/>
          <w:spacing w:val="-13"/>
          <w:sz w:val="21"/>
        </w:rPr>
        <w:t> </w:t>
      </w:r>
      <w:r>
        <w:rPr>
          <w:rFonts w:ascii="Arial" w:hAnsi="Arial"/>
          <w:i/>
          <w:spacing w:val="-2"/>
          <w:sz w:val="21"/>
        </w:rPr>
        <w:t>que limite</w:t>
      </w:r>
      <w:r>
        <w:rPr>
          <w:rFonts w:ascii="Arial" w:hAnsi="Arial"/>
          <w:i/>
          <w:spacing w:val="-7"/>
          <w:sz w:val="21"/>
        </w:rPr>
        <w:t> </w:t>
      </w:r>
      <w:r>
        <w:rPr>
          <w:rFonts w:ascii="Arial" w:hAnsi="Arial"/>
          <w:i/>
          <w:spacing w:val="-2"/>
          <w:sz w:val="21"/>
        </w:rPr>
        <w:t>las</w:t>
      </w:r>
      <w:r>
        <w:rPr>
          <w:rFonts w:ascii="Arial" w:hAnsi="Arial"/>
          <w:i/>
          <w:spacing w:val="-7"/>
          <w:sz w:val="21"/>
        </w:rPr>
        <w:t> </w:t>
      </w:r>
      <w:r>
        <w:rPr>
          <w:rFonts w:ascii="Arial" w:hAnsi="Arial"/>
          <w:i/>
          <w:spacing w:val="-2"/>
          <w:sz w:val="21"/>
        </w:rPr>
        <w:t>importaciones.</w:t>
      </w:r>
      <w:r>
        <w:rPr>
          <w:rFonts w:ascii="Arial" w:hAnsi="Arial"/>
          <w:i/>
          <w:spacing w:val="-7"/>
          <w:sz w:val="21"/>
        </w:rPr>
        <w:t> </w:t>
      </w:r>
      <w:r>
        <w:rPr>
          <w:rFonts w:ascii="Arial" w:hAnsi="Arial"/>
          <w:i/>
          <w:spacing w:val="-2"/>
          <w:sz w:val="21"/>
          <w:u w:val="single"/>
        </w:rPr>
        <w:t>Dicho</w:t>
      </w:r>
      <w:r>
        <w:rPr>
          <w:rFonts w:ascii="Arial" w:hAnsi="Arial"/>
          <w:i/>
          <w:spacing w:val="-7"/>
          <w:sz w:val="21"/>
          <w:u w:val="single"/>
        </w:rPr>
        <w:t> </w:t>
      </w:r>
      <w:r>
        <w:rPr>
          <w:rFonts w:ascii="Arial" w:hAnsi="Arial"/>
          <w:i/>
          <w:spacing w:val="-2"/>
          <w:sz w:val="21"/>
          <w:u w:val="single"/>
        </w:rPr>
        <w:t>efecto</w:t>
      </w:r>
      <w:r>
        <w:rPr>
          <w:rFonts w:ascii="Arial" w:hAnsi="Arial"/>
          <w:i/>
          <w:spacing w:val="-7"/>
          <w:sz w:val="21"/>
          <w:u w:val="single"/>
        </w:rPr>
        <w:t> </w:t>
      </w:r>
      <w:r>
        <w:rPr>
          <w:rFonts w:ascii="Arial" w:hAnsi="Arial"/>
          <w:i/>
          <w:spacing w:val="-2"/>
          <w:sz w:val="21"/>
          <w:u w:val="single"/>
        </w:rPr>
        <w:t>puede</w:t>
      </w:r>
      <w:r>
        <w:rPr>
          <w:rFonts w:ascii="Arial" w:hAnsi="Arial"/>
          <w:i/>
          <w:spacing w:val="-7"/>
          <w:sz w:val="21"/>
          <w:u w:val="single"/>
        </w:rPr>
        <w:t> </w:t>
      </w:r>
      <w:r>
        <w:rPr>
          <w:rFonts w:ascii="Arial" w:hAnsi="Arial"/>
          <w:i/>
          <w:spacing w:val="-2"/>
          <w:sz w:val="21"/>
          <w:u w:val="single"/>
        </w:rPr>
        <w:t>consistir</w:t>
      </w:r>
      <w:r>
        <w:rPr>
          <w:rFonts w:ascii="Arial" w:hAnsi="Arial"/>
          <w:i/>
          <w:spacing w:val="-8"/>
          <w:sz w:val="21"/>
          <w:u w:val="single"/>
        </w:rPr>
        <w:t> </w:t>
      </w:r>
      <w:r>
        <w:rPr>
          <w:rFonts w:ascii="Arial" w:hAnsi="Arial"/>
          <w:i/>
          <w:spacing w:val="-2"/>
          <w:sz w:val="21"/>
          <w:u w:val="single"/>
        </w:rPr>
        <w:t>en</w:t>
      </w:r>
      <w:r>
        <w:rPr>
          <w:rFonts w:ascii="Arial" w:hAnsi="Arial"/>
          <w:i/>
          <w:spacing w:val="-7"/>
          <w:sz w:val="21"/>
          <w:u w:val="single"/>
        </w:rPr>
        <w:t> </w:t>
      </w:r>
      <w:r>
        <w:rPr>
          <w:rFonts w:ascii="Arial" w:hAnsi="Arial"/>
          <w:i/>
          <w:spacing w:val="-2"/>
          <w:sz w:val="21"/>
          <w:u w:val="single"/>
        </w:rPr>
        <w:t>prohibir</w:t>
      </w:r>
      <w:r>
        <w:rPr>
          <w:rFonts w:ascii="Arial" w:hAnsi="Arial"/>
          <w:i/>
          <w:spacing w:val="-8"/>
          <w:sz w:val="21"/>
          <w:u w:val="single"/>
        </w:rPr>
        <w:t> </w:t>
      </w:r>
      <w:r>
        <w:rPr>
          <w:rFonts w:ascii="Arial" w:hAnsi="Arial"/>
          <w:i/>
          <w:spacing w:val="-2"/>
          <w:sz w:val="21"/>
          <w:u w:val="single"/>
        </w:rPr>
        <w:t>las</w:t>
      </w:r>
      <w:r>
        <w:rPr>
          <w:rFonts w:ascii="Arial" w:hAnsi="Arial"/>
          <w:i/>
          <w:spacing w:val="-7"/>
          <w:sz w:val="21"/>
          <w:u w:val="single"/>
        </w:rPr>
        <w:t> </w:t>
      </w:r>
      <w:r>
        <w:rPr>
          <w:rFonts w:ascii="Arial" w:hAnsi="Arial"/>
          <w:i/>
          <w:spacing w:val="-2"/>
          <w:sz w:val="21"/>
          <w:u w:val="single"/>
        </w:rPr>
        <w:t>importaciones</w:t>
      </w:r>
      <w:r>
        <w:rPr>
          <w:rFonts w:ascii="Arial" w:hAnsi="Arial"/>
          <w:i/>
          <w:spacing w:val="-7"/>
          <w:sz w:val="21"/>
          <w:u w:val="single"/>
        </w:rPr>
        <w:t> </w:t>
      </w:r>
      <w:r>
        <w:rPr>
          <w:rFonts w:ascii="Arial" w:hAnsi="Arial"/>
          <w:i/>
          <w:spacing w:val="-2"/>
          <w:sz w:val="21"/>
          <w:u w:val="single"/>
        </w:rPr>
        <w:t>o</w:t>
      </w:r>
      <w:r>
        <w:rPr>
          <w:rFonts w:ascii="Arial" w:hAnsi="Arial"/>
          <w:i/>
          <w:spacing w:val="-7"/>
          <w:sz w:val="21"/>
          <w:u w:val="single"/>
        </w:rPr>
        <w:t> </w:t>
      </w:r>
      <w:r>
        <w:rPr>
          <w:rFonts w:ascii="Arial" w:hAnsi="Arial"/>
          <w:i/>
          <w:spacing w:val="-2"/>
          <w:sz w:val="21"/>
          <w:u w:val="single"/>
        </w:rPr>
        <w:t>en</w:t>
      </w:r>
      <w:r>
        <w:rPr>
          <w:rFonts w:ascii="Arial" w:hAnsi="Arial"/>
          <w:i/>
          <w:spacing w:val="-2"/>
          <w:sz w:val="21"/>
        </w:rPr>
        <w:t> </w:t>
      </w:r>
      <w:r>
        <w:rPr>
          <w:rFonts w:ascii="Arial" w:hAnsi="Arial"/>
          <w:i/>
          <w:sz w:val="21"/>
          <w:u w:val="single"/>
        </w:rPr>
        <w:t>hacerlas más onerosas que los bienes de producción nacional</w:t>
      </w:r>
      <w:r>
        <w:rPr>
          <w:rFonts w:ascii="Arial" w:hAnsi="Arial"/>
          <w:i/>
          <w:sz w:val="21"/>
        </w:rPr>
        <w:t>. Las medidas administrativas</w:t>
      </w:r>
      <w:r>
        <w:rPr>
          <w:rFonts w:ascii="Arial" w:hAnsi="Arial"/>
          <w:i/>
          <w:spacing w:val="-14"/>
          <w:sz w:val="21"/>
        </w:rPr>
        <w:t> </w:t>
      </w:r>
      <w:r>
        <w:rPr>
          <w:rFonts w:ascii="Arial" w:hAnsi="Arial"/>
          <w:i/>
          <w:sz w:val="21"/>
        </w:rPr>
        <w:t>pueden</w:t>
      </w:r>
      <w:r>
        <w:rPr>
          <w:rFonts w:ascii="Arial" w:hAnsi="Arial"/>
          <w:i/>
          <w:spacing w:val="-13"/>
          <w:sz w:val="21"/>
        </w:rPr>
        <w:t> </w:t>
      </w:r>
      <w:r>
        <w:rPr>
          <w:rFonts w:ascii="Arial" w:hAnsi="Arial"/>
          <w:i/>
          <w:sz w:val="21"/>
        </w:rPr>
        <w:t>incluir</w:t>
      </w:r>
      <w:r>
        <w:rPr>
          <w:rFonts w:ascii="Arial" w:hAnsi="Arial"/>
          <w:i/>
          <w:spacing w:val="-14"/>
          <w:sz w:val="21"/>
        </w:rPr>
        <w:t> </w:t>
      </w:r>
      <w:r>
        <w:rPr>
          <w:rFonts w:ascii="Arial" w:hAnsi="Arial"/>
          <w:i/>
          <w:sz w:val="21"/>
        </w:rPr>
        <w:t>desde</w:t>
      </w:r>
      <w:r>
        <w:rPr>
          <w:rFonts w:ascii="Arial" w:hAnsi="Arial"/>
          <w:i/>
          <w:spacing w:val="-13"/>
          <w:sz w:val="21"/>
        </w:rPr>
        <w:t> </w:t>
      </w:r>
      <w:r>
        <w:rPr>
          <w:rFonts w:ascii="Arial" w:hAnsi="Arial"/>
          <w:i/>
          <w:sz w:val="21"/>
        </w:rPr>
        <w:t>la</w:t>
      </w:r>
      <w:r>
        <w:rPr>
          <w:rFonts w:ascii="Arial" w:hAnsi="Arial"/>
          <w:i/>
          <w:spacing w:val="-13"/>
          <w:sz w:val="21"/>
        </w:rPr>
        <w:t> </w:t>
      </w:r>
      <w:r>
        <w:rPr>
          <w:rFonts w:ascii="Arial" w:hAnsi="Arial"/>
          <w:i/>
          <w:sz w:val="21"/>
        </w:rPr>
        <w:t>imposición</w:t>
      </w:r>
      <w:r>
        <w:rPr>
          <w:rFonts w:ascii="Arial" w:hAnsi="Arial"/>
          <w:i/>
          <w:spacing w:val="-13"/>
          <w:sz w:val="21"/>
        </w:rPr>
        <w:t> </w:t>
      </w:r>
      <w:r>
        <w:rPr>
          <w:rFonts w:ascii="Arial" w:hAnsi="Arial"/>
          <w:i/>
          <w:sz w:val="21"/>
        </w:rPr>
        <w:t>de</w:t>
      </w:r>
      <w:r>
        <w:rPr>
          <w:rFonts w:ascii="Arial" w:hAnsi="Arial"/>
          <w:i/>
          <w:spacing w:val="-15"/>
          <w:sz w:val="21"/>
        </w:rPr>
        <w:t> </w:t>
      </w:r>
      <w:r>
        <w:rPr>
          <w:rFonts w:ascii="Arial" w:hAnsi="Arial"/>
          <w:i/>
          <w:sz w:val="21"/>
        </w:rPr>
        <w:t>precios</w:t>
      </w:r>
      <w:r>
        <w:rPr>
          <w:rFonts w:ascii="Arial" w:hAnsi="Arial"/>
          <w:i/>
          <w:spacing w:val="-13"/>
          <w:sz w:val="21"/>
        </w:rPr>
        <w:t> </w:t>
      </w:r>
      <w:r>
        <w:rPr>
          <w:rFonts w:ascii="Arial" w:hAnsi="Arial"/>
          <w:i/>
          <w:sz w:val="21"/>
        </w:rPr>
        <w:t>fijos</w:t>
      </w:r>
      <w:r>
        <w:rPr>
          <w:rFonts w:ascii="Arial" w:hAnsi="Arial"/>
          <w:i/>
          <w:spacing w:val="-13"/>
          <w:sz w:val="21"/>
        </w:rPr>
        <w:t> </w:t>
      </w:r>
      <w:r>
        <w:rPr>
          <w:rFonts w:ascii="Arial" w:hAnsi="Arial"/>
          <w:i/>
          <w:sz w:val="21"/>
        </w:rPr>
        <w:t>mínimos</w:t>
      </w:r>
      <w:r>
        <w:rPr>
          <w:rFonts w:ascii="Arial" w:hAnsi="Arial"/>
          <w:i/>
          <w:spacing w:val="-13"/>
          <w:sz w:val="21"/>
        </w:rPr>
        <w:t> </w:t>
      </w:r>
      <w:r>
        <w:rPr>
          <w:rFonts w:ascii="Arial" w:hAnsi="Arial"/>
          <w:i/>
          <w:sz w:val="21"/>
        </w:rPr>
        <w:t>o</w:t>
      </w:r>
      <w:r>
        <w:rPr>
          <w:rFonts w:ascii="Arial" w:hAnsi="Arial"/>
          <w:i/>
          <w:spacing w:val="-13"/>
          <w:sz w:val="21"/>
        </w:rPr>
        <w:t> </w:t>
      </w:r>
      <w:r>
        <w:rPr>
          <w:rFonts w:ascii="Arial" w:hAnsi="Arial"/>
          <w:i/>
          <w:sz w:val="21"/>
        </w:rPr>
        <w:t>máximos menos favorables para los productos importados, hasta limitaciones directas a las importaciones (…)</w:t>
      </w:r>
      <w:r>
        <w:rPr>
          <w:sz w:val="21"/>
        </w:rPr>
        <w:t>”</w:t>
      </w:r>
    </w:p>
    <w:p>
      <w:pPr>
        <w:pStyle w:val="BodyText"/>
        <w:spacing w:before="12"/>
        <w:rPr>
          <w:sz w:val="21"/>
        </w:rPr>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En esa línea, puede revisarse también el pronunciamiento del TJCAN en el marco del Proceso 3-AI-97</w:t>
      </w:r>
      <w:hyperlink w:history="true" w:anchor="_bookmark132">
        <w:r>
          <w:rPr>
            <w:sz w:val="22"/>
            <w:vertAlign w:val="superscript"/>
          </w:rPr>
          <w:t>65</w:t>
        </w:r>
        <w:r>
          <w:rPr>
            <w:sz w:val="22"/>
            <w:vertAlign w:val="baseline"/>
          </w:rPr>
          <w:t>:</w:t>
        </w:r>
      </w:hyperlink>
    </w:p>
    <w:p>
      <w:pPr>
        <w:pStyle w:val="BodyText"/>
        <w:rPr>
          <w:sz w:val="20"/>
        </w:rPr>
      </w:pPr>
    </w:p>
    <w:p>
      <w:pPr>
        <w:pStyle w:val="BodyText"/>
        <w:rPr>
          <w:sz w:val="20"/>
        </w:rPr>
      </w:pPr>
    </w:p>
    <w:p>
      <w:pPr>
        <w:pStyle w:val="BodyText"/>
        <w:spacing w:before="81"/>
        <w:rPr>
          <w:sz w:val="20"/>
        </w:rPr>
      </w:pPr>
      <w:r>
        <w:rPr>
          <w:sz w:val="20"/>
        </w:rPr>
        <mc:AlternateContent>
          <mc:Choice Requires="wps">
            <w:drawing>
              <wp:anchor distT="0" distB="0" distL="0" distR="0" allowOverlap="1" layoutInCell="1" locked="0" behindDoc="1" simplePos="0" relativeHeight="487648256">
                <wp:simplePos x="0" y="0"/>
                <wp:positionH relativeFrom="page">
                  <wp:posOffset>990904</wp:posOffset>
                </wp:positionH>
                <wp:positionV relativeFrom="paragraph">
                  <wp:posOffset>212910</wp:posOffset>
                </wp:positionV>
                <wp:extent cx="1829435" cy="7620"/>
                <wp:effectExtent l="0" t="0" r="0" b="0"/>
                <wp:wrapTopAndBottom/>
                <wp:docPr id="529" name="Graphic 529"/>
                <wp:cNvGraphicFramePr>
                  <a:graphicFrameLocks/>
                </wp:cNvGraphicFramePr>
                <a:graphic>
                  <a:graphicData uri="http://schemas.microsoft.com/office/word/2010/wordprocessingShape">
                    <wps:wsp>
                      <wps:cNvPr id="529" name="Graphic 529"/>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6.764639pt;width:144.020pt;height:.599980pt;mso-position-horizontal-relative:page;mso-position-vertical-relative:paragraph;z-index:-15668224;mso-wrap-distance-left:0;mso-wrap-distance-right:0" id="docshape365" filled="true" fillcolor="#000000" stroked="false">
                <v:fill type="solid"/>
                <w10:wrap type="topAndBottom"/>
              </v:rect>
            </w:pict>
          </mc:Fallback>
        </mc:AlternateContent>
      </w:r>
    </w:p>
    <w:p>
      <w:pPr>
        <w:spacing w:before="92"/>
        <w:ind w:left="568" w:right="1076" w:firstLine="0"/>
        <w:jc w:val="left"/>
        <w:rPr>
          <w:sz w:val="16"/>
        </w:rPr>
      </w:pPr>
      <w:bookmarkStart w:name="_bookmark131" w:id="132"/>
      <w:bookmarkEnd w:id="132"/>
      <w:r>
        <w:rPr/>
      </w:r>
      <w:r>
        <w:rPr>
          <w:sz w:val="16"/>
          <w:vertAlign w:val="superscript"/>
        </w:rPr>
        <w:t>64</w:t>
      </w:r>
      <w:r>
        <w:rPr>
          <w:spacing w:val="-2"/>
          <w:sz w:val="16"/>
          <w:vertAlign w:val="baseline"/>
        </w:rPr>
        <w:t> </w:t>
      </w:r>
      <w:r>
        <w:rPr>
          <w:sz w:val="16"/>
          <w:vertAlign w:val="baseline"/>
        </w:rPr>
        <w:t>Tribunal</w:t>
      </w:r>
      <w:r>
        <w:rPr>
          <w:spacing w:val="-1"/>
          <w:sz w:val="16"/>
          <w:vertAlign w:val="baseline"/>
        </w:rPr>
        <w:t> </w:t>
      </w:r>
      <w:r>
        <w:rPr>
          <w:sz w:val="16"/>
          <w:vertAlign w:val="baseline"/>
        </w:rPr>
        <w:t>Andino</w:t>
      </w:r>
      <w:r>
        <w:rPr>
          <w:spacing w:val="-2"/>
          <w:sz w:val="16"/>
          <w:vertAlign w:val="baseline"/>
        </w:rPr>
        <w:t> </w:t>
      </w:r>
      <w:r>
        <w:rPr>
          <w:sz w:val="16"/>
          <w:vertAlign w:val="baseline"/>
        </w:rPr>
        <w:t>de</w:t>
      </w:r>
      <w:r>
        <w:rPr>
          <w:spacing w:val="-4"/>
          <w:sz w:val="16"/>
          <w:vertAlign w:val="baseline"/>
        </w:rPr>
        <w:t> </w:t>
      </w:r>
      <w:r>
        <w:rPr>
          <w:sz w:val="16"/>
          <w:vertAlign w:val="baseline"/>
        </w:rPr>
        <w:t>Justicia.</w:t>
      </w:r>
      <w:r>
        <w:rPr>
          <w:spacing w:val="-3"/>
          <w:sz w:val="16"/>
          <w:vertAlign w:val="baseline"/>
        </w:rPr>
        <w:t> </w:t>
      </w:r>
      <w:r>
        <w:rPr>
          <w:sz w:val="16"/>
          <w:vertAlign w:val="baseline"/>
        </w:rPr>
        <w:t>Proceso</w:t>
      </w:r>
      <w:r>
        <w:rPr>
          <w:spacing w:val="-2"/>
          <w:sz w:val="16"/>
          <w:vertAlign w:val="baseline"/>
        </w:rPr>
        <w:t> </w:t>
      </w:r>
      <w:r>
        <w:rPr>
          <w:sz w:val="16"/>
          <w:vertAlign w:val="baseline"/>
        </w:rPr>
        <w:t>118-AI-2003,</w:t>
      </w:r>
      <w:r>
        <w:rPr>
          <w:spacing w:val="-1"/>
          <w:sz w:val="16"/>
          <w:vertAlign w:val="baseline"/>
        </w:rPr>
        <w:t> </w:t>
      </w:r>
      <w:r>
        <w:rPr>
          <w:sz w:val="16"/>
          <w:vertAlign w:val="baseline"/>
        </w:rPr>
        <w:t>publicada</w:t>
      </w:r>
      <w:r>
        <w:rPr>
          <w:spacing w:val="-2"/>
          <w:sz w:val="16"/>
          <w:vertAlign w:val="baseline"/>
        </w:rPr>
        <w:t> </w:t>
      </w:r>
      <w:r>
        <w:rPr>
          <w:sz w:val="16"/>
          <w:vertAlign w:val="baseline"/>
        </w:rPr>
        <w:t>en</w:t>
      </w:r>
      <w:r>
        <w:rPr>
          <w:spacing w:val="-2"/>
          <w:sz w:val="16"/>
          <w:vertAlign w:val="baseline"/>
        </w:rPr>
        <w:t> </w:t>
      </w:r>
      <w:r>
        <w:rPr>
          <w:sz w:val="16"/>
          <w:vertAlign w:val="baseline"/>
        </w:rPr>
        <w:t>la</w:t>
      </w:r>
      <w:r>
        <w:rPr>
          <w:spacing w:val="-6"/>
          <w:sz w:val="16"/>
          <w:vertAlign w:val="baseline"/>
        </w:rPr>
        <w:t> </w:t>
      </w:r>
      <w:r>
        <w:rPr>
          <w:sz w:val="16"/>
          <w:vertAlign w:val="baseline"/>
        </w:rPr>
        <w:t>Gaceta</w:t>
      </w:r>
      <w:r>
        <w:rPr>
          <w:spacing w:val="-2"/>
          <w:sz w:val="16"/>
          <w:vertAlign w:val="baseline"/>
        </w:rPr>
        <w:t> </w:t>
      </w:r>
      <w:r>
        <w:rPr>
          <w:sz w:val="16"/>
          <w:vertAlign w:val="baseline"/>
        </w:rPr>
        <w:t>Oficial</w:t>
      </w:r>
      <w:r>
        <w:rPr>
          <w:spacing w:val="-1"/>
          <w:sz w:val="16"/>
          <w:vertAlign w:val="baseline"/>
        </w:rPr>
        <w:t> </w:t>
      </w:r>
      <w:r>
        <w:rPr>
          <w:sz w:val="16"/>
          <w:vertAlign w:val="baseline"/>
        </w:rPr>
        <w:t>del</w:t>
      </w:r>
      <w:r>
        <w:rPr>
          <w:spacing w:val="-3"/>
          <w:sz w:val="16"/>
          <w:vertAlign w:val="baseline"/>
        </w:rPr>
        <w:t> </w:t>
      </w:r>
      <w:r>
        <w:rPr>
          <w:sz w:val="16"/>
          <w:vertAlign w:val="baseline"/>
        </w:rPr>
        <w:t>Acuerdo</w:t>
      </w:r>
      <w:r>
        <w:rPr>
          <w:spacing w:val="-2"/>
          <w:sz w:val="16"/>
          <w:vertAlign w:val="baseline"/>
        </w:rPr>
        <w:t> </w:t>
      </w:r>
      <w:r>
        <w:rPr>
          <w:sz w:val="16"/>
          <w:vertAlign w:val="baseline"/>
        </w:rPr>
        <w:t>de</w:t>
      </w:r>
      <w:r>
        <w:rPr>
          <w:spacing w:val="-2"/>
          <w:sz w:val="16"/>
          <w:vertAlign w:val="baseline"/>
        </w:rPr>
        <w:t> </w:t>
      </w:r>
      <w:r>
        <w:rPr>
          <w:sz w:val="16"/>
          <w:vertAlign w:val="baseline"/>
        </w:rPr>
        <w:t>Cartagena</w:t>
      </w:r>
      <w:r>
        <w:rPr>
          <w:spacing w:val="-2"/>
          <w:sz w:val="16"/>
          <w:vertAlign w:val="baseline"/>
        </w:rPr>
        <w:t> </w:t>
      </w:r>
      <w:r>
        <w:rPr>
          <w:sz w:val="16"/>
          <w:vertAlign w:val="baseline"/>
        </w:rPr>
        <w:t>N°</w:t>
      </w:r>
      <w:r>
        <w:rPr>
          <w:spacing w:val="-1"/>
          <w:sz w:val="16"/>
          <w:vertAlign w:val="baseline"/>
        </w:rPr>
        <w:t> </w:t>
      </w:r>
      <w:r>
        <w:rPr>
          <w:sz w:val="16"/>
          <w:vertAlign w:val="baseline"/>
        </w:rPr>
        <w:t>1206,</w:t>
      </w:r>
      <w:r>
        <w:rPr>
          <w:spacing w:val="-1"/>
          <w:sz w:val="16"/>
          <w:vertAlign w:val="baseline"/>
        </w:rPr>
        <w:t> </w:t>
      </w:r>
      <w:r>
        <w:rPr>
          <w:sz w:val="16"/>
          <w:vertAlign w:val="baseline"/>
        </w:rPr>
        <w:t>de</w:t>
      </w:r>
      <w:r>
        <w:rPr>
          <w:spacing w:val="-2"/>
          <w:sz w:val="16"/>
          <w:vertAlign w:val="baseline"/>
        </w:rPr>
        <w:t> </w:t>
      </w:r>
      <w:r>
        <w:rPr>
          <w:sz w:val="16"/>
          <w:vertAlign w:val="baseline"/>
        </w:rPr>
        <w:t>13 de junio de 2005.</w:t>
      </w:r>
    </w:p>
    <w:p>
      <w:pPr>
        <w:spacing w:line="183" w:lineRule="exact" w:before="0"/>
        <w:ind w:left="568" w:right="0" w:firstLine="0"/>
        <w:jc w:val="left"/>
        <w:rPr>
          <w:sz w:val="16"/>
        </w:rPr>
      </w:pPr>
      <w:bookmarkStart w:name="_bookmark132" w:id="133"/>
      <w:bookmarkEnd w:id="133"/>
      <w:r>
        <w:rPr/>
      </w:r>
      <w:r>
        <w:rPr>
          <w:sz w:val="16"/>
          <w:vertAlign w:val="superscript"/>
        </w:rPr>
        <w:t>65</w:t>
      </w:r>
      <w:r>
        <w:rPr>
          <w:spacing w:val="8"/>
          <w:sz w:val="16"/>
          <w:vertAlign w:val="baseline"/>
        </w:rPr>
        <w:t> </w:t>
      </w:r>
      <w:r>
        <w:rPr>
          <w:sz w:val="16"/>
          <w:vertAlign w:val="baseline"/>
        </w:rPr>
        <w:t>Tribunal</w:t>
      </w:r>
      <w:r>
        <w:rPr>
          <w:spacing w:val="7"/>
          <w:sz w:val="16"/>
          <w:vertAlign w:val="baseline"/>
        </w:rPr>
        <w:t> </w:t>
      </w:r>
      <w:r>
        <w:rPr>
          <w:sz w:val="16"/>
          <w:vertAlign w:val="baseline"/>
        </w:rPr>
        <w:t>Andino</w:t>
      </w:r>
      <w:r>
        <w:rPr>
          <w:spacing w:val="7"/>
          <w:sz w:val="16"/>
          <w:vertAlign w:val="baseline"/>
        </w:rPr>
        <w:t> </w:t>
      </w:r>
      <w:r>
        <w:rPr>
          <w:sz w:val="16"/>
          <w:vertAlign w:val="baseline"/>
        </w:rPr>
        <w:t>de</w:t>
      </w:r>
      <w:r>
        <w:rPr>
          <w:spacing w:val="6"/>
          <w:sz w:val="16"/>
          <w:vertAlign w:val="baseline"/>
        </w:rPr>
        <w:t> </w:t>
      </w:r>
      <w:r>
        <w:rPr>
          <w:sz w:val="16"/>
          <w:vertAlign w:val="baseline"/>
        </w:rPr>
        <w:t>Justicia.</w:t>
      </w:r>
      <w:r>
        <w:rPr>
          <w:spacing w:val="7"/>
          <w:sz w:val="16"/>
          <w:vertAlign w:val="baseline"/>
        </w:rPr>
        <w:t> </w:t>
      </w:r>
      <w:r>
        <w:rPr>
          <w:sz w:val="16"/>
          <w:vertAlign w:val="baseline"/>
        </w:rPr>
        <w:t>Proceso</w:t>
      </w:r>
      <w:r>
        <w:rPr>
          <w:spacing w:val="9"/>
          <w:sz w:val="16"/>
          <w:vertAlign w:val="baseline"/>
        </w:rPr>
        <w:t> </w:t>
      </w:r>
      <w:r>
        <w:rPr>
          <w:sz w:val="16"/>
          <w:vertAlign w:val="baseline"/>
        </w:rPr>
        <w:t>3-AI-97,</w:t>
      </w:r>
      <w:r>
        <w:rPr>
          <w:spacing w:val="7"/>
          <w:sz w:val="16"/>
          <w:vertAlign w:val="baseline"/>
        </w:rPr>
        <w:t> </w:t>
      </w:r>
      <w:r>
        <w:rPr>
          <w:sz w:val="16"/>
          <w:vertAlign w:val="baseline"/>
        </w:rPr>
        <w:t>publicada</w:t>
      </w:r>
      <w:r>
        <w:rPr>
          <w:spacing w:val="6"/>
          <w:sz w:val="16"/>
          <w:vertAlign w:val="baseline"/>
        </w:rPr>
        <w:t> </w:t>
      </w:r>
      <w:r>
        <w:rPr>
          <w:sz w:val="16"/>
          <w:vertAlign w:val="baseline"/>
        </w:rPr>
        <w:t>en</w:t>
      </w:r>
      <w:r>
        <w:rPr>
          <w:spacing w:val="8"/>
          <w:sz w:val="16"/>
          <w:vertAlign w:val="baseline"/>
        </w:rPr>
        <w:t> </w:t>
      </w:r>
      <w:r>
        <w:rPr>
          <w:sz w:val="16"/>
          <w:vertAlign w:val="baseline"/>
        </w:rPr>
        <w:t>la</w:t>
      </w:r>
      <w:r>
        <w:rPr>
          <w:spacing w:val="7"/>
          <w:sz w:val="16"/>
          <w:vertAlign w:val="baseline"/>
        </w:rPr>
        <w:t> </w:t>
      </w:r>
      <w:r>
        <w:rPr>
          <w:sz w:val="16"/>
          <w:vertAlign w:val="baseline"/>
        </w:rPr>
        <w:t>Gaceta</w:t>
      </w:r>
      <w:r>
        <w:rPr>
          <w:spacing w:val="8"/>
          <w:sz w:val="16"/>
          <w:vertAlign w:val="baseline"/>
        </w:rPr>
        <w:t> </w:t>
      </w:r>
      <w:r>
        <w:rPr>
          <w:sz w:val="16"/>
          <w:vertAlign w:val="baseline"/>
        </w:rPr>
        <w:t>Oficial</w:t>
      </w:r>
      <w:r>
        <w:rPr>
          <w:spacing w:val="9"/>
          <w:sz w:val="16"/>
          <w:vertAlign w:val="baseline"/>
        </w:rPr>
        <w:t> </w:t>
      </w:r>
      <w:r>
        <w:rPr>
          <w:sz w:val="16"/>
          <w:vertAlign w:val="baseline"/>
        </w:rPr>
        <w:t>del</w:t>
      </w:r>
      <w:r>
        <w:rPr>
          <w:spacing w:val="6"/>
          <w:sz w:val="16"/>
          <w:vertAlign w:val="baseline"/>
        </w:rPr>
        <w:t> </w:t>
      </w:r>
      <w:r>
        <w:rPr>
          <w:sz w:val="16"/>
          <w:vertAlign w:val="baseline"/>
        </w:rPr>
        <w:t>Acuerdo</w:t>
      </w:r>
      <w:r>
        <w:rPr>
          <w:spacing w:val="9"/>
          <w:sz w:val="16"/>
          <w:vertAlign w:val="baseline"/>
        </w:rPr>
        <w:t> </w:t>
      </w:r>
      <w:r>
        <w:rPr>
          <w:sz w:val="16"/>
          <w:vertAlign w:val="baseline"/>
        </w:rPr>
        <w:t>de</w:t>
      </w:r>
      <w:r>
        <w:rPr>
          <w:spacing w:val="5"/>
          <w:sz w:val="16"/>
          <w:vertAlign w:val="baseline"/>
        </w:rPr>
        <w:t> </w:t>
      </w:r>
      <w:r>
        <w:rPr>
          <w:sz w:val="16"/>
          <w:vertAlign w:val="baseline"/>
        </w:rPr>
        <w:t>Cartagena</w:t>
      </w:r>
      <w:r>
        <w:rPr>
          <w:spacing w:val="9"/>
          <w:sz w:val="16"/>
          <w:vertAlign w:val="baseline"/>
        </w:rPr>
        <w:t> </w:t>
      </w:r>
      <w:r>
        <w:rPr>
          <w:sz w:val="16"/>
          <w:vertAlign w:val="baseline"/>
        </w:rPr>
        <w:t>N°</w:t>
      </w:r>
      <w:r>
        <w:rPr>
          <w:spacing w:val="9"/>
          <w:sz w:val="16"/>
          <w:vertAlign w:val="baseline"/>
        </w:rPr>
        <w:t> </w:t>
      </w:r>
      <w:r>
        <w:rPr>
          <w:sz w:val="16"/>
          <w:vertAlign w:val="baseline"/>
        </w:rPr>
        <w:t>410,</w:t>
      </w:r>
      <w:r>
        <w:rPr>
          <w:spacing w:val="8"/>
          <w:sz w:val="16"/>
          <w:vertAlign w:val="baseline"/>
        </w:rPr>
        <w:t> </w:t>
      </w:r>
      <w:r>
        <w:rPr>
          <w:sz w:val="16"/>
          <w:vertAlign w:val="baseline"/>
        </w:rPr>
        <w:t>de</w:t>
      </w:r>
      <w:r>
        <w:rPr>
          <w:spacing w:val="8"/>
          <w:sz w:val="16"/>
          <w:vertAlign w:val="baseline"/>
        </w:rPr>
        <w:t> </w:t>
      </w:r>
      <w:r>
        <w:rPr>
          <w:sz w:val="16"/>
          <w:vertAlign w:val="baseline"/>
        </w:rPr>
        <w:t>24</w:t>
      </w:r>
      <w:r>
        <w:rPr>
          <w:spacing w:val="6"/>
          <w:sz w:val="16"/>
          <w:vertAlign w:val="baseline"/>
        </w:rPr>
        <w:t> </w:t>
      </w:r>
      <w:r>
        <w:rPr>
          <w:spacing w:val="-5"/>
          <w:sz w:val="16"/>
          <w:vertAlign w:val="baseline"/>
        </w:rPr>
        <w:t>de</w:t>
      </w:r>
    </w:p>
    <w:p>
      <w:pPr>
        <w:tabs>
          <w:tab w:pos="568" w:val="left" w:leader="none"/>
          <w:tab w:pos="9816" w:val="left" w:leader="none"/>
        </w:tabs>
        <w:spacing w:before="1"/>
        <w:ind w:left="160" w:right="0" w:firstLine="0"/>
        <w:jc w:val="left"/>
        <w:rPr>
          <w:sz w:val="16"/>
        </w:rPr>
      </w:pPr>
      <w:r>
        <w:rPr>
          <w:sz w:val="16"/>
          <w:u w:val="single"/>
        </w:rPr>
        <w:tab/>
        <w:t>febrero</w:t>
      </w:r>
      <w:r>
        <w:rPr>
          <w:spacing w:val="-3"/>
          <w:sz w:val="16"/>
          <w:u w:val="single"/>
        </w:rPr>
        <w:t> </w:t>
      </w:r>
      <w:r>
        <w:rPr>
          <w:sz w:val="16"/>
          <w:u w:val="single"/>
        </w:rPr>
        <w:t>de</w:t>
      </w:r>
      <w:r>
        <w:rPr>
          <w:spacing w:val="-3"/>
          <w:sz w:val="16"/>
          <w:u w:val="single"/>
        </w:rPr>
        <w:t> </w:t>
      </w:r>
      <w:r>
        <w:rPr>
          <w:spacing w:val="-2"/>
          <w:sz w:val="16"/>
          <w:u w:val="single"/>
        </w:rPr>
        <w:t>1999.</w:t>
      </w:r>
      <w:r>
        <w:rPr>
          <w:sz w:val="16"/>
          <w:u w:val="single"/>
        </w:rPr>
        <w:tab/>
      </w:r>
    </w:p>
    <w:p>
      <w:pPr>
        <w:spacing w:after="0"/>
        <w:jc w:val="left"/>
        <w:rPr>
          <w:sz w:val="16"/>
        </w:rPr>
        <w:sectPr>
          <w:pgSz w:w="11900" w:h="16850"/>
          <w:pgMar w:header="370" w:footer="597" w:top="1380" w:bottom="780" w:left="992" w:right="283"/>
        </w:sectPr>
      </w:pPr>
    </w:p>
    <w:p>
      <w:pPr>
        <w:pStyle w:val="BodyText"/>
        <w:spacing w:before="187"/>
        <w:rPr>
          <w:sz w:val="21"/>
        </w:rPr>
      </w:pPr>
    </w:p>
    <w:p>
      <w:pPr>
        <w:spacing w:before="1"/>
        <w:ind w:left="1701" w:right="980" w:firstLine="0"/>
        <w:jc w:val="both"/>
        <w:rPr>
          <w:sz w:val="21"/>
        </w:rPr>
      </w:pPr>
      <w:r>
        <w:rPr>
          <w:sz w:val="21"/>
        </w:rPr>
        <w:t>“</w:t>
      </w:r>
      <w:r>
        <w:rPr>
          <w:rFonts w:ascii="Arial" w:hAnsi="Arial"/>
          <w:i/>
          <w:sz w:val="21"/>
        </w:rPr>
        <w:t>Un obstáculo o impedimento a la importación libre de mercancías que se salga del objeto específico de las medidas de excepción dirigiéndose a </w:t>
      </w:r>
      <w:r>
        <w:rPr>
          <w:rFonts w:ascii="Arial" w:hAnsi="Arial"/>
          <w:i/>
          <w:sz w:val="21"/>
          <w:u w:val="single"/>
        </w:rPr>
        <w:t>imposibilitar</w:t>
      </w:r>
      <w:r>
        <w:rPr>
          <w:rFonts w:ascii="Arial" w:hAnsi="Arial"/>
          <w:i/>
          <w:sz w:val="21"/>
        </w:rPr>
        <w:t> </w:t>
      </w:r>
      <w:r>
        <w:rPr>
          <w:rFonts w:ascii="Arial" w:hAnsi="Arial"/>
          <w:i/>
          <w:sz w:val="21"/>
          <w:u w:val="single"/>
        </w:rPr>
        <w:t>injustificadamente la importación de un determinado producto o de hacer la</w:t>
      </w:r>
      <w:r>
        <w:rPr>
          <w:rFonts w:ascii="Arial" w:hAnsi="Arial"/>
          <w:i/>
          <w:sz w:val="21"/>
        </w:rPr>
        <w:t> </w:t>
      </w:r>
      <w:r>
        <w:rPr>
          <w:rFonts w:ascii="Arial" w:hAnsi="Arial"/>
          <w:i/>
          <w:sz w:val="21"/>
          <w:u w:val="single"/>
        </w:rPr>
        <w:t>importación más difícil o más costosa, puede reunir las características de restricción</w:t>
      </w:r>
      <w:r>
        <w:rPr>
          <w:rFonts w:ascii="Arial" w:hAnsi="Arial"/>
          <w:i/>
          <w:sz w:val="21"/>
        </w:rPr>
        <w:t> </w:t>
      </w:r>
      <w:r>
        <w:rPr>
          <w:rFonts w:ascii="Arial" w:hAnsi="Arial"/>
          <w:i/>
          <w:sz w:val="21"/>
          <w:u w:val="single"/>
        </w:rPr>
        <w:t>al comercio</w:t>
      </w:r>
      <w:r>
        <w:rPr>
          <w:rFonts w:ascii="Arial" w:hAnsi="Arial"/>
          <w:i/>
          <w:sz w:val="21"/>
        </w:rPr>
        <w:t> y más aún cuando una medida tiene el carácter discriminatorio </w:t>
      </w:r>
      <w:r>
        <w:rPr>
          <w:sz w:val="21"/>
        </w:rPr>
        <w:t>(…)”</w:t>
      </w:r>
    </w:p>
    <w:p>
      <w:pPr>
        <w:pStyle w:val="ListParagraph"/>
        <w:numPr>
          <w:ilvl w:val="0"/>
          <w:numId w:val="50"/>
        </w:numPr>
        <w:tabs>
          <w:tab w:pos="1130" w:val="left" w:leader="none"/>
          <w:tab w:pos="1134" w:val="left" w:leader="none"/>
        </w:tabs>
        <w:spacing w:line="240" w:lineRule="auto" w:before="230" w:after="0"/>
        <w:ind w:left="1134" w:right="978" w:hanging="567"/>
        <w:jc w:val="both"/>
        <w:rPr>
          <w:sz w:val="22"/>
        </w:rPr>
      </w:pPr>
      <w:r>
        <w:rPr>
          <w:sz w:val="22"/>
        </w:rPr>
        <w:t>De</w:t>
      </w:r>
      <w:r>
        <w:rPr>
          <w:spacing w:val="-6"/>
          <w:sz w:val="22"/>
        </w:rPr>
        <w:t> </w:t>
      </w:r>
      <w:r>
        <w:rPr>
          <w:sz w:val="22"/>
        </w:rPr>
        <w:t>manera</w:t>
      </w:r>
      <w:r>
        <w:rPr>
          <w:spacing w:val="-8"/>
          <w:sz w:val="22"/>
        </w:rPr>
        <w:t> </w:t>
      </w:r>
      <w:r>
        <w:rPr>
          <w:sz w:val="22"/>
        </w:rPr>
        <w:t>adicional,</w:t>
      </w:r>
      <w:r>
        <w:rPr>
          <w:spacing w:val="-5"/>
          <w:sz w:val="22"/>
        </w:rPr>
        <w:t> </w:t>
      </w:r>
      <w:r>
        <w:rPr>
          <w:sz w:val="22"/>
        </w:rPr>
        <w:t>como</w:t>
      </w:r>
      <w:r>
        <w:rPr>
          <w:spacing w:val="-6"/>
          <w:sz w:val="22"/>
        </w:rPr>
        <w:t> </w:t>
      </w:r>
      <w:r>
        <w:rPr>
          <w:sz w:val="22"/>
        </w:rPr>
        <w:t>se</w:t>
      </w:r>
      <w:r>
        <w:rPr>
          <w:spacing w:val="-6"/>
          <w:sz w:val="22"/>
        </w:rPr>
        <w:t> </w:t>
      </w:r>
      <w:r>
        <w:rPr>
          <w:sz w:val="22"/>
        </w:rPr>
        <w:t>ha</w:t>
      </w:r>
      <w:r>
        <w:rPr>
          <w:spacing w:val="-9"/>
          <w:sz w:val="22"/>
        </w:rPr>
        <w:t> </w:t>
      </w:r>
      <w:r>
        <w:rPr>
          <w:sz w:val="22"/>
        </w:rPr>
        <w:t>señalado</w:t>
      </w:r>
      <w:r>
        <w:rPr>
          <w:spacing w:val="-6"/>
          <w:sz w:val="22"/>
        </w:rPr>
        <w:t> </w:t>
      </w:r>
      <w:r>
        <w:rPr>
          <w:sz w:val="22"/>
        </w:rPr>
        <w:t>anteriormente,</w:t>
      </w:r>
      <w:r>
        <w:rPr>
          <w:spacing w:val="-6"/>
          <w:sz w:val="22"/>
        </w:rPr>
        <w:t> </w:t>
      </w:r>
      <w:r>
        <w:rPr>
          <w:sz w:val="22"/>
        </w:rPr>
        <w:t>el</w:t>
      </w:r>
      <w:r>
        <w:rPr>
          <w:spacing w:val="-7"/>
          <w:sz w:val="22"/>
        </w:rPr>
        <w:t> </w:t>
      </w:r>
      <w:r>
        <w:rPr>
          <w:sz w:val="22"/>
        </w:rPr>
        <w:t>TJCAN,</w:t>
      </w:r>
      <w:r>
        <w:rPr>
          <w:spacing w:val="-5"/>
          <w:sz w:val="22"/>
        </w:rPr>
        <w:t> </w:t>
      </w:r>
      <w:r>
        <w:rPr>
          <w:sz w:val="22"/>
        </w:rPr>
        <w:t>en</w:t>
      </w:r>
      <w:r>
        <w:rPr>
          <w:spacing w:val="-6"/>
          <w:sz w:val="22"/>
        </w:rPr>
        <w:t> </w:t>
      </w:r>
      <w:r>
        <w:rPr>
          <w:sz w:val="22"/>
        </w:rPr>
        <w:t>el</w:t>
      </w:r>
      <w:r>
        <w:rPr>
          <w:spacing w:val="-9"/>
          <w:sz w:val="22"/>
        </w:rPr>
        <w:t> </w:t>
      </w:r>
      <w:r>
        <w:rPr>
          <w:sz w:val="22"/>
        </w:rPr>
        <w:t>Proceso</w:t>
      </w:r>
      <w:r>
        <w:rPr>
          <w:spacing w:val="-6"/>
          <w:sz w:val="22"/>
        </w:rPr>
        <w:t> </w:t>
      </w:r>
      <w:r>
        <w:rPr>
          <w:sz w:val="22"/>
        </w:rPr>
        <w:t>02-AN-98,</w:t>
      </w:r>
      <w:r>
        <w:rPr>
          <w:spacing w:val="-12"/>
          <w:sz w:val="22"/>
        </w:rPr>
        <w:t> </w:t>
      </w:r>
      <w:r>
        <w:rPr>
          <w:sz w:val="22"/>
        </w:rPr>
        <w:t>indicó</w:t>
      </w:r>
      <w:r>
        <w:rPr>
          <w:spacing w:val="-13"/>
          <w:sz w:val="22"/>
        </w:rPr>
        <w:t> </w:t>
      </w:r>
      <w:r>
        <w:rPr>
          <w:sz w:val="22"/>
        </w:rPr>
        <w:t>que</w:t>
      </w:r>
      <w:r>
        <w:rPr>
          <w:spacing w:val="-14"/>
          <w:sz w:val="22"/>
        </w:rPr>
        <w:t> </w:t>
      </w:r>
      <w:r>
        <w:rPr>
          <w:sz w:val="22"/>
        </w:rPr>
        <w:t>una</w:t>
      </w:r>
      <w:r>
        <w:rPr>
          <w:spacing w:val="-14"/>
          <w:sz w:val="22"/>
        </w:rPr>
        <w:t> </w:t>
      </w:r>
      <w:r>
        <w:rPr>
          <w:sz w:val="22"/>
        </w:rPr>
        <w:t>medida</w:t>
      </w:r>
      <w:r>
        <w:rPr>
          <w:spacing w:val="-14"/>
          <w:sz w:val="22"/>
        </w:rPr>
        <w:t> </w:t>
      </w:r>
      <w:r>
        <w:rPr>
          <w:sz w:val="22"/>
        </w:rPr>
        <w:t>no</w:t>
      </w:r>
      <w:r>
        <w:rPr>
          <w:spacing w:val="-14"/>
          <w:sz w:val="22"/>
        </w:rPr>
        <w:t> </w:t>
      </w:r>
      <w:r>
        <w:rPr>
          <w:sz w:val="22"/>
        </w:rPr>
        <w:t>debe</w:t>
      </w:r>
      <w:r>
        <w:rPr>
          <w:spacing w:val="-13"/>
          <w:sz w:val="22"/>
        </w:rPr>
        <w:t> </w:t>
      </w:r>
      <w:r>
        <w:rPr>
          <w:sz w:val="22"/>
        </w:rPr>
        <w:t>calificarse</w:t>
      </w:r>
      <w:r>
        <w:rPr>
          <w:spacing w:val="-16"/>
          <w:sz w:val="22"/>
        </w:rPr>
        <w:t> </w:t>
      </w:r>
      <w:r>
        <w:rPr>
          <w:sz w:val="22"/>
        </w:rPr>
        <w:t>en</w:t>
      </w:r>
      <w:r>
        <w:rPr>
          <w:spacing w:val="-13"/>
          <w:sz w:val="22"/>
        </w:rPr>
        <w:t> </w:t>
      </w:r>
      <w:r>
        <w:rPr>
          <w:sz w:val="22"/>
        </w:rPr>
        <w:t>atención</w:t>
      </w:r>
      <w:r>
        <w:rPr>
          <w:spacing w:val="-14"/>
          <w:sz w:val="22"/>
        </w:rPr>
        <w:t> </w:t>
      </w:r>
      <w:r>
        <w:rPr>
          <w:sz w:val="22"/>
        </w:rPr>
        <w:t>a</w:t>
      </w:r>
      <w:r>
        <w:rPr>
          <w:spacing w:val="-13"/>
          <w:sz w:val="22"/>
        </w:rPr>
        <w:t> </w:t>
      </w:r>
      <w:r>
        <w:rPr>
          <w:sz w:val="22"/>
        </w:rPr>
        <w:t>su</w:t>
      </w:r>
      <w:r>
        <w:rPr>
          <w:spacing w:val="-14"/>
          <w:sz w:val="22"/>
        </w:rPr>
        <w:t> </w:t>
      </w:r>
      <w:r>
        <w:rPr>
          <w:sz w:val="22"/>
        </w:rPr>
        <w:t>naturaleza</w:t>
      </w:r>
      <w:r>
        <w:rPr>
          <w:spacing w:val="-14"/>
          <w:sz w:val="22"/>
        </w:rPr>
        <w:t> </w:t>
      </w:r>
      <w:r>
        <w:rPr>
          <w:sz w:val="22"/>
        </w:rPr>
        <w:t>o</w:t>
      </w:r>
      <w:r>
        <w:rPr>
          <w:spacing w:val="-13"/>
          <w:sz w:val="22"/>
        </w:rPr>
        <w:t> </w:t>
      </w:r>
      <w:r>
        <w:rPr>
          <w:sz w:val="22"/>
        </w:rPr>
        <w:t>carácter – sea este definitivo o preparatorio-, sino en función de los efectos que pueda causar sobre las importaciones, ya sean reales o potenciales</w:t>
      </w:r>
      <w:hyperlink w:history="true" w:anchor="_bookmark133">
        <w:r>
          <w:rPr>
            <w:sz w:val="22"/>
            <w:vertAlign w:val="superscript"/>
          </w:rPr>
          <w:t>66</w:t>
        </w:r>
      </w:hyperlink>
      <w:r>
        <w:rPr>
          <w:sz w:val="22"/>
          <w:vertAlign w:val="baseline"/>
        </w:rPr>
        <w:t> en los siguientes términos:</w:t>
      </w:r>
    </w:p>
    <w:p>
      <w:pPr>
        <w:pStyle w:val="BodyText"/>
      </w:pPr>
    </w:p>
    <w:p>
      <w:pPr>
        <w:spacing w:line="240" w:lineRule="auto" w:before="0"/>
        <w:ind w:left="1701" w:right="983" w:firstLine="0"/>
        <w:jc w:val="both"/>
        <w:rPr>
          <w:sz w:val="22"/>
        </w:rPr>
      </w:pPr>
      <w:r>
        <w:rPr>
          <w:sz w:val="22"/>
        </w:rPr>
        <w:t>“…</w:t>
      </w:r>
      <w:r>
        <w:rPr>
          <w:rFonts w:ascii="Arial" w:hAnsi="Arial"/>
          <w:i/>
          <w:sz w:val="22"/>
        </w:rPr>
        <w:t>el carácter definitivo o preparatorio de un acto interno no es decisivo para calificar una medida como restricción al comercio, sino más bien el efecto restrictivo que eventualmente pudiere producir, en las importaciones presentes o </w:t>
      </w:r>
      <w:r>
        <w:rPr>
          <w:rFonts w:ascii="Arial" w:hAnsi="Arial"/>
          <w:i/>
          <w:spacing w:val="-2"/>
          <w:sz w:val="22"/>
        </w:rPr>
        <w:t>futuras</w:t>
      </w:r>
      <w:r>
        <w:rPr>
          <w:spacing w:val="-2"/>
          <w:sz w:val="22"/>
        </w:rPr>
        <w:t>”.</w:t>
      </w:r>
    </w:p>
    <w:p>
      <w:pPr>
        <w:pStyle w:val="BodyText"/>
      </w:pPr>
    </w:p>
    <w:p>
      <w:pPr>
        <w:pStyle w:val="ListParagraph"/>
        <w:numPr>
          <w:ilvl w:val="0"/>
          <w:numId w:val="50"/>
        </w:numPr>
        <w:tabs>
          <w:tab w:pos="1130" w:val="left" w:leader="none"/>
          <w:tab w:pos="1134" w:val="left" w:leader="none"/>
        </w:tabs>
        <w:spacing w:line="240" w:lineRule="auto" w:before="0" w:after="0"/>
        <w:ind w:left="1134" w:right="975" w:hanging="567"/>
        <w:jc w:val="both"/>
        <w:rPr>
          <w:sz w:val="22"/>
        </w:rPr>
      </w:pPr>
      <w:r>
        <w:rPr>
          <w:sz w:val="22"/>
        </w:rPr>
        <w:t>Según señala la jurisprudencia del TJCAN, para que una medida comprendida en el artículo 73 </w:t>
      </w:r>
      <w:r>
        <w:rPr>
          <w:sz w:val="22"/>
          <w:u w:val="single"/>
        </w:rPr>
        <w:t>del Acuerdo de Cartagena pueda</w:t>
      </w:r>
      <w:r>
        <w:rPr>
          <w:sz w:val="22"/>
        </w:rPr>
        <w:t> ser calificada como una restricción, debe producir, </w:t>
      </w:r>
      <w:r>
        <w:rPr>
          <w:sz w:val="22"/>
          <w:u w:val="single"/>
        </w:rPr>
        <w:t>de manera real o potencial: alguno de los siguientes efectos: i) impedir</w:t>
      </w:r>
      <w:r>
        <w:rPr>
          <w:sz w:val="22"/>
        </w:rPr>
        <w:t> </w:t>
      </w:r>
      <w:r>
        <w:rPr>
          <w:sz w:val="22"/>
          <w:u w:val="single"/>
        </w:rPr>
        <w:t>(suspender</w:t>
      </w:r>
      <w:r>
        <w:rPr>
          <w:spacing w:val="-3"/>
          <w:sz w:val="22"/>
          <w:u w:val="single"/>
        </w:rPr>
        <w:t> </w:t>
      </w:r>
      <w:r>
        <w:rPr>
          <w:sz w:val="22"/>
          <w:u w:val="single"/>
        </w:rPr>
        <w:t>o</w:t>
      </w:r>
      <w:r>
        <w:rPr>
          <w:spacing w:val="-3"/>
          <w:sz w:val="22"/>
          <w:u w:val="single"/>
        </w:rPr>
        <w:t> </w:t>
      </w:r>
      <w:r>
        <w:rPr>
          <w:sz w:val="22"/>
          <w:u w:val="single"/>
        </w:rPr>
        <w:t>prohibir)</w:t>
      </w:r>
      <w:r>
        <w:rPr>
          <w:spacing w:val="-1"/>
          <w:sz w:val="22"/>
          <w:u w:val="single"/>
        </w:rPr>
        <w:t> </w:t>
      </w:r>
      <w:r>
        <w:rPr>
          <w:sz w:val="22"/>
          <w:u w:val="single"/>
        </w:rPr>
        <w:t>las</w:t>
      </w:r>
      <w:r>
        <w:rPr>
          <w:spacing w:val="-2"/>
          <w:sz w:val="22"/>
          <w:u w:val="single"/>
        </w:rPr>
        <w:t> </w:t>
      </w:r>
      <w:r>
        <w:rPr>
          <w:sz w:val="22"/>
          <w:u w:val="single"/>
        </w:rPr>
        <w:t>importaciones</w:t>
      </w:r>
      <w:r>
        <w:rPr>
          <w:spacing w:val="-3"/>
          <w:sz w:val="22"/>
          <w:u w:val="single"/>
        </w:rPr>
        <w:t> </w:t>
      </w:r>
      <w:r>
        <w:rPr>
          <w:sz w:val="22"/>
          <w:u w:val="single"/>
        </w:rPr>
        <w:t>andinas;</w:t>
      </w:r>
      <w:r>
        <w:rPr>
          <w:spacing w:val="-3"/>
          <w:sz w:val="22"/>
          <w:u w:val="single"/>
        </w:rPr>
        <w:t> </w:t>
      </w:r>
      <w:r>
        <w:rPr>
          <w:sz w:val="22"/>
          <w:u w:val="single"/>
        </w:rPr>
        <w:t>o</w:t>
      </w:r>
      <w:r>
        <w:rPr>
          <w:spacing w:val="-2"/>
          <w:sz w:val="22"/>
          <w:u w:val="single"/>
        </w:rPr>
        <w:t> </w:t>
      </w:r>
      <w:r>
        <w:rPr>
          <w:sz w:val="22"/>
          <w:u w:val="single"/>
        </w:rPr>
        <w:t>ii)</w:t>
      </w:r>
      <w:r>
        <w:rPr>
          <w:spacing w:val="-1"/>
          <w:sz w:val="22"/>
          <w:u w:val="single"/>
        </w:rPr>
        <w:t> </w:t>
      </w:r>
      <w:r>
        <w:rPr>
          <w:sz w:val="22"/>
          <w:u w:val="single"/>
        </w:rPr>
        <w:t>dificultar</w:t>
      </w:r>
      <w:r>
        <w:rPr>
          <w:spacing w:val="-3"/>
          <w:sz w:val="22"/>
          <w:u w:val="single"/>
        </w:rPr>
        <w:t> </w:t>
      </w:r>
      <w:r>
        <w:rPr>
          <w:sz w:val="22"/>
          <w:u w:val="single"/>
        </w:rPr>
        <w:t>(encarecer</w:t>
      </w:r>
      <w:r>
        <w:rPr>
          <w:spacing w:val="-3"/>
          <w:sz w:val="22"/>
          <w:u w:val="single"/>
        </w:rPr>
        <w:t> </w:t>
      </w:r>
      <w:r>
        <w:rPr>
          <w:sz w:val="22"/>
          <w:u w:val="single"/>
        </w:rPr>
        <w:t>o</w:t>
      </w:r>
      <w:r>
        <w:rPr>
          <w:spacing w:val="-3"/>
          <w:sz w:val="22"/>
          <w:u w:val="single"/>
        </w:rPr>
        <w:t> </w:t>
      </w:r>
      <w:r>
        <w:rPr>
          <w:sz w:val="22"/>
          <w:u w:val="single"/>
        </w:rPr>
        <w:t>hacer</w:t>
      </w:r>
      <w:r>
        <w:rPr>
          <w:spacing w:val="-3"/>
          <w:sz w:val="22"/>
          <w:u w:val="single"/>
        </w:rPr>
        <w:t> </w:t>
      </w:r>
      <w:r>
        <w:rPr>
          <w:sz w:val="22"/>
          <w:u w:val="single"/>
        </w:rPr>
        <w:t>más</w:t>
      </w:r>
      <w:r>
        <w:rPr>
          <w:sz w:val="22"/>
        </w:rPr>
        <w:t> </w:t>
      </w:r>
      <w:r>
        <w:rPr>
          <w:sz w:val="22"/>
          <w:u w:val="single"/>
        </w:rPr>
        <w:t>onerosa) las importaciones andinas</w:t>
      </w:r>
      <w:r>
        <w:rPr>
          <w:sz w:val="22"/>
        </w:rPr>
        <w:t>. Ello, salvo que dicha medida se configure válidamente</w:t>
      </w:r>
      <w:r>
        <w:rPr>
          <w:spacing w:val="-2"/>
          <w:sz w:val="22"/>
        </w:rPr>
        <w:t> </w:t>
      </w:r>
      <w:r>
        <w:rPr>
          <w:sz w:val="22"/>
        </w:rPr>
        <w:t>como</w:t>
      </w:r>
      <w:r>
        <w:rPr>
          <w:spacing w:val="-1"/>
          <w:sz w:val="22"/>
        </w:rPr>
        <w:t> </w:t>
      </w:r>
      <w:r>
        <w:rPr>
          <w:sz w:val="22"/>
        </w:rPr>
        <w:t>una</w:t>
      </w:r>
      <w:r>
        <w:rPr>
          <w:spacing w:val="-2"/>
          <w:sz w:val="22"/>
        </w:rPr>
        <w:t> </w:t>
      </w:r>
      <w:r>
        <w:rPr>
          <w:sz w:val="22"/>
        </w:rPr>
        <w:t>excepción, en los</w:t>
      </w:r>
      <w:r>
        <w:rPr>
          <w:spacing w:val="-4"/>
          <w:sz w:val="22"/>
        </w:rPr>
        <w:t> </w:t>
      </w:r>
      <w:r>
        <w:rPr>
          <w:sz w:val="22"/>
        </w:rPr>
        <w:t>términos expresamente</w:t>
      </w:r>
      <w:r>
        <w:rPr>
          <w:spacing w:val="-2"/>
          <w:sz w:val="22"/>
        </w:rPr>
        <w:t> </w:t>
      </w:r>
      <w:r>
        <w:rPr>
          <w:sz w:val="22"/>
        </w:rPr>
        <w:t>previstos en</w:t>
      </w:r>
      <w:r>
        <w:rPr>
          <w:spacing w:val="-2"/>
          <w:sz w:val="22"/>
        </w:rPr>
        <w:t> </w:t>
      </w:r>
      <w:r>
        <w:rPr>
          <w:sz w:val="22"/>
        </w:rPr>
        <w:t>el</w:t>
      </w:r>
      <w:r>
        <w:rPr>
          <w:spacing w:val="-1"/>
          <w:sz w:val="22"/>
        </w:rPr>
        <w:t> </w:t>
      </w:r>
      <w:r>
        <w:rPr>
          <w:sz w:val="22"/>
        </w:rPr>
        <w:t>propio del artículo 73 del Acuerdo de Cartagena.</w:t>
      </w:r>
    </w:p>
    <w:p>
      <w:pPr>
        <w:pStyle w:val="BodyText"/>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En ese sentido, atendiendo a los criterios desarrollados por el TJCAN, así como a la información</w:t>
      </w:r>
      <w:r>
        <w:rPr>
          <w:spacing w:val="-1"/>
          <w:sz w:val="22"/>
        </w:rPr>
        <w:t> </w:t>
      </w:r>
      <w:r>
        <w:rPr>
          <w:sz w:val="22"/>
        </w:rPr>
        <w:t>recopilada durante la presente investigación, a continuación, se procederá a</w:t>
      </w:r>
      <w:r>
        <w:rPr>
          <w:spacing w:val="-11"/>
          <w:sz w:val="22"/>
        </w:rPr>
        <w:t> </w:t>
      </w:r>
      <w:r>
        <w:rPr>
          <w:sz w:val="22"/>
        </w:rPr>
        <w:t>evaluar</w:t>
      </w:r>
      <w:r>
        <w:rPr>
          <w:spacing w:val="-10"/>
          <w:sz w:val="22"/>
        </w:rPr>
        <w:t> </w:t>
      </w:r>
      <w:r>
        <w:rPr>
          <w:sz w:val="22"/>
        </w:rPr>
        <w:t>los</w:t>
      </w:r>
      <w:r>
        <w:rPr>
          <w:spacing w:val="-11"/>
          <w:sz w:val="22"/>
        </w:rPr>
        <w:t> </w:t>
      </w:r>
      <w:r>
        <w:rPr>
          <w:sz w:val="22"/>
        </w:rPr>
        <w:t>siguientes</w:t>
      </w:r>
      <w:r>
        <w:rPr>
          <w:spacing w:val="-14"/>
          <w:sz w:val="22"/>
        </w:rPr>
        <w:t> </w:t>
      </w:r>
      <w:r>
        <w:rPr>
          <w:sz w:val="22"/>
        </w:rPr>
        <w:t>factores,</w:t>
      </w:r>
      <w:r>
        <w:rPr>
          <w:spacing w:val="-10"/>
          <w:sz w:val="22"/>
        </w:rPr>
        <w:t> </w:t>
      </w:r>
      <w:r>
        <w:rPr>
          <w:sz w:val="22"/>
        </w:rPr>
        <w:t>a</w:t>
      </w:r>
      <w:r>
        <w:rPr>
          <w:spacing w:val="-14"/>
          <w:sz w:val="22"/>
        </w:rPr>
        <w:t> </w:t>
      </w:r>
      <w:r>
        <w:rPr>
          <w:sz w:val="22"/>
        </w:rPr>
        <w:t>fin</w:t>
      </w:r>
      <w:r>
        <w:rPr>
          <w:spacing w:val="-11"/>
          <w:sz w:val="22"/>
        </w:rPr>
        <w:t> </w:t>
      </w:r>
      <w:r>
        <w:rPr>
          <w:sz w:val="22"/>
        </w:rPr>
        <w:t>de</w:t>
      </w:r>
      <w:r>
        <w:rPr>
          <w:spacing w:val="-13"/>
          <w:sz w:val="22"/>
        </w:rPr>
        <w:t> </w:t>
      </w:r>
      <w:r>
        <w:rPr>
          <w:sz w:val="22"/>
        </w:rPr>
        <w:t>determinar</w:t>
      </w:r>
      <w:r>
        <w:rPr>
          <w:spacing w:val="-10"/>
          <w:sz w:val="22"/>
        </w:rPr>
        <w:t> </w:t>
      </w:r>
      <w:r>
        <w:rPr>
          <w:sz w:val="22"/>
        </w:rPr>
        <w:t>si</w:t>
      </w:r>
      <w:r>
        <w:rPr>
          <w:spacing w:val="-12"/>
          <w:sz w:val="22"/>
        </w:rPr>
        <w:t> </w:t>
      </w:r>
      <w:r>
        <w:rPr>
          <w:sz w:val="22"/>
        </w:rPr>
        <w:t>la</w:t>
      </w:r>
      <w:r>
        <w:rPr>
          <w:spacing w:val="-14"/>
          <w:sz w:val="22"/>
        </w:rPr>
        <w:t> </w:t>
      </w:r>
      <w:r>
        <w:rPr>
          <w:sz w:val="22"/>
        </w:rPr>
        <w:t>medida</w:t>
      </w:r>
      <w:r>
        <w:rPr>
          <w:spacing w:val="-12"/>
          <w:sz w:val="22"/>
        </w:rPr>
        <w:t> </w:t>
      </w:r>
      <w:r>
        <w:rPr>
          <w:sz w:val="22"/>
        </w:rPr>
        <w:t>objeto</w:t>
      </w:r>
      <w:r>
        <w:rPr>
          <w:spacing w:val="-11"/>
          <w:sz w:val="22"/>
        </w:rPr>
        <w:t> </w:t>
      </w:r>
      <w:r>
        <w:rPr>
          <w:sz w:val="22"/>
        </w:rPr>
        <w:t>de</w:t>
      </w:r>
      <w:r>
        <w:rPr>
          <w:spacing w:val="-14"/>
          <w:sz w:val="22"/>
        </w:rPr>
        <w:t> </w:t>
      </w:r>
      <w:r>
        <w:rPr>
          <w:sz w:val="22"/>
        </w:rPr>
        <w:t>investigación ha tenido como efecto, real o potencial, impedir o dificultar las importaciones de origen andino, de</w:t>
      </w:r>
      <w:r>
        <w:rPr>
          <w:spacing w:val="-2"/>
          <w:sz w:val="22"/>
        </w:rPr>
        <w:t> </w:t>
      </w:r>
      <w:r>
        <w:rPr>
          <w:sz w:val="22"/>
        </w:rPr>
        <w:t>conformidad</w:t>
      </w:r>
      <w:r>
        <w:rPr>
          <w:spacing w:val="-4"/>
          <w:sz w:val="22"/>
        </w:rPr>
        <w:t> </w:t>
      </w:r>
      <w:r>
        <w:rPr>
          <w:sz w:val="22"/>
        </w:rPr>
        <w:t>con</w:t>
      </w:r>
      <w:r>
        <w:rPr>
          <w:spacing w:val="-2"/>
          <w:sz w:val="22"/>
        </w:rPr>
        <w:t> </w:t>
      </w:r>
      <w:r>
        <w:rPr>
          <w:sz w:val="22"/>
        </w:rPr>
        <w:t>lo</w:t>
      </w:r>
      <w:r>
        <w:rPr>
          <w:spacing w:val="-2"/>
          <w:sz w:val="22"/>
        </w:rPr>
        <w:t> </w:t>
      </w:r>
      <w:r>
        <w:rPr>
          <w:sz w:val="22"/>
        </w:rPr>
        <w:t>dispuesto</w:t>
      </w:r>
      <w:r>
        <w:rPr>
          <w:spacing w:val="-2"/>
          <w:sz w:val="22"/>
        </w:rPr>
        <w:t> </w:t>
      </w:r>
      <w:r>
        <w:rPr>
          <w:sz w:val="22"/>
        </w:rPr>
        <w:t>en</w:t>
      </w:r>
      <w:r>
        <w:rPr>
          <w:spacing w:val="-2"/>
          <w:sz w:val="22"/>
        </w:rPr>
        <w:t> </w:t>
      </w:r>
      <w:r>
        <w:rPr>
          <w:sz w:val="22"/>
        </w:rPr>
        <w:t>el</w:t>
      </w:r>
      <w:r>
        <w:rPr>
          <w:spacing w:val="-3"/>
          <w:sz w:val="22"/>
        </w:rPr>
        <w:t> </w:t>
      </w:r>
      <w:r>
        <w:rPr>
          <w:sz w:val="22"/>
        </w:rPr>
        <w:t>Acuerdo</w:t>
      </w:r>
      <w:r>
        <w:rPr>
          <w:spacing w:val="-2"/>
          <w:sz w:val="22"/>
        </w:rPr>
        <w:t> </w:t>
      </w:r>
      <w:r>
        <w:rPr>
          <w:sz w:val="22"/>
        </w:rPr>
        <w:t>de</w:t>
      </w:r>
      <w:r>
        <w:rPr>
          <w:spacing w:val="-2"/>
          <w:sz w:val="22"/>
        </w:rPr>
        <w:t> </w:t>
      </w:r>
      <w:r>
        <w:rPr>
          <w:sz w:val="22"/>
        </w:rPr>
        <w:t>Cartagena</w:t>
      </w:r>
      <w:r>
        <w:rPr>
          <w:spacing w:val="-4"/>
          <w:sz w:val="22"/>
        </w:rPr>
        <w:t> </w:t>
      </w:r>
      <w:r>
        <w:rPr>
          <w:sz w:val="22"/>
        </w:rPr>
        <w:t>y en</w:t>
      </w:r>
      <w:r>
        <w:rPr>
          <w:spacing w:val="-4"/>
          <w:sz w:val="22"/>
        </w:rPr>
        <w:t> </w:t>
      </w:r>
      <w:r>
        <w:rPr>
          <w:sz w:val="22"/>
        </w:rPr>
        <w:t>el</w:t>
      </w:r>
      <w:r>
        <w:rPr>
          <w:spacing w:val="-3"/>
          <w:sz w:val="22"/>
        </w:rPr>
        <w:t> </w:t>
      </w:r>
      <w:r>
        <w:rPr>
          <w:sz w:val="22"/>
        </w:rPr>
        <w:t>marco</w:t>
      </w:r>
      <w:r>
        <w:rPr>
          <w:spacing w:val="-1"/>
          <w:sz w:val="22"/>
        </w:rPr>
        <w:t> </w:t>
      </w:r>
      <w:r>
        <w:rPr>
          <w:sz w:val="22"/>
        </w:rPr>
        <w:t>del </w:t>
      </w:r>
      <w:r>
        <w:rPr>
          <w:rFonts w:ascii="Arial" w:hAnsi="Arial"/>
          <w:i/>
          <w:sz w:val="22"/>
        </w:rPr>
        <w:t>Programa de Liberación </w:t>
      </w:r>
      <w:r>
        <w:rPr>
          <w:sz w:val="22"/>
        </w:rPr>
        <w:t>de la Comunidad Andina.</w:t>
      </w:r>
    </w:p>
    <w:p>
      <w:pPr>
        <w:pStyle w:val="BodyText"/>
        <w:spacing w:before="2"/>
      </w:pPr>
    </w:p>
    <w:p>
      <w:pPr>
        <w:pStyle w:val="Heading6"/>
        <w:numPr>
          <w:ilvl w:val="0"/>
          <w:numId w:val="88"/>
        </w:numPr>
        <w:tabs>
          <w:tab w:pos="1197" w:val="left" w:leader="none"/>
        </w:tabs>
        <w:spacing w:line="240" w:lineRule="auto" w:before="0" w:after="0"/>
        <w:ind w:left="1197" w:right="0" w:hanging="629"/>
        <w:jc w:val="left"/>
      </w:pPr>
      <w:r>
        <w:rPr/>
        <w:t>Argumentos</w:t>
      </w:r>
      <w:r>
        <w:rPr>
          <w:spacing w:val="-4"/>
        </w:rPr>
        <w:t> </w:t>
      </w:r>
      <w:r>
        <w:rPr/>
        <w:t>de</w:t>
      </w:r>
      <w:r>
        <w:rPr>
          <w:spacing w:val="-7"/>
        </w:rPr>
        <w:t> </w:t>
      </w:r>
      <w:r>
        <w:rPr/>
        <w:t>la</w:t>
      </w:r>
      <w:r>
        <w:rPr>
          <w:spacing w:val="-6"/>
        </w:rPr>
        <w:t> </w:t>
      </w:r>
      <w:r>
        <w:rPr/>
        <w:t>República</w:t>
      </w:r>
      <w:r>
        <w:rPr>
          <w:spacing w:val="-6"/>
        </w:rPr>
        <w:t> </w:t>
      </w:r>
      <w:r>
        <w:rPr/>
        <w:t>del</w:t>
      </w:r>
      <w:r>
        <w:rPr>
          <w:spacing w:val="-4"/>
        </w:rPr>
        <w:t> </w:t>
      </w:r>
      <w:r>
        <w:rPr>
          <w:spacing w:val="-2"/>
        </w:rPr>
        <w:t>Ecuador</w:t>
      </w:r>
    </w:p>
    <w:p>
      <w:pPr>
        <w:pStyle w:val="ListParagraph"/>
        <w:numPr>
          <w:ilvl w:val="0"/>
          <w:numId w:val="50"/>
        </w:numPr>
        <w:tabs>
          <w:tab w:pos="1130" w:val="left" w:leader="none"/>
          <w:tab w:pos="1134" w:val="left" w:leader="none"/>
        </w:tabs>
        <w:spacing w:line="240" w:lineRule="auto" w:before="250" w:after="0"/>
        <w:ind w:left="1134" w:right="980" w:hanging="567"/>
        <w:jc w:val="both"/>
        <w:rPr>
          <w:rFonts w:ascii="Arial" w:hAnsi="Arial"/>
          <w:i/>
          <w:sz w:val="22"/>
        </w:rPr>
      </w:pPr>
      <w:r>
        <w:rPr>
          <w:sz w:val="22"/>
        </w:rPr>
        <w:t>La</w:t>
      </w:r>
      <w:r>
        <w:rPr>
          <w:spacing w:val="-12"/>
          <w:sz w:val="22"/>
        </w:rPr>
        <w:t> </w:t>
      </w:r>
      <w:r>
        <w:rPr>
          <w:sz w:val="22"/>
        </w:rPr>
        <w:t>República</w:t>
      </w:r>
      <w:r>
        <w:rPr>
          <w:spacing w:val="-11"/>
          <w:sz w:val="22"/>
        </w:rPr>
        <w:t> </w:t>
      </w:r>
      <w:r>
        <w:rPr>
          <w:sz w:val="22"/>
        </w:rPr>
        <w:t>del</w:t>
      </w:r>
      <w:r>
        <w:rPr>
          <w:spacing w:val="-12"/>
          <w:sz w:val="22"/>
        </w:rPr>
        <w:t> </w:t>
      </w:r>
      <w:r>
        <w:rPr>
          <w:sz w:val="22"/>
        </w:rPr>
        <w:t>Ecuador</w:t>
      </w:r>
      <w:r>
        <w:rPr>
          <w:spacing w:val="-10"/>
          <w:sz w:val="22"/>
        </w:rPr>
        <w:t> </w:t>
      </w:r>
      <w:r>
        <w:rPr>
          <w:sz w:val="22"/>
        </w:rPr>
        <w:t>en</w:t>
      </w:r>
      <w:r>
        <w:rPr>
          <w:spacing w:val="-14"/>
          <w:sz w:val="22"/>
        </w:rPr>
        <w:t> </w:t>
      </w:r>
      <w:r>
        <w:rPr>
          <w:sz w:val="22"/>
        </w:rPr>
        <w:t>la</w:t>
      </w:r>
      <w:r>
        <w:rPr>
          <w:spacing w:val="-11"/>
          <w:sz w:val="22"/>
        </w:rPr>
        <w:t> </w:t>
      </w:r>
      <w:r>
        <w:rPr>
          <w:sz w:val="22"/>
        </w:rPr>
        <w:t>solicitud</w:t>
      </w:r>
      <w:r>
        <w:rPr>
          <w:spacing w:val="-14"/>
          <w:sz w:val="22"/>
        </w:rPr>
        <w:t> </w:t>
      </w:r>
      <w:r>
        <w:rPr>
          <w:sz w:val="22"/>
        </w:rPr>
        <w:t>de</w:t>
      </w:r>
      <w:r>
        <w:rPr>
          <w:spacing w:val="-12"/>
          <w:sz w:val="22"/>
        </w:rPr>
        <w:t> </w:t>
      </w:r>
      <w:r>
        <w:rPr>
          <w:sz w:val="22"/>
        </w:rPr>
        <w:t>calificación</w:t>
      </w:r>
      <w:r>
        <w:rPr>
          <w:spacing w:val="-12"/>
          <w:sz w:val="22"/>
        </w:rPr>
        <w:t> </w:t>
      </w:r>
      <w:r>
        <w:rPr>
          <w:sz w:val="22"/>
        </w:rPr>
        <w:t>como</w:t>
      </w:r>
      <w:r>
        <w:rPr>
          <w:spacing w:val="-13"/>
          <w:sz w:val="22"/>
        </w:rPr>
        <w:t> </w:t>
      </w:r>
      <w:r>
        <w:rPr>
          <w:sz w:val="22"/>
        </w:rPr>
        <w:t>restricción</w:t>
      </w:r>
      <w:r>
        <w:rPr>
          <w:spacing w:val="-12"/>
          <w:sz w:val="22"/>
        </w:rPr>
        <w:t> </w:t>
      </w:r>
      <w:r>
        <w:rPr>
          <w:sz w:val="22"/>
        </w:rPr>
        <w:t>al</w:t>
      </w:r>
      <w:r>
        <w:rPr>
          <w:spacing w:val="-15"/>
          <w:sz w:val="22"/>
        </w:rPr>
        <w:t> </w:t>
      </w:r>
      <w:r>
        <w:rPr>
          <w:sz w:val="22"/>
        </w:rPr>
        <w:t>Decreto</w:t>
      </w:r>
      <w:r>
        <w:rPr>
          <w:spacing w:val="-14"/>
          <w:sz w:val="22"/>
        </w:rPr>
        <w:t> </w:t>
      </w:r>
      <w:r>
        <w:rPr>
          <w:sz w:val="22"/>
        </w:rPr>
        <w:t>0170 manifestó que </w:t>
      </w:r>
      <w:r>
        <w:rPr>
          <w:rFonts w:ascii="Arial" w:hAnsi="Arial"/>
          <w:i/>
          <w:sz w:val="22"/>
        </w:rPr>
        <w:t>“[l]a expresión "no podrán ingresar bajo ningún régimen aduanero" no admite matices: configura una prohibición absoluta de ingreso para las mercancías comprendidas en las subpartidas listadas, que incluyen productos de alta sensibilidad para la economía ecuatoriana como arroz (partida 1006), papa (0701), cebolla (0703), tomate (0702), fríjol (0713), plátano (0803), banano bocadillo (0810), aguacate (0804),</w:t>
      </w:r>
    </w:p>
    <w:p>
      <w:pPr>
        <w:spacing w:before="2"/>
        <w:ind w:left="1134" w:right="0" w:firstLine="0"/>
        <w:jc w:val="both"/>
        <w:rPr>
          <w:rFonts w:ascii="Arial" w:hAnsi="Arial"/>
          <w:i/>
          <w:sz w:val="22"/>
        </w:rPr>
      </w:pPr>
      <w:r>
        <w:rPr>
          <w:rFonts w:ascii="Arial" w:hAnsi="Arial"/>
          <w:i/>
          <w:sz w:val="22"/>
        </w:rPr>
        <w:t>maracuyá,</w:t>
      </w:r>
      <w:r>
        <w:rPr>
          <w:rFonts w:ascii="Arial" w:hAnsi="Arial"/>
          <w:i/>
          <w:spacing w:val="-10"/>
          <w:sz w:val="22"/>
        </w:rPr>
        <w:t> </w:t>
      </w:r>
      <w:r>
        <w:rPr>
          <w:rFonts w:ascii="Arial" w:hAnsi="Arial"/>
          <w:i/>
          <w:sz w:val="22"/>
        </w:rPr>
        <w:t>productos</w:t>
      </w:r>
      <w:r>
        <w:rPr>
          <w:rFonts w:ascii="Arial" w:hAnsi="Arial"/>
          <w:i/>
          <w:spacing w:val="-8"/>
          <w:sz w:val="22"/>
        </w:rPr>
        <w:t> </w:t>
      </w:r>
      <w:r>
        <w:rPr>
          <w:rFonts w:ascii="Arial" w:hAnsi="Arial"/>
          <w:i/>
          <w:sz w:val="22"/>
        </w:rPr>
        <w:t>pesqueros</w:t>
      </w:r>
      <w:r>
        <w:rPr>
          <w:rFonts w:ascii="Arial" w:hAnsi="Arial"/>
          <w:i/>
          <w:spacing w:val="-8"/>
          <w:sz w:val="22"/>
        </w:rPr>
        <w:t> </w:t>
      </w:r>
      <w:r>
        <w:rPr>
          <w:rFonts w:ascii="Arial" w:hAnsi="Arial"/>
          <w:i/>
          <w:sz w:val="22"/>
        </w:rPr>
        <w:t>(0301,</w:t>
      </w:r>
      <w:r>
        <w:rPr>
          <w:rFonts w:ascii="Arial" w:hAnsi="Arial"/>
          <w:i/>
          <w:spacing w:val="-8"/>
          <w:sz w:val="22"/>
        </w:rPr>
        <w:t> </w:t>
      </w:r>
      <w:r>
        <w:rPr>
          <w:rFonts w:ascii="Arial" w:hAnsi="Arial"/>
          <w:i/>
          <w:sz w:val="22"/>
        </w:rPr>
        <w:t>0303,</w:t>
      </w:r>
      <w:r>
        <w:rPr>
          <w:rFonts w:ascii="Arial" w:hAnsi="Arial"/>
          <w:i/>
          <w:spacing w:val="-4"/>
          <w:sz w:val="22"/>
        </w:rPr>
        <w:t> </w:t>
      </w:r>
      <w:r>
        <w:rPr>
          <w:rFonts w:ascii="Arial" w:hAnsi="Arial"/>
          <w:i/>
          <w:sz w:val="22"/>
        </w:rPr>
        <w:t>0305,</w:t>
      </w:r>
      <w:r>
        <w:rPr>
          <w:rFonts w:ascii="Arial" w:hAnsi="Arial"/>
          <w:i/>
          <w:spacing w:val="-5"/>
          <w:sz w:val="22"/>
        </w:rPr>
        <w:t> </w:t>
      </w:r>
      <w:r>
        <w:rPr>
          <w:rFonts w:ascii="Arial" w:hAnsi="Arial"/>
          <w:i/>
          <w:sz w:val="22"/>
        </w:rPr>
        <w:t>0306),</w:t>
      </w:r>
      <w:r>
        <w:rPr>
          <w:rFonts w:ascii="Arial" w:hAnsi="Arial"/>
          <w:i/>
          <w:spacing w:val="-7"/>
          <w:sz w:val="22"/>
        </w:rPr>
        <w:t> </w:t>
      </w:r>
      <w:r>
        <w:rPr>
          <w:rFonts w:ascii="Arial" w:hAnsi="Arial"/>
          <w:i/>
          <w:sz w:val="22"/>
        </w:rPr>
        <w:t>entre</w:t>
      </w:r>
      <w:r>
        <w:rPr>
          <w:rFonts w:ascii="Arial" w:hAnsi="Arial"/>
          <w:i/>
          <w:spacing w:val="-6"/>
          <w:sz w:val="22"/>
        </w:rPr>
        <w:t> </w:t>
      </w:r>
      <w:r>
        <w:rPr>
          <w:rFonts w:ascii="Arial" w:hAnsi="Arial"/>
          <w:i/>
          <w:spacing w:val="-2"/>
          <w:sz w:val="22"/>
        </w:rPr>
        <w:t>otros”</w:t>
      </w:r>
      <w:hyperlink w:history="true" w:anchor="_bookmark134">
        <w:r>
          <w:rPr>
            <w:rFonts w:ascii="Arial" w:hAnsi="Arial"/>
            <w:i/>
            <w:spacing w:val="-2"/>
            <w:sz w:val="22"/>
            <w:vertAlign w:val="superscript"/>
          </w:rPr>
          <w:t>67</w:t>
        </w:r>
        <w:r>
          <w:rPr>
            <w:rFonts w:ascii="Arial" w:hAnsi="Arial"/>
            <w:i/>
            <w:spacing w:val="-2"/>
            <w:sz w:val="22"/>
            <w:vertAlign w:val="baseline"/>
          </w:rPr>
          <w:t>.</w:t>
        </w:r>
      </w:hyperlink>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4" w:hanging="567"/>
        <w:jc w:val="both"/>
        <w:rPr>
          <w:rFonts w:ascii="Arial" w:hAnsi="Arial"/>
          <w:i/>
          <w:sz w:val="22"/>
        </w:rPr>
      </w:pPr>
      <w:r>
        <w:rPr>
          <w:sz w:val="22"/>
        </w:rPr>
        <w:t>Además, presentó información estadística que permitiría prever que la restricción de ingreso</w:t>
      </w:r>
      <w:r>
        <w:rPr>
          <w:spacing w:val="-15"/>
          <w:sz w:val="22"/>
        </w:rPr>
        <w:t> </w:t>
      </w:r>
      <w:r>
        <w:rPr>
          <w:sz w:val="22"/>
        </w:rPr>
        <w:t>por</w:t>
      </w:r>
      <w:r>
        <w:rPr>
          <w:spacing w:val="-15"/>
          <w:sz w:val="22"/>
        </w:rPr>
        <w:t> </w:t>
      </w:r>
      <w:r>
        <w:rPr>
          <w:sz w:val="22"/>
        </w:rPr>
        <w:t>los</w:t>
      </w:r>
      <w:r>
        <w:rPr>
          <w:spacing w:val="-13"/>
          <w:sz w:val="22"/>
        </w:rPr>
        <w:t> </w:t>
      </w:r>
      <w:r>
        <w:rPr>
          <w:sz w:val="22"/>
        </w:rPr>
        <w:t>pasos</w:t>
      </w:r>
      <w:r>
        <w:rPr>
          <w:spacing w:val="-16"/>
          <w:sz w:val="22"/>
        </w:rPr>
        <w:t> </w:t>
      </w:r>
      <w:r>
        <w:rPr>
          <w:sz w:val="22"/>
        </w:rPr>
        <w:t>fronterizos</w:t>
      </w:r>
      <w:r>
        <w:rPr>
          <w:spacing w:val="-12"/>
          <w:sz w:val="22"/>
        </w:rPr>
        <w:t> </w:t>
      </w:r>
      <w:r>
        <w:rPr>
          <w:sz w:val="22"/>
        </w:rPr>
        <w:t>de</w:t>
      </w:r>
      <w:r>
        <w:rPr>
          <w:spacing w:val="-16"/>
          <w:sz w:val="22"/>
        </w:rPr>
        <w:t> </w:t>
      </w:r>
      <w:r>
        <w:rPr>
          <w:sz w:val="22"/>
        </w:rPr>
        <w:t>Ipiales</w:t>
      </w:r>
      <w:r>
        <w:rPr>
          <w:spacing w:val="-15"/>
          <w:sz w:val="22"/>
        </w:rPr>
        <w:t> </w:t>
      </w:r>
      <w:r>
        <w:rPr>
          <w:sz w:val="22"/>
        </w:rPr>
        <w:t>y</w:t>
      </w:r>
      <w:r>
        <w:rPr>
          <w:spacing w:val="-13"/>
          <w:sz w:val="22"/>
        </w:rPr>
        <w:t> </w:t>
      </w:r>
      <w:r>
        <w:rPr>
          <w:sz w:val="22"/>
        </w:rPr>
        <w:t>Puerto</w:t>
      </w:r>
      <w:r>
        <w:rPr>
          <w:spacing w:val="-14"/>
          <w:sz w:val="22"/>
        </w:rPr>
        <w:t> </w:t>
      </w:r>
      <w:r>
        <w:rPr>
          <w:sz w:val="22"/>
        </w:rPr>
        <w:t>Asís</w:t>
      </w:r>
      <w:r>
        <w:rPr>
          <w:spacing w:val="-13"/>
          <w:sz w:val="22"/>
        </w:rPr>
        <w:t> </w:t>
      </w:r>
      <w:r>
        <w:rPr>
          <w:sz w:val="22"/>
        </w:rPr>
        <w:t>constituiría,</w:t>
      </w:r>
      <w:r>
        <w:rPr>
          <w:spacing w:val="-15"/>
          <w:sz w:val="22"/>
        </w:rPr>
        <w:t> </w:t>
      </w:r>
      <w:r>
        <w:rPr>
          <w:sz w:val="22"/>
        </w:rPr>
        <w:t>en</w:t>
      </w:r>
      <w:r>
        <w:rPr>
          <w:spacing w:val="-14"/>
          <w:sz w:val="22"/>
        </w:rPr>
        <w:t> </w:t>
      </w:r>
      <w:r>
        <w:rPr>
          <w:sz w:val="22"/>
        </w:rPr>
        <w:t>la</w:t>
      </w:r>
      <w:r>
        <w:rPr>
          <w:spacing w:val="-16"/>
          <w:sz w:val="22"/>
        </w:rPr>
        <w:t> </w:t>
      </w:r>
      <w:r>
        <w:rPr>
          <w:sz w:val="22"/>
        </w:rPr>
        <w:t>práctica,</w:t>
      </w:r>
      <w:r>
        <w:rPr>
          <w:spacing w:val="-11"/>
          <w:sz w:val="22"/>
        </w:rPr>
        <w:t> </w:t>
      </w:r>
      <w:r>
        <w:rPr>
          <w:sz w:val="22"/>
        </w:rPr>
        <w:t>“</w:t>
      </w:r>
      <w:r>
        <w:rPr>
          <w:rFonts w:ascii="Arial" w:hAnsi="Arial"/>
          <w:i/>
          <w:sz w:val="22"/>
        </w:rPr>
        <w:t>una restricción total para ciertos productos”</w:t>
      </w:r>
      <w:r>
        <w:rPr>
          <w:sz w:val="22"/>
        </w:rPr>
        <w:t>. Presentan una tabla mostrando </w:t>
      </w:r>
      <w:r>
        <w:rPr>
          <w:rFonts w:ascii="Arial" w:hAnsi="Arial"/>
          <w:i/>
          <w:sz w:val="22"/>
        </w:rPr>
        <w:t>“que 12 de las 15 subpartidas afectadas por el artículo 2 se exportan a Colombia exclusivamente por vía terrestre (100% de ingreso por esa vía), y dos más lo hacen en un 99% por esa </w:t>
      </w:r>
      <w:r>
        <w:rPr>
          <w:rFonts w:ascii="Arial" w:hAnsi="Arial"/>
          <w:i/>
          <w:spacing w:val="-2"/>
          <w:sz w:val="22"/>
        </w:rPr>
        <w:t>vía”.</w:t>
      </w:r>
      <w:hyperlink w:history="true" w:anchor="_bookmark135">
        <w:r>
          <w:rPr>
            <w:rFonts w:ascii="Arial" w:hAnsi="Arial"/>
            <w:i/>
            <w:spacing w:val="-2"/>
            <w:sz w:val="22"/>
            <w:vertAlign w:val="superscript"/>
          </w:rPr>
          <w:t>68</w:t>
        </w:r>
      </w:hyperlink>
    </w:p>
    <w:p>
      <w:pPr>
        <w:pStyle w:val="ListParagraph"/>
        <w:numPr>
          <w:ilvl w:val="0"/>
          <w:numId w:val="50"/>
        </w:numPr>
        <w:tabs>
          <w:tab w:pos="1130" w:val="left" w:leader="none"/>
          <w:tab w:pos="1134" w:val="left" w:leader="none"/>
        </w:tabs>
        <w:spacing w:line="240" w:lineRule="auto" w:before="251" w:after="0"/>
        <w:ind w:left="1134" w:right="980" w:hanging="567"/>
        <w:jc w:val="both"/>
        <w:rPr>
          <w:rFonts w:ascii="Arial" w:hAnsi="Arial"/>
          <w:i/>
          <w:sz w:val="22"/>
        </w:rPr>
      </w:pPr>
      <w:r>
        <w:rPr>
          <w:sz w:val="22"/>
        </w:rPr>
        <w:t>Ante ello, se manifestó que la medida aplicada en el artículo 2 del Decreto 0170 sería “</w:t>
      </w:r>
      <w:r>
        <w:rPr>
          <w:rFonts w:ascii="Arial" w:hAnsi="Arial"/>
          <w:i/>
          <w:sz w:val="22"/>
        </w:rPr>
        <w:t>equivalente a una</w:t>
      </w:r>
      <w:r>
        <w:rPr>
          <w:rFonts w:ascii="Arial" w:hAnsi="Arial"/>
          <w:i/>
          <w:spacing w:val="-3"/>
          <w:sz w:val="22"/>
        </w:rPr>
        <w:t> </w:t>
      </w:r>
      <w:r>
        <w:rPr>
          <w:rFonts w:ascii="Arial" w:hAnsi="Arial"/>
          <w:i/>
          <w:sz w:val="22"/>
        </w:rPr>
        <w:t>prohibición</w:t>
      </w:r>
      <w:r>
        <w:rPr>
          <w:rFonts w:ascii="Arial" w:hAnsi="Arial"/>
          <w:i/>
          <w:spacing w:val="-1"/>
          <w:sz w:val="22"/>
        </w:rPr>
        <w:t> </w:t>
      </w:r>
      <w:r>
        <w:rPr>
          <w:rFonts w:ascii="Arial" w:hAnsi="Arial"/>
          <w:i/>
          <w:sz w:val="22"/>
        </w:rPr>
        <w:t>total</w:t>
      </w:r>
      <w:r>
        <w:rPr>
          <w:rFonts w:ascii="Arial" w:hAnsi="Arial"/>
          <w:i/>
          <w:spacing w:val="-1"/>
          <w:sz w:val="22"/>
        </w:rPr>
        <w:t> </w:t>
      </w:r>
      <w:r>
        <w:rPr>
          <w:rFonts w:ascii="Arial" w:hAnsi="Arial"/>
          <w:i/>
          <w:sz w:val="22"/>
        </w:rPr>
        <w:t>de</w:t>
      </w:r>
      <w:r>
        <w:rPr>
          <w:rFonts w:ascii="Arial" w:hAnsi="Arial"/>
          <w:i/>
          <w:spacing w:val="-1"/>
          <w:sz w:val="22"/>
        </w:rPr>
        <w:t> </w:t>
      </w:r>
      <w:r>
        <w:rPr>
          <w:rFonts w:ascii="Arial" w:hAnsi="Arial"/>
          <w:i/>
          <w:sz w:val="22"/>
        </w:rPr>
        <w:t>importaciones para</w:t>
      </w:r>
      <w:r>
        <w:rPr>
          <w:rFonts w:ascii="Arial" w:hAnsi="Arial"/>
          <w:i/>
          <w:spacing w:val="-3"/>
          <w:sz w:val="22"/>
        </w:rPr>
        <w:t> </w:t>
      </w:r>
      <w:r>
        <w:rPr>
          <w:rFonts w:ascii="Arial" w:hAnsi="Arial"/>
          <w:i/>
          <w:sz w:val="22"/>
        </w:rPr>
        <w:t>los productos</w:t>
      </w:r>
      <w:r>
        <w:rPr>
          <w:rFonts w:ascii="Arial" w:hAnsi="Arial"/>
          <w:i/>
          <w:spacing w:val="-3"/>
          <w:sz w:val="22"/>
        </w:rPr>
        <w:t> </w:t>
      </w:r>
      <w:r>
        <w:rPr>
          <w:rFonts w:ascii="Arial" w:hAnsi="Arial"/>
          <w:i/>
          <w:sz w:val="22"/>
        </w:rPr>
        <w:t>afectados, por las siguientes razones:</w:t>
      </w:r>
    </w:p>
    <w:p>
      <w:pPr>
        <w:pStyle w:val="BodyText"/>
        <w:spacing w:before="183"/>
        <w:rPr>
          <w:rFonts w:ascii="Arial"/>
          <w:i/>
          <w:sz w:val="20"/>
        </w:rPr>
      </w:pPr>
      <w:r>
        <w:rPr>
          <w:rFonts w:ascii="Arial"/>
          <w:i/>
          <w:sz w:val="20"/>
        </w:rPr>
        <mc:AlternateContent>
          <mc:Choice Requires="wps">
            <w:drawing>
              <wp:anchor distT="0" distB="0" distL="0" distR="0" allowOverlap="1" layoutInCell="1" locked="0" behindDoc="1" simplePos="0" relativeHeight="487648768">
                <wp:simplePos x="0" y="0"/>
                <wp:positionH relativeFrom="page">
                  <wp:posOffset>990904</wp:posOffset>
                </wp:positionH>
                <wp:positionV relativeFrom="paragraph">
                  <wp:posOffset>277497</wp:posOffset>
                </wp:positionV>
                <wp:extent cx="1829435" cy="7620"/>
                <wp:effectExtent l="0" t="0" r="0" b="0"/>
                <wp:wrapTopAndBottom/>
                <wp:docPr id="530" name="Graphic 530"/>
                <wp:cNvGraphicFramePr>
                  <a:graphicFrameLocks/>
                </wp:cNvGraphicFramePr>
                <a:graphic>
                  <a:graphicData uri="http://schemas.microsoft.com/office/word/2010/wordprocessingShape">
                    <wps:wsp>
                      <wps:cNvPr id="530" name="Graphic 530"/>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1.850216pt;width:144.020pt;height:.599980pt;mso-position-horizontal-relative:page;mso-position-vertical-relative:paragraph;z-index:-15667712;mso-wrap-distance-left:0;mso-wrap-distance-right:0" id="docshape366" filled="true" fillcolor="#000000" stroked="false">
                <v:fill type="solid"/>
                <w10:wrap type="topAndBottom"/>
              </v:rect>
            </w:pict>
          </mc:Fallback>
        </mc:AlternateContent>
      </w:r>
    </w:p>
    <w:p>
      <w:pPr>
        <w:spacing w:before="92"/>
        <w:ind w:left="568" w:right="955" w:firstLine="0"/>
        <w:jc w:val="left"/>
        <w:rPr>
          <w:sz w:val="16"/>
        </w:rPr>
      </w:pPr>
      <w:bookmarkStart w:name="_bookmark133" w:id="134"/>
      <w:bookmarkEnd w:id="134"/>
      <w:r>
        <w:rPr/>
      </w:r>
      <w:r>
        <w:rPr>
          <w:sz w:val="16"/>
          <w:vertAlign w:val="superscript"/>
        </w:rPr>
        <w:t>66</w:t>
      </w:r>
      <w:r>
        <w:rPr>
          <w:sz w:val="16"/>
          <w:vertAlign w:val="baseline"/>
        </w:rPr>
        <w:t> Tribunal Andino de Justicia. Proceso 02-AN-98, publicada en la Gaceta Oficial del Acuerdo de Cartagena N° 588, de 2 de agosto de 2000.</w:t>
      </w:r>
    </w:p>
    <w:p>
      <w:pPr>
        <w:spacing w:line="183" w:lineRule="exact" w:before="0"/>
        <w:ind w:left="568" w:right="0" w:firstLine="0"/>
        <w:jc w:val="left"/>
        <w:rPr>
          <w:sz w:val="16"/>
        </w:rPr>
      </w:pPr>
      <w:bookmarkStart w:name="_bookmark134" w:id="135"/>
      <w:bookmarkEnd w:id="135"/>
      <w:r>
        <w:rPr/>
      </w:r>
      <w:r>
        <w:rPr>
          <w:sz w:val="16"/>
          <w:vertAlign w:val="superscript"/>
        </w:rPr>
        <w:t>67</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000018.</w:t>
      </w:r>
    </w:p>
    <w:p>
      <w:pPr>
        <w:spacing w:before="1"/>
        <w:ind w:left="568" w:right="0" w:firstLine="0"/>
        <w:jc w:val="left"/>
        <w:rPr>
          <w:sz w:val="16"/>
        </w:rPr>
      </w:pPr>
      <w:bookmarkStart w:name="_bookmark135" w:id="136"/>
      <w:bookmarkEnd w:id="136"/>
      <w:r>
        <w:rPr/>
      </w:r>
      <w:r>
        <w:rPr>
          <w:sz w:val="16"/>
          <w:vertAlign w:val="superscript"/>
        </w:rPr>
        <w:t>68</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000019.</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31" name="Group 531"/>
                <wp:cNvGraphicFramePr>
                  <a:graphicFrameLocks/>
                </wp:cNvGraphicFramePr>
                <a:graphic>
                  <a:graphicData uri="http://schemas.microsoft.com/office/word/2010/wordprocessingGroup">
                    <wpg:wgp>
                      <wpg:cNvPr id="531" name="Group 531"/>
                      <wpg:cNvGrpSpPr/>
                      <wpg:grpSpPr>
                        <a:xfrm>
                          <a:off x="0" y="0"/>
                          <a:ext cx="6131560" cy="9525"/>
                          <a:chExt cx="6131560" cy="9525"/>
                        </a:xfrm>
                      </wpg:grpSpPr>
                      <wps:wsp>
                        <wps:cNvPr id="532" name="Graphic 532"/>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67"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780" w:left="992" w:right="283"/>
        </w:sectPr>
      </w:pPr>
    </w:p>
    <w:p>
      <w:pPr>
        <w:pStyle w:val="BodyText"/>
        <w:spacing w:before="176"/>
      </w:pPr>
    </w:p>
    <w:p>
      <w:pPr>
        <w:pStyle w:val="ListParagraph"/>
        <w:numPr>
          <w:ilvl w:val="0"/>
          <w:numId w:val="89"/>
        </w:numPr>
        <w:tabs>
          <w:tab w:pos="1843" w:val="left" w:leader="none"/>
          <w:tab w:pos="1845" w:val="left" w:leader="none"/>
        </w:tabs>
        <w:spacing w:line="240" w:lineRule="auto" w:before="0" w:after="0"/>
        <w:ind w:left="1845" w:right="975" w:hanging="284"/>
        <w:jc w:val="both"/>
        <w:rPr>
          <w:rFonts w:ascii="Arial" w:hAnsi="Arial"/>
          <w:i/>
          <w:sz w:val="22"/>
        </w:rPr>
      </w:pPr>
      <w:r>
        <w:rPr>
          <w:rFonts w:ascii="Arial" w:hAnsi="Arial"/>
          <w:i/>
          <w:sz w:val="22"/>
        </w:rPr>
        <w:t>Primero, la sustitución de rutas no es viable para productos perecederos. El comercio de productos agrícolas frescos —papa, cebolla, tomate, plátano, banano, aguacate, fríjol, maracuyá— entre Ecuador y Colombia se ha desarrollado históricamente por vía terrestre, dada la naturaleza perecedera de las mercancías, los costos logísticos y la inmediatez que exigen este tipo de productos. La prohibición de ingreso por Ipiales y Puerto Asís, que constituyen los</w:t>
      </w:r>
      <w:r>
        <w:rPr>
          <w:rFonts w:ascii="Arial" w:hAnsi="Arial"/>
          <w:i/>
          <w:spacing w:val="-11"/>
          <w:sz w:val="22"/>
        </w:rPr>
        <w:t> </w:t>
      </w:r>
      <w:r>
        <w:rPr>
          <w:rFonts w:ascii="Arial" w:hAnsi="Arial"/>
          <w:i/>
          <w:sz w:val="22"/>
        </w:rPr>
        <w:t>pasos</w:t>
      </w:r>
      <w:r>
        <w:rPr>
          <w:rFonts w:ascii="Arial" w:hAnsi="Arial"/>
          <w:i/>
          <w:spacing w:val="-11"/>
          <w:sz w:val="22"/>
        </w:rPr>
        <w:t> </w:t>
      </w:r>
      <w:r>
        <w:rPr>
          <w:rFonts w:ascii="Arial" w:hAnsi="Arial"/>
          <w:i/>
          <w:sz w:val="22"/>
        </w:rPr>
        <w:t>de</w:t>
      </w:r>
      <w:r>
        <w:rPr>
          <w:rFonts w:ascii="Arial" w:hAnsi="Arial"/>
          <w:i/>
          <w:spacing w:val="-12"/>
          <w:sz w:val="22"/>
        </w:rPr>
        <w:t> </w:t>
      </w:r>
      <w:r>
        <w:rPr>
          <w:rFonts w:ascii="Arial" w:hAnsi="Arial"/>
          <w:i/>
          <w:sz w:val="22"/>
        </w:rPr>
        <w:t>frontera</w:t>
      </w:r>
      <w:r>
        <w:rPr>
          <w:rFonts w:ascii="Arial" w:hAnsi="Arial"/>
          <w:i/>
          <w:spacing w:val="-11"/>
          <w:sz w:val="22"/>
        </w:rPr>
        <w:t> </w:t>
      </w:r>
      <w:r>
        <w:rPr>
          <w:rFonts w:ascii="Arial" w:hAnsi="Arial"/>
          <w:i/>
          <w:sz w:val="22"/>
        </w:rPr>
        <w:t>naturales</w:t>
      </w:r>
      <w:r>
        <w:rPr>
          <w:rFonts w:ascii="Arial" w:hAnsi="Arial"/>
          <w:i/>
          <w:spacing w:val="-11"/>
          <w:sz w:val="22"/>
        </w:rPr>
        <w:t> </w:t>
      </w:r>
      <w:r>
        <w:rPr>
          <w:rFonts w:ascii="Arial" w:hAnsi="Arial"/>
          <w:i/>
          <w:sz w:val="22"/>
        </w:rPr>
        <w:t>para</w:t>
      </w:r>
      <w:r>
        <w:rPr>
          <w:rFonts w:ascii="Arial" w:hAnsi="Arial"/>
          <w:i/>
          <w:spacing w:val="-11"/>
          <w:sz w:val="22"/>
        </w:rPr>
        <w:t> </w:t>
      </w:r>
      <w:r>
        <w:rPr>
          <w:rFonts w:ascii="Arial" w:hAnsi="Arial"/>
          <w:i/>
          <w:sz w:val="22"/>
        </w:rPr>
        <w:t>el</w:t>
      </w:r>
      <w:r>
        <w:rPr>
          <w:rFonts w:ascii="Arial" w:hAnsi="Arial"/>
          <w:i/>
          <w:spacing w:val="-12"/>
          <w:sz w:val="22"/>
        </w:rPr>
        <w:t> </w:t>
      </w:r>
      <w:r>
        <w:rPr>
          <w:rFonts w:ascii="Arial" w:hAnsi="Arial"/>
          <w:i/>
          <w:sz w:val="22"/>
        </w:rPr>
        <w:t>comercio</w:t>
      </w:r>
      <w:r>
        <w:rPr>
          <w:rFonts w:ascii="Arial" w:hAnsi="Arial"/>
          <w:i/>
          <w:spacing w:val="-14"/>
          <w:sz w:val="22"/>
        </w:rPr>
        <w:t> </w:t>
      </w:r>
      <w:r>
        <w:rPr>
          <w:rFonts w:ascii="Arial" w:hAnsi="Arial"/>
          <w:i/>
          <w:sz w:val="22"/>
        </w:rPr>
        <w:t>terrestre,</w:t>
      </w:r>
      <w:r>
        <w:rPr>
          <w:rFonts w:ascii="Arial" w:hAnsi="Arial"/>
          <w:i/>
          <w:spacing w:val="-10"/>
          <w:sz w:val="22"/>
        </w:rPr>
        <w:t> </w:t>
      </w:r>
      <w:r>
        <w:rPr>
          <w:rFonts w:ascii="Arial" w:hAnsi="Arial"/>
          <w:i/>
          <w:sz w:val="22"/>
        </w:rPr>
        <w:t>equivale</w:t>
      </w:r>
      <w:r>
        <w:rPr>
          <w:rFonts w:ascii="Arial" w:hAnsi="Arial"/>
          <w:i/>
          <w:spacing w:val="-11"/>
          <w:sz w:val="22"/>
        </w:rPr>
        <w:t> </w:t>
      </w:r>
      <w:r>
        <w:rPr>
          <w:rFonts w:ascii="Arial" w:hAnsi="Arial"/>
          <w:i/>
          <w:sz w:val="22"/>
        </w:rPr>
        <w:t>en</w:t>
      </w:r>
      <w:r>
        <w:rPr>
          <w:rFonts w:ascii="Arial" w:hAnsi="Arial"/>
          <w:i/>
          <w:spacing w:val="-12"/>
          <w:sz w:val="22"/>
        </w:rPr>
        <w:t> </w:t>
      </w:r>
      <w:r>
        <w:rPr>
          <w:rFonts w:ascii="Arial" w:hAnsi="Arial"/>
          <w:i/>
          <w:sz w:val="22"/>
        </w:rPr>
        <w:t>la</w:t>
      </w:r>
      <w:r>
        <w:rPr>
          <w:rFonts w:ascii="Arial" w:hAnsi="Arial"/>
          <w:i/>
          <w:spacing w:val="-11"/>
          <w:sz w:val="22"/>
        </w:rPr>
        <w:t> </w:t>
      </w:r>
      <w:r>
        <w:rPr>
          <w:rFonts w:ascii="Arial" w:hAnsi="Arial"/>
          <w:i/>
          <w:sz w:val="22"/>
        </w:rPr>
        <w:t>práctica a una imposibilidad absoluta de exportar estos productos a Colombia. El transporte aéreo resulta antieconómico para productos de bajo valor unitario y alto</w:t>
      </w:r>
      <w:r>
        <w:rPr>
          <w:rFonts w:ascii="Arial" w:hAnsi="Arial"/>
          <w:i/>
          <w:spacing w:val="-1"/>
          <w:sz w:val="22"/>
        </w:rPr>
        <w:t> </w:t>
      </w:r>
      <w:r>
        <w:rPr>
          <w:rFonts w:ascii="Arial" w:hAnsi="Arial"/>
          <w:i/>
          <w:sz w:val="22"/>
        </w:rPr>
        <w:t>volumen;</w:t>
      </w:r>
      <w:r>
        <w:rPr>
          <w:rFonts w:ascii="Arial" w:hAnsi="Arial"/>
          <w:i/>
          <w:spacing w:val="-2"/>
          <w:sz w:val="22"/>
        </w:rPr>
        <w:t> </w:t>
      </w:r>
      <w:r>
        <w:rPr>
          <w:rFonts w:ascii="Arial" w:hAnsi="Arial"/>
          <w:i/>
          <w:sz w:val="22"/>
        </w:rPr>
        <w:t>el</w:t>
      </w:r>
      <w:r>
        <w:rPr>
          <w:rFonts w:ascii="Arial" w:hAnsi="Arial"/>
          <w:i/>
          <w:spacing w:val="-4"/>
          <w:sz w:val="22"/>
        </w:rPr>
        <w:t> </w:t>
      </w:r>
      <w:r>
        <w:rPr>
          <w:rFonts w:ascii="Arial" w:hAnsi="Arial"/>
          <w:i/>
          <w:sz w:val="22"/>
        </w:rPr>
        <w:t>transporte</w:t>
      </w:r>
      <w:r>
        <w:rPr>
          <w:rFonts w:ascii="Arial" w:hAnsi="Arial"/>
          <w:i/>
          <w:spacing w:val="-3"/>
          <w:sz w:val="22"/>
        </w:rPr>
        <w:t> </w:t>
      </w:r>
      <w:r>
        <w:rPr>
          <w:rFonts w:ascii="Arial" w:hAnsi="Arial"/>
          <w:i/>
          <w:sz w:val="22"/>
        </w:rPr>
        <w:t>marítimo</w:t>
      </w:r>
      <w:r>
        <w:rPr>
          <w:rFonts w:ascii="Arial" w:hAnsi="Arial"/>
          <w:i/>
          <w:spacing w:val="-1"/>
          <w:sz w:val="22"/>
        </w:rPr>
        <w:t> </w:t>
      </w:r>
      <w:r>
        <w:rPr>
          <w:rFonts w:ascii="Arial" w:hAnsi="Arial"/>
          <w:i/>
          <w:sz w:val="22"/>
        </w:rPr>
        <w:t>implica</w:t>
      </w:r>
      <w:r>
        <w:rPr>
          <w:rFonts w:ascii="Arial" w:hAnsi="Arial"/>
          <w:i/>
          <w:spacing w:val="-1"/>
          <w:sz w:val="22"/>
        </w:rPr>
        <w:t> </w:t>
      </w:r>
      <w:r>
        <w:rPr>
          <w:rFonts w:ascii="Arial" w:hAnsi="Arial"/>
          <w:i/>
          <w:sz w:val="22"/>
        </w:rPr>
        <w:t>costos</w:t>
      </w:r>
      <w:r>
        <w:rPr>
          <w:rFonts w:ascii="Arial" w:hAnsi="Arial"/>
          <w:i/>
          <w:spacing w:val="-1"/>
          <w:sz w:val="22"/>
        </w:rPr>
        <w:t> </w:t>
      </w:r>
      <w:r>
        <w:rPr>
          <w:rFonts w:ascii="Arial" w:hAnsi="Arial"/>
          <w:i/>
          <w:sz w:val="22"/>
        </w:rPr>
        <w:t>y</w:t>
      </w:r>
      <w:r>
        <w:rPr>
          <w:rFonts w:ascii="Arial" w:hAnsi="Arial"/>
          <w:i/>
          <w:spacing w:val="-3"/>
          <w:sz w:val="22"/>
        </w:rPr>
        <w:t> </w:t>
      </w:r>
      <w:r>
        <w:rPr>
          <w:rFonts w:ascii="Arial" w:hAnsi="Arial"/>
          <w:i/>
          <w:sz w:val="22"/>
        </w:rPr>
        <w:t>tiempos</w:t>
      </w:r>
      <w:r>
        <w:rPr>
          <w:rFonts w:ascii="Arial" w:hAnsi="Arial"/>
          <w:i/>
          <w:spacing w:val="-1"/>
          <w:sz w:val="22"/>
        </w:rPr>
        <w:t> </w:t>
      </w:r>
      <w:r>
        <w:rPr>
          <w:rFonts w:ascii="Arial" w:hAnsi="Arial"/>
          <w:i/>
          <w:sz w:val="22"/>
        </w:rPr>
        <w:t>incompatibles</w:t>
      </w:r>
      <w:r>
        <w:rPr>
          <w:rFonts w:ascii="Arial" w:hAnsi="Arial"/>
          <w:i/>
          <w:spacing w:val="-1"/>
          <w:sz w:val="22"/>
        </w:rPr>
        <w:t> </w:t>
      </w:r>
      <w:r>
        <w:rPr>
          <w:rFonts w:ascii="Arial" w:hAnsi="Arial"/>
          <w:i/>
          <w:sz w:val="22"/>
        </w:rPr>
        <w:t>con la conservación de productos frescos.</w:t>
      </w:r>
    </w:p>
    <w:p>
      <w:pPr>
        <w:pStyle w:val="ListParagraph"/>
        <w:numPr>
          <w:ilvl w:val="0"/>
          <w:numId w:val="89"/>
        </w:numPr>
        <w:tabs>
          <w:tab w:pos="1843" w:val="left" w:leader="none"/>
          <w:tab w:pos="1845" w:val="left" w:leader="none"/>
        </w:tabs>
        <w:spacing w:line="240" w:lineRule="auto" w:before="2" w:after="0"/>
        <w:ind w:left="1845" w:right="979" w:hanging="284"/>
        <w:jc w:val="both"/>
        <w:rPr>
          <w:rFonts w:ascii="Arial" w:hAnsi="Arial"/>
          <w:i/>
          <w:sz w:val="22"/>
        </w:rPr>
      </w:pPr>
      <w:r>
        <w:rPr>
          <w:rFonts w:ascii="Arial" w:hAnsi="Arial"/>
          <w:i/>
          <w:sz w:val="22"/>
        </w:rPr>
        <w:t>Segundo, la vía terrestre es la única modalidad efectiva para el comercio fronterizo. Los departamentos ecuatorianos fronterizos con Colombia —Carchi, Sucumbíos, Esmeraldas— han desarrollado una estructura productiva y comercial orientada al mercado colombiano que depende de la proximidad geográfica</w:t>
      </w:r>
      <w:r>
        <w:rPr>
          <w:rFonts w:ascii="Arial" w:hAnsi="Arial"/>
          <w:i/>
          <w:spacing w:val="-10"/>
          <w:sz w:val="22"/>
        </w:rPr>
        <w:t> </w:t>
      </w:r>
      <w:r>
        <w:rPr>
          <w:rFonts w:ascii="Arial" w:hAnsi="Arial"/>
          <w:i/>
          <w:sz w:val="22"/>
        </w:rPr>
        <w:t>y</w:t>
      </w:r>
      <w:r>
        <w:rPr>
          <w:rFonts w:ascii="Arial" w:hAnsi="Arial"/>
          <w:i/>
          <w:spacing w:val="-7"/>
          <w:sz w:val="22"/>
        </w:rPr>
        <w:t> </w:t>
      </w:r>
      <w:r>
        <w:rPr>
          <w:rFonts w:ascii="Arial" w:hAnsi="Arial"/>
          <w:i/>
          <w:sz w:val="22"/>
        </w:rPr>
        <w:t>la</w:t>
      </w:r>
      <w:r>
        <w:rPr>
          <w:rFonts w:ascii="Arial" w:hAnsi="Arial"/>
          <w:i/>
          <w:spacing w:val="-7"/>
          <w:sz w:val="22"/>
        </w:rPr>
        <w:t> </w:t>
      </w:r>
      <w:r>
        <w:rPr>
          <w:rFonts w:ascii="Arial" w:hAnsi="Arial"/>
          <w:i/>
          <w:sz w:val="22"/>
        </w:rPr>
        <w:t>conectividad</w:t>
      </w:r>
      <w:r>
        <w:rPr>
          <w:rFonts w:ascii="Arial" w:hAnsi="Arial"/>
          <w:i/>
          <w:spacing w:val="-7"/>
          <w:sz w:val="22"/>
        </w:rPr>
        <w:t> </w:t>
      </w:r>
      <w:r>
        <w:rPr>
          <w:rFonts w:ascii="Arial" w:hAnsi="Arial"/>
          <w:i/>
          <w:sz w:val="22"/>
        </w:rPr>
        <w:t>terrestre.</w:t>
      </w:r>
      <w:r>
        <w:rPr>
          <w:rFonts w:ascii="Arial" w:hAnsi="Arial"/>
          <w:i/>
          <w:spacing w:val="-6"/>
          <w:sz w:val="22"/>
        </w:rPr>
        <w:t> </w:t>
      </w:r>
      <w:r>
        <w:rPr>
          <w:rFonts w:ascii="Arial" w:hAnsi="Arial"/>
          <w:i/>
          <w:sz w:val="22"/>
        </w:rPr>
        <w:t>La</w:t>
      </w:r>
      <w:r>
        <w:rPr>
          <w:rFonts w:ascii="Arial" w:hAnsi="Arial"/>
          <w:i/>
          <w:spacing w:val="-10"/>
          <w:sz w:val="22"/>
        </w:rPr>
        <w:t> </w:t>
      </w:r>
      <w:r>
        <w:rPr>
          <w:rFonts w:ascii="Arial" w:hAnsi="Arial"/>
          <w:i/>
          <w:sz w:val="22"/>
        </w:rPr>
        <w:t>prohibición</w:t>
      </w:r>
      <w:r>
        <w:rPr>
          <w:rFonts w:ascii="Arial" w:hAnsi="Arial"/>
          <w:i/>
          <w:spacing w:val="-8"/>
          <w:sz w:val="22"/>
        </w:rPr>
        <w:t> </w:t>
      </w:r>
      <w:r>
        <w:rPr>
          <w:rFonts w:ascii="Arial" w:hAnsi="Arial"/>
          <w:i/>
          <w:sz w:val="22"/>
        </w:rPr>
        <w:t>de</w:t>
      </w:r>
      <w:r>
        <w:rPr>
          <w:rFonts w:ascii="Arial" w:hAnsi="Arial"/>
          <w:i/>
          <w:spacing w:val="-8"/>
          <w:sz w:val="22"/>
        </w:rPr>
        <w:t> </w:t>
      </w:r>
      <w:r>
        <w:rPr>
          <w:rFonts w:ascii="Arial" w:hAnsi="Arial"/>
          <w:i/>
          <w:sz w:val="22"/>
        </w:rPr>
        <w:t>ingreso</w:t>
      </w:r>
      <w:r>
        <w:rPr>
          <w:rFonts w:ascii="Arial" w:hAnsi="Arial"/>
          <w:i/>
          <w:spacing w:val="-8"/>
          <w:sz w:val="22"/>
        </w:rPr>
        <w:t> </w:t>
      </w:r>
      <w:r>
        <w:rPr>
          <w:rFonts w:ascii="Arial" w:hAnsi="Arial"/>
          <w:i/>
          <w:sz w:val="22"/>
        </w:rPr>
        <w:t>por</w:t>
      </w:r>
      <w:r>
        <w:rPr>
          <w:rFonts w:ascii="Arial" w:hAnsi="Arial"/>
          <w:i/>
          <w:spacing w:val="-6"/>
          <w:sz w:val="22"/>
        </w:rPr>
        <w:t> </w:t>
      </w:r>
      <w:r>
        <w:rPr>
          <w:rFonts w:ascii="Arial" w:hAnsi="Arial"/>
          <w:i/>
          <w:sz w:val="22"/>
        </w:rPr>
        <w:t>los</w:t>
      </w:r>
      <w:r>
        <w:rPr>
          <w:rFonts w:ascii="Arial" w:hAnsi="Arial"/>
          <w:i/>
          <w:spacing w:val="-10"/>
          <w:sz w:val="22"/>
        </w:rPr>
        <w:t> </w:t>
      </w:r>
      <w:r>
        <w:rPr>
          <w:rFonts w:ascii="Arial" w:hAnsi="Arial"/>
          <w:i/>
          <w:sz w:val="22"/>
        </w:rPr>
        <w:t>pasos</w:t>
      </w:r>
      <w:r>
        <w:rPr>
          <w:rFonts w:ascii="Arial" w:hAnsi="Arial"/>
          <w:i/>
          <w:spacing w:val="-7"/>
          <w:sz w:val="22"/>
        </w:rPr>
        <w:t> </w:t>
      </w:r>
      <w:r>
        <w:rPr>
          <w:rFonts w:ascii="Arial" w:hAnsi="Arial"/>
          <w:i/>
          <w:sz w:val="22"/>
        </w:rPr>
        <w:t>de frontera del sur de Colombia desarticula esta economía fronteriza y elimina de hecho la posibilidad de comercio para los productores de estas regiones</w:t>
      </w:r>
    </w:p>
    <w:p>
      <w:pPr>
        <w:pStyle w:val="ListParagraph"/>
        <w:numPr>
          <w:ilvl w:val="0"/>
          <w:numId w:val="89"/>
        </w:numPr>
        <w:tabs>
          <w:tab w:pos="1845" w:val="left" w:leader="none"/>
        </w:tabs>
        <w:spacing w:line="240" w:lineRule="auto" w:before="0" w:after="0"/>
        <w:ind w:left="1845" w:right="978" w:hanging="284"/>
        <w:jc w:val="both"/>
        <w:rPr>
          <w:rFonts w:ascii="Arial" w:hAnsi="Arial"/>
          <w:i/>
          <w:sz w:val="22"/>
        </w:rPr>
      </w:pPr>
      <w:r>
        <w:rPr>
          <w:rFonts w:ascii="Arial" w:hAnsi="Arial"/>
          <w:i/>
          <w:sz w:val="22"/>
        </w:rPr>
        <w:t>Tercero, el régimen sancionatorio opera como factor de disuasión absoluta. La aprehensión de mercancías y medio de transporte, sin posibilidad de subsanación, introduce un riesgo desproporcionado que ningún operador económico racional estaría dispuesto a asumir. El solo temor a la pérdida del vehículo —cuyo valor puede superar ampliamente el de la mercancía transportada— paraliza cualquier iniciativa comercial.”</w:t>
      </w:r>
      <w:hyperlink w:history="true" w:anchor="_bookmark136">
        <w:r>
          <w:rPr>
            <w:rFonts w:ascii="Arial" w:hAnsi="Arial"/>
            <w:i/>
            <w:sz w:val="22"/>
            <w:vertAlign w:val="superscript"/>
          </w:rPr>
          <w:t>69</w:t>
        </w:r>
      </w:hyperlink>
    </w:p>
    <w:p>
      <w:pPr>
        <w:pStyle w:val="ListParagraph"/>
        <w:numPr>
          <w:ilvl w:val="0"/>
          <w:numId w:val="50"/>
        </w:numPr>
        <w:tabs>
          <w:tab w:pos="1130" w:val="left" w:leader="none"/>
          <w:tab w:pos="1134" w:val="left" w:leader="none"/>
        </w:tabs>
        <w:spacing w:line="240" w:lineRule="auto" w:before="252" w:after="0"/>
        <w:ind w:left="1134" w:right="980" w:hanging="567"/>
        <w:jc w:val="both"/>
        <w:rPr>
          <w:sz w:val="22"/>
        </w:rPr>
      </w:pPr>
      <w:r>
        <w:rPr>
          <w:sz w:val="22"/>
        </w:rPr>
        <w:t>Al</w:t>
      </w:r>
      <w:r>
        <w:rPr>
          <w:spacing w:val="-5"/>
          <w:sz w:val="22"/>
        </w:rPr>
        <w:t> </w:t>
      </w:r>
      <w:r>
        <w:rPr>
          <w:sz w:val="22"/>
        </w:rPr>
        <w:t>respecto,</w:t>
      </w:r>
      <w:r>
        <w:rPr>
          <w:spacing w:val="-3"/>
          <w:sz w:val="22"/>
        </w:rPr>
        <w:t> </w:t>
      </w:r>
      <w:r>
        <w:rPr>
          <w:sz w:val="22"/>
        </w:rPr>
        <w:t>se</w:t>
      </w:r>
      <w:r>
        <w:rPr>
          <w:spacing w:val="-4"/>
          <w:sz w:val="22"/>
        </w:rPr>
        <w:t> </w:t>
      </w:r>
      <w:r>
        <w:rPr>
          <w:sz w:val="22"/>
        </w:rPr>
        <w:t>señala</w:t>
      </w:r>
      <w:r>
        <w:rPr>
          <w:spacing w:val="-4"/>
          <w:sz w:val="22"/>
        </w:rPr>
        <w:t> </w:t>
      </w:r>
      <w:r>
        <w:rPr>
          <w:sz w:val="22"/>
        </w:rPr>
        <w:t>que</w:t>
      </w:r>
      <w:r>
        <w:rPr>
          <w:spacing w:val="-4"/>
          <w:sz w:val="22"/>
        </w:rPr>
        <w:t> </w:t>
      </w:r>
      <w:r>
        <w:rPr>
          <w:sz w:val="22"/>
        </w:rPr>
        <w:t>la</w:t>
      </w:r>
      <w:r>
        <w:rPr>
          <w:spacing w:val="-4"/>
          <w:sz w:val="22"/>
        </w:rPr>
        <w:t> </w:t>
      </w:r>
      <w:r>
        <w:rPr>
          <w:sz w:val="22"/>
        </w:rPr>
        <w:t>aplicación</w:t>
      </w:r>
      <w:r>
        <w:rPr>
          <w:spacing w:val="-4"/>
          <w:sz w:val="22"/>
        </w:rPr>
        <w:t> </w:t>
      </w:r>
      <w:r>
        <w:rPr>
          <w:sz w:val="22"/>
        </w:rPr>
        <w:t>del</w:t>
      </w:r>
      <w:r>
        <w:rPr>
          <w:spacing w:val="-5"/>
          <w:sz w:val="22"/>
        </w:rPr>
        <w:t> </w:t>
      </w:r>
      <w:r>
        <w:rPr>
          <w:sz w:val="22"/>
        </w:rPr>
        <w:t>Decreto</w:t>
      </w:r>
      <w:r>
        <w:rPr>
          <w:spacing w:val="-4"/>
          <w:sz w:val="22"/>
        </w:rPr>
        <w:t> </w:t>
      </w:r>
      <w:r>
        <w:rPr>
          <w:sz w:val="22"/>
        </w:rPr>
        <w:t>0170</w:t>
      </w:r>
      <w:r>
        <w:rPr>
          <w:spacing w:val="-4"/>
          <w:sz w:val="22"/>
        </w:rPr>
        <w:t> </w:t>
      </w:r>
      <w:r>
        <w:rPr>
          <w:sz w:val="22"/>
        </w:rPr>
        <w:t>resultaría</w:t>
      </w:r>
      <w:r>
        <w:rPr>
          <w:spacing w:val="-4"/>
          <w:sz w:val="22"/>
        </w:rPr>
        <w:t> </w:t>
      </w:r>
      <w:r>
        <w:rPr>
          <w:sz w:val="22"/>
        </w:rPr>
        <w:t>incompatible</w:t>
      </w:r>
      <w:r>
        <w:rPr>
          <w:spacing w:val="-4"/>
          <w:sz w:val="22"/>
        </w:rPr>
        <w:t> </w:t>
      </w:r>
      <w:r>
        <w:rPr>
          <w:sz w:val="22"/>
        </w:rPr>
        <w:t>con</w:t>
      </w:r>
      <w:r>
        <w:rPr>
          <w:spacing w:val="-4"/>
          <w:sz w:val="22"/>
        </w:rPr>
        <w:t> </w:t>
      </w:r>
      <w:r>
        <w:rPr>
          <w:sz w:val="22"/>
        </w:rPr>
        <w:t>el ordenamiento jurídico andino, en la medida que sus disposiciones se aplicarían exclusivamente a productos originarios de la República del Ecuador.</w:t>
      </w:r>
    </w:p>
    <w:p>
      <w:pPr>
        <w:pStyle w:val="BodyText"/>
      </w:pPr>
    </w:p>
    <w:p>
      <w:pPr>
        <w:pStyle w:val="ListParagraph"/>
        <w:numPr>
          <w:ilvl w:val="0"/>
          <w:numId w:val="50"/>
        </w:numPr>
        <w:tabs>
          <w:tab w:pos="1130" w:val="left" w:leader="none"/>
          <w:tab w:pos="1134" w:val="left" w:leader="none"/>
        </w:tabs>
        <w:spacing w:line="240" w:lineRule="auto" w:before="1" w:after="0"/>
        <w:ind w:left="1134" w:right="974" w:hanging="567"/>
        <w:jc w:val="both"/>
        <w:rPr>
          <w:sz w:val="22"/>
        </w:rPr>
      </w:pPr>
      <w:r>
        <w:rPr>
          <w:sz w:val="22"/>
        </w:rPr>
        <w:t>En</w:t>
      </w:r>
      <w:r>
        <w:rPr>
          <w:spacing w:val="-1"/>
          <w:sz w:val="22"/>
        </w:rPr>
        <w:t> </w:t>
      </w:r>
      <w:r>
        <w:rPr>
          <w:sz w:val="22"/>
        </w:rPr>
        <w:t>relación</w:t>
      </w:r>
      <w:r>
        <w:rPr>
          <w:spacing w:val="-1"/>
          <w:sz w:val="22"/>
        </w:rPr>
        <w:t> </w:t>
      </w:r>
      <w:r>
        <w:rPr>
          <w:sz w:val="22"/>
        </w:rPr>
        <w:t>con la</w:t>
      </w:r>
      <w:r>
        <w:rPr>
          <w:spacing w:val="-3"/>
          <w:sz w:val="22"/>
        </w:rPr>
        <w:t> </w:t>
      </w:r>
      <w:r>
        <w:rPr>
          <w:sz w:val="22"/>
        </w:rPr>
        <w:t>restricción impuesta</w:t>
      </w:r>
      <w:r>
        <w:rPr>
          <w:spacing w:val="-2"/>
          <w:sz w:val="22"/>
        </w:rPr>
        <w:t> </w:t>
      </w:r>
      <w:r>
        <w:rPr>
          <w:sz w:val="22"/>
        </w:rPr>
        <w:t>al</w:t>
      </w:r>
      <w:r>
        <w:rPr>
          <w:spacing w:val="-2"/>
          <w:sz w:val="22"/>
        </w:rPr>
        <w:t> </w:t>
      </w:r>
      <w:r>
        <w:rPr>
          <w:sz w:val="22"/>
        </w:rPr>
        <w:t>ingreso</w:t>
      </w:r>
      <w:r>
        <w:rPr>
          <w:spacing w:val="-3"/>
          <w:sz w:val="22"/>
        </w:rPr>
        <w:t> </w:t>
      </w:r>
      <w:r>
        <w:rPr>
          <w:sz w:val="22"/>
        </w:rPr>
        <w:t>de</w:t>
      </w:r>
      <w:r>
        <w:rPr>
          <w:spacing w:val="-1"/>
          <w:sz w:val="22"/>
        </w:rPr>
        <w:t> </w:t>
      </w:r>
      <w:r>
        <w:rPr>
          <w:sz w:val="22"/>
        </w:rPr>
        <w:t>arroz,</w:t>
      </w:r>
      <w:r>
        <w:rPr>
          <w:spacing w:val="-2"/>
          <w:sz w:val="22"/>
        </w:rPr>
        <w:t> </w:t>
      </w:r>
      <w:r>
        <w:rPr>
          <w:sz w:val="22"/>
        </w:rPr>
        <w:t>se</w:t>
      </w:r>
      <w:r>
        <w:rPr>
          <w:spacing w:val="-1"/>
          <w:sz w:val="22"/>
        </w:rPr>
        <w:t> </w:t>
      </w:r>
      <w:r>
        <w:rPr>
          <w:sz w:val="22"/>
        </w:rPr>
        <w:t>indica</w:t>
      </w:r>
      <w:r>
        <w:rPr>
          <w:spacing w:val="-1"/>
          <w:sz w:val="22"/>
        </w:rPr>
        <w:t> </w:t>
      </w:r>
      <w:r>
        <w:rPr>
          <w:sz w:val="22"/>
        </w:rPr>
        <w:t>que</w:t>
      </w:r>
      <w:r>
        <w:rPr>
          <w:spacing w:val="-2"/>
          <w:sz w:val="22"/>
        </w:rPr>
        <w:t> </w:t>
      </w:r>
      <w:r>
        <w:rPr>
          <w:sz w:val="22"/>
        </w:rPr>
        <w:t>merecería</w:t>
      </w:r>
      <w:r>
        <w:rPr>
          <w:spacing w:val="-3"/>
          <w:sz w:val="22"/>
        </w:rPr>
        <w:t> </w:t>
      </w:r>
      <w:r>
        <w:rPr>
          <w:sz w:val="22"/>
        </w:rPr>
        <w:t>“</w:t>
      </w:r>
      <w:r>
        <w:rPr>
          <w:rFonts w:ascii="Arial" w:hAnsi="Arial"/>
          <w:i/>
          <w:sz w:val="22"/>
        </w:rPr>
        <w:t>un tratamiento especial, pues se inserta en una controversia de larga data que ya ha sido resuelta</w:t>
      </w:r>
      <w:r>
        <w:rPr>
          <w:rFonts w:ascii="Arial" w:hAnsi="Arial"/>
          <w:i/>
          <w:spacing w:val="-4"/>
          <w:sz w:val="22"/>
        </w:rPr>
        <w:t> </w:t>
      </w:r>
      <w:r>
        <w:rPr>
          <w:rFonts w:ascii="Arial" w:hAnsi="Arial"/>
          <w:i/>
          <w:sz w:val="22"/>
        </w:rPr>
        <w:t>por</w:t>
      </w:r>
      <w:r>
        <w:rPr>
          <w:rFonts w:ascii="Arial" w:hAnsi="Arial"/>
          <w:i/>
          <w:spacing w:val="-4"/>
          <w:sz w:val="22"/>
        </w:rPr>
        <w:t> </w:t>
      </w:r>
      <w:r>
        <w:rPr>
          <w:rFonts w:ascii="Arial" w:hAnsi="Arial"/>
          <w:i/>
          <w:sz w:val="22"/>
        </w:rPr>
        <w:t>el</w:t>
      </w:r>
      <w:r>
        <w:rPr>
          <w:rFonts w:ascii="Arial" w:hAnsi="Arial"/>
          <w:i/>
          <w:spacing w:val="-4"/>
          <w:sz w:val="22"/>
        </w:rPr>
        <w:t> </w:t>
      </w:r>
      <w:r>
        <w:rPr>
          <w:rFonts w:ascii="Arial" w:hAnsi="Arial"/>
          <w:i/>
          <w:sz w:val="22"/>
        </w:rPr>
        <w:t>Tribunal</w:t>
      </w:r>
      <w:r>
        <w:rPr>
          <w:rFonts w:ascii="Arial" w:hAnsi="Arial"/>
          <w:i/>
          <w:spacing w:val="-4"/>
          <w:sz w:val="22"/>
        </w:rPr>
        <w:t> </w:t>
      </w:r>
      <w:r>
        <w:rPr>
          <w:rFonts w:ascii="Arial" w:hAnsi="Arial"/>
          <w:i/>
          <w:sz w:val="22"/>
        </w:rPr>
        <w:t>de</w:t>
      </w:r>
      <w:r>
        <w:rPr>
          <w:rFonts w:ascii="Arial" w:hAnsi="Arial"/>
          <w:i/>
          <w:spacing w:val="-3"/>
          <w:sz w:val="22"/>
        </w:rPr>
        <w:t> </w:t>
      </w:r>
      <w:r>
        <w:rPr>
          <w:rFonts w:ascii="Arial" w:hAnsi="Arial"/>
          <w:i/>
          <w:sz w:val="22"/>
        </w:rPr>
        <w:t>Justicia</w:t>
      </w:r>
      <w:r>
        <w:rPr>
          <w:rFonts w:ascii="Arial" w:hAnsi="Arial"/>
          <w:i/>
          <w:spacing w:val="-3"/>
          <w:sz w:val="22"/>
        </w:rPr>
        <w:t> </w:t>
      </w:r>
      <w:r>
        <w:rPr>
          <w:rFonts w:ascii="Arial" w:hAnsi="Arial"/>
          <w:i/>
          <w:sz w:val="22"/>
        </w:rPr>
        <w:t>de</w:t>
      </w:r>
      <w:r>
        <w:rPr>
          <w:rFonts w:ascii="Arial" w:hAnsi="Arial"/>
          <w:i/>
          <w:spacing w:val="-3"/>
          <w:sz w:val="22"/>
        </w:rPr>
        <w:t> </w:t>
      </w:r>
      <w:r>
        <w:rPr>
          <w:rFonts w:ascii="Arial" w:hAnsi="Arial"/>
          <w:i/>
          <w:sz w:val="22"/>
        </w:rPr>
        <w:t>la</w:t>
      </w:r>
      <w:r>
        <w:rPr>
          <w:rFonts w:ascii="Arial" w:hAnsi="Arial"/>
          <w:i/>
          <w:spacing w:val="-4"/>
          <w:sz w:val="22"/>
        </w:rPr>
        <w:t> </w:t>
      </w:r>
      <w:r>
        <w:rPr>
          <w:rFonts w:ascii="Arial" w:hAnsi="Arial"/>
          <w:i/>
          <w:sz w:val="22"/>
        </w:rPr>
        <w:t>Comunidad</w:t>
      </w:r>
      <w:r>
        <w:rPr>
          <w:rFonts w:ascii="Arial" w:hAnsi="Arial"/>
          <w:i/>
          <w:spacing w:val="-3"/>
          <w:sz w:val="22"/>
        </w:rPr>
        <w:t> </w:t>
      </w:r>
      <w:r>
        <w:rPr>
          <w:rFonts w:ascii="Arial" w:hAnsi="Arial"/>
          <w:i/>
          <w:sz w:val="22"/>
        </w:rPr>
        <w:t>Andina</w:t>
      </w:r>
      <w:r>
        <w:rPr>
          <w:sz w:val="22"/>
        </w:rPr>
        <w:t>”</w:t>
      </w:r>
      <w:hyperlink w:history="true" w:anchor="_bookmark137">
        <w:r>
          <w:rPr>
            <w:sz w:val="22"/>
            <w:vertAlign w:val="superscript"/>
          </w:rPr>
          <w:t>70</w:t>
        </w:r>
        <w:r>
          <w:rPr>
            <w:rFonts w:ascii="Arial" w:hAnsi="Arial"/>
            <w:i/>
            <w:sz w:val="22"/>
            <w:vertAlign w:val="baseline"/>
          </w:rPr>
          <w:t>,</w:t>
        </w:r>
      </w:hyperlink>
      <w:r>
        <w:rPr>
          <w:rFonts w:ascii="Arial" w:hAnsi="Arial"/>
          <w:i/>
          <w:spacing w:val="-1"/>
          <w:sz w:val="22"/>
          <w:vertAlign w:val="baseline"/>
        </w:rPr>
        <w:t> </w:t>
      </w:r>
      <w:r>
        <w:rPr>
          <w:sz w:val="22"/>
          <w:vertAlign w:val="baseline"/>
        </w:rPr>
        <w:t>citando</w:t>
      </w:r>
      <w:r>
        <w:rPr>
          <w:spacing w:val="-4"/>
          <w:sz w:val="22"/>
          <w:vertAlign w:val="baseline"/>
        </w:rPr>
        <w:t> </w:t>
      </w:r>
      <w:r>
        <w:rPr>
          <w:sz w:val="22"/>
          <w:vertAlign w:val="baseline"/>
        </w:rPr>
        <w:t>la</w:t>
      </w:r>
      <w:r>
        <w:rPr>
          <w:spacing w:val="-2"/>
          <w:sz w:val="22"/>
          <w:vertAlign w:val="baseline"/>
        </w:rPr>
        <w:t> </w:t>
      </w:r>
      <w:r>
        <w:rPr>
          <w:sz w:val="22"/>
          <w:vertAlign w:val="baseline"/>
        </w:rPr>
        <w:t>Sentencia</w:t>
      </w:r>
      <w:r>
        <w:rPr>
          <w:spacing w:val="-2"/>
          <w:sz w:val="22"/>
          <w:vertAlign w:val="baseline"/>
        </w:rPr>
        <w:t> </w:t>
      </w:r>
      <w:r>
        <w:rPr>
          <w:sz w:val="22"/>
          <w:vertAlign w:val="baseline"/>
        </w:rPr>
        <w:t>del TJCAN del 14 de abril de 2005 (Proceso 118-AI-2003).</w:t>
      </w:r>
    </w:p>
    <w:p>
      <w:pPr>
        <w:pStyle w:val="ListParagraph"/>
        <w:numPr>
          <w:ilvl w:val="0"/>
          <w:numId w:val="50"/>
        </w:numPr>
        <w:tabs>
          <w:tab w:pos="1130" w:val="left" w:leader="none"/>
          <w:tab w:pos="1134" w:val="left" w:leader="none"/>
        </w:tabs>
        <w:spacing w:line="240" w:lineRule="auto" w:before="253" w:after="0"/>
        <w:ind w:left="1134" w:right="981" w:hanging="567"/>
        <w:jc w:val="both"/>
        <w:rPr>
          <w:rFonts w:ascii="Arial" w:hAnsi="Arial"/>
          <w:i/>
          <w:sz w:val="22"/>
        </w:rPr>
      </w:pPr>
      <w:r>
        <w:rPr>
          <w:sz w:val="22"/>
        </w:rPr>
        <w:t>Asimismo, se expone que “[e]l </w:t>
      </w:r>
      <w:r>
        <w:rPr>
          <w:rFonts w:ascii="Arial" w:hAnsi="Arial"/>
          <w:i/>
          <w:sz w:val="22"/>
        </w:rPr>
        <w:t>Decreto 170 dedica extensos considerandos a justificar las restricciones a productos agrícolas con argumentos de soberanía alimentaria, protección de la producción nacional, prevención del contrabando y riesgos fitosanitarios. Cabe aclarar que, si bien el segundo párrafo del Artículo 73 del Acuerdo de Cartagena establece siete medidas que pueden consistir en una restricción al comercio, se encuentran exceptuadas del Programa de Liberación”.</w:t>
      </w:r>
    </w:p>
    <w:p>
      <w:pPr>
        <w:pStyle w:val="BodyText"/>
        <w:rPr>
          <w:rFonts w:ascii="Arial"/>
          <w:i/>
        </w:rPr>
      </w:pPr>
    </w:p>
    <w:p>
      <w:pPr>
        <w:pStyle w:val="ListParagraph"/>
        <w:numPr>
          <w:ilvl w:val="0"/>
          <w:numId w:val="50"/>
        </w:numPr>
        <w:tabs>
          <w:tab w:pos="1130" w:val="left" w:leader="none"/>
          <w:tab w:pos="1134" w:val="left" w:leader="none"/>
        </w:tabs>
        <w:spacing w:line="240" w:lineRule="auto" w:before="1" w:after="0"/>
        <w:ind w:left="1134" w:right="980" w:hanging="567"/>
        <w:jc w:val="both"/>
        <w:rPr>
          <w:sz w:val="22"/>
        </w:rPr>
      </w:pPr>
      <w:r>
        <w:rPr>
          <w:sz w:val="22"/>
        </w:rPr>
        <w:t>Finalmente, se argumenta que la medida no superaría el test de proporcionalidad exigido por la jurisprudencia del Tribunal para las excepciones del artículo 73, esto es:</w:t>
      </w:r>
    </w:p>
    <w:p>
      <w:pPr>
        <w:pStyle w:val="ListParagraph"/>
        <w:numPr>
          <w:ilvl w:val="0"/>
          <w:numId w:val="90"/>
        </w:numPr>
        <w:tabs>
          <w:tab w:pos="1560" w:val="left" w:leader="none"/>
          <w:tab w:pos="1562" w:val="left" w:leader="none"/>
        </w:tabs>
        <w:spacing w:line="240" w:lineRule="auto" w:before="252" w:after="0"/>
        <w:ind w:left="1562" w:right="977" w:hanging="360"/>
        <w:jc w:val="both"/>
        <w:rPr>
          <w:rFonts w:ascii="Arial" w:hAnsi="Arial"/>
          <w:i/>
          <w:sz w:val="22"/>
        </w:rPr>
      </w:pPr>
      <w:r>
        <w:rPr>
          <w:rFonts w:ascii="Arial" w:hAnsi="Arial"/>
          <w:i/>
          <w:sz w:val="22"/>
        </w:rPr>
        <w:t>“Finalidad:</w:t>
      </w:r>
      <w:r>
        <w:rPr>
          <w:rFonts w:ascii="Arial" w:hAnsi="Arial"/>
          <w:i/>
          <w:spacing w:val="-1"/>
          <w:sz w:val="22"/>
        </w:rPr>
        <w:t> </w:t>
      </w:r>
      <w:r>
        <w:rPr>
          <w:rFonts w:ascii="Arial" w:hAnsi="Arial"/>
          <w:i/>
          <w:sz w:val="22"/>
        </w:rPr>
        <w:t>Aunque</w:t>
      </w:r>
      <w:r>
        <w:rPr>
          <w:rFonts w:ascii="Arial" w:hAnsi="Arial"/>
          <w:i/>
          <w:spacing w:val="-2"/>
          <w:sz w:val="22"/>
        </w:rPr>
        <w:t> </w:t>
      </w:r>
      <w:r>
        <w:rPr>
          <w:rFonts w:ascii="Arial" w:hAnsi="Arial"/>
          <w:i/>
          <w:sz w:val="22"/>
        </w:rPr>
        <w:t>la</w:t>
      </w:r>
      <w:r>
        <w:rPr>
          <w:rFonts w:ascii="Arial" w:hAnsi="Arial"/>
          <w:i/>
          <w:spacing w:val="-2"/>
          <w:sz w:val="22"/>
        </w:rPr>
        <w:t> </w:t>
      </w:r>
      <w:r>
        <w:rPr>
          <w:rFonts w:ascii="Arial" w:hAnsi="Arial"/>
          <w:i/>
          <w:sz w:val="22"/>
        </w:rPr>
        <w:t>protección</w:t>
      </w:r>
      <w:r>
        <w:rPr>
          <w:rFonts w:ascii="Arial" w:hAnsi="Arial"/>
          <w:i/>
          <w:spacing w:val="-2"/>
          <w:sz w:val="22"/>
        </w:rPr>
        <w:t> </w:t>
      </w:r>
      <w:r>
        <w:rPr>
          <w:rFonts w:ascii="Arial" w:hAnsi="Arial"/>
          <w:i/>
          <w:sz w:val="22"/>
        </w:rPr>
        <w:t>de</w:t>
      </w:r>
      <w:r>
        <w:rPr>
          <w:rFonts w:ascii="Arial" w:hAnsi="Arial"/>
          <w:i/>
          <w:spacing w:val="-2"/>
          <w:sz w:val="22"/>
        </w:rPr>
        <w:t> </w:t>
      </w:r>
      <w:r>
        <w:rPr>
          <w:rFonts w:ascii="Arial" w:hAnsi="Arial"/>
          <w:i/>
          <w:sz w:val="22"/>
        </w:rPr>
        <w:t>la</w:t>
      </w:r>
      <w:r>
        <w:rPr>
          <w:rFonts w:ascii="Arial" w:hAnsi="Arial"/>
          <w:i/>
          <w:spacing w:val="-2"/>
          <w:sz w:val="22"/>
        </w:rPr>
        <w:t> </w:t>
      </w:r>
      <w:r>
        <w:rPr>
          <w:rFonts w:ascii="Arial" w:hAnsi="Arial"/>
          <w:i/>
          <w:sz w:val="22"/>
        </w:rPr>
        <w:t>salud</w:t>
      </w:r>
      <w:r>
        <w:rPr>
          <w:rFonts w:ascii="Arial" w:hAnsi="Arial"/>
          <w:i/>
          <w:spacing w:val="-2"/>
          <w:sz w:val="22"/>
        </w:rPr>
        <w:t> </w:t>
      </w:r>
      <w:r>
        <w:rPr>
          <w:rFonts w:ascii="Arial" w:hAnsi="Arial"/>
          <w:i/>
          <w:sz w:val="22"/>
        </w:rPr>
        <w:t>de</w:t>
      </w:r>
      <w:r>
        <w:rPr>
          <w:rFonts w:ascii="Arial" w:hAnsi="Arial"/>
          <w:i/>
          <w:spacing w:val="-2"/>
          <w:sz w:val="22"/>
        </w:rPr>
        <w:t> </w:t>
      </w:r>
      <w:r>
        <w:rPr>
          <w:rFonts w:ascii="Arial" w:hAnsi="Arial"/>
          <w:i/>
          <w:sz w:val="22"/>
        </w:rPr>
        <w:t>las</w:t>
      </w:r>
      <w:r>
        <w:rPr>
          <w:rFonts w:ascii="Arial" w:hAnsi="Arial"/>
          <w:i/>
          <w:spacing w:val="-2"/>
          <w:sz w:val="22"/>
        </w:rPr>
        <w:t> </w:t>
      </w:r>
      <w:r>
        <w:rPr>
          <w:rFonts w:ascii="Arial" w:hAnsi="Arial"/>
          <w:i/>
          <w:sz w:val="22"/>
        </w:rPr>
        <w:t>personas, animales</w:t>
      </w:r>
      <w:r>
        <w:rPr>
          <w:rFonts w:ascii="Arial" w:hAnsi="Arial"/>
          <w:i/>
          <w:spacing w:val="-4"/>
          <w:sz w:val="22"/>
        </w:rPr>
        <w:t> </w:t>
      </w:r>
      <w:r>
        <w:rPr>
          <w:rFonts w:ascii="Arial" w:hAnsi="Arial"/>
          <w:i/>
          <w:sz w:val="22"/>
        </w:rPr>
        <w:t>y</w:t>
      </w:r>
      <w:r>
        <w:rPr>
          <w:rFonts w:ascii="Arial" w:hAnsi="Arial"/>
          <w:i/>
          <w:spacing w:val="-4"/>
          <w:sz w:val="22"/>
        </w:rPr>
        <w:t> </w:t>
      </w:r>
      <w:r>
        <w:rPr>
          <w:rFonts w:ascii="Arial" w:hAnsi="Arial"/>
          <w:i/>
          <w:sz w:val="22"/>
        </w:rPr>
        <w:t>vegetales (literal d del artículo 73) y la seguridad (literal b) son excepciones válidas, las medidas</w:t>
      </w:r>
      <w:r>
        <w:rPr>
          <w:rFonts w:ascii="Arial" w:hAnsi="Arial"/>
          <w:i/>
          <w:spacing w:val="-9"/>
          <w:sz w:val="22"/>
        </w:rPr>
        <w:t> </w:t>
      </w:r>
      <w:r>
        <w:rPr>
          <w:rFonts w:ascii="Arial" w:hAnsi="Arial"/>
          <w:i/>
          <w:sz w:val="22"/>
        </w:rPr>
        <w:t>adoptadas</w:t>
      </w:r>
      <w:r>
        <w:rPr>
          <w:rFonts w:ascii="Arial" w:hAnsi="Arial"/>
          <w:i/>
          <w:spacing w:val="-10"/>
          <w:sz w:val="22"/>
        </w:rPr>
        <w:t> </w:t>
      </w:r>
      <w:r>
        <w:rPr>
          <w:rFonts w:ascii="Arial" w:hAnsi="Arial"/>
          <w:i/>
          <w:sz w:val="22"/>
        </w:rPr>
        <w:t>deben</w:t>
      </w:r>
      <w:r>
        <w:rPr>
          <w:rFonts w:ascii="Arial" w:hAnsi="Arial"/>
          <w:i/>
          <w:spacing w:val="-10"/>
          <w:sz w:val="22"/>
        </w:rPr>
        <w:t> </w:t>
      </w:r>
      <w:r>
        <w:rPr>
          <w:rFonts w:ascii="Arial" w:hAnsi="Arial"/>
          <w:i/>
          <w:sz w:val="22"/>
        </w:rPr>
        <w:t>tener</w:t>
      </w:r>
      <w:r>
        <w:rPr>
          <w:rFonts w:ascii="Arial" w:hAnsi="Arial"/>
          <w:i/>
          <w:spacing w:val="-9"/>
          <w:sz w:val="22"/>
        </w:rPr>
        <w:t> </w:t>
      </w:r>
      <w:r>
        <w:rPr>
          <w:rFonts w:ascii="Arial" w:hAnsi="Arial"/>
          <w:i/>
          <w:sz w:val="22"/>
        </w:rPr>
        <w:t>una</w:t>
      </w:r>
      <w:r>
        <w:rPr>
          <w:rFonts w:ascii="Arial" w:hAnsi="Arial"/>
          <w:i/>
          <w:spacing w:val="-10"/>
          <w:sz w:val="22"/>
        </w:rPr>
        <w:t> </w:t>
      </w:r>
      <w:r>
        <w:rPr>
          <w:rFonts w:ascii="Arial" w:hAnsi="Arial"/>
          <w:i/>
          <w:sz w:val="22"/>
        </w:rPr>
        <w:t>conexión</w:t>
      </w:r>
      <w:r>
        <w:rPr>
          <w:rFonts w:ascii="Arial" w:hAnsi="Arial"/>
          <w:i/>
          <w:spacing w:val="-10"/>
          <w:sz w:val="22"/>
        </w:rPr>
        <w:t> </w:t>
      </w:r>
      <w:r>
        <w:rPr>
          <w:rFonts w:ascii="Arial" w:hAnsi="Arial"/>
          <w:i/>
          <w:sz w:val="22"/>
        </w:rPr>
        <w:t>directa</w:t>
      </w:r>
      <w:r>
        <w:rPr>
          <w:rFonts w:ascii="Arial" w:hAnsi="Arial"/>
          <w:i/>
          <w:spacing w:val="-9"/>
          <w:sz w:val="22"/>
        </w:rPr>
        <w:t> </w:t>
      </w:r>
      <w:r>
        <w:rPr>
          <w:rFonts w:ascii="Arial" w:hAnsi="Arial"/>
          <w:i/>
          <w:sz w:val="22"/>
        </w:rPr>
        <w:t>y</w:t>
      </w:r>
      <w:r>
        <w:rPr>
          <w:rFonts w:ascii="Arial" w:hAnsi="Arial"/>
          <w:i/>
          <w:spacing w:val="-12"/>
          <w:sz w:val="22"/>
        </w:rPr>
        <w:t> </w:t>
      </w:r>
      <w:r>
        <w:rPr>
          <w:rFonts w:ascii="Arial" w:hAnsi="Arial"/>
          <w:i/>
          <w:sz w:val="22"/>
        </w:rPr>
        <w:t>razonable</w:t>
      </w:r>
      <w:r>
        <w:rPr>
          <w:rFonts w:ascii="Arial" w:hAnsi="Arial"/>
          <w:i/>
          <w:spacing w:val="-10"/>
          <w:sz w:val="22"/>
        </w:rPr>
        <w:t> </w:t>
      </w:r>
      <w:r>
        <w:rPr>
          <w:rFonts w:ascii="Arial" w:hAnsi="Arial"/>
          <w:i/>
          <w:sz w:val="22"/>
        </w:rPr>
        <w:t>con</w:t>
      </w:r>
      <w:r>
        <w:rPr>
          <w:rFonts w:ascii="Arial" w:hAnsi="Arial"/>
          <w:i/>
          <w:spacing w:val="-10"/>
          <w:sz w:val="22"/>
        </w:rPr>
        <w:t> </w:t>
      </w:r>
      <w:r>
        <w:rPr>
          <w:rFonts w:ascii="Arial" w:hAnsi="Arial"/>
          <w:i/>
          <w:sz w:val="22"/>
        </w:rPr>
        <w:t>dichos</w:t>
      </w:r>
      <w:r>
        <w:rPr>
          <w:rFonts w:ascii="Arial" w:hAnsi="Arial"/>
          <w:i/>
          <w:spacing w:val="-9"/>
          <w:sz w:val="22"/>
        </w:rPr>
        <w:t> </w:t>
      </w:r>
      <w:r>
        <w:rPr>
          <w:rFonts w:ascii="Arial" w:hAnsi="Arial"/>
          <w:i/>
          <w:sz w:val="22"/>
        </w:rPr>
        <w:t>fines. Las referencias genéricas a la "soberanía alimentaria" o a la "protección de la producción</w:t>
      </w:r>
      <w:r>
        <w:rPr>
          <w:rFonts w:ascii="Arial" w:hAnsi="Arial"/>
          <w:i/>
          <w:spacing w:val="-10"/>
          <w:sz w:val="22"/>
        </w:rPr>
        <w:t> </w:t>
      </w:r>
      <w:r>
        <w:rPr>
          <w:rFonts w:ascii="Arial" w:hAnsi="Arial"/>
          <w:i/>
          <w:sz w:val="22"/>
        </w:rPr>
        <w:t>nacional"</w:t>
      </w:r>
      <w:r>
        <w:rPr>
          <w:rFonts w:ascii="Arial" w:hAnsi="Arial"/>
          <w:i/>
          <w:spacing w:val="-6"/>
          <w:sz w:val="22"/>
        </w:rPr>
        <w:t> </w:t>
      </w:r>
      <w:r>
        <w:rPr>
          <w:rFonts w:ascii="Arial" w:hAnsi="Arial"/>
          <w:i/>
          <w:sz w:val="22"/>
        </w:rPr>
        <w:t>no</w:t>
      </w:r>
      <w:r>
        <w:rPr>
          <w:rFonts w:ascii="Arial" w:hAnsi="Arial"/>
          <w:i/>
          <w:spacing w:val="-13"/>
          <w:sz w:val="22"/>
        </w:rPr>
        <w:t> </w:t>
      </w:r>
      <w:r>
        <w:rPr>
          <w:rFonts w:ascii="Arial" w:hAnsi="Arial"/>
          <w:i/>
          <w:sz w:val="22"/>
        </w:rPr>
        <w:t>encuentran</w:t>
      </w:r>
      <w:r>
        <w:rPr>
          <w:rFonts w:ascii="Arial" w:hAnsi="Arial"/>
          <w:i/>
          <w:spacing w:val="-10"/>
          <w:sz w:val="22"/>
        </w:rPr>
        <w:t> </w:t>
      </w:r>
      <w:r>
        <w:rPr>
          <w:rFonts w:ascii="Arial" w:hAnsi="Arial"/>
          <w:i/>
          <w:sz w:val="22"/>
        </w:rPr>
        <w:t>cobijo</w:t>
      </w:r>
      <w:r>
        <w:rPr>
          <w:rFonts w:ascii="Arial" w:hAnsi="Arial"/>
          <w:i/>
          <w:spacing w:val="-10"/>
          <w:sz w:val="22"/>
        </w:rPr>
        <w:t> </w:t>
      </w:r>
      <w:r>
        <w:rPr>
          <w:rFonts w:ascii="Arial" w:hAnsi="Arial"/>
          <w:i/>
          <w:sz w:val="22"/>
        </w:rPr>
        <w:t>en</w:t>
      </w:r>
      <w:r>
        <w:rPr>
          <w:rFonts w:ascii="Arial" w:hAnsi="Arial"/>
          <w:i/>
          <w:spacing w:val="-10"/>
          <w:sz w:val="22"/>
        </w:rPr>
        <w:t> </w:t>
      </w:r>
      <w:r>
        <w:rPr>
          <w:rFonts w:ascii="Arial" w:hAnsi="Arial"/>
          <w:i/>
          <w:sz w:val="22"/>
        </w:rPr>
        <w:t>las</w:t>
      </w:r>
      <w:r>
        <w:rPr>
          <w:rFonts w:ascii="Arial" w:hAnsi="Arial"/>
          <w:i/>
          <w:spacing w:val="-10"/>
          <w:sz w:val="22"/>
        </w:rPr>
        <w:t> </w:t>
      </w:r>
      <w:r>
        <w:rPr>
          <w:rFonts w:ascii="Arial" w:hAnsi="Arial"/>
          <w:i/>
          <w:sz w:val="22"/>
        </w:rPr>
        <w:t>excepciones</w:t>
      </w:r>
      <w:r>
        <w:rPr>
          <w:rFonts w:ascii="Arial" w:hAnsi="Arial"/>
          <w:i/>
          <w:spacing w:val="-10"/>
          <w:sz w:val="22"/>
        </w:rPr>
        <w:t> </w:t>
      </w:r>
      <w:r>
        <w:rPr>
          <w:rFonts w:ascii="Arial" w:hAnsi="Arial"/>
          <w:i/>
          <w:sz w:val="22"/>
        </w:rPr>
        <w:t>taxativas</w:t>
      </w:r>
      <w:r>
        <w:rPr>
          <w:rFonts w:ascii="Arial" w:hAnsi="Arial"/>
          <w:i/>
          <w:spacing w:val="-10"/>
          <w:sz w:val="22"/>
        </w:rPr>
        <w:t> </w:t>
      </w:r>
      <w:r>
        <w:rPr>
          <w:rFonts w:ascii="Arial" w:hAnsi="Arial"/>
          <w:i/>
          <w:sz w:val="22"/>
        </w:rPr>
        <w:t>del</w:t>
      </w:r>
      <w:r>
        <w:rPr>
          <w:rFonts w:ascii="Arial" w:hAnsi="Arial"/>
          <w:i/>
          <w:spacing w:val="-8"/>
          <w:sz w:val="22"/>
        </w:rPr>
        <w:t> </w:t>
      </w:r>
      <w:r>
        <w:rPr>
          <w:rFonts w:ascii="Arial" w:hAnsi="Arial"/>
          <w:i/>
          <w:sz w:val="22"/>
        </w:rPr>
        <w:t>artículo </w:t>
      </w:r>
      <w:r>
        <w:rPr>
          <w:rFonts w:ascii="Arial" w:hAnsi="Arial"/>
          <w:i/>
          <w:spacing w:val="-4"/>
          <w:sz w:val="22"/>
        </w:rPr>
        <w:t>73.</w:t>
      </w:r>
    </w:p>
    <w:p>
      <w:pPr>
        <w:pStyle w:val="ListParagraph"/>
        <w:numPr>
          <w:ilvl w:val="0"/>
          <w:numId w:val="90"/>
        </w:numPr>
        <w:tabs>
          <w:tab w:pos="1560" w:val="left" w:leader="none"/>
          <w:tab w:pos="1562" w:val="left" w:leader="none"/>
        </w:tabs>
        <w:spacing w:line="240" w:lineRule="auto" w:before="1" w:after="0"/>
        <w:ind w:left="1562" w:right="977" w:hanging="360"/>
        <w:jc w:val="both"/>
        <w:rPr>
          <w:rFonts w:ascii="Arial" w:hAnsi="Arial"/>
          <w:i/>
          <w:sz w:val="22"/>
        </w:rPr>
      </w:pPr>
      <w:r>
        <w:rPr>
          <w:rFonts w:ascii="Arial" w:hAnsi="Arial"/>
          <w:i/>
          <w:sz w:val="22"/>
        </w:rPr>
        <w:t>Idoneidad: La prohibición absoluta de ingreso por vía terrestre no es una medida idónea para alcanzar fines fitosanitarios. Existen mecanismos menos lesivos — inspecciones</w:t>
      </w:r>
      <w:r>
        <w:rPr>
          <w:rFonts w:ascii="Arial" w:hAnsi="Arial"/>
          <w:i/>
          <w:spacing w:val="80"/>
          <w:w w:val="150"/>
          <w:sz w:val="22"/>
        </w:rPr>
        <w:t> </w:t>
      </w:r>
      <w:r>
        <w:rPr>
          <w:rFonts w:ascii="Arial" w:hAnsi="Arial"/>
          <w:i/>
          <w:sz w:val="22"/>
        </w:rPr>
        <w:t>en</w:t>
      </w:r>
      <w:r>
        <w:rPr>
          <w:rFonts w:ascii="Arial" w:hAnsi="Arial"/>
          <w:i/>
          <w:spacing w:val="80"/>
          <w:w w:val="150"/>
          <w:sz w:val="22"/>
        </w:rPr>
        <w:t> </w:t>
      </w:r>
      <w:r>
        <w:rPr>
          <w:rFonts w:ascii="Arial" w:hAnsi="Arial"/>
          <w:i/>
          <w:sz w:val="22"/>
        </w:rPr>
        <w:t>frontera,</w:t>
      </w:r>
      <w:r>
        <w:rPr>
          <w:rFonts w:ascii="Arial" w:hAnsi="Arial"/>
          <w:i/>
          <w:spacing w:val="80"/>
          <w:w w:val="150"/>
          <w:sz w:val="22"/>
        </w:rPr>
        <w:t> </w:t>
      </w:r>
      <w:r>
        <w:rPr>
          <w:rFonts w:ascii="Arial" w:hAnsi="Arial"/>
          <w:i/>
          <w:sz w:val="22"/>
        </w:rPr>
        <w:t>certificaciones,</w:t>
      </w:r>
      <w:r>
        <w:rPr>
          <w:rFonts w:ascii="Arial" w:hAnsi="Arial"/>
          <w:i/>
          <w:spacing w:val="80"/>
          <w:w w:val="150"/>
          <w:sz w:val="22"/>
        </w:rPr>
        <w:t> </w:t>
      </w:r>
      <w:r>
        <w:rPr>
          <w:rFonts w:ascii="Arial" w:hAnsi="Arial"/>
          <w:i/>
          <w:sz w:val="22"/>
        </w:rPr>
        <w:t>análisis</w:t>
      </w:r>
      <w:r>
        <w:rPr>
          <w:rFonts w:ascii="Arial" w:hAnsi="Arial"/>
          <w:i/>
          <w:spacing w:val="80"/>
          <w:w w:val="150"/>
          <w:sz w:val="22"/>
        </w:rPr>
        <w:t> </w:t>
      </w:r>
      <w:r>
        <w:rPr>
          <w:rFonts w:ascii="Arial" w:hAnsi="Arial"/>
          <w:i/>
          <w:sz w:val="22"/>
        </w:rPr>
        <w:t>de</w:t>
      </w:r>
      <w:r>
        <w:rPr>
          <w:rFonts w:ascii="Arial" w:hAnsi="Arial"/>
          <w:i/>
          <w:spacing w:val="80"/>
          <w:w w:val="150"/>
          <w:sz w:val="22"/>
        </w:rPr>
        <w:t> </w:t>
      </w:r>
      <w:r>
        <w:rPr>
          <w:rFonts w:ascii="Arial" w:hAnsi="Arial"/>
          <w:i/>
          <w:sz w:val="22"/>
        </w:rPr>
        <w:t>laboratorio,</w:t>
      </w:r>
      <w:r>
        <w:rPr>
          <w:rFonts w:ascii="Arial" w:hAnsi="Arial"/>
          <w:i/>
          <w:spacing w:val="80"/>
          <w:w w:val="150"/>
          <w:sz w:val="22"/>
        </w:rPr>
        <w:t> </w:t>
      </w:r>
      <w:r>
        <w:rPr>
          <w:rFonts w:ascii="Arial" w:hAnsi="Arial"/>
          <w:i/>
          <w:sz w:val="22"/>
        </w:rPr>
        <w:t>controles</w:t>
      </w:r>
    </w:p>
    <w:p>
      <w:pPr>
        <w:pStyle w:val="BodyText"/>
        <w:spacing w:before="11"/>
        <w:rPr>
          <w:rFonts w:ascii="Arial"/>
          <w:i/>
          <w:sz w:val="17"/>
        </w:rPr>
      </w:pPr>
      <w:r>
        <w:rPr>
          <w:rFonts w:ascii="Arial"/>
          <w:i/>
          <w:sz w:val="17"/>
        </w:rPr>
        <mc:AlternateContent>
          <mc:Choice Requires="wps">
            <w:drawing>
              <wp:anchor distT="0" distB="0" distL="0" distR="0" allowOverlap="1" layoutInCell="1" locked="0" behindDoc="1" simplePos="0" relativeHeight="487649792">
                <wp:simplePos x="0" y="0"/>
                <wp:positionH relativeFrom="page">
                  <wp:posOffset>990904</wp:posOffset>
                </wp:positionH>
                <wp:positionV relativeFrom="paragraph">
                  <wp:posOffset>146554</wp:posOffset>
                </wp:positionV>
                <wp:extent cx="1829435" cy="7620"/>
                <wp:effectExtent l="0" t="0" r="0" b="0"/>
                <wp:wrapTopAndBottom/>
                <wp:docPr id="533" name="Graphic 533"/>
                <wp:cNvGraphicFramePr>
                  <a:graphicFrameLocks/>
                </wp:cNvGraphicFramePr>
                <a:graphic>
                  <a:graphicData uri="http://schemas.microsoft.com/office/word/2010/wordprocessingShape">
                    <wps:wsp>
                      <wps:cNvPr id="533" name="Graphic 533"/>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1.539745pt;width:144.020pt;height:.60004pt;mso-position-horizontal-relative:page;mso-position-vertical-relative:paragraph;z-index:-15666688;mso-wrap-distance-left:0;mso-wrap-distance-right:0" id="docshape368" filled="true" fillcolor="#000000" stroked="false">
                <v:fill type="solid"/>
                <w10:wrap type="topAndBottom"/>
              </v:rect>
            </w:pict>
          </mc:Fallback>
        </mc:AlternateContent>
      </w:r>
    </w:p>
    <w:p>
      <w:pPr>
        <w:spacing w:before="92"/>
        <w:ind w:left="568" w:right="0" w:firstLine="0"/>
        <w:jc w:val="left"/>
        <w:rPr>
          <w:sz w:val="16"/>
        </w:rPr>
      </w:pPr>
      <w:bookmarkStart w:name="_bookmark136" w:id="137"/>
      <w:bookmarkEnd w:id="137"/>
      <w:r>
        <w:rPr/>
      </w:r>
      <w:r>
        <w:rPr>
          <w:sz w:val="16"/>
          <w:vertAlign w:val="superscript"/>
        </w:rPr>
        <w:t>69</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000020.</w:t>
      </w:r>
    </w:p>
    <w:p>
      <w:pPr>
        <w:spacing w:before="1"/>
        <w:ind w:left="568" w:right="0" w:firstLine="0"/>
        <w:jc w:val="left"/>
        <w:rPr>
          <w:sz w:val="16"/>
        </w:rPr>
      </w:pPr>
      <w:bookmarkStart w:name="_bookmark137" w:id="138"/>
      <w:bookmarkEnd w:id="138"/>
      <w:r>
        <w:rPr/>
      </w:r>
      <w:r>
        <w:rPr>
          <w:sz w:val="16"/>
          <w:vertAlign w:val="superscript"/>
        </w:rPr>
        <w:t>70</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000021.</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34" name="Group 534"/>
                <wp:cNvGraphicFramePr>
                  <a:graphicFrameLocks/>
                </wp:cNvGraphicFramePr>
                <a:graphic>
                  <a:graphicData uri="http://schemas.microsoft.com/office/word/2010/wordprocessingGroup">
                    <wpg:wgp>
                      <wpg:cNvPr id="534" name="Group 534"/>
                      <wpg:cNvGrpSpPr/>
                      <wpg:grpSpPr>
                        <a:xfrm>
                          <a:off x="0" y="0"/>
                          <a:ext cx="6131560" cy="9525"/>
                          <a:chExt cx="6131560" cy="9525"/>
                        </a:xfrm>
                      </wpg:grpSpPr>
                      <wps:wsp>
                        <wps:cNvPr id="535" name="Graphic 535"/>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69"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spacing w:before="176"/>
      </w:pPr>
    </w:p>
    <w:p>
      <w:pPr>
        <w:spacing w:before="0"/>
        <w:ind w:left="1562" w:right="982" w:firstLine="0"/>
        <w:jc w:val="both"/>
        <w:rPr>
          <w:rFonts w:ascii="Arial" w:hAnsi="Arial"/>
          <w:i/>
          <w:sz w:val="22"/>
        </w:rPr>
      </w:pPr>
      <w:r>
        <w:rPr>
          <w:rFonts w:ascii="Arial" w:hAnsi="Arial"/>
          <w:i/>
          <w:sz w:val="22"/>
        </w:rPr>
        <w:t>documentales— que permiten verificar la sanidad de los productos sin eliminar el comercio. La idoneidad exige que la medida sea adecuada para el fin; una prohibición total es, por definición, la negación del comercio, no su regulación.</w:t>
      </w:r>
    </w:p>
    <w:p>
      <w:pPr>
        <w:pStyle w:val="ListParagraph"/>
        <w:numPr>
          <w:ilvl w:val="0"/>
          <w:numId w:val="90"/>
        </w:numPr>
        <w:tabs>
          <w:tab w:pos="1562" w:val="left" w:leader="none"/>
        </w:tabs>
        <w:spacing w:line="240" w:lineRule="auto" w:before="0" w:after="0"/>
        <w:ind w:left="1562" w:right="975" w:hanging="360"/>
        <w:jc w:val="both"/>
        <w:rPr>
          <w:rFonts w:ascii="Arial" w:hAnsi="Arial"/>
          <w:i/>
          <w:sz w:val="22"/>
        </w:rPr>
      </w:pPr>
      <w:r>
        <w:rPr>
          <w:rFonts w:ascii="Arial" w:hAnsi="Arial"/>
          <w:i/>
          <w:sz w:val="22"/>
        </w:rPr>
        <w:t>Necesidad: Las medidas no son necesarias. Colombia cuenta con un sistema de control</w:t>
      </w:r>
      <w:r>
        <w:rPr>
          <w:rFonts w:ascii="Arial" w:hAnsi="Arial"/>
          <w:i/>
          <w:spacing w:val="-13"/>
          <w:sz w:val="22"/>
        </w:rPr>
        <w:t> </w:t>
      </w:r>
      <w:r>
        <w:rPr>
          <w:rFonts w:ascii="Arial" w:hAnsi="Arial"/>
          <w:i/>
          <w:sz w:val="22"/>
        </w:rPr>
        <w:t>fitosanitario</w:t>
      </w:r>
      <w:r>
        <w:rPr>
          <w:rFonts w:ascii="Arial" w:hAnsi="Arial"/>
          <w:i/>
          <w:spacing w:val="-10"/>
          <w:sz w:val="22"/>
        </w:rPr>
        <w:t> </w:t>
      </w:r>
      <w:r>
        <w:rPr>
          <w:rFonts w:ascii="Arial" w:hAnsi="Arial"/>
          <w:i/>
          <w:sz w:val="22"/>
        </w:rPr>
        <w:t>y</w:t>
      </w:r>
      <w:r>
        <w:rPr>
          <w:rFonts w:ascii="Arial" w:hAnsi="Arial"/>
          <w:i/>
          <w:spacing w:val="-9"/>
          <w:sz w:val="22"/>
        </w:rPr>
        <w:t> </w:t>
      </w:r>
      <w:r>
        <w:rPr>
          <w:rFonts w:ascii="Arial" w:hAnsi="Arial"/>
          <w:i/>
          <w:sz w:val="22"/>
        </w:rPr>
        <w:t>aduanero</w:t>
      </w:r>
      <w:r>
        <w:rPr>
          <w:rFonts w:ascii="Arial" w:hAnsi="Arial"/>
          <w:i/>
          <w:spacing w:val="-9"/>
          <w:sz w:val="22"/>
        </w:rPr>
        <w:t> </w:t>
      </w:r>
      <w:r>
        <w:rPr>
          <w:rFonts w:ascii="Arial" w:hAnsi="Arial"/>
          <w:i/>
          <w:sz w:val="22"/>
        </w:rPr>
        <w:t>que</w:t>
      </w:r>
      <w:r>
        <w:rPr>
          <w:rFonts w:ascii="Arial" w:hAnsi="Arial"/>
          <w:i/>
          <w:spacing w:val="-10"/>
          <w:sz w:val="22"/>
        </w:rPr>
        <w:t> </w:t>
      </w:r>
      <w:r>
        <w:rPr>
          <w:rFonts w:ascii="Arial" w:hAnsi="Arial"/>
          <w:i/>
          <w:sz w:val="22"/>
        </w:rPr>
        <w:t>le</w:t>
      </w:r>
      <w:r>
        <w:rPr>
          <w:rFonts w:ascii="Arial" w:hAnsi="Arial"/>
          <w:i/>
          <w:spacing w:val="-10"/>
          <w:sz w:val="22"/>
        </w:rPr>
        <w:t> </w:t>
      </w:r>
      <w:r>
        <w:rPr>
          <w:rFonts w:ascii="Arial" w:hAnsi="Arial"/>
          <w:i/>
          <w:sz w:val="22"/>
        </w:rPr>
        <w:t>permite</w:t>
      </w:r>
      <w:r>
        <w:rPr>
          <w:rFonts w:ascii="Arial" w:hAnsi="Arial"/>
          <w:i/>
          <w:spacing w:val="-12"/>
          <w:sz w:val="22"/>
        </w:rPr>
        <w:t> </w:t>
      </w:r>
      <w:r>
        <w:rPr>
          <w:rFonts w:ascii="Arial" w:hAnsi="Arial"/>
          <w:i/>
          <w:sz w:val="22"/>
        </w:rPr>
        <w:t>realizar</w:t>
      </w:r>
      <w:r>
        <w:rPr>
          <w:rFonts w:ascii="Arial" w:hAnsi="Arial"/>
          <w:i/>
          <w:spacing w:val="-9"/>
          <w:sz w:val="22"/>
        </w:rPr>
        <w:t> </w:t>
      </w:r>
      <w:r>
        <w:rPr>
          <w:rFonts w:ascii="Arial" w:hAnsi="Arial"/>
          <w:i/>
          <w:sz w:val="22"/>
        </w:rPr>
        <w:t>inspecciones</w:t>
      </w:r>
      <w:r>
        <w:rPr>
          <w:rFonts w:ascii="Arial" w:hAnsi="Arial"/>
          <w:i/>
          <w:spacing w:val="-10"/>
          <w:sz w:val="22"/>
        </w:rPr>
        <w:t> </w:t>
      </w:r>
      <w:r>
        <w:rPr>
          <w:rFonts w:ascii="Arial" w:hAnsi="Arial"/>
          <w:i/>
          <w:sz w:val="22"/>
        </w:rPr>
        <w:t>y</w:t>
      </w:r>
      <w:r>
        <w:rPr>
          <w:rFonts w:ascii="Arial" w:hAnsi="Arial"/>
          <w:i/>
          <w:spacing w:val="-9"/>
          <w:sz w:val="22"/>
        </w:rPr>
        <w:t> </w:t>
      </w:r>
      <w:r>
        <w:rPr>
          <w:rFonts w:ascii="Arial" w:hAnsi="Arial"/>
          <w:i/>
          <w:sz w:val="22"/>
        </w:rPr>
        <w:t>verificaciones sin recurrir a prohibiciones absolutas. La existencia de medidas menos lesivas — como las aplicadas a productos de otros orígenes— demuestra que la prohibición no es indispensable.</w:t>
      </w:r>
    </w:p>
    <w:p>
      <w:pPr>
        <w:pStyle w:val="ListParagraph"/>
        <w:numPr>
          <w:ilvl w:val="0"/>
          <w:numId w:val="90"/>
        </w:numPr>
        <w:tabs>
          <w:tab w:pos="1560" w:val="left" w:leader="none"/>
          <w:tab w:pos="1562" w:val="left" w:leader="none"/>
        </w:tabs>
        <w:spacing w:line="240" w:lineRule="auto" w:before="0" w:after="0"/>
        <w:ind w:left="1562" w:right="979" w:hanging="360"/>
        <w:jc w:val="both"/>
        <w:rPr>
          <w:rFonts w:ascii="Arial" w:hAnsi="Arial"/>
          <w:i/>
          <w:sz w:val="22"/>
        </w:rPr>
      </w:pPr>
      <w:r>
        <w:rPr>
          <w:rFonts w:ascii="Arial" w:hAnsi="Arial"/>
          <w:i/>
          <w:sz w:val="22"/>
        </w:rPr>
        <w:t>Proporcionalidad:</w:t>
      </w:r>
      <w:r>
        <w:rPr>
          <w:rFonts w:ascii="Arial" w:hAnsi="Arial"/>
          <w:i/>
          <w:spacing w:val="-2"/>
          <w:sz w:val="22"/>
        </w:rPr>
        <w:t> </w:t>
      </w:r>
      <w:r>
        <w:rPr>
          <w:rFonts w:ascii="Arial" w:hAnsi="Arial"/>
          <w:i/>
          <w:sz w:val="22"/>
        </w:rPr>
        <w:t>El</w:t>
      </w:r>
      <w:r>
        <w:rPr>
          <w:rFonts w:ascii="Arial" w:hAnsi="Arial"/>
          <w:i/>
          <w:spacing w:val="-6"/>
          <w:sz w:val="22"/>
        </w:rPr>
        <w:t> </w:t>
      </w:r>
      <w:r>
        <w:rPr>
          <w:rFonts w:ascii="Arial" w:hAnsi="Arial"/>
          <w:i/>
          <w:sz w:val="22"/>
        </w:rPr>
        <w:t>costo</w:t>
      </w:r>
      <w:r>
        <w:rPr>
          <w:rFonts w:ascii="Arial" w:hAnsi="Arial"/>
          <w:i/>
          <w:spacing w:val="-3"/>
          <w:sz w:val="22"/>
        </w:rPr>
        <w:t> </w:t>
      </w:r>
      <w:r>
        <w:rPr>
          <w:rFonts w:ascii="Arial" w:hAnsi="Arial"/>
          <w:i/>
          <w:sz w:val="22"/>
        </w:rPr>
        <w:t>de</w:t>
      </w:r>
      <w:r>
        <w:rPr>
          <w:rFonts w:ascii="Arial" w:hAnsi="Arial"/>
          <w:i/>
          <w:spacing w:val="-3"/>
          <w:sz w:val="22"/>
        </w:rPr>
        <w:t> </w:t>
      </w:r>
      <w:r>
        <w:rPr>
          <w:rFonts w:ascii="Arial" w:hAnsi="Arial"/>
          <w:i/>
          <w:sz w:val="22"/>
        </w:rPr>
        <w:t>las</w:t>
      </w:r>
      <w:r>
        <w:rPr>
          <w:rFonts w:ascii="Arial" w:hAnsi="Arial"/>
          <w:i/>
          <w:spacing w:val="-7"/>
          <w:sz w:val="22"/>
        </w:rPr>
        <w:t> </w:t>
      </w:r>
      <w:r>
        <w:rPr>
          <w:rFonts w:ascii="Arial" w:hAnsi="Arial"/>
          <w:i/>
          <w:sz w:val="22"/>
        </w:rPr>
        <w:t>medidas</w:t>
      </w:r>
      <w:r>
        <w:rPr>
          <w:rFonts w:ascii="Arial" w:hAnsi="Arial"/>
          <w:i/>
          <w:spacing w:val="-2"/>
          <w:sz w:val="22"/>
        </w:rPr>
        <w:t> </w:t>
      </w:r>
      <w:r>
        <w:rPr>
          <w:rFonts w:ascii="Arial" w:hAnsi="Arial"/>
          <w:i/>
          <w:sz w:val="22"/>
        </w:rPr>
        <w:t>para</w:t>
      </w:r>
      <w:r>
        <w:rPr>
          <w:rFonts w:ascii="Arial" w:hAnsi="Arial"/>
          <w:i/>
          <w:spacing w:val="-3"/>
          <w:sz w:val="22"/>
        </w:rPr>
        <w:t> </w:t>
      </w:r>
      <w:r>
        <w:rPr>
          <w:rFonts w:ascii="Arial" w:hAnsi="Arial"/>
          <w:i/>
          <w:sz w:val="22"/>
        </w:rPr>
        <w:t>el</w:t>
      </w:r>
      <w:r>
        <w:rPr>
          <w:rFonts w:ascii="Arial" w:hAnsi="Arial"/>
          <w:i/>
          <w:spacing w:val="-8"/>
          <w:sz w:val="22"/>
        </w:rPr>
        <w:t> </w:t>
      </w:r>
      <w:r>
        <w:rPr>
          <w:rFonts w:ascii="Arial" w:hAnsi="Arial"/>
          <w:i/>
          <w:sz w:val="22"/>
        </w:rPr>
        <w:t>comercio</w:t>
      </w:r>
      <w:r>
        <w:rPr>
          <w:rFonts w:ascii="Arial" w:hAnsi="Arial"/>
          <w:i/>
          <w:spacing w:val="-5"/>
          <w:sz w:val="22"/>
        </w:rPr>
        <w:t> </w:t>
      </w:r>
      <w:r>
        <w:rPr>
          <w:rFonts w:ascii="Arial" w:hAnsi="Arial"/>
          <w:i/>
          <w:sz w:val="22"/>
        </w:rPr>
        <w:t>intracomunitario</w:t>
      </w:r>
      <w:r>
        <w:rPr>
          <w:rFonts w:ascii="Arial" w:hAnsi="Arial"/>
          <w:i/>
          <w:spacing w:val="-3"/>
          <w:sz w:val="22"/>
        </w:rPr>
        <w:t> </w:t>
      </w:r>
      <w:r>
        <w:rPr>
          <w:rFonts w:ascii="Arial" w:hAnsi="Arial"/>
          <w:i/>
          <w:sz w:val="22"/>
        </w:rPr>
        <w:t>y</w:t>
      </w:r>
      <w:r>
        <w:rPr>
          <w:rFonts w:ascii="Arial" w:hAnsi="Arial"/>
          <w:i/>
          <w:spacing w:val="-4"/>
          <w:sz w:val="22"/>
        </w:rPr>
        <w:t> </w:t>
      </w:r>
      <w:r>
        <w:rPr>
          <w:rFonts w:ascii="Arial" w:hAnsi="Arial"/>
          <w:i/>
          <w:sz w:val="22"/>
        </w:rPr>
        <w:t>para la economía ecuatoriana es enormemente superior a cualquier beneficio fitosanitario</w:t>
      </w:r>
      <w:r>
        <w:rPr>
          <w:rFonts w:ascii="Arial" w:hAnsi="Arial"/>
          <w:i/>
          <w:spacing w:val="-14"/>
          <w:sz w:val="22"/>
        </w:rPr>
        <w:t> </w:t>
      </w:r>
      <w:r>
        <w:rPr>
          <w:rFonts w:ascii="Arial" w:hAnsi="Arial"/>
          <w:i/>
          <w:sz w:val="22"/>
        </w:rPr>
        <w:t>o</w:t>
      </w:r>
      <w:r>
        <w:rPr>
          <w:rFonts w:ascii="Arial" w:hAnsi="Arial"/>
          <w:i/>
          <w:spacing w:val="-14"/>
          <w:sz w:val="22"/>
        </w:rPr>
        <w:t> </w:t>
      </w:r>
      <w:r>
        <w:rPr>
          <w:rFonts w:ascii="Arial" w:hAnsi="Arial"/>
          <w:i/>
          <w:sz w:val="22"/>
        </w:rPr>
        <w:t>de</w:t>
      </w:r>
      <w:r>
        <w:rPr>
          <w:rFonts w:ascii="Arial" w:hAnsi="Arial"/>
          <w:i/>
          <w:spacing w:val="-15"/>
          <w:sz w:val="22"/>
        </w:rPr>
        <w:t> </w:t>
      </w:r>
      <w:r>
        <w:rPr>
          <w:rFonts w:ascii="Arial" w:hAnsi="Arial"/>
          <w:i/>
          <w:sz w:val="22"/>
        </w:rPr>
        <w:t>control</w:t>
      </w:r>
      <w:r>
        <w:rPr>
          <w:rFonts w:ascii="Arial" w:hAnsi="Arial"/>
          <w:i/>
          <w:spacing w:val="-16"/>
          <w:sz w:val="22"/>
        </w:rPr>
        <w:t> </w:t>
      </w:r>
      <w:r>
        <w:rPr>
          <w:rFonts w:ascii="Arial" w:hAnsi="Arial"/>
          <w:i/>
          <w:sz w:val="22"/>
        </w:rPr>
        <w:t>aduanero</w:t>
      </w:r>
      <w:r>
        <w:rPr>
          <w:rFonts w:ascii="Arial" w:hAnsi="Arial"/>
          <w:i/>
          <w:spacing w:val="-11"/>
          <w:sz w:val="22"/>
        </w:rPr>
        <w:t> </w:t>
      </w:r>
      <w:r>
        <w:rPr>
          <w:rFonts w:ascii="Arial" w:hAnsi="Arial"/>
          <w:i/>
          <w:sz w:val="22"/>
        </w:rPr>
        <w:t>que</w:t>
      </w:r>
      <w:r>
        <w:rPr>
          <w:rFonts w:ascii="Arial" w:hAnsi="Arial"/>
          <w:i/>
          <w:spacing w:val="-12"/>
          <w:sz w:val="22"/>
        </w:rPr>
        <w:t> </w:t>
      </w:r>
      <w:r>
        <w:rPr>
          <w:rFonts w:ascii="Arial" w:hAnsi="Arial"/>
          <w:i/>
          <w:sz w:val="22"/>
        </w:rPr>
        <w:t>pudieran</w:t>
      </w:r>
      <w:r>
        <w:rPr>
          <w:rFonts w:ascii="Arial" w:hAnsi="Arial"/>
          <w:i/>
          <w:spacing w:val="-15"/>
          <w:sz w:val="22"/>
        </w:rPr>
        <w:t> </w:t>
      </w:r>
      <w:r>
        <w:rPr>
          <w:rFonts w:ascii="Arial" w:hAnsi="Arial"/>
          <w:i/>
          <w:sz w:val="22"/>
        </w:rPr>
        <w:t>reportar.</w:t>
      </w:r>
      <w:r>
        <w:rPr>
          <w:rFonts w:ascii="Arial" w:hAnsi="Arial"/>
          <w:i/>
          <w:spacing w:val="-13"/>
          <w:sz w:val="22"/>
        </w:rPr>
        <w:t> </w:t>
      </w:r>
      <w:r>
        <w:rPr>
          <w:rFonts w:ascii="Arial" w:hAnsi="Arial"/>
          <w:i/>
          <w:sz w:val="22"/>
        </w:rPr>
        <w:t>La</w:t>
      </w:r>
      <w:r>
        <w:rPr>
          <w:rFonts w:ascii="Arial" w:hAnsi="Arial"/>
          <w:i/>
          <w:spacing w:val="-15"/>
          <w:sz w:val="22"/>
        </w:rPr>
        <w:t> </w:t>
      </w:r>
      <w:r>
        <w:rPr>
          <w:rFonts w:ascii="Arial" w:hAnsi="Arial"/>
          <w:i/>
          <w:sz w:val="22"/>
        </w:rPr>
        <w:t>afectación</w:t>
      </w:r>
      <w:r>
        <w:rPr>
          <w:rFonts w:ascii="Arial" w:hAnsi="Arial"/>
          <w:i/>
          <w:spacing w:val="-15"/>
          <w:sz w:val="22"/>
        </w:rPr>
        <w:t> </w:t>
      </w:r>
      <w:r>
        <w:rPr>
          <w:rFonts w:ascii="Arial" w:hAnsi="Arial"/>
          <w:i/>
          <w:sz w:val="22"/>
        </w:rPr>
        <w:t>al</w:t>
      </w:r>
      <w:r>
        <w:rPr>
          <w:rFonts w:ascii="Arial" w:hAnsi="Arial"/>
          <w:i/>
          <w:spacing w:val="-16"/>
          <w:sz w:val="22"/>
        </w:rPr>
        <w:t> </w:t>
      </w:r>
      <w:r>
        <w:rPr>
          <w:rFonts w:ascii="Arial" w:hAnsi="Arial"/>
          <w:i/>
          <w:sz w:val="22"/>
        </w:rPr>
        <w:t>Programa de Liberación es grave y desproporcionada.</w:t>
      </w:r>
    </w:p>
    <w:p>
      <w:pPr>
        <w:pStyle w:val="ListParagraph"/>
        <w:numPr>
          <w:ilvl w:val="0"/>
          <w:numId w:val="90"/>
        </w:numPr>
        <w:tabs>
          <w:tab w:pos="1560" w:val="left" w:leader="none"/>
          <w:tab w:pos="1562" w:val="left" w:leader="none"/>
        </w:tabs>
        <w:spacing w:line="240" w:lineRule="auto" w:before="1" w:after="0"/>
        <w:ind w:left="1562" w:right="979" w:hanging="360"/>
        <w:jc w:val="both"/>
        <w:rPr>
          <w:sz w:val="22"/>
        </w:rPr>
      </w:pPr>
      <w:r>
        <w:rPr>
          <w:rFonts w:ascii="Arial" w:hAnsi="Arial"/>
          <w:i/>
          <w:sz w:val="22"/>
        </w:rPr>
        <w:t>No discriminación: Tal como se señaló de forma meridiana en párrafos anteriores, la</w:t>
      </w:r>
      <w:r>
        <w:rPr>
          <w:rFonts w:ascii="Arial" w:hAnsi="Arial"/>
          <w:i/>
          <w:spacing w:val="-5"/>
          <w:sz w:val="22"/>
        </w:rPr>
        <w:t> </w:t>
      </w:r>
      <w:r>
        <w:rPr>
          <w:rFonts w:ascii="Arial" w:hAnsi="Arial"/>
          <w:i/>
          <w:sz w:val="22"/>
        </w:rPr>
        <w:t>medida</w:t>
      </w:r>
      <w:r>
        <w:rPr>
          <w:rFonts w:ascii="Arial" w:hAnsi="Arial"/>
          <w:i/>
          <w:spacing w:val="-5"/>
          <w:sz w:val="22"/>
        </w:rPr>
        <w:t> </w:t>
      </w:r>
      <w:r>
        <w:rPr>
          <w:rFonts w:ascii="Arial" w:hAnsi="Arial"/>
          <w:i/>
          <w:sz w:val="22"/>
        </w:rPr>
        <w:t>colombiana</w:t>
      </w:r>
      <w:r>
        <w:rPr>
          <w:rFonts w:ascii="Arial" w:hAnsi="Arial"/>
          <w:i/>
          <w:spacing w:val="-5"/>
          <w:sz w:val="22"/>
        </w:rPr>
        <w:t> </w:t>
      </w:r>
      <w:r>
        <w:rPr>
          <w:rFonts w:ascii="Arial" w:hAnsi="Arial"/>
          <w:i/>
          <w:sz w:val="22"/>
        </w:rPr>
        <w:t>es</w:t>
      </w:r>
      <w:r>
        <w:rPr>
          <w:rFonts w:ascii="Arial" w:hAnsi="Arial"/>
          <w:i/>
          <w:spacing w:val="-7"/>
          <w:sz w:val="22"/>
        </w:rPr>
        <w:t> </w:t>
      </w:r>
      <w:r>
        <w:rPr>
          <w:rFonts w:ascii="Arial" w:hAnsi="Arial"/>
          <w:i/>
          <w:sz w:val="22"/>
        </w:rPr>
        <w:t>abiertamente</w:t>
      </w:r>
      <w:r>
        <w:rPr>
          <w:rFonts w:ascii="Arial" w:hAnsi="Arial"/>
          <w:i/>
          <w:spacing w:val="-7"/>
          <w:sz w:val="22"/>
        </w:rPr>
        <w:t> </w:t>
      </w:r>
      <w:r>
        <w:rPr>
          <w:rFonts w:ascii="Arial" w:hAnsi="Arial"/>
          <w:i/>
          <w:sz w:val="22"/>
        </w:rPr>
        <w:t>discriminatoria</w:t>
      </w:r>
      <w:r>
        <w:rPr>
          <w:rFonts w:ascii="Arial" w:hAnsi="Arial"/>
          <w:i/>
          <w:spacing w:val="-5"/>
          <w:sz w:val="22"/>
        </w:rPr>
        <w:t> </w:t>
      </w:r>
      <w:r>
        <w:rPr>
          <w:rFonts w:ascii="Arial" w:hAnsi="Arial"/>
          <w:i/>
          <w:sz w:val="22"/>
        </w:rPr>
        <w:t>por</w:t>
      </w:r>
      <w:r>
        <w:rPr>
          <w:rFonts w:ascii="Arial" w:hAnsi="Arial"/>
          <w:i/>
          <w:spacing w:val="-6"/>
          <w:sz w:val="22"/>
        </w:rPr>
        <w:t> </w:t>
      </w:r>
      <w:r>
        <w:rPr>
          <w:rFonts w:ascii="Arial" w:hAnsi="Arial"/>
          <w:i/>
          <w:sz w:val="22"/>
        </w:rPr>
        <w:t>origen,</w:t>
      </w:r>
      <w:r>
        <w:rPr>
          <w:rFonts w:ascii="Arial" w:hAnsi="Arial"/>
          <w:i/>
          <w:spacing w:val="-6"/>
          <w:sz w:val="22"/>
        </w:rPr>
        <w:t> </w:t>
      </w:r>
      <w:r>
        <w:rPr>
          <w:rFonts w:ascii="Arial" w:hAnsi="Arial"/>
          <w:i/>
          <w:sz w:val="22"/>
        </w:rPr>
        <w:t>lo</w:t>
      </w:r>
      <w:r>
        <w:rPr>
          <w:rFonts w:ascii="Arial" w:hAnsi="Arial"/>
          <w:i/>
          <w:spacing w:val="-5"/>
          <w:sz w:val="22"/>
        </w:rPr>
        <w:t> </w:t>
      </w:r>
      <w:r>
        <w:rPr>
          <w:rFonts w:ascii="Arial" w:hAnsi="Arial"/>
          <w:i/>
          <w:sz w:val="22"/>
        </w:rPr>
        <w:t>que</w:t>
      </w:r>
      <w:r>
        <w:rPr>
          <w:rFonts w:ascii="Arial" w:hAnsi="Arial"/>
          <w:i/>
          <w:spacing w:val="-7"/>
          <w:sz w:val="22"/>
        </w:rPr>
        <w:t> </w:t>
      </w:r>
      <w:r>
        <w:rPr>
          <w:rFonts w:ascii="Arial" w:hAnsi="Arial"/>
          <w:i/>
          <w:sz w:val="22"/>
        </w:rPr>
        <w:t>por</w:t>
      </w:r>
      <w:r>
        <w:rPr>
          <w:rFonts w:ascii="Arial" w:hAnsi="Arial"/>
          <w:i/>
          <w:spacing w:val="-4"/>
          <w:sz w:val="22"/>
        </w:rPr>
        <w:t> </w:t>
      </w:r>
      <w:r>
        <w:rPr>
          <w:rFonts w:ascii="Arial" w:hAnsi="Arial"/>
          <w:i/>
          <w:sz w:val="22"/>
        </w:rPr>
        <w:t>sí</w:t>
      </w:r>
      <w:r>
        <w:rPr>
          <w:rFonts w:ascii="Arial" w:hAnsi="Arial"/>
          <w:i/>
          <w:spacing w:val="-4"/>
          <w:sz w:val="22"/>
        </w:rPr>
        <w:t> </w:t>
      </w:r>
      <w:r>
        <w:rPr>
          <w:rFonts w:ascii="Arial" w:hAnsi="Arial"/>
          <w:i/>
          <w:sz w:val="22"/>
        </w:rPr>
        <w:t>solo impide su justificación bajo las excepciones del artículo 73 del Acuerdo de </w:t>
      </w:r>
      <w:r>
        <w:rPr>
          <w:rFonts w:ascii="Arial" w:hAnsi="Arial"/>
          <w:i/>
          <w:spacing w:val="-2"/>
          <w:sz w:val="22"/>
        </w:rPr>
        <w:t>Cartagena.</w:t>
      </w:r>
      <w:r>
        <w:rPr>
          <w:spacing w:val="-2"/>
          <w:sz w:val="22"/>
        </w:rPr>
        <w:t>”</w:t>
      </w:r>
      <w:hyperlink w:history="true" w:anchor="_bookmark138">
        <w:r>
          <w:rPr>
            <w:spacing w:val="-2"/>
            <w:sz w:val="22"/>
            <w:vertAlign w:val="superscript"/>
          </w:rPr>
          <w:t>71</w:t>
        </w:r>
      </w:hyperlink>
      <w:r>
        <w:rPr>
          <w:spacing w:val="-2"/>
          <w:sz w:val="22"/>
          <w:vertAlign w:val="baseline"/>
        </w:rPr>
        <w:t>.</w:t>
      </w:r>
    </w:p>
    <w:p>
      <w:pPr>
        <w:pStyle w:val="BodyText"/>
        <w:spacing w:before="2"/>
      </w:pPr>
    </w:p>
    <w:p>
      <w:pPr>
        <w:pStyle w:val="Heading6"/>
        <w:numPr>
          <w:ilvl w:val="0"/>
          <w:numId w:val="91"/>
        </w:numPr>
        <w:tabs>
          <w:tab w:pos="1134" w:val="left" w:leader="none"/>
        </w:tabs>
        <w:spacing w:line="240" w:lineRule="auto" w:before="0" w:after="0"/>
        <w:ind w:left="1134" w:right="0" w:hanging="566"/>
        <w:jc w:val="left"/>
      </w:pPr>
      <w:r>
        <w:rPr/>
        <w:t>Argumentos</w:t>
      </w:r>
      <w:r>
        <w:rPr>
          <w:spacing w:val="-6"/>
        </w:rPr>
        <w:t> </w:t>
      </w:r>
      <w:r>
        <w:rPr/>
        <w:t>de</w:t>
      </w:r>
      <w:r>
        <w:rPr>
          <w:spacing w:val="-5"/>
        </w:rPr>
        <w:t> </w:t>
      </w:r>
      <w:r>
        <w:rPr/>
        <w:t>la</w:t>
      </w:r>
      <w:r>
        <w:rPr>
          <w:spacing w:val="-4"/>
        </w:rPr>
        <w:t> </w:t>
      </w:r>
      <w:r>
        <w:rPr/>
        <w:t>República</w:t>
      </w:r>
      <w:r>
        <w:rPr>
          <w:spacing w:val="-5"/>
        </w:rPr>
        <w:t> </w:t>
      </w:r>
      <w:r>
        <w:rPr/>
        <w:t>de</w:t>
      </w:r>
      <w:r>
        <w:rPr>
          <w:spacing w:val="-3"/>
        </w:rPr>
        <w:t> </w:t>
      </w:r>
      <w:r>
        <w:rPr>
          <w:spacing w:val="-2"/>
        </w:rPr>
        <w:t>Colombia</w:t>
      </w:r>
    </w:p>
    <w:p>
      <w:pPr>
        <w:pStyle w:val="ListParagraph"/>
        <w:numPr>
          <w:ilvl w:val="0"/>
          <w:numId w:val="50"/>
        </w:numPr>
        <w:tabs>
          <w:tab w:pos="1130" w:val="left" w:leader="none"/>
          <w:tab w:pos="1134" w:val="left" w:leader="none"/>
        </w:tabs>
        <w:spacing w:line="240" w:lineRule="auto" w:before="249" w:after="0"/>
        <w:ind w:left="1134" w:right="977" w:hanging="567"/>
        <w:jc w:val="both"/>
        <w:rPr>
          <w:sz w:val="22"/>
        </w:rPr>
      </w:pPr>
      <w:r>
        <w:rPr>
          <w:sz w:val="22"/>
        </w:rPr>
        <w:t>La República de Colombia manifiesta en su escrito, que las medidas adoptadas en el artículo 2 del Decreto 0170, no constituirían una prohibición, sino un mecanismo canalización del ingreso de productos hacia aquellos puntos en los que el Estado colombiano</w:t>
      </w:r>
      <w:r>
        <w:rPr>
          <w:spacing w:val="-1"/>
          <w:sz w:val="22"/>
        </w:rPr>
        <w:t> </w:t>
      </w:r>
      <w:r>
        <w:rPr>
          <w:sz w:val="22"/>
        </w:rPr>
        <w:t>cuenta</w:t>
      </w:r>
      <w:r>
        <w:rPr>
          <w:spacing w:val="-1"/>
          <w:sz w:val="22"/>
        </w:rPr>
        <w:t> </w:t>
      </w:r>
      <w:r>
        <w:rPr>
          <w:sz w:val="22"/>
        </w:rPr>
        <w:t>con</w:t>
      </w:r>
      <w:r>
        <w:rPr>
          <w:spacing w:val="-3"/>
          <w:sz w:val="22"/>
        </w:rPr>
        <w:t> </w:t>
      </w:r>
      <w:r>
        <w:rPr>
          <w:sz w:val="22"/>
        </w:rPr>
        <w:t>capacidad</w:t>
      </w:r>
      <w:r>
        <w:rPr>
          <w:spacing w:val="-1"/>
          <w:sz w:val="22"/>
        </w:rPr>
        <w:t> </w:t>
      </w:r>
      <w:r>
        <w:rPr>
          <w:sz w:val="22"/>
        </w:rPr>
        <w:t>operativa</w:t>
      </w:r>
      <w:r>
        <w:rPr>
          <w:spacing w:val="-1"/>
          <w:sz w:val="22"/>
        </w:rPr>
        <w:t> </w:t>
      </w:r>
      <w:r>
        <w:rPr>
          <w:sz w:val="22"/>
        </w:rPr>
        <w:t>efectiva</w:t>
      </w:r>
      <w:r>
        <w:rPr>
          <w:spacing w:val="-1"/>
          <w:sz w:val="22"/>
        </w:rPr>
        <w:t> </w:t>
      </w:r>
      <w:r>
        <w:rPr>
          <w:sz w:val="22"/>
        </w:rPr>
        <w:t>para</w:t>
      </w:r>
      <w:r>
        <w:rPr>
          <w:spacing w:val="-1"/>
          <w:sz w:val="22"/>
        </w:rPr>
        <w:t> </w:t>
      </w:r>
      <w:r>
        <w:rPr>
          <w:sz w:val="22"/>
        </w:rPr>
        <w:t>ejercer inspección, vigilancia y</w:t>
      </w:r>
      <w:r>
        <w:rPr>
          <w:spacing w:val="-7"/>
          <w:sz w:val="22"/>
        </w:rPr>
        <w:t> </w:t>
      </w:r>
      <w:r>
        <w:rPr>
          <w:sz w:val="22"/>
        </w:rPr>
        <w:t>control,</w:t>
      </w:r>
      <w:r>
        <w:rPr>
          <w:spacing w:val="-10"/>
          <w:sz w:val="22"/>
        </w:rPr>
        <w:t> </w:t>
      </w:r>
      <w:r>
        <w:rPr>
          <w:sz w:val="22"/>
        </w:rPr>
        <w:t>manteniéndose</w:t>
      </w:r>
      <w:r>
        <w:rPr>
          <w:spacing w:val="-10"/>
          <w:sz w:val="22"/>
        </w:rPr>
        <w:t> </w:t>
      </w:r>
      <w:r>
        <w:rPr>
          <w:sz w:val="22"/>
        </w:rPr>
        <w:t>habilitada</w:t>
      </w:r>
      <w:r>
        <w:rPr>
          <w:spacing w:val="-7"/>
          <w:sz w:val="22"/>
        </w:rPr>
        <w:t> </w:t>
      </w:r>
      <w:r>
        <w:rPr>
          <w:sz w:val="22"/>
        </w:rPr>
        <w:t>la</w:t>
      </w:r>
      <w:r>
        <w:rPr>
          <w:spacing w:val="-10"/>
          <w:sz w:val="22"/>
        </w:rPr>
        <w:t> </w:t>
      </w:r>
      <w:r>
        <w:rPr>
          <w:sz w:val="22"/>
        </w:rPr>
        <w:t>vía</w:t>
      </w:r>
      <w:r>
        <w:rPr>
          <w:spacing w:val="-11"/>
          <w:sz w:val="22"/>
        </w:rPr>
        <w:t> </w:t>
      </w:r>
      <w:r>
        <w:rPr>
          <w:sz w:val="22"/>
        </w:rPr>
        <w:t>marítima</w:t>
      </w:r>
      <w:r>
        <w:rPr>
          <w:spacing w:val="-7"/>
          <w:sz w:val="22"/>
        </w:rPr>
        <w:t> </w:t>
      </w:r>
      <w:r>
        <w:rPr>
          <w:sz w:val="22"/>
        </w:rPr>
        <w:t>para</w:t>
      </w:r>
      <w:r>
        <w:rPr>
          <w:spacing w:val="-10"/>
          <w:sz w:val="22"/>
        </w:rPr>
        <w:t> </w:t>
      </w:r>
      <w:r>
        <w:rPr>
          <w:sz w:val="22"/>
        </w:rPr>
        <w:t>las</w:t>
      </w:r>
      <w:r>
        <w:rPr>
          <w:spacing w:val="-10"/>
          <w:sz w:val="22"/>
        </w:rPr>
        <w:t> </w:t>
      </w:r>
      <w:r>
        <w:rPr>
          <w:sz w:val="22"/>
        </w:rPr>
        <w:t>importaciones</w:t>
      </w:r>
      <w:r>
        <w:rPr>
          <w:spacing w:val="-11"/>
          <w:sz w:val="22"/>
        </w:rPr>
        <w:t> </w:t>
      </w:r>
      <w:r>
        <w:rPr>
          <w:sz w:val="22"/>
        </w:rPr>
        <w:t>provenientes de la República del Ecuador.</w:t>
      </w:r>
    </w:p>
    <w:p>
      <w:pPr>
        <w:pStyle w:val="BodyText"/>
        <w:spacing w:before="1"/>
      </w:pPr>
    </w:p>
    <w:p>
      <w:pPr>
        <w:pStyle w:val="ListParagraph"/>
        <w:numPr>
          <w:ilvl w:val="0"/>
          <w:numId w:val="50"/>
        </w:numPr>
        <w:tabs>
          <w:tab w:pos="1134" w:val="left" w:leader="none"/>
          <w:tab w:pos="1192" w:val="left" w:leader="none"/>
        </w:tabs>
        <w:spacing w:line="240" w:lineRule="auto" w:before="0" w:after="0"/>
        <w:ind w:left="1134" w:right="982" w:hanging="567"/>
        <w:jc w:val="both"/>
        <w:rPr>
          <w:rFonts w:ascii="Arial" w:hAnsi="Arial"/>
          <w:i/>
          <w:sz w:val="22"/>
        </w:rPr>
      </w:pPr>
      <w:r>
        <w:rPr>
          <w:sz w:val="22"/>
        </w:rPr>
        <w:t>Se</w:t>
      </w:r>
      <w:r>
        <w:rPr>
          <w:spacing w:val="40"/>
          <w:sz w:val="22"/>
        </w:rPr>
        <w:t> </w:t>
      </w:r>
      <w:r>
        <w:rPr>
          <w:sz w:val="22"/>
        </w:rPr>
        <w:t>argumenta, que “</w:t>
      </w:r>
      <w:r>
        <w:rPr>
          <w:rFonts w:ascii="Arial" w:hAnsi="Arial"/>
          <w:i/>
          <w:sz w:val="22"/>
        </w:rPr>
        <w:t>el objeto material de protección es la sanidad agropecuaria, la inocuidad alimentaria y, por vía de estas, la vida y salud de las personas, los animales y los vegetales, en el sentido del literal d) del artículo 73 del Acuerdo de Cartagena, desarrollado para el ámbito agropecuario por la Decisión 515 (Sistema Andino de Sanidad Agropecuaria) y por los estándares internacionales de la Convención Internacional de Protección Fitosanitaria (CIPF), la Organización Mundial de Sanidad Animal (OMSA) y el Codex Alimentarius”.</w:t>
      </w:r>
    </w:p>
    <w:p>
      <w:pPr>
        <w:pStyle w:val="ListParagraph"/>
        <w:numPr>
          <w:ilvl w:val="0"/>
          <w:numId w:val="50"/>
        </w:numPr>
        <w:tabs>
          <w:tab w:pos="1130" w:val="left" w:leader="none"/>
          <w:tab w:pos="1134" w:val="left" w:leader="none"/>
        </w:tabs>
        <w:spacing w:line="240" w:lineRule="auto" w:before="252" w:after="0"/>
        <w:ind w:left="1134" w:right="979" w:hanging="567"/>
        <w:jc w:val="both"/>
        <w:rPr>
          <w:sz w:val="22"/>
        </w:rPr>
      </w:pPr>
      <w:r>
        <w:rPr>
          <w:sz w:val="22"/>
        </w:rPr>
        <w:t>Al</w:t>
      </w:r>
      <w:r>
        <w:rPr>
          <w:spacing w:val="-12"/>
          <w:sz w:val="22"/>
        </w:rPr>
        <w:t> </w:t>
      </w:r>
      <w:r>
        <w:rPr>
          <w:sz w:val="22"/>
        </w:rPr>
        <w:t>respecto,</w:t>
      </w:r>
      <w:r>
        <w:rPr>
          <w:spacing w:val="-10"/>
          <w:sz w:val="22"/>
        </w:rPr>
        <w:t> </w:t>
      </w:r>
      <w:r>
        <w:rPr>
          <w:sz w:val="22"/>
        </w:rPr>
        <w:t>se</w:t>
      </w:r>
      <w:r>
        <w:rPr>
          <w:spacing w:val="-14"/>
          <w:sz w:val="22"/>
        </w:rPr>
        <w:t> </w:t>
      </w:r>
      <w:r>
        <w:rPr>
          <w:sz w:val="22"/>
        </w:rPr>
        <w:t>presenta</w:t>
      </w:r>
      <w:r>
        <w:rPr>
          <w:spacing w:val="-12"/>
          <w:sz w:val="22"/>
        </w:rPr>
        <w:t> </w:t>
      </w:r>
      <w:r>
        <w:rPr>
          <w:sz w:val="22"/>
        </w:rPr>
        <w:t>un</w:t>
      </w:r>
      <w:r>
        <w:rPr>
          <w:spacing w:val="-12"/>
          <w:sz w:val="22"/>
        </w:rPr>
        <w:t> </w:t>
      </w:r>
      <w:r>
        <w:rPr>
          <w:sz w:val="22"/>
        </w:rPr>
        <w:t>análisis</w:t>
      </w:r>
      <w:r>
        <w:rPr>
          <w:spacing w:val="-11"/>
          <w:sz w:val="22"/>
        </w:rPr>
        <w:t> </w:t>
      </w:r>
      <w:r>
        <w:rPr>
          <w:sz w:val="22"/>
        </w:rPr>
        <w:t>con</w:t>
      </w:r>
      <w:r>
        <w:rPr>
          <w:spacing w:val="-11"/>
          <w:sz w:val="22"/>
        </w:rPr>
        <w:t> </w:t>
      </w:r>
      <w:r>
        <w:rPr>
          <w:sz w:val="22"/>
        </w:rPr>
        <w:t>base</w:t>
      </w:r>
      <w:r>
        <w:rPr>
          <w:spacing w:val="-11"/>
          <w:sz w:val="22"/>
        </w:rPr>
        <w:t> </w:t>
      </w:r>
      <w:r>
        <w:rPr>
          <w:sz w:val="22"/>
        </w:rPr>
        <w:t>en</w:t>
      </w:r>
      <w:r>
        <w:rPr>
          <w:spacing w:val="-12"/>
          <w:sz w:val="22"/>
        </w:rPr>
        <w:t> </w:t>
      </w:r>
      <w:r>
        <w:rPr>
          <w:sz w:val="22"/>
        </w:rPr>
        <w:t>los</w:t>
      </w:r>
      <w:r>
        <w:rPr>
          <w:spacing w:val="-11"/>
          <w:sz w:val="22"/>
        </w:rPr>
        <w:t> </w:t>
      </w:r>
      <w:r>
        <w:rPr>
          <w:sz w:val="22"/>
        </w:rPr>
        <w:t>criterios</w:t>
      </w:r>
      <w:r>
        <w:rPr>
          <w:spacing w:val="-11"/>
          <w:sz w:val="22"/>
        </w:rPr>
        <w:t> </w:t>
      </w:r>
      <w:r>
        <w:rPr>
          <w:sz w:val="22"/>
        </w:rPr>
        <w:t>establecidos</w:t>
      </w:r>
      <w:r>
        <w:rPr>
          <w:spacing w:val="-12"/>
          <w:sz w:val="22"/>
        </w:rPr>
        <w:t> </w:t>
      </w:r>
      <w:r>
        <w:rPr>
          <w:sz w:val="22"/>
        </w:rPr>
        <w:t>por</w:t>
      </w:r>
      <w:r>
        <w:rPr>
          <w:spacing w:val="-10"/>
          <w:sz w:val="22"/>
        </w:rPr>
        <w:t> </w:t>
      </w:r>
      <w:r>
        <w:rPr>
          <w:sz w:val="22"/>
        </w:rPr>
        <w:t>el</w:t>
      </w:r>
      <w:r>
        <w:rPr>
          <w:spacing w:val="-12"/>
          <w:sz w:val="22"/>
        </w:rPr>
        <w:t> </w:t>
      </w:r>
      <w:r>
        <w:rPr>
          <w:sz w:val="22"/>
        </w:rPr>
        <w:t>TJCAN, relativos a idoneidad, necesidad, proporcionalidad y no discriminación, los cuales se resumen a continuación.</w:t>
      </w:r>
    </w:p>
    <w:p>
      <w:pPr>
        <w:pStyle w:val="BodyText"/>
        <w:spacing w:before="1"/>
      </w:pPr>
    </w:p>
    <w:p>
      <w:pPr>
        <w:pStyle w:val="ListParagraph"/>
        <w:numPr>
          <w:ilvl w:val="0"/>
          <w:numId w:val="92"/>
        </w:numPr>
        <w:tabs>
          <w:tab w:pos="1843" w:val="left" w:leader="none"/>
          <w:tab w:pos="1845" w:val="left" w:leader="none"/>
        </w:tabs>
        <w:spacing w:line="240" w:lineRule="auto" w:before="0" w:after="0"/>
        <w:ind w:left="1845" w:right="976" w:hanging="284"/>
        <w:jc w:val="both"/>
        <w:rPr>
          <w:rFonts w:ascii="Arial" w:hAnsi="Arial"/>
          <w:i/>
          <w:sz w:val="22"/>
        </w:rPr>
      </w:pPr>
      <w:r>
        <w:rPr>
          <w:sz w:val="22"/>
        </w:rPr>
        <w:t>Idoneidad: se indica que las jurisdicciones aduaneras de Ipiales y Puerto Asís presentarían condiciones operativas diferenciadas respecto de los puertos marítimos</w:t>
      </w:r>
      <w:r>
        <w:rPr>
          <w:spacing w:val="-2"/>
          <w:sz w:val="22"/>
        </w:rPr>
        <w:t> </w:t>
      </w:r>
      <w:r>
        <w:rPr>
          <w:sz w:val="22"/>
        </w:rPr>
        <w:t>y</w:t>
      </w:r>
      <w:r>
        <w:rPr>
          <w:spacing w:val="-2"/>
          <w:sz w:val="22"/>
        </w:rPr>
        <w:t> </w:t>
      </w:r>
      <w:r>
        <w:rPr>
          <w:sz w:val="22"/>
        </w:rPr>
        <w:t>aeropuertos</w:t>
      </w:r>
      <w:r>
        <w:rPr>
          <w:spacing w:val="-5"/>
          <w:sz w:val="22"/>
        </w:rPr>
        <w:t> </w:t>
      </w:r>
      <w:r>
        <w:rPr>
          <w:sz w:val="22"/>
        </w:rPr>
        <w:t>internacionales</w:t>
      </w:r>
      <w:r>
        <w:rPr>
          <w:spacing w:val="-3"/>
          <w:sz w:val="22"/>
        </w:rPr>
        <w:t> </w:t>
      </w:r>
      <w:r>
        <w:rPr>
          <w:sz w:val="22"/>
        </w:rPr>
        <w:t>del</w:t>
      </w:r>
      <w:r>
        <w:rPr>
          <w:spacing w:val="-3"/>
          <w:sz w:val="22"/>
        </w:rPr>
        <w:t> </w:t>
      </w:r>
      <w:r>
        <w:rPr>
          <w:sz w:val="22"/>
        </w:rPr>
        <w:t>país,</w:t>
      </w:r>
      <w:r>
        <w:rPr>
          <w:spacing w:val="-4"/>
          <w:sz w:val="22"/>
        </w:rPr>
        <w:t> </w:t>
      </w:r>
      <w:r>
        <w:rPr>
          <w:sz w:val="22"/>
        </w:rPr>
        <w:t>debido,</w:t>
      </w:r>
      <w:r>
        <w:rPr>
          <w:spacing w:val="-1"/>
          <w:sz w:val="22"/>
        </w:rPr>
        <w:t> </w:t>
      </w:r>
      <w:r>
        <w:rPr>
          <w:sz w:val="22"/>
        </w:rPr>
        <w:t>entre</w:t>
      </w:r>
      <w:r>
        <w:rPr>
          <w:spacing w:val="-3"/>
          <w:sz w:val="22"/>
        </w:rPr>
        <w:t> </w:t>
      </w:r>
      <w:r>
        <w:rPr>
          <w:sz w:val="22"/>
        </w:rPr>
        <w:t>otros</w:t>
      </w:r>
      <w:r>
        <w:rPr>
          <w:spacing w:val="-5"/>
          <w:sz w:val="22"/>
        </w:rPr>
        <w:t> </w:t>
      </w:r>
      <w:r>
        <w:rPr>
          <w:sz w:val="22"/>
        </w:rPr>
        <w:t>factores,</w:t>
      </w:r>
      <w:r>
        <w:rPr>
          <w:spacing w:val="-2"/>
          <w:sz w:val="22"/>
        </w:rPr>
        <w:t> </w:t>
      </w:r>
      <w:r>
        <w:rPr>
          <w:sz w:val="22"/>
        </w:rPr>
        <w:t>a la existencia de un elevado número de pasos no habilitados. En tal sentido, la canalización del comercio hacia pasos habilitados de ingreso dotados de infraestructura consolidada para la inspección sanitaria y</w:t>
      </w:r>
      <w:r>
        <w:rPr>
          <w:spacing w:val="40"/>
          <w:sz w:val="22"/>
        </w:rPr>
        <w:t> </w:t>
      </w:r>
      <w:r>
        <w:rPr>
          <w:sz w:val="22"/>
        </w:rPr>
        <w:t>fitosanitaria, verificación documental y cadena de frío, permitiría</w:t>
      </w:r>
      <w:r>
        <w:rPr>
          <w:spacing w:val="40"/>
          <w:sz w:val="22"/>
        </w:rPr>
        <w:t> </w:t>
      </w:r>
      <w:r>
        <w:rPr>
          <w:sz w:val="22"/>
        </w:rPr>
        <w:t>de manera verificable: </w:t>
      </w:r>
      <w:r>
        <w:rPr>
          <w:rFonts w:ascii="Arial" w:hAnsi="Arial"/>
          <w:i/>
          <w:sz w:val="22"/>
        </w:rPr>
        <w:t>“(i) garantizar la inspección física y documental de las mercancías; (ii) verificar su origen y condiciones de</w:t>
      </w:r>
      <w:r>
        <w:rPr>
          <w:rFonts w:ascii="Arial" w:hAnsi="Arial"/>
          <w:i/>
          <w:spacing w:val="-1"/>
          <w:sz w:val="22"/>
        </w:rPr>
        <w:t> </w:t>
      </w:r>
      <w:r>
        <w:rPr>
          <w:rFonts w:ascii="Arial" w:hAnsi="Arial"/>
          <w:i/>
          <w:sz w:val="22"/>
        </w:rPr>
        <w:t>producción, transporte y almacenamiento; (iii) asegurar la trazabilidad completa de los productos; y (iv) reducir sustancialmente la probabilidad</w:t>
      </w:r>
      <w:r>
        <w:rPr>
          <w:rFonts w:ascii="Arial" w:hAnsi="Arial"/>
          <w:i/>
          <w:spacing w:val="-10"/>
          <w:sz w:val="22"/>
        </w:rPr>
        <w:t> </w:t>
      </w:r>
      <w:r>
        <w:rPr>
          <w:rFonts w:ascii="Arial" w:hAnsi="Arial"/>
          <w:i/>
          <w:sz w:val="22"/>
        </w:rPr>
        <w:t>de</w:t>
      </w:r>
      <w:r>
        <w:rPr>
          <w:rFonts w:ascii="Arial" w:hAnsi="Arial"/>
          <w:i/>
          <w:spacing w:val="-11"/>
          <w:sz w:val="22"/>
        </w:rPr>
        <w:t> </w:t>
      </w:r>
      <w:r>
        <w:rPr>
          <w:rFonts w:ascii="Arial" w:hAnsi="Arial"/>
          <w:i/>
          <w:sz w:val="22"/>
        </w:rPr>
        <w:t>ingreso</w:t>
      </w:r>
      <w:r>
        <w:rPr>
          <w:rFonts w:ascii="Arial" w:hAnsi="Arial"/>
          <w:i/>
          <w:spacing w:val="-14"/>
          <w:sz w:val="22"/>
        </w:rPr>
        <w:t> </w:t>
      </w:r>
      <w:r>
        <w:rPr>
          <w:rFonts w:ascii="Arial" w:hAnsi="Arial"/>
          <w:i/>
          <w:sz w:val="22"/>
        </w:rPr>
        <w:t>de</w:t>
      </w:r>
      <w:r>
        <w:rPr>
          <w:rFonts w:ascii="Arial" w:hAnsi="Arial"/>
          <w:i/>
          <w:spacing w:val="-11"/>
          <w:sz w:val="22"/>
        </w:rPr>
        <w:t> </w:t>
      </w:r>
      <w:r>
        <w:rPr>
          <w:rFonts w:ascii="Arial" w:hAnsi="Arial"/>
          <w:i/>
          <w:sz w:val="22"/>
        </w:rPr>
        <w:t>mercancías</w:t>
      </w:r>
      <w:r>
        <w:rPr>
          <w:rFonts w:ascii="Arial" w:hAnsi="Arial"/>
          <w:i/>
          <w:spacing w:val="-13"/>
          <w:sz w:val="22"/>
        </w:rPr>
        <w:t> </w:t>
      </w:r>
      <w:r>
        <w:rPr>
          <w:rFonts w:ascii="Arial" w:hAnsi="Arial"/>
          <w:i/>
          <w:sz w:val="22"/>
        </w:rPr>
        <w:t>sin</w:t>
      </w:r>
      <w:r>
        <w:rPr>
          <w:rFonts w:ascii="Arial" w:hAnsi="Arial"/>
          <w:i/>
          <w:spacing w:val="-11"/>
          <w:sz w:val="22"/>
        </w:rPr>
        <w:t> </w:t>
      </w:r>
      <w:r>
        <w:rPr>
          <w:rFonts w:ascii="Arial" w:hAnsi="Arial"/>
          <w:i/>
          <w:sz w:val="22"/>
        </w:rPr>
        <w:t>cumplimiento</w:t>
      </w:r>
      <w:r>
        <w:rPr>
          <w:rFonts w:ascii="Arial" w:hAnsi="Arial"/>
          <w:i/>
          <w:spacing w:val="-11"/>
          <w:sz w:val="22"/>
        </w:rPr>
        <w:t> </w:t>
      </w:r>
      <w:r>
        <w:rPr>
          <w:rFonts w:ascii="Arial" w:hAnsi="Arial"/>
          <w:i/>
          <w:sz w:val="22"/>
        </w:rPr>
        <w:t>de</w:t>
      </w:r>
      <w:r>
        <w:rPr>
          <w:rFonts w:ascii="Arial" w:hAnsi="Arial"/>
          <w:i/>
          <w:spacing w:val="-13"/>
          <w:sz w:val="22"/>
        </w:rPr>
        <w:t> </w:t>
      </w:r>
      <w:r>
        <w:rPr>
          <w:rFonts w:ascii="Arial" w:hAnsi="Arial"/>
          <w:i/>
          <w:sz w:val="22"/>
        </w:rPr>
        <w:t>requisitos</w:t>
      </w:r>
      <w:r>
        <w:rPr>
          <w:rFonts w:ascii="Arial" w:hAnsi="Arial"/>
          <w:i/>
          <w:spacing w:val="-13"/>
          <w:sz w:val="22"/>
        </w:rPr>
        <w:t> </w:t>
      </w:r>
      <w:r>
        <w:rPr>
          <w:rFonts w:ascii="Arial" w:hAnsi="Arial"/>
          <w:i/>
          <w:sz w:val="22"/>
        </w:rPr>
        <w:t>sanitarios. La</w:t>
      </w:r>
      <w:r>
        <w:rPr>
          <w:rFonts w:ascii="Arial" w:hAnsi="Arial"/>
          <w:i/>
          <w:spacing w:val="-10"/>
          <w:sz w:val="22"/>
        </w:rPr>
        <w:t> </w:t>
      </w:r>
      <w:r>
        <w:rPr>
          <w:rFonts w:ascii="Arial" w:hAnsi="Arial"/>
          <w:i/>
          <w:sz w:val="22"/>
        </w:rPr>
        <w:t>relación</w:t>
      </w:r>
      <w:r>
        <w:rPr>
          <w:rFonts w:ascii="Arial" w:hAnsi="Arial"/>
          <w:i/>
          <w:spacing w:val="-13"/>
          <w:sz w:val="22"/>
        </w:rPr>
        <w:t> </w:t>
      </w:r>
      <w:r>
        <w:rPr>
          <w:rFonts w:ascii="Arial" w:hAnsi="Arial"/>
          <w:i/>
          <w:sz w:val="22"/>
        </w:rPr>
        <w:t>funcional</w:t>
      </w:r>
      <w:r>
        <w:rPr>
          <w:rFonts w:ascii="Arial" w:hAnsi="Arial"/>
          <w:i/>
          <w:spacing w:val="-11"/>
          <w:sz w:val="22"/>
        </w:rPr>
        <w:t> </w:t>
      </w:r>
      <w:r>
        <w:rPr>
          <w:rFonts w:ascii="Arial" w:hAnsi="Arial"/>
          <w:i/>
          <w:sz w:val="22"/>
        </w:rPr>
        <w:t>directa</w:t>
      </w:r>
      <w:r>
        <w:rPr>
          <w:rFonts w:ascii="Arial" w:hAnsi="Arial"/>
          <w:i/>
          <w:spacing w:val="-10"/>
          <w:sz w:val="22"/>
        </w:rPr>
        <w:t> </w:t>
      </w:r>
      <w:r>
        <w:rPr>
          <w:rFonts w:ascii="Arial" w:hAnsi="Arial"/>
          <w:i/>
          <w:sz w:val="22"/>
        </w:rPr>
        <w:t>entre</w:t>
      </w:r>
      <w:r>
        <w:rPr>
          <w:rFonts w:ascii="Arial" w:hAnsi="Arial"/>
          <w:i/>
          <w:spacing w:val="-12"/>
          <w:sz w:val="22"/>
        </w:rPr>
        <w:t> </w:t>
      </w:r>
      <w:r>
        <w:rPr>
          <w:rFonts w:ascii="Arial" w:hAnsi="Arial"/>
          <w:i/>
          <w:sz w:val="22"/>
        </w:rPr>
        <w:t>la</w:t>
      </w:r>
      <w:r>
        <w:rPr>
          <w:rFonts w:ascii="Arial" w:hAnsi="Arial"/>
          <w:i/>
          <w:spacing w:val="-12"/>
          <w:sz w:val="22"/>
        </w:rPr>
        <w:t> </w:t>
      </w:r>
      <w:r>
        <w:rPr>
          <w:rFonts w:ascii="Arial" w:hAnsi="Arial"/>
          <w:i/>
          <w:sz w:val="22"/>
        </w:rPr>
        <w:t>medida</w:t>
      </w:r>
      <w:r>
        <w:rPr>
          <w:rFonts w:ascii="Arial" w:hAnsi="Arial"/>
          <w:i/>
          <w:spacing w:val="-13"/>
          <w:sz w:val="22"/>
        </w:rPr>
        <w:t> </w:t>
      </w:r>
      <w:r>
        <w:rPr>
          <w:rFonts w:ascii="Arial" w:hAnsi="Arial"/>
          <w:i/>
          <w:sz w:val="22"/>
        </w:rPr>
        <w:t>y</w:t>
      </w:r>
      <w:r>
        <w:rPr>
          <w:rFonts w:ascii="Arial" w:hAnsi="Arial"/>
          <w:i/>
          <w:spacing w:val="-12"/>
          <w:sz w:val="22"/>
        </w:rPr>
        <w:t> </w:t>
      </w:r>
      <w:r>
        <w:rPr>
          <w:rFonts w:ascii="Arial" w:hAnsi="Arial"/>
          <w:i/>
          <w:sz w:val="22"/>
        </w:rPr>
        <w:t>la</w:t>
      </w:r>
      <w:r>
        <w:rPr>
          <w:rFonts w:ascii="Arial" w:hAnsi="Arial"/>
          <w:i/>
          <w:spacing w:val="-10"/>
          <w:sz w:val="22"/>
        </w:rPr>
        <w:t> </w:t>
      </w:r>
      <w:r>
        <w:rPr>
          <w:rFonts w:ascii="Arial" w:hAnsi="Arial"/>
          <w:i/>
          <w:sz w:val="22"/>
        </w:rPr>
        <w:t>finalidad</w:t>
      </w:r>
      <w:r>
        <w:rPr>
          <w:rFonts w:ascii="Arial" w:hAnsi="Arial"/>
          <w:i/>
          <w:spacing w:val="-10"/>
          <w:sz w:val="22"/>
        </w:rPr>
        <w:t> </w:t>
      </w:r>
      <w:r>
        <w:rPr>
          <w:rFonts w:ascii="Arial" w:hAnsi="Arial"/>
          <w:i/>
          <w:sz w:val="22"/>
        </w:rPr>
        <w:t>perseguida</w:t>
      </w:r>
      <w:r>
        <w:rPr>
          <w:rFonts w:ascii="Arial" w:hAnsi="Arial"/>
          <w:i/>
          <w:spacing w:val="-10"/>
          <w:sz w:val="22"/>
        </w:rPr>
        <w:t> </w:t>
      </w:r>
      <w:r>
        <w:rPr>
          <w:rFonts w:ascii="Arial" w:hAnsi="Arial"/>
          <w:i/>
          <w:sz w:val="22"/>
        </w:rPr>
        <w:t>acredita</w:t>
      </w:r>
      <w:r>
        <w:rPr>
          <w:rFonts w:ascii="Arial" w:hAnsi="Arial"/>
          <w:i/>
          <w:spacing w:val="-10"/>
          <w:sz w:val="22"/>
        </w:rPr>
        <w:t> </w:t>
      </w:r>
      <w:r>
        <w:rPr>
          <w:rFonts w:ascii="Arial" w:hAnsi="Arial"/>
          <w:i/>
          <w:sz w:val="22"/>
        </w:rPr>
        <w:t>su idoneidad en los términos del test comunitario.”</w:t>
      </w:r>
      <w:hyperlink w:history="true" w:anchor="_bookmark139">
        <w:r>
          <w:rPr>
            <w:rFonts w:ascii="Arial" w:hAnsi="Arial"/>
            <w:i/>
            <w:sz w:val="22"/>
            <w:vertAlign w:val="superscript"/>
          </w:rPr>
          <w:t>72</w:t>
        </w:r>
      </w:hyperlink>
    </w:p>
    <w:p>
      <w:pPr>
        <w:pStyle w:val="BodyText"/>
        <w:rPr>
          <w:rFonts w:ascii="Arial"/>
          <w:i/>
          <w:sz w:val="20"/>
        </w:rPr>
      </w:pPr>
    </w:p>
    <w:p>
      <w:pPr>
        <w:pStyle w:val="BodyText"/>
        <w:rPr>
          <w:rFonts w:ascii="Arial"/>
          <w:i/>
          <w:sz w:val="20"/>
        </w:rPr>
      </w:pPr>
    </w:p>
    <w:p>
      <w:pPr>
        <w:pStyle w:val="BodyText"/>
        <w:spacing w:before="9"/>
        <w:rPr>
          <w:rFonts w:ascii="Arial"/>
          <w:i/>
          <w:sz w:val="20"/>
        </w:rPr>
      </w:pPr>
      <w:r>
        <w:rPr>
          <w:rFonts w:ascii="Arial"/>
          <w:i/>
          <w:sz w:val="20"/>
        </w:rPr>
        <mc:AlternateContent>
          <mc:Choice Requires="wps">
            <w:drawing>
              <wp:anchor distT="0" distB="0" distL="0" distR="0" allowOverlap="1" layoutInCell="1" locked="0" behindDoc="1" simplePos="0" relativeHeight="487650816">
                <wp:simplePos x="0" y="0"/>
                <wp:positionH relativeFrom="page">
                  <wp:posOffset>990904</wp:posOffset>
                </wp:positionH>
                <wp:positionV relativeFrom="paragraph">
                  <wp:posOffset>167176</wp:posOffset>
                </wp:positionV>
                <wp:extent cx="1829435" cy="7620"/>
                <wp:effectExtent l="0" t="0" r="0" b="0"/>
                <wp:wrapTopAndBottom/>
                <wp:docPr id="536" name="Graphic 536"/>
                <wp:cNvGraphicFramePr>
                  <a:graphicFrameLocks/>
                </wp:cNvGraphicFramePr>
                <a:graphic>
                  <a:graphicData uri="http://schemas.microsoft.com/office/word/2010/wordprocessingShape">
                    <wps:wsp>
                      <wps:cNvPr id="536" name="Graphic 536"/>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3.163476pt;width:144.020pt;height:.60004pt;mso-position-horizontal-relative:page;mso-position-vertical-relative:paragraph;z-index:-15665664;mso-wrap-distance-left:0;mso-wrap-distance-right:0" id="docshape370" filled="true" fillcolor="#000000" stroked="false">
                <v:fill type="solid"/>
                <w10:wrap type="topAndBottom"/>
              </v:rect>
            </w:pict>
          </mc:Fallback>
        </mc:AlternateContent>
      </w:r>
    </w:p>
    <w:p>
      <w:pPr>
        <w:spacing w:before="92"/>
        <w:ind w:left="568" w:right="0" w:firstLine="0"/>
        <w:jc w:val="left"/>
        <w:rPr>
          <w:sz w:val="16"/>
        </w:rPr>
      </w:pPr>
      <w:bookmarkStart w:name="_bookmark138" w:id="139"/>
      <w:bookmarkEnd w:id="139"/>
      <w:r>
        <w:rPr/>
      </w:r>
      <w:r>
        <w:rPr>
          <w:sz w:val="16"/>
          <w:vertAlign w:val="superscript"/>
        </w:rPr>
        <w:t>71</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000023.</w:t>
      </w:r>
    </w:p>
    <w:p>
      <w:pPr>
        <w:spacing w:before="1"/>
        <w:ind w:left="568" w:right="0" w:firstLine="0"/>
        <w:jc w:val="left"/>
        <w:rPr>
          <w:sz w:val="16"/>
        </w:rPr>
      </w:pPr>
      <w:bookmarkStart w:name="_bookmark139" w:id="140"/>
      <w:bookmarkEnd w:id="140"/>
      <w:r>
        <w:rPr/>
      </w:r>
      <w:r>
        <w:rPr>
          <w:sz w:val="16"/>
          <w:vertAlign w:val="superscript"/>
        </w:rPr>
        <w:t>72</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000358.</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37" name="Group 537"/>
                <wp:cNvGraphicFramePr>
                  <a:graphicFrameLocks/>
                </wp:cNvGraphicFramePr>
                <a:graphic>
                  <a:graphicData uri="http://schemas.microsoft.com/office/word/2010/wordprocessingGroup">
                    <wpg:wgp>
                      <wpg:cNvPr id="537" name="Group 537"/>
                      <wpg:cNvGrpSpPr/>
                      <wpg:grpSpPr>
                        <a:xfrm>
                          <a:off x="0" y="0"/>
                          <a:ext cx="6131560" cy="9525"/>
                          <a:chExt cx="6131560" cy="9525"/>
                        </a:xfrm>
                      </wpg:grpSpPr>
                      <wps:wsp>
                        <wps:cNvPr id="538" name="Graphic 538"/>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71"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spacing w:before="176"/>
      </w:pPr>
    </w:p>
    <w:p>
      <w:pPr>
        <w:pStyle w:val="ListParagraph"/>
        <w:numPr>
          <w:ilvl w:val="0"/>
          <w:numId w:val="92"/>
        </w:numPr>
        <w:tabs>
          <w:tab w:pos="1843" w:val="left" w:leader="none"/>
          <w:tab w:pos="1845" w:val="left" w:leader="none"/>
        </w:tabs>
        <w:spacing w:line="240" w:lineRule="auto" w:before="0" w:after="0"/>
        <w:ind w:left="1845" w:right="981" w:hanging="284"/>
        <w:jc w:val="both"/>
        <w:rPr>
          <w:sz w:val="22"/>
        </w:rPr>
      </w:pPr>
      <w:r>
        <w:rPr>
          <w:sz w:val="22"/>
        </w:rPr>
        <w:t>Necesidad de la medida: se presenta un análisis de medidas alternativas que, según</w:t>
      </w:r>
      <w:r>
        <w:rPr>
          <w:spacing w:val="-1"/>
          <w:sz w:val="22"/>
        </w:rPr>
        <w:t> </w:t>
      </w:r>
      <w:r>
        <w:rPr>
          <w:sz w:val="22"/>
        </w:rPr>
        <w:t>se</w:t>
      </w:r>
      <w:r>
        <w:rPr>
          <w:spacing w:val="-3"/>
          <w:sz w:val="22"/>
        </w:rPr>
        <w:t> </w:t>
      </w:r>
      <w:r>
        <w:rPr>
          <w:sz w:val="22"/>
        </w:rPr>
        <w:t>sostiene,</w:t>
      </w:r>
      <w:r>
        <w:rPr>
          <w:spacing w:val="-2"/>
          <w:sz w:val="22"/>
        </w:rPr>
        <w:t> </w:t>
      </w:r>
      <w:r>
        <w:rPr>
          <w:sz w:val="22"/>
        </w:rPr>
        <w:t>resultarían</w:t>
      </w:r>
      <w:r>
        <w:rPr>
          <w:spacing w:val="-3"/>
          <w:sz w:val="22"/>
        </w:rPr>
        <w:t> </w:t>
      </w:r>
      <w:r>
        <w:rPr>
          <w:sz w:val="22"/>
        </w:rPr>
        <w:t>insuficientes</w:t>
      </w:r>
      <w:r>
        <w:rPr>
          <w:spacing w:val="-3"/>
          <w:sz w:val="22"/>
        </w:rPr>
        <w:t> </w:t>
      </w:r>
      <w:r>
        <w:rPr>
          <w:sz w:val="22"/>
        </w:rPr>
        <w:t>para</w:t>
      </w:r>
      <w:r>
        <w:rPr>
          <w:spacing w:val="-3"/>
          <w:sz w:val="22"/>
        </w:rPr>
        <w:t> </w:t>
      </w:r>
      <w:r>
        <w:rPr>
          <w:sz w:val="22"/>
        </w:rPr>
        <w:t>alcanzar la</w:t>
      </w:r>
      <w:r>
        <w:rPr>
          <w:spacing w:val="-3"/>
          <w:sz w:val="22"/>
        </w:rPr>
        <w:t> </w:t>
      </w:r>
      <w:r>
        <w:rPr>
          <w:sz w:val="22"/>
        </w:rPr>
        <w:t>finalidad sanitaria</w:t>
      </w:r>
      <w:r>
        <w:rPr>
          <w:spacing w:val="-3"/>
          <w:sz w:val="22"/>
        </w:rPr>
        <w:t> </w:t>
      </w:r>
      <w:r>
        <w:rPr>
          <w:sz w:val="22"/>
        </w:rPr>
        <w:t>y fitosanitaria perseguida, a saber:</w:t>
      </w:r>
    </w:p>
    <w:p>
      <w:pPr>
        <w:pStyle w:val="ListParagraph"/>
        <w:numPr>
          <w:ilvl w:val="1"/>
          <w:numId w:val="92"/>
        </w:numPr>
        <w:tabs>
          <w:tab w:pos="2268" w:val="left" w:leader="none"/>
          <w:tab w:pos="2270" w:val="left" w:leader="none"/>
        </w:tabs>
        <w:spacing w:line="237" w:lineRule="auto" w:before="4" w:after="0"/>
        <w:ind w:left="2270" w:right="978" w:hanging="284"/>
        <w:jc w:val="both"/>
        <w:rPr>
          <w:sz w:val="22"/>
        </w:rPr>
      </w:pPr>
      <w:r>
        <w:rPr>
          <w:sz w:val="22"/>
        </w:rPr>
        <w:t>Inspección</w:t>
      </w:r>
      <w:r>
        <w:rPr>
          <w:spacing w:val="-5"/>
          <w:sz w:val="22"/>
        </w:rPr>
        <w:t> </w:t>
      </w:r>
      <w:r>
        <w:rPr>
          <w:sz w:val="22"/>
        </w:rPr>
        <w:t>reforzada</w:t>
      </w:r>
      <w:r>
        <w:rPr>
          <w:spacing w:val="-5"/>
          <w:sz w:val="22"/>
        </w:rPr>
        <w:t> </w:t>
      </w:r>
      <w:r>
        <w:rPr>
          <w:sz w:val="22"/>
        </w:rPr>
        <w:t>sin</w:t>
      </w:r>
      <w:r>
        <w:rPr>
          <w:spacing w:val="-7"/>
          <w:sz w:val="22"/>
        </w:rPr>
        <w:t> </w:t>
      </w:r>
      <w:r>
        <w:rPr>
          <w:sz w:val="22"/>
        </w:rPr>
        <w:t>canalización</w:t>
      </w:r>
      <w:r>
        <w:rPr>
          <w:spacing w:val="-5"/>
          <w:sz w:val="22"/>
        </w:rPr>
        <w:t> </w:t>
      </w:r>
      <w:r>
        <w:rPr>
          <w:sz w:val="22"/>
        </w:rPr>
        <w:t>en</w:t>
      </w:r>
      <w:r>
        <w:rPr>
          <w:spacing w:val="-5"/>
          <w:sz w:val="22"/>
        </w:rPr>
        <w:t> </w:t>
      </w:r>
      <w:r>
        <w:rPr>
          <w:sz w:val="22"/>
        </w:rPr>
        <w:t>los</w:t>
      </w:r>
      <w:r>
        <w:rPr>
          <w:spacing w:val="-5"/>
          <w:sz w:val="22"/>
        </w:rPr>
        <w:t> </w:t>
      </w:r>
      <w:r>
        <w:rPr>
          <w:sz w:val="22"/>
        </w:rPr>
        <w:t>pasos</w:t>
      </w:r>
      <w:r>
        <w:rPr>
          <w:spacing w:val="-5"/>
          <w:sz w:val="22"/>
        </w:rPr>
        <w:t> </w:t>
      </w:r>
      <w:r>
        <w:rPr>
          <w:sz w:val="22"/>
        </w:rPr>
        <w:t>de</w:t>
      </w:r>
      <w:r>
        <w:rPr>
          <w:spacing w:val="-5"/>
          <w:sz w:val="22"/>
        </w:rPr>
        <w:t> </w:t>
      </w:r>
      <w:r>
        <w:rPr>
          <w:sz w:val="22"/>
        </w:rPr>
        <w:t>Ipiales</w:t>
      </w:r>
      <w:r>
        <w:rPr>
          <w:spacing w:val="-5"/>
          <w:sz w:val="22"/>
        </w:rPr>
        <w:t> </w:t>
      </w:r>
      <w:r>
        <w:rPr>
          <w:sz w:val="22"/>
        </w:rPr>
        <w:t>y</w:t>
      </w:r>
      <w:r>
        <w:rPr>
          <w:spacing w:val="-5"/>
          <w:sz w:val="22"/>
        </w:rPr>
        <w:t> </w:t>
      </w:r>
      <w:r>
        <w:rPr>
          <w:sz w:val="22"/>
        </w:rPr>
        <w:t>Puerto</w:t>
      </w:r>
      <w:r>
        <w:rPr>
          <w:spacing w:val="-5"/>
          <w:sz w:val="22"/>
        </w:rPr>
        <w:t> </w:t>
      </w:r>
      <w:r>
        <w:rPr>
          <w:sz w:val="22"/>
        </w:rPr>
        <w:t>Asís, sería insuficiente debido a multiplicidad de pasos no habilitados.</w:t>
      </w:r>
    </w:p>
    <w:p>
      <w:pPr>
        <w:pStyle w:val="ListParagraph"/>
        <w:numPr>
          <w:ilvl w:val="1"/>
          <w:numId w:val="92"/>
        </w:numPr>
        <w:tabs>
          <w:tab w:pos="2268" w:val="left" w:leader="none"/>
          <w:tab w:pos="2270" w:val="left" w:leader="none"/>
        </w:tabs>
        <w:spacing w:line="237" w:lineRule="auto" w:before="3" w:after="0"/>
        <w:ind w:left="2270" w:right="980" w:hanging="284"/>
        <w:jc w:val="both"/>
        <w:rPr>
          <w:sz w:val="22"/>
        </w:rPr>
      </w:pPr>
      <w:r>
        <w:rPr>
          <w:sz w:val="22"/>
        </w:rPr>
        <w:t>Puestos móviles de inspección: esta alternativa resulta inadecuada para productos perecederos con altos volúmenes y alta rotación comercial.</w:t>
      </w:r>
    </w:p>
    <w:p>
      <w:pPr>
        <w:pStyle w:val="ListParagraph"/>
        <w:numPr>
          <w:ilvl w:val="1"/>
          <w:numId w:val="92"/>
        </w:numPr>
        <w:tabs>
          <w:tab w:pos="2268" w:val="left" w:leader="none"/>
          <w:tab w:pos="2270" w:val="left" w:leader="none"/>
        </w:tabs>
        <w:spacing w:line="237" w:lineRule="auto" w:before="4" w:after="0"/>
        <w:ind w:left="2270" w:right="979" w:hanging="284"/>
        <w:jc w:val="both"/>
        <w:rPr>
          <w:sz w:val="22"/>
        </w:rPr>
      </w:pPr>
      <w:r>
        <w:rPr>
          <w:sz w:val="22"/>
        </w:rPr>
        <w:t>Exigencia de certificación fitosanitaria previa adicional: si bien esta medida sería necesaria, se considera que no resulta suficiente por sí sola frente a los riesgos particulares identificados.</w:t>
      </w:r>
    </w:p>
    <w:p>
      <w:pPr>
        <w:pStyle w:val="ListParagraph"/>
        <w:numPr>
          <w:ilvl w:val="1"/>
          <w:numId w:val="92"/>
        </w:numPr>
        <w:tabs>
          <w:tab w:pos="2268" w:val="left" w:leader="none"/>
          <w:tab w:pos="2270" w:val="left" w:leader="none"/>
        </w:tabs>
        <w:spacing w:line="240" w:lineRule="auto" w:before="3" w:after="0"/>
        <w:ind w:left="2270" w:right="977" w:hanging="284"/>
        <w:jc w:val="both"/>
        <w:rPr>
          <w:sz w:val="22"/>
        </w:rPr>
      </w:pPr>
      <w:r>
        <w:rPr>
          <w:sz w:val="22"/>
        </w:rPr>
        <w:t>Cuarentena postfrontera en el lugar de destino: esta alternativa resulta técnicamente</w:t>
      </w:r>
      <w:r>
        <w:rPr>
          <w:spacing w:val="-8"/>
          <w:sz w:val="22"/>
        </w:rPr>
        <w:t> </w:t>
      </w:r>
      <w:r>
        <w:rPr>
          <w:sz w:val="22"/>
        </w:rPr>
        <w:t>inviable,</w:t>
      </w:r>
      <w:r>
        <w:rPr>
          <w:spacing w:val="-4"/>
          <w:sz w:val="22"/>
        </w:rPr>
        <w:t> </w:t>
      </w:r>
      <w:r>
        <w:rPr>
          <w:sz w:val="22"/>
        </w:rPr>
        <w:t>especialmente</w:t>
      </w:r>
      <w:r>
        <w:rPr>
          <w:spacing w:val="-8"/>
          <w:sz w:val="22"/>
        </w:rPr>
        <w:t> </w:t>
      </w:r>
      <w:r>
        <w:rPr>
          <w:sz w:val="22"/>
        </w:rPr>
        <w:t>tratándose</w:t>
      </w:r>
      <w:r>
        <w:rPr>
          <w:spacing w:val="-8"/>
          <w:sz w:val="22"/>
        </w:rPr>
        <w:t> </w:t>
      </w:r>
      <w:r>
        <w:rPr>
          <w:sz w:val="22"/>
        </w:rPr>
        <w:t>de</w:t>
      </w:r>
      <w:r>
        <w:rPr>
          <w:spacing w:val="-6"/>
          <w:sz w:val="22"/>
        </w:rPr>
        <w:t> </w:t>
      </w:r>
      <w:r>
        <w:rPr>
          <w:sz w:val="22"/>
        </w:rPr>
        <w:t>productos</w:t>
      </w:r>
      <w:r>
        <w:rPr>
          <w:spacing w:val="-8"/>
          <w:sz w:val="22"/>
        </w:rPr>
        <w:t> </w:t>
      </w:r>
      <w:r>
        <w:rPr>
          <w:sz w:val="22"/>
        </w:rPr>
        <w:t>perecederos y para productos acuícolas vivos.</w:t>
      </w:r>
    </w:p>
    <w:p>
      <w:pPr>
        <w:pStyle w:val="ListParagraph"/>
        <w:numPr>
          <w:ilvl w:val="0"/>
          <w:numId w:val="92"/>
        </w:numPr>
        <w:tabs>
          <w:tab w:pos="1845" w:val="left" w:leader="none"/>
        </w:tabs>
        <w:spacing w:line="240" w:lineRule="auto" w:before="0" w:after="0"/>
        <w:ind w:left="1845" w:right="979" w:hanging="284"/>
        <w:jc w:val="both"/>
        <w:rPr>
          <w:rFonts w:ascii="Arial" w:hAnsi="Arial"/>
          <w:i/>
          <w:sz w:val="22"/>
        </w:rPr>
      </w:pPr>
      <w:r>
        <w:rPr>
          <w:sz w:val="22"/>
        </w:rPr>
        <w:t>Proporcionalidad y no discriminación: “</w:t>
      </w:r>
      <w:r>
        <w:rPr>
          <w:rFonts w:ascii="Arial" w:hAnsi="Arial"/>
          <w:i/>
          <w:sz w:val="22"/>
        </w:rPr>
        <w:t>La medida resultaría proporcional en sentido estricto, al no prohibir el comercio intracomunitario ni impedir el acceso de los productos al mercado nacional, y establecer únicamente condiciones de canalización</w:t>
      </w:r>
      <w:r>
        <w:rPr>
          <w:rFonts w:ascii="Arial" w:hAnsi="Arial"/>
          <w:i/>
          <w:spacing w:val="-8"/>
          <w:sz w:val="22"/>
        </w:rPr>
        <w:t> </w:t>
      </w:r>
      <w:r>
        <w:rPr>
          <w:rFonts w:ascii="Arial" w:hAnsi="Arial"/>
          <w:i/>
          <w:sz w:val="22"/>
        </w:rPr>
        <w:t>a</w:t>
      </w:r>
      <w:r>
        <w:rPr>
          <w:rFonts w:ascii="Arial" w:hAnsi="Arial"/>
          <w:i/>
          <w:spacing w:val="-7"/>
          <w:sz w:val="22"/>
        </w:rPr>
        <w:t> </w:t>
      </w:r>
      <w:r>
        <w:rPr>
          <w:rFonts w:ascii="Arial" w:hAnsi="Arial"/>
          <w:i/>
          <w:sz w:val="22"/>
        </w:rPr>
        <w:t>través</w:t>
      </w:r>
      <w:r>
        <w:rPr>
          <w:rFonts w:ascii="Arial" w:hAnsi="Arial"/>
          <w:i/>
          <w:spacing w:val="-7"/>
          <w:sz w:val="22"/>
        </w:rPr>
        <w:t> </w:t>
      </w:r>
      <w:r>
        <w:rPr>
          <w:rFonts w:ascii="Arial" w:hAnsi="Arial"/>
          <w:i/>
          <w:sz w:val="22"/>
        </w:rPr>
        <w:t>de</w:t>
      </w:r>
      <w:r>
        <w:rPr>
          <w:rFonts w:ascii="Arial" w:hAnsi="Arial"/>
          <w:i/>
          <w:spacing w:val="-12"/>
          <w:sz w:val="22"/>
        </w:rPr>
        <w:t> </w:t>
      </w:r>
      <w:r>
        <w:rPr>
          <w:rFonts w:ascii="Arial" w:hAnsi="Arial"/>
          <w:i/>
          <w:sz w:val="22"/>
        </w:rPr>
        <w:t>canales</w:t>
      </w:r>
      <w:r>
        <w:rPr>
          <w:rFonts w:ascii="Arial" w:hAnsi="Arial"/>
          <w:i/>
          <w:spacing w:val="-7"/>
          <w:sz w:val="22"/>
        </w:rPr>
        <w:t> </w:t>
      </w:r>
      <w:r>
        <w:rPr>
          <w:rFonts w:ascii="Arial" w:hAnsi="Arial"/>
          <w:i/>
          <w:sz w:val="22"/>
        </w:rPr>
        <w:t>donde</w:t>
      </w:r>
      <w:r>
        <w:rPr>
          <w:rFonts w:ascii="Arial" w:hAnsi="Arial"/>
          <w:i/>
          <w:spacing w:val="-7"/>
          <w:sz w:val="22"/>
        </w:rPr>
        <w:t> </w:t>
      </w:r>
      <w:r>
        <w:rPr>
          <w:rFonts w:ascii="Arial" w:hAnsi="Arial"/>
          <w:i/>
          <w:sz w:val="22"/>
        </w:rPr>
        <w:t>el</w:t>
      </w:r>
      <w:r>
        <w:rPr>
          <w:rFonts w:ascii="Arial" w:hAnsi="Arial"/>
          <w:i/>
          <w:spacing w:val="-8"/>
          <w:sz w:val="22"/>
        </w:rPr>
        <w:t> </w:t>
      </w:r>
      <w:r>
        <w:rPr>
          <w:rFonts w:ascii="Arial" w:hAnsi="Arial"/>
          <w:i/>
          <w:sz w:val="22"/>
        </w:rPr>
        <w:t>Estado</w:t>
      </w:r>
      <w:r>
        <w:rPr>
          <w:rFonts w:ascii="Arial" w:hAnsi="Arial"/>
          <w:i/>
          <w:spacing w:val="-9"/>
          <w:sz w:val="22"/>
        </w:rPr>
        <w:t> </w:t>
      </w:r>
      <w:r>
        <w:rPr>
          <w:rFonts w:ascii="Arial" w:hAnsi="Arial"/>
          <w:i/>
          <w:sz w:val="22"/>
        </w:rPr>
        <w:t>puede</w:t>
      </w:r>
      <w:r>
        <w:rPr>
          <w:rFonts w:ascii="Arial" w:hAnsi="Arial"/>
          <w:i/>
          <w:spacing w:val="-7"/>
          <w:sz w:val="22"/>
        </w:rPr>
        <w:t> </w:t>
      </w:r>
      <w:r>
        <w:rPr>
          <w:rFonts w:ascii="Arial" w:hAnsi="Arial"/>
          <w:i/>
          <w:sz w:val="22"/>
        </w:rPr>
        <w:t>ejercer</w:t>
      </w:r>
      <w:r>
        <w:rPr>
          <w:rFonts w:ascii="Arial" w:hAnsi="Arial"/>
          <w:i/>
          <w:spacing w:val="-7"/>
          <w:sz w:val="22"/>
        </w:rPr>
        <w:t> </w:t>
      </w:r>
      <w:r>
        <w:rPr>
          <w:rFonts w:ascii="Arial" w:hAnsi="Arial"/>
          <w:i/>
          <w:sz w:val="22"/>
        </w:rPr>
        <w:t>control</w:t>
      </w:r>
      <w:r>
        <w:rPr>
          <w:rFonts w:ascii="Arial" w:hAnsi="Arial"/>
          <w:i/>
          <w:spacing w:val="-8"/>
          <w:sz w:val="22"/>
        </w:rPr>
        <w:t> </w:t>
      </w:r>
      <w:r>
        <w:rPr>
          <w:rFonts w:ascii="Arial" w:hAnsi="Arial"/>
          <w:i/>
          <w:sz w:val="22"/>
        </w:rPr>
        <w:t>efectivo. Los beneficios esperados en términos de protección del estatus sanitario nacional y de la inocuidad de los alimentos exceden cuantitativa y cualitativamente los costos comerciales derivados del redireccionamiento </w:t>
      </w:r>
      <w:r>
        <w:rPr>
          <w:rFonts w:ascii="Arial" w:hAnsi="Arial"/>
          <w:i/>
          <w:spacing w:val="-2"/>
          <w:sz w:val="22"/>
        </w:rPr>
        <w:t>logístico.”</w:t>
      </w:r>
      <w:hyperlink w:history="true" w:anchor="_bookmark140">
        <w:r>
          <w:rPr>
            <w:rFonts w:ascii="Arial" w:hAnsi="Arial"/>
            <w:i/>
            <w:spacing w:val="-2"/>
            <w:sz w:val="22"/>
            <w:vertAlign w:val="superscript"/>
          </w:rPr>
          <w:t>73</w:t>
        </w:r>
      </w:hyperlink>
    </w:p>
    <w:p>
      <w:pPr>
        <w:pStyle w:val="ListParagraph"/>
        <w:numPr>
          <w:ilvl w:val="0"/>
          <w:numId w:val="92"/>
        </w:numPr>
        <w:tabs>
          <w:tab w:pos="1843" w:val="left" w:leader="none"/>
          <w:tab w:pos="1845" w:val="left" w:leader="none"/>
        </w:tabs>
        <w:spacing w:line="240" w:lineRule="auto" w:before="0" w:after="0"/>
        <w:ind w:left="1845" w:right="975" w:hanging="284"/>
        <w:jc w:val="both"/>
        <w:rPr>
          <w:sz w:val="22"/>
        </w:rPr>
      </w:pPr>
      <w:r>
        <w:rPr>
          <w:sz w:val="22"/>
        </w:rPr>
        <w:t>En cuanto a la no discriminación: se señala que los hechos epidemiológicos invocados</w:t>
      </w:r>
      <w:r>
        <w:rPr>
          <w:spacing w:val="-6"/>
          <w:sz w:val="22"/>
        </w:rPr>
        <w:t> </w:t>
      </w:r>
      <w:r>
        <w:rPr>
          <w:sz w:val="22"/>
        </w:rPr>
        <w:t>serían</w:t>
      </w:r>
      <w:r>
        <w:rPr>
          <w:spacing w:val="-8"/>
          <w:sz w:val="22"/>
        </w:rPr>
        <w:t> </w:t>
      </w:r>
      <w:r>
        <w:rPr>
          <w:sz w:val="22"/>
        </w:rPr>
        <w:t>objetivos,</w:t>
      </w:r>
      <w:r>
        <w:rPr>
          <w:spacing w:val="-7"/>
          <w:sz w:val="22"/>
        </w:rPr>
        <w:t> </w:t>
      </w:r>
      <w:r>
        <w:rPr>
          <w:sz w:val="22"/>
        </w:rPr>
        <w:t>verificables</w:t>
      </w:r>
      <w:r>
        <w:rPr>
          <w:spacing w:val="-8"/>
          <w:sz w:val="22"/>
        </w:rPr>
        <w:t> </w:t>
      </w:r>
      <w:r>
        <w:rPr>
          <w:sz w:val="22"/>
        </w:rPr>
        <w:t>y</w:t>
      </w:r>
      <w:r>
        <w:rPr>
          <w:spacing w:val="-8"/>
          <w:sz w:val="22"/>
        </w:rPr>
        <w:t> </w:t>
      </w:r>
      <w:r>
        <w:rPr>
          <w:sz w:val="22"/>
        </w:rPr>
        <w:t>geográficamente</w:t>
      </w:r>
      <w:r>
        <w:rPr>
          <w:spacing w:val="-8"/>
          <w:sz w:val="22"/>
        </w:rPr>
        <w:t> </w:t>
      </w:r>
      <w:r>
        <w:rPr>
          <w:sz w:val="22"/>
        </w:rPr>
        <w:t>específicos</w:t>
      </w:r>
      <w:r>
        <w:rPr>
          <w:spacing w:val="-7"/>
          <w:sz w:val="22"/>
        </w:rPr>
        <w:t> </w:t>
      </w:r>
      <w:r>
        <w:rPr>
          <w:sz w:val="22"/>
        </w:rPr>
        <w:t>y</w:t>
      </w:r>
      <w:r>
        <w:rPr>
          <w:spacing w:val="-8"/>
          <w:sz w:val="22"/>
        </w:rPr>
        <w:t> </w:t>
      </w:r>
      <w:r>
        <w:rPr>
          <w:sz w:val="22"/>
        </w:rPr>
        <w:t>que</w:t>
      </w:r>
      <w:r>
        <w:rPr>
          <w:spacing w:val="-6"/>
          <w:sz w:val="22"/>
        </w:rPr>
        <w:t> </w:t>
      </w:r>
      <w:r>
        <w:rPr>
          <w:rFonts w:ascii="Arial" w:hAnsi="Arial"/>
          <w:i/>
          <w:sz w:val="22"/>
        </w:rPr>
        <w:t>“no se han reportado oficialmente en zonas fronterizas colombianas con los demás Países Miembros, lo que justifica objetivamente el trato diferenciado</w:t>
      </w:r>
      <w:r>
        <w:rPr>
          <w:sz w:val="22"/>
        </w:rPr>
        <w:t>”</w:t>
      </w:r>
      <w:hyperlink w:history="true" w:anchor="_bookmark141">
        <w:r>
          <w:rPr>
            <w:sz w:val="22"/>
            <w:vertAlign w:val="superscript"/>
          </w:rPr>
          <w:t>74</w:t>
        </w:r>
      </w:hyperlink>
      <w:r>
        <w:rPr>
          <w:sz w:val="22"/>
          <w:vertAlign w:val="baseline"/>
        </w:rPr>
        <w:t>.</w:t>
      </w:r>
    </w:p>
    <w:p>
      <w:pPr>
        <w:pStyle w:val="BodyText"/>
      </w:pPr>
    </w:p>
    <w:p>
      <w:pPr>
        <w:pStyle w:val="Heading6"/>
        <w:numPr>
          <w:ilvl w:val="0"/>
          <w:numId w:val="93"/>
        </w:numPr>
        <w:tabs>
          <w:tab w:pos="1420" w:val="left" w:leader="none"/>
        </w:tabs>
        <w:spacing w:line="240" w:lineRule="auto" w:before="0" w:after="0"/>
        <w:ind w:left="1420" w:right="0" w:hanging="360"/>
        <w:jc w:val="left"/>
      </w:pPr>
      <w:r>
        <w:rPr/>
        <w:t>Análisis</w:t>
      </w:r>
      <w:r>
        <w:rPr>
          <w:spacing w:val="-4"/>
        </w:rPr>
        <w:t> </w:t>
      </w:r>
      <w:r>
        <w:rPr/>
        <w:t>de</w:t>
      </w:r>
      <w:r>
        <w:rPr>
          <w:spacing w:val="-4"/>
        </w:rPr>
        <w:t> </w:t>
      </w:r>
      <w:r>
        <w:rPr/>
        <w:t>la</w:t>
      </w:r>
      <w:r>
        <w:rPr>
          <w:spacing w:val="-4"/>
        </w:rPr>
        <w:t> SGCAN</w:t>
      </w:r>
    </w:p>
    <w:p>
      <w:pPr>
        <w:pStyle w:val="ListParagraph"/>
        <w:numPr>
          <w:ilvl w:val="0"/>
          <w:numId w:val="50"/>
        </w:numPr>
        <w:tabs>
          <w:tab w:pos="1130" w:val="left" w:leader="none"/>
          <w:tab w:pos="1134" w:val="left" w:leader="none"/>
        </w:tabs>
        <w:spacing w:line="240" w:lineRule="auto" w:before="228" w:after="0"/>
        <w:ind w:left="1134" w:right="982" w:hanging="567"/>
        <w:jc w:val="both"/>
        <w:rPr>
          <w:sz w:val="22"/>
        </w:rPr>
      </w:pPr>
      <w:r>
        <w:rPr>
          <w:sz w:val="22"/>
        </w:rPr>
        <w:t>En esta sección se procederá a realizar el análisis de las medidas previstas en los artículos 2 y 3 del Decreto 0170, para lo cual la SGCAN estructurará el análisis en función</w:t>
      </w:r>
      <w:r>
        <w:rPr>
          <w:spacing w:val="-1"/>
          <w:sz w:val="22"/>
        </w:rPr>
        <w:t> </w:t>
      </w:r>
      <w:r>
        <w:rPr>
          <w:sz w:val="22"/>
        </w:rPr>
        <w:t>del</w:t>
      </w:r>
      <w:r>
        <w:rPr>
          <w:spacing w:val="-2"/>
          <w:sz w:val="22"/>
        </w:rPr>
        <w:t> </w:t>
      </w:r>
      <w:r>
        <w:rPr>
          <w:sz w:val="22"/>
        </w:rPr>
        <w:t>tipo</w:t>
      </w:r>
      <w:r>
        <w:rPr>
          <w:spacing w:val="-1"/>
          <w:sz w:val="22"/>
        </w:rPr>
        <w:t> </w:t>
      </w:r>
      <w:r>
        <w:rPr>
          <w:sz w:val="22"/>
        </w:rPr>
        <w:t>de</w:t>
      </w:r>
      <w:r>
        <w:rPr>
          <w:spacing w:val="-2"/>
          <w:sz w:val="22"/>
        </w:rPr>
        <w:t> </w:t>
      </w:r>
      <w:r>
        <w:rPr>
          <w:sz w:val="22"/>
        </w:rPr>
        <w:t>medida invocada.</w:t>
      </w:r>
      <w:r>
        <w:rPr>
          <w:spacing w:val="-1"/>
          <w:sz w:val="22"/>
        </w:rPr>
        <w:t> </w:t>
      </w:r>
      <w:r>
        <w:rPr>
          <w:sz w:val="22"/>
        </w:rPr>
        <w:t>En primer</w:t>
      </w:r>
      <w:r>
        <w:rPr>
          <w:spacing w:val="-1"/>
          <w:sz w:val="22"/>
        </w:rPr>
        <w:t> </w:t>
      </w:r>
      <w:r>
        <w:rPr>
          <w:sz w:val="22"/>
        </w:rPr>
        <w:t>lugar,</w:t>
      </w:r>
      <w:r>
        <w:rPr>
          <w:spacing w:val="-1"/>
          <w:sz w:val="22"/>
        </w:rPr>
        <w:t> </w:t>
      </w:r>
      <w:r>
        <w:rPr>
          <w:sz w:val="22"/>
        </w:rPr>
        <w:t>se examinará</w:t>
      </w:r>
      <w:r>
        <w:rPr>
          <w:spacing w:val="-1"/>
          <w:sz w:val="22"/>
        </w:rPr>
        <w:t> </w:t>
      </w:r>
      <w:r>
        <w:rPr>
          <w:sz w:val="22"/>
        </w:rPr>
        <w:t>la</w:t>
      </w:r>
      <w:r>
        <w:rPr>
          <w:spacing w:val="-2"/>
          <w:sz w:val="22"/>
        </w:rPr>
        <w:t> </w:t>
      </w:r>
      <w:r>
        <w:rPr>
          <w:sz w:val="22"/>
        </w:rPr>
        <w:t>medida</w:t>
      </w:r>
      <w:r>
        <w:rPr>
          <w:spacing w:val="-1"/>
          <w:sz w:val="22"/>
        </w:rPr>
        <w:t> </w:t>
      </w:r>
      <w:r>
        <w:rPr>
          <w:sz w:val="22"/>
        </w:rPr>
        <w:t>aplicada al arroz; posteriormente, se abordarán las medidas relativas a los productos respecto de los cuales se alegan problemas fitosanitarios; seguidamente, se evaluará ´los productos pesqueros; y</w:t>
      </w:r>
      <w:r>
        <w:rPr>
          <w:spacing w:val="-3"/>
          <w:sz w:val="22"/>
        </w:rPr>
        <w:t> </w:t>
      </w:r>
      <w:r>
        <w:rPr>
          <w:sz w:val="22"/>
        </w:rPr>
        <w:t>por último, se</w:t>
      </w:r>
      <w:r>
        <w:rPr>
          <w:spacing w:val="-1"/>
          <w:sz w:val="22"/>
        </w:rPr>
        <w:t> </w:t>
      </w:r>
      <w:r>
        <w:rPr>
          <w:sz w:val="22"/>
        </w:rPr>
        <w:t>analizará las medidas aplicables a los productos supuestamente utilizados en la producción de fentanilo</w:t>
      </w:r>
      <w:hyperlink w:history="true" w:anchor="_bookmark142">
        <w:r>
          <w:rPr>
            <w:sz w:val="22"/>
            <w:vertAlign w:val="superscript"/>
          </w:rPr>
          <w:t>75</w:t>
        </w:r>
        <w:r>
          <w:rPr>
            <w:sz w:val="22"/>
            <w:vertAlign w:val="baseline"/>
          </w:rPr>
          <w:t>.</w:t>
        </w:r>
      </w:hyperlink>
    </w:p>
    <w:p>
      <w:pPr>
        <w:pStyle w:val="ListParagraph"/>
        <w:numPr>
          <w:ilvl w:val="0"/>
          <w:numId w:val="50"/>
        </w:numPr>
        <w:tabs>
          <w:tab w:pos="1130" w:val="left" w:leader="none"/>
          <w:tab w:pos="1134" w:val="left" w:leader="none"/>
        </w:tabs>
        <w:spacing w:line="240" w:lineRule="auto" w:before="252" w:after="0"/>
        <w:ind w:left="1134" w:right="976" w:hanging="567"/>
        <w:jc w:val="both"/>
        <w:rPr>
          <w:sz w:val="22"/>
        </w:rPr>
      </w:pPr>
      <w:r>
        <w:rPr>
          <w:sz w:val="22"/>
        </w:rPr>
        <w:t>No</w:t>
      </w:r>
      <w:r>
        <w:rPr>
          <w:spacing w:val="-7"/>
          <w:sz w:val="22"/>
        </w:rPr>
        <w:t> </w:t>
      </w:r>
      <w:r>
        <w:rPr>
          <w:sz w:val="22"/>
        </w:rPr>
        <w:t>obstante,</w:t>
      </w:r>
      <w:r>
        <w:rPr>
          <w:spacing w:val="-6"/>
          <w:sz w:val="22"/>
        </w:rPr>
        <w:t> </w:t>
      </w:r>
      <w:r>
        <w:rPr>
          <w:sz w:val="22"/>
        </w:rPr>
        <w:t>la</w:t>
      </w:r>
      <w:r>
        <w:rPr>
          <w:spacing w:val="-10"/>
          <w:sz w:val="22"/>
        </w:rPr>
        <w:t> </w:t>
      </w:r>
      <w:r>
        <w:rPr>
          <w:sz w:val="22"/>
        </w:rPr>
        <w:t>división</w:t>
      </w:r>
      <w:r>
        <w:rPr>
          <w:spacing w:val="-10"/>
          <w:sz w:val="22"/>
        </w:rPr>
        <w:t> </w:t>
      </w:r>
      <w:r>
        <w:rPr>
          <w:sz w:val="22"/>
        </w:rPr>
        <w:t>metodológica</w:t>
      </w:r>
      <w:r>
        <w:rPr>
          <w:spacing w:val="-10"/>
          <w:sz w:val="22"/>
        </w:rPr>
        <w:t> </w:t>
      </w:r>
      <w:r>
        <w:rPr>
          <w:sz w:val="22"/>
        </w:rPr>
        <w:t>propuesta,</w:t>
      </w:r>
      <w:r>
        <w:rPr>
          <w:spacing w:val="-9"/>
          <w:sz w:val="22"/>
        </w:rPr>
        <w:t> </w:t>
      </w:r>
      <w:r>
        <w:rPr>
          <w:sz w:val="22"/>
        </w:rPr>
        <w:t>es</w:t>
      </w:r>
      <w:r>
        <w:rPr>
          <w:spacing w:val="-10"/>
          <w:sz w:val="22"/>
        </w:rPr>
        <w:t> </w:t>
      </w:r>
      <w:r>
        <w:rPr>
          <w:sz w:val="22"/>
        </w:rPr>
        <w:t>preciso</w:t>
      </w:r>
      <w:r>
        <w:rPr>
          <w:spacing w:val="-7"/>
          <w:sz w:val="22"/>
        </w:rPr>
        <w:t> </w:t>
      </w:r>
      <w:r>
        <w:rPr>
          <w:sz w:val="22"/>
        </w:rPr>
        <w:t>indicar</w:t>
      </w:r>
      <w:r>
        <w:rPr>
          <w:spacing w:val="-9"/>
          <w:sz w:val="22"/>
        </w:rPr>
        <w:t> </w:t>
      </w:r>
      <w:r>
        <w:rPr>
          <w:sz w:val="22"/>
        </w:rPr>
        <w:t>que,</w:t>
      </w:r>
      <w:r>
        <w:rPr>
          <w:spacing w:val="-8"/>
          <w:sz w:val="22"/>
        </w:rPr>
        <w:t> </w:t>
      </w:r>
      <w:r>
        <w:rPr>
          <w:sz w:val="22"/>
        </w:rPr>
        <w:t>en</w:t>
      </w:r>
      <w:r>
        <w:rPr>
          <w:spacing w:val="-7"/>
          <w:sz w:val="22"/>
        </w:rPr>
        <w:t> </w:t>
      </w:r>
      <w:r>
        <w:rPr>
          <w:sz w:val="22"/>
        </w:rPr>
        <w:t>la</w:t>
      </w:r>
      <w:r>
        <w:rPr>
          <w:spacing w:val="-10"/>
          <w:sz w:val="22"/>
        </w:rPr>
        <w:t> </w:t>
      </w:r>
      <w:r>
        <w:rPr>
          <w:sz w:val="22"/>
        </w:rPr>
        <w:t>respuesta presentada por la República de Colombia a la solicitud planteada, se exponen justificaciones de carácter general, aplicables al conjunto de productos agrícolas y pesqueros considerados en el artículo 2 del Decreto 0170. En dicho escrito, se desarrolla un análisis global de la medida de “restricción al ingreso de mercancías”, abarcando los</w:t>
      </w:r>
      <w:r>
        <w:rPr>
          <w:spacing w:val="-1"/>
          <w:sz w:val="22"/>
        </w:rPr>
        <w:t> </w:t>
      </w:r>
      <w:r>
        <w:rPr>
          <w:sz w:val="22"/>
        </w:rPr>
        <w:t>criterios de: idoneidad, necesidad, proporcionalidad y no</w:t>
      </w:r>
      <w:r>
        <w:rPr>
          <w:spacing w:val="-1"/>
          <w:sz w:val="22"/>
        </w:rPr>
        <w:t> </w:t>
      </w:r>
      <w:r>
        <w:rPr>
          <w:sz w:val="22"/>
        </w:rPr>
        <w:t>discriminación, sin efectuar una evaluación diferenciada por tipo de producto. De igual forma, ninguno de los dos Países Miembros ha planteado un análisis pormenorizado, producto por producto, respecto a tales elementos.</w:t>
      </w:r>
    </w:p>
    <w:p>
      <w:pPr>
        <w:pStyle w:val="BodyText"/>
      </w:pPr>
    </w:p>
    <w:p>
      <w:pPr>
        <w:pStyle w:val="Heading6"/>
        <w:numPr>
          <w:ilvl w:val="0"/>
          <w:numId w:val="94"/>
        </w:numPr>
        <w:tabs>
          <w:tab w:pos="1420" w:val="left" w:leader="none"/>
        </w:tabs>
        <w:spacing w:line="240" w:lineRule="auto" w:before="0" w:after="0"/>
        <w:ind w:left="1420" w:right="0" w:hanging="360"/>
        <w:jc w:val="left"/>
      </w:pPr>
      <w:r>
        <w:rPr/>
        <w:t>Restricción</w:t>
      </w:r>
      <w:r>
        <w:rPr>
          <w:spacing w:val="-7"/>
        </w:rPr>
        <w:t> </w:t>
      </w:r>
      <w:r>
        <w:rPr/>
        <w:t>ingreso</w:t>
      </w:r>
      <w:r>
        <w:rPr>
          <w:spacing w:val="-6"/>
        </w:rPr>
        <w:t> </w:t>
      </w:r>
      <w:r>
        <w:rPr/>
        <w:t>de</w:t>
      </w:r>
      <w:r>
        <w:rPr>
          <w:spacing w:val="-5"/>
        </w:rPr>
        <w:t> </w:t>
      </w:r>
      <w:r>
        <w:rPr>
          <w:spacing w:val="-2"/>
        </w:rPr>
        <w:t>arroz</w:t>
      </w:r>
    </w:p>
    <w:p>
      <w:pPr>
        <w:pStyle w:val="ListParagraph"/>
        <w:numPr>
          <w:ilvl w:val="0"/>
          <w:numId w:val="50"/>
        </w:numPr>
        <w:tabs>
          <w:tab w:pos="1130" w:val="left" w:leader="none"/>
          <w:tab w:pos="1134" w:val="left" w:leader="none"/>
        </w:tabs>
        <w:spacing w:line="240" w:lineRule="auto" w:before="232" w:after="0"/>
        <w:ind w:left="1134" w:right="980" w:hanging="567"/>
        <w:jc w:val="both"/>
        <w:rPr>
          <w:sz w:val="22"/>
        </w:rPr>
      </w:pPr>
      <w:r>
        <w:rPr>
          <w:sz w:val="22"/>
        </w:rPr>
        <w:t>El análisis del comercio del arroz ha sido abordado de manera particular por ambos Países</w:t>
      </w:r>
      <w:r>
        <w:rPr>
          <w:spacing w:val="-4"/>
          <w:sz w:val="22"/>
        </w:rPr>
        <w:t> </w:t>
      </w:r>
      <w:r>
        <w:rPr>
          <w:sz w:val="22"/>
        </w:rPr>
        <w:t>Miembros.</w:t>
      </w:r>
      <w:r>
        <w:rPr>
          <w:spacing w:val="-4"/>
          <w:sz w:val="22"/>
        </w:rPr>
        <w:t> </w:t>
      </w:r>
      <w:r>
        <w:rPr>
          <w:sz w:val="22"/>
        </w:rPr>
        <w:t>En</w:t>
      </w:r>
      <w:r>
        <w:rPr>
          <w:spacing w:val="-5"/>
          <w:sz w:val="22"/>
        </w:rPr>
        <w:t> </w:t>
      </w:r>
      <w:r>
        <w:rPr>
          <w:sz w:val="22"/>
        </w:rPr>
        <w:t>el</w:t>
      </w:r>
      <w:r>
        <w:rPr>
          <w:spacing w:val="-7"/>
          <w:sz w:val="22"/>
        </w:rPr>
        <w:t> </w:t>
      </w:r>
      <w:r>
        <w:rPr>
          <w:sz w:val="22"/>
        </w:rPr>
        <w:t>Decreto</w:t>
      </w:r>
      <w:r>
        <w:rPr>
          <w:spacing w:val="-5"/>
          <w:sz w:val="22"/>
        </w:rPr>
        <w:t> </w:t>
      </w:r>
      <w:r>
        <w:rPr>
          <w:sz w:val="22"/>
        </w:rPr>
        <w:t>0170,</w:t>
      </w:r>
      <w:r>
        <w:rPr>
          <w:spacing w:val="-4"/>
          <w:sz w:val="22"/>
        </w:rPr>
        <w:t> </w:t>
      </w:r>
      <w:r>
        <w:rPr>
          <w:sz w:val="22"/>
        </w:rPr>
        <w:t>se</w:t>
      </w:r>
      <w:r>
        <w:rPr>
          <w:spacing w:val="-5"/>
          <w:sz w:val="22"/>
        </w:rPr>
        <w:t> </w:t>
      </w:r>
      <w:r>
        <w:rPr>
          <w:sz w:val="22"/>
        </w:rPr>
        <w:t>desarrolla</w:t>
      </w:r>
      <w:r>
        <w:rPr>
          <w:spacing w:val="-5"/>
          <w:sz w:val="22"/>
        </w:rPr>
        <w:t> </w:t>
      </w:r>
      <w:r>
        <w:rPr>
          <w:sz w:val="22"/>
        </w:rPr>
        <w:t>una</w:t>
      </w:r>
      <w:r>
        <w:rPr>
          <w:spacing w:val="-5"/>
          <w:sz w:val="22"/>
        </w:rPr>
        <w:t> </w:t>
      </w:r>
      <w:r>
        <w:rPr>
          <w:sz w:val="22"/>
        </w:rPr>
        <w:t>serie</w:t>
      </w:r>
      <w:r>
        <w:rPr>
          <w:spacing w:val="-5"/>
          <w:sz w:val="22"/>
        </w:rPr>
        <w:t> </w:t>
      </w:r>
      <w:r>
        <w:rPr>
          <w:sz w:val="22"/>
        </w:rPr>
        <w:t>de</w:t>
      </w:r>
      <w:r>
        <w:rPr>
          <w:spacing w:val="-5"/>
          <w:sz w:val="22"/>
        </w:rPr>
        <w:t> </w:t>
      </w:r>
      <w:r>
        <w:rPr>
          <w:sz w:val="22"/>
        </w:rPr>
        <w:t>justificaciones</w:t>
      </w:r>
      <w:r>
        <w:rPr>
          <w:spacing w:val="-5"/>
          <w:sz w:val="22"/>
        </w:rPr>
        <w:t> </w:t>
      </w:r>
      <w:r>
        <w:rPr>
          <w:sz w:val="22"/>
        </w:rPr>
        <w:t>para</w:t>
      </w:r>
      <w:r>
        <w:rPr>
          <w:spacing w:val="-5"/>
          <w:sz w:val="22"/>
        </w:rPr>
        <w:t> </w:t>
      </w:r>
      <w:r>
        <w:rPr>
          <w:sz w:val="22"/>
        </w:rPr>
        <w:t>la adopción de la medida de “restricción al ingreso” aplicada a través de las Aduanas de Ipiales y Puerto Asís.</w:t>
      </w:r>
    </w:p>
    <w:p>
      <w:pPr>
        <w:pStyle w:val="BodyText"/>
        <w:spacing w:before="18"/>
        <w:rPr>
          <w:sz w:val="20"/>
        </w:rPr>
      </w:pPr>
      <w:r>
        <w:rPr>
          <w:sz w:val="20"/>
        </w:rPr>
        <mc:AlternateContent>
          <mc:Choice Requires="wps">
            <w:drawing>
              <wp:anchor distT="0" distB="0" distL="0" distR="0" allowOverlap="1" layoutInCell="1" locked="0" behindDoc="1" simplePos="0" relativeHeight="487651840">
                <wp:simplePos x="0" y="0"/>
                <wp:positionH relativeFrom="page">
                  <wp:posOffset>990904</wp:posOffset>
                </wp:positionH>
                <wp:positionV relativeFrom="paragraph">
                  <wp:posOffset>173268</wp:posOffset>
                </wp:positionV>
                <wp:extent cx="1829435" cy="7620"/>
                <wp:effectExtent l="0" t="0" r="0" b="0"/>
                <wp:wrapTopAndBottom/>
                <wp:docPr id="539" name="Graphic 539"/>
                <wp:cNvGraphicFramePr>
                  <a:graphicFrameLocks/>
                </wp:cNvGraphicFramePr>
                <a:graphic>
                  <a:graphicData uri="http://schemas.microsoft.com/office/word/2010/wordprocessingShape">
                    <wps:wsp>
                      <wps:cNvPr id="539" name="Graphic 539"/>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3.643228pt;width:144.020pt;height:.599980pt;mso-position-horizontal-relative:page;mso-position-vertical-relative:paragraph;z-index:-15664640;mso-wrap-distance-left:0;mso-wrap-distance-right:0" id="docshape372" filled="true" fillcolor="#000000" stroked="false">
                <v:fill type="solid"/>
                <w10:wrap type="topAndBottom"/>
              </v:rect>
            </w:pict>
          </mc:Fallback>
        </mc:AlternateContent>
      </w:r>
    </w:p>
    <w:p>
      <w:pPr>
        <w:spacing w:line="183" w:lineRule="exact" w:before="92"/>
        <w:ind w:left="568" w:right="0" w:firstLine="0"/>
        <w:jc w:val="left"/>
        <w:rPr>
          <w:sz w:val="16"/>
        </w:rPr>
      </w:pPr>
      <w:bookmarkStart w:name="_bookmark140" w:id="141"/>
      <w:bookmarkEnd w:id="141"/>
      <w:r>
        <w:rPr/>
      </w:r>
      <w:r>
        <w:rPr>
          <w:sz w:val="16"/>
          <w:vertAlign w:val="superscript"/>
        </w:rPr>
        <w:t>73</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000359.</w:t>
      </w:r>
    </w:p>
    <w:p>
      <w:pPr>
        <w:spacing w:line="183" w:lineRule="exact" w:before="0"/>
        <w:ind w:left="568" w:right="0" w:firstLine="0"/>
        <w:jc w:val="left"/>
        <w:rPr>
          <w:sz w:val="16"/>
        </w:rPr>
      </w:pPr>
      <w:bookmarkStart w:name="_bookmark141" w:id="142"/>
      <w:bookmarkEnd w:id="142"/>
      <w:r>
        <w:rPr/>
      </w:r>
      <w:r>
        <w:rPr>
          <w:sz w:val="16"/>
          <w:vertAlign w:val="superscript"/>
        </w:rPr>
        <w:t>74</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000018.</w:t>
      </w:r>
    </w:p>
    <w:p>
      <w:pPr>
        <w:spacing w:before="1"/>
        <w:ind w:left="568" w:right="0" w:firstLine="0"/>
        <w:jc w:val="left"/>
        <w:rPr>
          <w:sz w:val="16"/>
        </w:rPr>
      </w:pPr>
      <w:bookmarkStart w:name="_bookmark142" w:id="143"/>
      <w:bookmarkEnd w:id="143"/>
      <w:r>
        <w:rPr/>
      </w:r>
      <w:r>
        <w:rPr>
          <w:sz w:val="16"/>
          <w:vertAlign w:val="superscript"/>
        </w:rPr>
        <w:t>75</w:t>
      </w:r>
      <w:r>
        <w:rPr>
          <w:spacing w:val="-10"/>
          <w:sz w:val="16"/>
          <w:vertAlign w:val="baseline"/>
        </w:rPr>
        <w:t> </w:t>
      </w:r>
      <w:r>
        <w:rPr>
          <w:sz w:val="16"/>
          <w:vertAlign w:val="baseline"/>
        </w:rPr>
        <w:t>Expediente</w:t>
      </w:r>
      <w:r>
        <w:rPr>
          <w:spacing w:val="-10"/>
          <w:sz w:val="16"/>
          <w:vertAlign w:val="baseline"/>
        </w:rPr>
        <w:t> </w:t>
      </w:r>
      <w:r>
        <w:rPr>
          <w:sz w:val="16"/>
          <w:vertAlign w:val="baseline"/>
        </w:rPr>
        <w:t>DGCOM/GRAV-REST/002/2026,</w:t>
      </w:r>
      <w:r>
        <w:rPr>
          <w:spacing w:val="-10"/>
          <w:sz w:val="16"/>
          <w:vertAlign w:val="baseline"/>
        </w:rPr>
        <w:t> </w:t>
      </w:r>
      <w:r>
        <w:rPr>
          <w:spacing w:val="-2"/>
          <w:sz w:val="16"/>
          <w:vertAlign w:val="baseline"/>
        </w:rPr>
        <w:t>Ibidem.</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40" name="Group 540"/>
                <wp:cNvGraphicFramePr>
                  <a:graphicFrameLocks/>
                </wp:cNvGraphicFramePr>
                <a:graphic>
                  <a:graphicData uri="http://schemas.microsoft.com/office/word/2010/wordprocessingGroup">
                    <wpg:wgp>
                      <wpg:cNvPr id="540" name="Group 540"/>
                      <wpg:cNvGrpSpPr/>
                      <wpg:grpSpPr>
                        <a:xfrm>
                          <a:off x="0" y="0"/>
                          <a:ext cx="6131560" cy="9525"/>
                          <a:chExt cx="6131560" cy="9525"/>
                        </a:xfrm>
                      </wpg:grpSpPr>
                      <wps:wsp>
                        <wps:cNvPr id="541" name="Graphic 541"/>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73"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79" w:hanging="567"/>
        <w:jc w:val="both"/>
        <w:rPr>
          <w:sz w:val="22"/>
        </w:rPr>
      </w:pPr>
      <w:r>
        <w:rPr>
          <w:sz w:val="22"/>
        </w:rPr>
        <w:t>Como justificativos se destaca la importancia de esta mercancía en la producción agrícola</w:t>
      </w:r>
      <w:r>
        <w:rPr>
          <w:spacing w:val="-16"/>
          <w:sz w:val="22"/>
        </w:rPr>
        <w:t> </w:t>
      </w:r>
      <w:r>
        <w:rPr>
          <w:sz w:val="22"/>
        </w:rPr>
        <w:t>de</w:t>
      </w:r>
      <w:r>
        <w:rPr>
          <w:spacing w:val="-15"/>
          <w:sz w:val="22"/>
        </w:rPr>
        <w:t> </w:t>
      </w:r>
      <w:r>
        <w:rPr>
          <w:sz w:val="22"/>
        </w:rPr>
        <w:t>la</w:t>
      </w:r>
      <w:r>
        <w:rPr>
          <w:spacing w:val="-15"/>
          <w:sz w:val="22"/>
        </w:rPr>
        <w:t> </w:t>
      </w:r>
      <w:r>
        <w:rPr>
          <w:sz w:val="22"/>
        </w:rPr>
        <w:t>República</w:t>
      </w:r>
      <w:r>
        <w:rPr>
          <w:spacing w:val="-16"/>
          <w:sz w:val="22"/>
        </w:rPr>
        <w:t> </w:t>
      </w:r>
      <w:r>
        <w:rPr>
          <w:sz w:val="22"/>
        </w:rPr>
        <w:t>de</w:t>
      </w:r>
      <w:r>
        <w:rPr>
          <w:spacing w:val="-15"/>
          <w:sz w:val="22"/>
        </w:rPr>
        <w:t> </w:t>
      </w:r>
      <w:r>
        <w:rPr>
          <w:sz w:val="22"/>
        </w:rPr>
        <w:t>Colombia.</w:t>
      </w:r>
      <w:r>
        <w:rPr>
          <w:spacing w:val="-15"/>
          <w:sz w:val="22"/>
        </w:rPr>
        <w:t> </w:t>
      </w:r>
      <w:r>
        <w:rPr>
          <w:sz w:val="22"/>
        </w:rPr>
        <w:t>Se</w:t>
      </w:r>
      <w:r>
        <w:rPr>
          <w:spacing w:val="-15"/>
          <w:sz w:val="22"/>
        </w:rPr>
        <w:t> </w:t>
      </w:r>
      <w:r>
        <w:rPr>
          <w:sz w:val="22"/>
        </w:rPr>
        <w:t>menciona</w:t>
      </w:r>
      <w:r>
        <w:rPr>
          <w:spacing w:val="-16"/>
          <w:sz w:val="22"/>
        </w:rPr>
        <w:t> </w:t>
      </w:r>
      <w:r>
        <w:rPr>
          <w:sz w:val="22"/>
        </w:rPr>
        <w:t>que</w:t>
      </w:r>
      <w:r>
        <w:rPr>
          <w:spacing w:val="-15"/>
          <w:sz w:val="22"/>
        </w:rPr>
        <w:t> </w:t>
      </w:r>
      <w:r>
        <w:rPr>
          <w:sz w:val="22"/>
        </w:rPr>
        <w:t>las</w:t>
      </w:r>
      <w:r>
        <w:rPr>
          <w:spacing w:val="-15"/>
          <w:sz w:val="22"/>
        </w:rPr>
        <w:t> </w:t>
      </w:r>
      <w:r>
        <w:rPr>
          <w:sz w:val="22"/>
        </w:rPr>
        <w:t>importaciones</w:t>
      </w:r>
      <w:r>
        <w:rPr>
          <w:spacing w:val="-16"/>
          <w:sz w:val="22"/>
        </w:rPr>
        <w:t> </w:t>
      </w:r>
      <w:r>
        <w:rPr>
          <w:sz w:val="22"/>
        </w:rPr>
        <w:t>subsidiadas</w:t>
      </w:r>
      <w:hyperlink w:history="true" w:anchor="_bookmark143">
        <w:r>
          <w:rPr>
            <w:sz w:val="22"/>
            <w:vertAlign w:val="superscript"/>
          </w:rPr>
          <w:t>76</w:t>
        </w:r>
      </w:hyperlink>
      <w:r>
        <w:rPr>
          <w:sz w:val="22"/>
          <w:vertAlign w:val="baseline"/>
        </w:rPr>
        <w:t> de</w:t>
      </w:r>
      <w:r>
        <w:rPr>
          <w:spacing w:val="-4"/>
          <w:sz w:val="22"/>
          <w:vertAlign w:val="baseline"/>
        </w:rPr>
        <w:t> </w:t>
      </w:r>
      <w:r>
        <w:rPr>
          <w:sz w:val="22"/>
          <w:vertAlign w:val="baseline"/>
        </w:rPr>
        <w:t>Ecuador</w:t>
      </w:r>
      <w:r>
        <w:rPr>
          <w:spacing w:val="-3"/>
          <w:sz w:val="22"/>
          <w:vertAlign w:val="baseline"/>
        </w:rPr>
        <w:t> </w:t>
      </w:r>
      <w:r>
        <w:rPr>
          <w:sz w:val="22"/>
          <w:vertAlign w:val="baseline"/>
        </w:rPr>
        <w:t>y</w:t>
      </w:r>
      <w:r>
        <w:rPr>
          <w:spacing w:val="-4"/>
          <w:sz w:val="22"/>
          <w:vertAlign w:val="baseline"/>
        </w:rPr>
        <w:t> </w:t>
      </w:r>
      <w:r>
        <w:rPr>
          <w:sz w:val="22"/>
          <w:vertAlign w:val="baseline"/>
        </w:rPr>
        <w:t>Estados</w:t>
      </w:r>
      <w:r>
        <w:rPr>
          <w:spacing w:val="-4"/>
          <w:sz w:val="22"/>
          <w:vertAlign w:val="baseline"/>
        </w:rPr>
        <w:t> </w:t>
      </w:r>
      <w:r>
        <w:rPr>
          <w:sz w:val="22"/>
          <w:vertAlign w:val="baseline"/>
        </w:rPr>
        <w:t>Unidos</w:t>
      </w:r>
      <w:r>
        <w:rPr>
          <w:spacing w:val="-4"/>
          <w:sz w:val="22"/>
          <w:vertAlign w:val="baseline"/>
        </w:rPr>
        <w:t> </w:t>
      </w:r>
      <w:r>
        <w:rPr>
          <w:sz w:val="22"/>
          <w:vertAlign w:val="baseline"/>
        </w:rPr>
        <w:t>habrían</w:t>
      </w:r>
      <w:r>
        <w:rPr>
          <w:spacing w:val="-4"/>
          <w:sz w:val="22"/>
          <w:vertAlign w:val="baseline"/>
        </w:rPr>
        <w:t> </w:t>
      </w:r>
      <w:r>
        <w:rPr>
          <w:sz w:val="22"/>
          <w:vertAlign w:val="baseline"/>
        </w:rPr>
        <w:t>generado</w:t>
      </w:r>
      <w:r>
        <w:rPr>
          <w:spacing w:val="-6"/>
          <w:sz w:val="22"/>
          <w:vertAlign w:val="baseline"/>
        </w:rPr>
        <w:t> </w:t>
      </w:r>
      <w:r>
        <w:rPr>
          <w:sz w:val="22"/>
          <w:vertAlign w:val="baseline"/>
        </w:rPr>
        <w:t>una</w:t>
      </w:r>
      <w:r>
        <w:rPr>
          <w:spacing w:val="-4"/>
          <w:sz w:val="22"/>
          <w:vertAlign w:val="baseline"/>
        </w:rPr>
        <w:t> </w:t>
      </w:r>
      <w:r>
        <w:rPr>
          <w:sz w:val="22"/>
          <w:vertAlign w:val="baseline"/>
        </w:rPr>
        <w:t>presión</w:t>
      </w:r>
      <w:r>
        <w:rPr>
          <w:spacing w:val="-4"/>
          <w:sz w:val="22"/>
          <w:vertAlign w:val="baseline"/>
        </w:rPr>
        <w:t> </w:t>
      </w:r>
      <w:r>
        <w:rPr>
          <w:sz w:val="22"/>
          <w:vertAlign w:val="baseline"/>
        </w:rPr>
        <w:t>a</w:t>
      </w:r>
      <w:r>
        <w:rPr>
          <w:spacing w:val="-4"/>
          <w:sz w:val="22"/>
          <w:vertAlign w:val="baseline"/>
        </w:rPr>
        <w:t> </w:t>
      </w:r>
      <w:r>
        <w:rPr>
          <w:sz w:val="22"/>
          <w:vertAlign w:val="baseline"/>
        </w:rPr>
        <w:t>la</w:t>
      </w:r>
      <w:r>
        <w:rPr>
          <w:spacing w:val="-4"/>
          <w:sz w:val="22"/>
          <w:vertAlign w:val="baseline"/>
        </w:rPr>
        <w:t> </w:t>
      </w:r>
      <w:r>
        <w:rPr>
          <w:sz w:val="22"/>
          <w:vertAlign w:val="baseline"/>
        </w:rPr>
        <w:t>baja</w:t>
      </w:r>
      <w:r>
        <w:rPr>
          <w:spacing w:val="-4"/>
          <w:sz w:val="22"/>
          <w:vertAlign w:val="baseline"/>
        </w:rPr>
        <w:t> </w:t>
      </w:r>
      <w:r>
        <w:rPr>
          <w:sz w:val="22"/>
          <w:vertAlign w:val="baseline"/>
        </w:rPr>
        <w:t>sobre</w:t>
      </w:r>
      <w:r>
        <w:rPr>
          <w:spacing w:val="-4"/>
          <w:sz w:val="22"/>
          <w:vertAlign w:val="baseline"/>
        </w:rPr>
        <w:t> </w:t>
      </w:r>
      <w:r>
        <w:rPr>
          <w:sz w:val="22"/>
          <w:vertAlign w:val="baseline"/>
        </w:rPr>
        <w:t>los</w:t>
      </w:r>
      <w:r>
        <w:rPr>
          <w:spacing w:val="-4"/>
          <w:sz w:val="22"/>
          <w:vertAlign w:val="baseline"/>
        </w:rPr>
        <w:t> </w:t>
      </w:r>
      <w:r>
        <w:rPr>
          <w:sz w:val="22"/>
          <w:vertAlign w:val="baseline"/>
        </w:rPr>
        <w:t>precios internacionales del arroz. Asimismo, se sostiene que dichos precios supuestamente bajos,</w:t>
      </w:r>
      <w:r>
        <w:rPr>
          <w:spacing w:val="-16"/>
          <w:sz w:val="22"/>
          <w:vertAlign w:val="baseline"/>
        </w:rPr>
        <w:t> </w:t>
      </w:r>
      <w:r>
        <w:rPr>
          <w:sz w:val="22"/>
          <w:vertAlign w:val="baseline"/>
        </w:rPr>
        <w:t>sumados</w:t>
      </w:r>
      <w:r>
        <w:rPr>
          <w:spacing w:val="-15"/>
          <w:sz w:val="22"/>
          <w:vertAlign w:val="baseline"/>
        </w:rPr>
        <w:t> </w:t>
      </w:r>
      <w:r>
        <w:rPr>
          <w:sz w:val="22"/>
          <w:vertAlign w:val="baseline"/>
        </w:rPr>
        <w:t>al</w:t>
      </w:r>
      <w:r>
        <w:rPr>
          <w:spacing w:val="-15"/>
          <w:sz w:val="22"/>
          <w:vertAlign w:val="baseline"/>
        </w:rPr>
        <w:t> </w:t>
      </w:r>
      <w:r>
        <w:rPr>
          <w:sz w:val="22"/>
          <w:vertAlign w:val="baseline"/>
        </w:rPr>
        <w:t>ingreso</w:t>
      </w:r>
      <w:r>
        <w:rPr>
          <w:spacing w:val="-16"/>
          <w:sz w:val="22"/>
          <w:vertAlign w:val="baseline"/>
        </w:rPr>
        <w:t> </w:t>
      </w:r>
      <w:r>
        <w:rPr>
          <w:sz w:val="22"/>
          <w:vertAlign w:val="baseline"/>
        </w:rPr>
        <w:t>irregular</w:t>
      </w:r>
      <w:r>
        <w:rPr>
          <w:spacing w:val="-15"/>
          <w:sz w:val="22"/>
          <w:vertAlign w:val="baseline"/>
        </w:rPr>
        <w:t> </w:t>
      </w:r>
      <w:r>
        <w:rPr>
          <w:sz w:val="22"/>
          <w:vertAlign w:val="baseline"/>
        </w:rPr>
        <w:t>de</w:t>
      </w:r>
      <w:r>
        <w:rPr>
          <w:spacing w:val="-15"/>
          <w:sz w:val="22"/>
          <w:vertAlign w:val="baseline"/>
        </w:rPr>
        <w:t> </w:t>
      </w:r>
      <w:r>
        <w:rPr>
          <w:sz w:val="22"/>
          <w:vertAlign w:val="baseline"/>
        </w:rPr>
        <w:t>arroz</w:t>
      </w:r>
      <w:r>
        <w:rPr>
          <w:spacing w:val="-15"/>
          <w:sz w:val="22"/>
          <w:vertAlign w:val="baseline"/>
        </w:rPr>
        <w:t> </w:t>
      </w:r>
      <w:r>
        <w:rPr>
          <w:sz w:val="22"/>
          <w:vertAlign w:val="baseline"/>
        </w:rPr>
        <w:t>por</w:t>
      </w:r>
      <w:r>
        <w:rPr>
          <w:spacing w:val="-16"/>
          <w:sz w:val="22"/>
          <w:vertAlign w:val="baseline"/>
        </w:rPr>
        <w:t> </w:t>
      </w:r>
      <w:r>
        <w:rPr>
          <w:sz w:val="22"/>
          <w:vertAlign w:val="baseline"/>
        </w:rPr>
        <w:t>la</w:t>
      </w:r>
      <w:r>
        <w:rPr>
          <w:spacing w:val="-15"/>
          <w:sz w:val="22"/>
          <w:vertAlign w:val="baseline"/>
        </w:rPr>
        <w:t> </w:t>
      </w:r>
      <w:r>
        <w:rPr>
          <w:sz w:val="22"/>
          <w:vertAlign w:val="baseline"/>
        </w:rPr>
        <w:t>frontera</w:t>
      </w:r>
      <w:r>
        <w:rPr>
          <w:spacing w:val="-15"/>
          <w:sz w:val="22"/>
          <w:vertAlign w:val="baseline"/>
        </w:rPr>
        <w:t> </w:t>
      </w:r>
      <w:r>
        <w:rPr>
          <w:sz w:val="22"/>
          <w:vertAlign w:val="baseline"/>
        </w:rPr>
        <w:t>con</w:t>
      </w:r>
      <w:r>
        <w:rPr>
          <w:spacing w:val="-16"/>
          <w:sz w:val="22"/>
          <w:vertAlign w:val="baseline"/>
        </w:rPr>
        <w:t> </w:t>
      </w:r>
      <w:r>
        <w:rPr>
          <w:sz w:val="22"/>
          <w:vertAlign w:val="baseline"/>
        </w:rPr>
        <w:t>la</w:t>
      </w:r>
      <w:r>
        <w:rPr>
          <w:spacing w:val="-15"/>
          <w:sz w:val="22"/>
          <w:vertAlign w:val="baseline"/>
        </w:rPr>
        <w:t> </w:t>
      </w:r>
      <w:r>
        <w:rPr>
          <w:sz w:val="22"/>
          <w:vertAlign w:val="baseline"/>
        </w:rPr>
        <w:t>República</w:t>
      </w:r>
      <w:r>
        <w:rPr>
          <w:spacing w:val="-15"/>
          <w:sz w:val="22"/>
          <w:vertAlign w:val="baseline"/>
        </w:rPr>
        <w:t> </w:t>
      </w:r>
      <w:r>
        <w:rPr>
          <w:sz w:val="22"/>
          <w:vertAlign w:val="baseline"/>
        </w:rPr>
        <w:t>del</w:t>
      </w:r>
      <w:r>
        <w:rPr>
          <w:spacing w:val="-15"/>
          <w:sz w:val="22"/>
          <w:vertAlign w:val="baseline"/>
        </w:rPr>
        <w:t> </w:t>
      </w:r>
      <w:r>
        <w:rPr>
          <w:sz w:val="22"/>
          <w:vertAlign w:val="baseline"/>
        </w:rPr>
        <w:t>Ecuador, afectaría la competitividad del arroz colombiano y podría incentivar una mayor dependencia de las importaciones.</w:t>
      </w:r>
    </w:p>
    <w:p>
      <w:pPr>
        <w:pStyle w:val="ListParagraph"/>
        <w:numPr>
          <w:ilvl w:val="0"/>
          <w:numId w:val="50"/>
        </w:numPr>
        <w:tabs>
          <w:tab w:pos="1130" w:val="left" w:leader="none"/>
          <w:tab w:pos="1134" w:val="left" w:leader="none"/>
        </w:tabs>
        <w:spacing w:line="240" w:lineRule="auto" w:before="252" w:after="0"/>
        <w:ind w:left="1134" w:right="981" w:hanging="567"/>
        <w:jc w:val="both"/>
        <w:rPr>
          <w:sz w:val="22"/>
        </w:rPr>
      </w:pPr>
      <w:r>
        <w:rPr>
          <w:sz w:val="22"/>
        </w:rPr>
        <w:t>Se presentan datos estadísticos</w:t>
      </w:r>
      <w:r>
        <w:rPr>
          <w:spacing w:val="-1"/>
          <w:sz w:val="22"/>
        </w:rPr>
        <w:t> </w:t>
      </w:r>
      <w:r>
        <w:rPr>
          <w:sz w:val="22"/>
        </w:rPr>
        <w:t>que evidenciarían un incremento de los</w:t>
      </w:r>
      <w:r>
        <w:rPr>
          <w:spacing w:val="-1"/>
          <w:sz w:val="22"/>
        </w:rPr>
        <w:t> </w:t>
      </w:r>
      <w:r>
        <w:rPr>
          <w:sz w:val="22"/>
        </w:rPr>
        <w:t>inventarios, lo cual tendría </w:t>
      </w:r>
      <w:r>
        <w:rPr>
          <w:rFonts w:ascii="Arial" w:hAnsi="Arial"/>
          <w:i/>
          <w:sz w:val="22"/>
        </w:rPr>
        <w:t>“implicaciones sobre la rotación comercial y la dinámica de compras de la cadena; que, adicionalmente, entre enero y noviembre de 2025 las importaciones registradas</w:t>
      </w:r>
      <w:r>
        <w:rPr>
          <w:rFonts w:ascii="Arial" w:hAnsi="Arial"/>
          <w:i/>
          <w:spacing w:val="-7"/>
          <w:sz w:val="22"/>
        </w:rPr>
        <w:t> </w:t>
      </w:r>
      <w:r>
        <w:rPr>
          <w:rFonts w:ascii="Arial" w:hAnsi="Arial"/>
          <w:i/>
          <w:sz w:val="22"/>
        </w:rPr>
        <w:t>de</w:t>
      </w:r>
      <w:r>
        <w:rPr>
          <w:rFonts w:ascii="Arial" w:hAnsi="Arial"/>
          <w:i/>
          <w:spacing w:val="-8"/>
          <w:sz w:val="22"/>
        </w:rPr>
        <w:t> </w:t>
      </w:r>
      <w:r>
        <w:rPr>
          <w:rFonts w:ascii="Arial" w:hAnsi="Arial"/>
          <w:i/>
          <w:sz w:val="22"/>
        </w:rPr>
        <w:t>arroz</w:t>
      </w:r>
      <w:r>
        <w:rPr>
          <w:rFonts w:ascii="Arial" w:hAnsi="Arial"/>
          <w:i/>
          <w:spacing w:val="-9"/>
          <w:sz w:val="22"/>
        </w:rPr>
        <w:t> </w:t>
      </w:r>
      <w:r>
        <w:rPr>
          <w:rFonts w:ascii="Arial" w:hAnsi="Arial"/>
          <w:i/>
          <w:sz w:val="22"/>
        </w:rPr>
        <w:t>(equivalente</w:t>
      </w:r>
      <w:r>
        <w:rPr>
          <w:rFonts w:ascii="Arial" w:hAnsi="Arial"/>
          <w:i/>
          <w:spacing w:val="-7"/>
          <w:sz w:val="22"/>
        </w:rPr>
        <w:t> </w:t>
      </w:r>
      <w:r>
        <w:rPr>
          <w:rFonts w:ascii="Arial" w:hAnsi="Arial"/>
          <w:i/>
          <w:sz w:val="22"/>
        </w:rPr>
        <w:t>arroz</w:t>
      </w:r>
      <w:r>
        <w:rPr>
          <w:rFonts w:ascii="Arial" w:hAnsi="Arial"/>
          <w:i/>
          <w:spacing w:val="-7"/>
          <w:sz w:val="22"/>
        </w:rPr>
        <w:t> </w:t>
      </w:r>
      <w:r>
        <w:rPr>
          <w:rFonts w:ascii="Arial" w:hAnsi="Arial"/>
          <w:i/>
          <w:sz w:val="22"/>
        </w:rPr>
        <w:t>blanco)</w:t>
      </w:r>
      <w:r>
        <w:rPr>
          <w:rFonts w:ascii="Arial" w:hAnsi="Arial"/>
          <w:i/>
          <w:spacing w:val="-9"/>
          <w:sz w:val="22"/>
        </w:rPr>
        <w:t> </w:t>
      </w:r>
      <w:r>
        <w:rPr>
          <w:rFonts w:ascii="Arial" w:hAnsi="Arial"/>
          <w:i/>
          <w:sz w:val="22"/>
        </w:rPr>
        <w:t>se</w:t>
      </w:r>
      <w:r>
        <w:rPr>
          <w:rFonts w:ascii="Arial" w:hAnsi="Arial"/>
          <w:i/>
          <w:spacing w:val="-12"/>
          <w:sz w:val="22"/>
        </w:rPr>
        <w:t> </w:t>
      </w:r>
      <w:r>
        <w:rPr>
          <w:rFonts w:ascii="Arial" w:hAnsi="Arial"/>
          <w:i/>
          <w:sz w:val="22"/>
        </w:rPr>
        <w:t>redujeron</w:t>
      </w:r>
      <w:r>
        <w:rPr>
          <w:rFonts w:ascii="Arial" w:hAnsi="Arial"/>
          <w:i/>
          <w:spacing w:val="-7"/>
          <w:sz w:val="22"/>
        </w:rPr>
        <w:t> </w:t>
      </w:r>
      <w:r>
        <w:rPr>
          <w:rFonts w:ascii="Arial" w:hAnsi="Arial"/>
          <w:i/>
          <w:sz w:val="22"/>
        </w:rPr>
        <w:t>67%</w:t>
      </w:r>
      <w:r>
        <w:rPr>
          <w:rFonts w:ascii="Arial" w:hAnsi="Arial"/>
          <w:i/>
          <w:spacing w:val="-9"/>
          <w:sz w:val="22"/>
        </w:rPr>
        <w:t> </w:t>
      </w:r>
      <w:r>
        <w:rPr>
          <w:rFonts w:ascii="Arial" w:hAnsi="Arial"/>
          <w:i/>
          <w:sz w:val="22"/>
        </w:rPr>
        <w:t>frente</w:t>
      </w:r>
      <w:r>
        <w:rPr>
          <w:rFonts w:ascii="Arial" w:hAnsi="Arial"/>
          <w:i/>
          <w:spacing w:val="-7"/>
          <w:sz w:val="22"/>
        </w:rPr>
        <w:t> </w:t>
      </w:r>
      <w:r>
        <w:rPr>
          <w:rFonts w:ascii="Arial" w:hAnsi="Arial"/>
          <w:i/>
          <w:sz w:val="22"/>
        </w:rPr>
        <w:t>a</w:t>
      </w:r>
      <w:r>
        <w:rPr>
          <w:rFonts w:ascii="Arial" w:hAnsi="Arial"/>
          <w:i/>
          <w:spacing w:val="-10"/>
          <w:sz w:val="22"/>
        </w:rPr>
        <w:t> </w:t>
      </w:r>
      <w:r>
        <w:rPr>
          <w:rFonts w:ascii="Arial" w:hAnsi="Arial"/>
          <w:i/>
          <w:sz w:val="22"/>
        </w:rPr>
        <w:t>2024,</w:t>
      </w:r>
      <w:r>
        <w:rPr>
          <w:rFonts w:ascii="Arial" w:hAnsi="Arial"/>
          <w:i/>
          <w:spacing w:val="-6"/>
          <w:sz w:val="22"/>
        </w:rPr>
        <w:t> </w:t>
      </w:r>
      <w:r>
        <w:rPr>
          <w:rFonts w:ascii="Arial" w:hAnsi="Arial"/>
          <w:i/>
          <w:sz w:val="22"/>
        </w:rPr>
        <w:t>aunque el flujo se concentró en Ecuador, que representó 73% del total (46.596 t)</w:t>
      </w:r>
      <w:r>
        <w:rPr>
          <w:sz w:val="22"/>
        </w:rPr>
        <w:t>”</w:t>
      </w:r>
      <w:hyperlink w:history="true" w:anchor="_bookmark144">
        <w:r>
          <w:rPr>
            <w:sz w:val="22"/>
            <w:vertAlign w:val="superscript"/>
          </w:rPr>
          <w:t>77</w:t>
        </w:r>
      </w:hyperlink>
      <w:r>
        <w:rPr>
          <w:sz w:val="22"/>
          <w:vertAlign w:val="baseline"/>
        </w:rPr>
        <w:t>.</w:t>
      </w:r>
    </w:p>
    <w:p>
      <w:pPr>
        <w:pStyle w:val="ListParagraph"/>
        <w:numPr>
          <w:ilvl w:val="0"/>
          <w:numId w:val="50"/>
        </w:numPr>
        <w:tabs>
          <w:tab w:pos="1130" w:val="left" w:leader="none"/>
          <w:tab w:pos="1134" w:val="left" w:leader="none"/>
        </w:tabs>
        <w:spacing w:line="240" w:lineRule="auto" w:before="253" w:after="0"/>
        <w:ind w:left="1134" w:right="980" w:hanging="567"/>
        <w:jc w:val="both"/>
        <w:rPr>
          <w:sz w:val="22"/>
        </w:rPr>
      </w:pPr>
      <w:r>
        <w:rPr>
          <w:sz w:val="22"/>
        </w:rPr>
        <w:t>Por último, se señala que “</w:t>
      </w:r>
      <w:r>
        <w:rPr>
          <w:rFonts w:ascii="Arial" w:hAnsi="Arial"/>
          <w:i/>
          <w:sz w:val="22"/>
        </w:rPr>
        <w:t>la medida administrativa que se propone adoptar causa el menor perjuicio posible al Programa de Liberación en la medida en que no es una prohibición absoluta sino relativa. Es decir, la importación del arroz del Ecuador sigue autorizado por medios de transporte marítimos y aéreo</w:t>
      </w:r>
      <w:r>
        <w:rPr>
          <w:sz w:val="22"/>
        </w:rPr>
        <w:t>”</w:t>
      </w:r>
      <w:hyperlink w:history="true" w:anchor="_bookmark145">
        <w:r>
          <w:rPr>
            <w:sz w:val="22"/>
            <w:vertAlign w:val="superscript"/>
          </w:rPr>
          <w:t>78</w:t>
        </w:r>
      </w:hyperlink>
      <w:r>
        <w:rPr>
          <w:sz w:val="22"/>
          <w:vertAlign w:val="baseline"/>
        </w:rPr>
        <w:t>.</w:t>
      </w:r>
    </w:p>
    <w:p>
      <w:pPr>
        <w:pStyle w:val="BodyText"/>
        <w:spacing w:before="1"/>
      </w:pPr>
    </w:p>
    <w:p>
      <w:pPr>
        <w:pStyle w:val="Heading6"/>
        <w:numPr>
          <w:ilvl w:val="0"/>
          <w:numId w:val="95"/>
        </w:numPr>
        <w:tabs>
          <w:tab w:pos="1561" w:val="left" w:leader="none"/>
        </w:tabs>
        <w:spacing w:line="240" w:lineRule="auto" w:before="0" w:after="0"/>
        <w:ind w:left="1561" w:right="0" w:hanging="359"/>
        <w:jc w:val="left"/>
      </w:pPr>
      <w:r>
        <w:rPr/>
        <w:t>Argumentos</w:t>
      </w:r>
      <w:r>
        <w:rPr>
          <w:spacing w:val="-6"/>
        </w:rPr>
        <w:t> </w:t>
      </w:r>
      <w:r>
        <w:rPr/>
        <w:t>de</w:t>
      </w:r>
      <w:r>
        <w:rPr>
          <w:spacing w:val="-6"/>
        </w:rPr>
        <w:t> </w:t>
      </w:r>
      <w:r>
        <w:rPr/>
        <w:t>la</w:t>
      </w:r>
      <w:r>
        <w:rPr>
          <w:spacing w:val="-3"/>
        </w:rPr>
        <w:t> </w:t>
      </w:r>
      <w:r>
        <w:rPr/>
        <w:t>República</w:t>
      </w:r>
      <w:r>
        <w:rPr>
          <w:spacing w:val="-6"/>
        </w:rPr>
        <w:t> </w:t>
      </w:r>
      <w:r>
        <w:rPr/>
        <w:t>del</w:t>
      </w:r>
      <w:r>
        <w:rPr>
          <w:spacing w:val="-4"/>
        </w:rPr>
        <w:t> </w:t>
      </w:r>
      <w:r>
        <w:rPr>
          <w:spacing w:val="-2"/>
        </w:rPr>
        <w:t>Ecuador</w:t>
      </w:r>
    </w:p>
    <w:p>
      <w:pPr>
        <w:pStyle w:val="ListParagraph"/>
        <w:numPr>
          <w:ilvl w:val="0"/>
          <w:numId w:val="50"/>
        </w:numPr>
        <w:tabs>
          <w:tab w:pos="1130" w:val="left" w:leader="none"/>
          <w:tab w:pos="1134" w:val="left" w:leader="none"/>
        </w:tabs>
        <w:spacing w:line="240" w:lineRule="auto" w:before="228" w:after="0"/>
        <w:ind w:left="1134" w:right="977" w:hanging="567"/>
        <w:jc w:val="both"/>
        <w:rPr>
          <w:rFonts w:ascii="Arial" w:hAnsi="Arial"/>
          <w:i/>
          <w:sz w:val="22"/>
        </w:rPr>
      </w:pPr>
      <w:r>
        <w:rPr>
          <w:sz w:val="22"/>
        </w:rPr>
        <w:t>En la solicitud presentada por la República del Ecuador, se menciona que </w:t>
      </w:r>
      <w:r>
        <w:rPr>
          <w:rFonts w:ascii="Arial" w:hAnsi="Arial"/>
          <w:i/>
          <w:sz w:val="22"/>
        </w:rPr>
        <w:t>“[l]a afirmación de que la prohibición de ingreso por Ipiales y Puerto Asís equivale, en la práctica, a una restricción total para ciertos productos, no es una especulación. El Informe Técnico adjunto al presente documento, con fuente del Servicio Nacional de Aduana del Ecuador (SENAE), demuestra</w:t>
      </w:r>
      <w:r>
        <w:rPr>
          <w:rFonts w:ascii="Arial" w:hAnsi="Arial"/>
          <w:i/>
          <w:spacing w:val="-2"/>
          <w:sz w:val="22"/>
        </w:rPr>
        <w:t> </w:t>
      </w:r>
      <w:r>
        <w:rPr>
          <w:rFonts w:ascii="Arial" w:hAnsi="Arial"/>
          <w:i/>
          <w:sz w:val="22"/>
        </w:rPr>
        <w:t>esta</w:t>
      </w:r>
      <w:r>
        <w:rPr>
          <w:rFonts w:ascii="Arial" w:hAnsi="Arial"/>
          <w:i/>
          <w:spacing w:val="-2"/>
          <w:sz w:val="22"/>
        </w:rPr>
        <w:t> </w:t>
      </w:r>
      <w:r>
        <w:rPr>
          <w:rFonts w:ascii="Arial" w:hAnsi="Arial"/>
          <w:i/>
          <w:sz w:val="22"/>
        </w:rPr>
        <w:t>realidad en la Tabla No. 3 (reproducida a continuación).”</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80" w:hanging="567"/>
        <w:jc w:val="both"/>
        <w:rPr>
          <w:rFonts w:ascii="Arial" w:hAnsi="Arial"/>
          <w:i/>
          <w:sz w:val="22"/>
        </w:rPr>
      </w:pPr>
      <w:r>
        <w:rPr>
          <w:sz w:val="22"/>
        </w:rPr>
        <w:t>La</w:t>
      </w:r>
      <w:r>
        <w:rPr>
          <w:spacing w:val="-15"/>
          <w:sz w:val="22"/>
        </w:rPr>
        <w:t> </w:t>
      </w:r>
      <w:r>
        <w:rPr>
          <w:sz w:val="22"/>
        </w:rPr>
        <w:t>República</w:t>
      </w:r>
      <w:r>
        <w:rPr>
          <w:spacing w:val="-14"/>
          <w:sz w:val="22"/>
        </w:rPr>
        <w:t> </w:t>
      </w:r>
      <w:r>
        <w:rPr>
          <w:sz w:val="22"/>
        </w:rPr>
        <w:t>del</w:t>
      </w:r>
      <w:r>
        <w:rPr>
          <w:spacing w:val="-14"/>
          <w:sz w:val="22"/>
        </w:rPr>
        <w:t> </w:t>
      </w:r>
      <w:r>
        <w:rPr>
          <w:sz w:val="22"/>
        </w:rPr>
        <w:t>Ecuador</w:t>
      </w:r>
      <w:r>
        <w:rPr>
          <w:spacing w:val="-15"/>
          <w:sz w:val="22"/>
        </w:rPr>
        <w:t> </w:t>
      </w:r>
      <w:r>
        <w:rPr>
          <w:sz w:val="22"/>
        </w:rPr>
        <w:t>menciona</w:t>
      </w:r>
      <w:r>
        <w:rPr>
          <w:spacing w:val="-14"/>
          <w:sz w:val="22"/>
        </w:rPr>
        <w:t> </w:t>
      </w:r>
      <w:r>
        <w:rPr>
          <w:sz w:val="22"/>
        </w:rPr>
        <w:t>que</w:t>
      </w:r>
      <w:r>
        <w:rPr>
          <w:spacing w:val="-15"/>
          <w:sz w:val="22"/>
        </w:rPr>
        <w:t> </w:t>
      </w:r>
      <w:r>
        <w:rPr>
          <w:rFonts w:ascii="Arial" w:hAnsi="Arial"/>
          <w:i/>
          <w:sz w:val="22"/>
        </w:rPr>
        <w:t>“se</w:t>
      </w:r>
      <w:r>
        <w:rPr>
          <w:rFonts w:ascii="Arial" w:hAnsi="Arial"/>
          <w:i/>
          <w:spacing w:val="-16"/>
          <w:sz w:val="22"/>
        </w:rPr>
        <w:t> </w:t>
      </w:r>
      <w:r>
        <w:rPr>
          <w:rFonts w:ascii="Arial" w:hAnsi="Arial"/>
          <w:i/>
          <w:sz w:val="22"/>
        </w:rPr>
        <w:t>puede</w:t>
      </w:r>
      <w:r>
        <w:rPr>
          <w:rFonts w:ascii="Arial" w:hAnsi="Arial"/>
          <w:i/>
          <w:spacing w:val="-13"/>
          <w:sz w:val="22"/>
        </w:rPr>
        <w:t> </w:t>
      </w:r>
      <w:r>
        <w:rPr>
          <w:rFonts w:ascii="Arial" w:hAnsi="Arial"/>
          <w:i/>
          <w:sz w:val="22"/>
        </w:rPr>
        <w:t>señalar</w:t>
      </w:r>
      <w:r>
        <w:rPr>
          <w:rFonts w:ascii="Arial" w:hAnsi="Arial"/>
          <w:i/>
          <w:spacing w:val="-13"/>
          <w:sz w:val="22"/>
        </w:rPr>
        <w:t> </w:t>
      </w:r>
      <w:r>
        <w:rPr>
          <w:rFonts w:ascii="Arial" w:hAnsi="Arial"/>
          <w:i/>
          <w:sz w:val="22"/>
        </w:rPr>
        <w:t>que</w:t>
      </w:r>
      <w:r>
        <w:rPr>
          <w:rFonts w:ascii="Arial" w:hAnsi="Arial"/>
          <w:i/>
          <w:spacing w:val="-16"/>
          <w:sz w:val="22"/>
        </w:rPr>
        <w:t> </w:t>
      </w:r>
      <w:r>
        <w:rPr>
          <w:rFonts w:ascii="Arial" w:hAnsi="Arial"/>
          <w:i/>
          <w:sz w:val="22"/>
        </w:rPr>
        <w:t>12</w:t>
      </w:r>
      <w:r>
        <w:rPr>
          <w:rFonts w:ascii="Arial" w:hAnsi="Arial"/>
          <w:i/>
          <w:spacing w:val="-13"/>
          <w:sz w:val="22"/>
        </w:rPr>
        <w:t> </w:t>
      </w:r>
      <w:r>
        <w:rPr>
          <w:rFonts w:ascii="Arial" w:hAnsi="Arial"/>
          <w:i/>
          <w:sz w:val="22"/>
        </w:rPr>
        <w:t>de</w:t>
      </w:r>
      <w:r>
        <w:rPr>
          <w:rFonts w:ascii="Arial" w:hAnsi="Arial"/>
          <w:i/>
          <w:spacing w:val="-16"/>
          <w:sz w:val="22"/>
        </w:rPr>
        <w:t> </w:t>
      </w:r>
      <w:r>
        <w:rPr>
          <w:rFonts w:ascii="Arial" w:hAnsi="Arial"/>
          <w:i/>
          <w:sz w:val="22"/>
        </w:rPr>
        <w:t>las</w:t>
      </w:r>
      <w:r>
        <w:rPr>
          <w:rFonts w:ascii="Arial" w:hAnsi="Arial"/>
          <w:i/>
          <w:spacing w:val="-12"/>
          <w:sz w:val="22"/>
        </w:rPr>
        <w:t> </w:t>
      </w:r>
      <w:r>
        <w:rPr>
          <w:rFonts w:ascii="Arial" w:hAnsi="Arial"/>
          <w:i/>
          <w:sz w:val="22"/>
        </w:rPr>
        <w:t>15</w:t>
      </w:r>
      <w:r>
        <w:rPr>
          <w:rFonts w:ascii="Arial" w:hAnsi="Arial"/>
          <w:i/>
          <w:spacing w:val="-14"/>
          <w:sz w:val="22"/>
        </w:rPr>
        <w:t> </w:t>
      </w:r>
      <w:r>
        <w:rPr>
          <w:rFonts w:ascii="Arial" w:hAnsi="Arial"/>
          <w:i/>
          <w:sz w:val="22"/>
        </w:rPr>
        <w:t>subpartidas afectadas por el artículo 2 se exportan a Colombia exclusivamente por vía terrestre (100% de ingreso por esa vía), y dos más lo hacen en un 99% por esa vía”</w:t>
      </w:r>
      <w:hyperlink w:history="true" w:anchor="_bookmark146">
        <w:r>
          <w:rPr>
            <w:rFonts w:ascii="Arial" w:hAnsi="Arial"/>
            <w:i/>
            <w:sz w:val="22"/>
            <w:vertAlign w:val="superscript"/>
          </w:rPr>
          <w:t>79</w:t>
        </w:r>
      </w:hyperlink>
      <w:r>
        <w:rPr>
          <w:rFonts w:ascii="Arial" w:hAnsi="Arial"/>
          <w:i/>
          <w:sz w:val="22"/>
          <w:vertAlign w:val="baseline"/>
        </w:rPr>
        <w:t>.</w:t>
      </w:r>
    </w:p>
    <w:p>
      <w:pPr>
        <w:pStyle w:val="ListParagraph"/>
        <w:numPr>
          <w:ilvl w:val="0"/>
          <w:numId w:val="50"/>
        </w:numPr>
        <w:tabs>
          <w:tab w:pos="1130" w:val="left" w:leader="none"/>
          <w:tab w:pos="1134" w:val="left" w:leader="none"/>
        </w:tabs>
        <w:spacing w:line="240" w:lineRule="auto" w:before="251" w:after="0"/>
        <w:ind w:left="1134" w:right="975" w:hanging="567"/>
        <w:jc w:val="both"/>
        <w:rPr>
          <w:rFonts w:ascii="Arial" w:hAnsi="Arial"/>
          <w:i/>
          <w:sz w:val="22"/>
        </w:rPr>
      </w:pPr>
      <w:r>
        <w:rPr>
          <w:sz w:val="22"/>
        </w:rPr>
        <w:t>Sobre la restricción aplicada al arroz, se indica que esta requeriría un tratamiento especial, en</w:t>
      </w:r>
      <w:r>
        <w:rPr>
          <w:spacing w:val="-4"/>
          <w:sz w:val="22"/>
        </w:rPr>
        <w:t> </w:t>
      </w:r>
      <w:r>
        <w:rPr>
          <w:sz w:val="22"/>
        </w:rPr>
        <w:t>la</w:t>
      </w:r>
      <w:r>
        <w:rPr>
          <w:spacing w:val="-4"/>
          <w:sz w:val="22"/>
        </w:rPr>
        <w:t> </w:t>
      </w:r>
      <w:r>
        <w:rPr>
          <w:sz w:val="22"/>
        </w:rPr>
        <w:t>medida</w:t>
      </w:r>
      <w:r>
        <w:rPr>
          <w:spacing w:val="-2"/>
          <w:sz w:val="22"/>
        </w:rPr>
        <w:t> </w:t>
      </w:r>
      <w:r>
        <w:rPr>
          <w:sz w:val="22"/>
        </w:rPr>
        <w:t>en que</w:t>
      </w:r>
      <w:r>
        <w:rPr>
          <w:spacing w:val="-4"/>
          <w:sz w:val="22"/>
        </w:rPr>
        <w:t> </w:t>
      </w:r>
      <w:r>
        <w:rPr>
          <w:sz w:val="22"/>
        </w:rPr>
        <w:t>se</w:t>
      </w:r>
      <w:r>
        <w:rPr>
          <w:spacing w:val="-4"/>
          <w:sz w:val="22"/>
        </w:rPr>
        <w:t> </w:t>
      </w:r>
      <w:r>
        <w:rPr>
          <w:sz w:val="22"/>
        </w:rPr>
        <w:t>trataría</w:t>
      </w:r>
      <w:r>
        <w:rPr>
          <w:spacing w:val="-4"/>
          <w:sz w:val="22"/>
        </w:rPr>
        <w:t> </w:t>
      </w:r>
      <w:r>
        <w:rPr>
          <w:sz w:val="22"/>
        </w:rPr>
        <w:t>de</w:t>
      </w:r>
      <w:r>
        <w:rPr>
          <w:spacing w:val="-2"/>
          <w:sz w:val="22"/>
        </w:rPr>
        <w:t> </w:t>
      </w:r>
      <w:r>
        <w:rPr>
          <w:sz w:val="22"/>
        </w:rPr>
        <w:t>una</w:t>
      </w:r>
      <w:r>
        <w:rPr>
          <w:spacing w:val="-4"/>
          <w:sz w:val="22"/>
        </w:rPr>
        <w:t> </w:t>
      </w:r>
      <w:r>
        <w:rPr>
          <w:sz w:val="22"/>
        </w:rPr>
        <w:t>controversia</w:t>
      </w:r>
      <w:r>
        <w:rPr>
          <w:spacing w:val="-2"/>
          <w:sz w:val="22"/>
        </w:rPr>
        <w:t> </w:t>
      </w:r>
      <w:r>
        <w:rPr>
          <w:sz w:val="22"/>
        </w:rPr>
        <w:t>de</w:t>
      </w:r>
      <w:r>
        <w:rPr>
          <w:spacing w:val="-4"/>
          <w:sz w:val="22"/>
        </w:rPr>
        <w:t> </w:t>
      </w:r>
      <w:r>
        <w:rPr>
          <w:sz w:val="22"/>
        </w:rPr>
        <w:t>larga</w:t>
      </w:r>
      <w:r>
        <w:rPr>
          <w:spacing w:val="-4"/>
          <w:sz w:val="22"/>
        </w:rPr>
        <w:t> </w:t>
      </w:r>
      <w:r>
        <w:rPr>
          <w:sz w:val="22"/>
        </w:rPr>
        <w:t>data, ya</w:t>
      </w:r>
      <w:r>
        <w:rPr>
          <w:spacing w:val="-6"/>
          <w:sz w:val="22"/>
        </w:rPr>
        <w:t> </w:t>
      </w:r>
      <w:r>
        <w:rPr>
          <w:sz w:val="22"/>
        </w:rPr>
        <w:t>resuelta por</w:t>
      </w:r>
      <w:r>
        <w:rPr>
          <w:spacing w:val="-3"/>
          <w:sz w:val="22"/>
        </w:rPr>
        <w:t> </w:t>
      </w:r>
      <w:r>
        <w:rPr>
          <w:sz w:val="22"/>
        </w:rPr>
        <w:t>el</w:t>
      </w:r>
      <w:r>
        <w:rPr>
          <w:spacing w:val="-5"/>
          <w:sz w:val="22"/>
        </w:rPr>
        <w:t> </w:t>
      </w:r>
      <w:r>
        <w:rPr>
          <w:sz w:val="22"/>
        </w:rPr>
        <w:t>TJCAN.</w:t>
      </w:r>
      <w:r>
        <w:rPr>
          <w:spacing w:val="-2"/>
          <w:sz w:val="22"/>
        </w:rPr>
        <w:t> </w:t>
      </w:r>
      <w:r>
        <w:rPr>
          <w:sz w:val="22"/>
        </w:rPr>
        <w:t>Al</w:t>
      </w:r>
      <w:r>
        <w:rPr>
          <w:spacing w:val="-7"/>
          <w:sz w:val="22"/>
        </w:rPr>
        <w:t> </w:t>
      </w:r>
      <w:r>
        <w:rPr>
          <w:sz w:val="22"/>
        </w:rPr>
        <w:t>respecto,</w:t>
      </w:r>
      <w:r>
        <w:rPr>
          <w:spacing w:val="-3"/>
          <w:sz w:val="22"/>
        </w:rPr>
        <w:t> </w:t>
      </w:r>
      <w:r>
        <w:rPr>
          <w:sz w:val="22"/>
        </w:rPr>
        <w:t>se</w:t>
      </w:r>
      <w:r>
        <w:rPr>
          <w:spacing w:val="-6"/>
          <w:sz w:val="22"/>
        </w:rPr>
        <w:t> </w:t>
      </w:r>
      <w:r>
        <w:rPr>
          <w:sz w:val="22"/>
        </w:rPr>
        <w:t>cita</w:t>
      </w:r>
      <w:r>
        <w:rPr>
          <w:spacing w:val="-6"/>
          <w:sz w:val="22"/>
        </w:rPr>
        <w:t> </w:t>
      </w:r>
      <w:r>
        <w:rPr>
          <w:sz w:val="22"/>
        </w:rPr>
        <w:t>la</w:t>
      </w:r>
      <w:r>
        <w:rPr>
          <w:spacing w:val="-4"/>
          <w:sz w:val="22"/>
        </w:rPr>
        <w:t> </w:t>
      </w:r>
      <w:r>
        <w:rPr>
          <w:sz w:val="22"/>
        </w:rPr>
        <w:t>Sentencia</w:t>
      </w:r>
      <w:r>
        <w:rPr>
          <w:spacing w:val="-4"/>
          <w:sz w:val="22"/>
        </w:rPr>
        <w:t> </w:t>
      </w:r>
      <w:r>
        <w:rPr>
          <w:sz w:val="22"/>
        </w:rPr>
        <w:t>de</w:t>
      </w:r>
      <w:r>
        <w:rPr>
          <w:spacing w:val="-7"/>
          <w:sz w:val="22"/>
        </w:rPr>
        <w:t> </w:t>
      </w:r>
      <w:r>
        <w:rPr>
          <w:sz w:val="22"/>
        </w:rPr>
        <w:t>14</w:t>
      </w:r>
      <w:r>
        <w:rPr>
          <w:spacing w:val="-4"/>
          <w:sz w:val="22"/>
        </w:rPr>
        <w:t> </w:t>
      </w:r>
      <w:r>
        <w:rPr>
          <w:sz w:val="22"/>
        </w:rPr>
        <w:t>de</w:t>
      </w:r>
      <w:r>
        <w:rPr>
          <w:spacing w:val="-7"/>
          <w:sz w:val="22"/>
        </w:rPr>
        <w:t> </w:t>
      </w:r>
      <w:r>
        <w:rPr>
          <w:sz w:val="22"/>
        </w:rPr>
        <w:t>abril</w:t>
      </w:r>
      <w:r>
        <w:rPr>
          <w:spacing w:val="-5"/>
          <w:sz w:val="22"/>
        </w:rPr>
        <w:t> </w:t>
      </w:r>
      <w:r>
        <w:rPr>
          <w:sz w:val="22"/>
        </w:rPr>
        <w:t>de</w:t>
      </w:r>
      <w:r>
        <w:rPr>
          <w:spacing w:val="-4"/>
          <w:sz w:val="22"/>
        </w:rPr>
        <w:t> </w:t>
      </w:r>
      <w:r>
        <w:rPr>
          <w:sz w:val="22"/>
        </w:rPr>
        <w:t>2005</w:t>
      </w:r>
      <w:r>
        <w:rPr>
          <w:spacing w:val="-7"/>
          <w:sz w:val="22"/>
        </w:rPr>
        <w:t> </w:t>
      </w:r>
      <w:r>
        <w:rPr>
          <w:sz w:val="22"/>
        </w:rPr>
        <w:t>(Proceso</w:t>
      </w:r>
      <w:r>
        <w:rPr>
          <w:spacing w:val="-4"/>
          <w:sz w:val="22"/>
        </w:rPr>
        <w:t> </w:t>
      </w:r>
      <w:r>
        <w:rPr>
          <w:sz w:val="22"/>
        </w:rPr>
        <w:t>118-AI-2003), mediante la cual el TJCAN se habría pronunciado en el sentido de que las medidas adoptadas anteriormente por la República de Colombia vulneraban el ordenamiento jurídico comunitario, sosteniéndose que la medida actualmente en examen desconocería “</w:t>
      </w:r>
      <w:r>
        <w:rPr>
          <w:rFonts w:ascii="Arial" w:hAnsi="Arial"/>
          <w:i/>
          <w:sz w:val="22"/>
        </w:rPr>
        <w:t>abiertamente la autoridad de la cosa juzgada comunitaria y constituye una reincidencia en la conducta infractora.”</w:t>
      </w:r>
      <w:hyperlink w:history="true" w:anchor="_bookmark147">
        <w:r>
          <w:rPr>
            <w:rFonts w:ascii="Arial" w:hAnsi="Arial"/>
            <w:i/>
            <w:sz w:val="22"/>
            <w:vertAlign w:val="superscript"/>
          </w:rPr>
          <w:t>80</w:t>
        </w:r>
      </w:hyperlink>
    </w:p>
    <w:p>
      <w:pPr>
        <w:pStyle w:val="Heading6"/>
        <w:numPr>
          <w:ilvl w:val="0"/>
          <w:numId w:val="96"/>
        </w:numPr>
        <w:tabs>
          <w:tab w:pos="1561" w:val="left" w:leader="none"/>
        </w:tabs>
        <w:spacing w:line="240" w:lineRule="auto" w:before="233" w:after="0"/>
        <w:ind w:left="1561" w:right="0" w:hanging="359"/>
        <w:jc w:val="left"/>
      </w:pPr>
      <w:r>
        <w:rPr/>
        <w:t>Argumentos</w:t>
      </w:r>
      <w:r>
        <w:rPr>
          <w:spacing w:val="-6"/>
        </w:rPr>
        <w:t> </w:t>
      </w:r>
      <w:r>
        <w:rPr/>
        <w:t>de</w:t>
      </w:r>
      <w:r>
        <w:rPr>
          <w:spacing w:val="-5"/>
        </w:rPr>
        <w:t> </w:t>
      </w:r>
      <w:r>
        <w:rPr/>
        <w:t>la</w:t>
      </w:r>
      <w:r>
        <w:rPr>
          <w:spacing w:val="-4"/>
        </w:rPr>
        <w:t> </w:t>
      </w:r>
      <w:r>
        <w:rPr/>
        <w:t>República</w:t>
      </w:r>
      <w:r>
        <w:rPr>
          <w:spacing w:val="-5"/>
        </w:rPr>
        <w:t> </w:t>
      </w:r>
      <w:r>
        <w:rPr/>
        <w:t>de</w:t>
      </w:r>
      <w:r>
        <w:rPr>
          <w:spacing w:val="-3"/>
        </w:rPr>
        <w:t> </w:t>
      </w:r>
      <w:r>
        <w:rPr>
          <w:spacing w:val="-2"/>
        </w:rPr>
        <w:t>Colombia</w:t>
      </w:r>
    </w:p>
    <w:p>
      <w:pPr>
        <w:pStyle w:val="ListParagraph"/>
        <w:numPr>
          <w:ilvl w:val="0"/>
          <w:numId w:val="50"/>
        </w:numPr>
        <w:tabs>
          <w:tab w:pos="1130" w:val="left" w:leader="none"/>
          <w:tab w:pos="1134" w:val="left" w:leader="none"/>
        </w:tabs>
        <w:spacing w:line="240" w:lineRule="auto" w:before="227" w:after="0"/>
        <w:ind w:left="1134" w:right="978" w:hanging="567"/>
        <w:jc w:val="both"/>
        <w:rPr>
          <w:rFonts w:ascii="Arial" w:hAnsi="Arial"/>
          <w:i/>
          <w:sz w:val="22"/>
        </w:rPr>
      </w:pPr>
      <w:r>
        <w:rPr>
          <w:sz w:val="22"/>
        </w:rPr>
        <w:t>En</w:t>
      </w:r>
      <w:r>
        <w:rPr>
          <w:spacing w:val="-4"/>
          <w:sz w:val="22"/>
        </w:rPr>
        <w:t> </w:t>
      </w:r>
      <w:r>
        <w:rPr>
          <w:sz w:val="22"/>
        </w:rPr>
        <w:t>el</w:t>
      </w:r>
      <w:r>
        <w:rPr>
          <w:spacing w:val="-5"/>
          <w:sz w:val="22"/>
        </w:rPr>
        <w:t> </w:t>
      </w:r>
      <w:r>
        <w:rPr>
          <w:sz w:val="22"/>
        </w:rPr>
        <w:t>escrito</w:t>
      </w:r>
      <w:r>
        <w:rPr>
          <w:spacing w:val="-4"/>
          <w:sz w:val="22"/>
        </w:rPr>
        <w:t> </w:t>
      </w:r>
      <w:r>
        <w:rPr>
          <w:sz w:val="22"/>
        </w:rPr>
        <w:t>presentado</w:t>
      </w:r>
      <w:r>
        <w:rPr>
          <w:spacing w:val="-6"/>
          <w:sz w:val="22"/>
        </w:rPr>
        <w:t> </w:t>
      </w:r>
      <w:r>
        <w:rPr>
          <w:sz w:val="22"/>
        </w:rPr>
        <w:t>por</w:t>
      </w:r>
      <w:r>
        <w:rPr>
          <w:spacing w:val="-3"/>
          <w:sz w:val="22"/>
        </w:rPr>
        <w:t> </w:t>
      </w:r>
      <w:r>
        <w:rPr>
          <w:sz w:val="22"/>
        </w:rPr>
        <w:t>la</w:t>
      </w:r>
      <w:r>
        <w:rPr>
          <w:spacing w:val="-4"/>
          <w:sz w:val="22"/>
        </w:rPr>
        <w:t> </w:t>
      </w:r>
      <w:r>
        <w:rPr>
          <w:sz w:val="22"/>
        </w:rPr>
        <w:t>República</w:t>
      </w:r>
      <w:r>
        <w:rPr>
          <w:spacing w:val="-4"/>
          <w:sz w:val="22"/>
        </w:rPr>
        <w:t> </w:t>
      </w:r>
      <w:r>
        <w:rPr>
          <w:sz w:val="22"/>
        </w:rPr>
        <w:t>de</w:t>
      </w:r>
      <w:r>
        <w:rPr>
          <w:spacing w:val="-4"/>
          <w:sz w:val="22"/>
        </w:rPr>
        <w:t> </w:t>
      </w:r>
      <w:r>
        <w:rPr>
          <w:sz w:val="22"/>
        </w:rPr>
        <w:t>Colombia</w:t>
      </w:r>
      <w:r>
        <w:rPr>
          <w:spacing w:val="-4"/>
          <w:sz w:val="22"/>
        </w:rPr>
        <w:t> </w:t>
      </w:r>
      <w:r>
        <w:rPr>
          <w:sz w:val="22"/>
        </w:rPr>
        <w:t>como</w:t>
      </w:r>
      <w:r>
        <w:rPr>
          <w:spacing w:val="-6"/>
          <w:sz w:val="22"/>
        </w:rPr>
        <w:t> </w:t>
      </w:r>
      <w:r>
        <w:rPr>
          <w:sz w:val="22"/>
        </w:rPr>
        <w:t>respuesta</w:t>
      </w:r>
      <w:r>
        <w:rPr>
          <w:spacing w:val="-4"/>
          <w:sz w:val="22"/>
        </w:rPr>
        <w:t> </w:t>
      </w:r>
      <w:r>
        <w:rPr>
          <w:sz w:val="22"/>
        </w:rPr>
        <w:t>a</w:t>
      </w:r>
      <w:r>
        <w:rPr>
          <w:spacing w:val="-4"/>
          <w:sz w:val="22"/>
        </w:rPr>
        <w:t> </w:t>
      </w:r>
      <w:r>
        <w:rPr>
          <w:sz w:val="22"/>
        </w:rPr>
        <w:t>la</w:t>
      </w:r>
      <w:r>
        <w:rPr>
          <w:spacing w:val="-4"/>
          <w:sz w:val="22"/>
        </w:rPr>
        <w:t> </w:t>
      </w:r>
      <w:r>
        <w:rPr>
          <w:sz w:val="22"/>
        </w:rPr>
        <w:t>solicitud</w:t>
      </w:r>
      <w:r>
        <w:rPr>
          <w:spacing w:val="-4"/>
          <w:sz w:val="22"/>
        </w:rPr>
        <w:t> </w:t>
      </w:r>
      <w:r>
        <w:rPr>
          <w:sz w:val="22"/>
        </w:rPr>
        <w:t>de la República del Ecuador, hace mención de que la medida </w:t>
      </w:r>
      <w:r>
        <w:rPr>
          <w:rFonts w:ascii="Arial" w:hAnsi="Arial"/>
          <w:i/>
          <w:sz w:val="22"/>
        </w:rPr>
        <w:t>“aplicable al arroz se fundamenta exclusivamente en razones de trazabilidad, inocuidad alimentaria y protección</w:t>
      </w:r>
      <w:r>
        <w:rPr>
          <w:rFonts w:ascii="Arial" w:hAnsi="Arial"/>
          <w:i/>
          <w:spacing w:val="-16"/>
          <w:sz w:val="22"/>
        </w:rPr>
        <w:t> </w:t>
      </w:r>
      <w:r>
        <w:rPr>
          <w:rFonts w:ascii="Arial" w:hAnsi="Arial"/>
          <w:i/>
          <w:sz w:val="22"/>
        </w:rPr>
        <w:t>de</w:t>
      </w:r>
      <w:r>
        <w:rPr>
          <w:rFonts w:ascii="Arial" w:hAnsi="Arial"/>
          <w:i/>
          <w:spacing w:val="-15"/>
          <w:sz w:val="22"/>
        </w:rPr>
        <w:t> </w:t>
      </w:r>
      <w:r>
        <w:rPr>
          <w:rFonts w:ascii="Arial" w:hAnsi="Arial"/>
          <w:i/>
          <w:sz w:val="22"/>
        </w:rPr>
        <w:t>la</w:t>
      </w:r>
      <w:r>
        <w:rPr>
          <w:rFonts w:ascii="Arial" w:hAnsi="Arial"/>
          <w:i/>
          <w:spacing w:val="-14"/>
          <w:sz w:val="22"/>
        </w:rPr>
        <w:t> </w:t>
      </w:r>
      <w:r>
        <w:rPr>
          <w:rFonts w:ascii="Arial" w:hAnsi="Arial"/>
          <w:i/>
          <w:sz w:val="22"/>
        </w:rPr>
        <w:t>sanidad</w:t>
      </w:r>
      <w:r>
        <w:rPr>
          <w:rFonts w:ascii="Arial" w:hAnsi="Arial"/>
          <w:i/>
          <w:spacing w:val="-16"/>
          <w:sz w:val="22"/>
        </w:rPr>
        <w:t> </w:t>
      </w:r>
      <w:r>
        <w:rPr>
          <w:rFonts w:ascii="Arial" w:hAnsi="Arial"/>
          <w:i/>
          <w:sz w:val="22"/>
        </w:rPr>
        <w:t>agropecuaria,</w:t>
      </w:r>
      <w:r>
        <w:rPr>
          <w:rFonts w:ascii="Arial" w:hAnsi="Arial"/>
          <w:i/>
          <w:spacing w:val="-15"/>
          <w:sz w:val="22"/>
        </w:rPr>
        <w:t> </w:t>
      </w:r>
      <w:r>
        <w:rPr>
          <w:rFonts w:ascii="Arial" w:hAnsi="Arial"/>
          <w:i/>
          <w:sz w:val="22"/>
        </w:rPr>
        <w:t>y</w:t>
      </w:r>
      <w:r>
        <w:rPr>
          <w:rFonts w:ascii="Arial" w:hAnsi="Arial"/>
          <w:i/>
          <w:spacing w:val="-13"/>
          <w:sz w:val="22"/>
        </w:rPr>
        <w:t> </w:t>
      </w:r>
      <w:r>
        <w:rPr>
          <w:rFonts w:ascii="Arial" w:hAnsi="Arial"/>
          <w:i/>
          <w:sz w:val="22"/>
        </w:rPr>
        <w:t>no</w:t>
      </w:r>
      <w:r>
        <w:rPr>
          <w:rFonts w:ascii="Arial" w:hAnsi="Arial"/>
          <w:i/>
          <w:spacing w:val="-16"/>
          <w:sz w:val="22"/>
        </w:rPr>
        <w:t> </w:t>
      </w:r>
      <w:r>
        <w:rPr>
          <w:rFonts w:ascii="Arial" w:hAnsi="Arial"/>
          <w:i/>
          <w:sz w:val="22"/>
        </w:rPr>
        <w:t>en</w:t>
      </w:r>
      <w:r>
        <w:rPr>
          <w:rFonts w:ascii="Arial" w:hAnsi="Arial"/>
          <w:i/>
          <w:spacing w:val="-15"/>
          <w:sz w:val="22"/>
        </w:rPr>
        <w:t> </w:t>
      </w:r>
      <w:r>
        <w:rPr>
          <w:rFonts w:ascii="Arial" w:hAnsi="Arial"/>
          <w:i/>
          <w:sz w:val="22"/>
        </w:rPr>
        <w:t>consideraciones</w:t>
      </w:r>
      <w:r>
        <w:rPr>
          <w:rFonts w:ascii="Arial" w:hAnsi="Arial"/>
          <w:i/>
          <w:spacing w:val="-13"/>
          <w:sz w:val="22"/>
        </w:rPr>
        <w:t> </w:t>
      </w:r>
      <w:r>
        <w:rPr>
          <w:rFonts w:ascii="Arial" w:hAnsi="Arial"/>
          <w:i/>
          <w:sz w:val="22"/>
        </w:rPr>
        <w:t>de</w:t>
      </w:r>
      <w:r>
        <w:rPr>
          <w:rFonts w:ascii="Arial" w:hAnsi="Arial"/>
          <w:i/>
          <w:spacing w:val="-16"/>
          <w:sz w:val="22"/>
        </w:rPr>
        <w:t> </w:t>
      </w:r>
      <w:r>
        <w:rPr>
          <w:rFonts w:ascii="Arial" w:hAnsi="Arial"/>
          <w:i/>
          <w:sz w:val="22"/>
        </w:rPr>
        <w:t>mercado,</w:t>
      </w:r>
      <w:r>
        <w:rPr>
          <w:rFonts w:ascii="Arial" w:hAnsi="Arial"/>
          <w:i/>
          <w:spacing w:val="-13"/>
          <w:sz w:val="22"/>
        </w:rPr>
        <w:t> </w:t>
      </w:r>
      <w:r>
        <w:rPr>
          <w:rFonts w:ascii="Arial" w:hAnsi="Arial"/>
          <w:i/>
          <w:sz w:val="22"/>
        </w:rPr>
        <w:t>de</w:t>
      </w:r>
      <w:r>
        <w:rPr>
          <w:rFonts w:ascii="Arial" w:hAnsi="Arial"/>
          <w:i/>
          <w:spacing w:val="-14"/>
          <w:sz w:val="22"/>
        </w:rPr>
        <w:t> </w:t>
      </w:r>
      <w:r>
        <w:rPr>
          <w:rFonts w:ascii="Arial" w:hAnsi="Arial"/>
          <w:i/>
          <w:sz w:val="22"/>
        </w:rPr>
        <w:t>precios, de competencia comercial ni de protección económica sectorial.”</w:t>
      </w:r>
      <w:hyperlink w:history="true" w:anchor="_bookmark148">
        <w:r>
          <w:rPr>
            <w:rFonts w:ascii="Arial" w:hAnsi="Arial"/>
            <w:i/>
            <w:sz w:val="22"/>
            <w:vertAlign w:val="superscript"/>
          </w:rPr>
          <w:t>81</w:t>
        </w:r>
      </w:hyperlink>
    </w:p>
    <w:p>
      <w:pPr>
        <w:pStyle w:val="BodyText"/>
        <w:spacing w:before="108"/>
        <w:rPr>
          <w:rFonts w:ascii="Arial"/>
          <w:i/>
          <w:sz w:val="20"/>
        </w:rPr>
      </w:pPr>
      <w:r>
        <w:rPr>
          <w:rFonts w:ascii="Arial"/>
          <w:i/>
          <w:sz w:val="20"/>
        </w:rPr>
        <mc:AlternateContent>
          <mc:Choice Requires="wps">
            <w:drawing>
              <wp:anchor distT="0" distB="0" distL="0" distR="0" allowOverlap="1" layoutInCell="1" locked="0" behindDoc="1" simplePos="0" relativeHeight="487652864">
                <wp:simplePos x="0" y="0"/>
                <wp:positionH relativeFrom="page">
                  <wp:posOffset>990904</wp:posOffset>
                </wp:positionH>
                <wp:positionV relativeFrom="paragraph">
                  <wp:posOffset>230478</wp:posOffset>
                </wp:positionV>
                <wp:extent cx="1829435" cy="7620"/>
                <wp:effectExtent l="0" t="0" r="0" b="0"/>
                <wp:wrapTopAndBottom/>
                <wp:docPr id="542" name="Graphic 542"/>
                <wp:cNvGraphicFramePr>
                  <a:graphicFrameLocks/>
                </wp:cNvGraphicFramePr>
                <a:graphic>
                  <a:graphicData uri="http://schemas.microsoft.com/office/word/2010/wordprocessingShape">
                    <wps:wsp>
                      <wps:cNvPr id="542" name="Graphic 542"/>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8.147928pt;width:144.020pt;height:.60004pt;mso-position-horizontal-relative:page;mso-position-vertical-relative:paragraph;z-index:-15663616;mso-wrap-distance-left:0;mso-wrap-distance-right:0" id="docshape374" filled="true" fillcolor="#000000" stroked="false">
                <v:fill type="solid"/>
                <w10:wrap type="topAndBottom"/>
              </v:rect>
            </w:pict>
          </mc:Fallback>
        </mc:AlternateContent>
      </w:r>
    </w:p>
    <w:p>
      <w:pPr>
        <w:spacing w:before="92"/>
        <w:ind w:left="568" w:right="0" w:firstLine="0"/>
        <w:jc w:val="left"/>
        <w:rPr>
          <w:sz w:val="16"/>
        </w:rPr>
      </w:pPr>
      <w:bookmarkStart w:name="_bookmark143" w:id="144"/>
      <w:bookmarkEnd w:id="144"/>
      <w:r>
        <w:rPr/>
      </w:r>
      <w:r>
        <w:rPr>
          <w:sz w:val="16"/>
          <w:vertAlign w:val="superscript"/>
        </w:rPr>
        <w:t>76</w:t>
      </w:r>
      <w:r>
        <w:rPr>
          <w:spacing w:val="-5"/>
          <w:sz w:val="16"/>
          <w:vertAlign w:val="baseline"/>
        </w:rPr>
        <w:t> </w:t>
      </w:r>
      <w:r>
        <w:rPr>
          <w:sz w:val="16"/>
          <w:vertAlign w:val="baseline"/>
        </w:rPr>
        <w:t>La</w:t>
      </w:r>
      <w:r>
        <w:rPr>
          <w:spacing w:val="-4"/>
          <w:sz w:val="16"/>
          <w:vertAlign w:val="baseline"/>
        </w:rPr>
        <w:t> </w:t>
      </w:r>
      <w:r>
        <w:rPr>
          <w:sz w:val="16"/>
          <w:vertAlign w:val="baseline"/>
        </w:rPr>
        <w:t>Secretaría</w:t>
      </w:r>
      <w:r>
        <w:rPr>
          <w:spacing w:val="-6"/>
          <w:sz w:val="16"/>
          <w:vertAlign w:val="baseline"/>
        </w:rPr>
        <w:t> </w:t>
      </w:r>
      <w:r>
        <w:rPr>
          <w:sz w:val="16"/>
          <w:vertAlign w:val="baseline"/>
        </w:rPr>
        <w:t>General</w:t>
      </w:r>
      <w:r>
        <w:rPr>
          <w:spacing w:val="-3"/>
          <w:sz w:val="16"/>
          <w:vertAlign w:val="baseline"/>
        </w:rPr>
        <w:t> </w:t>
      </w:r>
      <w:r>
        <w:rPr>
          <w:sz w:val="16"/>
          <w:vertAlign w:val="baseline"/>
        </w:rPr>
        <w:t>deja</w:t>
      </w:r>
      <w:r>
        <w:rPr>
          <w:spacing w:val="-5"/>
          <w:sz w:val="16"/>
          <w:vertAlign w:val="baseline"/>
        </w:rPr>
        <w:t> </w:t>
      </w:r>
      <w:r>
        <w:rPr>
          <w:sz w:val="16"/>
          <w:vertAlign w:val="baseline"/>
        </w:rPr>
        <w:t>constancia</w:t>
      </w:r>
      <w:r>
        <w:rPr>
          <w:spacing w:val="-4"/>
          <w:sz w:val="16"/>
          <w:vertAlign w:val="baseline"/>
        </w:rPr>
        <w:t> </w:t>
      </w:r>
      <w:r>
        <w:rPr>
          <w:sz w:val="16"/>
          <w:vertAlign w:val="baseline"/>
        </w:rPr>
        <w:t>que</w:t>
      </w:r>
      <w:r>
        <w:rPr>
          <w:spacing w:val="-6"/>
          <w:sz w:val="16"/>
          <w:vertAlign w:val="baseline"/>
        </w:rPr>
        <w:t> </w:t>
      </w:r>
      <w:r>
        <w:rPr>
          <w:sz w:val="16"/>
          <w:vertAlign w:val="baseline"/>
        </w:rPr>
        <w:t>sobre</w:t>
      </w:r>
      <w:r>
        <w:rPr>
          <w:spacing w:val="-4"/>
          <w:sz w:val="16"/>
          <w:vertAlign w:val="baseline"/>
        </w:rPr>
        <w:t> </w:t>
      </w:r>
      <w:r>
        <w:rPr>
          <w:sz w:val="16"/>
          <w:vertAlign w:val="baseline"/>
        </w:rPr>
        <w:t>la</w:t>
      </w:r>
      <w:r>
        <w:rPr>
          <w:spacing w:val="-5"/>
          <w:sz w:val="16"/>
          <w:vertAlign w:val="baseline"/>
        </w:rPr>
        <w:t> </w:t>
      </w:r>
      <w:r>
        <w:rPr>
          <w:sz w:val="16"/>
          <w:vertAlign w:val="baseline"/>
        </w:rPr>
        <w:t>posible</w:t>
      </w:r>
      <w:r>
        <w:rPr>
          <w:spacing w:val="-4"/>
          <w:sz w:val="16"/>
          <w:vertAlign w:val="baseline"/>
        </w:rPr>
        <w:t> </w:t>
      </w:r>
      <w:r>
        <w:rPr>
          <w:sz w:val="16"/>
          <w:vertAlign w:val="baseline"/>
        </w:rPr>
        <w:t>existencia</w:t>
      </w:r>
      <w:r>
        <w:rPr>
          <w:spacing w:val="-4"/>
          <w:sz w:val="16"/>
          <w:vertAlign w:val="baseline"/>
        </w:rPr>
        <w:t> </w:t>
      </w:r>
      <w:r>
        <w:rPr>
          <w:sz w:val="16"/>
          <w:vertAlign w:val="baseline"/>
        </w:rPr>
        <w:t>de</w:t>
      </w:r>
      <w:r>
        <w:rPr>
          <w:spacing w:val="-6"/>
          <w:sz w:val="16"/>
          <w:vertAlign w:val="baseline"/>
        </w:rPr>
        <w:t> </w:t>
      </w:r>
      <w:r>
        <w:rPr>
          <w:sz w:val="16"/>
          <w:vertAlign w:val="baseline"/>
        </w:rPr>
        <w:t>subsidios</w:t>
      </w:r>
      <w:r>
        <w:rPr>
          <w:spacing w:val="-3"/>
          <w:sz w:val="16"/>
          <w:vertAlign w:val="baseline"/>
        </w:rPr>
        <w:t> </w:t>
      </w:r>
      <w:r>
        <w:rPr>
          <w:sz w:val="16"/>
          <w:vertAlign w:val="baseline"/>
        </w:rPr>
        <w:t>en</w:t>
      </w:r>
      <w:r>
        <w:rPr>
          <w:spacing w:val="-6"/>
          <w:sz w:val="16"/>
          <w:vertAlign w:val="baseline"/>
        </w:rPr>
        <w:t> </w:t>
      </w:r>
      <w:r>
        <w:rPr>
          <w:sz w:val="16"/>
          <w:vertAlign w:val="baseline"/>
        </w:rPr>
        <w:t>las</w:t>
      </w:r>
      <w:r>
        <w:rPr>
          <w:spacing w:val="-5"/>
          <w:sz w:val="16"/>
          <w:vertAlign w:val="baseline"/>
        </w:rPr>
        <w:t> </w:t>
      </w:r>
      <w:r>
        <w:rPr>
          <w:sz w:val="16"/>
          <w:vertAlign w:val="baseline"/>
        </w:rPr>
        <w:t>exportaciones</w:t>
      </w:r>
      <w:r>
        <w:rPr>
          <w:spacing w:val="-3"/>
          <w:sz w:val="16"/>
          <w:vertAlign w:val="baseline"/>
        </w:rPr>
        <w:t> </w:t>
      </w:r>
      <w:r>
        <w:rPr>
          <w:sz w:val="16"/>
          <w:vertAlign w:val="baseline"/>
        </w:rPr>
        <w:t>de</w:t>
      </w:r>
      <w:r>
        <w:rPr>
          <w:spacing w:val="-6"/>
          <w:sz w:val="16"/>
          <w:vertAlign w:val="baseline"/>
        </w:rPr>
        <w:t> </w:t>
      </w:r>
      <w:r>
        <w:rPr>
          <w:sz w:val="16"/>
          <w:vertAlign w:val="baseline"/>
        </w:rPr>
        <w:t>Ecuador</w:t>
      </w:r>
      <w:r>
        <w:rPr>
          <w:spacing w:val="-4"/>
          <w:sz w:val="16"/>
          <w:vertAlign w:val="baseline"/>
        </w:rPr>
        <w:t> </w:t>
      </w:r>
      <w:r>
        <w:rPr>
          <w:sz w:val="16"/>
          <w:vertAlign w:val="baseline"/>
        </w:rPr>
        <w:t>no</w:t>
      </w:r>
      <w:r>
        <w:rPr>
          <w:spacing w:val="-6"/>
          <w:sz w:val="16"/>
          <w:vertAlign w:val="baseline"/>
        </w:rPr>
        <w:t> </w:t>
      </w:r>
      <w:r>
        <w:rPr>
          <w:sz w:val="16"/>
          <w:vertAlign w:val="baseline"/>
        </w:rPr>
        <w:t>se</w:t>
      </w:r>
      <w:r>
        <w:rPr>
          <w:spacing w:val="-4"/>
          <w:sz w:val="16"/>
          <w:vertAlign w:val="baseline"/>
        </w:rPr>
        <w:t> </w:t>
      </w:r>
      <w:r>
        <w:rPr>
          <w:sz w:val="16"/>
          <w:vertAlign w:val="baseline"/>
        </w:rPr>
        <w:t>aportó</w:t>
      </w:r>
      <w:r>
        <w:rPr>
          <w:spacing w:val="-6"/>
          <w:sz w:val="16"/>
          <w:vertAlign w:val="baseline"/>
        </w:rPr>
        <w:t> </w:t>
      </w:r>
      <w:r>
        <w:rPr>
          <w:sz w:val="16"/>
          <w:vertAlign w:val="baseline"/>
        </w:rPr>
        <w:t>ninguna evidencia que lleve a prever la posible existencia de esta práctica.</w:t>
      </w:r>
    </w:p>
    <w:p>
      <w:pPr>
        <w:spacing w:line="184" w:lineRule="exact" w:before="0"/>
        <w:ind w:left="568" w:right="0" w:firstLine="0"/>
        <w:jc w:val="left"/>
        <w:rPr>
          <w:sz w:val="16"/>
        </w:rPr>
      </w:pPr>
      <w:bookmarkStart w:name="_bookmark144" w:id="145"/>
      <w:bookmarkEnd w:id="145"/>
      <w:r>
        <w:rPr/>
      </w:r>
      <w:r>
        <w:rPr>
          <w:sz w:val="16"/>
          <w:vertAlign w:val="superscript"/>
        </w:rPr>
        <w:t>77</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000344.</w:t>
      </w:r>
    </w:p>
    <w:p>
      <w:pPr>
        <w:spacing w:before="1"/>
        <w:ind w:left="568" w:right="0" w:firstLine="0"/>
        <w:jc w:val="left"/>
        <w:rPr>
          <w:sz w:val="16"/>
        </w:rPr>
      </w:pPr>
      <w:bookmarkStart w:name="_bookmark145" w:id="146"/>
      <w:bookmarkEnd w:id="146"/>
      <w:r>
        <w:rPr/>
      </w:r>
      <w:r>
        <w:rPr>
          <w:sz w:val="16"/>
          <w:vertAlign w:val="superscript"/>
        </w:rPr>
        <w:t>78</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000346</w:t>
      </w:r>
    </w:p>
    <w:p>
      <w:pPr>
        <w:spacing w:line="183" w:lineRule="exact" w:before="1"/>
        <w:ind w:left="568" w:right="0" w:firstLine="0"/>
        <w:jc w:val="left"/>
        <w:rPr>
          <w:sz w:val="16"/>
        </w:rPr>
      </w:pPr>
      <w:bookmarkStart w:name="_bookmark146" w:id="147"/>
      <w:bookmarkEnd w:id="147"/>
      <w:r>
        <w:rPr/>
      </w:r>
      <w:r>
        <w:rPr>
          <w:sz w:val="16"/>
          <w:vertAlign w:val="superscript"/>
        </w:rPr>
        <w:t>79</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000019.</w:t>
      </w:r>
    </w:p>
    <w:p>
      <w:pPr>
        <w:spacing w:line="183" w:lineRule="exact" w:before="0"/>
        <w:ind w:left="568" w:right="0" w:firstLine="0"/>
        <w:jc w:val="left"/>
        <w:rPr>
          <w:sz w:val="16"/>
        </w:rPr>
      </w:pPr>
      <w:bookmarkStart w:name="_bookmark147" w:id="148"/>
      <w:bookmarkEnd w:id="148"/>
      <w:r>
        <w:rPr/>
      </w:r>
      <w:r>
        <w:rPr>
          <w:sz w:val="16"/>
          <w:vertAlign w:val="superscript"/>
        </w:rPr>
        <w:t>80</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000021.</w:t>
      </w:r>
    </w:p>
    <w:p>
      <w:pPr>
        <w:spacing w:before="0"/>
        <w:ind w:left="568" w:right="0" w:firstLine="0"/>
        <w:jc w:val="left"/>
        <w:rPr>
          <w:sz w:val="16"/>
        </w:rPr>
      </w:pPr>
      <w:bookmarkStart w:name="_bookmark148" w:id="149"/>
      <w:bookmarkEnd w:id="149"/>
      <w:r>
        <w:rPr/>
      </w:r>
      <w:r>
        <w:rPr>
          <w:sz w:val="16"/>
          <w:vertAlign w:val="superscript"/>
        </w:rPr>
        <w:t>81</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000360.</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43" name="Group 543"/>
                <wp:cNvGraphicFramePr>
                  <a:graphicFrameLocks/>
                </wp:cNvGraphicFramePr>
                <a:graphic>
                  <a:graphicData uri="http://schemas.microsoft.com/office/word/2010/wordprocessingGroup">
                    <wpg:wgp>
                      <wpg:cNvPr id="543" name="Group 543"/>
                      <wpg:cNvGrpSpPr/>
                      <wpg:grpSpPr>
                        <a:xfrm>
                          <a:off x="0" y="0"/>
                          <a:ext cx="6131560" cy="9525"/>
                          <a:chExt cx="6131560" cy="9525"/>
                        </a:xfrm>
                      </wpg:grpSpPr>
                      <wps:wsp>
                        <wps:cNvPr id="544" name="Graphic 544"/>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75"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80" w:hanging="567"/>
        <w:jc w:val="both"/>
        <w:rPr>
          <w:rFonts w:ascii="Arial" w:hAnsi="Arial"/>
          <w:i/>
          <w:sz w:val="22"/>
        </w:rPr>
      </w:pPr>
      <w:r>
        <w:rPr>
          <w:sz w:val="22"/>
        </w:rPr>
        <w:t>Además, mencionan que “[e]l </w:t>
      </w:r>
      <w:r>
        <w:rPr>
          <w:rFonts w:ascii="Arial" w:hAnsi="Arial"/>
          <w:i/>
          <w:sz w:val="22"/>
        </w:rPr>
        <w:t>ingreso irregular del arroz por canales no habilitados impide</w:t>
      </w:r>
      <w:r>
        <w:rPr>
          <w:rFonts w:ascii="Arial" w:hAnsi="Arial"/>
          <w:i/>
          <w:spacing w:val="-3"/>
          <w:sz w:val="22"/>
        </w:rPr>
        <w:t> </w:t>
      </w:r>
      <w:r>
        <w:rPr>
          <w:rFonts w:ascii="Arial" w:hAnsi="Arial"/>
          <w:i/>
          <w:sz w:val="22"/>
        </w:rPr>
        <w:t>verificar</w:t>
      </w:r>
      <w:r>
        <w:rPr>
          <w:rFonts w:ascii="Arial" w:hAnsi="Arial"/>
          <w:i/>
          <w:spacing w:val="-4"/>
          <w:sz w:val="22"/>
        </w:rPr>
        <w:t> </w:t>
      </w:r>
      <w:r>
        <w:rPr>
          <w:rFonts w:ascii="Arial" w:hAnsi="Arial"/>
          <w:i/>
          <w:sz w:val="22"/>
        </w:rPr>
        <w:t>documentalmente</w:t>
      </w:r>
      <w:r>
        <w:rPr>
          <w:rFonts w:ascii="Arial" w:hAnsi="Arial"/>
          <w:i/>
          <w:spacing w:val="-5"/>
          <w:sz w:val="22"/>
        </w:rPr>
        <w:t> </w:t>
      </w:r>
      <w:r>
        <w:rPr>
          <w:rFonts w:ascii="Arial" w:hAnsi="Arial"/>
          <w:i/>
          <w:sz w:val="22"/>
        </w:rPr>
        <w:t>su</w:t>
      </w:r>
      <w:r>
        <w:rPr>
          <w:rFonts w:ascii="Arial" w:hAnsi="Arial"/>
          <w:i/>
          <w:spacing w:val="-3"/>
          <w:sz w:val="22"/>
        </w:rPr>
        <w:t> </w:t>
      </w:r>
      <w:r>
        <w:rPr>
          <w:rFonts w:ascii="Arial" w:hAnsi="Arial"/>
          <w:i/>
          <w:sz w:val="22"/>
        </w:rPr>
        <w:t>origen,</w:t>
      </w:r>
      <w:r>
        <w:rPr>
          <w:rFonts w:ascii="Arial" w:hAnsi="Arial"/>
          <w:i/>
          <w:spacing w:val="-2"/>
          <w:sz w:val="22"/>
        </w:rPr>
        <w:t> </w:t>
      </w:r>
      <w:r>
        <w:rPr>
          <w:rFonts w:ascii="Arial" w:hAnsi="Arial"/>
          <w:i/>
          <w:sz w:val="22"/>
        </w:rPr>
        <w:t>sus</w:t>
      </w:r>
      <w:r>
        <w:rPr>
          <w:rFonts w:ascii="Arial" w:hAnsi="Arial"/>
          <w:i/>
          <w:spacing w:val="-5"/>
          <w:sz w:val="22"/>
        </w:rPr>
        <w:t> </w:t>
      </w:r>
      <w:r>
        <w:rPr>
          <w:rFonts w:ascii="Arial" w:hAnsi="Arial"/>
          <w:i/>
          <w:sz w:val="22"/>
        </w:rPr>
        <w:t>condiciones</w:t>
      </w:r>
      <w:r>
        <w:rPr>
          <w:rFonts w:ascii="Arial" w:hAnsi="Arial"/>
          <w:i/>
          <w:spacing w:val="-3"/>
          <w:sz w:val="22"/>
        </w:rPr>
        <w:t> </w:t>
      </w:r>
      <w:r>
        <w:rPr>
          <w:rFonts w:ascii="Arial" w:hAnsi="Arial"/>
          <w:i/>
          <w:sz w:val="22"/>
        </w:rPr>
        <w:t>de</w:t>
      </w:r>
      <w:r>
        <w:rPr>
          <w:rFonts w:ascii="Arial" w:hAnsi="Arial"/>
          <w:i/>
          <w:spacing w:val="-3"/>
          <w:sz w:val="22"/>
        </w:rPr>
        <w:t> </w:t>
      </w:r>
      <w:r>
        <w:rPr>
          <w:rFonts w:ascii="Arial" w:hAnsi="Arial"/>
          <w:i/>
          <w:sz w:val="22"/>
        </w:rPr>
        <w:t>producción,</w:t>
      </w:r>
      <w:r>
        <w:rPr>
          <w:rFonts w:ascii="Arial" w:hAnsi="Arial"/>
          <w:i/>
          <w:spacing w:val="-2"/>
          <w:sz w:val="22"/>
        </w:rPr>
        <w:t> </w:t>
      </w:r>
      <w:r>
        <w:rPr>
          <w:rFonts w:ascii="Arial" w:hAnsi="Arial"/>
          <w:i/>
          <w:sz w:val="22"/>
        </w:rPr>
        <w:t>transporte y almacenamiento, así como el cumplimiento de los requisitos fitosanitarios y de inocuidad exigidos.”</w:t>
      </w:r>
      <w:hyperlink w:history="true" w:anchor="_bookmark149">
        <w:r>
          <w:rPr>
            <w:rFonts w:ascii="Arial" w:hAnsi="Arial"/>
            <w:i/>
            <w:sz w:val="22"/>
            <w:vertAlign w:val="superscript"/>
          </w:rPr>
          <w:t>82</w:t>
        </w:r>
      </w:hyperlink>
    </w:p>
    <w:p>
      <w:pPr>
        <w:pStyle w:val="ListParagraph"/>
        <w:numPr>
          <w:ilvl w:val="0"/>
          <w:numId w:val="50"/>
        </w:numPr>
        <w:tabs>
          <w:tab w:pos="1130" w:val="left" w:leader="none"/>
          <w:tab w:pos="1134" w:val="left" w:leader="none"/>
        </w:tabs>
        <w:spacing w:line="240" w:lineRule="auto" w:before="253" w:after="0"/>
        <w:ind w:left="1134" w:right="979" w:hanging="567"/>
        <w:jc w:val="both"/>
        <w:rPr>
          <w:sz w:val="22"/>
        </w:rPr>
      </w:pPr>
      <w:r>
        <w:rPr>
          <w:sz w:val="22"/>
        </w:rPr>
        <w:t>Incluyen una sección en su respuesta titulada “Diferenciación específica frente a la medida examinada en el Proceso 118-AI-2003”, en el cual se desarrolla la supuesta diferencia entre la medida adoptada mediante el Decreto 0170 y la medida examinada por el Tribunal de Justicia de la Comunidad Andina en la Sentencia del 14 de abril de 2005 (Proceso 118-AI-2003) y en los autos de cumplimiento posteriores, información que se presenta en la Tabla No. 7.</w:t>
      </w:r>
    </w:p>
    <w:p>
      <w:pPr>
        <w:pStyle w:val="BodyText"/>
      </w:pPr>
    </w:p>
    <w:p>
      <w:pPr>
        <w:pStyle w:val="Heading6"/>
        <w:spacing w:line="252" w:lineRule="exact" w:before="1"/>
        <w:ind w:left="306"/>
        <w:jc w:val="center"/>
      </w:pPr>
      <w:r>
        <w:rPr/>
        <w:t>Tabla</w:t>
      </w:r>
      <w:r>
        <w:rPr>
          <w:spacing w:val="-3"/>
        </w:rPr>
        <w:t> </w:t>
      </w:r>
      <w:r>
        <w:rPr/>
        <w:t>No.</w:t>
      </w:r>
      <w:r>
        <w:rPr>
          <w:spacing w:val="-2"/>
        </w:rPr>
        <w:t> </w:t>
      </w:r>
      <w:r>
        <w:rPr>
          <w:spacing w:val="-10"/>
        </w:rPr>
        <w:t>7</w:t>
      </w:r>
    </w:p>
    <w:p>
      <w:pPr>
        <w:spacing w:line="252" w:lineRule="exact" w:before="0"/>
        <w:ind w:left="304" w:right="0" w:firstLine="0"/>
        <w:jc w:val="center"/>
        <w:rPr>
          <w:rFonts w:ascii="Arial"/>
          <w:b/>
          <w:sz w:val="22"/>
        </w:rPr>
      </w:pPr>
      <w:r>
        <w:rPr>
          <w:rFonts w:ascii="Arial"/>
          <w:b/>
          <w:sz w:val="22"/>
        </w:rPr>
        <w:t>Resumen</w:t>
      </w:r>
      <w:r>
        <w:rPr>
          <w:rFonts w:ascii="Arial"/>
          <w:b/>
          <w:spacing w:val="-6"/>
          <w:sz w:val="22"/>
        </w:rPr>
        <w:t> </w:t>
      </w:r>
      <w:r>
        <w:rPr>
          <w:rFonts w:ascii="Arial"/>
          <w:b/>
          <w:sz w:val="22"/>
        </w:rPr>
        <w:t>de</w:t>
      </w:r>
      <w:r>
        <w:rPr>
          <w:rFonts w:ascii="Arial"/>
          <w:b/>
          <w:spacing w:val="-6"/>
          <w:sz w:val="22"/>
        </w:rPr>
        <w:t> </w:t>
      </w:r>
      <w:r>
        <w:rPr>
          <w:rFonts w:ascii="Arial"/>
          <w:b/>
          <w:sz w:val="22"/>
        </w:rPr>
        <w:t>diferencias</w:t>
      </w:r>
      <w:r>
        <w:rPr>
          <w:rFonts w:ascii="Arial"/>
          <w:b/>
          <w:spacing w:val="-6"/>
          <w:sz w:val="22"/>
        </w:rPr>
        <w:t> </w:t>
      </w:r>
      <w:r>
        <w:rPr>
          <w:rFonts w:ascii="Arial"/>
          <w:b/>
          <w:spacing w:val="-2"/>
          <w:sz w:val="22"/>
        </w:rPr>
        <w:t>sustantivas</w:t>
      </w:r>
      <w:hyperlink w:history="true" w:anchor="_bookmark150">
        <w:r>
          <w:rPr>
            <w:rFonts w:ascii="Arial"/>
            <w:b/>
            <w:spacing w:val="-2"/>
            <w:sz w:val="22"/>
            <w:vertAlign w:val="superscript"/>
          </w:rPr>
          <w:t>83</w:t>
        </w:r>
      </w:hyperlink>
    </w:p>
    <w:tbl>
      <w:tblPr>
        <w:tblW w:w="0" w:type="auto"/>
        <w:jc w:val="left"/>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78"/>
        <w:gridCol w:w="2086"/>
        <w:gridCol w:w="3387"/>
      </w:tblGrid>
      <w:tr>
        <w:trPr>
          <w:trHeight w:val="208" w:hRule="atLeast"/>
        </w:trPr>
        <w:tc>
          <w:tcPr>
            <w:tcW w:w="1678" w:type="dxa"/>
            <w:shd w:val="clear" w:color="auto" w:fill="E8E8E8"/>
          </w:tcPr>
          <w:p>
            <w:pPr>
              <w:pStyle w:val="TableParagraph"/>
              <w:spacing w:line="188" w:lineRule="exact"/>
              <w:ind w:left="424"/>
              <w:rPr>
                <w:rFonts w:ascii="Arial"/>
                <w:b/>
                <w:sz w:val="18"/>
              </w:rPr>
            </w:pPr>
            <w:r>
              <w:rPr>
                <w:rFonts w:ascii="Arial"/>
                <w:b/>
                <w:spacing w:val="-2"/>
                <w:sz w:val="18"/>
              </w:rPr>
              <w:t>Concepto</w:t>
            </w:r>
          </w:p>
        </w:tc>
        <w:tc>
          <w:tcPr>
            <w:tcW w:w="2086" w:type="dxa"/>
            <w:shd w:val="clear" w:color="auto" w:fill="E8E8E8"/>
          </w:tcPr>
          <w:p>
            <w:pPr>
              <w:pStyle w:val="TableParagraph"/>
              <w:spacing w:line="188" w:lineRule="exact"/>
              <w:ind w:left="506"/>
              <w:rPr>
                <w:rFonts w:ascii="Arial"/>
                <w:b/>
                <w:sz w:val="18"/>
              </w:rPr>
            </w:pPr>
            <w:r>
              <w:rPr>
                <w:rFonts w:ascii="Arial"/>
                <w:b/>
                <w:sz w:val="18"/>
              </w:rPr>
              <w:t>Medida</w:t>
            </w:r>
            <w:r>
              <w:rPr>
                <w:rFonts w:ascii="Arial"/>
                <w:b/>
                <w:spacing w:val="-3"/>
                <w:sz w:val="18"/>
              </w:rPr>
              <w:t> </w:t>
            </w:r>
            <w:r>
              <w:rPr>
                <w:rFonts w:ascii="Arial"/>
                <w:b/>
                <w:spacing w:val="-4"/>
                <w:sz w:val="18"/>
              </w:rPr>
              <w:t>2005</w:t>
            </w:r>
          </w:p>
        </w:tc>
        <w:tc>
          <w:tcPr>
            <w:tcW w:w="3387" w:type="dxa"/>
            <w:shd w:val="clear" w:color="auto" w:fill="E8E8E8"/>
          </w:tcPr>
          <w:p>
            <w:pPr>
              <w:pStyle w:val="TableParagraph"/>
              <w:spacing w:line="188" w:lineRule="exact"/>
              <w:ind w:left="7"/>
              <w:jc w:val="center"/>
              <w:rPr>
                <w:rFonts w:ascii="Arial"/>
                <w:b/>
                <w:sz w:val="18"/>
              </w:rPr>
            </w:pPr>
            <w:r>
              <w:rPr>
                <w:rFonts w:ascii="Arial"/>
                <w:b/>
                <w:sz w:val="18"/>
              </w:rPr>
              <w:t>Medida</w:t>
            </w:r>
            <w:r>
              <w:rPr>
                <w:rFonts w:ascii="Arial"/>
                <w:b/>
                <w:spacing w:val="-3"/>
                <w:sz w:val="18"/>
              </w:rPr>
              <w:t> </w:t>
            </w:r>
            <w:r>
              <w:rPr>
                <w:rFonts w:ascii="Arial"/>
                <w:b/>
                <w:spacing w:val="-4"/>
                <w:sz w:val="18"/>
              </w:rPr>
              <w:t>2026</w:t>
            </w:r>
          </w:p>
        </w:tc>
      </w:tr>
      <w:tr>
        <w:trPr>
          <w:trHeight w:val="412" w:hRule="atLeast"/>
        </w:trPr>
        <w:tc>
          <w:tcPr>
            <w:tcW w:w="1678" w:type="dxa"/>
          </w:tcPr>
          <w:p>
            <w:pPr>
              <w:pStyle w:val="TableParagraph"/>
              <w:spacing w:line="206" w:lineRule="exact"/>
              <w:ind w:left="107" w:right="166"/>
              <w:rPr>
                <w:sz w:val="18"/>
              </w:rPr>
            </w:pPr>
            <w:r>
              <w:rPr>
                <w:spacing w:val="-2"/>
                <w:sz w:val="18"/>
              </w:rPr>
              <w:t>Naturaleza jurídica</w:t>
            </w:r>
          </w:p>
        </w:tc>
        <w:tc>
          <w:tcPr>
            <w:tcW w:w="2086" w:type="dxa"/>
          </w:tcPr>
          <w:p>
            <w:pPr>
              <w:pStyle w:val="TableParagraph"/>
              <w:tabs>
                <w:tab w:pos="1779" w:val="left" w:leader="none"/>
              </w:tabs>
              <w:spacing w:line="206" w:lineRule="exact"/>
              <w:ind w:left="108" w:right="95"/>
              <w:rPr>
                <w:sz w:val="18"/>
              </w:rPr>
            </w:pPr>
            <w:r>
              <w:rPr>
                <w:spacing w:val="-2"/>
                <w:sz w:val="18"/>
              </w:rPr>
              <w:t>Licencias</w:t>
            </w:r>
            <w:r>
              <w:rPr>
                <w:sz w:val="18"/>
              </w:rPr>
              <w:tab/>
            </w:r>
            <w:r>
              <w:rPr>
                <w:spacing w:val="-6"/>
                <w:sz w:val="18"/>
              </w:rPr>
              <w:t>de </w:t>
            </w:r>
            <w:r>
              <w:rPr>
                <w:spacing w:val="-2"/>
                <w:sz w:val="18"/>
              </w:rPr>
              <w:t>importación</w:t>
            </w:r>
          </w:p>
        </w:tc>
        <w:tc>
          <w:tcPr>
            <w:tcW w:w="3387" w:type="dxa"/>
          </w:tcPr>
          <w:p>
            <w:pPr>
              <w:pStyle w:val="TableParagraph"/>
              <w:spacing w:line="206" w:lineRule="exact"/>
              <w:ind w:left="108"/>
              <w:rPr>
                <w:sz w:val="18"/>
              </w:rPr>
            </w:pPr>
            <w:r>
              <w:rPr>
                <w:spacing w:val="-2"/>
                <w:sz w:val="18"/>
              </w:rPr>
              <w:t>Canalización</w:t>
            </w:r>
            <w:r>
              <w:rPr>
                <w:spacing w:val="3"/>
                <w:sz w:val="18"/>
              </w:rPr>
              <w:t> </w:t>
            </w:r>
            <w:r>
              <w:rPr>
                <w:spacing w:val="-2"/>
                <w:sz w:val="18"/>
              </w:rPr>
              <w:t>territorial</w:t>
            </w:r>
            <w:r>
              <w:rPr>
                <w:spacing w:val="1"/>
                <w:sz w:val="18"/>
              </w:rPr>
              <w:t> </w:t>
            </w:r>
            <w:r>
              <w:rPr>
                <w:spacing w:val="-2"/>
                <w:sz w:val="18"/>
              </w:rPr>
              <w:t>de</w:t>
            </w:r>
            <w:r>
              <w:rPr>
                <w:spacing w:val="1"/>
                <w:sz w:val="18"/>
              </w:rPr>
              <w:t> </w:t>
            </w:r>
            <w:r>
              <w:rPr>
                <w:spacing w:val="-2"/>
                <w:sz w:val="18"/>
              </w:rPr>
              <w:t>importaciones</w:t>
            </w:r>
          </w:p>
        </w:tc>
      </w:tr>
      <w:tr>
        <w:trPr>
          <w:trHeight w:val="414" w:hRule="atLeast"/>
        </w:trPr>
        <w:tc>
          <w:tcPr>
            <w:tcW w:w="1678" w:type="dxa"/>
          </w:tcPr>
          <w:p>
            <w:pPr>
              <w:pStyle w:val="TableParagraph"/>
              <w:spacing w:before="1"/>
              <w:ind w:left="107"/>
              <w:rPr>
                <w:sz w:val="18"/>
              </w:rPr>
            </w:pPr>
            <w:r>
              <w:rPr>
                <w:spacing w:val="-2"/>
                <w:sz w:val="18"/>
              </w:rPr>
              <w:t>Finalidad</w:t>
            </w:r>
          </w:p>
        </w:tc>
        <w:tc>
          <w:tcPr>
            <w:tcW w:w="2086" w:type="dxa"/>
          </w:tcPr>
          <w:p>
            <w:pPr>
              <w:pStyle w:val="TableParagraph"/>
              <w:tabs>
                <w:tab w:pos="1887" w:val="left" w:leader="none"/>
              </w:tabs>
              <w:spacing w:line="206" w:lineRule="exact"/>
              <w:ind w:left="108" w:right="96"/>
              <w:rPr>
                <w:sz w:val="18"/>
              </w:rPr>
            </w:pPr>
            <w:r>
              <w:rPr>
                <w:spacing w:val="-2"/>
                <w:sz w:val="18"/>
              </w:rPr>
              <w:t>Regulación</w:t>
            </w:r>
            <w:r>
              <w:rPr>
                <w:sz w:val="18"/>
              </w:rPr>
              <w:tab/>
            </w:r>
            <w:r>
              <w:rPr>
                <w:spacing w:val="-10"/>
                <w:sz w:val="18"/>
              </w:rPr>
              <w:t>y</w:t>
            </w:r>
            <w:r>
              <w:rPr>
                <w:sz w:val="18"/>
              </w:rPr>
              <w:t> protección arancelaria</w:t>
            </w:r>
          </w:p>
        </w:tc>
        <w:tc>
          <w:tcPr>
            <w:tcW w:w="3387" w:type="dxa"/>
          </w:tcPr>
          <w:p>
            <w:pPr>
              <w:pStyle w:val="TableParagraph"/>
              <w:spacing w:before="1"/>
              <w:ind w:left="108"/>
              <w:rPr>
                <w:sz w:val="18"/>
              </w:rPr>
            </w:pPr>
            <w:r>
              <w:rPr>
                <w:sz w:val="18"/>
              </w:rPr>
              <w:t>Sanitaria</w:t>
            </w:r>
            <w:r>
              <w:rPr>
                <w:spacing w:val="-4"/>
                <w:sz w:val="18"/>
              </w:rPr>
              <w:t> </w:t>
            </w:r>
            <w:r>
              <w:rPr>
                <w:sz w:val="18"/>
              </w:rPr>
              <w:t>de</w:t>
            </w:r>
            <w:r>
              <w:rPr>
                <w:spacing w:val="-3"/>
                <w:sz w:val="18"/>
              </w:rPr>
              <w:t> </w:t>
            </w:r>
            <w:r>
              <w:rPr>
                <w:spacing w:val="-2"/>
                <w:sz w:val="18"/>
              </w:rPr>
              <w:t>inocuidad</w:t>
            </w:r>
          </w:p>
        </w:tc>
      </w:tr>
      <w:tr>
        <w:trPr>
          <w:trHeight w:val="414" w:hRule="atLeast"/>
        </w:trPr>
        <w:tc>
          <w:tcPr>
            <w:tcW w:w="1678" w:type="dxa"/>
          </w:tcPr>
          <w:p>
            <w:pPr>
              <w:pStyle w:val="TableParagraph"/>
              <w:spacing w:line="206" w:lineRule="exact"/>
              <w:ind w:left="107"/>
              <w:rPr>
                <w:sz w:val="18"/>
              </w:rPr>
            </w:pPr>
            <w:r>
              <w:rPr>
                <w:spacing w:val="-2"/>
                <w:sz w:val="18"/>
              </w:rPr>
              <w:t>Ámbito</w:t>
            </w:r>
          </w:p>
        </w:tc>
        <w:tc>
          <w:tcPr>
            <w:tcW w:w="2086" w:type="dxa"/>
          </w:tcPr>
          <w:p>
            <w:pPr>
              <w:pStyle w:val="TableParagraph"/>
              <w:spacing w:line="206" w:lineRule="exact"/>
              <w:ind w:left="108"/>
              <w:rPr>
                <w:sz w:val="18"/>
              </w:rPr>
            </w:pPr>
            <w:r>
              <w:rPr>
                <w:sz w:val="18"/>
              </w:rPr>
              <w:t>Aplicaba</w:t>
            </w:r>
            <w:r>
              <w:rPr>
                <w:spacing w:val="80"/>
                <w:sz w:val="18"/>
              </w:rPr>
              <w:t> </w:t>
            </w:r>
            <w:r>
              <w:rPr>
                <w:sz w:val="18"/>
              </w:rPr>
              <w:t>a</w:t>
            </w:r>
            <w:r>
              <w:rPr>
                <w:spacing w:val="80"/>
                <w:sz w:val="18"/>
              </w:rPr>
              <w:t> </w:t>
            </w:r>
            <w:r>
              <w:rPr>
                <w:sz w:val="18"/>
              </w:rPr>
              <w:t>cualquier canal aduanero</w:t>
            </w:r>
          </w:p>
        </w:tc>
        <w:tc>
          <w:tcPr>
            <w:tcW w:w="3387" w:type="dxa"/>
          </w:tcPr>
          <w:p>
            <w:pPr>
              <w:pStyle w:val="TableParagraph"/>
              <w:spacing w:line="206" w:lineRule="exact"/>
              <w:ind w:left="108"/>
              <w:rPr>
                <w:sz w:val="18"/>
              </w:rPr>
            </w:pPr>
            <w:r>
              <w:rPr>
                <w:sz w:val="18"/>
              </w:rPr>
              <w:t>Aplica</w:t>
            </w:r>
            <w:r>
              <w:rPr>
                <w:spacing w:val="-3"/>
                <w:sz w:val="18"/>
              </w:rPr>
              <w:t> </w:t>
            </w:r>
            <w:r>
              <w:rPr>
                <w:sz w:val="18"/>
              </w:rPr>
              <w:t>a</w:t>
            </w:r>
            <w:r>
              <w:rPr>
                <w:spacing w:val="-3"/>
                <w:sz w:val="18"/>
              </w:rPr>
              <w:t> </w:t>
            </w:r>
            <w:r>
              <w:rPr>
                <w:sz w:val="18"/>
              </w:rPr>
              <w:t>canales</w:t>
            </w:r>
            <w:r>
              <w:rPr>
                <w:spacing w:val="-1"/>
                <w:sz w:val="18"/>
              </w:rPr>
              <w:t> </w:t>
            </w:r>
            <w:r>
              <w:rPr>
                <w:spacing w:val="-2"/>
                <w:sz w:val="18"/>
              </w:rPr>
              <w:t>terrestres</w:t>
            </w:r>
          </w:p>
        </w:tc>
      </w:tr>
      <w:tr>
        <w:trPr>
          <w:trHeight w:val="1240" w:hRule="atLeast"/>
        </w:trPr>
        <w:tc>
          <w:tcPr>
            <w:tcW w:w="1678" w:type="dxa"/>
          </w:tcPr>
          <w:p>
            <w:pPr>
              <w:pStyle w:val="TableParagraph"/>
              <w:ind w:left="107" w:right="166"/>
              <w:rPr>
                <w:sz w:val="18"/>
              </w:rPr>
            </w:pPr>
            <w:r>
              <w:rPr>
                <w:spacing w:val="-2"/>
                <w:sz w:val="18"/>
              </w:rPr>
              <w:t>Supuestos fácticos sobrevinientes</w:t>
            </w:r>
          </w:p>
        </w:tc>
        <w:tc>
          <w:tcPr>
            <w:tcW w:w="2086" w:type="dxa"/>
          </w:tcPr>
          <w:p>
            <w:pPr>
              <w:pStyle w:val="TableParagraph"/>
              <w:rPr>
                <w:rFonts w:ascii="Times New Roman"/>
                <w:sz w:val="20"/>
              </w:rPr>
            </w:pPr>
          </w:p>
        </w:tc>
        <w:tc>
          <w:tcPr>
            <w:tcW w:w="3387" w:type="dxa"/>
          </w:tcPr>
          <w:p>
            <w:pPr>
              <w:pStyle w:val="TableParagraph"/>
              <w:ind w:left="108" w:right="97"/>
              <w:jc w:val="both"/>
              <w:rPr>
                <w:sz w:val="18"/>
              </w:rPr>
            </w:pPr>
            <w:r>
              <w:rPr>
                <w:sz w:val="18"/>
              </w:rPr>
              <w:t>hechos epidemiológicos (confirmación de Foc R4T en El Oro, Ecuador, en diciembre de 2025; brote VHS en La Cocha; detección WSSV/IHHNV/NHP en</w:t>
            </w:r>
            <w:r>
              <w:rPr>
                <w:spacing w:val="63"/>
                <w:sz w:val="18"/>
              </w:rPr>
              <w:t>   </w:t>
            </w:r>
            <w:r>
              <w:rPr>
                <w:sz w:val="18"/>
              </w:rPr>
              <w:t>cargamentos</w:t>
            </w:r>
            <w:r>
              <w:rPr>
                <w:spacing w:val="64"/>
                <w:sz w:val="18"/>
              </w:rPr>
              <w:t>   </w:t>
            </w:r>
            <w:r>
              <w:rPr>
                <w:sz w:val="18"/>
              </w:rPr>
              <w:t>de</w:t>
            </w:r>
            <w:r>
              <w:rPr>
                <w:spacing w:val="63"/>
                <w:sz w:val="18"/>
              </w:rPr>
              <w:t>   </w:t>
            </w:r>
            <w:r>
              <w:rPr>
                <w:spacing w:val="-2"/>
                <w:sz w:val="18"/>
              </w:rPr>
              <w:t>camarón</w:t>
            </w:r>
          </w:p>
          <w:p>
            <w:pPr>
              <w:pStyle w:val="TableParagraph"/>
              <w:spacing w:line="187" w:lineRule="exact"/>
              <w:ind w:left="108"/>
              <w:jc w:val="both"/>
              <w:rPr>
                <w:sz w:val="18"/>
              </w:rPr>
            </w:pPr>
            <w:r>
              <w:rPr>
                <w:sz w:val="18"/>
              </w:rPr>
              <w:t>ecuatoriano</w:t>
            </w:r>
            <w:r>
              <w:rPr>
                <w:spacing w:val="-4"/>
                <w:sz w:val="18"/>
              </w:rPr>
              <w:t> </w:t>
            </w:r>
            <w:r>
              <w:rPr>
                <w:sz w:val="18"/>
              </w:rPr>
              <w:t>en</w:t>
            </w:r>
            <w:r>
              <w:rPr>
                <w:spacing w:val="-3"/>
                <w:sz w:val="18"/>
              </w:rPr>
              <w:t> </w:t>
            </w:r>
            <w:r>
              <w:rPr>
                <w:spacing w:val="-2"/>
                <w:sz w:val="18"/>
              </w:rPr>
              <w:t>2024)</w:t>
            </w:r>
          </w:p>
        </w:tc>
      </w:tr>
    </w:tbl>
    <w:p>
      <w:pPr>
        <w:spacing w:before="2"/>
        <w:ind w:left="1701" w:right="0" w:firstLine="0"/>
        <w:jc w:val="left"/>
        <w:rPr>
          <w:rFonts w:ascii="Arial" w:hAnsi="Arial"/>
          <w:b/>
          <w:sz w:val="16"/>
        </w:rPr>
      </w:pPr>
      <w:r>
        <w:rPr>
          <w:rFonts w:ascii="Arial" w:hAnsi="Arial"/>
          <w:b/>
          <w:sz w:val="16"/>
        </w:rPr>
        <w:t>Elaboración:</w:t>
      </w:r>
      <w:r>
        <w:rPr>
          <w:rFonts w:ascii="Arial" w:hAnsi="Arial"/>
          <w:b/>
          <w:spacing w:val="-9"/>
          <w:sz w:val="16"/>
        </w:rPr>
        <w:t> </w:t>
      </w:r>
      <w:r>
        <w:rPr>
          <w:rFonts w:ascii="Arial" w:hAnsi="Arial"/>
          <w:b/>
          <w:spacing w:val="-2"/>
          <w:sz w:val="16"/>
        </w:rPr>
        <w:t>SGCAN.</w:t>
      </w:r>
    </w:p>
    <w:p>
      <w:pPr>
        <w:pStyle w:val="BodyText"/>
        <w:spacing w:before="70"/>
        <w:rPr>
          <w:rFonts w:ascii="Arial"/>
          <w:b/>
          <w:sz w:val="16"/>
        </w:rPr>
      </w:pPr>
    </w:p>
    <w:p>
      <w:pPr>
        <w:pStyle w:val="ListParagraph"/>
        <w:numPr>
          <w:ilvl w:val="0"/>
          <w:numId w:val="50"/>
        </w:numPr>
        <w:tabs>
          <w:tab w:pos="1130" w:val="left" w:leader="none"/>
          <w:tab w:pos="1134" w:val="left" w:leader="none"/>
        </w:tabs>
        <w:spacing w:line="240" w:lineRule="auto" w:before="1" w:after="0"/>
        <w:ind w:left="1134" w:right="979" w:hanging="567"/>
        <w:jc w:val="both"/>
        <w:rPr>
          <w:rFonts w:ascii="Arial" w:hAnsi="Arial"/>
          <w:i/>
          <w:sz w:val="22"/>
        </w:rPr>
      </w:pPr>
      <w:r>
        <w:rPr>
          <w:sz w:val="22"/>
        </w:rPr>
        <w:t>De manera posterior, incluyen información sobre aprehensiones de arroz en el periodo 2024</w:t>
      </w:r>
      <w:r>
        <w:rPr>
          <w:spacing w:val="-7"/>
          <w:sz w:val="22"/>
        </w:rPr>
        <w:t> </w:t>
      </w:r>
      <w:r>
        <w:rPr>
          <w:sz w:val="22"/>
        </w:rPr>
        <w:t>–</w:t>
      </w:r>
      <w:r>
        <w:rPr>
          <w:spacing w:val="-10"/>
          <w:sz w:val="22"/>
        </w:rPr>
        <w:t> </w:t>
      </w:r>
      <w:r>
        <w:rPr>
          <w:sz w:val="22"/>
        </w:rPr>
        <w:t>2025,</w:t>
      </w:r>
      <w:r>
        <w:rPr>
          <w:spacing w:val="-8"/>
          <w:sz w:val="22"/>
        </w:rPr>
        <w:t> </w:t>
      </w:r>
      <w:r>
        <w:rPr>
          <w:sz w:val="22"/>
        </w:rPr>
        <w:t>evidenciando</w:t>
      </w:r>
      <w:r>
        <w:rPr>
          <w:spacing w:val="-8"/>
          <w:sz w:val="22"/>
        </w:rPr>
        <w:t> </w:t>
      </w:r>
      <w:r>
        <w:rPr>
          <w:sz w:val="22"/>
        </w:rPr>
        <w:t>una</w:t>
      </w:r>
      <w:r>
        <w:rPr>
          <w:spacing w:val="-11"/>
          <w:sz w:val="22"/>
        </w:rPr>
        <w:t> </w:t>
      </w:r>
      <w:r>
        <w:rPr>
          <w:sz w:val="22"/>
        </w:rPr>
        <w:t>mayor</w:t>
      </w:r>
      <w:r>
        <w:rPr>
          <w:spacing w:val="-9"/>
          <w:sz w:val="22"/>
        </w:rPr>
        <w:t> </w:t>
      </w:r>
      <w:r>
        <w:rPr>
          <w:sz w:val="22"/>
        </w:rPr>
        <w:t>concentración</w:t>
      </w:r>
      <w:r>
        <w:rPr>
          <w:spacing w:val="-8"/>
          <w:sz w:val="22"/>
        </w:rPr>
        <w:t> </w:t>
      </w:r>
      <w:r>
        <w:rPr>
          <w:sz w:val="22"/>
        </w:rPr>
        <w:t>en</w:t>
      </w:r>
      <w:r>
        <w:rPr>
          <w:spacing w:val="-10"/>
          <w:sz w:val="22"/>
        </w:rPr>
        <w:t> </w:t>
      </w:r>
      <w:r>
        <w:rPr>
          <w:sz w:val="22"/>
        </w:rPr>
        <w:t>las</w:t>
      </w:r>
      <w:r>
        <w:rPr>
          <w:spacing w:val="-10"/>
          <w:sz w:val="22"/>
        </w:rPr>
        <w:t> </w:t>
      </w:r>
      <w:r>
        <w:rPr>
          <w:sz w:val="22"/>
        </w:rPr>
        <w:t>jurisdicciones</w:t>
      </w:r>
      <w:r>
        <w:rPr>
          <w:spacing w:val="-10"/>
          <w:sz w:val="22"/>
        </w:rPr>
        <w:t> </w:t>
      </w:r>
      <w:r>
        <w:rPr>
          <w:sz w:val="22"/>
        </w:rPr>
        <w:t>cercanas</w:t>
      </w:r>
      <w:r>
        <w:rPr>
          <w:spacing w:val="-10"/>
          <w:sz w:val="22"/>
        </w:rPr>
        <w:t> </w:t>
      </w:r>
      <w:r>
        <w:rPr>
          <w:sz w:val="22"/>
        </w:rPr>
        <w:t>a</w:t>
      </w:r>
      <w:r>
        <w:rPr>
          <w:spacing w:val="-10"/>
          <w:sz w:val="22"/>
        </w:rPr>
        <w:t> </w:t>
      </w:r>
      <w:r>
        <w:rPr>
          <w:sz w:val="22"/>
        </w:rPr>
        <w:t>la frontera</w:t>
      </w:r>
      <w:r>
        <w:rPr>
          <w:spacing w:val="-15"/>
          <w:sz w:val="22"/>
        </w:rPr>
        <w:t> </w:t>
      </w:r>
      <w:r>
        <w:rPr>
          <w:sz w:val="22"/>
        </w:rPr>
        <w:t>sur</w:t>
      </w:r>
      <w:r>
        <w:rPr>
          <w:spacing w:val="-14"/>
          <w:sz w:val="22"/>
        </w:rPr>
        <w:t> </w:t>
      </w:r>
      <w:r>
        <w:rPr>
          <w:sz w:val="22"/>
        </w:rPr>
        <w:t>del</w:t>
      </w:r>
      <w:r>
        <w:rPr>
          <w:spacing w:val="-13"/>
          <w:sz w:val="22"/>
        </w:rPr>
        <w:t> </w:t>
      </w:r>
      <w:r>
        <w:rPr>
          <w:sz w:val="22"/>
        </w:rPr>
        <w:t>país.</w:t>
      </w:r>
      <w:r>
        <w:rPr>
          <w:spacing w:val="-13"/>
          <w:sz w:val="22"/>
        </w:rPr>
        <w:t> </w:t>
      </w:r>
      <w:r>
        <w:rPr>
          <w:sz w:val="22"/>
        </w:rPr>
        <w:t>“</w:t>
      </w:r>
      <w:r>
        <w:rPr>
          <w:rFonts w:ascii="Arial" w:hAnsi="Arial"/>
          <w:i/>
          <w:sz w:val="22"/>
        </w:rPr>
        <w:t>En</w:t>
      </w:r>
      <w:r>
        <w:rPr>
          <w:rFonts w:ascii="Arial" w:hAnsi="Arial"/>
          <w:i/>
          <w:spacing w:val="-16"/>
          <w:sz w:val="22"/>
        </w:rPr>
        <w:t> </w:t>
      </w:r>
      <w:r>
        <w:rPr>
          <w:rFonts w:ascii="Arial" w:hAnsi="Arial"/>
          <w:i/>
          <w:sz w:val="22"/>
        </w:rPr>
        <w:t>efecto,</w:t>
      </w:r>
      <w:r>
        <w:rPr>
          <w:rFonts w:ascii="Arial" w:hAnsi="Arial"/>
          <w:i/>
          <w:spacing w:val="-10"/>
          <w:sz w:val="22"/>
        </w:rPr>
        <w:t> </w:t>
      </w:r>
      <w:r>
        <w:rPr>
          <w:rFonts w:ascii="Arial" w:hAnsi="Arial"/>
          <w:i/>
          <w:sz w:val="22"/>
        </w:rPr>
        <w:t>las</w:t>
      </w:r>
      <w:r>
        <w:rPr>
          <w:rFonts w:ascii="Arial" w:hAnsi="Arial"/>
          <w:i/>
          <w:spacing w:val="-15"/>
          <w:sz w:val="22"/>
        </w:rPr>
        <w:t> </w:t>
      </w:r>
      <w:r>
        <w:rPr>
          <w:rFonts w:ascii="Arial" w:hAnsi="Arial"/>
          <w:i/>
          <w:sz w:val="22"/>
        </w:rPr>
        <w:t>Direcciones</w:t>
      </w:r>
      <w:r>
        <w:rPr>
          <w:rFonts w:ascii="Arial" w:hAnsi="Arial"/>
          <w:i/>
          <w:spacing w:val="-12"/>
          <w:sz w:val="22"/>
        </w:rPr>
        <w:t> </w:t>
      </w:r>
      <w:r>
        <w:rPr>
          <w:rFonts w:ascii="Arial" w:hAnsi="Arial"/>
          <w:i/>
          <w:sz w:val="22"/>
        </w:rPr>
        <w:t>Seccionales</w:t>
      </w:r>
      <w:r>
        <w:rPr>
          <w:rFonts w:ascii="Arial" w:hAnsi="Arial"/>
          <w:i/>
          <w:spacing w:val="-12"/>
          <w:sz w:val="22"/>
        </w:rPr>
        <w:t> </w:t>
      </w:r>
      <w:r>
        <w:rPr>
          <w:rFonts w:ascii="Arial" w:hAnsi="Arial"/>
          <w:i/>
          <w:sz w:val="22"/>
        </w:rPr>
        <w:t>de</w:t>
      </w:r>
      <w:r>
        <w:rPr>
          <w:rFonts w:ascii="Arial" w:hAnsi="Arial"/>
          <w:i/>
          <w:spacing w:val="-15"/>
          <w:sz w:val="22"/>
        </w:rPr>
        <w:t> </w:t>
      </w:r>
      <w:r>
        <w:rPr>
          <w:rFonts w:ascii="Arial" w:hAnsi="Arial"/>
          <w:i/>
          <w:sz w:val="22"/>
        </w:rPr>
        <w:t>Ipiales,</w:t>
      </w:r>
      <w:r>
        <w:rPr>
          <w:rFonts w:ascii="Arial" w:hAnsi="Arial"/>
          <w:i/>
          <w:spacing w:val="-11"/>
          <w:sz w:val="22"/>
        </w:rPr>
        <w:t> </w:t>
      </w:r>
      <w:r>
        <w:rPr>
          <w:rFonts w:ascii="Arial" w:hAnsi="Arial"/>
          <w:i/>
          <w:sz w:val="22"/>
        </w:rPr>
        <w:t>Popayán,</w:t>
      </w:r>
      <w:r>
        <w:rPr>
          <w:rFonts w:ascii="Arial" w:hAnsi="Arial"/>
          <w:i/>
          <w:spacing w:val="-11"/>
          <w:sz w:val="22"/>
        </w:rPr>
        <w:t> </w:t>
      </w:r>
      <w:r>
        <w:rPr>
          <w:rFonts w:ascii="Arial" w:hAnsi="Arial"/>
          <w:i/>
          <w:sz w:val="22"/>
        </w:rPr>
        <w:t>Pasto y Puerto Asís concentraron el 98,6% del total de aprehensiones a nivel nacional y el 96% del valor de estas”.</w:t>
      </w:r>
    </w:p>
    <w:p>
      <w:pPr>
        <w:pStyle w:val="ListParagraph"/>
        <w:numPr>
          <w:ilvl w:val="0"/>
          <w:numId w:val="50"/>
        </w:numPr>
        <w:tabs>
          <w:tab w:pos="1130" w:val="left" w:leader="none"/>
          <w:tab w:pos="1134" w:val="left" w:leader="none"/>
        </w:tabs>
        <w:spacing w:line="240" w:lineRule="auto" w:before="251" w:after="0"/>
        <w:ind w:left="1134" w:right="982" w:hanging="567"/>
        <w:jc w:val="both"/>
        <w:rPr>
          <w:sz w:val="22"/>
        </w:rPr>
      </w:pPr>
      <w:r>
        <w:rPr>
          <w:sz w:val="22"/>
        </w:rPr>
        <w:t>La información presentada, destaca que el mayor número de aprehensiones se realizarían en la Dirección Seccional de Ipiales, concentrando el 72.2% en número de aprehensiones. En valor, esta dirección participaría con el 65.8%.</w:t>
      </w:r>
    </w:p>
    <w:p>
      <w:pPr>
        <w:pStyle w:val="BodyText"/>
        <w:spacing w:before="1"/>
      </w:pPr>
    </w:p>
    <w:p>
      <w:pPr>
        <w:pStyle w:val="Heading6"/>
        <w:numPr>
          <w:ilvl w:val="0"/>
          <w:numId w:val="97"/>
        </w:numPr>
        <w:tabs>
          <w:tab w:pos="1561" w:val="left" w:leader="none"/>
        </w:tabs>
        <w:spacing w:line="240" w:lineRule="auto" w:before="0" w:after="0"/>
        <w:ind w:left="1561" w:right="0" w:hanging="359"/>
        <w:jc w:val="left"/>
      </w:pPr>
      <w:r>
        <w:rPr/>
        <w:t>Análisis</w:t>
      </w:r>
      <w:r>
        <w:rPr>
          <w:spacing w:val="-5"/>
        </w:rPr>
        <w:t> </w:t>
      </w:r>
      <w:r>
        <w:rPr/>
        <w:t>de</w:t>
      </w:r>
      <w:r>
        <w:rPr>
          <w:spacing w:val="-4"/>
        </w:rPr>
        <w:t> </w:t>
      </w:r>
      <w:r>
        <w:rPr/>
        <w:t>la</w:t>
      </w:r>
      <w:r>
        <w:rPr>
          <w:spacing w:val="-4"/>
        </w:rPr>
        <w:t> SGCAN</w:t>
      </w:r>
    </w:p>
    <w:p>
      <w:pPr>
        <w:pStyle w:val="ListParagraph"/>
        <w:numPr>
          <w:ilvl w:val="0"/>
          <w:numId w:val="98"/>
        </w:numPr>
        <w:tabs>
          <w:tab w:pos="1134" w:val="left" w:leader="none"/>
        </w:tabs>
        <w:spacing w:line="240" w:lineRule="auto" w:before="228" w:after="0"/>
        <w:ind w:left="1134" w:right="0" w:hanging="566"/>
        <w:jc w:val="left"/>
        <w:rPr>
          <w:rFonts w:ascii="Arial" w:hAnsi="Arial"/>
          <w:i/>
          <w:sz w:val="22"/>
        </w:rPr>
      </w:pPr>
      <w:r>
        <w:rPr>
          <w:rFonts w:ascii="Arial" w:hAnsi="Arial"/>
          <w:i/>
          <w:sz w:val="22"/>
          <w:u w:val="single"/>
        </w:rPr>
        <w:t>Análisis</w:t>
      </w:r>
      <w:r>
        <w:rPr>
          <w:rFonts w:ascii="Arial" w:hAnsi="Arial"/>
          <w:i/>
          <w:spacing w:val="-5"/>
          <w:sz w:val="22"/>
          <w:u w:val="single"/>
        </w:rPr>
        <w:t> </w:t>
      </w:r>
      <w:r>
        <w:rPr>
          <w:rFonts w:ascii="Arial" w:hAnsi="Arial"/>
          <w:i/>
          <w:sz w:val="22"/>
          <w:u w:val="single"/>
        </w:rPr>
        <w:t>para</w:t>
      </w:r>
      <w:r>
        <w:rPr>
          <w:rFonts w:ascii="Arial" w:hAnsi="Arial"/>
          <w:i/>
          <w:spacing w:val="-5"/>
          <w:sz w:val="22"/>
          <w:u w:val="single"/>
        </w:rPr>
        <w:t> </w:t>
      </w:r>
      <w:r>
        <w:rPr>
          <w:rFonts w:ascii="Arial" w:hAnsi="Arial"/>
          <w:i/>
          <w:sz w:val="22"/>
          <w:u w:val="single"/>
        </w:rPr>
        <w:t>determinar</w:t>
      </w:r>
      <w:r>
        <w:rPr>
          <w:rFonts w:ascii="Arial" w:hAnsi="Arial"/>
          <w:i/>
          <w:spacing w:val="-6"/>
          <w:sz w:val="22"/>
          <w:u w:val="single"/>
        </w:rPr>
        <w:t> </w:t>
      </w:r>
      <w:r>
        <w:rPr>
          <w:rFonts w:ascii="Arial" w:hAnsi="Arial"/>
          <w:i/>
          <w:sz w:val="22"/>
          <w:u w:val="single"/>
        </w:rPr>
        <w:t>si</w:t>
      </w:r>
      <w:r>
        <w:rPr>
          <w:rFonts w:ascii="Arial" w:hAnsi="Arial"/>
          <w:i/>
          <w:spacing w:val="-6"/>
          <w:sz w:val="22"/>
          <w:u w:val="single"/>
        </w:rPr>
        <w:t> </w:t>
      </w:r>
      <w:r>
        <w:rPr>
          <w:rFonts w:ascii="Arial" w:hAnsi="Arial"/>
          <w:i/>
          <w:sz w:val="22"/>
          <w:u w:val="single"/>
        </w:rPr>
        <w:t>la</w:t>
      </w:r>
      <w:r>
        <w:rPr>
          <w:rFonts w:ascii="Arial" w:hAnsi="Arial"/>
          <w:i/>
          <w:spacing w:val="-5"/>
          <w:sz w:val="22"/>
          <w:u w:val="single"/>
        </w:rPr>
        <w:t> </w:t>
      </w:r>
      <w:r>
        <w:rPr>
          <w:rFonts w:ascii="Arial" w:hAnsi="Arial"/>
          <w:i/>
          <w:sz w:val="22"/>
          <w:u w:val="single"/>
        </w:rPr>
        <w:t>medida</w:t>
      </w:r>
      <w:r>
        <w:rPr>
          <w:rFonts w:ascii="Arial" w:hAnsi="Arial"/>
          <w:i/>
          <w:spacing w:val="-2"/>
          <w:sz w:val="22"/>
          <w:u w:val="single"/>
        </w:rPr>
        <w:t> </w:t>
      </w:r>
      <w:r>
        <w:rPr>
          <w:rFonts w:ascii="Arial" w:hAnsi="Arial"/>
          <w:i/>
          <w:sz w:val="22"/>
          <w:u w:val="single"/>
        </w:rPr>
        <w:t>objeto</w:t>
      </w:r>
      <w:r>
        <w:rPr>
          <w:rFonts w:ascii="Arial" w:hAnsi="Arial"/>
          <w:i/>
          <w:spacing w:val="-6"/>
          <w:sz w:val="22"/>
          <w:u w:val="single"/>
        </w:rPr>
        <w:t> </w:t>
      </w:r>
      <w:r>
        <w:rPr>
          <w:rFonts w:ascii="Arial" w:hAnsi="Arial"/>
          <w:i/>
          <w:sz w:val="22"/>
          <w:u w:val="single"/>
        </w:rPr>
        <w:t>de</w:t>
      </w:r>
      <w:r>
        <w:rPr>
          <w:rFonts w:ascii="Arial" w:hAnsi="Arial"/>
          <w:i/>
          <w:spacing w:val="-7"/>
          <w:sz w:val="22"/>
          <w:u w:val="single"/>
        </w:rPr>
        <w:t> </w:t>
      </w:r>
      <w:r>
        <w:rPr>
          <w:rFonts w:ascii="Arial" w:hAnsi="Arial"/>
          <w:i/>
          <w:sz w:val="22"/>
          <w:u w:val="single"/>
        </w:rPr>
        <w:t>investigación</w:t>
      </w:r>
      <w:r>
        <w:rPr>
          <w:rFonts w:ascii="Arial" w:hAnsi="Arial"/>
          <w:i/>
          <w:spacing w:val="-5"/>
          <w:sz w:val="22"/>
          <w:u w:val="single"/>
        </w:rPr>
        <w:t> </w:t>
      </w:r>
      <w:r>
        <w:rPr>
          <w:rFonts w:ascii="Arial" w:hAnsi="Arial"/>
          <w:i/>
          <w:sz w:val="22"/>
          <w:u w:val="single"/>
        </w:rPr>
        <w:t>impide</w:t>
      </w:r>
      <w:r>
        <w:rPr>
          <w:rFonts w:ascii="Arial" w:hAnsi="Arial"/>
          <w:i/>
          <w:spacing w:val="-5"/>
          <w:sz w:val="22"/>
          <w:u w:val="single"/>
        </w:rPr>
        <w:t> </w:t>
      </w:r>
      <w:r>
        <w:rPr>
          <w:rFonts w:ascii="Arial" w:hAnsi="Arial"/>
          <w:i/>
          <w:sz w:val="22"/>
          <w:u w:val="single"/>
        </w:rPr>
        <w:t>las</w:t>
      </w:r>
      <w:r>
        <w:rPr>
          <w:rFonts w:ascii="Arial" w:hAnsi="Arial"/>
          <w:i/>
          <w:spacing w:val="-7"/>
          <w:sz w:val="22"/>
          <w:u w:val="single"/>
        </w:rPr>
        <w:t> </w:t>
      </w:r>
      <w:r>
        <w:rPr>
          <w:rFonts w:ascii="Arial" w:hAnsi="Arial"/>
          <w:i/>
          <w:spacing w:val="-2"/>
          <w:sz w:val="22"/>
          <w:u w:val="single"/>
        </w:rPr>
        <w:t>importaciones</w:t>
      </w:r>
    </w:p>
    <w:p>
      <w:pPr>
        <w:pStyle w:val="BodyText"/>
        <w:rPr>
          <w:rFonts w:ascii="Arial"/>
          <w:i/>
        </w:rPr>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En primer lugar, para realizar la evaluación de la medida aplicada a las importaciones de arroz, se analizará: (i) si el producto está sometido a categoría de riesgo que normalmente</w:t>
      </w:r>
      <w:r>
        <w:rPr>
          <w:spacing w:val="-13"/>
          <w:sz w:val="22"/>
        </w:rPr>
        <w:t> </w:t>
      </w:r>
      <w:r>
        <w:rPr>
          <w:sz w:val="22"/>
        </w:rPr>
        <w:t>exigiría</w:t>
      </w:r>
      <w:r>
        <w:rPr>
          <w:spacing w:val="-11"/>
          <w:sz w:val="22"/>
        </w:rPr>
        <w:t> </w:t>
      </w:r>
      <w:r>
        <w:rPr>
          <w:sz w:val="22"/>
        </w:rPr>
        <w:t>Análisis</w:t>
      </w:r>
      <w:r>
        <w:rPr>
          <w:spacing w:val="-13"/>
          <w:sz w:val="22"/>
        </w:rPr>
        <w:t> </w:t>
      </w:r>
      <w:r>
        <w:rPr>
          <w:sz w:val="22"/>
        </w:rPr>
        <w:t>de</w:t>
      </w:r>
      <w:r>
        <w:rPr>
          <w:spacing w:val="-13"/>
          <w:sz w:val="22"/>
        </w:rPr>
        <w:t> </w:t>
      </w:r>
      <w:r>
        <w:rPr>
          <w:sz w:val="22"/>
        </w:rPr>
        <w:t>Riesgo</w:t>
      </w:r>
      <w:r>
        <w:rPr>
          <w:spacing w:val="-13"/>
          <w:sz w:val="22"/>
        </w:rPr>
        <w:t> </w:t>
      </w:r>
      <w:r>
        <w:rPr>
          <w:sz w:val="22"/>
        </w:rPr>
        <w:t>de</w:t>
      </w:r>
      <w:r>
        <w:rPr>
          <w:spacing w:val="-13"/>
          <w:sz w:val="22"/>
        </w:rPr>
        <w:t> </w:t>
      </w:r>
      <w:r>
        <w:rPr>
          <w:sz w:val="22"/>
        </w:rPr>
        <w:t>Plagas</w:t>
      </w:r>
      <w:r>
        <w:rPr>
          <w:spacing w:val="-12"/>
          <w:sz w:val="22"/>
        </w:rPr>
        <w:t> </w:t>
      </w:r>
      <w:r>
        <w:rPr>
          <w:sz w:val="22"/>
        </w:rPr>
        <w:t>(ARP)</w:t>
      </w:r>
      <w:r>
        <w:rPr>
          <w:spacing w:val="-13"/>
          <w:sz w:val="22"/>
        </w:rPr>
        <w:t> </w:t>
      </w:r>
      <w:r>
        <w:rPr>
          <w:sz w:val="22"/>
        </w:rPr>
        <w:t>o</w:t>
      </w:r>
      <w:r>
        <w:rPr>
          <w:spacing w:val="-13"/>
          <w:sz w:val="22"/>
        </w:rPr>
        <w:t> </w:t>
      </w:r>
      <w:r>
        <w:rPr>
          <w:sz w:val="22"/>
        </w:rPr>
        <w:t>soporte</w:t>
      </w:r>
      <w:r>
        <w:rPr>
          <w:spacing w:val="-15"/>
          <w:sz w:val="22"/>
        </w:rPr>
        <w:t> </w:t>
      </w:r>
      <w:r>
        <w:rPr>
          <w:sz w:val="22"/>
        </w:rPr>
        <w:t>técnico</w:t>
      </w:r>
      <w:r>
        <w:rPr>
          <w:spacing w:val="-13"/>
          <w:sz w:val="22"/>
        </w:rPr>
        <w:t> </w:t>
      </w:r>
      <w:r>
        <w:rPr>
          <w:sz w:val="22"/>
        </w:rPr>
        <w:t>equivalente;</w:t>
      </w:r>
    </w:p>
    <w:p>
      <w:pPr>
        <w:pStyle w:val="BodyText"/>
        <w:ind w:left="1134" w:right="982"/>
        <w:jc w:val="both"/>
      </w:pPr>
      <w:r>
        <w:rPr/>
        <w:t>(ii) si en el expediente existe evidencia de ARP específico por subpartida; (iii) si la medida</w:t>
      </w:r>
      <w:r>
        <w:rPr>
          <w:spacing w:val="-1"/>
        </w:rPr>
        <w:t> </w:t>
      </w:r>
      <w:r>
        <w:rPr/>
        <w:t>de</w:t>
      </w:r>
      <w:r>
        <w:rPr>
          <w:spacing w:val="-3"/>
        </w:rPr>
        <w:t> </w:t>
      </w:r>
      <w:r>
        <w:rPr/>
        <w:t>canalización</w:t>
      </w:r>
      <w:r>
        <w:rPr>
          <w:spacing w:val="-1"/>
        </w:rPr>
        <w:t> </w:t>
      </w:r>
      <w:r>
        <w:rPr/>
        <w:t>territorial</w:t>
      </w:r>
      <w:r>
        <w:rPr>
          <w:spacing w:val="-2"/>
        </w:rPr>
        <w:t> </w:t>
      </w:r>
      <w:r>
        <w:rPr/>
        <w:t>fue</w:t>
      </w:r>
      <w:r>
        <w:rPr>
          <w:spacing w:val="-3"/>
        </w:rPr>
        <w:t> </w:t>
      </w:r>
      <w:r>
        <w:rPr/>
        <w:t>incorporada</w:t>
      </w:r>
      <w:r>
        <w:rPr>
          <w:spacing w:val="-3"/>
        </w:rPr>
        <w:t> </w:t>
      </w:r>
      <w:r>
        <w:rPr/>
        <w:t>como</w:t>
      </w:r>
      <w:r>
        <w:rPr>
          <w:spacing w:val="-3"/>
        </w:rPr>
        <w:t> </w:t>
      </w:r>
      <w:r>
        <w:rPr/>
        <w:t>requisito</w:t>
      </w:r>
      <w:r>
        <w:rPr>
          <w:spacing w:val="-3"/>
        </w:rPr>
        <w:t> </w:t>
      </w:r>
      <w:r>
        <w:rPr/>
        <w:t>fitosanitario publicado o registrado; y (iv) si el efecto práctico de la medida es restrictivo.</w:t>
      </w:r>
    </w:p>
    <w:p>
      <w:pPr>
        <w:pStyle w:val="BodyText"/>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Para la aplicación de medidas fitosanitarias o la actualización de los requisitos fitosanitarios</w:t>
      </w:r>
      <w:r>
        <w:rPr>
          <w:spacing w:val="-4"/>
          <w:sz w:val="22"/>
        </w:rPr>
        <w:t> </w:t>
      </w:r>
      <w:r>
        <w:rPr>
          <w:sz w:val="22"/>
        </w:rPr>
        <w:t>se</w:t>
      </w:r>
      <w:r>
        <w:rPr>
          <w:spacing w:val="-4"/>
          <w:sz w:val="22"/>
        </w:rPr>
        <w:t> </w:t>
      </w:r>
      <w:r>
        <w:rPr>
          <w:sz w:val="22"/>
        </w:rPr>
        <w:t>debe</w:t>
      </w:r>
      <w:r>
        <w:rPr>
          <w:spacing w:val="-4"/>
          <w:sz w:val="22"/>
        </w:rPr>
        <w:t> </w:t>
      </w:r>
      <w:r>
        <w:rPr>
          <w:sz w:val="22"/>
        </w:rPr>
        <w:t>realizar</w:t>
      </w:r>
      <w:r>
        <w:rPr>
          <w:spacing w:val="-3"/>
          <w:sz w:val="22"/>
        </w:rPr>
        <w:t> </w:t>
      </w:r>
      <w:r>
        <w:rPr>
          <w:sz w:val="22"/>
        </w:rPr>
        <w:t>el</w:t>
      </w:r>
      <w:r>
        <w:rPr>
          <w:spacing w:val="-5"/>
          <w:sz w:val="22"/>
        </w:rPr>
        <w:t> </w:t>
      </w:r>
      <w:r>
        <w:rPr>
          <w:sz w:val="22"/>
        </w:rPr>
        <w:t>análisis</w:t>
      </w:r>
      <w:r>
        <w:rPr>
          <w:spacing w:val="-4"/>
          <w:sz w:val="22"/>
        </w:rPr>
        <w:t> </w:t>
      </w:r>
      <w:r>
        <w:rPr>
          <w:sz w:val="22"/>
        </w:rPr>
        <w:t>de</w:t>
      </w:r>
      <w:r>
        <w:rPr>
          <w:spacing w:val="-4"/>
          <w:sz w:val="22"/>
        </w:rPr>
        <w:t> </w:t>
      </w:r>
      <w:r>
        <w:rPr>
          <w:sz w:val="22"/>
        </w:rPr>
        <w:t>riesgo</w:t>
      </w:r>
      <w:r>
        <w:rPr>
          <w:spacing w:val="-4"/>
          <w:sz w:val="22"/>
        </w:rPr>
        <w:t> </w:t>
      </w:r>
      <w:r>
        <w:rPr>
          <w:sz w:val="22"/>
        </w:rPr>
        <w:t>de</w:t>
      </w:r>
      <w:r>
        <w:rPr>
          <w:spacing w:val="-4"/>
          <w:sz w:val="22"/>
        </w:rPr>
        <w:t> </w:t>
      </w:r>
      <w:r>
        <w:rPr>
          <w:sz w:val="22"/>
        </w:rPr>
        <w:t>plagas</w:t>
      </w:r>
      <w:r>
        <w:rPr>
          <w:spacing w:val="-4"/>
          <w:sz w:val="22"/>
        </w:rPr>
        <w:t> </w:t>
      </w:r>
      <w:r>
        <w:rPr>
          <w:sz w:val="22"/>
        </w:rPr>
        <w:t>y</w:t>
      </w:r>
      <w:r>
        <w:rPr>
          <w:spacing w:val="-4"/>
          <w:sz w:val="22"/>
        </w:rPr>
        <w:t> </w:t>
      </w:r>
      <w:r>
        <w:rPr>
          <w:sz w:val="22"/>
        </w:rPr>
        <w:t>determinar</w:t>
      </w:r>
      <w:r>
        <w:rPr>
          <w:spacing w:val="-3"/>
          <w:sz w:val="22"/>
        </w:rPr>
        <w:t> </w:t>
      </w:r>
      <w:r>
        <w:rPr>
          <w:sz w:val="22"/>
        </w:rPr>
        <w:t>el</w:t>
      </w:r>
      <w:r>
        <w:rPr>
          <w:spacing w:val="-5"/>
          <w:sz w:val="22"/>
        </w:rPr>
        <w:t> </w:t>
      </w:r>
      <w:r>
        <w:rPr>
          <w:sz w:val="22"/>
        </w:rPr>
        <w:t>manejo</w:t>
      </w:r>
      <w:r>
        <w:rPr>
          <w:spacing w:val="-4"/>
          <w:sz w:val="22"/>
        </w:rPr>
        <w:t> </w:t>
      </w:r>
      <w:r>
        <w:rPr>
          <w:sz w:val="22"/>
        </w:rPr>
        <w:t>del riesgo</w:t>
      </w:r>
      <w:r>
        <w:rPr>
          <w:spacing w:val="22"/>
          <w:sz w:val="22"/>
        </w:rPr>
        <w:t> </w:t>
      </w:r>
      <w:r>
        <w:rPr>
          <w:sz w:val="22"/>
        </w:rPr>
        <w:t>basándose</w:t>
      </w:r>
      <w:r>
        <w:rPr>
          <w:spacing w:val="22"/>
          <w:sz w:val="22"/>
        </w:rPr>
        <w:t> </w:t>
      </w:r>
      <w:r>
        <w:rPr>
          <w:sz w:val="22"/>
        </w:rPr>
        <w:t>en</w:t>
      </w:r>
      <w:r>
        <w:rPr>
          <w:spacing w:val="22"/>
          <w:sz w:val="22"/>
        </w:rPr>
        <w:t> </w:t>
      </w:r>
      <w:r>
        <w:rPr>
          <w:sz w:val="22"/>
        </w:rPr>
        <w:t>el</w:t>
      </w:r>
      <w:r>
        <w:rPr>
          <w:spacing w:val="19"/>
          <w:sz w:val="22"/>
        </w:rPr>
        <w:t> </w:t>
      </w:r>
      <w:r>
        <w:rPr>
          <w:sz w:val="22"/>
        </w:rPr>
        <w:t>procedimiento</w:t>
      </w:r>
      <w:r>
        <w:rPr>
          <w:spacing w:val="22"/>
          <w:sz w:val="22"/>
        </w:rPr>
        <w:t> </w:t>
      </w:r>
      <w:r>
        <w:rPr>
          <w:sz w:val="22"/>
        </w:rPr>
        <w:t>establecido</w:t>
      </w:r>
      <w:r>
        <w:rPr>
          <w:spacing w:val="22"/>
          <w:sz w:val="22"/>
        </w:rPr>
        <w:t> </w:t>
      </w:r>
      <w:r>
        <w:rPr>
          <w:sz w:val="22"/>
        </w:rPr>
        <w:t>en</w:t>
      </w:r>
      <w:r>
        <w:rPr>
          <w:spacing w:val="22"/>
          <w:sz w:val="22"/>
        </w:rPr>
        <w:t> </w:t>
      </w:r>
      <w:r>
        <w:rPr>
          <w:sz w:val="22"/>
        </w:rPr>
        <w:t>la</w:t>
      </w:r>
      <w:r>
        <w:rPr>
          <w:spacing w:val="22"/>
          <w:sz w:val="22"/>
        </w:rPr>
        <w:t> </w:t>
      </w:r>
      <w:r>
        <w:rPr>
          <w:sz w:val="22"/>
        </w:rPr>
        <w:t>Resolución</w:t>
      </w:r>
      <w:r>
        <w:rPr>
          <w:spacing w:val="22"/>
          <w:sz w:val="22"/>
        </w:rPr>
        <w:t> </w:t>
      </w:r>
      <w:r>
        <w:rPr>
          <w:sz w:val="22"/>
        </w:rPr>
        <w:t>025</w:t>
      </w:r>
      <w:r>
        <w:rPr>
          <w:spacing w:val="22"/>
          <w:sz w:val="22"/>
        </w:rPr>
        <w:t> </w:t>
      </w:r>
      <w:r>
        <w:rPr>
          <w:sz w:val="22"/>
        </w:rPr>
        <w:t>tomando</w:t>
      </w:r>
      <w:r>
        <w:rPr>
          <w:spacing w:val="19"/>
          <w:sz w:val="22"/>
        </w:rPr>
        <w:t> </w:t>
      </w:r>
      <w:r>
        <w:rPr>
          <w:sz w:val="22"/>
        </w:rPr>
        <w:t>en</w:t>
      </w:r>
    </w:p>
    <w:p>
      <w:pPr>
        <w:pStyle w:val="BodyText"/>
        <w:rPr>
          <w:sz w:val="20"/>
        </w:rPr>
      </w:pPr>
    </w:p>
    <w:p>
      <w:pPr>
        <w:pStyle w:val="BodyText"/>
        <w:spacing w:before="109"/>
        <w:rPr>
          <w:sz w:val="20"/>
        </w:rPr>
      </w:pPr>
      <w:r>
        <w:rPr>
          <w:sz w:val="20"/>
        </w:rPr>
        <mc:AlternateContent>
          <mc:Choice Requires="wps">
            <w:drawing>
              <wp:anchor distT="0" distB="0" distL="0" distR="0" allowOverlap="1" layoutInCell="1" locked="0" behindDoc="1" simplePos="0" relativeHeight="487653888">
                <wp:simplePos x="0" y="0"/>
                <wp:positionH relativeFrom="page">
                  <wp:posOffset>990904</wp:posOffset>
                </wp:positionH>
                <wp:positionV relativeFrom="paragraph">
                  <wp:posOffset>230492</wp:posOffset>
                </wp:positionV>
                <wp:extent cx="1829435" cy="7620"/>
                <wp:effectExtent l="0" t="0" r="0" b="0"/>
                <wp:wrapTopAndBottom/>
                <wp:docPr id="545" name="Graphic 545"/>
                <wp:cNvGraphicFramePr>
                  <a:graphicFrameLocks/>
                </wp:cNvGraphicFramePr>
                <a:graphic>
                  <a:graphicData uri="http://schemas.microsoft.com/office/word/2010/wordprocessingShape">
                    <wps:wsp>
                      <wps:cNvPr id="545" name="Graphic 545"/>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8.149048pt;width:144.020pt;height:.60004pt;mso-position-horizontal-relative:page;mso-position-vertical-relative:paragraph;z-index:-15662592;mso-wrap-distance-left:0;mso-wrap-distance-right:0" id="docshape376" filled="true" fillcolor="#000000" stroked="false">
                <v:fill type="solid"/>
                <w10:wrap type="topAndBottom"/>
              </v:rect>
            </w:pict>
          </mc:Fallback>
        </mc:AlternateContent>
      </w:r>
    </w:p>
    <w:p>
      <w:pPr>
        <w:spacing w:before="92"/>
        <w:ind w:left="568" w:right="0" w:firstLine="0"/>
        <w:jc w:val="left"/>
        <w:rPr>
          <w:sz w:val="16"/>
        </w:rPr>
      </w:pPr>
      <w:bookmarkStart w:name="_bookmark149" w:id="150"/>
      <w:bookmarkEnd w:id="150"/>
      <w:r>
        <w:rPr/>
      </w:r>
      <w:r>
        <w:rPr>
          <w:sz w:val="16"/>
          <w:vertAlign w:val="superscript"/>
        </w:rPr>
        <w:t>82</w:t>
      </w:r>
      <w:r>
        <w:rPr>
          <w:spacing w:val="-10"/>
          <w:sz w:val="16"/>
          <w:vertAlign w:val="baseline"/>
        </w:rPr>
        <w:t> </w:t>
      </w:r>
      <w:r>
        <w:rPr>
          <w:sz w:val="16"/>
          <w:vertAlign w:val="baseline"/>
        </w:rPr>
        <w:t>Expediente</w:t>
      </w:r>
      <w:r>
        <w:rPr>
          <w:spacing w:val="-10"/>
          <w:sz w:val="16"/>
          <w:vertAlign w:val="baseline"/>
        </w:rPr>
        <w:t> </w:t>
      </w:r>
      <w:r>
        <w:rPr>
          <w:sz w:val="16"/>
          <w:vertAlign w:val="baseline"/>
        </w:rPr>
        <w:t>DGCOM/GRAV-REST/002/2026,</w:t>
      </w:r>
      <w:r>
        <w:rPr>
          <w:spacing w:val="-9"/>
          <w:sz w:val="16"/>
          <w:vertAlign w:val="baseline"/>
        </w:rPr>
        <w:t> </w:t>
      </w:r>
      <w:r>
        <w:rPr>
          <w:rFonts w:ascii="Arial"/>
          <w:i/>
          <w:spacing w:val="-2"/>
          <w:sz w:val="16"/>
          <w:vertAlign w:val="baseline"/>
        </w:rPr>
        <w:t>Ibidem</w:t>
      </w:r>
      <w:r>
        <w:rPr>
          <w:spacing w:val="-2"/>
          <w:sz w:val="16"/>
          <w:vertAlign w:val="baseline"/>
        </w:rPr>
        <w:t>.</w:t>
      </w:r>
    </w:p>
    <w:p>
      <w:pPr>
        <w:spacing w:before="1"/>
        <w:ind w:left="568" w:right="0" w:firstLine="0"/>
        <w:jc w:val="left"/>
        <w:rPr>
          <w:sz w:val="16"/>
        </w:rPr>
      </w:pPr>
      <w:bookmarkStart w:name="_bookmark150" w:id="151"/>
      <w:bookmarkEnd w:id="151"/>
      <w:r>
        <w:rPr/>
      </w:r>
      <w:r>
        <w:rPr>
          <w:sz w:val="16"/>
          <w:vertAlign w:val="superscript"/>
        </w:rPr>
        <w:t>83</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000361.</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46" name="Group 546"/>
                <wp:cNvGraphicFramePr>
                  <a:graphicFrameLocks/>
                </wp:cNvGraphicFramePr>
                <a:graphic>
                  <a:graphicData uri="http://schemas.microsoft.com/office/word/2010/wordprocessingGroup">
                    <wpg:wgp>
                      <wpg:cNvPr id="546" name="Group 546"/>
                      <wpg:cNvGrpSpPr/>
                      <wpg:grpSpPr>
                        <a:xfrm>
                          <a:off x="0" y="0"/>
                          <a:ext cx="6131560" cy="9525"/>
                          <a:chExt cx="6131560" cy="9525"/>
                        </a:xfrm>
                      </wpg:grpSpPr>
                      <wps:wsp>
                        <wps:cNvPr id="547" name="Graphic 547"/>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77"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spacing w:before="176"/>
      </w:pPr>
    </w:p>
    <w:p>
      <w:pPr>
        <w:pStyle w:val="BodyText"/>
        <w:ind w:left="1134" w:right="955"/>
      </w:pPr>
      <w:r>
        <w:rPr/>
        <w:t>cuenta el articulo 2</w:t>
      </w:r>
      <w:hyperlink w:history="true" w:anchor="_bookmark151">
        <w:r>
          <w:rPr>
            <w:vertAlign w:val="superscript"/>
          </w:rPr>
          <w:t>84</w:t>
        </w:r>
      </w:hyperlink>
      <w:r>
        <w:rPr>
          <w:spacing w:val="-17"/>
          <w:vertAlign w:val="baseline"/>
        </w:rPr>
        <w:t> </w:t>
      </w:r>
      <w:r>
        <w:rPr>
          <w:vertAlign w:val="baseline"/>
        </w:rPr>
        <w:t>y el artículo 4</w:t>
      </w:r>
      <w:hyperlink w:history="true" w:anchor="_bookmark152">
        <w:r>
          <w:rPr>
            <w:vertAlign w:val="superscript"/>
          </w:rPr>
          <w:t>85</w:t>
        </w:r>
      </w:hyperlink>
      <w:r>
        <w:rPr>
          <w:vertAlign w:val="baseline"/>
        </w:rPr>
        <w:t> en los cuales se describen las consideraciones a tomar en cuenta para procedimiento de Análisis de Riesgo de Plagas, ARP.</w:t>
      </w:r>
    </w:p>
    <w:p>
      <w:pPr>
        <w:pStyle w:val="BodyText"/>
      </w:pPr>
    </w:p>
    <w:p>
      <w:pPr>
        <w:pStyle w:val="ListParagraph"/>
        <w:numPr>
          <w:ilvl w:val="0"/>
          <w:numId w:val="50"/>
        </w:numPr>
        <w:tabs>
          <w:tab w:pos="1130" w:val="left" w:leader="none"/>
          <w:tab w:pos="1134" w:val="left" w:leader="none"/>
        </w:tabs>
        <w:spacing w:line="240" w:lineRule="auto" w:before="0" w:after="0"/>
        <w:ind w:left="1134" w:right="974" w:hanging="567"/>
        <w:jc w:val="both"/>
        <w:rPr>
          <w:sz w:val="22"/>
        </w:rPr>
      </w:pPr>
      <w:r>
        <w:rPr>
          <w:sz w:val="22"/>
        </w:rPr>
        <w:t>La evidencia revisada muestra que, al verificar el sistema del Instituto Colombiano Agropecuario (ICA) para los requisitos fitosanitarios de importación de arroz comprendidos</w:t>
      </w:r>
      <w:r>
        <w:rPr>
          <w:spacing w:val="-8"/>
          <w:sz w:val="22"/>
        </w:rPr>
        <w:t> </w:t>
      </w:r>
      <w:r>
        <w:rPr>
          <w:sz w:val="22"/>
        </w:rPr>
        <w:t>en</w:t>
      </w:r>
      <w:r>
        <w:rPr>
          <w:spacing w:val="-7"/>
          <w:sz w:val="22"/>
        </w:rPr>
        <w:t> </w:t>
      </w:r>
      <w:r>
        <w:rPr>
          <w:sz w:val="22"/>
        </w:rPr>
        <w:t>el</w:t>
      </w:r>
      <w:r>
        <w:rPr>
          <w:spacing w:val="-7"/>
          <w:sz w:val="22"/>
        </w:rPr>
        <w:t> </w:t>
      </w:r>
      <w:r>
        <w:rPr>
          <w:sz w:val="22"/>
        </w:rPr>
        <w:t>artículo</w:t>
      </w:r>
      <w:r>
        <w:rPr>
          <w:spacing w:val="-6"/>
          <w:sz w:val="22"/>
        </w:rPr>
        <w:t> </w:t>
      </w:r>
      <w:r>
        <w:rPr>
          <w:sz w:val="22"/>
        </w:rPr>
        <w:t>2</w:t>
      </w:r>
      <w:r>
        <w:rPr>
          <w:spacing w:val="-6"/>
          <w:sz w:val="22"/>
        </w:rPr>
        <w:t> </w:t>
      </w:r>
      <w:r>
        <w:rPr>
          <w:sz w:val="22"/>
        </w:rPr>
        <w:t>del</w:t>
      </w:r>
      <w:r>
        <w:rPr>
          <w:spacing w:val="-7"/>
          <w:sz w:val="22"/>
        </w:rPr>
        <w:t> </w:t>
      </w:r>
      <w:r>
        <w:rPr>
          <w:sz w:val="22"/>
        </w:rPr>
        <w:t>Decreto</w:t>
      </w:r>
      <w:r>
        <w:rPr>
          <w:spacing w:val="-6"/>
          <w:sz w:val="22"/>
        </w:rPr>
        <w:t> </w:t>
      </w:r>
      <w:r>
        <w:rPr>
          <w:sz w:val="22"/>
        </w:rPr>
        <w:t>0170,</w:t>
      </w:r>
      <w:r>
        <w:rPr>
          <w:spacing w:val="-5"/>
          <w:sz w:val="22"/>
        </w:rPr>
        <w:t> </w:t>
      </w:r>
      <w:r>
        <w:rPr>
          <w:sz w:val="22"/>
        </w:rPr>
        <w:t>no</w:t>
      </w:r>
      <w:r>
        <w:rPr>
          <w:spacing w:val="-6"/>
          <w:sz w:val="22"/>
        </w:rPr>
        <w:t> </w:t>
      </w:r>
      <w:r>
        <w:rPr>
          <w:sz w:val="22"/>
        </w:rPr>
        <w:t>se</w:t>
      </w:r>
      <w:r>
        <w:rPr>
          <w:spacing w:val="-6"/>
          <w:sz w:val="22"/>
        </w:rPr>
        <w:t> </w:t>
      </w:r>
      <w:r>
        <w:rPr>
          <w:sz w:val="22"/>
        </w:rPr>
        <w:t>establece</w:t>
      </w:r>
      <w:r>
        <w:rPr>
          <w:spacing w:val="-6"/>
          <w:sz w:val="22"/>
        </w:rPr>
        <w:t> </w:t>
      </w:r>
      <w:r>
        <w:rPr>
          <w:sz w:val="22"/>
        </w:rPr>
        <w:t>el</w:t>
      </w:r>
      <w:r>
        <w:rPr>
          <w:spacing w:val="-7"/>
          <w:sz w:val="22"/>
        </w:rPr>
        <w:t> </w:t>
      </w:r>
      <w:r>
        <w:rPr>
          <w:sz w:val="22"/>
        </w:rPr>
        <w:t>puesto</w:t>
      </w:r>
      <w:r>
        <w:rPr>
          <w:spacing w:val="-9"/>
          <w:sz w:val="22"/>
        </w:rPr>
        <w:t> </w:t>
      </w:r>
      <w:r>
        <w:rPr>
          <w:sz w:val="22"/>
        </w:rPr>
        <w:t>de</w:t>
      </w:r>
      <w:r>
        <w:rPr>
          <w:spacing w:val="-7"/>
          <w:sz w:val="22"/>
        </w:rPr>
        <w:t> </w:t>
      </w:r>
      <w:r>
        <w:rPr>
          <w:sz w:val="22"/>
        </w:rPr>
        <w:t>control</w:t>
      </w:r>
      <w:r>
        <w:rPr>
          <w:spacing w:val="-7"/>
          <w:sz w:val="22"/>
        </w:rPr>
        <w:t> </w:t>
      </w:r>
      <w:r>
        <w:rPr>
          <w:sz w:val="22"/>
        </w:rPr>
        <w:t>de salida de la República del Ecuador ni el de ingreso en la República de Colombia como requisito fitosanitario aplicable. A ello se suma que la contestación de Colombia desarrolla justificaciones generales sobre riesgo, vectores pasivos y trazabilidad, pero no acredita en el texto revisado la existencia de ARP individualizado por cada una de las 6 subpartidas afectadas.</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Además,</w:t>
      </w:r>
      <w:r>
        <w:rPr>
          <w:spacing w:val="-10"/>
          <w:sz w:val="22"/>
        </w:rPr>
        <w:t> </w:t>
      </w:r>
      <w:r>
        <w:rPr>
          <w:sz w:val="22"/>
        </w:rPr>
        <w:t>la</w:t>
      </w:r>
      <w:r>
        <w:rPr>
          <w:spacing w:val="-9"/>
          <w:sz w:val="22"/>
        </w:rPr>
        <w:t> </w:t>
      </w:r>
      <w:r>
        <w:rPr>
          <w:sz w:val="22"/>
        </w:rPr>
        <w:t>República</w:t>
      </w:r>
      <w:r>
        <w:rPr>
          <w:spacing w:val="-9"/>
          <w:sz w:val="22"/>
        </w:rPr>
        <w:t> </w:t>
      </w:r>
      <w:r>
        <w:rPr>
          <w:sz w:val="22"/>
        </w:rPr>
        <w:t>de</w:t>
      </w:r>
      <w:r>
        <w:rPr>
          <w:spacing w:val="-12"/>
          <w:sz w:val="22"/>
        </w:rPr>
        <w:t> </w:t>
      </w:r>
      <w:r>
        <w:rPr>
          <w:sz w:val="22"/>
        </w:rPr>
        <w:t>Colombia</w:t>
      </w:r>
      <w:r>
        <w:rPr>
          <w:spacing w:val="-9"/>
          <w:sz w:val="22"/>
        </w:rPr>
        <w:t> </w:t>
      </w:r>
      <w:r>
        <w:rPr>
          <w:sz w:val="22"/>
        </w:rPr>
        <w:t>expone</w:t>
      </w:r>
      <w:r>
        <w:rPr>
          <w:spacing w:val="-11"/>
          <w:sz w:val="22"/>
        </w:rPr>
        <w:t> </w:t>
      </w:r>
      <w:r>
        <w:rPr>
          <w:sz w:val="22"/>
        </w:rPr>
        <w:t>argumentos</w:t>
      </w:r>
      <w:r>
        <w:rPr>
          <w:spacing w:val="-9"/>
          <w:sz w:val="22"/>
        </w:rPr>
        <w:t> </w:t>
      </w:r>
      <w:r>
        <w:rPr>
          <w:sz w:val="22"/>
        </w:rPr>
        <w:t>sobre</w:t>
      </w:r>
      <w:r>
        <w:rPr>
          <w:spacing w:val="-11"/>
          <w:sz w:val="22"/>
        </w:rPr>
        <w:t> </w:t>
      </w:r>
      <w:r>
        <w:rPr>
          <w:sz w:val="22"/>
        </w:rPr>
        <w:t>la</w:t>
      </w:r>
      <w:r>
        <w:rPr>
          <w:spacing w:val="-9"/>
          <w:sz w:val="22"/>
        </w:rPr>
        <w:t> </w:t>
      </w:r>
      <w:r>
        <w:rPr>
          <w:sz w:val="22"/>
        </w:rPr>
        <w:t>existencia</w:t>
      </w:r>
      <w:r>
        <w:rPr>
          <w:spacing w:val="-14"/>
          <w:sz w:val="22"/>
        </w:rPr>
        <w:t> </w:t>
      </w:r>
      <w:r>
        <w:rPr>
          <w:sz w:val="22"/>
        </w:rPr>
        <w:t>de</w:t>
      </w:r>
      <w:r>
        <w:rPr>
          <w:spacing w:val="-9"/>
          <w:sz w:val="22"/>
        </w:rPr>
        <w:t> </w:t>
      </w:r>
      <w:r>
        <w:rPr>
          <w:sz w:val="22"/>
        </w:rPr>
        <w:t>comercio irregular y contrabando en las importaciones de arroz por la frontera sur. Aporta información</w:t>
      </w:r>
      <w:r>
        <w:rPr>
          <w:spacing w:val="-8"/>
          <w:sz w:val="22"/>
        </w:rPr>
        <w:t> </w:t>
      </w:r>
      <w:r>
        <w:rPr>
          <w:sz w:val="22"/>
        </w:rPr>
        <w:t>sobre</w:t>
      </w:r>
      <w:r>
        <w:rPr>
          <w:spacing w:val="-7"/>
          <w:sz w:val="22"/>
        </w:rPr>
        <w:t> </w:t>
      </w:r>
      <w:r>
        <w:rPr>
          <w:sz w:val="22"/>
        </w:rPr>
        <w:t>las</w:t>
      </w:r>
      <w:r>
        <w:rPr>
          <w:spacing w:val="-7"/>
          <w:sz w:val="22"/>
        </w:rPr>
        <w:t> </w:t>
      </w:r>
      <w:r>
        <w:rPr>
          <w:sz w:val="22"/>
        </w:rPr>
        <w:t>aprehensiones</w:t>
      </w:r>
      <w:r>
        <w:rPr>
          <w:spacing w:val="-7"/>
          <w:sz w:val="22"/>
        </w:rPr>
        <w:t> </w:t>
      </w:r>
      <w:r>
        <w:rPr>
          <w:sz w:val="22"/>
        </w:rPr>
        <w:t>realizadas</w:t>
      </w:r>
      <w:hyperlink w:history="true" w:anchor="_bookmark153">
        <w:r>
          <w:rPr>
            <w:sz w:val="22"/>
            <w:vertAlign w:val="superscript"/>
          </w:rPr>
          <w:t>86</w:t>
        </w:r>
      </w:hyperlink>
      <w:r>
        <w:rPr>
          <w:spacing w:val="-8"/>
          <w:sz w:val="22"/>
          <w:vertAlign w:val="baseline"/>
        </w:rPr>
        <w:t> </w:t>
      </w:r>
      <w:r>
        <w:rPr>
          <w:sz w:val="22"/>
          <w:vertAlign w:val="baseline"/>
        </w:rPr>
        <w:t>que,</w:t>
      </w:r>
      <w:r>
        <w:rPr>
          <w:spacing w:val="-6"/>
          <w:sz w:val="22"/>
          <w:vertAlign w:val="baseline"/>
        </w:rPr>
        <w:t> </w:t>
      </w:r>
      <w:r>
        <w:rPr>
          <w:sz w:val="22"/>
          <w:vertAlign w:val="baseline"/>
        </w:rPr>
        <w:t>como</w:t>
      </w:r>
      <w:r>
        <w:rPr>
          <w:spacing w:val="-9"/>
          <w:sz w:val="22"/>
          <w:vertAlign w:val="baseline"/>
        </w:rPr>
        <w:t> </w:t>
      </w:r>
      <w:r>
        <w:rPr>
          <w:sz w:val="22"/>
          <w:vertAlign w:val="baseline"/>
        </w:rPr>
        <w:t>se</w:t>
      </w:r>
      <w:r>
        <w:rPr>
          <w:spacing w:val="-7"/>
          <w:sz w:val="22"/>
          <w:vertAlign w:val="baseline"/>
        </w:rPr>
        <w:t> </w:t>
      </w:r>
      <w:r>
        <w:rPr>
          <w:sz w:val="22"/>
          <w:vertAlign w:val="baseline"/>
        </w:rPr>
        <w:t>señaló</w:t>
      </w:r>
      <w:r>
        <w:rPr>
          <w:spacing w:val="-7"/>
          <w:sz w:val="22"/>
          <w:vertAlign w:val="baseline"/>
        </w:rPr>
        <w:t> </w:t>
      </w:r>
      <w:r>
        <w:rPr>
          <w:sz w:val="22"/>
          <w:vertAlign w:val="baseline"/>
        </w:rPr>
        <w:t>en</w:t>
      </w:r>
      <w:r>
        <w:rPr>
          <w:spacing w:val="-8"/>
          <w:sz w:val="22"/>
          <w:vertAlign w:val="baseline"/>
        </w:rPr>
        <w:t> </w:t>
      </w:r>
      <w:r>
        <w:rPr>
          <w:sz w:val="22"/>
          <w:vertAlign w:val="baseline"/>
        </w:rPr>
        <w:t>su</w:t>
      </w:r>
      <w:r>
        <w:rPr>
          <w:spacing w:val="-7"/>
          <w:sz w:val="22"/>
          <w:vertAlign w:val="baseline"/>
        </w:rPr>
        <w:t> </w:t>
      </w:r>
      <w:r>
        <w:rPr>
          <w:sz w:val="22"/>
          <w:vertAlign w:val="baseline"/>
        </w:rPr>
        <w:t>momento, el mayor volumen correspondería a la frontera sur. El argumento del contrabando está presente</w:t>
      </w:r>
      <w:r>
        <w:rPr>
          <w:spacing w:val="-4"/>
          <w:sz w:val="22"/>
          <w:vertAlign w:val="baseline"/>
        </w:rPr>
        <w:t> </w:t>
      </w:r>
      <w:r>
        <w:rPr>
          <w:sz w:val="22"/>
          <w:vertAlign w:val="baseline"/>
        </w:rPr>
        <w:t>tanto</w:t>
      </w:r>
      <w:r>
        <w:rPr>
          <w:spacing w:val="-2"/>
          <w:sz w:val="22"/>
          <w:vertAlign w:val="baseline"/>
        </w:rPr>
        <w:t> </w:t>
      </w:r>
      <w:r>
        <w:rPr>
          <w:sz w:val="22"/>
          <w:vertAlign w:val="baseline"/>
        </w:rPr>
        <w:t>en</w:t>
      </w:r>
      <w:r>
        <w:rPr>
          <w:spacing w:val="-4"/>
          <w:sz w:val="22"/>
          <w:vertAlign w:val="baseline"/>
        </w:rPr>
        <w:t> </w:t>
      </w:r>
      <w:r>
        <w:rPr>
          <w:sz w:val="22"/>
          <w:vertAlign w:val="baseline"/>
        </w:rPr>
        <w:t>el</w:t>
      </w:r>
      <w:r>
        <w:rPr>
          <w:spacing w:val="-3"/>
          <w:sz w:val="22"/>
          <w:vertAlign w:val="baseline"/>
        </w:rPr>
        <w:t> </w:t>
      </w:r>
      <w:r>
        <w:rPr>
          <w:sz w:val="22"/>
          <w:vertAlign w:val="baseline"/>
        </w:rPr>
        <w:t>Decreto</w:t>
      </w:r>
      <w:r>
        <w:rPr>
          <w:spacing w:val="-1"/>
          <w:sz w:val="22"/>
          <w:vertAlign w:val="baseline"/>
        </w:rPr>
        <w:t> </w:t>
      </w:r>
      <w:r>
        <w:rPr>
          <w:sz w:val="22"/>
          <w:vertAlign w:val="baseline"/>
        </w:rPr>
        <w:t>0170</w:t>
      </w:r>
      <w:r>
        <w:rPr>
          <w:spacing w:val="-4"/>
          <w:sz w:val="22"/>
          <w:vertAlign w:val="baseline"/>
        </w:rPr>
        <w:t> </w:t>
      </w:r>
      <w:r>
        <w:rPr>
          <w:sz w:val="22"/>
          <w:vertAlign w:val="baseline"/>
        </w:rPr>
        <w:t>como</w:t>
      </w:r>
      <w:r>
        <w:rPr>
          <w:spacing w:val="-2"/>
          <w:sz w:val="22"/>
          <w:vertAlign w:val="baseline"/>
        </w:rPr>
        <w:t> </w:t>
      </w:r>
      <w:r>
        <w:rPr>
          <w:sz w:val="22"/>
          <w:vertAlign w:val="baseline"/>
        </w:rPr>
        <w:t>en</w:t>
      </w:r>
      <w:r>
        <w:rPr>
          <w:spacing w:val="-2"/>
          <w:sz w:val="22"/>
          <w:vertAlign w:val="baseline"/>
        </w:rPr>
        <w:t> </w:t>
      </w:r>
      <w:r>
        <w:rPr>
          <w:sz w:val="22"/>
          <w:vertAlign w:val="baseline"/>
        </w:rPr>
        <w:t>el</w:t>
      </w:r>
      <w:r>
        <w:rPr>
          <w:spacing w:val="-3"/>
          <w:sz w:val="22"/>
          <w:vertAlign w:val="baseline"/>
        </w:rPr>
        <w:t> </w:t>
      </w:r>
      <w:r>
        <w:rPr>
          <w:sz w:val="22"/>
          <w:vertAlign w:val="baseline"/>
        </w:rPr>
        <w:t>escrito</w:t>
      </w:r>
      <w:r>
        <w:rPr>
          <w:spacing w:val="-2"/>
          <w:sz w:val="22"/>
          <w:vertAlign w:val="baseline"/>
        </w:rPr>
        <w:t> </w:t>
      </w:r>
      <w:r>
        <w:rPr>
          <w:sz w:val="22"/>
          <w:vertAlign w:val="baseline"/>
        </w:rPr>
        <w:t>de</w:t>
      </w:r>
      <w:r>
        <w:rPr>
          <w:spacing w:val="-4"/>
          <w:sz w:val="22"/>
          <w:vertAlign w:val="baseline"/>
        </w:rPr>
        <w:t> </w:t>
      </w:r>
      <w:r>
        <w:rPr>
          <w:sz w:val="22"/>
          <w:vertAlign w:val="baseline"/>
        </w:rPr>
        <w:t>respuesta, entendiéndose</w:t>
      </w:r>
      <w:r>
        <w:rPr>
          <w:spacing w:val="-2"/>
          <w:sz w:val="22"/>
          <w:vertAlign w:val="baseline"/>
        </w:rPr>
        <w:t> </w:t>
      </w:r>
      <w:r>
        <w:rPr>
          <w:sz w:val="22"/>
          <w:vertAlign w:val="baseline"/>
        </w:rPr>
        <w:t>que la problemática por la que atravesaría el sector del arroz serían las supuestas importaciones que ingresarían por contrabando, lo que explicaría el incremento de inventarios</w:t>
      </w:r>
      <w:hyperlink w:history="true" w:anchor="_bookmark154">
        <w:r>
          <w:rPr>
            <w:sz w:val="22"/>
            <w:vertAlign w:val="superscript"/>
          </w:rPr>
          <w:t>87</w:t>
        </w:r>
        <w:r>
          <w:rPr>
            <w:sz w:val="22"/>
            <w:vertAlign w:val="baseline"/>
          </w:rPr>
          <w:t>.</w:t>
        </w:r>
      </w:hyperlink>
      <w:r>
        <w:rPr>
          <w:sz w:val="22"/>
          <w:vertAlign w:val="baseline"/>
        </w:rPr>
        <w:t> El problema no estaría relacionado con temas sanitarios.</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82" w:hanging="567"/>
        <w:jc w:val="both"/>
        <w:rPr>
          <w:sz w:val="22"/>
        </w:rPr>
      </w:pPr>
      <w:r>
        <w:rPr>
          <w:sz w:val="22"/>
        </w:rPr>
        <w:t>El Decreto 0170 fue adoptado el 20 de febrero de 2026 y, a efectos de evaluar si la medida</w:t>
      </w:r>
      <w:r>
        <w:rPr>
          <w:spacing w:val="-11"/>
          <w:sz w:val="22"/>
        </w:rPr>
        <w:t> </w:t>
      </w:r>
      <w:r>
        <w:rPr>
          <w:sz w:val="22"/>
        </w:rPr>
        <w:t>tuvo</w:t>
      </w:r>
      <w:r>
        <w:rPr>
          <w:spacing w:val="-13"/>
          <w:sz w:val="22"/>
        </w:rPr>
        <w:t> </w:t>
      </w:r>
      <w:r>
        <w:rPr>
          <w:sz w:val="22"/>
        </w:rPr>
        <w:t>como</w:t>
      </w:r>
      <w:r>
        <w:rPr>
          <w:spacing w:val="-12"/>
          <w:sz w:val="22"/>
        </w:rPr>
        <w:t> </w:t>
      </w:r>
      <w:r>
        <w:rPr>
          <w:sz w:val="22"/>
        </w:rPr>
        <w:t>efecto</w:t>
      </w:r>
      <w:r>
        <w:rPr>
          <w:spacing w:val="-12"/>
          <w:sz w:val="22"/>
        </w:rPr>
        <w:t> </w:t>
      </w:r>
      <w:r>
        <w:rPr>
          <w:sz w:val="22"/>
        </w:rPr>
        <w:t>prohibir</w:t>
      </w:r>
      <w:r>
        <w:rPr>
          <w:spacing w:val="-10"/>
          <w:sz w:val="22"/>
        </w:rPr>
        <w:t> </w:t>
      </w:r>
      <w:r>
        <w:rPr>
          <w:sz w:val="22"/>
        </w:rPr>
        <w:t>las</w:t>
      </w:r>
      <w:r>
        <w:rPr>
          <w:spacing w:val="-11"/>
          <w:sz w:val="22"/>
        </w:rPr>
        <w:t> </w:t>
      </w:r>
      <w:r>
        <w:rPr>
          <w:sz w:val="22"/>
        </w:rPr>
        <w:t>importaciones</w:t>
      </w:r>
      <w:r>
        <w:rPr>
          <w:spacing w:val="-10"/>
          <w:sz w:val="22"/>
        </w:rPr>
        <w:t> </w:t>
      </w:r>
      <w:r>
        <w:rPr>
          <w:sz w:val="22"/>
        </w:rPr>
        <w:t>intracomunitarias,</w:t>
      </w:r>
      <w:r>
        <w:rPr>
          <w:spacing w:val="-10"/>
          <w:sz w:val="22"/>
        </w:rPr>
        <w:t> </w:t>
      </w:r>
      <w:r>
        <w:rPr>
          <w:sz w:val="22"/>
        </w:rPr>
        <w:t>la</w:t>
      </w:r>
      <w:r>
        <w:rPr>
          <w:spacing w:val="-11"/>
          <w:sz w:val="22"/>
        </w:rPr>
        <w:t> </w:t>
      </w:r>
      <w:r>
        <w:rPr>
          <w:sz w:val="22"/>
        </w:rPr>
        <w:t>SGCAN,</w:t>
      </w:r>
      <w:r>
        <w:rPr>
          <w:spacing w:val="-9"/>
          <w:sz w:val="22"/>
        </w:rPr>
        <w:t> </w:t>
      </w:r>
      <w:r>
        <w:rPr>
          <w:sz w:val="22"/>
        </w:rPr>
        <w:t>sobre la base</w:t>
      </w:r>
      <w:r>
        <w:rPr>
          <w:spacing w:val="-3"/>
          <w:sz w:val="22"/>
        </w:rPr>
        <w:t> </w:t>
      </w:r>
      <w:r>
        <w:rPr>
          <w:sz w:val="22"/>
        </w:rPr>
        <w:t>del</w:t>
      </w:r>
      <w:r>
        <w:rPr>
          <w:spacing w:val="-3"/>
          <w:sz w:val="22"/>
        </w:rPr>
        <w:t> </w:t>
      </w:r>
      <w:r>
        <w:rPr>
          <w:sz w:val="22"/>
        </w:rPr>
        <w:t>requerimiento de</w:t>
      </w:r>
      <w:r>
        <w:rPr>
          <w:spacing w:val="-3"/>
          <w:sz w:val="22"/>
        </w:rPr>
        <w:t> </w:t>
      </w:r>
      <w:r>
        <w:rPr>
          <w:sz w:val="22"/>
        </w:rPr>
        <w:t>información</w:t>
      </w:r>
      <w:r>
        <w:rPr>
          <w:spacing w:val="-3"/>
          <w:sz w:val="22"/>
        </w:rPr>
        <w:t> </w:t>
      </w:r>
      <w:r>
        <w:rPr>
          <w:sz w:val="22"/>
        </w:rPr>
        <w:t>formulado a</w:t>
      </w:r>
      <w:r>
        <w:rPr>
          <w:spacing w:val="-3"/>
          <w:sz w:val="22"/>
        </w:rPr>
        <w:t> </w:t>
      </w:r>
      <w:r>
        <w:rPr>
          <w:sz w:val="22"/>
        </w:rPr>
        <w:t>la República</w:t>
      </w:r>
      <w:r>
        <w:rPr>
          <w:spacing w:val="-3"/>
          <w:sz w:val="22"/>
        </w:rPr>
        <w:t> </w:t>
      </w:r>
      <w:r>
        <w:rPr>
          <w:sz w:val="22"/>
        </w:rPr>
        <w:t>del</w:t>
      </w:r>
      <w:r>
        <w:rPr>
          <w:spacing w:val="-1"/>
          <w:sz w:val="22"/>
        </w:rPr>
        <w:t> </w:t>
      </w:r>
      <w:r>
        <w:rPr>
          <w:sz w:val="22"/>
        </w:rPr>
        <w:t>Ecuador,</w:t>
      </w:r>
      <w:r>
        <w:rPr>
          <w:spacing w:val="-1"/>
          <w:sz w:val="22"/>
        </w:rPr>
        <w:t> </w:t>
      </w:r>
      <w:r>
        <w:rPr>
          <w:sz w:val="22"/>
        </w:rPr>
        <w:t>obtuvo información estadística disponible hasta el mes de marzo de 2026.</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La información recabada evidencia que las exportaciones ecuatorianas de arroz, a través de la Aduana de Ipiales, se realizaron de manera constante durante los años 2024 y 2025. Asimismo, para el año 2026, conforme a la información disponible, se registraron exportaciones durante los meses de enero y febrero; sin embargo, a partir del mes de marzo de 2026, no se reportan registros de exportación, circunstancia que resulta</w:t>
      </w:r>
      <w:r>
        <w:rPr>
          <w:spacing w:val="-6"/>
          <w:sz w:val="22"/>
        </w:rPr>
        <w:t> </w:t>
      </w:r>
      <w:r>
        <w:rPr>
          <w:sz w:val="22"/>
        </w:rPr>
        <w:t>relevante</w:t>
      </w:r>
      <w:r>
        <w:rPr>
          <w:spacing w:val="-6"/>
          <w:sz w:val="22"/>
        </w:rPr>
        <w:t> </w:t>
      </w:r>
      <w:r>
        <w:rPr>
          <w:sz w:val="22"/>
        </w:rPr>
        <w:t>para</w:t>
      </w:r>
      <w:r>
        <w:rPr>
          <w:spacing w:val="-6"/>
          <w:sz w:val="22"/>
        </w:rPr>
        <w:t> </w:t>
      </w:r>
      <w:r>
        <w:rPr>
          <w:sz w:val="22"/>
        </w:rPr>
        <w:t>el</w:t>
      </w:r>
      <w:r>
        <w:rPr>
          <w:spacing w:val="-7"/>
          <w:sz w:val="22"/>
        </w:rPr>
        <w:t> </w:t>
      </w:r>
      <w:r>
        <w:rPr>
          <w:sz w:val="22"/>
        </w:rPr>
        <w:t>análisis</w:t>
      </w:r>
      <w:r>
        <w:rPr>
          <w:spacing w:val="-4"/>
          <w:sz w:val="22"/>
        </w:rPr>
        <w:t> </w:t>
      </w:r>
      <w:r>
        <w:rPr>
          <w:sz w:val="22"/>
        </w:rPr>
        <w:t>del</w:t>
      </w:r>
      <w:r>
        <w:rPr>
          <w:spacing w:val="-5"/>
          <w:sz w:val="22"/>
        </w:rPr>
        <w:t> </w:t>
      </w:r>
      <w:r>
        <w:rPr>
          <w:sz w:val="22"/>
        </w:rPr>
        <w:t>efecto</w:t>
      </w:r>
      <w:r>
        <w:rPr>
          <w:spacing w:val="-6"/>
          <w:sz w:val="22"/>
        </w:rPr>
        <w:t> </w:t>
      </w:r>
      <w:r>
        <w:rPr>
          <w:sz w:val="22"/>
        </w:rPr>
        <w:t>práctico</w:t>
      </w:r>
      <w:r>
        <w:rPr>
          <w:spacing w:val="-4"/>
          <w:sz w:val="22"/>
        </w:rPr>
        <w:t> </w:t>
      </w:r>
      <w:r>
        <w:rPr>
          <w:sz w:val="22"/>
        </w:rPr>
        <w:t>de</w:t>
      </w:r>
      <w:r>
        <w:rPr>
          <w:spacing w:val="-4"/>
          <w:sz w:val="22"/>
        </w:rPr>
        <w:t> </w:t>
      </w:r>
      <w:r>
        <w:rPr>
          <w:sz w:val="22"/>
        </w:rPr>
        <w:t>la</w:t>
      </w:r>
      <w:r>
        <w:rPr>
          <w:spacing w:val="-6"/>
          <w:sz w:val="22"/>
        </w:rPr>
        <w:t> </w:t>
      </w:r>
      <w:r>
        <w:rPr>
          <w:sz w:val="22"/>
        </w:rPr>
        <w:t>medida</w:t>
      </w:r>
      <w:r>
        <w:rPr>
          <w:spacing w:val="-4"/>
          <w:sz w:val="22"/>
        </w:rPr>
        <w:t> </w:t>
      </w:r>
      <w:r>
        <w:rPr>
          <w:sz w:val="22"/>
        </w:rPr>
        <w:t>durante</w:t>
      </w:r>
      <w:r>
        <w:rPr>
          <w:spacing w:val="-6"/>
          <w:sz w:val="22"/>
        </w:rPr>
        <w:t> </w:t>
      </w:r>
      <w:r>
        <w:rPr>
          <w:sz w:val="22"/>
        </w:rPr>
        <w:t>su</w:t>
      </w:r>
      <w:r>
        <w:rPr>
          <w:spacing w:val="-4"/>
          <w:sz w:val="22"/>
        </w:rPr>
        <w:t> </w:t>
      </w:r>
      <w:r>
        <w:rPr>
          <w:sz w:val="22"/>
        </w:rPr>
        <w:t>período</w:t>
      </w:r>
      <w:r>
        <w:rPr>
          <w:spacing w:val="-4"/>
          <w:sz w:val="22"/>
        </w:rPr>
        <w:t> </w:t>
      </w:r>
      <w:r>
        <w:rPr>
          <w:sz w:val="22"/>
        </w:rPr>
        <w:t>de </w:t>
      </w:r>
      <w:r>
        <w:rPr>
          <w:spacing w:val="-2"/>
          <w:sz w:val="22"/>
        </w:rPr>
        <w:t>vigencia.</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62"/>
        <w:rPr>
          <w:sz w:val="20"/>
        </w:rPr>
      </w:pPr>
      <w:r>
        <w:rPr>
          <w:sz w:val="20"/>
        </w:rPr>
        <mc:AlternateContent>
          <mc:Choice Requires="wps">
            <w:drawing>
              <wp:anchor distT="0" distB="0" distL="0" distR="0" allowOverlap="1" layoutInCell="1" locked="0" behindDoc="1" simplePos="0" relativeHeight="487654912">
                <wp:simplePos x="0" y="0"/>
                <wp:positionH relativeFrom="page">
                  <wp:posOffset>990904</wp:posOffset>
                </wp:positionH>
                <wp:positionV relativeFrom="paragraph">
                  <wp:posOffset>264176</wp:posOffset>
                </wp:positionV>
                <wp:extent cx="1829435" cy="7620"/>
                <wp:effectExtent l="0" t="0" r="0" b="0"/>
                <wp:wrapTopAndBottom/>
                <wp:docPr id="548" name="Graphic 548"/>
                <wp:cNvGraphicFramePr>
                  <a:graphicFrameLocks/>
                </wp:cNvGraphicFramePr>
                <a:graphic>
                  <a:graphicData uri="http://schemas.microsoft.com/office/word/2010/wordprocessingShape">
                    <wps:wsp>
                      <wps:cNvPr id="548" name="Graphic 548"/>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0.80131pt;width:144.020pt;height:.599980pt;mso-position-horizontal-relative:page;mso-position-vertical-relative:paragraph;z-index:-15661568;mso-wrap-distance-left:0;mso-wrap-distance-right:0" id="docshape378" filled="true" fillcolor="#000000" stroked="false">
                <v:fill type="solid"/>
                <w10:wrap type="topAndBottom"/>
              </v:rect>
            </w:pict>
          </mc:Fallback>
        </mc:AlternateContent>
      </w:r>
    </w:p>
    <w:p>
      <w:pPr>
        <w:spacing w:before="92"/>
        <w:ind w:left="568" w:right="984" w:firstLine="0"/>
        <w:jc w:val="both"/>
        <w:rPr>
          <w:sz w:val="16"/>
        </w:rPr>
      </w:pPr>
      <w:bookmarkStart w:name="_bookmark151" w:id="152"/>
      <w:bookmarkEnd w:id="152"/>
      <w:r>
        <w:rPr/>
      </w:r>
      <w:r>
        <w:rPr>
          <w:sz w:val="16"/>
          <w:vertAlign w:val="superscript"/>
        </w:rPr>
        <w:t>84</w:t>
      </w:r>
      <w:r>
        <w:rPr>
          <w:sz w:val="16"/>
          <w:vertAlign w:val="baseline"/>
        </w:rPr>
        <w:t> </w:t>
      </w:r>
      <w:r>
        <w:rPr>
          <w:rFonts w:ascii="Arial" w:hAnsi="Arial"/>
          <w:b/>
          <w:sz w:val="16"/>
          <w:vertAlign w:val="baseline"/>
        </w:rPr>
        <w:t>Artículo 2: </w:t>
      </w:r>
      <w:r>
        <w:rPr>
          <w:sz w:val="16"/>
          <w:vertAlign w:val="baseline"/>
        </w:rPr>
        <w:t>Para el análisis del riesgo fitosanitario los Países Miembros tomarán en cuenta: a) Las plagas exóticas y de consideración</w:t>
      </w:r>
      <w:r>
        <w:rPr>
          <w:spacing w:val="-2"/>
          <w:sz w:val="16"/>
          <w:vertAlign w:val="baseline"/>
        </w:rPr>
        <w:t> </w:t>
      </w:r>
      <w:r>
        <w:rPr>
          <w:sz w:val="16"/>
          <w:vertAlign w:val="baseline"/>
        </w:rPr>
        <w:t>cuarentenaria a</w:t>
      </w:r>
      <w:r>
        <w:rPr>
          <w:spacing w:val="-2"/>
          <w:sz w:val="16"/>
          <w:vertAlign w:val="baseline"/>
        </w:rPr>
        <w:t> </w:t>
      </w:r>
      <w:r>
        <w:rPr>
          <w:sz w:val="16"/>
          <w:vertAlign w:val="baseline"/>
        </w:rPr>
        <w:t>sus territorios, que en</w:t>
      </w:r>
      <w:r>
        <w:rPr>
          <w:spacing w:val="-2"/>
          <w:sz w:val="16"/>
          <w:vertAlign w:val="baseline"/>
        </w:rPr>
        <w:t> </w:t>
      </w:r>
      <w:r>
        <w:rPr>
          <w:sz w:val="16"/>
          <w:vertAlign w:val="baseline"/>
        </w:rPr>
        <w:t>caso de</w:t>
      </w:r>
      <w:r>
        <w:rPr>
          <w:spacing w:val="-2"/>
          <w:sz w:val="16"/>
          <w:vertAlign w:val="baseline"/>
        </w:rPr>
        <w:t> </w:t>
      </w:r>
      <w:r>
        <w:rPr>
          <w:sz w:val="16"/>
          <w:vertAlign w:val="baseline"/>
        </w:rPr>
        <w:t>introducción</w:t>
      </w:r>
      <w:r>
        <w:rPr>
          <w:spacing w:val="-2"/>
          <w:sz w:val="16"/>
          <w:vertAlign w:val="baseline"/>
        </w:rPr>
        <w:t> </w:t>
      </w:r>
      <w:r>
        <w:rPr>
          <w:sz w:val="16"/>
          <w:vertAlign w:val="baseline"/>
        </w:rPr>
        <w:t>causarían</w:t>
      </w:r>
      <w:r>
        <w:rPr>
          <w:spacing w:val="-2"/>
          <w:sz w:val="16"/>
          <w:vertAlign w:val="baseline"/>
        </w:rPr>
        <w:t> </w:t>
      </w:r>
      <w:r>
        <w:rPr>
          <w:sz w:val="16"/>
          <w:vertAlign w:val="baseline"/>
        </w:rPr>
        <w:t>daños inaceptables a</w:t>
      </w:r>
      <w:r>
        <w:rPr>
          <w:spacing w:val="-2"/>
          <w:sz w:val="16"/>
          <w:vertAlign w:val="baseline"/>
        </w:rPr>
        <w:t> </w:t>
      </w:r>
      <w:r>
        <w:rPr>
          <w:sz w:val="16"/>
          <w:vertAlign w:val="baseline"/>
        </w:rPr>
        <w:t>su</w:t>
      </w:r>
      <w:r>
        <w:rPr>
          <w:spacing w:val="-2"/>
          <w:sz w:val="16"/>
          <w:vertAlign w:val="baseline"/>
        </w:rPr>
        <w:t> </w:t>
      </w:r>
      <w:r>
        <w:rPr>
          <w:sz w:val="16"/>
          <w:vertAlign w:val="baseline"/>
        </w:rPr>
        <w:t>economía. b)</w:t>
      </w:r>
      <w:r>
        <w:rPr>
          <w:spacing w:val="-2"/>
          <w:sz w:val="16"/>
          <w:vertAlign w:val="baseline"/>
        </w:rPr>
        <w:t> </w:t>
      </w:r>
      <w:r>
        <w:rPr>
          <w:sz w:val="16"/>
          <w:vertAlign w:val="baseline"/>
        </w:rPr>
        <w:t>Las vías</w:t>
      </w:r>
      <w:r>
        <w:rPr>
          <w:spacing w:val="-3"/>
          <w:sz w:val="16"/>
          <w:vertAlign w:val="baseline"/>
        </w:rPr>
        <w:t> </w:t>
      </w:r>
      <w:r>
        <w:rPr>
          <w:sz w:val="16"/>
          <w:vertAlign w:val="baseline"/>
        </w:rPr>
        <w:t>y medios</w:t>
      </w:r>
      <w:r>
        <w:rPr>
          <w:spacing w:val="-3"/>
          <w:sz w:val="16"/>
          <w:vertAlign w:val="baseline"/>
        </w:rPr>
        <w:t> </w:t>
      </w:r>
      <w:r>
        <w:rPr>
          <w:sz w:val="16"/>
          <w:vertAlign w:val="baseline"/>
        </w:rPr>
        <w:t>mediante</w:t>
      </w:r>
      <w:r>
        <w:rPr>
          <w:spacing w:val="-2"/>
          <w:sz w:val="16"/>
          <w:vertAlign w:val="baseline"/>
        </w:rPr>
        <w:t> </w:t>
      </w:r>
      <w:r>
        <w:rPr>
          <w:sz w:val="16"/>
          <w:vertAlign w:val="baseline"/>
        </w:rPr>
        <w:t>los</w:t>
      </w:r>
      <w:r>
        <w:rPr>
          <w:spacing w:val="-3"/>
          <w:sz w:val="16"/>
          <w:vertAlign w:val="baseline"/>
        </w:rPr>
        <w:t> </w:t>
      </w:r>
      <w:r>
        <w:rPr>
          <w:sz w:val="16"/>
          <w:vertAlign w:val="baseline"/>
        </w:rPr>
        <w:t>cuales</w:t>
      </w:r>
      <w:r>
        <w:rPr>
          <w:spacing w:val="-3"/>
          <w:sz w:val="16"/>
          <w:vertAlign w:val="baseline"/>
        </w:rPr>
        <w:t> </w:t>
      </w:r>
      <w:r>
        <w:rPr>
          <w:sz w:val="16"/>
          <w:vertAlign w:val="baseline"/>
        </w:rPr>
        <w:t>dichas plagas</w:t>
      </w:r>
      <w:r>
        <w:rPr>
          <w:spacing w:val="-3"/>
          <w:sz w:val="16"/>
          <w:vertAlign w:val="baseline"/>
        </w:rPr>
        <w:t> </w:t>
      </w:r>
      <w:r>
        <w:rPr>
          <w:sz w:val="16"/>
          <w:vertAlign w:val="baseline"/>
        </w:rPr>
        <w:t>podrían</w:t>
      </w:r>
      <w:r>
        <w:rPr>
          <w:spacing w:val="-2"/>
          <w:sz w:val="16"/>
          <w:vertAlign w:val="baseline"/>
        </w:rPr>
        <w:t> </w:t>
      </w:r>
      <w:r>
        <w:rPr>
          <w:sz w:val="16"/>
          <w:vertAlign w:val="baseline"/>
        </w:rPr>
        <w:t>ser</w:t>
      </w:r>
      <w:r>
        <w:rPr>
          <w:spacing w:val="-4"/>
          <w:sz w:val="16"/>
          <w:vertAlign w:val="baseline"/>
        </w:rPr>
        <w:t> </w:t>
      </w:r>
      <w:r>
        <w:rPr>
          <w:sz w:val="16"/>
          <w:vertAlign w:val="baseline"/>
        </w:rPr>
        <w:t>introducidas</w:t>
      </w:r>
      <w:r>
        <w:rPr>
          <w:spacing w:val="-3"/>
          <w:sz w:val="16"/>
          <w:vertAlign w:val="baseline"/>
        </w:rPr>
        <w:t> </w:t>
      </w:r>
      <w:r>
        <w:rPr>
          <w:sz w:val="16"/>
          <w:vertAlign w:val="baseline"/>
        </w:rPr>
        <w:t>al</w:t>
      </w:r>
      <w:r>
        <w:rPr>
          <w:spacing w:val="-1"/>
          <w:sz w:val="16"/>
          <w:vertAlign w:val="baseline"/>
        </w:rPr>
        <w:t> </w:t>
      </w:r>
      <w:r>
        <w:rPr>
          <w:sz w:val="16"/>
          <w:vertAlign w:val="baseline"/>
        </w:rPr>
        <w:t>país.</w:t>
      </w:r>
      <w:r>
        <w:rPr>
          <w:spacing w:val="-3"/>
          <w:sz w:val="16"/>
          <w:vertAlign w:val="baseline"/>
        </w:rPr>
        <w:t> </w:t>
      </w:r>
      <w:r>
        <w:rPr>
          <w:sz w:val="16"/>
          <w:vertAlign w:val="baseline"/>
        </w:rPr>
        <w:t>c)</w:t>
      </w:r>
      <w:r>
        <w:rPr>
          <w:spacing w:val="-2"/>
          <w:sz w:val="16"/>
          <w:vertAlign w:val="baseline"/>
        </w:rPr>
        <w:t> </w:t>
      </w:r>
      <w:r>
        <w:rPr>
          <w:sz w:val="16"/>
          <w:vertAlign w:val="baseline"/>
        </w:rPr>
        <w:t>Las</w:t>
      </w:r>
      <w:r>
        <w:rPr>
          <w:spacing w:val="-3"/>
          <w:sz w:val="16"/>
          <w:vertAlign w:val="baseline"/>
        </w:rPr>
        <w:t> </w:t>
      </w:r>
      <w:r>
        <w:rPr>
          <w:sz w:val="16"/>
          <w:vertAlign w:val="baseline"/>
        </w:rPr>
        <w:t>medidas</w:t>
      </w:r>
      <w:r>
        <w:rPr>
          <w:spacing w:val="-3"/>
          <w:sz w:val="16"/>
          <w:vertAlign w:val="baseline"/>
        </w:rPr>
        <w:t> </w:t>
      </w:r>
      <w:r>
        <w:rPr>
          <w:sz w:val="16"/>
          <w:vertAlign w:val="baseline"/>
        </w:rPr>
        <w:t>fitosanitarias</w:t>
      </w:r>
      <w:r>
        <w:rPr>
          <w:spacing w:val="-1"/>
          <w:sz w:val="16"/>
          <w:vertAlign w:val="baseline"/>
        </w:rPr>
        <w:t> </w:t>
      </w:r>
      <w:r>
        <w:rPr>
          <w:sz w:val="16"/>
          <w:vertAlign w:val="baseline"/>
        </w:rPr>
        <w:t>disponibles para prevenir tal introducción.</w:t>
      </w:r>
    </w:p>
    <w:p>
      <w:pPr>
        <w:spacing w:before="1"/>
        <w:ind w:left="568" w:right="977" w:firstLine="0"/>
        <w:jc w:val="both"/>
        <w:rPr>
          <w:sz w:val="16"/>
        </w:rPr>
      </w:pPr>
      <w:bookmarkStart w:name="_bookmark152" w:id="153"/>
      <w:bookmarkEnd w:id="153"/>
      <w:r>
        <w:rPr/>
      </w:r>
      <w:r>
        <w:rPr>
          <w:sz w:val="16"/>
          <w:vertAlign w:val="superscript"/>
        </w:rPr>
        <w:t>85</w:t>
      </w:r>
      <w:r>
        <w:rPr>
          <w:spacing w:val="-12"/>
          <w:sz w:val="16"/>
          <w:vertAlign w:val="baseline"/>
        </w:rPr>
        <w:t> </w:t>
      </w:r>
      <w:r>
        <w:rPr>
          <w:rFonts w:ascii="Arial" w:hAnsi="Arial"/>
          <w:b/>
          <w:sz w:val="16"/>
          <w:vertAlign w:val="baseline"/>
        </w:rPr>
        <w:t>Artículo</w:t>
      </w:r>
      <w:r>
        <w:rPr>
          <w:rFonts w:ascii="Arial" w:hAnsi="Arial"/>
          <w:b/>
          <w:spacing w:val="-11"/>
          <w:sz w:val="16"/>
          <w:vertAlign w:val="baseline"/>
        </w:rPr>
        <w:t> </w:t>
      </w:r>
      <w:r>
        <w:rPr>
          <w:rFonts w:ascii="Arial" w:hAnsi="Arial"/>
          <w:b/>
          <w:sz w:val="16"/>
          <w:vertAlign w:val="baseline"/>
        </w:rPr>
        <w:t>4:</w:t>
      </w:r>
      <w:r>
        <w:rPr>
          <w:rFonts w:ascii="Arial" w:hAnsi="Arial"/>
          <w:b/>
          <w:spacing w:val="-11"/>
          <w:sz w:val="16"/>
          <w:vertAlign w:val="baseline"/>
        </w:rPr>
        <w:t> </w:t>
      </w:r>
      <w:r>
        <w:rPr>
          <w:sz w:val="16"/>
          <w:vertAlign w:val="baseline"/>
        </w:rPr>
        <w:t>Proceso</w:t>
      </w:r>
      <w:r>
        <w:rPr>
          <w:spacing w:val="-11"/>
          <w:sz w:val="16"/>
          <w:vertAlign w:val="baseline"/>
        </w:rPr>
        <w:t> </w:t>
      </w:r>
      <w:r>
        <w:rPr>
          <w:sz w:val="16"/>
          <w:vertAlign w:val="baseline"/>
        </w:rPr>
        <w:t>para</w:t>
      </w:r>
      <w:r>
        <w:rPr>
          <w:spacing w:val="-11"/>
          <w:sz w:val="16"/>
          <w:vertAlign w:val="baseline"/>
        </w:rPr>
        <w:t> </w:t>
      </w:r>
      <w:r>
        <w:rPr>
          <w:sz w:val="16"/>
          <w:vertAlign w:val="baseline"/>
        </w:rPr>
        <w:t>realizar</w:t>
      </w:r>
      <w:r>
        <w:rPr>
          <w:spacing w:val="-11"/>
          <w:sz w:val="16"/>
          <w:vertAlign w:val="baseline"/>
        </w:rPr>
        <w:t> </w:t>
      </w:r>
      <w:r>
        <w:rPr>
          <w:sz w:val="16"/>
          <w:vertAlign w:val="baseline"/>
        </w:rPr>
        <w:t>un</w:t>
      </w:r>
      <w:r>
        <w:rPr>
          <w:spacing w:val="-11"/>
          <w:sz w:val="16"/>
          <w:vertAlign w:val="baseline"/>
        </w:rPr>
        <w:t> </w:t>
      </w:r>
      <w:r>
        <w:rPr>
          <w:sz w:val="16"/>
          <w:vertAlign w:val="baseline"/>
        </w:rPr>
        <w:t>ARP:</w:t>
      </w:r>
      <w:r>
        <w:rPr>
          <w:spacing w:val="-11"/>
          <w:sz w:val="16"/>
          <w:vertAlign w:val="baseline"/>
        </w:rPr>
        <w:t> </w:t>
      </w:r>
      <w:r>
        <w:rPr>
          <w:sz w:val="16"/>
          <w:vertAlign w:val="baseline"/>
        </w:rPr>
        <w:t>“En</w:t>
      </w:r>
      <w:r>
        <w:rPr>
          <w:spacing w:val="-12"/>
          <w:sz w:val="16"/>
          <w:vertAlign w:val="baseline"/>
        </w:rPr>
        <w:t> </w:t>
      </w:r>
      <w:r>
        <w:rPr>
          <w:sz w:val="16"/>
          <w:vertAlign w:val="baseline"/>
        </w:rPr>
        <w:t>el</w:t>
      </w:r>
      <w:r>
        <w:rPr>
          <w:spacing w:val="-11"/>
          <w:sz w:val="16"/>
          <w:vertAlign w:val="baseline"/>
        </w:rPr>
        <w:t> </w:t>
      </w:r>
      <w:r>
        <w:rPr>
          <w:sz w:val="16"/>
          <w:vertAlign w:val="baseline"/>
        </w:rPr>
        <w:t>análisis</w:t>
      </w:r>
      <w:r>
        <w:rPr>
          <w:spacing w:val="-11"/>
          <w:sz w:val="16"/>
          <w:vertAlign w:val="baseline"/>
        </w:rPr>
        <w:t> </w:t>
      </w:r>
      <w:r>
        <w:rPr>
          <w:sz w:val="16"/>
          <w:vertAlign w:val="baseline"/>
        </w:rPr>
        <w:t>del</w:t>
      </w:r>
      <w:r>
        <w:rPr>
          <w:spacing w:val="-11"/>
          <w:sz w:val="16"/>
          <w:vertAlign w:val="baseline"/>
        </w:rPr>
        <w:t> </w:t>
      </w:r>
      <w:r>
        <w:rPr>
          <w:sz w:val="16"/>
          <w:vertAlign w:val="baseline"/>
        </w:rPr>
        <w:t>riesgo</w:t>
      </w:r>
      <w:r>
        <w:rPr>
          <w:spacing w:val="-11"/>
          <w:sz w:val="16"/>
          <w:vertAlign w:val="baseline"/>
        </w:rPr>
        <w:t> </w:t>
      </w:r>
      <w:r>
        <w:rPr>
          <w:sz w:val="16"/>
          <w:vertAlign w:val="baseline"/>
        </w:rPr>
        <w:t>sanitario</w:t>
      </w:r>
      <w:r>
        <w:rPr>
          <w:spacing w:val="-11"/>
          <w:sz w:val="16"/>
          <w:vertAlign w:val="baseline"/>
        </w:rPr>
        <w:t> </w:t>
      </w:r>
      <w:r>
        <w:rPr>
          <w:sz w:val="16"/>
          <w:vertAlign w:val="baseline"/>
        </w:rPr>
        <w:t>para</w:t>
      </w:r>
      <w:r>
        <w:rPr>
          <w:spacing w:val="-11"/>
          <w:sz w:val="16"/>
          <w:vertAlign w:val="baseline"/>
        </w:rPr>
        <w:t> </w:t>
      </w:r>
      <w:r>
        <w:rPr>
          <w:sz w:val="16"/>
          <w:vertAlign w:val="baseline"/>
        </w:rPr>
        <w:t>una</w:t>
      </w:r>
      <w:r>
        <w:rPr>
          <w:spacing w:val="-11"/>
          <w:sz w:val="16"/>
          <w:vertAlign w:val="baseline"/>
        </w:rPr>
        <w:t> </w:t>
      </w:r>
      <w:r>
        <w:rPr>
          <w:sz w:val="16"/>
          <w:vertAlign w:val="baseline"/>
        </w:rPr>
        <w:t>determinada</w:t>
      </w:r>
      <w:r>
        <w:rPr>
          <w:spacing w:val="-11"/>
          <w:sz w:val="16"/>
          <w:vertAlign w:val="baseline"/>
        </w:rPr>
        <w:t> </w:t>
      </w:r>
      <w:r>
        <w:rPr>
          <w:sz w:val="16"/>
          <w:vertAlign w:val="baseline"/>
        </w:rPr>
        <w:t>área</w:t>
      </w:r>
      <w:r>
        <w:rPr>
          <w:spacing w:val="-12"/>
          <w:sz w:val="16"/>
          <w:vertAlign w:val="baseline"/>
        </w:rPr>
        <w:t> </w:t>
      </w:r>
      <w:r>
        <w:rPr>
          <w:sz w:val="16"/>
          <w:vertAlign w:val="baseline"/>
        </w:rPr>
        <w:t>considerada</w:t>
      </w:r>
      <w:r>
        <w:rPr>
          <w:spacing w:val="-11"/>
          <w:sz w:val="16"/>
          <w:vertAlign w:val="baseline"/>
        </w:rPr>
        <w:t> </w:t>
      </w:r>
      <w:r>
        <w:rPr>
          <w:sz w:val="16"/>
          <w:vertAlign w:val="baseline"/>
        </w:rPr>
        <w:t>en</w:t>
      </w:r>
      <w:r>
        <w:rPr>
          <w:spacing w:val="-11"/>
          <w:sz w:val="16"/>
          <w:vertAlign w:val="baseline"/>
        </w:rPr>
        <w:t> </w:t>
      </w:r>
      <w:r>
        <w:rPr>
          <w:sz w:val="16"/>
          <w:vertAlign w:val="baseline"/>
        </w:rPr>
        <w:t>peligro, se seguirán las siguientes etapas: a) Iniciación del proceso mediante determinación y calificación de las plagas y las vías de entrada, para las cuales se realice un ARP; b) Evaluación del riesgo, valorando si cada una de las plagas identificadas como tales o</w:t>
      </w:r>
      <w:r>
        <w:rPr>
          <w:spacing w:val="-4"/>
          <w:sz w:val="16"/>
          <w:vertAlign w:val="baseline"/>
        </w:rPr>
        <w:t> </w:t>
      </w:r>
      <w:r>
        <w:rPr>
          <w:sz w:val="16"/>
          <w:vertAlign w:val="baseline"/>
        </w:rPr>
        <w:t>asociadas a</w:t>
      </w:r>
      <w:r>
        <w:rPr>
          <w:spacing w:val="-1"/>
          <w:sz w:val="16"/>
          <w:vertAlign w:val="baseline"/>
        </w:rPr>
        <w:t> </w:t>
      </w:r>
      <w:r>
        <w:rPr>
          <w:sz w:val="16"/>
          <w:vertAlign w:val="baseline"/>
        </w:rPr>
        <w:t>una</w:t>
      </w:r>
      <w:r>
        <w:rPr>
          <w:spacing w:val="-3"/>
          <w:sz w:val="16"/>
          <w:vertAlign w:val="baseline"/>
        </w:rPr>
        <w:t> </w:t>
      </w:r>
      <w:r>
        <w:rPr>
          <w:sz w:val="16"/>
          <w:vertAlign w:val="baseline"/>
        </w:rPr>
        <w:t>vía</w:t>
      </w:r>
      <w:r>
        <w:rPr>
          <w:spacing w:val="-4"/>
          <w:sz w:val="16"/>
          <w:vertAlign w:val="baseline"/>
        </w:rPr>
        <w:t> </w:t>
      </w:r>
      <w:r>
        <w:rPr>
          <w:sz w:val="16"/>
          <w:vertAlign w:val="baseline"/>
        </w:rPr>
        <w:t>de</w:t>
      </w:r>
      <w:r>
        <w:rPr>
          <w:spacing w:val="-1"/>
          <w:sz w:val="16"/>
          <w:vertAlign w:val="baseline"/>
        </w:rPr>
        <w:t> </w:t>
      </w:r>
      <w:r>
        <w:rPr>
          <w:sz w:val="16"/>
          <w:vertAlign w:val="baseline"/>
        </w:rPr>
        <w:t>ingreso, es una</w:t>
      </w:r>
      <w:r>
        <w:rPr>
          <w:spacing w:val="-1"/>
          <w:sz w:val="16"/>
          <w:vertAlign w:val="baseline"/>
        </w:rPr>
        <w:t> </w:t>
      </w:r>
      <w:r>
        <w:rPr>
          <w:sz w:val="16"/>
          <w:vertAlign w:val="baseline"/>
        </w:rPr>
        <w:t>plaga</w:t>
      </w:r>
      <w:r>
        <w:rPr>
          <w:spacing w:val="-3"/>
          <w:sz w:val="16"/>
          <w:vertAlign w:val="baseline"/>
        </w:rPr>
        <w:t> </w:t>
      </w:r>
      <w:r>
        <w:rPr>
          <w:sz w:val="16"/>
          <w:vertAlign w:val="baseline"/>
        </w:rPr>
        <w:t>cuarentenaria</w:t>
      </w:r>
      <w:r>
        <w:rPr>
          <w:spacing w:val="-3"/>
          <w:sz w:val="16"/>
          <w:vertAlign w:val="baseline"/>
        </w:rPr>
        <w:t> </w:t>
      </w:r>
      <w:r>
        <w:rPr>
          <w:sz w:val="16"/>
          <w:vertAlign w:val="baseline"/>
        </w:rPr>
        <w:t>que</w:t>
      </w:r>
      <w:r>
        <w:rPr>
          <w:spacing w:val="-1"/>
          <w:sz w:val="16"/>
          <w:vertAlign w:val="baseline"/>
        </w:rPr>
        <w:t> </w:t>
      </w:r>
      <w:r>
        <w:rPr>
          <w:sz w:val="16"/>
          <w:vertAlign w:val="baseline"/>
        </w:rPr>
        <w:t>deba</w:t>
      </w:r>
      <w:r>
        <w:rPr>
          <w:spacing w:val="-1"/>
          <w:sz w:val="16"/>
          <w:vertAlign w:val="baseline"/>
        </w:rPr>
        <w:t> </w:t>
      </w:r>
      <w:r>
        <w:rPr>
          <w:sz w:val="16"/>
          <w:vertAlign w:val="baseline"/>
        </w:rPr>
        <w:t>ser</w:t>
      </w:r>
      <w:r>
        <w:rPr>
          <w:spacing w:val="-1"/>
          <w:sz w:val="16"/>
          <w:vertAlign w:val="baseline"/>
        </w:rPr>
        <w:t> </w:t>
      </w:r>
      <w:r>
        <w:rPr>
          <w:sz w:val="16"/>
          <w:vertAlign w:val="baseline"/>
        </w:rPr>
        <w:t>determinada</w:t>
      </w:r>
      <w:r>
        <w:rPr>
          <w:spacing w:val="-1"/>
          <w:sz w:val="16"/>
          <w:vertAlign w:val="baseline"/>
        </w:rPr>
        <w:t> </w:t>
      </w:r>
      <w:r>
        <w:rPr>
          <w:sz w:val="16"/>
          <w:vertAlign w:val="baseline"/>
        </w:rPr>
        <w:t>en</w:t>
      </w:r>
      <w:r>
        <w:rPr>
          <w:spacing w:val="-4"/>
          <w:sz w:val="16"/>
          <w:vertAlign w:val="baseline"/>
        </w:rPr>
        <w:t> </w:t>
      </w:r>
      <w:r>
        <w:rPr>
          <w:sz w:val="16"/>
          <w:vertAlign w:val="baseline"/>
        </w:rPr>
        <w:t>función</w:t>
      </w:r>
      <w:r>
        <w:rPr>
          <w:spacing w:val="-1"/>
          <w:sz w:val="16"/>
          <w:vertAlign w:val="baseline"/>
        </w:rPr>
        <w:t> </w:t>
      </w:r>
      <w:r>
        <w:rPr>
          <w:sz w:val="16"/>
          <w:vertAlign w:val="baseline"/>
        </w:rPr>
        <w:t>con</w:t>
      </w:r>
      <w:r>
        <w:rPr>
          <w:spacing w:val="-1"/>
          <w:sz w:val="16"/>
          <w:vertAlign w:val="baseline"/>
        </w:rPr>
        <w:t> </w:t>
      </w:r>
      <w:r>
        <w:rPr>
          <w:sz w:val="16"/>
          <w:vertAlign w:val="baseline"/>
        </w:rPr>
        <w:t>la</w:t>
      </w:r>
      <w:r>
        <w:rPr>
          <w:spacing w:val="-3"/>
          <w:sz w:val="16"/>
          <w:vertAlign w:val="baseline"/>
        </w:rPr>
        <w:t> </w:t>
      </w:r>
      <w:r>
        <w:rPr>
          <w:sz w:val="16"/>
          <w:vertAlign w:val="baseline"/>
        </w:rPr>
        <w:t>probabilidad</w:t>
      </w:r>
      <w:r>
        <w:rPr>
          <w:spacing w:val="-1"/>
          <w:sz w:val="16"/>
          <w:vertAlign w:val="baseline"/>
        </w:rPr>
        <w:t> </w:t>
      </w:r>
      <w:r>
        <w:rPr>
          <w:sz w:val="16"/>
          <w:vertAlign w:val="baseline"/>
        </w:rPr>
        <w:t>de ingreso, establecimiento, propagación e importancia económica; y c) Manejo del riesgo, mediante el proceso de evaluación, comparación y selección de opciones para reducir el riesgo”.</w:t>
      </w:r>
    </w:p>
    <w:p>
      <w:pPr>
        <w:spacing w:line="183" w:lineRule="exact" w:before="0"/>
        <w:ind w:left="568" w:right="0" w:firstLine="0"/>
        <w:jc w:val="both"/>
        <w:rPr>
          <w:sz w:val="16"/>
        </w:rPr>
      </w:pPr>
      <w:bookmarkStart w:name="_bookmark153" w:id="154"/>
      <w:bookmarkEnd w:id="154"/>
      <w:r>
        <w:rPr/>
      </w:r>
      <w:r>
        <w:rPr>
          <w:spacing w:val="-2"/>
          <w:sz w:val="16"/>
          <w:vertAlign w:val="superscript"/>
        </w:rPr>
        <w:t>86</w:t>
      </w:r>
      <w:r>
        <w:rPr>
          <w:spacing w:val="-8"/>
          <w:sz w:val="16"/>
          <w:vertAlign w:val="baseline"/>
        </w:rPr>
        <w:t> </w:t>
      </w:r>
      <w:r>
        <w:rPr>
          <w:spacing w:val="-2"/>
          <w:sz w:val="16"/>
          <w:vertAlign w:val="baseline"/>
        </w:rPr>
        <w:t>Expediente</w:t>
      </w:r>
      <w:r>
        <w:rPr>
          <w:spacing w:val="15"/>
          <w:sz w:val="16"/>
          <w:vertAlign w:val="baseline"/>
        </w:rPr>
        <w:t> </w:t>
      </w:r>
      <w:r>
        <w:rPr>
          <w:spacing w:val="-2"/>
          <w:sz w:val="16"/>
          <w:vertAlign w:val="baseline"/>
        </w:rPr>
        <w:t>DGCOM/GRAV-REST/002/2026,</w:t>
      </w:r>
      <w:r>
        <w:rPr>
          <w:spacing w:val="14"/>
          <w:sz w:val="16"/>
          <w:vertAlign w:val="baseline"/>
        </w:rPr>
        <w:t> </w:t>
      </w:r>
      <w:r>
        <w:rPr>
          <w:spacing w:val="-2"/>
          <w:sz w:val="16"/>
          <w:vertAlign w:val="baseline"/>
        </w:rPr>
        <w:t>folio</w:t>
      </w:r>
      <w:r>
        <w:rPr>
          <w:spacing w:val="11"/>
          <w:sz w:val="16"/>
          <w:vertAlign w:val="baseline"/>
        </w:rPr>
        <w:t> </w:t>
      </w:r>
      <w:r>
        <w:rPr>
          <w:spacing w:val="-2"/>
          <w:sz w:val="16"/>
          <w:vertAlign w:val="baseline"/>
        </w:rPr>
        <w:t>000412.</w:t>
      </w:r>
    </w:p>
    <w:p>
      <w:pPr>
        <w:spacing w:before="0"/>
        <w:ind w:left="568" w:right="974" w:firstLine="0"/>
        <w:jc w:val="both"/>
        <w:rPr>
          <w:sz w:val="16"/>
        </w:rPr>
      </w:pPr>
      <w:bookmarkStart w:name="_bookmark154" w:id="155"/>
      <w:bookmarkEnd w:id="155"/>
      <w:r>
        <w:rPr/>
      </w:r>
      <w:r>
        <w:rPr>
          <w:sz w:val="16"/>
          <w:vertAlign w:val="superscript"/>
        </w:rPr>
        <w:t>87</w:t>
      </w:r>
      <w:r>
        <w:rPr>
          <w:spacing w:val="-1"/>
          <w:sz w:val="16"/>
          <w:vertAlign w:val="baseline"/>
        </w:rPr>
        <w:t> </w:t>
      </w:r>
      <w:r>
        <w:rPr>
          <w:sz w:val="16"/>
          <w:vertAlign w:val="baseline"/>
        </w:rPr>
        <w:t>Este</w:t>
      </w:r>
      <w:r>
        <w:rPr>
          <w:spacing w:val="-1"/>
          <w:sz w:val="16"/>
          <w:vertAlign w:val="baseline"/>
        </w:rPr>
        <w:t> </w:t>
      </w:r>
      <w:r>
        <w:rPr>
          <w:sz w:val="16"/>
          <w:vertAlign w:val="baseline"/>
        </w:rPr>
        <w:t>argumento</w:t>
      </w:r>
      <w:r>
        <w:rPr>
          <w:spacing w:val="-3"/>
          <w:sz w:val="16"/>
          <w:vertAlign w:val="baseline"/>
        </w:rPr>
        <w:t> </w:t>
      </w:r>
      <w:r>
        <w:rPr>
          <w:sz w:val="16"/>
          <w:vertAlign w:val="baseline"/>
        </w:rPr>
        <w:t>también</w:t>
      </w:r>
      <w:r>
        <w:rPr>
          <w:spacing w:val="-4"/>
          <w:sz w:val="16"/>
          <w:vertAlign w:val="baseline"/>
        </w:rPr>
        <w:t> </w:t>
      </w:r>
      <w:r>
        <w:rPr>
          <w:sz w:val="16"/>
          <w:vertAlign w:val="baseline"/>
        </w:rPr>
        <w:t>fue</w:t>
      </w:r>
      <w:r>
        <w:rPr>
          <w:spacing w:val="-1"/>
          <w:sz w:val="16"/>
          <w:vertAlign w:val="baseline"/>
        </w:rPr>
        <w:t> </w:t>
      </w:r>
      <w:r>
        <w:rPr>
          <w:sz w:val="16"/>
          <w:vertAlign w:val="baseline"/>
        </w:rPr>
        <w:t>utilizado</w:t>
      </w:r>
      <w:r>
        <w:rPr>
          <w:spacing w:val="-1"/>
          <w:sz w:val="16"/>
          <w:vertAlign w:val="baseline"/>
        </w:rPr>
        <w:t> </w:t>
      </w:r>
      <w:r>
        <w:rPr>
          <w:sz w:val="16"/>
          <w:vertAlign w:val="baseline"/>
        </w:rPr>
        <w:t>en</w:t>
      </w:r>
      <w:r>
        <w:rPr>
          <w:spacing w:val="-1"/>
          <w:sz w:val="16"/>
          <w:vertAlign w:val="baseline"/>
        </w:rPr>
        <w:t> </w:t>
      </w:r>
      <w:r>
        <w:rPr>
          <w:sz w:val="16"/>
          <w:vertAlign w:val="baseline"/>
        </w:rPr>
        <w:t>la</w:t>
      </w:r>
      <w:r>
        <w:rPr>
          <w:spacing w:val="-1"/>
          <w:sz w:val="16"/>
          <w:vertAlign w:val="baseline"/>
        </w:rPr>
        <w:t> </w:t>
      </w:r>
      <w:r>
        <w:rPr>
          <w:sz w:val="16"/>
          <w:vertAlign w:val="baseline"/>
        </w:rPr>
        <w:t>reunión</w:t>
      </w:r>
      <w:r>
        <w:rPr>
          <w:spacing w:val="-1"/>
          <w:sz w:val="16"/>
          <w:vertAlign w:val="baseline"/>
        </w:rPr>
        <w:t> </w:t>
      </w:r>
      <w:r>
        <w:rPr>
          <w:sz w:val="16"/>
          <w:vertAlign w:val="baseline"/>
        </w:rPr>
        <w:t>llevada</w:t>
      </w:r>
      <w:r>
        <w:rPr>
          <w:spacing w:val="-1"/>
          <w:sz w:val="16"/>
          <w:vertAlign w:val="baseline"/>
        </w:rPr>
        <w:t> </w:t>
      </w:r>
      <w:r>
        <w:rPr>
          <w:sz w:val="16"/>
          <w:vertAlign w:val="baseline"/>
        </w:rPr>
        <w:t>a</w:t>
      </w:r>
      <w:r>
        <w:rPr>
          <w:spacing w:val="-3"/>
          <w:sz w:val="16"/>
          <w:vertAlign w:val="baseline"/>
        </w:rPr>
        <w:t> </w:t>
      </w:r>
      <w:r>
        <w:rPr>
          <w:sz w:val="16"/>
          <w:vertAlign w:val="baseline"/>
        </w:rPr>
        <w:t>cabo</w:t>
      </w:r>
      <w:r>
        <w:rPr>
          <w:spacing w:val="-3"/>
          <w:sz w:val="16"/>
          <w:vertAlign w:val="baseline"/>
        </w:rPr>
        <w:t> </w:t>
      </w:r>
      <w:r>
        <w:rPr>
          <w:sz w:val="16"/>
          <w:vertAlign w:val="baseline"/>
        </w:rPr>
        <w:t>con</w:t>
      </w:r>
      <w:r>
        <w:rPr>
          <w:spacing w:val="-1"/>
          <w:sz w:val="16"/>
          <w:vertAlign w:val="baseline"/>
        </w:rPr>
        <w:t> </w:t>
      </w:r>
      <w:r>
        <w:rPr>
          <w:sz w:val="16"/>
          <w:vertAlign w:val="baseline"/>
        </w:rPr>
        <w:t>el MINCIT</w:t>
      </w:r>
      <w:r>
        <w:rPr>
          <w:spacing w:val="-3"/>
          <w:sz w:val="16"/>
          <w:vertAlign w:val="baseline"/>
        </w:rPr>
        <w:t> </w:t>
      </w:r>
      <w:r>
        <w:rPr>
          <w:sz w:val="16"/>
          <w:vertAlign w:val="baseline"/>
        </w:rPr>
        <w:t>con</w:t>
      </w:r>
      <w:r>
        <w:rPr>
          <w:spacing w:val="-1"/>
          <w:sz w:val="16"/>
          <w:vertAlign w:val="baseline"/>
        </w:rPr>
        <w:t> </w:t>
      </w:r>
      <w:r>
        <w:rPr>
          <w:sz w:val="16"/>
          <w:vertAlign w:val="baseline"/>
        </w:rPr>
        <w:t>ocasión</w:t>
      </w:r>
      <w:r>
        <w:rPr>
          <w:spacing w:val="-1"/>
          <w:sz w:val="16"/>
          <w:vertAlign w:val="baseline"/>
        </w:rPr>
        <w:t> </w:t>
      </w:r>
      <w:r>
        <w:rPr>
          <w:sz w:val="16"/>
          <w:vertAlign w:val="baseline"/>
        </w:rPr>
        <w:t>de</w:t>
      </w:r>
      <w:r>
        <w:rPr>
          <w:spacing w:val="-1"/>
          <w:sz w:val="16"/>
          <w:vertAlign w:val="baseline"/>
        </w:rPr>
        <w:t> </w:t>
      </w:r>
      <w:r>
        <w:rPr>
          <w:sz w:val="16"/>
          <w:vertAlign w:val="baseline"/>
        </w:rPr>
        <w:t>la</w:t>
      </w:r>
      <w:r>
        <w:rPr>
          <w:spacing w:val="-3"/>
          <w:sz w:val="16"/>
          <w:vertAlign w:val="baseline"/>
        </w:rPr>
        <w:t> </w:t>
      </w:r>
      <w:r>
        <w:rPr>
          <w:sz w:val="16"/>
          <w:vertAlign w:val="baseline"/>
        </w:rPr>
        <w:t>visita</w:t>
      </w:r>
      <w:r>
        <w:rPr>
          <w:spacing w:val="-4"/>
          <w:sz w:val="16"/>
          <w:vertAlign w:val="baseline"/>
        </w:rPr>
        <w:t> </w:t>
      </w:r>
      <w:r>
        <w:rPr>
          <w:sz w:val="16"/>
          <w:vertAlign w:val="baseline"/>
        </w:rPr>
        <w:t>de</w:t>
      </w:r>
      <w:r>
        <w:rPr>
          <w:spacing w:val="-3"/>
          <w:sz w:val="16"/>
          <w:vertAlign w:val="baseline"/>
        </w:rPr>
        <w:t> </w:t>
      </w:r>
      <w:r>
        <w:rPr>
          <w:sz w:val="16"/>
          <w:vertAlign w:val="baseline"/>
        </w:rPr>
        <w:t>verificación</w:t>
      </w:r>
      <w:r>
        <w:rPr>
          <w:spacing w:val="-1"/>
          <w:sz w:val="16"/>
          <w:vertAlign w:val="baseline"/>
        </w:rPr>
        <w:t> </w:t>
      </w:r>
      <w:r>
        <w:rPr>
          <w:sz w:val="16"/>
          <w:vertAlign w:val="baseline"/>
        </w:rPr>
        <w:t>de</w:t>
      </w:r>
      <w:r>
        <w:rPr>
          <w:spacing w:val="-1"/>
          <w:sz w:val="16"/>
          <w:vertAlign w:val="baseline"/>
        </w:rPr>
        <w:t> </w:t>
      </w:r>
      <w:r>
        <w:rPr>
          <w:sz w:val="16"/>
          <w:vertAlign w:val="baseline"/>
        </w:rPr>
        <w:t>la SGCAN. En dicha reunión se mencionó que “El 96% de las aprehensiones de arroz es del originario de Ecuador. Indicaron los representantes</w:t>
      </w:r>
      <w:r>
        <w:rPr>
          <w:spacing w:val="-4"/>
          <w:sz w:val="16"/>
          <w:vertAlign w:val="baseline"/>
        </w:rPr>
        <w:t> </w:t>
      </w:r>
      <w:r>
        <w:rPr>
          <w:sz w:val="16"/>
          <w:vertAlign w:val="baseline"/>
        </w:rPr>
        <w:t>del</w:t>
      </w:r>
      <w:r>
        <w:rPr>
          <w:spacing w:val="-7"/>
          <w:sz w:val="16"/>
          <w:vertAlign w:val="baseline"/>
        </w:rPr>
        <w:t> </w:t>
      </w:r>
      <w:r>
        <w:rPr>
          <w:sz w:val="16"/>
          <w:vertAlign w:val="baseline"/>
        </w:rPr>
        <w:t>Ministerio</w:t>
      </w:r>
      <w:r>
        <w:rPr>
          <w:spacing w:val="-5"/>
          <w:sz w:val="16"/>
          <w:vertAlign w:val="baseline"/>
        </w:rPr>
        <w:t> </w:t>
      </w:r>
      <w:r>
        <w:rPr>
          <w:sz w:val="16"/>
          <w:vertAlign w:val="baseline"/>
        </w:rPr>
        <w:t>de</w:t>
      </w:r>
      <w:r>
        <w:rPr>
          <w:spacing w:val="-6"/>
          <w:sz w:val="16"/>
          <w:vertAlign w:val="baseline"/>
        </w:rPr>
        <w:t> </w:t>
      </w:r>
      <w:r>
        <w:rPr>
          <w:sz w:val="16"/>
          <w:vertAlign w:val="baseline"/>
        </w:rPr>
        <w:t>Agricultura</w:t>
      </w:r>
      <w:r>
        <w:rPr>
          <w:spacing w:val="-6"/>
          <w:sz w:val="16"/>
          <w:vertAlign w:val="baseline"/>
        </w:rPr>
        <w:t> </w:t>
      </w:r>
      <w:r>
        <w:rPr>
          <w:sz w:val="16"/>
          <w:vertAlign w:val="baseline"/>
        </w:rPr>
        <w:t>que,</w:t>
      </w:r>
      <w:r>
        <w:rPr>
          <w:spacing w:val="-4"/>
          <w:sz w:val="16"/>
          <w:vertAlign w:val="baseline"/>
        </w:rPr>
        <w:t> </w:t>
      </w:r>
      <w:r>
        <w:rPr>
          <w:sz w:val="16"/>
          <w:vertAlign w:val="baseline"/>
        </w:rPr>
        <w:t>la</w:t>
      </w:r>
      <w:r>
        <w:rPr>
          <w:spacing w:val="-5"/>
          <w:sz w:val="16"/>
          <w:vertAlign w:val="baseline"/>
        </w:rPr>
        <w:t> </w:t>
      </w:r>
      <w:r>
        <w:rPr>
          <w:sz w:val="16"/>
          <w:vertAlign w:val="baseline"/>
        </w:rPr>
        <w:t>existencia</w:t>
      </w:r>
      <w:r>
        <w:rPr>
          <w:spacing w:val="-5"/>
          <w:sz w:val="16"/>
          <w:vertAlign w:val="baseline"/>
        </w:rPr>
        <w:t> </w:t>
      </w:r>
      <w:r>
        <w:rPr>
          <w:sz w:val="16"/>
          <w:vertAlign w:val="baseline"/>
        </w:rPr>
        <w:t>de</w:t>
      </w:r>
      <w:r>
        <w:rPr>
          <w:spacing w:val="-6"/>
          <w:sz w:val="16"/>
          <w:vertAlign w:val="baseline"/>
        </w:rPr>
        <w:t> </w:t>
      </w:r>
      <w:r>
        <w:rPr>
          <w:sz w:val="16"/>
          <w:vertAlign w:val="baseline"/>
        </w:rPr>
        <w:t>inventarios</w:t>
      </w:r>
      <w:r>
        <w:rPr>
          <w:spacing w:val="-4"/>
          <w:sz w:val="16"/>
          <w:vertAlign w:val="baseline"/>
        </w:rPr>
        <w:t> </w:t>
      </w:r>
      <w:r>
        <w:rPr>
          <w:sz w:val="16"/>
          <w:vertAlign w:val="baseline"/>
        </w:rPr>
        <w:t>en</w:t>
      </w:r>
      <w:r>
        <w:rPr>
          <w:spacing w:val="-3"/>
          <w:sz w:val="16"/>
          <w:vertAlign w:val="baseline"/>
        </w:rPr>
        <w:t> </w:t>
      </w:r>
      <w:r>
        <w:rPr>
          <w:sz w:val="16"/>
          <w:vertAlign w:val="baseline"/>
        </w:rPr>
        <w:t>Colombia</w:t>
      </w:r>
      <w:r>
        <w:rPr>
          <w:spacing w:val="-6"/>
          <w:sz w:val="16"/>
          <w:vertAlign w:val="baseline"/>
        </w:rPr>
        <w:t> </w:t>
      </w:r>
      <w:r>
        <w:rPr>
          <w:sz w:val="16"/>
          <w:vertAlign w:val="baseline"/>
        </w:rPr>
        <w:t>puede</w:t>
      </w:r>
      <w:r>
        <w:rPr>
          <w:spacing w:val="-3"/>
          <w:sz w:val="16"/>
          <w:vertAlign w:val="baseline"/>
        </w:rPr>
        <w:t> </w:t>
      </w:r>
      <w:r>
        <w:rPr>
          <w:sz w:val="16"/>
          <w:vertAlign w:val="baseline"/>
        </w:rPr>
        <w:t>estar</w:t>
      </w:r>
      <w:r>
        <w:rPr>
          <w:spacing w:val="-8"/>
          <w:sz w:val="16"/>
          <w:vertAlign w:val="baseline"/>
        </w:rPr>
        <w:t> </w:t>
      </w:r>
      <w:r>
        <w:rPr>
          <w:sz w:val="16"/>
          <w:vertAlign w:val="baseline"/>
        </w:rPr>
        <w:t>asociada</w:t>
      </w:r>
      <w:r>
        <w:rPr>
          <w:spacing w:val="-6"/>
          <w:sz w:val="16"/>
          <w:vertAlign w:val="baseline"/>
        </w:rPr>
        <w:t> </w:t>
      </w:r>
      <w:r>
        <w:rPr>
          <w:sz w:val="16"/>
          <w:vertAlign w:val="baseline"/>
        </w:rPr>
        <w:t>a</w:t>
      </w:r>
      <w:r>
        <w:rPr>
          <w:spacing w:val="-6"/>
          <w:sz w:val="16"/>
          <w:vertAlign w:val="baseline"/>
        </w:rPr>
        <w:t> </w:t>
      </w:r>
      <w:r>
        <w:rPr>
          <w:sz w:val="16"/>
          <w:vertAlign w:val="baseline"/>
        </w:rPr>
        <w:t>la</w:t>
      </w:r>
      <w:r>
        <w:rPr>
          <w:spacing w:val="-5"/>
          <w:sz w:val="16"/>
          <w:vertAlign w:val="baseline"/>
        </w:rPr>
        <w:t> </w:t>
      </w:r>
      <w:r>
        <w:rPr>
          <w:sz w:val="16"/>
          <w:vertAlign w:val="baseline"/>
        </w:rPr>
        <w:t>dinámica</w:t>
      </w:r>
      <w:r>
        <w:rPr>
          <w:spacing w:val="-6"/>
          <w:sz w:val="16"/>
          <w:vertAlign w:val="baseline"/>
        </w:rPr>
        <w:t> </w:t>
      </w:r>
      <w:r>
        <w:rPr>
          <w:sz w:val="16"/>
          <w:vertAlign w:val="baseline"/>
        </w:rPr>
        <w:t>de contrabando</w:t>
      </w:r>
      <w:r>
        <w:rPr>
          <w:spacing w:val="24"/>
          <w:sz w:val="16"/>
          <w:vertAlign w:val="baseline"/>
        </w:rPr>
        <w:t> </w:t>
      </w:r>
      <w:r>
        <w:rPr>
          <w:sz w:val="16"/>
          <w:vertAlign w:val="baseline"/>
        </w:rPr>
        <w:t>de</w:t>
      </w:r>
      <w:r>
        <w:rPr>
          <w:spacing w:val="24"/>
          <w:sz w:val="16"/>
          <w:vertAlign w:val="baseline"/>
        </w:rPr>
        <w:t> </w:t>
      </w:r>
      <w:r>
        <w:rPr>
          <w:sz w:val="16"/>
          <w:vertAlign w:val="baseline"/>
        </w:rPr>
        <w:t>este</w:t>
      </w:r>
      <w:r>
        <w:rPr>
          <w:spacing w:val="24"/>
          <w:sz w:val="16"/>
          <w:vertAlign w:val="baseline"/>
        </w:rPr>
        <w:t> </w:t>
      </w:r>
      <w:r>
        <w:rPr>
          <w:sz w:val="16"/>
          <w:vertAlign w:val="baseline"/>
        </w:rPr>
        <w:t>producto,</w:t>
      </w:r>
      <w:r>
        <w:rPr>
          <w:spacing w:val="23"/>
          <w:sz w:val="16"/>
          <w:vertAlign w:val="baseline"/>
        </w:rPr>
        <w:t> </w:t>
      </w:r>
      <w:r>
        <w:rPr>
          <w:sz w:val="16"/>
          <w:vertAlign w:val="baseline"/>
        </w:rPr>
        <w:t>especialmente</w:t>
      </w:r>
      <w:r>
        <w:rPr>
          <w:spacing w:val="24"/>
          <w:sz w:val="16"/>
          <w:vertAlign w:val="baseline"/>
        </w:rPr>
        <w:t> </w:t>
      </w:r>
      <w:r>
        <w:rPr>
          <w:sz w:val="16"/>
          <w:vertAlign w:val="baseline"/>
        </w:rPr>
        <w:t>en</w:t>
      </w:r>
      <w:r>
        <w:rPr>
          <w:spacing w:val="24"/>
          <w:sz w:val="16"/>
          <w:vertAlign w:val="baseline"/>
        </w:rPr>
        <w:t> </w:t>
      </w:r>
      <w:r>
        <w:rPr>
          <w:sz w:val="16"/>
          <w:vertAlign w:val="baseline"/>
        </w:rPr>
        <w:t>la</w:t>
      </w:r>
      <w:r>
        <w:rPr>
          <w:spacing w:val="22"/>
          <w:sz w:val="16"/>
          <w:vertAlign w:val="baseline"/>
        </w:rPr>
        <w:t> </w:t>
      </w:r>
      <w:r>
        <w:rPr>
          <w:sz w:val="16"/>
          <w:vertAlign w:val="baseline"/>
        </w:rPr>
        <w:t>frontera</w:t>
      </w:r>
      <w:r>
        <w:rPr>
          <w:spacing w:val="24"/>
          <w:sz w:val="16"/>
          <w:vertAlign w:val="baseline"/>
        </w:rPr>
        <w:t> </w:t>
      </w:r>
      <w:r>
        <w:rPr>
          <w:sz w:val="16"/>
          <w:vertAlign w:val="baseline"/>
        </w:rPr>
        <w:t>de</w:t>
      </w:r>
      <w:r>
        <w:rPr>
          <w:spacing w:val="24"/>
          <w:sz w:val="16"/>
          <w:vertAlign w:val="baseline"/>
        </w:rPr>
        <w:t> </w:t>
      </w:r>
      <w:r>
        <w:rPr>
          <w:sz w:val="16"/>
          <w:vertAlign w:val="baseline"/>
        </w:rPr>
        <w:t>Ipiales</w:t>
      </w:r>
      <w:r>
        <w:rPr>
          <w:spacing w:val="31"/>
          <w:sz w:val="16"/>
          <w:vertAlign w:val="baseline"/>
        </w:rPr>
        <w:t> </w:t>
      </w:r>
      <w:r>
        <w:rPr>
          <w:sz w:val="16"/>
          <w:vertAlign w:val="baseline"/>
        </w:rPr>
        <w:t>–</w:t>
      </w:r>
      <w:r>
        <w:rPr>
          <w:spacing w:val="24"/>
          <w:sz w:val="16"/>
          <w:vertAlign w:val="baseline"/>
        </w:rPr>
        <w:t> </w:t>
      </w:r>
      <w:r>
        <w:rPr>
          <w:sz w:val="16"/>
          <w:vertAlign w:val="baseline"/>
        </w:rPr>
        <w:t>Rumichaca,</w:t>
      </w:r>
      <w:r>
        <w:rPr>
          <w:spacing w:val="23"/>
          <w:sz w:val="16"/>
          <w:vertAlign w:val="baseline"/>
        </w:rPr>
        <w:t> </w:t>
      </w:r>
      <w:r>
        <w:rPr>
          <w:sz w:val="16"/>
          <w:vertAlign w:val="baseline"/>
        </w:rPr>
        <w:t>y</w:t>
      </w:r>
      <w:r>
        <w:rPr>
          <w:spacing w:val="25"/>
          <w:sz w:val="16"/>
          <w:vertAlign w:val="baseline"/>
        </w:rPr>
        <w:t> </w:t>
      </w:r>
      <w:r>
        <w:rPr>
          <w:sz w:val="16"/>
          <w:vertAlign w:val="baseline"/>
        </w:rPr>
        <w:t>otras”.</w:t>
      </w:r>
      <w:r>
        <w:rPr>
          <w:spacing w:val="28"/>
          <w:sz w:val="16"/>
          <w:vertAlign w:val="baseline"/>
        </w:rPr>
        <w:t> </w:t>
      </w:r>
      <w:r>
        <w:rPr>
          <w:sz w:val="16"/>
          <w:vertAlign w:val="baseline"/>
        </w:rPr>
        <w:t>Expediente</w:t>
      </w:r>
      <w:r>
        <w:rPr>
          <w:spacing w:val="24"/>
          <w:sz w:val="16"/>
          <w:vertAlign w:val="baseline"/>
        </w:rPr>
        <w:t> </w:t>
      </w:r>
      <w:r>
        <w:rPr>
          <w:sz w:val="16"/>
          <w:vertAlign w:val="baseline"/>
        </w:rPr>
        <w:t>DGCOM/GRAV-</w:t>
      </w:r>
    </w:p>
    <w:p>
      <w:pPr>
        <w:tabs>
          <w:tab w:pos="9816" w:val="left" w:leader="none"/>
        </w:tabs>
        <w:spacing w:before="0"/>
        <w:ind w:left="160" w:right="0" w:firstLine="0"/>
        <w:jc w:val="both"/>
        <w:rPr>
          <w:sz w:val="16"/>
        </w:rPr>
      </w:pPr>
      <w:r>
        <w:rPr>
          <w:spacing w:val="65"/>
          <w:w w:val="150"/>
          <w:sz w:val="16"/>
          <w:u w:val="single"/>
        </w:rPr>
        <w:t>   </w:t>
      </w:r>
      <w:r>
        <w:rPr>
          <w:sz w:val="16"/>
          <w:u w:val="single"/>
        </w:rPr>
        <w:t>REST/002/2026,</w:t>
      </w:r>
      <w:r>
        <w:rPr>
          <w:spacing w:val="-2"/>
          <w:sz w:val="16"/>
          <w:u w:val="single"/>
        </w:rPr>
        <w:t> </w:t>
      </w:r>
      <w:r>
        <w:rPr>
          <w:sz w:val="16"/>
          <w:u w:val="single"/>
        </w:rPr>
        <w:t>folio</w:t>
      </w:r>
      <w:r>
        <w:rPr>
          <w:spacing w:val="-4"/>
          <w:sz w:val="16"/>
          <w:u w:val="single"/>
        </w:rPr>
        <w:t> </w:t>
      </w:r>
      <w:r>
        <w:rPr>
          <w:spacing w:val="-2"/>
          <w:sz w:val="16"/>
          <w:u w:val="single"/>
        </w:rPr>
        <w:t>000230.</w:t>
      </w:r>
      <w:r>
        <w:rPr>
          <w:sz w:val="16"/>
          <w:u w:val="single"/>
        </w:rPr>
        <w:tab/>
      </w:r>
    </w:p>
    <w:p>
      <w:pPr>
        <w:spacing w:after="0"/>
        <w:jc w:val="both"/>
        <w:rPr>
          <w:sz w:val="16"/>
        </w:rPr>
        <w:sectPr>
          <w:pgSz w:w="11900" w:h="16850"/>
          <w:pgMar w:header="370" w:footer="597" w:top="1380" w:bottom="780" w:left="992" w:right="283"/>
        </w:sectPr>
      </w:pPr>
    </w:p>
    <w:p>
      <w:pPr>
        <w:pStyle w:val="BodyText"/>
        <w:spacing w:before="176"/>
      </w:pPr>
    </w:p>
    <w:p>
      <w:pPr>
        <w:pStyle w:val="Heading6"/>
        <w:ind w:left="3158" w:right="3439" w:firstLine="1358"/>
      </w:pPr>
      <w:r>
        <w:rPr/>
        <w:t>Tabla No. 8 Exportaciones</w:t>
      </w:r>
      <w:r>
        <w:rPr>
          <w:spacing w:val="-13"/>
        </w:rPr>
        <w:t> </w:t>
      </w:r>
      <w:r>
        <w:rPr/>
        <w:t>ecuatorianas</w:t>
      </w:r>
      <w:r>
        <w:rPr>
          <w:spacing w:val="-11"/>
        </w:rPr>
        <w:t> </w:t>
      </w:r>
      <w:r>
        <w:rPr/>
        <w:t>de</w:t>
      </w:r>
      <w:r>
        <w:rPr>
          <w:spacing w:val="-13"/>
        </w:rPr>
        <w:t> </w:t>
      </w:r>
      <w:r>
        <w:rPr/>
        <w:t>Arroz Año 2026 hasta marzo / en USD FOB</w:t>
      </w:r>
    </w:p>
    <w:tbl>
      <w:tblPr>
        <w:tblW w:w="0" w:type="auto"/>
        <w:jc w:val="left"/>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8"/>
        <w:gridCol w:w="1265"/>
        <w:gridCol w:w="1096"/>
        <w:gridCol w:w="1063"/>
        <w:gridCol w:w="1149"/>
        <w:gridCol w:w="1152"/>
        <w:gridCol w:w="1060"/>
      </w:tblGrid>
      <w:tr>
        <w:trPr>
          <w:trHeight w:val="369" w:hRule="atLeast"/>
        </w:trPr>
        <w:tc>
          <w:tcPr>
            <w:tcW w:w="1418" w:type="dxa"/>
            <w:shd w:val="clear" w:color="auto" w:fill="D1D1D1"/>
          </w:tcPr>
          <w:p>
            <w:pPr>
              <w:pStyle w:val="TableParagraph"/>
              <w:spacing w:line="180" w:lineRule="atLeast"/>
              <w:ind w:left="352" w:right="225" w:hanging="111"/>
              <w:rPr>
                <w:rFonts w:ascii="Arial"/>
                <w:b/>
                <w:sz w:val="16"/>
              </w:rPr>
            </w:pPr>
            <w:r>
              <w:rPr>
                <w:rFonts w:ascii="Arial"/>
                <w:b/>
                <w:sz w:val="16"/>
              </w:rPr>
              <w:t>PUERTO</w:t>
            </w:r>
            <w:r>
              <w:rPr>
                <w:rFonts w:ascii="Arial"/>
                <w:b/>
                <w:spacing w:val="-12"/>
                <w:sz w:val="16"/>
              </w:rPr>
              <w:t> </w:t>
            </w:r>
            <w:r>
              <w:rPr>
                <w:rFonts w:ascii="Arial"/>
                <w:b/>
                <w:sz w:val="16"/>
              </w:rPr>
              <w:t>DE </w:t>
            </w:r>
            <w:r>
              <w:rPr>
                <w:rFonts w:ascii="Arial"/>
                <w:b/>
                <w:spacing w:val="-2"/>
                <w:sz w:val="16"/>
              </w:rPr>
              <w:t>DESTINO</w:t>
            </w:r>
          </w:p>
        </w:tc>
        <w:tc>
          <w:tcPr>
            <w:tcW w:w="1265" w:type="dxa"/>
            <w:shd w:val="clear" w:color="auto" w:fill="D1D1D1"/>
          </w:tcPr>
          <w:p>
            <w:pPr>
              <w:pStyle w:val="TableParagraph"/>
              <w:spacing w:before="94"/>
              <w:ind w:left="108"/>
              <w:rPr>
                <w:rFonts w:ascii="Arial"/>
                <w:b/>
                <w:sz w:val="16"/>
              </w:rPr>
            </w:pPr>
            <w:r>
              <w:rPr>
                <w:rFonts w:ascii="Arial"/>
                <w:b/>
                <w:spacing w:val="-2"/>
                <w:sz w:val="16"/>
              </w:rPr>
              <w:t>SUBPARTIDA</w:t>
            </w:r>
          </w:p>
        </w:tc>
        <w:tc>
          <w:tcPr>
            <w:tcW w:w="1096" w:type="dxa"/>
            <w:shd w:val="clear" w:color="auto" w:fill="D1D1D1"/>
          </w:tcPr>
          <w:p>
            <w:pPr>
              <w:pStyle w:val="TableParagraph"/>
              <w:spacing w:before="94"/>
              <w:ind w:left="11"/>
              <w:jc w:val="center"/>
              <w:rPr>
                <w:rFonts w:ascii="Arial"/>
                <w:b/>
                <w:sz w:val="16"/>
              </w:rPr>
            </w:pPr>
            <w:r>
              <w:rPr>
                <w:rFonts w:ascii="Arial"/>
                <w:b/>
                <w:spacing w:val="-5"/>
                <w:sz w:val="16"/>
              </w:rPr>
              <w:t>MES</w:t>
            </w:r>
          </w:p>
        </w:tc>
        <w:tc>
          <w:tcPr>
            <w:tcW w:w="1063" w:type="dxa"/>
            <w:shd w:val="clear" w:color="auto" w:fill="D1D1D1"/>
          </w:tcPr>
          <w:p>
            <w:pPr>
              <w:pStyle w:val="TableParagraph"/>
              <w:spacing w:before="94"/>
              <w:ind w:left="354"/>
              <w:rPr>
                <w:rFonts w:ascii="Arial"/>
                <w:b/>
                <w:sz w:val="16"/>
              </w:rPr>
            </w:pPr>
            <w:r>
              <w:rPr>
                <w:rFonts w:ascii="Arial"/>
                <w:b/>
                <w:spacing w:val="-4"/>
                <w:sz w:val="16"/>
              </w:rPr>
              <w:t>2023</w:t>
            </w:r>
          </w:p>
        </w:tc>
        <w:tc>
          <w:tcPr>
            <w:tcW w:w="1149" w:type="dxa"/>
            <w:shd w:val="clear" w:color="auto" w:fill="D1D1D1"/>
          </w:tcPr>
          <w:p>
            <w:pPr>
              <w:pStyle w:val="TableParagraph"/>
              <w:spacing w:before="94"/>
              <w:ind w:left="16"/>
              <w:jc w:val="center"/>
              <w:rPr>
                <w:rFonts w:ascii="Arial"/>
                <w:b/>
                <w:sz w:val="16"/>
              </w:rPr>
            </w:pPr>
            <w:r>
              <w:rPr>
                <w:rFonts w:ascii="Arial"/>
                <w:b/>
                <w:spacing w:val="-4"/>
                <w:sz w:val="16"/>
              </w:rPr>
              <w:t>2024</w:t>
            </w:r>
          </w:p>
        </w:tc>
        <w:tc>
          <w:tcPr>
            <w:tcW w:w="1152" w:type="dxa"/>
            <w:shd w:val="clear" w:color="auto" w:fill="D1D1D1"/>
          </w:tcPr>
          <w:p>
            <w:pPr>
              <w:pStyle w:val="TableParagraph"/>
              <w:spacing w:before="94"/>
              <w:ind w:left="15"/>
              <w:jc w:val="center"/>
              <w:rPr>
                <w:rFonts w:ascii="Arial"/>
                <w:b/>
                <w:sz w:val="16"/>
              </w:rPr>
            </w:pPr>
            <w:r>
              <w:rPr>
                <w:rFonts w:ascii="Arial"/>
                <w:b/>
                <w:spacing w:val="-4"/>
                <w:sz w:val="16"/>
              </w:rPr>
              <w:t>2025</w:t>
            </w:r>
          </w:p>
        </w:tc>
        <w:tc>
          <w:tcPr>
            <w:tcW w:w="1060" w:type="dxa"/>
            <w:shd w:val="clear" w:color="auto" w:fill="D1D1D1"/>
          </w:tcPr>
          <w:p>
            <w:pPr>
              <w:pStyle w:val="TableParagraph"/>
              <w:spacing w:before="94"/>
              <w:ind w:left="355"/>
              <w:rPr>
                <w:rFonts w:ascii="Arial"/>
                <w:b/>
                <w:sz w:val="16"/>
              </w:rPr>
            </w:pPr>
            <w:r>
              <w:rPr>
                <w:rFonts w:ascii="Arial"/>
                <w:b/>
                <w:spacing w:val="-4"/>
                <w:sz w:val="16"/>
              </w:rPr>
              <w:t>2026</w:t>
            </w:r>
          </w:p>
        </w:tc>
      </w:tr>
      <w:tr>
        <w:trPr>
          <w:trHeight w:val="184" w:hRule="atLeast"/>
        </w:trPr>
        <w:tc>
          <w:tcPr>
            <w:tcW w:w="1418" w:type="dxa"/>
          </w:tcPr>
          <w:p>
            <w:pPr>
              <w:pStyle w:val="TableParagraph"/>
              <w:spacing w:line="163" w:lineRule="exact" w:before="1"/>
              <w:ind w:left="11"/>
              <w:jc w:val="center"/>
              <w:rPr>
                <w:rFonts w:ascii="Arial"/>
                <w:b/>
                <w:sz w:val="16"/>
              </w:rPr>
            </w:pPr>
            <w:r>
              <w:rPr>
                <w:rFonts w:ascii="Arial"/>
                <w:b/>
                <w:spacing w:val="-2"/>
                <w:sz w:val="16"/>
              </w:rPr>
              <w:t>IPIALES</w:t>
            </w:r>
          </w:p>
        </w:tc>
        <w:tc>
          <w:tcPr>
            <w:tcW w:w="1265" w:type="dxa"/>
          </w:tcPr>
          <w:p>
            <w:pPr>
              <w:pStyle w:val="TableParagraph"/>
              <w:spacing w:line="163" w:lineRule="exact" w:before="1"/>
              <w:ind w:left="108"/>
              <w:rPr>
                <w:rFonts w:ascii="Arial"/>
                <w:b/>
                <w:sz w:val="16"/>
              </w:rPr>
            </w:pPr>
            <w:r>
              <w:rPr>
                <w:rFonts w:ascii="Arial"/>
                <w:b/>
                <w:spacing w:val="-2"/>
                <w:sz w:val="16"/>
              </w:rPr>
              <w:t>1006300000</w:t>
            </w:r>
          </w:p>
        </w:tc>
        <w:tc>
          <w:tcPr>
            <w:tcW w:w="1096" w:type="dxa"/>
          </w:tcPr>
          <w:p>
            <w:pPr>
              <w:pStyle w:val="TableParagraph"/>
              <w:spacing w:line="163" w:lineRule="exact" w:before="1"/>
              <w:ind w:right="96"/>
              <w:jc w:val="right"/>
              <w:rPr>
                <w:sz w:val="16"/>
              </w:rPr>
            </w:pPr>
            <w:r>
              <w:rPr>
                <w:spacing w:val="-2"/>
                <w:sz w:val="16"/>
              </w:rPr>
              <w:t>enero</w:t>
            </w:r>
          </w:p>
        </w:tc>
        <w:tc>
          <w:tcPr>
            <w:tcW w:w="1063" w:type="dxa"/>
          </w:tcPr>
          <w:p>
            <w:pPr>
              <w:pStyle w:val="TableParagraph"/>
              <w:rPr>
                <w:rFonts w:ascii="Times New Roman"/>
                <w:sz w:val="12"/>
              </w:rPr>
            </w:pPr>
          </w:p>
        </w:tc>
        <w:tc>
          <w:tcPr>
            <w:tcW w:w="1149" w:type="dxa"/>
          </w:tcPr>
          <w:p>
            <w:pPr>
              <w:pStyle w:val="TableParagraph"/>
              <w:spacing w:line="163" w:lineRule="exact" w:before="1"/>
              <w:ind w:right="90"/>
              <w:jc w:val="right"/>
              <w:rPr>
                <w:sz w:val="16"/>
              </w:rPr>
            </w:pPr>
            <w:r>
              <w:rPr>
                <w:spacing w:val="-2"/>
                <w:sz w:val="16"/>
              </w:rPr>
              <w:t>78,150</w:t>
            </w:r>
          </w:p>
        </w:tc>
        <w:tc>
          <w:tcPr>
            <w:tcW w:w="1152" w:type="dxa"/>
          </w:tcPr>
          <w:p>
            <w:pPr>
              <w:pStyle w:val="TableParagraph"/>
              <w:spacing w:line="163" w:lineRule="exact" w:before="1"/>
              <w:ind w:right="93"/>
              <w:jc w:val="right"/>
              <w:rPr>
                <w:sz w:val="16"/>
              </w:rPr>
            </w:pPr>
            <w:r>
              <w:rPr>
                <w:spacing w:val="-2"/>
                <w:sz w:val="16"/>
              </w:rPr>
              <w:t>2,879,706</w:t>
            </w:r>
          </w:p>
        </w:tc>
        <w:tc>
          <w:tcPr>
            <w:tcW w:w="1060" w:type="dxa"/>
          </w:tcPr>
          <w:p>
            <w:pPr>
              <w:pStyle w:val="TableParagraph"/>
              <w:spacing w:line="163" w:lineRule="exact" w:before="1"/>
              <w:ind w:right="89"/>
              <w:jc w:val="right"/>
              <w:rPr>
                <w:sz w:val="16"/>
              </w:rPr>
            </w:pPr>
            <w:r>
              <w:rPr>
                <w:spacing w:val="-2"/>
                <w:sz w:val="16"/>
              </w:rPr>
              <w:t>3,084,821</w:t>
            </w:r>
          </w:p>
        </w:tc>
      </w:tr>
      <w:tr>
        <w:trPr>
          <w:trHeight w:val="184"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3" w:lineRule="exact" w:before="1"/>
              <w:ind w:right="94"/>
              <w:jc w:val="right"/>
              <w:rPr>
                <w:sz w:val="16"/>
              </w:rPr>
            </w:pPr>
            <w:r>
              <w:rPr>
                <w:spacing w:val="-2"/>
                <w:sz w:val="16"/>
              </w:rPr>
              <w:t>febrero</w:t>
            </w:r>
          </w:p>
        </w:tc>
        <w:tc>
          <w:tcPr>
            <w:tcW w:w="1063" w:type="dxa"/>
          </w:tcPr>
          <w:p>
            <w:pPr>
              <w:pStyle w:val="TableParagraph"/>
              <w:rPr>
                <w:rFonts w:ascii="Times New Roman"/>
                <w:sz w:val="12"/>
              </w:rPr>
            </w:pPr>
          </w:p>
        </w:tc>
        <w:tc>
          <w:tcPr>
            <w:tcW w:w="1149" w:type="dxa"/>
          </w:tcPr>
          <w:p>
            <w:pPr>
              <w:pStyle w:val="TableParagraph"/>
              <w:spacing w:line="163" w:lineRule="exact" w:before="1"/>
              <w:ind w:right="90"/>
              <w:jc w:val="right"/>
              <w:rPr>
                <w:sz w:val="16"/>
              </w:rPr>
            </w:pPr>
            <w:r>
              <w:rPr>
                <w:spacing w:val="-2"/>
                <w:sz w:val="16"/>
              </w:rPr>
              <w:t>557,216</w:t>
            </w:r>
          </w:p>
        </w:tc>
        <w:tc>
          <w:tcPr>
            <w:tcW w:w="1152" w:type="dxa"/>
          </w:tcPr>
          <w:p>
            <w:pPr>
              <w:pStyle w:val="TableParagraph"/>
              <w:spacing w:line="163" w:lineRule="exact" w:before="1"/>
              <w:ind w:right="93"/>
              <w:jc w:val="right"/>
              <w:rPr>
                <w:sz w:val="16"/>
              </w:rPr>
            </w:pPr>
            <w:r>
              <w:rPr>
                <w:spacing w:val="-2"/>
                <w:sz w:val="16"/>
              </w:rPr>
              <w:t>1,213,568</w:t>
            </w:r>
          </w:p>
        </w:tc>
        <w:tc>
          <w:tcPr>
            <w:tcW w:w="1060" w:type="dxa"/>
          </w:tcPr>
          <w:p>
            <w:pPr>
              <w:pStyle w:val="TableParagraph"/>
              <w:spacing w:line="163" w:lineRule="exact" w:before="1"/>
              <w:ind w:right="89"/>
              <w:jc w:val="right"/>
              <w:rPr>
                <w:sz w:val="16"/>
              </w:rPr>
            </w:pPr>
            <w:r>
              <w:rPr>
                <w:spacing w:val="-2"/>
                <w:sz w:val="16"/>
              </w:rPr>
              <w:t>1,799,906</w:t>
            </w:r>
          </w:p>
        </w:tc>
      </w:tr>
      <w:tr>
        <w:trPr>
          <w:trHeight w:val="181"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2" w:lineRule="exact"/>
              <w:ind w:right="91"/>
              <w:jc w:val="right"/>
              <w:rPr>
                <w:sz w:val="16"/>
              </w:rPr>
            </w:pPr>
            <w:r>
              <w:rPr>
                <w:spacing w:val="-2"/>
                <w:sz w:val="16"/>
              </w:rPr>
              <w:t>marzo</w:t>
            </w:r>
          </w:p>
        </w:tc>
        <w:tc>
          <w:tcPr>
            <w:tcW w:w="1063" w:type="dxa"/>
          </w:tcPr>
          <w:p>
            <w:pPr>
              <w:pStyle w:val="TableParagraph"/>
              <w:spacing w:line="162" w:lineRule="exact"/>
              <w:ind w:right="93"/>
              <w:jc w:val="right"/>
              <w:rPr>
                <w:sz w:val="16"/>
              </w:rPr>
            </w:pPr>
            <w:r>
              <w:rPr>
                <w:spacing w:val="-2"/>
                <w:sz w:val="16"/>
              </w:rPr>
              <w:t>135,200</w:t>
            </w:r>
          </w:p>
        </w:tc>
        <w:tc>
          <w:tcPr>
            <w:tcW w:w="1149" w:type="dxa"/>
          </w:tcPr>
          <w:p>
            <w:pPr>
              <w:pStyle w:val="TableParagraph"/>
              <w:spacing w:line="162" w:lineRule="exact"/>
              <w:ind w:right="90"/>
              <w:jc w:val="right"/>
              <w:rPr>
                <w:sz w:val="16"/>
              </w:rPr>
            </w:pPr>
            <w:r>
              <w:rPr>
                <w:spacing w:val="-2"/>
                <w:sz w:val="16"/>
              </w:rPr>
              <w:t>738,918</w:t>
            </w:r>
          </w:p>
        </w:tc>
        <w:tc>
          <w:tcPr>
            <w:tcW w:w="1152" w:type="dxa"/>
          </w:tcPr>
          <w:p>
            <w:pPr>
              <w:pStyle w:val="TableParagraph"/>
              <w:spacing w:line="162" w:lineRule="exact"/>
              <w:ind w:right="92"/>
              <w:jc w:val="right"/>
              <w:rPr>
                <w:sz w:val="16"/>
              </w:rPr>
            </w:pPr>
            <w:r>
              <w:rPr>
                <w:spacing w:val="-2"/>
                <w:sz w:val="16"/>
              </w:rPr>
              <w:t>964,410</w:t>
            </w:r>
          </w:p>
        </w:tc>
        <w:tc>
          <w:tcPr>
            <w:tcW w:w="1060" w:type="dxa"/>
          </w:tcPr>
          <w:p>
            <w:pPr>
              <w:pStyle w:val="TableParagraph"/>
              <w:spacing w:line="162" w:lineRule="exact"/>
              <w:ind w:right="88"/>
              <w:jc w:val="right"/>
              <w:rPr>
                <w:sz w:val="16"/>
              </w:rPr>
            </w:pPr>
            <w:r>
              <w:rPr>
                <w:spacing w:val="-10"/>
                <w:sz w:val="16"/>
              </w:rPr>
              <w:t>-</w:t>
            </w:r>
          </w:p>
        </w:tc>
      </w:tr>
      <w:tr>
        <w:trPr>
          <w:trHeight w:val="184"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3" w:lineRule="exact" w:before="1"/>
              <w:ind w:right="95"/>
              <w:jc w:val="right"/>
              <w:rPr>
                <w:sz w:val="16"/>
              </w:rPr>
            </w:pPr>
            <w:r>
              <w:rPr>
                <w:spacing w:val="-4"/>
                <w:sz w:val="16"/>
              </w:rPr>
              <w:t>abril</w:t>
            </w:r>
          </w:p>
        </w:tc>
        <w:tc>
          <w:tcPr>
            <w:tcW w:w="1063" w:type="dxa"/>
          </w:tcPr>
          <w:p>
            <w:pPr>
              <w:pStyle w:val="TableParagraph"/>
              <w:spacing w:line="163" w:lineRule="exact" w:before="1"/>
              <w:ind w:right="93"/>
              <w:jc w:val="right"/>
              <w:rPr>
                <w:sz w:val="16"/>
              </w:rPr>
            </w:pPr>
            <w:r>
              <w:rPr>
                <w:spacing w:val="-2"/>
                <w:sz w:val="16"/>
              </w:rPr>
              <w:t>255,630</w:t>
            </w:r>
          </w:p>
        </w:tc>
        <w:tc>
          <w:tcPr>
            <w:tcW w:w="1149" w:type="dxa"/>
          </w:tcPr>
          <w:p>
            <w:pPr>
              <w:pStyle w:val="TableParagraph"/>
              <w:spacing w:line="163" w:lineRule="exact" w:before="1"/>
              <w:ind w:right="90"/>
              <w:jc w:val="right"/>
              <w:rPr>
                <w:sz w:val="16"/>
              </w:rPr>
            </w:pPr>
            <w:r>
              <w:rPr>
                <w:spacing w:val="-2"/>
                <w:sz w:val="16"/>
              </w:rPr>
              <w:t>8,269,069</w:t>
            </w:r>
          </w:p>
        </w:tc>
        <w:tc>
          <w:tcPr>
            <w:tcW w:w="1152" w:type="dxa"/>
          </w:tcPr>
          <w:p>
            <w:pPr>
              <w:pStyle w:val="TableParagraph"/>
              <w:spacing w:line="163" w:lineRule="exact" w:before="1"/>
              <w:ind w:right="93"/>
              <w:jc w:val="right"/>
              <w:rPr>
                <w:sz w:val="16"/>
              </w:rPr>
            </w:pPr>
            <w:r>
              <w:rPr>
                <w:spacing w:val="-2"/>
                <w:sz w:val="16"/>
              </w:rPr>
              <w:t>2,562,348</w:t>
            </w:r>
          </w:p>
        </w:tc>
        <w:tc>
          <w:tcPr>
            <w:tcW w:w="1060" w:type="dxa"/>
          </w:tcPr>
          <w:p>
            <w:pPr>
              <w:pStyle w:val="TableParagraph"/>
              <w:rPr>
                <w:rFonts w:ascii="Times New Roman"/>
                <w:sz w:val="12"/>
              </w:rPr>
            </w:pPr>
          </w:p>
        </w:tc>
      </w:tr>
      <w:tr>
        <w:trPr>
          <w:trHeight w:val="184"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3" w:lineRule="exact" w:before="1"/>
              <w:ind w:right="91"/>
              <w:jc w:val="right"/>
              <w:rPr>
                <w:sz w:val="16"/>
              </w:rPr>
            </w:pPr>
            <w:r>
              <w:rPr>
                <w:spacing w:val="-4"/>
                <w:sz w:val="16"/>
              </w:rPr>
              <w:t>mayo</w:t>
            </w:r>
          </w:p>
        </w:tc>
        <w:tc>
          <w:tcPr>
            <w:tcW w:w="1063" w:type="dxa"/>
          </w:tcPr>
          <w:p>
            <w:pPr>
              <w:pStyle w:val="TableParagraph"/>
              <w:spacing w:line="163" w:lineRule="exact" w:before="1"/>
              <w:ind w:right="94"/>
              <w:jc w:val="right"/>
              <w:rPr>
                <w:sz w:val="16"/>
              </w:rPr>
            </w:pPr>
            <w:r>
              <w:rPr>
                <w:spacing w:val="-2"/>
                <w:sz w:val="16"/>
              </w:rPr>
              <w:t>1,215,883</w:t>
            </w:r>
          </w:p>
        </w:tc>
        <w:tc>
          <w:tcPr>
            <w:tcW w:w="1149" w:type="dxa"/>
          </w:tcPr>
          <w:p>
            <w:pPr>
              <w:pStyle w:val="TableParagraph"/>
              <w:spacing w:line="163" w:lineRule="exact" w:before="1"/>
              <w:ind w:right="90"/>
              <w:jc w:val="right"/>
              <w:rPr>
                <w:sz w:val="16"/>
              </w:rPr>
            </w:pPr>
            <w:r>
              <w:rPr>
                <w:spacing w:val="-2"/>
                <w:sz w:val="16"/>
              </w:rPr>
              <w:t>10,411,777</w:t>
            </w:r>
          </w:p>
        </w:tc>
        <w:tc>
          <w:tcPr>
            <w:tcW w:w="1152" w:type="dxa"/>
          </w:tcPr>
          <w:p>
            <w:pPr>
              <w:pStyle w:val="TableParagraph"/>
              <w:spacing w:line="163" w:lineRule="exact" w:before="1"/>
              <w:ind w:right="93"/>
              <w:jc w:val="right"/>
              <w:rPr>
                <w:sz w:val="16"/>
              </w:rPr>
            </w:pPr>
            <w:r>
              <w:rPr>
                <w:spacing w:val="-2"/>
                <w:sz w:val="16"/>
              </w:rPr>
              <w:t>4,078,704</w:t>
            </w:r>
          </w:p>
        </w:tc>
        <w:tc>
          <w:tcPr>
            <w:tcW w:w="1060" w:type="dxa"/>
          </w:tcPr>
          <w:p>
            <w:pPr>
              <w:pStyle w:val="TableParagraph"/>
              <w:rPr>
                <w:rFonts w:ascii="Times New Roman"/>
                <w:sz w:val="12"/>
              </w:rPr>
            </w:pPr>
          </w:p>
        </w:tc>
      </w:tr>
      <w:tr>
        <w:trPr>
          <w:trHeight w:val="184"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3" w:lineRule="exact" w:before="1"/>
              <w:ind w:right="94"/>
              <w:jc w:val="right"/>
              <w:rPr>
                <w:sz w:val="16"/>
              </w:rPr>
            </w:pPr>
            <w:r>
              <w:rPr>
                <w:spacing w:val="-2"/>
                <w:sz w:val="16"/>
              </w:rPr>
              <w:t>junio</w:t>
            </w:r>
          </w:p>
        </w:tc>
        <w:tc>
          <w:tcPr>
            <w:tcW w:w="1063" w:type="dxa"/>
          </w:tcPr>
          <w:p>
            <w:pPr>
              <w:pStyle w:val="TableParagraph"/>
              <w:spacing w:line="163" w:lineRule="exact" w:before="1"/>
              <w:ind w:right="93"/>
              <w:jc w:val="right"/>
              <w:rPr>
                <w:sz w:val="16"/>
              </w:rPr>
            </w:pPr>
            <w:r>
              <w:rPr>
                <w:spacing w:val="-2"/>
                <w:sz w:val="16"/>
              </w:rPr>
              <w:t>293,830</w:t>
            </w:r>
          </w:p>
        </w:tc>
        <w:tc>
          <w:tcPr>
            <w:tcW w:w="1149" w:type="dxa"/>
          </w:tcPr>
          <w:p>
            <w:pPr>
              <w:pStyle w:val="TableParagraph"/>
              <w:spacing w:line="163" w:lineRule="exact" w:before="1"/>
              <w:ind w:right="90"/>
              <w:jc w:val="right"/>
              <w:rPr>
                <w:sz w:val="16"/>
              </w:rPr>
            </w:pPr>
            <w:r>
              <w:rPr>
                <w:spacing w:val="-2"/>
                <w:sz w:val="16"/>
              </w:rPr>
              <w:t>5,157,684</w:t>
            </w:r>
          </w:p>
        </w:tc>
        <w:tc>
          <w:tcPr>
            <w:tcW w:w="1152" w:type="dxa"/>
          </w:tcPr>
          <w:p>
            <w:pPr>
              <w:pStyle w:val="TableParagraph"/>
              <w:spacing w:line="163" w:lineRule="exact" w:before="1"/>
              <w:ind w:right="93"/>
              <w:jc w:val="right"/>
              <w:rPr>
                <w:sz w:val="16"/>
              </w:rPr>
            </w:pPr>
            <w:r>
              <w:rPr>
                <w:spacing w:val="-2"/>
                <w:sz w:val="16"/>
              </w:rPr>
              <w:t>2,920,297</w:t>
            </w:r>
          </w:p>
        </w:tc>
        <w:tc>
          <w:tcPr>
            <w:tcW w:w="1060" w:type="dxa"/>
          </w:tcPr>
          <w:p>
            <w:pPr>
              <w:pStyle w:val="TableParagraph"/>
              <w:rPr>
                <w:rFonts w:ascii="Times New Roman"/>
                <w:sz w:val="12"/>
              </w:rPr>
            </w:pPr>
          </w:p>
        </w:tc>
      </w:tr>
      <w:tr>
        <w:trPr>
          <w:trHeight w:val="184"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3" w:lineRule="exact" w:before="1"/>
              <w:ind w:right="94"/>
              <w:jc w:val="right"/>
              <w:rPr>
                <w:sz w:val="16"/>
              </w:rPr>
            </w:pPr>
            <w:r>
              <w:rPr>
                <w:spacing w:val="-4"/>
                <w:sz w:val="16"/>
              </w:rPr>
              <w:t>julio</w:t>
            </w:r>
          </w:p>
        </w:tc>
        <w:tc>
          <w:tcPr>
            <w:tcW w:w="1063" w:type="dxa"/>
          </w:tcPr>
          <w:p>
            <w:pPr>
              <w:pStyle w:val="TableParagraph"/>
              <w:rPr>
                <w:rFonts w:ascii="Times New Roman"/>
                <w:sz w:val="12"/>
              </w:rPr>
            </w:pPr>
          </w:p>
        </w:tc>
        <w:tc>
          <w:tcPr>
            <w:tcW w:w="1149" w:type="dxa"/>
          </w:tcPr>
          <w:p>
            <w:pPr>
              <w:pStyle w:val="TableParagraph"/>
              <w:spacing w:line="163" w:lineRule="exact" w:before="1"/>
              <w:ind w:right="90"/>
              <w:jc w:val="right"/>
              <w:rPr>
                <w:sz w:val="16"/>
              </w:rPr>
            </w:pPr>
            <w:r>
              <w:rPr>
                <w:spacing w:val="-2"/>
                <w:sz w:val="16"/>
              </w:rPr>
              <w:t>1,852,078</w:t>
            </w:r>
          </w:p>
        </w:tc>
        <w:tc>
          <w:tcPr>
            <w:tcW w:w="1152" w:type="dxa"/>
          </w:tcPr>
          <w:p>
            <w:pPr>
              <w:pStyle w:val="TableParagraph"/>
              <w:spacing w:line="163" w:lineRule="exact" w:before="1"/>
              <w:ind w:right="93"/>
              <w:jc w:val="right"/>
              <w:rPr>
                <w:sz w:val="16"/>
              </w:rPr>
            </w:pPr>
            <w:r>
              <w:rPr>
                <w:spacing w:val="-2"/>
                <w:sz w:val="16"/>
              </w:rPr>
              <w:t>2,181,538</w:t>
            </w:r>
          </w:p>
        </w:tc>
        <w:tc>
          <w:tcPr>
            <w:tcW w:w="1060" w:type="dxa"/>
          </w:tcPr>
          <w:p>
            <w:pPr>
              <w:pStyle w:val="TableParagraph"/>
              <w:rPr>
                <w:rFonts w:ascii="Times New Roman"/>
                <w:sz w:val="12"/>
              </w:rPr>
            </w:pPr>
          </w:p>
        </w:tc>
      </w:tr>
      <w:tr>
        <w:trPr>
          <w:trHeight w:val="184"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3" w:lineRule="exact" w:before="1"/>
              <w:ind w:right="92"/>
              <w:jc w:val="right"/>
              <w:rPr>
                <w:sz w:val="16"/>
              </w:rPr>
            </w:pPr>
            <w:r>
              <w:rPr>
                <w:spacing w:val="-2"/>
                <w:sz w:val="16"/>
              </w:rPr>
              <w:t>agosto</w:t>
            </w:r>
          </w:p>
        </w:tc>
        <w:tc>
          <w:tcPr>
            <w:tcW w:w="1063" w:type="dxa"/>
          </w:tcPr>
          <w:p>
            <w:pPr>
              <w:pStyle w:val="TableParagraph"/>
              <w:rPr>
                <w:rFonts w:ascii="Times New Roman"/>
                <w:sz w:val="12"/>
              </w:rPr>
            </w:pPr>
          </w:p>
        </w:tc>
        <w:tc>
          <w:tcPr>
            <w:tcW w:w="1149" w:type="dxa"/>
          </w:tcPr>
          <w:p>
            <w:pPr>
              <w:pStyle w:val="TableParagraph"/>
              <w:spacing w:line="163" w:lineRule="exact" w:before="1"/>
              <w:ind w:right="90"/>
              <w:jc w:val="right"/>
              <w:rPr>
                <w:sz w:val="16"/>
              </w:rPr>
            </w:pPr>
            <w:r>
              <w:rPr>
                <w:spacing w:val="-2"/>
                <w:sz w:val="16"/>
              </w:rPr>
              <w:t>5,400,639</w:t>
            </w:r>
          </w:p>
        </w:tc>
        <w:tc>
          <w:tcPr>
            <w:tcW w:w="1152" w:type="dxa"/>
          </w:tcPr>
          <w:p>
            <w:pPr>
              <w:pStyle w:val="TableParagraph"/>
              <w:spacing w:line="163" w:lineRule="exact" w:before="1"/>
              <w:ind w:right="93"/>
              <w:jc w:val="right"/>
              <w:rPr>
                <w:sz w:val="16"/>
              </w:rPr>
            </w:pPr>
            <w:r>
              <w:rPr>
                <w:spacing w:val="-2"/>
                <w:sz w:val="16"/>
              </w:rPr>
              <w:t>1,930,679</w:t>
            </w:r>
          </w:p>
        </w:tc>
        <w:tc>
          <w:tcPr>
            <w:tcW w:w="1060" w:type="dxa"/>
          </w:tcPr>
          <w:p>
            <w:pPr>
              <w:pStyle w:val="TableParagraph"/>
              <w:rPr>
                <w:rFonts w:ascii="Times New Roman"/>
                <w:sz w:val="12"/>
              </w:rPr>
            </w:pPr>
          </w:p>
        </w:tc>
      </w:tr>
      <w:tr>
        <w:trPr>
          <w:trHeight w:val="181"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2" w:lineRule="exact"/>
              <w:ind w:right="92"/>
              <w:jc w:val="right"/>
              <w:rPr>
                <w:sz w:val="16"/>
              </w:rPr>
            </w:pPr>
            <w:r>
              <w:rPr>
                <w:spacing w:val="-2"/>
                <w:sz w:val="16"/>
              </w:rPr>
              <w:t>octubre</w:t>
            </w:r>
          </w:p>
        </w:tc>
        <w:tc>
          <w:tcPr>
            <w:tcW w:w="1063" w:type="dxa"/>
          </w:tcPr>
          <w:p>
            <w:pPr>
              <w:pStyle w:val="TableParagraph"/>
              <w:rPr>
                <w:rFonts w:ascii="Times New Roman"/>
                <w:sz w:val="12"/>
              </w:rPr>
            </w:pPr>
          </w:p>
        </w:tc>
        <w:tc>
          <w:tcPr>
            <w:tcW w:w="1149" w:type="dxa"/>
          </w:tcPr>
          <w:p>
            <w:pPr>
              <w:pStyle w:val="TableParagraph"/>
              <w:spacing w:line="162" w:lineRule="exact"/>
              <w:ind w:right="90"/>
              <w:jc w:val="right"/>
              <w:rPr>
                <w:sz w:val="16"/>
              </w:rPr>
            </w:pPr>
            <w:r>
              <w:rPr>
                <w:spacing w:val="-2"/>
                <w:sz w:val="16"/>
              </w:rPr>
              <w:t>5,462,497</w:t>
            </w:r>
          </w:p>
        </w:tc>
        <w:tc>
          <w:tcPr>
            <w:tcW w:w="1152" w:type="dxa"/>
          </w:tcPr>
          <w:p>
            <w:pPr>
              <w:pStyle w:val="TableParagraph"/>
              <w:spacing w:line="162" w:lineRule="exact"/>
              <w:ind w:right="93"/>
              <w:jc w:val="right"/>
              <w:rPr>
                <w:sz w:val="16"/>
              </w:rPr>
            </w:pPr>
            <w:r>
              <w:rPr>
                <w:spacing w:val="-2"/>
                <w:sz w:val="16"/>
              </w:rPr>
              <w:t>3,725,663</w:t>
            </w:r>
          </w:p>
        </w:tc>
        <w:tc>
          <w:tcPr>
            <w:tcW w:w="1060" w:type="dxa"/>
          </w:tcPr>
          <w:p>
            <w:pPr>
              <w:pStyle w:val="TableParagraph"/>
              <w:rPr>
                <w:rFonts w:ascii="Times New Roman"/>
                <w:sz w:val="12"/>
              </w:rPr>
            </w:pPr>
          </w:p>
        </w:tc>
      </w:tr>
      <w:tr>
        <w:trPr>
          <w:trHeight w:val="184"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3" w:lineRule="exact" w:before="1"/>
              <w:ind w:right="91"/>
              <w:jc w:val="right"/>
              <w:rPr>
                <w:sz w:val="16"/>
              </w:rPr>
            </w:pPr>
            <w:r>
              <w:rPr>
                <w:spacing w:val="-2"/>
                <w:sz w:val="16"/>
              </w:rPr>
              <w:t>noviembre</w:t>
            </w:r>
          </w:p>
        </w:tc>
        <w:tc>
          <w:tcPr>
            <w:tcW w:w="1063" w:type="dxa"/>
          </w:tcPr>
          <w:p>
            <w:pPr>
              <w:pStyle w:val="TableParagraph"/>
              <w:spacing w:line="163" w:lineRule="exact" w:before="1"/>
              <w:ind w:right="93"/>
              <w:jc w:val="right"/>
              <w:rPr>
                <w:sz w:val="16"/>
              </w:rPr>
            </w:pPr>
            <w:r>
              <w:rPr>
                <w:spacing w:val="-2"/>
                <w:sz w:val="16"/>
              </w:rPr>
              <w:t>266,241</w:t>
            </w:r>
          </w:p>
        </w:tc>
        <w:tc>
          <w:tcPr>
            <w:tcW w:w="1149" w:type="dxa"/>
          </w:tcPr>
          <w:p>
            <w:pPr>
              <w:pStyle w:val="TableParagraph"/>
              <w:spacing w:line="163" w:lineRule="exact" w:before="1"/>
              <w:ind w:right="90"/>
              <w:jc w:val="right"/>
              <w:rPr>
                <w:sz w:val="16"/>
              </w:rPr>
            </w:pPr>
            <w:r>
              <w:rPr>
                <w:spacing w:val="-2"/>
                <w:sz w:val="16"/>
              </w:rPr>
              <w:t>2,085,968</w:t>
            </w:r>
          </w:p>
        </w:tc>
        <w:tc>
          <w:tcPr>
            <w:tcW w:w="1152" w:type="dxa"/>
          </w:tcPr>
          <w:p>
            <w:pPr>
              <w:pStyle w:val="TableParagraph"/>
              <w:spacing w:line="163" w:lineRule="exact" w:before="1"/>
              <w:ind w:right="93"/>
              <w:jc w:val="right"/>
              <w:rPr>
                <w:sz w:val="16"/>
              </w:rPr>
            </w:pPr>
            <w:r>
              <w:rPr>
                <w:spacing w:val="-2"/>
                <w:sz w:val="16"/>
              </w:rPr>
              <w:t>3,540,578</w:t>
            </w:r>
          </w:p>
        </w:tc>
        <w:tc>
          <w:tcPr>
            <w:tcW w:w="1060" w:type="dxa"/>
          </w:tcPr>
          <w:p>
            <w:pPr>
              <w:pStyle w:val="TableParagraph"/>
              <w:rPr>
                <w:rFonts w:ascii="Times New Roman"/>
                <w:sz w:val="12"/>
              </w:rPr>
            </w:pPr>
          </w:p>
        </w:tc>
      </w:tr>
      <w:tr>
        <w:trPr>
          <w:trHeight w:val="184"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3" w:lineRule="exact" w:before="1"/>
              <w:ind w:right="91"/>
              <w:jc w:val="right"/>
              <w:rPr>
                <w:sz w:val="16"/>
              </w:rPr>
            </w:pPr>
            <w:r>
              <w:rPr>
                <w:spacing w:val="-2"/>
                <w:sz w:val="16"/>
              </w:rPr>
              <w:t>diciembre</w:t>
            </w:r>
          </w:p>
        </w:tc>
        <w:tc>
          <w:tcPr>
            <w:tcW w:w="1063" w:type="dxa"/>
          </w:tcPr>
          <w:p>
            <w:pPr>
              <w:pStyle w:val="TableParagraph"/>
              <w:spacing w:line="163" w:lineRule="exact" w:before="1"/>
              <w:ind w:right="93"/>
              <w:jc w:val="right"/>
              <w:rPr>
                <w:sz w:val="16"/>
              </w:rPr>
            </w:pPr>
            <w:r>
              <w:rPr>
                <w:spacing w:val="-2"/>
                <w:sz w:val="16"/>
              </w:rPr>
              <w:t>501,616</w:t>
            </w:r>
          </w:p>
        </w:tc>
        <w:tc>
          <w:tcPr>
            <w:tcW w:w="1149" w:type="dxa"/>
          </w:tcPr>
          <w:p>
            <w:pPr>
              <w:pStyle w:val="TableParagraph"/>
              <w:spacing w:line="163" w:lineRule="exact" w:before="1"/>
              <w:ind w:right="90"/>
              <w:jc w:val="right"/>
              <w:rPr>
                <w:sz w:val="16"/>
              </w:rPr>
            </w:pPr>
            <w:r>
              <w:rPr>
                <w:spacing w:val="-2"/>
                <w:sz w:val="16"/>
              </w:rPr>
              <w:t>1,120,827</w:t>
            </w:r>
          </w:p>
        </w:tc>
        <w:tc>
          <w:tcPr>
            <w:tcW w:w="1152" w:type="dxa"/>
          </w:tcPr>
          <w:p>
            <w:pPr>
              <w:pStyle w:val="TableParagraph"/>
              <w:spacing w:line="163" w:lineRule="exact" w:before="1"/>
              <w:ind w:right="93"/>
              <w:jc w:val="right"/>
              <w:rPr>
                <w:sz w:val="16"/>
              </w:rPr>
            </w:pPr>
            <w:r>
              <w:rPr>
                <w:spacing w:val="-2"/>
                <w:sz w:val="16"/>
              </w:rPr>
              <w:t>1,883,672</w:t>
            </w:r>
          </w:p>
        </w:tc>
        <w:tc>
          <w:tcPr>
            <w:tcW w:w="1060" w:type="dxa"/>
          </w:tcPr>
          <w:p>
            <w:pPr>
              <w:pStyle w:val="TableParagraph"/>
              <w:rPr>
                <w:rFonts w:ascii="Times New Roman"/>
                <w:sz w:val="12"/>
              </w:rPr>
            </w:pPr>
          </w:p>
        </w:tc>
      </w:tr>
      <w:tr>
        <w:trPr>
          <w:trHeight w:val="184" w:hRule="atLeast"/>
        </w:trPr>
        <w:tc>
          <w:tcPr>
            <w:tcW w:w="1418" w:type="dxa"/>
          </w:tcPr>
          <w:p>
            <w:pPr>
              <w:pStyle w:val="TableParagraph"/>
              <w:rPr>
                <w:rFonts w:ascii="Times New Roman"/>
                <w:sz w:val="12"/>
              </w:rPr>
            </w:pPr>
          </w:p>
        </w:tc>
        <w:tc>
          <w:tcPr>
            <w:tcW w:w="1265" w:type="dxa"/>
          </w:tcPr>
          <w:p>
            <w:pPr>
              <w:pStyle w:val="TableParagraph"/>
              <w:rPr>
                <w:rFonts w:ascii="Times New Roman"/>
                <w:sz w:val="12"/>
              </w:rPr>
            </w:pPr>
          </w:p>
        </w:tc>
        <w:tc>
          <w:tcPr>
            <w:tcW w:w="1096" w:type="dxa"/>
          </w:tcPr>
          <w:p>
            <w:pPr>
              <w:pStyle w:val="TableParagraph"/>
              <w:spacing w:line="163" w:lineRule="exact" w:before="1"/>
              <w:ind w:right="94"/>
              <w:jc w:val="right"/>
              <w:rPr>
                <w:sz w:val="16"/>
              </w:rPr>
            </w:pPr>
            <w:r>
              <w:rPr>
                <w:spacing w:val="-2"/>
                <w:sz w:val="16"/>
              </w:rPr>
              <w:t>septiembre</w:t>
            </w:r>
          </w:p>
        </w:tc>
        <w:tc>
          <w:tcPr>
            <w:tcW w:w="1063" w:type="dxa"/>
          </w:tcPr>
          <w:p>
            <w:pPr>
              <w:pStyle w:val="TableParagraph"/>
              <w:rPr>
                <w:rFonts w:ascii="Times New Roman"/>
                <w:sz w:val="12"/>
              </w:rPr>
            </w:pPr>
          </w:p>
        </w:tc>
        <w:tc>
          <w:tcPr>
            <w:tcW w:w="1149" w:type="dxa"/>
          </w:tcPr>
          <w:p>
            <w:pPr>
              <w:pStyle w:val="TableParagraph"/>
              <w:spacing w:line="163" w:lineRule="exact" w:before="1"/>
              <w:ind w:right="90"/>
              <w:jc w:val="right"/>
              <w:rPr>
                <w:sz w:val="16"/>
              </w:rPr>
            </w:pPr>
            <w:r>
              <w:rPr>
                <w:spacing w:val="-2"/>
                <w:sz w:val="16"/>
              </w:rPr>
              <w:t>3,706,629</w:t>
            </w:r>
          </w:p>
        </w:tc>
        <w:tc>
          <w:tcPr>
            <w:tcW w:w="1152" w:type="dxa"/>
          </w:tcPr>
          <w:p>
            <w:pPr>
              <w:pStyle w:val="TableParagraph"/>
              <w:spacing w:line="163" w:lineRule="exact" w:before="1"/>
              <w:ind w:right="93"/>
              <w:jc w:val="right"/>
              <w:rPr>
                <w:sz w:val="16"/>
              </w:rPr>
            </w:pPr>
            <w:r>
              <w:rPr>
                <w:spacing w:val="-2"/>
                <w:sz w:val="16"/>
              </w:rPr>
              <w:t>2,332,013</w:t>
            </w:r>
          </w:p>
        </w:tc>
        <w:tc>
          <w:tcPr>
            <w:tcW w:w="1060" w:type="dxa"/>
          </w:tcPr>
          <w:p>
            <w:pPr>
              <w:pStyle w:val="TableParagraph"/>
              <w:rPr>
                <w:rFonts w:ascii="Times New Roman"/>
                <w:sz w:val="12"/>
              </w:rPr>
            </w:pPr>
          </w:p>
        </w:tc>
      </w:tr>
      <w:tr>
        <w:trPr>
          <w:trHeight w:val="184" w:hRule="atLeast"/>
        </w:trPr>
        <w:tc>
          <w:tcPr>
            <w:tcW w:w="1418" w:type="dxa"/>
          </w:tcPr>
          <w:p>
            <w:pPr>
              <w:pStyle w:val="TableParagraph"/>
              <w:rPr>
                <w:rFonts w:ascii="Times New Roman"/>
                <w:sz w:val="12"/>
              </w:rPr>
            </w:pPr>
          </w:p>
        </w:tc>
        <w:tc>
          <w:tcPr>
            <w:tcW w:w="1265" w:type="dxa"/>
          </w:tcPr>
          <w:p>
            <w:pPr>
              <w:pStyle w:val="TableParagraph"/>
              <w:spacing w:line="163" w:lineRule="exact" w:before="1"/>
              <w:ind w:left="108"/>
              <w:rPr>
                <w:rFonts w:ascii="Arial"/>
                <w:b/>
                <w:sz w:val="16"/>
              </w:rPr>
            </w:pPr>
            <w:r>
              <w:rPr>
                <w:rFonts w:ascii="Arial"/>
                <w:b/>
                <w:spacing w:val="-2"/>
                <w:sz w:val="16"/>
              </w:rPr>
              <w:t>1006400000</w:t>
            </w:r>
          </w:p>
        </w:tc>
        <w:tc>
          <w:tcPr>
            <w:tcW w:w="1096" w:type="dxa"/>
          </w:tcPr>
          <w:p>
            <w:pPr>
              <w:pStyle w:val="TableParagraph"/>
              <w:spacing w:line="163" w:lineRule="exact" w:before="1"/>
              <w:ind w:right="91"/>
              <w:jc w:val="right"/>
              <w:rPr>
                <w:sz w:val="16"/>
              </w:rPr>
            </w:pPr>
            <w:r>
              <w:rPr>
                <w:spacing w:val="-4"/>
                <w:sz w:val="16"/>
              </w:rPr>
              <w:t>mayo</w:t>
            </w:r>
          </w:p>
        </w:tc>
        <w:tc>
          <w:tcPr>
            <w:tcW w:w="1063" w:type="dxa"/>
          </w:tcPr>
          <w:p>
            <w:pPr>
              <w:pStyle w:val="TableParagraph"/>
              <w:rPr>
                <w:rFonts w:ascii="Times New Roman"/>
                <w:sz w:val="12"/>
              </w:rPr>
            </w:pPr>
          </w:p>
        </w:tc>
        <w:tc>
          <w:tcPr>
            <w:tcW w:w="1149" w:type="dxa"/>
          </w:tcPr>
          <w:p>
            <w:pPr>
              <w:pStyle w:val="TableParagraph"/>
              <w:spacing w:line="163" w:lineRule="exact" w:before="1"/>
              <w:ind w:right="90"/>
              <w:jc w:val="right"/>
              <w:rPr>
                <w:sz w:val="16"/>
              </w:rPr>
            </w:pPr>
            <w:r>
              <w:rPr>
                <w:spacing w:val="-2"/>
                <w:sz w:val="16"/>
              </w:rPr>
              <w:t>51,248</w:t>
            </w:r>
          </w:p>
        </w:tc>
        <w:tc>
          <w:tcPr>
            <w:tcW w:w="1152" w:type="dxa"/>
          </w:tcPr>
          <w:p>
            <w:pPr>
              <w:pStyle w:val="TableParagraph"/>
              <w:rPr>
                <w:rFonts w:ascii="Times New Roman"/>
                <w:sz w:val="12"/>
              </w:rPr>
            </w:pPr>
          </w:p>
        </w:tc>
        <w:tc>
          <w:tcPr>
            <w:tcW w:w="1060" w:type="dxa"/>
          </w:tcPr>
          <w:p>
            <w:pPr>
              <w:pStyle w:val="TableParagraph"/>
              <w:rPr>
                <w:rFonts w:ascii="Times New Roman"/>
                <w:sz w:val="12"/>
              </w:rPr>
            </w:pPr>
          </w:p>
        </w:tc>
      </w:tr>
      <w:tr>
        <w:trPr>
          <w:trHeight w:val="184" w:hRule="atLeast"/>
        </w:trPr>
        <w:tc>
          <w:tcPr>
            <w:tcW w:w="1418" w:type="dxa"/>
          </w:tcPr>
          <w:p>
            <w:pPr>
              <w:pStyle w:val="TableParagraph"/>
              <w:spacing w:line="164" w:lineRule="exact"/>
              <w:ind w:left="11"/>
              <w:jc w:val="center"/>
              <w:rPr>
                <w:rFonts w:ascii="Arial"/>
                <w:b/>
                <w:sz w:val="16"/>
              </w:rPr>
            </w:pPr>
            <w:r>
              <w:rPr>
                <w:rFonts w:ascii="Arial"/>
                <w:b/>
                <w:spacing w:val="-2"/>
                <w:sz w:val="16"/>
              </w:rPr>
              <w:t>Total</w:t>
            </w:r>
          </w:p>
        </w:tc>
        <w:tc>
          <w:tcPr>
            <w:tcW w:w="1265" w:type="dxa"/>
          </w:tcPr>
          <w:p>
            <w:pPr>
              <w:pStyle w:val="TableParagraph"/>
              <w:rPr>
                <w:rFonts w:ascii="Times New Roman"/>
                <w:sz w:val="12"/>
              </w:rPr>
            </w:pPr>
          </w:p>
        </w:tc>
        <w:tc>
          <w:tcPr>
            <w:tcW w:w="1096" w:type="dxa"/>
          </w:tcPr>
          <w:p>
            <w:pPr>
              <w:pStyle w:val="TableParagraph"/>
              <w:rPr>
                <w:rFonts w:ascii="Times New Roman"/>
                <w:sz w:val="12"/>
              </w:rPr>
            </w:pPr>
          </w:p>
        </w:tc>
        <w:tc>
          <w:tcPr>
            <w:tcW w:w="1063" w:type="dxa"/>
          </w:tcPr>
          <w:p>
            <w:pPr>
              <w:pStyle w:val="TableParagraph"/>
              <w:spacing w:line="164" w:lineRule="exact"/>
              <w:ind w:right="94"/>
              <w:jc w:val="right"/>
              <w:rPr>
                <w:rFonts w:ascii="Arial"/>
                <w:b/>
                <w:sz w:val="16"/>
              </w:rPr>
            </w:pPr>
            <w:r>
              <w:rPr>
                <w:rFonts w:ascii="Arial"/>
                <w:b/>
                <w:spacing w:val="-2"/>
                <w:sz w:val="16"/>
              </w:rPr>
              <w:t>2,668,400</w:t>
            </w:r>
          </w:p>
        </w:tc>
        <w:tc>
          <w:tcPr>
            <w:tcW w:w="1149" w:type="dxa"/>
          </w:tcPr>
          <w:p>
            <w:pPr>
              <w:pStyle w:val="TableParagraph"/>
              <w:spacing w:line="164" w:lineRule="exact"/>
              <w:ind w:right="90"/>
              <w:jc w:val="right"/>
              <w:rPr>
                <w:rFonts w:ascii="Arial"/>
                <w:b/>
                <w:sz w:val="16"/>
              </w:rPr>
            </w:pPr>
            <w:r>
              <w:rPr>
                <w:rFonts w:ascii="Arial"/>
                <w:b/>
                <w:spacing w:val="-2"/>
                <w:sz w:val="16"/>
              </w:rPr>
              <w:t>44,892,700</w:t>
            </w:r>
          </w:p>
        </w:tc>
        <w:tc>
          <w:tcPr>
            <w:tcW w:w="1152" w:type="dxa"/>
          </w:tcPr>
          <w:p>
            <w:pPr>
              <w:pStyle w:val="TableParagraph"/>
              <w:spacing w:line="164" w:lineRule="exact"/>
              <w:ind w:right="93"/>
              <w:jc w:val="right"/>
              <w:rPr>
                <w:rFonts w:ascii="Arial"/>
                <w:b/>
                <w:sz w:val="16"/>
              </w:rPr>
            </w:pPr>
            <w:r>
              <w:rPr>
                <w:rFonts w:ascii="Arial"/>
                <w:b/>
                <w:spacing w:val="-2"/>
                <w:sz w:val="16"/>
              </w:rPr>
              <w:t>30,213,175</w:t>
            </w:r>
          </w:p>
        </w:tc>
        <w:tc>
          <w:tcPr>
            <w:tcW w:w="1060" w:type="dxa"/>
          </w:tcPr>
          <w:p>
            <w:pPr>
              <w:pStyle w:val="TableParagraph"/>
              <w:spacing w:line="164" w:lineRule="exact"/>
              <w:ind w:right="89"/>
              <w:jc w:val="right"/>
              <w:rPr>
                <w:rFonts w:ascii="Arial"/>
                <w:b/>
                <w:sz w:val="16"/>
              </w:rPr>
            </w:pPr>
            <w:r>
              <w:rPr>
                <w:rFonts w:ascii="Arial"/>
                <w:b/>
                <w:spacing w:val="-2"/>
                <w:sz w:val="16"/>
              </w:rPr>
              <w:t>4,884,727</w:t>
            </w:r>
          </w:p>
        </w:tc>
      </w:tr>
    </w:tbl>
    <w:p>
      <w:pPr>
        <w:spacing w:before="6"/>
        <w:ind w:left="1288" w:right="7693" w:firstLine="0"/>
        <w:jc w:val="left"/>
        <w:rPr>
          <w:rFonts w:ascii="Arial" w:hAnsi="Arial"/>
          <w:b/>
          <w:sz w:val="16"/>
        </w:rPr>
      </w:pPr>
      <w:r>
        <w:rPr>
          <w:rFonts w:ascii="Arial" w:hAnsi="Arial"/>
          <w:b/>
          <w:sz w:val="16"/>
        </w:rPr>
        <w:t>Fuente: SENAE. Elaboración:</w:t>
      </w:r>
      <w:r>
        <w:rPr>
          <w:rFonts w:ascii="Arial" w:hAnsi="Arial"/>
          <w:b/>
          <w:spacing w:val="-12"/>
          <w:sz w:val="16"/>
        </w:rPr>
        <w:t> </w:t>
      </w:r>
      <w:r>
        <w:rPr>
          <w:rFonts w:ascii="Arial" w:hAnsi="Arial"/>
          <w:b/>
          <w:sz w:val="16"/>
        </w:rPr>
        <w:t>SGCAN.</w:t>
      </w:r>
    </w:p>
    <w:p>
      <w:pPr>
        <w:pStyle w:val="BodyText"/>
        <w:spacing w:before="68"/>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Adicionalmente, en la solicitud presentada por la República del Ecuador se incluyeron datos de comercio relativos a las mercancías sujetas a la restricción al ingreso, los cuales</w:t>
      </w:r>
      <w:r>
        <w:rPr>
          <w:spacing w:val="-12"/>
          <w:sz w:val="22"/>
        </w:rPr>
        <w:t> </w:t>
      </w:r>
      <w:r>
        <w:rPr>
          <w:sz w:val="22"/>
        </w:rPr>
        <w:t>constituyen</w:t>
      </w:r>
      <w:r>
        <w:rPr>
          <w:spacing w:val="-15"/>
          <w:sz w:val="22"/>
        </w:rPr>
        <w:t> </w:t>
      </w:r>
      <w:r>
        <w:rPr>
          <w:sz w:val="22"/>
        </w:rPr>
        <w:t>insumos</w:t>
      </w:r>
      <w:r>
        <w:rPr>
          <w:spacing w:val="-14"/>
          <w:sz w:val="22"/>
        </w:rPr>
        <w:t> </w:t>
      </w:r>
      <w:r>
        <w:rPr>
          <w:sz w:val="22"/>
        </w:rPr>
        <w:t>relevantes</w:t>
      </w:r>
      <w:r>
        <w:rPr>
          <w:spacing w:val="-14"/>
          <w:sz w:val="22"/>
        </w:rPr>
        <w:t> </w:t>
      </w:r>
      <w:r>
        <w:rPr>
          <w:sz w:val="22"/>
        </w:rPr>
        <w:t>para</w:t>
      </w:r>
      <w:r>
        <w:rPr>
          <w:spacing w:val="-15"/>
          <w:sz w:val="22"/>
        </w:rPr>
        <w:t> </w:t>
      </w:r>
      <w:r>
        <w:rPr>
          <w:sz w:val="22"/>
        </w:rPr>
        <w:t>el</w:t>
      </w:r>
      <w:r>
        <w:rPr>
          <w:spacing w:val="-13"/>
          <w:sz w:val="22"/>
        </w:rPr>
        <w:t> </w:t>
      </w:r>
      <w:r>
        <w:rPr>
          <w:sz w:val="22"/>
        </w:rPr>
        <w:t>análisis</w:t>
      </w:r>
      <w:r>
        <w:rPr>
          <w:spacing w:val="-12"/>
          <w:sz w:val="22"/>
        </w:rPr>
        <w:t> </w:t>
      </w:r>
      <w:r>
        <w:rPr>
          <w:sz w:val="22"/>
        </w:rPr>
        <w:t>del</w:t>
      </w:r>
      <w:r>
        <w:rPr>
          <w:spacing w:val="-13"/>
          <w:sz w:val="22"/>
        </w:rPr>
        <w:t> </w:t>
      </w:r>
      <w:r>
        <w:rPr>
          <w:sz w:val="22"/>
        </w:rPr>
        <w:t>efecto</w:t>
      </w:r>
      <w:r>
        <w:rPr>
          <w:spacing w:val="-15"/>
          <w:sz w:val="22"/>
        </w:rPr>
        <w:t> </w:t>
      </w:r>
      <w:r>
        <w:rPr>
          <w:sz w:val="22"/>
        </w:rPr>
        <w:t>potencial</w:t>
      </w:r>
      <w:r>
        <w:rPr>
          <w:spacing w:val="-16"/>
          <w:sz w:val="22"/>
        </w:rPr>
        <w:t> </w:t>
      </w:r>
      <w:r>
        <w:rPr>
          <w:sz w:val="22"/>
        </w:rPr>
        <w:t>de</w:t>
      </w:r>
      <w:r>
        <w:rPr>
          <w:spacing w:val="-12"/>
          <w:sz w:val="22"/>
        </w:rPr>
        <w:t> </w:t>
      </w:r>
      <w:r>
        <w:rPr>
          <w:sz w:val="22"/>
        </w:rPr>
        <w:t>la</w:t>
      </w:r>
      <w:r>
        <w:rPr>
          <w:spacing w:val="-15"/>
          <w:sz w:val="22"/>
        </w:rPr>
        <w:t> </w:t>
      </w:r>
      <w:r>
        <w:rPr>
          <w:sz w:val="22"/>
        </w:rPr>
        <w:t>medida, en</w:t>
      </w:r>
      <w:r>
        <w:rPr>
          <w:spacing w:val="-16"/>
          <w:sz w:val="22"/>
        </w:rPr>
        <w:t> </w:t>
      </w:r>
      <w:r>
        <w:rPr>
          <w:sz w:val="22"/>
        </w:rPr>
        <w:t>particular</w:t>
      </w:r>
      <w:r>
        <w:rPr>
          <w:spacing w:val="-15"/>
          <w:sz w:val="22"/>
        </w:rPr>
        <w:t> </w:t>
      </w:r>
      <w:r>
        <w:rPr>
          <w:sz w:val="22"/>
        </w:rPr>
        <w:t>en</w:t>
      </w:r>
      <w:r>
        <w:rPr>
          <w:spacing w:val="-15"/>
          <w:sz w:val="22"/>
        </w:rPr>
        <w:t> </w:t>
      </w:r>
      <w:r>
        <w:rPr>
          <w:sz w:val="22"/>
        </w:rPr>
        <w:t>lo</w:t>
      </w:r>
      <w:r>
        <w:rPr>
          <w:spacing w:val="-16"/>
          <w:sz w:val="22"/>
        </w:rPr>
        <w:t> </w:t>
      </w:r>
      <w:r>
        <w:rPr>
          <w:sz w:val="22"/>
        </w:rPr>
        <w:t>que</w:t>
      </w:r>
      <w:r>
        <w:rPr>
          <w:spacing w:val="-15"/>
          <w:sz w:val="22"/>
        </w:rPr>
        <w:t> </w:t>
      </w:r>
      <w:r>
        <w:rPr>
          <w:sz w:val="22"/>
        </w:rPr>
        <w:t>respecta</w:t>
      </w:r>
      <w:r>
        <w:rPr>
          <w:spacing w:val="-15"/>
          <w:sz w:val="22"/>
        </w:rPr>
        <w:t> </w:t>
      </w:r>
      <w:r>
        <w:rPr>
          <w:sz w:val="22"/>
        </w:rPr>
        <w:t>a</w:t>
      </w:r>
      <w:r>
        <w:rPr>
          <w:spacing w:val="-15"/>
          <w:sz w:val="22"/>
        </w:rPr>
        <w:t> </w:t>
      </w:r>
      <w:r>
        <w:rPr>
          <w:sz w:val="22"/>
        </w:rPr>
        <w:t>su</w:t>
      </w:r>
      <w:r>
        <w:rPr>
          <w:spacing w:val="-16"/>
          <w:sz w:val="22"/>
        </w:rPr>
        <w:t> </w:t>
      </w:r>
      <w:r>
        <w:rPr>
          <w:sz w:val="22"/>
        </w:rPr>
        <w:t>incidencia</w:t>
      </w:r>
      <w:r>
        <w:rPr>
          <w:spacing w:val="-15"/>
          <w:sz w:val="22"/>
        </w:rPr>
        <w:t> </w:t>
      </w:r>
      <w:r>
        <w:rPr>
          <w:sz w:val="22"/>
        </w:rPr>
        <w:t>sobre</w:t>
      </w:r>
      <w:r>
        <w:rPr>
          <w:spacing w:val="-15"/>
          <w:sz w:val="22"/>
        </w:rPr>
        <w:t> </w:t>
      </w:r>
      <w:r>
        <w:rPr>
          <w:sz w:val="22"/>
        </w:rPr>
        <w:t>el</w:t>
      </w:r>
      <w:r>
        <w:rPr>
          <w:spacing w:val="-16"/>
          <w:sz w:val="22"/>
        </w:rPr>
        <w:t> </w:t>
      </w:r>
      <w:r>
        <w:rPr>
          <w:sz w:val="22"/>
        </w:rPr>
        <w:t>flujo</w:t>
      </w:r>
      <w:r>
        <w:rPr>
          <w:spacing w:val="-15"/>
          <w:sz w:val="22"/>
        </w:rPr>
        <w:t> </w:t>
      </w:r>
      <w:r>
        <w:rPr>
          <w:sz w:val="22"/>
        </w:rPr>
        <w:t>normal</w:t>
      </w:r>
      <w:r>
        <w:rPr>
          <w:spacing w:val="-15"/>
          <w:sz w:val="22"/>
        </w:rPr>
        <w:t> </w:t>
      </w:r>
      <w:r>
        <w:rPr>
          <w:sz w:val="22"/>
        </w:rPr>
        <w:t>de</w:t>
      </w:r>
      <w:r>
        <w:rPr>
          <w:spacing w:val="-15"/>
          <w:sz w:val="22"/>
        </w:rPr>
        <w:t> </w:t>
      </w:r>
      <w:r>
        <w:rPr>
          <w:sz w:val="22"/>
        </w:rPr>
        <w:t>las</w:t>
      </w:r>
      <w:r>
        <w:rPr>
          <w:spacing w:val="-16"/>
          <w:sz w:val="22"/>
        </w:rPr>
        <w:t> </w:t>
      </w:r>
      <w:r>
        <w:rPr>
          <w:sz w:val="22"/>
        </w:rPr>
        <w:t>importaciones </w:t>
      </w:r>
      <w:r>
        <w:rPr>
          <w:spacing w:val="-2"/>
          <w:sz w:val="22"/>
        </w:rPr>
        <w:t>intracomunitarias.</w:t>
      </w:r>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78" w:hanging="567"/>
        <w:jc w:val="both"/>
        <w:rPr>
          <w:rFonts w:ascii="Arial" w:hAnsi="Arial"/>
          <w:i/>
          <w:sz w:val="22"/>
        </w:rPr>
      </w:pPr>
      <w:r>
        <w:rPr>
          <w:sz w:val="22"/>
        </w:rPr>
        <w:t>Asimismo,</w:t>
      </w:r>
      <w:r>
        <w:rPr>
          <w:spacing w:val="-16"/>
          <w:sz w:val="22"/>
        </w:rPr>
        <w:t> </w:t>
      </w:r>
      <w:r>
        <w:rPr>
          <w:sz w:val="22"/>
        </w:rPr>
        <w:t>la</w:t>
      </w:r>
      <w:r>
        <w:rPr>
          <w:spacing w:val="-15"/>
          <w:sz w:val="22"/>
        </w:rPr>
        <w:t> </w:t>
      </w:r>
      <w:r>
        <w:rPr>
          <w:sz w:val="22"/>
        </w:rPr>
        <w:t>República</w:t>
      </w:r>
      <w:r>
        <w:rPr>
          <w:spacing w:val="-15"/>
          <w:sz w:val="22"/>
        </w:rPr>
        <w:t> </w:t>
      </w:r>
      <w:r>
        <w:rPr>
          <w:sz w:val="22"/>
        </w:rPr>
        <w:t>del</w:t>
      </w:r>
      <w:r>
        <w:rPr>
          <w:spacing w:val="-16"/>
          <w:sz w:val="22"/>
        </w:rPr>
        <w:t> </w:t>
      </w:r>
      <w:r>
        <w:rPr>
          <w:sz w:val="22"/>
        </w:rPr>
        <w:t>Ecuador</w:t>
      </w:r>
      <w:r>
        <w:rPr>
          <w:spacing w:val="-15"/>
          <w:sz w:val="22"/>
        </w:rPr>
        <w:t> </w:t>
      </w:r>
      <w:r>
        <w:rPr>
          <w:sz w:val="22"/>
        </w:rPr>
        <w:t>señala</w:t>
      </w:r>
      <w:r>
        <w:rPr>
          <w:spacing w:val="-15"/>
          <w:sz w:val="22"/>
        </w:rPr>
        <w:t> </w:t>
      </w:r>
      <w:r>
        <w:rPr>
          <w:sz w:val="22"/>
        </w:rPr>
        <w:t>que</w:t>
      </w:r>
      <w:r>
        <w:rPr>
          <w:spacing w:val="-15"/>
          <w:sz w:val="22"/>
        </w:rPr>
        <w:t> </w:t>
      </w:r>
      <w:r>
        <w:rPr>
          <w:rFonts w:ascii="Arial" w:hAnsi="Arial"/>
          <w:i/>
          <w:sz w:val="22"/>
        </w:rPr>
        <w:t>“seis</w:t>
      </w:r>
      <w:r>
        <w:rPr>
          <w:rFonts w:ascii="Arial" w:hAnsi="Arial"/>
          <w:i/>
          <w:spacing w:val="-16"/>
          <w:sz w:val="22"/>
        </w:rPr>
        <w:t> </w:t>
      </w:r>
      <w:r>
        <w:rPr>
          <w:rFonts w:ascii="Arial" w:hAnsi="Arial"/>
          <w:i/>
          <w:sz w:val="22"/>
        </w:rPr>
        <w:t>subpartidas</w:t>
      </w:r>
      <w:r>
        <w:rPr>
          <w:rFonts w:ascii="Arial" w:hAnsi="Arial"/>
          <w:i/>
          <w:spacing w:val="-15"/>
          <w:sz w:val="22"/>
        </w:rPr>
        <w:t> </w:t>
      </w:r>
      <w:r>
        <w:rPr>
          <w:rFonts w:ascii="Arial" w:hAnsi="Arial"/>
          <w:i/>
          <w:sz w:val="22"/>
        </w:rPr>
        <w:t>—arroz,</w:t>
      </w:r>
      <w:r>
        <w:rPr>
          <w:rFonts w:ascii="Arial" w:hAnsi="Arial"/>
          <w:i/>
          <w:spacing w:val="-15"/>
          <w:sz w:val="22"/>
        </w:rPr>
        <w:t> </w:t>
      </w:r>
      <w:r>
        <w:rPr>
          <w:rFonts w:ascii="Arial" w:hAnsi="Arial"/>
          <w:i/>
          <w:sz w:val="22"/>
        </w:rPr>
        <w:t>fréjol,</w:t>
      </w:r>
      <w:r>
        <w:rPr>
          <w:rFonts w:ascii="Arial" w:hAnsi="Arial"/>
          <w:i/>
          <w:spacing w:val="-16"/>
          <w:sz w:val="22"/>
        </w:rPr>
        <w:t> </w:t>
      </w:r>
      <w:r>
        <w:rPr>
          <w:rFonts w:ascii="Arial" w:hAnsi="Arial"/>
          <w:i/>
          <w:sz w:val="22"/>
        </w:rPr>
        <w:t>plátano, orito,</w:t>
      </w:r>
      <w:r>
        <w:rPr>
          <w:rFonts w:ascii="Arial" w:hAnsi="Arial"/>
          <w:i/>
          <w:spacing w:val="-12"/>
          <w:sz w:val="22"/>
        </w:rPr>
        <w:t> </w:t>
      </w:r>
      <w:r>
        <w:rPr>
          <w:rFonts w:ascii="Arial" w:hAnsi="Arial"/>
          <w:i/>
          <w:sz w:val="22"/>
        </w:rPr>
        <w:t>plátanos</w:t>
      </w:r>
      <w:r>
        <w:rPr>
          <w:rFonts w:ascii="Arial" w:hAnsi="Arial"/>
          <w:i/>
          <w:spacing w:val="-14"/>
          <w:sz w:val="22"/>
        </w:rPr>
        <w:t> </w:t>
      </w:r>
      <w:r>
        <w:rPr>
          <w:rFonts w:ascii="Arial" w:hAnsi="Arial"/>
          <w:i/>
          <w:sz w:val="22"/>
        </w:rPr>
        <w:t>secos</w:t>
      </w:r>
      <w:r>
        <w:rPr>
          <w:rFonts w:ascii="Arial" w:hAnsi="Arial"/>
          <w:i/>
          <w:spacing w:val="-13"/>
          <w:sz w:val="22"/>
        </w:rPr>
        <w:t> </w:t>
      </w:r>
      <w:r>
        <w:rPr>
          <w:rFonts w:ascii="Arial" w:hAnsi="Arial"/>
          <w:i/>
          <w:sz w:val="22"/>
        </w:rPr>
        <w:t>y</w:t>
      </w:r>
      <w:r>
        <w:rPr>
          <w:rFonts w:ascii="Arial" w:hAnsi="Arial"/>
          <w:i/>
          <w:spacing w:val="-13"/>
          <w:sz w:val="22"/>
        </w:rPr>
        <w:t> </w:t>
      </w:r>
      <w:r>
        <w:rPr>
          <w:rFonts w:ascii="Arial" w:hAnsi="Arial"/>
          <w:i/>
          <w:sz w:val="22"/>
        </w:rPr>
        <w:t>arroz</w:t>
      </w:r>
      <w:r>
        <w:rPr>
          <w:rFonts w:ascii="Arial" w:hAnsi="Arial"/>
          <w:i/>
          <w:spacing w:val="-12"/>
          <w:sz w:val="22"/>
        </w:rPr>
        <w:t> </w:t>
      </w:r>
      <w:r>
        <w:rPr>
          <w:rFonts w:ascii="Arial" w:hAnsi="Arial"/>
          <w:i/>
          <w:sz w:val="22"/>
        </w:rPr>
        <w:t>partido—</w:t>
      </w:r>
      <w:r>
        <w:rPr>
          <w:rFonts w:ascii="Arial" w:hAnsi="Arial"/>
          <w:i/>
          <w:spacing w:val="-13"/>
          <w:sz w:val="22"/>
        </w:rPr>
        <w:t> </w:t>
      </w:r>
      <w:r>
        <w:rPr>
          <w:rFonts w:ascii="Arial" w:hAnsi="Arial"/>
          <w:i/>
          <w:sz w:val="22"/>
        </w:rPr>
        <w:t>son</w:t>
      </w:r>
      <w:r>
        <w:rPr>
          <w:rFonts w:ascii="Arial" w:hAnsi="Arial"/>
          <w:i/>
          <w:spacing w:val="-14"/>
          <w:sz w:val="22"/>
        </w:rPr>
        <w:t> </w:t>
      </w:r>
      <w:r>
        <w:rPr>
          <w:rFonts w:ascii="Arial" w:hAnsi="Arial"/>
          <w:i/>
          <w:sz w:val="22"/>
        </w:rPr>
        <w:t>afectadas</w:t>
      </w:r>
      <w:r>
        <w:rPr>
          <w:rFonts w:ascii="Arial" w:hAnsi="Arial"/>
          <w:i/>
          <w:spacing w:val="-12"/>
          <w:sz w:val="22"/>
        </w:rPr>
        <w:t> </w:t>
      </w:r>
      <w:r>
        <w:rPr>
          <w:rFonts w:ascii="Arial" w:hAnsi="Arial"/>
          <w:i/>
          <w:sz w:val="22"/>
        </w:rPr>
        <w:t>simultáneamente</w:t>
      </w:r>
      <w:r>
        <w:rPr>
          <w:rFonts w:ascii="Arial" w:hAnsi="Arial"/>
          <w:i/>
          <w:spacing w:val="-12"/>
          <w:sz w:val="22"/>
        </w:rPr>
        <w:t> </w:t>
      </w:r>
      <w:r>
        <w:rPr>
          <w:rFonts w:ascii="Arial" w:hAnsi="Arial"/>
          <w:i/>
          <w:sz w:val="22"/>
        </w:rPr>
        <w:t>por</w:t>
      </w:r>
      <w:r>
        <w:rPr>
          <w:rFonts w:ascii="Arial" w:hAnsi="Arial"/>
          <w:i/>
          <w:spacing w:val="-13"/>
          <w:sz w:val="22"/>
        </w:rPr>
        <w:t> </w:t>
      </w:r>
      <w:r>
        <w:rPr>
          <w:rFonts w:ascii="Arial" w:hAnsi="Arial"/>
          <w:i/>
          <w:sz w:val="22"/>
        </w:rPr>
        <w:t>el</w:t>
      </w:r>
      <w:r>
        <w:rPr>
          <w:rFonts w:ascii="Arial" w:hAnsi="Arial"/>
          <w:i/>
          <w:spacing w:val="-12"/>
          <w:sz w:val="22"/>
        </w:rPr>
        <w:t> </w:t>
      </w:r>
      <w:r>
        <w:rPr>
          <w:rFonts w:ascii="Arial" w:hAnsi="Arial"/>
          <w:i/>
          <w:sz w:val="22"/>
        </w:rPr>
        <w:t>arancel</w:t>
      </w:r>
      <w:r>
        <w:rPr>
          <w:rFonts w:ascii="Arial" w:hAnsi="Arial"/>
          <w:i/>
          <w:spacing w:val="-12"/>
          <w:sz w:val="22"/>
        </w:rPr>
        <w:t> </w:t>
      </w:r>
      <w:r>
        <w:rPr>
          <w:rFonts w:ascii="Arial" w:hAnsi="Arial"/>
          <w:i/>
          <w:sz w:val="22"/>
        </w:rPr>
        <w:t>del 30%</w:t>
      </w:r>
      <w:r>
        <w:rPr>
          <w:rFonts w:ascii="Arial" w:hAnsi="Arial"/>
          <w:i/>
          <w:spacing w:val="-1"/>
          <w:sz w:val="22"/>
        </w:rPr>
        <w:t> </w:t>
      </w:r>
      <w:r>
        <w:rPr>
          <w:rFonts w:ascii="Arial" w:hAnsi="Arial"/>
          <w:i/>
          <w:sz w:val="22"/>
        </w:rPr>
        <w:t>(artículo</w:t>
      </w:r>
      <w:r>
        <w:rPr>
          <w:rFonts w:ascii="Arial" w:hAnsi="Arial"/>
          <w:i/>
          <w:spacing w:val="-2"/>
          <w:sz w:val="22"/>
        </w:rPr>
        <w:t> </w:t>
      </w:r>
      <w:r>
        <w:rPr>
          <w:rFonts w:ascii="Arial" w:hAnsi="Arial"/>
          <w:i/>
          <w:sz w:val="22"/>
        </w:rPr>
        <w:t>1)</w:t>
      </w:r>
      <w:r>
        <w:rPr>
          <w:rFonts w:ascii="Arial" w:hAnsi="Arial"/>
          <w:i/>
          <w:spacing w:val="-1"/>
          <w:sz w:val="22"/>
        </w:rPr>
        <w:t> </w:t>
      </w:r>
      <w:r>
        <w:rPr>
          <w:rFonts w:ascii="Arial" w:hAnsi="Arial"/>
          <w:i/>
          <w:sz w:val="22"/>
        </w:rPr>
        <w:t>y</w:t>
      </w:r>
      <w:r>
        <w:rPr>
          <w:rFonts w:ascii="Arial" w:hAnsi="Arial"/>
          <w:i/>
          <w:spacing w:val="-1"/>
          <w:sz w:val="22"/>
        </w:rPr>
        <w:t> </w:t>
      </w:r>
      <w:r>
        <w:rPr>
          <w:rFonts w:ascii="Arial" w:hAnsi="Arial"/>
          <w:i/>
          <w:sz w:val="22"/>
        </w:rPr>
        <w:t>la</w:t>
      </w:r>
      <w:r>
        <w:rPr>
          <w:rFonts w:ascii="Arial" w:hAnsi="Arial"/>
          <w:i/>
          <w:spacing w:val="-2"/>
          <w:sz w:val="22"/>
        </w:rPr>
        <w:t> </w:t>
      </w:r>
      <w:r>
        <w:rPr>
          <w:rFonts w:ascii="Arial" w:hAnsi="Arial"/>
          <w:i/>
          <w:sz w:val="22"/>
        </w:rPr>
        <w:t>prohibición</w:t>
      </w:r>
      <w:r>
        <w:rPr>
          <w:rFonts w:ascii="Arial" w:hAnsi="Arial"/>
          <w:i/>
          <w:spacing w:val="-2"/>
          <w:sz w:val="22"/>
        </w:rPr>
        <w:t> </w:t>
      </w:r>
      <w:r>
        <w:rPr>
          <w:rFonts w:ascii="Arial" w:hAnsi="Arial"/>
          <w:i/>
          <w:sz w:val="22"/>
        </w:rPr>
        <w:t>terrestre</w:t>
      </w:r>
      <w:r>
        <w:rPr>
          <w:rFonts w:ascii="Arial" w:hAnsi="Arial"/>
          <w:i/>
          <w:spacing w:val="-4"/>
          <w:sz w:val="22"/>
        </w:rPr>
        <w:t> </w:t>
      </w:r>
      <w:r>
        <w:rPr>
          <w:rFonts w:ascii="Arial" w:hAnsi="Arial"/>
          <w:i/>
          <w:sz w:val="22"/>
        </w:rPr>
        <w:t>(artículo</w:t>
      </w:r>
      <w:r>
        <w:rPr>
          <w:rFonts w:ascii="Arial" w:hAnsi="Arial"/>
          <w:i/>
          <w:spacing w:val="-2"/>
          <w:sz w:val="22"/>
        </w:rPr>
        <w:t> </w:t>
      </w:r>
      <w:r>
        <w:rPr>
          <w:rFonts w:ascii="Arial" w:hAnsi="Arial"/>
          <w:i/>
          <w:sz w:val="22"/>
        </w:rPr>
        <w:t>2).</w:t>
      </w:r>
      <w:r>
        <w:rPr>
          <w:rFonts w:ascii="Arial" w:hAnsi="Arial"/>
          <w:i/>
          <w:spacing w:val="-3"/>
          <w:sz w:val="22"/>
        </w:rPr>
        <w:t> </w:t>
      </w:r>
      <w:r>
        <w:rPr>
          <w:rFonts w:ascii="Arial" w:hAnsi="Arial"/>
          <w:i/>
          <w:sz w:val="22"/>
        </w:rPr>
        <w:t>El</w:t>
      </w:r>
      <w:r>
        <w:rPr>
          <w:rFonts w:ascii="Arial" w:hAnsi="Arial"/>
          <w:i/>
          <w:spacing w:val="-2"/>
          <w:sz w:val="22"/>
        </w:rPr>
        <w:t> </w:t>
      </w:r>
      <w:r>
        <w:rPr>
          <w:rFonts w:ascii="Arial" w:hAnsi="Arial"/>
          <w:i/>
          <w:sz w:val="22"/>
        </w:rPr>
        <w:t>total</w:t>
      </w:r>
      <w:r>
        <w:rPr>
          <w:rFonts w:ascii="Arial" w:hAnsi="Arial"/>
          <w:i/>
          <w:spacing w:val="-3"/>
          <w:sz w:val="22"/>
        </w:rPr>
        <w:t> </w:t>
      </w:r>
      <w:r>
        <w:rPr>
          <w:rFonts w:ascii="Arial" w:hAnsi="Arial"/>
          <w:i/>
          <w:sz w:val="22"/>
        </w:rPr>
        <w:t>exportado</w:t>
      </w:r>
      <w:r>
        <w:rPr>
          <w:rFonts w:ascii="Arial" w:hAnsi="Arial"/>
          <w:i/>
          <w:spacing w:val="-2"/>
          <w:sz w:val="22"/>
        </w:rPr>
        <w:t> </w:t>
      </w:r>
      <w:r>
        <w:rPr>
          <w:rFonts w:ascii="Arial" w:hAnsi="Arial"/>
          <w:i/>
          <w:sz w:val="22"/>
        </w:rPr>
        <w:t>en</w:t>
      </w:r>
      <w:r>
        <w:rPr>
          <w:rFonts w:ascii="Arial" w:hAnsi="Arial"/>
          <w:i/>
          <w:spacing w:val="-2"/>
          <w:sz w:val="22"/>
        </w:rPr>
        <w:t> </w:t>
      </w:r>
      <w:r>
        <w:rPr>
          <w:rFonts w:ascii="Arial" w:hAnsi="Arial"/>
          <w:i/>
          <w:sz w:val="22"/>
        </w:rPr>
        <w:t>promedio</w:t>
      </w:r>
      <w:r>
        <w:rPr>
          <w:rFonts w:ascii="Arial" w:hAnsi="Arial"/>
          <w:i/>
          <w:spacing w:val="-2"/>
          <w:sz w:val="22"/>
        </w:rPr>
        <w:t> </w:t>
      </w:r>
      <w:r>
        <w:rPr>
          <w:rFonts w:ascii="Arial" w:hAnsi="Arial"/>
          <w:i/>
          <w:sz w:val="22"/>
        </w:rPr>
        <w:t>de estos productos desde Ecuador hacia el mercado colombiano fue de 120.873 miles de dólares,</w:t>
      </w:r>
      <w:r>
        <w:rPr>
          <w:rFonts w:ascii="Arial" w:hAnsi="Arial"/>
          <w:i/>
          <w:spacing w:val="-6"/>
          <w:sz w:val="22"/>
        </w:rPr>
        <w:t> </w:t>
      </w:r>
      <w:r>
        <w:rPr>
          <w:rFonts w:ascii="Arial" w:hAnsi="Arial"/>
          <w:i/>
          <w:sz w:val="22"/>
        </w:rPr>
        <w:t>representando</w:t>
      </w:r>
      <w:r>
        <w:rPr>
          <w:rFonts w:ascii="Arial" w:hAnsi="Arial"/>
          <w:i/>
          <w:spacing w:val="-7"/>
          <w:sz w:val="22"/>
        </w:rPr>
        <w:t> </w:t>
      </w:r>
      <w:r>
        <w:rPr>
          <w:rFonts w:ascii="Arial" w:hAnsi="Arial"/>
          <w:i/>
          <w:sz w:val="22"/>
        </w:rPr>
        <w:t>aproximadamente</w:t>
      </w:r>
      <w:r>
        <w:rPr>
          <w:rFonts w:ascii="Arial" w:hAnsi="Arial"/>
          <w:i/>
          <w:spacing w:val="-7"/>
          <w:sz w:val="22"/>
        </w:rPr>
        <w:t> </w:t>
      </w:r>
      <w:r>
        <w:rPr>
          <w:rFonts w:ascii="Arial" w:hAnsi="Arial"/>
          <w:i/>
          <w:sz w:val="22"/>
        </w:rPr>
        <w:t>un</w:t>
      </w:r>
      <w:r>
        <w:rPr>
          <w:rFonts w:ascii="Arial" w:hAnsi="Arial"/>
          <w:i/>
          <w:spacing w:val="-7"/>
          <w:sz w:val="22"/>
        </w:rPr>
        <w:t> </w:t>
      </w:r>
      <w:r>
        <w:rPr>
          <w:rFonts w:ascii="Arial" w:hAnsi="Arial"/>
          <w:i/>
          <w:sz w:val="22"/>
        </w:rPr>
        <w:t>14%</w:t>
      </w:r>
      <w:r>
        <w:rPr>
          <w:rFonts w:ascii="Arial" w:hAnsi="Arial"/>
          <w:i/>
          <w:spacing w:val="-7"/>
          <w:sz w:val="22"/>
        </w:rPr>
        <w:t> </w:t>
      </w:r>
      <w:r>
        <w:rPr>
          <w:rFonts w:ascii="Arial" w:hAnsi="Arial"/>
          <w:i/>
          <w:sz w:val="22"/>
        </w:rPr>
        <w:t>del</w:t>
      </w:r>
      <w:r>
        <w:rPr>
          <w:rFonts w:ascii="Arial" w:hAnsi="Arial"/>
          <w:i/>
          <w:spacing w:val="-7"/>
          <w:sz w:val="22"/>
        </w:rPr>
        <w:t> </w:t>
      </w:r>
      <w:r>
        <w:rPr>
          <w:rFonts w:ascii="Arial" w:hAnsi="Arial"/>
          <w:i/>
          <w:sz w:val="22"/>
        </w:rPr>
        <w:t>total</w:t>
      </w:r>
      <w:r>
        <w:rPr>
          <w:rFonts w:ascii="Arial" w:hAnsi="Arial"/>
          <w:i/>
          <w:spacing w:val="-8"/>
          <w:sz w:val="22"/>
        </w:rPr>
        <w:t> </w:t>
      </w:r>
      <w:r>
        <w:rPr>
          <w:rFonts w:ascii="Arial" w:hAnsi="Arial"/>
          <w:i/>
          <w:sz w:val="22"/>
        </w:rPr>
        <w:t>exportado</w:t>
      </w:r>
      <w:r>
        <w:rPr>
          <w:rFonts w:ascii="Arial" w:hAnsi="Arial"/>
          <w:i/>
          <w:spacing w:val="-5"/>
          <w:sz w:val="22"/>
        </w:rPr>
        <w:t> </w:t>
      </w:r>
      <w:r>
        <w:rPr>
          <w:rFonts w:ascii="Arial" w:hAnsi="Arial"/>
          <w:i/>
          <w:sz w:val="22"/>
        </w:rPr>
        <w:t>hacia</w:t>
      </w:r>
      <w:r>
        <w:rPr>
          <w:rFonts w:ascii="Arial" w:hAnsi="Arial"/>
          <w:i/>
          <w:spacing w:val="-5"/>
          <w:sz w:val="22"/>
        </w:rPr>
        <w:t> </w:t>
      </w:r>
      <w:r>
        <w:rPr>
          <w:rFonts w:ascii="Arial" w:hAnsi="Arial"/>
          <w:i/>
          <w:sz w:val="22"/>
        </w:rPr>
        <w:t>ese</w:t>
      </w:r>
      <w:r>
        <w:rPr>
          <w:rFonts w:ascii="Arial" w:hAnsi="Arial"/>
          <w:i/>
          <w:spacing w:val="-7"/>
          <w:sz w:val="22"/>
        </w:rPr>
        <w:t> </w:t>
      </w:r>
      <w:r>
        <w:rPr>
          <w:rFonts w:ascii="Arial" w:hAnsi="Arial"/>
          <w:i/>
          <w:sz w:val="22"/>
        </w:rPr>
        <w:t>país”</w:t>
      </w:r>
      <w:hyperlink w:history="true" w:anchor="_bookmark155">
        <w:r>
          <w:rPr>
            <w:rFonts w:ascii="Arial" w:hAnsi="Arial"/>
            <w:i/>
            <w:sz w:val="22"/>
            <w:vertAlign w:val="superscript"/>
          </w:rPr>
          <w:t>88</w:t>
        </w:r>
      </w:hyperlink>
      <w:r>
        <w:rPr>
          <w:rFonts w:ascii="Arial" w:hAnsi="Arial"/>
          <w:i/>
          <w:sz w:val="22"/>
          <w:vertAlign w:val="baseline"/>
        </w:rPr>
        <w:t>.</w:t>
      </w:r>
    </w:p>
    <w:p>
      <w:pPr>
        <w:pStyle w:val="ListParagraph"/>
        <w:numPr>
          <w:ilvl w:val="0"/>
          <w:numId w:val="50"/>
        </w:numPr>
        <w:tabs>
          <w:tab w:pos="1130" w:val="left" w:leader="none"/>
          <w:tab w:pos="1134" w:val="left" w:leader="none"/>
        </w:tabs>
        <w:spacing w:line="240" w:lineRule="auto" w:before="252" w:after="0"/>
        <w:ind w:left="1134" w:right="978" w:hanging="567"/>
        <w:jc w:val="both"/>
        <w:rPr>
          <w:sz w:val="22"/>
        </w:rPr>
      </w:pPr>
      <w:r>
        <w:rPr>
          <w:sz w:val="22"/>
        </w:rPr>
        <w:t>En ese sentido, la SGCAN procedió a evaluar la información presentada por la República del Ecuador con estadísticas obtenidas del SICEXT</w:t>
      </w:r>
      <w:hyperlink w:history="true" w:anchor="_bookmark156">
        <w:r>
          <w:rPr>
            <w:sz w:val="22"/>
            <w:vertAlign w:val="superscript"/>
          </w:rPr>
          <w:t>89</w:t>
        </w:r>
        <w:r>
          <w:rPr>
            <w:sz w:val="22"/>
            <w:vertAlign w:val="baseline"/>
          </w:rPr>
          <w:t>,</w:t>
        </w:r>
      </w:hyperlink>
      <w:r>
        <w:rPr>
          <w:sz w:val="22"/>
          <w:vertAlign w:val="baseline"/>
        </w:rPr>
        <w:t> lo cual permitió contrastar las aseveraciones mencionadas por dicho país. En efecto, los datos presentados</w:t>
      </w:r>
      <w:r>
        <w:rPr>
          <w:spacing w:val="-8"/>
          <w:sz w:val="22"/>
          <w:vertAlign w:val="baseline"/>
        </w:rPr>
        <w:t> </w:t>
      </w:r>
      <w:r>
        <w:rPr>
          <w:sz w:val="22"/>
          <w:vertAlign w:val="baseline"/>
        </w:rPr>
        <w:t>en</w:t>
      </w:r>
      <w:r>
        <w:rPr>
          <w:spacing w:val="-7"/>
          <w:sz w:val="22"/>
          <w:vertAlign w:val="baseline"/>
        </w:rPr>
        <w:t> </w:t>
      </w:r>
      <w:r>
        <w:rPr>
          <w:sz w:val="22"/>
          <w:vertAlign w:val="baseline"/>
        </w:rPr>
        <w:t>la</w:t>
      </w:r>
      <w:r>
        <w:rPr>
          <w:spacing w:val="-6"/>
          <w:sz w:val="22"/>
          <w:vertAlign w:val="baseline"/>
        </w:rPr>
        <w:t> </w:t>
      </w:r>
      <w:r>
        <w:rPr>
          <w:sz w:val="22"/>
          <w:vertAlign w:val="baseline"/>
        </w:rPr>
        <w:t>Tabla</w:t>
      </w:r>
      <w:r>
        <w:rPr>
          <w:spacing w:val="-8"/>
          <w:sz w:val="22"/>
          <w:vertAlign w:val="baseline"/>
        </w:rPr>
        <w:t> </w:t>
      </w:r>
      <w:r>
        <w:rPr>
          <w:sz w:val="22"/>
          <w:vertAlign w:val="baseline"/>
        </w:rPr>
        <w:t>No.</w:t>
      </w:r>
      <w:r>
        <w:rPr>
          <w:spacing w:val="-5"/>
          <w:sz w:val="22"/>
          <w:vertAlign w:val="baseline"/>
        </w:rPr>
        <w:t> </w:t>
      </w:r>
      <w:r>
        <w:rPr>
          <w:sz w:val="22"/>
          <w:vertAlign w:val="baseline"/>
        </w:rPr>
        <w:t>9</w:t>
      </w:r>
      <w:r>
        <w:rPr>
          <w:spacing w:val="-6"/>
          <w:sz w:val="22"/>
          <w:vertAlign w:val="baseline"/>
        </w:rPr>
        <w:t> </w:t>
      </w:r>
      <w:r>
        <w:rPr>
          <w:sz w:val="22"/>
          <w:vertAlign w:val="baseline"/>
        </w:rPr>
        <w:t>permiten</w:t>
      </w:r>
      <w:r>
        <w:rPr>
          <w:spacing w:val="-9"/>
          <w:sz w:val="22"/>
          <w:vertAlign w:val="baseline"/>
        </w:rPr>
        <w:t> </w:t>
      </w:r>
      <w:r>
        <w:rPr>
          <w:sz w:val="22"/>
          <w:vertAlign w:val="baseline"/>
        </w:rPr>
        <w:t>concluir</w:t>
      </w:r>
      <w:r>
        <w:rPr>
          <w:spacing w:val="-5"/>
          <w:sz w:val="22"/>
          <w:vertAlign w:val="baseline"/>
        </w:rPr>
        <w:t> </w:t>
      </w:r>
      <w:r>
        <w:rPr>
          <w:sz w:val="22"/>
          <w:vertAlign w:val="baseline"/>
        </w:rPr>
        <w:t>que</w:t>
      </w:r>
      <w:r>
        <w:rPr>
          <w:spacing w:val="-7"/>
          <w:sz w:val="22"/>
          <w:vertAlign w:val="baseline"/>
        </w:rPr>
        <w:t> </w:t>
      </w:r>
      <w:r>
        <w:rPr>
          <w:sz w:val="22"/>
          <w:vertAlign w:val="baseline"/>
        </w:rPr>
        <w:t>el</w:t>
      </w:r>
      <w:r>
        <w:rPr>
          <w:spacing w:val="-7"/>
          <w:sz w:val="22"/>
          <w:vertAlign w:val="baseline"/>
        </w:rPr>
        <w:t> </w:t>
      </w:r>
      <w:r>
        <w:rPr>
          <w:sz w:val="22"/>
          <w:vertAlign w:val="baseline"/>
        </w:rPr>
        <w:t>arroz</w:t>
      </w:r>
      <w:r>
        <w:rPr>
          <w:spacing w:val="-9"/>
          <w:sz w:val="22"/>
          <w:vertAlign w:val="baseline"/>
        </w:rPr>
        <w:t> </w:t>
      </w:r>
      <w:r>
        <w:rPr>
          <w:sz w:val="22"/>
          <w:vertAlign w:val="baseline"/>
        </w:rPr>
        <w:t>ingresa</w:t>
      </w:r>
      <w:r>
        <w:rPr>
          <w:spacing w:val="-7"/>
          <w:sz w:val="22"/>
          <w:vertAlign w:val="baseline"/>
        </w:rPr>
        <w:t> </w:t>
      </w:r>
      <w:r>
        <w:rPr>
          <w:sz w:val="22"/>
          <w:vertAlign w:val="baseline"/>
        </w:rPr>
        <w:t>principalmente</w:t>
      </w:r>
      <w:r>
        <w:rPr>
          <w:spacing w:val="-6"/>
          <w:sz w:val="22"/>
          <w:vertAlign w:val="baseline"/>
        </w:rPr>
        <w:t> </w:t>
      </w:r>
      <w:r>
        <w:rPr>
          <w:sz w:val="22"/>
          <w:vertAlign w:val="baseline"/>
        </w:rPr>
        <w:t>por vía terrestre durante el periodo 2023 – noviembre 2025, específicamente por la Dirección Seccional de Impuesto y Aduanas de Ipiales, que es justamente la aduana que ha prohibido el ingreso de arroz, según el Decreto 0170.</w:t>
      </w:r>
    </w:p>
    <w:p>
      <w:pPr>
        <w:pStyle w:val="BodyText"/>
        <w:spacing w:before="1"/>
      </w:pPr>
    </w:p>
    <w:p>
      <w:pPr>
        <w:pStyle w:val="Heading6"/>
        <w:spacing w:line="253" w:lineRule="exact" w:before="1"/>
        <w:ind w:right="411"/>
        <w:jc w:val="center"/>
      </w:pPr>
      <w:r>
        <w:rPr/>
        <w:t>Tabla</w:t>
      </w:r>
      <w:r>
        <w:rPr>
          <w:spacing w:val="-2"/>
        </w:rPr>
        <w:t> </w:t>
      </w:r>
      <w:r>
        <w:rPr/>
        <w:t>No.</w:t>
      </w:r>
      <w:r>
        <w:rPr>
          <w:spacing w:val="-2"/>
        </w:rPr>
        <w:t> </w:t>
      </w:r>
      <w:r>
        <w:rPr>
          <w:spacing w:val="-10"/>
        </w:rPr>
        <w:t>9</w:t>
      </w:r>
    </w:p>
    <w:p>
      <w:pPr>
        <w:spacing w:before="0"/>
        <w:ind w:left="2125" w:right="2540" w:firstLine="0"/>
        <w:jc w:val="center"/>
        <w:rPr>
          <w:rFonts w:ascii="Arial" w:hAnsi="Arial"/>
          <w:b/>
          <w:sz w:val="22"/>
        </w:rPr>
      </w:pPr>
      <w:r>
        <w:rPr>
          <w:rFonts w:ascii="Arial" w:hAnsi="Arial"/>
          <w:b/>
          <w:sz w:val="22"/>
        </w:rPr>
        <w:t>Importaciones</w:t>
      </w:r>
      <w:r>
        <w:rPr>
          <w:rFonts w:ascii="Arial" w:hAnsi="Arial"/>
          <w:b/>
          <w:spacing w:val="-7"/>
          <w:sz w:val="22"/>
        </w:rPr>
        <w:t> </w:t>
      </w:r>
      <w:r>
        <w:rPr>
          <w:rFonts w:ascii="Arial" w:hAnsi="Arial"/>
          <w:b/>
          <w:sz w:val="22"/>
        </w:rPr>
        <w:t>provenientes</w:t>
      </w:r>
      <w:r>
        <w:rPr>
          <w:rFonts w:ascii="Arial" w:hAnsi="Arial"/>
          <w:b/>
          <w:spacing w:val="-5"/>
          <w:sz w:val="22"/>
        </w:rPr>
        <w:t> </w:t>
      </w:r>
      <w:r>
        <w:rPr>
          <w:rFonts w:ascii="Arial" w:hAnsi="Arial"/>
          <w:b/>
          <w:sz w:val="22"/>
        </w:rPr>
        <w:t>de</w:t>
      </w:r>
      <w:r>
        <w:rPr>
          <w:rFonts w:ascii="Arial" w:hAnsi="Arial"/>
          <w:b/>
          <w:spacing w:val="-8"/>
          <w:sz w:val="22"/>
        </w:rPr>
        <w:t> </w:t>
      </w:r>
      <w:r>
        <w:rPr>
          <w:rFonts w:ascii="Arial" w:hAnsi="Arial"/>
          <w:b/>
          <w:sz w:val="22"/>
        </w:rPr>
        <w:t>la</w:t>
      </w:r>
      <w:r>
        <w:rPr>
          <w:rFonts w:ascii="Arial" w:hAnsi="Arial"/>
          <w:b/>
          <w:spacing w:val="-7"/>
          <w:sz w:val="22"/>
        </w:rPr>
        <w:t> </w:t>
      </w:r>
      <w:r>
        <w:rPr>
          <w:rFonts w:ascii="Arial" w:hAnsi="Arial"/>
          <w:b/>
          <w:sz w:val="22"/>
        </w:rPr>
        <w:t>República</w:t>
      </w:r>
      <w:r>
        <w:rPr>
          <w:rFonts w:ascii="Arial" w:hAnsi="Arial"/>
          <w:b/>
          <w:spacing w:val="-5"/>
          <w:sz w:val="22"/>
        </w:rPr>
        <w:t> </w:t>
      </w:r>
      <w:r>
        <w:rPr>
          <w:rFonts w:ascii="Arial" w:hAnsi="Arial"/>
          <w:b/>
          <w:sz w:val="22"/>
        </w:rPr>
        <w:t>del</w:t>
      </w:r>
      <w:r>
        <w:rPr>
          <w:rFonts w:ascii="Arial" w:hAnsi="Arial"/>
          <w:b/>
          <w:spacing w:val="-5"/>
          <w:sz w:val="22"/>
        </w:rPr>
        <w:t> </w:t>
      </w:r>
      <w:r>
        <w:rPr>
          <w:rFonts w:ascii="Arial" w:hAnsi="Arial"/>
          <w:b/>
          <w:sz w:val="22"/>
        </w:rPr>
        <w:t>Ecuador En USD CIF (2023 – noviembre 2025)</w:t>
      </w:r>
    </w:p>
    <w:tbl>
      <w:tblPr>
        <w:tblW w:w="0" w:type="auto"/>
        <w:jc w:val="left"/>
        <w:tblInd w:w="1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17"/>
        <w:gridCol w:w="1978"/>
        <w:gridCol w:w="1486"/>
        <w:gridCol w:w="1489"/>
        <w:gridCol w:w="1680"/>
      </w:tblGrid>
      <w:tr>
        <w:trPr>
          <w:trHeight w:val="412" w:hRule="atLeast"/>
        </w:trPr>
        <w:tc>
          <w:tcPr>
            <w:tcW w:w="1217" w:type="dxa"/>
            <w:shd w:val="clear" w:color="auto" w:fill="E8E8E8"/>
          </w:tcPr>
          <w:p>
            <w:pPr>
              <w:pStyle w:val="TableParagraph"/>
              <w:spacing w:before="102"/>
              <w:ind w:left="12"/>
              <w:jc w:val="center"/>
              <w:rPr>
                <w:rFonts w:ascii="Arial"/>
                <w:b/>
                <w:sz w:val="18"/>
              </w:rPr>
            </w:pPr>
            <w:r>
              <w:rPr>
                <w:rFonts w:ascii="Arial"/>
                <w:b/>
                <w:spacing w:val="-2"/>
                <w:sz w:val="18"/>
              </w:rPr>
              <w:t>Subpartida</w:t>
            </w:r>
          </w:p>
        </w:tc>
        <w:tc>
          <w:tcPr>
            <w:tcW w:w="1978" w:type="dxa"/>
            <w:shd w:val="clear" w:color="auto" w:fill="E8E8E8"/>
          </w:tcPr>
          <w:p>
            <w:pPr>
              <w:pStyle w:val="TableParagraph"/>
              <w:spacing w:before="102"/>
              <w:ind w:left="158"/>
              <w:rPr>
                <w:rFonts w:ascii="Arial"/>
                <w:b/>
                <w:sz w:val="18"/>
              </w:rPr>
            </w:pPr>
            <w:r>
              <w:rPr>
                <w:rFonts w:ascii="Arial"/>
                <w:b/>
                <w:sz w:val="18"/>
              </w:rPr>
              <w:t>ADUANA</w:t>
            </w:r>
            <w:r>
              <w:rPr>
                <w:rFonts w:ascii="Arial"/>
                <w:b/>
                <w:spacing w:val="-6"/>
                <w:sz w:val="18"/>
              </w:rPr>
              <w:t> </w:t>
            </w:r>
            <w:r>
              <w:rPr>
                <w:rFonts w:ascii="Arial"/>
                <w:b/>
                <w:spacing w:val="-2"/>
                <w:sz w:val="18"/>
              </w:rPr>
              <w:t>INGRESO</w:t>
            </w:r>
          </w:p>
        </w:tc>
        <w:tc>
          <w:tcPr>
            <w:tcW w:w="1486" w:type="dxa"/>
            <w:shd w:val="clear" w:color="auto" w:fill="E8E8E8"/>
          </w:tcPr>
          <w:p>
            <w:pPr>
              <w:pStyle w:val="TableParagraph"/>
              <w:spacing w:before="102"/>
              <w:ind w:right="143"/>
              <w:jc w:val="right"/>
              <w:rPr>
                <w:rFonts w:ascii="Arial"/>
                <w:b/>
                <w:sz w:val="18"/>
              </w:rPr>
            </w:pPr>
            <w:r>
              <w:rPr>
                <w:rFonts w:ascii="Arial"/>
                <w:b/>
                <w:sz w:val="18"/>
              </w:rPr>
              <w:t>USD</w:t>
            </w:r>
            <w:r>
              <w:rPr>
                <w:rFonts w:ascii="Arial"/>
                <w:b/>
                <w:spacing w:val="-2"/>
                <w:sz w:val="18"/>
              </w:rPr>
              <w:t> </w:t>
            </w:r>
            <w:r>
              <w:rPr>
                <w:rFonts w:ascii="Arial"/>
                <w:b/>
                <w:sz w:val="18"/>
              </w:rPr>
              <w:t>CIF</w:t>
            </w:r>
            <w:r>
              <w:rPr>
                <w:rFonts w:ascii="Arial"/>
                <w:b/>
                <w:spacing w:val="-1"/>
                <w:sz w:val="18"/>
              </w:rPr>
              <w:t> </w:t>
            </w:r>
            <w:r>
              <w:rPr>
                <w:rFonts w:ascii="Arial"/>
                <w:b/>
                <w:spacing w:val="-4"/>
                <w:sz w:val="18"/>
              </w:rPr>
              <w:t>2023</w:t>
            </w:r>
          </w:p>
        </w:tc>
        <w:tc>
          <w:tcPr>
            <w:tcW w:w="1489" w:type="dxa"/>
            <w:shd w:val="clear" w:color="auto" w:fill="E8E8E8"/>
          </w:tcPr>
          <w:p>
            <w:pPr>
              <w:pStyle w:val="TableParagraph"/>
              <w:spacing w:before="102"/>
              <w:ind w:left="158"/>
              <w:rPr>
                <w:rFonts w:ascii="Arial"/>
                <w:b/>
                <w:sz w:val="18"/>
              </w:rPr>
            </w:pPr>
            <w:r>
              <w:rPr>
                <w:rFonts w:ascii="Arial"/>
                <w:b/>
                <w:sz w:val="18"/>
              </w:rPr>
              <w:t>USD</w:t>
            </w:r>
            <w:r>
              <w:rPr>
                <w:rFonts w:ascii="Arial"/>
                <w:b/>
                <w:spacing w:val="-2"/>
                <w:sz w:val="18"/>
              </w:rPr>
              <w:t> </w:t>
            </w:r>
            <w:r>
              <w:rPr>
                <w:rFonts w:ascii="Arial"/>
                <w:b/>
                <w:sz w:val="18"/>
              </w:rPr>
              <w:t>CIF</w:t>
            </w:r>
            <w:r>
              <w:rPr>
                <w:rFonts w:ascii="Arial"/>
                <w:b/>
                <w:spacing w:val="-1"/>
                <w:sz w:val="18"/>
              </w:rPr>
              <w:t> </w:t>
            </w:r>
            <w:r>
              <w:rPr>
                <w:rFonts w:ascii="Arial"/>
                <w:b/>
                <w:spacing w:val="-4"/>
                <w:sz w:val="18"/>
              </w:rPr>
              <w:t>2024</w:t>
            </w:r>
          </w:p>
        </w:tc>
        <w:tc>
          <w:tcPr>
            <w:tcW w:w="1680" w:type="dxa"/>
            <w:shd w:val="clear" w:color="auto" w:fill="E8E8E8"/>
          </w:tcPr>
          <w:p>
            <w:pPr>
              <w:pStyle w:val="TableParagraph"/>
              <w:spacing w:line="206" w:lineRule="exact"/>
              <w:ind w:left="251"/>
              <w:rPr>
                <w:rFonts w:ascii="Arial"/>
                <w:b/>
                <w:sz w:val="18"/>
              </w:rPr>
            </w:pPr>
            <w:r>
              <w:rPr>
                <w:rFonts w:ascii="Arial"/>
                <w:b/>
                <w:sz w:val="18"/>
              </w:rPr>
              <w:t>USD</w:t>
            </w:r>
            <w:r>
              <w:rPr>
                <w:rFonts w:ascii="Arial"/>
                <w:b/>
                <w:spacing w:val="-2"/>
                <w:sz w:val="18"/>
              </w:rPr>
              <w:t> </w:t>
            </w:r>
            <w:r>
              <w:rPr>
                <w:rFonts w:ascii="Arial"/>
                <w:b/>
                <w:sz w:val="18"/>
              </w:rPr>
              <w:t>CIF</w:t>
            </w:r>
            <w:r>
              <w:rPr>
                <w:rFonts w:ascii="Arial"/>
                <w:b/>
                <w:spacing w:val="-1"/>
                <w:sz w:val="18"/>
              </w:rPr>
              <w:t> </w:t>
            </w:r>
            <w:r>
              <w:rPr>
                <w:rFonts w:ascii="Arial"/>
                <w:b/>
                <w:spacing w:val="-4"/>
                <w:sz w:val="18"/>
              </w:rPr>
              <w:t>2025</w:t>
            </w:r>
          </w:p>
          <w:p>
            <w:pPr>
              <w:pStyle w:val="TableParagraph"/>
              <w:spacing w:line="187" w:lineRule="exact"/>
              <w:ind w:left="323"/>
              <w:rPr>
                <w:rFonts w:ascii="Arial"/>
                <w:b/>
                <w:sz w:val="18"/>
              </w:rPr>
            </w:pPr>
            <w:r>
              <w:rPr>
                <w:rFonts w:ascii="Arial"/>
                <w:b/>
                <w:spacing w:val="-2"/>
                <w:sz w:val="18"/>
              </w:rPr>
              <w:t>(noviembre)</w:t>
            </w:r>
          </w:p>
        </w:tc>
      </w:tr>
      <w:tr>
        <w:trPr>
          <w:trHeight w:val="208" w:hRule="atLeast"/>
        </w:trPr>
        <w:tc>
          <w:tcPr>
            <w:tcW w:w="1217" w:type="dxa"/>
          </w:tcPr>
          <w:p>
            <w:pPr>
              <w:pStyle w:val="TableParagraph"/>
              <w:spacing w:line="187" w:lineRule="exact" w:before="1"/>
              <w:ind w:left="12" w:right="3"/>
              <w:jc w:val="center"/>
              <w:rPr>
                <w:rFonts w:ascii="Arial"/>
                <w:b/>
                <w:sz w:val="18"/>
              </w:rPr>
            </w:pPr>
            <w:r>
              <w:rPr>
                <w:rFonts w:ascii="Arial"/>
                <w:b/>
                <w:spacing w:val="-2"/>
                <w:sz w:val="18"/>
              </w:rPr>
              <w:t>1006101000</w:t>
            </w:r>
          </w:p>
        </w:tc>
        <w:tc>
          <w:tcPr>
            <w:tcW w:w="1978" w:type="dxa"/>
          </w:tcPr>
          <w:p>
            <w:pPr>
              <w:pStyle w:val="TableParagraph"/>
              <w:spacing w:line="187" w:lineRule="exact" w:before="1"/>
              <w:ind w:left="107"/>
              <w:rPr>
                <w:sz w:val="18"/>
              </w:rPr>
            </w:pPr>
            <w:r>
              <w:rPr>
                <w:sz w:val="18"/>
              </w:rPr>
              <w:t>NO</w:t>
            </w:r>
            <w:r>
              <w:rPr>
                <w:spacing w:val="-2"/>
                <w:sz w:val="18"/>
              </w:rPr>
              <w:t> COMERCIO</w:t>
            </w:r>
          </w:p>
        </w:tc>
        <w:tc>
          <w:tcPr>
            <w:tcW w:w="1486" w:type="dxa"/>
          </w:tcPr>
          <w:p>
            <w:pPr>
              <w:pStyle w:val="TableParagraph"/>
              <w:spacing w:line="187" w:lineRule="exact" w:before="1"/>
              <w:ind w:right="92"/>
              <w:jc w:val="right"/>
              <w:rPr>
                <w:sz w:val="18"/>
              </w:rPr>
            </w:pPr>
            <w:r>
              <w:rPr>
                <w:spacing w:val="-4"/>
                <w:sz w:val="18"/>
              </w:rPr>
              <w:t>0.00%</w:t>
            </w:r>
          </w:p>
        </w:tc>
        <w:tc>
          <w:tcPr>
            <w:tcW w:w="1489" w:type="dxa"/>
          </w:tcPr>
          <w:p>
            <w:pPr>
              <w:pStyle w:val="TableParagraph"/>
              <w:spacing w:line="187" w:lineRule="exact" w:before="1"/>
              <w:ind w:right="96"/>
              <w:jc w:val="right"/>
              <w:rPr>
                <w:sz w:val="18"/>
              </w:rPr>
            </w:pPr>
            <w:r>
              <w:rPr>
                <w:spacing w:val="-4"/>
                <w:sz w:val="18"/>
              </w:rPr>
              <w:t>0.00%</w:t>
            </w:r>
          </w:p>
        </w:tc>
        <w:tc>
          <w:tcPr>
            <w:tcW w:w="1680" w:type="dxa"/>
          </w:tcPr>
          <w:p>
            <w:pPr>
              <w:pStyle w:val="TableParagraph"/>
              <w:spacing w:line="187" w:lineRule="exact" w:before="1"/>
              <w:ind w:right="95"/>
              <w:jc w:val="right"/>
              <w:rPr>
                <w:sz w:val="18"/>
              </w:rPr>
            </w:pPr>
            <w:r>
              <w:rPr>
                <w:spacing w:val="-4"/>
                <w:sz w:val="18"/>
              </w:rPr>
              <w:t>0.00%</w:t>
            </w:r>
          </w:p>
        </w:tc>
      </w:tr>
      <w:tr>
        <w:trPr>
          <w:trHeight w:val="205" w:hRule="atLeast"/>
        </w:trPr>
        <w:tc>
          <w:tcPr>
            <w:tcW w:w="1217" w:type="dxa"/>
          </w:tcPr>
          <w:p>
            <w:pPr>
              <w:pStyle w:val="TableParagraph"/>
              <w:spacing w:line="186" w:lineRule="exact"/>
              <w:ind w:left="12" w:right="3"/>
              <w:jc w:val="center"/>
              <w:rPr>
                <w:rFonts w:ascii="Arial"/>
                <w:b/>
                <w:sz w:val="18"/>
              </w:rPr>
            </w:pPr>
            <w:r>
              <w:rPr>
                <w:rFonts w:ascii="Arial"/>
                <w:b/>
                <w:spacing w:val="-2"/>
                <w:sz w:val="18"/>
              </w:rPr>
              <w:t>1006109000</w:t>
            </w:r>
          </w:p>
        </w:tc>
        <w:tc>
          <w:tcPr>
            <w:tcW w:w="1978" w:type="dxa"/>
          </w:tcPr>
          <w:p>
            <w:pPr>
              <w:pStyle w:val="TableParagraph"/>
              <w:spacing w:line="186" w:lineRule="exact"/>
              <w:ind w:left="107"/>
              <w:rPr>
                <w:sz w:val="18"/>
              </w:rPr>
            </w:pPr>
            <w:r>
              <w:rPr>
                <w:sz w:val="18"/>
              </w:rPr>
              <w:t>NO</w:t>
            </w:r>
            <w:r>
              <w:rPr>
                <w:spacing w:val="-2"/>
                <w:sz w:val="18"/>
              </w:rPr>
              <w:t> COMERCIO</w:t>
            </w:r>
          </w:p>
        </w:tc>
        <w:tc>
          <w:tcPr>
            <w:tcW w:w="1486" w:type="dxa"/>
          </w:tcPr>
          <w:p>
            <w:pPr>
              <w:pStyle w:val="TableParagraph"/>
              <w:spacing w:line="186" w:lineRule="exact"/>
              <w:ind w:right="92"/>
              <w:jc w:val="right"/>
              <w:rPr>
                <w:sz w:val="18"/>
              </w:rPr>
            </w:pPr>
            <w:r>
              <w:rPr>
                <w:spacing w:val="-4"/>
                <w:sz w:val="18"/>
              </w:rPr>
              <w:t>0.00%</w:t>
            </w:r>
          </w:p>
        </w:tc>
        <w:tc>
          <w:tcPr>
            <w:tcW w:w="1489" w:type="dxa"/>
          </w:tcPr>
          <w:p>
            <w:pPr>
              <w:pStyle w:val="TableParagraph"/>
              <w:spacing w:line="186" w:lineRule="exact"/>
              <w:ind w:right="96"/>
              <w:jc w:val="right"/>
              <w:rPr>
                <w:sz w:val="18"/>
              </w:rPr>
            </w:pPr>
            <w:r>
              <w:rPr>
                <w:spacing w:val="-4"/>
                <w:sz w:val="18"/>
              </w:rPr>
              <w:t>0.00%</w:t>
            </w:r>
          </w:p>
        </w:tc>
        <w:tc>
          <w:tcPr>
            <w:tcW w:w="1680" w:type="dxa"/>
          </w:tcPr>
          <w:p>
            <w:pPr>
              <w:pStyle w:val="TableParagraph"/>
              <w:spacing w:line="186" w:lineRule="exact"/>
              <w:ind w:right="95"/>
              <w:jc w:val="right"/>
              <w:rPr>
                <w:sz w:val="18"/>
              </w:rPr>
            </w:pPr>
            <w:r>
              <w:rPr>
                <w:spacing w:val="-4"/>
                <w:sz w:val="18"/>
              </w:rPr>
              <w:t>0.00%</w:t>
            </w:r>
          </w:p>
        </w:tc>
      </w:tr>
      <w:tr>
        <w:trPr>
          <w:trHeight w:val="208" w:hRule="atLeast"/>
        </w:trPr>
        <w:tc>
          <w:tcPr>
            <w:tcW w:w="1217" w:type="dxa"/>
          </w:tcPr>
          <w:p>
            <w:pPr>
              <w:pStyle w:val="TableParagraph"/>
              <w:spacing w:line="188" w:lineRule="exact"/>
              <w:ind w:left="12" w:right="3"/>
              <w:jc w:val="center"/>
              <w:rPr>
                <w:rFonts w:ascii="Arial"/>
                <w:b/>
                <w:sz w:val="18"/>
              </w:rPr>
            </w:pPr>
            <w:r>
              <w:rPr>
                <w:rFonts w:ascii="Arial"/>
                <w:b/>
                <w:spacing w:val="-2"/>
                <w:sz w:val="18"/>
              </w:rPr>
              <w:t>1006200000</w:t>
            </w:r>
          </w:p>
        </w:tc>
        <w:tc>
          <w:tcPr>
            <w:tcW w:w="1978" w:type="dxa"/>
          </w:tcPr>
          <w:p>
            <w:pPr>
              <w:pStyle w:val="TableParagraph"/>
              <w:spacing w:line="188" w:lineRule="exact"/>
              <w:ind w:left="107"/>
              <w:rPr>
                <w:sz w:val="18"/>
              </w:rPr>
            </w:pPr>
            <w:r>
              <w:rPr>
                <w:sz w:val="18"/>
              </w:rPr>
              <w:t>NO</w:t>
            </w:r>
            <w:r>
              <w:rPr>
                <w:spacing w:val="-2"/>
                <w:sz w:val="18"/>
              </w:rPr>
              <w:t> COMERCIO</w:t>
            </w:r>
          </w:p>
        </w:tc>
        <w:tc>
          <w:tcPr>
            <w:tcW w:w="1486" w:type="dxa"/>
          </w:tcPr>
          <w:p>
            <w:pPr>
              <w:pStyle w:val="TableParagraph"/>
              <w:spacing w:line="188" w:lineRule="exact"/>
              <w:ind w:right="92"/>
              <w:jc w:val="right"/>
              <w:rPr>
                <w:sz w:val="18"/>
              </w:rPr>
            </w:pPr>
            <w:r>
              <w:rPr>
                <w:spacing w:val="-4"/>
                <w:sz w:val="18"/>
              </w:rPr>
              <w:t>0.00%</w:t>
            </w:r>
          </w:p>
        </w:tc>
        <w:tc>
          <w:tcPr>
            <w:tcW w:w="1489" w:type="dxa"/>
          </w:tcPr>
          <w:p>
            <w:pPr>
              <w:pStyle w:val="TableParagraph"/>
              <w:spacing w:line="188" w:lineRule="exact"/>
              <w:ind w:right="96"/>
              <w:jc w:val="right"/>
              <w:rPr>
                <w:sz w:val="18"/>
              </w:rPr>
            </w:pPr>
            <w:r>
              <w:rPr>
                <w:spacing w:val="-4"/>
                <w:sz w:val="18"/>
              </w:rPr>
              <w:t>0.00%</w:t>
            </w:r>
          </w:p>
        </w:tc>
        <w:tc>
          <w:tcPr>
            <w:tcW w:w="1680" w:type="dxa"/>
          </w:tcPr>
          <w:p>
            <w:pPr>
              <w:pStyle w:val="TableParagraph"/>
              <w:spacing w:line="188" w:lineRule="exact"/>
              <w:ind w:right="95"/>
              <w:jc w:val="right"/>
              <w:rPr>
                <w:sz w:val="18"/>
              </w:rPr>
            </w:pPr>
            <w:r>
              <w:rPr>
                <w:spacing w:val="-4"/>
                <w:sz w:val="18"/>
              </w:rPr>
              <w:t>0.00%</w:t>
            </w:r>
          </w:p>
        </w:tc>
      </w:tr>
      <w:tr>
        <w:trPr>
          <w:trHeight w:val="206" w:hRule="atLeast"/>
        </w:trPr>
        <w:tc>
          <w:tcPr>
            <w:tcW w:w="1217" w:type="dxa"/>
            <w:shd w:val="clear" w:color="auto" w:fill="D9F1D0"/>
          </w:tcPr>
          <w:p>
            <w:pPr>
              <w:pStyle w:val="TableParagraph"/>
              <w:spacing w:line="186" w:lineRule="exact"/>
              <w:ind w:left="12" w:right="3"/>
              <w:jc w:val="center"/>
              <w:rPr>
                <w:rFonts w:ascii="Arial"/>
                <w:b/>
                <w:sz w:val="18"/>
              </w:rPr>
            </w:pPr>
            <w:r>
              <w:rPr>
                <w:rFonts w:ascii="Arial"/>
                <w:b/>
                <w:spacing w:val="-2"/>
                <w:sz w:val="18"/>
              </w:rPr>
              <w:t>1006300010</w:t>
            </w:r>
          </w:p>
        </w:tc>
        <w:tc>
          <w:tcPr>
            <w:tcW w:w="1978" w:type="dxa"/>
            <w:shd w:val="clear" w:color="auto" w:fill="D9F1D0"/>
          </w:tcPr>
          <w:p>
            <w:pPr>
              <w:pStyle w:val="TableParagraph"/>
              <w:spacing w:line="186" w:lineRule="exact"/>
              <w:ind w:left="107"/>
              <w:rPr>
                <w:sz w:val="18"/>
              </w:rPr>
            </w:pPr>
            <w:r>
              <w:rPr>
                <w:spacing w:val="-2"/>
                <w:sz w:val="18"/>
              </w:rPr>
              <w:t>Ipiales</w:t>
            </w:r>
          </w:p>
        </w:tc>
        <w:tc>
          <w:tcPr>
            <w:tcW w:w="1486" w:type="dxa"/>
            <w:shd w:val="clear" w:color="auto" w:fill="D9F1D0"/>
          </w:tcPr>
          <w:p>
            <w:pPr>
              <w:pStyle w:val="TableParagraph"/>
              <w:spacing w:line="186" w:lineRule="exact"/>
              <w:ind w:right="92"/>
              <w:jc w:val="right"/>
              <w:rPr>
                <w:sz w:val="18"/>
              </w:rPr>
            </w:pPr>
            <w:r>
              <w:rPr>
                <w:spacing w:val="-2"/>
                <w:sz w:val="18"/>
              </w:rPr>
              <w:t>50.00%</w:t>
            </w:r>
          </w:p>
        </w:tc>
        <w:tc>
          <w:tcPr>
            <w:tcW w:w="1489" w:type="dxa"/>
            <w:shd w:val="clear" w:color="auto" w:fill="D9F1D0"/>
          </w:tcPr>
          <w:p>
            <w:pPr>
              <w:pStyle w:val="TableParagraph"/>
              <w:spacing w:line="186" w:lineRule="exact"/>
              <w:ind w:right="96"/>
              <w:jc w:val="right"/>
              <w:rPr>
                <w:sz w:val="18"/>
              </w:rPr>
            </w:pPr>
            <w:r>
              <w:rPr>
                <w:spacing w:val="-4"/>
                <w:sz w:val="18"/>
              </w:rPr>
              <w:t>0.18%</w:t>
            </w:r>
          </w:p>
        </w:tc>
        <w:tc>
          <w:tcPr>
            <w:tcW w:w="1680" w:type="dxa"/>
            <w:shd w:val="clear" w:color="auto" w:fill="D9F1D0"/>
          </w:tcPr>
          <w:p>
            <w:pPr>
              <w:pStyle w:val="TableParagraph"/>
              <w:spacing w:line="186" w:lineRule="exact"/>
              <w:ind w:right="95"/>
              <w:jc w:val="right"/>
              <w:rPr>
                <w:sz w:val="18"/>
              </w:rPr>
            </w:pPr>
            <w:r>
              <w:rPr>
                <w:spacing w:val="-4"/>
                <w:sz w:val="18"/>
              </w:rPr>
              <w:t>0.00%</w:t>
            </w:r>
          </w:p>
        </w:tc>
      </w:tr>
      <w:tr>
        <w:trPr>
          <w:trHeight w:val="205" w:hRule="atLeast"/>
        </w:trPr>
        <w:tc>
          <w:tcPr>
            <w:tcW w:w="1217" w:type="dxa"/>
            <w:shd w:val="clear" w:color="auto" w:fill="D9F1D0"/>
          </w:tcPr>
          <w:p>
            <w:pPr>
              <w:pStyle w:val="TableParagraph"/>
              <w:spacing w:line="186" w:lineRule="exact"/>
              <w:ind w:left="12" w:right="3"/>
              <w:jc w:val="center"/>
              <w:rPr>
                <w:rFonts w:ascii="Arial"/>
                <w:b/>
                <w:sz w:val="18"/>
              </w:rPr>
            </w:pPr>
            <w:r>
              <w:rPr>
                <w:rFonts w:ascii="Arial"/>
                <w:b/>
                <w:spacing w:val="-2"/>
                <w:sz w:val="18"/>
              </w:rPr>
              <w:t>1006300090</w:t>
            </w:r>
          </w:p>
        </w:tc>
        <w:tc>
          <w:tcPr>
            <w:tcW w:w="1978" w:type="dxa"/>
            <w:shd w:val="clear" w:color="auto" w:fill="D9F1D0"/>
          </w:tcPr>
          <w:p>
            <w:pPr>
              <w:pStyle w:val="TableParagraph"/>
              <w:spacing w:line="186" w:lineRule="exact"/>
              <w:ind w:left="107"/>
              <w:rPr>
                <w:sz w:val="18"/>
              </w:rPr>
            </w:pPr>
            <w:r>
              <w:rPr>
                <w:spacing w:val="-2"/>
                <w:sz w:val="18"/>
              </w:rPr>
              <w:t>Ipiales</w:t>
            </w:r>
          </w:p>
        </w:tc>
        <w:tc>
          <w:tcPr>
            <w:tcW w:w="1486" w:type="dxa"/>
            <w:shd w:val="clear" w:color="auto" w:fill="D9F1D0"/>
          </w:tcPr>
          <w:p>
            <w:pPr>
              <w:pStyle w:val="TableParagraph"/>
              <w:spacing w:line="186" w:lineRule="exact"/>
              <w:ind w:right="92"/>
              <w:jc w:val="right"/>
              <w:rPr>
                <w:sz w:val="18"/>
              </w:rPr>
            </w:pPr>
            <w:r>
              <w:rPr>
                <w:spacing w:val="-2"/>
                <w:sz w:val="18"/>
              </w:rPr>
              <w:t>50.00%</w:t>
            </w:r>
          </w:p>
        </w:tc>
        <w:tc>
          <w:tcPr>
            <w:tcW w:w="1489" w:type="dxa"/>
            <w:shd w:val="clear" w:color="auto" w:fill="D9F1D0"/>
          </w:tcPr>
          <w:p>
            <w:pPr>
              <w:pStyle w:val="TableParagraph"/>
              <w:spacing w:line="186" w:lineRule="exact"/>
              <w:ind w:right="96"/>
              <w:jc w:val="right"/>
              <w:rPr>
                <w:sz w:val="18"/>
              </w:rPr>
            </w:pPr>
            <w:r>
              <w:rPr>
                <w:spacing w:val="-2"/>
                <w:sz w:val="18"/>
              </w:rPr>
              <w:t>99.71%</w:t>
            </w:r>
          </w:p>
        </w:tc>
        <w:tc>
          <w:tcPr>
            <w:tcW w:w="1680" w:type="dxa"/>
            <w:shd w:val="clear" w:color="auto" w:fill="D9F1D0"/>
          </w:tcPr>
          <w:p>
            <w:pPr>
              <w:pStyle w:val="TableParagraph"/>
              <w:spacing w:line="186" w:lineRule="exact"/>
              <w:ind w:right="95"/>
              <w:jc w:val="right"/>
              <w:rPr>
                <w:sz w:val="18"/>
              </w:rPr>
            </w:pPr>
            <w:r>
              <w:rPr>
                <w:spacing w:val="-2"/>
                <w:sz w:val="18"/>
              </w:rPr>
              <w:t>100.00%</w:t>
            </w:r>
          </w:p>
        </w:tc>
      </w:tr>
      <w:tr>
        <w:trPr>
          <w:trHeight w:val="208" w:hRule="atLeast"/>
        </w:trPr>
        <w:tc>
          <w:tcPr>
            <w:tcW w:w="1217" w:type="dxa"/>
            <w:shd w:val="clear" w:color="auto" w:fill="D9F1D0"/>
          </w:tcPr>
          <w:p>
            <w:pPr>
              <w:pStyle w:val="TableParagraph"/>
              <w:spacing w:line="187" w:lineRule="exact" w:before="1"/>
              <w:ind w:left="12" w:right="3"/>
              <w:jc w:val="center"/>
              <w:rPr>
                <w:rFonts w:ascii="Arial"/>
                <w:b/>
                <w:sz w:val="18"/>
              </w:rPr>
            </w:pPr>
            <w:r>
              <w:rPr>
                <w:rFonts w:ascii="Arial"/>
                <w:b/>
                <w:spacing w:val="-2"/>
                <w:sz w:val="18"/>
              </w:rPr>
              <w:t>1006400000</w:t>
            </w:r>
          </w:p>
        </w:tc>
        <w:tc>
          <w:tcPr>
            <w:tcW w:w="1978" w:type="dxa"/>
            <w:shd w:val="clear" w:color="auto" w:fill="D9F1D0"/>
          </w:tcPr>
          <w:p>
            <w:pPr>
              <w:pStyle w:val="TableParagraph"/>
              <w:spacing w:line="187" w:lineRule="exact" w:before="1"/>
              <w:ind w:left="107"/>
              <w:rPr>
                <w:sz w:val="18"/>
              </w:rPr>
            </w:pPr>
            <w:r>
              <w:rPr>
                <w:spacing w:val="-2"/>
                <w:sz w:val="18"/>
              </w:rPr>
              <w:t>Ipiales</w:t>
            </w:r>
          </w:p>
        </w:tc>
        <w:tc>
          <w:tcPr>
            <w:tcW w:w="1486" w:type="dxa"/>
            <w:shd w:val="clear" w:color="auto" w:fill="D9F1D0"/>
          </w:tcPr>
          <w:p>
            <w:pPr>
              <w:pStyle w:val="TableParagraph"/>
              <w:spacing w:line="187" w:lineRule="exact" w:before="1"/>
              <w:ind w:right="92"/>
              <w:jc w:val="right"/>
              <w:rPr>
                <w:sz w:val="18"/>
              </w:rPr>
            </w:pPr>
            <w:r>
              <w:rPr>
                <w:spacing w:val="-4"/>
                <w:sz w:val="18"/>
              </w:rPr>
              <w:t>0.00%</w:t>
            </w:r>
          </w:p>
        </w:tc>
        <w:tc>
          <w:tcPr>
            <w:tcW w:w="1489" w:type="dxa"/>
            <w:shd w:val="clear" w:color="auto" w:fill="D9F1D0"/>
          </w:tcPr>
          <w:p>
            <w:pPr>
              <w:pStyle w:val="TableParagraph"/>
              <w:spacing w:line="187" w:lineRule="exact" w:before="1"/>
              <w:ind w:right="96"/>
              <w:jc w:val="right"/>
              <w:rPr>
                <w:sz w:val="18"/>
              </w:rPr>
            </w:pPr>
            <w:r>
              <w:rPr>
                <w:spacing w:val="-4"/>
                <w:sz w:val="18"/>
              </w:rPr>
              <w:t>0.11%</w:t>
            </w:r>
          </w:p>
        </w:tc>
        <w:tc>
          <w:tcPr>
            <w:tcW w:w="1680" w:type="dxa"/>
            <w:shd w:val="clear" w:color="auto" w:fill="D9F1D0"/>
          </w:tcPr>
          <w:p>
            <w:pPr>
              <w:pStyle w:val="TableParagraph"/>
              <w:spacing w:line="187" w:lineRule="exact" w:before="1"/>
              <w:ind w:right="95"/>
              <w:jc w:val="right"/>
              <w:rPr>
                <w:sz w:val="18"/>
              </w:rPr>
            </w:pPr>
            <w:r>
              <w:rPr>
                <w:spacing w:val="-4"/>
                <w:sz w:val="18"/>
              </w:rPr>
              <w:t>0.00%</w:t>
            </w:r>
          </w:p>
        </w:tc>
      </w:tr>
      <w:tr>
        <w:trPr>
          <w:trHeight w:val="205" w:hRule="atLeast"/>
        </w:trPr>
        <w:tc>
          <w:tcPr>
            <w:tcW w:w="3195" w:type="dxa"/>
            <w:gridSpan w:val="2"/>
          </w:tcPr>
          <w:p>
            <w:pPr>
              <w:pStyle w:val="TableParagraph"/>
              <w:spacing w:line="186" w:lineRule="exact"/>
              <w:ind w:left="107"/>
              <w:rPr>
                <w:rFonts w:ascii="Arial"/>
                <w:b/>
                <w:sz w:val="18"/>
              </w:rPr>
            </w:pPr>
            <w:r>
              <w:rPr>
                <w:rFonts w:ascii="Arial"/>
                <w:b/>
                <w:sz w:val="18"/>
              </w:rPr>
              <w:t>Total</w:t>
            </w:r>
            <w:r>
              <w:rPr>
                <w:rFonts w:ascii="Arial"/>
                <w:b/>
                <w:spacing w:val="-1"/>
                <w:sz w:val="18"/>
              </w:rPr>
              <w:t> </w:t>
            </w:r>
            <w:r>
              <w:rPr>
                <w:rFonts w:ascii="Arial"/>
                <w:b/>
                <w:spacing w:val="-2"/>
                <w:sz w:val="18"/>
              </w:rPr>
              <w:t>general</w:t>
            </w:r>
          </w:p>
        </w:tc>
        <w:tc>
          <w:tcPr>
            <w:tcW w:w="1486" w:type="dxa"/>
          </w:tcPr>
          <w:p>
            <w:pPr>
              <w:pStyle w:val="TableParagraph"/>
              <w:spacing w:line="186" w:lineRule="exact"/>
              <w:ind w:right="92"/>
              <w:jc w:val="right"/>
              <w:rPr>
                <w:rFonts w:ascii="Arial"/>
                <w:b/>
                <w:sz w:val="18"/>
              </w:rPr>
            </w:pPr>
            <w:r>
              <w:rPr>
                <w:rFonts w:ascii="Arial"/>
                <w:b/>
                <w:spacing w:val="-2"/>
                <w:sz w:val="18"/>
              </w:rPr>
              <w:t>100.00%</w:t>
            </w:r>
          </w:p>
        </w:tc>
        <w:tc>
          <w:tcPr>
            <w:tcW w:w="1489" w:type="dxa"/>
          </w:tcPr>
          <w:p>
            <w:pPr>
              <w:pStyle w:val="TableParagraph"/>
              <w:spacing w:line="186" w:lineRule="exact"/>
              <w:ind w:right="96"/>
              <w:jc w:val="right"/>
              <w:rPr>
                <w:rFonts w:ascii="Arial"/>
                <w:b/>
                <w:sz w:val="18"/>
              </w:rPr>
            </w:pPr>
            <w:r>
              <w:rPr>
                <w:rFonts w:ascii="Arial"/>
                <w:b/>
                <w:spacing w:val="-2"/>
                <w:sz w:val="18"/>
              </w:rPr>
              <w:t>100.00%</w:t>
            </w:r>
          </w:p>
        </w:tc>
        <w:tc>
          <w:tcPr>
            <w:tcW w:w="1680" w:type="dxa"/>
          </w:tcPr>
          <w:p>
            <w:pPr>
              <w:pStyle w:val="TableParagraph"/>
              <w:spacing w:line="186" w:lineRule="exact"/>
              <w:ind w:right="95"/>
              <w:jc w:val="right"/>
              <w:rPr>
                <w:rFonts w:ascii="Arial"/>
                <w:b/>
                <w:sz w:val="18"/>
              </w:rPr>
            </w:pPr>
            <w:r>
              <w:rPr>
                <w:rFonts w:ascii="Arial"/>
                <w:b/>
                <w:spacing w:val="-2"/>
                <w:sz w:val="18"/>
              </w:rPr>
              <w:t>100.00%</w:t>
            </w:r>
          </w:p>
        </w:tc>
      </w:tr>
    </w:tbl>
    <w:p>
      <w:pPr>
        <w:spacing w:before="5"/>
        <w:ind w:left="1288" w:right="7693" w:firstLine="0"/>
        <w:jc w:val="left"/>
        <w:rPr>
          <w:rFonts w:ascii="Arial" w:hAnsi="Arial"/>
          <w:b/>
          <w:sz w:val="16"/>
        </w:rPr>
      </w:pPr>
      <w:r>
        <w:rPr>
          <w:rFonts w:ascii="Arial" w:hAnsi="Arial"/>
          <w:b/>
          <w:sz w:val="16"/>
        </w:rPr>
        <w:t>Fuente: SICEXT. Elaboración:</w:t>
      </w:r>
      <w:r>
        <w:rPr>
          <w:rFonts w:ascii="Arial" w:hAnsi="Arial"/>
          <w:b/>
          <w:spacing w:val="-12"/>
          <w:sz w:val="16"/>
        </w:rPr>
        <w:t> </w:t>
      </w:r>
      <w:r>
        <w:rPr>
          <w:rFonts w:ascii="Arial" w:hAnsi="Arial"/>
          <w:b/>
          <w:sz w:val="16"/>
        </w:rPr>
        <w:t>SGCAN.</w:t>
      </w:r>
    </w:p>
    <w:p>
      <w:pPr>
        <w:pStyle w:val="BodyText"/>
        <w:spacing w:before="68"/>
        <w:rPr>
          <w:rFonts w:ascii="Arial"/>
          <w:b/>
          <w:sz w:val="16"/>
        </w:rPr>
      </w:pPr>
    </w:p>
    <w:p>
      <w:pPr>
        <w:pStyle w:val="ListParagraph"/>
        <w:numPr>
          <w:ilvl w:val="0"/>
          <w:numId w:val="50"/>
        </w:numPr>
        <w:tabs>
          <w:tab w:pos="1130" w:val="left" w:leader="none"/>
          <w:tab w:pos="1134" w:val="left" w:leader="none"/>
        </w:tabs>
        <w:spacing w:line="240" w:lineRule="auto" w:before="1" w:after="0"/>
        <w:ind w:left="1134" w:right="983" w:hanging="567"/>
        <w:jc w:val="both"/>
        <w:rPr>
          <w:sz w:val="22"/>
        </w:rPr>
      </w:pPr>
      <w:r>
        <w:rPr>
          <w:sz w:val="22"/>
        </w:rPr>
        <w:t>Además, para verificar si la medida adoptada por la República de Colombia impide el ingreso</w:t>
      </w:r>
      <w:r>
        <w:rPr>
          <w:spacing w:val="16"/>
          <w:sz w:val="22"/>
        </w:rPr>
        <w:t> </w:t>
      </w:r>
      <w:r>
        <w:rPr>
          <w:sz w:val="22"/>
        </w:rPr>
        <w:t>de arroz,</w:t>
      </w:r>
      <w:r>
        <w:rPr>
          <w:spacing w:val="16"/>
          <w:sz w:val="22"/>
        </w:rPr>
        <w:t> </w:t>
      </w:r>
      <w:r>
        <w:rPr>
          <w:sz w:val="22"/>
        </w:rPr>
        <w:t>la</w:t>
      </w:r>
      <w:r>
        <w:rPr>
          <w:spacing w:val="16"/>
          <w:sz w:val="22"/>
        </w:rPr>
        <w:t> </w:t>
      </w:r>
      <w:r>
        <w:rPr>
          <w:sz w:val="22"/>
        </w:rPr>
        <w:t>SGCAN</w:t>
      </w:r>
      <w:r>
        <w:rPr>
          <w:spacing w:val="16"/>
          <w:sz w:val="22"/>
        </w:rPr>
        <w:t> </w:t>
      </w:r>
      <w:r>
        <w:rPr>
          <w:sz w:val="22"/>
        </w:rPr>
        <w:t>solicitó</w:t>
      </w:r>
      <w:r>
        <w:rPr>
          <w:spacing w:val="16"/>
          <w:sz w:val="22"/>
        </w:rPr>
        <w:t> </w:t>
      </w:r>
      <w:r>
        <w:rPr>
          <w:sz w:val="22"/>
        </w:rPr>
        <w:t>a este</w:t>
      </w:r>
      <w:r>
        <w:rPr>
          <w:spacing w:val="16"/>
          <w:sz w:val="22"/>
        </w:rPr>
        <w:t> </w:t>
      </w:r>
      <w:r>
        <w:rPr>
          <w:sz w:val="22"/>
        </w:rPr>
        <w:t>país información de importaciones</w:t>
      </w:r>
      <w:r>
        <w:rPr>
          <w:spacing w:val="16"/>
          <w:sz w:val="22"/>
        </w:rPr>
        <w:t> </w:t>
      </w:r>
      <w:r>
        <w:rPr>
          <w:sz w:val="22"/>
        </w:rPr>
        <w:t>para el</w:t>
      </w:r>
    </w:p>
    <w:p>
      <w:pPr>
        <w:pStyle w:val="BodyText"/>
        <w:spacing w:before="3"/>
        <w:rPr>
          <w:sz w:val="20"/>
        </w:rPr>
      </w:pPr>
      <w:r>
        <w:rPr>
          <w:sz w:val="20"/>
        </w:rPr>
        <mc:AlternateContent>
          <mc:Choice Requires="wps">
            <w:drawing>
              <wp:anchor distT="0" distB="0" distL="0" distR="0" allowOverlap="1" layoutInCell="1" locked="0" behindDoc="1" simplePos="0" relativeHeight="487655424">
                <wp:simplePos x="0" y="0"/>
                <wp:positionH relativeFrom="page">
                  <wp:posOffset>990904</wp:posOffset>
                </wp:positionH>
                <wp:positionV relativeFrom="paragraph">
                  <wp:posOffset>163505</wp:posOffset>
                </wp:positionV>
                <wp:extent cx="1829435" cy="7620"/>
                <wp:effectExtent l="0" t="0" r="0" b="0"/>
                <wp:wrapTopAndBottom/>
                <wp:docPr id="549" name="Graphic 549"/>
                <wp:cNvGraphicFramePr>
                  <a:graphicFrameLocks/>
                </wp:cNvGraphicFramePr>
                <a:graphic>
                  <a:graphicData uri="http://schemas.microsoft.com/office/word/2010/wordprocessingShape">
                    <wps:wsp>
                      <wps:cNvPr id="549" name="Graphic 549"/>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2.874462pt;width:144.020pt;height:.60004pt;mso-position-horizontal-relative:page;mso-position-vertical-relative:paragraph;z-index:-15661056;mso-wrap-distance-left:0;mso-wrap-distance-right:0" id="docshape379" filled="true" fillcolor="#000000" stroked="false">
                <v:fill type="solid"/>
                <w10:wrap type="topAndBottom"/>
              </v:rect>
            </w:pict>
          </mc:Fallback>
        </mc:AlternateContent>
      </w:r>
    </w:p>
    <w:p>
      <w:pPr>
        <w:spacing w:before="92"/>
        <w:ind w:left="568" w:right="0" w:firstLine="0"/>
        <w:jc w:val="left"/>
        <w:rPr>
          <w:sz w:val="16"/>
        </w:rPr>
      </w:pPr>
      <w:bookmarkStart w:name="_bookmark155" w:id="156"/>
      <w:bookmarkEnd w:id="156"/>
      <w:r>
        <w:rPr/>
      </w:r>
      <w:r>
        <w:rPr>
          <w:sz w:val="16"/>
          <w:vertAlign w:val="superscript"/>
        </w:rPr>
        <w:t>88</w:t>
      </w:r>
      <w:r>
        <w:rPr>
          <w:spacing w:val="-10"/>
          <w:sz w:val="16"/>
          <w:vertAlign w:val="baseline"/>
        </w:rPr>
        <w:t> </w:t>
      </w:r>
      <w:r>
        <w:rPr>
          <w:sz w:val="16"/>
          <w:vertAlign w:val="baseline"/>
        </w:rPr>
        <w:t>Expediente</w:t>
      </w:r>
      <w:r>
        <w:rPr>
          <w:spacing w:val="-10"/>
          <w:sz w:val="16"/>
          <w:vertAlign w:val="baseline"/>
        </w:rPr>
        <w:t> </w:t>
      </w:r>
      <w:r>
        <w:rPr>
          <w:sz w:val="16"/>
          <w:vertAlign w:val="baseline"/>
        </w:rPr>
        <w:t>DGCOM/GRAV-REST/002/2026,</w:t>
      </w:r>
      <w:r>
        <w:rPr>
          <w:spacing w:val="-10"/>
          <w:sz w:val="16"/>
          <w:vertAlign w:val="baseline"/>
        </w:rPr>
        <w:t> </w:t>
      </w:r>
      <w:r>
        <w:rPr>
          <w:spacing w:val="-2"/>
          <w:sz w:val="16"/>
          <w:vertAlign w:val="baseline"/>
        </w:rPr>
        <w:t>ibidem.</w:t>
      </w:r>
    </w:p>
    <w:p>
      <w:pPr>
        <w:spacing w:before="1"/>
        <w:ind w:left="568" w:right="0" w:firstLine="0"/>
        <w:jc w:val="left"/>
        <w:rPr>
          <w:sz w:val="16"/>
        </w:rPr>
      </w:pPr>
      <w:bookmarkStart w:name="_bookmark156" w:id="157"/>
      <w:bookmarkEnd w:id="157"/>
      <w:r>
        <w:rPr/>
      </w:r>
      <w:r>
        <w:rPr>
          <w:sz w:val="16"/>
          <w:vertAlign w:val="superscript"/>
        </w:rPr>
        <w:t>89</w:t>
      </w:r>
      <w:r>
        <w:rPr>
          <w:spacing w:val="-4"/>
          <w:sz w:val="16"/>
          <w:vertAlign w:val="baseline"/>
        </w:rPr>
        <w:t> </w:t>
      </w:r>
      <w:r>
        <w:rPr>
          <w:sz w:val="16"/>
          <w:vertAlign w:val="baseline"/>
        </w:rPr>
        <w:t>EI</w:t>
      </w:r>
      <w:r>
        <w:rPr>
          <w:spacing w:val="-5"/>
          <w:sz w:val="16"/>
          <w:vertAlign w:val="baseline"/>
        </w:rPr>
        <w:t> </w:t>
      </w:r>
      <w:r>
        <w:rPr>
          <w:sz w:val="16"/>
          <w:vertAlign w:val="baseline"/>
        </w:rPr>
        <w:t>SICEXT</w:t>
      </w:r>
      <w:r>
        <w:rPr>
          <w:spacing w:val="-4"/>
          <w:sz w:val="16"/>
          <w:vertAlign w:val="baseline"/>
        </w:rPr>
        <w:t> </w:t>
      </w:r>
      <w:r>
        <w:rPr>
          <w:sz w:val="16"/>
          <w:vertAlign w:val="baseline"/>
        </w:rPr>
        <w:t>es</w:t>
      </w:r>
      <w:r>
        <w:rPr>
          <w:spacing w:val="-5"/>
          <w:sz w:val="16"/>
          <w:vertAlign w:val="baseline"/>
        </w:rPr>
        <w:t> </w:t>
      </w:r>
      <w:r>
        <w:rPr>
          <w:sz w:val="16"/>
          <w:vertAlign w:val="baseline"/>
        </w:rPr>
        <w:t>el</w:t>
      </w:r>
      <w:r>
        <w:rPr>
          <w:spacing w:val="-5"/>
          <w:sz w:val="16"/>
          <w:vertAlign w:val="baseline"/>
        </w:rPr>
        <w:t> </w:t>
      </w:r>
      <w:r>
        <w:rPr>
          <w:sz w:val="16"/>
          <w:vertAlign w:val="baseline"/>
        </w:rPr>
        <w:t>sistema</w:t>
      </w:r>
      <w:r>
        <w:rPr>
          <w:spacing w:val="-3"/>
          <w:sz w:val="16"/>
          <w:vertAlign w:val="baseline"/>
        </w:rPr>
        <w:t> </w:t>
      </w:r>
      <w:r>
        <w:rPr>
          <w:sz w:val="16"/>
          <w:vertAlign w:val="baseline"/>
        </w:rPr>
        <w:t>de</w:t>
      </w:r>
      <w:r>
        <w:rPr>
          <w:spacing w:val="-6"/>
          <w:sz w:val="16"/>
          <w:vertAlign w:val="baseline"/>
        </w:rPr>
        <w:t> </w:t>
      </w:r>
      <w:r>
        <w:rPr>
          <w:sz w:val="16"/>
          <w:vertAlign w:val="baseline"/>
        </w:rPr>
        <w:t>información</w:t>
      </w:r>
      <w:r>
        <w:rPr>
          <w:spacing w:val="-6"/>
          <w:sz w:val="16"/>
          <w:vertAlign w:val="baseline"/>
        </w:rPr>
        <w:t> </w:t>
      </w:r>
      <w:r>
        <w:rPr>
          <w:sz w:val="16"/>
          <w:vertAlign w:val="baseline"/>
        </w:rPr>
        <w:t>estadístico</w:t>
      </w:r>
      <w:r>
        <w:rPr>
          <w:spacing w:val="-4"/>
          <w:sz w:val="16"/>
          <w:vertAlign w:val="baseline"/>
        </w:rPr>
        <w:t> </w:t>
      </w:r>
      <w:r>
        <w:rPr>
          <w:sz w:val="16"/>
          <w:vertAlign w:val="baseline"/>
        </w:rPr>
        <w:t>del</w:t>
      </w:r>
      <w:r>
        <w:rPr>
          <w:spacing w:val="-6"/>
          <w:sz w:val="16"/>
          <w:vertAlign w:val="baseline"/>
        </w:rPr>
        <w:t> </w:t>
      </w:r>
      <w:r>
        <w:rPr>
          <w:sz w:val="16"/>
          <w:vertAlign w:val="baseline"/>
        </w:rPr>
        <w:t>comercio</w:t>
      </w:r>
      <w:r>
        <w:rPr>
          <w:spacing w:val="-5"/>
          <w:sz w:val="16"/>
          <w:vertAlign w:val="baseline"/>
        </w:rPr>
        <w:t> </w:t>
      </w:r>
      <w:r>
        <w:rPr>
          <w:sz w:val="16"/>
          <w:vertAlign w:val="baseline"/>
        </w:rPr>
        <w:t>exterior</w:t>
      </w:r>
      <w:r>
        <w:rPr>
          <w:spacing w:val="-5"/>
          <w:sz w:val="16"/>
          <w:vertAlign w:val="baseline"/>
        </w:rPr>
        <w:t> </w:t>
      </w:r>
      <w:r>
        <w:rPr>
          <w:sz w:val="16"/>
          <w:vertAlign w:val="baseline"/>
        </w:rPr>
        <w:t>de</w:t>
      </w:r>
      <w:r>
        <w:rPr>
          <w:spacing w:val="-6"/>
          <w:sz w:val="16"/>
          <w:vertAlign w:val="baseline"/>
        </w:rPr>
        <w:t> </w:t>
      </w:r>
      <w:r>
        <w:rPr>
          <w:sz w:val="16"/>
          <w:vertAlign w:val="baseline"/>
        </w:rPr>
        <w:t>los</w:t>
      </w:r>
      <w:r>
        <w:rPr>
          <w:spacing w:val="-5"/>
          <w:sz w:val="16"/>
          <w:vertAlign w:val="baseline"/>
        </w:rPr>
        <w:t> </w:t>
      </w:r>
      <w:r>
        <w:rPr>
          <w:sz w:val="16"/>
          <w:vertAlign w:val="baseline"/>
        </w:rPr>
        <w:t>Países</w:t>
      </w:r>
      <w:r>
        <w:rPr>
          <w:spacing w:val="-4"/>
          <w:sz w:val="16"/>
          <w:vertAlign w:val="baseline"/>
        </w:rPr>
        <w:t> </w:t>
      </w:r>
      <w:r>
        <w:rPr>
          <w:sz w:val="16"/>
          <w:vertAlign w:val="baseline"/>
        </w:rPr>
        <w:t>Miembros</w:t>
      </w:r>
      <w:r>
        <w:rPr>
          <w:spacing w:val="-2"/>
          <w:sz w:val="16"/>
          <w:vertAlign w:val="baseline"/>
        </w:rPr>
        <w:t> </w:t>
      </w:r>
      <w:r>
        <w:rPr>
          <w:sz w:val="16"/>
          <w:vertAlign w:val="baseline"/>
        </w:rPr>
        <w:t>de</w:t>
      </w:r>
      <w:r>
        <w:rPr>
          <w:spacing w:val="-7"/>
          <w:sz w:val="16"/>
          <w:vertAlign w:val="baseline"/>
        </w:rPr>
        <w:t> </w:t>
      </w:r>
      <w:r>
        <w:rPr>
          <w:sz w:val="16"/>
          <w:vertAlign w:val="baseline"/>
        </w:rPr>
        <w:t>la</w:t>
      </w:r>
      <w:r>
        <w:rPr>
          <w:spacing w:val="-3"/>
          <w:sz w:val="16"/>
          <w:vertAlign w:val="baseline"/>
        </w:rPr>
        <w:t> </w:t>
      </w:r>
      <w:r>
        <w:rPr>
          <w:spacing w:val="-4"/>
          <w:sz w:val="16"/>
          <w:vertAlign w:val="baseline"/>
        </w:rPr>
        <w:t>CAN.</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50" name="Group 550"/>
                <wp:cNvGraphicFramePr>
                  <a:graphicFrameLocks/>
                </wp:cNvGraphicFramePr>
                <a:graphic>
                  <a:graphicData uri="http://schemas.microsoft.com/office/word/2010/wordprocessingGroup">
                    <wpg:wgp>
                      <wpg:cNvPr id="550" name="Group 550"/>
                      <wpg:cNvGrpSpPr/>
                      <wpg:grpSpPr>
                        <a:xfrm>
                          <a:off x="0" y="0"/>
                          <a:ext cx="6131560" cy="9525"/>
                          <a:chExt cx="6131560" cy="9525"/>
                        </a:xfrm>
                      </wpg:grpSpPr>
                      <wps:wsp>
                        <wps:cNvPr id="551" name="Graphic 551"/>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80"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780" w:left="992" w:right="283"/>
        </w:sectPr>
      </w:pPr>
    </w:p>
    <w:p>
      <w:pPr>
        <w:pStyle w:val="BodyText"/>
        <w:spacing w:before="176"/>
      </w:pPr>
    </w:p>
    <w:p>
      <w:pPr>
        <w:pStyle w:val="BodyText"/>
        <w:ind w:left="1134" w:right="982"/>
        <w:jc w:val="both"/>
      </w:pPr>
      <w:r>
        <w:rPr/>
        <w:t>periodo comprendido entre enero de 2023 a marzo 2026. Sin embargo, se recibió información</w:t>
      </w:r>
      <w:r>
        <w:rPr>
          <w:spacing w:val="-3"/>
        </w:rPr>
        <w:t> </w:t>
      </w:r>
      <w:r>
        <w:rPr/>
        <w:t>únicamente</w:t>
      </w:r>
      <w:r>
        <w:rPr>
          <w:spacing w:val="-3"/>
        </w:rPr>
        <w:t> </w:t>
      </w:r>
      <w:r>
        <w:rPr/>
        <w:t>hasta</w:t>
      </w:r>
      <w:r>
        <w:rPr>
          <w:spacing w:val="-3"/>
        </w:rPr>
        <w:t> </w:t>
      </w:r>
      <w:r>
        <w:rPr/>
        <w:t>febrero de</w:t>
      </w:r>
      <w:r>
        <w:rPr>
          <w:spacing w:val="-3"/>
        </w:rPr>
        <w:t> </w:t>
      </w:r>
      <w:r>
        <w:rPr/>
        <w:t>2026, lo que imposibilita analizar la evolución de importaciones de arroz durante la vigencia de la medida.</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85" w:hanging="567"/>
        <w:jc w:val="both"/>
        <w:rPr>
          <w:sz w:val="22"/>
        </w:rPr>
      </w:pPr>
      <w:r>
        <w:rPr>
          <w:sz w:val="22"/>
        </w:rPr>
        <w:t>La información de importaciones requerida por la SGCAN permitió confirmar que la principal vía por la que ingresa el arroz es la terrestre, específicamente, por Ipiales.</w:t>
      </w:r>
    </w:p>
    <w:p>
      <w:pPr>
        <w:pStyle w:val="ListParagraph"/>
        <w:numPr>
          <w:ilvl w:val="0"/>
          <w:numId w:val="50"/>
        </w:numPr>
        <w:tabs>
          <w:tab w:pos="1130" w:val="left" w:leader="none"/>
          <w:tab w:pos="1134" w:val="left" w:leader="none"/>
        </w:tabs>
        <w:spacing w:line="240" w:lineRule="auto" w:before="253" w:after="0"/>
        <w:ind w:left="1134" w:right="980" w:hanging="567"/>
        <w:jc w:val="both"/>
        <w:rPr>
          <w:sz w:val="22"/>
        </w:rPr>
      </w:pPr>
      <w:r>
        <w:rPr>
          <w:sz w:val="22"/>
        </w:rPr>
        <w:t>De acuerdo con la información recabada durante la presente investigación, se pudo constatar que no se registraron importaciones durante el mes de marzo de 2026, es decir, durante</w:t>
      </w:r>
      <w:r>
        <w:rPr>
          <w:spacing w:val="-4"/>
          <w:sz w:val="22"/>
        </w:rPr>
        <w:t> </w:t>
      </w:r>
      <w:r>
        <w:rPr>
          <w:sz w:val="22"/>
        </w:rPr>
        <w:t>el</w:t>
      </w:r>
      <w:r>
        <w:rPr>
          <w:spacing w:val="-3"/>
          <w:sz w:val="22"/>
        </w:rPr>
        <w:t> </w:t>
      </w:r>
      <w:r>
        <w:rPr>
          <w:sz w:val="22"/>
        </w:rPr>
        <w:t>período</w:t>
      </w:r>
      <w:r>
        <w:rPr>
          <w:spacing w:val="-4"/>
          <w:sz w:val="22"/>
        </w:rPr>
        <w:t> </w:t>
      </w:r>
      <w:r>
        <w:rPr>
          <w:sz w:val="22"/>
        </w:rPr>
        <w:t>de</w:t>
      </w:r>
      <w:r>
        <w:rPr>
          <w:spacing w:val="-2"/>
          <w:sz w:val="22"/>
        </w:rPr>
        <w:t> </w:t>
      </w:r>
      <w:r>
        <w:rPr>
          <w:sz w:val="22"/>
        </w:rPr>
        <w:t>vigencia</w:t>
      </w:r>
      <w:r>
        <w:rPr>
          <w:spacing w:val="-2"/>
          <w:sz w:val="22"/>
        </w:rPr>
        <w:t> </w:t>
      </w:r>
      <w:r>
        <w:rPr>
          <w:sz w:val="22"/>
        </w:rPr>
        <w:t>de</w:t>
      </w:r>
      <w:r>
        <w:rPr>
          <w:spacing w:val="-2"/>
          <w:sz w:val="22"/>
        </w:rPr>
        <w:t> </w:t>
      </w:r>
      <w:r>
        <w:rPr>
          <w:sz w:val="22"/>
        </w:rPr>
        <w:t>la</w:t>
      </w:r>
      <w:r>
        <w:rPr>
          <w:spacing w:val="-4"/>
          <w:sz w:val="22"/>
        </w:rPr>
        <w:t> </w:t>
      </w:r>
      <w:r>
        <w:rPr>
          <w:sz w:val="22"/>
        </w:rPr>
        <w:t>medida</w:t>
      </w:r>
      <w:r>
        <w:rPr>
          <w:spacing w:val="-2"/>
          <w:sz w:val="22"/>
        </w:rPr>
        <w:t> </w:t>
      </w:r>
      <w:r>
        <w:rPr>
          <w:sz w:val="22"/>
        </w:rPr>
        <w:t>adoptada</w:t>
      </w:r>
      <w:r>
        <w:rPr>
          <w:spacing w:val="-4"/>
          <w:sz w:val="22"/>
        </w:rPr>
        <w:t> </w:t>
      </w:r>
      <w:r>
        <w:rPr>
          <w:sz w:val="22"/>
        </w:rPr>
        <w:t>mediante</w:t>
      </w:r>
      <w:r>
        <w:rPr>
          <w:spacing w:val="-4"/>
          <w:sz w:val="22"/>
        </w:rPr>
        <w:t> </w:t>
      </w:r>
      <w:r>
        <w:rPr>
          <w:sz w:val="22"/>
        </w:rPr>
        <w:t>el</w:t>
      </w:r>
      <w:r>
        <w:rPr>
          <w:spacing w:val="-3"/>
          <w:sz w:val="22"/>
        </w:rPr>
        <w:t> </w:t>
      </w:r>
      <w:r>
        <w:rPr>
          <w:sz w:val="22"/>
        </w:rPr>
        <w:t>Decreto</w:t>
      </w:r>
      <w:r>
        <w:rPr>
          <w:spacing w:val="-4"/>
          <w:sz w:val="22"/>
        </w:rPr>
        <w:t> </w:t>
      </w:r>
      <w:r>
        <w:rPr>
          <w:sz w:val="22"/>
        </w:rPr>
        <w:t>0170. En consecuencia, resulta posible verificar que dicha medida tuvo por efecto impedir (suspender o prohibir) las importaciones de arroz. Asimismo, la información analizada permite confirmar que el arroz ingresa a la República de Colombia principalmente por vía</w:t>
      </w:r>
      <w:r>
        <w:rPr>
          <w:spacing w:val="-9"/>
          <w:sz w:val="22"/>
        </w:rPr>
        <w:t> </w:t>
      </w:r>
      <w:r>
        <w:rPr>
          <w:sz w:val="22"/>
        </w:rPr>
        <w:t>terrestre,</w:t>
      </w:r>
      <w:r>
        <w:rPr>
          <w:spacing w:val="-8"/>
          <w:sz w:val="22"/>
        </w:rPr>
        <w:t> </w:t>
      </w:r>
      <w:r>
        <w:rPr>
          <w:sz w:val="22"/>
        </w:rPr>
        <w:t>a</w:t>
      </w:r>
      <w:r>
        <w:rPr>
          <w:spacing w:val="-6"/>
          <w:sz w:val="22"/>
        </w:rPr>
        <w:t> </w:t>
      </w:r>
      <w:r>
        <w:rPr>
          <w:sz w:val="22"/>
        </w:rPr>
        <w:t>través</w:t>
      </w:r>
      <w:r>
        <w:rPr>
          <w:spacing w:val="-6"/>
          <w:sz w:val="22"/>
        </w:rPr>
        <w:t> </w:t>
      </w:r>
      <w:r>
        <w:rPr>
          <w:sz w:val="22"/>
        </w:rPr>
        <w:t>de</w:t>
      </w:r>
      <w:r>
        <w:rPr>
          <w:spacing w:val="-12"/>
          <w:sz w:val="22"/>
        </w:rPr>
        <w:t> </w:t>
      </w:r>
      <w:r>
        <w:rPr>
          <w:sz w:val="22"/>
        </w:rPr>
        <w:t>la</w:t>
      </w:r>
      <w:r>
        <w:rPr>
          <w:spacing w:val="-6"/>
          <w:sz w:val="22"/>
        </w:rPr>
        <w:t> </w:t>
      </w:r>
      <w:r>
        <w:rPr>
          <w:sz w:val="22"/>
        </w:rPr>
        <w:t>Aduana</w:t>
      </w:r>
      <w:r>
        <w:rPr>
          <w:spacing w:val="-6"/>
          <w:sz w:val="22"/>
        </w:rPr>
        <w:t> </w:t>
      </w:r>
      <w:r>
        <w:rPr>
          <w:sz w:val="22"/>
        </w:rPr>
        <w:t>de</w:t>
      </w:r>
      <w:r>
        <w:rPr>
          <w:spacing w:val="-7"/>
          <w:sz w:val="22"/>
        </w:rPr>
        <w:t> </w:t>
      </w:r>
      <w:r>
        <w:rPr>
          <w:sz w:val="22"/>
        </w:rPr>
        <w:t>Ipiales,</w:t>
      </w:r>
      <w:r>
        <w:rPr>
          <w:spacing w:val="-5"/>
          <w:sz w:val="22"/>
        </w:rPr>
        <w:t> </w:t>
      </w:r>
      <w:r>
        <w:rPr>
          <w:sz w:val="22"/>
        </w:rPr>
        <w:t>lo</w:t>
      </w:r>
      <w:r>
        <w:rPr>
          <w:spacing w:val="-6"/>
          <w:sz w:val="22"/>
        </w:rPr>
        <w:t> </w:t>
      </w:r>
      <w:r>
        <w:rPr>
          <w:sz w:val="22"/>
        </w:rPr>
        <w:t>cual</w:t>
      </w:r>
      <w:r>
        <w:rPr>
          <w:spacing w:val="-7"/>
          <w:sz w:val="22"/>
        </w:rPr>
        <w:t> </w:t>
      </w:r>
      <w:r>
        <w:rPr>
          <w:sz w:val="22"/>
        </w:rPr>
        <w:t>refuerza</w:t>
      </w:r>
      <w:r>
        <w:rPr>
          <w:spacing w:val="-6"/>
          <w:sz w:val="22"/>
        </w:rPr>
        <w:t> </w:t>
      </w:r>
      <w:r>
        <w:rPr>
          <w:sz w:val="22"/>
        </w:rPr>
        <w:t>el</w:t>
      </w:r>
      <w:r>
        <w:rPr>
          <w:spacing w:val="-7"/>
          <w:sz w:val="22"/>
        </w:rPr>
        <w:t> </w:t>
      </w:r>
      <w:r>
        <w:rPr>
          <w:sz w:val="22"/>
        </w:rPr>
        <w:t>vínculo</w:t>
      </w:r>
      <w:r>
        <w:rPr>
          <w:spacing w:val="-6"/>
          <w:sz w:val="22"/>
        </w:rPr>
        <w:t> </w:t>
      </w:r>
      <w:r>
        <w:rPr>
          <w:sz w:val="22"/>
        </w:rPr>
        <w:t>directo</w:t>
      </w:r>
      <w:r>
        <w:rPr>
          <w:spacing w:val="-6"/>
          <w:sz w:val="22"/>
        </w:rPr>
        <w:t> </w:t>
      </w:r>
      <w:r>
        <w:rPr>
          <w:sz w:val="22"/>
        </w:rPr>
        <w:t>entre</w:t>
      </w:r>
      <w:r>
        <w:rPr>
          <w:spacing w:val="-6"/>
          <w:sz w:val="22"/>
        </w:rPr>
        <w:t> </w:t>
      </w:r>
      <w:r>
        <w:rPr>
          <w:sz w:val="22"/>
        </w:rPr>
        <w:t>la restricción aplicada y la paralización del flujo comercial de dicho producto.</w:t>
      </w:r>
    </w:p>
    <w:p>
      <w:pPr>
        <w:pStyle w:val="BodyText"/>
        <w:spacing w:before="1"/>
      </w:pPr>
    </w:p>
    <w:p>
      <w:pPr>
        <w:pStyle w:val="ListParagraph"/>
        <w:numPr>
          <w:ilvl w:val="0"/>
          <w:numId w:val="98"/>
        </w:numPr>
        <w:tabs>
          <w:tab w:pos="1134" w:val="left" w:leader="none"/>
        </w:tabs>
        <w:spacing w:line="240" w:lineRule="auto" w:before="0" w:after="0"/>
        <w:ind w:left="1134" w:right="0" w:hanging="566"/>
        <w:jc w:val="left"/>
        <w:rPr>
          <w:rFonts w:ascii="Arial" w:hAnsi="Arial"/>
          <w:i/>
          <w:sz w:val="22"/>
        </w:rPr>
      </w:pPr>
      <w:r>
        <w:rPr>
          <w:rFonts w:ascii="Arial" w:hAnsi="Arial"/>
          <w:i/>
          <w:sz w:val="22"/>
          <w:u w:val="single"/>
        </w:rPr>
        <w:t>Análisis</w:t>
      </w:r>
      <w:r>
        <w:rPr>
          <w:rFonts w:ascii="Arial" w:hAnsi="Arial"/>
          <w:i/>
          <w:spacing w:val="-7"/>
          <w:sz w:val="22"/>
          <w:u w:val="single"/>
        </w:rPr>
        <w:t> </w:t>
      </w:r>
      <w:r>
        <w:rPr>
          <w:rFonts w:ascii="Arial" w:hAnsi="Arial"/>
          <w:i/>
          <w:sz w:val="22"/>
          <w:u w:val="single"/>
        </w:rPr>
        <w:t>para</w:t>
      </w:r>
      <w:r>
        <w:rPr>
          <w:rFonts w:ascii="Arial" w:hAnsi="Arial"/>
          <w:i/>
          <w:spacing w:val="-6"/>
          <w:sz w:val="22"/>
          <w:u w:val="single"/>
        </w:rPr>
        <w:t> </w:t>
      </w:r>
      <w:r>
        <w:rPr>
          <w:rFonts w:ascii="Arial" w:hAnsi="Arial"/>
          <w:i/>
          <w:sz w:val="22"/>
          <w:u w:val="single"/>
        </w:rPr>
        <w:t>determinar</w:t>
      </w:r>
      <w:r>
        <w:rPr>
          <w:rFonts w:ascii="Arial" w:hAnsi="Arial"/>
          <w:i/>
          <w:spacing w:val="-6"/>
          <w:sz w:val="22"/>
          <w:u w:val="single"/>
        </w:rPr>
        <w:t> </w:t>
      </w:r>
      <w:r>
        <w:rPr>
          <w:rFonts w:ascii="Arial" w:hAnsi="Arial"/>
          <w:i/>
          <w:sz w:val="22"/>
          <w:u w:val="single"/>
        </w:rPr>
        <w:t>si</w:t>
      </w:r>
      <w:r>
        <w:rPr>
          <w:rFonts w:ascii="Arial" w:hAnsi="Arial"/>
          <w:i/>
          <w:spacing w:val="-6"/>
          <w:sz w:val="22"/>
          <w:u w:val="single"/>
        </w:rPr>
        <w:t> </w:t>
      </w:r>
      <w:r>
        <w:rPr>
          <w:rFonts w:ascii="Arial" w:hAnsi="Arial"/>
          <w:i/>
          <w:sz w:val="22"/>
          <w:u w:val="single"/>
        </w:rPr>
        <w:t>la</w:t>
      </w:r>
      <w:r>
        <w:rPr>
          <w:rFonts w:ascii="Arial" w:hAnsi="Arial"/>
          <w:i/>
          <w:spacing w:val="-5"/>
          <w:sz w:val="22"/>
          <w:u w:val="single"/>
        </w:rPr>
        <w:t> </w:t>
      </w:r>
      <w:r>
        <w:rPr>
          <w:rFonts w:ascii="Arial" w:hAnsi="Arial"/>
          <w:i/>
          <w:sz w:val="22"/>
          <w:u w:val="single"/>
        </w:rPr>
        <w:t>medida</w:t>
      </w:r>
      <w:r>
        <w:rPr>
          <w:rFonts w:ascii="Arial" w:hAnsi="Arial"/>
          <w:i/>
          <w:spacing w:val="-3"/>
          <w:sz w:val="22"/>
          <w:u w:val="single"/>
        </w:rPr>
        <w:t> </w:t>
      </w:r>
      <w:r>
        <w:rPr>
          <w:rFonts w:ascii="Arial" w:hAnsi="Arial"/>
          <w:i/>
          <w:sz w:val="22"/>
          <w:u w:val="single"/>
        </w:rPr>
        <w:t>objeto</w:t>
      </w:r>
      <w:r>
        <w:rPr>
          <w:rFonts w:ascii="Arial" w:hAnsi="Arial"/>
          <w:i/>
          <w:spacing w:val="-6"/>
          <w:sz w:val="22"/>
          <w:u w:val="single"/>
        </w:rPr>
        <w:t> </w:t>
      </w:r>
      <w:r>
        <w:rPr>
          <w:rFonts w:ascii="Arial" w:hAnsi="Arial"/>
          <w:i/>
          <w:sz w:val="22"/>
          <w:u w:val="single"/>
        </w:rPr>
        <w:t>de</w:t>
      </w:r>
      <w:r>
        <w:rPr>
          <w:rFonts w:ascii="Arial" w:hAnsi="Arial"/>
          <w:i/>
          <w:spacing w:val="-7"/>
          <w:sz w:val="22"/>
          <w:u w:val="single"/>
        </w:rPr>
        <w:t> </w:t>
      </w:r>
      <w:r>
        <w:rPr>
          <w:rFonts w:ascii="Arial" w:hAnsi="Arial"/>
          <w:i/>
          <w:sz w:val="22"/>
          <w:u w:val="single"/>
        </w:rPr>
        <w:t>investigación</w:t>
      </w:r>
      <w:r>
        <w:rPr>
          <w:rFonts w:ascii="Arial" w:hAnsi="Arial"/>
          <w:i/>
          <w:spacing w:val="-6"/>
          <w:sz w:val="22"/>
          <w:u w:val="single"/>
        </w:rPr>
        <w:t> </w:t>
      </w:r>
      <w:r>
        <w:rPr>
          <w:rFonts w:ascii="Arial" w:hAnsi="Arial"/>
          <w:i/>
          <w:sz w:val="22"/>
          <w:u w:val="single"/>
        </w:rPr>
        <w:t>dificulta</w:t>
      </w:r>
      <w:r>
        <w:rPr>
          <w:rFonts w:ascii="Arial" w:hAnsi="Arial"/>
          <w:i/>
          <w:spacing w:val="-7"/>
          <w:sz w:val="22"/>
          <w:u w:val="single"/>
        </w:rPr>
        <w:t> </w:t>
      </w:r>
      <w:r>
        <w:rPr>
          <w:rFonts w:ascii="Arial" w:hAnsi="Arial"/>
          <w:i/>
          <w:sz w:val="22"/>
          <w:u w:val="single"/>
        </w:rPr>
        <w:t>las</w:t>
      </w:r>
      <w:r>
        <w:rPr>
          <w:rFonts w:ascii="Arial" w:hAnsi="Arial"/>
          <w:i/>
          <w:spacing w:val="-5"/>
          <w:sz w:val="22"/>
          <w:u w:val="single"/>
        </w:rPr>
        <w:t> </w:t>
      </w:r>
      <w:r>
        <w:rPr>
          <w:rFonts w:ascii="Arial" w:hAnsi="Arial"/>
          <w:i/>
          <w:spacing w:val="-2"/>
          <w:sz w:val="22"/>
          <w:u w:val="single"/>
        </w:rPr>
        <w:t>importaciones</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82" w:hanging="567"/>
        <w:jc w:val="both"/>
        <w:rPr>
          <w:sz w:val="22"/>
        </w:rPr>
      </w:pPr>
      <w:r>
        <w:rPr>
          <w:sz w:val="22"/>
        </w:rPr>
        <w:t>La conclusión planteada en el acápite anterior permite verificar que las importaciones de arroz ingresan por vía terrestre (aduana de Ipiales) y que, por tanto, dicho ingreso quedaría suspendido debido a la restricción establecida.</w:t>
      </w:r>
    </w:p>
    <w:p>
      <w:pPr>
        <w:pStyle w:val="ListParagraph"/>
        <w:numPr>
          <w:ilvl w:val="0"/>
          <w:numId w:val="50"/>
        </w:numPr>
        <w:tabs>
          <w:tab w:pos="1130" w:val="left" w:leader="none"/>
          <w:tab w:pos="1134" w:val="left" w:leader="none"/>
        </w:tabs>
        <w:spacing w:line="240" w:lineRule="auto" w:before="252" w:after="0"/>
        <w:ind w:left="1134" w:right="974" w:hanging="567"/>
        <w:jc w:val="both"/>
        <w:rPr>
          <w:sz w:val="22"/>
        </w:rPr>
      </w:pPr>
      <w:r>
        <w:rPr>
          <w:sz w:val="22"/>
        </w:rPr>
        <w:t>Por tanto, a efectos de analizar el segundo factor establecido por la jurisprudencia del TJCAN, esto es, determinar si la medida dificulta las importaciones, resulta</w:t>
      </w:r>
      <w:r>
        <w:rPr>
          <w:spacing w:val="40"/>
          <w:sz w:val="22"/>
        </w:rPr>
        <w:t> </w:t>
      </w:r>
      <w:r>
        <w:rPr>
          <w:sz w:val="22"/>
        </w:rPr>
        <w:t>necesario comparar</w:t>
      </w:r>
      <w:r>
        <w:rPr>
          <w:spacing w:val="-11"/>
          <w:sz w:val="22"/>
        </w:rPr>
        <w:t> </w:t>
      </w:r>
      <w:r>
        <w:rPr>
          <w:sz w:val="22"/>
        </w:rPr>
        <w:t>los</w:t>
      </w:r>
      <w:r>
        <w:rPr>
          <w:spacing w:val="-11"/>
          <w:sz w:val="22"/>
        </w:rPr>
        <w:t> </w:t>
      </w:r>
      <w:r>
        <w:rPr>
          <w:sz w:val="22"/>
        </w:rPr>
        <w:t>costos</w:t>
      </w:r>
      <w:r>
        <w:rPr>
          <w:spacing w:val="-11"/>
          <w:sz w:val="22"/>
        </w:rPr>
        <w:t> </w:t>
      </w:r>
      <w:r>
        <w:rPr>
          <w:sz w:val="22"/>
        </w:rPr>
        <w:t>en</w:t>
      </w:r>
      <w:r>
        <w:rPr>
          <w:spacing w:val="-12"/>
          <w:sz w:val="22"/>
        </w:rPr>
        <w:t> </w:t>
      </w:r>
      <w:r>
        <w:rPr>
          <w:sz w:val="22"/>
        </w:rPr>
        <w:t>los</w:t>
      </w:r>
      <w:r>
        <w:rPr>
          <w:spacing w:val="-11"/>
          <w:sz w:val="22"/>
        </w:rPr>
        <w:t> </w:t>
      </w:r>
      <w:r>
        <w:rPr>
          <w:sz w:val="22"/>
        </w:rPr>
        <w:t>que</w:t>
      </w:r>
      <w:r>
        <w:rPr>
          <w:spacing w:val="-11"/>
          <w:sz w:val="22"/>
        </w:rPr>
        <w:t> </w:t>
      </w:r>
      <w:r>
        <w:rPr>
          <w:sz w:val="22"/>
        </w:rPr>
        <w:t>incurren,</w:t>
      </w:r>
      <w:r>
        <w:rPr>
          <w:spacing w:val="-11"/>
          <w:sz w:val="22"/>
        </w:rPr>
        <w:t> </w:t>
      </w:r>
      <w:r>
        <w:rPr>
          <w:sz w:val="22"/>
        </w:rPr>
        <w:t>o</w:t>
      </w:r>
      <w:r>
        <w:rPr>
          <w:spacing w:val="-11"/>
          <w:sz w:val="22"/>
        </w:rPr>
        <w:t> </w:t>
      </w:r>
      <w:r>
        <w:rPr>
          <w:sz w:val="22"/>
        </w:rPr>
        <w:t>habrían</w:t>
      </w:r>
      <w:r>
        <w:rPr>
          <w:spacing w:val="-11"/>
          <w:sz w:val="22"/>
        </w:rPr>
        <w:t> </w:t>
      </w:r>
      <w:r>
        <w:rPr>
          <w:sz w:val="22"/>
        </w:rPr>
        <w:t>incurrido</w:t>
      </w:r>
      <w:r>
        <w:rPr>
          <w:spacing w:val="-12"/>
          <w:sz w:val="22"/>
        </w:rPr>
        <w:t> </w:t>
      </w:r>
      <w:r>
        <w:rPr>
          <w:sz w:val="22"/>
        </w:rPr>
        <w:t>los</w:t>
      </w:r>
      <w:r>
        <w:rPr>
          <w:spacing w:val="-11"/>
          <w:sz w:val="22"/>
        </w:rPr>
        <w:t> </w:t>
      </w:r>
      <w:r>
        <w:rPr>
          <w:sz w:val="22"/>
        </w:rPr>
        <w:t>operadores</w:t>
      </w:r>
      <w:r>
        <w:rPr>
          <w:spacing w:val="-11"/>
          <w:sz w:val="22"/>
        </w:rPr>
        <w:t> </w:t>
      </w:r>
      <w:r>
        <w:rPr>
          <w:sz w:val="22"/>
        </w:rPr>
        <w:t>comerciales al</w:t>
      </w:r>
      <w:r>
        <w:rPr>
          <w:spacing w:val="-16"/>
          <w:sz w:val="22"/>
        </w:rPr>
        <w:t> </w:t>
      </w:r>
      <w:r>
        <w:rPr>
          <w:sz w:val="22"/>
        </w:rPr>
        <w:t>transportar</w:t>
      </w:r>
      <w:r>
        <w:rPr>
          <w:spacing w:val="-15"/>
          <w:sz w:val="22"/>
        </w:rPr>
        <w:t> </w:t>
      </w:r>
      <w:r>
        <w:rPr>
          <w:sz w:val="22"/>
        </w:rPr>
        <w:t>los</w:t>
      </w:r>
      <w:r>
        <w:rPr>
          <w:spacing w:val="-15"/>
          <w:sz w:val="22"/>
        </w:rPr>
        <w:t> </w:t>
      </w:r>
      <w:r>
        <w:rPr>
          <w:sz w:val="22"/>
        </w:rPr>
        <w:t>productos</w:t>
      </w:r>
      <w:r>
        <w:rPr>
          <w:spacing w:val="-16"/>
          <w:sz w:val="22"/>
        </w:rPr>
        <w:t> </w:t>
      </w:r>
      <w:r>
        <w:rPr>
          <w:sz w:val="22"/>
        </w:rPr>
        <w:t>provenientes</w:t>
      </w:r>
      <w:r>
        <w:rPr>
          <w:spacing w:val="-15"/>
          <w:sz w:val="22"/>
        </w:rPr>
        <w:t> </w:t>
      </w:r>
      <w:r>
        <w:rPr>
          <w:sz w:val="22"/>
        </w:rPr>
        <w:t>de</w:t>
      </w:r>
      <w:r>
        <w:rPr>
          <w:spacing w:val="-15"/>
          <w:sz w:val="22"/>
        </w:rPr>
        <w:t> </w:t>
      </w:r>
      <w:r>
        <w:rPr>
          <w:sz w:val="22"/>
        </w:rPr>
        <w:t>la</w:t>
      </w:r>
      <w:r>
        <w:rPr>
          <w:spacing w:val="-15"/>
          <w:sz w:val="22"/>
        </w:rPr>
        <w:t> </w:t>
      </w:r>
      <w:r>
        <w:rPr>
          <w:sz w:val="22"/>
        </w:rPr>
        <w:t>República</w:t>
      </w:r>
      <w:r>
        <w:rPr>
          <w:spacing w:val="-16"/>
          <w:sz w:val="22"/>
        </w:rPr>
        <w:t> </w:t>
      </w:r>
      <w:r>
        <w:rPr>
          <w:sz w:val="22"/>
        </w:rPr>
        <w:t>del</w:t>
      </w:r>
      <w:r>
        <w:rPr>
          <w:spacing w:val="-15"/>
          <w:sz w:val="22"/>
        </w:rPr>
        <w:t> </w:t>
      </w:r>
      <w:r>
        <w:rPr>
          <w:sz w:val="22"/>
        </w:rPr>
        <w:t>Ecuador</w:t>
      </w:r>
      <w:r>
        <w:rPr>
          <w:spacing w:val="-15"/>
          <w:sz w:val="22"/>
        </w:rPr>
        <w:t> </w:t>
      </w:r>
      <w:r>
        <w:rPr>
          <w:sz w:val="22"/>
        </w:rPr>
        <w:t>hacia</w:t>
      </w:r>
      <w:r>
        <w:rPr>
          <w:spacing w:val="-15"/>
          <w:sz w:val="22"/>
        </w:rPr>
        <w:t> </w:t>
      </w:r>
      <w:r>
        <w:rPr>
          <w:sz w:val="22"/>
        </w:rPr>
        <w:t>la</w:t>
      </w:r>
      <w:r>
        <w:rPr>
          <w:spacing w:val="-14"/>
          <w:sz w:val="22"/>
        </w:rPr>
        <w:t> </w:t>
      </w:r>
      <w:r>
        <w:rPr>
          <w:sz w:val="22"/>
        </w:rPr>
        <w:t>República de Colombia, utilizando, por una parte,</w:t>
      </w:r>
      <w:r>
        <w:rPr>
          <w:spacing w:val="40"/>
          <w:sz w:val="22"/>
        </w:rPr>
        <w:t> </w:t>
      </w:r>
      <w:r>
        <w:rPr>
          <w:sz w:val="22"/>
        </w:rPr>
        <w:t>los puertos y pasos habilitados conforme el Decreto 0170, y,</w:t>
      </w:r>
      <w:r>
        <w:rPr>
          <w:spacing w:val="40"/>
          <w:sz w:val="22"/>
        </w:rPr>
        <w:t> </w:t>
      </w:r>
      <w:r>
        <w:rPr>
          <w:sz w:val="22"/>
        </w:rPr>
        <w:t>por otra, aquellos puntos de ingreso que no se encuentran comprendidos en el ámbito de aplicación de dicha norma.</w:t>
      </w:r>
    </w:p>
    <w:p>
      <w:pPr>
        <w:pStyle w:val="ListParagraph"/>
        <w:numPr>
          <w:ilvl w:val="0"/>
          <w:numId w:val="50"/>
        </w:numPr>
        <w:tabs>
          <w:tab w:pos="1130" w:val="left" w:leader="none"/>
          <w:tab w:pos="1134" w:val="left" w:leader="none"/>
        </w:tabs>
        <w:spacing w:line="240" w:lineRule="auto" w:before="253" w:after="0"/>
        <w:ind w:left="1134" w:right="979" w:hanging="567"/>
        <w:jc w:val="both"/>
        <w:rPr>
          <w:rFonts w:ascii="Arial" w:hAnsi="Arial"/>
          <w:i/>
          <w:sz w:val="22"/>
        </w:rPr>
      </w:pPr>
      <w:r>
        <w:rPr>
          <w:sz w:val="22"/>
        </w:rPr>
        <w:t>El análisis comparativo de costos</w:t>
      </w:r>
      <w:r>
        <w:rPr>
          <w:spacing w:val="-1"/>
          <w:sz w:val="22"/>
        </w:rPr>
        <w:t> </w:t>
      </w:r>
      <w:r>
        <w:rPr>
          <w:sz w:val="22"/>
        </w:rPr>
        <w:t>consta en</w:t>
      </w:r>
      <w:r>
        <w:rPr>
          <w:spacing w:val="-2"/>
          <w:sz w:val="22"/>
        </w:rPr>
        <w:t> </w:t>
      </w:r>
      <w:r>
        <w:rPr>
          <w:sz w:val="22"/>
        </w:rPr>
        <w:t>el</w:t>
      </w:r>
      <w:r>
        <w:rPr>
          <w:spacing w:val="-1"/>
          <w:sz w:val="22"/>
        </w:rPr>
        <w:t> </w:t>
      </w:r>
      <w:r>
        <w:rPr>
          <w:sz w:val="22"/>
        </w:rPr>
        <w:t>informe presentado por la</w:t>
      </w:r>
      <w:r>
        <w:rPr>
          <w:spacing w:val="-2"/>
          <w:sz w:val="22"/>
        </w:rPr>
        <w:t> </w:t>
      </w:r>
      <w:r>
        <w:rPr>
          <w:sz w:val="22"/>
        </w:rPr>
        <w:t>República del Ecuador</w:t>
      </w:r>
      <w:hyperlink w:history="true" w:anchor="_bookmark157">
        <w:r>
          <w:rPr>
            <w:sz w:val="22"/>
            <w:vertAlign w:val="superscript"/>
          </w:rPr>
          <w:t>90</w:t>
        </w:r>
        <w:r>
          <w:rPr>
            <w:sz w:val="22"/>
            <w:vertAlign w:val="baseline"/>
          </w:rPr>
          <w:t>,</w:t>
        </w:r>
      </w:hyperlink>
      <w:r>
        <w:rPr>
          <w:sz w:val="22"/>
          <w:vertAlign w:val="baseline"/>
        </w:rPr>
        <w:t> en el</w:t>
      </w:r>
      <w:r>
        <w:rPr>
          <w:spacing w:val="-2"/>
          <w:sz w:val="22"/>
          <w:vertAlign w:val="baseline"/>
        </w:rPr>
        <w:t> </w:t>
      </w:r>
      <w:r>
        <w:rPr>
          <w:sz w:val="22"/>
          <w:vertAlign w:val="baseline"/>
        </w:rPr>
        <w:t>cual se concluye que “</w:t>
      </w:r>
      <w:r>
        <w:rPr>
          <w:rFonts w:ascii="Arial" w:hAnsi="Arial"/>
          <w:i/>
          <w:sz w:val="22"/>
          <w:vertAlign w:val="baseline"/>
        </w:rPr>
        <w:t>[e]sta restricción, obligará</w:t>
      </w:r>
      <w:r>
        <w:rPr>
          <w:rFonts w:ascii="Arial" w:hAnsi="Arial"/>
          <w:i/>
          <w:spacing w:val="-1"/>
          <w:sz w:val="22"/>
          <w:vertAlign w:val="baseline"/>
        </w:rPr>
        <w:t> </w:t>
      </w:r>
      <w:r>
        <w:rPr>
          <w:rFonts w:ascii="Arial" w:hAnsi="Arial"/>
          <w:i/>
          <w:sz w:val="22"/>
          <w:vertAlign w:val="baseline"/>
        </w:rPr>
        <w:t>a Ecuador a</w:t>
      </w:r>
      <w:r>
        <w:rPr>
          <w:rFonts w:ascii="Arial" w:hAnsi="Arial"/>
          <w:i/>
          <w:spacing w:val="-1"/>
          <w:sz w:val="22"/>
          <w:vertAlign w:val="baseline"/>
        </w:rPr>
        <w:t> </w:t>
      </w:r>
      <w:r>
        <w:rPr>
          <w:rFonts w:ascii="Arial" w:hAnsi="Arial"/>
          <w:i/>
          <w:sz w:val="22"/>
          <w:vertAlign w:val="baseline"/>
        </w:rPr>
        <w:t>exportar estos</w:t>
      </w:r>
      <w:r>
        <w:rPr>
          <w:rFonts w:ascii="Arial" w:hAnsi="Arial"/>
          <w:i/>
          <w:spacing w:val="-16"/>
          <w:sz w:val="22"/>
          <w:vertAlign w:val="baseline"/>
        </w:rPr>
        <w:t> </w:t>
      </w:r>
      <w:r>
        <w:rPr>
          <w:rFonts w:ascii="Arial" w:hAnsi="Arial"/>
          <w:i/>
          <w:sz w:val="22"/>
          <w:vertAlign w:val="baseline"/>
        </w:rPr>
        <w:t>productos</w:t>
      </w:r>
      <w:r>
        <w:rPr>
          <w:rFonts w:ascii="Arial" w:hAnsi="Arial"/>
          <w:i/>
          <w:spacing w:val="-15"/>
          <w:sz w:val="22"/>
          <w:vertAlign w:val="baseline"/>
        </w:rPr>
        <w:t> </w:t>
      </w:r>
      <w:r>
        <w:rPr>
          <w:rFonts w:ascii="Arial" w:hAnsi="Arial"/>
          <w:i/>
          <w:sz w:val="22"/>
          <w:vertAlign w:val="baseline"/>
        </w:rPr>
        <w:t>vía</w:t>
      </w:r>
      <w:r>
        <w:rPr>
          <w:rFonts w:ascii="Arial" w:hAnsi="Arial"/>
          <w:i/>
          <w:spacing w:val="-15"/>
          <w:sz w:val="22"/>
          <w:vertAlign w:val="baseline"/>
        </w:rPr>
        <w:t> </w:t>
      </w:r>
      <w:r>
        <w:rPr>
          <w:rFonts w:ascii="Arial" w:hAnsi="Arial"/>
          <w:i/>
          <w:sz w:val="22"/>
          <w:vertAlign w:val="baseline"/>
        </w:rPr>
        <w:t>marítima</w:t>
      </w:r>
      <w:r>
        <w:rPr>
          <w:rFonts w:ascii="Arial" w:hAnsi="Arial"/>
          <w:i/>
          <w:spacing w:val="-16"/>
          <w:sz w:val="22"/>
          <w:vertAlign w:val="baseline"/>
        </w:rPr>
        <w:t> </w:t>
      </w:r>
      <w:r>
        <w:rPr>
          <w:rFonts w:ascii="Arial" w:hAnsi="Arial"/>
          <w:i/>
          <w:sz w:val="22"/>
          <w:vertAlign w:val="baseline"/>
        </w:rPr>
        <w:t>incrementando</w:t>
      </w:r>
      <w:r>
        <w:rPr>
          <w:rFonts w:ascii="Arial" w:hAnsi="Arial"/>
          <w:i/>
          <w:spacing w:val="-15"/>
          <w:sz w:val="22"/>
          <w:vertAlign w:val="baseline"/>
        </w:rPr>
        <w:t> </w:t>
      </w:r>
      <w:r>
        <w:rPr>
          <w:rFonts w:ascii="Arial" w:hAnsi="Arial"/>
          <w:i/>
          <w:sz w:val="22"/>
          <w:vertAlign w:val="baseline"/>
        </w:rPr>
        <w:t>los</w:t>
      </w:r>
      <w:r>
        <w:rPr>
          <w:rFonts w:ascii="Arial" w:hAnsi="Arial"/>
          <w:i/>
          <w:spacing w:val="-15"/>
          <w:sz w:val="22"/>
          <w:vertAlign w:val="baseline"/>
        </w:rPr>
        <w:t> </w:t>
      </w:r>
      <w:r>
        <w:rPr>
          <w:rFonts w:ascii="Arial" w:hAnsi="Arial"/>
          <w:i/>
          <w:sz w:val="22"/>
          <w:vertAlign w:val="baseline"/>
        </w:rPr>
        <w:t>precios</w:t>
      </w:r>
      <w:r>
        <w:rPr>
          <w:rFonts w:ascii="Arial" w:hAnsi="Arial"/>
          <w:i/>
          <w:spacing w:val="-15"/>
          <w:sz w:val="22"/>
          <w:vertAlign w:val="baseline"/>
        </w:rPr>
        <w:t> </w:t>
      </w:r>
      <w:r>
        <w:rPr>
          <w:rFonts w:ascii="Arial" w:hAnsi="Arial"/>
          <w:i/>
          <w:sz w:val="22"/>
          <w:vertAlign w:val="baseline"/>
        </w:rPr>
        <w:t>de</w:t>
      </w:r>
      <w:r>
        <w:rPr>
          <w:rFonts w:ascii="Arial" w:hAnsi="Arial"/>
          <w:i/>
          <w:spacing w:val="-16"/>
          <w:sz w:val="22"/>
          <w:vertAlign w:val="baseline"/>
        </w:rPr>
        <w:t> </w:t>
      </w:r>
      <w:r>
        <w:rPr>
          <w:rFonts w:ascii="Arial" w:hAnsi="Arial"/>
          <w:i/>
          <w:sz w:val="22"/>
          <w:vertAlign w:val="baseline"/>
        </w:rPr>
        <w:t>transporte</w:t>
      </w:r>
      <w:r>
        <w:rPr>
          <w:rFonts w:ascii="Arial" w:hAnsi="Arial"/>
          <w:i/>
          <w:spacing w:val="-15"/>
          <w:sz w:val="22"/>
          <w:vertAlign w:val="baseline"/>
        </w:rPr>
        <w:t> </w:t>
      </w:r>
      <w:r>
        <w:rPr>
          <w:rFonts w:ascii="Arial" w:hAnsi="Arial"/>
          <w:i/>
          <w:sz w:val="22"/>
          <w:vertAlign w:val="baseline"/>
        </w:rPr>
        <w:t>aproximadamente en 58% considerando el ejemplo incluido dentro de este informe. Es importante mencionar</w:t>
      </w:r>
      <w:r>
        <w:rPr>
          <w:rFonts w:ascii="Arial" w:hAnsi="Arial"/>
          <w:i/>
          <w:spacing w:val="-2"/>
          <w:sz w:val="22"/>
          <w:vertAlign w:val="baseline"/>
        </w:rPr>
        <w:t> </w:t>
      </w:r>
      <w:r>
        <w:rPr>
          <w:rFonts w:ascii="Arial" w:hAnsi="Arial"/>
          <w:i/>
          <w:sz w:val="22"/>
          <w:vertAlign w:val="baseline"/>
        </w:rPr>
        <w:t>que</w:t>
      </w:r>
      <w:r>
        <w:rPr>
          <w:rFonts w:ascii="Arial" w:hAnsi="Arial"/>
          <w:i/>
          <w:spacing w:val="-3"/>
          <w:sz w:val="22"/>
          <w:vertAlign w:val="baseline"/>
        </w:rPr>
        <w:t> </w:t>
      </w:r>
      <w:r>
        <w:rPr>
          <w:rFonts w:ascii="Arial" w:hAnsi="Arial"/>
          <w:i/>
          <w:sz w:val="22"/>
          <w:vertAlign w:val="baseline"/>
        </w:rPr>
        <w:t>los precios del</w:t>
      </w:r>
      <w:r>
        <w:rPr>
          <w:rFonts w:ascii="Arial" w:hAnsi="Arial"/>
          <w:i/>
          <w:spacing w:val="-3"/>
          <w:sz w:val="22"/>
          <w:vertAlign w:val="baseline"/>
        </w:rPr>
        <w:t> </w:t>
      </w:r>
      <w:r>
        <w:rPr>
          <w:rFonts w:ascii="Arial" w:hAnsi="Arial"/>
          <w:i/>
          <w:sz w:val="22"/>
          <w:vertAlign w:val="baseline"/>
        </w:rPr>
        <w:t>transporte</w:t>
      </w:r>
      <w:r>
        <w:rPr>
          <w:rFonts w:ascii="Arial" w:hAnsi="Arial"/>
          <w:i/>
          <w:spacing w:val="-3"/>
          <w:sz w:val="22"/>
          <w:vertAlign w:val="baseline"/>
        </w:rPr>
        <w:t> </w:t>
      </w:r>
      <w:r>
        <w:rPr>
          <w:rFonts w:ascii="Arial" w:hAnsi="Arial"/>
          <w:i/>
          <w:sz w:val="22"/>
          <w:vertAlign w:val="baseline"/>
        </w:rPr>
        <w:t>fluctúan constantemente</w:t>
      </w:r>
      <w:r>
        <w:rPr>
          <w:rFonts w:ascii="Arial" w:hAnsi="Arial"/>
          <w:i/>
          <w:spacing w:val="-3"/>
          <w:sz w:val="22"/>
          <w:vertAlign w:val="baseline"/>
        </w:rPr>
        <w:t> </w:t>
      </w:r>
      <w:r>
        <w:rPr>
          <w:rFonts w:ascii="Arial" w:hAnsi="Arial"/>
          <w:i/>
          <w:sz w:val="22"/>
          <w:vertAlign w:val="baseline"/>
        </w:rPr>
        <w:t>y</w:t>
      </w:r>
      <w:r>
        <w:rPr>
          <w:rFonts w:ascii="Arial" w:hAnsi="Arial"/>
          <w:i/>
          <w:spacing w:val="-3"/>
          <w:sz w:val="22"/>
          <w:vertAlign w:val="baseline"/>
        </w:rPr>
        <w:t> </w:t>
      </w:r>
      <w:r>
        <w:rPr>
          <w:rFonts w:ascii="Arial" w:hAnsi="Arial"/>
          <w:i/>
          <w:sz w:val="22"/>
          <w:vertAlign w:val="baseline"/>
        </w:rPr>
        <w:t>dependen también del</w:t>
      </w:r>
      <w:r>
        <w:rPr>
          <w:rFonts w:ascii="Arial" w:hAnsi="Arial"/>
          <w:i/>
          <w:spacing w:val="-10"/>
          <w:sz w:val="22"/>
          <w:vertAlign w:val="baseline"/>
        </w:rPr>
        <w:t> </w:t>
      </w:r>
      <w:r>
        <w:rPr>
          <w:rFonts w:ascii="Arial" w:hAnsi="Arial"/>
          <w:i/>
          <w:sz w:val="22"/>
          <w:vertAlign w:val="baseline"/>
        </w:rPr>
        <w:t>tipo</w:t>
      </w:r>
      <w:r>
        <w:rPr>
          <w:rFonts w:ascii="Arial" w:hAnsi="Arial"/>
          <w:i/>
          <w:spacing w:val="-12"/>
          <w:sz w:val="22"/>
          <w:vertAlign w:val="baseline"/>
        </w:rPr>
        <w:t> </w:t>
      </w:r>
      <w:r>
        <w:rPr>
          <w:rFonts w:ascii="Arial" w:hAnsi="Arial"/>
          <w:i/>
          <w:sz w:val="22"/>
          <w:vertAlign w:val="baseline"/>
        </w:rPr>
        <w:t>de</w:t>
      </w:r>
      <w:r>
        <w:rPr>
          <w:rFonts w:ascii="Arial" w:hAnsi="Arial"/>
          <w:i/>
          <w:spacing w:val="-12"/>
          <w:sz w:val="22"/>
          <w:vertAlign w:val="baseline"/>
        </w:rPr>
        <w:t> </w:t>
      </w:r>
      <w:r>
        <w:rPr>
          <w:rFonts w:ascii="Arial" w:hAnsi="Arial"/>
          <w:i/>
          <w:sz w:val="22"/>
          <w:vertAlign w:val="baseline"/>
        </w:rPr>
        <w:t>producto</w:t>
      </w:r>
      <w:r>
        <w:rPr>
          <w:rFonts w:ascii="Arial" w:hAnsi="Arial"/>
          <w:i/>
          <w:spacing w:val="-11"/>
          <w:sz w:val="22"/>
          <w:vertAlign w:val="baseline"/>
        </w:rPr>
        <w:t> </w:t>
      </w:r>
      <w:r>
        <w:rPr>
          <w:rFonts w:ascii="Arial" w:hAnsi="Arial"/>
          <w:i/>
          <w:sz w:val="22"/>
          <w:vertAlign w:val="baseline"/>
        </w:rPr>
        <w:t>que</w:t>
      </w:r>
      <w:r>
        <w:rPr>
          <w:rFonts w:ascii="Arial" w:hAnsi="Arial"/>
          <w:i/>
          <w:spacing w:val="-14"/>
          <w:sz w:val="22"/>
          <w:vertAlign w:val="baseline"/>
        </w:rPr>
        <w:t> </w:t>
      </w:r>
      <w:r>
        <w:rPr>
          <w:rFonts w:ascii="Arial" w:hAnsi="Arial"/>
          <w:i/>
          <w:sz w:val="22"/>
          <w:vertAlign w:val="baseline"/>
        </w:rPr>
        <w:t>se</w:t>
      </w:r>
      <w:r>
        <w:rPr>
          <w:rFonts w:ascii="Arial" w:hAnsi="Arial"/>
          <w:i/>
          <w:spacing w:val="-11"/>
          <w:sz w:val="22"/>
          <w:vertAlign w:val="baseline"/>
        </w:rPr>
        <w:t> </w:t>
      </w:r>
      <w:r>
        <w:rPr>
          <w:rFonts w:ascii="Arial" w:hAnsi="Arial"/>
          <w:i/>
          <w:sz w:val="22"/>
          <w:vertAlign w:val="baseline"/>
        </w:rPr>
        <w:t>transporta.</w:t>
      </w:r>
      <w:r>
        <w:rPr>
          <w:rFonts w:ascii="Arial" w:hAnsi="Arial"/>
          <w:i/>
          <w:spacing w:val="-10"/>
          <w:sz w:val="22"/>
          <w:vertAlign w:val="baseline"/>
        </w:rPr>
        <w:t> </w:t>
      </w:r>
      <w:r>
        <w:rPr>
          <w:rFonts w:ascii="Arial" w:hAnsi="Arial"/>
          <w:i/>
          <w:sz w:val="22"/>
          <w:vertAlign w:val="baseline"/>
        </w:rPr>
        <w:t>Si</w:t>
      </w:r>
      <w:r>
        <w:rPr>
          <w:rFonts w:ascii="Arial" w:hAnsi="Arial"/>
          <w:i/>
          <w:spacing w:val="-10"/>
          <w:sz w:val="22"/>
          <w:vertAlign w:val="baseline"/>
        </w:rPr>
        <w:t> </w:t>
      </w:r>
      <w:r>
        <w:rPr>
          <w:rFonts w:ascii="Arial" w:hAnsi="Arial"/>
          <w:i/>
          <w:sz w:val="22"/>
          <w:vertAlign w:val="baseline"/>
        </w:rPr>
        <w:t>embargo,</w:t>
      </w:r>
      <w:r>
        <w:rPr>
          <w:rFonts w:ascii="Arial" w:hAnsi="Arial"/>
          <w:i/>
          <w:spacing w:val="-8"/>
          <w:sz w:val="22"/>
          <w:vertAlign w:val="baseline"/>
        </w:rPr>
        <w:t> </w:t>
      </w:r>
      <w:r>
        <w:rPr>
          <w:rFonts w:ascii="Arial" w:hAnsi="Arial"/>
          <w:i/>
          <w:sz w:val="22"/>
          <w:vertAlign w:val="baseline"/>
        </w:rPr>
        <w:t>este</w:t>
      </w:r>
      <w:r>
        <w:rPr>
          <w:rFonts w:ascii="Arial" w:hAnsi="Arial"/>
          <w:i/>
          <w:spacing w:val="-11"/>
          <w:sz w:val="22"/>
          <w:vertAlign w:val="baseline"/>
        </w:rPr>
        <w:t> </w:t>
      </w:r>
      <w:r>
        <w:rPr>
          <w:rFonts w:ascii="Arial" w:hAnsi="Arial"/>
          <w:i/>
          <w:sz w:val="22"/>
          <w:vertAlign w:val="baseline"/>
        </w:rPr>
        <w:t>ejemplo</w:t>
      </w:r>
      <w:r>
        <w:rPr>
          <w:rFonts w:ascii="Arial" w:hAnsi="Arial"/>
          <w:i/>
          <w:spacing w:val="-11"/>
          <w:sz w:val="22"/>
          <w:vertAlign w:val="baseline"/>
        </w:rPr>
        <w:t> </w:t>
      </w:r>
      <w:r>
        <w:rPr>
          <w:rFonts w:ascii="Arial" w:hAnsi="Arial"/>
          <w:i/>
          <w:sz w:val="22"/>
          <w:vertAlign w:val="baseline"/>
        </w:rPr>
        <w:t>nos</w:t>
      </w:r>
      <w:r>
        <w:rPr>
          <w:rFonts w:ascii="Arial" w:hAnsi="Arial"/>
          <w:i/>
          <w:spacing w:val="-11"/>
          <w:sz w:val="22"/>
          <w:vertAlign w:val="baseline"/>
        </w:rPr>
        <w:t> </w:t>
      </w:r>
      <w:r>
        <w:rPr>
          <w:rFonts w:ascii="Arial" w:hAnsi="Arial"/>
          <w:i/>
          <w:sz w:val="22"/>
          <w:vertAlign w:val="baseline"/>
        </w:rPr>
        <w:t>permite</w:t>
      </w:r>
      <w:r>
        <w:rPr>
          <w:rFonts w:ascii="Arial" w:hAnsi="Arial"/>
          <w:i/>
          <w:spacing w:val="-9"/>
          <w:sz w:val="22"/>
          <w:vertAlign w:val="baseline"/>
        </w:rPr>
        <w:t> </w:t>
      </w:r>
      <w:r>
        <w:rPr>
          <w:rFonts w:ascii="Arial" w:hAnsi="Arial"/>
          <w:i/>
          <w:sz w:val="22"/>
          <w:vertAlign w:val="baseline"/>
        </w:rPr>
        <w:t>corroborar que la restricción impuesta por Colombia en el artículo 2 y 3 del Decreto 0170 incrementará los precios de los productos ecuatorianos sujetos a esta medida”.</w:t>
      </w:r>
    </w:p>
    <w:p>
      <w:pPr>
        <w:pStyle w:val="BodyText"/>
        <w:spacing w:before="1"/>
        <w:rPr>
          <w:rFonts w:ascii="Arial"/>
          <w:i/>
        </w:rPr>
      </w:pPr>
    </w:p>
    <w:p>
      <w:pPr>
        <w:pStyle w:val="Heading6"/>
        <w:ind w:left="3261" w:right="1396" w:hanging="1808"/>
      </w:pPr>
      <w:r>
        <w:rPr/>
        <w:t>Ejemplo</w:t>
      </w:r>
      <w:r>
        <w:rPr>
          <w:spacing w:val="-4"/>
        </w:rPr>
        <w:t> </w:t>
      </w:r>
      <w:r>
        <w:rPr/>
        <w:t>contenido</w:t>
      </w:r>
      <w:r>
        <w:rPr>
          <w:spacing w:val="-5"/>
        </w:rPr>
        <w:t> </w:t>
      </w:r>
      <w:r>
        <w:rPr/>
        <w:t>en</w:t>
      </w:r>
      <w:r>
        <w:rPr>
          <w:spacing w:val="-5"/>
        </w:rPr>
        <w:t> </w:t>
      </w:r>
      <w:r>
        <w:rPr/>
        <w:t>el</w:t>
      </w:r>
      <w:r>
        <w:rPr>
          <w:spacing w:val="-4"/>
        </w:rPr>
        <w:t> </w:t>
      </w:r>
      <w:r>
        <w:rPr/>
        <w:t>Informe</w:t>
      </w:r>
      <w:r>
        <w:rPr>
          <w:spacing w:val="-5"/>
        </w:rPr>
        <w:t> </w:t>
      </w:r>
      <w:r>
        <w:rPr/>
        <w:t>Técnico</w:t>
      </w:r>
      <w:r>
        <w:rPr>
          <w:spacing w:val="-5"/>
        </w:rPr>
        <w:t> </w:t>
      </w:r>
      <w:r>
        <w:rPr/>
        <w:t>de</w:t>
      </w:r>
      <w:r>
        <w:rPr>
          <w:spacing w:val="-5"/>
        </w:rPr>
        <w:t> </w:t>
      </w:r>
      <w:r>
        <w:rPr/>
        <w:t>la</w:t>
      </w:r>
      <w:r>
        <w:rPr>
          <w:spacing w:val="-3"/>
        </w:rPr>
        <w:t> </w:t>
      </w:r>
      <w:r>
        <w:rPr/>
        <w:t>República</w:t>
      </w:r>
      <w:r>
        <w:rPr>
          <w:spacing w:val="-5"/>
        </w:rPr>
        <w:t> </w:t>
      </w:r>
      <w:r>
        <w:rPr/>
        <w:t>del</w:t>
      </w:r>
      <w:r>
        <w:rPr>
          <w:spacing w:val="-1"/>
        </w:rPr>
        <w:t> </w:t>
      </w:r>
      <w:r>
        <w:rPr/>
        <w:t>Ecuador</w:t>
      </w:r>
      <w:hyperlink w:history="true" w:anchor="_bookmark158">
        <w:r>
          <w:rPr>
            <w:vertAlign w:val="superscript"/>
          </w:rPr>
          <w:t>91</w:t>
        </w:r>
      </w:hyperlink>
      <w:r>
        <w:rPr>
          <w:vertAlign w:val="baseline"/>
        </w:rPr>
        <w:t> para una exportación de 33 TM arroz</w:t>
      </w:r>
    </w:p>
    <w:tbl>
      <w:tblPr>
        <w:tblW w:w="0" w:type="auto"/>
        <w:jc w:val="left"/>
        <w:tblInd w:w="1149" w:type="dxa"/>
        <w:tblBorders>
          <w:top w:val="single" w:sz="6" w:space="0" w:color="DFDFDF"/>
          <w:left w:val="single" w:sz="6" w:space="0" w:color="DFDFDF"/>
          <w:bottom w:val="single" w:sz="6" w:space="0" w:color="DFDFDF"/>
          <w:right w:val="single" w:sz="6" w:space="0" w:color="DFDFDF"/>
          <w:insideH w:val="single" w:sz="6" w:space="0" w:color="DFDFDF"/>
          <w:insideV w:val="single" w:sz="6" w:space="0" w:color="DFDFDF"/>
        </w:tblBorders>
        <w:tblLayout w:type="fixed"/>
        <w:tblCellMar>
          <w:top w:w="0" w:type="dxa"/>
          <w:left w:w="0" w:type="dxa"/>
          <w:bottom w:w="0" w:type="dxa"/>
          <w:right w:w="0" w:type="dxa"/>
        </w:tblCellMar>
        <w:tblLook w:val="01E0"/>
      </w:tblPr>
      <w:tblGrid>
        <w:gridCol w:w="2193"/>
        <w:gridCol w:w="1202"/>
        <w:gridCol w:w="488"/>
        <w:gridCol w:w="2656"/>
        <w:gridCol w:w="1214"/>
      </w:tblGrid>
      <w:tr>
        <w:trPr>
          <w:trHeight w:val="235" w:hRule="atLeast"/>
        </w:trPr>
        <w:tc>
          <w:tcPr>
            <w:tcW w:w="3395" w:type="dxa"/>
            <w:gridSpan w:val="2"/>
          </w:tcPr>
          <w:p>
            <w:pPr>
              <w:pStyle w:val="TableParagraph"/>
              <w:spacing w:line="197" w:lineRule="exact" w:before="17"/>
              <w:ind w:left="368"/>
              <w:rPr>
                <w:rFonts w:ascii="Trebuchet MS" w:hAnsi="Trebuchet MS"/>
                <w:b/>
                <w:sz w:val="18"/>
              </w:rPr>
            </w:pPr>
            <w:r>
              <w:rPr>
                <w:rFonts w:ascii="Trebuchet MS" w:hAnsi="Trebuchet MS"/>
                <w:b/>
                <w:w w:val="90"/>
                <w:sz w:val="18"/>
              </w:rPr>
              <w:t>Costos</w:t>
            </w:r>
            <w:r>
              <w:rPr>
                <w:rFonts w:ascii="Trebuchet MS" w:hAnsi="Trebuchet MS"/>
                <w:b/>
                <w:spacing w:val="7"/>
                <w:sz w:val="18"/>
              </w:rPr>
              <w:t> </w:t>
            </w:r>
            <w:r>
              <w:rPr>
                <w:rFonts w:ascii="Trebuchet MS" w:hAnsi="Trebuchet MS"/>
                <w:b/>
                <w:w w:val="90"/>
                <w:sz w:val="18"/>
              </w:rPr>
              <w:t>de</w:t>
            </w:r>
            <w:r>
              <w:rPr>
                <w:rFonts w:ascii="Trebuchet MS" w:hAnsi="Trebuchet MS"/>
                <w:b/>
                <w:spacing w:val="15"/>
                <w:sz w:val="18"/>
              </w:rPr>
              <w:t> </w:t>
            </w:r>
            <w:r>
              <w:rPr>
                <w:rFonts w:ascii="Trebuchet MS" w:hAnsi="Trebuchet MS"/>
                <w:b/>
                <w:w w:val="90"/>
                <w:sz w:val="18"/>
              </w:rPr>
              <w:t>transporte</w:t>
            </w:r>
            <w:r>
              <w:rPr>
                <w:rFonts w:ascii="Trebuchet MS" w:hAnsi="Trebuchet MS"/>
                <w:b/>
                <w:spacing w:val="14"/>
                <w:sz w:val="18"/>
              </w:rPr>
              <w:t> </w:t>
            </w:r>
            <w:r>
              <w:rPr>
                <w:rFonts w:ascii="Trebuchet MS" w:hAnsi="Trebuchet MS"/>
                <w:b/>
                <w:w w:val="90"/>
                <w:sz w:val="18"/>
              </w:rPr>
              <w:t>vía</w:t>
            </w:r>
            <w:r>
              <w:rPr>
                <w:rFonts w:ascii="Trebuchet MS" w:hAnsi="Trebuchet MS"/>
                <w:b/>
                <w:spacing w:val="-4"/>
                <w:sz w:val="18"/>
              </w:rPr>
              <w:t> </w:t>
            </w:r>
            <w:r>
              <w:rPr>
                <w:rFonts w:ascii="Trebuchet MS" w:hAnsi="Trebuchet MS"/>
                <w:b/>
                <w:spacing w:val="-2"/>
                <w:w w:val="90"/>
                <w:sz w:val="18"/>
              </w:rPr>
              <w:t>terrestre</w:t>
            </w:r>
          </w:p>
        </w:tc>
        <w:tc>
          <w:tcPr>
            <w:tcW w:w="488" w:type="dxa"/>
          </w:tcPr>
          <w:p>
            <w:pPr>
              <w:pStyle w:val="TableParagraph"/>
              <w:rPr>
                <w:rFonts w:ascii="Times New Roman"/>
                <w:sz w:val="16"/>
              </w:rPr>
            </w:pPr>
          </w:p>
        </w:tc>
        <w:tc>
          <w:tcPr>
            <w:tcW w:w="3870" w:type="dxa"/>
            <w:gridSpan w:val="2"/>
          </w:tcPr>
          <w:p>
            <w:pPr>
              <w:pStyle w:val="TableParagraph"/>
              <w:spacing w:line="197" w:lineRule="exact" w:before="17"/>
              <w:ind w:left="608"/>
              <w:rPr>
                <w:rFonts w:ascii="Trebuchet MS" w:hAnsi="Trebuchet MS"/>
                <w:b/>
                <w:sz w:val="18"/>
              </w:rPr>
            </w:pPr>
            <w:r>
              <w:rPr>
                <w:rFonts w:ascii="Trebuchet MS" w:hAnsi="Trebuchet MS"/>
                <w:b/>
                <w:w w:val="90"/>
                <w:sz w:val="18"/>
              </w:rPr>
              <w:t>Costos</w:t>
            </w:r>
            <w:r>
              <w:rPr>
                <w:rFonts w:ascii="Trebuchet MS" w:hAnsi="Trebuchet MS"/>
                <w:b/>
                <w:spacing w:val="7"/>
                <w:sz w:val="18"/>
              </w:rPr>
              <w:t> </w:t>
            </w:r>
            <w:r>
              <w:rPr>
                <w:rFonts w:ascii="Trebuchet MS" w:hAnsi="Trebuchet MS"/>
                <w:b/>
                <w:w w:val="90"/>
                <w:sz w:val="18"/>
              </w:rPr>
              <w:t>de</w:t>
            </w:r>
            <w:r>
              <w:rPr>
                <w:rFonts w:ascii="Trebuchet MS" w:hAnsi="Trebuchet MS"/>
                <w:b/>
                <w:spacing w:val="15"/>
                <w:sz w:val="18"/>
              </w:rPr>
              <w:t> </w:t>
            </w:r>
            <w:r>
              <w:rPr>
                <w:rFonts w:ascii="Trebuchet MS" w:hAnsi="Trebuchet MS"/>
                <w:b/>
                <w:w w:val="90"/>
                <w:sz w:val="18"/>
              </w:rPr>
              <w:t>transporte</w:t>
            </w:r>
            <w:r>
              <w:rPr>
                <w:rFonts w:ascii="Trebuchet MS" w:hAnsi="Trebuchet MS"/>
                <w:b/>
                <w:spacing w:val="14"/>
                <w:sz w:val="18"/>
              </w:rPr>
              <w:t> </w:t>
            </w:r>
            <w:r>
              <w:rPr>
                <w:rFonts w:ascii="Trebuchet MS" w:hAnsi="Trebuchet MS"/>
                <w:b/>
                <w:w w:val="90"/>
                <w:sz w:val="18"/>
              </w:rPr>
              <w:t>vía</w:t>
            </w:r>
            <w:r>
              <w:rPr>
                <w:rFonts w:ascii="Trebuchet MS" w:hAnsi="Trebuchet MS"/>
                <w:b/>
                <w:spacing w:val="-4"/>
                <w:sz w:val="18"/>
              </w:rPr>
              <w:t> </w:t>
            </w:r>
            <w:r>
              <w:rPr>
                <w:rFonts w:ascii="Trebuchet MS" w:hAnsi="Trebuchet MS"/>
                <w:b/>
                <w:spacing w:val="-2"/>
                <w:w w:val="90"/>
                <w:sz w:val="18"/>
              </w:rPr>
              <w:t>marítima</w:t>
            </w:r>
          </w:p>
        </w:tc>
      </w:tr>
      <w:tr>
        <w:trPr>
          <w:trHeight w:val="235" w:hRule="atLeast"/>
        </w:trPr>
        <w:tc>
          <w:tcPr>
            <w:tcW w:w="3395" w:type="dxa"/>
            <w:gridSpan w:val="2"/>
            <w:tcBorders>
              <w:bottom w:val="single" w:sz="6" w:space="0" w:color="000000"/>
            </w:tcBorders>
          </w:tcPr>
          <w:p>
            <w:pPr>
              <w:pStyle w:val="TableParagraph"/>
              <w:spacing w:line="198" w:lineRule="exact" w:before="17"/>
              <w:ind w:left="33"/>
              <w:jc w:val="center"/>
              <w:rPr>
                <w:rFonts w:ascii="Trebuchet MS"/>
                <w:b/>
                <w:sz w:val="18"/>
              </w:rPr>
            </w:pPr>
            <w:r>
              <w:rPr>
                <w:rFonts w:ascii="Trebuchet MS"/>
                <w:b/>
                <w:w w:val="90"/>
                <w:sz w:val="18"/>
              </w:rPr>
              <w:t>Tabla</w:t>
            </w:r>
            <w:r>
              <w:rPr>
                <w:rFonts w:ascii="Trebuchet MS"/>
                <w:b/>
                <w:spacing w:val="-18"/>
                <w:w w:val="90"/>
                <w:sz w:val="18"/>
              </w:rPr>
              <w:t> </w:t>
            </w:r>
            <w:r>
              <w:rPr>
                <w:rFonts w:ascii="Trebuchet MS"/>
                <w:b/>
                <w:spacing w:val="-10"/>
                <w:sz w:val="18"/>
              </w:rPr>
              <w:t>4</w:t>
            </w:r>
          </w:p>
        </w:tc>
        <w:tc>
          <w:tcPr>
            <w:tcW w:w="488" w:type="dxa"/>
          </w:tcPr>
          <w:p>
            <w:pPr>
              <w:pStyle w:val="TableParagraph"/>
              <w:rPr>
                <w:rFonts w:ascii="Times New Roman"/>
                <w:sz w:val="16"/>
              </w:rPr>
            </w:pPr>
          </w:p>
        </w:tc>
        <w:tc>
          <w:tcPr>
            <w:tcW w:w="3870" w:type="dxa"/>
            <w:gridSpan w:val="2"/>
            <w:tcBorders>
              <w:bottom w:val="single" w:sz="6" w:space="0" w:color="000000"/>
            </w:tcBorders>
          </w:tcPr>
          <w:p>
            <w:pPr>
              <w:pStyle w:val="TableParagraph"/>
              <w:spacing w:line="198" w:lineRule="exact" w:before="17"/>
              <w:ind w:left="38"/>
              <w:jc w:val="center"/>
              <w:rPr>
                <w:rFonts w:ascii="Trebuchet MS"/>
                <w:b/>
                <w:sz w:val="18"/>
              </w:rPr>
            </w:pPr>
            <w:r>
              <w:rPr>
                <w:rFonts w:ascii="Trebuchet MS"/>
                <w:b/>
                <w:w w:val="90"/>
                <w:sz w:val="18"/>
              </w:rPr>
              <w:t>Tabla</w:t>
            </w:r>
            <w:r>
              <w:rPr>
                <w:rFonts w:ascii="Trebuchet MS"/>
                <w:b/>
                <w:spacing w:val="-18"/>
                <w:w w:val="90"/>
                <w:sz w:val="18"/>
              </w:rPr>
              <w:t> </w:t>
            </w:r>
            <w:r>
              <w:rPr>
                <w:rFonts w:ascii="Trebuchet MS"/>
                <w:b/>
                <w:spacing w:val="-10"/>
                <w:sz w:val="18"/>
              </w:rPr>
              <w:t>4</w:t>
            </w:r>
          </w:p>
        </w:tc>
      </w:tr>
      <w:tr>
        <w:trPr>
          <w:trHeight w:val="235" w:hRule="atLeast"/>
        </w:trPr>
        <w:tc>
          <w:tcPr>
            <w:tcW w:w="2193"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right="66"/>
              <w:jc w:val="center"/>
              <w:rPr>
                <w:rFonts w:ascii="Trebuchet MS"/>
                <w:b/>
                <w:sz w:val="18"/>
              </w:rPr>
            </w:pPr>
            <w:r>
              <w:rPr>
                <w:rFonts w:ascii="Trebuchet MS"/>
                <w:b/>
                <w:spacing w:val="-2"/>
                <w:sz w:val="18"/>
              </w:rPr>
              <w:t>Detalle</w:t>
            </w:r>
          </w:p>
        </w:tc>
        <w:tc>
          <w:tcPr>
            <w:tcW w:w="1202"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23"/>
              <w:jc w:val="center"/>
              <w:rPr>
                <w:rFonts w:ascii="Trebuchet MS" w:hAnsi="Trebuchet MS"/>
                <w:b/>
                <w:sz w:val="18"/>
              </w:rPr>
            </w:pPr>
            <w:r>
              <w:rPr>
                <w:rFonts w:ascii="Trebuchet MS" w:hAnsi="Trebuchet MS"/>
                <w:b/>
                <w:w w:val="90"/>
                <w:sz w:val="18"/>
              </w:rPr>
              <w:t>Precio</w:t>
            </w:r>
            <w:r>
              <w:rPr>
                <w:rFonts w:ascii="Trebuchet MS" w:hAnsi="Trebuchet MS"/>
                <w:b/>
                <w:spacing w:val="-2"/>
                <w:sz w:val="18"/>
              </w:rPr>
              <w:t> dólares</w:t>
            </w:r>
          </w:p>
        </w:tc>
        <w:tc>
          <w:tcPr>
            <w:tcW w:w="488" w:type="dxa"/>
            <w:tcBorders>
              <w:left w:val="single" w:sz="6" w:space="0" w:color="000000"/>
              <w:right w:val="single" w:sz="6" w:space="0" w:color="000000"/>
            </w:tcBorders>
          </w:tcPr>
          <w:p>
            <w:pPr>
              <w:pStyle w:val="TableParagraph"/>
              <w:rPr>
                <w:rFonts w:ascii="Times New Roman"/>
                <w:sz w:val="16"/>
              </w:rPr>
            </w:pPr>
          </w:p>
        </w:tc>
        <w:tc>
          <w:tcPr>
            <w:tcW w:w="2656"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right="48"/>
              <w:jc w:val="center"/>
              <w:rPr>
                <w:rFonts w:ascii="Trebuchet MS"/>
                <w:b/>
                <w:sz w:val="18"/>
              </w:rPr>
            </w:pPr>
            <w:r>
              <w:rPr>
                <w:rFonts w:ascii="Trebuchet MS"/>
                <w:b/>
                <w:spacing w:val="-2"/>
                <w:sz w:val="18"/>
              </w:rPr>
              <w:t>Detalle</w:t>
            </w:r>
          </w:p>
        </w:tc>
        <w:tc>
          <w:tcPr>
            <w:tcW w:w="1214"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19" w:right="3"/>
              <w:jc w:val="center"/>
              <w:rPr>
                <w:rFonts w:ascii="Trebuchet MS" w:hAnsi="Trebuchet MS"/>
                <w:b/>
                <w:sz w:val="18"/>
              </w:rPr>
            </w:pPr>
            <w:r>
              <w:rPr>
                <w:rFonts w:ascii="Trebuchet MS" w:hAnsi="Trebuchet MS"/>
                <w:b/>
                <w:w w:val="90"/>
                <w:sz w:val="18"/>
              </w:rPr>
              <w:t>Precio</w:t>
            </w:r>
            <w:r>
              <w:rPr>
                <w:rFonts w:ascii="Trebuchet MS" w:hAnsi="Trebuchet MS"/>
                <w:b/>
                <w:spacing w:val="-2"/>
                <w:sz w:val="18"/>
              </w:rPr>
              <w:t> dólares</w:t>
            </w:r>
          </w:p>
        </w:tc>
      </w:tr>
      <w:tr>
        <w:trPr>
          <w:trHeight w:val="235" w:hRule="atLeast"/>
        </w:trPr>
        <w:tc>
          <w:tcPr>
            <w:tcW w:w="2193"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30"/>
              <w:rPr>
                <w:rFonts w:ascii="Trebuchet MS" w:hAnsi="Trebuchet MS"/>
                <w:sz w:val="18"/>
              </w:rPr>
            </w:pPr>
            <w:r>
              <w:rPr>
                <w:rFonts w:ascii="Trebuchet MS" w:hAnsi="Trebuchet MS"/>
                <w:spacing w:val="-4"/>
                <w:sz w:val="18"/>
              </w:rPr>
              <w:t>Flete</w:t>
            </w:r>
            <w:r>
              <w:rPr>
                <w:rFonts w:ascii="Trebuchet MS" w:hAnsi="Trebuchet MS"/>
                <w:spacing w:val="-21"/>
                <w:sz w:val="18"/>
              </w:rPr>
              <w:t> </w:t>
            </w:r>
            <w:r>
              <w:rPr>
                <w:rFonts w:ascii="Trebuchet MS" w:hAnsi="Trebuchet MS"/>
                <w:spacing w:val="-4"/>
                <w:sz w:val="18"/>
              </w:rPr>
              <w:t>Guayaquil</w:t>
            </w:r>
            <w:r>
              <w:rPr>
                <w:rFonts w:ascii="Trebuchet MS" w:hAnsi="Trebuchet MS"/>
                <w:spacing w:val="-13"/>
                <w:sz w:val="18"/>
              </w:rPr>
              <w:t> </w:t>
            </w:r>
            <w:r>
              <w:rPr>
                <w:rFonts w:ascii="Trebuchet MS" w:hAnsi="Trebuchet MS"/>
                <w:spacing w:val="-4"/>
                <w:sz w:val="18"/>
              </w:rPr>
              <w:t>a</w:t>
            </w:r>
            <w:r>
              <w:rPr>
                <w:rFonts w:ascii="Trebuchet MS" w:hAnsi="Trebuchet MS"/>
                <w:spacing w:val="7"/>
                <w:sz w:val="18"/>
              </w:rPr>
              <w:t> </w:t>
            </w:r>
            <w:r>
              <w:rPr>
                <w:rFonts w:ascii="Trebuchet MS" w:hAnsi="Trebuchet MS"/>
                <w:spacing w:val="-4"/>
                <w:sz w:val="18"/>
              </w:rPr>
              <w:t>Tulcán</w:t>
            </w:r>
          </w:p>
        </w:tc>
        <w:tc>
          <w:tcPr>
            <w:tcW w:w="1202"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25"/>
              <w:jc w:val="center"/>
              <w:rPr>
                <w:rFonts w:ascii="Trebuchet MS"/>
                <w:sz w:val="18"/>
              </w:rPr>
            </w:pPr>
            <w:r>
              <w:rPr>
                <w:rFonts w:ascii="Trebuchet MS"/>
                <w:spacing w:val="-4"/>
                <w:sz w:val="18"/>
              </w:rPr>
              <w:t>1400</w:t>
            </w:r>
          </w:p>
        </w:tc>
        <w:tc>
          <w:tcPr>
            <w:tcW w:w="488" w:type="dxa"/>
            <w:tcBorders>
              <w:left w:val="single" w:sz="6" w:space="0" w:color="000000"/>
              <w:right w:val="single" w:sz="6" w:space="0" w:color="000000"/>
            </w:tcBorders>
          </w:tcPr>
          <w:p>
            <w:pPr>
              <w:pStyle w:val="TableParagraph"/>
              <w:rPr>
                <w:rFonts w:ascii="Times New Roman"/>
                <w:sz w:val="16"/>
              </w:rPr>
            </w:pPr>
          </w:p>
        </w:tc>
        <w:tc>
          <w:tcPr>
            <w:tcW w:w="2656"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32"/>
              <w:rPr>
                <w:rFonts w:ascii="Trebuchet MS"/>
                <w:sz w:val="18"/>
              </w:rPr>
            </w:pPr>
            <w:r>
              <w:rPr>
                <w:rFonts w:ascii="Trebuchet MS"/>
                <w:w w:val="90"/>
                <w:sz w:val="18"/>
              </w:rPr>
              <w:t>Flete</w:t>
            </w:r>
            <w:r>
              <w:rPr>
                <w:rFonts w:ascii="Trebuchet MS"/>
                <w:spacing w:val="-7"/>
                <w:w w:val="90"/>
                <w:sz w:val="18"/>
              </w:rPr>
              <w:t> </w:t>
            </w:r>
            <w:r>
              <w:rPr>
                <w:rFonts w:ascii="Trebuchet MS"/>
                <w:w w:val="90"/>
                <w:sz w:val="18"/>
              </w:rPr>
              <w:t>Guayaquil</w:t>
            </w:r>
            <w:r>
              <w:rPr>
                <w:rFonts w:ascii="Trebuchet MS"/>
                <w:spacing w:val="-2"/>
                <w:sz w:val="18"/>
              </w:rPr>
              <w:t> </w:t>
            </w:r>
            <w:r>
              <w:rPr>
                <w:rFonts w:ascii="Trebuchet MS"/>
                <w:w w:val="90"/>
                <w:sz w:val="18"/>
              </w:rPr>
              <w:t>-</w:t>
            </w:r>
            <w:r>
              <w:rPr>
                <w:rFonts w:ascii="Trebuchet MS"/>
                <w:spacing w:val="47"/>
                <w:sz w:val="18"/>
              </w:rPr>
              <w:t> </w:t>
            </w:r>
            <w:r>
              <w:rPr>
                <w:rFonts w:ascii="Trebuchet MS"/>
                <w:spacing w:val="-2"/>
                <w:w w:val="90"/>
                <w:sz w:val="18"/>
              </w:rPr>
              <w:t>Buenaventura</w:t>
            </w:r>
          </w:p>
        </w:tc>
        <w:tc>
          <w:tcPr>
            <w:tcW w:w="1214"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19"/>
              <w:jc w:val="center"/>
              <w:rPr>
                <w:rFonts w:ascii="Trebuchet MS"/>
                <w:sz w:val="18"/>
              </w:rPr>
            </w:pPr>
            <w:r>
              <w:rPr>
                <w:rFonts w:ascii="Trebuchet MS"/>
                <w:spacing w:val="-4"/>
                <w:sz w:val="18"/>
              </w:rPr>
              <w:t>1390</w:t>
            </w:r>
          </w:p>
        </w:tc>
      </w:tr>
      <w:tr>
        <w:trPr>
          <w:trHeight w:val="235" w:hRule="atLeast"/>
        </w:trPr>
        <w:tc>
          <w:tcPr>
            <w:tcW w:w="2193"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30"/>
              <w:rPr>
                <w:rFonts w:ascii="Trebuchet MS" w:hAnsi="Trebuchet MS"/>
                <w:sz w:val="18"/>
              </w:rPr>
            </w:pPr>
            <w:r>
              <w:rPr>
                <w:rFonts w:ascii="Trebuchet MS" w:hAnsi="Trebuchet MS"/>
                <w:w w:val="90"/>
                <w:sz w:val="18"/>
              </w:rPr>
              <w:t>Flete</w:t>
            </w:r>
            <w:r>
              <w:rPr>
                <w:rFonts w:ascii="Trebuchet MS" w:hAnsi="Trebuchet MS"/>
                <w:spacing w:val="-8"/>
                <w:w w:val="90"/>
                <w:sz w:val="18"/>
              </w:rPr>
              <w:t> </w:t>
            </w:r>
            <w:r>
              <w:rPr>
                <w:rFonts w:ascii="Trebuchet MS" w:hAnsi="Trebuchet MS"/>
                <w:w w:val="90"/>
                <w:sz w:val="18"/>
              </w:rPr>
              <w:t>Tulcán</w:t>
            </w:r>
            <w:r>
              <w:rPr>
                <w:rFonts w:ascii="Trebuchet MS" w:hAnsi="Trebuchet MS"/>
                <w:spacing w:val="-2"/>
                <w:sz w:val="18"/>
              </w:rPr>
              <w:t> </w:t>
            </w:r>
            <w:r>
              <w:rPr>
                <w:rFonts w:ascii="Trebuchet MS" w:hAnsi="Trebuchet MS"/>
                <w:w w:val="90"/>
                <w:sz w:val="18"/>
              </w:rPr>
              <w:t>a</w:t>
            </w:r>
            <w:r>
              <w:rPr>
                <w:rFonts w:ascii="Trebuchet MS" w:hAnsi="Trebuchet MS"/>
                <w:spacing w:val="2"/>
                <w:sz w:val="18"/>
              </w:rPr>
              <w:t> </w:t>
            </w:r>
            <w:r>
              <w:rPr>
                <w:rFonts w:ascii="Trebuchet MS" w:hAnsi="Trebuchet MS"/>
                <w:spacing w:val="-2"/>
                <w:w w:val="90"/>
                <w:sz w:val="18"/>
              </w:rPr>
              <w:t>Bogotá</w:t>
            </w:r>
          </w:p>
        </w:tc>
        <w:tc>
          <w:tcPr>
            <w:tcW w:w="1202"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25"/>
              <w:jc w:val="center"/>
              <w:rPr>
                <w:rFonts w:ascii="Trebuchet MS"/>
                <w:sz w:val="18"/>
              </w:rPr>
            </w:pPr>
            <w:r>
              <w:rPr>
                <w:rFonts w:ascii="Trebuchet MS"/>
                <w:spacing w:val="-4"/>
                <w:sz w:val="18"/>
              </w:rPr>
              <w:t>2200</w:t>
            </w:r>
          </w:p>
        </w:tc>
        <w:tc>
          <w:tcPr>
            <w:tcW w:w="488" w:type="dxa"/>
            <w:tcBorders>
              <w:left w:val="single" w:sz="6" w:space="0" w:color="000000"/>
              <w:right w:val="single" w:sz="6" w:space="0" w:color="000000"/>
            </w:tcBorders>
          </w:tcPr>
          <w:p>
            <w:pPr>
              <w:pStyle w:val="TableParagraph"/>
              <w:rPr>
                <w:rFonts w:ascii="Times New Roman"/>
                <w:sz w:val="16"/>
              </w:rPr>
            </w:pPr>
          </w:p>
        </w:tc>
        <w:tc>
          <w:tcPr>
            <w:tcW w:w="2656"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32"/>
              <w:rPr>
                <w:rFonts w:ascii="Trebuchet MS"/>
                <w:sz w:val="18"/>
              </w:rPr>
            </w:pPr>
            <w:r>
              <w:rPr>
                <w:rFonts w:ascii="Trebuchet MS"/>
                <w:spacing w:val="-2"/>
                <w:sz w:val="18"/>
              </w:rPr>
              <w:t>Gastos</w:t>
            </w:r>
            <w:r>
              <w:rPr>
                <w:rFonts w:ascii="Trebuchet MS"/>
                <w:spacing w:val="-9"/>
                <w:sz w:val="18"/>
              </w:rPr>
              <w:t> </w:t>
            </w:r>
            <w:r>
              <w:rPr>
                <w:rFonts w:ascii="Trebuchet MS"/>
                <w:spacing w:val="-2"/>
                <w:sz w:val="18"/>
              </w:rPr>
              <w:t>Locales</w:t>
            </w:r>
            <w:r>
              <w:rPr>
                <w:rFonts w:ascii="Trebuchet MS"/>
                <w:spacing w:val="-9"/>
                <w:sz w:val="18"/>
              </w:rPr>
              <w:t> </w:t>
            </w:r>
            <w:r>
              <w:rPr>
                <w:rFonts w:ascii="Trebuchet MS"/>
                <w:spacing w:val="-2"/>
                <w:sz w:val="18"/>
              </w:rPr>
              <w:t>Naviera</w:t>
            </w:r>
          </w:p>
        </w:tc>
        <w:tc>
          <w:tcPr>
            <w:tcW w:w="1214"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32"/>
              <w:jc w:val="center"/>
              <w:rPr>
                <w:rFonts w:ascii="Trebuchet MS"/>
                <w:sz w:val="18"/>
              </w:rPr>
            </w:pPr>
            <w:r>
              <w:rPr>
                <w:rFonts w:ascii="Trebuchet MS"/>
                <w:spacing w:val="-5"/>
                <w:sz w:val="18"/>
              </w:rPr>
              <w:t>857</w:t>
            </w:r>
          </w:p>
        </w:tc>
      </w:tr>
      <w:tr>
        <w:trPr>
          <w:trHeight w:val="235" w:hRule="atLeast"/>
        </w:trPr>
        <w:tc>
          <w:tcPr>
            <w:tcW w:w="2193"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30"/>
              <w:rPr>
                <w:rFonts w:ascii="Trebuchet MS"/>
                <w:b/>
                <w:sz w:val="18"/>
              </w:rPr>
            </w:pPr>
            <w:r>
              <w:rPr>
                <w:rFonts w:ascii="Trebuchet MS"/>
                <w:b/>
                <w:spacing w:val="-4"/>
                <w:w w:val="95"/>
                <w:sz w:val="18"/>
              </w:rPr>
              <w:t>TOTAL</w:t>
            </w:r>
          </w:p>
        </w:tc>
        <w:tc>
          <w:tcPr>
            <w:tcW w:w="1202"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25"/>
              <w:jc w:val="center"/>
              <w:rPr>
                <w:rFonts w:ascii="Trebuchet MS"/>
                <w:b/>
                <w:sz w:val="18"/>
              </w:rPr>
            </w:pPr>
            <w:r>
              <w:rPr>
                <w:rFonts w:ascii="Trebuchet MS"/>
                <w:b/>
                <w:spacing w:val="-4"/>
                <w:sz w:val="18"/>
              </w:rPr>
              <w:t>3600</w:t>
            </w:r>
          </w:p>
        </w:tc>
        <w:tc>
          <w:tcPr>
            <w:tcW w:w="488" w:type="dxa"/>
            <w:tcBorders>
              <w:left w:val="single" w:sz="6" w:space="0" w:color="000000"/>
              <w:right w:val="single" w:sz="6" w:space="0" w:color="000000"/>
            </w:tcBorders>
          </w:tcPr>
          <w:p>
            <w:pPr>
              <w:pStyle w:val="TableParagraph"/>
              <w:rPr>
                <w:rFonts w:ascii="Times New Roman"/>
                <w:sz w:val="16"/>
              </w:rPr>
            </w:pPr>
          </w:p>
        </w:tc>
        <w:tc>
          <w:tcPr>
            <w:tcW w:w="2656"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32"/>
              <w:rPr>
                <w:rFonts w:ascii="Trebuchet MS" w:hAnsi="Trebuchet MS"/>
                <w:sz w:val="18"/>
              </w:rPr>
            </w:pPr>
            <w:r>
              <w:rPr>
                <w:rFonts w:ascii="Trebuchet MS" w:hAnsi="Trebuchet MS"/>
                <w:w w:val="90"/>
                <w:sz w:val="18"/>
              </w:rPr>
              <w:t>Flete</w:t>
            </w:r>
            <w:r>
              <w:rPr>
                <w:rFonts w:ascii="Trebuchet MS" w:hAnsi="Trebuchet MS"/>
                <w:spacing w:val="-6"/>
                <w:w w:val="90"/>
                <w:sz w:val="18"/>
              </w:rPr>
              <w:t> </w:t>
            </w:r>
            <w:r>
              <w:rPr>
                <w:rFonts w:ascii="Trebuchet MS" w:hAnsi="Trebuchet MS"/>
                <w:w w:val="90"/>
                <w:sz w:val="18"/>
              </w:rPr>
              <w:t>Buenaventura</w:t>
            </w:r>
            <w:r>
              <w:rPr>
                <w:rFonts w:ascii="Trebuchet MS" w:hAnsi="Trebuchet MS"/>
                <w:spacing w:val="4"/>
                <w:sz w:val="18"/>
              </w:rPr>
              <w:t> </w:t>
            </w:r>
            <w:r>
              <w:rPr>
                <w:rFonts w:ascii="Trebuchet MS" w:hAnsi="Trebuchet MS"/>
                <w:w w:val="90"/>
                <w:sz w:val="18"/>
              </w:rPr>
              <w:t>-</w:t>
            </w:r>
            <w:r>
              <w:rPr>
                <w:rFonts w:ascii="Trebuchet MS" w:hAnsi="Trebuchet MS"/>
                <w:sz w:val="18"/>
              </w:rPr>
              <w:t> </w:t>
            </w:r>
            <w:r>
              <w:rPr>
                <w:rFonts w:ascii="Trebuchet MS" w:hAnsi="Trebuchet MS"/>
                <w:spacing w:val="-2"/>
                <w:w w:val="90"/>
                <w:sz w:val="18"/>
              </w:rPr>
              <w:t>Bogotá</w:t>
            </w:r>
          </w:p>
        </w:tc>
        <w:tc>
          <w:tcPr>
            <w:tcW w:w="1214"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19"/>
              <w:jc w:val="center"/>
              <w:rPr>
                <w:rFonts w:ascii="Trebuchet MS"/>
                <w:sz w:val="18"/>
              </w:rPr>
            </w:pPr>
            <w:r>
              <w:rPr>
                <w:rFonts w:ascii="Trebuchet MS"/>
                <w:spacing w:val="-4"/>
                <w:sz w:val="18"/>
              </w:rPr>
              <w:t>3458</w:t>
            </w:r>
          </w:p>
        </w:tc>
      </w:tr>
      <w:tr>
        <w:trPr>
          <w:trHeight w:val="235" w:hRule="atLeast"/>
        </w:trPr>
        <w:tc>
          <w:tcPr>
            <w:tcW w:w="3395" w:type="dxa"/>
            <w:gridSpan w:val="2"/>
            <w:tcBorders>
              <w:top w:val="single" w:sz="6" w:space="0" w:color="000000"/>
            </w:tcBorders>
          </w:tcPr>
          <w:p>
            <w:pPr>
              <w:pStyle w:val="TableParagraph"/>
              <w:spacing w:line="198" w:lineRule="exact" w:before="17"/>
              <w:ind w:left="30"/>
              <w:rPr>
                <w:rFonts w:ascii="Trebuchet MS" w:hAnsi="Trebuchet MS"/>
                <w:sz w:val="18"/>
              </w:rPr>
            </w:pPr>
            <w:r>
              <w:rPr>
                <w:rFonts w:ascii="Trebuchet MS" w:hAnsi="Trebuchet MS"/>
                <w:spacing w:val="-6"/>
                <w:sz w:val="18"/>
              </w:rPr>
              <w:t>Fuente:</w:t>
            </w:r>
            <w:r>
              <w:rPr>
                <w:rFonts w:ascii="Trebuchet MS" w:hAnsi="Trebuchet MS"/>
                <w:spacing w:val="-11"/>
                <w:sz w:val="18"/>
              </w:rPr>
              <w:t> </w:t>
            </w:r>
            <w:r>
              <w:rPr>
                <w:rFonts w:ascii="Trebuchet MS" w:hAnsi="Trebuchet MS"/>
                <w:spacing w:val="-6"/>
                <w:sz w:val="18"/>
              </w:rPr>
              <w:t>Compañía</w:t>
            </w:r>
            <w:r>
              <w:rPr>
                <w:rFonts w:ascii="Trebuchet MS" w:hAnsi="Trebuchet MS"/>
                <w:spacing w:val="-2"/>
                <w:sz w:val="18"/>
              </w:rPr>
              <w:t> </w:t>
            </w:r>
            <w:r>
              <w:rPr>
                <w:rFonts w:ascii="Trebuchet MS" w:hAnsi="Trebuchet MS"/>
                <w:spacing w:val="-6"/>
                <w:sz w:val="18"/>
              </w:rPr>
              <w:t>Transporte</w:t>
            </w:r>
          </w:p>
        </w:tc>
        <w:tc>
          <w:tcPr>
            <w:tcW w:w="488" w:type="dxa"/>
            <w:tcBorders>
              <w:right w:val="single" w:sz="6" w:space="0" w:color="000000"/>
            </w:tcBorders>
          </w:tcPr>
          <w:p>
            <w:pPr>
              <w:pStyle w:val="TableParagraph"/>
              <w:rPr>
                <w:rFonts w:ascii="Times New Roman"/>
                <w:sz w:val="16"/>
              </w:rPr>
            </w:pPr>
          </w:p>
        </w:tc>
        <w:tc>
          <w:tcPr>
            <w:tcW w:w="2656"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32"/>
              <w:rPr>
                <w:rFonts w:ascii="Trebuchet MS"/>
                <w:b/>
                <w:sz w:val="18"/>
              </w:rPr>
            </w:pPr>
            <w:r>
              <w:rPr>
                <w:rFonts w:ascii="Trebuchet MS"/>
                <w:b/>
                <w:spacing w:val="-4"/>
                <w:w w:val="95"/>
                <w:sz w:val="18"/>
              </w:rPr>
              <w:t>TOTAL</w:t>
            </w:r>
          </w:p>
        </w:tc>
        <w:tc>
          <w:tcPr>
            <w:tcW w:w="1214" w:type="dxa"/>
            <w:tcBorders>
              <w:top w:val="single" w:sz="6" w:space="0" w:color="000000"/>
              <w:left w:val="single" w:sz="6" w:space="0" w:color="000000"/>
              <w:bottom w:val="single" w:sz="6" w:space="0" w:color="000000"/>
              <w:right w:val="single" w:sz="6" w:space="0" w:color="000000"/>
            </w:tcBorders>
          </w:tcPr>
          <w:p>
            <w:pPr>
              <w:pStyle w:val="TableParagraph"/>
              <w:spacing w:line="198" w:lineRule="exact" w:before="17"/>
              <w:ind w:left="19"/>
              <w:jc w:val="center"/>
              <w:rPr>
                <w:rFonts w:ascii="Trebuchet MS"/>
                <w:b/>
                <w:sz w:val="18"/>
              </w:rPr>
            </w:pPr>
            <w:r>
              <w:rPr>
                <w:rFonts w:ascii="Trebuchet MS"/>
                <w:b/>
                <w:spacing w:val="-4"/>
                <w:sz w:val="18"/>
              </w:rPr>
              <w:t>5705</w:t>
            </w:r>
          </w:p>
        </w:tc>
      </w:tr>
      <w:tr>
        <w:trPr>
          <w:trHeight w:val="235" w:hRule="atLeast"/>
        </w:trPr>
        <w:tc>
          <w:tcPr>
            <w:tcW w:w="2193" w:type="dxa"/>
          </w:tcPr>
          <w:p>
            <w:pPr>
              <w:pStyle w:val="TableParagraph"/>
              <w:spacing w:line="198" w:lineRule="exact" w:before="17"/>
              <w:ind w:left="30"/>
              <w:rPr>
                <w:rFonts w:ascii="Trebuchet MS" w:hAnsi="Trebuchet MS"/>
                <w:sz w:val="18"/>
              </w:rPr>
            </w:pPr>
            <w:r>
              <w:rPr>
                <w:rFonts w:ascii="Trebuchet MS" w:hAnsi="Trebuchet MS"/>
                <w:spacing w:val="4"/>
                <w:w w:val="90"/>
                <w:sz w:val="18"/>
              </w:rPr>
              <w:t>Elaboración:</w:t>
            </w:r>
            <w:r>
              <w:rPr>
                <w:rFonts w:ascii="Trebuchet MS" w:hAnsi="Trebuchet MS"/>
                <w:spacing w:val="6"/>
                <w:sz w:val="18"/>
              </w:rPr>
              <w:t> </w:t>
            </w:r>
            <w:r>
              <w:rPr>
                <w:rFonts w:ascii="Trebuchet MS" w:hAnsi="Trebuchet MS"/>
                <w:spacing w:val="-4"/>
                <w:w w:val="95"/>
                <w:sz w:val="18"/>
              </w:rPr>
              <w:t>MPCE</w:t>
            </w:r>
          </w:p>
        </w:tc>
        <w:tc>
          <w:tcPr>
            <w:tcW w:w="1202" w:type="dxa"/>
          </w:tcPr>
          <w:p>
            <w:pPr>
              <w:pStyle w:val="TableParagraph"/>
              <w:rPr>
                <w:rFonts w:ascii="Times New Roman"/>
                <w:sz w:val="16"/>
              </w:rPr>
            </w:pPr>
          </w:p>
        </w:tc>
        <w:tc>
          <w:tcPr>
            <w:tcW w:w="488" w:type="dxa"/>
          </w:tcPr>
          <w:p>
            <w:pPr>
              <w:pStyle w:val="TableParagraph"/>
              <w:rPr>
                <w:rFonts w:ascii="Times New Roman"/>
                <w:sz w:val="16"/>
              </w:rPr>
            </w:pPr>
          </w:p>
        </w:tc>
        <w:tc>
          <w:tcPr>
            <w:tcW w:w="3870" w:type="dxa"/>
            <w:gridSpan w:val="2"/>
            <w:tcBorders>
              <w:top w:val="single" w:sz="6" w:space="0" w:color="000000"/>
            </w:tcBorders>
          </w:tcPr>
          <w:p>
            <w:pPr>
              <w:pStyle w:val="TableParagraph"/>
              <w:spacing w:line="198" w:lineRule="exact" w:before="17"/>
              <w:ind w:left="32"/>
              <w:rPr>
                <w:rFonts w:ascii="Trebuchet MS" w:hAnsi="Trebuchet MS"/>
                <w:sz w:val="18"/>
              </w:rPr>
            </w:pPr>
            <w:r>
              <w:rPr>
                <w:rFonts w:ascii="Trebuchet MS" w:hAnsi="Trebuchet MS"/>
                <w:w w:val="90"/>
                <w:sz w:val="18"/>
              </w:rPr>
              <w:t>Fuente:</w:t>
            </w:r>
            <w:r>
              <w:rPr>
                <w:rFonts w:ascii="Trebuchet MS" w:hAnsi="Trebuchet MS"/>
                <w:spacing w:val="3"/>
                <w:sz w:val="18"/>
              </w:rPr>
              <w:t> </w:t>
            </w:r>
            <w:r>
              <w:rPr>
                <w:rFonts w:ascii="Trebuchet MS" w:hAnsi="Trebuchet MS"/>
                <w:w w:val="90"/>
                <w:sz w:val="18"/>
              </w:rPr>
              <w:t>Compañía</w:t>
            </w:r>
            <w:r>
              <w:rPr>
                <w:rFonts w:ascii="Trebuchet MS" w:hAnsi="Trebuchet MS"/>
                <w:spacing w:val="15"/>
                <w:sz w:val="18"/>
              </w:rPr>
              <w:t> </w:t>
            </w:r>
            <w:r>
              <w:rPr>
                <w:rFonts w:ascii="Trebuchet MS" w:hAnsi="Trebuchet MS"/>
                <w:w w:val="90"/>
                <w:sz w:val="18"/>
              </w:rPr>
              <w:t>Transporte</w:t>
            </w:r>
            <w:r>
              <w:rPr>
                <w:rFonts w:ascii="Trebuchet MS" w:hAnsi="Trebuchet MS"/>
                <w:spacing w:val="-3"/>
                <w:sz w:val="18"/>
              </w:rPr>
              <w:t> </w:t>
            </w:r>
            <w:r>
              <w:rPr>
                <w:rFonts w:ascii="Trebuchet MS" w:hAnsi="Trebuchet MS"/>
                <w:w w:val="90"/>
                <w:sz w:val="18"/>
              </w:rPr>
              <w:t>/</w:t>
            </w:r>
            <w:r>
              <w:rPr>
                <w:rFonts w:ascii="Trebuchet MS" w:hAnsi="Trebuchet MS"/>
                <w:spacing w:val="7"/>
                <w:sz w:val="18"/>
              </w:rPr>
              <w:t> </w:t>
            </w:r>
            <w:r>
              <w:rPr>
                <w:rFonts w:ascii="Trebuchet MS" w:hAnsi="Trebuchet MS"/>
                <w:spacing w:val="-2"/>
                <w:w w:val="90"/>
                <w:sz w:val="18"/>
              </w:rPr>
              <w:t>Consolidadora</w:t>
            </w:r>
          </w:p>
        </w:tc>
      </w:tr>
      <w:tr>
        <w:trPr>
          <w:trHeight w:val="235" w:hRule="atLeast"/>
        </w:trPr>
        <w:tc>
          <w:tcPr>
            <w:tcW w:w="2193" w:type="dxa"/>
          </w:tcPr>
          <w:p>
            <w:pPr>
              <w:pStyle w:val="TableParagraph"/>
              <w:rPr>
                <w:rFonts w:ascii="Times New Roman"/>
                <w:sz w:val="16"/>
              </w:rPr>
            </w:pPr>
          </w:p>
        </w:tc>
        <w:tc>
          <w:tcPr>
            <w:tcW w:w="1202" w:type="dxa"/>
          </w:tcPr>
          <w:p>
            <w:pPr>
              <w:pStyle w:val="TableParagraph"/>
              <w:rPr>
                <w:rFonts w:ascii="Times New Roman"/>
                <w:sz w:val="16"/>
              </w:rPr>
            </w:pPr>
          </w:p>
        </w:tc>
        <w:tc>
          <w:tcPr>
            <w:tcW w:w="488" w:type="dxa"/>
          </w:tcPr>
          <w:p>
            <w:pPr>
              <w:pStyle w:val="TableParagraph"/>
              <w:rPr>
                <w:rFonts w:ascii="Times New Roman"/>
                <w:sz w:val="16"/>
              </w:rPr>
            </w:pPr>
          </w:p>
        </w:tc>
        <w:tc>
          <w:tcPr>
            <w:tcW w:w="2656" w:type="dxa"/>
          </w:tcPr>
          <w:p>
            <w:pPr>
              <w:pStyle w:val="TableParagraph"/>
              <w:spacing w:line="198" w:lineRule="exact" w:before="17"/>
              <w:ind w:left="32"/>
              <w:rPr>
                <w:rFonts w:ascii="Trebuchet MS" w:hAnsi="Trebuchet MS"/>
                <w:sz w:val="18"/>
              </w:rPr>
            </w:pPr>
            <w:r>
              <w:rPr>
                <w:rFonts w:ascii="Trebuchet MS" w:hAnsi="Trebuchet MS"/>
                <w:spacing w:val="4"/>
                <w:w w:val="90"/>
                <w:sz w:val="18"/>
              </w:rPr>
              <w:t>Elaboración:</w:t>
            </w:r>
            <w:r>
              <w:rPr>
                <w:rFonts w:ascii="Trebuchet MS" w:hAnsi="Trebuchet MS"/>
                <w:spacing w:val="6"/>
                <w:sz w:val="18"/>
              </w:rPr>
              <w:t> </w:t>
            </w:r>
            <w:r>
              <w:rPr>
                <w:rFonts w:ascii="Trebuchet MS" w:hAnsi="Trebuchet MS"/>
                <w:spacing w:val="-4"/>
                <w:w w:val="95"/>
                <w:sz w:val="18"/>
              </w:rPr>
              <w:t>MPCE</w:t>
            </w:r>
          </w:p>
        </w:tc>
        <w:tc>
          <w:tcPr>
            <w:tcW w:w="1214" w:type="dxa"/>
          </w:tcPr>
          <w:p>
            <w:pPr>
              <w:pStyle w:val="TableParagraph"/>
              <w:rPr>
                <w:rFonts w:ascii="Times New Roman"/>
                <w:sz w:val="16"/>
              </w:rPr>
            </w:pPr>
          </w:p>
        </w:tc>
      </w:tr>
    </w:tbl>
    <w:p>
      <w:pPr>
        <w:pStyle w:val="BodyText"/>
        <w:spacing w:before="196"/>
        <w:rPr>
          <w:rFonts w:ascii="Arial"/>
          <w:b/>
          <w:sz w:val="20"/>
        </w:rPr>
      </w:pPr>
      <w:r>
        <w:rPr>
          <w:rFonts w:ascii="Arial"/>
          <w:b/>
          <w:sz w:val="20"/>
        </w:rPr>
        <mc:AlternateContent>
          <mc:Choice Requires="wps">
            <w:drawing>
              <wp:anchor distT="0" distB="0" distL="0" distR="0" allowOverlap="1" layoutInCell="1" locked="0" behindDoc="1" simplePos="0" relativeHeight="487656448">
                <wp:simplePos x="0" y="0"/>
                <wp:positionH relativeFrom="page">
                  <wp:posOffset>990904</wp:posOffset>
                </wp:positionH>
                <wp:positionV relativeFrom="paragraph">
                  <wp:posOffset>285787</wp:posOffset>
                </wp:positionV>
                <wp:extent cx="1829435" cy="7620"/>
                <wp:effectExtent l="0" t="0" r="0" b="0"/>
                <wp:wrapTopAndBottom/>
                <wp:docPr id="552" name="Graphic 552"/>
                <wp:cNvGraphicFramePr>
                  <a:graphicFrameLocks/>
                </wp:cNvGraphicFramePr>
                <a:graphic>
                  <a:graphicData uri="http://schemas.microsoft.com/office/word/2010/wordprocessingShape">
                    <wps:wsp>
                      <wps:cNvPr id="552" name="Graphic 552"/>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2.502914pt;width:144.020pt;height:.599980pt;mso-position-horizontal-relative:page;mso-position-vertical-relative:paragraph;z-index:-15660032;mso-wrap-distance-left:0;mso-wrap-distance-right:0" id="docshape381" filled="true" fillcolor="#000000" stroked="false">
                <v:fill type="solid"/>
                <w10:wrap type="topAndBottom"/>
              </v:rect>
            </w:pict>
          </mc:Fallback>
        </mc:AlternateContent>
      </w:r>
    </w:p>
    <w:p>
      <w:pPr>
        <w:spacing w:before="93"/>
        <w:ind w:left="568" w:right="0" w:firstLine="0"/>
        <w:jc w:val="left"/>
        <w:rPr>
          <w:sz w:val="16"/>
        </w:rPr>
      </w:pPr>
      <w:bookmarkStart w:name="_bookmark157" w:id="158"/>
      <w:bookmarkEnd w:id="158"/>
      <w:r>
        <w:rPr/>
      </w:r>
      <w:r>
        <w:rPr>
          <w:sz w:val="16"/>
          <w:vertAlign w:val="superscript"/>
        </w:rPr>
        <w:t>90</w:t>
      </w:r>
      <w:r>
        <w:rPr>
          <w:spacing w:val="-7"/>
          <w:sz w:val="16"/>
          <w:vertAlign w:val="baseline"/>
        </w:rPr>
        <w:t> </w:t>
      </w:r>
      <w:r>
        <w:rPr>
          <w:sz w:val="16"/>
          <w:vertAlign w:val="baseline"/>
        </w:rPr>
        <w:t>Expediente</w:t>
      </w:r>
      <w:r>
        <w:rPr>
          <w:spacing w:val="-7"/>
          <w:sz w:val="16"/>
          <w:vertAlign w:val="baseline"/>
        </w:rPr>
        <w:t> </w:t>
      </w:r>
      <w:r>
        <w:rPr>
          <w:sz w:val="16"/>
          <w:vertAlign w:val="baseline"/>
        </w:rPr>
        <w:t>DGCOM/GRAV-REST/002/2026,</w:t>
      </w:r>
      <w:r>
        <w:rPr>
          <w:spacing w:val="-6"/>
          <w:sz w:val="16"/>
          <w:vertAlign w:val="baseline"/>
        </w:rPr>
        <w:t> </w:t>
      </w:r>
      <w:r>
        <w:rPr>
          <w:sz w:val="16"/>
          <w:vertAlign w:val="baseline"/>
        </w:rPr>
        <w:t>folios</w:t>
      </w:r>
      <w:r>
        <w:rPr>
          <w:spacing w:val="-5"/>
          <w:sz w:val="16"/>
          <w:vertAlign w:val="baseline"/>
        </w:rPr>
        <w:t> </w:t>
      </w:r>
      <w:r>
        <w:rPr>
          <w:sz w:val="16"/>
          <w:vertAlign w:val="baseline"/>
        </w:rPr>
        <w:t>000105</w:t>
      </w:r>
      <w:r>
        <w:rPr>
          <w:spacing w:val="-8"/>
          <w:sz w:val="16"/>
          <w:vertAlign w:val="baseline"/>
        </w:rPr>
        <w:t> </w:t>
      </w:r>
      <w:r>
        <w:rPr>
          <w:sz w:val="16"/>
          <w:vertAlign w:val="baseline"/>
        </w:rPr>
        <w:t>y</w:t>
      </w:r>
      <w:r>
        <w:rPr>
          <w:spacing w:val="-7"/>
          <w:sz w:val="16"/>
          <w:vertAlign w:val="baseline"/>
        </w:rPr>
        <w:t> </w:t>
      </w:r>
      <w:r>
        <w:rPr>
          <w:spacing w:val="-2"/>
          <w:sz w:val="16"/>
          <w:vertAlign w:val="baseline"/>
        </w:rPr>
        <w:t>000106.</w:t>
      </w:r>
    </w:p>
    <w:p>
      <w:pPr>
        <w:spacing w:before="0"/>
        <w:ind w:left="568" w:right="979" w:firstLine="0"/>
        <w:jc w:val="both"/>
        <w:rPr>
          <w:rFonts w:ascii="Arial" w:hAnsi="Arial"/>
          <w:i/>
          <w:sz w:val="16"/>
        </w:rPr>
      </w:pPr>
      <w:bookmarkStart w:name="_bookmark158" w:id="159"/>
      <w:bookmarkEnd w:id="159"/>
      <w:r>
        <w:rPr/>
      </w:r>
      <w:r>
        <w:rPr>
          <w:sz w:val="16"/>
          <w:vertAlign w:val="superscript"/>
        </w:rPr>
        <w:t>91</w:t>
      </w:r>
      <w:r>
        <w:rPr>
          <w:sz w:val="16"/>
          <w:vertAlign w:val="baseline"/>
        </w:rPr>
        <w:t> Según se señala en el informe de la República del Ecuador “</w:t>
      </w:r>
      <w:r>
        <w:rPr>
          <w:rFonts w:ascii="Arial" w:hAnsi="Arial"/>
          <w:i/>
          <w:sz w:val="16"/>
          <w:vertAlign w:val="baseline"/>
        </w:rPr>
        <w:t>Para este ejercicio se utilizará como ejemplo el escenario de la exportación de 33 TM de arroz en sacos de Guayaquil - Ecuador hacia Bogotá - Colombia. Según la información obtenida a través</w:t>
      </w:r>
      <w:r>
        <w:rPr>
          <w:rFonts w:ascii="Arial" w:hAnsi="Arial"/>
          <w:i/>
          <w:spacing w:val="37"/>
          <w:sz w:val="16"/>
          <w:vertAlign w:val="baseline"/>
        </w:rPr>
        <w:t> </w:t>
      </w:r>
      <w:r>
        <w:rPr>
          <w:rFonts w:ascii="Arial" w:hAnsi="Arial"/>
          <w:i/>
          <w:sz w:val="16"/>
          <w:vertAlign w:val="baseline"/>
        </w:rPr>
        <w:t>de</w:t>
      </w:r>
      <w:r>
        <w:rPr>
          <w:rFonts w:ascii="Arial" w:hAnsi="Arial"/>
          <w:i/>
          <w:spacing w:val="39"/>
          <w:sz w:val="16"/>
          <w:vertAlign w:val="baseline"/>
        </w:rPr>
        <w:t> </w:t>
      </w:r>
      <w:r>
        <w:rPr>
          <w:rFonts w:ascii="Arial" w:hAnsi="Arial"/>
          <w:i/>
          <w:sz w:val="16"/>
          <w:vertAlign w:val="baseline"/>
        </w:rPr>
        <w:t>una</w:t>
      </w:r>
      <w:r>
        <w:rPr>
          <w:rFonts w:ascii="Arial" w:hAnsi="Arial"/>
          <w:i/>
          <w:spacing w:val="38"/>
          <w:sz w:val="16"/>
          <w:vertAlign w:val="baseline"/>
        </w:rPr>
        <w:t> </w:t>
      </w:r>
      <w:r>
        <w:rPr>
          <w:rFonts w:ascii="Arial" w:hAnsi="Arial"/>
          <w:i/>
          <w:sz w:val="16"/>
          <w:vertAlign w:val="baseline"/>
        </w:rPr>
        <w:t>Consolidadora</w:t>
      </w:r>
      <w:r>
        <w:rPr>
          <w:rFonts w:ascii="Arial" w:hAnsi="Arial"/>
          <w:i/>
          <w:spacing w:val="39"/>
          <w:sz w:val="16"/>
          <w:vertAlign w:val="baseline"/>
        </w:rPr>
        <w:t> </w:t>
      </w:r>
      <w:r>
        <w:rPr>
          <w:rFonts w:ascii="Arial" w:hAnsi="Arial"/>
          <w:i/>
          <w:sz w:val="16"/>
          <w:vertAlign w:val="baseline"/>
        </w:rPr>
        <w:t>y</w:t>
      </w:r>
      <w:r>
        <w:rPr>
          <w:rFonts w:ascii="Arial" w:hAnsi="Arial"/>
          <w:i/>
          <w:spacing w:val="36"/>
          <w:sz w:val="16"/>
          <w:vertAlign w:val="baseline"/>
        </w:rPr>
        <w:t> </w:t>
      </w:r>
      <w:r>
        <w:rPr>
          <w:rFonts w:ascii="Arial" w:hAnsi="Arial"/>
          <w:i/>
          <w:sz w:val="16"/>
          <w:vertAlign w:val="baseline"/>
        </w:rPr>
        <w:t>una</w:t>
      </w:r>
      <w:r>
        <w:rPr>
          <w:rFonts w:ascii="Arial" w:hAnsi="Arial"/>
          <w:i/>
          <w:spacing w:val="38"/>
          <w:sz w:val="16"/>
          <w:vertAlign w:val="baseline"/>
        </w:rPr>
        <w:t> </w:t>
      </w:r>
      <w:r>
        <w:rPr>
          <w:rFonts w:ascii="Arial" w:hAnsi="Arial"/>
          <w:i/>
          <w:sz w:val="16"/>
          <w:vertAlign w:val="baseline"/>
        </w:rPr>
        <w:t>Compañía</w:t>
      </w:r>
      <w:r>
        <w:rPr>
          <w:rFonts w:ascii="Arial" w:hAnsi="Arial"/>
          <w:i/>
          <w:spacing w:val="39"/>
          <w:sz w:val="16"/>
          <w:vertAlign w:val="baseline"/>
        </w:rPr>
        <w:t> </w:t>
      </w:r>
      <w:r>
        <w:rPr>
          <w:rFonts w:ascii="Arial" w:hAnsi="Arial"/>
          <w:i/>
          <w:sz w:val="16"/>
          <w:vertAlign w:val="baseline"/>
        </w:rPr>
        <w:t>de</w:t>
      </w:r>
      <w:r>
        <w:rPr>
          <w:rFonts w:ascii="Arial" w:hAnsi="Arial"/>
          <w:i/>
          <w:spacing w:val="38"/>
          <w:sz w:val="16"/>
          <w:vertAlign w:val="baseline"/>
        </w:rPr>
        <w:t> </w:t>
      </w:r>
      <w:r>
        <w:rPr>
          <w:rFonts w:ascii="Arial" w:hAnsi="Arial"/>
          <w:i/>
          <w:sz w:val="16"/>
          <w:vertAlign w:val="baseline"/>
        </w:rPr>
        <w:t>Transporte</w:t>
      </w:r>
      <w:r>
        <w:rPr>
          <w:rFonts w:ascii="Arial" w:hAnsi="Arial"/>
          <w:i/>
          <w:spacing w:val="36"/>
          <w:sz w:val="16"/>
          <w:vertAlign w:val="baseline"/>
        </w:rPr>
        <w:t> </w:t>
      </w:r>
      <w:r>
        <w:rPr>
          <w:rFonts w:ascii="Arial" w:hAnsi="Arial"/>
          <w:i/>
          <w:sz w:val="16"/>
          <w:vertAlign w:val="baseline"/>
        </w:rPr>
        <w:t>terrestre</w:t>
      </w:r>
      <w:r>
        <w:rPr>
          <w:rFonts w:ascii="Arial" w:hAnsi="Arial"/>
          <w:i/>
          <w:spacing w:val="39"/>
          <w:sz w:val="16"/>
          <w:vertAlign w:val="baseline"/>
        </w:rPr>
        <w:t> </w:t>
      </w:r>
      <w:r>
        <w:rPr>
          <w:rFonts w:ascii="Arial" w:hAnsi="Arial"/>
          <w:i/>
          <w:sz w:val="16"/>
          <w:vertAlign w:val="baseline"/>
        </w:rPr>
        <w:t>y</w:t>
      </w:r>
      <w:r>
        <w:rPr>
          <w:rFonts w:ascii="Arial" w:hAnsi="Arial"/>
          <w:i/>
          <w:spacing w:val="37"/>
          <w:sz w:val="16"/>
          <w:vertAlign w:val="baseline"/>
        </w:rPr>
        <w:t> </w:t>
      </w:r>
      <w:r>
        <w:rPr>
          <w:rFonts w:ascii="Arial" w:hAnsi="Arial"/>
          <w:i/>
          <w:sz w:val="16"/>
          <w:vertAlign w:val="baseline"/>
        </w:rPr>
        <w:t>Servicios</w:t>
      </w:r>
      <w:r>
        <w:rPr>
          <w:rFonts w:ascii="Arial" w:hAnsi="Arial"/>
          <w:i/>
          <w:spacing w:val="38"/>
          <w:sz w:val="16"/>
          <w:vertAlign w:val="baseline"/>
        </w:rPr>
        <w:t> </w:t>
      </w:r>
      <w:r>
        <w:rPr>
          <w:rFonts w:ascii="Arial" w:hAnsi="Arial"/>
          <w:i/>
          <w:sz w:val="16"/>
          <w:vertAlign w:val="baseline"/>
        </w:rPr>
        <w:t>Aduaneros,</w:t>
      </w:r>
      <w:r>
        <w:rPr>
          <w:rFonts w:ascii="Arial" w:hAnsi="Arial"/>
          <w:i/>
          <w:spacing w:val="40"/>
          <w:sz w:val="16"/>
          <w:vertAlign w:val="baseline"/>
        </w:rPr>
        <w:t> </w:t>
      </w:r>
      <w:r>
        <w:rPr>
          <w:rFonts w:ascii="Arial" w:hAnsi="Arial"/>
          <w:i/>
          <w:sz w:val="16"/>
          <w:vertAlign w:val="baseline"/>
        </w:rPr>
        <w:t>este</w:t>
      </w:r>
      <w:r>
        <w:rPr>
          <w:rFonts w:ascii="Arial" w:hAnsi="Arial"/>
          <w:i/>
          <w:spacing w:val="36"/>
          <w:sz w:val="16"/>
          <w:vertAlign w:val="baseline"/>
        </w:rPr>
        <w:t> </w:t>
      </w:r>
      <w:r>
        <w:rPr>
          <w:rFonts w:ascii="Arial" w:hAnsi="Arial"/>
          <w:i/>
          <w:sz w:val="16"/>
          <w:vertAlign w:val="baseline"/>
        </w:rPr>
        <w:t>volumen</w:t>
      </w:r>
      <w:r>
        <w:rPr>
          <w:rFonts w:ascii="Arial" w:hAnsi="Arial"/>
          <w:i/>
          <w:spacing w:val="37"/>
          <w:sz w:val="16"/>
          <w:vertAlign w:val="baseline"/>
        </w:rPr>
        <w:t> </w:t>
      </w:r>
      <w:r>
        <w:rPr>
          <w:rFonts w:ascii="Arial" w:hAnsi="Arial"/>
          <w:i/>
          <w:sz w:val="16"/>
          <w:vertAlign w:val="baseline"/>
        </w:rPr>
        <w:t>puede</w:t>
      </w:r>
      <w:r>
        <w:rPr>
          <w:rFonts w:ascii="Arial" w:hAnsi="Arial"/>
          <w:i/>
          <w:spacing w:val="36"/>
          <w:sz w:val="16"/>
          <w:vertAlign w:val="baseline"/>
        </w:rPr>
        <w:t> </w:t>
      </w:r>
      <w:r>
        <w:rPr>
          <w:rFonts w:ascii="Arial" w:hAnsi="Arial"/>
          <w:i/>
          <w:spacing w:val="-5"/>
          <w:sz w:val="16"/>
          <w:vertAlign w:val="baseline"/>
        </w:rPr>
        <w:t>ser</w:t>
      </w:r>
    </w:p>
    <w:p>
      <w:pPr>
        <w:spacing w:before="0"/>
        <w:ind w:left="160" w:right="0" w:firstLine="0"/>
        <w:jc w:val="both"/>
        <w:rPr>
          <w:sz w:val="16"/>
        </w:rPr>
      </w:pPr>
      <w:r>
        <w:rPr>
          <w:rFonts w:ascii="Times New Roman" w:hAnsi="Times New Roman"/>
          <w:spacing w:val="72"/>
          <w:sz w:val="16"/>
          <w:u w:val="single"/>
        </w:rPr>
        <w:t>    </w:t>
      </w:r>
      <w:r>
        <w:rPr>
          <w:rFonts w:ascii="Arial" w:hAnsi="Arial"/>
          <w:i/>
          <w:spacing w:val="-2"/>
          <w:sz w:val="16"/>
          <w:u w:val="single"/>
        </w:rPr>
        <w:t>transportado</w:t>
      </w:r>
      <w:r>
        <w:rPr>
          <w:rFonts w:ascii="Arial" w:hAnsi="Arial"/>
          <w:i/>
          <w:spacing w:val="-7"/>
          <w:sz w:val="16"/>
          <w:u w:val="single"/>
        </w:rPr>
        <w:t> </w:t>
      </w:r>
      <w:r>
        <w:rPr>
          <w:rFonts w:ascii="Arial" w:hAnsi="Arial"/>
          <w:i/>
          <w:spacing w:val="-2"/>
          <w:sz w:val="16"/>
          <w:u w:val="single"/>
        </w:rPr>
        <w:t>en</w:t>
      </w:r>
      <w:r>
        <w:rPr>
          <w:rFonts w:ascii="Arial" w:hAnsi="Arial"/>
          <w:i/>
          <w:spacing w:val="-6"/>
          <w:sz w:val="16"/>
          <w:u w:val="single"/>
        </w:rPr>
        <w:t> </w:t>
      </w:r>
      <w:r>
        <w:rPr>
          <w:rFonts w:ascii="Arial" w:hAnsi="Arial"/>
          <w:i/>
          <w:spacing w:val="-2"/>
          <w:sz w:val="16"/>
          <w:u w:val="single"/>
        </w:rPr>
        <w:t>un</w:t>
      </w:r>
      <w:r>
        <w:rPr>
          <w:rFonts w:ascii="Arial" w:hAnsi="Arial"/>
          <w:i/>
          <w:spacing w:val="-10"/>
          <w:sz w:val="16"/>
          <w:u w:val="single"/>
        </w:rPr>
        <w:t> </w:t>
      </w:r>
      <w:r>
        <w:rPr>
          <w:rFonts w:ascii="Arial" w:hAnsi="Arial"/>
          <w:i/>
          <w:spacing w:val="-2"/>
          <w:sz w:val="16"/>
          <w:u w:val="single"/>
        </w:rPr>
        <w:t>contenedor</w:t>
      </w:r>
      <w:r>
        <w:rPr>
          <w:rFonts w:ascii="Arial" w:hAnsi="Arial"/>
          <w:i/>
          <w:spacing w:val="-6"/>
          <w:sz w:val="16"/>
          <w:u w:val="single"/>
        </w:rPr>
        <w:t> </w:t>
      </w:r>
      <w:r>
        <w:rPr>
          <w:rFonts w:ascii="Arial" w:hAnsi="Arial"/>
          <w:i/>
          <w:spacing w:val="-2"/>
          <w:sz w:val="16"/>
          <w:u w:val="single"/>
        </w:rPr>
        <w:t>de</w:t>
      </w:r>
      <w:r>
        <w:rPr>
          <w:rFonts w:ascii="Arial" w:hAnsi="Arial"/>
          <w:i/>
          <w:spacing w:val="-10"/>
          <w:sz w:val="16"/>
          <w:u w:val="single"/>
        </w:rPr>
        <w:t> </w:t>
      </w:r>
      <w:r>
        <w:rPr>
          <w:rFonts w:ascii="Arial" w:hAnsi="Arial"/>
          <w:i/>
          <w:spacing w:val="-2"/>
          <w:sz w:val="16"/>
          <w:u w:val="single"/>
        </w:rPr>
        <w:t>40</w:t>
      </w:r>
      <w:r>
        <w:rPr>
          <w:rFonts w:ascii="Arial" w:hAnsi="Arial"/>
          <w:i/>
          <w:spacing w:val="-6"/>
          <w:sz w:val="16"/>
          <w:u w:val="single"/>
        </w:rPr>
        <w:t> </w:t>
      </w:r>
      <w:r>
        <w:rPr>
          <w:rFonts w:ascii="Arial" w:hAnsi="Arial"/>
          <w:i/>
          <w:spacing w:val="-2"/>
          <w:sz w:val="16"/>
          <w:u w:val="single"/>
        </w:rPr>
        <w:t>pies</w:t>
      </w:r>
      <w:r>
        <w:rPr>
          <w:rFonts w:ascii="Arial" w:hAnsi="Arial"/>
          <w:i/>
          <w:spacing w:val="-9"/>
          <w:sz w:val="16"/>
          <w:u w:val="single"/>
        </w:rPr>
        <w:t> </w:t>
      </w:r>
      <w:r>
        <w:rPr>
          <w:rFonts w:ascii="Arial" w:hAnsi="Arial"/>
          <w:i/>
          <w:spacing w:val="-2"/>
          <w:sz w:val="16"/>
          <w:u w:val="single"/>
        </w:rPr>
        <w:t>y</w:t>
      </w:r>
      <w:r>
        <w:rPr>
          <w:rFonts w:ascii="Arial" w:hAnsi="Arial"/>
          <w:i/>
          <w:spacing w:val="-5"/>
          <w:sz w:val="16"/>
          <w:u w:val="single"/>
        </w:rPr>
        <w:t> </w:t>
      </w:r>
      <w:r>
        <w:rPr>
          <w:rFonts w:ascii="Arial" w:hAnsi="Arial"/>
          <w:i/>
          <w:spacing w:val="-2"/>
          <w:sz w:val="16"/>
          <w:u w:val="single"/>
        </w:rPr>
        <w:t>un</w:t>
      </w:r>
      <w:r>
        <w:rPr>
          <w:rFonts w:ascii="Arial" w:hAnsi="Arial"/>
          <w:i/>
          <w:spacing w:val="-8"/>
          <w:sz w:val="16"/>
          <w:u w:val="single"/>
        </w:rPr>
        <w:t> </w:t>
      </w:r>
      <w:r>
        <w:rPr>
          <w:rFonts w:ascii="Arial" w:hAnsi="Arial"/>
          <w:i/>
          <w:spacing w:val="-2"/>
          <w:sz w:val="16"/>
          <w:u w:val="single"/>
        </w:rPr>
        <w:t>contenedor</w:t>
      </w:r>
      <w:r>
        <w:rPr>
          <w:rFonts w:ascii="Arial" w:hAnsi="Arial"/>
          <w:i/>
          <w:spacing w:val="-6"/>
          <w:sz w:val="16"/>
          <w:u w:val="single"/>
        </w:rPr>
        <w:t> </w:t>
      </w:r>
      <w:r>
        <w:rPr>
          <w:rFonts w:ascii="Arial" w:hAnsi="Arial"/>
          <w:i/>
          <w:spacing w:val="-2"/>
          <w:sz w:val="16"/>
          <w:u w:val="single"/>
        </w:rPr>
        <w:t>de</w:t>
      </w:r>
      <w:r>
        <w:rPr>
          <w:rFonts w:ascii="Arial" w:hAnsi="Arial"/>
          <w:i/>
          <w:spacing w:val="-8"/>
          <w:sz w:val="16"/>
          <w:u w:val="single"/>
        </w:rPr>
        <w:t> </w:t>
      </w:r>
      <w:r>
        <w:rPr>
          <w:rFonts w:ascii="Arial" w:hAnsi="Arial"/>
          <w:i/>
          <w:spacing w:val="-2"/>
          <w:sz w:val="16"/>
          <w:u w:val="single"/>
        </w:rPr>
        <w:t>20</w:t>
      </w:r>
      <w:r>
        <w:rPr>
          <w:rFonts w:ascii="Arial" w:hAnsi="Arial"/>
          <w:i/>
          <w:spacing w:val="-6"/>
          <w:sz w:val="16"/>
          <w:u w:val="single"/>
        </w:rPr>
        <w:t> </w:t>
      </w:r>
      <w:r>
        <w:rPr>
          <w:rFonts w:ascii="Arial" w:hAnsi="Arial"/>
          <w:i/>
          <w:spacing w:val="-2"/>
          <w:sz w:val="16"/>
          <w:u w:val="single"/>
        </w:rPr>
        <w:t>pies”. </w:t>
      </w:r>
      <w:r>
        <w:rPr>
          <w:spacing w:val="-2"/>
          <w:sz w:val="16"/>
          <w:u w:val="single"/>
        </w:rPr>
        <w:t>Expediente</w:t>
      </w:r>
      <w:r>
        <w:rPr>
          <w:spacing w:val="-6"/>
          <w:sz w:val="16"/>
          <w:u w:val="single"/>
        </w:rPr>
        <w:t> </w:t>
      </w:r>
      <w:r>
        <w:rPr>
          <w:spacing w:val="-2"/>
          <w:sz w:val="16"/>
          <w:u w:val="single"/>
        </w:rPr>
        <w:t>DGCOM/GRAV-REST/002/2026,</w:t>
      </w:r>
      <w:r>
        <w:rPr>
          <w:spacing w:val="-6"/>
          <w:sz w:val="16"/>
          <w:u w:val="single"/>
        </w:rPr>
        <w:t> </w:t>
      </w:r>
      <w:r>
        <w:rPr>
          <w:spacing w:val="-2"/>
          <w:sz w:val="16"/>
          <w:u w:val="single"/>
        </w:rPr>
        <w:t>folio</w:t>
      </w:r>
      <w:r>
        <w:rPr>
          <w:spacing w:val="-7"/>
          <w:sz w:val="16"/>
          <w:u w:val="single"/>
        </w:rPr>
        <w:t> </w:t>
      </w:r>
      <w:r>
        <w:rPr>
          <w:spacing w:val="-2"/>
          <w:sz w:val="16"/>
          <w:u w:val="single"/>
        </w:rPr>
        <w:t>000105.</w:t>
      </w:r>
      <w:r>
        <w:rPr>
          <w:spacing w:val="40"/>
          <w:sz w:val="16"/>
          <w:u w:val="single"/>
        </w:rPr>
        <w:t>  </w:t>
      </w:r>
    </w:p>
    <w:p>
      <w:pPr>
        <w:spacing w:after="0"/>
        <w:jc w:val="both"/>
        <w:rPr>
          <w:sz w:val="16"/>
        </w:rPr>
        <w:sectPr>
          <w:pgSz w:w="11900" w:h="16850"/>
          <w:pgMar w:header="370" w:footer="597" w:top="1380" w:bottom="780" w:left="992" w:right="283"/>
        </w:sectPr>
      </w:pPr>
    </w:p>
    <w:p>
      <w:pPr>
        <w:pStyle w:val="BodyText"/>
        <w:spacing w:before="176"/>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El ejemplo presentado conduce a la conclusión de que el costo del transporte de arroz en sacos por vía marítima sería aproximadamente un 58% superior al costo de transporte por vía terrestre.</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Sobre</w:t>
      </w:r>
      <w:r>
        <w:rPr>
          <w:spacing w:val="-16"/>
          <w:sz w:val="22"/>
        </w:rPr>
        <w:t> </w:t>
      </w:r>
      <w:r>
        <w:rPr>
          <w:sz w:val="22"/>
        </w:rPr>
        <w:t>este</w:t>
      </w:r>
      <w:r>
        <w:rPr>
          <w:spacing w:val="-15"/>
          <w:sz w:val="22"/>
        </w:rPr>
        <w:t> </w:t>
      </w:r>
      <w:r>
        <w:rPr>
          <w:sz w:val="22"/>
        </w:rPr>
        <w:t>particular,</w:t>
      </w:r>
      <w:r>
        <w:rPr>
          <w:spacing w:val="-15"/>
          <w:sz w:val="22"/>
        </w:rPr>
        <w:t> </w:t>
      </w:r>
      <w:r>
        <w:rPr>
          <w:sz w:val="22"/>
        </w:rPr>
        <w:t>la</w:t>
      </w:r>
      <w:r>
        <w:rPr>
          <w:spacing w:val="-16"/>
          <w:sz w:val="22"/>
        </w:rPr>
        <w:t> </w:t>
      </w:r>
      <w:r>
        <w:rPr>
          <w:sz w:val="22"/>
        </w:rPr>
        <w:t>República</w:t>
      </w:r>
      <w:r>
        <w:rPr>
          <w:spacing w:val="-15"/>
          <w:sz w:val="22"/>
        </w:rPr>
        <w:t> </w:t>
      </w:r>
      <w:r>
        <w:rPr>
          <w:sz w:val="22"/>
        </w:rPr>
        <w:t>de</w:t>
      </w:r>
      <w:r>
        <w:rPr>
          <w:spacing w:val="-15"/>
          <w:sz w:val="22"/>
        </w:rPr>
        <w:t> </w:t>
      </w:r>
      <w:r>
        <w:rPr>
          <w:sz w:val="22"/>
        </w:rPr>
        <w:t>Colombia</w:t>
      </w:r>
      <w:r>
        <w:rPr>
          <w:spacing w:val="-15"/>
          <w:sz w:val="22"/>
        </w:rPr>
        <w:t> </w:t>
      </w:r>
      <w:r>
        <w:rPr>
          <w:sz w:val="22"/>
        </w:rPr>
        <w:t>señala</w:t>
      </w:r>
      <w:r>
        <w:rPr>
          <w:spacing w:val="-16"/>
          <w:sz w:val="22"/>
        </w:rPr>
        <w:t> </w:t>
      </w:r>
      <w:r>
        <w:rPr>
          <w:sz w:val="22"/>
        </w:rPr>
        <w:t>que</w:t>
      </w:r>
      <w:r>
        <w:rPr>
          <w:spacing w:val="-15"/>
          <w:sz w:val="22"/>
        </w:rPr>
        <w:t> </w:t>
      </w:r>
      <w:r>
        <w:rPr>
          <w:sz w:val="22"/>
        </w:rPr>
        <w:t>los</w:t>
      </w:r>
      <w:r>
        <w:rPr>
          <w:spacing w:val="-15"/>
          <w:sz w:val="22"/>
        </w:rPr>
        <w:t> </w:t>
      </w:r>
      <w:r>
        <w:rPr>
          <w:sz w:val="22"/>
        </w:rPr>
        <w:t>puertos</w:t>
      </w:r>
      <w:r>
        <w:rPr>
          <w:spacing w:val="-16"/>
          <w:sz w:val="22"/>
        </w:rPr>
        <w:t> </w:t>
      </w:r>
      <w:r>
        <w:rPr>
          <w:sz w:val="22"/>
        </w:rPr>
        <w:t>de</w:t>
      </w:r>
      <w:r>
        <w:rPr>
          <w:spacing w:val="-15"/>
          <w:sz w:val="22"/>
        </w:rPr>
        <w:t> </w:t>
      </w:r>
      <w:r>
        <w:rPr>
          <w:sz w:val="22"/>
        </w:rPr>
        <w:t>Buenaventura y Cartagena constituirían una “</w:t>
      </w:r>
      <w:r>
        <w:rPr>
          <w:rFonts w:ascii="Arial" w:hAnsi="Arial"/>
          <w:i/>
          <w:sz w:val="22"/>
        </w:rPr>
        <w:t>alternativa logística efectivamente disponible para el comercio</w:t>
      </w:r>
      <w:r>
        <w:rPr>
          <w:rFonts w:ascii="Arial" w:hAnsi="Arial"/>
          <w:i/>
          <w:spacing w:val="-2"/>
          <w:sz w:val="22"/>
        </w:rPr>
        <w:t> </w:t>
      </w:r>
      <w:r>
        <w:rPr>
          <w:rFonts w:ascii="Arial" w:hAnsi="Arial"/>
          <w:i/>
          <w:sz w:val="22"/>
        </w:rPr>
        <w:t>de arroz, particularmente</w:t>
      </w:r>
      <w:r>
        <w:rPr>
          <w:rFonts w:ascii="Arial" w:hAnsi="Arial"/>
          <w:i/>
          <w:spacing w:val="-2"/>
          <w:sz w:val="22"/>
        </w:rPr>
        <w:t> </w:t>
      </w:r>
      <w:r>
        <w:rPr>
          <w:rFonts w:ascii="Arial" w:hAnsi="Arial"/>
          <w:i/>
          <w:sz w:val="22"/>
        </w:rPr>
        <w:t>en</w:t>
      </w:r>
      <w:r>
        <w:rPr>
          <w:rFonts w:ascii="Arial" w:hAnsi="Arial"/>
          <w:i/>
          <w:spacing w:val="-2"/>
          <w:sz w:val="22"/>
        </w:rPr>
        <w:t> </w:t>
      </w:r>
      <w:r>
        <w:rPr>
          <w:rFonts w:ascii="Arial" w:hAnsi="Arial"/>
          <w:i/>
          <w:sz w:val="22"/>
        </w:rPr>
        <w:t>consideración de que el</w:t>
      </w:r>
      <w:r>
        <w:rPr>
          <w:rFonts w:ascii="Arial" w:hAnsi="Arial"/>
          <w:i/>
          <w:spacing w:val="-3"/>
          <w:sz w:val="22"/>
        </w:rPr>
        <w:t> </w:t>
      </w:r>
      <w:r>
        <w:rPr>
          <w:rFonts w:ascii="Arial" w:hAnsi="Arial"/>
          <w:i/>
          <w:sz w:val="22"/>
        </w:rPr>
        <w:t>arroz no</w:t>
      </w:r>
      <w:r>
        <w:rPr>
          <w:rFonts w:ascii="Arial" w:hAnsi="Arial"/>
          <w:i/>
          <w:spacing w:val="-2"/>
          <w:sz w:val="22"/>
        </w:rPr>
        <w:t> </w:t>
      </w:r>
      <w:r>
        <w:rPr>
          <w:rFonts w:ascii="Arial" w:hAnsi="Arial"/>
          <w:i/>
          <w:sz w:val="22"/>
        </w:rPr>
        <w:t>es</w:t>
      </w:r>
      <w:r>
        <w:rPr>
          <w:rFonts w:ascii="Arial" w:hAnsi="Arial"/>
          <w:i/>
          <w:spacing w:val="-2"/>
          <w:sz w:val="22"/>
        </w:rPr>
        <w:t> </w:t>
      </w:r>
      <w:r>
        <w:rPr>
          <w:rFonts w:ascii="Arial" w:hAnsi="Arial"/>
          <w:i/>
          <w:sz w:val="22"/>
        </w:rPr>
        <w:t>un producto perecedero de alta sensibilidad temporal como los productos agrícolas. El ajuste logístico que la medida induce no constituye imposibilidad material de comercio, sino reconducción hacia canales en los cuales el Estado colombiano puede ejercer efectivamente las funciones de control sanitario, documental y de trazabilidad que le competen</w:t>
      </w:r>
      <w:r>
        <w:rPr>
          <w:sz w:val="22"/>
        </w:rPr>
        <w:t>”</w:t>
      </w:r>
      <w:hyperlink w:history="true" w:anchor="_bookmark159">
        <w:r>
          <w:rPr>
            <w:sz w:val="22"/>
          </w:rPr>
          <w:t>.</w:t>
        </w:r>
        <w:r>
          <w:rPr>
            <w:sz w:val="22"/>
            <w:vertAlign w:val="superscript"/>
          </w:rPr>
          <w:t>92</w:t>
        </w:r>
      </w:hyperlink>
      <w:r>
        <w:rPr>
          <w:sz w:val="22"/>
          <w:vertAlign w:val="baseline"/>
        </w:rPr>
        <w:t> No obstante, no aporta información estadística que permita visualizar el ajuste logístico argumentado.</w:t>
      </w:r>
    </w:p>
    <w:p>
      <w:pPr>
        <w:pStyle w:val="BodyText"/>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Mediante carta SG/E/DGCOM/834/2026 de 24 de abril de 2026, la SGCAN, con el fin corroborar</w:t>
      </w:r>
      <w:r>
        <w:rPr>
          <w:spacing w:val="-2"/>
          <w:sz w:val="22"/>
        </w:rPr>
        <w:t> </w:t>
      </w:r>
      <w:r>
        <w:rPr>
          <w:sz w:val="22"/>
        </w:rPr>
        <w:t>las</w:t>
      </w:r>
      <w:r>
        <w:rPr>
          <w:spacing w:val="-2"/>
          <w:sz w:val="22"/>
        </w:rPr>
        <w:t> </w:t>
      </w:r>
      <w:r>
        <w:rPr>
          <w:sz w:val="22"/>
        </w:rPr>
        <w:t>conclusiones alcanzadas</w:t>
      </w:r>
      <w:r>
        <w:rPr>
          <w:spacing w:val="-2"/>
          <w:sz w:val="22"/>
        </w:rPr>
        <w:t> </w:t>
      </w:r>
      <w:r>
        <w:rPr>
          <w:sz w:val="22"/>
        </w:rPr>
        <w:t>a</w:t>
      </w:r>
      <w:r>
        <w:rPr>
          <w:spacing w:val="-3"/>
          <w:sz w:val="22"/>
        </w:rPr>
        <w:t> </w:t>
      </w:r>
      <w:r>
        <w:rPr>
          <w:sz w:val="22"/>
        </w:rPr>
        <w:t>partir</w:t>
      </w:r>
      <w:r>
        <w:rPr>
          <w:spacing w:val="-4"/>
          <w:sz w:val="22"/>
        </w:rPr>
        <w:t> </w:t>
      </w:r>
      <w:r>
        <w:rPr>
          <w:sz w:val="22"/>
        </w:rPr>
        <w:t>de la información</w:t>
      </w:r>
      <w:r>
        <w:rPr>
          <w:spacing w:val="-1"/>
          <w:sz w:val="22"/>
        </w:rPr>
        <w:t> </w:t>
      </w:r>
      <w:r>
        <w:rPr>
          <w:sz w:val="22"/>
        </w:rPr>
        <w:t>presentada,</w:t>
      </w:r>
      <w:r>
        <w:rPr>
          <w:spacing w:val="-2"/>
          <w:sz w:val="22"/>
        </w:rPr>
        <w:t> </w:t>
      </w:r>
      <w:r>
        <w:rPr>
          <w:sz w:val="22"/>
        </w:rPr>
        <w:t>solicitó</w:t>
      </w:r>
      <w:r>
        <w:rPr>
          <w:spacing w:val="-3"/>
          <w:sz w:val="22"/>
        </w:rPr>
        <w:t> </w:t>
      </w:r>
      <w:r>
        <w:rPr>
          <w:sz w:val="22"/>
        </w:rPr>
        <w:t>a la República del Ecuador datos adicionales que sustenten dicho análisis. Además, requirió información relativa a cotizaciones de embarques de exportación para los productos sujetos a la medida restrictiva prevista en el artículo 2 del Decreto 0170.</w:t>
      </w:r>
    </w:p>
    <w:p>
      <w:pPr>
        <w:pStyle w:val="ListParagraph"/>
        <w:numPr>
          <w:ilvl w:val="0"/>
          <w:numId w:val="50"/>
        </w:numPr>
        <w:tabs>
          <w:tab w:pos="1130" w:val="left" w:leader="none"/>
          <w:tab w:pos="1134" w:val="left" w:leader="none"/>
        </w:tabs>
        <w:spacing w:line="240" w:lineRule="auto" w:before="251" w:after="0"/>
        <w:ind w:left="1134" w:right="982" w:hanging="567"/>
        <w:jc w:val="both"/>
        <w:rPr>
          <w:sz w:val="22"/>
        </w:rPr>
      </w:pPr>
      <w:r>
        <w:rPr>
          <w:sz w:val="22"/>
        </w:rPr>
        <w:t>Mediante Oficio Nro. MPCEI-VCE-2026-0054-O de 04 de mayo de 2026, la República del Ecuador presentó la información requerida, adjuntando la información de respaldo sobre las cotizaciones y aportando información adicional sobre este asunto.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84" w:hanging="567"/>
        <w:jc w:val="both"/>
        <w:rPr>
          <w:sz w:val="22"/>
        </w:rPr>
      </w:pPr>
      <w:r>
        <w:rPr>
          <w:sz w:val="22"/>
        </w:rPr>
        <w:t>La información analizada permite evidenciar una brecha entre los costos asociados al transporte</w:t>
      </w:r>
      <w:r>
        <w:rPr>
          <w:spacing w:val="-9"/>
          <w:sz w:val="22"/>
        </w:rPr>
        <w:t> </w:t>
      </w:r>
      <w:r>
        <w:rPr>
          <w:sz w:val="22"/>
        </w:rPr>
        <w:t>por</w:t>
      </w:r>
      <w:r>
        <w:rPr>
          <w:spacing w:val="-8"/>
          <w:sz w:val="22"/>
        </w:rPr>
        <w:t> </w:t>
      </w:r>
      <w:r>
        <w:rPr>
          <w:sz w:val="22"/>
        </w:rPr>
        <w:t>vía</w:t>
      </w:r>
      <w:r>
        <w:rPr>
          <w:spacing w:val="-9"/>
          <w:sz w:val="22"/>
        </w:rPr>
        <w:t> </w:t>
      </w:r>
      <w:r>
        <w:rPr>
          <w:sz w:val="22"/>
        </w:rPr>
        <w:t>terrestre</w:t>
      </w:r>
      <w:r>
        <w:rPr>
          <w:spacing w:val="-9"/>
          <w:sz w:val="22"/>
        </w:rPr>
        <w:t> </w:t>
      </w:r>
      <w:r>
        <w:rPr>
          <w:sz w:val="22"/>
        </w:rPr>
        <w:t>y</w:t>
      </w:r>
      <w:r>
        <w:rPr>
          <w:spacing w:val="-8"/>
          <w:sz w:val="22"/>
        </w:rPr>
        <w:t> </w:t>
      </w:r>
      <w:r>
        <w:rPr>
          <w:sz w:val="22"/>
        </w:rPr>
        <w:t>por</w:t>
      </w:r>
      <w:r>
        <w:rPr>
          <w:spacing w:val="-8"/>
          <w:sz w:val="22"/>
        </w:rPr>
        <w:t> </w:t>
      </w:r>
      <w:r>
        <w:rPr>
          <w:sz w:val="22"/>
        </w:rPr>
        <w:t>vía</w:t>
      </w:r>
      <w:r>
        <w:rPr>
          <w:spacing w:val="-11"/>
          <w:sz w:val="22"/>
        </w:rPr>
        <w:t> </w:t>
      </w:r>
      <w:r>
        <w:rPr>
          <w:sz w:val="22"/>
        </w:rPr>
        <w:t>marítima,</w:t>
      </w:r>
      <w:r>
        <w:rPr>
          <w:spacing w:val="-8"/>
          <w:sz w:val="22"/>
        </w:rPr>
        <w:t> </w:t>
      </w:r>
      <w:r>
        <w:rPr>
          <w:sz w:val="22"/>
        </w:rPr>
        <w:t>la</w:t>
      </w:r>
      <w:r>
        <w:rPr>
          <w:spacing w:val="-9"/>
          <w:sz w:val="22"/>
        </w:rPr>
        <w:t> </w:t>
      </w:r>
      <w:r>
        <w:rPr>
          <w:sz w:val="22"/>
        </w:rPr>
        <w:t>cual</w:t>
      </w:r>
      <w:r>
        <w:rPr>
          <w:spacing w:val="-10"/>
          <w:sz w:val="22"/>
        </w:rPr>
        <w:t> </w:t>
      </w:r>
      <w:r>
        <w:rPr>
          <w:sz w:val="22"/>
        </w:rPr>
        <w:t>alcanza</w:t>
      </w:r>
      <w:r>
        <w:rPr>
          <w:spacing w:val="-9"/>
          <w:sz w:val="22"/>
        </w:rPr>
        <w:t> </w:t>
      </w:r>
      <w:r>
        <w:rPr>
          <w:sz w:val="22"/>
        </w:rPr>
        <w:t>incrementos</w:t>
      </w:r>
      <w:r>
        <w:rPr>
          <w:spacing w:val="-14"/>
          <w:sz w:val="22"/>
        </w:rPr>
        <w:t> </w:t>
      </w:r>
      <w:r>
        <w:rPr>
          <w:sz w:val="22"/>
        </w:rPr>
        <w:t>superiores</w:t>
      </w:r>
      <w:r>
        <w:rPr>
          <w:spacing w:val="-9"/>
          <w:sz w:val="22"/>
        </w:rPr>
        <w:t> </w:t>
      </w:r>
      <w:r>
        <w:rPr>
          <w:sz w:val="22"/>
        </w:rPr>
        <w:t>al</w:t>
      </w:r>
    </w:p>
    <w:p>
      <w:pPr>
        <w:pStyle w:val="BodyText"/>
        <w:spacing w:before="1"/>
        <w:ind w:left="1134" w:right="974"/>
        <w:jc w:val="both"/>
      </w:pPr>
      <w:r>
        <w:rPr/>
        <w:t>100 %. Esta diferencia dificulta de manera sustancial la sustitución de la ruta de transporte, a la que se verían forzados los exportadores ecuatorianos como consecuencia de la restricción del ingreso de mercancías por las aduanas terrestres establecidas por la República de</w:t>
      </w:r>
      <w:r>
        <w:rPr>
          <w:spacing w:val="-1"/>
        </w:rPr>
        <w:t> </w:t>
      </w:r>
      <w:r>
        <w:rPr/>
        <w:t>Colombia, generando</w:t>
      </w:r>
      <w:r>
        <w:rPr>
          <w:spacing w:val="-1"/>
        </w:rPr>
        <w:t> </w:t>
      </w:r>
      <w:r>
        <w:rPr/>
        <w:t>un</w:t>
      </w:r>
      <w:r>
        <w:rPr>
          <w:spacing w:val="-1"/>
        </w:rPr>
        <w:t> </w:t>
      </w:r>
      <w:r>
        <w:rPr/>
        <w:t>encarecimiento</w:t>
      </w:r>
      <w:r>
        <w:rPr>
          <w:spacing w:val="-3"/>
        </w:rPr>
        <w:t> </w:t>
      </w:r>
      <w:r>
        <w:rPr/>
        <w:t>relevante de las operaciones de exportación y afectando la viabilidad comercial de dichos flujos.</w:t>
      </w:r>
    </w:p>
    <w:p>
      <w:pPr>
        <w:pStyle w:val="Heading6"/>
        <w:spacing w:before="252"/>
        <w:ind w:right="409"/>
        <w:jc w:val="center"/>
      </w:pPr>
      <w:r>
        <w:rPr/>
        <w:t>Tabla</w:t>
      </w:r>
      <w:r>
        <w:rPr>
          <w:spacing w:val="-3"/>
        </w:rPr>
        <w:t> </w:t>
      </w:r>
      <w:r>
        <w:rPr/>
        <w:t>No.</w:t>
      </w:r>
      <w:r>
        <w:rPr>
          <w:spacing w:val="-2"/>
        </w:rPr>
        <w:t> </w:t>
      </w:r>
      <w:r>
        <w:rPr>
          <w:spacing w:val="-5"/>
        </w:rPr>
        <w:t>10</w:t>
      </w:r>
    </w:p>
    <w:p>
      <w:pPr>
        <w:spacing w:before="1" w:after="14"/>
        <w:ind w:left="-1" w:right="413" w:firstLine="0"/>
        <w:jc w:val="center"/>
        <w:rPr>
          <w:rFonts w:ascii="Trebuchet MS" w:hAnsi="Trebuchet MS"/>
          <w:b/>
          <w:sz w:val="22"/>
        </w:rPr>
      </w:pPr>
      <w:r>
        <w:rPr>
          <w:rFonts w:ascii="Arial" w:hAnsi="Arial"/>
          <w:b/>
          <w:spacing w:val="-8"/>
          <w:sz w:val="22"/>
        </w:rPr>
        <w:t>Cotización</w:t>
      </w:r>
      <w:r>
        <w:rPr>
          <w:rFonts w:ascii="Arial" w:hAnsi="Arial"/>
          <w:b/>
          <w:spacing w:val="-5"/>
          <w:sz w:val="22"/>
        </w:rPr>
        <w:t> </w:t>
      </w:r>
      <w:r>
        <w:rPr>
          <w:rFonts w:ascii="Arial" w:hAnsi="Arial"/>
          <w:b/>
          <w:spacing w:val="-8"/>
          <w:sz w:val="22"/>
        </w:rPr>
        <w:t>en</w:t>
      </w:r>
      <w:r>
        <w:rPr>
          <w:rFonts w:ascii="Arial" w:hAnsi="Arial"/>
          <w:b/>
          <w:spacing w:val="-5"/>
          <w:sz w:val="22"/>
        </w:rPr>
        <w:t> </w:t>
      </w:r>
      <w:r>
        <w:rPr>
          <w:rFonts w:ascii="Arial" w:hAnsi="Arial"/>
          <w:b/>
          <w:spacing w:val="-8"/>
          <w:sz w:val="22"/>
        </w:rPr>
        <w:t>USD</w:t>
      </w:r>
      <w:r>
        <w:rPr>
          <w:rFonts w:ascii="Arial" w:hAnsi="Arial"/>
          <w:b/>
          <w:spacing w:val="-2"/>
          <w:sz w:val="22"/>
        </w:rPr>
        <w:t> </w:t>
      </w:r>
      <w:r>
        <w:rPr>
          <w:rFonts w:ascii="Arial" w:hAnsi="Arial"/>
          <w:b/>
          <w:spacing w:val="-8"/>
          <w:sz w:val="22"/>
        </w:rPr>
        <w:t>para</w:t>
      </w:r>
      <w:r>
        <w:rPr>
          <w:rFonts w:ascii="Arial" w:hAnsi="Arial"/>
          <w:b/>
          <w:sz w:val="22"/>
        </w:rPr>
        <w:t> </w:t>
      </w:r>
      <w:r>
        <w:rPr>
          <w:rFonts w:ascii="Trebuchet MS" w:hAnsi="Trebuchet MS"/>
          <w:b/>
          <w:spacing w:val="-8"/>
          <w:sz w:val="22"/>
        </w:rPr>
        <w:t>FREJOL,</w:t>
      </w:r>
      <w:r>
        <w:rPr>
          <w:rFonts w:ascii="Trebuchet MS" w:hAnsi="Trebuchet MS"/>
          <w:b/>
          <w:spacing w:val="-25"/>
          <w:sz w:val="22"/>
        </w:rPr>
        <w:t> </w:t>
      </w:r>
      <w:r>
        <w:rPr>
          <w:rFonts w:ascii="Trebuchet MS" w:hAnsi="Trebuchet MS"/>
          <w:b/>
          <w:spacing w:val="-8"/>
          <w:sz w:val="22"/>
        </w:rPr>
        <w:t>CEBOLLA,</w:t>
      </w:r>
      <w:r>
        <w:rPr>
          <w:rFonts w:ascii="Trebuchet MS" w:hAnsi="Trebuchet MS"/>
          <w:b/>
          <w:spacing w:val="-27"/>
          <w:sz w:val="22"/>
        </w:rPr>
        <w:t> </w:t>
      </w:r>
      <w:r>
        <w:rPr>
          <w:rFonts w:ascii="Trebuchet MS" w:hAnsi="Trebuchet MS"/>
          <w:b/>
          <w:spacing w:val="-8"/>
          <w:sz w:val="22"/>
        </w:rPr>
        <w:t>ARROZ</w:t>
      </w:r>
    </w:p>
    <w:tbl>
      <w:tblPr>
        <w:tblW w:w="0" w:type="auto"/>
        <w:jc w:val="left"/>
        <w:tblInd w:w="1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05"/>
        <w:gridCol w:w="1826"/>
        <w:gridCol w:w="1571"/>
        <w:gridCol w:w="1648"/>
      </w:tblGrid>
      <w:tr>
        <w:trPr>
          <w:trHeight w:val="366" w:hRule="atLeast"/>
        </w:trPr>
        <w:tc>
          <w:tcPr>
            <w:tcW w:w="2105" w:type="dxa"/>
            <w:shd w:val="clear" w:color="auto" w:fill="D1D1D1"/>
          </w:tcPr>
          <w:p>
            <w:pPr>
              <w:pStyle w:val="TableParagraph"/>
              <w:spacing w:before="92"/>
              <w:ind w:left="12" w:right="1"/>
              <w:jc w:val="center"/>
              <w:rPr>
                <w:rFonts w:ascii="Arial"/>
                <w:b/>
                <w:sz w:val="16"/>
              </w:rPr>
            </w:pPr>
            <w:r>
              <w:rPr>
                <w:rFonts w:ascii="Arial"/>
                <w:b/>
                <w:sz w:val="16"/>
              </w:rPr>
              <w:t>TIPO</w:t>
            </w:r>
            <w:r>
              <w:rPr>
                <w:rFonts w:ascii="Arial"/>
                <w:b/>
                <w:spacing w:val="-2"/>
                <w:sz w:val="16"/>
              </w:rPr>
              <w:t> </w:t>
            </w:r>
            <w:r>
              <w:rPr>
                <w:rFonts w:ascii="Arial"/>
                <w:b/>
                <w:sz w:val="16"/>
              </w:rPr>
              <w:t>DE</w:t>
            </w:r>
            <w:r>
              <w:rPr>
                <w:rFonts w:ascii="Arial"/>
                <w:b/>
                <w:spacing w:val="-1"/>
                <w:sz w:val="16"/>
              </w:rPr>
              <w:t> </w:t>
            </w:r>
            <w:r>
              <w:rPr>
                <w:rFonts w:ascii="Arial"/>
                <w:b/>
                <w:spacing w:val="-2"/>
                <w:sz w:val="16"/>
              </w:rPr>
              <w:t>PRODUCTO</w:t>
            </w:r>
          </w:p>
        </w:tc>
        <w:tc>
          <w:tcPr>
            <w:tcW w:w="1826" w:type="dxa"/>
            <w:shd w:val="clear" w:color="auto" w:fill="D1D1D1"/>
          </w:tcPr>
          <w:p>
            <w:pPr>
              <w:pStyle w:val="TableParagraph"/>
              <w:spacing w:line="184" w:lineRule="exact"/>
              <w:ind w:left="629" w:right="126" w:hanging="485"/>
              <w:rPr>
                <w:rFonts w:ascii="Arial"/>
                <w:b/>
                <w:sz w:val="16"/>
              </w:rPr>
            </w:pPr>
            <w:r>
              <w:rPr>
                <w:rFonts w:ascii="Arial"/>
                <w:b/>
                <w:sz w:val="16"/>
              </w:rPr>
              <w:t>FREJOL,</w:t>
            </w:r>
            <w:r>
              <w:rPr>
                <w:rFonts w:ascii="Arial"/>
                <w:b/>
                <w:spacing w:val="-12"/>
                <w:sz w:val="16"/>
              </w:rPr>
              <w:t> </w:t>
            </w:r>
            <w:r>
              <w:rPr>
                <w:rFonts w:ascii="Arial"/>
                <w:b/>
                <w:sz w:val="16"/>
              </w:rPr>
              <w:t>CEBOLLA, </w:t>
            </w:r>
            <w:r>
              <w:rPr>
                <w:rFonts w:ascii="Arial"/>
                <w:b/>
                <w:spacing w:val="-2"/>
                <w:sz w:val="16"/>
              </w:rPr>
              <w:t>ARROZ</w:t>
            </w:r>
          </w:p>
        </w:tc>
        <w:tc>
          <w:tcPr>
            <w:tcW w:w="1571" w:type="dxa"/>
            <w:shd w:val="clear" w:color="auto" w:fill="D1D1D1"/>
          </w:tcPr>
          <w:p>
            <w:pPr>
              <w:pStyle w:val="TableParagraph"/>
              <w:spacing w:before="92"/>
              <w:ind w:left="18"/>
              <w:jc w:val="center"/>
              <w:rPr>
                <w:rFonts w:ascii="Arial"/>
                <w:b/>
                <w:sz w:val="16"/>
              </w:rPr>
            </w:pPr>
            <w:r>
              <w:rPr>
                <w:rFonts w:ascii="Arial"/>
                <w:b/>
                <w:sz w:val="16"/>
              </w:rPr>
              <w:t>CARGA</w:t>
            </w:r>
            <w:r>
              <w:rPr>
                <w:rFonts w:ascii="Arial"/>
                <w:b/>
                <w:spacing w:val="-7"/>
                <w:sz w:val="16"/>
              </w:rPr>
              <w:t> </w:t>
            </w:r>
            <w:r>
              <w:rPr>
                <w:rFonts w:ascii="Arial"/>
                <w:b/>
                <w:spacing w:val="-4"/>
                <w:sz w:val="16"/>
              </w:rPr>
              <w:t>SECA</w:t>
            </w:r>
          </w:p>
        </w:tc>
        <w:tc>
          <w:tcPr>
            <w:tcW w:w="1648" w:type="dxa"/>
            <w:shd w:val="clear" w:color="auto" w:fill="D1D1D1"/>
          </w:tcPr>
          <w:p>
            <w:pPr>
              <w:pStyle w:val="TableParagraph"/>
              <w:spacing w:before="92"/>
              <w:ind w:left="17" w:right="2"/>
              <w:jc w:val="center"/>
              <w:rPr>
                <w:rFonts w:ascii="Arial"/>
                <w:b/>
                <w:sz w:val="16"/>
              </w:rPr>
            </w:pPr>
            <w:r>
              <w:rPr>
                <w:rFonts w:ascii="Arial"/>
                <w:b/>
                <w:sz w:val="16"/>
              </w:rPr>
              <w:t>CARGA</w:t>
            </w:r>
            <w:r>
              <w:rPr>
                <w:rFonts w:ascii="Arial"/>
                <w:b/>
                <w:spacing w:val="-7"/>
                <w:sz w:val="16"/>
              </w:rPr>
              <w:t> </w:t>
            </w:r>
            <w:r>
              <w:rPr>
                <w:rFonts w:ascii="Arial"/>
                <w:b/>
                <w:spacing w:val="-4"/>
                <w:sz w:val="16"/>
              </w:rPr>
              <w:t>SECA</w:t>
            </w:r>
          </w:p>
        </w:tc>
      </w:tr>
      <w:tr>
        <w:trPr>
          <w:trHeight w:val="183" w:hRule="atLeast"/>
        </w:trPr>
        <w:tc>
          <w:tcPr>
            <w:tcW w:w="2105" w:type="dxa"/>
          </w:tcPr>
          <w:p>
            <w:pPr>
              <w:pStyle w:val="TableParagraph"/>
              <w:spacing w:line="163" w:lineRule="exact"/>
              <w:ind w:left="12" w:right="1"/>
              <w:jc w:val="center"/>
              <w:rPr>
                <w:rFonts w:ascii="Arial"/>
                <w:b/>
                <w:sz w:val="16"/>
              </w:rPr>
            </w:pPr>
            <w:r>
              <w:rPr>
                <w:rFonts w:ascii="Arial"/>
                <w:b/>
                <w:spacing w:val="-4"/>
                <w:sz w:val="16"/>
              </w:rPr>
              <w:t>PESO</w:t>
            </w:r>
          </w:p>
        </w:tc>
        <w:tc>
          <w:tcPr>
            <w:tcW w:w="1826" w:type="dxa"/>
          </w:tcPr>
          <w:p>
            <w:pPr>
              <w:pStyle w:val="TableParagraph"/>
              <w:spacing w:line="163" w:lineRule="exact"/>
              <w:ind w:left="12" w:right="2"/>
              <w:jc w:val="center"/>
              <w:rPr>
                <w:sz w:val="16"/>
              </w:rPr>
            </w:pPr>
            <w:r>
              <w:rPr>
                <w:spacing w:val="-2"/>
                <w:sz w:val="16"/>
              </w:rPr>
              <w:t>24000</w:t>
            </w:r>
          </w:p>
        </w:tc>
        <w:tc>
          <w:tcPr>
            <w:tcW w:w="1571" w:type="dxa"/>
          </w:tcPr>
          <w:p>
            <w:pPr>
              <w:pStyle w:val="TableParagraph"/>
              <w:spacing w:line="163" w:lineRule="exact"/>
              <w:ind w:left="18" w:right="5"/>
              <w:jc w:val="center"/>
              <w:rPr>
                <w:sz w:val="16"/>
              </w:rPr>
            </w:pPr>
            <w:r>
              <w:rPr>
                <w:spacing w:val="-2"/>
                <w:sz w:val="16"/>
              </w:rPr>
              <w:t>24000</w:t>
            </w:r>
          </w:p>
        </w:tc>
        <w:tc>
          <w:tcPr>
            <w:tcW w:w="1648" w:type="dxa"/>
          </w:tcPr>
          <w:p>
            <w:pPr>
              <w:pStyle w:val="TableParagraph"/>
              <w:spacing w:line="163" w:lineRule="exact"/>
              <w:ind w:left="17" w:right="1"/>
              <w:jc w:val="center"/>
              <w:rPr>
                <w:sz w:val="16"/>
              </w:rPr>
            </w:pPr>
            <w:r>
              <w:rPr>
                <w:spacing w:val="-2"/>
                <w:sz w:val="16"/>
              </w:rPr>
              <w:t>24000</w:t>
            </w:r>
          </w:p>
        </w:tc>
      </w:tr>
      <w:tr>
        <w:trPr>
          <w:trHeight w:val="184" w:hRule="atLeast"/>
        </w:trPr>
        <w:tc>
          <w:tcPr>
            <w:tcW w:w="2105" w:type="dxa"/>
          </w:tcPr>
          <w:p>
            <w:pPr>
              <w:pStyle w:val="TableParagraph"/>
              <w:spacing w:line="163" w:lineRule="exact" w:before="1"/>
              <w:ind w:left="12"/>
              <w:jc w:val="center"/>
              <w:rPr>
                <w:rFonts w:ascii="Arial"/>
                <w:b/>
                <w:sz w:val="16"/>
              </w:rPr>
            </w:pPr>
            <w:r>
              <w:rPr>
                <w:rFonts w:ascii="Arial"/>
                <w:b/>
                <w:spacing w:val="-2"/>
                <w:sz w:val="16"/>
              </w:rPr>
              <w:t>ORIGEN</w:t>
            </w:r>
          </w:p>
        </w:tc>
        <w:tc>
          <w:tcPr>
            <w:tcW w:w="1826" w:type="dxa"/>
          </w:tcPr>
          <w:p>
            <w:pPr>
              <w:pStyle w:val="TableParagraph"/>
              <w:spacing w:line="163" w:lineRule="exact" w:before="1"/>
              <w:ind w:left="12" w:right="1"/>
              <w:jc w:val="center"/>
              <w:rPr>
                <w:sz w:val="16"/>
              </w:rPr>
            </w:pPr>
            <w:r>
              <w:rPr>
                <w:spacing w:val="-4"/>
                <w:sz w:val="16"/>
              </w:rPr>
              <w:t>DURAN</w:t>
            </w:r>
          </w:p>
        </w:tc>
        <w:tc>
          <w:tcPr>
            <w:tcW w:w="1571" w:type="dxa"/>
          </w:tcPr>
          <w:p>
            <w:pPr>
              <w:pStyle w:val="TableParagraph"/>
              <w:spacing w:line="163" w:lineRule="exact" w:before="1"/>
              <w:ind w:left="18" w:right="3"/>
              <w:jc w:val="center"/>
              <w:rPr>
                <w:sz w:val="16"/>
              </w:rPr>
            </w:pPr>
            <w:r>
              <w:rPr>
                <w:spacing w:val="-2"/>
                <w:sz w:val="16"/>
              </w:rPr>
              <w:t>GUAYAQUIL</w:t>
            </w:r>
          </w:p>
        </w:tc>
        <w:tc>
          <w:tcPr>
            <w:tcW w:w="1648" w:type="dxa"/>
          </w:tcPr>
          <w:p>
            <w:pPr>
              <w:pStyle w:val="TableParagraph"/>
              <w:spacing w:line="163" w:lineRule="exact" w:before="1"/>
              <w:ind w:left="17"/>
              <w:jc w:val="center"/>
              <w:rPr>
                <w:sz w:val="16"/>
              </w:rPr>
            </w:pPr>
            <w:r>
              <w:rPr>
                <w:spacing w:val="-2"/>
                <w:sz w:val="16"/>
              </w:rPr>
              <w:t>GUAYAQUIL</w:t>
            </w:r>
          </w:p>
        </w:tc>
      </w:tr>
      <w:tr>
        <w:trPr>
          <w:trHeight w:val="366" w:hRule="atLeast"/>
        </w:trPr>
        <w:tc>
          <w:tcPr>
            <w:tcW w:w="2105" w:type="dxa"/>
          </w:tcPr>
          <w:p>
            <w:pPr>
              <w:pStyle w:val="TableParagraph"/>
              <w:spacing w:before="92"/>
              <w:ind w:left="12" w:right="3"/>
              <w:jc w:val="center"/>
              <w:rPr>
                <w:rFonts w:ascii="Arial"/>
                <w:b/>
                <w:sz w:val="16"/>
              </w:rPr>
            </w:pPr>
            <w:r>
              <w:rPr>
                <w:rFonts w:ascii="Arial"/>
                <w:b/>
                <w:spacing w:val="-2"/>
                <w:sz w:val="16"/>
              </w:rPr>
              <w:t>DESTINO</w:t>
            </w:r>
          </w:p>
        </w:tc>
        <w:tc>
          <w:tcPr>
            <w:tcW w:w="1826" w:type="dxa"/>
          </w:tcPr>
          <w:p>
            <w:pPr>
              <w:pStyle w:val="TableParagraph"/>
              <w:spacing w:before="92"/>
              <w:ind w:left="12"/>
              <w:jc w:val="center"/>
              <w:rPr>
                <w:sz w:val="16"/>
              </w:rPr>
            </w:pPr>
            <w:r>
              <w:rPr>
                <w:spacing w:val="-2"/>
                <w:sz w:val="16"/>
              </w:rPr>
              <w:t>IPIALES-BOGOTA</w:t>
            </w:r>
          </w:p>
        </w:tc>
        <w:tc>
          <w:tcPr>
            <w:tcW w:w="1571" w:type="dxa"/>
          </w:tcPr>
          <w:p>
            <w:pPr>
              <w:pStyle w:val="TableParagraph"/>
              <w:spacing w:line="182" w:lineRule="exact"/>
              <w:ind w:left="445" w:hanging="341"/>
              <w:rPr>
                <w:sz w:val="16"/>
              </w:rPr>
            </w:pPr>
            <w:r>
              <w:rPr>
                <w:spacing w:val="-2"/>
                <w:sz w:val="16"/>
              </w:rPr>
              <w:t>BUENAVENTURA-BOGOTA</w:t>
            </w:r>
          </w:p>
        </w:tc>
        <w:tc>
          <w:tcPr>
            <w:tcW w:w="1648" w:type="dxa"/>
          </w:tcPr>
          <w:p>
            <w:pPr>
              <w:pStyle w:val="TableParagraph"/>
              <w:spacing w:line="182" w:lineRule="exact"/>
              <w:ind w:left="485" w:right="281" w:hanging="183"/>
              <w:rPr>
                <w:sz w:val="16"/>
              </w:rPr>
            </w:pPr>
            <w:r>
              <w:rPr>
                <w:spacing w:val="-2"/>
                <w:sz w:val="16"/>
              </w:rPr>
              <w:t>CARTAGENA-BOGOTA</w:t>
            </w:r>
          </w:p>
        </w:tc>
      </w:tr>
      <w:tr>
        <w:trPr>
          <w:trHeight w:val="185" w:hRule="atLeast"/>
        </w:trPr>
        <w:tc>
          <w:tcPr>
            <w:tcW w:w="2105" w:type="dxa"/>
          </w:tcPr>
          <w:p>
            <w:pPr>
              <w:pStyle w:val="TableParagraph"/>
              <w:spacing w:line="163" w:lineRule="exact" w:before="1"/>
              <w:ind w:left="12" w:right="3"/>
              <w:jc w:val="center"/>
              <w:rPr>
                <w:rFonts w:ascii="Arial"/>
                <w:b/>
                <w:sz w:val="16"/>
              </w:rPr>
            </w:pPr>
            <w:r>
              <w:rPr>
                <w:rFonts w:ascii="Arial"/>
                <w:b/>
                <w:spacing w:val="-2"/>
                <w:sz w:val="16"/>
              </w:rPr>
              <w:t>TIEMPO</w:t>
            </w:r>
          </w:p>
        </w:tc>
        <w:tc>
          <w:tcPr>
            <w:tcW w:w="1826" w:type="dxa"/>
          </w:tcPr>
          <w:p>
            <w:pPr>
              <w:pStyle w:val="TableParagraph"/>
              <w:rPr>
                <w:rFonts w:ascii="Times New Roman"/>
                <w:sz w:val="12"/>
              </w:rPr>
            </w:pPr>
          </w:p>
        </w:tc>
        <w:tc>
          <w:tcPr>
            <w:tcW w:w="1571" w:type="dxa"/>
          </w:tcPr>
          <w:p>
            <w:pPr>
              <w:pStyle w:val="TableParagraph"/>
              <w:spacing w:line="163" w:lineRule="exact" w:before="1"/>
              <w:ind w:left="18" w:right="5"/>
              <w:jc w:val="center"/>
              <w:rPr>
                <w:sz w:val="16"/>
              </w:rPr>
            </w:pPr>
            <w:r>
              <w:rPr>
                <w:spacing w:val="-10"/>
                <w:sz w:val="16"/>
              </w:rPr>
              <w:t>2</w:t>
            </w:r>
          </w:p>
        </w:tc>
        <w:tc>
          <w:tcPr>
            <w:tcW w:w="1648" w:type="dxa"/>
          </w:tcPr>
          <w:p>
            <w:pPr>
              <w:pStyle w:val="TableParagraph"/>
              <w:spacing w:line="163" w:lineRule="exact" w:before="1"/>
              <w:ind w:left="17" w:right="1"/>
              <w:jc w:val="center"/>
              <w:rPr>
                <w:sz w:val="16"/>
              </w:rPr>
            </w:pPr>
            <w:r>
              <w:rPr>
                <w:spacing w:val="-10"/>
                <w:sz w:val="16"/>
              </w:rPr>
              <w:t>6</w:t>
            </w:r>
          </w:p>
        </w:tc>
      </w:tr>
      <w:tr>
        <w:trPr>
          <w:trHeight w:val="184" w:hRule="atLeast"/>
        </w:trPr>
        <w:tc>
          <w:tcPr>
            <w:tcW w:w="2105" w:type="dxa"/>
          </w:tcPr>
          <w:p>
            <w:pPr>
              <w:pStyle w:val="TableParagraph"/>
              <w:spacing w:line="163" w:lineRule="exact" w:before="1"/>
              <w:ind w:left="12" w:right="6"/>
              <w:jc w:val="center"/>
              <w:rPr>
                <w:rFonts w:ascii="Arial"/>
                <w:b/>
                <w:sz w:val="16"/>
              </w:rPr>
            </w:pPr>
            <w:r>
              <w:rPr>
                <w:rFonts w:ascii="Arial"/>
                <w:b/>
                <w:sz w:val="16"/>
              </w:rPr>
              <w:t>FLETE</w:t>
            </w:r>
            <w:r>
              <w:rPr>
                <w:rFonts w:ascii="Arial"/>
                <w:b/>
                <w:spacing w:val="-3"/>
                <w:sz w:val="16"/>
              </w:rPr>
              <w:t> </w:t>
            </w:r>
            <w:r>
              <w:rPr>
                <w:rFonts w:ascii="Arial"/>
                <w:b/>
                <w:spacing w:val="-2"/>
                <w:sz w:val="16"/>
              </w:rPr>
              <w:t>INTERNACIONAL</w:t>
            </w:r>
          </w:p>
        </w:tc>
        <w:tc>
          <w:tcPr>
            <w:tcW w:w="1826" w:type="dxa"/>
          </w:tcPr>
          <w:p>
            <w:pPr>
              <w:pStyle w:val="TableParagraph"/>
              <w:spacing w:line="163" w:lineRule="exact" w:before="1"/>
              <w:ind w:left="12" w:right="1"/>
              <w:jc w:val="center"/>
              <w:rPr>
                <w:sz w:val="16"/>
              </w:rPr>
            </w:pPr>
            <w:r>
              <w:rPr>
                <w:spacing w:val="-2"/>
                <w:sz w:val="16"/>
              </w:rPr>
              <w:t>1,320</w:t>
            </w:r>
          </w:p>
        </w:tc>
        <w:tc>
          <w:tcPr>
            <w:tcW w:w="1571" w:type="dxa"/>
          </w:tcPr>
          <w:p>
            <w:pPr>
              <w:pStyle w:val="TableParagraph"/>
              <w:spacing w:line="163" w:lineRule="exact" w:before="1"/>
              <w:ind w:left="18" w:right="5"/>
              <w:jc w:val="center"/>
              <w:rPr>
                <w:sz w:val="16"/>
              </w:rPr>
            </w:pPr>
            <w:r>
              <w:rPr>
                <w:spacing w:val="-2"/>
                <w:sz w:val="16"/>
              </w:rPr>
              <w:t>1,666</w:t>
            </w:r>
          </w:p>
        </w:tc>
        <w:tc>
          <w:tcPr>
            <w:tcW w:w="1648" w:type="dxa"/>
          </w:tcPr>
          <w:p>
            <w:pPr>
              <w:pStyle w:val="TableParagraph"/>
              <w:spacing w:line="163" w:lineRule="exact" w:before="1"/>
              <w:ind w:left="17" w:right="1"/>
              <w:jc w:val="center"/>
              <w:rPr>
                <w:sz w:val="16"/>
              </w:rPr>
            </w:pPr>
            <w:r>
              <w:rPr>
                <w:spacing w:val="-2"/>
                <w:sz w:val="16"/>
              </w:rPr>
              <w:t>3,090</w:t>
            </w:r>
          </w:p>
        </w:tc>
      </w:tr>
      <w:tr>
        <w:trPr>
          <w:trHeight w:val="184" w:hRule="atLeast"/>
        </w:trPr>
        <w:tc>
          <w:tcPr>
            <w:tcW w:w="2105" w:type="dxa"/>
          </w:tcPr>
          <w:p>
            <w:pPr>
              <w:pStyle w:val="TableParagraph"/>
              <w:spacing w:line="163" w:lineRule="exact" w:before="1"/>
              <w:ind w:left="12" w:right="4"/>
              <w:jc w:val="center"/>
              <w:rPr>
                <w:rFonts w:ascii="Arial"/>
                <w:b/>
                <w:sz w:val="16"/>
              </w:rPr>
            </w:pPr>
            <w:r>
              <w:rPr>
                <w:rFonts w:ascii="Arial"/>
                <w:b/>
                <w:sz w:val="16"/>
              </w:rPr>
              <w:t>GATOS</w:t>
            </w:r>
            <w:r>
              <w:rPr>
                <w:rFonts w:ascii="Arial"/>
                <w:b/>
                <w:spacing w:val="-5"/>
                <w:sz w:val="16"/>
              </w:rPr>
              <w:t> </w:t>
            </w:r>
            <w:r>
              <w:rPr>
                <w:rFonts w:ascii="Arial"/>
                <w:b/>
                <w:spacing w:val="-2"/>
                <w:sz w:val="16"/>
              </w:rPr>
              <w:t>LOCALES</w:t>
            </w:r>
          </w:p>
        </w:tc>
        <w:tc>
          <w:tcPr>
            <w:tcW w:w="1826" w:type="dxa"/>
          </w:tcPr>
          <w:p>
            <w:pPr>
              <w:pStyle w:val="TableParagraph"/>
              <w:spacing w:line="163" w:lineRule="exact" w:before="1"/>
              <w:ind w:left="12" w:right="3"/>
              <w:jc w:val="center"/>
              <w:rPr>
                <w:sz w:val="16"/>
              </w:rPr>
            </w:pPr>
            <w:r>
              <w:rPr>
                <w:spacing w:val="-10"/>
                <w:sz w:val="16"/>
              </w:rPr>
              <w:t>-</w:t>
            </w:r>
          </w:p>
        </w:tc>
        <w:tc>
          <w:tcPr>
            <w:tcW w:w="1571" w:type="dxa"/>
          </w:tcPr>
          <w:p>
            <w:pPr>
              <w:pStyle w:val="TableParagraph"/>
              <w:spacing w:line="163" w:lineRule="exact" w:before="1"/>
              <w:ind w:left="18" w:right="5"/>
              <w:jc w:val="center"/>
              <w:rPr>
                <w:sz w:val="16"/>
              </w:rPr>
            </w:pPr>
            <w:r>
              <w:rPr>
                <w:spacing w:val="-2"/>
                <w:sz w:val="16"/>
              </w:rPr>
              <w:t>1,857</w:t>
            </w:r>
          </w:p>
        </w:tc>
        <w:tc>
          <w:tcPr>
            <w:tcW w:w="1648" w:type="dxa"/>
          </w:tcPr>
          <w:p>
            <w:pPr>
              <w:pStyle w:val="TableParagraph"/>
              <w:spacing w:line="163" w:lineRule="exact" w:before="1"/>
              <w:ind w:left="17" w:right="1"/>
              <w:jc w:val="center"/>
              <w:rPr>
                <w:sz w:val="16"/>
              </w:rPr>
            </w:pPr>
            <w:r>
              <w:rPr>
                <w:spacing w:val="-2"/>
                <w:sz w:val="16"/>
              </w:rPr>
              <w:t>1,857</w:t>
            </w:r>
          </w:p>
        </w:tc>
      </w:tr>
      <w:tr>
        <w:trPr>
          <w:trHeight w:val="181" w:hRule="atLeast"/>
        </w:trPr>
        <w:tc>
          <w:tcPr>
            <w:tcW w:w="2105" w:type="dxa"/>
          </w:tcPr>
          <w:p>
            <w:pPr>
              <w:pStyle w:val="TableParagraph"/>
              <w:spacing w:line="162" w:lineRule="exact"/>
              <w:ind w:left="12" w:right="4"/>
              <w:jc w:val="center"/>
              <w:rPr>
                <w:rFonts w:ascii="Arial"/>
                <w:b/>
                <w:sz w:val="16"/>
              </w:rPr>
            </w:pPr>
            <w:r>
              <w:rPr>
                <w:rFonts w:ascii="Arial"/>
                <w:b/>
                <w:sz w:val="16"/>
              </w:rPr>
              <w:t>TRANSPORTE</w:t>
            </w:r>
            <w:r>
              <w:rPr>
                <w:rFonts w:ascii="Arial"/>
                <w:b/>
                <w:spacing w:val="-9"/>
                <w:sz w:val="16"/>
              </w:rPr>
              <w:t> </w:t>
            </w:r>
            <w:r>
              <w:rPr>
                <w:rFonts w:ascii="Arial"/>
                <w:b/>
                <w:spacing w:val="-2"/>
                <w:sz w:val="16"/>
              </w:rPr>
              <w:t>INTERNO</w:t>
            </w:r>
          </w:p>
        </w:tc>
        <w:tc>
          <w:tcPr>
            <w:tcW w:w="1826" w:type="dxa"/>
          </w:tcPr>
          <w:p>
            <w:pPr>
              <w:pStyle w:val="TableParagraph"/>
              <w:spacing w:line="162" w:lineRule="exact"/>
              <w:ind w:left="12" w:right="1"/>
              <w:jc w:val="center"/>
              <w:rPr>
                <w:sz w:val="16"/>
              </w:rPr>
            </w:pPr>
            <w:r>
              <w:rPr>
                <w:spacing w:val="-2"/>
                <w:sz w:val="16"/>
              </w:rPr>
              <w:t>1,680</w:t>
            </w:r>
          </w:p>
        </w:tc>
        <w:tc>
          <w:tcPr>
            <w:tcW w:w="1571" w:type="dxa"/>
          </w:tcPr>
          <w:p>
            <w:pPr>
              <w:pStyle w:val="TableParagraph"/>
              <w:spacing w:line="162" w:lineRule="exact"/>
              <w:ind w:left="18" w:right="5"/>
              <w:jc w:val="center"/>
              <w:rPr>
                <w:sz w:val="16"/>
              </w:rPr>
            </w:pPr>
            <w:r>
              <w:rPr>
                <w:spacing w:val="-2"/>
                <w:sz w:val="16"/>
              </w:rPr>
              <w:t>3,318</w:t>
            </w:r>
          </w:p>
        </w:tc>
        <w:tc>
          <w:tcPr>
            <w:tcW w:w="1648" w:type="dxa"/>
          </w:tcPr>
          <w:p>
            <w:pPr>
              <w:pStyle w:val="TableParagraph"/>
              <w:spacing w:line="162" w:lineRule="exact"/>
              <w:ind w:left="17" w:right="1"/>
              <w:jc w:val="center"/>
              <w:rPr>
                <w:sz w:val="16"/>
              </w:rPr>
            </w:pPr>
            <w:r>
              <w:rPr>
                <w:spacing w:val="-2"/>
                <w:sz w:val="16"/>
              </w:rPr>
              <w:t>3,815</w:t>
            </w:r>
          </w:p>
        </w:tc>
      </w:tr>
      <w:tr>
        <w:trPr>
          <w:trHeight w:val="184" w:hRule="atLeast"/>
        </w:trPr>
        <w:tc>
          <w:tcPr>
            <w:tcW w:w="2105" w:type="dxa"/>
          </w:tcPr>
          <w:p>
            <w:pPr>
              <w:pStyle w:val="TableParagraph"/>
              <w:spacing w:line="163" w:lineRule="exact" w:before="1"/>
              <w:ind w:left="12" w:right="4"/>
              <w:jc w:val="center"/>
              <w:rPr>
                <w:rFonts w:ascii="Arial"/>
                <w:b/>
                <w:sz w:val="16"/>
              </w:rPr>
            </w:pPr>
            <w:r>
              <w:rPr>
                <w:rFonts w:ascii="Arial"/>
                <w:b/>
                <w:spacing w:val="-2"/>
                <w:sz w:val="16"/>
              </w:rPr>
              <w:t>TOTAL</w:t>
            </w:r>
          </w:p>
        </w:tc>
        <w:tc>
          <w:tcPr>
            <w:tcW w:w="1826" w:type="dxa"/>
          </w:tcPr>
          <w:p>
            <w:pPr>
              <w:pStyle w:val="TableParagraph"/>
              <w:spacing w:line="163" w:lineRule="exact" w:before="1"/>
              <w:ind w:left="12" w:right="1"/>
              <w:jc w:val="center"/>
              <w:rPr>
                <w:rFonts w:ascii="Arial"/>
                <w:b/>
                <w:sz w:val="16"/>
              </w:rPr>
            </w:pPr>
            <w:r>
              <w:rPr>
                <w:rFonts w:ascii="Arial"/>
                <w:b/>
                <w:spacing w:val="-2"/>
                <w:sz w:val="16"/>
              </w:rPr>
              <w:t>3,000</w:t>
            </w:r>
          </w:p>
        </w:tc>
        <w:tc>
          <w:tcPr>
            <w:tcW w:w="1571" w:type="dxa"/>
          </w:tcPr>
          <w:p>
            <w:pPr>
              <w:pStyle w:val="TableParagraph"/>
              <w:spacing w:line="163" w:lineRule="exact" w:before="1"/>
              <w:ind w:left="18" w:right="5"/>
              <w:jc w:val="center"/>
              <w:rPr>
                <w:rFonts w:ascii="Arial"/>
                <w:b/>
                <w:sz w:val="16"/>
              </w:rPr>
            </w:pPr>
            <w:r>
              <w:rPr>
                <w:rFonts w:ascii="Arial"/>
                <w:b/>
                <w:spacing w:val="-2"/>
                <w:sz w:val="16"/>
              </w:rPr>
              <w:t>6,841</w:t>
            </w:r>
          </w:p>
        </w:tc>
        <w:tc>
          <w:tcPr>
            <w:tcW w:w="1648" w:type="dxa"/>
          </w:tcPr>
          <w:p>
            <w:pPr>
              <w:pStyle w:val="TableParagraph"/>
              <w:spacing w:line="163" w:lineRule="exact" w:before="1"/>
              <w:ind w:left="17" w:right="1"/>
              <w:jc w:val="center"/>
              <w:rPr>
                <w:rFonts w:ascii="Arial"/>
                <w:b/>
                <w:sz w:val="16"/>
              </w:rPr>
            </w:pPr>
            <w:r>
              <w:rPr>
                <w:rFonts w:ascii="Arial"/>
                <w:b/>
                <w:spacing w:val="-2"/>
                <w:sz w:val="16"/>
              </w:rPr>
              <w:t>8,763</w:t>
            </w:r>
          </w:p>
        </w:tc>
      </w:tr>
    </w:tbl>
    <w:p>
      <w:pPr>
        <w:spacing w:before="5"/>
        <w:ind w:left="1276" w:right="4159" w:firstLine="0"/>
        <w:jc w:val="left"/>
        <w:rPr>
          <w:rFonts w:ascii="Arial" w:hAnsi="Arial"/>
          <w:b/>
          <w:sz w:val="16"/>
        </w:rPr>
      </w:pPr>
      <w:r>
        <w:rPr>
          <w:rFonts w:ascii="Arial" w:hAnsi="Arial"/>
          <w:b/>
          <w:sz w:val="16"/>
        </w:rPr>
        <w:t>Fuente:</w:t>
      </w:r>
      <w:r>
        <w:rPr>
          <w:rFonts w:ascii="Arial" w:hAnsi="Arial"/>
          <w:b/>
          <w:spacing w:val="-5"/>
          <w:sz w:val="16"/>
        </w:rPr>
        <w:t> </w:t>
      </w:r>
      <w:r>
        <w:rPr>
          <w:rFonts w:ascii="Arial" w:hAnsi="Arial"/>
          <w:b/>
          <w:sz w:val="16"/>
        </w:rPr>
        <w:t>República</w:t>
      </w:r>
      <w:r>
        <w:rPr>
          <w:rFonts w:ascii="Arial" w:hAnsi="Arial"/>
          <w:b/>
          <w:spacing w:val="-6"/>
          <w:sz w:val="16"/>
        </w:rPr>
        <w:t> </w:t>
      </w:r>
      <w:r>
        <w:rPr>
          <w:rFonts w:ascii="Arial" w:hAnsi="Arial"/>
          <w:b/>
          <w:sz w:val="16"/>
        </w:rPr>
        <w:t>del</w:t>
      </w:r>
      <w:r>
        <w:rPr>
          <w:rFonts w:ascii="Arial" w:hAnsi="Arial"/>
          <w:b/>
          <w:spacing w:val="-6"/>
          <w:sz w:val="16"/>
        </w:rPr>
        <w:t> </w:t>
      </w:r>
      <w:r>
        <w:rPr>
          <w:rFonts w:ascii="Arial" w:hAnsi="Arial"/>
          <w:b/>
          <w:sz w:val="16"/>
        </w:rPr>
        <w:t>Ecuador</w:t>
      </w:r>
      <w:r>
        <w:rPr>
          <w:rFonts w:ascii="Arial" w:hAnsi="Arial"/>
          <w:b/>
          <w:spacing w:val="-6"/>
          <w:sz w:val="16"/>
        </w:rPr>
        <w:t> </w:t>
      </w:r>
      <w:r>
        <w:rPr>
          <w:rFonts w:ascii="Arial" w:hAnsi="Arial"/>
          <w:b/>
          <w:sz w:val="16"/>
        </w:rPr>
        <w:t>–</w:t>
      </w:r>
      <w:r>
        <w:rPr>
          <w:rFonts w:ascii="Arial" w:hAnsi="Arial"/>
          <w:b/>
          <w:spacing w:val="-5"/>
          <w:sz w:val="16"/>
        </w:rPr>
        <w:t> </w:t>
      </w:r>
      <w:r>
        <w:rPr>
          <w:rFonts w:ascii="Arial" w:hAnsi="Arial"/>
          <w:b/>
          <w:sz w:val="16"/>
        </w:rPr>
        <w:t>Cotizaciones</w:t>
      </w:r>
      <w:r>
        <w:rPr>
          <w:rFonts w:ascii="Arial" w:hAnsi="Arial"/>
          <w:b/>
          <w:spacing w:val="-8"/>
          <w:sz w:val="16"/>
        </w:rPr>
        <w:t> </w:t>
      </w:r>
      <w:r>
        <w:rPr>
          <w:rFonts w:ascii="Arial" w:hAnsi="Arial"/>
          <w:b/>
          <w:sz w:val="16"/>
        </w:rPr>
        <w:t>Empresa. Elaboración: SGCAN.</w:t>
      </w:r>
    </w:p>
    <w:p>
      <w:pPr>
        <w:pStyle w:val="BodyText"/>
        <w:spacing w:before="68"/>
        <w:rPr>
          <w:rFonts w:ascii="Arial"/>
          <w:b/>
          <w:sz w:val="16"/>
        </w:rPr>
      </w:pPr>
    </w:p>
    <w:p>
      <w:pPr>
        <w:pStyle w:val="ListParagraph"/>
        <w:numPr>
          <w:ilvl w:val="0"/>
          <w:numId w:val="50"/>
        </w:numPr>
        <w:tabs>
          <w:tab w:pos="1130" w:val="left" w:leader="none"/>
          <w:tab w:pos="1134" w:val="left" w:leader="none"/>
        </w:tabs>
        <w:spacing w:line="240" w:lineRule="auto" w:before="1" w:after="0"/>
        <w:ind w:left="1134" w:right="978" w:hanging="567"/>
        <w:jc w:val="both"/>
        <w:rPr>
          <w:sz w:val="22"/>
        </w:rPr>
      </w:pPr>
      <w:r>
        <w:rPr>
          <w:sz w:val="22"/>
        </w:rPr>
        <w:t>Adicional a lo anterior, con base en información de importaciones presentada por la República de Colombia, con el fin de aportar mayores elementos de análisis, se realizaron</w:t>
      </w:r>
      <w:r>
        <w:rPr>
          <w:spacing w:val="-5"/>
          <w:sz w:val="22"/>
        </w:rPr>
        <w:t> </w:t>
      </w:r>
      <w:r>
        <w:rPr>
          <w:sz w:val="22"/>
        </w:rPr>
        <w:t>cálculos</w:t>
      </w:r>
      <w:r>
        <w:rPr>
          <w:spacing w:val="-5"/>
          <w:sz w:val="22"/>
        </w:rPr>
        <w:t> </w:t>
      </w:r>
      <w:r>
        <w:rPr>
          <w:sz w:val="22"/>
        </w:rPr>
        <w:t>del</w:t>
      </w:r>
      <w:r>
        <w:rPr>
          <w:spacing w:val="-6"/>
          <w:sz w:val="22"/>
        </w:rPr>
        <w:t> </w:t>
      </w:r>
      <w:r>
        <w:rPr>
          <w:sz w:val="22"/>
        </w:rPr>
        <w:t>costo</w:t>
      </w:r>
      <w:r>
        <w:rPr>
          <w:spacing w:val="-4"/>
          <w:sz w:val="22"/>
        </w:rPr>
        <w:t> </w:t>
      </w:r>
      <w:r>
        <w:rPr>
          <w:sz w:val="22"/>
        </w:rPr>
        <w:t>del</w:t>
      </w:r>
      <w:r>
        <w:rPr>
          <w:spacing w:val="-6"/>
          <w:sz w:val="22"/>
        </w:rPr>
        <w:t> </w:t>
      </w:r>
      <w:r>
        <w:rPr>
          <w:sz w:val="22"/>
        </w:rPr>
        <w:t>flete</w:t>
      </w:r>
      <w:r>
        <w:rPr>
          <w:spacing w:val="-7"/>
          <w:sz w:val="22"/>
        </w:rPr>
        <w:t> </w:t>
      </w:r>
      <w:r>
        <w:rPr>
          <w:sz w:val="22"/>
        </w:rPr>
        <w:t>por</w:t>
      </w:r>
      <w:r>
        <w:rPr>
          <w:spacing w:val="-4"/>
          <w:sz w:val="22"/>
        </w:rPr>
        <w:t> </w:t>
      </w:r>
      <w:r>
        <w:rPr>
          <w:sz w:val="22"/>
        </w:rPr>
        <w:t>kilogramo</w:t>
      </w:r>
      <w:r>
        <w:rPr>
          <w:spacing w:val="-5"/>
          <w:sz w:val="22"/>
        </w:rPr>
        <w:t> </w:t>
      </w:r>
      <w:r>
        <w:rPr>
          <w:sz w:val="22"/>
        </w:rPr>
        <w:t>importado</w:t>
      </w:r>
      <w:r>
        <w:rPr>
          <w:spacing w:val="-2"/>
          <w:sz w:val="22"/>
        </w:rPr>
        <w:t> </w:t>
      </w:r>
      <w:r>
        <w:rPr>
          <w:sz w:val="22"/>
        </w:rPr>
        <w:t>por</w:t>
      </w:r>
      <w:r>
        <w:rPr>
          <w:spacing w:val="-4"/>
          <w:sz w:val="22"/>
        </w:rPr>
        <w:t> </w:t>
      </w:r>
      <w:r>
        <w:rPr>
          <w:sz w:val="22"/>
        </w:rPr>
        <w:t>las</w:t>
      </w:r>
      <w:r>
        <w:rPr>
          <w:spacing w:val="-5"/>
          <w:sz w:val="22"/>
        </w:rPr>
        <w:t> </w:t>
      </w:r>
      <w:r>
        <w:rPr>
          <w:sz w:val="22"/>
        </w:rPr>
        <w:t>distintas</w:t>
      </w:r>
      <w:r>
        <w:rPr>
          <w:spacing w:val="-4"/>
          <w:sz w:val="22"/>
        </w:rPr>
        <w:t> </w:t>
      </w:r>
      <w:r>
        <w:rPr>
          <w:sz w:val="22"/>
        </w:rPr>
        <w:t>aduanas de ingreso del arroz, análisis del cual se puede indicar que, el menor precio del flete lo registró</w:t>
      </w:r>
      <w:r>
        <w:rPr>
          <w:spacing w:val="-6"/>
          <w:sz w:val="22"/>
        </w:rPr>
        <w:t> </w:t>
      </w:r>
      <w:r>
        <w:rPr>
          <w:sz w:val="22"/>
        </w:rPr>
        <w:t>Ipiales,</w:t>
      </w:r>
      <w:r>
        <w:rPr>
          <w:spacing w:val="-3"/>
          <w:sz w:val="22"/>
        </w:rPr>
        <w:t> </w:t>
      </w:r>
      <w:r>
        <w:rPr>
          <w:sz w:val="22"/>
        </w:rPr>
        <w:t>que</w:t>
      </w:r>
      <w:r>
        <w:rPr>
          <w:spacing w:val="-4"/>
          <w:sz w:val="22"/>
        </w:rPr>
        <w:t> </w:t>
      </w:r>
      <w:r>
        <w:rPr>
          <w:sz w:val="22"/>
        </w:rPr>
        <w:t>es</w:t>
      </w:r>
      <w:r>
        <w:rPr>
          <w:spacing w:val="-4"/>
          <w:sz w:val="22"/>
        </w:rPr>
        <w:t> </w:t>
      </w:r>
      <w:r>
        <w:rPr>
          <w:sz w:val="22"/>
        </w:rPr>
        <w:t>la</w:t>
      </w:r>
      <w:r>
        <w:rPr>
          <w:spacing w:val="-6"/>
          <w:sz w:val="22"/>
        </w:rPr>
        <w:t> </w:t>
      </w:r>
      <w:r>
        <w:rPr>
          <w:sz w:val="22"/>
        </w:rPr>
        <w:t>principal</w:t>
      </w:r>
      <w:r>
        <w:rPr>
          <w:spacing w:val="-5"/>
          <w:sz w:val="22"/>
        </w:rPr>
        <w:t> </w:t>
      </w:r>
      <w:r>
        <w:rPr>
          <w:sz w:val="22"/>
        </w:rPr>
        <w:t>aduana</w:t>
      </w:r>
      <w:r>
        <w:rPr>
          <w:spacing w:val="-3"/>
          <w:sz w:val="22"/>
        </w:rPr>
        <w:t> </w:t>
      </w:r>
      <w:r>
        <w:rPr>
          <w:sz w:val="22"/>
        </w:rPr>
        <w:t>por</w:t>
      </w:r>
      <w:r>
        <w:rPr>
          <w:spacing w:val="-3"/>
          <w:sz w:val="22"/>
        </w:rPr>
        <w:t> </w:t>
      </w:r>
      <w:r>
        <w:rPr>
          <w:sz w:val="22"/>
        </w:rPr>
        <w:t>la</w:t>
      </w:r>
      <w:r>
        <w:rPr>
          <w:spacing w:val="-4"/>
          <w:sz w:val="22"/>
        </w:rPr>
        <w:t> </w:t>
      </w:r>
      <w:r>
        <w:rPr>
          <w:sz w:val="22"/>
        </w:rPr>
        <w:t>cual</w:t>
      </w:r>
      <w:r>
        <w:rPr>
          <w:spacing w:val="-5"/>
          <w:sz w:val="22"/>
        </w:rPr>
        <w:t> </w:t>
      </w:r>
      <w:r>
        <w:rPr>
          <w:sz w:val="22"/>
        </w:rPr>
        <w:t>ingresa</w:t>
      </w:r>
      <w:r>
        <w:rPr>
          <w:spacing w:val="-4"/>
          <w:sz w:val="22"/>
        </w:rPr>
        <w:t> </w:t>
      </w:r>
      <w:r>
        <w:rPr>
          <w:sz w:val="22"/>
        </w:rPr>
        <w:t>el</w:t>
      </w:r>
      <w:r>
        <w:rPr>
          <w:spacing w:val="-5"/>
          <w:sz w:val="22"/>
        </w:rPr>
        <w:t> </w:t>
      </w:r>
      <w:r>
        <w:rPr>
          <w:sz w:val="22"/>
        </w:rPr>
        <w:t>arroz</w:t>
      </w:r>
      <w:r>
        <w:rPr>
          <w:spacing w:val="-4"/>
          <w:sz w:val="22"/>
        </w:rPr>
        <w:t> </w:t>
      </w:r>
      <w:r>
        <w:rPr>
          <w:sz w:val="22"/>
        </w:rPr>
        <w:t>proveniente</w:t>
      </w:r>
      <w:r>
        <w:rPr>
          <w:spacing w:val="-4"/>
          <w:sz w:val="22"/>
        </w:rPr>
        <w:t> </w:t>
      </w:r>
      <w:r>
        <w:rPr>
          <w:sz w:val="22"/>
        </w:rPr>
        <w:t>de</w:t>
      </w:r>
      <w:r>
        <w:rPr>
          <w:spacing w:val="-4"/>
          <w:sz w:val="22"/>
        </w:rPr>
        <w:t> </w:t>
      </w:r>
      <w:r>
        <w:rPr>
          <w:sz w:val="22"/>
        </w:rPr>
        <w:t>la República del</w:t>
      </w:r>
      <w:r>
        <w:rPr>
          <w:spacing w:val="-1"/>
          <w:sz w:val="22"/>
        </w:rPr>
        <w:t> </w:t>
      </w:r>
      <w:r>
        <w:rPr>
          <w:sz w:val="22"/>
        </w:rPr>
        <w:t>Ecuador durante el</w:t>
      </w:r>
      <w:r>
        <w:rPr>
          <w:spacing w:val="-4"/>
          <w:sz w:val="22"/>
        </w:rPr>
        <w:t> </w:t>
      </w:r>
      <w:r>
        <w:rPr>
          <w:sz w:val="22"/>
        </w:rPr>
        <w:t>periodo analizado, alcanzado el</w:t>
      </w:r>
      <w:r>
        <w:rPr>
          <w:spacing w:val="-4"/>
          <w:sz w:val="22"/>
        </w:rPr>
        <w:t> </w:t>
      </w:r>
      <w:r>
        <w:rPr>
          <w:sz w:val="22"/>
        </w:rPr>
        <w:t>98%. La información presentada</w:t>
      </w:r>
      <w:r>
        <w:rPr>
          <w:spacing w:val="-2"/>
          <w:sz w:val="22"/>
        </w:rPr>
        <w:t> </w:t>
      </w:r>
      <w:r>
        <w:rPr>
          <w:sz w:val="22"/>
        </w:rPr>
        <w:t>aporta</w:t>
      </w:r>
      <w:r>
        <w:rPr>
          <w:spacing w:val="-2"/>
          <w:sz w:val="22"/>
        </w:rPr>
        <w:t> </w:t>
      </w:r>
      <w:r>
        <w:rPr>
          <w:sz w:val="22"/>
        </w:rPr>
        <w:t>elementos que</w:t>
      </w:r>
      <w:r>
        <w:rPr>
          <w:spacing w:val="-2"/>
          <w:sz w:val="22"/>
        </w:rPr>
        <w:t> </w:t>
      </w:r>
      <w:r>
        <w:rPr>
          <w:sz w:val="22"/>
        </w:rPr>
        <w:t>hacen</w:t>
      </w:r>
      <w:r>
        <w:rPr>
          <w:spacing w:val="-2"/>
          <w:sz w:val="22"/>
        </w:rPr>
        <w:t> </w:t>
      </w:r>
      <w:r>
        <w:rPr>
          <w:sz w:val="22"/>
        </w:rPr>
        <w:t>prever</w:t>
      </w:r>
      <w:r>
        <w:rPr>
          <w:spacing w:val="-1"/>
          <w:sz w:val="22"/>
        </w:rPr>
        <w:t> </w:t>
      </w:r>
      <w:r>
        <w:rPr>
          <w:sz w:val="22"/>
        </w:rPr>
        <w:t>que el</w:t>
      </w:r>
      <w:r>
        <w:rPr>
          <w:spacing w:val="-1"/>
          <w:sz w:val="22"/>
        </w:rPr>
        <w:t> </w:t>
      </w:r>
      <w:r>
        <w:rPr>
          <w:sz w:val="22"/>
        </w:rPr>
        <w:t>costo del</w:t>
      </w:r>
      <w:r>
        <w:rPr>
          <w:spacing w:val="-2"/>
          <w:sz w:val="22"/>
        </w:rPr>
        <w:t> </w:t>
      </w:r>
      <w:r>
        <w:rPr>
          <w:sz w:val="22"/>
        </w:rPr>
        <w:t>flete</w:t>
      </w:r>
      <w:r>
        <w:rPr>
          <w:spacing w:val="-1"/>
          <w:sz w:val="22"/>
        </w:rPr>
        <w:t> </w:t>
      </w:r>
      <w:r>
        <w:rPr>
          <w:sz w:val="22"/>
        </w:rPr>
        <w:t>es</w:t>
      </w:r>
      <w:r>
        <w:rPr>
          <w:spacing w:val="-2"/>
          <w:sz w:val="22"/>
        </w:rPr>
        <w:t> </w:t>
      </w:r>
      <w:r>
        <w:rPr>
          <w:sz w:val="22"/>
        </w:rPr>
        <w:t>menor cuando se</w:t>
      </w:r>
      <w:r>
        <w:rPr>
          <w:spacing w:val="-2"/>
          <w:sz w:val="22"/>
        </w:rPr>
        <w:t> </w:t>
      </w:r>
      <w:r>
        <w:rPr>
          <w:sz w:val="22"/>
        </w:rPr>
        <w:t>realiza por</w:t>
      </w:r>
      <w:r>
        <w:rPr>
          <w:spacing w:val="-1"/>
          <w:sz w:val="22"/>
        </w:rPr>
        <w:t> </w:t>
      </w:r>
      <w:r>
        <w:rPr>
          <w:sz w:val="22"/>
        </w:rPr>
        <w:t>vía</w:t>
      </w:r>
      <w:r>
        <w:rPr>
          <w:spacing w:val="-4"/>
          <w:sz w:val="22"/>
        </w:rPr>
        <w:t> </w:t>
      </w:r>
      <w:r>
        <w:rPr>
          <w:sz w:val="22"/>
        </w:rPr>
        <w:t>terrestre, lo</w:t>
      </w:r>
      <w:r>
        <w:rPr>
          <w:spacing w:val="-2"/>
          <w:sz w:val="22"/>
        </w:rPr>
        <w:t> </w:t>
      </w:r>
      <w:r>
        <w:rPr>
          <w:sz w:val="22"/>
        </w:rPr>
        <w:t>que</w:t>
      </w:r>
      <w:r>
        <w:rPr>
          <w:spacing w:val="-2"/>
          <w:sz w:val="22"/>
        </w:rPr>
        <w:t> </w:t>
      </w:r>
      <w:r>
        <w:rPr>
          <w:sz w:val="22"/>
        </w:rPr>
        <w:t>estaría</w:t>
      </w:r>
      <w:r>
        <w:rPr>
          <w:spacing w:val="-2"/>
          <w:sz w:val="22"/>
        </w:rPr>
        <w:t> </w:t>
      </w:r>
      <w:r>
        <w:rPr>
          <w:sz w:val="22"/>
        </w:rPr>
        <w:t>relacionado con</w:t>
      </w:r>
      <w:r>
        <w:rPr>
          <w:spacing w:val="-2"/>
          <w:sz w:val="22"/>
        </w:rPr>
        <w:t> </w:t>
      </w:r>
      <w:r>
        <w:rPr>
          <w:sz w:val="22"/>
        </w:rPr>
        <w:t>el</w:t>
      </w:r>
      <w:r>
        <w:rPr>
          <w:spacing w:val="-3"/>
          <w:sz w:val="22"/>
        </w:rPr>
        <w:t> </w:t>
      </w:r>
      <w:r>
        <w:rPr>
          <w:sz w:val="22"/>
        </w:rPr>
        <w:t>volumen</w:t>
      </w:r>
      <w:r>
        <w:rPr>
          <w:spacing w:val="-2"/>
          <w:sz w:val="22"/>
        </w:rPr>
        <w:t> </w:t>
      </w:r>
      <w:r>
        <w:rPr>
          <w:sz w:val="22"/>
        </w:rPr>
        <w:t>de</w:t>
      </w:r>
      <w:r>
        <w:rPr>
          <w:spacing w:val="-2"/>
          <w:sz w:val="22"/>
        </w:rPr>
        <w:t> </w:t>
      </w:r>
      <w:r>
        <w:rPr>
          <w:sz w:val="22"/>
        </w:rPr>
        <w:t>importaciones que ingresa por dicha vía.</w:t>
      </w:r>
    </w:p>
    <w:p>
      <w:pPr>
        <w:pStyle w:val="BodyText"/>
        <w:rPr>
          <w:sz w:val="14"/>
        </w:rPr>
      </w:pPr>
      <w:r>
        <w:rPr>
          <w:sz w:val="14"/>
        </w:rPr>
        <mc:AlternateContent>
          <mc:Choice Requires="wps">
            <w:drawing>
              <wp:anchor distT="0" distB="0" distL="0" distR="0" allowOverlap="1" layoutInCell="1" locked="0" behindDoc="1" simplePos="0" relativeHeight="487656960">
                <wp:simplePos x="0" y="0"/>
                <wp:positionH relativeFrom="page">
                  <wp:posOffset>990904</wp:posOffset>
                </wp:positionH>
                <wp:positionV relativeFrom="paragraph">
                  <wp:posOffset>118008</wp:posOffset>
                </wp:positionV>
                <wp:extent cx="1829435" cy="7620"/>
                <wp:effectExtent l="0" t="0" r="0" b="0"/>
                <wp:wrapTopAndBottom/>
                <wp:docPr id="553" name="Graphic 553"/>
                <wp:cNvGraphicFramePr>
                  <a:graphicFrameLocks/>
                </wp:cNvGraphicFramePr>
                <a:graphic>
                  <a:graphicData uri="http://schemas.microsoft.com/office/word/2010/wordprocessingShape">
                    <wps:wsp>
                      <wps:cNvPr id="553" name="Graphic 553"/>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9.292011pt;width:144.020pt;height:.60004pt;mso-position-horizontal-relative:page;mso-position-vertical-relative:paragraph;z-index:-15659520;mso-wrap-distance-left:0;mso-wrap-distance-right:0" id="docshape382" filled="true" fillcolor="#000000" stroked="false">
                <v:fill type="solid"/>
                <w10:wrap type="topAndBottom"/>
              </v:rect>
            </w:pict>
          </mc:Fallback>
        </mc:AlternateContent>
      </w:r>
    </w:p>
    <w:p>
      <w:pPr>
        <w:spacing w:before="92"/>
        <w:ind w:left="568" w:right="0" w:firstLine="0"/>
        <w:jc w:val="left"/>
        <w:rPr>
          <w:sz w:val="16"/>
        </w:rPr>
      </w:pPr>
      <w:bookmarkStart w:name="_bookmark159" w:id="160"/>
      <w:bookmarkEnd w:id="160"/>
      <w:r>
        <w:rPr/>
      </w:r>
      <w:r>
        <w:rPr>
          <w:sz w:val="16"/>
          <w:vertAlign w:val="superscript"/>
        </w:rPr>
        <w:t>92</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9"/>
          <w:sz w:val="16"/>
          <w:vertAlign w:val="baseline"/>
        </w:rPr>
        <w:t> </w:t>
      </w:r>
      <w:r>
        <w:rPr>
          <w:spacing w:val="-2"/>
          <w:sz w:val="16"/>
          <w:vertAlign w:val="baseline"/>
        </w:rPr>
        <w:t>000363.</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54" name="Group 554"/>
                <wp:cNvGraphicFramePr>
                  <a:graphicFrameLocks/>
                </wp:cNvGraphicFramePr>
                <a:graphic>
                  <a:graphicData uri="http://schemas.microsoft.com/office/word/2010/wordprocessingGroup">
                    <wpg:wgp>
                      <wpg:cNvPr id="554" name="Group 554"/>
                      <wpg:cNvGrpSpPr/>
                      <wpg:grpSpPr>
                        <a:xfrm>
                          <a:off x="0" y="0"/>
                          <a:ext cx="6131560" cy="9525"/>
                          <a:chExt cx="6131560" cy="9525"/>
                        </a:xfrm>
                      </wpg:grpSpPr>
                      <wps:wsp>
                        <wps:cNvPr id="555" name="Graphic 555"/>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83"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780" w:left="992" w:right="283"/>
        </w:sectPr>
      </w:pPr>
    </w:p>
    <w:p>
      <w:pPr>
        <w:pStyle w:val="BodyText"/>
        <w:spacing w:before="176"/>
      </w:pPr>
    </w:p>
    <w:p>
      <w:pPr>
        <w:spacing w:before="0"/>
        <w:ind w:left="-1" w:right="409" w:firstLine="0"/>
        <w:jc w:val="center"/>
        <w:rPr>
          <w:rFonts w:ascii="Arial"/>
          <w:b/>
          <w:sz w:val="22"/>
        </w:rPr>
      </w:pPr>
      <w:r>
        <w:rPr>
          <w:rFonts w:ascii="Arial"/>
          <w:b/>
          <w:sz w:val="22"/>
        </w:rPr>
        <w:t>Tabla</w:t>
      </w:r>
      <w:r>
        <w:rPr>
          <w:rFonts w:ascii="Arial"/>
          <w:b/>
          <w:spacing w:val="-2"/>
          <w:sz w:val="22"/>
        </w:rPr>
        <w:t> </w:t>
      </w:r>
      <w:r>
        <w:rPr>
          <w:rFonts w:ascii="Arial"/>
          <w:b/>
          <w:sz w:val="22"/>
        </w:rPr>
        <w:t>No.</w:t>
      </w:r>
      <w:r>
        <w:rPr>
          <w:rFonts w:ascii="Arial"/>
          <w:b/>
          <w:spacing w:val="-2"/>
          <w:sz w:val="22"/>
        </w:rPr>
        <w:t> </w:t>
      </w:r>
      <w:r>
        <w:rPr>
          <w:rFonts w:ascii="Arial"/>
          <w:b/>
          <w:spacing w:val="-5"/>
          <w:sz w:val="22"/>
        </w:rPr>
        <w:t>11</w:t>
      </w:r>
    </w:p>
    <w:p>
      <w:pPr>
        <w:spacing w:before="2"/>
        <w:ind w:left="565" w:right="981" w:firstLine="0"/>
        <w:jc w:val="center"/>
        <w:rPr>
          <w:rFonts w:ascii="Arial" w:hAnsi="Arial"/>
          <w:b/>
          <w:sz w:val="22"/>
        </w:rPr>
      </w:pPr>
      <w:r>
        <w:rPr>
          <w:rFonts w:ascii="Arial" w:hAnsi="Arial"/>
          <w:b/>
          <w:sz w:val="22"/>
        </w:rPr>
        <w:t>Precio</w:t>
      </w:r>
      <w:r>
        <w:rPr>
          <w:rFonts w:ascii="Arial" w:hAnsi="Arial"/>
          <w:b/>
          <w:spacing w:val="-5"/>
          <w:sz w:val="22"/>
        </w:rPr>
        <w:t> </w:t>
      </w:r>
      <w:r>
        <w:rPr>
          <w:rFonts w:ascii="Arial" w:hAnsi="Arial"/>
          <w:b/>
          <w:sz w:val="22"/>
        </w:rPr>
        <w:t>implícito</w:t>
      </w:r>
      <w:r>
        <w:rPr>
          <w:rFonts w:ascii="Arial" w:hAnsi="Arial"/>
          <w:b/>
          <w:spacing w:val="-5"/>
          <w:sz w:val="22"/>
        </w:rPr>
        <w:t> </w:t>
      </w:r>
      <w:r>
        <w:rPr>
          <w:rFonts w:ascii="Arial" w:hAnsi="Arial"/>
          <w:b/>
          <w:sz w:val="22"/>
        </w:rPr>
        <w:t>promedio</w:t>
      </w:r>
      <w:r>
        <w:rPr>
          <w:rFonts w:ascii="Arial" w:hAnsi="Arial"/>
          <w:b/>
          <w:spacing w:val="-2"/>
          <w:sz w:val="22"/>
        </w:rPr>
        <w:t> </w:t>
      </w:r>
      <w:r>
        <w:rPr>
          <w:rFonts w:ascii="Arial" w:hAnsi="Arial"/>
          <w:b/>
          <w:sz w:val="22"/>
        </w:rPr>
        <w:t>Flete</w:t>
      </w:r>
      <w:r>
        <w:rPr>
          <w:rFonts w:ascii="Arial" w:hAnsi="Arial"/>
          <w:b/>
          <w:spacing w:val="-5"/>
          <w:sz w:val="22"/>
        </w:rPr>
        <w:t> </w:t>
      </w:r>
      <w:r>
        <w:rPr>
          <w:rFonts w:ascii="Arial" w:hAnsi="Arial"/>
          <w:b/>
          <w:sz w:val="22"/>
        </w:rPr>
        <w:t>USD</w:t>
      </w:r>
      <w:r>
        <w:rPr>
          <w:rFonts w:ascii="Arial" w:hAnsi="Arial"/>
          <w:b/>
          <w:spacing w:val="-3"/>
          <w:sz w:val="22"/>
        </w:rPr>
        <w:t> </w:t>
      </w:r>
      <w:r>
        <w:rPr>
          <w:rFonts w:ascii="Arial" w:hAnsi="Arial"/>
          <w:b/>
          <w:sz w:val="22"/>
        </w:rPr>
        <w:t>por</w:t>
      </w:r>
      <w:r>
        <w:rPr>
          <w:rFonts w:ascii="Arial" w:hAnsi="Arial"/>
          <w:b/>
          <w:spacing w:val="-2"/>
          <w:sz w:val="22"/>
        </w:rPr>
        <w:t> </w:t>
      </w:r>
      <w:r>
        <w:rPr>
          <w:rFonts w:ascii="Arial" w:hAnsi="Arial"/>
          <w:b/>
          <w:sz w:val="22"/>
        </w:rPr>
        <w:t>Kg</w:t>
      </w:r>
      <w:r>
        <w:rPr>
          <w:rFonts w:ascii="Arial" w:hAnsi="Arial"/>
          <w:b/>
          <w:spacing w:val="-5"/>
          <w:sz w:val="22"/>
        </w:rPr>
        <w:t> </w:t>
      </w:r>
      <w:r>
        <w:rPr>
          <w:rFonts w:ascii="Arial" w:hAnsi="Arial"/>
          <w:b/>
          <w:sz w:val="22"/>
        </w:rPr>
        <w:t>importado</w:t>
      </w:r>
      <w:r>
        <w:rPr>
          <w:rFonts w:ascii="Arial" w:hAnsi="Arial"/>
          <w:b/>
          <w:spacing w:val="-2"/>
          <w:sz w:val="22"/>
        </w:rPr>
        <w:t> </w:t>
      </w:r>
      <w:r>
        <w:rPr>
          <w:rFonts w:ascii="Arial" w:hAnsi="Arial"/>
          <w:b/>
          <w:sz w:val="22"/>
        </w:rPr>
        <w:t>de</w:t>
      </w:r>
      <w:r>
        <w:rPr>
          <w:rFonts w:ascii="Arial" w:hAnsi="Arial"/>
          <w:b/>
          <w:spacing w:val="-3"/>
          <w:sz w:val="22"/>
        </w:rPr>
        <w:t> </w:t>
      </w:r>
      <w:r>
        <w:rPr>
          <w:rFonts w:ascii="Arial" w:hAnsi="Arial"/>
          <w:b/>
          <w:sz w:val="22"/>
        </w:rPr>
        <w:t>arroz</w:t>
      </w:r>
      <w:r>
        <w:rPr>
          <w:rFonts w:ascii="Arial" w:hAnsi="Arial"/>
          <w:b/>
          <w:spacing w:val="-4"/>
          <w:sz w:val="22"/>
        </w:rPr>
        <w:t> </w:t>
      </w:r>
      <w:r>
        <w:rPr>
          <w:rFonts w:ascii="Arial" w:hAnsi="Arial"/>
          <w:b/>
          <w:sz w:val="22"/>
        </w:rPr>
        <w:t>desde</w:t>
      </w:r>
      <w:r>
        <w:rPr>
          <w:rFonts w:ascii="Arial" w:hAnsi="Arial"/>
          <w:b/>
          <w:spacing w:val="-3"/>
          <w:sz w:val="22"/>
        </w:rPr>
        <w:t> </w:t>
      </w:r>
      <w:r>
        <w:rPr>
          <w:rFonts w:ascii="Arial" w:hAnsi="Arial"/>
          <w:b/>
          <w:sz w:val="22"/>
        </w:rPr>
        <w:t>la</w:t>
      </w:r>
      <w:r>
        <w:rPr>
          <w:rFonts w:ascii="Arial" w:hAnsi="Arial"/>
          <w:b/>
          <w:spacing w:val="-5"/>
          <w:sz w:val="22"/>
        </w:rPr>
        <w:t> </w:t>
      </w:r>
      <w:r>
        <w:rPr>
          <w:rFonts w:ascii="Arial" w:hAnsi="Arial"/>
          <w:b/>
          <w:sz w:val="22"/>
        </w:rPr>
        <w:t>República</w:t>
      </w:r>
      <w:r>
        <w:rPr>
          <w:rFonts w:ascii="Arial" w:hAnsi="Arial"/>
          <w:b/>
          <w:spacing w:val="-3"/>
          <w:sz w:val="22"/>
        </w:rPr>
        <w:t> </w:t>
      </w:r>
      <w:r>
        <w:rPr>
          <w:rFonts w:ascii="Arial" w:hAnsi="Arial"/>
          <w:b/>
          <w:sz w:val="22"/>
        </w:rPr>
        <w:t>del </w:t>
      </w:r>
      <w:r>
        <w:rPr>
          <w:rFonts w:ascii="Arial" w:hAnsi="Arial"/>
          <w:b/>
          <w:spacing w:val="-2"/>
          <w:sz w:val="22"/>
        </w:rPr>
        <w:t>Ecuador</w:t>
      </w:r>
    </w:p>
    <w:p>
      <w:pPr>
        <w:spacing w:line="251" w:lineRule="exact" w:before="0"/>
        <w:ind w:left="-1" w:right="411" w:firstLine="0"/>
        <w:jc w:val="center"/>
        <w:rPr>
          <w:rFonts w:ascii="Arial" w:hAnsi="Arial"/>
          <w:b/>
          <w:sz w:val="22"/>
        </w:rPr>
      </w:pPr>
      <w:r>
        <w:rPr>
          <w:rFonts w:ascii="Arial" w:hAnsi="Arial"/>
          <w:b/>
          <w:sz w:val="22"/>
        </w:rPr>
        <w:t>Por</w:t>
      </w:r>
      <w:r>
        <w:rPr>
          <w:rFonts w:ascii="Arial" w:hAnsi="Arial"/>
          <w:b/>
          <w:spacing w:val="-5"/>
          <w:sz w:val="22"/>
        </w:rPr>
        <w:t> </w:t>
      </w:r>
      <w:r>
        <w:rPr>
          <w:rFonts w:ascii="Arial" w:hAnsi="Arial"/>
          <w:b/>
          <w:sz w:val="22"/>
        </w:rPr>
        <w:t>aduana</w:t>
      </w:r>
      <w:r>
        <w:rPr>
          <w:rFonts w:ascii="Arial" w:hAnsi="Arial"/>
          <w:b/>
          <w:spacing w:val="-3"/>
          <w:sz w:val="22"/>
        </w:rPr>
        <w:t> </w:t>
      </w:r>
      <w:r>
        <w:rPr>
          <w:rFonts w:ascii="Arial" w:hAnsi="Arial"/>
          <w:b/>
          <w:sz w:val="22"/>
        </w:rPr>
        <w:t>de</w:t>
      </w:r>
      <w:r>
        <w:rPr>
          <w:rFonts w:ascii="Arial" w:hAnsi="Arial"/>
          <w:b/>
          <w:spacing w:val="-7"/>
          <w:sz w:val="22"/>
        </w:rPr>
        <w:t> </w:t>
      </w:r>
      <w:r>
        <w:rPr>
          <w:rFonts w:ascii="Arial" w:hAnsi="Arial"/>
          <w:b/>
          <w:sz w:val="22"/>
        </w:rPr>
        <w:t>ingreso</w:t>
      </w:r>
      <w:r>
        <w:rPr>
          <w:rFonts w:ascii="Arial" w:hAnsi="Arial"/>
          <w:b/>
          <w:spacing w:val="-5"/>
          <w:sz w:val="22"/>
        </w:rPr>
        <w:t> </w:t>
      </w:r>
      <w:r>
        <w:rPr>
          <w:rFonts w:ascii="Arial" w:hAnsi="Arial"/>
          <w:b/>
          <w:sz w:val="22"/>
        </w:rPr>
        <w:t>/</w:t>
      </w:r>
      <w:r>
        <w:rPr>
          <w:rFonts w:ascii="Arial" w:hAnsi="Arial"/>
          <w:b/>
          <w:spacing w:val="-2"/>
          <w:sz w:val="22"/>
        </w:rPr>
        <w:t> </w:t>
      </w:r>
      <w:r>
        <w:rPr>
          <w:rFonts w:ascii="Arial" w:hAnsi="Arial"/>
          <w:b/>
          <w:sz w:val="22"/>
        </w:rPr>
        <w:t>periodo</w:t>
      </w:r>
      <w:r>
        <w:rPr>
          <w:rFonts w:ascii="Arial" w:hAnsi="Arial"/>
          <w:b/>
          <w:spacing w:val="-3"/>
          <w:sz w:val="22"/>
        </w:rPr>
        <w:t> </w:t>
      </w:r>
      <w:r>
        <w:rPr>
          <w:rFonts w:ascii="Arial" w:hAnsi="Arial"/>
          <w:b/>
          <w:sz w:val="22"/>
        </w:rPr>
        <w:t>2023</w:t>
      </w:r>
      <w:r>
        <w:rPr>
          <w:rFonts w:ascii="Arial" w:hAnsi="Arial"/>
          <w:b/>
          <w:spacing w:val="-2"/>
          <w:sz w:val="22"/>
        </w:rPr>
        <w:t> </w:t>
      </w:r>
      <w:r>
        <w:rPr>
          <w:rFonts w:ascii="Arial" w:hAnsi="Arial"/>
          <w:b/>
          <w:sz w:val="22"/>
        </w:rPr>
        <w:t>–</w:t>
      </w:r>
      <w:r>
        <w:rPr>
          <w:rFonts w:ascii="Arial" w:hAnsi="Arial"/>
          <w:b/>
          <w:spacing w:val="-5"/>
          <w:sz w:val="22"/>
        </w:rPr>
        <w:t> </w:t>
      </w:r>
      <w:r>
        <w:rPr>
          <w:rFonts w:ascii="Arial" w:hAnsi="Arial"/>
          <w:b/>
          <w:sz w:val="22"/>
        </w:rPr>
        <w:t>febrero</w:t>
      </w:r>
      <w:r>
        <w:rPr>
          <w:rFonts w:ascii="Arial" w:hAnsi="Arial"/>
          <w:b/>
          <w:spacing w:val="-2"/>
          <w:sz w:val="22"/>
        </w:rPr>
        <w:t> </w:t>
      </w:r>
      <w:r>
        <w:rPr>
          <w:rFonts w:ascii="Arial" w:hAnsi="Arial"/>
          <w:b/>
          <w:spacing w:val="-4"/>
          <w:sz w:val="22"/>
        </w:rPr>
        <w:t>2026</w:t>
      </w:r>
    </w:p>
    <w:tbl>
      <w:tblPr>
        <w:tblW w:w="0" w:type="auto"/>
        <w:jc w:val="left"/>
        <w:tblInd w:w="18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14"/>
        <w:gridCol w:w="857"/>
        <w:gridCol w:w="862"/>
        <w:gridCol w:w="874"/>
        <w:gridCol w:w="732"/>
        <w:gridCol w:w="1556"/>
      </w:tblGrid>
      <w:tr>
        <w:trPr>
          <w:trHeight w:val="206" w:hRule="atLeast"/>
        </w:trPr>
        <w:tc>
          <w:tcPr>
            <w:tcW w:w="2014" w:type="dxa"/>
            <w:shd w:val="clear" w:color="auto" w:fill="E8E8E8"/>
          </w:tcPr>
          <w:p>
            <w:pPr>
              <w:pStyle w:val="TableParagraph"/>
              <w:spacing w:line="186" w:lineRule="exact"/>
              <w:ind w:left="196"/>
              <w:rPr>
                <w:rFonts w:ascii="Arial"/>
                <w:b/>
                <w:sz w:val="18"/>
              </w:rPr>
            </w:pPr>
            <w:r>
              <w:rPr>
                <w:rFonts w:ascii="Arial"/>
                <w:b/>
                <w:sz w:val="18"/>
              </w:rPr>
              <w:t>Aduana</w:t>
            </w:r>
            <w:r>
              <w:rPr>
                <w:rFonts w:ascii="Arial"/>
                <w:b/>
                <w:spacing w:val="-3"/>
                <w:sz w:val="18"/>
              </w:rPr>
              <w:t> </w:t>
            </w:r>
            <w:r>
              <w:rPr>
                <w:rFonts w:ascii="Arial"/>
                <w:b/>
                <w:sz w:val="18"/>
              </w:rPr>
              <w:t>de</w:t>
            </w:r>
            <w:r>
              <w:rPr>
                <w:rFonts w:ascii="Arial"/>
                <w:b/>
                <w:spacing w:val="-2"/>
                <w:sz w:val="18"/>
              </w:rPr>
              <w:t> ingreso</w:t>
            </w:r>
          </w:p>
        </w:tc>
        <w:tc>
          <w:tcPr>
            <w:tcW w:w="857" w:type="dxa"/>
            <w:shd w:val="clear" w:color="auto" w:fill="E8E8E8"/>
          </w:tcPr>
          <w:p>
            <w:pPr>
              <w:pStyle w:val="TableParagraph"/>
              <w:spacing w:line="186" w:lineRule="exact"/>
              <w:ind w:left="12"/>
              <w:jc w:val="center"/>
              <w:rPr>
                <w:rFonts w:ascii="Arial"/>
                <w:b/>
                <w:sz w:val="18"/>
              </w:rPr>
            </w:pPr>
            <w:r>
              <w:rPr>
                <w:rFonts w:ascii="Arial"/>
                <w:b/>
                <w:spacing w:val="-4"/>
                <w:sz w:val="18"/>
              </w:rPr>
              <w:t>2023</w:t>
            </w:r>
          </w:p>
        </w:tc>
        <w:tc>
          <w:tcPr>
            <w:tcW w:w="862" w:type="dxa"/>
            <w:shd w:val="clear" w:color="auto" w:fill="E8E8E8"/>
          </w:tcPr>
          <w:p>
            <w:pPr>
              <w:pStyle w:val="TableParagraph"/>
              <w:spacing w:line="186" w:lineRule="exact"/>
              <w:ind w:left="7"/>
              <w:jc w:val="center"/>
              <w:rPr>
                <w:rFonts w:ascii="Arial"/>
                <w:b/>
                <w:sz w:val="18"/>
              </w:rPr>
            </w:pPr>
            <w:r>
              <w:rPr>
                <w:rFonts w:ascii="Arial"/>
                <w:b/>
                <w:spacing w:val="-4"/>
                <w:sz w:val="18"/>
              </w:rPr>
              <w:t>2024</w:t>
            </w:r>
          </w:p>
        </w:tc>
        <w:tc>
          <w:tcPr>
            <w:tcW w:w="874" w:type="dxa"/>
            <w:shd w:val="clear" w:color="auto" w:fill="E8E8E8"/>
          </w:tcPr>
          <w:p>
            <w:pPr>
              <w:pStyle w:val="TableParagraph"/>
              <w:spacing w:line="186" w:lineRule="exact"/>
              <w:ind w:left="9"/>
              <w:jc w:val="center"/>
              <w:rPr>
                <w:rFonts w:ascii="Arial"/>
                <w:b/>
                <w:sz w:val="18"/>
              </w:rPr>
            </w:pPr>
            <w:r>
              <w:rPr>
                <w:rFonts w:ascii="Arial"/>
                <w:b/>
                <w:spacing w:val="-4"/>
                <w:sz w:val="18"/>
              </w:rPr>
              <w:t>2025</w:t>
            </w:r>
          </w:p>
        </w:tc>
        <w:tc>
          <w:tcPr>
            <w:tcW w:w="732" w:type="dxa"/>
            <w:shd w:val="clear" w:color="auto" w:fill="E8E8E8"/>
          </w:tcPr>
          <w:p>
            <w:pPr>
              <w:pStyle w:val="TableParagraph"/>
              <w:spacing w:line="186" w:lineRule="exact"/>
              <w:ind w:left="11"/>
              <w:jc w:val="center"/>
              <w:rPr>
                <w:rFonts w:ascii="Arial"/>
                <w:b/>
                <w:sz w:val="18"/>
              </w:rPr>
            </w:pPr>
            <w:r>
              <w:rPr>
                <w:rFonts w:ascii="Arial"/>
                <w:b/>
                <w:spacing w:val="-4"/>
                <w:sz w:val="18"/>
              </w:rPr>
              <w:t>2026</w:t>
            </w:r>
          </w:p>
        </w:tc>
        <w:tc>
          <w:tcPr>
            <w:tcW w:w="1556" w:type="dxa"/>
            <w:shd w:val="clear" w:color="auto" w:fill="E8E8E8"/>
          </w:tcPr>
          <w:p>
            <w:pPr>
              <w:pStyle w:val="TableParagraph"/>
              <w:spacing w:line="186" w:lineRule="exact"/>
              <w:ind w:left="7"/>
              <w:jc w:val="center"/>
              <w:rPr>
                <w:rFonts w:ascii="Arial"/>
                <w:b/>
                <w:sz w:val="18"/>
              </w:rPr>
            </w:pPr>
            <w:r>
              <w:rPr>
                <w:rFonts w:ascii="Arial"/>
                <w:b/>
                <w:sz w:val="18"/>
              </w:rPr>
              <w:t>Total</w:t>
            </w:r>
            <w:r>
              <w:rPr>
                <w:rFonts w:ascii="Arial"/>
                <w:b/>
                <w:spacing w:val="-1"/>
                <w:sz w:val="18"/>
              </w:rPr>
              <w:t> </w:t>
            </w:r>
            <w:r>
              <w:rPr>
                <w:rFonts w:ascii="Arial"/>
                <w:b/>
                <w:spacing w:val="-2"/>
                <w:sz w:val="18"/>
              </w:rPr>
              <w:t>general</w:t>
            </w:r>
          </w:p>
        </w:tc>
      </w:tr>
      <w:tr>
        <w:trPr>
          <w:trHeight w:val="208" w:hRule="atLeast"/>
        </w:trPr>
        <w:tc>
          <w:tcPr>
            <w:tcW w:w="2014" w:type="dxa"/>
          </w:tcPr>
          <w:p>
            <w:pPr>
              <w:pStyle w:val="TableParagraph"/>
              <w:spacing w:line="188" w:lineRule="exact"/>
              <w:ind w:left="107"/>
              <w:rPr>
                <w:sz w:val="18"/>
              </w:rPr>
            </w:pPr>
            <w:r>
              <w:rPr>
                <w:spacing w:val="-2"/>
                <w:sz w:val="18"/>
              </w:rPr>
              <w:t>BARRANQUILLA</w:t>
            </w:r>
          </w:p>
        </w:tc>
        <w:tc>
          <w:tcPr>
            <w:tcW w:w="857" w:type="dxa"/>
          </w:tcPr>
          <w:p>
            <w:pPr>
              <w:pStyle w:val="TableParagraph"/>
              <w:rPr>
                <w:rFonts w:ascii="Times New Roman"/>
                <w:sz w:val="14"/>
              </w:rPr>
            </w:pPr>
          </w:p>
        </w:tc>
        <w:tc>
          <w:tcPr>
            <w:tcW w:w="862" w:type="dxa"/>
          </w:tcPr>
          <w:p>
            <w:pPr>
              <w:pStyle w:val="TableParagraph"/>
              <w:spacing w:line="188" w:lineRule="exact"/>
              <w:ind w:left="7" w:right="3"/>
              <w:jc w:val="center"/>
              <w:rPr>
                <w:sz w:val="18"/>
              </w:rPr>
            </w:pPr>
            <w:r>
              <w:rPr>
                <w:spacing w:val="-4"/>
                <w:sz w:val="18"/>
              </w:rPr>
              <w:t>0.04</w:t>
            </w:r>
          </w:p>
        </w:tc>
        <w:tc>
          <w:tcPr>
            <w:tcW w:w="874" w:type="dxa"/>
          </w:tcPr>
          <w:p>
            <w:pPr>
              <w:pStyle w:val="TableParagraph"/>
              <w:rPr>
                <w:rFonts w:ascii="Times New Roman"/>
                <w:sz w:val="14"/>
              </w:rPr>
            </w:pPr>
          </w:p>
        </w:tc>
        <w:tc>
          <w:tcPr>
            <w:tcW w:w="732" w:type="dxa"/>
          </w:tcPr>
          <w:p>
            <w:pPr>
              <w:pStyle w:val="TableParagraph"/>
              <w:rPr>
                <w:rFonts w:ascii="Times New Roman"/>
                <w:sz w:val="14"/>
              </w:rPr>
            </w:pPr>
          </w:p>
        </w:tc>
        <w:tc>
          <w:tcPr>
            <w:tcW w:w="1556" w:type="dxa"/>
          </w:tcPr>
          <w:p>
            <w:pPr>
              <w:pStyle w:val="TableParagraph"/>
              <w:spacing w:line="188" w:lineRule="exact"/>
              <w:ind w:left="7" w:right="2"/>
              <w:jc w:val="center"/>
              <w:rPr>
                <w:sz w:val="18"/>
              </w:rPr>
            </w:pPr>
            <w:r>
              <w:rPr>
                <w:spacing w:val="-4"/>
                <w:sz w:val="18"/>
              </w:rPr>
              <w:t>0.04</w:t>
            </w:r>
          </w:p>
        </w:tc>
      </w:tr>
      <w:tr>
        <w:trPr>
          <w:trHeight w:val="206" w:hRule="atLeast"/>
        </w:trPr>
        <w:tc>
          <w:tcPr>
            <w:tcW w:w="2014" w:type="dxa"/>
          </w:tcPr>
          <w:p>
            <w:pPr>
              <w:pStyle w:val="TableParagraph"/>
              <w:spacing w:line="186" w:lineRule="exact"/>
              <w:ind w:left="107"/>
              <w:rPr>
                <w:sz w:val="18"/>
              </w:rPr>
            </w:pPr>
            <w:r>
              <w:rPr>
                <w:spacing w:val="-2"/>
                <w:sz w:val="18"/>
              </w:rPr>
              <w:t>BOGOTÁ</w:t>
            </w:r>
          </w:p>
        </w:tc>
        <w:tc>
          <w:tcPr>
            <w:tcW w:w="857" w:type="dxa"/>
          </w:tcPr>
          <w:p>
            <w:pPr>
              <w:pStyle w:val="TableParagraph"/>
              <w:rPr>
                <w:rFonts w:ascii="Times New Roman"/>
                <w:sz w:val="14"/>
              </w:rPr>
            </w:pPr>
          </w:p>
        </w:tc>
        <w:tc>
          <w:tcPr>
            <w:tcW w:w="862" w:type="dxa"/>
          </w:tcPr>
          <w:p>
            <w:pPr>
              <w:pStyle w:val="TableParagraph"/>
              <w:spacing w:line="186" w:lineRule="exact"/>
              <w:ind w:left="7" w:right="4"/>
              <w:jc w:val="center"/>
              <w:rPr>
                <w:sz w:val="18"/>
              </w:rPr>
            </w:pPr>
            <w:r>
              <w:rPr>
                <w:spacing w:val="-2"/>
                <w:sz w:val="18"/>
              </w:rPr>
              <w:t>60.62</w:t>
            </w:r>
          </w:p>
        </w:tc>
        <w:tc>
          <w:tcPr>
            <w:tcW w:w="874" w:type="dxa"/>
          </w:tcPr>
          <w:p>
            <w:pPr>
              <w:pStyle w:val="TableParagraph"/>
              <w:rPr>
                <w:rFonts w:ascii="Times New Roman"/>
                <w:sz w:val="14"/>
              </w:rPr>
            </w:pPr>
          </w:p>
        </w:tc>
        <w:tc>
          <w:tcPr>
            <w:tcW w:w="732" w:type="dxa"/>
          </w:tcPr>
          <w:p>
            <w:pPr>
              <w:pStyle w:val="TableParagraph"/>
              <w:rPr>
                <w:rFonts w:ascii="Times New Roman"/>
                <w:sz w:val="14"/>
              </w:rPr>
            </w:pPr>
          </w:p>
        </w:tc>
        <w:tc>
          <w:tcPr>
            <w:tcW w:w="1556" w:type="dxa"/>
          </w:tcPr>
          <w:p>
            <w:pPr>
              <w:pStyle w:val="TableParagraph"/>
              <w:spacing w:line="186" w:lineRule="exact"/>
              <w:ind w:left="7" w:right="2"/>
              <w:jc w:val="center"/>
              <w:rPr>
                <w:sz w:val="18"/>
              </w:rPr>
            </w:pPr>
            <w:r>
              <w:rPr>
                <w:spacing w:val="-2"/>
                <w:sz w:val="18"/>
              </w:rPr>
              <w:t>60.62</w:t>
            </w:r>
          </w:p>
        </w:tc>
      </w:tr>
      <w:tr>
        <w:trPr>
          <w:trHeight w:val="205" w:hRule="atLeast"/>
        </w:trPr>
        <w:tc>
          <w:tcPr>
            <w:tcW w:w="2014" w:type="dxa"/>
          </w:tcPr>
          <w:p>
            <w:pPr>
              <w:pStyle w:val="TableParagraph"/>
              <w:spacing w:line="186" w:lineRule="exact"/>
              <w:ind w:left="107"/>
              <w:rPr>
                <w:sz w:val="18"/>
              </w:rPr>
            </w:pPr>
            <w:r>
              <w:rPr>
                <w:spacing w:val="-2"/>
                <w:sz w:val="18"/>
              </w:rPr>
              <w:t>BUENAVENTURA</w:t>
            </w:r>
          </w:p>
        </w:tc>
        <w:tc>
          <w:tcPr>
            <w:tcW w:w="857" w:type="dxa"/>
          </w:tcPr>
          <w:p>
            <w:pPr>
              <w:pStyle w:val="TableParagraph"/>
              <w:rPr>
                <w:rFonts w:ascii="Times New Roman"/>
                <w:sz w:val="14"/>
              </w:rPr>
            </w:pPr>
          </w:p>
        </w:tc>
        <w:tc>
          <w:tcPr>
            <w:tcW w:w="862" w:type="dxa"/>
          </w:tcPr>
          <w:p>
            <w:pPr>
              <w:pStyle w:val="TableParagraph"/>
              <w:spacing w:line="186" w:lineRule="exact"/>
              <w:ind w:left="7" w:right="3"/>
              <w:jc w:val="center"/>
              <w:rPr>
                <w:sz w:val="18"/>
              </w:rPr>
            </w:pPr>
            <w:r>
              <w:rPr>
                <w:spacing w:val="-4"/>
                <w:sz w:val="18"/>
              </w:rPr>
              <w:t>0.04</w:t>
            </w:r>
          </w:p>
        </w:tc>
        <w:tc>
          <w:tcPr>
            <w:tcW w:w="874" w:type="dxa"/>
          </w:tcPr>
          <w:p>
            <w:pPr>
              <w:pStyle w:val="TableParagraph"/>
              <w:rPr>
                <w:rFonts w:ascii="Times New Roman"/>
                <w:sz w:val="14"/>
              </w:rPr>
            </w:pPr>
          </w:p>
        </w:tc>
        <w:tc>
          <w:tcPr>
            <w:tcW w:w="732" w:type="dxa"/>
          </w:tcPr>
          <w:p>
            <w:pPr>
              <w:pStyle w:val="TableParagraph"/>
              <w:rPr>
                <w:rFonts w:ascii="Times New Roman"/>
                <w:sz w:val="14"/>
              </w:rPr>
            </w:pPr>
          </w:p>
        </w:tc>
        <w:tc>
          <w:tcPr>
            <w:tcW w:w="1556" w:type="dxa"/>
          </w:tcPr>
          <w:p>
            <w:pPr>
              <w:pStyle w:val="TableParagraph"/>
              <w:spacing w:line="186" w:lineRule="exact"/>
              <w:ind w:left="7" w:right="2"/>
              <w:jc w:val="center"/>
              <w:rPr>
                <w:sz w:val="18"/>
              </w:rPr>
            </w:pPr>
            <w:r>
              <w:rPr>
                <w:spacing w:val="-4"/>
                <w:sz w:val="18"/>
              </w:rPr>
              <w:t>0.04</w:t>
            </w:r>
          </w:p>
        </w:tc>
      </w:tr>
      <w:tr>
        <w:trPr>
          <w:trHeight w:val="208" w:hRule="atLeast"/>
        </w:trPr>
        <w:tc>
          <w:tcPr>
            <w:tcW w:w="2014" w:type="dxa"/>
          </w:tcPr>
          <w:p>
            <w:pPr>
              <w:pStyle w:val="TableParagraph"/>
              <w:spacing w:line="187" w:lineRule="exact" w:before="1"/>
              <w:ind w:left="107"/>
              <w:rPr>
                <w:sz w:val="18"/>
              </w:rPr>
            </w:pPr>
            <w:r>
              <w:rPr>
                <w:spacing w:val="-2"/>
                <w:sz w:val="18"/>
              </w:rPr>
              <w:t>IPIALES</w:t>
            </w:r>
          </w:p>
        </w:tc>
        <w:tc>
          <w:tcPr>
            <w:tcW w:w="857" w:type="dxa"/>
          </w:tcPr>
          <w:p>
            <w:pPr>
              <w:pStyle w:val="TableParagraph"/>
              <w:spacing w:line="187" w:lineRule="exact" w:before="1"/>
              <w:ind w:left="12" w:right="4"/>
              <w:jc w:val="center"/>
              <w:rPr>
                <w:sz w:val="18"/>
              </w:rPr>
            </w:pPr>
            <w:r>
              <w:rPr>
                <w:spacing w:val="-4"/>
                <w:sz w:val="18"/>
              </w:rPr>
              <w:t>0.02</w:t>
            </w:r>
          </w:p>
        </w:tc>
        <w:tc>
          <w:tcPr>
            <w:tcW w:w="862" w:type="dxa"/>
          </w:tcPr>
          <w:p>
            <w:pPr>
              <w:pStyle w:val="TableParagraph"/>
              <w:spacing w:line="187" w:lineRule="exact" w:before="1"/>
              <w:ind w:left="7" w:right="3"/>
              <w:jc w:val="center"/>
              <w:rPr>
                <w:sz w:val="18"/>
              </w:rPr>
            </w:pPr>
            <w:r>
              <w:rPr>
                <w:spacing w:val="-4"/>
                <w:sz w:val="18"/>
              </w:rPr>
              <w:t>0.02</w:t>
            </w:r>
          </w:p>
        </w:tc>
        <w:tc>
          <w:tcPr>
            <w:tcW w:w="874" w:type="dxa"/>
          </w:tcPr>
          <w:p>
            <w:pPr>
              <w:pStyle w:val="TableParagraph"/>
              <w:spacing w:line="187" w:lineRule="exact" w:before="1"/>
              <w:ind w:left="9" w:right="4"/>
              <w:jc w:val="center"/>
              <w:rPr>
                <w:sz w:val="18"/>
              </w:rPr>
            </w:pPr>
            <w:r>
              <w:rPr>
                <w:spacing w:val="-4"/>
                <w:sz w:val="18"/>
              </w:rPr>
              <w:t>0.02</w:t>
            </w:r>
          </w:p>
        </w:tc>
        <w:tc>
          <w:tcPr>
            <w:tcW w:w="732" w:type="dxa"/>
          </w:tcPr>
          <w:p>
            <w:pPr>
              <w:pStyle w:val="TableParagraph"/>
              <w:spacing w:line="187" w:lineRule="exact" w:before="1"/>
              <w:ind w:left="11" w:right="4"/>
              <w:jc w:val="center"/>
              <w:rPr>
                <w:sz w:val="18"/>
              </w:rPr>
            </w:pPr>
            <w:r>
              <w:rPr>
                <w:spacing w:val="-4"/>
                <w:sz w:val="18"/>
              </w:rPr>
              <w:t>0.03</w:t>
            </w:r>
          </w:p>
        </w:tc>
        <w:tc>
          <w:tcPr>
            <w:tcW w:w="1556" w:type="dxa"/>
          </w:tcPr>
          <w:p>
            <w:pPr>
              <w:pStyle w:val="TableParagraph"/>
              <w:spacing w:line="187" w:lineRule="exact" w:before="1"/>
              <w:ind w:left="7" w:right="2"/>
              <w:jc w:val="center"/>
              <w:rPr>
                <w:sz w:val="18"/>
              </w:rPr>
            </w:pPr>
            <w:r>
              <w:rPr>
                <w:spacing w:val="-4"/>
                <w:sz w:val="18"/>
              </w:rPr>
              <w:t>0.02</w:t>
            </w:r>
          </w:p>
        </w:tc>
      </w:tr>
    </w:tbl>
    <w:p>
      <w:pPr>
        <w:spacing w:before="2"/>
        <w:ind w:left="1845" w:right="6616" w:firstLine="0"/>
        <w:jc w:val="left"/>
        <w:rPr>
          <w:rFonts w:ascii="Arial" w:hAnsi="Arial"/>
          <w:b/>
          <w:sz w:val="16"/>
        </w:rPr>
      </w:pPr>
      <w:r>
        <w:rPr>
          <w:rFonts w:ascii="Arial" w:hAnsi="Arial"/>
          <w:b/>
          <w:sz w:val="16"/>
        </w:rPr>
        <w:t>Fuente:</w:t>
      </w:r>
      <w:r>
        <w:rPr>
          <w:rFonts w:ascii="Arial" w:hAnsi="Arial"/>
          <w:b/>
          <w:spacing w:val="-12"/>
          <w:sz w:val="16"/>
        </w:rPr>
        <w:t> </w:t>
      </w:r>
      <w:r>
        <w:rPr>
          <w:rFonts w:ascii="Arial" w:hAnsi="Arial"/>
          <w:b/>
          <w:sz w:val="16"/>
        </w:rPr>
        <w:t>Datos</w:t>
      </w:r>
      <w:r>
        <w:rPr>
          <w:rFonts w:ascii="Arial" w:hAnsi="Arial"/>
          <w:b/>
          <w:spacing w:val="-11"/>
          <w:sz w:val="16"/>
        </w:rPr>
        <w:t> </w:t>
      </w:r>
      <w:r>
        <w:rPr>
          <w:rFonts w:ascii="Arial" w:hAnsi="Arial"/>
          <w:b/>
          <w:sz w:val="16"/>
        </w:rPr>
        <w:t>DANE-</w:t>
      </w:r>
      <w:r>
        <w:rPr>
          <w:rFonts w:ascii="Arial" w:hAnsi="Arial"/>
          <w:b/>
          <w:sz w:val="16"/>
        </w:rPr>
        <w:t>DIAN. Elaboración: SGCAN.</w:t>
      </w:r>
    </w:p>
    <w:p>
      <w:pPr>
        <w:pStyle w:val="BodyText"/>
        <w:spacing w:before="69"/>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Sobre la base de la información analizada, se puede concluir que la medida objeto de investigación </w:t>
      </w:r>
      <w:r>
        <w:rPr>
          <w:rFonts w:ascii="Arial" w:hAnsi="Arial"/>
          <w:b/>
          <w:sz w:val="22"/>
        </w:rPr>
        <w:t>tiene por efecto dificultar (encarecer o hacer más onerosa) las importaciones de arroz, </w:t>
      </w:r>
      <w:r>
        <w:rPr>
          <w:sz w:val="22"/>
        </w:rPr>
        <w:t>producto comprendido en el artículo 2 del Decreto 0170.</w:t>
      </w:r>
    </w:p>
    <w:p>
      <w:pPr>
        <w:pStyle w:val="ListParagraph"/>
        <w:numPr>
          <w:ilvl w:val="0"/>
          <w:numId w:val="50"/>
        </w:numPr>
        <w:tabs>
          <w:tab w:pos="1130" w:val="left" w:leader="none"/>
          <w:tab w:pos="1134" w:val="left" w:leader="none"/>
        </w:tabs>
        <w:spacing w:line="240" w:lineRule="auto" w:before="252" w:after="0"/>
        <w:ind w:left="1134" w:right="977" w:hanging="567"/>
        <w:jc w:val="both"/>
        <w:rPr>
          <w:sz w:val="22"/>
        </w:rPr>
      </w:pPr>
      <w:r>
        <w:rPr>
          <w:sz w:val="22"/>
        </w:rPr>
        <w:t>En definitiva, a la luz de lo expuesto, puede señalarse que la medida objeto de investigación tuvo como efecto impedir las importaciones de arroz, producto comprendido en el artículo 2 del Decreto 0170, al suspender de hecho su ingreso durante su período de vigencia. Asimismo, dicha medida dificulta el acceso de este producto al mercado de la República de Colombia, por </w:t>
      </w:r>
      <w:r>
        <w:rPr>
          <w:rFonts w:ascii="Arial" w:hAnsi="Arial"/>
          <w:b/>
          <w:sz w:val="22"/>
        </w:rPr>
        <w:t>cuanto encarece o hace más onerosas las operaciones de importación</w:t>
      </w:r>
      <w:r>
        <w:rPr>
          <w:sz w:val="22"/>
        </w:rPr>
        <w:t>, al obligar al redireccionamiento de las rutas logísticas tradicionalmente utilizadas.</w:t>
      </w:r>
    </w:p>
    <w:p>
      <w:pPr>
        <w:pStyle w:val="BodyText"/>
        <w:spacing w:before="1"/>
      </w:pPr>
    </w:p>
    <w:p>
      <w:pPr>
        <w:pStyle w:val="Heading6"/>
        <w:numPr>
          <w:ilvl w:val="0"/>
          <w:numId w:val="99"/>
        </w:numPr>
        <w:tabs>
          <w:tab w:pos="1420" w:val="left" w:leader="none"/>
        </w:tabs>
        <w:spacing w:line="240" w:lineRule="auto" w:before="0" w:after="0"/>
        <w:ind w:left="1420" w:right="0" w:hanging="360"/>
        <w:jc w:val="left"/>
      </w:pPr>
      <w:r>
        <w:rPr/>
        <w:t>Restricción</w:t>
      </w:r>
      <w:r>
        <w:rPr>
          <w:spacing w:val="-6"/>
        </w:rPr>
        <w:t> </w:t>
      </w:r>
      <w:r>
        <w:rPr/>
        <w:t>al</w:t>
      </w:r>
      <w:r>
        <w:rPr>
          <w:spacing w:val="-5"/>
        </w:rPr>
        <w:t> </w:t>
      </w:r>
      <w:r>
        <w:rPr/>
        <w:t>ingreso</w:t>
      </w:r>
      <w:r>
        <w:rPr>
          <w:spacing w:val="-9"/>
        </w:rPr>
        <w:t> </w:t>
      </w:r>
      <w:r>
        <w:rPr/>
        <w:t>de</w:t>
      </w:r>
      <w:r>
        <w:rPr>
          <w:spacing w:val="-4"/>
        </w:rPr>
        <w:t> </w:t>
      </w:r>
      <w:r>
        <w:rPr/>
        <w:t>productos</w:t>
      </w:r>
      <w:r>
        <w:rPr>
          <w:spacing w:val="-7"/>
        </w:rPr>
        <w:t> </w:t>
      </w:r>
      <w:r>
        <w:rPr/>
        <w:t>frescos</w:t>
      </w:r>
      <w:r>
        <w:rPr>
          <w:spacing w:val="-3"/>
        </w:rPr>
        <w:t> </w:t>
      </w:r>
      <w:r>
        <w:rPr>
          <w:spacing w:val="-2"/>
        </w:rPr>
        <w:t>agrícolas</w:t>
      </w:r>
      <w:hyperlink w:history="true" w:anchor="_bookmark160">
        <w:r>
          <w:rPr>
            <w:spacing w:val="-2"/>
            <w:vertAlign w:val="superscript"/>
          </w:rPr>
          <w:t>93</w:t>
        </w:r>
      </w:hyperlink>
    </w:p>
    <w:p>
      <w:pPr>
        <w:pStyle w:val="ListParagraph"/>
        <w:numPr>
          <w:ilvl w:val="0"/>
          <w:numId w:val="50"/>
        </w:numPr>
        <w:tabs>
          <w:tab w:pos="1130" w:val="left" w:leader="none"/>
          <w:tab w:pos="1134" w:val="left" w:leader="none"/>
        </w:tabs>
        <w:spacing w:line="240" w:lineRule="auto" w:before="252" w:after="0"/>
        <w:ind w:left="1134" w:right="982" w:hanging="567"/>
        <w:jc w:val="both"/>
        <w:rPr>
          <w:sz w:val="22"/>
        </w:rPr>
      </w:pPr>
      <w:r>
        <w:rPr>
          <w:sz w:val="22"/>
        </w:rPr>
        <w:t>El artículo 2 del Decreto 0170 contiene un total de 30 subpartidas arancelarias, de las cuales 6 subpartidas corresponden al producto arroz, 18 subpartidas a productos agrícolas y las restantes 6 subpartidas corresponde a productos pesqueros.</w:t>
      </w:r>
    </w:p>
    <w:p>
      <w:pPr>
        <w:pStyle w:val="ListParagraph"/>
        <w:numPr>
          <w:ilvl w:val="0"/>
          <w:numId w:val="50"/>
        </w:numPr>
        <w:tabs>
          <w:tab w:pos="1130" w:val="left" w:leader="none"/>
          <w:tab w:pos="1134" w:val="left" w:leader="none"/>
        </w:tabs>
        <w:spacing w:line="240" w:lineRule="auto" w:before="252" w:after="0"/>
        <w:ind w:left="1134" w:right="980" w:hanging="567"/>
        <w:jc w:val="both"/>
        <w:rPr>
          <w:sz w:val="22"/>
        </w:rPr>
      </w:pPr>
      <w:r>
        <w:rPr>
          <w:sz w:val="22"/>
        </w:rPr>
        <w:t>En la</w:t>
      </w:r>
      <w:r>
        <w:rPr>
          <w:spacing w:val="-2"/>
          <w:sz w:val="22"/>
        </w:rPr>
        <w:t> </w:t>
      </w:r>
      <w:r>
        <w:rPr>
          <w:sz w:val="22"/>
        </w:rPr>
        <w:t>sección</w:t>
      </w:r>
      <w:r>
        <w:rPr>
          <w:spacing w:val="-2"/>
          <w:sz w:val="22"/>
        </w:rPr>
        <w:t> </w:t>
      </w:r>
      <w:r>
        <w:rPr>
          <w:sz w:val="22"/>
        </w:rPr>
        <w:t>anterior</w:t>
      </w:r>
      <w:r>
        <w:rPr>
          <w:spacing w:val="-1"/>
          <w:sz w:val="22"/>
        </w:rPr>
        <w:t> </w:t>
      </w:r>
      <w:r>
        <w:rPr>
          <w:sz w:val="22"/>
        </w:rPr>
        <w:t>se</w:t>
      </w:r>
      <w:r>
        <w:rPr>
          <w:spacing w:val="-2"/>
          <w:sz w:val="22"/>
        </w:rPr>
        <w:t> </w:t>
      </w:r>
      <w:r>
        <w:rPr>
          <w:sz w:val="22"/>
        </w:rPr>
        <w:t>abordó</w:t>
      </w:r>
      <w:r>
        <w:rPr>
          <w:spacing w:val="-2"/>
          <w:sz w:val="22"/>
        </w:rPr>
        <w:t> </w:t>
      </w:r>
      <w:r>
        <w:rPr>
          <w:sz w:val="22"/>
        </w:rPr>
        <w:t>el</w:t>
      </w:r>
      <w:r>
        <w:rPr>
          <w:spacing w:val="-1"/>
          <w:sz w:val="22"/>
        </w:rPr>
        <w:t> </w:t>
      </w:r>
      <w:r>
        <w:rPr>
          <w:sz w:val="22"/>
        </w:rPr>
        <w:t>análisis de</w:t>
      </w:r>
      <w:r>
        <w:rPr>
          <w:spacing w:val="-2"/>
          <w:sz w:val="22"/>
        </w:rPr>
        <w:t> </w:t>
      </w:r>
      <w:r>
        <w:rPr>
          <w:sz w:val="22"/>
        </w:rPr>
        <w:t>las</w:t>
      </w:r>
      <w:r>
        <w:rPr>
          <w:spacing w:val="-2"/>
          <w:sz w:val="22"/>
        </w:rPr>
        <w:t> </w:t>
      </w:r>
      <w:r>
        <w:rPr>
          <w:sz w:val="22"/>
        </w:rPr>
        <w:t>6</w:t>
      </w:r>
      <w:r>
        <w:rPr>
          <w:spacing w:val="-2"/>
          <w:sz w:val="22"/>
        </w:rPr>
        <w:t> </w:t>
      </w:r>
      <w:r>
        <w:rPr>
          <w:sz w:val="22"/>
        </w:rPr>
        <w:t>subpartidas</w:t>
      </w:r>
      <w:r>
        <w:rPr>
          <w:spacing w:val="-2"/>
          <w:sz w:val="22"/>
        </w:rPr>
        <w:t> </w:t>
      </w:r>
      <w:r>
        <w:rPr>
          <w:sz w:val="22"/>
        </w:rPr>
        <w:t>correspondientes a</w:t>
      </w:r>
      <w:r>
        <w:rPr>
          <w:spacing w:val="-2"/>
          <w:sz w:val="22"/>
        </w:rPr>
        <w:t> </w:t>
      </w:r>
      <w:r>
        <w:rPr>
          <w:sz w:val="22"/>
        </w:rPr>
        <w:t>las importaciones de arroz. En esta sección, se procederá a realizar el análisis de los productos agrícolas, es</w:t>
      </w:r>
      <w:r>
        <w:rPr>
          <w:spacing w:val="-2"/>
          <w:sz w:val="22"/>
        </w:rPr>
        <w:t> </w:t>
      </w:r>
      <w:r>
        <w:rPr>
          <w:sz w:val="22"/>
        </w:rPr>
        <w:t>decir, el</w:t>
      </w:r>
      <w:r>
        <w:rPr>
          <w:spacing w:val="-1"/>
          <w:sz w:val="22"/>
        </w:rPr>
        <w:t> </w:t>
      </w:r>
      <w:r>
        <w:rPr>
          <w:sz w:val="22"/>
        </w:rPr>
        <w:t>conjunto de las 18 subpartidas arancelarias, conforme con el siguiente detalle:</w:t>
      </w:r>
    </w:p>
    <w:p>
      <w:pPr>
        <w:pStyle w:val="Heading6"/>
        <w:spacing w:before="253"/>
        <w:ind w:right="409"/>
        <w:jc w:val="center"/>
      </w:pPr>
      <w:r>
        <w:rPr/>
        <w:t>Tabla</w:t>
      </w:r>
      <w:r>
        <w:rPr>
          <w:spacing w:val="-2"/>
        </w:rPr>
        <w:t> </w:t>
      </w:r>
      <w:r>
        <w:rPr/>
        <w:t>No.</w:t>
      </w:r>
      <w:r>
        <w:rPr>
          <w:spacing w:val="-2"/>
        </w:rPr>
        <w:t> </w:t>
      </w:r>
      <w:r>
        <w:rPr>
          <w:spacing w:val="-5"/>
        </w:rPr>
        <w:t>12</w:t>
      </w:r>
    </w:p>
    <w:p>
      <w:pPr>
        <w:spacing w:before="1"/>
        <w:ind w:left="0" w:right="411" w:firstLine="0"/>
        <w:jc w:val="center"/>
        <w:rPr>
          <w:rFonts w:ascii="Arial" w:hAnsi="Arial"/>
          <w:b/>
          <w:sz w:val="22"/>
        </w:rPr>
      </w:pPr>
      <w:r>
        <w:rPr>
          <w:rFonts w:ascii="Arial" w:hAnsi="Arial"/>
          <w:b/>
          <w:sz w:val="22"/>
        </w:rPr>
        <w:t>Subpartidas</w:t>
      </w:r>
      <w:r>
        <w:rPr>
          <w:rFonts w:ascii="Arial" w:hAnsi="Arial"/>
          <w:b/>
          <w:spacing w:val="-7"/>
          <w:sz w:val="22"/>
        </w:rPr>
        <w:t> </w:t>
      </w:r>
      <w:r>
        <w:rPr>
          <w:rFonts w:ascii="Arial" w:hAnsi="Arial"/>
          <w:b/>
          <w:sz w:val="22"/>
        </w:rPr>
        <w:t>de</w:t>
      </w:r>
      <w:r>
        <w:rPr>
          <w:rFonts w:ascii="Arial" w:hAnsi="Arial"/>
          <w:b/>
          <w:spacing w:val="-5"/>
          <w:sz w:val="22"/>
        </w:rPr>
        <w:t> </w:t>
      </w:r>
      <w:r>
        <w:rPr>
          <w:rFonts w:ascii="Arial" w:hAnsi="Arial"/>
          <w:b/>
          <w:sz w:val="22"/>
        </w:rPr>
        <w:t>productos</w:t>
      </w:r>
      <w:r>
        <w:rPr>
          <w:rFonts w:ascii="Arial" w:hAnsi="Arial"/>
          <w:b/>
          <w:spacing w:val="-5"/>
          <w:sz w:val="22"/>
        </w:rPr>
        <w:t> </w:t>
      </w:r>
      <w:r>
        <w:rPr>
          <w:rFonts w:ascii="Arial" w:hAnsi="Arial"/>
          <w:b/>
          <w:sz w:val="22"/>
        </w:rPr>
        <w:t>frescos</w:t>
      </w:r>
      <w:r>
        <w:rPr>
          <w:rFonts w:ascii="Arial" w:hAnsi="Arial"/>
          <w:b/>
          <w:spacing w:val="-5"/>
          <w:sz w:val="22"/>
        </w:rPr>
        <w:t> </w:t>
      </w:r>
      <w:r>
        <w:rPr>
          <w:rFonts w:ascii="Arial" w:hAnsi="Arial"/>
          <w:b/>
          <w:sz w:val="22"/>
        </w:rPr>
        <w:t>agrícolas</w:t>
      </w:r>
      <w:r>
        <w:rPr>
          <w:rFonts w:ascii="Arial" w:hAnsi="Arial"/>
          <w:b/>
          <w:spacing w:val="-5"/>
          <w:sz w:val="22"/>
        </w:rPr>
        <w:t> </w:t>
      </w:r>
      <w:r>
        <w:rPr>
          <w:rFonts w:ascii="Arial" w:hAnsi="Arial"/>
          <w:b/>
          <w:sz w:val="22"/>
        </w:rPr>
        <w:t>del</w:t>
      </w:r>
      <w:r>
        <w:rPr>
          <w:rFonts w:ascii="Arial" w:hAnsi="Arial"/>
          <w:b/>
          <w:spacing w:val="-5"/>
          <w:sz w:val="22"/>
        </w:rPr>
        <w:t> </w:t>
      </w:r>
      <w:r>
        <w:rPr>
          <w:rFonts w:ascii="Arial" w:hAnsi="Arial"/>
          <w:b/>
          <w:sz w:val="22"/>
        </w:rPr>
        <w:t>artículo</w:t>
      </w:r>
      <w:r>
        <w:rPr>
          <w:rFonts w:ascii="Arial" w:hAnsi="Arial"/>
          <w:b/>
          <w:spacing w:val="-7"/>
          <w:sz w:val="22"/>
        </w:rPr>
        <w:t> </w:t>
      </w:r>
      <w:r>
        <w:rPr>
          <w:rFonts w:ascii="Arial" w:hAnsi="Arial"/>
          <w:b/>
          <w:sz w:val="22"/>
        </w:rPr>
        <w:t>2</w:t>
      </w:r>
      <w:r>
        <w:rPr>
          <w:rFonts w:ascii="Arial" w:hAnsi="Arial"/>
          <w:b/>
          <w:spacing w:val="-5"/>
          <w:sz w:val="22"/>
        </w:rPr>
        <w:t> </w:t>
      </w:r>
      <w:r>
        <w:rPr>
          <w:rFonts w:ascii="Arial" w:hAnsi="Arial"/>
          <w:b/>
          <w:sz w:val="22"/>
        </w:rPr>
        <w:t>del</w:t>
      </w:r>
      <w:r>
        <w:rPr>
          <w:rFonts w:ascii="Arial" w:hAnsi="Arial"/>
          <w:b/>
          <w:spacing w:val="-3"/>
          <w:sz w:val="22"/>
        </w:rPr>
        <w:t> </w:t>
      </w:r>
      <w:r>
        <w:rPr>
          <w:rFonts w:ascii="Arial" w:hAnsi="Arial"/>
          <w:b/>
          <w:sz w:val="22"/>
        </w:rPr>
        <w:t>Decreto</w:t>
      </w:r>
      <w:r>
        <w:rPr>
          <w:rFonts w:ascii="Arial" w:hAnsi="Arial"/>
          <w:b/>
          <w:spacing w:val="-5"/>
          <w:sz w:val="22"/>
        </w:rPr>
        <w:t> </w:t>
      </w:r>
      <w:r>
        <w:rPr>
          <w:rFonts w:ascii="Arial" w:hAnsi="Arial"/>
          <w:b/>
          <w:spacing w:val="-4"/>
          <w:sz w:val="22"/>
        </w:rPr>
        <w:t>0170</w:t>
      </w:r>
    </w:p>
    <w:tbl>
      <w:tblPr>
        <w:tblW w:w="0" w:type="auto"/>
        <w:jc w:val="left"/>
        <w:tblInd w:w="1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75"/>
        <w:gridCol w:w="5505"/>
        <w:gridCol w:w="2041"/>
      </w:tblGrid>
      <w:tr>
        <w:trPr>
          <w:trHeight w:val="369" w:hRule="atLeast"/>
        </w:trPr>
        <w:tc>
          <w:tcPr>
            <w:tcW w:w="1375" w:type="dxa"/>
            <w:shd w:val="clear" w:color="auto" w:fill="E8E8E8"/>
          </w:tcPr>
          <w:p>
            <w:pPr>
              <w:pStyle w:val="TableParagraph"/>
              <w:spacing w:line="180" w:lineRule="atLeast"/>
              <w:ind w:left="263" w:firstLine="4"/>
              <w:rPr>
                <w:rFonts w:ascii="Arial"/>
                <w:b/>
                <w:sz w:val="16"/>
              </w:rPr>
            </w:pPr>
            <w:r>
              <w:rPr>
                <w:rFonts w:ascii="Arial"/>
                <w:b/>
                <w:spacing w:val="-2"/>
                <w:sz w:val="16"/>
              </w:rPr>
              <w:t>Subpartida arancelaria</w:t>
            </w:r>
          </w:p>
        </w:tc>
        <w:tc>
          <w:tcPr>
            <w:tcW w:w="5505" w:type="dxa"/>
            <w:shd w:val="clear" w:color="auto" w:fill="E8E8E8"/>
          </w:tcPr>
          <w:p>
            <w:pPr>
              <w:pStyle w:val="TableParagraph"/>
              <w:spacing w:before="92"/>
              <w:ind w:left="8"/>
              <w:jc w:val="center"/>
              <w:rPr>
                <w:rFonts w:ascii="Arial" w:hAnsi="Arial"/>
                <w:b/>
                <w:sz w:val="16"/>
              </w:rPr>
            </w:pPr>
            <w:r>
              <w:rPr>
                <w:rFonts w:ascii="Arial" w:hAnsi="Arial"/>
                <w:b/>
                <w:spacing w:val="-2"/>
                <w:sz w:val="16"/>
              </w:rPr>
              <w:t>Descripción</w:t>
            </w:r>
          </w:p>
        </w:tc>
        <w:tc>
          <w:tcPr>
            <w:tcW w:w="2041" w:type="dxa"/>
            <w:shd w:val="clear" w:color="auto" w:fill="E8E8E8"/>
          </w:tcPr>
          <w:p>
            <w:pPr>
              <w:pStyle w:val="TableParagraph"/>
              <w:spacing w:before="92"/>
              <w:ind w:left="11" w:right="2"/>
              <w:jc w:val="center"/>
              <w:rPr>
                <w:rFonts w:ascii="Arial"/>
                <w:b/>
                <w:sz w:val="16"/>
              </w:rPr>
            </w:pPr>
            <w:r>
              <w:rPr>
                <w:rFonts w:ascii="Arial"/>
                <w:b/>
                <w:sz w:val="16"/>
              </w:rPr>
              <w:t>Producto</w:t>
            </w:r>
            <w:r>
              <w:rPr>
                <w:rFonts w:ascii="Arial"/>
                <w:b/>
                <w:spacing w:val="-4"/>
                <w:sz w:val="16"/>
              </w:rPr>
              <w:t> </w:t>
            </w:r>
            <w:r>
              <w:rPr>
                <w:rFonts w:ascii="Arial"/>
                <w:b/>
                <w:spacing w:val="-2"/>
                <w:sz w:val="16"/>
              </w:rPr>
              <w:t>referencial</w:t>
            </w:r>
          </w:p>
        </w:tc>
      </w:tr>
      <w:tr>
        <w:trPr>
          <w:trHeight w:val="181" w:hRule="atLeast"/>
        </w:trPr>
        <w:tc>
          <w:tcPr>
            <w:tcW w:w="1375" w:type="dxa"/>
          </w:tcPr>
          <w:p>
            <w:pPr>
              <w:pStyle w:val="TableParagraph"/>
              <w:spacing w:line="162" w:lineRule="exact"/>
              <w:ind w:left="7"/>
              <w:jc w:val="center"/>
              <w:rPr>
                <w:rFonts w:ascii="Arial"/>
                <w:b/>
                <w:sz w:val="16"/>
              </w:rPr>
            </w:pPr>
            <w:r>
              <w:rPr>
                <w:rFonts w:ascii="Arial"/>
                <w:b/>
                <w:spacing w:val="-2"/>
                <w:sz w:val="16"/>
              </w:rPr>
              <w:t>0701900000</w:t>
            </w:r>
          </w:p>
        </w:tc>
        <w:tc>
          <w:tcPr>
            <w:tcW w:w="5505" w:type="dxa"/>
          </w:tcPr>
          <w:p>
            <w:pPr>
              <w:pStyle w:val="TableParagraph"/>
              <w:spacing w:line="162" w:lineRule="exact"/>
              <w:ind w:left="106"/>
              <w:rPr>
                <w:sz w:val="16"/>
              </w:rPr>
            </w:pPr>
            <w:r>
              <w:rPr>
                <w:sz w:val="16"/>
              </w:rPr>
              <w:t>-</w:t>
            </w:r>
            <w:r>
              <w:rPr>
                <w:spacing w:val="-1"/>
                <w:sz w:val="16"/>
              </w:rPr>
              <w:t> </w:t>
            </w:r>
            <w:r>
              <w:rPr>
                <w:sz w:val="16"/>
              </w:rPr>
              <w:t>Las</w:t>
            </w:r>
            <w:r>
              <w:rPr>
                <w:spacing w:val="1"/>
                <w:sz w:val="16"/>
              </w:rPr>
              <w:t> </w:t>
            </w:r>
            <w:r>
              <w:rPr>
                <w:spacing w:val="-2"/>
                <w:sz w:val="16"/>
              </w:rPr>
              <w:t>demás</w:t>
            </w:r>
          </w:p>
        </w:tc>
        <w:tc>
          <w:tcPr>
            <w:tcW w:w="2041" w:type="dxa"/>
          </w:tcPr>
          <w:p>
            <w:pPr>
              <w:pStyle w:val="TableParagraph"/>
              <w:spacing w:line="162" w:lineRule="exact"/>
              <w:ind w:left="11" w:right="4"/>
              <w:jc w:val="center"/>
              <w:rPr>
                <w:sz w:val="16"/>
              </w:rPr>
            </w:pPr>
            <w:r>
              <w:rPr>
                <w:spacing w:val="-2"/>
                <w:sz w:val="16"/>
              </w:rPr>
              <w:t>Papas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0702000000</w:t>
            </w:r>
          </w:p>
        </w:tc>
        <w:tc>
          <w:tcPr>
            <w:tcW w:w="5505" w:type="dxa"/>
          </w:tcPr>
          <w:p>
            <w:pPr>
              <w:pStyle w:val="TableParagraph"/>
              <w:spacing w:line="163" w:lineRule="exact" w:before="1"/>
              <w:ind w:left="106"/>
              <w:rPr>
                <w:sz w:val="16"/>
              </w:rPr>
            </w:pPr>
            <w:r>
              <w:rPr>
                <w:sz w:val="16"/>
              </w:rPr>
              <w:t>Tomates</w:t>
            </w:r>
            <w:r>
              <w:rPr>
                <w:spacing w:val="-6"/>
                <w:sz w:val="16"/>
              </w:rPr>
              <w:t> </w:t>
            </w:r>
            <w:r>
              <w:rPr>
                <w:sz w:val="16"/>
              </w:rPr>
              <w:t>frescos</w:t>
            </w:r>
            <w:r>
              <w:rPr>
                <w:spacing w:val="-5"/>
                <w:sz w:val="16"/>
              </w:rPr>
              <w:t> </w:t>
            </w:r>
            <w:r>
              <w:rPr>
                <w:sz w:val="16"/>
              </w:rPr>
              <w:t>o</w:t>
            </w:r>
            <w:r>
              <w:rPr>
                <w:spacing w:val="-4"/>
                <w:sz w:val="16"/>
              </w:rPr>
              <w:t> </w:t>
            </w:r>
            <w:r>
              <w:rPr>
                <w:spacing w:val="-2"/>
                <w:sz w:val="16"/>
              </w:rPr>
              <w:t>refrigerados.</w:t>
            </w:r>
          </w:p>
        </w:tc>
        <w:tc>
          <w:tcPr>
            <w:tcW w:w="2041" w:type="dxa"/>
          </w:tcPr>
          <w:p>
            <w:pPr>
              <w:pStyle w:val="TableParagraph"/>
              <w:spacing w:line="163" w:lineRule="exact" w:before="1"/>
              <w:ind w:left="11" w:right="4"/>
              <w:jc w:val="center"/>
              <w:rPr>
                <w:sz w:val="16"/>
              </w:rPr>
            </w:pPr>
            <w:r>
              <w:rPr>
                <w:spacing w:val="-2"/>
                <w:sz w:val="16"/>
              </w:rPr>
              <w:t>Tomates</w:t>
            </w:r>
          </w:p>
        </w:tc>
      </w:tr>
      <w:tr>
        <w:trPr>
          <w:trHeight w:val="185" w:hRule="atLeast"/>
        </w:trPr>
        <w:tc>
          <w:tcPr>
            <w:tcW w:w="1375" w:type="dxa"/>
          </w:tcPr>
          <w:p>
            <w:pPr>
              <w:pStyle w:val="TableParagraph"/>
              <w:spacing w:line="163" w:lineRule="exact" w:before="1"/>
              <w:ind w:left="7"/>
              <w:jc w:val="center"/>
              <w:rPr>
                <w:rFonts w:ascii="Arial"/>
                <w:b/>
                <w:sz w:val="16"/>
              </w:rPr>
            </w:pPr>
            <w:r>
              <w:rPr>
                <w:rFonts w:ascii="Arial"/>
                <w:b/>
                <w:spacing w:val="-2"/>
                <w:sz w:val="16"/>
              </w:rPr>
              <w:t>0703100010</w:t>
            </w:r>
          </w:p>
        </w:tc>
        <w:tc>
          <w:tcPr>
            <w:tcW w:w="5505" w:type="dxa"/>
          </w:tcPr>
          <w:p>
            <w:pPr>
              <w:pStyle w:val="TableParagraph"/>
              <w:spacing w:line="163" w:lineRule="exact" w:before="1"/>
              <w:ind w:left="106"/>
              <w:rPr>
                <w:sz w:val="16"/>
              </w:rPr>
            </w:pPr>
            <w:r>
              <w:rPr>
                <w:sz w:val="16"/>
              </w:rPr>
              <w:t>-</w:t>
            </w:r>
            <w:r>
              <w:rPr>
                <w:spacing w:val="-6"/>
                <w:sz w:val="16"/>
              </w:rPr>
              <w:t> </w:t>
            </w:r>
            <w:r>
              <w:rPr>
                <w:sz w:val="16"/>
              </w:rPr>
              <w:t>-</w:t>
            </w:r>
            <w:r>
              <w:rPr>
                <w:spacing w:val="-3"/>
                <w:sz w:val="16"/>
              </w:rPr>
              <w:t> </w:t>
            </w:r>
            <w:r>
              <w:rPr>
                <w:sz w:val="16"/>
              </w:rPr>
              <w:t>Cebollas</w:t>
            </w:r>
            <w:r>
              <w:rPr>
                <w:spacing w:val="-4"/>
                <w:sz w:val="16"/>
              </w:rPr>
              <w:t> </w:t>
            </w:r>
            <w:r>
              <w:rPr>
                <w:sz w:val="16"/>
              </w:rPr>
              <w:t>de</w:t>
            </w:r>
            <w:r>
              <w:rPr>
                <w:spacing w:val="-4"/>
                <w:sz w:val="16"/>
              </w:rPr>
              <w:t> </w:t>
            </w:r>
            <w:r>
              <w:rPr>
                <w:sz w:val="16"/>
              </w:rPr>
              <w:t>bulbo</w:t>
            </w:r>
            <w:r>
              <w:rPr>
                <w:spacing w:val="-3"/>
                <w:sz w:val="16"/>
              </w:rPr>
              <w:t> </w:t>
            </w:r>
            <w:r>
              <w:rPr>
                <w:sz w:val="16"/>
              </w:rPr>
              <w:t>rojo</w:t>
            </w:r>
            <w:r>
              <w:rPr>
                <w:spacing w:val="-5"/>
                <w:sz w:val="16"/>
              </w:rPr>
              <w:t> </w:t>
            </w:r>
            <w:r>
              <w:rPr>
                <w:sz w:val="16"/>
              </w:rPr>
              <w:t>(cabezona</w:t>
            </w:r>
            <w:r>
              <w:rPr>
                <w:spacing w:val="-4"/>
                <w:sz w:val="16"/>
              </w:rPr>
              <w:t> </w:t>
            </w:r>
            <w:r>
              <w:rPr>
                <w:sz w:val="16"/>
              </w:rPr>
              <w:t>roja)</w:t>
            </w:r>
            <w:r>
              <w:rPr>
                <w:spacing w:val="-4"/>
                <w:sz w:val="16"/>
              </w:rPr>
              <w:t> </w:t>
            </w:r>
            <w:r>
              <w:rPr>
                <w:sz w:val="16"/>
              </w:rPr>
              <w:t>(Allium</w:t>
            </w:r>
            <w:r>
              <w:rPr>
                <w:spacing w:val="-4"/>
                <w:sz w:val="16"/>
              </w:rPr>
              <w:t> </w:t>
            </w:r>
            <w:r>
              <w:rPr>
                <w:sz w:val="16"/>
              </w:rPr>
              <w:t>cepa</w:t>
            </w:r>
            <w:r>
              <w:rPr>
                <w:spacing w:val="-3"/>
                <w:sz w:val="16"/>
              </w:rPr>
              <w:t> </w:t>
            </w:r>
            <w:r>
              <w:rPr>
                <w:spacing w:val="-5"/>
                <w:sz w:val="16"/>
              </w:rPr>
              <w:t>L.)</w:t>
            </w:r>
          </w:p>
        </w:tc>
        <w:tc>
          <w:tcPr>
            <w:tcW w:w="2041" w:type="dxa"/>
          </w:tcPr>
          <w:p>
            <w:pPr>
              <w:pStyle w:val="TableParagraph"/>
              <w:spacing w:line="163" w:lineRule="exact" w:before="1"/>
              <w:ind w:left="11" w:right="3"/>
              <w:jc w:val="center"/>
              <w:rPr>
                <w:sz w:val="16"/>
              </w:rPr>
            </w:pPr>
            <w:r>
              <w:rPr>
                <w:sz w:val="16"/>
              </w:rPr>
              <w:t>Cebolla</w:t>
            </w:r>
            <w:r>
              <w:rPr>
                <w:spacing w:val="-5"/>
                <w:sz w:val="16"/>
              </w:rPr>
              <w:t> </w:t>
            </w:r>
            <w:r>
              <w:rPr>
                <w:spacing w:val="-4"/>
                <w:sz w:val="16"/>
              </w:rPr>
              <w:t>roja</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0703100020</w:t>
            </w:r>
          </w:p>
        </w:tc>
        <w:tc>
          <w:tcPr>
            <w:tcW w:w="5505" w:type="dxa"/>
          </w:tcPr>
          <w:p>
            <w:pPr>
              <w:pStyle w:val="TableParagraph"/>
              <w:spacing w:line="163" w:lineRule="exact" w:before="1"/>
              <w:ind w:left="106"/>
              <w:rPr>
                <w:sz w:val="16"/>
              </w:rPr>
            </w:pPr>
            <w:r>
              <w:rPr>
                <w:sz w:val="16"/>
              </w:rPr>
              <w:t>-</w:t>
            </w:r>
            <w:r>
              <w:rPr>
                <w:spacing w:val="-7"/>
                <w:sz w:val="16"/>
              </w:rPr>
              <w:t> </w:t>
            </w:r>
            <w:r>
              <w:rPr>
                <w:sz w:val="16"/>
              </w:rPr>
              <w:t>-</w:t>
            </w:r>
            <w:r>
              <w:rPr>
                <w:spacing w:val="-4"/>
                <w:sz w:val="16"/>
              </w:rPr>
              <w:t> </w:t>
            </w:r>
            <w:r>
              <w:rPr>
                <w:sz w:val="16"/>
              </w:rPr>
              <w:t>Cebollas</w:t>
            </w:r>
            <w:r>
              <w:rPr>
                <w:spacing w:val="-5"/>
                <w:sz w:val="16"/>
              </w:rPr>
              <w:t> </w:t>
            </w:r>
            <w:r>
              <w:rPr>
                <w:sz w:val="16"/>
              </w:rPr>
              <w:t>de</w:t>
            </w:r>
            <w:r>
              <w:rPr>
                <w:spacing w:val="-4"/>
                <w:sz w:val="16"/>
              </w:rPr>
              <w:t> </w:t>
            </w:r>
            <w:r>
              <w:rPr>
                <w:sz w:val="16"/>
              </w:rPr>
              <w:t>bulbo</w:t>
            </w:r>
            <w:r>
              <w:rPr>
                <w:spacing w:val="-4"/>
                <w:sz w:val="16"/>
              </w:rPr>
              <w:t> </w:t>
            </w:r>
            <w:r>
              <w:rPr>
                <w:sz w:val="16"/>
              </w:rPr>
              <w:t>blanco</w:t>
            </w:r>
            <w:r>
              <w:rPr>
                <w:spacing w:val="-4"/>
                <w:sz w:val="16"/>
              </w:rPr>
              <w:t> </w:t>
            </w:r>
            <w:r>
              <w:rPr>
                <w:sz w:val="16"/>
              </w:rPr>
              <w:t>(cabezona</w:t>
            </w:r>
            <w:r>
              <w:rPr>
                <w:spacing w:val="-4"/>
                <w:sz w:val="16"/>
              </w:rPr>
              <w:t> </w:t>
            </w:r>
            <w:r>
              <w:rPr>
                <w:sz w:val="16"/>
              </w:rPr>
              <w:t>blanca)</w:t>
            </w:r>
            <w:r>
              <w:rPr>
                <w:spacing w:val="-4"/>
                <w:sz w:val="16"/>
              </w:rPr>
              <w:t> </w:t>
            </w:r>
            <w:r>
              <w:rPr>
                <w:sz w:val="16"/>
              </w:rPr>
              <w:t>(Allium</w:t>
            </w:r>
            <w:r>
              <w:rPr>
                <w:spacing w:val="-6"/>
                <w:sz w:val="16"/>
              </w:rPr>
              <w:t> </w:t>
            </w:r>
            <w:r>
              <w:rPr>
                <w:sz w:val="16"/>
              </w:rPr>
              <w:t>cepa</w:t>
            </w:r>
            <w:r>
              <w:rPr>
                <w:spacing w:val="-4"/>
                <w:sz w:val="16"/>
              </w:rPr>
              <w:t> </w:t>
            </w:r>
            <w:r>
              <w:rPr>
                <w:spacing w:val="-5"/>
                <w:sz w:val="16"/>
              </w:rPr>
              <w:t>L.)</w:t>
            </w:r>
          </w:p>
        </w:tc>
        <w:tc>
          <w:tcPr>
            <w:tcW w:w="2041" w:type="dxa"/>
          </w:tcPr>
          <w:p>
            <w:pPr>
              <w:pStyle w:val="TableParagraph"/>
              <w:spacing w:line="163" w:lineRule="exact" w:before="1"/>
              <w:ind w:left="11" w:right="3"/>
              <w:jc w:val="center"/>
              <w:rPr>
                <w:sz w:val="16"/>
              </w:rPr>
            </w:pPr>
            <w:r>
              <w:rPr>
                <w:sz w:val="16"/>
              </w:rPr>
              <w:t>Cebolla</w:t>
            </w:r>
            <w:r>
              <w:rPr>
                <w:spacing w:val="-5"/>
                <w:sz w:val="16"/>
              </w:rPr>
              <w:t> </w:t>
            </w:r>
            <w:r>
              <w:rPr>
                <w:spacing w:val="-2"/>
                <w:sz w:val="16"/>
              </w:rPr>
              <w:t>blanca</w:t>
            </w:r>
          </w:p>
        </w:tc>
      </w:tr>
      <w:tr>
        <w:trPr>
          <w:trHeight w:val="234" w:hRule="atLeast"/>
        </w:trPr>
        <w:tc>
          <w:tcPr>
            <w:tcW w:w="1375" w:type="dxa"/>
          </w:tcPr>
          <w:p>
            <w:pPr>
              <w:pStyle w:val="TableParagraph"/>
              <w:spacing w:before="25"/>
              <w:ind w:left="7"/>
              <w:jc w:val="center"/>
              <w:rPr>
                <w:rFonts w:ascii="Arial"/>
                <w:b/>
                <w:sz w:val="16"/>
              </w:rPr>
            </w:pPr>
            <w:r>
              <w:rPr>
                <w:rFonts w:ascii="Arial"/>
                <w:b/>
                <w:spacing w:val="-2"/>
                <w:sz w:val="16"/>
              </w:rPr>
              <w:t>0708200000</w:t>
            </w:r>
          </w:p>
        </w:tc>
        <w:tc>
          <w:tcPr>
            <w:tcW w:w="5505" w:type="dxa"/>
          </w:tcPr>
          <w:p>
            <w:pPr>
              <w:pStyle w:val="TableParagraph"/>
              <w:spacing w:before="25"/>
              <w:ind w:left="106"/>
              <w:rPr>
                <w:sz w:val="16"/>
              </w:rPr>
            </w:pPr>
            <w:r>
              <w:rPr>
                <w:sz w:val="16"/>
              </w:rPr>
              <w:t>-</w:t>
            </w:r>
            <w:r>
              <w:rPr>
                <w:spacing w:val="-7"/>
                <w:sz w:val="16"/>
              </w:rPr>
              <w:t> </w:t>
            </w:r>
            <w:r>
              <w:rPr>
                <w:sz w:val="16"/>
              </w:rPr>
              <w:t>Frijoles</w:t>
            </w:r>
            <w:r>
              <w:rPr>
                <w:spacing w:val="-7"/>
                <w:sz w:val="16"/>
              </w:rPr>
              <w:t> </w:t>
            </w:r>
            <w:r>
              <w:rPr>
                <w:sz w:val="16"/>
              </w:rPr>
              <w:t>(fréjoles,</w:t>
            </w:r>
            <w:r>
              <w:rPr>
                <w:spacing w:val="-7"/>
                <w:sz w:val="16"/>
              </w:rPr>
              <w:t> </w:t>
            </w:r>
            <w:r>
              <w:rPr>
                <w:sz w:val="16"/>
              </w:rPr>
              <w:t>porotos,</w:t>
            </w:r>
            <w:r>
              <w:rPr>
                <w:spacing w:val="-5"/>
                <w:sz w:val="16"/>
              </w:rPr>
              <w:t> </w:t>
            </w:r>
            <w:r>
              <w:rPr>
                <w:sz w:val="16"/>
              </w:rPr>
              <w:t>alubias,</w:t>
            </w:r>
            <w:r>
              <w:rPr>
                <w:spacing w:val="-6"/>
                <w:sz w:val="16"/>
              </w:rPr>
              <w:t> </w:t>
            </w:r>
            <w:r>
              <w:rPr>
                <w:sz w:val="16"/>
              </w:rPr>
              <w:t>judías)</w:t>
            </w:r>
            <w:r>
              <w:rPr>
                <w:spacing w:val="-6"/>
                <w:sz w:val="16"/>
              </w:rPr>
              <w:t> </w:t>
            </w:r>
            <w:r>
              <w:rPr>
                <w:sz w:val="16"/>
              </w:rPr>
              <w:t>(Vigna</w:t>
            </w:r>
            <w:r>
              <w:rPr>
                <w:spacing w:val="-8"/>
                <w:sz w:val="16"/>
              </w:rPr>
              <w:t> </w:t>
            </w:r>
            <w:r>
              <w:rPr>
                <w:sz w:val="16"/>
              </w:rPr>
              <w:t>spp.,</w:t>
            </w:r>
            <w:r>
              <w:rPr>
                <w:spacing w:val="-7"/>
                <w:sz w:val="16"/>
              </w:rPr>
              <w:t> </w:t>
            </w:r>
            <w:r>
              <w:rPr>
                <w:sz w:val="16"/>
              </w:rPr>
              <w:t>Phaseolus</w:t>
            </w:r>
            <w:r>
              <w:rPr>
                <w:spacing w:val="-7"/>
                <w:sz w:val="16"/>
              </w:rPr>
              <w:t> </w:t>
            </w:r>
            <w:r>
              <w:rPr>
                <w:spacing w:val="-4"/>
                <w:sz w:val="16"/>
              </w:rPr>
              <w:t>spp.)</w:t>
            </w:r>
          </w:p>
        </w:tc>
        <w:tc>
          <w:tcPr>
            <w:tcW w:w="2041" w:type="dxa"/>
          </w:tcPr>
          <w:p>
            <w:pPr>
              <w:pStyle w:val="TableParagraph"/>
              <w:spacing w:before="25"/>
              <w:ind w:left="11" w:right="4"/>
              <w:jc w:val="center"/>
              <w:rPr>
                <w:sz w:val="16"/>
              </w:rPr>
            </w:pPr>
            <w:r>
              <w:rPr>
                <w:spacing w:val="-2"/>
                <w:sz w:val="16"/>
              </w:rPr>
              <w:t>Frijoles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0713319000</w:t>
            </w:r>
          </w:p>
        </w:tc>
        <w:tc>
          <w:tcPr>
            <w:tcW w:w="5505" w:type="dxa"/>
          </w:tcPr>
          <w:p>
            <w:pPr>
              <w:pStyle w:val="TableParagraph"/>
              <w:spacing w:line="163" w:lineRule="exact" w:before="1"/>
              <w:ind w:left="106"/>
              <w:rPr>
                <w:sz w:val="16"/>
              </w:rPr>
            </w:pPr>
            <w:r>
              <w:rPr>
                <w:sz w:val="16"/>
              </w:rPr>
              <w:t>-</w:t>
            </w:r>
            <w:r>
              <w:rPr>
                <w:spacing w:val="-1"/>
                <w:sz w:val="16"/>
              </w:rPr>
              <w:t> </w:t>
            </w:r>
            <w:r>
              <w:rPr>
                <w:sz w:val="16"/>
              </w:rPr>
              <w:t>- -</w:t>
            </w:r>
            <w:r>
              <w:rPr>
                <w:spacing w:val="-1"/>
                <w:sz w:val="16"/>
              </w:rPr>
              <w:t> </w:t>
            </w:r>
            <w:r>
              <w:rPr>
                <w:sz w:val="16"/>
              </w:rPr>
              <w:t>Los</w:t>
            </w:r>
            <w:r>
              <w:rPr>
                <w:spacing w:val="-1"/>
                <w:sz w:val="16"/>
              </w:rPr>
              <w:t> </w:t>
            </w:r>
            <w:r>
              <w:rPr>
                <w:spacing w:val="-2"/>
                <w:sz w:val="16"/>
              </w:rPr>
              <w:t>demás</w:t>
            </w:r>
          </w:p>
        </w:tc>
        <w:tc>
          <w:tcPr>
            <w:tcW w:w="2041" w:type="dxa"/>
          </w:tcPr>
          <w:p>
            <w:pPr>
              <w:pStyle w:val="TableParagraph"/>
              <w:spacing w:line="163" w:lineRule="exact" w:before="1"/>
              <w:ind w:left="11" w:right="4"/>
              <w:jc w:val="center"/>
              <w:rPr>
                <w:sz w:val="16"/>
              </w:rPr>
            </w:pPr>
            <w:r>
              <w:rPr>
                <w:spacing w:val="-2"/>
                <w:sz w:val="16"/>
              </w:rPr>
              <w:t>Frijoles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0713329000</w:t>
            </w:r>
          </w:p>
        </w:tc>
        <w:tc>
          <w:tcPr>
            <w:tcW w:w="5505" w:type="dxa"/>
          </w:tcPr>
          <w:p>
            <w:pPr>
              <w:pStyle w:val="TableParagraph"/>
              <w:spacing w:line="163" w:lineRule="exact" w:before="1"/>
              <w:ind w:left="106"/>
              <w:rPr>
                <w:sz w:val="16"/>
              </w:rPr>
            </w:pPr>
            <w:r>
              <w:rPr>
                <w:sz w:val="16"/>
              </w:rPr>
              <w:t>-</w:t>
            </w:r>
            <w:r>
              <w:rPr>
                <w:spacing w:val="-1"/>
                <w:sz w:val="16"/>
              </w:rPr>
              <w:t> </w:t>
            </w:r>
            <w:r>
              <w:rPr>
                <w:sz w:val="16"/>
              </w:rPr>
              <w:t>- -</w:t>
            </w:r>
            <w:r>
              <w:rPr>
                <w:spacing w:val="-1"/>
                <w:sz w:val="16"/>
              </w:rPr>
              <w:t> </w:t>
            </w:r>
            <w:r>
              <w:rPr>
                <w:sz w:val="16"/>
              </w:rPr>
              <w:t>Los</w:t>
            </w:r>
            <w:r>
              <w:rPr>
                <w:spacing w:val="-1"/>
                <w:sz w:val="16"/>
              </w:rPr>
              <w:t> </w:t>
            </w:r>
            <w:r>
              <w:rPr>
                <w:spacing w:val="-2"/>
                <w:sz w:val="16"/>
              </w:rPr>
              <w:t>demás</w:t>
            </w:r>
          </w:p>
        </w:tc>
        <w:tc>
          <w:tcPr>
            <w:tcW w:w="2041" w:type="dxa"/>
          </w:tcPr>
          <w:p>
            <w:pPr>
              <w:pStyle w:val="TableParagraph"/>
              <w:spacing w:line="163" w:lineRule="exact" w:before="1"/>
              <w:ind w:left="11" w:right="4"/>
              <w:jc w:val="center"/>
              <w:rPr>
                <w:sz w:val="16"/>
              </w:rPr>
            </w:pPr>
            <w:r>
              <w:rPr>
                <w:spacing w:val="-2"/>
                <w:sz w:val="16"/>
              </w:rPr>
              <w:t>Frijoles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0713339100</w:t>
            </w:r>
          </w:p>
        </w:tc>
        <w:tc>
          <w:tcPr>
            <w:tcW w:w="5505" w:type="dxa"/>
          </w:tcPr>
          <w:p>
            <w:pPr>
              <w:pStyle w:val="TableParagraph"/>
              <w:spacing w:line="163" w:lineRule="exact" w:before="1"/>
              <w:ind w:left="106"/>
              <w:rPr>
                <w:sz w:val="16"/>
              </w:rPr>
            </w:pPr>
            <w:r>
              <w:rPr>
                <w:sz w:val="16"/>
              </w:rPr>
              <w:t>-</w:t>
            </w:r>
            <w:r>
              <w:rPr>
                <w:spacing w:val="-2"/>
                <w:sz w:val="16"/>
              </w:rPr>
              <w:t> </w:t>
            </w:r>
            <w:r>
              <w:rPr>
                <w:sz w:val="16"/>
              </w:rPr>
              <w:t>- - - </w:t>
            </w:r>
            <w:r>
              <w:rPr>
                <w:spacing w:val="-2"/>
                <w:sz w:val="16"/>
              </w:rPr>
              <w:t>Negro</w:t>
            </w:r>
          </w:p>
        </w:tc>
        <w:tc>
          <w:tcPr>
            <w:tcW w:w="2041" w:type="dxa"/>
          </w:tcPr>
          <w:p>
            <w:pPr>
              <w:pStyle w:val="TableParagraph"/>
              <w:spacing w:line="163" w:lineRule="exact" w:before="1"/>
              <w:ind w:left="11" w:right="4"/>
              <w:jc w:val="center"/>
              <w:rPr>
                <w:sz w:val="16"/>
              </w:rPr>
            </w:pPr>
            <w:r>
              <w:rPr>
                <w:spacing w:val="-2"/>
                <w:sz w:val="16"/>
              </w:rPr>
              <w:t>Frijoles</w:t>
            </w:r>
          </w:p>
        </w:tc>
      </w:tr>
      <w:tr>
        <w:trPr>
          <w:trHeight w:val="181" w:hRule="atLeast"/>
        </w:trPr>
        <w:tc>
          <w:tcPr>
            <w:tcW w:w="1375" w:type="dxa"/>
          </w:tcPr>
          <w:p>
            <w:pPr>
              <w:pStyle w:val="TableParagraph"/>
              <w:spacing w:line="162" w:lineRule="exact"/>
              <w:ind w:left="7"/>
              <w:jc w:val="center"/>
              <w:rPr>
                <w:rFonts w:ascii="Arial"/>
                <w:b/>
                <w:sz w:val="16"/>
              </w:rPr>
            </w:pPr>
            <w:r>
              <w:rPr>
                <w:rFonts w:ascii="Arial"/>
                <w:b/>
                <w:spacing w:val="-2"/>
                <w:sz w:val="16"/>
              </w:rPr>
              <w:t>0713339200</w:t>
            </w:r>
          </w:p>
        </w:tc>
        <w:tc>
          <w:tcPr>
            <w:tcW w:w="5505" w:type="dxa"/>
          </w:tcPr>
          <w:p>
            <w:pPr>
              <w:pStyle w:val="TableParagraph"/>
              <w:spacing w:line="162" w:lineRule="exact"/>
              <w:ind w:left="106"/>
              <w:rPr>
                <w:sz w:val="16"/>
              </w:rPr>
            </w:pPr>
            <w:r>
              <w:rPr>
                <w:sz w:val="16"/>
              </w:rPr>
              <w:t>- - - - </w:t>
            </w:r>
            <w:r>
              <w:rPr>
                <w:spacing w:val="-2"/>
                <w:sz w:val="16"/>
              </w:rPr>
              <w:t>Canario</w:t>
            </w:r>
          </w:p>
        </w:tc>
        <w:tc>
          <w:tcPr>
            <w:tcW w:w="2041" w:type="dxa"/>
          </w:tcPr>
          <w:p>
            <w:pPr>
              <w:pStyle w:val="TableParagraph"/>
              <w:spacing w:line="162" w:lineRule="exact"/>
              <w:ind w:left="11" w:right="4"/>
              <w:jc w:val="center"/>
              <w:rPr>
                <w:sz w:val="16"/>
              </w:rPr>
            </w:pPr>
            <w:r>
              <w:rPr>
                <w:spacing w:val="-2"/>
                <w:sz w:val="16"/>
              </w:rPr>
              <w:t>Frijoles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0713339900</w:t>
            </w:r>
          </w:p>
        </w:tc>
        <w:tc>
          <w:tcPr>
            <w:tcW w:w="5505" w:type="dxa"/>
          </w:tcPr>
          <w:p>
            <w:pPr>
              <w:pStyle w:val="TableParagraph"/>
              <w:spacing w:line="163" w:lineRule="exact" w:before="1"/>
              <w:ind w:left="106"/>
              <w:rPr>
                <w:sz w:val="16"/>
              </w:rPr>
            </w:pPr>
            <w:r>
              <w:rPr>
                <w:sz w:val="16"/>
              </w:rPr>
              <w:t>-</w:t>
            </w:r>
            <w:r>
              <w:rPr>
                <w:spacing w:val="-1"/>
                <w:sz w:val="16"/>
              </w:rPr>
              <w:t> </w:t>
            </w:r>
            <w:r>
              <w:rPr>
                <w:sz w:val="16"/>
              </w:rPr>
              <w:t>-</w:t>
            </w:r>
            <w:r>
              <w:rPr>
                <w:spacing w:val="-1"/>
                <w:sz w:val="16"/>
              </w:rPr>
              <w:t> </w:t>
            </w:r>
            <w:r>
              <w:rPr>
                <w:sz w:val="16"/>
              </w:rPr>
              <w:t>-</w:t>
            </w:r>
            <w:r>
              <w:rPr>
                <w:spacing w:val="-1"/>
                <w:sz w:val="16"/>
              </w:rPr>
              <w:t> </w:t>
            </w:r>
            <w:r>
              <w:rPr>
                <w:sz w:val="16"/>
              </w:rPr>
              <w:t>-</w:t>
            </w:r>
            <w:r>
              <w:rPr>
                <w:spacing w:val="-1"/>
                <w:sz w:val="16"/>
              </w:rPr>
              <w:t> </w:t>
            </w:r>
            <w:r>
              <w:rPr>
                <w:sz w:val="16"/>
              </w:rPr>
              <w:t>Los</w:t>
            </w:r>
            <w:r>
              <w:rPr>
                <w:spacing w:val="1"/>
                <w:sz w:val="16"/>
              </w:rPr>
              <w:t> </w:t>
            </w:r>
            <w:r>
              <w:rPr>
                <w:spacing w:val="-2"/>
                <w:sz w:val="16"/>
              </w:rPr>
              <w:t>demás</w:t>
            </w:r>
          </w:p>
        </w:tc>
        <w:tc>
          <w:tcPr>
            <w:tcW w:w="2041" w:type="dxa"/>
          </w:tcPr>
          <w:p>
            <w:pPr>
              <w:pStyle w:val="TableParagraph"/>
              <w:spacing w:line="163" w:lineRule="exact" w:before="1"/>
              <w:ind w:left="11" w:right="4"/>
              <w:jc w:val="center"/>
              <w:rPr>
                <w:sz w:val="16"/>
              </w:rPr>
            </w:pPr>
            <w:r>
              <w:rPr>
                <w:spacing w:val="-2"/>
                <w:sz w:val="16"/>
              </w:rPr>
              <w:t>Frijoles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0713349000</w:t>
            </w:r>
          </w:p>
        </w:tc>
        <w:tc>
          <w:tcPr>
            <w:tcW w:w="5505" w:type="dxa"/>
          </w:tcPr>
          <w:p>
            <w:pPr>
              <w:pStyle w:val="TableParagraph"/>
              <w:spacing w:line="163" w:lineRule="exact" w:before="1"/>
              <w:ind w:left="106"/>
              <w:rPr>
                <w:sz w:val="16"/>
              </w:rPr>
            </w:pPr>
            <w:r>
              <w:rPr>
                <w:sz w:val="16"/>
              </w:rPr>
              <w:t>-</w:t>
            </w:r>
            <w:r>
              <w:rPr>
                <w:spacing w:val="-1"/>
                <w:sz w:val="16"/>
              </w:rPr>
              <w:t> </w:t>
            </w:r>
            <w:r>
              <w:rPr>
                <w:sz w:val="16"/>
              </w:rPr>
              <w:t>- -</w:t>
            </w:r>
            <w:r>
              <w:rPr>
                <w:spacing w:val="-1"/>
                <w:sz w:val="16"/>
              </w:rPr>
              <w:t> </w:t>
            </w:r>
            <w:r>
              <w:rPr>
                <w:sz w:val="16"/>
              </w:rPr>
              <w:t>Los</w:t>
            </w:r>
            <w:r>
              <w:rPr>
                <w:spacing w:val="-1"/>
                <w:sz w:val="16"/>
              </w:rPr>
              <w:t> </w:t>
            </w:r>
            <w:r>
              <w:rPr>
                <w:spacing w:val="-2"/>
                <w:sz w:val="16"/>
              </w:rPr>
              <w:t>demás</w:t>
            </w:r>
          </w:p>
        </w:tc>
        <w:tc>
          <w:tcPr>
            <w:tcW w:w="2041" w:type="dxa"/>
          </w:tcPr>
          <w:p>
            <w:pPr>
              <w:pStyle w:val="TableParagraph"/>
              <w:spacing w:line="163" w:lineRule="exact" w:before="1"/>
              <w:ind w:left="11" w:right="4"/>
              <w:jc w:val="center"/>
              <w:rPr>
                <w:sz w:val="16"/>
              </w:rPr>
            </w:pPr>
            <w:r>
              <w:rPr>
                <w:spacing w:val="-2"/>
                <w:sz w:val="16"/>
              </w:rPr>
              <w:t>Frijoles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0713359000</w:t>
            </w:r>
          </w:p>
        </w:tc>
        <w:tc>
          <w:tcPr>
            <w:tcW w:w="5505" w:type="dxa"/>
          </w:tcPr>
          <w:p>
            <w:pPr>
              <w:pStyle w:val="TableParagraph"/>
              <w:spacing w:line="163" w:lineRule="exact" w:before="1"/>
              <w:ind w:left="106"/>
              <w:rPr>
                <w:sz w:val="16"/>
              </w:rPr>
            </w:pPr>
            <w:r>
              <w:rPr>
                <w:sz w:val="16"/>
              </w:rPr>
              <w:t>-</w:t>
            </w:r>
            <w:r>
              <w:rPr>
                <w:spacing w:val="-1"/>
                <w:sz w:val="16"/>
              </w:rPr>
              <w:t> </w:t>
            </w:r>
            <w:r>
              <w:rPr>
                <w:sz w:val="16"/>
              </w:rPr>
              <w:t>- -</w:t>
            </w:r>
            <w:r>
              <w:rPr>
                <w:spacing w:val="-1"/>
                <w:sz w:val="16"/>
              </w:rPr>
              <w:t> </w:t>
            </w:r>
            <w:r>
              <w:rPr>
                <w:sz w:val="16"/>
              </w:rPr>
              <w:t>Los</w:t>
            </w:r>
            <w:r>
              <w:rPr>
                <w:spacing w:val="-1"/>
                <w:sz w:val="16"/>
              </w:rPr>
              <w:t> </w:t>
            </w:r>
            <w:r>
              <w:rPr>
                <w:spacing w:val="-2"/>
                <w:sz w:val="16"/>
              </w:rPr>
              <w:t>demás</w:t>
            </w:r>
          </w:p>
        </w:tc>
        <w:tc>
          <w:tcPr>
            <w:tcW w:w="2041" w:type="dxa"/>
          </w:tcPr>
          <w:p>
            <w:pPr>
              <w:pStyle w:val="TableParagraph"/>
              <w:spacing w:line="163" w:lineRule="exact" w:before="1"/>
              <w:ind w:left="11" w:right="4"/>
              <w:jc w:val="center"/>
              <w:rPr>
                <w:sz w:val="16"/>
              </w:rPr>
            </w:pPr>
            <w:r>
              <w:rPr>
                <w:spacing w:val="-2"/>
                <w:sz w:val="16"/>
              </w:rPr>
              <w:t>Frijoles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0713399900</w:t>
            </w:r>
          </w:p>
        </w:tc>
        <w:tc>
          <w:tcPr>
            <w:tcW w:w="5505" w:type="dxa"/>
          </w:tcPr>
          <w:p>
            <w:pPr>
              <w:pStyle w:val="TableParagraph"/>
              <w:spacing w:line="163" w:lineRule="exact" w:before="1"/>
              <w:ind w:left="106"/>
              <w:rPr>
                <w:sz w:val="16"/>
              </w:rPr>
            </w:pPr>
            <w:r>
              <w:rPr>
                <w:sz w:val="16"/>
              </w:rPr>
              <w:t>-</w:t>
            </w:r>
            <w:r>
              <w:rPr>
                <w:spacing w:val="-1"/>
                <w:sz w:val="16"/>
              </w:rPr>
              <w:t> </w:t>
            </w:r>
            <w:r>
              <w:rPr>
                <w:sz w:val="16"/>
              </w:rPr>
              <w:t>-</w:t>
            </w:r>
            <w:r>
              <w:rPr>
                <w:spacing w:val="-1"/>
                <w:sz w:val="16"/>
              </w:rPr>
              <w:t> </w:t>
            </w:r>
            <w:r>
              <w:rPr>
                <w:sz w:val="16"/>
              </w:rPr>
              <w:t>-</w:t>
            </w:r>
            <w:r>
              <w:rPr>
                <w:spacing w:val="-1"/>
                <w:sz w:val="16"/>
              </w:rPr>
              <w:t> </w:t>
            </w:r>
            <w:r>
              <w:rPr>
                <w:sz w:val="16"/>
              </w:rPr>
              <w:t>-</w:t>
            </w:r>
            <w:r>
              <w:rPr>
                <w:spacing w:val="-1"/>
                <w:sz w:val="16"/>
              </w:rPr>
              <w:t> </w:t>
            </w:r>
            <w:r>
              <w:rPr>
                <w:sz w:val="16"/>
              </w:rPr>
              <w:t>Los</w:t>
            </w:r>
            <w:r>
              <w:rPr>
                <w:spacing w:val="1"/>
                <w:sz w:val="16"/>
              </w:rPr>
              <w:t> </w:t>
            </w:r>
            <w:r>
              <w:rPr>
                <w:spacing w:val="-2"/>
                <w:sz w:val="16"/>
              </w:rPr>
              <w:t>demás</w:t>
            </w:r>
          </w:p>
        </w:tc>
        <w:tc>
          <w:tcPr>
            <w:tcW w:w="2041" w:type="dxa"/>
          </w:tcPr>
          <w:p>
            <w:pPr>
              <w:pStyle w:val="TableParagraph"/>
              <w:spacing w:line="163" w:lineRule="exact" w:before="1"/>
              <w:ind w:left="11" w:right="4"/>
              <w:jc w:val="center"/>
              <w:rPr>
                <w:sz w:val="16"/>
              </w:rPr>
            </w:pPr>
            <w:r>
              <w:rPr>
                <w:spacing w:val="-2"/>
                <w:sz w:val="16"/>
              </w:rPr>
              <w:t>Frijoles</w:t>
            </w:r>
          </w:p>
        </w:tc>
      </w:tr>
      <w:tr>
        <w:trPr>
          <w:trHeight w:val="181" w:hRule="atLeast"/>
        </w:trPr>
        <w:tc>
          <w:tcPr>
            <w:tcW w:w="1375" w:type="dxa"/>
          </w:tcPr>
          <w:p>
            <w:pPr>
              <w:pStyle w:val="TableParagraph"/>
              <w:spacing w:line="162" w:lineRule="exact"/>
              <w:ind w:left="7"/>
              <w:jc w:val="center"/>
              <w:rPr>
                <w:rFonts w:ascii="Arial"/>
                <w:b/>
                <w:sz w:val="16"/>
              </w:rPr>
            </w:pPr>
            <w:r>
              <w:rPr>
                <w:rFonts w:ascii="Arial"/>
                <w:b/>
                <w:spacing w:val="-2"/>
                <w:sz w:val="16"/>
              </w:rPr>
              <w:t>0803101000</w:t>
            </w:r>
          </w:p>
        </w:tc>
        <w:tc>
          <w:tcPr>
            <w:tcW w:w="5505" w:type="dxa"/>
          </w:tcPr>
          <w:p>
            <w:pPr>
              <w:pStyle w:val="TableParagraph"/>
              <w:spacing w:line="162" w:lineRule="exact"/>
              <w:ind w:left="106"/>
              <w:rPr>
                <w:sz w:val="16"/>
              </w:rPr>
            </w:pPr>
            <w:r>
              <w:rPr>
                <w:sz w:val="16"/>
              </w:rPr>
              <w:t>- - </w:t>
            </w:r>
            <w:r>
              <w:rPr>
                <w:spacing w:val="-2"/>
                <w:sz w:val="16"/>
              </w:rPr>
              <w:t>Frescos</w:t>
            </w:r>
          </w:p>
        </w:tc>
        <w:tc>
          <w:tcPr>
            <w:tcW w:w="2041" w:type="dxa"/>
          </w:tcPr>
          <w:p>
            <w:pPr>
              <w:pStyle w:val="TableParagraph"/>
              <w:spacing w:line="162" w:lineRule="exact"/>
              <w:ind w:left="11" w:right="4"/>
              <w:jc w:val="center"/>
              <w:rPr>
                <w:sz w:val="16"/>
              </w:rPr>
            </w:pPr>
            <w:r>
              <w:rPr>
                <w:spacing w:val="-2"/>
                <w:sz w:val="16"/>
              </w:rPr>
              <w:t>Plátanos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0803102000</w:t>
            </w:r>
          </w:p>
        </w:tc>
        <w:tc>
          <w:tcPr>
            <w:tcW w:w="5505" w:type="dxa"/>
          </w:tcPr>
          <w:p>
            <w:pPr>
              <w:pStyle w:val="TableParagraph"/>
              <w:spacing w:line="163" w:lineRule="exact" w:before="1"/>
              <w:ind w:left="106"/>
              <w:rPr>
                <w:sz w:val="16"/>
              </w:rPr>
            </w:pPr>
            <w:r>
              <w:rPr>
                <w:sz w:val="16"/>
              </w:rPr>
              <w:t>- - </w:t>
            </w:r>
            <w:r>
              <w:rPr>
                <w:spacing w:val="-2"/>
                <w:sz w:val="16"/>
              </w:rPr>
              <w:t>Secos</w:t>
            </w:r>
          </w:p>
        </w:tc>
        <w:tc>
          <w:tcPr>
            <w:tcW w:w="2041" w:type="dxa"/>
          </w:tcPr>
          <w:p>
            <w:pPr>
              <w:pStyle w:val="TableParagraph"/>
              <w:spacing w:line="163" w:lineRule="exact" w:before="1"/>
              <w:ind w:left="11" w:right="4"/>
              <w:jc w:val="center"/>
              <w:rPr>
                <w:sz w:val="16"/>
              </w:rPr>
            </w:pPr>
            <w:r>
              <w:rPr>
                <w:spacing w:val="-2"/>
                <w:sz w:val="16"/>
              </w:rPr>
              <w:t>Plátanos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0803901200</w:t>
            </w:r>
          </w:p>
        </w:tc>
        <w:tc>
          <w:tcPr>
            <w:tcW w:w="5505" w:type="dxa"/>
          </w:tcPr>
          <w:p>
            <w:pPr>
              <w:pStyle w:val="TableParagraph"/>
              <w:spacing w:line="163" w:lineRule="exact" w:before="1"/>
              <w:ind w:left="106"/>
              <w:rPr>
                <w:sz w:val="16"/>
              </w:rPr>
            </w:pPr>
            <w:r>
              <w:rPr>
                <w:sz w:val="16"/>
              </w:rPr>
              <w:t>-</w:t>
            </w:r>
            <w:r>
              <w:rPr>
                <w:spacing w:val="-4"/>
                <w:sz w:val="16"/>
              </w:rPr>
              <w:t> </w:t>
            </w:r>
            <w:r>
              <w:rPr>
                <w:sz w:val="16"/>
              </w:rPr>
              <w:t>-</w:t>
            </w:r>
            <w:r>
              <w:rPr>
                <w:spacing w:val="-3"/>
                <w:sz w:val="16"/>
              </w:rPr>
              <w:t> </w:t>
            </w:r>
            <w:r>
              <w:rPr>
                <w:sz w:val="16"/>
              </w:rPr>
              <w:t>-</w:t>
            </w:r>
            <w:r>
              <w:rPr>
                <w:spacing w:val="-3"/>
                <w:sz w:val="16"/>
              </w:rPr>
              <w:t> </w:t>
            </w:r>
            <w:r>
              <w:rPr>
                <w:sz w:val="16"/>
              </w:rPr>
              <w:t>Bocadillo</w:t>
            </w:r>
            <w:r>
              <w:rPr>
                <w:spacing w:val="-6"/>
                <w:sz w:val="16"/>
              </w:rPr>
              <w:t> </w:t>
            </w:r>
            <w:r>
              <w:rPr>
                <w:sz w:val="16"/>
              </w:rPr>
              <w:t>(manzanito,</w:t>
            </w:r>
            <w:r>
              <w:rPr>
                <w:spacing w:val="-4"/>
                <w:sz w:val="16"/>
              </w:rPr>
              <w:t> </w:t>
            </w:r>
            <w:r>
              <w:rPr>
                <w:sz w:val="16"/>
              </w:rPr>
              <w:t>orito)</w:t>
            </w:r>
            <w:r>
              <w:rPr>
                <w:spacing w:val="-3"/>
                <w:sz w:val="16"/>
              </w:rPr>
              <w:t> </w:t>
            </w:r>
            <w:r>
              <w:rPr>
                <w:sz w:val="16"/>
              </w:rPr>
              <w:t>(Musa</w:t>
            </w:r>
            <w:r>
              <w:rPr>
                <w:spacing w:val="-3"/>
                <w:sz w:val="16"/>
              </w:rPr>
              <w:t> </w:t>
            </w:r>
            <w:r>
              <w:rPr>
                <w:spacing w:val="-2"/>
                <w:sz w:val="16"/>
              </w:rPr>
              <w:t>acuminata)</w:t>
            </w:r>
          </w:p>
        </w:tc>
        <w:tc>
          <w:tcPr>
            <w:tcW w:w="2041" w:type="dxa"/>
          </w:tcPr>
          <w:p>
            <w:pPr>
              <w:pStyle w:val="TableParagraph"/>
              <w:spacing w:line="163" w:lineRule="exact" w:before="1"/>
              <w:ind w:left="11" w:right="4"/>
              <w:jc w:val="center"/>
              <w:rPr>
                <w:sz w:val="16"/>
              </w:rPr>
            </w:pPr>
            <w:r>
              <w:rPr>
                <w:spacing w:val="-2"/>
                <w:sz w:val="16"/>
              </w:rPr>
              <w:t>Plátanos</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0804400010</w:t>
            </w:r>
          </w:p>
        </w:tc>
        <w:tc>
          <w:tcPr>
            <w:tcW w:w="5505" w:type="dxa"/>
          </w:tcPr>
          <w:p>
            <w:pPr>
              <w:pStyle w:val="TableParagraph"/>
              <w:spacing w:line="163" w:lineRule="exact" w:before="1"/>
              <w:ind w:left="106"/>
              <w:rPr>
                <w:sz w:val="16"/>
              </w:rPr>
            </w:pPr>
            <w:r>
              <w:rPr>
                <w:sz w:val="16"/>
              </w:rPr>
              <w:t>-</w:t>
            </w:r>
            <w:r>
              <w:rPr>
                <w:spacing w:val="-2"/>
                <w:sz w:val="16"/>
              </w:rPr>
              <w:t> </w:t>
            </w:r>
            <w:r>
              <w:rPr>
                <w:sz w:val="16"/>
              </w:rPr>
              <w:t>-</w:t>
            </w:r>
            <w:r>
              <w:rPr>
                <w:spacing w:val="-2"/>
                <w:sz w:val="16"/>
              </w:rPr>
              <w:t> </w:t>
            </w:r>
            <w:r>
              <w:rPr>
                <w:sz w:val="16"/>
              </w:rPr>
              <w:t>Variedad</w:t>
            </w:r>
            <w:r>
              <w:rPr>
                <w:spacing w:val="-2"/>
                <w:sz w:val="16"/>
              </w:rPr>
              <w:t> </w:t>
            </w:r>
            <w:r>
              <w:rPr>
                <w:spacing w:val="-4"/>
                <w:sz w:val="16"/>
              </w:rPr>
              <w:t>Hass</w:t>
            </w:r>
          </w:p>
        </w:tc>
        <w:tc>
          <w:tcPr>
            <w:tcW w:w="2041" w:type="dxa"/>
          </w:tcPr>
          <w:p>
            <w:pPr>
              <w:pStyle w:val="TableParagraph"/>
              <w:spacing w:line="163" w:lineRule="exact" w:before="1"/>
              <w:ind w:left="11"/>
              <w:jc w:val="center"/>
              <w:rPr>
                <w:sz w:val="16"/>
              </w:rPr>
            </w:pPr>
            <w:r>
              <w:rPr>
                <w:spacing w:val="-2"/>
                <w:sz w:val="16"/>
              </w:rPr>
              <w:t>Aguacate</w:t>
            </w:r>
          </w:p>
        </w:tc>
      </w:tr>
      <w:tr>
        <w:trPr>
          <w:trHeight w:val="184" w:hRule="atLeast"/>
        </w:trPr>
        <w:tc>
          <w:tcPr>
            <w:tcW w:w="1375" w:type="dxa"/>
          </w:tcPr>
          <w:p>
            <w:pPr>
              <w:pStyle w:val="TableParagraph"/>
              <w:spacing w:line="163" w:lineRule="exact" w:before="1"/>
              <w:ind w:left="7"/>
              <w:jc w:val="center"/>
              <w:rPr>
                <w:rFonts w:ascii="Arial"/>
                <w:b/>
                <w:sz w:val="16"/>
              </w:rPr>
            </w:pPr>
            <w:r>
              <w:rPr>
                <w:rFonts w:ascii="Arial"/>
                <w:b/>
                <w:spacing w:val="-2"/>
                <w:sz w:val="16"/>
              </w:rPr>
              <w:t>0810901020</w:t>
            </w:r>
          </w:p>
        </w:tc>
        <w:tc>
          <w:tcPr>
            <w:tcW w:w="5505" w:type="dxa"/>
          </w:tcPr>
          <w:p>
            <w:pPr>
              <w:pStyle w:val="TableParagraph"/>
              <w:spacing w:line="163" w:lineRule="exact" w:before="1"/>
              <w:ind w:left="106"/>
              <w:rPr>
                <w:sz w:val="16"/>
              </w:rPr>
            </w:pPr>
            <w:r>
              <w:rPr>
                <w:sz w:val="16"/>
              </w:rPr>
              <w:t>-</w:t>
            </w:r>
            <w:r>
              <w:rPr>
                <w:spacing w:val="-5"/>
                <w:sz w:val="16"/>
              </w:rPr>
              <w:t> </w:t>
            </w:r>
            <w:r>
              <w:rPr>
                <w:sz w:val="16"/>
              </w:rPr>
              <w:t>-</w:t>
            </w:r>
            <w:r>
              <w:rPr>
                <w:spacing w:val="-4"/>
                <w:sz w:val="16"/>
              </w:rPr>
              <w:t> </w:t>
            </w:r>
            <w:r>
              <w:rPr>
                <w:sz w:val="16"/>
              </w:rPr>
              <w:t>-</w:t>
            </w:r>
            <w:r>
              <w:rPr>
                <w:spacing w:val="-4"/>
                <w:sz w:val="16"/>
              </w:rPr>
              <w:t> </w:t>
            </w:r>
            <w:r>
              <w:rPr>
                <w:sz w:val="16"/>
              </w:rPr>
              <w:t>Maracuyá</w:t>
            </w:r>
            <w:r>
              <w:rPr>
                <w:spacing w:val="-7"/>
                <w:sz w:val="16"/>
              </w:rPr>
              <w:t> </w:t>
            </w:r>
            <w:r>
              <w:rPr>
                <w:sz w:val="16"/>
              </w:rPr>
              <w:t>(parchita)</w:t>
            </w:r>
            <w:r>
              <w:rPr>
                <w:spacing w:val="-4"/>
                <w:sz w:val="16"/>
              </w:rPr>
              <w:t> </w:t>
            </w:r>
            <w:r>
              <w:rPr>
                <w:sz w:val="16"/>
              </w:rPr>
              <w:t>(Passiflora</w:t>
            </w:r>
            <w:r>
              <w:rPr>
                <w:spacing w:val="-5"/>
                <w:sz w:val="16"/>
              </w:rPr>
              <w:t> </w:t>
            </w:r>
            <w:r>
              <w:rPr>
                <w:sz w:val="16"/>
              </w:rPr>
              <w:t>edulis</w:t>
            </w:r>
            <w:r>
              <w:rPr>
                <w:spacing w:val="-5"/>
                <w:sz w:val="16"/>
              </w:rPr>
              <w:t> </w:t>
            </w:r>
            <w:r>
              <w:rPr>
                <w:sz w:val="16"/>
              </w:rPr>
              <w:t>var.</w:t>
            </w:r>
            <w:r>
              <w:rPr>
                <w:spacing w:val="1"/>
                <w:sz w:val="16"/>
              </w:rPr>
              <w:t> </w:t>
            </w:r>
            <w:r>
              <w:rPr>
                <w:spacing w:val="-2"/>
                <w:sz w:val="16"/>
              </w:rPr>
              <w:t>Flavicarpa)</w:t>
            </w:r>
          </w:p>
        </w:tc>
        <w:tc>
          <w:tcPr>
            <w:tcW w:w="2041" w:type="dxa"/>
          </w:tcPr>
          <w:p>
            <w:pPr>
              <w:pStyle w:val="TableParagraph"/>
              <w:spacing w:line="163" w:lineRule="exact" w:before="1"/>
              <w:ind w:left="11" w:right="3"/>
              <w:jc w:val="center"/>
              <w:rPr>
                <w:sz w:val="16"/>
              </w:rPr>
            </w:pPr>
            <w:r>
              <w:rPr>
                <w:spacing w:val="-2"/>
                <w:sz w:val="16"/>
              </w:rPr>
              <w:t>Maracuyá</w:t>
            </w:r>
          </w:p>
        </w:tc>
      </w:tr>
    </w:tbl>
    <w:p>
      <w:pPr>
        <w:spacing w:before="9"/>
        <w:ind w:left="1288" w:right="6616" w:firstLine="0"/>
        <w:jc w:val="left"/>
        <w:rPr>
          <w:rFonts w:ascii="Arial" w:hAnsi="Arial"/>
          <w:b/>
          <w:sz w:val="16"/>
        </w:rPr>
      </w:pPr>
      <w:r>
        <w:rPr>
          <w:rFonts w:ascii="Arial" w:hAnsi="Arial"/>
          <w:b/>
          <w:sz w:val="16"/>
        </w:rPr>
        <w:t>Fuente:</w:t>
      </w:r>
      <w:r>
        <w:rPr>
          <w:rFonts w:ascii="Arial" w:hAnsi="Arial"/>
          <w:b/>
          <w:spacing w:val="-9"/>
          <w:sz w:val="16"/>
        </w:rPr>
        <w:t> </w:t>
      </w:r>
      <w:r>
        <w:rPr>
          <w:rFonts w:ascii="Arial" w:hAnsi="Arial"/>
          <w:b/>
          <w:sz w:val="16"/>
        </w:rPr>
        <w:t>Decreto</w:t>
      </w:r>
      <w:r>
        <w:rPr>
          <w:rFonts w:ascii="Arial" w:hAnsi="Arial"/>
          <w:b/>
          <w:spacing w:val="-8"/>
          <w:sz w:val="16"/>
        </w:rPr>
        <w:t> </w:t>
      </w:r>
      <w:r>
        <w:rPr>
          <w:rFonts w:ascii="Arial" w:hAnsi="Arial"/>
          <w:b/>
          <w:sz w:val="16"/>
        </w:rPr>
        <w:t>0170</w:t>
      </w:r>
      <w:r>
        <w:rPr>
          <w:rFonts w:ascii="Arial" w:hAnsi="Arial"/>
          <w:b/>
          <w:spacing w:val="-8"/>
          <w:sz w:val="16"/>
        </w:rPr>
        <w:t> </w:t>
      </w:r>
      <w:r>
        <w:rPr>
          <w:rFonts w:ascii="Arial" w:hAnsi="Arial"/>
          <w:b/>
          <w:sz w:val="16"/>
        </w:rPr>
        <w:t>–</w:t>
      </w:r>
      <w:r>
        <w:rPr>
          <w:rFonts w:ascii="Arial" w:hAnsi="Arial"/>
          <w:b/>
          <w:spacing w:val="-11"/>
          <w:sz w:val="16"/>
        </w:rPr>
        <w:t> </w:t>
      </w:r>
      <w:r>
        <w:rPr>
          <w:rFonts w:ascii="Arial" w:hAnsi="Arial"/>
          <w:b/>
          <w:sz w:val="16"/>
        </w:rPr>
        <w:t>DIAN. Elaboración: SGCAN.</w:t>
      </w:r>
    </w:p>
    <w:p>
      <w:pPr>
        <w:pStyle w:val="BodyText"/>
        <w:spacing w:before="18"/>
        <w:rPr>
          <w:rFonts w:ascii="Arial"/>
          <w:b/>
          <w:sz w:val="20"/>
        </w:rPr>
      </w:pPr>
      <w:r>
        <w:rPr>
          <w:rFonts w:ascii="Arial"/>
          <w:b/>
          <w:sz w:val="20"/>
        </w:rPr>
        <mc:AlternateContent>
          <mc:Choice Requires="wps">
            <w:drawing>
              <wp:anchor distT="0" distB="0" distL="0" distR="0" allowOverlap="1" layoutInCell="1" locked="0" behindDoc="1" simplePos="0" relativeHeight="487657984">
                <wp:simplePos x="0" y="0"/>
                <wp:positionH relativeFrom="page">
                  <wp:posOffset>990904</wp:posOffset>
                </wp:positionH>
                <wp:positionV relativeFrom="paragraph">
                  <wp:posOffset>172964</wp:posOffset>
                </wp:positionV>
                <wp:extent cx="1829435" cy="7620"/>
                <wp:effectExtent l="0" t="0" r="0" b="0"/>
                <wp:wrapTopAndBottom/>
                <wp:docPr id="556" name="Graphic 556"/>
                <wp:cNvGraphicFramePr>
                  <a:graphicFrameLocks/>
                </wp:cNvGraphicFramePr>
                <a:graphic>
                  <a:graphicData uri="http://schemas.microsoft.com/office/word/2010/wordprocessingShape">
                    <wps:wsp>
                      <wps:cNvPr id="556" name="Graphic 556"/>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3.619287pt;width:144.020pt;height:.60004pt;mso-position-horizontal-relative:page;mso-position-vertical-relative:paragraph;z-index:-15658496;mso-wrap-distance-left:0;mso-wrap-distance-right:0" id="docshape384" filled="true" fillcolor="#000000" stroked="false">
                <v:fill type="solid"/>
                <w10:wrap type="topAndBottom"/>
              </v:rect>
            </w:pict>
          </mc:Fallback>
        </mc:AlternateContent>
      </w:r>
    </w:p>
    <w:p>
      <w:pPr>
        <w:spacing w:before="92"/>
        <w:ind w:left="568" w:right="0" w:firstLine="0"/>
        <w:jc w:val="left"/>
        <w:rPr>
          <w:sz w:val="16"/>
        </w:rPr>
      </w:pPr>
      <w:bookmarkStart w:name="_bookmark160" w:id="161"/>
      <w:bookmarkEnd w:id="161"/>
      <w:r>
        <w:rPr/>
      </w:r>
      <w:r>
        <w:rPr>
          <w:sz w:val="16"/>
          <w:vertAlign w:val="superscript"/>
        </w:rPr>
        <w:t>93</w:t>
      </w:r>
      <w:r>
        <w:rPr>
          <w:spacing w:val="-12"/>
          <w:sz w:val="16"/>
          <w:vertAlign w:val="baseline"/>
        </w:rPr>
        <w:t> </w:t>
      </w:r>
      <w:r>
        <w:rPr>
          <w:sz w:val="16"/>
          <w:vertAlign w:val="baseline"/>
        </w:rPr>
        <w:t>Esta</w:t>
      </w:r>
      <w:r>
        <w:rPr>
          <w:spacing w:val="-11"/>
          <w:sz w:val="16"/>
          <w:vertAlign w:val="baseline"/>
        </w:rPr>
        <w:t> </w:t>
      </w:r>
      <w:r>
        <w:rPr>
          <w:sz w:val="16"/>
          <w:vertAlign w:val="baseline"/>
        </w:rPr>
        <w:t>denominación</w:t>
      </w:r>
      <w:r>
        <w:rPr>
          <w:spacing w:val="-11"/>
          <w:sz w:val="16"/>
          <w:vertAlign w:val="baseline"/>
        </w:rPr>
        <w:t> </w:t>
      </w:r>
      <w:r>
        <w:rPr>
          <w:sz w:val="16"/>
          <w:vertAlign w:val="baseline"/>
        </w:rPr>
        <w:t>es</w:t>
      </w:r>
      <w:r>
        <w:rPr>
          <w:spacing w:val="-11"/>
          <w:sz w:val="16"/>
          <w:vertAlign w:val="baseline"/>
        </w:rPr>
        <w:t> </w:t>
      </w:r>
      <w:r>
        <w:rPr>
          <w:sz w:val="16"/>
          <w:vertAlign w:val="baseline"/>
        </w:rPr>
        <w:t>la</w:t>
      </w:r>
      <w:r>
        <w:rPr>
          <w:spacing w:val="-11"/>
          <w:sz w:val="16"/>
          <w:vertAlign w:val="baseline"/>
        </w:rPr>
        <w:t> </w:t>
      </w:r>
      <w:r>
        <w:rPr>
          <w:sz w:val="16"/>
          <w:vertAlign w:val="baseline"/>
        </w:rPr>
        <w:t>asignada</w:t>
      </w:r>
      <w:r>
        <w:rPr>
          <w:spacing w:val="-11"/>
          <w:sz w:val="16"/>
          <w:vertAlign w:val="baseline"/>
        </w:rPr>
        <w:t> </w:t>
      </w:r>
      <w:r>
        <w:rPr>
          <w:sz w:val="16"/>
          <w:vertAlign w:val="baseline"/>
        </w:rPr>
        <w:t>en</w:t>
      </w:r>
      <w:r>
        <w:rPr>
          <w:spacing w:val="-11"/>
          <w:sz w:val="16"/>
          <w:vertAlign w:val="baseline"/>
        </w:rPr>
        <w:t> </w:t>
      </w:r>
      <w:r>
        <w:rPr>
          <w:sz w:val="16"/>
          <w:vertAlign w:val="baseline"/>
        </w:rPr>
        <w:t>el</w:t>
      </w:r>
      <w:r>
        <w:rPr>
          <w:spacing w:val="-11"/>
          <w:sz w:val="16"/>
          <w:vertAlign w:val="baseline"/>
        </w:rPr>
        <w:t> </w:t>
      </w:r>
      <w:r>
        <w:rPr>
          <w:sz w:val="16"/>
          <w:vertAlign w:val="baseline"/>
        </w:rPr>
        <w:t>Decreto</w:t>
      </w:r>
      <w:r>
        <w:rPr>
          <w:spacing w:val="-12"/>
          <w:sz w:val="16"/>
          <w:vertAlign w:val="baseline"/>
        </w:rPr>
        <w:t> </w:t>
      </w:r>
      <w:r>
        <w:rPr>
          <w:sz w:val="16"/>
          <w:vertAlign w:val="baseline"/>
        </w:rPr>
        <w:t>0170</w:t>
      </w:r>
      <w:r>
        <w:rPr>
          <w:spacing w:val="-11"/>
          <w:sz w:val="16"/>
          <w:vertAlign w:val="baseline"/>
        </w:rPr>
        <w:t> </w:t>
      </w:r>
      <w:r>
        <w:rPr>
          <w:sz w:val="16"/>
          <w:vertAlign w:val="baseline"/>
        </w:rPr>
        <w:t>de</w:t>
      </w:r>
      <w:r>
        <w:rPr>
          <w:spacing w:val="-11"/>
          <w:sz w:val="16"/>
          <w:vertAlign w:val="baseline"/>
        </w:rPr>
        <w:t> </w:t>
      </w:r>
      <w:r>
        <w:rPr>
          <w:sz w:val="16"/>
          <w:vertAlign w:val="baseline"/>
        </w:rPr>
        <w:t>2026</w:t>
      </w:r>
      <w:r>
        <w:rPr>
          <w:spacing w:val="-10"/>
          <w:sz w:val="16"/>
          <w:vertAlign w:val="baseline"/>
        </w:rPr>
        <w:t> </w:t>
      </w:r>
      <w:r>
        <w:rPr>
          <w:sz w:val="16"/>
          <w:vertAlign w:val="baseline"/>
        </w:rPr>
        <w:t>de</w:t>
      </w:r>
      <w:r>
        <w:rPr>
          <w:spacing w:val="-11"/>
          <w:sz w:val="16"/>
          <w:vertAlign w:val="baseline"/>
        </w:rPr>
        <w:t> </w:t>
      </w:r>
      <w:r>
        <w:rPr>
          <w:sz w:val="16"/>
          <w:vertAlign w:val="baseline"/>
        </w:rPr>
        <w:t>la</w:t>
      </w:r>
      <w:r>
        <w:rPr>
          <w:spacing w:val="-11"/>
          <w:sz w:val="16"/>
          <w:vertAlign w:val="baseline"/>
        </w:rPr>
        <w:t> </w:t>
      </w:r>
      <w:r>
        <w:rPr>
          <w:sz w:val="16"/>
          <w:vertAlign w:val="baseline"/>
        </w:rPr>
        <w:t>República</w:t>
      </w:r>
      <w:r>
        <w:rPr>
          <w:spacing w:val="-10"/>
          <w:sz w:val="16"/>
          <w:vertAlign w:val="baseline"/>
        </w:rPr>
        <w:t> </w:t>
      </w:r>
      <w:r>
        <w:rPr>
          <w:sz w:val="16"/>
          <w:vertAlign w:val="baseline"/>
        </w:rPr>
        <w:t>de</w:t>
      </w:r>
      <w:r>
        <w:rPr>
          <w:spacing w:val="-11"/>
          <w:sz w:val="16"/>
          <w:vertAlign w:val="baseline"/>
        </w:rPr>
        <w:t> </w:t>
      </w:r>
      <w:r>
        <w:rPr>
          <w:sz w:val="16"/>
          <w:vertAlign w:val="baseline"/>
        </w:rPr>
        <w:t>Colombia</w:t>
      </w:r>
      <w:r>
        <w:rPr>
          <w:spacing w:val="-11"/>
          <w:sz w:val="16"/>
          <w:vertAlign w:val="baseline"/>
        </w:rPr>
        <w:t> </w:t>
      </w:r>
      <w:r>
        <w:rPr>
          <w:sz w:val="16"/>
          <w:vertAlign w:val="baseline"/>
        </w:rPr>
        <w:t>para</w:t>
      </w:r>
      <w:r>
        <w:rPr>
          <w:spacing w:val="-10"/>
          <w:sz w:val="16"/>
          <w:vertAlign w:val="baseline"/>
        </w:rPr>
        <w:t> </w:t>
      </w:r>
      <w:r>
        <w:rPr>
          <w:sz w:val="16"/>
          <w:vertAlign w:val="baseline"/>
        </w:rPr>
        <w:t>los</w:t>
      </w:r>
      <w:r>
        <w:rPr>
          <w:spacing w:val="-10"/>
          <w:sz w:val="16"/>
          <w:vertAlign w:val="baseline"/>
        </w:rPr>
        <w:t> </w:t>
      </w:r>
      <w:r>
        <w:rPr>
          <w:sz w:val="16"/>
          <w:vertAlign w:val="baseline"/>
        </w:rPr>
        <w:t>productos</w:t>
      </w:r>
      <w:r>
        <w:rPr>
          <w:spacing w:val="-11"/>
          <w:sz w:val="16"/>
          <w:vertAlign w:val="baseline"/>
        </w:rPr>
        <w:t> </w:t>
      </w:r>
      <w:r>
        <w:rPr>
          <w:sz w:val="16"/>
          <w:vertAlign w:val="baseline"/>
        </w:rPr>
        <w:t>de</w:t>
      </w:r>
      <w:r>
        <w:rPr>
          <w:spacing w:val="-10"/>
          <w:sz w:val="16"/>
          <w:vertAlign w:val="baseline"/>
        </w:rPr>
        <w:t> </w:t>
      </w:r>
      <w:r>
        <w:rPr>
          <w:sz w:val="16"/>
          <w:vertAlign w:val="baseline"/>
        </w:rPr>
        <w:t>los</w:t>
      </w:r>
      <w:r>
        <w:rPr>
          <w:spacing w:val="-11"/>
          <w:sz w:val="16"/>
          <w:vertAlign w:val="baseline"/>
        </w:rPr>
        <w:t> </w:t>
      </w:r>
      <w:r>
        <w:rPr>
          <w:spacing w:val="-2"/>
          <w:sz w:val="16"/>
          <w:vertAlign w:val="baseline"/>
        </w:rPr>
        <w:t>capítulos</w:t>
      </w:r>
    </w:p>
    <w:p>
      <w:pPr>
        <w:tabs>
          <w:tab w:pos="568" w:val="left" w:leader="none"/>
          <w:tab w:pos="9816" w:val="left" w:leader="none"/>
        </w:tabs>
        <w:spacing w:before="1"/>
        <w:ind w:left="160" w:right="0" w:firstLine="0"/>
        <w:jc w:val="left"/>
        <w:rPr>
          <w:sz w:val="16"/>
        </w:rPr>
      </w:pPr>
      <w:r>
        <w:rPr>
          <w:sz w:val="16"/>
          <w:u w:val="single"/>
        </w:rPr>
        <w:tab/>
        <w:t>07</w:t>
      </w:r>
      <w:r>
        <w:rPr>
          <w:spacing w:val="-4"/>
          <w:sz w:val="16"/>
          <w:u w:val="single"/>
        </w:rPr>
        <w:t> </w:t>
      </w:r>
      <w:r>
        <w:rPr>
          <w:sz w:val="16"/>
          <w:u w:val="single"/>
        </w:rPr>
        <w:t>y</w:t>
      </w:r>
      <w:r>
        <w:rPr>
          <w:spacing w:val="-1"/>
          <w:sz w:val="16"/>
          <w:u w:val="single"/>
        </w:rPr>
        <w:t> </w:t>
      </w:r>
      <w:r>
        <w:rPr>
          <w:sz w:val="16"/>
          <w:u w:val="single"/>
        </w:rPr>
        <w:t>08</w:t>
      </w:r>
      <w:r>
        <w:rPr>
          <w:spacing w:val="-5"/>
          <w:sz w:val="16"/>
          <w:u w:val="single"/>
        </w:rPr>
        <w:t> </w:t>
      </w:r>
      <w:r>
        <w:rPr>
          <w:sz w:val="16"/>
          <w:u w:val="single"/>
        </w:rPr>
        <w:t>contenidos</w:t>
      </w:r>
      <w:r>
        <w:rPr>
          <w:spacing w:val="-4"/>
          <w:sz w:val="16"/>
          <w:u w:val="single"/>
        </w:rPr>
        <w:t> </w:t>
      </w:r>
      <w:r>
        <w:rPr>
          <w:sz w:val="16"/>
          <w:u w:val="single"/>
        </w:rPr>
        <w:t>en</w:t>
      </w:r>
      <w:r>
        <w:rPr>
          <w:spacing w:val="-3"/>
          <w:sz w:val="16"/>
          <w:u w:val="single"/>
        </w:rPr>
        <w:t> </w:t>
      </w:r>
      <w:r>
        <w:rPr>
          <w:sz w:val="16"/>
          <w:u w:val="single"/>
        </w:rPr>
        <w:t>dicho</w:t>
      </w:r>
      <w:r>
        <w:rPr>
          <w:spacing w:val="-3"/>
          <w:sz w:val="16"/>
          <w:u w:val="single"/>
        </w:rPr>
        <w:t> </w:t>
      </w:r>
      <w:r>
        <w:rPr>
          <w:spacing w:val="-2"/>
          <w:sz w:val="16"/>
          <w:u w:val="single"/>
        </w:rPr>
        <w:t>decreto.</w:t>
      </w:r>
      <w:r>
        <w:rPr>
          <w:sz w:val="16"/>
          <w:u w:val="single"/>
        </w:rPr>
        <w:tab/>
      </w:r>
    </w:p>
    <w:p>
      <w:pPr>
        <w:spacing w:after="0"/>
        <w:jc w:val="left"/>
        <w:rPr>
          <w:sz w:val="16"/>
        </w:rPr>
        <w:sectPr>
          <w:pgSz w:w="11900" w:h="16850"/>
          <w:pgMar w:header="370" w:footer="597" w:top="1380" w:bottom="78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Según el Decreto 0170, “</w:t>
      </w:r>
      <w:r>
        <w:rPr>
          <w:rFonts w:ascii="Arial" w:hAnsi="Arial"/>
          <w:i/>
          <w:sz w:val="22"/>
        </w:rPr>
        <w:t>el ingreso de productos agrícolas impide garantizar la trazabilidad e inocuidad de los alimentos, poniendo en riesgo directo la seguridad alimentaria</w:t>
      </w:r>
      <w:r>
        <w:rPr>
          <w:rFonts w:ascii="Arial" w:hAnsi="Arial"/>
          <w:i/>
          <w:spacing w:val="-13"/>
          <w:sz w:val="22"/>
        </w:rPr>
        <w:t> </w:t>
      </w:r>
      <w:r>
        <w:rPr>
          <w:rFonts w:ascii="Arial" w:hAnsi="Arial"/>
          <w:i/>
          <w:sz w:val="22"/>
        </w:rPr>
        <w:t>y</w:t>
      </w:r>
      <w:r>
        <w:rPr>
          <w:rFonts w:ascii="Arial" w:hAnsi="Arial"/>
          <w:i/>
          <w:spacing w:val="-14"/>
          <w:sz w:val="22"/>
        </w:rPr>
        <w:t> </w:t>
      </w:r>
      <w:r>
        <w:rPr>
          <w:rFonts w:ascii="Arial" w:hAnsi="Arial"/>
          <w:i/>
          <w:sz w:val="22"/>
        </w:rPr>
        <w:t>nutricional</w:t>
      </w:r>
      <w:r>
        <w:rPr>
          <w:rFonts w:ascii="Arial" w:hAnsi="Arial"/>
          <w:i/>
          <w:spacing w:val="-13"/>
          <w:sz w:val="22"/>
        </w:rPr>
        <w:t> </w:t>
      </w:r>
      <w:r>
        <w:rPr>
          <w:rFonts w:ascii="Arial" w:hAnsi="Arial"/>
          <w:i/>
          <w:sz w:val="22"/>
        </w:rPr>
        <w:t>de</w:t>
      </w:r>
      <w:r>
        <w:rPr>
          <w:rFonts w:ascii="Arial" w:hAnsi="Arial"/>
          <w:i/>
          <w:spacing w:val="-13"/>
          <w:sz w:val="22"/>
        </w:rPr>
        <w:t> </w:t>
      </w:r>
      <w:r>
        <w:rPr>
          <w:rFonts w:ascii="Arial" w:hAnsi="Arial"/>
          <w:i/>
          <w:sz w:val="22"/>
        </w:rPr>
        <w:t>la</w:t>
      </w:r>
      <w:r>
        <w:rPr>
          <w:rFonts w:ascii="Arial" w:hAnsi="Arial"/>
          <w:i/>
          <w:spacing w:val="-12"/>
          <w:sz w:val="22"/>
        </w:rPr>
        <w:t> </w:t>
      </w:r>
      <w:r>
        <w:rPr>
          <w:rFonts w:ascii="Arial" w:hAnsi="Arial"/>
          <w:i/>
          <w:sz w:val="22"/>
        </w:rPr>
        <w:t>población</w:t>
      </w:r>
      <w:r>
        <w:rPr>
          <w:rFonts w:ascii="Arial" w:hAnsi="Arial"/>
          <w:i/>
          <w:spacing w:val="-13"/>
          <w:sz w:val="22"/>
        </w:rPr>
        <w:t> </w:t>
      </w:r>
      <w:r>
        <w:rPr>
          <w:rFonts w:ascii="Arial" w:hAnsi="Arial"/>
          <w:i/>
          <w:sz w:val="22"/>
        </w:rPr>
        <w:t>colombiana”</w:t>
      </w:r>
      <w:hyperlink w:history="true" w:anchor="_bookmark161">
        <w:r>
          <w:rPr>
            <w:rFonts w:ascii="Arial" w:hAnsi="Arial"/>
            <w:i/>
            <w:sz w:val="22"/>
            <w:vertAlign w:val="superscript"/>
          </w:rPr>
          <w:t>94</w:t>
        </w:r>
        <w:r>
          <w:rPr>
            <w:rFonts w:ascii="Arial" w:hAnsi="Arial"/>
            <w:i/>
            <w:sz w:val="22"/>
            <w:vertAlign w:val="baseline"/>
          </w:rPr>
          <w:t>.</w:t>
        </w:r>
      </w:hyperlink>
      <w:r>
        <w:rPr>
          <w:rFonts w:ascii="Arial" w:hAnsi="Arial"/>
          <w:i/>
          <w:spacing w:val="-11"/>
          <w:sz w:val="22"/>
          <w:vertAlign w:val="baseline"/>
        </w:rPr>
        <w:t> </w:t>
      </w:r>
      <w:r>
        <w:rPr>
          <w:sz w:val="22"/>
          <w:vertAlign w:val="baseline"/>
        </w:rPr>
        <w:t>A</w:t>
      </w:r>
      <w:r>
        <w:rPr>
          <w:spacing w:val="-13"/>
          <w:sz w:val="22"/>
          <w:vertAlign w:val="baseline"/>
        </w:rPr>
        <w:t> </w:t>
      </w:r>
      <w:r>
        <w:rPr>
          <w:sz w:val="22"/>
          <w:vertAlign w:val="baseline"/>
        </w:rPr>
        <w:t>continuación,</w:t>
      </w:r>
      <w:r>
        <w:rPr>
          <w:spacing w:val="-13"/>
          <w:sz w:val="22"/>
          <w:vertAlign w:val="baseline"/>
        </w:rPr>
        <w:t> </w:t>
      </w:r>
      <w:r>
        <w:rPr>
          <w:sz w:val="22"/>
          <w:vertAlign w:val="baseline"/>
        </w:rPr>
        <w:t>el</w:t>
      </w:r>
      <w:r>
        <w:rPr>
          <w:spacing w:val="-13"/>
          <w:sz w:val="22"/>
          <w:vertAlign w:val="baseline"/>
        </w:rPr>
        <w:t> </w:t>
      </w:r>
      <w:r>
        <w:rPr>
          <w:sz w:val="22"/>
          <w:vertAlign w:val="baseline"/>
        </w:rPr>
        <w:t>citado</w:t>
      </w:r>
      <w:r>
        <w:rPr>
          <w:spacing w:val="-12"/>
          <w:sz w:val="22"/>
          <w:vertAlign w:val="baseline"/>
        </w:rPr>
        <w:t> </w:t>
      </w:r>
      <w:r>
        <w:rPr>
          <w:sz w:val="22"/>
          <w:vertAlign w:val="baseline"/>
        </w:rPr>
        <w:t>Decreto identifica cada uno de los productos comprendidos en esta categoría y les atribuye supuestos riesgos fitosanitarios y de inocuidad, los cuales se resumen en la Tabla No. </w:t>
      </w:r>
      <w:r>
        <w:rPr>
          <w:spacing w:val="-4"/>
          <w:sz w:val="22"/>
          <w:vertAlign w:val="baseline"/>
        </w:rPr>
        <w:t>13.</w:t>
      </w:r>
    </w:p>
    <w:p>
      <w:pPr>
        <w:pStyle w:val="Heading6"/>
        <w:spacing w:before="251"/>
        <w:ind w:right="409"/>
        <w:jc w:val="center"/>
      </w:pPr>
      <w:r>
        <w:rPr/>
        <w:t>Tabla</w:t>
      </w:r>
      <w:r>
        <w:rPr>
          <w:spacing w:val="-2"/>
        </w:rPr>
        <w:t> </w:t>
      </w:r>
      <w:r>
        <w:rPr/>
        <w:t>No.</w:t>
      </w:r>
      <w:r>
        <w:rPr>
          <w:spacing w:val="-2"/>
        </w:rPr>
        <w:t> </w:t>
      </w:r>
      <w:r>
        <w:rPr>
          <w:spacing w:val="-5"/>
        </w:rPr>
        <w:t>13</w:t>
      </w:r>
    </w:p>
    <w:p>
      <w:pPr>
        <w:spacing w:before="1"/>
        <w:ind w:left="2125" w:right="2540" w:firstLine="0"/>
        <w:jc w:val="center"/>
        <w:rPr>
          <w:rFonts w:ascii="Arial" w:hAnsi="Arial"/>
          <w:b/>
          <w:sz w:val="22"/>
        </w:rPr>
      </w:pPr>
      <w:r>
        <w:rPr>
          <w:rFonts w:ascii="Arial" w:hAnsi="Arial"/>
          <w:b/>
          <w:sz w:val="22"/>
        </w:rPr>
        <w:t>Riesgo</w:t>
      </w:r>
      <w:r>
        <w:rPr>
          <w:rFonts w:ascii="Arial" w:hAnsi="Arial"/>
          <w:b/>
          <w:spacing w:val="-7"/>
          <w:sz w:val="22"/>
        </w:rPr>
        <w:t> </w:t>
      </w:r>
      <w:r>
        <w:rPr>
          <w:rFonts w:ascii="Arial" w:hAnsi="Arial"/>
          <w:b/>
          <w:sz w:val="22"/>
        </w:rPr>
        <w:t>fitosanitario</w:t>
      </w:r>
      <w:r>
        <w:rPr>
          <w:rFonts w:ascii="Arial" w:hAnsi="Arial"/>
          <w:b/>
          <w:spacing w:val="-9"/>
          <w:sz w:val="22"/>
        </w:rPr>
        <w:t> </w:t>
      </w:r>
      <w:r>
        <w:rPr>
          <w:rFonts w:ascii="Arial" w:hAnsi="Arial"/>
          <w:b/>
          <w:sz w:val="22"/>
        </w:rPr>
        <w:t>en</w:t>
      </w:r>
      <w:r>
        <w:rPr>
          <w:rFonts w:ascii="Arial" w:hAnsi="Arial"/>
          <w:b/>
          <w:spacing w:val="-9"/>
          <w:sz w:val="22"/>
        </w:rPr>
        <w:t> </w:t>
      </w:r>
      <w:r>
        <w:rPr>
          <w:rFonts w:ascii="Arial" w:hAnsi="Arial"/>
          <w:b/>
          <w:sz w:val="22"/>
        </w:rPr>
        <w:t>productos</w:t>
      </w:r>
      <w:r>
        <w:rPr>
          <w:rFonts w:ascii="Arial" w:hAnsi="Arial"/>
          <w:b/>
          <w:spacing w:val="-7"/>
          <w:sz w:val="22"/>
        </w:rPr>
        <w:t> </w:t>
      </w:r>
      <w:r>
        <w:rPr>
          <w:rFonts w:ascii="Arial" w:hAnsi="Arial"/>
          <w:b/>
          <w:sz w:val="22"/>
        </w:rPr>
        <w:t>agrícolas</w:t>
      </w:r>
      <w:r>
        <w:rPr>
          <w:rFonts w:ascii="Arial" w:hAnsi="Arial"/>
          <w:b/>
          <w:spacing w:val="-7"/>
          <w:sz w:val="22"/>
        </w:rPr>
        <w:t> </w:t>
      </w:r>
      <w:r>
        <w:rPr>
          <w:rFonts w:ascii="Arial" w:hAnsi="Arial"/>
          <w:b/>
          <w:sz w:val="22"/>
        </w:rPr>
        <w:t>según artículo 2 del Decreto 0170</w:t>
      </w:r>
    </w:p>
    <w:tbl>
      <w:tblPr>
        <w:tblW w:w="0" w:type="auto"/>
        <w:jc w:val="left"/>
        <w:tblInd w:w="1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57"/>
        <w:gridCol w:w="1517"/>
        <w:gridCol w:w="3502"/>
      </w:tblGrid>
      <w:tr>
        <w:trPr>
          <w:trHeight w:val="367" w:hRule="atLeast"/>
        </w:trPr>
        <w:tc>
          <w:tcPr>
            <w:tcW w:w="2657" w:type="dxa"/>
            <w:shd w:val="clear" w:color="auto" w:fill="E8E8E8"/>
          </w:tcPr>
          <w:p>
            <w:pPr>
              <w:pStyle w:val="TableParagraph"/>
              <w:spacing w:line="182" w:lineRule="exact"/>
              <w:ind w:left="760" w:right="261" w:hanging="480"/>
              <w:rPr>
                <w:rFonts w:ascii="Arial"/>
                <w:b/>
                <w:sz w:val="16"/>
              </w:rPr>
            </w:pPr>
            <w:r>
              <w:rPr>
                <w:rFonts w:ascii="Arial"/>
                <w:b/>
                <w:sz w:val="16"/>
              </w:rPr>
              <w:t>PRODUCTO</w:t>
            </w:r>
            <w:r>
              <w:rPr>
                <w:rFonts w:ascii="Arial"/>
                <w:b/>
                <w:spacing w:val="-12"/>
                <w:sz w:val="16"/>
              </w:rPr>
              <w:t> </w:t>
            </w:r>
            <w:r>
              <w:rPr>
                <w:rFonts w:ascii="Arial"/>
                <w:b/>
                <w:sz w:val="16"/>
              </w:rPr>
              <w:t>REFERENCIAL DECRETO 0170</w:t>
            </w:r>
          </w:p>
        </w:tc>
        <w:tc>
          <w:tcPr>
            <w:tcW w:w="1517" w:type="dxa"/>
            <w:shd w:val="clear" w:color="auto" w:fill="E8E8E8"/>
          </w:tcPr>
          <w:p>
            <w:pPr>
              <w:pStyle w:val="TableParagraph"/>
              <w:spacing w:line="182" w:lineRule="exact"/>
              <w:ind w:left="180" w:firstLine="220"/>
              <w:rPr>
                <w:rFonts w:ascii="Arial" w:hAnsi="Arial"/>
                <w:b/>
                <w:sz w:val="16"/>
              </w:rPr>
            </w:pPr>
            <w:r>
              <w:rPr>
                <w:rFonts w:ascii="Arial" w:hAnsi="Arial"/>
                <w:b/>
                <w:spacing w:val="-2"/>
                <w:sz w:val="16"/>
              </w:rPr>
              <w:t>NÚMERO SUBPARTIDAS</w:t>
            </w:r>
          </w:p>
        </w:tc>
        <w:tc>
          <w:tcPr>
            <w:tcW w:w="3502" w:type="dxa"/>
            <w:shd w:val="clear" w:color="auto" w:fill="E8E8E8"/>
          </w:tcPr>
          <w:p>
            <w:pPr>
              <w:pStyle w:val="TableParagraph"/>
              <w:spacing w:before="1"/>
              <w:ind w:left="10" w:right="2"/>
              <w:jc w:val="center"/>
              <w:rPr>
                <w:rFonts w:ascii="Arial"/>
                <w:b/>
                <w:sz w:val="16"/>
              </w:rPr>
            </w:pPr>
            <w:r>
              <w:rPr>
                <w:rFonts w:ascii="Arial"/>
                <w:b/>
                <w:sz w:val="16"/>
              </w:rPr>
              <w:t>Riesgo</w:t>
            </w:r>
            <w:r>
              <w:rPr>
                <w:rFonts w:ascii="Arial"/>
                <w:b/>
                <w:spacing w:val="-5"/>
                <w:sz w:val="16"/>
              </w:rPr>
              <w:t> </w:t>
            </w:r>
            <w:r>
              <w:rPr>
                <w:rFonts w:ascii="Arial"/>
                <w:b/>
                <w:sz w:val="16"/>
              </w:rPr>
              <w:t>fitosanitario</w:t>
            </w:r>
            <w:r>
              <w:rPr>
                <w:rFonts w:ascii="Arial"/>
                <w:b/>
                <w:spacing w:val="-7"/>
                <w:sz w:val="16"/>
              </w:rPr>
              <w:t> </w:t>
            </w:r>
            <w:r>
              <w:rPr>
                <w:rFonts w:ascii="Arial"/>
                <w:b/>
                <w:sz w:val="16"/>
              </w:rPr>
              <w:t>/</w:t>
            </w:r>
            <w:r>
              <w:rPr>
                <w:rFonts w:ascii="Arial"/>
                <w:b/>
                <w:spacing w:val="-5"/>
                <w:sz w:val="16"/>
              </w:rPr>
              <w:t> </w:t>
            </w:r>
            <w:r>
              <w:rPr>
                <w:rFonts w:ascii="Arial"/>
                <w:b/>
                <w:spacing w:val="-2"/>
                <w:sz w:val="16"/>
              </w:rPr>
              <w:t>zoosanitario</w:t>
            </w:r>
          </w:p>
        </w:tc>
      </w:tr>
      <w:tr>
        <w:trPr>
          <w:trHeight w:val="184" w:hRule="atLeast"/>
        </w:trPr>
        <w:tc>
          <w:tcPr>
            <w:tcW w:w="2657" w:type="dxa"/>
          </w:tcPr>
          <w:p>
            <w:pPr>
              <w:pStyle w:val="TableParagraph"/>
              <w:spacing w:line="163" w:lineRule="exact" w:before="1"/>
              <w:ind w:left="107"/>
              <w:rPr>
                <w:sz w:val="16"/>
              </w:rPr>
            </w:pPr>
            <w:r>
              <w:rPr>
                <w:spacing w:val="-2"/>
                <w:sz w:val="16"/>
              </w:rPr>
              <w:t>Arroz</w:t>
            </w:r>
          </w:p>
        </w:tc>
        <w:tc>
          <w:tcPr>
            <w:tcW w:w="1517" w:type="dxa"/>
          </w:tcPr>
          <w:p>
            <w:pPr>
              <w:pStyle w:val="TableParagraph"/>
              <w:spacing w:line="163" w:lineRule="exact" w:before="1"/>
              <w:ind w:left="10" w:right="2"/>
              <w:jc w:val="center"/>
              <w:rPr>
                <w:sz w:val="16"/>
              </w:rPr>
            </w:pPr>
            <w:r>
              <w:rPr>
                <w:spacing w:val="-10"/>
                <w:sz w:val="16"/>
              </w:rPr>
              <w:t>6</w:t>
            </w:r>
          </w:p>
        </w:tc>
        <w:tc>
          <w:tcPr>
            <w:tcW w:w="3502" w:type="dxa"/>
          </w:tcPr>
          <w:p>
            <w:pPr>
              <w:pStyle w:val="TableParagraph"/>
              <w:spacing w:line="163" w:lineRule="exact" w:before="1"/>
              <w:ind w:left="10"/>
              <w:jc w:val="center"/>
              <w:rPr>
                <w:sz w:val="16"/>
              </w:rPr>
            </w:pPr>
            <w:r>
              <w:rPr>
                <w:spacing w:val="-2"/>
                <w:sz w:val="16"/>
              </w:rPr>
              <w:t>NINGUNO</w:t>
            </w:r>
          </w:p>
        </w:tc>
      </w:tr>
      <w:tr>
        <w:trPr>
          <w:trHeight w:val="366" w:hRule="atLeast"/>
        </w:trPr>
        <w:tc>
          <w:tcPr>
            <w:tcW w:w="2657" w:type="dxa"/>
          </w:tcPr>
          <w:p>
            <w:pPr>
              <w:pStyle w:val="TableParagraph"/>
              <w:spacing w:before="1"/>
              <w:ind w:left="107"/>
              <w:rPr>
                <w:sz w:val="16"/>
              </w:rPr>
            </w:pPr>
            <w:r>
              <w:rPr>
                <w:sz w:val="16"/>
              </w:rPr>
              <w:t>Plátanos</w:t>
            </w:r>
            <w:r>
              <w:rPr>
                <w:spacing w:val="-6"/>
                <w:sz w:val="16"/>
              </w:rPr>
              <w:t> </w:t>
            </w:r>
            <w:r>
              <w:rPr>
                <w:spacing w:val="-2"/>
                <w:sz w:val="16"/>
              </w:rPr>
              <w:t>frescos</w:t>
            </w:r>
          </w:p>
        </w:tc>
        <w:tc>
          <w:tcPr>
            <w:tcW w:w="1517" w:type="dxa"/>
          </w:tcPr>
          <w:p>
            <w:pPr>
              <w:pStyle w:val="TableParagraph"/>
              <w:spacing w:before="1"/>
              <w:ind w:left="10" w:right="2"/>
              <w:jc w:val="center"/>
              <w:rPr>
                <w:sz w:val="16"/>
              </w:rPr>
            </w:pPr>
            <w:r>
              <w:rPr>
                <w:spacing w:val="-10"/>
                <w:sz w:val="16"/>
              </w:rPr>
              <w:t>1</w:t>
            </w:r>
          </w:p>
        </w:tc>
        <w:tc>
          <w:tcPr>
            <w:tcW w:w="3502" w:type="dxa"/>
          </w:tcPr>
          <w:p>
            <w:pPr>
              <w:pStyle w:val="TableParagraph"/>
              <w:spacing w:line="182" w:lineRule="exact"/>
              <w:ind w:left="1243" w:hanging="843"/>
              <w:rPr>
                <w:sz w:val="16"/>
              </w:rPr>
            </w:pPr>
            <w:r>
              <w:rPr>
                <w:sz w:val="16"/>
              </w:rPr>
              <w:t>Fusarium</w:t>
            </w:r>
            <w:r>
              <w:rPr>
                <w:spacing w:val="-10"/>
                <w:sz w:val="16"/>
              </w:rPr>
              <w:t> </w:t>
            </w:r>
            <w:r>
              <w:rPr>
                <w:sz w:val="16"/>
              </w:rPr>
              <w:t>oxysporum</w:t>
            </w:r>
            <w:r>
              <w:rPr>
                <w:spacing w:val="-9"/>
                <w:sz w:val="16"/>
              </w:rPr>
              <w:t> </w:t>
            </w:r>
            <w:r>
              <w:rPr>
                <w:sz w:val="16"/>
              </w:rPr>
              <w:t>cubense</w:t>
            </w:r>
            <w:r>
              <w:rPr>
                <w:spacing w:val="-9"/>
                <w:sz w:val="16"/>
              </w:rPr>
              <w:t> </w:t>
            </w:r>
            <w:r>
              <w:rPr>
                <w:sz w:val="16"/>
              </w:rPr>
              <w:t>Raza</w:t>
            </w:r>
            <w:r>
              <w:rPr>
                <w:spacing w:val="-9"/>
                <w:sz w:val="16"/>
              </w:rPr>
              <w:t> </w:t>
            </w:r>
            <w:r>
              <w:rPr>
                <w:sz w:val="16"/>
              </w:rPr>
              <w:t>4 Tropical - R4T</w:t>
            </w:r>
          </w:p>
        </w:tc>
      </w:tr>
      <w:tr>
        <w:trPr>
          <w:trHeight w:val="369" w:hRule="atLeast"/>
        </w:trPr>
        <w:tc>
          <w:tcPr>
            <w:tcW w:w="2657" w:type="dxa"/>
          </w:tcPr>
          <w:p>
            <w:pPr>
              <w:pStyle w:val="TableParagraph"/>
              <w:spacing w:before="1"/>
              <w:ind w:left="107"/>
              <w:rPr>
                <w:sz w:val="16"/>
              </w:rPr>
            </w:pPr>
            <w:r>
              <w:rPr>
                <w:sz w:val="16"/>
              </w:rPr>
              <w:t>Plátanos</w:t>
            </w:r>
            <w:r>
              <w:rPr>
                <w:spacing w:val="-9"/>
                <w:sz w:val="16"/>
              </w:rPr>
              <w:t> </w:t>
            </w:r>
            <w:r>
              <w:rPr>
                <w:spacing w:val="-2"/>
                <w:sz w:val="16"/>
              </w:rPr>
              <w:t>secos</w:t>
            </w:r>
          </w:p>
        </w:tc>
        <w:tc>
          <w:tcPr>
            <w:tcW w:w="1517" w:type="dxa"/>
          </w:tcPr>
          <w:p>
            <w:pPr>
              <w:pStyle w:val="TableParagraph"/>
              <w:spacing w:before="1"/>
              <w:ind w:left="10" w:right="2"/>
              <w:jc w:val="center"/>
              <w:rPr>
                <w:sz w:val="16"/>
              </w:rPr>
            </w:pPr>
            <w:r>
              <w:rPr>
                <w:spacing w:val="-10"/>
                <w:sz w:val="16"/>
              </w:rPr>
              <w:t>1</w:t>
            </w:r>
          </w:p>
        </w:tc>
        <w:tc>
          <w:tcPr>
            <w:tcW w:w="3502" w:type="dxa"/>
          </w:tcPr>
          <w:p>
            <w:pPr>
              <w:pStyle w:val="TableParagraph"/>
              <w:spacing w:line="180" w:lineRule="atLeast"/>
              <w:ind w:left="1243" w:hanging="843"/>
              <w:rPr>
                <w:sz w:val="16"/>
              </w:rPr>
            </w:pPr>
            <w:r>
              <w:rPr>
                <w:sz w:val="16"/>
              </w:rPr>
              <w:t>Fusarium</w:t>
            </w:r>
            <w:r>
              <w:rPr>
                <w:spacing w:val="-10"/>
                <w:sz w:val="16"/>
              </w:rPr>
              <w:t> </w:t>
            </w:r>
            <w:r>
              <w:rPr>
                <w:sz w:val="16"/>
              </w:rPr>
              <w:t>oxysporum</w:t>
            </w:r>
            <w:r>
              <w:rPr>
                <w:spacing w:val="-9"/>
                <w:sz w:val="16"/>
              </w:rPr>
              <w:t> </w:t>
            </w:r>
            <w:r>
              <w:rPr>
                <w:sz w:val="16"/>
              </w:rPr>
              <w:t>cubense</w:t>
            </w:r>
            <w:r>
              <w:rPr>
                <w:spacing w:val="-9"/>
                <w:sz w:val="16"/>
              </w:rPr>
              <w:t> </w:t>
            </w:r>
            <w:r>
              <w:rPr>
                <w:sz w:val="16"/>
              </w:rPr>
              <w:t>Raza</w:t>
            </w:r>
            <w:r>
              <w:rPr>
                <w:spacing w:val="-9"/>
                <w:sz w:val="16"/>
              </w:rPr>
              <w:t> </w:t>
            </w:r>
            <w:r>
              <w:rPr>
                <w:sz w:val="16"/>
              </w:rPr>
              <w:t>4 Tropical - R4T</w:t>
            </w:r>
          </w:p>
        </w:tc>
      </w:tr>
      <w:tr>
        <w:trPr>
          <w:trHeight w:val="366" w:hRule="atLeast"/>
        </w:trPr>
        <w:tc>
          <w:tcPr>
            <w:tcW w:w="2657" w:type="dxa"/>
          </w:tcPr>
          <w:p>
            <w:pPr>
              <w:pStyle w:val="TableParagraph"/>
              <w:spacing w:before="1"/>
              <w:ind w:left="107"/>
              <w:rPr>
                <w:sz w:val="16"/>
              </w:rPr>
            </w:pPr>
            <w:r>
              <w:rPr>
                <w:sz w:val="16"/>
              </w:rPr>
              <w:t>Banano</w:t>
            </w:r>
            <w:r>
              <w:rPr>
                <w:spacing w:val="-6"/>
                <w:sz w:val="16"/>
              </w:rPr>
              <w:t> </w:t>
            </w:r>
            <w:r>
              <w:rPr>
                <w:sz w:val="16"/>
              </w:rPr>
              <w:t>bocadillo</w:t>
            </w:r>
            <w:r>
              <w:rPr>
                <w:spacing w:val="-6"/>
                <w:sz w:val="16"/>
              </w:rPr>
              <w:t> </w:t>
            </w:r>
            <w:r>
              <w:rPr>
                <w:spacing w:val="-2"/>
                <w:sz w:val="16"/>
              </w:rPr>
              <w:t>(orito)</w:t>
            </w:r>
          </w:p>
        </w:tc>
        <w:tc>
          <w:tcPr>
            <w:tcW w:w="1517" w:type="dxa"/>
          </w:tcPr>
          <w:p>
            <w:pPr>
              <w:pStyle w:val="TableParagraph"/>
              <w:spacing w:before="1"/>
              <w:ind w:left="10" w:right="2"/>
              <w:jc w:val="center"/>
              <w:rPr>
                <w:sz w:val="16"/>
              </w:rPr>
            </w:pPr>
            <w:r>
              <w:rPr>
                <w:spacing w:val="-10"/>
                <w:sz w:val="16"/>
              </w:rPr>
              <w:t>1</w:t>
            </w:r>
          </w:p>
        </w:tc>
        <w:tc>
          <w:tcPr>
            <w:tcW w:w="3502" w:type="dxa"/>
          </w:tcPr>
          <w:p>
            <w:pPr>
              <w:pStyle w:val="TableParagraph"/>
              <w:spacing w:line="182" w:lineRule="exact"/>
              <w:ind w:left="1243" w:hanging="843"/>
              <w:rPr>
                <w:sz w:val="16"/>
              </w:rPr>
            </w:pPr>
            <w:r>
              <w:rPr>
                <w:sz w:val="16"/>
              </w:rPr>
              <w:t>Fusarium</w:t>
            </w:r>
            <w:r>
              <w:rPr>
                <w:spacing w:val="-10"/>
                <w:sz w:val="16"/>
              </w:rPr>
              <w:t> </w:t>
            </w:r>
            <w:r>
              <w:rPr>
                <w:sz w:val="16"/>
              </w:rPr>
              <w:t>oxysporum</w:t>
            </w:r>
            <w:r>
              <w:rPr>
                <w:spacing w:val="-9"/>
                <w:sz w:val="16"/>
              </w:rPr>
              <w:t> </w:t>
            </w:r>
            <w:r>
              <w:rPr>
                <w:sz w:val="16"/>
              </w:rPr>
              <w:t>cubense</w:t>
            </w:r>
            <w:r>
              <w:rPr>
                <w:spacing w:val="-9"/>
                <w:sz w:val="16"/>
              </w:rPr>
              <w:t> </w:t>
            </w:r>
            <w:r>
              <w:rPr>
                <w:sz w:val="16"/>
              </w:rPr>
              <w:t>Raza</w:t>
            </w:r>
            <w:r>
              <w:rPr>
                <w:spacing w:val="-9"/>
                <w:sz w:val="16"/>
              </w:rPr>
              <w:t> </w:t>
            </w:r>
            <w:r>
              <w:rPr>
                <w:sz w:val="16"/>
              </w:rPr>
              <w:t>4 Tropical - R4T</w:t>
            </w:r>
          </w:p>
        </w:tc>
      </w:tr>
      <w:tr>
        <w:trPr>
          <w:trHeight w:val="244" w:hRule="atLeast"/>
        </w:trPr>
        <w:tc>
          <w:tcPr>
            <w:tcW w:w="2657" w:type="dxa"/>
          </w:tcPr>
          <w:p>
            <w:pPr>
              <w:pStyle w:val="TableParagraph"/>
              <w:spacing w:before="1"/>
              <w:ind w:left="107"/>
              <w:rPr>
                <w:sz w:val="16"/>
              </w:rPr>
            </w:pPr>
            <w:r>
              <w:rPr>
                <w:sz w:val="16"/>
              </w:rPr>
              <w:t>Aguacate</w:t>
            </w:r>
            <w:r>
              <w:rPr>
                <w:spacing w:val="-7"/>
                <w:sz w:val="16"/>
              </w:rPr>
              <w:t> </w:t>
            </w:r>
            <w:r>
              <w:rPr>
                <w:spacing w:val="-4"/>
                <w:sz w:val="16"/>
              </w:rPr>
              <w:t>Hass</w:t>
            </w:r>
          </w:p>
        </w:tc>
        <w:tc>
          <w:tcPr>
            <w:tcW w:w="1517" w:type="dxa"/>
          </w:tcPr>
          <w:p>
            <w:pPr>
              <w:pStyle w:val="TableParagraph"/>
              <w:spacing w:before="1"/>
              <w:ind w:left="10" w:right="2"/>
              <w:jc w:val="center"/>
              <w:rPr>
                <w:sz w:val="16"/>
              </w:rPr>
            </w:pPr>
            <w:r>
              <w:rPr>
                <w:spacing w:val="-10"/>
                <w:sz w:val="16"/>
              </w:rPr>
              <w:t>1</w:t>
            </w:r>
          </w:p>
        </w:tc>
        <w:tc>
          <w:tcPr>
            <w:tcW w:w="3502" w:type="dxa"/>
          </w:tcPr>
          <w:p>
            <w:pPr>
              <w:pStyle w:val="TableParagraph"/>
              <w:spacing w:before="1"/>
              <w:ind w:left="10"/>
              <w:jc w:val="center"/>
              <w:rPr>
                <w:sz w:val="16"/>
              </w:rPr>
            </w:pPr>
            <w:r>
              <w:rPr>
                <w:spacing w:val="-2"/>
                <w:sz w:val="16"/>
              </w:rPr>
              <w:t>NINGUNO</w:t>
            </w:r>
          </w:p>
        </w:tc>
      </w:tr>
      <w:tr>
        <w:trPr>
          <w:trHeight w:val="244" w:hRule="atLeast"/>
        </w:trPr>
        <w:tc>
          <w:tcPr>
            <w:tcW w:w="2657" w:type="dxa"/>
          </w:tcPr>
          <w:p>
            <w:pPr>
              <w:pStyle w:val="TableParagraph"/>
              <w:spacing w:before="1"/>
              <w:ind w:left="107"/>
              <w:rPr>
                <w:sz w:val="16"/>
              </w:rPr>
            </w:pPr>
            <w:r>
              <w:rPr>
                <w:sz w:val="16"/>
              </w:rPr>
              <w:t>Papa</w:t>
            </w:r>
            <w:r>
              <w:rPr>
                <w:spacing w:val="-3"/>
                <w:sz w:val="16"/>
              </w:rPr>
              <w:t> </w:t>
            </w:r>
            <w:r>
              <w:rPr>
                <w:sz w:val="16"/>
              </w:rPr>
              <w:t>y</w:t>
            </w:r>
            <w:r>
              <w:rPr>
                <w:spacing w:val="-4"/>
                <w:sz w:val="16"/>
              </w:rPr>
              <w:t> </w:t>
            </w:r>
            <w:r>
              <w:rPr>
                <w:sz w:val="16"/>
              </w:rPr>
              <w:t>otras</w:t>
            </w:r>
            <w:r>
              <w:rPr>
                <w:spacing w:val="-3"/>
                <w:sz w:val="16"/>
              </w:rPr>
              <w:t> </w:t>
            </w:r>
            <w:r>
              <w:rPr>
                <w:spacing w:val="-2"/>
                <w:sz w:val="16"/>
              </w:rPr>
              <w:t>solanáceas</w:t>
            </w:r>
          </w:p>
        </w:tc>
        <w:tc>
          <w:tcPr>
            <w:tcW w:w="1517" w:type="dxa"/>
          </w:tcPr>
          <w:p>
            <w:pPr>
              <w:pStyle w:val="TableParagraph"/>
              <w:spacing w:before="1"/>
              <w:ind w:left="10" w:right="2"/>
              <w:jc w:val="center"/>
              <w:rPr>
                <w:sz w:val="16"/>
              </w:rPr>
            </w:pPr>
            <w:r>
              <w:rPr>
                <w:spacing w:val="-10"/>
                <w:sz w:val="16"/>
              </w:rPr>
              <w:t>1</w:t>
            </w:r>
          </w:p>
        </w:tc>
        <w:tc>
          <w:tcPr>
            <w:tcW w:w="3502" w:type="dxa"/>
          </w:tcPr>
          <w:p>
            <w:pPr>
              <w:pStyle w:val="TableParagraph"/>
              <w:spacing w:before="1"/>
              <w:ind w:left="10"/>
              <w:jc w:val="center"/>
              <w:rPr>
                <w:sz w:val="16"/>
              </w:rPr>
            </w:pPr>
            <w:r>
              <w:rPr>
                <w:sz w:val="16"/>
              </w:rPr>
              <w:t>PUNTA</w:t>
            </w:r>
            <w:r>
              <w:rPr>
                <w:spacing w:val="-4"/>
                <w:sz w:val="16"/>
              </w:rPr>
              <w:t> </w:t>
            </w:r>
            <w:r>
              <w:rPr>
                <w:sz w:val="16"/>
              </w:rPr>
              <w:t>MORADA</w:t>
            </w:r>
            <w:r>
              <w:rPr>
                <w:spacing w:val="-4"/>
                <w:sz w:val="16"/>
              </w:rPr>
              <w:t> </w:t>
            </w:r>
            <w:r>
              <w:rPr>
                <w:sz w:val="16"/>
              </w:rPr>
              <w:t>Y</w:t>
            </w:r>
            <w:r>
              <w:rPr>
                <w:spacing w:val="-4"/>
                <w:sz w:val="16"/>
              </w:rPr>
              <w:t> </w:t>
            </w:r>
            <w:r>
              <w:rPr>
                <w:sz w:val="16"/>
              </w:rPr>
              <w:t>ZEBRA</w:t>
            </w:r>
            <w:r>
              <w:rPr>
                <w:spacing w:val="-4"/>
                <w:sz w:val="16"/>
              </w:rPr>
              <w:t> CHIP</w:t>
            </w:r>
          </w:p>
        </w:tc>
      </w:tr>
      <w:tr>
        <w:trPr>
          <w:trHeight w:val="244" w:hRule="atLeast"/>
        </w:trPr>
        <w:tc>
          <w:tcPr>
            <w:tcW w:w="2657" w:type="dxa"/>
          </w:tcPr>
          <w:p>
            <w:pPr>
              <w:pStyle w:val="TableParagraph"/>
              <w:spacing w:before="1"/>
              <w:ind w:left="107"/>
              <w:rPr>
                <w:sz w:val="16"/>
              </w:rPr>
            </w:pPr>
            <w:r>
              <w:rPr>
                <w:sz w:val="16"/>
              </w:rPr>
              <w:t>Cebolla</w:t>
            </w:r>
            <w:r>
              <w:rPr>
                <w:spacing w:val="-4"/>
                <w:sz w:val="16"/>
              </w:rPr>
              <w:t> </w:t>
            </w:r>
            <w:r>
              <w:rPr>
                <w:sz w:val="16"/>
              </w:rPr>
              <w:t>de</w:t>
            </w:r>
            <w:r>
              <w:rPr>
                <w:spacing w:val="-3"/>
                <w:sz w:val="16"/>
              </w:rPr>
              <w:t> </w:t>
            </w:r>
            <w:r>
              <w:rPr>
                <w:sz w:val="16"/>
              </w:rPr>
              <w:t>bulbo</w:t>
            </w:r>
            <w:r>
              <w:rPr>
                <w:spacing w:val="-3"/>
                <w:sz w:val="16"/>
              </w:rPr>
              <w:t> </w:t>
            </w:r>
            <w:r>
              <w:rPr>
                <w:spacing w:val="-4"/>
                <w:sz w:val="16"/>
              </w:rPr>
              <w:t>rojo</w:t>
            </w:r>
          </w:p>
        </w:tc>
        <w:tc>
          <w:tcPr>
            <w:tcW w:w="1517" w:type="dxa"/>
          </w:tcPr>
          <w:p>
            <w:pPr>
              <w:pStyle w:val="TableParagraph"/>
              <w:spacing w:before="1"/>
              <w:ind w:left="10" w:right="2"/>
              <w:jc w:val="center"/>
              <w:rPr>
                <w:sz w:val="16"/>
              </w:rPr>
            </w:pPr>
            <w:r>
              <w:rPr>
                <w:spacing w:val="-10"/>
                <w:sz w:val="16"/>
              </w:rPr>
              <w:t>1</w:t>
            </w:r>
          </w:p>
        </w:tc>
        <w:tc>
          <w:tcPr>
            <w:tcW w:w="3502" w:type="dxa"/>
          </w:tcPr>
          <w:p>
            <w:pPr>
              <w:pStyle w:val="TableParagraph"/>
              <w:spacing w:before="1"/>
              <w:ind w:left="10"/>
              <w:jc w:val="center"/>
              <w:rPr>
                <w:sz w:val="16"/>
              </w:rPr>
            </w:pPr>
            <w:r>
              <w:rPr>
                <w:spacing w:val="-2"/>
                <w:sz w:val="16"/>
              </w:rPr>
              <w:t>NINGUNO</w:t>
            </w:r>
          </w:p>
        </w:tc>
      </w:tr>
      <w:tr>
        <w:trPr>
          <w:trHeight w:val="244" w:hRule="atLeast"/>
        </w:trPr>
        <w:tc>
          <w:tcPr>
            <w:tcW w:w="2657" w:type="dxa"/>
          </w:tcPr>
          <w:p>
            <w:pPr>
              <w:pStyle w:val="TableParagraph"/>
              <w:spacing w:before="1"/>
              <w:ind w:left="107"/>
              <w:rPr>
                <w:sz w:val="16"/>
              </w:rPr>
            </w:pPr>
            <w:r>
              <w:rPr>
                <w:sz w:val="16"/>
              </w:rPr>
              <w:t>Cebolla</w:t>
            </w:r>
            <w:r>
              <w:rPr>
                <w:spacing w:val="-4"/>
                <w:sz w:val="16"/>
              </w:rPr>
              <w:t> </w:t>
            </w:r>
            <w:r>
              <w:rPr>
                <w:sz w:val="16"/>
              </w:rPr>
              <w:t>de</w:t>
            </w:r>
            <w:r>
              <w:rPr>
                <w:spacing w:val="-3"/>
                <w:sz w:val="16"/>
              </w:rPr>
              <w:t> </w:t>
            </w:r>
            <w:r>
              <w:rPr>
                <w:sz w:val="16"/>
              </w:rPr>
              <w:t>bulbo</w:t>
            </w:r>
            <w:r>
              <w:rPr>
                <w:spacing w:val="-3"/>
                <w:sz w:val="16"/>
              </w:rPr>
              <w:t> </w:t>
            </w:r>
            <w:r>
              <w:rPr>
                <w:spacing w:val="-2"/>
                <w:sz w:val="16"/>
              </w:rPr>
              <w:t>blanco</w:t>
            </w:r>
          </w:p>
        </w:tc>
        <w:tc>
          <w:tcPr>
            <w:tcW w:w="1517" w:type="dxa"/>
          </w:tcPr>
          <w:p>
            <w:pPr>
              <w:pStyle w:val="TableParagraph"/>
              <w:spacing w:before="1"/>
              <w:ind w:left="10" w:right="2"/>
              <w:jc w:val="center"/>
              <w:rPr>
                <w:sz w:val="16"/>
              </w:rPr>
            </w:pPr>
            <w:r>
              <w:rPr>
                <w:spacing w:val="-10"/>
                <w:sz w:val="16"/>
              </w:rPr>
              <w:t>1</w:t>
            </w:r>
          </w:p>
        </w:tc>
        <w:tc>
          <w:tcPr>
            <w:tcW w:w="3502" w:type="dxa"/>
          </w:tcPr>
          <w:p>
            <w:pPr>
              <w:pStyle w:val="TableParagraph"/>
              <w:spacing w:before="1"/>
              <w:ind w:left="10"/>
              <w:jc w:val="center"/>
              <w:rPr>
                <w:sz w:val="16"/>
              </w:rPr>
            </w:pPr>
            <w:r>
              <w:rPr>
                <w:spacing w:val="-2"/>
                <w:sz w:val="16"/>
              </w:rPr>
              <w:t>NINGUNO</w:t>
            </w:r>
          </w:p>
        </w:tc>
      </w:tr>
      <w:tr>
        <w:trPr>
          <w:trHeight w:val="244" w:hRule="atLeast"/>
        </w:trPr>
        <w:tc>
          <w:tcPr>
            <w:tcW w:w="2657" w:type="dxa"/>
          </w:tcPr>
          <w:p>
            <w:pPr>
              <w:pStyle w:val="TableParagraph"/>
              <w:spacing w:before="1"/>
              <w:ind w:left="107"/>
              <w:rPr>
                <w:sz w:val="16"/>
              </w:rPr>
            </w:pPr>
            <w:r>
              <w:rPr>
                <w:spacing w:val="-2"/>
                <w:sz w:val="16"/>
              </w:rPr>
              <w:t>Tomate</w:t>
            </w:r>
          </w:p>
        </w:tc>
        <w:tc>
          <w:tcPr>
            <w:tcW w:w="1517" w:type="dxa"/>
          </w:tcPr>
          <w:p>
            <w:pPr>
              <w:pStyle w:val="TableParagraph"/>
              <w:spacing w:before="1"/>
              <w:ind w:left="10" w:right="2"/>
              <w:jc w:val="center"/>
              <w:rPr>
                <w:sz w:val="16"/>
              </w:rPr>
            </w:pPr>
            <w:r>
              <w:rPr>
                <w:spacing w:val="-10"/>
                <w:sz w:val="16"/>
              </w:rPr>
              <w:t>1</w:t>
            </w:r>
          </w:p>
        </w:tc>
        <w:tc>
          <w:tcPr>
            <w:tcW w:w="3502" w:type="dxa"/>
          </w:tcPr>
          <w:p>
            <w:pPr>
              <w:pStyle w:val="TableParagraph"/>
              <w:spacing w:before="1"/>
              <w:ind w:left="10"/>
              <w:jc w:val="center"/>
              <w:rPr>
                <w:sz w:val="16"/>
              </w:rPr>
            </w:pPr>
            <w:r>
              <w:rPr>
                <w:spacing w:val="-2"/>
                <w:sz w:val="16"/>
              </w:rPr>
              <w:t>NINGUNO</w:t>
            </w:r>
          </w:p>
        </w:tc>
      </w:tr>
      <w:tr>
        <w:trPr>
          <w:trHeight w:val="241" w:hRule="atLeast"/>
        </w:trPr>
        <w:tc>
          <w:tcPr>
            <w:tcW w:w="2657" w:type="dxa"/>
          </w:tcPr>
          <w:p>
            <w:pPr>
              <w:pStyle w:val="TableParagraph"/>
              <w:spacing w:line="183" w:lineRule="exact"/>
              <w:ind w:left="107"/>
              <w:rPr>
                <w:sz w:val="16"/>
              </w:rPr>
            </w:pPr>
            <w:r>
              <w:rPr>
                <w:spacing w:val="-2"/>
                <w:sz w:val="16"/>
              </w:rPr>
              <w:t>Frijol</w:t>
            </w:r>
          </w:p>
        </w:tc>
        <w:tc>
          <w:tcPr>
            <w:tcW w:w="1517" w:type="dxa"/>
          </w:tcPr>
          <w:p>
            <w:pPr>
              <w:pStyle w:val="TableParagraph"/>
              <w:spacing w:line="183" w:lineRule="exact"/>
              <w:ind w:left="10" w:right="2"/>
              <w:jc w:val="center"/>
              <w:rPr>
                <w:sz w:val="16"/>
              </w:rPr>
            </w:pPr>
            <w:r>
              <w:rPr>
                <w:spacing w:val="-10"/>
                <w:sz w:val="16"/>
              </w:rPr>
              <w:t>9</w:t>
            </w:r>
          </w:p>
        </w:tc>
        <w:tc>
          <w:tcPr>
            <w:tcW w:w="3502" w:type="dxa"/>
          </w:tcPr>
          <w:p>
            <w:pPr>
              <w:pStyle w:val="TableParagraph"/>
              <w:spacing w:line="183" w:lineRule="exact"/>
              <w:ind w:left="10"/>
              <w:jc w:val="center"/>
              <w:rPr>
                <w:sz w:val="16"/>
              </w:rPr>
            </w:pPr>
            <w:r>
              <w:rPr>
                <w:spacing w:val="-2"/>
                <w:sz w:val="16"/>
              </w:rPr>
              <w:t>NINGUNO</w:t>
            </w:r>
          </w:p>
        </w:tc>
      </w:tr>
      <w:tr>
        <w:trPr>
          <w:trHeight w:val="244" w:hRule="atLeast"/>
        </w:trPr>
        <w:tc>
          <w:tcPr>
            <w:tcW w:w="2657" w:type="dxa"/>
          </w:tcPr>
          <w:p>
            <w:pPr>
              <w:pStyle w:val="TableParagraph"/>
              <w:spacing w:before="1"/>
              <w:ind w:left="107"/>
              <w:rPr>
                <w:sz w:val="16"/>
              </w:rPr>
            </w:pPr>
            <w:r>
              <w:rPr>
                <w:spacing w:val="-2"/>
                <w:sz w:val="16"/>
              </w:rPr>
              <w:t>Maracuyá</w:t>
            </w:r>
          </w:p>
        </w:tc>
        <w:tc>
          <w:tcPr>
            <w:tcW w:w="1517" w:type="dxa"/>
          </w:tcPr>
          <w:p>
            <w:pPr>
              <w:pStyle w:val="TableParagraph"/>
              <w:spacing w:before="1"/>
              <w:ind w:left="10" w:right="2"/>
              <w:jc w:val="center"/>
              <w:rPr>
                <w:sz w:val="16"/>
              </w:rPr>
            </w:pPr>
            <w:r>
              <w:rPr>
                <w:spacing w:val="-10"/>
                <w:sz w:val="16"/>
              </w:rPr>
              <w:t>1</w:t>
            </w:r>
          </w:p>
        </w:tc>
        <w:tc>
          <w:tcPr>
            <w:tcW w:w="3502" w:type="dxa"/>
          </w:tcPr>
          <w:p>
            <w:pPr>
              <w:pStyle w:val="TableParagraph"/>
              <w:spacing w:before="1"/>
              <w:ind w:left="10" w:right="2"/>
              <w:jc w:val="center"/>
              <w:rPr>
                <w:sz w:val="16"/>
              </w:rPr>
            </w:pPr>
            <w:r>
              <w:rPr>
                <w:sz w:val="16"/>
              </w:rPr>
              <w:t>RIESGOS</w:t>
            </w:r>
            <w:r>
              <w:rPr>
                <w:spacing w:val="-5"/>
                <w:sz w:val="16"/>
              </w:rPr>
              <w:t> </w:t>
            </w:r>
            <w:r>
              <w:rPr>
                <w:sz w:val="16"/>
              </w:rPr>
              <w:t>LIMITE</w:t>
            </w:r>
            <w:r>
              <w:rPr>
                <w:spacing w:val="-5"/>
                <w:sz w:val="16"/>
              </w:rPr>
              <w:t> </w:t>
            </w:r>
            <w:r>
              <w:rPr>
                <w:sz w:val="16"/>
              </w:rPr>
              <w:t>MAXIMOS</w:t>
            </w:r>
            <w:r>
              <w:rPr>
                <w:spacing w:val="-4"/>
                <w:sz w:val="16"/>
              </w:rPr>
              <w:t> </w:t>
            </w:r>
            <w:r>
              <w:rPr>
                <w:sz w:val="16"/>
              </w:rPr>
              <w:t>DE</w:t>
            </w:r>
            <w:r>
              <w:rPr>
                <w:spacing w:val="-6"/>
                <w:sz w:val="16"/>
              </w:rPr>
              <w:t> </w:t>
            </w:r>
            <w:r>
              <w:rPr>
                <w:spacing w:val="-2"/>
                <w:sz w:val="16"/>
              </w:rPr>
              <w:t>RESIDUOS</w:t>
            </w:r>
          </w:p>
        </w:tc>
      </w:tr>
      <w:tr>
        <w:trPr>
          <w:trHeight w:val="369" w:hRule="atLeast"/>
        </w:trPr>
        <w:tc>
          <w:tcPr>
            <w:tcW w:w="2657" w:type="dxa"/>
          </w:tcPr>
          <w:p>
            <w:pPr>
              <w:pStyle w:val="TableParagraph"/>
              <w:spacing w:line="186" w:lineRule="exact"/>
              <w:ind w:left="107"/>
              <w:rPr>
                <w:sz w:val="16"/>
              </w:rPr>
            </w:pPr>
            <w:r>
              <w:rPr>
                <w:sz w:val="16"/>
              </w:rPr>
              <w:t>Peces</w:t>
            </w:r>
            <w:r>
              <w:rPr>
                <w:spacing w:val="35"/>
                <w:sz w:val="16"/>
              </w:rPr>
              <w:t> </w:t>
            </w:r>
            <w:r>
              <w:rPr>
                <w:sz w:val="16"/>
              </w:rPr>
              <w:t>vivos</w:t>
            </w:r>
            <w:r>
              <w:rPr>
                <w:spacing w:val="35"/>
                <w:sz w:val="16"/>
              </w:rPr>
              <w:t> </w:t>
            </w:r>
            <w:r>
              <w:rPr>
                <w:sz w:val="16"/>
              </w:rPr>
              <w:t>y</w:t>
            </w:r>
            <w:r>
              <w:rPr>
                <w:spacing w:val="35"/>
                <w:sz w:val="16"/>
              </w:rPr>
              <w:t> </w:t>
            </w:r>
            <w:r>
              <w:rPr>
                <w:sz w:val="16"/>
              </w:rPr>
              <w:t>material</w:t>
            </w:r>
            <w:r>
              <w:rPr>
                <w:spacing w:val="34"/>
                <w:sz w:val="16"/>
              </w:rPr>
              <w:t> </w:t>
            </w:r>
            <w:r>
              <w:rPr>
                <w:sz w:val="16"/>
              </w:rPr>
              <w:t>biológico </w:t>
            </w:r>
            <w:r>
              <w:rPr>
                <w:spacing w:val="-2"/>
                <w:sz w:val="16"/>
              </w:rPr>
              <w:t>acuícola</w:t>
            </w:r>
          </w:p>
        </w:tc>
        <w:tc>
          <w:tcPr>
            <w:tcW w:w="1517" w:type="dxa"/>
          </w:tcPr>
          <w:p>
            <w:pPr>
              <w:pStyle w:val="TableParagraph"/>
              <w:spacing w:before="1"/>
              <w:ind w:left="10" w:right="2"/>
              <w:jc w:val="center"/>
              <w:rPr>
                <w:sz w:val="16"/>
              </w:rPr>
            </w:pPr>
            <w:r>
              <w:rPr>
                <w:spacing w:val="-10"/>
                <w:sz w:val="16"/>
              </w:rPr>
              <w:t>3</w:t>
            </w:r>
          </w:p>
        </w:tc>
        <w:tc>
          <w:tcPr>
            <w:tcW w:w="3502" w:type="dxa"/>
          </w:tcPr>
          <w:p>
            <w:pPr>
              <w:pStyle w:val="TableParagraph"/>
              <w:spacing w:before="1"/>
              <w:ind w:left="10"/>
              <w:jc w:val="center"/>
              <w:rPr>
                <w:sz w:val="16"/>
              </w:rPr>
            </w:pPr>
            <w:r>
              <w:rPr>
                <w:spacing w:val="-2"/>
                <w:sz w:val="16"/>
              </w:rPr>
              <w:t>NINGUNO</w:t>
            </w:r>
          </w:p>
        </w:tc>
      </w:tr>
      <w:tr>
        <w:trPr>
          <w:trHeight w:val="242" w:hRule="atLeast"/>
        </w:trPr>
        <w:tc>
          <w:tcPr>
            <w:tcW w:w="2657" w:type="dxa"/>
          </w:tcPr>
          <w:p>
            <w:pPr>
              <w:pStyle w:val="TableParagraph"/>
              <w:spacing w:line="183" w:lineRule="exact"/>
              <w:ind w:left="107"/>
              <w:rPr>
                <w:sz w:val="16"/>
              </w:rPr>
            </w:pPr>
            <w:r>
              <w:rPr>
                <w:spacing w:val="-2"/>
                <w:sz w:val="16"/>
              </w:rPr>
              <w:t>Trucha</w:t>
            </w:r>
          </w:p>
        </w:tc>
        <w:tc>
          <w:tcPr>
            <w:tcW w:w="1517" w:type="dxa"/>
          </w:tcPr>
          <w:p>
            <w:pPr>
              <w:pStyle w:val="TableParagraph"/>
              <w:spacing w:line="183" w:lineRule="exact"/>
              <w:ind w:left="10" w:right="2"/>
              <w:jc w:val="center"/>
              <w:rPr>
                <w:sz w:val="16"/>
              </w:rPr>
            </w:pPr>
            <w:r>
              <w:rPr>
                <w:spacing w:val="-10"/>
                <w:sz w:val="16"/>
              </w:rPr>
              <w:t>1</w:t>
            </w:r>
          </w:p>
        </w:tc>
        <w:tc>
          <w:tcPr>
            <w:tcW w:w="3502" w:type="dxa"/>
          </w:tcPr>
          <w:p>
            <w:pPr>
              <w:pStyle w:val="TableParagraph"/>
              <w:spacing w:line="183" w:lineRule="exact"/>
              <w:ind w:left="10"/>
              <w:jc w:val="center"/>
              <w:rPr>
                <w:sz w:val="16"/>
              </w:rPr>
            </w:pPr>
            <w:r>
              <w:rPr>
                <w:spacing w:val="-2"/>
                <w:sz w:val="16"/>
              </w:rPr>
              <w:t>NINGUNO</w:t>
            </w:r>
          </w:p>
        </w:tc>
      </w:tr>
      <w:tr>
        <w:trPr>
          <w:trHeight w:val="366" w:hRule="atLeast"/>
        </w:trPr>
        <w:tc>
          <w:tcPr>
            <w:tcW w:w="2657" w:type="dxa"/>
          </w:tcPr>
          <w:p>
            <w:pPr>
              <w:pStyle w:val="TableParagraph"/>
              <w:spacing w:line="183" w:lineRule="exact"/>
              <w:ind w:left="107"/>
              <w:rPr>
                <w:sz w:val="16"/>
              </w:rPr>
            </w:pPr>
            <w:r>
              <w:rPr>
                <w:sz w:val="16"/>
              </w:rPr>
              <w:t>Camarón</w:t>
            </w:r>
            <w:r>
              <w:rPr>
                <w:spacing w:val="-3"/>
                <w:sz w:val="16"/>
              </w:rPr>
              <w:t> </w:t>
            </w:r>
            <w:r>
              <w:rPr>
                <w:sz w:val="16"/>
              </w:rPr>
              <w:t>y</w:t>
            </w:r>
            <w:r>
              <w:rPr>
                <w:spacing w:val="-2"/>
                <w:sz w:val="16"/>
              </w:rPr>
              <w:t> langostino</w:t>
            </w:r>
          </w:p>
        </w:tc>
        <w:tc>
          <w:tcPr>
            <w:tcW w:w="1517" w:type="dxa"/>
          </w:tcPr>
          <w:p>
            <w:pPr>
              <w:pStyle w:val="TableParagraph"/>
              <w:spacing w:line="183" w:lineRule="exact"/>
              <w:ind w:left="10" w:right="2"/>
              <w:jc w:val="center"/>
              <w:rPr>
                <w:sz w:val="16"/>
              </w:rPr>
            </w:pPr>
            <w:r>
              <w:rPr>
                <w:spacing w:val="-10"/>
                <w:sz w:val="16"/>
              </w:rPr>
              <w:t>2</w:t>
            </w:r>
          </w:p>
        </w:tc>
        <w:tc>
          <w:tcPr>
            <w:tcW w:w="3502" w:type="dxa"/>
          </w:tcPr>
          <w:p>
            <w:pPr>
              <w:pStyle w:val="TableParagraph"/>
              <w:spacing w:line="184" w:lineRule="exact"/>
              <w:ind w:left="1354" w:right="386" w:hanging="956"/>
              <w:rPr>
                <w:sz w:val="16"/>
              </w:rPr>
            </w:pPr>
            <w:r>
              <w:rPr>
                <w:sz w:val="16"/>
              </w:rPr>
              <w:t>MANCHABLANCA</w:t>
            </w:r>
            <w:r>
              <w:rPr>
                <w:spacing w:val="-12"/>
                <w:sz w:val="16"/>
              </w:rPr>
              <w:t> </w:t>
            </w:r>
            <w:r>
              <w:rPr>
                <w:sz w:val="16"/>
              </w:rPr>
              <w:t>Y</w:t>
            </w:r>
            <w:r>
              <w:rPr>
                <w:spacing w:val="-11"/>
                <w:sz w:val="16"/>
              </w:rPr>
              <w:t> </w:t>
            </w:r>
            <w:r>
              <w:rPr>
                <w:sz w:val="16"/>
              </w:rPr>
              <w:t>VIRUS</w:t>
            </w:r>
            <w:r>
              <w:rPr>
                <w:spacing w:val="-11"/>
                <w:sz w:val="16"/>
              </w:rPr>
              <w:t> </w:t>
            </w:r>
            <w:r>
              <w:rPr>
                <w:sz w:val="16"/>
              </w:rPr>
              <w:t>CABEZA </w:t>
            </w:r>
            <w:r>
              <w:rPr>
                <w:spacing w:val="-2"/>
                <w:sz w:val="16"/>
              </w:rPr>
              <w:t>AMARILLA</w:t>
            </w:r>
          </w:p>
        </w:tc>
      </w:tr>
      <w:tr>
        <w:trPr>
          <w:trHeight w:val="243" w:hRule="atLeast"/>
        </w:trPr>
        <w:tc>
          <w:tcPr>
            <w:tcW w:w="2657" w:type="dxa"/>
          </w:tcPr>
          <w:p>
            <w:pPr>
              <w:pStyle w:val="TableParagraph"/>
              <w:spacing w:line="184" w:lineRule="exact"/>
              <w:ind w:left="107"/>
              <w:rPr>
                <w:sz w:val="16"/>
              </w:rPr>
            </w:pPr>
            <w:r>
              <w:rPr>
                <w:spacing w:val="-2"/>
                <w:sz w:val="16"/>
              </w:rPr>
              <w:t>Fentanilo</w:t>
            </w:r>
          </w:p>
        </w:tc>
        <w:tc>
          <w:tcPr>
            <w:tcW w:w="1517" w:type="dxa"/>
          </w:tcPr>
          <w:p>
            <w:pPr>
              <w:pStyle w:val="TableParagraph"/>
              <w:spacing w:line="184" w:lineRule="exact"/>
              <w:ind w:left="10" w:right="2"/>
              <w:jc w:val="center"/>
              <w:rPr>
                <w:sz w:val="16"/>
              </w:rPr>
            </w:pPr>
            <w:r>
              <w:rPr>
                <w:spacing w:val="-10"/>
                <w:sz w:val="16"/>
              </w:rPr>
              <w:t>3</w:t>
            </w:r>
          </w:p>
        </w:tc>
        <w:tc>
          <w:tcPr>
            <w:tcW w:w="3502" w:type="dxa"/>
          </w:tcPr>
          <w:p>
            <w:pPr>
              <w:pStyle w:val="TableParagraph"/>
              <w:spacing w:line="184" w:lineRule="exact"/>
              <w:ind w:left="10" w:right="2"/>
              <w:jc w:val="center"/>
              <w:rPr>
                <w:sz w:val="16"/>
              </w:rPr>
            </w:pPr>
            <w:r>
              <w:rPr>
                <w:sz w:val="16"/>
              </w:rPr>
              <w:t>SALUD</w:t>
            </w:r>
            <w:r>
              <w:rPr>
                <w:spacing w:val="-7"/>
                <w:sz w:val="16"/>
              </w:rPr>
              <w:t> </w:t>
            </w:r>
            <w:r>
              <w:rPr>
                <w:spacing w:val="-2"/>
                <w:sz w:val="16"/>
              </w:rPr>
              <w:t>PÚBLICA</w:t>
            </w:r>
          </w:p>
        </w:tc>
      </w:tr>
      <w:tr>
        <w:trPr>
          <w:trHeight w:val="244" w:hRule="atLeast"/>
        </w:trPr>
        <w:tc>
          <w:tcPr>
            <w:tcW w:w="2657" w:type="dxa"/>
          </w:tcPr>
          <w:p>
            <w:pPr>
              <w:pStyle w:val="TableParagraph"/>
              <w:spacing w:before="1"/>
              <w:ind w:left="107"/>
              <w:rPr>
                <w:rFonts w:ascii="Arial"/>
                <w:b/>
                <w:sz w:val="16"/>
              </w:rPr>
            </w:pPr>
            <w:r>
              <w:rPr>
                <w:rFonts w:ascii="Arial"/>
                <w:b/>
                <w:sz w:val="16"/>
              </w:rPr>
              <w:t>Total</w:t>
            </w:r>
            <w:r>
              <w:rPr>
                <w:rFonts w:ascii="Arial"/>
                <w:b/>
                <w:spacing w:val="-6"/>
                <w:sz w:val="16"/>
              </w:rPr>
              <w:t> </w:t>
            </w:r>
            <w:r>
              <w:rPr>
                <w:rFonts w:ascii="Arial"/>
                <w:b/>
                <w:spacing w:val="-2"/>
                <w:sz w:val="16"/>
              </w:rPr>
              <w:t>subpartidas</w:t>
            </w:r>
          </w:p>
        </w:tc>
        <w:tc>
          <w:tcPr>
            <w:tcW w:w="1517" w:type="dxa"/>
          </w:tcPr>
          <w:p>
            <w:pPr>
              <w:pStyle w:val="TableParagraph"/>
              <w:spacing w:before="1"/>
              <w:ind w:left="10"/>
              <w:jc w:val="center"/>
              <w:rPr>
                <w:rFonts w:ascii="Arial"/>
                <w:b/>
                <w:sz w:val="16"/>
              </w:rPr>
            </w:pPr>
            <w:r>
              <w:rPr>
                <w:rFonts w:ascii="Arial"/>
                <w:b/>
                <w:spacing w:val="-5"/>
                <w:sz w:val="16"/>
              </w:rPr>
              <w:t>33</w:t>
            </w:r>
          </w:p>
        </w:tc>
        <w:tc>
          <w:tcPr>
            <w:tcW w:w="3502" w:type="dxa"/>
          </w:tcPr>
          <w:p>
            <w:pPr>
              <w:pStyle w:val="TableParagraph"/>
              <w:rPr>
                <w:rFonts w:ascii="Times New Roman"/>
                <w:sz w:val="16"/>
              </w:rPr>
            </w:pPr>
          </w:p>
        </w:tc>
      </w:tr>
    </w:tbl>
    <w:p>
      <w:pPr>
        <w:spacing w:before="9"/>
        <w:ind w:left="1420" w:right="6616" w:firstLine="0"/>
        <w:jc w:val="left"/>
        <w:rPr>
          <w:rFonts w:ascii="Arial" w:hAnsi="Arial"/>
          <w:b/>
          <w:sz w:val="16"/>
        </w:rPr>
      </w:pPr>
      <w:r>
        <w:rPr>
          <w:rFonts w:ascii="Arial" w:hAnsi="Arial"/>
          <w:b/>
          <w:sz w:val="16"/>
        </w:rPr>
        <w:t>Fuente:</w:t>
      </w:r>
      <w:r>
        <w:rPr>
          <w:rFonts w:ascii="Arial" w:hAnsi="Arial"/>
          <w:b/>
          <w:spacing w:val="-12"/>
          <w:sz w:val="16"/>
        </w:rPr>
        <w:t> </w:t>
      </w:r>
      <w:r>
        <w:rPr>
          <w:rFonts w:ascii="Arial" w:hAnsi="Arial"/>
          <w:b/>
          <w:sz w:val="16"/>
        </w:rPr>
        <w:t>Decreto</w:t>
      </w:r>
      <w:r>
        <w:rPr>
          <w:rFonts w:ascii="Arial" w:hAnsi="Arial"/>
          <w:b/>
          <w:spacing w:val="-11"/>
          <w:sz w:val="16"/>
        </w:rPr>
        <w:t> </w:t>
      </w:r>
      <w:r>
        <w:rPr>
          <w:rFonts w:ascii="Arial" w:hAnsi="Arial"/>
          <w:b/>
          <w:sz w:val="16"/>
        </w:rPr>
        <w:t>0170. Elaboración:</w:t>
      </w:r>
      <w:r>
        <w:rPr>
          <w:rFonts w:ascii="Arial" w:hAnsi="Arial"/>
          <w:b/>
          <w:spacing w:val="-9"/>
          <w:sz w:val="16"/>
        </w:rPr>
        <w:t> </w:t>
      </w:r>
      <w:r>
        <w:rPr>
          <w:rFonts w:ascii="Arial" w:hAnsi="Arial"/>
          <w:b/>
          <w:spacing w:val="-2"/>
          <w:sz w:val="16"/>
        </w:rPr>
        <w:t>SGCAN.</w:t>
      </w:r>
    </w:p>
    <w:p>
      <w:pPr>
        <w:pStyle w:val="BodyText"/>
        <w:spacing w:before="68"/>
        <w:rPr>
          <w:rFonts w:ascii="Arial"/>
          <w:b/>
          <w:sz w:val="16"/>
        </w:rPr>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No obstante lo anterior, resulta pertinente destacar que un elemento común en los argumentos relativos a estos productos es la referencia a la existencia de comercio irregular y contrabando. Conforme se desprende de la Tabla precedente, en los casos en los que no se identifica de manera expresa un riesgo fitosanitario o de</w:t>
      </w:r>
      <w:r>
        <w:rPr>
          <w:spacing w:val="-2"/>
          <w:sz w:val="22"/>
        </w:rPr>
        <w:t> </w:t>
      </w:r>
      <w:r>
        <w:rPr>
          <w:sz w:val="22"/>
        </w:rPr>
        <w:t>inocuidad, la justificación invocada se limita a la alegación de un supuesto ingreso irregular de mercancías y prácticas de contrabando.</w:t>
      </w:r>
    </w:p>
    <w:p>
      <w:pPr>
        <w:pStyle w:val="BodyText"/>
      </w:pPr>
    </w:p>
    <w:p>
      <w:pPr>
        <w:pStyle w:val="Heading6"/>
        <w:numPr>
          <w:ilvl w:val="0"/>
          <w:numId w:val="100"/>
        </w:numPr>
        <w:tabs>
          <w:tab w:pos="1561" w:val="left" w:leader="none"/>
        </w:tabs>
        <w:spacing w:line="240" w:lineRule="auto" w:before="0" w:after="0"/>
        <w:ind w:left="1561" w:right="0" w:hanging="359"/>
        <w:jc w:val="left"/>
      </w:pPr>
      <w:r>
        <w:rPr/>
        <w:t>Argumentos</w:t>
      </w:r>
      <w:r>
        <w:rPr>
          <w:spacing w:val="-6"/>
        </w:rPr>
        <w:t> </w:t>
      </w:r>
      <w:r>
        <w:rPr/>
        <w:t>de</w:t>
      </w:r>
      <w:r>
        <w:rPr>
          <w:spacing w:val="-6"/>
        </w:rPr>
        <w:t> </w:t>
      </w:r>
      <w:r>
        <w:rPr/>
        <w:t>la</w:t>
      </w:r>
      <w:r>
        <w:rPr>
          <w:spacing w:val="-3"/>
        </w:rPr>
        <w:t> </w:t>
      </w:r>
      <w:r>
        <w:rPr/>
        <w:t>República</w:t>
      </w:r>
      <w:r>
        <w:rPr>
          <w:spacing w:val="-6"/>
        </w:rPr>
        <w:t> </w:t>
      </w:r>
      <w:r>
        <w:rPr/>
        <w:t>del</w:t>
      </w:r>
      <w:r>
        <w:rPr>
          <w:spacing w:val="-4"/>
        </w:rPr>
        <w:t> </w:t>
      </w:r>
      <w:r>
        <w:rPr>
          <w:spacing w:val="-2"/>
        </w:rPr>
        <w:t>Ecuador</w:t>
      </w:r>
    </w:p>
    <w:p>
      <w:pPr>
        <w:pStyle w:val="ListParagraph"/>
        <w:numPr>
          <w:ilvl w:val="0"/>
          <w:numId w:val="50"/>
        </w:numPr>
        <w:tabs>
          <w:tab w:pos="1130" w:val="left" w:leader="none"/>
          <w:tab w:pos="1134" w:val="left" w:leader="none"/>
        </w:tabs>
        <w:spacing w:line="240" w:lineRule="auto" w:before="252" w:after="0"/>
        <w:ind w:left="1134" w:right="979" w:hanging="567"/>
        <w:jc w:val="both"/>
        <w:rPr>
          <w:rFonts w:ascii="Arial" w:hAnsi="Arial"/>
          <w:i/>
          <w:sz w:val="22"/>
        </w:rPr>
      </w:pPr>
      <w:r>
        <w:rPr>
          <w:sz w:val="22"/>
        </w:rPr>
        <w:t>La República del Ecuador sostiene que las medidas adoptadas en el artículo 2 del Decreto</w:t>
      </w:r>
      <w:r>
        <w:rPr>
          <w:spacing w:val="-7"/>
          <w:sz w:val="22"/>
        </w:rPr>
        <w:t> </w:t>
      </w:r>
      <w:r>
        <w:rPr>
          <w:sz w:val="22"/>
        </w:rPr>
        <w:t>0170</w:t>
      </w:r>
      <w:r>
        <w:rPr>
          <w:spacing w:val="-9"/>
          <w:sz w:val="22"/>
        </w:rPr>
        <w:t> </w:t>
      </w:r>
      <w:r>
        <w:rPr>
          <w:sz w:val="22"/>
        </w:rPr>
        <w:t>al</w:t>
      </w:r>
      <w:r>
        <w:rPr>
          <w:spacing w:val="-8"/>
          <w:sz w:val="22"/>
        </w:rPr>
        <w:t> </w:t>
      </w:r>
      <w:r>
        <w:rPr>
          <w:sz w:val="22"/>
        </w:rPr>
        <w:t>disponer</w:t>
      </w:r>
      <w:r>
        <w:rPr>
          <w:spacing w:val="40"/>
          <w:sz w:val="22"/>
        </w:rPr>
        <w:t> </w:t>
      </w:r>
      <w:r>
        <w:rPr>
          <w:sz w:val="22"/>
        </w:rPr>
        <w:t>que</w:t>
      </w:r>
      <w:r>
        <w:rPr>
          <w:spacing w:val="-7"/>
          <w:sz w:val="22"/>
        </w:rPr>
        <w:t> </w:t>
      </w:r>
      <w:r>
        <w:rPr>
          <w:sz w:val="22"/>
        </w:rPr>
        <w:t>determinados</w:t>
      </w:r>
      <w:r>
        <w:rPr>
          <w:spacing w:val="-7"/>
          <w:sz w:val="22"/>
        </w:rPr>
        <w:t> </w:t>
      </w:r>
      <w:r>
        <w:rPr>
          <w:sz w:val="22"/>
        </w:rPr>
        <w:t>productos</w:t>
      </w:r>
      <w:r>
        <w:rPr>
          <w:spacing w:val="-8"/>
          <w:sz w:val="22"/>
        </w:rPr>
        <w:t> </w:t>
      </w:r>
      <w:r>
        <w:rPr>
          <w:rFonts w:ascii="Arial" w:hAnsi="Arial"/>
          <w:i/>
          <w:sz w:val="22"/>
        </w:rPr>
        <w:t>"no</w:t>
      </w:r>
      <w:r>
        <w:rPr>
          <w:rFonts w:ascii="Arial" w:hAnsi="Arial"/>
          <w:i/>
          <w:spacing w:val="-8"/>
          <w:sz w:val="22"/>
        </w:rPr>
        <w:t> </w:t>
      </w:r>
      <w:r>
        <w:rPr>
          <w:rFonts w:ascii="Arial" w:hAnsi="Arial"/>
          <w:i/>
          <w:sz w:val="22"/>
        </w:rPr>
        <w:t>podrán</w:t>
      </w:r>
      <w:r>
        <w:rPr>
          <w:rFonts w:ascii="Arial" w:hAnsi="Arial"/>
          <w:i/>
          <w:spacing w:val="-9"/>
          <w:sz w:val="22"/>
        </w:rPr>
        <w:t> </w:t>
      </w:r>
      <w:r>
        <w:rPr>
          <w:rFonts w:ascii="Arial" w:hAnsi="Arial"/>
          <w:i/>
          <w:sz w:val="22"/>
        </w:rPr>
        <w:t>ingresar</w:t>
      </w:r>
      <w:r>
        <w:rPr>
          <w:rFonts w:ascii="Arial" w:hAnsi="Arial"/>
          <w:i/>
          <w:spacing w:val="-6"/>
          <w:sz w:val="22"/>
        </w:rPr>
        <w:t> </w:t>
      </w:r>
      <w:r>
        <w:rPr>
          <w:rFonts w:ascii="Arial" w:hAnsi="Arial"/>
          <w:i/>
          <w:sz w:val="22"/>
        </w:rPr>
        <w:t>bajo</w:t>
      </w:r>
      <w:r>
        <w:rPr>
          <w:rFonts w:ascii="Arial" w:hAnsi="Arial"/>
          <w:i/>
          <w:spacing w:val="-7"/>
          <w:sz w:val="22"/>
        </w:rPr>
        <w:t> </w:t>
      </w:r>
      <w:r>
        <w:rPr>
          <w:rFonts w:ascii="Arial" w:hAnsi="Arial"/>
          <w:i/>
          <w:sz w:val="22"/>
        </w:rPr>
        <w:t>ningún régimen aduanero" no admite matices: configura una prohibición absoluta de ingreso para las</w:t>
      </w:r>
      <w:r>
        <w:rPr>
          <w:rFonts w:ascii="Arial" w:hAnsi="Arial"/>
          <w:i/>
          <w:spacing w:val="-1"/>
          <w:sz w:val="22"/>
        </w:rPr>
        <w:t> </w:t>
      </w:r>
      <w:r>
        <w:rPr>
          <w:rFonts w:ascii="Arial" w:hAnsi="Arial"/>
          <w:i/>
          <w:sz w:val="22"/>
        </w:rPr>
        <w:t>mercancías</w:t>
      </w:r>
      <w:r>
        <w:rPr>
          <w:rFonts w:ascii="Arial" w:hAnsi="Arial"/>
          <w:i/>
          <w:spacing w:val="-1"/>
          <w:sz w:val="22"/>
        </w:rPr>
        <w:t> </w:t>
      </w:r>
      <w:r>
        <w:rPr>
          <w:rFonts w:ascii="Arial" w:hAnsi="Arial"/>
          <w:i/>
          <w:sz w:val="22"/>
        </w:rPr>
        <w:t>comprendidas en</w:t>
      </w:r>
      <w:r>
        <w:rPr>
          <w:rFonts w:ascii="Arial" w:hAnsi="Arial"/>
          <w:i/>
          <w:spacing w:val="-1"/>
          <w:sz w:val="22"/>
        </w:rPr>
        <w:t> </w:t>
      </w:r>
      <w:r>
        <w:rPr>
          <w:rFonts w:ascii="Arial" w:hAnsi="Arial"/>
          <w:i/>
          <w:sz w:val="22"/>
        </w:rPr>
        <w:t>las subpartidas listadas, que</w:t>
      </w:r>
      <w:r>
        <w:rPr>
          <w:rFonts w:ascii="Arial" w:hAnsi="Arial"/>
          <w:i/>
          <w:spacing w:val="-1"/>
          <w:sz w:val="22"/>
        </w:rPr>
        <w:t> </w:t>
      </w:r>
      <w:r>
        <w:rPr>
          <w:rFonts w:ascii="Arial" w:hAnsi="Arial"/>
          <w:i/>
          <w:sz w:val="22"/>
        </w:rPr>
        <w:t>incluyen productos de alta sensibilidad para la economía ecuatoriana como arroz (partida 1006), papa (0701),</w:t>
      </w:r>
      <w:r>
        <w:rPr>
          <w:rFonts w:ascii="Arial" w:hAnsi="Arial"/>
          <w:i/>
          <w:spacing w:val="27"/>
          <w:sz w:val="22"/>
        </w:rPr>
        <w:t> </w:t>
      </w:r>
      <w:r>
        <w:rPr>
          <w:rFonts w:ascii="Arial" w:hAnsi="Arial"/>
          <w:i/>
          <w:sz w:val="22"/>
        </w:rPr>
        <w:t>cebolla</w:t>
      </w:r>
      <w:r>
        <w:rPr>
          <w:rFonts w:ascii="Arial" w:hAnsi="Arial"/>
          <w:i/>
          <w:spacing w:val="26"/>
          <w:sz w:val="22"/>
        </w:rPr>
        <w:t> </w:t>
      </w:r>
      <w:r>
        <w:rPr>
          <w:rFonts w:ascii="Arial" w:hAnsi="Arial"/>
          <w:i/>
          <w:sz w:val="22"/>
        </w:rPr>
        <w:t>(0703),</w:t>
      </w:r>
      <w:r>
        <w:rPr>
          <w:rFonts w:ascii="Arial" w:hAnsi="Arial"/>
          <w:i/>
          <w:spacing w:val="27"/>
          <w:sz w:val="22"/>
        </w:rPr>
        <w:t> </w:t>
      </w:r>
      <w:r>
        <w:rPr>
          <w:rFonts w:ascii="Arial" w:hAnsi="Arial"/>
          <w:i/>
          <w:sz w:val="22"/>
        </w:rPr>
        <w:t>tomate</w:t>
      </w:r>
      <w:r>
        <w:rPr>
          <w:rFonts w:ascii="Arial" w:hAnsi="Arial"/>
          <w:i/>
          <w:spacing w:val="24"/>
          <w:sz w:val="22"/>
        </w:rPr>
        <w:t> </w:t>
      </w:r>
      <w:r>
        <w:rPr>
          <w:rFonts w:ascii="Arial" w:hAnsi="Arial"/>
          <w:i/>
          <w:sz w:val="22"/>
        </w:rPr>
        <w:t>(0702),</w:t>
      </w:r>
      <w:r>
        <w:rPr>
          <w:rFonts w:ascii="Arial" w:hAnsi="Arial"/>
          <w:i/>
          <w:spacing w:val="27"/>
          <w:sz w:val="22"/>
        </w:rPr>
        <w:t> </w:t>
      </w:r>
      <w:r>
        <w:rPr>
          <w:rFonts w:ascii="Arial" w:hAnsi="Arial"/>
          <w:i/>
          <w:sz w:val="22"/>
        </w:rPr>
        <w:t>fríjol</w:t>
      </w:r>
      <w:r>
        <w:rPr>
          <w:rFonts w:ascii="Arial" w:hAnsi="Arial"/>
          <w:i/>
          <w:spacing w:val="25"/>
          <w:sz w:val="22"/>
        </w:rPr>
        <w:t> </w:t>
      </w:r>
      <w:r>
        <w:rPr>
          <w:rFonts w:ascii="Arial" w:hAnsi="Arial"/>
          <w:i/>
          <w:sz w:val="22"/>
        </w:rPr>
        <w:t>(0713),</w:t>
      </w:r>
      <w:r>
        <w:rPr>
          <w:rFonts w:ascii="Arial" w:hAnsi="Arial"/>
          <w:i/>
          <w:spacing w:val="28"/>
          <w:sz w:val="22"/>
        </w:rPr>
        <w:t> </w:t>
      </w:r>
      <w:r>
        <w:rPr>
          <w:rFonts w:ascii="Arial" w:hAnsi="Arial"/>
          <w:i/>
          <w:sz w:val="22"/>
        </w:rPr>
        <w:t>plátano</w:t>
      </w:r>
      <w:r>
        <w:rPr>
          <w:rFonts w:ascii="Arial" w:hAnsi="Arial"/>
          <w:i/>
          <w:spacing w:val="23"/>
          <w:sz w:val="22"/>
        </w:rPr>
        <w:t> </w:t>
      </w:r>
      <w:r>
        <w:rPr>
          <w:rFonts w:ascii="Arial" w:hAnsi="Arial"/>
          <w:i/>
          <w:sz w:val="22"/>
        </w:rPr>
        <w:t>(0803),</w:t>
      </w:r>
      <w:r>
        <w:rPr>
          <w:rFonts w:ascii="Arial" w:hAnsi="Arial"/>
          <w:i/>
          <w:spacing w:val="27"/>
          <w:sz w:val="22"/>
        </w:rPr>
        <w:t> </w:t>
      </w:r>
      <w:r>
        <w:rPr>
          <w:rFonts w:ascii="Arial" w:hAnsi="Arial"/>
          <w:i/>
          <w:sz w:val="22"/>
        </w:rPr>
        <w:t>banano</w:t>
      </w:r>
      <w:r>
        <w:rPr>
          <w:rFonts w:ascii="Arial" w:hAnsi="Arial"/>
          <w:i/>
          <w:spacing w:val="26"/>
          <w:sz w:val="22"/>
        </w:rPr>
        <w:t> </w:t>
      </w:r>
      <w:r>
        <w:rPr>
          <w:rFonts w:ascii="Arial" w:hAnsi="Arial"/>
          <w:i/>
          <w:sz w:val="22"/>
        </w:rPr>
        <w:t>bocadillo</w:t>
      </w:r>
    </w:p>
    <w:p>
      <w:pPr>
        <w:spacing w:before="0"/>
        <w:ind w:left="1134" w:right="980" w:firstLine="0"/>
        <w:jc w:val="both"/>
        <w:rPr>
          <w:rFonts w:ascii="Arial" w:hAnsi="Arial"/>
          <w:i/>
          <w:sz w:val="22"/>
        </w:rPr>
      </w:pPr>
      <w:r>
        <w:rPr>
          <w:rFonts w:ascii="Arial" w:hAnsi="Arial"/>
          <w:i/>
          <w:sz w:val="22"/>
        </w:rPr>
        <w:t>(0810), aguacate (0804), maracuyá, productos pesqueros (0301, 0303, 0305, 0306), entre otros.”</w:t>
      </w:r>
      <w:hyperlink w:history="true" w:anchor="_bookmark162">
        <w:r>
          <w:rPr>
            <w:rFonts w:ascii="Arial" w:hAnsi="Arial"/>
            <w:i/>
            <w:sz w:val="22"/>
            <w:vertAlign w:val="superscript"/>
          </w:rPr>
          <w:t>95</w:t>
        </w:r>
      </w:hyperlink>
    </w:p>
    <w:p>
      <w:pPr>
        <w:pStyle w:val="ListParagraph"/>
        <w:numPr>
          <w:ilvl w:val="0"/>
          <w:numId w:val="50"/>
        </w:numPr>
        <w:tabs>
          <w:tab w:pos="1130" w:val="left" w:leader="none"/>
          <w:tab w:pos="1134" w:val="left" w:leader="none"/>
        </w:tabs>
        <w:spacing w:line="240" w:lineRule="auto" w:before="251" w:after="0"/>
        <w:ind w:left="1134" w:right="978" w:hanging="567"/>
        <w:jc w:val="both"/>
        <w:rPr>
          <w:sz w:val="22"/>
        </w:rPr>
      </w:pPr>
      <w:r>
        <w:rPr>
          <w:sz w:val="22"/>
        </w:rPr>
        <w:t>Para demostrar dicha aseveración, la República del Ecuador presentó una tabla en la que</w:t>
      </w:r>
      <w:r>
        <w:rPr>
          <w:spacing w:val="40"/>
          <w:sz w:val="22"/>
        </w:rPr>
        <w:t> </w:t>
      </w:r>
      <w:r>
        <w:rPr>
          <w:sz w:val="22"/>
        </w:rPr>
        <w:t>se</w:t>
      </w:r>
      <w:r>
        <w:rPr>
          <w:spacing w:val="40"/>
          <w:sz w:val="22"/>
        </w:rPr>
        <w:t> </w:t>
      </w:r>
      <w:r>
        <w:rPr>
          <w:sz w:val="22"/>
        </w:rPr>
        <w:t>evidencia</w:t>
      </w:r>
      <w:r>
        <w:rPr>
          <w:spacing w:val="40"/>
          <w:sz w:val="22"/>
        </w:rPr>
        <w:t> </w:t>
      </w:r>
      <w:r>
        <w:rPr>
          <w:sz w:val="22"/>
        </w:rPr>
        <w:t>que</w:t>
      </w:r>
      <w:r>
        <w:rPr>
          <w:spacing w:val="40"/>
          <w:sz w:val="22"/>
        </w:rPr>
        <w:t> </w:t>
      </w:r>
      <w:r>
        <w:rPr>
          <w:sz w:val="22"/>
        </w:rPr>
        <w:t>una</w:t>
      </w:r>
      <w:r>
        <w:rPr>
          <w:spacing w:val="40"/>
          <w:sz w:val="22"/>
        </w:rPr>
        <w:t> </w:t>
      </w:r>
      <w:r>
        <w:rPr>
          <w:sz w:val="22"/>
        </w:rPr>
        <w:t>parte</w:t>
      </w:r>
      <w:r>
        <w:rPr>
          <w:spacing w:val="40"/>
          <w:sz w:val="22"/>
        </w:rPr>
        <w:t> </w:t>
      </w:r>
      <w:r>
        <w:rPr>
          <w:sz w:val="22"/>
        </w:rPr>
        <w:t>significativa</w:t>
      </w:r>
      <w:r>
        <w:rPr>
          <w:spacing w:val="40"/>
          <w:sz w:val="22"/>
        </w:rPr>
        <w:t> </w:t>
      </w:r>
      <w:r>
        <w:rPr>
          <w:sz w:val="22"/>
        </w:rPr>
        <w:t>de</w:t>
      </w:r>
      <w:r>
        <w:rPr>
          <w:spacing w:val="40"/>
          <w:sz w:val="22"/>
        </w:rPr>
        <w:t> </w:t>
      </w:r>
      <w:r>
        <w:rPr>
          <w:sz w:val="22"/>
        </w:rPr>
        <w:t>los</w:t>
      </w:r>
      <w:r>
        <w:rPr>
          <w:spacing w:val="40"/>
          <w:sz w:val="22"/>
        </w:rPr>
        <w:t> </w:t>
      </w:r>
      <w:r>
        <w:rPr>
          <w:sz w:val="22"/>
        </w:rPr>
        <w:t>productos</w:t>
      </w:r>
      <w:r>
        <w:rPr>
          <w:spacing w:val="40"/>
          <w:sz w:val="22"/>
        </w:rPr>
        <w:t> </w:t>
      </w:r>
      <w:r>
        <w:rPr>
          <w:sz w:val="22"/>
        </w:rPr>
        <w:t>comprendidos</w:t>
      </w:r>
      <w:r>
        <w:rPr>
          <w:spacing w:val="40"/>
          <w:sz w:val="22"/>
        </w:rPr>
        <w:t> </w:t>
      </w:r>
      <w:r>
        <w:rPr>
          <w:sz w:val="22"/>
        </w:rPr>
        <w:t>en</w:t>
      </w:r>
      <w:r>
        <w:rPr>
          <w:spacing w:val="40"/>
          <w:sz w:val="22"/>
        </w:rPr>
        <w:t> </w:t>
      </w:r>
      <w:r>
        <w:rPr>
          <w:sz w:val="22"/>
        </w:rPr>
        <w:t>el</w:t>
      </w:r>
    </w:p>
    <w:p>
      <w:pPr>
        <w:pStyle w:val="BodyText"/>
        <w:spacing w:before="11"/>
        <w:rPr>
          <w:sz w:val="10"/>
        </w:rPr>
      </w:pPr>
      <w:r>
        <w:rPr>
          <w:sz w:val="10"/>
        </w:rPr>
        <mc:AlternateContent>
          <mc:Choice Requires="wps">
            <w:drawing>
              <wp:anchor distT="0" distB="0" distL="0" distR="0" allowOverlap="1" layoutInCell="1" locked="0" behindDoc="1" simplePos="0" relativeHeight="487658496">
                <wp:simplePos x="0" y="0"/>
                <wp:positionH relativeFrom="page">
                  <wp:posOffset>990904</wp:posOffset>
                </wp:positionH>
                <wp:positionV relativeFrom="paragraph">
                  <wp:posOffset>95307</wp:posOffset>
                </wp:positionV>
                <wp:extent cx="1829435" cy="7620"/>
                <wp:effectExtent l="0" t="0" r="0" b="0"/>
                <wp:wrapTopAndBottom/>
                <wp:docPr id="557" name="Graphic 557"/>
                <wp:cNvGraphicFramePr>
                  <a:graphicFrameLocks/>
                </wp:cNvGraphicFramePr>
                <a:graphic>
                  <a:graphicData uri="http://schemas.microsoft.com/office/word/2010/wordprocessingShape">
                    <wps:wsp>
                      <wps:cNvPr id="557" name="Graphic 557"/>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7.504501pt;width:144.020pt;height:.60004pt;mso-position-horizontal-relative:page;mso-position-vertical-relative:paragraph;z-index:-15657984;mso-wrap-distance-left:0;mso-wrap-distance-right:0" id="docshape385" filled="true" fillcolor="#000000" stroked="false">
                <v:fill type="solid"/>
                <w10:wrap type="topAndBottom"/>
              </v:rect>
            </w:pict>
          </mc:Fallback>
        </mc:AlternateContent>
      </w:r>
    </w:p>
    <w:p>
      <w:pPr>
        <w:spacing w:before="92"/>
        <w:ind w:left="568" w:right="0" w:firstLine="0"/>
        <w:jc w:val="left"/>
        <w:rPr>
          <w:sz w:val="16"/>
        </w:rPr>
      </w:pPr>
      <w:bookmarkStart w:name="_bookmark161" w:id="162"/>
      <w:bookmarkEnd w:id="162"/>
      <w:r>
        <w:rPr/>
      </w:r>
      <w:r>
        <w:rPr>
          <w:sz w:val="16"/>
          <w:vertAlign w:val="superscript"/>
        </w:rPr>
        <w:t>94</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000090.</w:t>
      </w:r>
    </w:p>
    <w:p>
      <w:pPr>
        <w:spacing w:before="1"/>
        <w:ind w:left="568" w:right="0" w:firstLine="0"/>
        <w:jc w:val="left"/>
        <w:rPr>
          <w:sz w:val="16"/>
        </w:rPr>
      </w:pPr>
      <w:bookmarkStart w:name="_bookmark162" w:id="163"/>
      <w:bookmarkEnd w:id="163"/>
      <w:r>
        <w:rPr/>
      </w:r>
      <w:r>
        <w:rPr>
          <w:sz w:val="16"/>
          <w:vertAlign w:val="superscript"/>
        </w:rPr>
        <w:t>95</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000018.</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58" name="Group 558"/>
                <wp:cNvGraphicFramePr>
                  <a:graphicFrameLocks/>
                </wp:cNvGraphicFramePr>
                <a:graphic>
                  <a:graphicData uri="http://schemas.microsoft.com/office/word/2010/wordprocessingGroup">
                    <wpg:wgp>
                      <wpg:cNvPr id="558" name="Group 558"/>
                      <wpg:cNvGrpSpPr/>
                      <wpg:grpSpPr>
                        <a:xfrm>
                          <a:off x="0" y="0"/>
                          <a:ext cx="6131560" cy="9525"/>
                          <a:chExt cx="6131560" cy="9525"/>
                        </a:xfrm>
                      </wpg:grpSpPr>
                      <wps:wsp>
                        <wps:cNvPr id="559" name="Graphic 559"/>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86"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780" w:left="992" w:right="283"/>
        </w:sectPr>
      </w:pPr>
    </w:p>
    <w:p>
      <w:pPr>
        <w:pStyle w:val="BodyText"/>
        <w:spacing w:before="176"/>
      </w:pPr>
    </w:p>
    <w:p>
      <w:pPr>
        <w:spacing w:before="0"/>
        <w:ind w:left="1134" w:right="979" w:firstLine="0"/>
        <w:jc w:val="both"/>
        <w:rPr>
          <w:rFonts w:ascii="Arial" w:hAnsi="Arial"/>
          <w:i/>
          <w:sz w:val="22"/>
        </w:rPr>
      </w:pPr>
      <w:r>
        <w:rPr>
          <w:sz w:val="22"/>
        </w:rPr>
        <w:t>artículo 2 ingresan principalmente por vía terrestre. En particular, se señala que “...</w:t>
      </w:r>
      <w:r>
        <w:rPr>
          <w:rFonts w:ascii="Arial" w:hAnsi="Arial"/>
          <w:i/>
          <w:sz w:val="22"/>
        </w:rPr>
        <w:t>12 de</w:t>
      </w:r>
      <w:r>
        <w:rPr>
          <w:rFonts w:ascii="Arial" w:hAnsi="Arial"/>
          <w:i/>
          <w:spacing w:val="-14"/>
          <w:sz w:val="22"/>
        </w:rPr>
        <w:t> </w:t>
      </w:r>
      <w:r>
        <w:rPr>
          <w:rFonts w:ascii="Arial" w:hAnsi="Arial"/>
          <w:i/>
          <w:sz w:val="22"/>
        </w:rPr>
        <w:t>las</w:t>
      </w:r>
      <w:r>
        <w:rPr>
          <w:rFonts w:ascii="Arial" w:hAnsi="Arial"/>
          <w:i/>
          <w:spacing w:val="-13"/>
          <w:sz w:val="22"/>
        </w:rPr>
        <w:t> </w:t>
      </w:r>
      <w:r>
        <w:rPr>
          <w:rFonts w:ascii="Arial" w:hAnsi="Arial"/>
          <w:i/>
          <w:sz w:val="22"/>
        </w:rPr>
        <w:t>15</w:t>
      </w:r>
      <w:r>
        <w:rPr>
          <w:rFonts w:ascii="Arial" w:hAnsi="Arial"/>
          <w:i/>
          <w:spacing w:val="-14"/>
          <w:sz w:val="22"/>
        </w:rPr>
        <w:t> </w:t>
      </w:r>
      <w:r>
        <w:rPr>
          <w:rFonts w:ascii="Arial" w:hAnsi="Arial"/>
          <w:i/>
          <w:sz w:val="22"/>
        </w:rPr>
        <w:t>subpartidas</w:t>
      </w:r>
      <w:r>
        <w:rPr>
          <w:rFonts w:ascii="Arial" w:hAnsi="Arial"/>
          <w:i/>
          <w:spacing w:val="-13"/>
          <w:sz w:val="22"/>
        </w:rPr>
        <w:t> </w:t>
      </w:r>
      <w:r>
        <w:rPr>
          <w:rFonts w:ascii="Arial" w:hAnsi="Arial"/>
          <w:i/>
          <w:sz w:val="22"/>
        </w:rPr>
        <w:t>afectadas</w:t>
      </w:r>
      <w:r>
        <w:rPr>
          <w:rFonts w:ascii="Arial" w:hAnsi="Arial"/>
          <w:i/>
          <w:spacing w:val="-13"/>
          <w:sz w:val="22"/>
        </w:rPr>
        <w:t> </w:t>
      </w:r>
      <w:r>
        <w:rPr>
          <w:rFonts w:ascii="Arial" w:hAnsi="Arial"/>
          <w:i/>
          <w:sz w:val="22"/>
        </w:rPr>
        <w:t>por</w:t>
      </w:r>
      <w:r>
        <w:rPr>
          <w:rFonts w:ascii="Arial" w:hAnsi="Arial"/>
          <w:i/>
          <w:spacing w:val="-15"/>
          <w:sz w:val="22"/>
        </w:rPr>
        <w:t> </w:t>
      </w:r>
      <w:r>
        <w:rPr>
          <w:rFonts w:ascii="Arial" w:hAnsi="Arial"/>
          <w:i/>
          <w:sz w:val="22"/>
        </w:rPr>
        <w:t>el</w:t>
      </w:r>
      <w:r>
        <w:rPr>
          <w:rFonts w:ascii="Arial" w:hAnsi="Arial"/>
          <w:i/>
          <w:spacing w:val="-15"/>
          <w:sz w:val="22"/>
        </w:rPr>
        <w:t> </w:t>
      </w:r>
      <w:r>
        <w:rPr>
          <w:rFonts w:ascii="Arial" w:hAnsi="Arial"/>
          <w:i/>
          <w:sz w:val="22"/>
        </w:rPr>
        <w:t>artículo</w:t>
      </w:r>
      <w:r>
        <w:rPr>
          <w:rFonts w:ascii="Arial" w:hAnsi="Arial"/>
          <w:i/>
          <w:spacing w:val="-14"/>
          <w:sz w:val="22"/>
        </w:rPr>
        <w:t> </w:t>
      </w:r>
      <w:r>
        <w:rPr>
          <w:rFonts w:ascii="Arial" w:hAnsi="Arial"/>
          <w:i/>
          <w:sz w:val="22"/>
        </w:rPr>
        <w:t>2</w:t>
      </w:r>
      <w:r>
        <w:rPr>
          <w:rFonts w:ascii="Arial" w:hAnsi="Arial"/>
          <w:i/>
          <w:spacing w:val="-14"/>
          <w:sz w:val="22"/>
        </w:rPr>
        <w:t> </w:t>
      </w:r>
      <w:r>
        <w:rPr>
          <w:rFonts w:ascii="Arial" w:hAnsi="Arial"/>
          <w:i/>
          <w:sz w:val="22"/>
        </w:rPr>
        <w:t>se</w:t>
      </w:r>
      <w:r>
        <w:rPr>
          <w:rFonts w:ascii="Arial" w:hAnsi="Arial"/>
          <w:i/>
          <w:spacing w:val="-14"/>
          <w:sz w:val="22"/>
        </w:rPr>
        <w:t> </w:t>
      </w:r>
      <w:r>
        <w:rPr>
          <w:rFonts w:ascii="Arial" w:hAnsi="Arial"/>
          <w:i/>
          <w:sz w:val="22"/>
        </w:rPr>
        <w:t>exportan</w:t>
      </w:r>
      <w:r>
        <w:rPr>
          <w:rFonts w:ascii="Arial" w:hAnsi="Arial"/>
          <w:i/>
          <w:spacing w:val="-14"/>
          <w:sz w:val="22"/>
        </w:rPr>
        <w:t> </w:t>
      </w:r>
      <w:r>
        <w:rPr>
          <w:rFonts w:ascii="Arial" w:hAnsi="Arial"/>
          <w:i/>
          <w:sz w:val="22"/>
        </w:rPr>
        <w:t>a</w:t>
      </w:r>
      <w:r>
        <w:rPr>
          <w:rFonts w:ascii="Arial" w:hAnsi="Arial"/>
          <w:i/>
          <w:spacing w:val="-14"/>
          <w:sz w:val="22"/>
        </w:rPr>
        <w:t> </w:t>
      </w:r>
      <w:r>
        <w:rPr>
          <w:rFonts w:ascii="Arial" w:hAnsi="Arial"/>
          <w:i/>
          <w:sz w:val="22"/>
        </w:rPr>
        <w:t>Colombia</w:t>
      </w:r>
      <w:r>
        <w:rPr>
          <w:rFonts w:ascii="Arial" w:hAnsi="Arial"/>
          <w:i/>
          <w:spacing w:val="-14"/>
          <w:sz w:val="22"/>
        </w:rPr>
        <w:t> </w:t>
      </w:r>
      <w:r>
        <w:rPr>
          <w:rFonts w:ascii="Arial" w:hAnsi="Arial"/>
          <w:i/>
          <w:sz w:val="22"/>
        </w:rPr>
        <w:t>exclusivamente por vía</w:t>
      </w:r>
      <w:r>
        <w:rPr>
          <w:rFonts w:ascii="Arial" w:hAnsi="Arial"/>
          <w:i/>
          <w:spacing w:val="-3"/>
          <w:sz w:val="22"/>
        </w:rPr>
        <w:t> </w:t>
      </w:r>
      <w:r>
        <w:rPr>
          <w:rFonts w:ascii="Arial" w:hAnsi="Arial"/>
          <w:i/>
          <w:sz w:val="22"/>
        </w:rPr>
        <w:t>terrestre</w:t>
      </w:r>
      <w:r>
        <w:rPr>
          <w:rFonts w:ascii="Arial" w:hAnsi="Arial"/>
          <w:i/>
          <w:spacing w:val="-3"/>
          <w:sz w:val="22"/>
        </w:rPr>
        <w:t> </w:t>
      </w:r>
      <w:r>
        <w:rPr>
          <w:rFonts w:ascii="Arial" w:hAnsi="Arial"/>
          <w:i/>
          <w:sz w:val="22"/>
        </w:rPr>
        <w:t>(100% de</w:t>
      </w:r>
      <w:r>
        <w:rPr>
          <w:rFonts w:ascii="Arial" w:hAnsi="Arial"/>
          <w:i/>
          <w:spacing w:val="-1"/>
          <w:sz w:val="22"/>
        </w:rPr>
        <w:t> </w:t>
      </w:r>
      <w:r>
        <w:rPr>
          <w:rFonts w:ascii="Arial" w:hAnsi="Arial"/>
          <w:i/>
          <w:sz w:val="22"/>
        </w:rPr>
        <w:t>ingreso</w:t>
      </w:r>
      <w:r>
        <w:rPr>
          <w:rFonts w:ascii="Arial" w:hAnsi="Arial"/>
          <w:i/>
          <w:spacing w:val="-1"/>
          <w:sz w:val="22"/>
        </w:rPr>
        <w:t> </w:t>
      </w:r>
      <w:r>
        <w:rPr>
          <w:rFonts w:ascii="Arial" w:hAnsi="Arial"/>
          <w:i/>
          <w:sz w:val="22"/>
        </w:rPr>
        <w:t>por esa</w:t>
      </w:r>
      <w:r>
        <w:rPr>
          <w:rFonts w:ascii="Arial" w:hAnsi="Arial"/>
          <w:i/>
          <w:spacing w:val="-3"/>
          <w:sz w:val="22"/>
        </w:rPr>
        <w:t> </w:t>
      </w:r>
      <w:r>
        <w:rPr>
          <w:rFonts w:ascii="Arial" w:hAnsi="Arial"/>
          <w:i/>
          <w:sz w:val="22"/>
        </w:rPr>
        <w:t>vía), y</w:t>
      </w:r>
      <w:r>
        <w:rPr>
          <w:rFonts w:ascii="Arial" w:hAnsi="Arial"/>
          <w:i/>
          <w:spacing w:val="-5"/>
          <w:sz w:val="22"/>
        </w:rPr>
        <w:t> </w:t>
      </w:r>
      <w:r>
        <w:rPr>
          <w:rFonts w:ascii="Arial" w:hAnsi="Arial"/>
          <w:i/>
          <w:sz w:val="22"/>
        </w:rPr>
        <w:t>dos más</w:t>
      </w:r>
      <w:r>
        <w:rPr>
          <w:rFonts w:ascii="Arial" w:hAnsi="Arial"/>
          <w:i/>
          <w:spacing w:val="-1"/>
          <w:sz w:val="22"/>
        </w:rPr>
        <w:t> </w:t>
      </w:r>
      <w:r>
        <w:rPr>
          <w:rFonts w:ascii="Arial" w:hAnsi="Arial"/>
          <w:i/>
          <w:sz w:val="22"/>
        </w:rPr>
        <w:t>lo</w:t>
      </w:r>
      <w:r>
        <w:rPr>
          <w:rFonts w:ascii="Arial" w:hAnsi="Arial"/>
          <w:i/>
          <w:spacing w:val="-1"/>
          <w:sz w:val="22"/>
        </w:rPr>
        <w:t> </w:t>
      </w:r>
      <w:r>
        <w:rPr>
          <w:rFonts w:ascii="Arial" w:hAnsi="Arial"/>
          <w:i/>
          <w:sz w:val="22"/>
        </w:rPr>
        <w:t>hacen</w:t>
      </w:r>
      <w:r>
        <w:rPr>
          <w:rFonts w:ascii="Arial" w:hAnsi="Arial"/>
          <w:i/>
          <w:spacing w:val="-1"/>
          <w:sz w:val="22"/>
        </w:rPr>
        <w:t> </w:t>
      </w:r>
      <w:r>
        <w:rPr>
          <w:rFonts w:ascii="Arial" w:hAnsi="Arial"/>
          <w:i/>
          <w:sz w:val="22"/>
        </w:rPr>
        <w:t>en</w:t>
      </w:r>
      <w:r>
        <w:rPr>
          <w:rFonts w:ascii="Arial" w:hAnsi="Arial"/>
          <w:i/>
          <w:spacing w:val="-1"/>
          <w:sz w:val="22"/>
        </w:rPr>
        <w:t> </w:t>
      </w:r>
      <w:r>
        <w:rPr>
          <w:rFonts w:ascii="Arial" w:hAnsi="Arial"/>
          <w:i/>
          <w:sz w:val="22"/>
        </w:rPr>
        <w:t>un</w:t>
      </w:r>
      <w:r>
        <w:rPr>
          <w:rFonts w:ascii="Arial" w:hAnsi="Arial"/>
          <w:i/>
          <w:spacing w:val="-6"/>
          <w:sz w:val="22"/>
        </w:rPr>
        <w:t> </w:t>
      </w:r>
      <w:r>
        <w:rPr>
          <w:rFonts w:ascii="Arial" w:hAnsi="Arial"/>
          <w:i/>
          <w:sz w:val="22"/>
        </w:rPr>
        <w:t>99% por esa </w:t>
      </w:r>
      <w:r>
        <w:rPr>
          <w:rFonts w:ascii="Arial" w:hAnsi="Arial"/>
          <w:i/>
          <w:spacing w:val="-2"/>
          <w:sz w:val="22"/>
        </w:rPr>
        <w:t>vía”.</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Asimismo,</w:t>
      </w:r>
      <w:r>
        <w:rPr>
          <w:spacing w:val="-6"/>
          <w:sz w:val="22"/>
        </w:rPr>
        <w:t> </w:t>
      </w:r>
      <w:r>
        <w:rPr>
          <w:sz w:val="22"/>
        </w:rPr>
        <w:t>se</w:t>
      </w:r>
      <w:r>
        <w:rPr>
          <w:spacing w:val="-7"/>
          <w:sz w:val="22"/>
        </w:rPr>
        <w:t> </w:t>
      </w:r>
      <w:r>
        <w:rPr>
          <w:sz w:val="22"/>
        </w:rPr>
        <w:t>argumenta</w:t>
      </w:r>
      <w:r>
        <w:rPr>
          <w:spacing w:val="-7"/>
          <w:sz w:val="22"/>
        </w:rPr>
        <w:t> </w:t>
      </w:r>
      <w:r>
        <w:rPr>
          <w:sz w:val="22"/>
        </w:rPr>
        <w:t>que</w:t>
      </w:r>
      <w:r>
        <w:rPr>
          <w:spacing w:val="-5"/>
          <w:sz w:val="22"/>
        </w:rPr>
        <w:t> </w:t>
      </w:r>
      <w:r>
        <w:rPr>
          <w:sz w:val="22"/>
        </w:rPr>
        <w:t>esta</w:t>
      </w:r>
      <w:r>
        <w:rPr>
          <w:spacing w:val="-10"/>
          <w:sz w:val="22"/>
        </w:rPr>
        <w:t> </w:t>
      </w:r>
      <w:r>
        <w:rPr>
          <w:sz w:val="22"/>
        </w:rPr>
        <w:t>medida</w:t>
      </w:r>
      <w:r>
        <w:rPr>
          <w:spacing w:val="-5"/>
          <w:sz w:val="22"/>
        </w:rPr>
        <w:t> </w:t>
      </w:r>
      <w:r>
        <w:rPr>
          <w:sz w:val="22"/>
        </w:rPr>
        <w:t>equivaldría</w:t>
      </w:r>
      <w:r>
        <w:rPr>
          <w:spacing w:val="-7"/>
          <w:sz w:val="22"/>
        </w:rPr>
        <w:t> </w:t>
      </w:r>
      <w:r>
        <w:rPr>
          <w:sz w:val="22"/>
        </w:rPr>
        <w:t>a</w:t>
      </w:r>
      <w:r>
        <w:rPr>
          <w:spacing w:val="-5"/>
          <w:sz w:val="22"/>
        </w:rPr>
        <w:t> </w:t>
      </w:r>
      <w:r>
        <w:rPr>
          <w:sz w:val="22"/>
        </w:rPr>
        <w:t>establecer</w:t>
      </w:r>
      <w:r>
        <w:rPr>
          <w:spacing w:val="-6"/>
          <w:sz w:val="22"/>
        </w:rPr>
        <w:t> </w:t>
      </w:r>
      <w:r>
        <w:rPr>
          <w:sz w:val="22"/>
        </w:rPr>
        <w:t>una</w:t>
      </w:r>
      <w:r>
        <w:rPr>
          <w:spacing w:val="-7"/>
          <w:sz w:val="22"/>
        </w:rPr>
        <w:t> </w:t>
      </w:r>
      <w:r>
        <w:rPr>
          <w:sz w:val="22"/>
        </w:rPr>
        <w:t>prohibición</w:t>
      </w:r>
      <w:r>
        <w:rPr>
          <w:spacing w:val="-5"/>
          <w:sz w:val="22"/>
        </w:rPr>
        <w:t> </w:t>
      </w:r>
      <w:r>
        <w:rPr>
          <w:sz w:val="22"/>
        </w:rPr>
        <w:t>total de las importaciones de estos productos debido a que:</w:t>
      </w:r>
    </w:p>
    <w:p>
      <w:pPr>
        <w:pStyle w:val="ListParagraph"/>
        <w:numPr>
          <w:ilvl w:val="0"/>
          <w:numId w:val="101"/>
        </w:numPr>
        <w:tabs>
          <w:tab w:pos="1560" w:val="left" w:leader="none"/>
          <w:tab w:pos="1562" w:val="left" w:leader="none"/>
        </w:tabs>
        <w:spacing w:line="240" w:lineRule="auto" w:before="253" w:after="0"/>
        <w:ind w:left="1562" w:right="976" w:hanging="360"/>
        <w:jc w:val="both"/>
        <w:rPr>
          <w:rFonts w:ascii="Arial" w:hAnsi="Arial"/>
          <w:i/>
          <w:sz w:val="22"/>
        </w:rPr>
      </w:pPr>
      <w:r>
        <w:rPr>
          <w:sz w:val="22"/>
        </w:rPr>
        <w:t>La sustitución de rutas de transporte no sería viable para productos perecederos, ya que la vía terrestre ha sido históricamente el canal de ingreso utilizado, atendiendo a la naturaleza de los productos y los costos logísticos asociados. </w:t>
      </w:r>
      <w:r>
        <w:rPr>
          <w:rFonts w:ascii="Arial" w:hAnsi="Arial"/>
          <w:i/>
          <w:sz w:val="22"/>
        </w:rPr>
        <w:t>“El transporte aéreo resulta</w:t>
      </w:r>
      <w:r>
        <w:rPr>
          <w:rFonts w:ascii="Arial" w:hAnsi="Arial"/>
          <w:i/>
          <w:spacing w:val="-2"/>
          <w:sz w:val="22"/>
        </w:rPr>
        <w:t> </w:t>
      </w:r>
      <w:r>
        <w:rPr>
          <w:rFonts w:ascii="Arial" w:hAnsi="Arial"/>
          <w:i/>
          <w:sz w:val="22"/>
        </w:rPr>
        <w:t>antieconómico para productos de bajo valor unitario y alto volumen; el transporte marítimo implica costos y tiempos incompatibles con la conservación de productos frescos</w:t>
      </w:r>
      <w:r>
        <w:rPr>
          <w:sz w:val="22"/>
        </w:rPr>
        <w:t>.”</w:t>
      </w:r>
    </w:p>
    <w:p>
      <w:pPr>
        <w:pStyle w:val="ListParagraph"/>
        <w:numPr>
          <w:ilvl w:val="0"/>
          <w:numId w:val="101"/>
        </w:numPr>
        <w:tabs>
          <w:tab w:pos="1560" w:val="left" w:leader="none"/>
          <w:tab w:pos="1562" w:val="left" w:leader="none"/>
        </w:tabs>
        <w:spacing w:line="240" w:lineRule="auto" w:before="2" w:after="0"/>
        <w:ind w:left="1562" w:right="978" w:hanging="360"/>
        <w:jc w:val="both"/>
        <w:rPr>
          <w:sz w:val="22"/>
        </w:rPr>
      </w:pPr>
      <w:r>
        <w:rPr>
          <w:sz w:val="22"/>
        </w:rPr>
        <w:t>La vía terrestre constituiría el único medio efectivo para el comercio de estos productos, debido a que se habría desarrollado una estructura productiva y comercial orientada al mercado colombiano, basada en rutas terrestres y en una logística diseñada para dicho canal.</w:t>
      </w:r>
    </w:p>
    <w:p>
      <w:pPr>
        <w:pStyle w:val="ListParagraph"/>
        <w:numPr>
          <w:ilvl w:val="0"/>
          <w:numId w:val="101"/>
        </w:numPr>
        <w:tabs>
          <w:tab w:pos="1562" w:val="left" w:leader="none"/>
        </w:tabs>
        <w:spacing w:line="240" w:lineRule="auto" w:before="0" w:after="0"/>
        <w:ind w:left="1562" w:right="978" w:hanging="360"/>
        <w:jc w:val="both"/>
        <w:rPr>
          <w:sz w:val="22"/>
        </w:rPr>
      </w:pPr>
      <w:r>
        <w:rPr>
          <w:sz w:val="22"/>
        </w:rPr>
        <w:t>El régimen sancionatorio del Decreto 0170, en particular la aprehensión de las mercancías y del medio de transporte, operaría como un factor de disuasión absoluta, al desalentar de manera efectiva cualquier intento de ingreso de los productos afectados, reforzando así el efecto restrictivo de la medida.</w:t>
      </w:r>
    </w:p>
    <w:p>
      <w:pPr>
        <w:pStyle w:val="BodyText"/>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Asimismo,</w:t>
      </w:r>
      <w:r>
        <w:rPr>
          <w:spacing w:val="-1"/>
          <w:sz w:val="22"/>
        </w:rPr>
        <w:t> </w:t>
      </w:r>
      <w:r>
        <w:rPr>
          <w:sz w:val="22"/>
        </w:rPr>
        <w:t>se</w:t>
      </w:r>
      <w:r>
        <w:rPr>
          <w:spacing w:val="-2"/>
          <w:sz w:val="22"/>
        </w:rPr>
        <w:t> </w:t>
      </w:r>
      <w:r>
        <w:rPr>
          <w:sz w:val="22"/>
        </w:rPr>
        <w:t>indica</w:t>
      </w:r>
      <w:r>
        <w:rPr>
          <w:spacing w:val="-2"/>
          <w:sz w:val="22"/>
        </w:rPr>
        <w:t> </w:t>
      </w:r>
      <w:r>
        <w:rPr>
          <w:sz w:val="22"/>
        </w:rPr>
        <w:t>que, sobre los</w:t>
      </w:r>
      <w:r>
        <w:rPr>
          <w:spacing w:val="-4"/>
          <w:sz w:val="22"/>
        </w:rPr>
        <w:t> </w:t>
      </w:r>
      <w:r>
        <w:rPr>
          <w:sz w:val="22"/>
        </w:rPr>
        <w:t>justificativos invocados en</w:t>
      </w:r>
      <w:r>
        <w:rPr>
          <w:spacing w:val="-2"/>
          <w:sz w:val="22"/>
        </w:rPr>
        <w:t> </w:t>
      </w:r>
      <w:r>
        <w:rPr>
          <w:sz w:val="22"/>
        </w:rPr>
        <w:t>el</w:t>
      </w:r>
      <w:r>
        <w:rPr>
          <w:spacing w:val="-3"/>
          <w:sz w:val="22"/>
        </w:rPr>
        <w:t> </w:t>
      </w:r>
      <w:r>
        <w:rPr>
          <w:sz w:val="22"/>
        </w:rPr>
        <w:t>Decreto</w:t>
      </w:r>
      <w:r>
        <w:rPr>
          <w:spacing w:val="-2"/>
          <w:sz w:val="22"/>
        </w:rPr>
        <w:t> </w:t>
      </w:r>
      <w:r>
        <w:rPr>
          <w:sz w:val="22"/>
        </w:rPr>
        <w:t>0170 relativos a la soberanía alimentaria, la protección de la producción nacional, la prevención del contrabando y la existencia de riesgos fitosanitarios, en el caso particular de la protección a la producción nacional, esta constituye “ </w:t>
      </w:r>
      <w:r>
        <w:rPr>
          <w:rFonts w:ascii="Arial" w:hAnsi="Arial"/>
          <w:i/>
          <w:sz w:val="22"/>
        </w:rPr>
        <w:t>un objetivo legítimo de política económica, pero no encuentra cabida en las excepciones del artículo 73, salvo que se demuestre —y no se ha demostrado— que dicha protección es necesaria para salvaguardar intereses vitales del Estado</w:t>
      </w:r>
      <w:r>
        <w:rPr>
          <w:sz w:val="22"/>
        </w:rPr>
        <w:t>”</w:t>
      </w:r>
      <w:hyperlink w:history="true" w:anchor="_bookmark163">
        <w:r>
          <w:rPr>
            <w:sz w:val="22"/>
            <w:vertAlign w:val="superscript"/>
          </w:rPr>
          <w:t>96</w:t>
        </w:r>
      </w:hyperlink>
      <w:r>
        <w:rPr>
          <w:sz w:val="22"/>
          <w:vertAlign w:val="baseline"/>
        </w:rPr>
        <w:t>.</w:t>
      </w:r>
    </w:p>
    <w:p>
      <w:pPr>
        <w:pStyle w:val="Heading6"/>
        <w:numPr>
          <w:ilvl w:val="0"/>
          <w:numId w:val="102"/>
        </w:numPr>
        <w:tabs>
          <w:tab w:pos="1561" w:val="left" w:leader="none"/>
        </w:tabs>
        <w:spacing w:line="240" w:lineRule="auto" w:before="253" w:after="0"/>
        <w:ind w:left="1561" w:right="0" w:hanging="359"/>
        <w:jc w:val="both"/>
      </w:pPr>
      <w:r>
        <w:rPr/>
        <w:t>Argumentos</w:t>
      </w:r>
      <w:r>
        <w:rPr>
          <w:spacing w:val="-6"/>
        </w:rPr>
        <w:t> </w:t>
      </w:r>
      <w:r>
        <w:rPr/>
        <w:t>de</w:t>
      </w:r>
      <w:r>
        <w:rPr>
          <w:spacing w:val="-5"/>
        </w:rPr>
        <w:t> </w:t>
      </w:r>
      <w:r>
        <w:rPr/>
        <w:t>la</w:t>
      </w:r>
      <w:r>
        <w:rPr>
          <w:spacing w:val="-4"/>
        </w:rPr>
        <w:t> </w:t>
      </w:r>
      <w:r>
        <w:rPr/>
        <w:t>República</w:t>
      </w:r>
      <w:r>
        <w:rPr>
          <w:spacing w:val="-5"/>
        </w:rPr>
        <w:t> </w:t>
      </w:r>
      <w:r>
        <w:rPr/>
        <w:t>de</w:t>
      </w:r>
      <w:r>
        <w:rPr>
          <w:spacing w:val="-3"/>
        </w:rPr>
        <w:t> </w:t>
      </w:r>
      <w:r>
        <w:rPr>
          <w:spacing w:val="-2"/>
        </w:rPr>
        <w:t>Colombia</w:t>
      </w:r>
    </w:p>
    <w:p>
      <w:pPr>
        <w:pStyle w:val="ListParagraph"/>
        <w:numPr>
          <w:ilvl w:val="0"/>
          <w:numId w:val="50"/>
        </w:numPr>
        <w:tabs>
          <w:tab w:pos="1130" w:val="left" w:leader="none"/>
          <w:tab w:pos="1134" w:val="left" w:leader="none"/>
        </w:tabs>
        <w:spacing w:line="240" w:lineRule="auto" w:before="251" w:after="0"/>
        <w:ind w:left="1134" w:right="980" w:hanging="567"/>
        <w:jc w:val="both"/>
        <w:rPr>
          <w:sz w:val="22"/>
        </w:rPr>
      </w:pPr>
      <w:r>
        <w:rPr>
          <w:sz w:val="22"/>
        </w:rPr>
        <w:t>Según</w:t>
      </w:r>
      <w:r>
        <w:rPr>
          <w:spacing w:val="-4"/>
          <w:sz w:val="22"/>
        </w:rPr>
        <w:t> </w:t>
      </w:r>
      <w:r>
        <w:rPr>
          <w:sz w:val="22"/>
        </w:rPr>
        <w:t>la</w:t>
      </w:r>
      <w:r>
        <w:rPr>
          <w:spacing w:val="-4"/>
          <w:sz w:val="22"/>
        </w:rPr>
        <w:t> </w:t>
      </w:r>
      <w:r>
        <w:rPr>
          <w:sz w:val="22"/>
        </w:rPr>
        <w:t>República</w:t>
      </w:r>
      <w:r>
        <w:rPr>
          <w:spacing w:val="-4"/>
          <w:sz w:val="22"/>
        </w:rPr>
        <w:t> </w:t>
      </w:r>
      <w:r>
        <w:rPr>
          <w:sz w:val="22"/>
        </w:rPr>
        <w:t>de</w:t>
      </w:r>
      <w:r>
        <w:rPr>
          <w:spacing w:val="-4"/>
          <w:sz w:val="22"/>
        </w:rPr>
        <w:t> </w:t>
      </w:r>
      <w:r>
        <w:rPr>
          <w:sz w:val="22"/>
        </w:rPr>
        <w:t>Colombia,</w:t>
      </w:r>
      <w:r>
        <w:rPr>
          <w:spacing w:val="-3"/>
          <w:sz w:val="22"/>
        </w:rPr>
        <w:t> </w:t>
      </w:r>
      <w:r>
        <w:rPr>
          <w:sz w:val="22"/>
        </w:rPr>
        <w:t>tal</w:t>
      </w:r>
      <w:r>
        <w:rPr>
          <w:spacing w:val="-5"/>
          <w:sz w:val="22"/>
        </w:rPr>
        <w:t> </w:t>
      </w:r>
      <w:r>
        <w:rPr>
          <w:sz w:val="22"/>
        </w:rPr>
        <w:t>como</w:t>
      </w:r>
      <w:r>
        <w:rPr>
          <w:spacing w:val="-4"/>
          <w:sz w:val="22"/>
        </w:rPr>
        <w:t> </w:t>
      </w:r>
      <w:r>
        <w:rPr>
          <w:sz w:val="22"/>
        </w:rPr>
        <w:t>se</w:t>
      </w:r>
      <w:r>
        <w:rPr>
          <w:spacing w:val="-6"/>
          <w:sz w:val="22"/>
        </w:rPr>
        <w:t> </w:t>
      </w:r>
      <w:r>
        <w:rPr>
          <w:sz w:val="22"/>
        </w:rPr>
        <w:t>mencionó</w:t>
      </w:r>
      <w:r>
        <w:rPr>
          <w:spacing w:val="-4"/>
          <w:sz w:val="22"/>
        </w:rPr>
        <w:t> </w:t>
      </w:r>
      <w:r>
        <w:rPr>
          <w:sz w:val="22"/>
        </w:rPr>
        <w:t>en</w:t>
      </w:r>
      <w:r>
        <w:rPr>
          <w:spacing w:val="-4"/>
          <w:sz w:val="22"/>
        </w:rPr>
        <w:t> </w:t>
      </w:r>
      <w:r>
        <w:rPr>
          <w:sz w:val="22"/>
        </w:rPr>
        <w:t>el</w:t>
      </w:r>
      <w:r>
        <w:rPr>
          <w:spacing w:val="-5"/>
          <w:sz w:val="22"/>
        </w:rPr>
        <w:t> </w:t>
      </w:r>
      <w:r>
        <w:rPr>
          <w:sz w:val="22"/>
        </w:rPr>
        <w:t>caso</w:t>
      </w:r>
      <w:r>
        <w:rPr>
          <w:spacing w:val="-4"/>
          <w:sz w:val="22"/>
        </w:rPr>
        <w:t> </w:t>
      </w:r>
      <w:r>
        <w:rPr>
          <w:sz w:val="22"/>
        </w:rPr>
        <w:t>del</w:t>
      </w:r>
      <w:r>
        <w:rPr>
          <w:spacing w:val="-5"/>
          <w:sz w:val="22"/>
        </w:rPr>
        <w:t> </w:t>
      </w:r>
      <w:r>
        <w:rPr>
          <w:sz w:val="22"/>
        </w:rPr>
        <w:t>arroz,</w:t>
      </w:r>
      <w:r>
        <w:rPr>
          <w:spacing w:val="-3"/>
          <w:sz w:val="22"/>
        </w:rPr>
        <w:t> </w:t>
      </w:r>
      <w:r>
        <w:rPr>
          <w:sz w:val="22"/>
        </w:rPr>
        <w:t>la</w:t>
      </w:r>
      <w:r>
        <w:rPr>
          <w:spacing w:val="-4"/>
          <w:sz w:val="22"/>
        </w:rPr>
        <w:t> </w:t>
      </w:r>
      <w:r>
        <w:rPr>
          <w:sz w:val="22"/>
        </w:rPr>
        <w:t>medida adoptada no constituiría una prohibición del comercio, sino un mecanismo de canalización</w:t>
      </w:r>
      <w:r>
        <w:rPr>
          <w:spacing w:val="-3"/>
          <w:sz w:val="22"/>
        </w:rPr>
        <w:t> </w:t>
      </w:r>
      <w:r>
        <w:rPr>
          <w:sz w:val="22"/>
        </w:rPr>
        <w:t>del</w:t>
      </w:r>
      <w:r>
        <w:rPr>
          <w:spacing w:val="-3"/>
          <w:sz w:val="22"/>
        </w:rPr>
        <w:t> </w:t>
      </w:r>
      <w:r>
        <w:rPr>
          <w:sz w:val="22"/>
        </w:rPr>
        <w:t>flujo</w:t>
      </w:r>
      <w:r>
        <w:rPr>
          <w:spacing w:val="-3"/>
          <w:sz w:val="22"/>
        </w:rPr>
        <w:t> </w:t>
      </w:r>
      <w:r>
        <w:rPr>
          <w:sz w:val="22"/>
        </w:rPr>
        <w:t>comercial</w:t>
      </w:r>
      <w:r>
        <w:rPr>
          <w:spacing w:val="-3"/>
          <w:sz w:val="22"/>
        </w:rPr>
        <w:t> </w:t>
      </w:r>
      <w:r>
        <w:rPr>
          <w:sz w:val="22"/>
        </w:rPr>
        <w:t>“</w:t>
      </w:r>
      <w:r>
        <w:rPr>
          <w:rFonts w:ascii="Arial" w:hAnsi="Arial"/>
          <w:i/>
          <w:sz w:val="22"/>
        </w:rPr>
        <w:t>hacia</w:t>
      </w:r>
      <w:r>
        <w:rPr>
          <w:rFonts w:ascii="Arial" w:hAnsi="Arial"/>
          <w:i/>
          <w:spacing w:val="-3"/>
          <w:sz w:val="22"/>
        </w:rPr>
        <w:t> </w:t>
      </w:r>
      <w:r>
        <w:rPr>
          <w:rFonts w:ascii="Arial" w:hAnsi="Arial"/>
          <w:i/>
          <w:sz w:val="22"/>
        </w:rPr>
        <w:t>puntos</w:t>
      </w:r>
      <w:r>
        <w:rPr>
          <w:rFonts w:ascii="Arial" w:hAnsi="Arial"/>
          <w:i/>
          <w:spacing w:val="-5"/>
          <w:sz w:val="22"/>
        </w:rPr>
        <w:t> </w:t>
      </w:r>
      <w:r>
        <w:rPr>
          <w:rFonts w:ascii="Arial" w:hAnsi="Arial"/>
          <w:i/>
          <w:sz w:val="22"/>
        </w:rPr>
        <w:t>habilitados</w:t>
      </w:r>
      <w:r>
        <w:rPr>
          <w:rFonts w:ascii="Arial" w:hAnsi="Arial"/>
          <w:i/>
          <w:spacing w:val="-3"/>
          <w:sz w:val="22"/>
        </w:rPr>
        <w:t> </w:t>
      </w:r>
      <w:r>
        <w:rPr>
          <w:rFonts w:ascii="Arial" w:hAnsi="Arial"/>
          <w:i/>
          <w:sz w:val="22"/>
        </w:rPr>
        <w:t>de</w:t>
      </w:r>
      <w:r>
        <w:rPr>
          <w:rFonts w:ascii="Arial" w:hAnsi="Arial"/>
          <w:i/>
          <w:spacing w:val="-3"/>
          <w:sz w:val="22"/>
        </w:rPr>
        <w:t> </w:t>
      </w:r>
      <w:r>
        <w:rPr>
          <w:rFonts w:ascii="Arial" w:hAnsi="Arial"/>
          <w:i/>
          <w:sz w:val="22"/>
        </w:rPr>
        <w:t>ingreso</w:t>
      </w:r>
      <w:r>
        <w:rPr>
          <w:rFonts w:ascii="Arial" w:hAnsi="Arial"/>
          <w:i/>
          <w:spacing w:val="-3"/>
          <w:sz w:val="22"/>
        </w:rPr>
        <w:t> </w:t>
      </w:r>
      <w:r>
        <w:rPr>
          <w:rFonts w:ascii="Arial" w:hAnsi="Arial"/>
          <w:i/>
          <w:sz w:val="22"/>
        </w:rPr>
        <w:t>con</w:t>
      </w:r>
      <w:r>
        <w:rPr>
          <w:rFonts w:ascii="Arial" w:hAnsi="Arial"/>
          <w:i/>
          <w:spacing w:val="-3"/>
          <w:sz w:val="22"/>
        </w:rPr>
        <w:t> </w:t>
      </w:r>
      <w:r>
        <w:rPr>
          <w:rFonts w:ascii="Arial" w:hAnsi="Arial"/>
          <w:i/>
          <w:sz w:val="22"/>
        </w:rPr>
        <w:t>infraestructura consolidada de inspección fitosanitaria, inspección sanitaria, verificación documental y cadena de frío permite de manera verificable...</w:t>
      </w:r>
      <w:r>
        <w:rPr>
          <w:sz w:val="22"/>
        </w:rPr>
        <w:t>”</w:t>
      </w:r>
      <w:hyperlink w:history="true" w:anchor="_bookmark164">
        <w:r>
          <w:rPr>
            <w:sz w:val="22"/>
            <w:vertAlign w:val="superscript"/>
          </w:rPr>
          <w:t>97</w:t>
        </w:r>
        <w:r>
          <w:rPr>
            <w:sz w:val="22"/>
            <w:vertAlign w:val="baseline"/>
          </w:rPr>
          <w:t>.</w:t>
        </w:r>
      </w:hyperlink>
    </w:p>
    <w:p>
      <w:pPr>
        <w:pStyle w:val="BodyText"/>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Asimismo, se sostiene que la medida sería necesaria y que constituiría la alternativa menos restrictiva para el comercio intracomunitario, ya que permitiría “</w:t>
      </w:r>
      <w:r>
        <w:rPr>
          <w:rFonts w:ascii="Arial" w:hAnsi="Arial"/>
          <w:i/>
          <w:sz w:val="22"/>
        </w:rPr>
        <w:t>alcanzar la finalidad de protección sanitaria y fitosanitaria. Las alternativas examinadas, consideradas</w:t>
      </w:r>
      <w:r>
        <w:rPr>
          <w:rFonts w:ascii="Arial" w:hAnsi="Arial"/>
          <w:i/>
          <w:spacing w:val="-3"/>
          <w:sz w:val="22"/>
        </w:rPr>
        <w:t> </w:t>
      </w:r>
      <w:r>
        <w:rPr>
          <w:rFonts w:ascii="Arial" w:hAnsi="Arial"/>
          <w:i/>
          <w:sz w:val="22"/>
        </w:rPr>
        <w:t>individual</w:t>
      </w:r>
      <w:r>
        <w:rPr>
          <w:rFonts w:ascii="Arial" w:hAnsi="Arial"/>
          <w:i/>
          <w:spacing w:val="-4"/>
          <w:sz w:val="22"/>
        </w:rPr>
        <w:t> </w:t>
      </w:r>
      <w:r>
        <w:rPr>
          <w:rFonts w:ascii="Arial" w:hAnsi="Arial"/>
          <w:i/>
          <w:sz w:val="22"/>
        </w:rPr>
        <w:t>o</w:t>
      </w:r>
      <w:r>
        <w:rPr>
          <w:rFonts w:ascii="Arial" w:hAnsi="Arial"/>
          <w:i/>
          <w:spacing w:val="-3"/>
          <w:sz w:val="22"/>
        </w:rPr>
        <w:t> </w:t>
      </w:r>
      <w:r>
        <w:rPr>
          <w:rFonts w:ascii="Arial" w:hAnsi="Arial"/>
          <w:i/>
          <w:sz w:val="22"/>
        </w:rPr>
        <w:t>acumulativamente,</w:t>
      </w:r>
      <w:r>
        <w:rPr>
          <w:rFonts w:ascii="Arial" w:hAnsi="Arial"/>
          <w:i/>
          <w:spacing w:val="-1"/>
          <w:sz w:val="22"/>
        </w:rPr>
        <w:t> </w:t>
      </w:r>
      <w:r>
        <w:rPr>
          <w:rFonts w:ascii="Arial" w:hAnsi="Arial"/>
          <w:i/>
          <w:sz w:val="22"/>
        </w:rPr>
        <w:t>no</w:t>
      </w:r>
      <w:r>
        <w:rPr>
          <w:rFonts w:ascii="Arial" w:hAnsi="Arial"/>
          <w:i/>
          <w:spacing w:val="-5"/>
          <w:sz w:val="22"/>
        </w:rPr>
        <w:t> </w:t>
      </w:r>
      <w:r>
        <w:rPr>
          <w:rFonts w:ascii="Arial" w:hAnsi="Arial"/>
          <w:i/>
          <w:sz w:val="22"/>
        </w:rPr>
        <w:t>alcanzan</w:t>
      </w:r>
      <w:r>
        <w:rPr>
          <w:rFonts w:ascii="Arial" w:hAnsi="Arial"/>
          <w:i/>
          <w:spacing w:val="-3"/>
          <w:sz w:val="22"/>
        </w:rPr>
        <w:t> </w:t>
      </w:r>
      <w:r>
        <w:rPr>
          <w:rFonts w:ascii="Arial" w:hAnsi="Arial"/>
          <w:i/>
          <w:sz w:val="22"/>
        </w:rPr>
        <w:t>el</w:t>
      </w:r>
      <w:r>
        <w:rPr>
          <w:rFonts w:ascii="Arial" w:hAnsi="Arial"/>
          <w:i/>
          <w:spacing w:val="-4"/>
          <w:sz w:val="22"/>
        </w:rPr>
        <w:t> </w:t>
      </w:r>
      <w:r>
        <w:rPr>
          <w:rFonts w:ascii="Arial" w:hAnsi="Arial"/>
          <w:i/>
          <w:sz w:val="22"/>
        </w:rPr>
        <w:t>mismo</w:t>
      </w:r>
      <w:r>
        <w:rPr>
          <w:rFonts w:ascii="Arial" w:hAnsi="Arial"/>
          <w:i/>
          <w:spacing w:val="-5"/>
          <w:sz w:val="22"/>
        </w:rPr>
        <w:t> </w:t>
      </w:r>
      <w:r>
        <w:rPr>
          <w:rFonts w:ascii="Arial" w:hAnsi="Arial"/>
          <w:i/>
          <w:sz w:val="22"/>
        </w:rPr>
        <w:t>nivel</w:t>
      </w:r>
      <w:r>
        <w:rPr>
          <w:rFonts w:ascii="Arial" w:hAnsi="Arial"/>
          <w:i/>
          <w:spacing w:val="-4"/>
          <w:sz w:val="22"/>
        </w:rPr>
        <w:t> </w:t>
      </w:r>
      <w:r>
        <w:rPr>
          <w:rFonts w:ascii="Arial" w:hAnsi="Arial"/>
          <w:i/>
          <w:sz w:val="22"/>
        </w:rPr>
        <w:t>de</w:t>
      </w:r>
      <w:r>
        <w:rPr>
          <w:rFonts w:ascii="Arial" w:hAnsi="Arial"/>
          <w:i/>
          <w:spacing w:val="-3"/>
          <w:sz w:val="22"/>
        </w:rPr>
        <w:t> </w:t>
      </w:r>
      <w:r>
        <w:rPr>
          <w:rFonts w:ascii="Arial" w:hAnsi="Arial"/>
          <w:i/>
          <w:sz w:val="22"/>
        </w:rPr>
        <w:t>efectividad en la gestión del riesgo identificado</w:t>
      </w:r>
      <w:r>
        <w:rPr>
          <w:sz w:val="22"/>
        </w:rPr>
        <w:t>.”</w:t>
      </w:r>
      <w:hyperlink w:history="true" w:anchor="_bookmark165">
        <w:r>
          <w:rPr>
            <w:sz w:val="22"/>
            <w:vertAlign w:val="superscript"/>
          </w:rPr>
          <w:t>98</w:t>
        </w:r>
        <w:r>
          <w:rPr>
            <w:sz w:val="22"/>
            <w:vertAlign w:val="baseline"/>
          </w:rPr>
          <w:t>.</w:t>
        </w:r>
      </w:hyperlink>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82" w:hanging="567"/>
        <w:jc w:val="both"/>
        <w:rPr>
          <w:rFonts w:ascii="Arial" w:hAnsi="Arial"/>
          <w:i/>
          <w:sz w:val="22"/>
        </w:rPr>
      </w:pPr>
      <w:r>
        <w:rPr>
          <w:sz w:val="22"/>
        </w:rPr>
        <w:t>Se presenta información relativa a la existencia de comercio irregular en la frontera colombo–ecuatoriana, la cual, </w:t>
      </w:r>
      <w:r>
        <w:rPr>
          <w:rFonts w:ascii="Arial" w:hAnsi="Arial"/>
          <w:i/>
          <w:sz w:val="22"/>
        </w:rPr>
        <w:t>“con una extensión aproximada de 586 kilómetros, presenta</w:t>
      </w:r>
      <w:r>
        <w:rPr>
          <w:rFonts w:ascii="Arial" w:hAnsi="Arial"/>
          <w:i/>
          <w:spacing w:val="-16"/>
          <w:sz w:val="22"/>
        </w:rPr>
        <w:t> </w:t>
      </w:r>
      <w:r>
        <w:rPr>
          <w:rFonts w:ascii="Arial" w:hAnsi="Arial"/>
          <w:i/>
          <w:sz w:val="22"/>
        </w:rPr>
        <w:t>múltiples</w:t>
      </w:r>
      <w:r>
        <w:rPr>
          <w:rFonts w:ascii="Arial" w:hAnsi="Arial"/>
          <w:i/>
          <w:spacing w:val="-16"/>
          <w:sz w:val="22"/>
        </w:rPr>
        <w:t> </w:t>
      </w:r>
      <w:r>
        <w:rPr>
          <w:rFonts w:ascii="Arial" w:hAnsi="Arial"/>
          <w:i/>
          <w:sz w:val="22"/>
        </w:rPr>
        <w:t>puntos</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paso</w:t>
      </w:r>
      <w:r>
        <w:rPr>
          <w:rFonts w:ascii="Arial" w:hAnsi="Arial"/>
          <w:i/>
          <w:spacing w:val="-16"/>
          <w:sz w:val="22"/>
        </w:rPr>
        <w:t> </w:t>
      </w:r>
      <w:r>
        <w:rPr>
          <w:rFonts w:ascii="Arial" w:hAnsi="Arial"/>
          <w:i/>
          <w:sz w:val="22"/>
        </w:rPr>
        <w:t>no</w:t>
      </w:r>
      <w:r>
        <w:rPr>
          <w:rFonts w:ascii="Arial" w:hAnsi="Arial"/>
          <w:i/>
          <w:spacing w:val="-15"/>
          <w:sz w:val="22"/>
        </w:rPr>
        <w:t> </w:t>
      </w:r>
      <w:r>
        <w:rPr>
          <w:rFonts w:ascii="Arial" w:hAnsi="Arial"/>
          <w:i/>
          <w:sz w:val="22"/>
        </w:rPr>
        <w:t>habilitados,</w:t>
      </w:r>
      <w:r>
        <w:rPr>
          <w:rFonts w:ascii="Arial" w:hAnsi="Arial"/>
          <w:i/>
          <w:spacing w:val="-15"/>
          <w:sz w:val="22"/>
        </w:rPr>
        <w:t> </w:t>
      </w:r>
      <w:r>
        <w:rPr>
          <w:rFonts w:ascii="Arial" w:hAnsi="Arial"/>
          <w:i/>
          <w:sz w:val="22"/>
        </w:rPr>
        <w:t>incluyendo</w:t>
      </w:r>
      <w:r>
        <w:rPr>
          <w:rFonts w:ascii="Arial" w:hAnsi="Arial"/>
          <w:i/>
          <w:spacing w:val="-15"/>
          <w:sz w:val="22"/>
        </w:rPr>
        <w:t> </w:t>
      </w:r>
      <w:r>
        <w:rPr>
          <w:rFonts w:ascii="Arial" w:hAnsi="Arial"/>
          <w:i/>
          <w:sz w:val="22"/>
        </w:rPr>
        <w:t>alrededor</w:t>
      </w:r>
      <w:r>
        <w:rPr>
          <w:rFonts w:ascii="Arial" w:hAnsi="Arial"/>
          <w:i/>
          <w:spacing w:val="-16"/>
          <w:sz w:val="22"/>
        </w:rPr>
        <w:t> </w:t>
      </w:r>
      <w:r>
        <w:rPr>
          <w:rFonts w:ascii="Arial" w:hAnsi="Arial"/>
          <w:i/>
          <w:sz w:val="22"/>
        </w:rPr>
        <w:t>de</w:t>
      </w:r>
      <w:r>
        <w:rPr>
          <w:rFonts w:ascii="Arial" w:hAnsi="Arial"/>
          <w:i/>
          <w:spacing w:val="-17"/>
          <w:sz w:val="22"/>
        </w:rPr>
        <w:t> </w:t>
      </w:r>
      <w:r>
        <w:rPr>
          <w:rFonts w:ascii="Arial" w:hAnsi="Arial"/>
          <w:i/>
          <w:sz w:val="22"/>
        </w:rPr>
        <w:t>treinta</w:t>
      </w:r>
      <w:r>
        <w:rPr>
          <w:rFonts w:ascii="Arial" w:hAnsi="Arial"/>
          <w:i/>
          <w:spacing w:val="-15"/>
          <w:sz w:val="22"/>
        </w:rPr>
        <w:t> </w:t>
      </w:r>
      <w:r>
        <w:rPr>
          <w:rFonts w:ascii="Arial" w:hAnsi="Arial"/>
          <w:i/>
          <w:sz w:val="22"/>
        </w:rPr>
        <w:t>y</w:t>
      </w:r>
      <w:r>
        <w:rPr>
          <w:rFonts w:ascii="Arial" w:hAnsi="Arial"/>
          <w:i/>
          <w:spacing w:val="-15"/>
          <w:sz w:val="22"/>
        </w:rPr>
        <w:t> </w:t>
      </w:r>
      <w:r>
        <w:rPr>
          <w:rFonts w:ascii="Arial" w:hAnsi="Arial"/>
          <w:i/>
          <w:sz w:val="22"/>
        </w:rPr>
        <w:t>cinco</w:t>
      </w:r>
    </w:p>
    <w:p>
      <w:pPr>
        <w:spacing w:before="0"/>
        <w:ind w:left="1134" w:right="981" w:firstLine="0"/>
        <w:jc w:val="both"/>
        <w:rPr>
          <w:sz w:val="22"/>
        </w:rPr>
      </w:pPr>
      <w:r>
        <w:rPr>
          <w:rFonts w:ascii="Arial" w:hAnsi="Arial"/>
          <w:i/>
          <w:sz w:val="22"/>
        </w:rPr>
        <w:t>(35) trochas identificadas por las autoridades, lo que limita estructuralmente la capacidad del Estado para ejercer control integral sobre la totalidad de los flujos de mercancías agropecuarias.</w:t>
      </w:r>
      <w:r>
        <w:rPr>
          <w:sz w:val="22"/>
        </w:rPr>
        <w:t>”</w:t>
      </w:r>
      <w:hyperlink w:history="true" w:anchor="_bookmark166">
        <w:r>
          <w:rPr>
            <w:sz w:val="22"/>
            <w:vertAlign w:val="superscript"/>
          </w:rPr>
          <w:t>99</w:t>
        </w:r>
        <w:r>
          <w:rPr>
            <w:sz w:val="22"/>
            <w:vertAlign w:val="baseline"/>
          </w:rPr>
          <w:t>.</w:t>
        </w:r>
      </w:hyperlink>
    </w:p>
    <w:p>
      <w:pPr>
        <w:pStyle w:val="BodyText"/>
        <w:spacing w:before="101"/>
        <w:rPr>
          <w:sz w:val="20"/>
        </w:rPr>
      </w:pPr>
      <w:r>
        <w:rPr>
          <w:sz w:val="20"/>
        </w:rPr>
        <mc:AlternateContent>
          <mc:Choice Requires="wps">
            <w:drawing>
              <wp:anchor distT="0" distB="0" distL="0" distR="0" allowOverlap="1" layoutInCell="1" locked="0" behindDoc="1" simplePos="0" relativeHeight="487659520">
                <wp:simplePos x="0" y="0"/>
                <wp:positionH relativeFrom="page">
                  <wp:posOffset>990904</wp:posOffset>
                </wp:positionH>
                <wp:positionV relativeFrom="paragraph">
                  <wp:posOffset>225431</wp:posOffset>
                </wp:positionV>
                <wp:extent cx="1829435" cy="7620"/>
                <wp:effectExtent l="0" t="0" r="0" b="0"/>
                <wp:wrapTopAndBottom/>
                <wp:docPr id="560" name="Graphic 560"/>
                <wp:cNvGraphicFramePr>
                  <a:graphicFrameLocks/>
                </wp:cNvGraphicFramePr>
                <a:graphic>
                  <a:graphicData uri="http://schemas.microsoft.com/office/word/2010/wordprocessingShape">
                    <wps:wsp>
                      <wps:cNvPr id="560" name="Graphic 560"/>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7.750507pt;width:144.020pt;height:.599980pt;mso-position-horizontal-relative:page;mso-position-vertical-relative:paragraph;z-index:-15656960;mso-wrap-distance-left:0;mso-wrap-distance-right:0" id="docshape387" filled="true" fillcolor="#000000" stroked="false">
                <v:fill type="solid"/>
                <w10:wrap type="topAndBottom"/>
              </v:rect>
            </w:pict>
          </mc:Fallback>
        </mc:AlternateContent>
      </w:r>
    </w:p>
    <w:p>
      <w:pPr>
        <w:spacing w:before="92"/>
        <w:ind w:left="568" w:right="0" w:firstLine="0"/>
        <w:jc w:val="left"/>
        <w:rPr>
          <w:sz w:val="16"/>
        </w:rPr>
      </w:pPr>
      <w:bookmarkStart w:name="_bookmark163" w:id="164"/>
      <w:bookmarkEnd w:id="164"/>
      <w:r>
        <w:rPr/>
      </w:r>
      <w:r>
        <w:rPr>
          <w:sz w:val="16"/>
          <w:vertAlign w:val="superscript"/>
        </w:rPr>
        <w:t>96</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000026.</w:t>
      </w:r>
    </w:p>
    <w:p>
      <w:pPr>
        <w:spacing w:line="183" w:lineRule="exact" w:before="1"/>
        <w:ind w:left="568" w:right="0" w:firstLine="0"/>
        <w:jc w:val="left"/>
        <w:rPr>
          <w:sz w:val="16"/>
        </w:rPr>
      </w:pPr>
      <w:bookmarkStart w:name="_bookmark164" w:id="165"/>
      <w:bookmarkEnd w:id="165"/>
      <w:r>
        <w:rPr/>
      </w:r>
      <w:r>
        <w:rPr>
          <w:sz w:val="16"/>
          <w:vertAlign w:val="superscript"/>
        </w:rPr>
        <w:t>97</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000358.</w:t>
      </w:r>
    </w:p>
    <w:p>
      <w:pPr>
        <w:spacing w:line="183" w:lineRule="exact" w:before="0"/>
        <w:ind w:left="568" w:right="0" w:firstLine="0"/>
        <w:jc w:val="left"/>
        <w:rPr>
          <w:sz w:val="16"/>
        </w:rPr>
      </w:pPr>
      <w:bookmarkStart w:name="_bookmark165" w:id="166"/>
      <w:bookmarkEnd w:id="166"/>
      <w:r>
        <w:rPr/>
      </w:r>
      <w:r>
        <w:rPr>
          <w:sz w:val="16"/>
          <w:vertAlign w:val="superscript"/>
        </w:rPr>
        <w:t>98</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000359.</w:t>
      </w:r>
    </w:p>
    <w:p>
      <w:pPr>
        <w:spacing w:before="1"/>
        <w:ind w:left="568" w:right="0" w:firstLine="0"/>
        <w:jc w:val="left"/>
        <w:rPr>
          <w:sz w:val="16"/>
        </w:rPr>
      </w:pPr>
      <w:bookmarkStart w:name="_bookmark166" w:id="167"/>
      <w:bookmarkEnd w:id="167"/>
      <w:r>
        <w:rPr/>
      </w:r>
      <w:r>
        <w:rPr>
          <w:sz w:val="16"/>
          <w:vertAlign w:val="superscript"/>
        </w:rPr>
        <w:t>99</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000363.</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61" name="Group 561"/>
                <wp:cNvGraphicFramePr>
                  <a:graphicFrameLocks/>
                </wp:cNvGraphicFramePr>
                <a:graphic>
                  <a:graphicData uri="http://schemas.microsoft.com/office/word/2010/wordprocessingGroup">
                    <wpg:wgp>
                      <wpg:cNvPr id="561" name="Group 561"/>
                      <wpg:cNvGrpSpPr/>
                      <wpg:grpSpPr>
                        <a:xfrm>
                          <a:off x="0" y="0"/>
                          <a:ext cx="6131560" cy="9525"/>
                          <a:chExt cx="6131560" cy="9525"/>
                        </a:xfrm>
                      </wpg:grpSpPr>
                      <wps:wsp>
                        <wps:cNvPr id="562" name="Graphic 562"/>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88"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78" w:hanging="567"/>
        <w:jc w:val="both"/>
        <w:rPr>
          <w:sz w:val="22"/>
        </w:rPr>
      </w:pPr>
      <w:r>
        <w:rPr>
          <w:sz w:val="22"/>
        </w:rPr>
        <w:t>Asimismo, se argumenta que </w:t>
      </w:r>
      <w:r>
        <w:rPr>
          <w:rFonts w:ascii="Arial" w:hAnsi="Arial"/>
          <w:i/>
          <w:sz w:val="22"/>
        </w:rPr>
        <w:t>“[l]a información consolidada de aprehensiones por tipo de producto evidencia que estas dinámicas comprenden un conjunto amplio de productos agropecuarios, incluyendo plátano, aguacate, frijol, papa, cebolla, tomate y maracuyá, con alta concentración territorial en Ipiales (Nariño)</w:t>
      </w:r>
      <w:r>
        <w:rPr>
          <w:sz w:val="22"/>
        </w:rPr>
        <w:t>”</w:t>
      </w:r>
      <w:hyperlink w:history="true" w:anchor="_bookmark167">
        <w:r>
          <w:rPr>
            <w:sz w:val="22"/>
            <w:vertAlign w:val="superscript"/>
          </w:rPr>
          <w:t>100</w:t>
        </w:r>
      </w:hyperlink>
      <w:r>
        <w:rPr>
          <w:sz w:val="22"/>
          <w:vertAlign w:val="baseline"/>
        </w:rPr>
        <w:t>.</w:t>
      </w:r>
    </w:p>
    <w:p>
      <w:pPr>
        <w:pStyle w:val="Heading6"/>
        <w:numPr>
          <w:ilvl w:val="0"/>
          <w:numId w:val="103"/>
        </w:numPr>
        <w:tabs>
          <w:tab w:pos="1561" w:val="left" w:leader="none"/>
        </w:tabs>
        <w:spacing w:line="240" w:lineRule="auto" w:before="252" w:after="0"/>
        <w:ind w:left="1561" w:right="0" w:hanging="359"/>
        <w:jc w:val="left"/>
      </w:pPr>
      <w:r>
        <w:rPr/>
        <w:t>Análisis</w:t>
      </w:r>
      <w:r>
        <w:rPr>
          <w:spacing w:val="-5"/>
        </w:rPr>
        <w:t> </w:t>
      </w:r>
      <w:r>
        <w:rPr/>
        <w:t>de</w:t>
      </w:r>
      <w:r>
        <w:rPr>
          <w:spacing w:val="-4"/>
        </w:rPr>
        <w:t> </w:t>
      </w:r>
      <w:r>
        <w:rPr/>
        <w:t>la</w:t>
      </w:r>
      <w:r>
        <w:rPr>
          <w:spacing w:val="-4"/>
        </w:rPr>
        <w:t> SGCAN</w:t>
      </w:r>
    </w:p>
    <w:p>
      <w:pPr>
        <w:pStyle w:val="ListParagraph"/>
        <w:numPr>
          <w:ilvl w:val="0"/>
          <w:numId w:val="104"/>
        </w:numPr>
        <w:tabs>
          <w:tab w:pos="1274" w:val="left" w:leader="none"/>
          <w:tab w:pos="1276" w:val="left" w:leader="none"/>
        </w:tabs>
        <w:spacing w:line="240" w:lineRule="auto" w:before="252" w:after="0"/>
        <w:ind w:left="1276" w:right="978" w:hanging="348"/>
        <w:jc w:val="left"/>
        <w:rPr>
          <w:rFonts w:ascii="Arial" w:hAnsi="Arial"/>
          <w:i/>
          <w:sz w:val="22"/>
        </w:rPr>
      </w:pPr>
      <w:r>
        <w:rPr>
          <w:rFonts w:ascii="Arial" w:hAnsi="Arial"/>
          <w:i/>
          <w:sz w:val="22"/>
          <w:u w:val="single"/>
        </w:rPr>
        <w:t>Análisis</w:t>
      </w:r>
      <w:r>
        <w:rPr>
          <w:rFonts w:ascii="Arial" w:hAnsi="Arial"/>
          <w:i/>
          <w:spacing w:val="-5"/>
          <w:sz w:val="22"/>
          <w:u w:val="single"/>
        </w:rPr>
        <w:t> </w:t>
      </w:r>
      <w:r>
        <w:rPr>
          <w:rFonts w:ascii="Arial" w:hAnsi="Arial"/>
          <w:i/>
          <w:sz w:val="22"/>
          <w:u w:val="single"/>
        </w:rPr>
        <w:t>para</w:t>
      </w:r>
      <w:r>
        <w:rPr>
          <w:rFonts w:ascii="Arial" w:hAnsi="Arial"/>
          <w:i/>
          <w:spacing w:val="-5"/>
          <w:sz w:val="22"/>
          <w:u w:val="single"/>
        </w:rPr>
        <w:t> </w:t>
      </w:r>
      <w:r>
        <w:rPr>
          <w:rFonts w:ascii="Arial" w:hAnsi="Arial"/>
          <w:i/>
          <w:sz w:val="22"/>
          <w:u w:val="single"/>
        </w:rPr>
        <w:t>determinar</w:t>
      </w:r>
      <w:r>
        <w:rPr>
          <w:rFonts w:ascii="Arial" w:hAnsi="Arial"/>
          <w:i/>
          <w:spacing w:val="-9"/>
          <w:sz w:val="22"/>
          <w:u w:val="single"/>
        </w:rPr>
        <w:t> </w:t>
      </w:r>
      <w:r>
        <w:rPr>
          <w:rFonts w:ascii="Arial" w:hAnsi="Arial"/>
          <w:i/>
          <w:sz w:val="22"/>
          <w:u w:val="single"/>
        </w:rPr>
        <w:t>si</w:t>
      </w:r>
      <w:r>
        <w:rPr>
          <w:rFonts w:ascii="Arial" w:hAnsi="Arial"/>
          <w:i/>
          <w:spacing w:val="-6"/>
          <w:sz w:val="22"/>
          <w:u w:val="single"/>
        </w:rPr>
        <w:t> </w:t>
      </w:r>
      <w:r>
        <w:rPr>
          <w:rFonts w:ascii="Arial" w:hAnsi="Arial"/>
          <w:i/>
          <w:sz w:val="22"/>
          <w:u w:val="single"/>
        </w:rPr>
        <w:t>la</w:t>
      </w:r>
      <w:r>
        <w:rPr>
          <w:rFonts w:ascii="Arial" w:hAnsi="Arial"/>
          <w:i/>
          <w:spacing w:val="-5"/>
          <w:sz w:val="22"/>
          <w:u w:val="single"/>
        </w:rPr>
        <w:t> </w:t>
      </w:r>
      <w:r>
        <w:rPr>
          <w:rFonts w:ascii="Arial" w:hAnsi="Arial"/>
          <w:i/>
          <w:sz w:val="22"/>
          <w:u w:val="single"/>
        </w:rPr>
        <w:t>medida</w:t>
      </w:r>
      <w:r>
        <w:rPr>
          <w:rFonts w:ascii="Arial" w:hAnsi="Arial"/>
          <w:i/>
          <w:spacing w:val="-3"/>
          <w:sz w:val="22"/>
          <w:u w:val="single"/>
        </w:rPr>
        <w:t> </w:t>
      </w:r>
      <w:r>
        <w:rPr>
          <w:rFonts w:ascii="Arial" w:hAnsi="Arial"/>
          <w:i/>
          <w:sz w:val="22"/>
          <w:u w:val="single"/>
        </w:rPr>
        <w:t>objeto</w:t>
      </w:r>
      <w:r>
        <w:rPr>
          <w:rFonts w:ascii="Arial" w:hAnsi="Arial"/>
          <w:i/>
          <w:spacing w:val="-5"/>
          <w:sz w:val="22"/>
          <w:u w:val="single"/>
        </w:rPr>
        <w:t> </w:t>
      </w:r>
      <w:r>
        <w:rPr>
          <w:rFonts w:ascii="Arial" w:hAnsi="Arial"/>
          <w:i/>
          <w:sz w:val="22"/>
          <w:u w:val="single"/>
        </w:rPr>
        <w:t>de</w:t>
      </w:r>
      <w:r>
        <w:rPr>
          <w:rFonts w:ascii="Arial" w:hAnsi="Arial"/>
          <w:i/>
          <w:spacing w:val="-8"/>
          <w:sz w:val="22"/>
          <w:u w:val="single"/>
        </w:rPr>
        <w:t> </w:t>
      </w:r>
      <w:r>
        <w:rPr>
          <w:rFonts w:ascii="Arial" w:hAnsi="Arial"/>
          <w:i/>
          <w:sz w:val="22"/>
          <w:u w:val="single"/>
        </w:rPr>
        <w:t>investigación</w:t>
      </w:r>
      <w:r>
        <w:rPr>
          <w:rFonts w:ascii="Arial" w:hAnsi="Arial"/>
          <w:i/>
          <w:spacing w:val="-5"/>
          <w:sz w:val="22"/>
          <w:u w:val="single"/>
        </w:rPr>
        <w:t> </w:t>
      </w:r>
      <w:r>
        <w:rPr>
          <w:rFonts w:ascii="Arial" w:hAnsi="Arial"/>
          <w:i/>
          <w:sz w:val="22"/>
          <w:u w:val="single"/>
        </w:rPr>
        <w:t>impide</w:t>
      </w:r>
      <w:r>
        <w:rPr>
          <w:rFonts w:ascii="Arial" w:hAnsi="Arial"/>
          <w:i/>
          <w:spacing w:val="-5"/>
          <w:sz w:val="22"/>
          <w:u w:val="single"/>
        </w:rPr>
        <w:t> </w:t>
      </w:r>
      <w:r>
        <w:rPr>
          <w:rFonts w:ascii="Arial" w:hAnsi="Arial"/>
          <w:i/>
          <w:sz w:val="22"/>
          <w:u w:val="single"/>
        </w:rPr>
        <w:t>las</w:t>
      </w:r>
      <w:r>
        <w:rPr>
          <w:rFonts w:ascii="Arial" w:hAnsi="Arial"/>
          <w:i/>
          <w:spacing w:val="-7"/>
          <w:sz w:val="22"/>
          <w:u w:val="single"/>
        </w:rPr>
        <w:t> </w:t>
      </w:r>
      <w:r>
        <w:rPr>
          <w:rFonts w:ascii="Arial" w:hAnsi="Arial"/>
          <w:i/>
          <w:sz w:val="22"/>
          <w:u w:val="single"/>
        </w:rPr>
        <w:t>importaciones</w:t>
      </w:r>
      <w:r>
        <w:rPr>
          <w:rFonts w:ascii="Arial" w:hAnsi="Arial"/>
          <w:i/>
          <w:sz w:val="22"/>
        </w:rPr>
        <w:t> </w:t>
      </w:r>
      <w:r>
        <w:rPr>
          <w:rFonts w:ascii="Arial" w:hAnsi="Arial"/>
          <w:i/>
          <w:sz w:val="22"/>
          <w:u w:val="single"/>
        </w:rPr>
        <w:t>de productos agrícolas</w:t>
      </w:r>
    </w:p>
    <w:p>
      <w:pPr>
        <w:pStyle w:val="ListParagraph"/>
        <w:numPr>
          <w:ilvl w:val="0"/>
          <w:numId w:val="50"/>
        </w:numPr>
        <w:tabs>
          <w:tab w:pos="1130" w:val="left" w:leader="none"/>
          <w:tab w:pos="1134" w:val="left" w:leader="none"/>
        </w:tabs>
        <w:spacing w:line="240" w:lineRule="auto" w:before="252" w:after="0"/>
        <w:ind w:left="1134" w:right="976" w:hanging="567"/>
        <w:jc w:val="both"/>
        <w:rPr>
          <w:sz w:val="22"/>
        </w:rPr>
      </w:pPr>
      <w:r>
        <w:rPr>
          <w:sz w:val="22"/>
        </w:rPr>
        <w:t>Resulta pertinente destacar que los argumentos presentados por la República de Colombia sobre la medida aplicada a las importaciones de productos agrícolas presentan inconsistencias internas, en la medida que, respecto de algunos productos, se invocan riesgos fitosanitarios o de inocuidad, mientras que, respecto de otros, se aducen</w:t>
      </w:r>
      <w:r>
        <w:rPr>
          <w:spacing w:val="-1"/>
          <w:sz w:val="22"/>
        </w:rPr>
        <w:t> </w:t>
      </w:r>
      <w:r>
        <w:rPr>
          <w:sz w:val="22"/>
        </w:rPr>
        <w:t>consideraciones</w:t>
      </w:r>
      <w:r>
        <w:rPr>
          <w:spacing w:val="-3"/>
          <w:sz w:val="22"/>
        </w:rPr>
        <w:t> </w:t>
      </w:r>
      <w:r>
        <w:rPr>
          <w:sz w:val="22"/>
        </w:rPr>
        <w:t>vinculadas</w:t>
      </w:r>
      <w:r>
        <w:rPr>
          <w:spacing w:val="-1"/>
          <w:sz w:val="22"/>
        </w:rPr>
        <w:t> </w:t>
      </w:r>
      <w:r>
        <w:rPr>
          <w:sz w:val="22"/>
        </w:rPr>
        <w:t>al</w:t>
      </w:r>
      <w:r>
        <w:rPr>
          <w:spacing w:val="-2"/>
          <w:sz w:val="22"/>
        </w:rPr>
        <w:t> </w:t>
      </w:r>
      <w:r>
        <w:rPr>
          <w:sz w:val="22"/>
        </w:rPr>
        <w:t>contrabando. En</w:t>
      </w:r>
      <w:r>
        <w:rPr>
          <w:spacing w:val="-2"/>
          <w:sz w:val="22"/>
        </w:rPr>
        <w:t> </w:t>
      </w:r>
      <w:r>
        <w:rPr>
          <w:sz w:val="22"/>
        </w:rPr>
        <w:t>efecto,</w:t>
      </w:r>
      <w:r>
        <w:rPr>
          <w:spacing w:val="-1"/>
          <w:sz w:val="22"/>
        </w:rPr>
        <w:t> </w:t>
      </w:r>
      <w:r>
        <w:rPr>
          <w:sz w:val="22"/>
        </w:rPr>
        <w:t>del</w:t>
      </w:r>
      <w:r>
        <w:rPr>
          <w:spacing w:val="-1"/>
          <w:sz w:val="22"/>
        </w:rPr>
        <w:t> </w:t>
      </w:r>
      <w:r>
        <w:rPr>
          <w:sz w:val="22"/>
        </w:rPr>
        <w:t>examen</w:t>
      </w:r>
      <w:r>
        <w:rPr>
          <w:spacing w:val="-3"/>
          <w:sz w:val="22"/>
        </w:rPr>
        <w:t> </w:t>
      </w:r>
      <w:r>
        <w:rPr>
          <w:sz w:val="22"/>
        </w:rPr>
        <w:t>del</w:t>
      </w:r>
      <w:r>
        <w:rPr>
          <w:spacing w:val="-2"/>
          <w:sz w:val="22"/>
        </w:rPr>
        <w:t> </w:t>
      </w:r>
      <w:r>
        <w:rPr>
          <w:sz w:val="22"/>
        </w:rPr>
        <w:t>Decreto 0170, se desprende que la mención de riesgos fitosanitarios o de inocuidad en la comercialización se limita únicamente a determinados productos, los cuales fueron detallados en la Tabla No. 5, y serán analizados a continuación, de acuerdo con la evidencia presentada en el presente procedimiento.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Sobre este asunto, resulta pertinente destacar que, de acuerdo con lo dispuesto en el artículo 12 de la Decisión 515</w:t>
      </w:r>
      <w:hyperlink w:history="true" w:anchor="_bookmark168">
        <w:r>
          <w:rPr>
            <w:sz w:val="22"/>
            <w:vertAlign w:val="superscript"/>
          </w:rPr>
          <w:t>101</w:t>
        </w:r>
        <w:r>
          <w:rPr>
            <w:sz w:val="22"/>
            <w:vertAlign w:val="baseline"/>
          </w:rPr>
          <w:t>,</w:t>
        </w:r>
      </w:hyperlink>
      <w:r>
        <w:rPr>
          <w:sz w:val="22"/>
          <w:vertAlign w:val="baseline"/>
        </w:rPr>
        <w:t> </w:t>
      </w:r>
      <w:r>
        <w:rPr>
          <w:rFonts w:ascii="Arial" w:hAnsi="Arial"/>
          <w:b/>
          <w:sz w:val="22"/>
          <w:vertAlign w:val="baseline"/>
        </w:rPr>
        <w:t>las normas sanitarias y fitosanitarias deben basarse en principios técnico-científicos, no constituir una restricción innecesaria, injustificada o encubierta al comercio intracomunitario, </w:t>
      </w:r>
      <w:r>
        <w:rPr>
          <w:sz w:val="22"/>
          <w:vertAlign w:val="baseline"/>
        </w:rPr>
        <w:t>y ser conformes con el ordenamiento jurídico comunitario.</w:t>
      </w:r>
    </w:p>
    <w:p>
      <w:pPr>
        <w:pStyle w:val="ListParagraph"/>
        <w:numPr>
          <w:ilvl w:val="0"/>
          <w:numId w:val="50"/>
        </w:numPr>
        <w:tabs>
          <w:tab w:pos="1130" w:val="left" w:leader="none"/>
          <w:tab w:pos="1134" w:val="left" w:leader="none"/>
        </w:tabs>
        <w:spacing w:line="240" w:lineRule="auto" w:before="252" w:after="0"/>
        <w:ind w:left="1134" w:right="979" w:hanging="567"/>
        <w:jc w:val="both"/>
        <w:rPr>
          <w:sz w:val="22"/>
        </w:rPr>
      </w:pPr>
      <w:r>
        <w:rPr>
          <w:sz w:val="22"/>
        </w:rPr>
        <w:t>Asimismo, se dispone que el análisis de riesgo de plagas o enfermedades debe efectuarse con las metodologías desarrolladas y aprobadas por la Comunidad Andina o, de manera supletoria, de acuerdo con aquellas adoptadas por las organizaciones internacionales competentes en esta materia</w:t>
      </w:r>
      <w:hyperlink w:history="true" w:anchor="_bookmark169">
        <w:r>
          <w:rPr>
            <w:sz w:val="22"/>
            <w:vertAlign w:val="superscript"/>
          </w:rPr>
          <w:t>102</w:t>
        </w:r>
      </w:hyperlink>
      <w:r>
        <w:rPr>
          <w:sz w:val="22"/>
          <w:vertAlign w:val="baseline"/>
        </w:rPr>
        <w:t>.</w:t>
      </w:r>
    </w:p>
    <w:p>
      <w:pPr>
        <w:pStyle w:val="BodyText"/>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La Resolución 025</w:t>
      </w:r>
      <w:hyperlink w:history="true" w:anchor="_bookmark170">
        <w:r>
          <w:rPr>
            <w:sz w:val="22"/>
            <w:vertAlign w:val="superscript"/>
          </w:rPr>
          <w:t>103</w:t>
        </w:r>
      </w:hyperlink>
      <w:r>
        <w:rPr>
          <w:sz w:val="22"/>
          <w:vertAlign w:val="baseline"/>
        </w:rPr>
        <w:t> de la SGCAN, desarrolla el Análisis de Riesgo de Plagas (ARP) como</w:t>
      </w:r>
      <w:r>
        <w:rPr>
          <w:spacing w:val="-1"/>
          <w:sz w:val="22"/>
          <w:vertAlign w:val="baseline"/>
        </w:rPr>
        <w:t> </w:t>
      </w:r>
      <w:r>
        <w:rPr>
          <w:sz w:val="22"/>
          <w:vertAlign w:val="baseline"/>
        </w:rPr>
        <w:t>un</w:t>
      </w:r>
      <w:r>
        <w:rPr>
          <w:spacing w:val="-4"/>
          <w:sz w:val="22"/>
          <w:vertAlign w:val="baseline"/>
        </w:rPr>
        <w:t> </w:t>
      </w:r>
      <w:r>
        <w:rPr>
          <w:sz w:val="22"/>
          <w:vertAlign w:val="baseline"/>
        </w:rPr>
        <w:t>procedimiento</w:t>
      </w:r>
      <w:r>
        <w:rPr>
          <w:spacing w:val="-4"/>
          <w:sz w:val="22"/>
          <w:vertAlign w:val="baseline"/>
        </w:rPr>
        <w:t> </w:t>
      </w:r>
      <w:r>
        <w:rPr>
          <w:sz w:val="22"/>
          <w:vertAlign w:val="baseline"/>
        </w:rPr>
        <w:t>técnico</w:t>
      </w:r>
      <w:r>
        <w:rPr>
          <w:spacing w:val="-2"/>
          <w:sz w:val="22"/>
          <w:vertAlign w:val="baseline"/>
        </w:rPr>
        <w:t> </w:t>
      </w:r>
      <w:r>
        <w:rPr>
          <w:sz w:val="22"/>
          <w:vertAlign w:val="baseline"/>
        </w:rPr>
        <w:t>que</w:t>
      </w:r>
      <w:r>
        <w:rPr>
          <w:spacing w:val="-2"/>
          <w:sz w:val="22"/>
          <w:vertAlign w:val="baseline"/>
        </w:rPr>
        <w:t> </w:t>
      </w:r>
      <w:r>
        <w:rPr>
          <w:sz w:val="22"/>
          <w:vertAlign w:val="baseline"/>
        </w:rPr>
        <w:t>exige,</w:t>
      </w:r>
      <w:r>
        <w:rPr>
          <w:spacing w:val="-1"/>
          <w:sz w:val="22"/>
          <w:vertAlign w:val="baseline"/>
        </w:rPr>
        <w:t> </w:t>
      </w:r>
      <w:r>
        <w:rPr>
          <w:sz w:val="22"/>
          <w:vertAlign w:val="baseline"/>
        </w:rPr>
        <w:t>entre</w:t>
      </w:r>
      <w:r>
        <w:rPr>
          <w:spacing w:val="-6"/>
          <w:sz w:val="22"/>
          <w:vertAlign w:val="baseline"/>
        </w:rPr>
        <w:t> </w:t>
      </w:r>
      <w:r>
        <w:rPr>
          <w:sz w:val="22"/>
          <w:vertAlign w:val="baseline"/>
        </w:rPr>
        <w:t>otros</w:t>
      </w:r>
      <w:r>
        <w:rPr>
          <w:spacing w:val="-4"/>
          <w:sz w:val="22"/>
          <w:vertAlign w:val="baseline"/>
        </w:rPr>
        <w:t> </w:t>
      </w:r>
      <w:r>
        <w:rPr>
          <w:sz w:val="22"/>
          <w:vertAlign w:val="baseline"/>
        </w:rPr>
        <w:t>elementos,</w:t>
      </w:r>
      <w:r>
        <w:rPr>
          <w:spacing w:val="-1"/>
          <w:sz w:val="22"/>
          <w:vertAlign w:val="baseline"/>
        </w:rPr>
        <w:t> </w:t>
      </w:r>
      <w:r>
        <w:rPr>
          <w:sz w:val="22"/>
          <w:vertAlign w:val="baseline"/>
        </w:rPr>
        <w:t>identificar</w:t>
      </w:r>
      <w:r>
        <w:rPr>
          <w:spacing w:val="-1"/>
          <w:sz w:val="22"/>
          <w:vertAlign w:val="baseline"/>
        </w:rPr>
        <w:t> </w:t>
      </w:r>
      <w:r>
        <w:rPr>
          <w:sz w:val="22"/>
          <w:vertAlign w:val="baseline"/>
        </w:rPr>
        <w:t>la</w:t>
      </w:r>
      <w:r>
        <w:rPr>
          <w:spacing w:val="-2"/>
          <w:sz w:val="22"/>
          <w:vertAlign w:val="baseline"/>
        </w:rPr>
        <w:t> </w:t>
      </w:r>
      <w:r>
        <w:rPr>
          <w:sz w:val="22"/>
          <w:vertAlign w:val="baseline"/>
        </w:rPr>
        <w:t>plaga,</w:t>
      </w:r>
      <w:r>
        <w:rPr>
          <w:spacing w:val="-1"/>
          <w:sz w:val="22"/>
          <w:vertAlign w:val="baseline"/>
        </w:rPr>
        <w:t> </w:t>
      </w:r>
      <w:r>
        <w:rPr>
          <w:sz w:val="22"/>
          <w:vertAlign w:val="baseline"/>
        </w:rPr>
        <w:t>la determinación de la vía de ingreso, evaluar la probabilidad de introducción, establecimiento y propagación, así como seleccionar opciones de manejo del riesgo, aplicando el criterio de repercusión mínima sobre el comercio</w:t>
      </w:r>
      <w:hyperlink w:history="true" w:anchor="_bookmark171">
        <w:r>
          <w:rPr>
            <w:sz w:val="22"/>
            <w:vertAlign w:val="superscript"/>
          </w:rPr>
          <w:t>104</w:t>
        </w:r>
      </w:hyperlink>
      <w:r>
        <w:rPr>
          <w:sz w:val="22"/>
          <w:vertAlign w:val="baseline"/>
        </w:rPr>
        <w:t> intracomunitario. En paralelo, la jurisprudencia andina ha entendido por restricción cualquier acto imputable a una autoridad que</w:t>
      </w:r>
      <w:r>
        <w:rPr>
          <w:spacing w:val="-1"/>
          <w:sz w:val="22"/>
          <w:vertAlign w:val="baseline"/>
        </w:rPr>
        <w:t> </w:t>
      </w:r>
      <w:r>
        <w:rPr>
          <w:sz w:val="22"/>
          <w:vertAlign w:val="baseline"/>
        </w:rPr>
        <w:t>imposibilite, limite, dificulte</w:t>
      </w:r>
      <w:r>
        <w:rPr>
          <w:spacing w:val="-1"/>
          <w:sz w:val="22"/>
          <w:vertAlign w:val="baseline"/>
        </w:rPr>
        <w:t> </w:t>
      </w:r>
      <w:r>
        <w:rPr>
          <w:sz w:val="22"/>
          <w:vertAlign w:val="baseline"/>
        </w:rPr>
        <w:t>o</w:t>
      </w:r>
      <w:r>
        <w:rPr>
          <w:spacing w:val="-1"/>
          <w:sz w:val="22"/>
          <w:vertAlign w:val="baseline"/>
        </w:rPr>
        <w:t> </w:t>
      </w:r>
      <w:r>
        <w:rPr>
          <w:sz w:val="22"/>
          <w:vertAlign w:val="baseline"/>
        </w:rPr>
        <w:t>encarezca las importaciones, incluso cuando la medida se presente bajo forma administrativa o técnica.</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En</w:t>
      </w:r>
      <w:r>
        <w:rPr>
          <w:spacing w:val="-16"/>
          <w:sz w:val="22"/>
        </w:rPr>
        <w:t> </w:t>
      </w:r>
      <w:r>
        <w:rPr>
          <w:sz w:val="22"/>
        </w:rPr>
        <w:t>ese</w:t>
      </w:r>
      <w:r>
        <w:rPr>
          <w:spacing w:val="-15"/>
          <w:sz w:val="22"/>
        </w:rPr>
        <w:t> </w:t>
      </w:r>
      <w:r>
        <w:rPr>
          <w:sz w:val="22"/>
        </w:rPr>
        <w:t>marco,</w:t>
      </w:r>
      <w:r>
        <w:rPr>
          <w:spacing w:val="-15"/>
          <w:sz w:val="22"/>
        </w:rPr>
        <w:t> </w:t>
      </w:r>
      <w:r>
        <w:rPr>
          <w:sz w:val="22"/>
        </w:rPr>
        <w:t>la</w:t>
      </w:r>
      <w:r>
        <w:rPr>
          <w:spacing w:val="-16"/>
          <w:sz w:val="22"/>
        </w:rPr>
        <w:t> </w:t>
      </w:r>
      <w:r>
        <w:rPr>
          <w:sz w:val="22"/>
        </w:rPr>
        <w:t>ausencia</w:t>
      </w:r>
      <w:r>
        <w:rPr>
          <w:spacing w:val="-15"/>
          <w:sz w:val="22"/>
        </w:rPr>
        <w:t> </w:t>
      </w:r>
      <w:r>
        <w:rPr>
          <w:sz w:val="22"/>
        </w:rPr>
        <w:t>de</w:t>
      </w:r>
      <w:r>
        <w:rPr>
          <w:spacing w:val="-15"/>
          <w:sz w:val="22"/>
        </w:rPr>
        <w:t> </w:t>
      </w:r>
      <w:r>
        <w:rPr>
          <w:sz w:val="22"/>
        </w:rPr>
        <w:t>ARP</w:t>
      </w:r>
      <w:r>
        <w:rPr>
          <w:spacing w:val="-15"/>
          <w:sz w:val="22"/>
        </w:rPr>
        <w:t> </w:t>
      </w:r>
      <w:r>
        <w:rPr>
          <w:sz w:val="22"/>
        </w:rPr>
        <w:t>específico</w:t>
      </w:r>
      <w:r>
        <w:rPr>
          <w:spacing w:val="-16"/>
          <w:sz w:val="22"/>
        </w:rPr>
        <w:t> </w:t>
      </w:r>
      <w:r>
        <w:rPr>
          <w:sz w:val="22"/>
        </w:rPr>
        <w:t>no</w:t>
      </w:r>
      <w:r>
        <w:rPr>
          <w:spacing w:val="-15"/>
          <w:sz w:val="22"/>
        </w:rPr>
        <w:t> </w:t>
      </w:r>
      <w:r>
        <w:rPr>
          <w:sz w:val="22"/>
        </w:rPr>
        <w:t>constituye</w:t>
      </w:r>
      <w:r>
        <w:rPr>
          <w:spacing w:val="-15"/>
          <w:sz w:val="22"/>
        </w:rPr>
        <w:t> </w:t>
      </w:r>
      <w:r>
        <w:rPr>
          <w:sz w:val="22"/>
        </w:rPr>
        <w:t>un</w:t>
      </w:r>
      <w:r>
        <w:rPr>
          <w:spacing w:val="-16"/>
          <w:sz w:val="22"/>
        </w:rPr>
        <w:t> </w:t>
      </w:r>
      <w:r>
        <w:rPr>
          <w:sz w:val="22"/>
        </w:rPr>
        <w:t>defecto</w:t>
      </w:r>
      <w:r>
        <w:rPr>
          <w:spacing w:val="-15"/>
          <w:sz w:val="22"/>
        </w:rPr>
        <w:t> </w:t>
      </w:r>
      <w:r>
        <w:rPr>
          <w:sz w:val="22"/>
        </w:rPr>
        <w:t>menor.</w:t>
      </w:r>
      <w:r>
        <w:rPr>
          <w:spacing w:val="-15"/>
          <w:sz w:val="22"/>
        </w:rPr>
        <w:t> </w:t>
      </w:r>
      <w:r>
        <w:rPr>
          <w:sz w:val="22"/>
        </w:rPr>
        <w:t>En</w:t>
      </w:r>
      <w:r>
        <w:rPr>
          <w:spacing w:val="-15"/>
          <w:sz w:val="22"/>
        </w:rPr>
        <w:t> </w:t>
      </w:r>
      <w:r>
        <w:rPr>
          <w:sz w:val="22"/>
        </w:rPr>
        <w:t>efecto, cuando una autoridad adopta una canalización territorial, una prohibición de ingreso o un trato diferenciado por origen, sin sustentar técnicamente el riesgo asociado a cada producto</w:t>
      </w:r>
      <w:r>
        <w:rPr>
          <w:spacing w:val="-4"/>
          <w:sz w:val="22"/>
        </w:rPr>
        <w:t> </w:t>
      </w:r>
      <w:r>
        <w:rPr>
          <w:sz w:val="22"/>
        </w:rPr>
        <w:t>y</w:t>
      </w:r>
      <w:r>
        <w:rPr>
          <w:spacing w:val="-3"/>
          <w:sz w:val="22"/>
        </w:rPr>
        <w:t> </w:t>
      </w:r>
      <w:r>
        <w:rPr>
          <w:sz w:val="22"/>
        </w:rPr>
        <w:t>a</w:t>
      </w:r>
      <w:r>
        <w:rPr>
          <w:spacing w:val="-4"/>
          <w:sz w:val="22"/>
        </w:rPr>
        <w:t> </w:t>
      </w:r>
      <w:r>
        <w:rPr>
          <w:sz w:val="22"/>
        </w:rPr>
        <w:t>cada</w:t>
      </w:r>
      <w:r>
        <w:rPr>
          <w:spacing w:val="-3"/>
          <w:sz w:val="22"/>
        </w:rPr>
        <w:t> </w:t>
      </w:r>
      <w:r>
        <w:rPr>
          <w:sz w:val="22"/>
        </w:rPr>
        <w:t>vía</w:t>
      </w:r>
      <w:r>
        <w:rPr>
          <w:spacing w:val="-4"/>
          <w:sz w:val="22"/>
        </w:rPr>
        <w:t> </w:t>
      </w:r>
      <w:r>
        <w:rPr>
          <w:sz w:val="22"/>
        </w:rPr>
        <w:t>de</w:t>
      </w:r>
      <w:r>
        <w:rPr>
          <w:spacing w:val="-4"/>
          <w:sz w:val="22"/>
        </w:rPr>
        <w:t> </w:t>
      </w:r>
      <w:r>
        <w:rPr>
          <w:sz w:val="22"/>
        </w:rPr>
        <w:t>ingreso, la</w:t>
      </w:r>
      <w:r>
        <w:rPr>
          <w:spacing w:val="-4"/>
          <w:sz w:val="22"/>
        </w:rPr>
        <w:t> </w:t>
      </w:r>
      <w:r>
        <w:rPr>
          <w:sz w:val="22"/>
        </w:rPr>
        <w:t>medida</w:t>
      </w:r>
      <w:r>
        <w:rPr>
          <w:spacing w:val="-4"/>
          <w:sz w:val="22"/>
        </w:rPr>
        <w:t> </w:t>
      </w:r>
      <w:r>
        <w:rPr>
          <w:sz w:val="22"/>
        </w:rPr>
        <w:t>pierde</w:t>
      </w:r>
      <w:r>
        <w:rPr>
          <w:spacing w:val="-2"/>
          <w:sz w:val="22"/>
        </w:rPr>
        <w:t> </w:t>
      </w:r>
      <w:r>
        <w:rPr>
          <w:sz w:val="22"/>
        </w:rPr>
        <w:t>su</w:t>
      </w:r>
      <w:r>
        <w:rPr>
          <w:spacing w:val="-4"/>
          <w:sz w:val="22"/>
        </w:rPr>
        <w:t> </w:t>
      </w:r>
      <w:r>
        <w:rPr>
          <w:sz w:val="22"/>
        </w:rPr>
        <w:t>justificación</w:t>
      </w:r>
      <w:r>
        <w:rPr>
          <w:spacing w:val="-4"/>
          <w:sz w:val="22"/>
        </w:rPr>
        <w:t> </w:t>
      </w:r>
      <w:r>
        <w:rPr>
          <w:sz w:val="22"/>
        </w:rPr>
        <w:t>fitosanitaria</w:t>
      </w:r>
      <w:r>
        <w:rPr>
          <w:spacing w:val="-2"/>
          <w:sz w:val="22"/>
        </w:rPr>
        <w:t> </w:t>
      </w:r>
      <w:r>
        <w:rPr>
          <w:sz w:val="22"/>
        </w:rPr>
        <w:t>y</w:t>
      </w:r>
      <w:r>
        <w:rPr>
          <w:spacing w:val="-4"/>
          <w:sz w:val="22"/>
        </w:rPr>
        <w:t> </w:t>
      </w:r>
      <w:r>
        <w:rPr>
          <w:sz w:val="22"/>
        </w:rPr>
        <w:t>pasa</w:t>
      </w:r>
      <w:r>
        <w:rPr>
          <w:spacing w:val="-4"/>
          <w:sz w:val="22"/>
        </w:rPr>
        <w:t> </w:t>
      </w:r>
      <w:r>
        <w:rPr>
          <w:sz w:val="22"/>
        </w:rPr>
        <w:t>a configurarse como una restricción incompatible con el ordenamiento jurídico comunitario, objetable a la luz del Acuerdo de Cartagena.</w:t>
      </w:r>
    </w:p>
    <w:p>
      <w:pPr>
        <w:pStyle w:val="BodyText"/>
        <w:spacing w:before="182"/>
        <w:rPr>
          <w:sz w:val="20"/>
        </w:rPr>
      </w:pPr>
      <w:r>
        <w:rPr>
          <w:sz w:val="20"/>
        </w:rPr>
        <mc:AlternateContent>
          <mc:Choice Requires="wps">
            <w:drawing>
              <wp:anchor distT="0" distB="0" distL="0" distR="0" allowOverlap="1" layoutInCell="1" locked="0" behindDoc="1" simplePos="0" relativeHeight="487660544">
                <wp:simplePos x="0" y="0"/>
                <wp:positionH relativeFrom="page">
                  <wp:posOffset>990904</wp:posOffset>
                </wp:positionH>
                <wp:positionV relativeFrom="paragraph">
                  <wp:posOffset>277052</wp:posOffset>
                </wp:positionV>
                <wp:extent cx="1829435" cy="7620"/>
                <wp:effectExtent l="0" t="0" r="0" b="0"/>
                <wp:wrapTopAndBottom/>
                <wp:docPr id="563" name="Graphic 563"/>
                <wp:cNvGraphicFramePr>
                  <a:graphicFrameLocks/>
                </wp:cNvGraphicFramePr>
                <a:graphic>
                  <a:graphicData uri="http://schemas.microsoft.com/office/word/2010/wordprocessingShape">
                    <wps:wsp>
                      <wps:cNvPr id="563" name="Graphic 563"/>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1.815138pt;width:144.020pt;height:.599980pt;mso-position-horizontal-relative:page;mso-position-vertical-relative:paragraph;z-index:-15655936;mso-wrap-distance-left:0;mso-wrap-distance-right:0" id="docshape389" filled="true" fillcolor="#000000" stroked="false">
                <v:fill type="solid"/>
                <w10:wrap type="topAndBottom"/>
              </v:rect>
            </w:pict>
          </mc:Fallback>
        </mc:AlternateContent>
      </w:r>
    </w:p>
    <w:p>
      <w:pPr>
        <w:spacing w:line="183" w:lineRule="exact" w:before="92"/>
        <w:ind w:left="568" w:right="0" w:firstLine="0"/>
        <w:jc w:val="both"/>
        <w:rPr>
          <w:sz w:val="16"/>
        </w:rPr>
      </w:pPr>
      <w:bookmarkStart w:name="_bookmark167" w:id="168"/>
      <w:bookmarkEnd w:id="168"/>
      <w:r>
        <w:rPr/>
      </w:r>
      <w:r>
        <w:rPr>
          <w:sz w:val="16"/>
          <w:vertAlign w:val="superscript"/>
        </w:rPr>
        <w:t>100</w:t>
      </w:r>
      <w:r>
        <w:rPr>
          <w:spacing w:val="-10"/>
          <w:sz w:val="16"/>
          <w:vertAlign w:val="baseline"/>
        </w:rPr>
        <w:t> </w:t>
      </w:r>
      <w:bookmarkStart w:name="_bookmark168" w:id="169"/>
      <w:bookmarkEnd w:id="169"/>
      <w:r>
        <w:rPr>
          <w:sz w:val="16"/>
          <w:vertAlign w:val="baseline"/>
        </w:rPr>
        <w:t>E</w:t>
      </w:r>
      <w:r>
        <w:rPr>
          <w:sz w:val="16"/>
          <w:vertAlign w:val="baseline"/>
        </w:rPr>
        <w:t>xpediente</w:t>
      </w:r>
      <w:r>
        <w:rPr>
          <w:spacing w:val="-10"/>
          <w:sz w:val="16"/>
          <w:vertAlign w:val="baseline"/>
        </w:rPr>
        <w:t> </w:t>
      </w:r>
      <w:r>
        <w:rPr>
          <w:sz w:val="16"/>
          <w:vertAlign w:val="baseline"/>
        </w:rPr>
        <w:t>DGCOM/GRAV-REST/002/2026,</w:t>
      </w:r>
      <w:r>
        <w:rPr>
          <w:spacing w:val="-10"/>
          <w:sz w:val="16"/>
          <w:vertAlign w:val="baseline"/>
        </w:rPr>
        <w:t> </w:t>
      </w:r>
      <w:r>
        <w:rPr>
          <w:rFonts w:ascii="Arial"/>
          <w:i/>
          <w:spacing w:val="-2"/>
          <w:sz w:val="16"/>
          <w:vertAlign w:val="baseline"/>
        </w:rPr>
        <w:t>Ibidem</w:t>
      </w:r>
      <w:r>
        <w:rPr>
          <w:spacing w:val="-2"/>
          <w:sz w:val="16"/>
          <w:vertAlign w:val="baseline"/>
        </w:rPr>
        <w:t>.</w:t>
      </w:r>
    </w:p>
    <w:p>
      <w:pPr>
        <w:spacing w:line="247" w:lineRule="auto" w:before="0"/>
        <w:ind w:left="568" w:right="988" w:firstLine="0"/>
        <w:jc w:val="both"/>
        <w:rPr>
          <w:sz w:val="16"/>
        </w:rPr>
      </w:pPr>
      <w:r>
        <w:rPr>
          <w:sz w:val="16"/>
          <w:vertAlign w:val="superscript"/>
        </w:rPr>
        <w:t>101</w:t>
      </w:r>
      <w:r>
        <w:rPr>
          <w:sz w:val="16"/>
          <w:vertAlign w:val="baseline"/>
        </w:rPr>
        <w:t> Sistema Andino de Sanidad Agropecuaria que establece el marco jurídico andino para la adopción de medidas sanitarias y fitosanitarias de aplicación al comercio intrasubregional y con terceros países de plantas, productos vegetales, artículos reglamentados, animales y sus productos.</w:t>
      </w:r>
    </w:p>
    <w:p>
      <w:pPr>
        <w:spacing w:line="180" w:lineRule="exact" w:before="0"/>
        <w:ind w:left="568" w:right="0" w:firstLine="0"/>
        <w:jc w:val="both"/>
        <w:rPr>
          <w:sz w:val="16"/>
        </w:rPr>
      </w:pPr>
      <w:bookmarkStart w:name="_bookmark169" w:id="170"/>
      <w:bookmarkEnd w:id="170"/>
      <w:r>
        <w:rPr/>
      </w:r>
      <w:r>
        <w:rPr>
          <w:sz w:val="16"/>
          <w:vertAlign w:val="superscript"/>
        </w:rPr>
        <w:t>102</w:t>
      </w:r>
      <w:r>
        <w:rPr>
          <w:spacing w:val="-4"/>
          <w:sz w:val="16"/>
          <w:vertAlign w:val="baseline"/>
        </w:rPr>
        <w:t> </w:t>
      </w:r>
      <w:r>
        <w:rPr>
          <w:sz w:val="16"/>
          <w:vertAlign w:val="baseline"/>
        </w:rPr>
        <w:t>Artículo</w:t>
      </w:r>
      <w:r>
        <w:rPr>
          <w:spacing w:val="-3"/>
          <w:sz w:val="16"/>
          <w:vertAlign w:val="baseline"/>
        </w:rPr>
        <w:t> </w:t>
      </w:r>
      <w:r>
        <w:rPr>
          <w:sz w:val="16"/>
          <w:vertAlign w:val="baseline"/>
        </w:rPr>
        <w:t>15</w:t>
      </w:r>
      <w:r>
        <w:rPr>
          <w:spacing w:val="-3"/>
          <w:sz w:val="16"/>
          <w:vertAlign w:val="baseline"/>
        </w:rPr>
        <w:t> </w:t>
      </w:r>
      <w:r>
        <w:rPr>
          <w:sz w:val="16"/>
          <w:vertAlign w:val="baseline"/>
        </w:rPr>
        <w:t>de</w:t>
      </w:r>
      <w:r>
        <w:rPr>
          <w:spacing w:val="-6"/>
          <w:sz w:val="16"/>
          <w:vertAlign w:val="baseline"/>
        </w:rPr>
        <w:t> </w:t>
      </w:r>
      <w:r>
        <w:rPr>
          <w:sz w:val="16"/>
          <w:vertAlign w:val="baseline"/>
        </w:rPr>
        <w:t>la</w:t>
      </w:r>
      <w:r>
        <w:rPr>
          <w:spacing w:val="-4"/>
          <w:sz w:val="16"/>
          <w:vertAlign w:val="baseline"/>
        </w:rPr>
        <w:t> </w:t>
      </w:r>
      <w:r>
        <w:rPr>
          <w:sz w:val="16"/>
          <w:vertAlign w:val="baseline"/>
        </w:rPr>
        <w:t>Decisión</w:t>
      </w:r>
      <w:r>
        <w:rPr>
          <w:spacing w:val="-3"/>
          <w:sz w:val="16"/>
          <w:vertAlign w:val="baseline"/>
        </w:rPr>
        <w:t> </w:t>
      </w:r>
      <w:r>
        <w:rPr>
          <w:spacing w:val="-4"/>
          <w:sz w:val="16"/>
          <w:vertAlign w:val="baseline"/>
        </w:rPr>
        <w:t>515.</w:t>
      </w:r>
    </w:p>
    <w:p>
      <w:pPr>
        <w:spacing w:before="0"/>
        <w:ind w:left="568" w:right="978" w:firstLine="0"/>
        <w:jc w:val="both"/>
        <w:rPr>
          <w:sz w:val="16"/>
        </w:rPr>
      </w:pPr>
      <w:bookmarkStart w:name="_bookmark170" w:id="171"/>
      <w:bookmarkEnd w:id="171"/>
      <w:r>
        <w:rPr/>
      </w:r>
      <w:r>
        <w:rPr>
          <w:sz w:val="16"/>
          <w:vertAlign w:val="superscript"/>
        </w:rPr>
        <w:t>103</w:t>
      </w:r>
      <w:r>
        <w:rPr>
          <w:spacing w:val="-12"/>
          <w:sz w:val="16"/>
          <w:vertAlign w:val="baseline"/>
        </w:rPr>
        <w:t> </w:t>
      </w:r>
      <w:r>
        <w:rPr>
          <w:sz w:val="16"/>
          <w:vertAlign w:val="baseline"/>
        </w:rPr>
        <w:t>Norma</w:t>
      </w:r>
      <w:r>
        <w:rPr>
          <w:spacing w:val="-11"/>
          <w:sz w:val="16"/>
          <w:vertAlign w:val="baseline"/>
        </w:rPr>
        <w:t> </w:t>
      </w:r>
      <w:r>
        <w:rPr>
          <w:sz w:val="16"/>
          <w:vertAlign w:val="baseline"/>
        </w:rPr>
        <w:t>Fitosanitaria</w:t>
      </w:r>
      <w:r>
        <w:rPr>
          <w:spacing w:val="-11"/>
          <w:sz w:val="16"/>
          <w:vertAlign w:val="baseline"/>
        </w:rPr>
        <w:t> </w:t>
      </w:r>
      <w:r>
        <w:rPr>
          <w:sz w:val="16"/>
          <w:vertAlign w:val="baseline"/>
        </w:rPr>
        <w:t>Andina</w:t>
      </w:r>
      <w:r>
        <w:rPr>
          <w:spacing w:val="-11"/>
          <w:sz w:val="16"/>
          <w:vertAlign w:val="baseline"/>
        </w:rPr>
        <w:t> </w:t>
      </w:r>
      <w:r>
        <w:rPr>
          <w:sz w:val="16"/>
          <w:vertAlign w:val="baseline"/>
        </w:rPr>
        <w:t>relativa</w:t>
      </w:r>
      <w:r>
        <w:rPr>
          <w:spacing w:val="-11"/>
          <w:sz w:val="16"/>
          <w:vertAlign w:val="baseline"/>
        </w:rPr>
        <w:t> </w:t>
      </w:r>
      <w:r>
        <w:rPr>
          <w:sz w:val="16"/>
          <w:vertAlign w:val="baseline"/>
        </w:rPr>
        <w:t>al</w:t>
      </w:r>
      <w:r>
        <w:rPr>
          <w:spacing w:val="-11"/>
          <w:sz w:val="16"/>
          <w:vertAlign w:val="baseline"/>
        </w:rPr>
        <w:t> </w:t>
      </w:r>
      <w:r>
        <w:rPr>
          <w:sz w:val="16"/>
          <w:vertAlign w:val="baseline"/>
        </w:rPr>
        <w:t>análisis</w:t>
      </w:r>
      <w:r>
        <w:rPr>
          <w:spacing w:val="-11"/>
          <w:sz w:val="16"/>
          <w:vertAlign w:val="baseline"/>
        </w:rPr>
        <w:t> </w:t>
      </w:r>
      <w:r>
        <w:rPr>
          <w:sz w:val="16"/>
          <w:vertAlign w:val="baseline"/>
        </w:rPr>
        <w:t>del</w:t>
      </w:r>
      <w:r>
        <w:rPr>
          <w:spacing w:val="-11"/>
          <w:sz w:val="16"/>
          <w:vertAlign w:val="baseline"/>
        </w:rPr>
        <w:t> </w:t>
      </w:r>
      <w:r>
        <w:rPr>
          <w:sz w:val="16"/>
          <w:vertAlign w:val="baseline"/>
        </w:rPr>
        <w:t>riesgo</w:t>
      </w:r>
      <w:r>
        <w:rPr>
          <w:spacing w:val="-12"/>
          <w:sz w:val="16"/>
          <w:vertAlign w:val="baseline"/>
        </w:rPr>
        <w:t> </w:t>
      </w:r>
      <w:r>
        <w:rPr>
          <w:sz w:val="16"/>
          <w:vertAlign w:val="baseline"/>
        </w:rPr>
        <w:t>de</w:t>
      </w:r>
      <w:r>
        <w:rPr>
          <w:spacing w:val="-11"/>
          <w:sz w:val="16"/>
          <w:vertAlign w:val="baseline"/>
        </w:rPr>
        <w:t> </w:t>
      </w:r>
      <w:r>
        <w:rPr>
          <w:sz w:val="16"/>
          <w:vertAlign w:val="baseline"/>
        </w:rPr>
        <w:t>plagas,</w:t>
      </w:r>
      <w:r>
        <w:rPr>
          <w:spacing w:val="-11"/>
          <w:sz w:val="16"/>
          <w:vertAlign w:val="baseline"/>
        </w:rPr>
        <w:t> </w:t>
      </w:r>
      <w:r>
        <w:rPr>
          <w:sz w:val="16"/>
          <w:vertAlign w:val="baseline"/>
        </w:rPr>
        <w:t>que</w:t>
      </w:r>
      <w:r>
        <w:rPr>
          <w:spacing w:val="-11"/>
          <w:sz w:val="16"/>
          <w:vertAlign w:val="baseline"/>
        </w:rPr>
        <w:t> </w:t>
      </w:r>
      <w:r>
        <w:rPr>
          <w:sz w:val="16"/>
          <w:vertAlign w:val="baseline"/>
        </w:rPr>
        <w:t>establece</w:t>
      </w:r>
      <w:r>
        <w:rPr>
          <w:spacing w:val="-11"/>
          <w:sz w:val="16"/>
          <w:vertAlign w:val="baseline"/>
        </w:rPr>
        <w:t> </w:t>
      </w:r>
      <w:r>
        <w:rPr>
          <w:sz w:val="16"/>
          <w:vertAlign w:val="baseline"/>
        </w:rPr>
        <w:t>las</w:t>
      </w:r>
      <w:r>
        <w:rPr>
          <w:spacing w:val="-11"/>
          <w:sz w:val="16"/>
          <w:vertAlign w:val="baseline"/>
        </w:rPr>
        <w:t> </w:t>
      </w:r>
      <w:r>
        <w:rPr>
          <w:sz w:val="16"/>
          <w:vertAlign w:val="baseline"/>
        </w:rPr>
        <w:t>pautas</w:t>
      </w:r>
      <w:r>
        <w:rPr>
          <w:spacing w:val="-11"/>
          <w:sz w:val="16"/>
          <w:vertAlign w:val="baseline"/>
        </w:rPr>
        <w:t> </w:t>
      </w:r>
      <w:r>
        <w:rPr>
          <w:sz w:val="16"/>
          <w:vertAlign w:val="baseline"/>
        </w:rPr>
        <w:t>sobre</w:t>
      </w:r>
      <w:r>
        <w:rPr>
          <w:spacing w:val="-11"/>
          <w:sz w:val="16"/>
          <w:vertAlign w:val="baseline"/>
        </w:rPr>
        <w:t> </w:t>
      </w:r>
      <w:r>
        <w:rPr>
          <w:sz w:val="16"/>
          <w:vertAlign w:val="baseline"/>
        </w:rPr>
        <w:t>los</w:t>
      </w:r>
      <w:r>
        <w:rPr>
          <w:spacing w:val="-11"/>
          <w:sz w:val="16"/>
          <w:vertAlign w:val="baseline"/>
        </w:rPr>
        <w:t> </w:t>
      </w:r>
      <w:r>
        <w:rPr>
          <w:sz w:val="16"/>
          <w:vertAlign w:val="baseline"/>
        </w:rPr>
        <w:t>procedimientos</w:t>
      </w:r>
      <w:r>
        <w:rPr>
          <w:spacing w:val="-12"/>
          <w:sz w:val="16"/>
          <w:vertAlign w:val="baseline"/>
        </w:rPr>
        <w:t> </w:t>
      </w:r>
      <w:r>
        <w:rPr>
          <w:sz w:val="16"/>
          <w:vertAlign w:val="baseline"/>
        </w:rPr>
        <w:t>técnicos y operativos para efectuar un análisis del riesgo fitosanitario en la Subregión Andina, en relación con el comercio internacional de plantas y productos vegetales, aplicado al comercio intrasubregional con terceros países, de 13 de noviembre de 1997.</w:t>
      </w:r>
    </w:p>
    <w:p>
      <w:pPr>
        <w:spacing w:before="0"/>
        <w:ind w:left="568" w:right="0" w:firstLine="0"/>
        <w:jc w:val="both"/>
        <w:rPr>
          <w:sz w:val="16"/>
        </w:rPr>
      </w:pPr>
      <w:bookmarkStart w:name="_bookmark171" w:id="172"/>
      <w:bookmarkEnd w:id="172"/>
      <w:r>
        <w:rPr/>
      </w:r>
      <w:r>
        <w:rPr>
          <w:sz w:val="16"/>
          <w:vertAlign w:val="superscript"/>
        </w:rPr>
        <w:t>104</w:t>
      </w:r>
      <w:r>
        <w:rPr>
          <w:spacing w:val="-4"/>
          <w:sz w:val="16"/>
          <w:vertAlign w:val="baseline"/>
        </w:rPr>
        <w:t> </w:t>
      </w:r>
      <w:r>
        <w:rPr>
          <w:sz w:val="16"/>
          <w:vertAlign w:val="baseline"/>
        </w:rPr>
        <w:t>Artículo</w:t>
      </w:r>
      <w:r>
        <w:rPr>
          <w:spacing w:val="-3"/>
          <w:sz w:val="16"/>
          <w:vertAlign w:val="baseline"/>
        </w:rPr>
        <w:t> </w:t>
      </w:r>
      <w:r>
        <w:rPr>
          <w:sz w:val="16"/>
          <w:vertAlign w:val="baseline"/>
        </w:rPr>
        <w:t>4</w:t>
      </w:r>
      <w:r>
        <w:rPr>
          <w:spacing w:val="-4"/>
          <w:sz w:val="16"/>
          <w:vertAlign w:val="baseline"/>
        </w:rPr>
        <w:t> </w:t>
      </w:r>
      <w:r>
        <w:rPr>
          <w:sz w:val="16"/>
          <w:vertAlign w:val="baseline"/>
        </w:rPr>
        <w:t>de</w:t>
      </w:r>
      <w:r>
        <w:rPr>
          <w:spacing w:val="-6"/>
          <w:sz w:val="16"/>
          <w:vertAlign w:val="baseline"/>
        </w:rPr>
        <w:t> </w:t>
      </w:r>
      <w:r>
        <w:rPr>
          <w:sz w:val="16"/>
          <w:vertAlign w:val="baseline"/>
        </w:rPr>
        <w:t>la</w:t>
      </w:r>
      <w:r>
        <w:rPr>
          <w:spacing w:val="-3"/>
          <w:sz w:val="16"/>
          <w:vertAlign w:val="baseline"/>
        </w:rPr>
        <w:t> </w:t>
      </w:r>
      <w:r>
        <w:rPr>
          <w:sz w:val="16"/>
          <w:vertAlign w:val="baseline"/>
        </w:rPr>
        <w:t>Resolución</w:t>
      </w:r>
      <w:r>
        <w:rPr>
          <w:spacing w:val="-4"/>
          <w:sz w:val="16"/>
          <w:vertAlign w:val="baseline"/>
        </w:rPr>
        <w:t> 025.</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64" name="Group 564"/>
                <wp:cNvGraphicFramePr>
                  <a:graphicFrameLocks/>
                </wp:cNvGraphicFramePr>
                <a:graphic>
                  <a:graphicData uri="http://schemas.microsoft.com/office/word/2010/wordprocessingGroup">
                    <wpg:wgp>
                      <wpg:cNvPr id="564" name="Group 564"/>
                      <wpg:cNvGrpSpPr/>
                      <wpg:grpSpPr>
                        <a:xfrm>
                          <a:off x="0" y="0"/>
                          <a:ext cx="6131560" cy="9525"/>
                          <a:chExt cx="6131560" cy="9525"/>
                        </a:xfrm>
                      </wpg:grpSpPr>
                      <wps:wsp>
                        <wps:cNvPr id="565" name="Graphic 565"/>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390"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spacing w:before="176"/>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Con el propósito de evaluar la medida adoptada por la República de Colombia, se procederá a realizar, para cada uno de los productos comprendidos, el siguiente esquema de análisis:</w:t>
      </w:r>
    </w:p>
    <w:p>
      <w:pPr>
        <w:pStyle w:val="BodyText"/>
        <w:spacing w:before="1"/>
      </w:pPr>
    </w:p>
    <w:p>
      <w:pPr>
        <w:pStyle w:val="ListParagraph"/>
        <w:numPr>
          <w:ilvl w:val="0"/>
          <w:numId w:val="105"/>
        </w:numPr>
        <w:tabs>
          <w:tab w:pos="1701" w:val="left" w:leader="none"/>
        </w:tabs>
        <w:spacing w:line="240" w:lineRule="auto" w:before="0" w:after="0"/>
        <w:ind w:left="1701" w:right="977" w:hanging="576"/>
        <w:jc w:val="both"/>
        <w:rPr>
          <w:sz w:val="22"/>
        </w:rPr>
      </w:pPr>
      <w:r>
        <w:rPr>
          <w:sz w:val="22"/>
        </w:rPr>
        <w:t>Determinar si el producto se encuentra sujeto a una categoría de riesgo que, conforme a la normativa comunitaria, requiere la realización de un ARP o de un soporte técnico equivalente;</w:t>
      </w:r>
    </w:p>
    <w:p>
      <w:pPr>
        <w:pStyle w:val="ListParagraph"/>
        <w:numPr>
          <w:ilvl w:val="0"/>
          <w:numId w:val="105"/>
        </w:numPr>
        <w:tabs>
          <w:tab w:pos="1701" w:val="left" w:leader="none"/>
        </w:tabs>
        <w:spacing w:line="240" w:lineRule="auto" w:before="0" w:after="0"/>
        <w:ind w:left="1701" w:right="978" w:hanging="576"/>
        <w:jc w:val="both"/>
        <w:rPr>
          <w:sz w:val="22"/>
        </w:rPr>
      </w:pPr>
      <w:r>
        <w:rPr>
          <w:sz w:val="22"/>
        </w:rPr>
        <w:t>Verificar si en el expediente administrativo obra evidencia de un ARP específico, elaborado por subpartida arancelaria y con la debida fundamentación técnico-</w:t>
      </w:r>
      <w:r>
        <w:rPr>
          <w:spacing w:val="-2"/>
          <w:sz w:val="22"/>
        </w:rPr>
        <w:t>científica;</w:t>
      </w:r>
    </w:p>
    <w:p>
      <w:pPr>
        <w:pStyle w:val="ListParagraph"/>
        <w:numPr>
          <w:ilvl w:val="0"/>
          <w:numId w:val="105"/>
        </w:numPr>
        <w:tabs>
          <w:tab w:pos="1701" w:val="left" w:leader="none"/>
        </w:tabs>
        <w:spacing w:line="240" w:lineRule="auto" w:before="0" w:after="0"/>
        <w:ind w:left="1701" w:right="978" w:hanging="576"/>
        <w:jc w:val="both"/>
        <w:rPr>
          <w:sz w:val="22"/>
        </w:rPr>
      </w:pPr>
      <w:r>
        <w:rPr>
          <w:sz w:val="22"/>
        </w:rPr>
        <w:t>Constatar si la medida de canalización territorial fue incorporada formalmente como requisito fitosanitario publicado o registrado; y</w:t>
      </w:r>
    </w:p>
    <w:p>
      <w:pPr>
        <w:pStyle w:val="ListParagraph"/>
        <w:numPr>
          <w:ilvl w:val="0"/>
          <w:numId w:val="105"/>
        </w:numPr>
        <w:tabs>
          <w:tab w:pos="1701" w:val="left" w:leader="none"/>
        </w:tabs>
        <w:spacing w:line="240" w:lineRule="auto" w:before="0" w:after="0"/>
        <w:ind w:left="1701" w:right="979" w:hanging="576"/>
        <w:jc w:val="both"/>
        <w:rPr>
          <w:sz w:val="22"/>
        </w:rPr>
      </w:pPr>
      <w:r>
        <w:rPr>
          <w:sz w:val="22"/>
        </w:rPr>
        <w:t>Evaluar</w:t>
      </w:r>
      <w:r>
        <w:rPr>
          <w:spacing w:val="-16"/>
          <w:sz w:val="22"/>
        </w:rPr>
        <w:t> </w:t>
      </w:r>
      <w:r>
        <w:rPr>
          <w:sz w:val="22"/>
        </w:rPr>
        <w:t>si</w:t>
      </w:r>
      <w:r>
        <w:rPr>
          <w:spacing w:val="-15"/>
          <w:sz w:val="22"/>
        </w:rPr>
        <w:t> </w:t>
      </w:r>
      <w:r>
        <w:rPr>
          <w:sz w:val="22"/>
        </w:rPr>
        <w:t>el</w:t>
      </w:r>
      <w:r>
        <w:rPr>
          <w:spacing w:val="-15"/>
          <w:sz w:val="22"/>
        </w:rPr>
        <w:t> </w:t>
      </w:r>
      <w:r>
        <w:rPr>
          <w:sz w:val="22"/>
        </w:rPr>
        <w:t>efecto</w:t>
      </w:r>
      <w:r>
        <w:rPr>
          <w:spacing w:val="-16"/>
          <w:sz w:val="22"/>
        </w:rPr>
        <w:t> </w:t>
      </w:r>
      <w:r>
        <w:rPr>
          <w:sz w:val="22"/>
        </w:rPr>
        <w:t>práctico</w:t>
      </w:r>
      <w:r>
        <w:rPr>
          <w:spacing w:val="-15"/>
          <w:sz w:val="22"/>
        </w:rPr>
        <w:t> </w:t>
      </w:r>
      <w:r>
        <w:rPr>
          <w:sz w:val="22"/>
        </w:rPr>
        <w:t>de</w:t>
      </w:r>
      <w:r>
        <w:rPr>
          <w:spacing w:val="-15"/>
          <w:sz w:val="22"/>
        </w:rPr>
        <w:t> </w:t>
      </w:r>
      <w:r>
        <w:rPr>
          <w:sz w:val="22"/>
        </w:rPr>
        <w:t>la</w:t>
      </w:r>
      <w:r>
        <w:rPr>
          <w:spacing w:val="-15"/>
          <w:sz w:val="22"/>
        </w:rPr>
        <w:t> </w:t>
      </w:r>
      <w:r>
        <w:rPr>
          <w:sz w:val="22"/>
        </w:rPr>
        <w:t>medida</w:t>
      </w:r>
      <w:r>
        <w:rPr>
          <w:spacing w:val="-16"/>
          <w:sz w:val="22"/>
        </w:rPr>
        <w:t> </w:t>
      </w:r>
      <w:r>
        <w:rPr>
          <w:sz w:val="22"/>
        </w:rPr>
        <w:t>resulta</w:t>
      </w:r>
      <w:r>
        <w:rPr>
          <w:spacing w:val="-15"/>
          <w:sz w:val="22"/>
        </w:rPr>
        <w:t> </w:t>
      </w:r>
      <w:r>
        <w:rPr>
          <w:sz w:val="22"/>
        </w:rPr>
        <w:t>restrictivo,</w:t>
      </w:r>
      <w:r>
        <w:rPr>
          <w:spacing w:val="-15"/>
          <w:sz w:val="22"/>
        </w:rPr>
        <w:t> </w:t>
      </w:r>
      <w:r>
        <w:rPr>
          <w:sz w:val="22"/>
        </w:rPr>
        <w:t>en</w:t>
      </w:r>
      <w:r>
        <w:rPr>
          <w:spacing w:val="-16"/>
          <w:sz w:val="22"/>
        </w:rPr>
        <w:t> </w:t>
      </w:r>
      <w:r>
        <w:rPr>
          <w:sz w:val="22"/>
        </w:rPr>
        <w:t>particular,</w:t>
      </w:r>
      <w:r>
        <w:rPr>
          <w:spacing w:val="-15"/>
          <w:sz w:val="22"/>
        </w:rPr>
        <w:t> </w:t>
      </w:r>
      <w:r>
        <w:rPr>
          <w:sz w:val="22"/>
        </w:rPr>
        <w:t>si</w:t>
      </w:r>
      <w:r>
        <w:rPr>
          <w:spacing w:val="-15"/>
          <w:sz w:val="22"/>
        </w:rPr>
        <w:t> </w:t>
      </w:r>
      <w:r>
        <w:rPr>
          <w:sz w:val="22"/>
        </w:rPr>
        <w:t>impide, dificulta</w:t>
      </w:r>
      <w:r>
        <w:rPr>
          <w:spacing w:val="-5"/>
          <w:sz w:val="22"/>
        </w:rPr>
        <w:t> </w:t>
      </w:r>
      <w:r>
        <w:rPr>
          <w:sz w:val="22"/>
        </w:rPr>
        <w:t>o</w:t>
      </w:r>
      <w:r>
        <w:rPr>
          <w:spacing w:val="-5"/>
          <w:sz w:val="22"/>
        </w:rPr>
        <w:t> </w:t>
      </w:r>
      <w:r>
        <w:rPr>
          <w:sz w:val="22"/>
        </w:rPr>
        <w:t>encarece</w:t>
      </w:r>
      <w:r>
        <w:rPr>
          <w:spacing w:val="-7"/>
          <w:sz w:val="22"/>
        </w:rPr>
        <w:t> </w:t>
      </w:r>
      <w:r>
        <w:rPr>
          <w:sz w:val="22"/>
        </w:rPr>
        <w:t>el</w:t>
      </w:r>
      <w:r>
        <w:rPr>
          <w:spacing w:val="-6"/>
          <w:sz w:val="22"/>
        </w:rPr>
        <w:t> </w:t>
      </w:r>
      <w:r>
        <w:rPr>
          <w:sz w:val="22"/>
        </w:rPr>
        <w:t>ingreso</w:t>
      </w:r>
      <w:r>
        <w:rPr>
          <w:spacing w:val="-5"/>
          <w:sz w:val="22"/>
        </w:rPr>
        <w:t> </w:t>
      </w:r>
      <w:r>
        <w:rPr>
          <w:sz w:val="22"/>
        </w:rPr>
        <w:t>de</w:t>
      </w:r>
      <w:r>
        <w:rPr>
          <w:spacing w:val="-7"/>
          <w:sz w:val="22"/>
        </w:rPr>
        <w:t> </w:t>
      </w:r>
      <w:r>
        <w:rPr>
          <w:sz w:val="22"/>
        </w:rPr>
        <w:t>los</w:t>
      </w:r>
      <w:r>
        <w:rPr>
          <w:spacing w:val="-5"/>
          <w:sz w:val="22"/>
        </w:rPr>
        <w:t> </w:t>
      </w:r>
      <w:r>
        <w:rPr>
          <w:sz w:val="22"/>
        </w:rPr>
        <w:t>productos</w:t>
      </w:r>
      <w:r>
        <w:rPr>
          <w:spacing w:val="-5"/>
          <w:sz w:val="22"/>
        </w:rPr>
        <w:t> </w:t>
      </w:r>
      <w:r>
        <w:rPr>
          <w:sz w:val="22"/>
        </w:rPr>
        <w:t>de</w:t>
      </w:r>
      <w:r>
        <w:rPr>
          <w:spacing w:val="-5"/>
          <w:sz w:val="22"/>
        </w:rPr>
        <w:t> </w:t>
      </w:r>
      <w:r>
        <w:rPr>
          <w:sz w:val="22"/>
        </w:rPr>
        <w:t>origen</w:t>
      </w:r>
      <w:r>
        <w:rPr>
          <w:spacing w:val="-5"/>
          <w:sz w:val="22"/>
        </w:rPr>
        <w:t> </w:t>
      </w:r>
      <w:r>
        <w:rPr>
          <w:sz w:val="22"/>
        </w:rPr>
        <w:t>andino</w:t>
      </w:r>
      <w:r>
        <w:rPr>
          <w:spacing w:val="-7"/>
          <w:sz w:val="22"/>
        </w:rPr>
        <w:t> </w:t>
      </w:r>
      <w:r>
        <w:rPr>
          <w:sz w:val="22"/>
        </w:rPr>
        <w:t>al</w:t>
      </w:r>
      <w:r>
        <w:rPr>
          <w:spacing w:val="-7"/>
          <w:sz w:val="22"/>
        </w:rPr>
        <w:t> </w:t>
      </w:r>
      <w:r>
        <w:rPr>
          <w:sz w:val="22"/>
        </w:rPr>
        <w:t>mercado</w:t>
      </w:r>
      <w:r>
        <w:rPr>
          <w:spacing w:val="-5"/>
          <w:sz w:val="22"/>
        </w:rPr>
        <w:t> </w:t>
      </w:r>
      <w:r>
        <w:rPr>
          <w:sz w:val="22"/>
        </w:rPr>
        <w:t>de</w:t>
      </w:r>
      <w:r>
        <w:rPr>
          <w:spacing w:val="-5"/>
          <w:sz w:val="22"/>
        </w:rPr>
        <w:t> </w:t>
      </w:r>
      <w:r>
        <w:rPr>
          <w:sz w:val="22"/>
        </w:rPr>
        <w:t>la República de Colombia.</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La evidencia revisada muestra un patrón común, ya que al verificar el sistema del Instituto Colombiano Agropecuario (ICA)</w:t>
      </w:r>
      <w:hyperlink w:history="true" w:anchor="_bookmark172">
        <w:r>
          <w:rPr>
            <w:sz w:val="22"/>
            <w:vertAlign w:val="superscript"/>
          </w:rPr>
          <w:t>105</w:t>
        </w:r>
      </w:hyperlink>
      <w:r>
        <w:rPr>
          <w:sz w:val="22"/>
          <w:vertAlign w:val="baseline"/>
        </w:rPr>
        <w:t> relativo a los requisitos fitosanitarios de importación de los productos comprendidos en el artículo 2 del Decreto 0170, no se consigna como requisito aplicable el puesto de control de salida de la República del Ecuador ni el de ingreso en la República de Colombia. A ello se suma que la contestación</w:t>
      </w:r>
      <w:r>
        <w:rPr>
          <w:spacing w:val="-5"/>
          <w:sz w:val="22"/>
          <w:vertAlign w:val="baseline"/>
        </w:rPr>
        <w:t> </w:t>
      </w:r>
      <w:r>
        <w:rPr>
          <w:sz w:val="22"/>
          <w:vertAlign w:val="baseline"/>
        </w:rPr>
        <w:t>de</w:t>
      </w:r>
      <w:r>
        <w:rPr>
          <w:spacing w:val="-5"/>
          <w:sz w:val="22"/>
          <w:vertAlign w:val="baseline"/>
        </w:rPr>
        <w:t> </w:t>
      </w:r>
      <w:r>
        <w:rPr>
          <w:sz w:val="22"/>
          <w:vertAlign w:val="baseline"/>
        </w:rPr>
        <w:t>la</w:t>
      </w:r>
      <w:r>
        <w:rPr>
          <w:spacing w:val="-5"/>
          <w:sz w:val="22"/>
          <w:vertAlign w:val="baseline"/>
        </w:rPr>
        <w:t> </w:t>
      </w:r>
      <w:r>
        <w:rPr>
          <w:sz w:val="22"/>
          <w:vertAlign w:val="baseline"/>
        </w:rPr>
        <w:t>República</w:t>
      </w:r>
      <w:r>
        <w:rPr>
          <w:spacing w:val="-5"/>
          <w:sz w:val="22"/>
          <w:vertAlign w:val="baseline"/>
        </w:rPr>
        <w:t> </w:t>
      </w:r>
      <w:r>
        <w:rPr>
          <w:sz w:val="22"/>
          <w:vertAlign w:val="baseline"/>
        </w:rPr>
        <w:t>de</w:t>
      </w:r>
      <w:r>
        <w:rPr>
          <w:spacing w:val="-5"/>
          <w:sz w:val="22"/>
          <w:vertAlign w:val="baseline"/>
        </w:rPr>
        <w:t> </w:t>
      </w:r>
      <w:r>
        <w:rPr>
          <w:sz w:val="22"/>
          <w:vertAlign w:val="baseline"/>
        </w:rPr>
        <w:t>Colombia</w:t>
      </w:r>
      <w:r>
        <w:rPr>
          <w:spacing w:val="-5"/>
          <w:sz w:val="22"/>
          <w:vertAlign w:val="baseline"/>
        </w:rPr>
        <w:t> </w:t>
      </w:r>
      <w:r>
        <w:rPr>
          <w:sz w:val="22"/>
          <w:vertAlign w:val="baseline"/>
        </w:rPr>
        <w:t>desarrolla</w:t>
      </w:r>
      <w:r>
        <w:rPr>
          <w:spacing w:val="-5"/>
          <w:sz w:val="22"/>
          <w:vertAlign w:val="baseline"/>
        </w:rPr>
        <w:t> </w:t>
      </w:r>
      <w:r>
        <w:rPr>
          <w:sz w:val="22"/>
          <w:vertAlign w:val="baseline"/>
        </w:rPr>
        <w:t>justificaciones</w:t>
      </w:r>
      <w:r>
        <w:rPr>
          <w:spacing w:val="-2"/>
          <w:sz w:val="22"/>
          <w:vertAlign w:val="baseline"/>
        </w:rPr>
        <w:t> </w:t>
      </w:r>
      <w:r>
        <w:rPr>
          <w:sz w:val="22"/>
          <w:vertAlign w:val="baseline"/>
        </w:rPr>
        <w:t>de</w:t>
      </w:r>
      <w:r>
        <w:rPr>
          <w:spacing w:val="-8"/>
          <w:sz w:val="22"/>
          <w:vertAlign w:val="baseline"/>
        </w:rPr>
        <w:t> </w:t>
      </w:r>
      <w:r>
        <w:rPr>
          <w:sz w:val="22"/>
          <w:vertAlign w:val="baseline"/>
        </w:rPr>
        <w:t>carácter</w:t>
      </w:r>
      <w:r>
        <w:rPr>
          <w:spacing w:val="-6"/>
          <w:sz w:val="22"/>
          <w:vertAlign w:val="baseline"/>
        </w:rPr>
        <w:t> </w:t>
      </w:r>
      <w:r>
        <w:rPr>
          <w:sz w:val="22"/>
          <w:vertAlign w:val="baseline"/>
        </w:rPr>
        <w:t>general vinculadas a riesgos sanitarios, contrabando, vectores pasivos y trazabilidad; sin embargo, no acredita, a partir de los documentos revisados en el expediente, la existencia de un ARP individualizado por cada subpartida arancelaria afectada.</w:t>
      </w:r>
    </w:p>
    <w:p>
      <w:pPr>
        <w:pStyle w:val="BodyText"/>
      </w:pPr>
    </w:p>
    <w:p>
      <w:pPr>
        <w:pStyle w:val="ListParagraph"/>
        <w:numPr>
          <w:ilvl w:val="0"/>
          <w:numId w:val="106"/>
        </w:numPr>
        <w:tabs>
          <w:tab w:pos="2070" w:val="left" w:leader="none"/>
        </w:tabs>
        <w:spacing w:line="240" w:lineRule="auto" w:before="0" w:after="0"/>
        <w:ind w:left="2070" w:right="0" w:hanging="422"/>
        <w:jc w:val="left"/>
        <w:rPr>
          <w:rFonts w:ascii="Arial"/>
          <w:i/>
          <w:sz w:val="22"/>
        </w:rPr>
      </w:pPr>
      <w:r>
        <w:rPr>
          <w:rFonts w:ascii="Arial"/>
          <w:i/>
          <w:spacing w:val="-4"/>
          <w:sz w:val="22"/>
          <w:u w:val="single"/>
        </w:rPr>
        <w:t>Papa</w:t>
      </w:r>
    </w:p>
    <w:p>
      <w:pPr>
        <w:pStyle w:val="BodyText"/>
        <w:rPr>
          <w:rFonts w:ascii="Arial"/>
          <w:i/>
        </w:rPr>
      </w:pPr>
    </w:p>
    <w:p>
      <w:pPr>
        <w:pStyle w:val="ListParagraph"/>
        <w:numPr>
          <w:ilvl w:val="0"/>
          <w:numId w:val="50"/>
        </w:numPr>
        <w:tabs>
          <w:tab w:pos="1130" w:val="left" w:leader="none"/>
          <w:tab w:pos="1134" w:val="left" w:leader="none"/>
        </w:tabs>
        <w:spacing w:line="240" w:lineRule="auto" w:before="1" w:after="0"/>
        <w:ind w:left="1134" w:right="975" w:hanging="567"/>
        <w:jc w:val="both"/>
        <w:rPr>
          <w:sz w:val="22"/>
        </w:rPr>
      </w:pPr>
      <w:r>
        <w:rPr>
          <w:sz w:val="22"/>
        </w:rPr>
        <w:t>Las importaciones de la papa están calificadas por la subpartida arancelaria 0701.90.00.00 y se encuentra en categoría de riesgo fitosanitario 3, lo cual, conforme se</w:t>
      </w:r>
      <w:r>
        <w:rPr>
          <w:spacing w:val="-16"/>
          <w:sz w:val="22"/>
        </w:rPr>
        <w:t> </w:t>
      </w:r>
      <w:r>
        <w:rPr>
          <w:sz w:val="22"/>
        </w:rPr>
        <w:t>reconoce</w:t>
      </w:r>
      <w:r>
        <w:rPr>
          <w:spacing w:val="-15"/>
          <w:sz w:val="22"/>
        </w:rPr>
        <w:t> </w:t>
      </w:r>
      <w:r>
        <w:rPr>
          <w:sz w:val="22"/>
        </w:rPr>
        <w:t>en</w:t>
      </w:r>
      <w:r>
        <w:rPr>
          <w:spacing w:val="-15"/>
          <w:sz w:val="22"/>
        </w:rPr>
        <w:t> </w:t>
      </w:r>
      <w:r>
        <w:rPr>
          <w:sz w:val="22"/>
        </w:rPr>
        <w:t>el</w:t>
      </w:r>
      <w:r>
        <w:rPr>
          <w:spacing w:val="-16"/>
          <w:sz w:val="22"/>
        </w:rPr>
        <w:t> </w:t>
      </w:r>
      <w:r>
        <w:rPr>
          <w:sz w:val="22"/>
        </w:rPr>
        <w:t>propio</w:t>
      </w:r>
      <w:r>
        <w:rPr>
          <w:spacing w:val="-15"/>
          <w:sz w:val="22"/>
        </w:rPr>
        <w:t> </w:t>
      </w:r>
      <w:r>
        <w:rPr>
          <w:sz w:val="22"/>
        </w:rPr>
        <w:t>informe,</w:t>
      </w:r>
      <w:r>
        <w:rPr>
          <w:spacing w:val="-15"/>
          <w:sz w:val="22"/>
        </w:rPr>
        <w:t> </w:t>
      </w:r>
      <w:r>
        <w:rPr>
          <w:sz w:val="22"/>
        </w:rPr>
        <w:t>implica</w:t>
      </w:r>
      <w:r>
        <w:rPr>
          <w:spacing w:val="-15"/>
          <w:sz w:val="22"/>
        </w:rPr>
        <w:t> </w:t>
      </w:r>
      <w:r>
        <w:rPr>
          <w:sz w:val="22"/>
        </w:rPr>
        <w:t>la</w:t>
      </w:r>
      <w:r>
        <w:rPr>
          <w:spacing w:val="-16"/>
          <w:sz w:val="22"/>
        </w:rPr>
        <w:t> </w:t>
      </w:r>
      <w:r>
        <w:rPr>
          <w:sz w:val="22"/>
        </w:rPr>
        <w:t>necesidad</w:t>
      </w:r>
      <w:r>
        <w:rPr>
          <w:spacing w:val="-15"/>
          <w:sz w:val="22"/>
        </w:rPr>
        <w:t> </w:t>
      </w:r>
      <w:r>
        <w:rPr>
          <w:sz w:val="22"/>
        </w:rPr>
        <w:t>de</w:t>
      </w:r>
      <w:r>
        <w:rPr>
          <w:spacing w:val="-15"/>
          <w:sz w:val="22"/>
        </w:rPr>
        <w:t> </w:t>
      </w:r>
      <w:r>
        <w:rPr>
          <w:sz w:val="22"/>
        </w:rPr>
        <w:t>realizar</w:t>
      </w:r>
      <w:r>
        <w:rPr>
          <w:spacing w:val="-16"/>
          <w:sz w:val="22"/>
        </w:rPr>
        <w:t> </w:t>
      </w:r>
      <w:r>
        <w:rPr>
          <w:sz w:val="22"/>
        </w:rPr>
        <w:t>un</w:t>
      </w:r>
      <w:r>
        <w:rPr>
          <w:spacing w:val="-15"/>
          <w:sz w:val="22"/>
        </w:rPr>
        <w:t> </w:t>
      </w:r>
      <w:r>
        <w:rPr>
          <w:sz w:val="22"/>
        </w:rPr>
        <w:t>ARP</w:t>
      </w:r>
      <w:r>
        <w:rPr>
          <w:spacing w:val="-15"/>
          <w:sz w:val="22"/>
        </w:rPr>
        <w:t> </w:t>
      </w:r>
      <w:r>
        <w:rPr>
          <w:sz w:val="22"/>
        </w:rPr>
        <w:t>como</w:t>
      </w:r>
      <w:r>
        <w:rPr>
          <w:spacing w:val="-15"/>
          <w:sz w:val="22"/>
        </w:rPr>
        <w:t> </w:t>
      </w:r>
      <w:r>
        <w:rPr>
          <w:sz w:val="22"/>
        </w:rPr>
        <w:t>sustento para</w:t>
      </w:r>
      <w:r>
        <w:rPr>
          <w:spacing w:val="-16"/>
          <w:sz w:val="22"/>
        </w:rPr>
        <w:t> </w:t>
      </w:r>
      <w:r>
        <w:rPr>
          <w:sz w:val="22"/>
        </w:rPr>
        <w:t>la</w:t>
      </w:r>
      <w:r>
        <w:rPr>
          <w:spacing w:val="-15"/>
          <w:sz w:val="22"/>
        </w:rPr>
        <w:t> </w:t>
      </w:r>
      <w:r>
        <w:rPr>
          <w:sz w:val="22"/>
        </w:rPr>
        <w:t>imposición</w:t>
      </w:r>
      <w:r>
        <w:rPr>
          <w:spacing w:val="-15"/>
          <w:sz w:val="22"/>
        </w:rPr>
        <w:t> </w:t>
      </w:r>
      <w:r>
        <w:rPr>
          <w:sz w:val="22"/>
        </w:rPr>
        <w:t>de</w:t>
      </w:r>
      <w:r>
        <w:rPr>
          <w:spacing w:val="-16"/>
          <w:sz w:val="22"/>
        </w:rPr>
        <w:t> </w:t>
      </w:r>
      <w:r>
        <w:rPr>
          <w:sz w:val="22"/>
        </w:rPr>
        <w:t>requisitos</w:t>
      </w:r>
      <w:r>
        <w:rPr>
          <w:spacing w:val="-15"/>
          <w:sz w:val="22"/>
        </w:rPr>
        <w:t> </w:t>
      </w:r>
      <w:r>
        <w:rPr>
          <w:sz w:val="22"/>
        </w:rPr>
        <w:t>o</w:t>
      </w:r>
      <w:r>
        <w:rPr>
          <w:spacing w:val="-15"/>
          <w:sz w:val="22"/>
        </w:rPr>
        <w:t> </w:t>
      </w:r>
      <w:r>
        <w:rPr>
          <w:sz w:val="22"/>
        </w:rPr>
        <w:t>medidas</w:t>
      </w:r>
      <w:r>
        <w:rPr>
          <w:spacing w:val="-15"/>
          <w:sz w:val="22"/>
        </w:rPr>
        <w:t> </w:t>
      </w:r>
      <w:r>
        <w:rPr>
          <w:sz w:val="22"/>
        </w:rPr>
        <w:t>de</w:t>
      </w:r>
      <w:r>
        <w:rPr>
          <w:spacing w:val="-16"/>
          <w:sz w:val="22"/>
        </w:rPr>
        <w:t> </w:t>
      </w:r>
      <w:r>
        <w:rPr>
          <w:sz w:val="22"/>
        </w:rPr>
        <w:t>manejo</w:t>
      </w:r>
      <w:r>
        <w:rPr>
          <w:spacing w:val="-15"/>
          <w:sz w:val="22"/>
        </w:rPr>
        <w:t> </w:t>
      </w:r>
      <w:r>
        <w:rPr>
          <w:sz w:val="22"/>
        </w:rPr>
        <w:t>del</w:t>
      </w:r>
      <w:r>
        <w:rPr>
          <w:spacing w:val="-15"/>
          <w:sz w:val="22"/>
        </w:rPr>
        <w:t> </w:t>
      </w:r>
      <w:r>
        <w:rPr>
          <w:sz w:val="22"/>
        </w:rPr>
        <w:t>riesgo.</w:t>
      </w:r>
      <w:r>
        <w:rPr>
          <w:spacing w:val="-16"/>
          <w:sz w:val="22"/>
        </w:rPr>
        <w:t> </w:t>
      </w:r>
      <w:r>
        <w:rPr>
          <w:sz w:val="22"/>
        </w:rPr>
        <w:t>No</w:t>
      </w:r>
      <w:r>
        <w:rPr>
          <w:spacing w:val="-15"/>
          <w:sz w:val="22"/>
        </w:rPr>
        <w:t> </w:t>
      </w:r>
      <w:r>
        <w:rPr>
          <w:sz w:val="22"/>
        </w:rPr>
        <w:t>obstante,</w:t>
      </w:r>
      <w:r>
        <w:rPr>
          <w:spacing w:val="-15"/>
          <w:sz w:val="22"/>
        </w:rPr>
        <w:t> </w:t>
      </w:r>
      <w:r>
        <w:rPr>
          <w:sz w:val="22"/>
        </w:rPr>
        <w:t>al</w:t>
      </w:r>
      <w:r>
        <w:rPr>
          <w:spacing w:val="-15"/>
          <w:sz w:val="22"/>
        </w:rPr>
        <w:t> </w:t>
      </w:r>
      <w:r>
        <w:rPr>
          <w:sz w:val="22"/>
        </w:rPr>
        <w:t>verificar los</w:t>
      </w:r>
      <w:r>
        <w:rPr>
          <w:spacing w:val="-11"/>
          <w:sz w:val="22"/>
        </w:rPr>
        <w:t> </w:t>
      </w:r>
      <w:r>
        <w:rPr>
          <w:sz w:val="22"/>
        </w:rPr>
        <w:t>requisitos</w:t>
      </w:r>
      <w:r>
        <w:rPr>
          <w:spacing w:val="-14"/>
          <w:sz w:val="22"/>
        </w:rPr>
        <w:t> </w:t>
      </w:r>
      <w:r>
        <w:rPr>
          <w:sz w:val="22"/>
        </w:rPr>
        <w:t>fitosanitarios</w:t>
      </w:r>
      <w:r>
        <w:rPr>
          <w:spacing w:val="-11"/>
          <w:sz w:val="22"/>
        </w:rPr>
        <w:t> </w:t>
      </w:r>
      <w:r>
        <w:rPr>
          <w:sz w:val="22"/>
        </w:rPr>
        <w:t>publicados</w:t>
      </w:r>
      <w:r>
        <w:rPr>
          <w:spacing w:val="-11"/>
          <w:sz w:val="22"/>
        </w:rPr>
        <w:t> </w:t>
      </w:r>
      <w:r>
        <w:rPr>
          <w:sz w:val="22"/>
        </w:rPr>
        <w:t>por</w:t>
      </w:r>
      <w:r>
        <w:rPr>
          <w:spacing w:val="-10"/>
          <w:sz w:val="22"/>
        </w:rPr>
        <w:t> </w:t>
      </w:r>
      <w:r>
        <w:rPr>
          <w:sz w:val="22"/>
        </w:rPr>
        <w:t>el</w:t>
      </w:r>
      <w:r>
        <w:rPr>
          <w:spacing w:val="-15"/>
          <w:sz w:val="22"/>
        </w:rPr>
        <w:t> </w:t>
      </w:r>
      <w:r>
        <w:rPr>
          <w:sz w:val="22"/>
        </w:rPr>
        <w:t>ICA,</w:t>
      </w:r>
      <w:r>
        <w:rPr>
          <w:spacing w:val="-15"/>
          <w:sz w:val="22"/>
        </w:rPr>
        <w:t> </w:t>
      </w:r>
      <w:r>
        <w:rPr>
          <w:sz w:val="22"/>
        </w:rPr>
        <w:t>no</w:t>
      </w:r>
      <w:r>
        <w:rPr>
          <w:spacing w:val="-12"/>
          <w:sz w:val="22"/>
        </w:rPr>
        <w:t> </w:t>
      </w:r>
      <w:r>
        <w:rPr>
          <w:sz w:val="22"/>
        </w:rPr>
        <w:t>se</w:t>
      </w:r>
      <w:r>
        <w:rPr>
          <w:spacing w:val="-14"/>
          <w:sz w:val="22"/>
        </w:rPr>
        <w:t> </w:t>
      </w:r>
      <w:r>
        <w:rPr>
          <w:sz w:val="22"/>
        </w:rPr>
        <w:t>identificó</w:t>
      </w:r>
      <w:r>
        <w:rPr>
          <w:spacing w:val="-12"/>
          <w:sz w:val="22"/>
        </w:rPr>
        <w:t> </w:t>
      </w:r>
      <w:r>
        <w:rPr>
          <w:sz w:val="22"/>
        </w:rPr>
        <w:t>la</w:t>
      </w:r>
      <w:r>
        <w:rPr>
          <w:spacing w:val="-14"/>
          <w:sz w:val="22"/>
        </w:rPr>
        <w:t> </w:t>
      </w:r>
      <w:r>
        <w:rPr>
          <w:sz w:val="22"/>
        </w:rPr>
        <w:t>exigencia</w:t>
      </w:r>
      <w:r>
        <w:rPr>
          <w:spacing w:val="-11"/>
          <w:sz w:val="22"/>
        </w:rPr>
        <w:t> </w:t>
      </w:r>
      <w:r>
        <w:rPr>
          <w:sz w:val="22"/>
        </w:rPr>
        <w:t>de</w:t>
      </w:r>
      <w:r>
        <w:rPr>
          <w:spacing w:val="-12"/>
          <w:sz w:val="22"/>
        </w:rPr>
        <w:t> </w:t>
      </w:r>
      <w:r>
        <w:rPr>
          <w:sz w:val="22"/>
        </w:rPr>
        <w:t>ingreso a través de un puesto de control específico como requisito aplicable a dicho producto, pese</w:t>
      </w:r>
      <w:r>
        <w:rPr>
          <w:spacing w:val="-9"/>
          <w:sz w:val="22"/>
        </w:rPr>
        <w:t> </w:t>
      </w:r>
      <w:r>
        <w:rPr>
          <w:sz w:val="22"/>
        </w:rPr>
        <w:t>a</w:t>
      </w:r>
      <w:r>
        <w:rPr>
          <w:spacing w:val="-9"/>
          <w:sz w:val="22"/>
        </w:rPr>
        <w:t> </w:t>
      </w:r>
      <w:r>
        <w:rPr>
          <w:sz w:val="22"/>
        </w:rPr>
        <w:t>que</w:t>
      </w:r>
      <w:r>
        <w:rPr>
          <w:spacing w:val="-11"/>
          <w:sz w:val="22"/>
        </w:rPr>
        <w:t> </w:t>
      </w:r>
      <w:r>
        <w:rPr>
          <w:sz w:val="22"/>
        </w:rPr>
        <w:t>ese</w:t>
      </w:r>
      <w:r>
        <w:rPr>
          <w:spacing w:val="-8"/>
          <w:sz w:val="22"/>
        </w:rPr>
        <w:t> </w:t>
      </w:r>
      <w:r>
        <w:rPr>
          <w:sz w:val="22"/>
        </w:rPr>
        <w:t>constituye</w:t>
      </w:r>
      <w:r>
        <w:rPr>
          <w:spacing w:val="-9"/>
          <w:sz w:val="22"/>
        </w:rPr>
        <w:t> </w:t>
      </w:r>
      <w:r>
        <w:rPr>
          <w:sz w:val="22"/>
        </w:rPr>
        <w:t>el</w:t>
      </w:r>
      <w:r>
        <w:rPr>
          <w:spacing w:val="-10"/>
          <w:sz w:val="22"/>
        </w:rPr>
        <w:t> </w:t>
      </w:r>
      <w:r>
        <w:rPr>
          <w:sz w:val="22"/>
        </w:rPr>
        <w:t>elemento</w:t>
      </w:r>
      <w:r>
        <w:rPr>
          <w:spacing w:val="-11"/>
          <w:sz w:val="22"/>
        </w:rPr>
        <w:t> </w:t>
      </w:r>
      <w:r>
        <w:rPr>
          <w:sz w:val="22"/>
        </w:rPr>
        <w:t>central</w:t>
      </w:r>
      <w:r>
        <w:rPr>
          <w:spacing w:val="-9"/>
          <w:sz w:val="22"/>
        </w:rPr>
        <w:t> </w:t>
      </w:r>
      <w:r>
        <w:rPr>
          <w:sz w:val="22"/>
        </w:rPr>
        <w:t>de</w:t>
      </w:r>
      <w:r>
        <w:rPr>
          <w:spacing w:val="-12"/>
          <w:sz w:val="22"/>
        </w:rPr>
        <w:t> </w:t>
      </w:r>
      <w:r>
        <w:rPr>
          <w:sz w:val="22"/>
        </w:rPr>
        <w:t>la</w:t>
      </w:r>
      <w:r>
        <w:rPr>
          <w:spacing w:val="-9"/>
          <w:sz w:val="22"/>
        </w:rPr>
        <w:t> </w:t>
      </w:r>
      <w:r>
        <w:rPr>
          <w:sz w:val="22"/>
        </w:rPr>
        <w:t>medida</w:t>
      </w:r>
      <w:r>
        <w:rPr>
          <w:spacing w:val="-9"/>
          <w:sz w:val="22"/>
        </w:rPr>
        <w:t> </w:t>
      </w:r>
      <w:r>
        <w:rPr>
          <w:sz w:val="22"/>
        </w:rPr>
        <w:t>prevista</w:t>
      </w:r>
      <w:r>
        <w:rPr>
          <w:spacing w:val="-11"/>
          <w:sz w:val="22"/>
        </w:rPr>
        <w:t> </w:t>
      </w:r>
      <w:r>
        <w:rPr>
          <w:sz w:val="22"/>
        </w:rPr>
        <w:t>en</w:t>
      </w:r>
      <w:r>
        <w:rPr>
          <w:spacing w:val="-8"/>
          <w:sz w:val="22"/>
        </w:rPr>
        <w:t> </w:t>
      </w:r>
      <w:r>
        <w:rPr>
          <w:sz w:val="22"/>
        </w:rPr>
        <w:t>el</w:t>
      </w:r>
      <w:r>
        <w:rPr>
          <w:spacing w:val="-12"/>
          <w:sz w:val="22"/>
        </w:rPr>
        <w:t> </w:t>
      </w:r>
      <w:r>
        <w:rPr>
          <w:sz w:val="22"/>
        </w:rPr>
        <w:t>Decreto</w:t>
      </w:r>
      <w:r>
        <w:rPr>
          <w:spacing w:val="-9"/>
          <w:sz w:val="22"/>
        </w:rPr>
        <w:t> </w:t>
      </w:r>
      <w:r>
        <w:rPr>
          <w:sz w:val="22"/>
        </w:rPr>
        <w:t>0170.</w:t>
      </w:r>
    </w:p>
    <w:p>
      <w:pPr>
        <w:pStyle w:val="ListParagraph"/>
        <w:numPr>
          <w:ilvl w:val="0"/>
          <w:numId w:val="50"/>
        </w:numPr>
        <w:tabs>
          <w:tab w:pos="1130" w:val="left" w:leader="none"/>
          <w:tab w:pos="1134" w:val="left" w:leader="none"/>
        </w:tabs>
        <w:spacing w:line="240" w:lineRule="auto" w:before="252" w:after="0"/>
        <w:ind w:left="1134" w:right="977" w:hanging="567"/>
        <w:jc w:val="both"/>
        <w:rPr>
          <w:sz w:val="22"/>
        </w:rPr>
      </w:pPr>
      <w:r>
        <w:rPr>
          <w:sz w:val="22"/>
        </w:rPr>
        <w:t>La República de Colombia intenta extender a la papa y otras solanáceas riesgos asociados</w:t>
      </w:r>
      <w:r>
        <w:rPr>
          <w:spacing w:val="-4"/>
          <w:sz w:val="22"/>
        </w:rPr>
        <w:t> </w:t>
      </w:r>
      <w:r>
        <w:rPr>
          <w:sz w:val="22"/>
        </w:rPr>
        <w:t>a</w:t>
      </w:r>
      <w:r>
        <w:rPr>
          <w:spacing w:val="-6"/>
          <w:sz w:val="22"/>
        </w:rPr>
        <w:t> </w:t>
      </w:r>
      <w:r>
        <w:rPr>
          <w:sz w:val="22"/>
        </w:rPr>
        <w:t>la</w:t>
      </w:r>
      <w:r>
        <w:rPr>
          <w:spacing w:val="-3"/>
          <w:sz w:val="22"/>
        </w:rPr>
        <w:t> </w:t>
      </w:r>
      <w:r>
        <w:rPr>
          <w:sz w:val="22"/>
        </w:rPr>
        <w:t>Punta</w:t>
      </w:r>
      <w:r>
        <w:rPr>
          <w:spacing w:val="-9"/>
          <w:sz w:val="22"/>
        </w:rPr>
        <w:t> </w:t>
      </w:r>
      <w:r>
        <w:rPr>
          <w:sz w:val="22"/>
        </w:rPr>
        <w:t>Morada</w:t>
      </w:r>
      <w:r>
        <w:rPr>
          <w:spacing w:val="-4"/>
          <w:sz w:val="22"/>
        </w:rPr>
        <w:t> </w:t>
      </w:r>
      <w:r>
        <w:rPr>
          <w:sz w:val="22"/>
        </w:rPr>
        <w:t>de</w:t>
      </w:r>
      <w:r>
        <w:rPr>
          <w:spacing w:val="-7"/>
          <w:sz w:val="22"/>
        </w:rPr>
        <w:t> </w:t>
      </w:r>
      <w:r>
        <w:rPr>
          <w:sz w:val="22"/>
        </w:rPr>
        <w:t>la</w:t>
      </w:r>
      <w:r>
        <w:rPr>
          <w:spacing w:val="-4"/>
          <w:sz w:val="22"/>
        </w:rPr>
        <w:t> </w:t>
      </w:r>
      <w:r>
        <w:rPr>
          <w:sz w:val="22"/>
        </w:rPr>
        <w:t>Papa,</w:t>
      </w:r>
      <w:r>
        <w:rPr>
          <w:spacing w:val="-1"/>
          <w:sz w:val="22"/>
        </w:rPr>
        <w:t> </w:t>
      </w:r>
      <w:r>
        <w:rPr>
          <w:sz w:val="22"/>
        </w:rPr>
        <w:t>el</w:t>
      </w:r>
      <w:r>
        <w:rPr>
          <w:spacing w:val="-7"/>
          <w:sz w:val="22"/>
        </w:rPr>
        <w:t> </w:t>
      </w:r>
      <w:r>
        <w:rPr>
          <w:sz w:val="22"/>
        </w:rPr>
        <w:t>Zebra</w:t>
      </w:r>
      <w:r>
        <w:rPr>
          <w:spacing w:val="-4"/>
          <w:sz w:val="22"/>
        </w:rPr>
        <w:t> </w:t>
      </w:r>
      <w:r>
        <w:rPr>
          <w:sz w:val="22"/>
        </w:rPr>
        <w:t>Chip</w:t>
      </w:r>
      <w:r>
        <w:rPr>
          <w:spacing w:val="-4"/>
          <w:sz w:val="22"/>
        </w:rPr>
        <w:t> </w:t>
      </w:r>
      <w:r>
        <w:rPr>
          <w:sz w:val="22"/>
        </w:rPr>
        <w:t>y</w:t>
      </w:r>
      <w:r>
        <w:rPr>
          <w:spacing w:val="-6"/>
          <w:sz w:val="22"/>
        </w:rPr>
        <w:t> </w:t>
      </w:r>
      <w:r>
        <w:rPr>
          <w:sz w:val="22"/>
        </w:rPr>
        <w:t>a</w:t>
      </w:r>
      <w:r>
        <w:rPr>
          <w:spacing w:val="-4"/>
          <w:sz w:val="22"/>
        </w:rPr>
        <w:t> </w:t>
      </w:r>
      <w:r>
        <w:rPr>
          <w:sz w:val="22"/>
        </w:rPr>
        <w:t>la</w:t>
      </w:r>
      <w:r>
        <w:rPr>
          <w:spacing w:val="-6"/>
          <w:sz w:val="22"/>
        </w:rPr>
        <w:t> </w:t>
      </w:r>
      <w:r>
        <w:rPr>
          <w:rFonts w:ascii="Arial" w:hAnsi="Arial"/>
          <w:i/>
          <w:sz w:val="22"/>
        </w:rPr>
        <w:t>Bactericera</w:t>
      </w:r>
      <w:r>
        <w:rPr>
          <w:rFonts w:ascii="Arial" w:hAnsi="Arial"/>
          <w:i/>
          <w:spacing w:val="-8"/>
          <w:sz w:val="22"/>
        </w:rPr>
        <w:t> </w:t>
      </w:r>
      <w:r>
        <w:rPr>
          <w:rFonts w:ascii="Arial" w:hAnsi="Arial"/>
          <w:i/>
          <w:sz w:val="22"/>
        </w:rPr>
        <w:t>cockerelli;</w:t>
      </w:r>
      <w:r>
        <w:rPr>
          <w:rFonts w:ascii="Arial" w:hAnsi="Arial"/>
          <w:i/>
          <w:spacing w:val="-3"/>
          <w:sz w:val="22"/>
        </w:rPr>
        <w:t> </w:t>
      </w:r>
      <w:r>
        <w:rPr>
          <w:sz w:val="22"/>
        </w:rPr>
        <w:t>sin embargo, en la respuesta presentada no se individualiza un ARP por subpartida, ni se acredita</w:t>
      </w:r>
      <w:r>
        <w:rPr>
          <w:spacing w:val="-15"/>
          <w:sz w:val="22"/>
        </w:rPr>
        <w:t> </w:t>
      </w:r>
      <w:r>
        <w:rPr>
          <w:sz w:val="22"/>
        </w:rPr>
        <w:t>un</w:t>
      </w:r>
      <w:r>
        <w:rPr>
          <w:spacing w:val="-16"/>
          <w:sz w:val="22"/>
        </w:rPr>
        <w:t> </w:t>
      </w:r>
      <w:r>
        <w:rPr>
          <w:sz w:val="22"/>
        </w:rPr>
        <w:t>análisis</w:t>
      </w:r>
      <w:r>
        <w:rPr>
          <w:spacing w:val="-11"/>
          <w:sz w:val="22"/>
        </w:rPr>
        <w:t> </w:t>
      </w:r>
      <w:r>
        <w:rPr>
          <w:sz w:val="22"/>
        </w:rPr>
        <w:t>técnico</w:t>
      </w:r>
      <w:r>
        <w:rPr>
          <w:spacing w:val="-14"/>
          <w:sz w:val="22"/>
        </w:rPr>
        <w:t> </w:t>
      </w:r>
      <w:r>
        <w:rPr>
          <w:sz w:val="22"/>
        </w:rPr>
        <w:t>específico</w:t>
      </w:r>
      <w:r>
        <w:rPr>
          <w:spacing w:val="-14"/>
          <w:sz w:val="22"/>
        </w:rPr>
        <w:t> </w:t>
      </w:r>
      <w:r>
        <w:rPr>
          <w:sz w:val="22"/>
        </w:rPr>
        <w:t>que</w:t>
      </w:r>
      <w:r>
        <w:rPr>
          <w:spacing w:val="-16"/>
          <w:sz w:val="22"/>
        </w:rPr>
        <w:t> </w:t>
      </w:r>
      <w:r>
        <w:rPr>
          <w:sz w:val="22"/>
        </w:rPr>
        <w:t>demuestre</w:t>
      </w:r>
      <w:r>
        <w:rPr>
          <w:spacing w:val="-15"/>
          <w:sz w:val="22"/>
        </w:rPr>
        <w:t> </w:t>
      </w:r>
      <w:r>
        <w:rPr>
          <w:sz w:val="22"/>
        </w:rPr>
        <w:t>por</w:t>
      </w:r>
      <w:r>
        <w:rPr>
          <w:spacing w:val="-15"/>
          <w:sz w:val="22"/>
        </w:rPr>
        <w:t> </w:t>
      </w:r>
      <w:r>
        <w:rPr>
          <w:sz w:val="22"/>
        </w:rPr>
        <w:t>qué</w:t>
      </w:r>
      <w:r>
        <w:rPr>
          <w:spacing w:val="-14"/>
          <w:sz w:val="22"/>
        </w:rPr>
        <w:t> </w:t>
      </w:r>
      <w:r>
        <w:rPr>
          <w:sz w:val="22"/>
        </w:rPr>
        <w:t>el</w:t>
      </w:r>
      <w:r>
        <w:rPr>
          <w:spacing w:val="-15"/>
          <w:sz w:val="22"/>
        </w:rPr>
        <w:t> </w:t>
      </w:r>
      <w:r>
        <w:rPr>
          <w:sz w:val="22"/>
        </w:rPr>
        <w:t>ingreso</w:t>
      </w:r>
      <w:r>
        <w:rPr>
          <w:spacing w:val="-14"/>
          <w:sz w:val="22"/>
        </w:rPr>
        <w:t> </w:t>
      </w:r>
      <w:r>
        <w:rPr>
          <w:sz w:val="22"/>
        </w:rPr>
        <w:t>por</w:t>
      </w:r>
      <w:r>
        <w:rPr>
          <w:spacing w:val="-13"/>
          <w:sz w:val="22"/>
        </w:rPr>
        <w:t> </w:t>
      </w:r>
      <w:r>
        <w:rPr>
          <w:sz w:val="22"/>
        </w:rPr>
        <w:t>vía</w:t>
      </w:r>
      <w:r>
        <w:rPr>
          <w:spacing w:val="-16"/>
          <w:sz w:val="22"/>
        </w:rPr>
        <w:t> </w:t>
      </w:r>
      <w:r>
        <w:rPr>
          <w:sz w:val="22"/>
        </w:rPr>
        <w:t>terrestre por</w:t>
      </w:r>
      <w:r>
        <w:rPr>
          <w:spacing w:val="-5"/>
          <w:sz w:val="22"/>
        </w:rPr>
        <w:t> </w:t>
      </w:r>
      <w:r>
        <w:rPr>
          <w:sz w:val="22"/>
        </w:rPr>
        <w:t>las</w:t>
      </w:r>
      <w:r>
        <w:rPr>
          <w:spacing w:val="-9"/>
          <w:sz w:val="22"/>
        </w:rPr>
        <w:t> </w:t>
      </w:r>
      <w:r>
        <w:rPr>
          <w:sz w:val="22"/>
        </w:rPr>
        <w:t>Aduanas</w:t>
      </w:r>
      <w:r>
        <w:rPr>
          <w:spacing w:val="-9"/>
          <w:sz w:val="22"/>
        </w:rPr>
        <w:t> </w:t>
      </w:r>
      <w:r>
        <w:rPr>
          <w:sz w:val="22"/>
        </w:rPr>
        <w:t>de</w:t>
      </w:r>
      <w:r>
        <w:rPr>
          <w:spacing w:val="-9"/>
          <w:sz w:val="22"/>
        </w:rPr>
        <w:t> </w:t>
      </w:r>
      <w:r>
        <w:rPr>
          <w:sz w:val="22"/>
        </w:rPr>
        <w:t>Ipiales</w:t>
      </w:r>
      <w:r>
        <w:rPr>
          <w:spacing w:val="-6"/>
          <w:sz w:val="22"/>
        </w:rPr>
        <w:t> </w:t>
      </w:r>
      <w:r>
        <w:rPr>
          <w:sz w:val="22"/>
        </w:rPr>
        <w:t>y</w:t>
      </w:r>
      <w:r>
        <w:rPr>
          <w:spacing w:val="-8"/>
          <w:sz w:val="22"/>
        </w:rPr>
        <w:t> </w:t>
      </w:r>
      <w:r>
        <w:rPr>
          <w:sz w:val="22"/>
        </w:rPr>
        <w:t>de</w:t>
      </w:r>
      <w:r>
        <w:rPr>
          <w:spacing w:val="-9"/>
          <w:sz w:val="22"/>
        </w:rPr>
        <w:t> </w:t>
      </w:r>
      <w:r>
        <w:rPr>
          <w:sz w:val="22"/>
        </w:rPr>
        <w:t>Puerto</w:t>
      </w:r>
      <w:r>
        <w:rPr>
          <w:spacing w:val="-6"/>
          <w:sz w:val="22"/>
        </w:rPr>
        <w:t> </w:t>
      </w:r>
      <w:r>
        <w:rPr>
          <w:sz w:val="22"/>
        </w:rPr>
        <w:t>Asís</w:t>
      </w:r>
      <w:r>
        <w:rPr>
          <w:spacing w:val="-8"/>
          <w:sz w:val="22"/>
        </w:rPr>
        <w:t> </w:t>
      </w:r>
      <w:r>
        <w:rPr>
          <w:sz w:val="22"/>
        </w:rPr>
        <w:t>supondría</w:t>
      </w:r>
      <w:r>
        <w:rPr>
          <w:spacing w:val="-9"/>
          <w:sz w:val="22"/>
        </w:rPr>
        <w:t> </w:t>
      </w:r>
      <w:r>
        <w:rPr>
          <w:sz w:val="22"/>
        </w:rPr>
        <w:t>un</w:t>
      </w:r>
      <w:r>
        <w:rPr>
          <w:spacing w:val="-9"/>
          <w:sz w:val="22"/>
        </w:rPr>
        <w:t> </w:t>
      </w:r>
      <w:r>
        <w:rPr>
          <w:sz w:val="22"/>
        </w:rPr>
        <w:t>riesgo</w:t>
      </w:r>
      <w:r>
        <w:rPr>
          <w:spacing w:val="-9"/>
          <w:sz w:val="22"/>
        </w:rPr>
        <w:t> </w:t>
      </w:r>
      <w:r>
        <w:rPr>
          <w:sz w:val="22"/>
        </w:rPr>
        <w:t>no</w:t>
      </w:r>
      <w:r>
        <w:rPr>
          <w:spacing w:val="-9"/>
          <w:sz w:val="22"/>
        </w:rPr>
        <w:t> </w:t>
      </w:r>
      <w:r>
        <w:rPr>
          <w:sz w:val="22"/>
        </w:rPr>
        <w:t>manejable</w:t>
      </w:r>
      <w:r>
        <w:rPr>
          <w:spacing w:val="-6"/>
          <w:sz w:val="22"/>
        </w:rPr>
        <w:t> </w:t>
      </w:r>
      <w:r>
        <w:rPr>
          <w:sz w:val="22"/>
        </w:rPr>
        <w:t>por</w:t>
      </w:r>
      <w:r>
        <w:rPr>
          <w:spacing w:val="-6"/>
          <w:sz w:val="22"/>
        </w:rPr>
        <w:t> </w:t>
      </w:r>
      <w:r>
        <w:rPr>
          <w:sz w:val="22"/>
        </w:rPr>
        <w:t>otras medidas menos restrictivas. Conforme la jurisprudencia andina, una medida que limita el</w:t>
      </w:r>
      <w:r>
        <w:rPr>
          <w:spacing w:val="-2"/>
          <w:sz w:val="22"/>
        </w:rPr>
        <w:t> </w:t>
      </w:r>
      <w:r>
        <w:rPr>
          <w:sz w:val="22"/>
        </w:rPr>
        <w:t>ingreso</w:t>
      </w:r>
      <w:r>
        <w:rPr>
          <w:spacing w:val="-2"/>
          <w:sz w:val="22"/>
        </w:rPr>
        <w:t> </w:t>
      </w:r>
      <w:r>
        <w:rPr>
          <w:sz w:val="22"/>
        </w:rPr>
        <w:t>de</w:t>
      </w:r>
      <w:r>
        <w:rPr>
          <w:spacing w:val="-3"/>
          <w:sz w:val="22"/>
        </w:rPr>
        <w:t> </w:t>
      </w:r>
      <w:r>
        <w:rPr>
          <w:sz w:val="22"/>
        </w:rPr>
        <w:t>mercancías y</w:t>
      </w:r>
      <w:r>
        <w:rPr>
          <w:spacing w:val="-2"/>
          <w:sz w:val="22"/>
        </w:rPr>
        <w:t> </w:t>
      </w:r>
      <w:r>
        <w:rPr>
          <w:sz w:val="22"/>
        </w:rPr>
        <w:t>carece</w:t>
      </w:r>
      <w:r>
        <w:rPr>
          <w:spacing w:val="-1"/>
          <w:sz w:val="22"/>
        </w:rPr>
        <w:t> </w:t>
      </w:r>
      <w:r>
        <w:rPr>
          <w:sz w:val="22"/>
        </w:rPr>
        <w:t>de una</w:t>
      </w:r>
      <w:r>
        <w:rPr>
          <w:spacing w:val="-5"/>
          <w:sz w:val="22"/>
        </w:rPr>
        <w:t> </w:t>
      </w:r>
      <w:r>
        <w:rPr>
          <w:sz w:val="22"/>
        </w:rPr>
        <w:t>justificación</w:t>
      </w:r>
      <w:r>
        <w:rPr>
          <w:spacing w:val="-1"/>
          <w:sz w:val="22"/>
        </w:rPr>
        <w:t> </w:t>
      </w:r>
      <w:r>
        <w:rPr>
          <w:sz w:val="22"/>
        </w:rPr>
        <w:t>técnico-científica</w:t>
      </w:r>
      <w:r>
        <w:rPr>
          <w:spacing w:val="-3"/>
          <w:sz w:val="22"/>
        </w:rPr>
        <w:t> </w:t>
      </w:r>
      <w:r>
        <w:rPr>
          <w:sz w:val="22"/>
        </w:rPr>
        <w:t>individualizada produce</w:t>
      </w:r>
      <w:r>
        <w:rPr>
          <w:spacing w:val="-16"/>
          <w:sz w:val="22"/>
        </w:rPr>
        <w:t> </w:t>
      </w:r>
      <w:r>
        <w:rPr>
          <w:sz w:val="22"/>
        </w:rPr>
        <w:t>un</w:t>
      </w:r>
      <w:r>
        <w:rPr>
          <w:spacing w:val="-15"/>
          <w:sz w:val="22"/>
        </w:rPr>
        <w:t> </w:t>
      </w:r>
      <w:r>
        <w:rPr>
          <w:sz w:val="22"/>
        </w:rPr>
        <w:t>efecto</w:t>
      </w:r>
      <w:r>
        <w:rPr>
          <w:spacing w:val="-15"/>
          <w:sz w:val="22"/>
        </w:rPr>
        <w:t> </w:t>
      </w:r>
      <w:r>
        <w:rPr>
          <w:sz w:val="22"/>
        </w:rPr>
        <w:t>restrictivo</w:t>
      </w:r>
      <w:r>
        <w:rPr>
          <w:spacing w:val="-16"/>
          <w:sz w:val="22"/>
        </w:rPr>
        <w:t> </w:t>
      </w:r>
      <w:r>
        <w:rPr>
          <w:sz w:val="22"/>
        </w:rPr>
        <w:t>sobre</w:t>
      </w:r>
      <w:r>
        <w:rPr>
          <w:spacing w:val="-15"/>
          <w:sz w:val="22"/>
        </w:rPr>
        <w:t> </w:t>
      </w:r>
      <w:r>
        <w:rPr>
          <w:sz w:val="22"/>
        </w:rPr>
        <w:t>el</w:t>
      </w:r>
      <w:r>
        <w:rPr>
          <w:spacing w:val="-15"/>
          <w:sz w:val="22"/>
        </w:rPr>
        <w:t> </w:t>
      </w:r>
      <w:r>
        <w:rPr>
          <w:sz w:val="22"/>
        </w:rPr>
        <w:t>comercio</w:t>
      </w:r>
      <w:r>
        <w:rPr>
          <w:spacing w:val="-15"/>
          <w:sz w:val="22"/>
        </w:rPr>
        <w:t> </w:t>
      </w:r>
      <w:r>
        <w:rPr>
          <w:sz w:val="22"/>
        </w:rPr>
        <w:t>intracomunitario,</w:t>
      </w:r>
      <w:r>
        <w:rPr>
          <w:spacing w:val="-16"/>
          <w:sz w:val="22"/>
        </w:rPr>
        <w:t> </w:t>
      </w:r>
      <w:r>
        <w:rPr>
          <w:sz w:val="22"/>
        </w:rPr>
        <w:t>aun</w:t>
      </w:r>
      <w:r>
        <w:rPr>
          <w:spacing w:val="-15"/>
          <w:sz w:val="22"/>
        </w:rPr>
        <w:t> </w:t>
      </w:r>
      <w:r>
        <w:rPr>
          <w:sz w:val="22"/>
        </w:rPr>
        <w:t>cuando</w:t>
      </w:r>
      <w:r>
        <w:rPr>
          <w:spacing w:val="-15"/>
          <w:sz w:val="22"/>
        </w:rPr>
        <w:t> </w:t>
      </w:r>
      <w:r>
        <w:rPr>
          <w:sz w:val="22"/>
        </w:rPr>
        <w:t>se</w:t>
      </w:r>
      <w:r>
        <w:rPr>
          <w:spacing w:val="-16"/>
          <w:sz w:val="22"/>
        </w:rPr>
        <w:t> </w:t>
      </w:r>
      <w:r>
        <w:rPr>
          <w:sz w:val="22"/>
        </w:rPr>
        <w:t>presente formalmente como una medida de control sanitario.</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Existe evidencia suficiente para concluir que la República de Colombia no acreditó la realización de un ARP específico para la subpartida 0701.90.00.00, ni</w:t>
      </w:r>
      <w:r>
        <w:rPr>
          <w:spacing w:val="-1"/>
          <w:sz w:val="22"/>
        </w:rPr>
        <w:t> </w:t>
      </w:r>
      <w:r>
        <w:rPr>
          <w:sz w:val="22"/>
        </w:rPr>
        <w:t>demostró que la canalización territorial haya sido establecida con carácter previo como requisito fitosanitario</w:t>
      </w:r>
      <w:r>
        <w:rPr>
          <w:spacing w:val="-16"/>
          <w:sz w:val="22"/>
        </w:rPr>
        <w:t> </w:t>
      </w:r>
      <w:r>
        <w:rPr>
          <w:sz w:val="22"/>
        </w:rPr>
        <w:t>aplicable.</w:t>
      </w:r>
      <w:r>
        <w:rPr>
          <w:spacing w:val="-15"/>
          <w:sz w:val="22"/>
        </w:rPr>
        <w:t> </w:t>
      </w:r>
      <w:r>
        <w:rPr>
          <w:sz w:val="22"/>
        </w:rPr>
        <w:t>En</w:t>
      </w:r>
      <w:r>
        <w:rPr>
          <w:spacing w:val="-15"/>
          <w:sz w:val="22"/>
        </w:rPr>
        <w:t> </w:t>
      </w:r>
      <w:r>
        <w:rPr>
          <w:sz w:val="22"/>
        </w:rPr>
        <w:t>consecuencia,</w:t>
      </w:r>
      <w:r>
        <w:rPr>
          <w:spacing w:val="-16"/>
          <w:sz w:val="22"/>
        </w:rPr>
        <w:t> </w:t>
      </w:r>
      <w:r>
        <w:rPr>
          <w:sz w:val="22"/>
        </w:rPr>
        <w:t>la</w:t>
      </w:r>
      <w:r>
        <w:rPr>
          <w:spacing w:val="-15"/>
          <w:sz w:val="22"/>
        </w:rPr>
        <w:t> </w:t>
      </w:r>
      <w:r>
        <w:rPr>
          <w:sz w:val="22"/>
        </w:rPr>
        <w:t>medida</w:t>
      </w:r>
      <w:r>
        <w:rPr>
          <w:spacing w:val="-15"/>
          <w:sz w:val="22"/>
        </w:rPr>
        <w:t> </w:t>
      </w:r>
      <w:r>
        <w:rPr>
          <w:sz w:val="22"/>
        </w:rPr>
        <w:t>analizada</w:t>
      </w:r>
      <w:r>
        <w:rPr>
          <w:spacing w:val="-15"/>
          <w:sz w:val="22"/>
        </w:rPr>
        <w:t> </w:t>
      </w:r>
      <w:r>
        <w:rPr>
          <w:sz w:val="22"/>
        </w:rPr>
        <w:t>opera</w:t>
      </w:r>
      <w:r>
        <w:rPr>
          <w:spacing w:val="-16"/>
          <w:sz w:val="22"/>
        </w:rPr>
        <w:t> </w:t>
      </w:r>
      <w:r>
        <w:rPr>
          <w:sz w:val="22"/>
        </w:rPr>
        <w:t>como</w:t>
      </w:r>
      <w:r>
        <w:rPr>
          <w:spacing w:val="-15"/>
          <w:sz w:val="22"/>
        </w:rPr>
        <w:t> </w:t>
      </w:r>
      <w:r>
        <w:rPr>
          <w:sz w:val="22"/>
        </w:rPr>
        <w:t>una</w:t>
      </w:r>
      <w:r>
        <w:rPr>
          <w:spacing w:val="-15"/>
          <w:sz w:val="22"/>
        </w:rPr>
        <w:t> </w:t>
      </w:r>
      <w:r>
        <w:rPr>
          <w:sz w:val="22"/>
        </w:rPr>
        <w:t>restricción injustificada al comercio intracomunitario, incompatible con las exigencias del ordenamiento jurídico comunitario.</w:t>
      </w:r>
    </w:p>
    <w:p>
      <w:pPr>
        <w:pStyle w:val="BodyText"/>
        <w:spacing w:before="1"/>
      </w:pPr>
    </w:p>
    <w:p>
      <w:pPr>
        <w:pStyle w:val="ListParagraph"/>
        <w:numPr>
          <w:ilvl w:val="0"/>
          <w:numId w:val="106"/>
        </w:numPr>
        <w:tabs>
          <w:tab w:pos="2006" w:val="left" w:leader="none"/>
        </w:tabs>
        <w:spacing w:line="240" w:lineRule="auto" w:before="0" w:after="0"/>
        <w:ind w:left="2006" w:right="0" w:hanging="358"/>
        <w:jc w:val="left"/>
        <w:rPr>
          <w:rFonts w:ascii="Arial"/>
          <w:i/>
          <w:sz w:val="22"/>
        </w:rPr>
      </w:pPr>
      <w:r>
        <w:rPr>
          <w:rFonts w:ascii="Arial"/>
          <w:i/>
          <w:sz w:val="22"/>
          <w:u w:val="single"/>
        </w:rPr>
        <w:t>Tomate</w:t>
      </w:r>
      <w:r>
        <w:rPr>
          <w:rFonts w:ascii="Arial"/>
          <w:i/>
          <w:spacing w:val="-5"/>
          <w:sz w:val="22"/>
          <w:u w:val="single"/>
        </w:rPr>
        <w:t> </w:t>
      </w:r>
      <w:r>
        <w:rPr>
          <w:rFonts w:ascii="Arial"/>
          <w:i/>
          <w:sz w:val="22"/>
          <w:u w:val="single"/>
        </w:rPr>
        <w:t>fresco</w:t>
      </w:r>
      <w:r>
        <w:rPr>
          <w:rFonts w:ascii="Arial"/>
          <w:i/>
          <w:spacing w:val="-5"/>
          <w:sz w:val="22"/>
          <w:u w:val="single"/>
        </w:rPr>
        <w:t> </w:t>
      </w:r>
      <w:r>
        <w:rPr>
          <w:rFonts w:ascii="Arial"/>
          <w:i/>
          <w:sz w:val="22"/>
          <w:u w:val="single"/>
        </w:rPr>
        <w:t>o</w:t>
      </w:r>
      <w:r>
        <w:rPr>
          <w:rFonts w:ascii="Arial"/>
          <w:i/>
          <w:spacing w:val="-5"/>
          <w:sz w:val="22"/>
          <w:u w:val="single"/>
        </w:rPr>
        <w:t> </w:t>
      </w:r>
      <w:r>
        <w:rPr>
          <w:rFonts w:ascii="Arial"/>
          <w:i/>
          <w:spacing w:val="-2"/>
          <w:sz w:val="22"/>
          <w:u w:val="single"/>
        </w:rPr>
        <w:t>refrigerado</w:t>
      </w:r>
    </w:p>
    <w:p>
      <w:pPr>
        <w:pStyle w:val="BodyText"/>
        <w:rPr>
          <w:rFonts w:ascii="Arial"/>
          <w:i/>
          <w:sz w:val="12"/>
        </w:rPr>
      </w:pPr>
      <w:r>
        <w:rPr>
          <w:rFonts w:ascii="Arial"/>
          <w:i/>
          <w:sz w:val="12"/>
        </w:rPr>
        <mc:AlternateContent>
          <mc:Choice Requires="wps">
            <w:drawing>
              <wp:anchor distT="0" distB="0" distL="0" distR="0" allowOverlap="1" layoutInCell="1" locked="0" behindDoc="1" simplePos="0" relativeHeight="487661568">
                <wp:simplePos x="0" y="0"/>
                <wp:positionH relativeFrom="page">
                  <wp:posOffset>990904</wp:posOffset>
                </wp:positionH>
                <wp:positionV relativeFrom="paragraph">
                  <wp:posOffset>103288</wp:posOffset>
                </wp:positionV>
                <wp:extent cx="1829435" cy="7620"/>
                <wp:effectExtent l="0" t="0" r="0" b="0"/>
                <wp:wrapTopAndBottom/>
                <wp:docPr id="566" name="Graphic 566"/>
                <wp:cNvGraphicFramePr>
                  <a:graphicFrameLocks/>
                </wp:cNvGraphicFramePr>
                <a:graphic>
                  <a:graphicData uri="http://schemas.microsoft.com/office/word/2010/wordprocessingShape">
                    <wps:wsp>
                      <wps:cNvPr id="566" name="Graphic 566"/>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8.132968pt;width:144.020pt;height:.60004pt;mso-position-horizontal-relative:page;mso-position-vertical-relative:paragraph;z-index:-15654912;mso-wrap-distance-left:0;mso-wrap-distance-right:0" id="docshape391" filled="true" fillcolor="#000000" stroked="false">
                <v:fill type="solid"/>
                <w10:wrap type="topAndBottom"/>
              </v:rect>
            </w:pict>
          </mc:Fallback>
        </mc:AlternateContent>
      </w:r>
    </w:p>
    <w:p>
      <w:pPr>
        <w:spacing w:before="92"/>
        <w:ind w:left="568" w:right="0" w:firstLine="0"/>
        <w:jc w:val="left"/>
        <w:rPr>
          <w:sz w:val="14"/>
        </w:rPr>
      </w:pPr>
      <w:bookmarkStart w:name="_bookmark172" w:id="173"/>
      <w:bookmarkEnd w:id="173"/>
      <w:r>
        <w:rPr/>
      </w:r>
      <w:r>
        <w:rPr>
          <w:sz w:val="16"/>
        </w:rPr>
        <w:t>105</w:t>
      </w:r>
      <w:r>
        <w:rPr>
          <w:spacing w:val="-2"/>
          <w:sz w:val="16"/>
        </w:rPr>
        <w:t> </w:t>
      </w:r>
      <w:hyperlink r:id="rId90">
        <w:r>
          <w:rPr>
            <w:color w:val="0000FF"/>
            <w:spacing w:val="-2"/>
            <w:sz w:val="14"/>
          </w:rPr>
          <w:t>https://afrodita.ica.gov.co/VW_CONSULTAS_REQ_AGRICOLAS/ShowVW_CONSULTAS_REQ_AGRICOLASTable.aspx</w:t>
        </w:r>
      </w:hyperlink>
    </w:p>
    <w:p>
      <w:pPr>
        <w:spacing w:line="20" w:lineRule="exact"/>
        <w:ind w:left="153" w:right="0" w:firstLine="0"/>
        <w:rPr>
          <w:sz w:val="2"/>
        </w:rPr>
      </w:pPr>
      <w:r>
        <w:rPr>
          <w:sz w:val="2"/>
        </w:rPr>
        <mc:AlternateContent>
          <mc:Choice Requires="wps">
            <w:drawing>
              <wp:inline distT="0" distB="0" distL="0" distR="0">
                <wp:extent cx="6131560" cy="13335"/>
                <wp:effectExtent l="9525" t="0" r="2539" b="5714"/>
                <wp:docPr id="567" name="Group 567"/>
                <wp:cNvGraphicFramePr>
                  <a:graphicFrameLocks/>
                </wp:cNvGraphicFramePr>
                <a:graphic>
                  <a:graphicData uri="http://schemas.microsoft.com/office/word/2010/wordprocessingGroup">
                    <wpg:wgp>
                      <wpg:cNvPr id="567" name="Group 567"/>
                      <wpg:cNvGrpSpPr/>
                      <wpg:grpSpPr>
                        <a:xfrm>
                          <a:off x="0" y="0"/>
                          <a:ext cx="6131560" cy="13335"/>
                          <a:chExt cx="6131560" cy="13335"/>
                        </a:xfrm>
                      </wpg:grpSpPr>
                      <wps:wsp>
                        <wps:cNvPr id="568" name="Graphic 568"/>
                        <wps:cNvSpPr/>
                        <wps:spPr>
                          <a:xfrm>
                            <a:off x="0" y="8026"/>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s:wsp>
                        <wps:cNvPr id="569" name="Graphic 569"/>
                        <wps:cNvSpPr/>
                        <wps:spPr>
                          <a:xfrm>
                            <a:off x="456869" y="0"/>
                            <a:ext cx="4784725" cy="6350"/>
                          </a:xfrm>
                          <a:custGeom>
                            <a:avLst/>
                            <a:gdLst/>
                            <a:ahLst/>
                            <a:cxnLst/>
                            <a:rect l="l" t="t" r="r" b="b"/>
                            <a:pathLst>
                              <a:path w="4784725" h="6350">
                                <a:moveTo>
                                  <a:pt x="4784725" y="0"/>
                                </a:moveTo>
                                <a:lnTo>
                                  <a:pt x="0" y="0"/>
                                </a:lnTo>
                                <a:lnTo>
                                  <a:pt x="0" y="6096"/>
                                </a:lnTo>
                                <a:lnTo>
                                  <a:pt x="4784725" y="6096"/>
                                </a:lnTo>
                                <a:lnTo>
                                  <a:pt x="4784725" y="0"/>
                                </a:lnTo>
                                <a:close/>
                              </a:path>
                            </a:pathLst>
                          </a:custGeom>
                          <a:solidFill>
                            <a:srgbClr val="0000FF"/>
                          </a:solidFill>
                        </wps:spPr>
                        <wps:bodyPr wrap="square" lIns="0" tIns="0" rIns="0" bIns="0" rtlCol="0">
                          <a:prstTxWarp prst="textNoShape">
                            <a:avLst/>
                          </a:prstTxWarp>
                          <a:noAutofit/>
                        </wps:bodyPr>
                      </wps:wsp>
                    </wpg:wgp>
                  </a:graphicData>
                </a:graphic>
              </wp:inline>
            </w:drawing>
          </mc:Choice>
          <mc:Fallback>
            <w:pict>
              <v:group style="width:482.8pt;height:1.05pt;mso-position-horizontal-relative:char;mso-position-vertical-relative:line" id="docshapegroup392" coordorigin="0,0" coordsize="9656,21">
                <v:line style="position:absolute" from="0,13" to="9656,13" stroked="true" strokeweight=".75pt" strokecolor="#000000">
                  <v:stroke dashstyle="solid"/>
                </v:line>
                <v:rect style="position:absolute;left:719;top:0;width:7535;height:10" id="docshape393" filled="true" fillcolor="#0000ff" stroked="false">
                  <v:fill type="solid"/>
                </v:rect>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Las</w:t>
      </w:r>
      <w:r>
        <w:rPr>
          <w:spacing w:val="-8"/>
          <w:sz w:val="22"/>
        </w:rPr>
        <w:t> </w:t>
      </w:r>
      <w:r>
        <w:rPr>
          <w:sz w:val="22"/>
        </w:rPr>
        <w:t>importaciones</w:t>
      </w:r>
      <w:r>
        <w:rPr>
          <w:spacing w:val="-11"/>
          <w:sz w:val="22"/>
        </w:rPr>
        <w:t> </w:t>
      </w:r>
      <w:r>
        <w:rPr>
          <w:sz w:val="22"/>
        </w:rPr>
        <w:t>de</w:t>
      </w:r>
      <w:r>
        <w:rPr>
          <w:spacing w:val="-12"/>
          <w:sz w:val="22"/>
        </w:rPr>
        <w:t> </w:t>
      </w:r>
      <w:r>
        <w:rPr>
          <w:sz w:val="22"/>
        </w:rPr>
        <w:t>tomate</w:t>
      </w:r>
      <w:r>
        <w:rPr>
          <w:spacing w:val="-9"/>
          <w:sz w:val="22"/>
        </w:rPr>
        <w:t> </w:t>
      </w:r>
      <w:r>
        <w:rPr>
          <w:sz w:val="22"/>
        </w:rPr>
        <w:t>se</w:t>
      </w:r>
      <w:r>
        <w:rPr>
          <w:spacing w:val="-11"/>
          <w:sz w:val="22"/>
        </w:rPr>
        <w:t> </w:t>
      </w:r>
      <w:r>
        <w:rPr>
          <w:sz w:val="22"/>
        </w:rPr>
        <w:t>clasifican</w:t>
      </w:r>
      <w:r>
        <w:rPr>
          <w:spacing w:val="-9"/>
          <w:sz w:val="22"/>
        </w:rPr>
        <w:t> </w:t>
      </w:r>
      <w:r>
        <w:rPr>
          <w:sz w:val="22"/>
        </w:rPr>
        <w:t>en</w:t>
      </w:r>
      <w:r>
        <w:rPr>
          <w:spacing w:val="-8"/>
          <w:sz w:val="22"/>
        </w:rPr>
        <w:t> </w:t>
      </w:r>
      <w:r>
        <w:rPr>
          <w:sz w:val="22"/>
        </w:rPr>
        <w:t>la</w:t>
      </w:r>
      <w:r>
        <w:rPr>
          <w:spacing w:val="-11"/>
          <w:sz w:val="22"/>
        </w:rPr>
        <w:t> </w:t>
      </w:r>
      <w:r>
        <w:rPr>
          <w:sz w:val="22"/>
        </w:rPr>
        <w:t>subpartida</w:t>
      </w:r>
      <w:r>
        <w:rPr>
          <w:spacing w:val="-9"/>
          <w:sz w:val="22"/>
        </w:rPr>
        <w:t> </w:t>
      </w:r>
      <w:r>
        <w:rPr>
          <w:sz w:val="22"/>
        </w:rPr>
        <w:t>0702.00.00.00</w:t>
      </w:r>
      <w:r>
        <w:rPr>
          <w:spacing w:val="-12"/>
          <w:sz w:val="22"/>
        </w:rPr>
        <w:t> </w:t>
      </w:r>
      <w:r>
        <w:rPr>
          <w:sz w:val="22"/>
        </w:rPr>
        <w:t>y,</w:t>
      </w:r>
      <w:r>
        <w:rPr>
          <w:spacing w:val="-7"/>
          <w:sz w:val="22"/>
        </w:rPr>
        <w:t> </w:t>
      </w:r>
      <w:r>
        <w:rPr>
          <w:sz w:val="22"/>
        </w:rPr>
        <w:t>al</w:t>
      </w:r>
      <w:r>
        <w:rPr>
          <w:spacing w:val="-10"/>
          <w:sz w:val="22"/>
        </w:rPr>
        <w:t> </w:t>
      </w:r>
      <w:r>
        <w:rPr>
          <w:sz w:val="22"/>
        </w:rPr>
        <w:t>igual</w:t>
      </w:r>
      <w:r>
        <w:rPr>
          <w:spacing w:val="-10"/>
          <w:sz w:val="22"/>
        </w:rPr>
        <w:t> </w:t>
      </w:r>
      <w:r>
        <w:rPr>
          <w:sz w:val="22"/>
        </w:rPr>
        <w:t>que otros productos analizados, se encuentran ubicadas en la categoría de riesgo fitosanitario nivel 3, por lo que están sujetas a permiso de importación, inspección y presentación de certificado fitosanitario, con declaraciones adicionales sobre ausencia de determinadas plagas. No obstante, del análisis realizado se desprende la ausencia de</w:t>
      </w:r>
      <w:r>
        <w:rPr>
          <w:spacing w:val="-13"/>
          <w:sz w:val="22"/>
        </w:rPr>
        <w:t> </w:t>
      </w:r>
      <w:r>
        <w:rPr>
          <w:sz w:val="22"/>
        </w:rPr>
        <w:t>sustento</w:t>
      </w:r>
      <w:r>
        <w:rPr>
          <w:spacing w:val="-15"/>
          <w:sz w:val="22"/>
        </w:rPr>
        <w:t> </w:t>
      </w:r>
      <w:r>
        <w:rPr>
          <w:sz w:val="22"/>
        </w:rPr>
        <w:t>técnico-científico</w:t>
      </w:r>
      <w:r>
        <w:rPr>
          <w:spacing w:val="-12"/>
          <w:sz w:val="22"/>
        </w:rPr>
        <w:t> </w:t>
      </w:r>
      <w:r>
        <w:rPr>
          <w:sz w:val="22"/>
        </w:rPr>
        <w:t>específico</w:t>
      </w:r>
      <w:r>
        <w:rPr>
          <w:spacing w:val="-12"/>
          <w:sz w:val="22"/>
        </w:rPr>
        <w:t> </w:t>
      </w:r>
      <w:r>
        <w:rPr>
          <w:sz w:val="22"/>
        </w:rPr>
        <w:t>que</w:t>
      </w:r>
      <w:r>
        <w:rPr>
          <w:spacing w:val="-15"/>
          <w:sz w:val="22"/>
        </w:rPr>
        <w:t> </w:t>
      </w:r>
      <w:r>
        <w:rPr>
          <w:sz w:val="22"/>
        </w:rPr>
        <w:t>justifique</w:t>
      </w:r>
      <w:r>
        <w:rPr>
          <w:spacing w:val="-12"/>
          <w:sz w:val="22"/>
        </w:rPr>
        <w:t> </w:t>
      </w:r>
      <w:r>
        <w:rPr>
          <w:sz w:val="22"/>
        </w:rPr>
        <w:t>incorporar</w:t>
      </w:r>
      <w:r>
        <w:rPr>
          <w:spacing w:val="-9"/>
          <w:sz w:val="22"/>
        </w:rPr>
        <w:t> </w:t>
      </w:r>
      <w:r>
        <w:rPr>
          <w:sz w:val="22"/>
        </w:rPr>
        <w:t>el</w:t>
      </w:r>
      <w:r>
        <w:rPr>
          <w:spacing w:val="-13"/>
          <w:sz w:val="22"/>
        </w:rPr>
        <w:t> </w:t>
      </w:r>
      <w:r>
        <w:rPr>
          <w:sz w:val="22"/>
        </w:rPr>
        <w:t>punto</w:t>
      </w:r>
      <w:r>
        <w:rPr>
          <w:spacing w:val="-14"/>
          <w:sz w:val="22"/>
        </w:rPr>
        <w:t> </w:t>
      </w:r>
      <w:r>
        <w:rPr>
          <w:sz w:val="22"/>
        </w:rPr>
        <w:t>de</w:t>
      </w:r>
      <w:r>
        <w:rPr>
          <w:spacing w:val="-12"/>
          <w:sz w:val="22"/>
        </w:rPr>
        <w:t> </w:t>
      </w:r>
      <w:r>
        <w:rPr>
          <w:sz w:val="22"/>
        </w:rPr>
        <w:t>ingreso</w:t>
      </w:r>
      <w:r>
        <w:rPr>
          <w:spacing w:val="-12"/>
          <w:sz w:val="22"/>
        </w:rPr>
        <w:t> </w:t>
      </w:r>
      <w:r>
        <w:rPr>
          <w:sz w:val="22"/>
        </w:rPr>
        <w:t>por via terrestre como un criterio restrictivo adicional.</w:t>
      </w:r>
    </w:p>
    <w:p>
      <w:pPr>
        <w:pStyle w:val="ListParagraph"/>
        <w:numPr>
          <w:ilvl w:val="0"/>
          <w:numId w:val="50"/>
        </w:numPr>
        <w:tabs>
          <w:tab w:pos="1130" w:val="left" w:leader="none"/>
          <w:tab w:pos="1134" w:val="left" w:leader="none"/>
        </w:tabs>
        <w:spacing w:line="240" w:lineRule="auto" w:before="252" w:after="0"/>
        <w:ind w:left="1134" w:right="975" w:hanging="567"/>
        <w:jc w:val="both"/>
        <w:rPr>
          <w:sz w:val="22"/>
        </w:rPr>
      </w:pPr>
      <w:r>
        <w:rPr>
          <w:sz w:val="22"/>
        </w:rPr>
        <w:t>En</w:t>
      </w:r>
      <w:r>
        <w:rPr>
          <w:spacing w:val="-16"/>
          <w:sz w:val="22"/>
        </w:rPr>
        <w:t> </w:t>
      </w:r>
      <w:r>
        <w:rPr>
          <w:sz w:val="22"/>
        </w:rPr>
        <w:t>el</w:t>
      </w:r>
      <w:r>
        <w:rPr>
          <w:spacing w:val="-15"/>
          <w:sz w:val="22"/>
        </w:rPr>
        <w:t> </w:t>
      </w:r>
      <w:r>
        <w:rPr>
          <w:sz w:val="22"/>
        </w:rPr>
        <w:t>escrito</w:t>
      </w:r>
      <w:r>
        <w:rPr>
          <w:spacing w:val="-15"/>
          <w:sz w:val="22"/>
        </w:rPr>
        <w:t> </w:t>
      </w:r>
      <w:r>
        <w:rPr>
          <w:sz w:val="22"/>
        </w:rPr>
        <w:t>de</w:t>
      </w:r>
      <w:r>
        <w:rPr>
          <w:spacing w:val="-16"/>
          <w:sz w:val="22"/>
        </w:rPr>
        <w:t> </w:t>
      </w:r>
      <w:r>
        <w:rPr>
          <w:sz w:val="22"/>
        </w:rPr>
        <w:t>la</w:t>
      </w:r>
      <w:r>
        <w:rPr>
          <w:spacing w:val="-15"/>
          <w:sz w:val="22"/>
        </w:rPr>
        <w:t> </w:t>
      </w:r>
      <w:r>
        <w:rPr>
          <w:sz w:val="22"/>
        </w:rPr>
        <w:t>República</w:t>
      </w:r>
      <w:r>
        <w:rPr>
          <w:spacing w:val="-14"/>
          <w:sz w:val="22"/>
        </w:rPr>
        <w:t> </w:t>
      </w:r>
      <w:r>
        <w:rPr>
          <w:sz w:val="22"/>
        </w:rPr>
        <w:t>de</w:t>
      </w:r>
      <w:r>
        <w:rPr>
          <w:spacing w:val="-14"/>
          <w:sz w:val="22"/>
        </w:rPr>
        <w:t> </w:t>
      </w:r>
      <w:r>
        <w:rPr>
          <w:sz w:val="22"/>
        </w:rPr>
        <w:t>Colombia</w:t>
      </w:r>
      <w:r>
        <w:rPr>
          <w:spacing w:val="-14"/>
          <w:sz w:val="22"/>
        </w:rPr>
        <w:t> </w:t>
      </w:r>
      <w:r>
        <w:rPr>
          <w:sz w:val="22"/>
        </w:rPr>
        <w:t>se</w:t>
      </w:r>
      <w:r>
        <w:rPr>
          <w:spacing w:val="-16"/>
          <w:sz w:val="22"/>
        </w:rPr>
        <w:t> </w:t>
      </w:r>
      <w:r>
        <w:rPr>
          <w:sz w:val="22"/>
        </w:rPr>
        <w:t>menciona</w:t>
      </w:r>
      <w:r>
        <w:rPr>
          <w:spacing w:val="-12"/>
          <w:sz w:val="22"/>
        </w:rPr>
        <w:t> </w:t>
      </w:r>
      <w:r>
        <w:rPr>
          <w:sz w:val="22"/>
        </w:rPr>
        <w:t>de</w:t>
      </w:r>
      <w:r>
        <w:rPr>
          <w:spacing w:val="-16"/>
          <w:sz w:val="22"/>
        </w:rPr>
        <w:t> </w:t>
      </w:r>
      <w:r>
        <w:rPr>
          <w:sz w:val="22"/>
        </w:rPr>
        <w:t>manera</w:t>
      </w:r>
      <w:r>
        <w:rPr>
          <w:spacing w:val="-12"/>
          <w:sz w:val="22"/>
        </w:rPr>
        <w:t> </w:t>
      </w:r>
      <w:r>
        <w:rPr>
          <w:sz w:val="22"/>
        </w:rPr>
        <w:t>genérica</w:t>
      </w:r>
      <w:r>
        <w:rPr>
          <w:spacing w:val="-16"/>
          <w:sz w:val="22"/>
        </w:rPr>
        <w:t> </w:t>
      </w:r>
      <w:r>
        <w:rPr>
          <w:sz w:val="22"/>
        </w:rPr>
        <w:t>la</w:t>
      </w:r>
      <w:r>
        <w:rPr>
          <w:spacing w:val="-13"/>
          <w:sz w:val="22"/>
        </w:rPr>
        <w:t> </w:t>
      </w:r>
      <w:r>
        <w:rPr>
          <w:sz w:val="22"/>
        </w:rPr>
        <w:t>existencia de riesgos para el tomate, en el marco del denominado complejo de solanáceas, pero no se incorpora un ARP específico por subpartida arancelaria, ni se demuestra que el riesgo eventualmente asociado al tomate ecuatoriano no pueda ser gestionado mediante mecanismos ordinarios de inspección, certificación fitosanitaria o tratamiento en frontera ya previstos en la normativa aplicable. En tales condiciones, cuando una medida</w:t>
      </w:r>
      <w:r>
        <w:rPr>
          <w:spacing w:val="-10"/>
          <w:sz w:val="22"/>
        </w:rPr>
        <w:t> </w:t>
      </w:r>
      <w:r>
        <w:rPr>
          <w:sz w:val="22"/>
        </w:rPr>
        <w:t>adoptada</w:t>
      </w:r>
      <w:r>
        <w:rPr>
          <w:spacing w:val="-9"/>
          <w:sz w:val="22"/>
        </w:rPr>
        <w:t> </w:t>
      </w:r>
      <w:r>
        <w:rPr>
          <w:sz w:val="22"/>
        </w:rPr>
        <w:t>excede</w:t>
      </w:r>
      <w:r>
        <w:rPr>
          <w:spacing w:val="-12"/>
          <w:sz w:val="22"/>
        </w:rPr>
        <w:t> </w:t>
      </w:r>
      <w:r>
        <w:rPr>
          <w:sz w:val="22"/>
        </w:rPr>
        <w:t>la</w:t>
      </w:r>
      <w:r>
        <w:rPr>
          <w:spacing w:val="-10"/>
          <w:sz w:val="22"/>
        </w:rPr>
        <w:t> </w:t>
      </w:r>
      <w:r>
        <w:rPr>
          <w:sz w:val="22"/>
        </w:rPr>
        <w:t>intensidad</w:t>
      </w:r>
      <w:r>
        <w:rPr>
          <w:spacing w:val="-10"/>
          <w:sz w:val="22"/>
        </w:rPr>
        <w:t> </w:t>
      </w:r>
      <w:r>
        <w:rPr>
          <w:sz w:val="22"/>
        </w:rPr>
        <w:t>de</w:t>
      </w:r>
      <w:r>
        <w:rPr>
          <w:spacing w:val="-12"/>
          <w:sz w:val="22"/>
        </w:rPr>
        <w:t> </w:t>
      </w:r>
      <w:r>
        <w:rPr>
          <w:sz w:val="22"/>
        </w:rPr>
        <w:t>los</w:t>
      </w:r>
      <w:r>
        <w:rPr>
          <w:spacing w:val="-12"/>
          <w:sz w:val="22"/>
        </w:rPr>
        <w:t> </w:t>
      </w:r>
      <w:r>
        <w:rPr>
          <w:sz w:val="22"/>
        </w:rPr>
        <w:t>requisitos</w:t>
      </w:r>
      <w:r>
        <w:rPr>
          <w:spacing w:val="-10"/>
          <w:sz w:val="22"/>
        </w:rPr>
        <w:t> </w:t>
      </w:r>
      <w:r>
        <w:rPr>
          <w:sz w:val="22"/>
        </w:rPr>
        <w:t>fitosanitarios</w:t>
      </w:r>
      <w:r>
        <w:rPr>
          <w:spacing w:val="-12"/>
          <w:sz w:val="22"/>
        </w:rPr>
        <w:t> </w:t>
      </w:r>
      <w:r>
        <w:rPr>
          <w:sz w:val="22"/>
        </w:rPr>
        <w:t>publicados</w:t>
      </w:r>
      <w:r>
        <w:rPr>
          <w:spacing w:val="-10"/>
          <w:sz w:val="22"/>
        </w:rPr>
        <w:t> </w:t>
      </w:r>
      <w:r>
        <w:rPr>
          <w:sz w:val="22"/>
        </w:rPr>
        <w:t>y</w:t>
      </w:r>
      <w:r>
        <w:rPr>
          <w:spacing w:val="-12"/>
          <w:sz w:val="22"/>
        </w:rPr>
        <w:t> </w:t>
      </w:r>
      <w:r>
        <w:rPr>
          <w:sz w:val="22"/>
        </w:rPr>
        <w:t>no</w:t>
      </w:r>
      <w:r>
        <w:rPr>
          <w:spacing w:val="-13"/>
          <w:sz w:val="22"/>
        </w:rPr>
        <w:t> </w:t>
      </w:r>
      <w:r>
        <w:rPr>
          <w:sz w:val="22"/>
        </w:rPr>
        <w:t>se encuentra</w:t>
      </w:r>
      <w:r>
        <w:rPr>
          <w:spacing w:val="-7"/>
          <w:sz w:val="22"/>
        </w:rPr>
        <w:t> </w:t>
      </w:r>
      <w:r>
        <w:rPr>
          <w:sz w:val="22"/>
        </w:rPr>
        <w:t>debidamente</w:t>
      </w:r>
      <w:r>
        <w:rPr>
          <w:spacing w:val="-7"/>
          <w:sz w:val="22"/>
        </w:rPr>
        <w:t> </w:t>
      </w:r>
      <w:r>
        <w:rPr>
          <w:sz w:val="22"/>
        </w:rPr>
        <w:t>justifica</w:t>
      </w:r>
      <w:r>
        <w:rPr>
          <w:spacing w:val="-8"/>
          <w:sz w:val="22"/>
        </w:rPr>
        <w:t> </w:t>
      </w:r>
      <w:r>
        <w:rPr>
          <w:sz w:val="22"/>
        </w:rPr>
        <w:t>con</w:t>
      </w:r>
      <w:r>
        <w:rPr>
          <w:spacing w:val="-8"/>
          <w:sz w:val="22"/>
        </w:rPr>
        <w:t> </w:t>
      </w:r>
      <w:r>
        <w:rPr>
          <w:sz w:val="22"/>
        </w:rPr>
        <w:t>un</w:t>
      </w:r>
      <w:r>
        <w:rPr>
          <w:spacing w:val="-5"/>
          <w:sz w:val="22"/>
        </w:rPr>
        <w:t> </w:t>
      </w:r>
      <w:r>
        <w:rPr>
          <w:sz w:val="22"/>
        </w:rPr>
        <w:t>análisis</w:t>
      </w:r>
      <w:r>
        <w:rPr>
          <w:spacing w:val="-7"/>
          <w:sz w:val="22"/>
        </w:rPr>
        <w:t> </w:t>
      </w:r>
      <w:r>
        <w:rPr>
          <w:sz w:val="22"/>
        </w:rPr>
        <w:t>técnico-científico,</w:t>
      </w:r>
      <w:r>
        <w:rPr>
          <w:spacing w:val="-6"/>
          <w:sz w:val="22"/>
        </w:rPr>
        <w:t> </w:t>
      </w:r>
      <w:r>
        <w:rPr>
          <w:sz w:val="22"/>
        </w:rPr>
        <w:t>su</w:t>
      </w:r>
      <w:r>
        <w:rPr>
          <w:spacing w:val="-7"/>
          <w:sz w:val="22"/>
        </w:rPr>
        <w:t> </w:t>
      </w:r>
      <w:r>
        <w:rPr>
          <w:sz w:val="22"/>
        </w:rPr>
        <w:t>efecto</w:t>
      </w:r>
      <w:r>
        <w:rPr>
          <w:spacing w:val="-5"/>
          <w:sz w:val="22"/>
        </w:rPr>
        <w:t> </w:t>
      </w:r>
      <w:r>
        <w:rPr>
          <w:sz w:val="22"/>
        </w:rPr>
        <w:t>resulta</w:t>
      </w:r>
      <w:r>
        <w:rPr>
          <w:spacing w:val="-7"/>
          <w:sz w:val="22"/>
        </w:rPr>
        <w:t> </w:t>
      </w:r>
      <w:r>
        <w:rPr>
          <w:sz w:val="22"/>
        </w:rPr>
        <w:t>más oneroso</w:t>
      </w:r>
      <w:r>
        <w:rPr>
          <w:spacing w:val="-15"/>
          <w:sz w:val="22"/>
        </w:rPr>
        <w:t> </w:t>
      </w:r>
      <w:r>
        <w:rPr>
          <w:sz w:val="22"/>
        </w:rPr>
        <w:t>de</w:t>
      </w:r>
      <w:r>
        <w:rPr>
          <w:spacing w:val="-15"/>
          <w:sz w:val="22"/>
        </w:rPr>
        <w:t> </w:t>
      </w:r>
      <w:r>
        <w:rPr>
          <w:sz w:val="22"/>
        </w:rPr>
        <w:t>lo</w:t>
      </w:r>
      <w:r>
        <w:rPr>
          <w:spacing w:val="-12"/>
          <w:sz w:val="22"/>
        </w:rPr>
        <w:t> </w:t>
      </w:r>
      <w:r>
        <w:rPr>
          <w:sz w:val="22"/>
        </w:rPr>
        <w:t>necesario,</w:t>
      </w:r>
      <w:r>
        <w:rPr>
          <w:spacing w:val="-16"/>
          <w:sz w:val="22"/>
        </w:rPr>
        <w:t> </w:t>
      </w:r>
      <w:r>
        <w:rPr>
          <w:sz w:val="22"/>
        </w:rPr>
        <w:t>configurándose</w:t>
      </w:r>
      <w:r>
        <w:rPr>
          <w:spacing w:val="-14"/>
          <w:sz w:val="22"/>
        </w:rPr>
        <w:t> </w:t>
      </w:r>
      <w:r>
        <w:rPr>
          <w:sz w:val="22"/>
        </w:rPr>
        <w:t>en</w:t>
      </w:r>
      <w:r>
        <w:rPr>
          <w:spacing w:val="-13"/>
          <w:sz w:val="22"/>
        </w:rPr>
        <w:t> </w:t>
      </w:r>
      <w:r>
        <w:rPr>
          <w:sz w:val="22"/>
        </w:rPr>
        <w:t>una</w:t>
      </w:r>
      <w:r>
        <w:rPr>
          <w:spacing w:val="-16"/>
          <w:sz w:val="22"/>
        </w:rPr>
        <w:t> </w:t>
      </w:r>
      <w:r>
        <w:rPr>
          <w:sz w:val="22"/>
        </w:rPr>
        <w:t>restricción</w:t>
      </w:r>
      <w:r>
        <w:rPr>
          <w:spacing w:val="-13"/>
          <w:sz w:val="22"/>
        </w:rPr>
        <w:t> </w:t>
      </w:r>
      <w:r>
        <w:rPr>
          <w:sz w:val="22"/>
        </w:rPr>
        <w:t>incompatible</w:t>
      </w:r>
      <w:r>
        <w:rPr>
          <w:spacing w:val="-12"/>
          <w:sz w:val="22"/>
        </w:rPr>
        <w:t> </w:t>
      </w:r>
      <w:r>
        <w:rPr>
          <w:sz w:val="22"/>
        </w:rPr>
        <w:t>con</w:t>
      </w:r>
      <w:r>
        <w:rPr>
          <w:spacing w:val="-13"/>
          <w:sz w:val="22"/>
        </w:rPr>
        <w:t> </w:t>
      </w:r>
      <w:r>
        <w:rPr>
          <w:sz w:val="22"/>
        </w:rPr>
        <w:t>la</w:t>
      </w:r>
      <w:r>
        <w:rPr>
          <w:spacing w:val="-13"/>
          <w:sz w:val="22"/>
        </w:rPr>
        <w:t> </w:t>
      </w:r>
      <w:r>
        <w:rPr>
          <w:sz w:val="22"/>
        </w:rPr>
        <w:t>Decisión 515 y con el criterio andino de mínima repercusión.</w:t>
      </w:r>
    </w:p>
    <w:p>
      <w:pPr>
        <w:pStyle w:val="ListParagraph"/>
        <w:numPr>
          <w:ilvl w:val="0"/>
          <w:numId w:val="50"/>
        </w:numPr>
        <w:tabs>
          <w:tab w:pos="1130" w:val="left" w:leader="none"/>
          <w:tab w:pos="1134" w:val="left" w:leader="none"/>
        </w:tabs>
        <w:spacing w:line="240" w:lineRule="auto" w:before="252" w:after="0"/>
        <w:ind w:left="1134" w:right="977" w:hanging="567"/>
        <w:jc w:val="both"/>
        <w:rPr>
          <w:sz w:val="22"/>
        </w:rPr>
      </w:pPr>
      <w:r>
        <w:rPr>
          <w:sz w:val="22"/>
        </w:rPr>
        <w:t>Por tanto, ante la inexistencia de un ARP específico acreditado para la subpartida 0702.00.00.00, así como la ausencia de incorporación del puesto de ingreso como requisito fitosanitario previamente establecido, se concluye que la medida adoptada constituye una restricción no debidamente justificada.</w:t>
      </w:r>
    </w:p>
    <w:p>
      <w:pPr>
        <w:pStyle w:val="BodyText"/>
        <w:spacing w:before="1"/>
      </w:pPr>
    </w:p>
    <w:p>
      <w:pPr>
        <w:pStyle w:val="ListParagraph"/>
        <w:numPr>
          <w:ilvl w:val="0"/>
          <w:numId w:val="106"/>
        </w:numPr>
        <w:tabs>
          <w:tab w:pos="2007" w:val="left" w:leader="none"/>
        </w:tabs>
        <w:spacing w:line="240" w:lineRule="auto" w:before="0" w:after="0"/>
        <w:ind w:left="2007" w:right="0" w:hanging="359"/>
        <w:jc w:val="left"/>
        <w:rPr>
          <w:sz w:val="22"/>
        </w:rPr>
      </w:pPr>
      <w:r>
        <w:rPr>
          <w:rFonts w:ascii="Arial"/>
          <w:i/>
          <w:sz w:val="22"/>
          <w:u w:val="single"/>
        </w:rPr>
        <w:t>Cebolla</w:t>
      </w:r>
      <w:r>
        <w:rPr>
          <w:rFonts w:ascii="Arial"/>
          <w:i/>
          <w:spacing w:val="-11"/>
          <w:sz w:val="22"/>
          <w:u w:val="single"/>
        </w:rPr>
        <w:t> </w:t>
      </w:r>
      <w:r>
        <w:rPr>
          <w:rFonts w:ascii="Arial"/>
          <w:i/>
          <w:spacing w:val="-4"/>
          <w:sz w:val="22"/>
          <w:u w:val="single"/>
        </w:rPr>
        <w:t>roja</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La cebolla roja clasificada en la </w:t>
      </w:r>
      <w:r>
        <w:rPr>
          <w:sz w:val="20"/>
        </w:rPr>
        <w:t>subpartida 0703.10.00.10 y </w:t>
      </w:r>
      <w:r>
        <w:rPr>
          <w:sz w:val="22"/>
        </w:rPr>
        <w:t>se encuentra ubicada en categoría de riesgo fitosanitario nivel 3. Conforme a los requisitos sistematizados, ya cuenta con un régimen completo de control: permiso de importación, inspección fitosanitaria, certificado fitosanitario, declaración adicional de ausencia de Carpophilus hemipterus,</w:t>
      </w:r>
      <w:r>
        <w:rPr>
          <w:spacing w:val="-6"/>
          <w:sz w:val="22"/>
        </w:rPr>
        <w:t> </w:t>
      </w:r>
      <w:r>
        <w:rPr>
          <w:sz w:val="22"/>
        </w:rPr>
        <w:t>exigencia</w:t>
      </w:r>
      <w:r>
        <w:rPr>
          <w:spacing w:val="-7"/>
          <w:sz w:val="22"/>
        </w:rPr>
        <w:t> </w:t>
      </w:r>
      <w:r>
        <w:rPr>
          <w:sz w:val="22"/>
        </w:rPr>
        <w:t>de</w:t>
      </w:r>
      <w:r>
        <w:rPr>
          <w:spacing w:val="-8"/>
          <w:sz w:val="22"/>
        </w:rPr>
        <w:t> </w:t>
      </w:r>
      <w:r>
        <w:rPr>
          <w:sz w:val="22"/>
        </w:rPr>
        <w:t>venir</w:t>
      </w:r>
      <w:r>
        <w:rPr>
          <w:spacing w:val="-6"/>
          <w:sz w:val="22"/>
        </w:rPr>
        <w:t> </w:t>
      </w:r>
      <w:r>
        <w:rPr>
          <w:sz w:val="22"/>
        </w:rPr>
        <w:t>libre</w:t>
      </w:r>
      <w:r>
        <w:rPr>
          <w:spacing w:val="-7"/>
          <w:sz w:val="22"/>
        </w:rPr>
        <w:t> </w:t>
      </w:r>
      <w:r>
        <w:rPr>
          <w:sz w:val="22"/>
        </w:rPr>
        <w:t>de</w:t>
      </w:r>
      <w:r>
        <w:rPr>
          <w:spacing w:val="-8"/>
          <w:sz w:val="22"/>
        </w:rPr>
        <w:t> </w:t>
      </w:r>
      <w:r>
        <w:rPr>
          <w:sz w:val="22"/>
        </w:rPr>
        <w:t>suelo</w:t>
      </w:r>
      <w:r>
        <w:rPr>
          <w:spacing w:val="-7"/>
          <w:sz w:val="22"/>
        </w:rPr>
        <w:t> </w:t>
      </w:r>
      <w:r>
        <w:rPr>
          <w:sz w:val="22"/>
        </w:rPr>
        <w:t>y</w:t>
      </w:r>
      <w:r>
        <w:rPr>
          <w:spacing w:val="-7"/>
          <w:sz w:val="22"/>
        </w:rPr>
        <w:t> </w:t>
      </w:r>
      <w:r>
        <w:rPr>
          <w:sz w:val="22"/>
        </w:rPr>
        <w:t>uso</w:t>
      </w:r>
      <w:r>
        <w:rPr>
          <w:spacing w:val="-7"/>
          <w:sz w:val="22"/>
        </w:rPr>
        <w:t> </w:t>
      </w:r>
      <w:r>
        <w:rPr>
          <w:sz w:val="22"/>
        </w:rPr>
        <w:t>de</w:t>
      </w:r>
      <w:r>
        <w:rPr>
          <w:spacing w:val="-7"/>
          <w:sz w:val="22"/>
        </w:rPr>
        <w:t> </w:t>
      </w:r>
      <w:r>
        <w:rPr>
          <w:sz w:val="22"/>
        </w:rPr>
        <w:t>envases</w:t>
      </w:r>
      <w:r>
        <w:rPr>
          <w:spacing w:val="-9"/>
          <w:sz w:val="22"/>
        </w:rPr>
        <w:t> </w:t>
      </w:r>
      <w:r>
        <w:rPr>
          <w:sz w:val="22"/>
        </w:rPr>
        <w:t>nuevos.</w:t>
      </w:r>
      <w:r>
        <w:rPr>
          <w:spacing w:val="-8"/>
          <w:sz w:val="22"/>
        </w:rPr>
        <w:t> </w:t>
      </w:r>
      <w:r>
        <w:rPr>
          <w:sz w:val="22"/>
        </w:rPr>
        <w:t>Esto</w:t>
      </w:r>
      <w:r>
        <w:rPr>
          <w:spacing w:val="-7"/>
          <w:sz w:val="22"/>
        </w:rPr>
        <w:t> </w:t>
      </w:r>
      <w:r>
        <w:rPr>
          <w:sz w:val="22"/>
        </w:rPr>
        <w:t>demuestra que</w:t>
      </w:r>
      <w:r>
        <w:rPr>
          <w:spacing w:val="-10"/>
          <w:sz w:val="22"/>
        </w:rPr>
        <w:t> </w:t>
      </w:r>
      <w:r>
        <w:rPr>
          <w:sz w:val="22"/>
        </w:rPr>
        <w:t>el</w:t>
      </w:r>
      <w:r>
        <w:rPr>
          <w:spacing w:val="-11"/>
          <w:sz w:val="22"/>
        </w:rPr>
        <w:t> </w:t>
      </w:r>
      <w:r>
        <w:rPr>
          <w:sz w:val="22"/>
        </w:rPr>
        <w:t>ordenamiento</w:t>
      </w:r>
      <w:r>
        <w:rPr>
          <w:spacing w:val="-12"/>
          <w:sz w:val="22"/>
        </w:rPr>
        <w:t> </w:t>
      </w:r>
      <w:r>
        <w:rPr>
          <w:sz w:val="22"/>
        </w:rPr>
        <w:t>fitosanitario</w:t>
      </w:r>
      <w:r>
        <w:rPr>
          <w:spacing w:val="-10"/>
          <w:sz w:val="22"/>
        </w:rPr>
        <w:t> </w:t>
      </w:r>
      <w:r>
        <w:rPr>
          <w:sz w:val="22"/>
        </w:rPr>
        <w:t>ya</w:t>
      </w:r>
      <w:r>
        <w:rPr>
          <w:spacing w:val="-12"/>
          <w:sz w:val="22"/>
        </w:rPr>
        <w:t> </w:t>
      </w:r>
      <w:r>
        <w:rPr>
          <w:sz w:val="22"/>
        </w:rPr>
        <w:t>disponía</w:t>
      </w:r>
      <w:r>
        <w:rPr>
          <w:spacing w:val="-12"/>
          <w:sz w:val="22"/>
        </w:rPr>
        <w:t> </w:t>
      </w:r>
      <w:r>
        <w:rPr>
          <w:sz w:val="22"/>
        </w:rPr>
        <w:t>de</w:t>
      </w:r>
      <w:r>
        <w:rPr>
          <w:spacing w:val="-13"/>
          <w:sz w:val="22"/>
        </w:rPr>
        <w:t> </w:t>
      </w:r>
      <w:r>
        <w:rPr>
          <w:sz w:val="22"/>
        </w:rPr>
        <w:t>instrumentos</w:t>
      </w:r>
      <w:r>
        <w:rPr>
          <w:spacing w:val="-9"/>
          <w:sz w:val="22"/>
        </w:rPr>
        <w:t> </w:t>
      </w:r>
      <w:r>
        <w:rPr>
          <w:sz w:val="22"/>
        </w:rPr>
        <w:t>de</w:t>
      </w:r>
      <w:r>
        <w:rPr>
          <w:spacing w:val="-13"/>
          <w:sz w:val="22"/>
        </w:rPr>
        <w:t> </w:t>
      </w:r>
      <w:r>
        <w:rPr>
          <w:sz w:val="22"/>
        </w:rPr>
        <w:t>gestión</w:t>
      </w:r>
      <w:r>
        <w:rPr>
          <w:spacing w:val="-10"/>
          <w:sz w:val="22"/>
        </w:rPr>
        <w:t> </w:t>
      </w:r>
      <w:r>
        <w:rPr>
          <w:sz w:val="22"/>
        </w:rPr>
        <w:t>del</w:t>
      </w:r>
      <w:r>
        <w:rPr>
          <w:spacing w:val="-11"/>
          <w:sz w:val="22"/>
        </w:rPr>
        <w:t> </w:t>
      </w:r>
      <w:r>
        <w:rPr>
          <w:sz w:val="22"/>
        </w:rPr>
        <w:t>riesgo</w:t>
      </w:r>
      <w:r>
        <w:rPr>
          <w:spacing w:val="-5"/>
          <w:sz w:val="22"/>
        </w:rPr>
        <w:t> </w:t>
      </w:r>
      <w:r>
        <w:rPr>
          <w:sz w:val="22"/>
        </w:rPr>
        <w:t>para este producto.</w:t>
      </w:r>
    </w:p>
    <w:p>
      <w:pPr>
        <w:pStyle w:val="ListParagraph"/>
        <w:numPr>
          <w:ilvl w:val="0"/>
          <w:numId w:val="50"/>
        </w:numPr>
        <w:tabs>
          <w:tab w:pos="1130" w:val="left" w:leader="none"/>
          <w:tab w:pos="1134" w:val="left" w:leader="none"/>
        </w:tabs>
        <w:spacing w:line="240" w:lineRule="auto" w:before="253" w:after="0"/>
        <w:ind w:left="1134" w:right="980" w:hanging="567"/>
        <w:jc w:val="both"/>
        <w:rPr>
          <w:sz w:val="22"/>
        </w:rPr>
      </w:pPr>
      <w:r>
        <w:rPr>
          <w:sz w:val="22"/>
        </w:rPr>
        <w:t>Se debe señalar que el puesto de control específico no aparece dentro de esos requisitos</w:t>
      </w:r>
      <w:r>
        <w:rPr>
          <w:spacing w:val="-11"/>
          <w:sz w:val="22"/>
        </w:rPr>
        <w:t> </w:t>
      </w:r>
      <w:r>
        <w:rPr>
          <w:sz w:val="22"/>
        </w:rPr>
        <w:t>fitosanitarios</w:t>
      </w:r>
      <w:r>
        <w:rPr>
          <w:spacing w:val="-11"/>
          <w:sz w:val="22"/>
        </w:rPr>
        <w:t> </w:t>
      </w:r>
      <w:r>
        <w:rPr>
          <w:sz w:val="22"/>
        </w:rPr>
        <w:t>publicados</w:t>
      </w:r>
      <w:r>
        <w:rPr>
          <w:spacing w:val="-9"/>
          <w:sz w:val="22"/>
        </w:rPr>
        <w:t> </w:t>
      </w:r>
      <w:r>
        <w:rPr>
          <w:sz w:val="22"/>
        </w:rPr>
        <w:t>por</w:t>
      </w:r>
      <w:r>
        <w:rPr>
          <w:spacing w:val="-10"/>
          <w:sz w:val="22"/>
        </w:rPr>
        <w:t> </w:t>
      </w:r>
      <w:r>
        <w:rPr>
          <w:sz w:val="22"/>
        </w:rPr>
        <w:t>el</w:t>
      </w:r>
      <w:r>
        <w:rPr>
          <w:spacing w:val="-12"/>
          <w:sz w:val="22"/>
        </w:rPr>
        <w:t> </w:t>
      </w:r>
      <w:r>
        <w:rPr>
          <w:sz w:val="22"/>
        </w:rPr>
        <w:t>ICA.</w:t>
      </w:r>
      <w:r>
        <w:rPr>
          <w:spacing w:val="-7"/>
          <w:sz w:val="22"/>
        </w:rPr>
        <w:t> </w:t>
      </w:r>
      <w:r>
        <w:rPr>
          <w:sz w:val="22"/>
        </w:rPr>
        <w:t>En</w:t>
      </w:r>
      <w:r>
        <w:rPr>
          <w:spacing w:val="-14"/>
          <w:sz w:val="22"/>
        </w:rPr>
        <w:t> </w:t>
      </w:r>
      <w:r>
        <w:rPr>
          <w:sz w:val="22"/>
        </w:rPr>
        <w:t>consecuencia,</w:t>
      </w:r>
      <w:r>
        <w:rPr>
          <w:spacing w:val="-10"/>
          <w:sz w:val="22"/>
        </w:rPr>
        <w:t> </w:t>
      </w:r>
      <w:r>
        <w:rPr>
          <w:sz w:val="22"/>
        </w:rPr>
        <w:t>la</w:t>
      </w:r>
      <w:r>
        <w:rPr>
          <w:spacing w:val="-9"/>
          <w:sz w:val="22"/>
        </w:rPr>
        <w:t> </w:t>
      </w:r>
      <w:r>
        <w:rPr>
          <w:sz w:val="22"/>
        </w:rPr>
        <w:t>nueva</w:t>
      </w:r>
      <w:r>
        <w:rPr>
          <w:spacing w:val="-14"/>
          <w:sz w:val="22"/>
        </w:rPr>
        <w:t> </w:t>
      </w:r>
      <w:r>
        <w:rPr>
          <w:sz w:val="22"/>
        </w:rPr>
        <w:t>medida</w:t>
      </w:r>
      <w:r>
        <w:rPr>
          <w:spacing w:val="-9"/>
          <w:sz w:val="22"/>
        </w:rPr>
        <w:t> </w:t>
      </w:r>
      <w:r>
        <w:rPr>
          <w:sz w:val="22"/>
        </w:rPr>
        <w:t>no</w:t>
      </w:r>
      <w:r>
        <w:rPr>
          <w:spacing w:val="-12"/>
          <w:sz w:val="22"/>
        </w:rPr>
        <w:t> </w:t>
      </w:r>
      <w:r>
        <w:rPr>
          <w:sz w:val="22"/>
        </w:rPr>
        <w:t>fue presentada como ajuste técnico sustentado en un ARP específico, sino como una restricción territorial adicional, superpuesta a un régimen ya existente. Conforme a la jurisprudencia del TJCAN, cuando una medida añade un obstáculo adicional al comercio, carece de soporte técnico suficiente y dificulta el ingreso de las mercancías, se configura una restricción de todo orden incompatible con el ordenamiento jurídico </w:t>
      </w:r>
      <w:r>
        <w:rPr>
          <w:spacing w:val="-2"/>
          <w:sz w:val="22"/>
        </w:rPr>
        <w:t>comunitario.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Por tanto, la República de Colombia no acreditó la realización de un ARP específico para justificar el desvío territorial obligatorio de la subpartida 0703.10.00.10. Dado que ya existían requisitos fitosanitarios ordinarios suficientes para la gestión del riesgo asociado a dicho producto, la medida adoptada reviste un carácter restrictivo e innecesario, incompatible con los principios que rigen el ordenamiento jurídico comunitario andino.</w:t>
      </w:r>
    </w:p>
    <w:p>
      <w:pPr>
        <w:pStyle w:val="BodyText"/>
      </w:pPr>
    </w:p>
    <w:p>
      <w:pPr>
        <w:pStyle w:val="ListParagraph"/>
        <w:numPr>
          <w:ilvl w:val="0"/>
          <w:numId w:val="106"/>
        </w:numPr>
        <w:tabs>
          <w:tab w:pos="2006" w:val="left" w:leader="none"/>
        </w:tabs>
        <w:spacing w:line="240" w:lineRule="auto" w:before="0" w:after="0"/>
        <w:ind w:left="2006" w:right="0" w:hanging="358"/>
        <w:jc w:val="left"/>
        <w:rPr>
          <w:rFonts w:ascii="Arial"/>
          <w:i/>
          <w:sz w:val="22"/>
        </w:rPr>
      </w:pPr>
      <w:r>
        <w:rPr>
          <w:rFonts w:ascii="Arial"/>
          <w:i/>
          <w:sz w:val="22"/>
          <w:u w:val="single"/>
        </w:rPr>
        <w:t>Cebolla</w:t>
      </w:r>
      <w:r>
        <w:rPr>
          <w:rFonts w:ascii="Arial"/>
          <w:i/>
          <w:spacing w:val="-9"/>
          <w:sz w:val="22"/>
          <w:u w:val="single"/>
        </w:rPr>
        <w:t> </w:t>
      </w:r>
      <w:r>
        <w:rPr>
          <w:rFonts w:ascii="Arial"/>
          <w:i/>
          <w:spacing w:val="-2"/>
          <w:sz w:val="22"/>
          <w:u w:val="single"/>
        </w:rPr>
        <w:t>blanca</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76" w:hanging="567"/>
        <w:jc w:val="left"/>
        <w:rPr>
          <w:sz w:val="22"/>
        </w:rPr>
      </w:pPr>
      <w:r>
        <w:rPr>
          <w:sz w:val="22"/>
        </w:rPr>
        <w:t>La cebolla blanca se clasifica en la subpartida 0703.10.00.20 y se ubica igualmente en categoría</w:t>
      </w:r>
      <w:r>
        <w:rPr>
          <w:spacing w:val="29"/>
          <w:sz w:val="22"/>
        </w:rPr>
        <w:t> </w:t>
      </w:r>
      <w:r>
        <w:rPr>
          <w:sz w:val="22"/>
        </w:rPr>
        <w:t>de</w:t>
      </w:r>
      <w:r>
        <w:rPr>
          <w:spacing w:val="27"/>
          <w:sz w:val="22"/>
        </w:rPr>
        <w:t> </w:t>
      </w:r>
      <w:r>
        <w:rPr>
          <w:sz w:val="22"/>
        </w:rPr>
        <w:t>riesgo</w:t>
      </w:r>
      <w:r>
        <w:rPr>
          <w:spacing w:val="27"/>
          <w:sz w:val="22"/>
        </w:rPr>
        <w:t> </w:t>
      </w:r>
      <w:r>
        <w:rPr>
          <w:sz w:val="22"/>
        </w:rPr>
        <w:t>fitosanitario</w:t>
      </w:r>
      <w:r>
        <w:rPr>
          <w:spacing w:val="29"/>
          <w:sz w:val="22"/>
        </w:rPr>
        <w:t> </w:t>
      </w:r>
      <w:r>
        <w:rPr>
          <w:sz w:val="22"/>
        </w:rPr>
        <w:t>nivel</w:t>
      </w:r>
      <w:r>
        <w:rPr>
          <w:spacing w:val="28"/>
          <w:sz w:val="22"/>
        </w:rPr>
        <w:t> </w:t>
      </w:r>
      <w:r>
        <w:rPr>
          <w:sz w:val="22"/>
        </w:rPr>
        <w:t>3</w:t>
      </w:r>
      <w:r>
        <w:rPr>
          <w:spacing w:val="27"/>
          <w:sz w:val="22"/>
        </w:rPr>
        <w:t> </w:t>
      </w:r>
      <w:r>
        <w:rPr>
          <w:sz w:val="22"/>
        </w:rPr>
        <w:t>y</w:t>
      </w:r>
      <w:r>
        <w:rPr>
          <w:spacing w:val="30"/>
          <w:sz w:val="22"/>
        </w:rPr>
        <w:t> </w:t>
      </w:r>
      <w:r>
        <w:rPr>
          <w:sz w:val="22"/>
        </w:rPr>
        <w:t>se</w:t>
      </w:r>
      <w:r>
        <w:rPr>
          <w:spacing w:val="27"/>
          <w:sz w:val="22"/>
        </w:rPr>
        <w:t> </w:t>
      </w:r>
      <w:r>
        <w:rPr>
          <w:sz w:val="22"/>
        </w:rPr>
        <w:t>encuentra</w:t>
      </w:r>
      <w:r>
        <w:rPr>
          <w:spacing w:val="27"/>
          <w:sz w:val="22"/>
        </w:rPr>
        <w:t> </w:t>
      </w:r>
      <w:r>
        <w:rPr>
          <w:sz w:val="22"/>
        </w:rPr>
        <w:t>sometida</w:t>
      </w:r>
      <w:r>
        <w:rPr>
          <w:spacing w:val="29"/>
          <w:sz w:val="22"/>
        </w:rPr>
        <w:t> </w:t>
      </w:r>
      <w:r>
        <w:rPr>
          <w:sz w:val="22"/>
        </w:rPr>
        <w:t>al</w:t>
      </w:r>
      <w:r>
        <w:rPr>
          <w:spacing w:val="26"/>
          <w:sz w:val="22"/>
        </w:rPr>
        <w:t> </w:t>
      </w:r>
      <w:r>
        <w:rPr>
          <w:sz w:val="22"/>
        </w:rPr>
        <w:t>mismo</w:t>
      </w:r>
      <w:r>
        <w:rPr>
          <w:spacing w:val="29"/>
          <w:sz w:val="22"/>
        </w:rPr>
        <w:t> </w:t>
      </w:r>
      <w:r>
        <w:rPr>
          <w:sz w:val="22"/>
        </w:rPr>
        <w:t>esquema</w:t>
      </w:r>
    </w:p>
    <w:p>
      <w:pPr>
        <w:pStyle w:val="ListParagraph"/>
        <w:spacing w:after="0" w:line="240" w:lineRule="auto"/>
        <w:jc w:val="left"/>
        <w:rPr>
          <w:sz w:val="22"/>
        </w:rPr>
        <w:sectPr>
          <w:headerReference w:type="default" r:id="rId91"/>
          <w:footerReference w:type="default" r:id="rId92"/>
          <w:pgSz w:w="11900" w:h="16850"/>
          <w:pgMar w:header="370" w:footer="651" w:top="1380" w:bottom="840" w:left="992" w:right="283"/>
        </w:sectPr>
      </w:pPr>
    </w:p>
    <w:p>
      <w:pPr>
        <w:pStyle w:val="BodyText"/>
        <w:spacing w:before="176"/>
      </w:pPr>
    </w:p>
    <w:p>
      <w:pPr>
        <w:pStyle w:val="BodyText"/>
        <w:ind w:left="1134" w:right="978"/>
        <w:jc w:val="both"/>
      </w:pPr>
      <w:r>
        <w:rPr/>
        <w:t>general de control fitosanitario ordinario. De la revisión realizada no muestra un ARP individualizado para esta subpartida, ni evidencia de que el ingreso por otros puntos habilitados resulte incompatible con el nivel de protección fitosanitario perseguido.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La República de Colombia añade consideraciones de carácter general aplicables a los productos agrícolas y a la frontera sur, sin demostrar por qué la cebolla blanca, en particular, requeriría una restricción territorial que exceda los requisitos fitosanitarios vigentes y publicados. Sin esa demostración individualizada, la medida se aparta del estándar</w:t>
      </w:r>
      <w:r>
        <w:rPr>
          <w:spacing w:val="-10"/>
          <w:sz w:val="22"/>
        </w:rPr>
        <w:t> </w:t>
      </w:r>
      <w:r>
        <w:rPr>
          <w:sz w:val="22"/>
        </w:rPr>
        <w:t>andino</w:t>
      </w:r>
      <w:r>
        <w:rPr>
          <w:spacing w:val="-9"/>
          <w:sz w:val="22"/>
        </w:rPr>
        <w:t> </w:t>
      </w:r>
      <w:r>
        <w:rPr>
          <w:sz w:val="22"/>
        </w:rPr>
        <w:t>según</w:t>
      </w:r>
      <w:r>
        <w:rPr>
          <w:spacing w:val="-12"/>
          <w:sz w:val="22"/>
        </w:rPr>
        <w:t> </w:t>
      </w:r>
      <w:r>
        <w:rPr>
          <w:sz w:val="22"/>
        </w:rPr>
        <w:t>el</w:t>
      </w:r>
      <w:r>
        <w:rPr>
          <w:spacing w:val="-10"/>
          <w:sz w:val="22"/>
        </w:rPr>
        <w:t> </w:t>
      </w:r>
      <w:r>
        <w:rPr>
          <w:sz w:val="22"/>
        </w:rPr>
        <w:t>cual</w:t>
      </w:r>
      <w:r>
        <w:rPr>
          <w:spacing w:val="-10"/>
          <w:sz w:val="22"/>
        </w:rPr>
        <w:t> </w:t>
      </w:r>
      <w:r>
        <w:rPr>
          <w:sz w:val="22"/>
        </w:rPr>
        <w:t>el</w:t>
      </w:r>
      <w:r>
        <w:rPr>
          <w:spacing w:val="-10"/>
          <w:sz w:val="22"/>
        </w:rPr>
        <w:t> </w:t>
      </w:r>
      <w:r>
        <w:rPr>
          <w:sz w:val="22"/>
        </w:rPr>
        <w:t>riesgo</w:t>
      </w:r>
      <w:r>
        <w:rPr>
          <w:spacing w:val="-11"/>
          <w:sz w:val="22"/>
        </w:rPr>
        <w:t> </w:t>
      </w:r>
      <w:r>
        <w:rPr>
          <w:sz w:val="22"/>
        </w:rPr>
        <w:t>y</w:t>
      </w:r>
      <w:r>
        <w:rPr>
          <w:spacing w:val="-11"/>
          <w:sz w:val="22"/>
        </w:rPr>
        <w:t> </w:t>
      </w:r>
      <w:r>
        <w:rPr>
          <w:sz w:val="22"/>
        </w:rPr>
        <w:t>su</w:t>
      </w:r>
      <w:r>
        <w:rPr>
          <w:spacing w:val="-11"/>
          <w:sz w:val="22"/>
        </w:rPr>
        <w:t> </w:t>
      </w:r>
      <w:r>
        <w:rPr>
          <w:sz w:val="22"/>
        </w:rPr>
        <w:t>manejo</w:t>
      </w:r>
      <w:r>
        <w:rPr>
          <w:spacing w:val="-9"/>
          <w:sz w:val="22"/>
        </w:rPr>
        <w:t> </w:t>
      </w:r>
      <w:r>
        <w:rPr>
          <w:sz w:val="22"/>
        </w:rPr>
        <w:t>deben</w:t>
      </w:r>
      <w:r>
        <w:rPr>
          <w:spacing w:val="-11"/>
          <w:sz w:val="22"/>
        </w:rPr>
        <w:t> </w:t>
      </w:r>
      <w:r>
        <w:rPr>
          <w:sz w:val="22"/>
        </w:rPr>
        <w:t>justificarse</w:t>
      </w:r>
      <w:r>
        <w:rPr>
          <w:spacing w:val="-11"/>
          <w:sz w:val="22"/>
        </w:rPr>
        <w:t> </w:t>
      </w:r>
      <w:r>
        <w:rPr>
          <w:sz w:val="22"/>
        </w:rPr>
        <w:t>técnicamente</w:t>
      </w:r>
      <w:r>
        <w:rPr>
          <w:spacing w:val="-11"/>
          <w:sz w:val="22"/>
        </w:rPr>
        <w:t> </w:t>
      </w:r>
      <w:r>
        <w:rPr>
          <w:sz w:val="22"/>
        </w:rPr>
        <w:t>por la vía relevante y con el menor impacto posible sobre el comercio.</w:t>
      </w:r>
    </w:p>
    <w:p>
      <w:pPr>
        <w:pStyle w:val="BodyText"/>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Por tanto, no existe evidencia de un ARP específico para la subpartida analizada que permita sustentar que la canalización territorial constituya un requisito fitosanitario aplicable.</w:t>
      </w:r>
      <w:r>
        <w:rPr>
          <w:spacing w:val="-16"/>
          <w:sz w:val="22"/>
        </w:rPr>
        <w:t> </w:t>
      </w:r>
      <w:r>
        <w:rPr>
          <w:sz w:val="22"/>
        </w:rPr>
        <w:t>Por</w:t>
      </w:r>
      <w:r>
        <w:rPr>
          <w:spacing w:val="-15"/>
          <w:sz w:val="22"/>
        </w:rPr>
        <w:t> </w:t>
      </w:r>
      <w:r>
        <w:rPr>
          <w:sz w:val="22"/>
        </w:rPr>
        <w:t>ello,</w:t>
      </w:r>
      <w:r>
        <w:rPr>
          <w:spacing w:val="-15"/>
          <w:sz w:val="22"/>
        </w:rPr>
        <w:t> </w:t>
      </w:r>
      <w:r>
        <w:rPr>
          <w:sz w:val="22"/>
        </w:rPr>
        <w:t>la</w:t>
      </w:r>
      <w:r>
        <w:rPr>
          <w:spacing w:val="-16"/>
          <w:sz w:val="22"/>
        </w:rPr>
        <w:t> </w:t>
      </w:r>
      <w:r>
        <w:rPr>
          <w:sz w:val="22"/>
        </w:rPr>
        <w:t>medida</w:t>
      </w:r>
      <w:r>
        <w:rPr>
          <w:spacing w:val="-15"/>
          <w:sz w:val="22"/>
        </w:rPr>
        <w:t> </w:t>
      </w:r>
      <w:r>
        <w:rPr>
          <w:sz w:val="22"/>
        </w:rPr>
        <w:t>adoptada</w:t>
      </w:r>
      <w:r>
        <w:rPr>
          <w:spacing w:val="-15"/>
          <w:sz w:val="22"/>
        </w:rPr>
        <w:t> </w:t>
      </w:r>
      <w:r>
        <w:rPr>
          <w:sz w:val="22"/>
        </w:rPr>
        <w:t>debe</w:t>
      </w:r>
      <w:r>
        <w:rPr>
          <w:spacing w:val="-15"/>
          <w:sz w:val="22"/>
        </w:rPr>
        <w:t> </w:t>
      </w:r>
      <w:r>
        <w:rPr>
          <w:sz w:val="22"/>
        </w:rPr>
        <w:t>calificarse</w:t>
      </w:r>
      <w:r>
        <w:rPr>
          <w:spacing w:val="-16"/>
          <w:sz w:val="22"/>
        </w:rPr>
        <w:t> </w:t>
      </w:r>
      <w:r>
        <w:rPr>
          <w:sz w:val="22"/>
        </w:rPr>
        <w:t>como</w:t>
      </w:r>
      <w:r>
        <w:rPr>
          <w:spacing w:val="-15"/>
          <w:sz w:val="22"/>
        </w:rPr>
        <w:t> </w:t>
      </w:r>
      <w:r>
        <w:rPr>
          <w:sz w:val="22"/>
        </w:rPr>
        <w:t>una</w:t>
      </w:r>
      <w:r>
        <w:rPr>
          <w:spacing w:val="-15"/>
          <w:sz w:val="22"/>
        </w:rPr>
        <w:t> </w:t>
      </w:r>
      <w:r>
        <w:rPr>
          <w:sz w:val="22"/>
        </w:rPr>
        <w:t>restricción</w:t>
      </w:r>
      <w:r>
        <w:rPr>
          <w:spacing w:val="-16"/>
          <w:sz w:val="22"/>
        </w:rPr>
        <w:t> </w:t>
      </w:r>
      <w:r>
        <w:rPr>
          <w:sz w:val="22"/>
        </w:rPr>
        <w:t>al</w:t>
      </w:r>
      <w:r>
        <w:rPr>
          <w:spacing w:val="-15"/>
          <w:sz w:val="22"/>
        </w:rPr>
        <w:t> </w:t>
      </w:r>
      <w:r>
        <w:rPr>
          <w:sz w:val="22"/>
        </w:rPr>
        <w:t>comercio intracomunitario andino, al carecer de la debida justificación técnico</w:t>
      </w:r>
      <w:r>
        <w:rPr>
          <w:rFonts w:ascii="Cambria Math" w:hAnsi="Cambria Math"/>
          <w:sz w:val="22"/>
        </w:rPr>
        <w:t>‑</w:t>
      </w:r>
      <w:r>
        <w:rPr>
          <w:sz w:val="22"/>
        </w:rPr>
        <w:t>científica exigida por el ordenamiento jurídico comunitario.</w:t>
      </w:r>
    </w:p>
    <w:p>
      <w:pPr>
        <w:pStyle w:val="ListParagraph"/>
        <w:numPr>
          <w:ilvl w:val="0"/>
          <w:numId w:val="106"/>
        </w:numPr>
        <w:tabs>
          <w:tab w:pos="2006" w:val="left" w:leader="none"/>
        </w:tabs>
        <w:spacing w:line="240" w:lineRule="auto" w:before="252" w:after="0"/>
        <w:ind w:left="2006" w:right="0" w:hanging="358"/>
        <w:jc w:val="left"/>
        <w:rPr>
          <w:rFonts w:ascii="Arial"/>
          <w:i/>
          <w:sz w:val="22"/>
        </w:rPr>
      </w:pPr>
      <w:r>
        <w:rPr>
          <w:rFonts w:ascii="Arial"/>
          <w:i/>
          <w:spacing w:val="-2"/>
          <w:sz w:val="22"/>
          <w:u w:val="single"/>
        </w:rPr>
        <w:t>Frijoles</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Los frijoles subpartida 0708.20.00.00</w:t>
      </w:r>
      <w:r>
        <w:rPr>
          <w:spacing w:val="-2"/>
          <w:sz w:val="22"/>
        </w:rPr>
        <w:t> </w:t>
      </w:r>
      <w:r>
        <w:rPr>
          <w:sz w:val="22"/>
        </w:rPr>
        <w:t>figuran en</w:t>
      </w:r>
      <w:r>
        <w:rPr>
          <w:spacing w:val="-2"/>
          <w:sz w:val="22"/>
        </w:rPr>
        <w:t> </w:t>
      </w:r>
      <w:r>
        <w:rPr>
          <w:sz w:val="22"/>
        </w:rPr>
        <w:t>categoría de</w:t>
      </w:r>
      <w:r>
        <w:rPr>
          <w:spacing w:val="-2"/>
          <w:sz w:val="22"/>
        </w:rPr>
        <w:t> </w:t>
      </w:r>
      <w:r>
        <w:rPr>
          <w:sz w:val="22"/>
        </w:rPr>
        <w:t>riesgo</w:t>
      </w:r>
      <w:r>
        <w:rPr>
          <w:spacing w:val="-2"/>
          <w:sz w:val="22"/>
        </w:rPr>
        <w:t> </w:t>
      </w:r>
      <w:r>
        <w:rPr>
          <w:sz w:val="22"/>
        </w:rPr>
        <w:t>fitosanitario nivel 3 y</w:t>
      </w:r>
      <w:r>
        <w:rPr>
          <w:spacing w:val="-13"/>
          <w:sz w:val="22"/>
        </w:rPr>
        <w:t> </w:t>
      </w:r>
      <w:r>
        <w:rPr>
          <w:sz w:val="22"/>
        </w:rPr>
        <w:t>están</w:t>
      </w:r>
      <w:r>
        <w:rPr>
          <w:spacing w:val="-16"/>
          <w:sz w:val="22"/>
        </w:rPr>
        <w:t> </w:t>
      </w:r>
      <w:r>
        <w:rPr>
          <w:sz w:val="22"/>
        </w:rPr>
        <w:t>sujetas</w:t>
      </w:r>
      <w:r>
        <w:rPr>
          <w:spacing w:val="-14"/>
          <w:sz w:val="22"/>
        </w:rPr>
        <w:t> </w:t>
      </w:r>
      <w:r>
        <w:rPr>
          <w:sz w:val="22"/>
        </w:rPr>
        <w:t>a</w:t>
      </w:r>
      <w:r>
        <w:rPr>
          <w:spacing w:val="-15"/>
          <w:sz w:val="22"/>
        </w:rPr>
        <w:t> </w:t>
      </w:r>
      <w:r>
        <w:rPr>
          <w:sz w:val="22"/>
        </w:rPr>
        <w:t>requisitos</w:t>
      </w:r>
      <w:r>
        <w:rPr>
          <w:spacing w:val="-15"/>
          <w:sz w:val="22"/>
        </w:rPr>
        <w:t> </w:t>
      </w:r>
      <w:r>
        <w:rPr>
          <w:sz w:val="22"/>
        </w:rPr>
        <w:t>fitosanitarios</w:t>
      </w:r>
      <w:r>
        <w:rPr>
          <w:spacing w:val="-13"/>
          <w:sz w:val="22"/>
        </w:rPr>
        <w:t> </w:t>
      </w:r>
      <w:r>
        <w:rPr>
          <w:sz w:val="22"/>
        </w:rPr>
        <w:t>detallados,</w:t>
      </w:r>
      <w:r>
        <w:rPr>
          <w:spacing w:val="-15"/>
          <w:sz w:val="22"/>
        </w:rPr>
        <w:t> </w:t>
      </w:r>
      <w:r>
        <w:rPr>
          <w:sz w:val="22"/>
        </w:rPr>
        <w:t>incluyendo</w:t>
      </w:r>
      <w:r>
        <w:rPr>
          <w:spacing w:val="-13"/>
          <w:sz w:val="22"/>
        </w:rPr>
        <w:t> </w:t>
      </w:r>
      <w:r>
        <w:rPr>
          <w:sz w:val="22"/>
        </w:rPr>
        <w:t>declaración</w:t>
      </w:r>
      <w:r>
        <w:rPr>
          <w:spacing w:val="-14"/>
          <w:sz w:val="22"/>
        </w:rPr>
        <w:t> </w:t>
      </w:r>
      <w:r>
        <w:rPr>
          <w:sz w:val="22"/>
        </w:rPr>
        <w:t>adicional</w:t>
      </w:r>
      <w:r>
        <w:rPr>
          <w:spacing w:val="-14"/>
          <w:sz w:val="22"/>
        </w:rPr>
        <w:t> </w:t>
      </w:r>
      <w:r>
        <w:rPr>
          <w:sz w:val="22"/>
        </w:rPr>
        <w:t>de ausencia de Callosobruchus chinensis y Bruchus spp., la inspección</w:t>
      </w:r>
      <w:r>
        <w:rPr>
          <w:spacing w:val="-1"/>
          <w:sz w:val="22"/>
        </w:rPr>
        <w:t> </w:t>
      </w:r>
      <w:r>
        <w:rPr>
          <w:sz w:val="22"/>
        </w:rPr>
        <w:t>al ingreso, uso</w:t>
      </w:r>
      <w:r>
        <w:rPr>
          <w:spacing w:val="-1"/>
          <w:sz w:val="22"/>
        </w:rPr>
        <w:t> </w:t>
      </w:r>
      <w:r>
        <w:rPr>
          <w:sz w:val="22"/>
        </w:rPr>
        <w:t>de empaques</w:t>
      </w:r>
      <w:r>
        <w:rPr>
          <w:spacing w:val="-9"/>
          <w:sz w:val="22"/>
        </w:rPr>
        <w:t> </w:t>
      </w:r>
      <w:r>
        <w:rPr>
          <w:sz w:val="22"/>
        </w:rPr>
        <w:t>nuevos</w:t>
      </w:r>
      <w:r>
        <w:rPr>
          <w:spacing w:val="-11"/>
          <w:sz w:val="22"/>
        </w:rPr>
        <w:t> </w:t>
      </w:r>
      <w:r>
        <w:rPr>
          <w:sz w:val="22"/>
        </w:rPr>
        <w:t>y</w:t>
      </w:r>
      <w:r>
        <w:rPr>
          <w:spacing w:val="-8"/>
          <w:sz w:val="22"/>
        </w:rPr>
        <w:t> </w:t>
      </w:r>
      <w:r>
        <w:rPr>
          <w:sz w:val="22"/>
        </w:rPr>
        <w:t>ausencia</w:t>
      </w:r>
      <w:r>
        <w:rPr>
          <w:spacing w:val="-9"/>
          <w:sz w:val="22"/>
        </w:rPr>
        <w:t> </w:t>
      </w:r>
      <w:r>
        <w:rPr>
          <w:sz w:val="22"/>
        </w:rPr>
        <w:t>de</w:t>
      </w:r>
      <w:r>
        <w:rPr>
          <w:spacing w:val="-9"/>
          <w:sz w:val="22"/>
        </w:rPr>
        <w:t> </w:t>
      </w:r>
      <w:r>
        <w:rPr>
          <w:sz w:val="22"/>
        </w:rPr>
        <w:t>suelo</w:t>
      </w:r>
      <w:r>
        <w:rPr>
          <w:spacing w:val="-9"/>
          <w:sz w:val="22"/>
        </w:rPr>
        <w:t> </w:t>
      </w:r>
      <w:r>
        <w:rPr>
          <w:sz w:val="22"/>
        </w:rPr>
        <w:t>o</w:t>
      </w:r>
      <w:r>
        <w:rPr>
          <w:spacing w:val="-9"/>
          <w:sz w:val="22"/>
        </w:rPr>
        <w:t> </w:t>
      </w:r>
      <w:r>
        <w:rPr>
          <w:sz w:val="22"/>
        </w:rPr>
        <w:t>materia</w:t>
      </w:r>
      <w:r>
        <w:rPr>
          <w:spacing w:val="-11"/>
          <w:sz w:val="22"/>
        </w:rPr>
        <w:t> </w:t>
      </w:r>
      <w:r>
        <w:rPr>
          <w:sz w:val="22"/>
        </w:rPr>
        <w:t>orgánica.</w:t>
      </w:r>
      <w:r>
        <w:rPr>
          <w:spacing w:val="-8"/>
          <w:sz w:val="22"/>
        </w:rPr>
        <w:t> </w:t>
      </w:r>
      <w:r>
        <w:rPr>
          <w:sz w:val="22"/>
        </w:rPr>
        <w:t>Esto</w:t>
      </w:r>
      <w:r>
        <w:rPr>
          <w:spacing w:val="-9"/>
          <w:sz w:val="22"/>
        </w:rPr>
        <w:t> </w:t>
      </w:r>
      <w:r>
        <w:rPr>
          <w:sz w:val="22"/>
        </w:rPr>
        <w:t>confirma</w:t>
      </w:r>
      <w:r>
        <w:rPr>
          <w:spacing w:val="-11"/>
          <w:sz w:val="22"/>
        </w:rPr>
        <w:t> </w:t>
      </w:r>
      <w:r>
        <w:rPr>
          <w:sz w:val="22"/>
        </w:rPr>
        <w:t>que</w:t>
      </w:r>
      <w:r>
        <w:rPr>
          <w:spacing w:val="-9"/>
          <w:sz w:val="22"/>
        </w:rPr>
        <w:t> </w:t>
      </w:r>
      <w:r>
        <w:rPr>
          <w:sz w:val="22"/>
        </w:rPr>
        <w:t>existía</w:t>
      </w:r>
      <w:r>
        <w:rPr>
          <w:spacing w:val="-9"/>
          <w:sz w:val="22"/>
        </w:rPr>
        <w:t> </w:t>
      </w:r>
      <w:r>
        <w:rPr>
          <w:sz w:val="22"/>
        </w:rPr>
        <w:t>un marco de manejo de riesgo plenamente operativo para la mercancía.</w:t>
      </w:r>
    </w:p>
    <w:p>
      <w:pPr>
        <w:pStyle w:val="ListParagraph"/>
        <w:numPr>
          <w:ilvl w:val="0"/>
          <w:numId w:val="50"/>
        </w:numPr>
        <w:tabs>
          <w:tab w:pos="1130" w:val="left" w:leader="none"/>
          <w:tab w:pos="1134" w:val="left" w:leader="none"/>
        </w:tabs>
        <w:spacing w:line="240" w:lineRule="auto" w:before="253" w:after="0"/>
        <w:ind w:left="1134" w:right="977" w:hanging="567"/>
        <w:jc w:val="both"/>
        <w:rPr>
          <w:sz w:val="22"/>
        </w:rPr>
      </w:pPr>
      <w:r>
        <w:rPr>
          <w:sz w:val="22"/>
        </w:rPr>
        <w:t>De</w:t>
      </w:r>
      <w:r>
        <w:rPr>
          <w:spacing w:val="-15"/>
          <w:sz w:val="22"/>
        </w:rPr>
        <w:t> </w:t>
      </w:r>
      <w:r>
        <w:rPr>
          <w:sz w:val="22"/>
        </w:rPr>
        <w:t>la</w:t>
      </w:r>
      <w:r>
        <w:rPr>
          <w:spacing w:val="-16"/>
          <w:sz w:val="22"/>
        </w:rPr>
        <w:t> </w:t>
      </w:r>
      <w:r>
        <w:rPr>
          <w:sz w:val="22"/>
        </w:rPr>
        <w:t>revisión</w:t>
      </w:r>
      <w:r>
        <w:rPr>
          <w:spacing w:val="-15"/>
          <w:sz w:val="22"/>
        </w:rPr>
        <w:t> </w:t>
      </w:r>
      <w:r>
        <w:rPr>
          <w:sz w:val="22"/>
        </w:rPr>
        <w:t>realizada,</w:t>
      </w:r>
      <w:r>
        <w:rPr>
          <w:spacing w:val="-15"/>
          <w:sz w:val="22"/>
        </w:rPr>
        <w:t> </w:t>
      </w:r>
      <w:r>
        <w:rPr>
          <w:sz w:val="22"/>
        </w:rPr>
        <w:t>se</w:t>
      </w:r>
      <w:r>
        <w:rPr>
          <w:spacing w:val="-14"/>
          <w:sz w:val="22"/>
        </w:rPr>
        <w:t> </w:t>
      </w:r>
      <w:r>
        <w:rPr>
          <w:sz w:val="22"/>
        </w:rPr>
        <w:t>pudo</w:t>
      </w:r>
      <w:r>
        <w:rPr>
          <w:spacing w:val="-16"/>
          <w:sz w:val="22"/>
        </w:rPr>
        <w:t> </w:t>
      </w:r>
      <w:r>
        <w:rPr>
          <w:sz w:val="22"/>
        </w:rPr>
        <w:t>verificar</w:t>
      </w:r>
      <w:r>
        <w:rPr>
          <w:spacing w:val="-14"/>
          <w:sz w:val="22"/>
        </w:rPr>
        <w:t> </w:t>
      </w:r>
      <w:r>
        <w:rPr>
          <w:sz w:val="22"/>
        </w:rPr>
        <w:t>que</w:t>
      </w:r>
      <w:r>
        <w:rPr>
          <w:spacing w:val="-15"/>
          <w:sz w:val="22"/>
        </w:rPr>
        <w:t> </w:t>
      </w:r>
      <w:r>
        <w:rPr>
          <w:sz w:val="22"/>
        </w:rPr>
        <w:t>el</w:t>
      </w:r>
      <w:r>
        <w:rPr>
          <w:spacing w:val="-15"/>
          <w:sz w:val="22"/>
        </w:rPr>
        <w:t> </w:t>
      </w:r>
      <w:r>
        <w:rPr>
          <w:sz w:val="22"/>
        </w:rPr>
        <w:t>expediente</w:t>
      </w:r>
      <w:r>
        <w:rPr>
          <w:spacing w:val="-14"/>
          <w:sz w:val="22"/>
        </w:rPr>
        <w:t> </w:t>
      </w:r>
      <w:r>
        <w:rPr>
          <w:sz w:val="22"/>
        </w:rPr>
        <w:t>no</w:t>
      </w:r>
      <w:r>
        <w:rPr>
          <w:spacing w:val="-16"/>
          <w:sz w:val="22"/>
        </w:rPr>
        <w:t> </w:t>
      </w:r>
      <w:r>
        <w:rPr>
          <w:sz w:val="22"/>
        </w:rPr>
        <w:t>aporta</w:t>
      </w:r>
      <w:r>
        <w:rPr>
          <w:spacing w:val="-14"/>
          <w:sz w:val="22"/>
        </w:rPr>
        <w:t> </w:t>
      </w:r>
      <w:r>
        <w:rPr>
          <w:sz w:val="22"/>
        </w:rPr>
        <w:t>un</w:t>
      </w:r>
      <w:r>
        <w:rPr>
          <w:spacing w:val="-16"/>
          <w:sz w:val="22"/>
        </w:rPr>
        <w:t> </w:t>
      </w:r>
      <w:r>
        <w:rPr>
          <w:sz w:val="22"/>
        </w:rPr>
        <w:t>ARP</w:t>
      </w:r>
      <w:r>
        <w:rPr>
          <w:spacing w:val="-13"/>
          <w:sz w:val="22"/>
        </w:rPr>
        <w:t> </w:t>
      </w:r>
      <w:r>
        <w:rPr>
          <w:sz w:val="22"/>
        </w:rPr>
        <w:t>específico que relacione esta subpartida con un riesgo particular que obligue a excluir los cruces terrestres de Ipiales y Puerto Asís. A falta de esa prueba, la canalización territorial aparece como un</w:t>
      </w:r>
      <w:r>
        <w:rPr>
          <w:spacing w:val="-2"/>
          <w:sz w:val="22"/>
        </w:rPr>
        <w:t> </w:t>
      </w:r>
      <w:r>
        <w:rPr>
          <w:sz w:val="22"/>
        </w:rPr>
        <w:t>requisito nuevo, no incorporado</w:t>
      </w:r>
      <w:r>
        <w:rPr>
          <w:spacing w:val="-2"/>
          <w:sz w:val="22"/>
        </w:rPr>
        <w:t> </w:t>
      </w:r>
      <w:r>
        <w:rPr>
          <w:sz w:val="22"/>
        </w:rPr>
        <w:t>en los sistemas ordinarios del ICA y, por ende, como una medida que dificulta el comercio más allá de lo técnicamente </w:t>
      </w:r>
      <w:r>
        <w:rPr>
          <w:spacing w:val="-2"/>
          <w:sz w:val="22"/>
        </w:rPr>
        <w:t>probado.</w:t>
      </w:r>
    </w:p>
    <w:p>
      <w:pPr>
        <w:pStyle w:val="BodyText"/>
      </w:pPr>
    </w:p>
    <w:p>
      <w:pPr>
        <w:pStyle w:val="ListParagraph"/>
        <w:numPr>
          <w:ilvl w:val="0"/>
          <w:numId w:val="50"/>
        </w:numPr>
        <w:tabs>
          <w:tab w:pos="1130" w:val="left" w:leader="none"/>
          <w:tab w:pos="1134" w:val="left" w:leader="none"/>
        </w:tabs>
        <w:spacing w:line="240" w:lineRule="auto" w:before="0" w:after="0"/>
        <w:ind w:left="1134" w:right="982" w:hanging="567"/>
        <w:jc w:val="both"/>
        <w:rPr>
          <w:sz w:val="22"/>
        </w:rPr>
      </w:pPr>
      <w:r>
        <w:rPr>
          <w:sz w:val="22"/>
        </w:rPr>
        <w:t>Por tanto, al no acreditarse ARP específico ni necesidad técnica singular para la subpartida 0708.20.00.00, la canalización territorial se configura como restricción injustificada al comercio intracomunitario.</w:t>
      </w:r>
    </w:p>
    <w:p>
      <w:pPr>
        <w:pStyle w:val="BodyText"/>
        <w:spacing w:before="1"/>
      </w:pPr>
    </w:p>
    <w:p>
      <w:pPr>
        <w:pStyle w:val="ListParagraph"/>
        <w:numPr>
          <w:ilvl w:val="0"/>
          <w:numId w:val="106"/>
        </w:numPr>
        <w:tabs>
          <w:tab w:pos="2008" w:val="left" w:leader="none"/>
        </w:tabs>
        <w:spacing w:line="240" w:lineRule="auto" w:before="0" w:after="0"/>
        <w:ind w:left="2008" w:right="0" w:hanging="360"/>
        <w:jc w:val="left"/>
        <w:rPr>
          <w:rFonts w:ascii="Arial"/>
          <w:i/>
          <w:sz w:val="22"/>
        </w:rPr>
      </w:pPr>
      <w:r>
        <w:rPr>
          <w:rFonts w:ascii="Arial"/>
          <w:i/>
          <w:sz w:val="22"/>
          <w:u w:val="single"/>
        </w:rPr>
        <w:t>Leguminosas</w:t>
      </w:r>
      <w:r>
        <w:rPr>
          <w:rFonts w:ascii="Arial"/>
          <w:i/>
          <w:spacing w:val="-7"/>
          <w:sz w:val="22"/>
          <w:u w:val="single"/>
        </w:rPr>
        <w:t> </w:t>
      </w:r>
      <w:r>
        <w:rPr>
          <w:rFonts w:ascii="Arial"/>
          <w:i/>
          <w:sz w:val="22"/>
          <w:u w:val="single"/>
        </w:rPr>
        <w:t>secas</w:t>
      </w:r>
      <w:r>
        <w:rPr>
          <w:rFonts w:ascii="Arial"/>
          <w:i/>
          <w:spacing w:val="-6"/>
          <w:sz w:val="22"/>
          <w:u w:val="single"/>
        </w:rPr>
        <w:t> </w:t>
      </w:r>
      <w:r>
        <w:rPr>
          <w:rFonts w:ascii="Arial"/>
          <w:i/>
          <w:spacing w:val="-2"/>
          <w:sz w:val="22"/>
          <w:u w:val="single"/>
        </w:rPr>
        <w:t>(frijoles)</w:t>
      </w:r>
    </w:p>
    <w:p>
      <w:pPr>
        <w:pStyle w:val="BodyText"/>
        <w:rPr>
          <w:rFonts w:ascii="Arial"/>
          <w:i/>
        </w:rPr>
      </w:pPr>
    </w:p>
    <w:p>
      <w:pPr>
        <w:pStyle w:val="ListParagraph"/>
        <w:numPr>
          <w:ilvl w:val="0"/>
          <w:numId w:val="50"/>
        </w:numPr>
        <w:tabs>
          <w:tab w:pos="1131" w:val="left" w:leader="none"/>
        </w:tabs>
        <w:spacing w:line="253" w:lineRule="exact" w:before="0" w:after="0"/>
        <w:ind w:left="1131" w:right="0" w:hanging="563"/>
        <w:jc w:val="both"/>
        <w:rPr>
          <w:sz w:val="22"/>
        </w:rPr>
      </w:pPr>
      <w:r>
        <w:rPr>
          <w:sz w:val="22"/>
        </w:rPr>
        <w:t>Las</w:t>
      </w:r>
      <w:r>
        <w:rPr>
          <w:spacing w:val="47"/>
          <w:sz w:val="22"/>
        </w:rPr>
        <w:t>  </w:t>
      </w:r>
      <w:r>
        <w:rPr>
          <w:sz w:val="22"/>
        </w:rPr>
        <w:t>subpartidas</w:t>
      </w:r>
      <w:r>
        <w:rPr>
          <w:spacing w:val="46"/>
          <w:sz w:val="22"/>
        </w:rPr>
        <w:t>  </w:t>
      </w:r>
      <w:r>
        <w:rPr>
          <w:sz w:val="22"/>
        </w:rPr>
        <w:t>0713.31.90.00,</w:t>
      </w:r>
      <w:r>
        <w:rPr>
          <w:spacing w:val="47"/>
          <w:sz w:val="22"/>
        </w:rPr>
        <w:t>  </w:t>
      </w:r>
      <w:r>
        <w:rPr>
          <w:sz w:val="22"/>
        </w:rPr>
        <w:t>0713.32.90.00,</w:t>
      </w:r>
      <w:r>
        <w:rPr>
          <w:spacing w:val="46"/>
          <w:sz w:val="22"/>
        </w:rPr>
        <w:t>  </w:t>
      </w:r>
      <w:r>
        <w:rPr>
          <w:sz w:val="22"/>
        </w:rPr>
        <w:t>0713.33.91.00,</w:t>
      </w:r>
      <w:r>
        <w:rPr>
          <w:spacing w:val="47"/>
          <w:sz w:val="22"/>
        </w:rPr>
        <w:t>  </w:t>
      </w:r>
      <w:r>
        <w:rPr>
          <w:spacing w:val="-2"/>
          <w:sz w:val="22"/>
        </w:rPr>
        <w:t>0713.33.92.00,</w:t>
      </w:r>
    </w:p>
    <w:p>
      <w:pPr>
        <w:pStyle w:val="BodyText"/>
        <w:ind w:left="1134"/>
        <w:jc w:val="both"/>
      </w:pPr>
      <w:r>
        <w:rPr/>
        <w:t>0713.33.99.00,</w:t>
      </w:r>
      <w:r>
        <w:rPr>
          <w:spacing w:val="16"/>
        </w:rPr>
        <w:t> </w:t>
      </w:r>
      <w:r>
        <w:rPr/>
        <w:t>0713.34.90.00,</w:t>
      </w:r>
      <w:r>
        <w:rPr>
          <w:spacing w:val="19"/>
        </w:rPr>
        <w:t> </w:t>
      </w:r>
      <w:r>
        <w:rPr/>
        <w:t>0713.35.90.00</w:t>
      </w:r>
      <w:r>
        <w:rPr>
          <w:spacing w:val="16"/>
        </w:rPr>
        <w:t> </w:t>
      </w:r>
      <w:r>
        <w:rPr/>
        <w:t>y</w:t>
      </w:r>
      <w:r>
        <w:rPr>
          <w:spacing w:val="15"/>
        </w:rPr>
        <w:t> </w:t>
      </w:r>
      <w:r>
        <w:rPr/>
        <w:t>0713.39.99.00</w:t>
      </w:r>
      <w:r>
        <w:rPr>
          <w:spacing w:val="22"/>
        </w:rPr>
        <w:t> </w:t>
      </w:r>
      <w:r>
        <w:rPr/>
        <w:t>están</w:t>
      </w:r>
      <w:r>
        <w:rPr>
          <w:spacing w:val="16"/>
        </w:rPr>
        <w:t> </w:t>
      </w:r>
      <w:r>
        <w:rPr/>
        <w:t>en</w:t>
      </w:r>
      <w:r>
        <w:rPr>
          <w:spacing w:val="17"/>
        </w:rPr>
        <w:t> </w:t>
      </w:r>
      <w:r>
        <w:rPr/>
        <w:t>categoría</w:t>
      </w:r>
      <w:r>
        <w:rPr>
          <w:spacing w:val="21"/>
        </w:rPr>
        <w:t> </w:t>
      </w:r>
      <w:r>
        <w:rPr>
          <w:spacing w:val="-5"/>
        </w:rPr>
        <w:t>de</w:t>
      </w:r>
    </w:p>
    <w:p>
      <w:pPr>
        <w:pStyle w:val="BodyText"/>
        <w:spacing w:before="2"/>
        <w:ind w:left="1134" w:right="983"/>
        <w:jc w:val="both"/>
      </w:pPr>
      <w:r>
        <w:rPr/>
        <w:t>riesgo</w:t>
      </w:r>
      <w:r>
        <w:rPr>
          <w:spacing w:val="-3"/>
        </w:rPr>
        <w:t> </w:t>
      </w:r>
      <w:r>
        <w:rPr/>
        <w:t>fitosanitario nivel</w:t>
      </w:r>
      <w:r>
        <w:rPr>
          <w:spacing w:val="-4"/>
        </w:rPr>
        <w:t> </w:t>
      </w:r>
      <w:r>
        <w:rPr/>
        <w:t>3,</w:t>
      </w:r>
      <w:r>
        <w:rPr>
          <w:spacing w:val="-1"/>
        </w:rPr>
        <w:t> </w:t>
      </w:r>
      <w:r>
        <w:rPr/>
        <w:t>y</w:t>
      </w:r>
      <w:r>
        <w:rPr>
          <w:spacing w:val="-2"/>
        </w:rPr>
        <w:t> </w:t>
      </w:r>
      <w:r>
        <w:rPr/>
        <w:t>sujetas</w:t>
      </w:r>
      <w:r>
        <w:rPr>
          <w:spacing w:val="-3"/>
        </w:rPr>
        <w:t> </w:t>
      </w:r>
      <w:r>
        <w:rPr/>
        <w:t>a</w:t>
      </w:r>
      <w:r>
        <w:rPr>
          <w:spacing w:val="-3"/>
        </w:rPr>
        <w:t> </w:t>
      </w:r>
      <w:r>
        <w:rPr/>
        <w:t>permiso,</w:t>
      </w:r>
      <w:r>
        <w:rPr>
          <w:spacing w:val="-2"/>
        </w:rPr>
        <w:t> </w:t>
      </w:r>
      <w:r>
        <w:rPr/>
        <w:t>inspección</w:t>
      </w:r>
      <w:r>
        <w:rPr>
          <w:spacing w:val="-1"/>
        </w:rPr>
        <w:t> </w:t>
      </w:r>
      <w:r>
        <w:rPr/>
        <w:t>y</w:t>
      </w:r>
      <w:r>
        <w:rPr>
          <w:spacing w:val="-3"/>
        </w:rPr>
        <w:t> </w:t>
      </w:r>
      <w:r>
        <w:rPr/>
        <w:t>certificado</w:t>
      </w:r>
      <w:r>
        <w:rPr>
          <w:spacing w:val="-5"/>
        </w:rPr>
        <w:t> </w:t>
      </w:r>
      <w:r>
        <w:rPr/>
        <w:t>fitosanitario.</w:t>
      </w:r>
      <w:r>
        <w:rPr>
          <w:spacing w:val="-1"/>
        </w:rPr>
        <w:t> </w:t>
      </w:r>
      <w:r>
        <w:rPr/>
        <w:t>No se identifica para cada subpartida la existencia de un requisito territorial especial ni un ARP individualizado que sostenga el cierre del canal terrestre por las jurisdicciones </w:t>
      </w:r>
      <w:r>
        <w:rPr>
          <w:spacing w:val="-2"/>
        </w:rPr>
        <w:t>cuestionadas.</w:t>
      </w:r>
    </w:p>
    <w:p>
      <w:pPr>
        <w:pStyle w:val="ListParagraph"/>
        <w:numPr>
          <w:ilvl w:val="0"/>
          <w:numId w:val="50"/>
        </w:numPr>
        <w:tabs>
          <w:tab w:pos="1130" w:val="left" w:leader="none"/>
          <w:tab w:pos="1134" w:val="left" w:leader="none"/>
        </w:tabs>
        <w:spacing w:line="240" w:lineRule="auto" w:before="252" w:after="0"/>
        <w:ind w:left="1134" w:right="977" w:hanging="567"/>
        <w:jc w:val="both"/>
        <w:rPr>
          <w:sz w:val="22"/>
        </w:rPr>
      </w:pPr>
      <w:r>
        <w:rPr>
          <w:sz w:val="22"/>
        </w:rPr>
        <w:t>La respuesta de la República de Colombia no aporta una justificación diferenciada por subpartida.</w:t>
      </w:r>
      <w:r>
        <w:rPr>
          <w:spacing w:val="-10"/>
          <w:sz w:val="22"/>
        </w:rPr>
        <w:t> </w:t>
      </w:r>
      <w:r>
        <w:rPr>
          <w:sz w:val="22"/>
        </w:rPr>
        <w:t>Las</w:t>
      </w:r>
      <w:r>
        <w:rPr>
          <w:spacing w:val="-12"/>
          <w:sz w:val="22"/>
        </w:rPr>
        <w:t> </w:t>
      </w:r>
      <w:r>
        <w:rPr>
          <w:sz w:val="22"/>
        </w:rPr>
        <w:t>argumentaciones</w:t>
      </w:r>
      <w:r>
        <w:rPr>
          <w:spacing w:val="-10"/>
          <w:sz w:val="22"/>
        </w:rPr>
        <w:t> </w:t>
      </w:r>
      <w:r>
        <w:rPr>
          <w:sz w:val="22"/>
        </w:rPr>
        <w:t>son</w:t>
      </w:r>
      <w:r>
        <w:rPr>
          <w:spacing w:val="-12"/>
          <w:sz w:val="22"/>
        </w:rPr>
        <w:t> </w:t>
      </w:r>
      <w:r>
        <w:rPr>
          <w:sz w:val="22"/>
        </w:rPr>
        <w:t>generales</w:t>
      </w:r>
      <w:r>
        <w:rPr>
          <w:spacing w:val="-10"/>
          <w:sz w:val="22"/>
        </w:rPr>
        <w:t> </w:t>
      </w:r>
      <w:r>
        <w:rPr>
          <w:sz w:val="22"/>
        </w:rPr>
        <w:t>y</w:t>
      </w:r>
      <w:r>
        <w:rPr>
          <w:spacing w:val="-12"/>
          <w:sz w:val="22"/>
        </w:rPr>
        <w:t> </w:t>
      </w:r>
      <w:r>
        <w:rPr>
          <w:sz w:val="22"/>
        </w:rPr>
        <w:t>centradas</w:t>
      </w:r>
      <w:r>
        <w:rPr>
          <w:spacing w:val="-12"/>
          <w:sz w:val="22"/>
        </w:rPr>
        <w:t> </w:t>
      </w:r>
      <w:r>
        <w:rPr>
          <w:sz w:val="22"/>
        </w:rPr>
        <w:t>en</w:t>
      </w:r>
      <w:r>
        <w:rPr>
          <w:spacing w:val="-13"/>
          <w:sz w:val="22"/>
        </w:rPr>
        <w:t> </w:t>
      </w:r>
      <w:r>
        <w:rPr>
          <w:sz w:val="22"/>
        </w:rPr>
        <w:t>condiciones</w:t>
      </w:r>
      <w:r>
        <w:rPr>
          <w:spacing w:val="-10"/>
          <w:sz w:val="22"/>
        </w:rPr>
        <w:t> </w:t>
      </w:r>
      <w:r>
        <w:rPr>
          <w:sz w:val="22"/>
        </w:rPr>
        <w:t>fronterizas, contrabando y control territorial, lo que no reemplaza el análisis de riesgo de plagas exigido por la Decisión 515 para adoptar o modificar requisitos fitosanitarios aplicables al comercio de productos vegetales.</w:t>
      </w:r>
    </w:p>
    <w:p>
      <w:pPr>
        <w:pStyle w:val="ListParagraph"/>
        <w:numPr>
          <w:ilvl w:val="0"/>
          <w:numId w:val="50"/>
        </w:numPr>
        <w:tabs>
          <w:tab w:pos="1130" w:val="left" w:leader="none"/>
          <w:tab w:pos="1134" w:val="left" w:leader="none"/>
        </w:tabs>
        <w:spacing w:line="240" w:lineRule="auto" w:before="252" w:after="0"/>
        <w:ind w:left="1134" w:right="979" w:hanging="567"/>
        <w:jc w:val="both"/>
        <w:rPr>
          <w:sz w:val="22"/>
        </w:rPr>
      </w:pPr>
      <w:r>
        <w:rPr>
          <w:sz w:val="22"/>
        </w:rPr>
        <w:t>Por</w:t>
      </w:r>
      <w:r>
        <w:rPr>
          <w:spacing w:val="-3"/>
          <w:sz w:val="22"/>
        </w:rPr>
        <w:t> </w:t>
      </w:r>
      <w:r>
        <w:rPr>
          <w:sz w:val="22"/>
        </w:rPr>
        <w:t>tanto,</w:t>
      </w:r>
      <w:r>
        <w:rPr>
          <w:spacing w:val="-3"/>
          <w:sz w:val="22"/>
        </w:rPr>
        <w:t> </w:t>
      </w:r>
      <w:r>
        <w:rPr>
          <w:sz w:val="22"/>
        </w:rPr>
        <w:t>respecto</w:t>
      </w:r>
      <w:r>
        <w:rPr>
          <w:spacing w:val="-5"/>
          <w:sz w:val="22"/>
        </w:rPr>
        <w:t> </w:t>
      </w:r>
      <w:r>
        <w:rPr>
          <w:sz w:val="22"/>
        </w:rPr>
        <w:t>a</w:t>
      </w:r>
      <w:r>
        <w:rPr>
          <w:spacing w:val="-4"/>
          <w:sz w:val="22"/>
        </w:rPr>
        <w:t> </w:t>
      </w:r>
      <w:r>
        <w:rPr>
          <w:sz w:val="22"/>
        </w:rPr>
        <w:t>las</w:t>
      </w:r>
      <w:r>
        <w:rPr>
          <w:spacing w:val="-9"/>
          <w:sz w:val="22"/>
        </w:rPr>
        <w:t> </w:t>
      </w:r>
      <w:r>
        <w:rPr>
          <w:sz w:val="22"/>
        </w:rPr>
        <w:t>subpartidas</w:t>
      </w:r>
      <w:r>
        <w:rPr>
          <w:spacing w:val="-6"/>
          <w:sz w:val="22"/>
        </w:rPr>
        <w:t> </w:t>
      </w:r>
      <w:r>
        <w:rPr>
          <w:sz w:val="22"/>
        </w:rPr>
        <w:t>mencionadas,</w:t>
      </w:r>
      <w:r>
        <w:rPr>
          <w:spacing w:val="-3"/>
          <w:sz w:val="22"/>
        </w:rPr>
        <w:t> </w:t>
      </w:r>
      <w:r>
        <w:rPr>
          <w:sz w:val="22"/>
        </w:rPr>
        <w:t>la</w:t>
      </w:r>
      <w:r>
        <w:rPr>
          <w:spacing w:val="-4"/>
          <w:sz w:val="22"/>
        </w:rPr>
        <w:t> </w:t>
      </w:r>
      <w:r>
        <w:rPr>
          <w:sz w:val="22"/>
        </w:rPr>
        <w:t>ausencia</w:t>
      </w:r>
      <w:r>
        <w:rPr>
          <w:spacing w:val="-4"/>
          <w:sz w:val="22"/>
        </w:rPr>
        <w:t> </w:t>
      </w:r>
      <w:r>
        <w:rPr>
          <w:sz w:val="22"/>
        </w:rPr>
        <w:t>de</w:t>
      </w:r>
      <w:r>
        <w:rPr>
          <w:spacing w:val="-7"/>
          <w:sz w:val="22"/>
        </w:rPr>
        <w:t> </w:t>
      </w:r>
      <w:r>
        <w:rPr>
          <w:sz w:val="22"/>
        </w:rPr>
        <w:t>ARP</w:t>
      </w:r>
      <w:r>
        <w:rPr>
          <w:spacing w:val="-4"/>
          <w:sz w:val="22"/>
        </w:rPr>
        <w:t> </w:t>
      </w:r>
      <w:r>
        <w:rPr>
          <w:sz w:val="22"/>
        </w:rPr>
        <w:t>específico</w:t>
      </w:r>
      <w:r>
        <w:rPr>
          <w:spacing w:val="-6"/>
          <w:sz w:val="22"/>
        </w:rPr>
        <w:t> </w:t>
      </w:r>
      <w:r>
        <w:rPr>
          <w:sz w:val="22"/>
        </w:rPr>
        <w:t>y</w:t>
      </w:r>
      <w:r>
        <w:rPr>
          <w:spacing w:val="-4"/>
          <w:sz w:val="22"/>
        </w:rPr>
        <w:t> </w:t>
      </w:r>
      <w:r>
        <w:rPr>
          <w:sz w:val="22"/>
        </w:rPr>
        <w:t>de incorporación expresa del punto de ingreso como requisito fitosanitario convierte la medida en una restricción general no debidamente sustentada.</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ListParagraph"/>
        <w:numPr>
          <w:ilvl w:val="0"/>
          <w:numId w:val="106"/>
        </w:numPr>
        <w:tabs>
          <w:tab w:pos="2006" w:val="left" w:leader="none"/>
        </w:tabs>
        <w:spacing w:line="240" w:lineRule="auto" w:before="0" w:after="0"/>
        <w:ind w:left="2006" w:right="0" w:hanging="358"/>
        <w:jc w:val="left"/>
        <w:rPr>
          <w:rFonts w:ascii="Arial" w:hAnsi="Arial"/>
          <w:i/>
          <w:sz w:val="22"/>
        </w:rPr>
      </w:pPr>
      <w:r>
        <w:rPr>
          <w:rFonts w:ascii="Arial" w:hAnsi="Arial"/>
          <w:i/>
          <w:sz w:val="22"/>
          <w:u w:val="single"/>
        </w:rPr>
        <w:t>Plátano</w:t>
      </w:r>
      <w:r>
        <w:rPr>
          <w:rFonts w:ascii="Arial" w:hAnsi="Arial"/>
          <w:i/>
          <w:spacing w:val="-7"/>
          <w:sz w:val="22"/>
          <w:u w:val="single"/>
        </w:rPr>
        <w:t> </w:t>
      </w:r>
      <w:r>
        <w:rPr>
          <w:rFonts w:ascii="Arial" w:hAnsi="Arial"/>
          <w:i/>
          <w:spacing w:val="-2"/>
          <w:sz w:val="22"/>
          <w:u w:val="single"/>
        </w:rPr>
        <w:t>fresco</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74" w:hanging="567"/>
        <w:jc w:val="both"/>
        <w:rPr>
          <w:sz w:val="22"/>
        </w:rPr>
      </w:pPr>
      <w:r>
        <w:rPr>
          <w:sz w:val="22"/>
        </w:rPr>
        <w:t>El plátano fresco ingresa por subpartida 0803.10.10.00, se encuentra en categoría de riesgo fitosanitario nivel 3, y cuenta con requisitos fitosanitarios ordinarios que exigen certificado fitosanitario, procedencia de áreas libres de Bactrocera spp. y tratamiento para asegurar ausencia de Dysmicoccus bispinosa. Del análisis realizado se destaca que, respecto de Foc R4T, la evidencia científica internacional recogida por el propio Ministerio de Agricultura y Desarrollo Rural (MADR)</w:t>
      </w:r>
      <w:hyperlink w:history="true" w:anchor="_bookmark173">
        <w:r>
          <w:rPr>
            <w:sz w:val="22"/>
            <w:vertAlign w:val="superscript"/>
          </w:rPr>
          <w:t>106</w:t>
        </w:r>
      </w:hyperlink>
      <w:r>
        <w:rPr>
          <w:sz w:val="22"/>
          <w:vertAlign w:val="baseline"/>
        </w:rPr>
        <w:t> de la República de Colombia, reconoce que el</w:t>
      </w:r>
      <w:r>
        <w:rPr>
          <w:spacing w:val="-1"/>
          <w:sz w:val="22"/>
          <w:vertAlign w:val="baseline"/>
        </w:rPr>
        <w:t> </w:t>
      </w:r>
      <w:r>
        <w:rPr>
          <w:sz w:val="22"/>
          <w:vertAlign w:val="baseline"/>
        </w:rPr>
        <w:t>producto fresco</w:t>
      </w:r>
      <w:r>
        <w:rPr>
          <w:spacing w:val="-2"/>
          <w:sz w:val="22"/>
          <w:vertAlign w:val="baseline"/>
        </w:rPr>
        <w:t> </w:t>
      </w:r>
      <w:r>
        <w:rPr>
          <w:sz w:val="22"/>
          <w:vertAlign w:val="baseline"/>
        </w:rPr>
        <w:t>de</w:t>
      </w:r>
      <w:r>
        <w:rPr>
          <w:spacing w:val="-2"/>
          <w:sz w:val="22"/>
          <w:vertAlign w:val="baseline"/>
        </w:rPr>
        <w:t> </w:t>
      </w:r>
      <w:r>
        <w:rPr>
          <w:sz w:val="22"/>
          <w:vertAlign w:val="baseline"/>
        </w:rPr>
        <w:t>Musa</w:t>
      </w:r>
      <w:r>
        <w:rPr>
          <w:spacing w:val="-2"/>
          <w:sz w:val="22"/>
          <w:vertAlign w:val="baseline"/>
        </w:rPr>
        <w:t> </w:t>
      </w:r>
      <w:r>
        <w:rPr>
          <w:sz w:val="22"/>
          <w:vertAlign w:val="baseline"/>
        </w:rPr>
        <w:t>spp. no constituye un</w:t>
      </w:r>
      <w:r>
        <w:rPr>
          <w:spacing w:val="-1"/>
          <w:sz w:val="22"/>
          <w:vertAlign w:val="baseline"/>
        </w:rPr>
        <w:t> </w:t>
      </w:r>
      <w:r>
        <w:rPr>
          <w:sz w:val="22"/>
          <w:vertAlign w:val="baseline"/>
        </w:rPr>
        <w:t>hospedante directo</w:t>
      </w:r>
      <w:r>
        <w:rPr>
          <w:spacing w:val="-2"/>
          <w:sz w:val="22"/>
          <w:vertAlign w:val="baseline"/>
        </w:rPr>
        <w:t> </w:t>
      </w:r>
      <w:r>
        <w:rPr>
          <w:sz w:val="22"/>
          <w:vertAlign w:val="baseline"/>
        </w:rPr>
        <w:t>del patógeno en condiciones comerciales normales.</w:t>
      </w:r>
    </w:p>
    <w:p>
      <w:pPr>
        <w:pStyle w:val="BodyText"/>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La República de Colombia intenta desplazar el análisis hacia vectores pasivos —suelo adherido, embalajes, herramientas, vehículos y material de propagación vegetal—; sin embargo,</w:t>
      </w:r>
      <w:r>
        <w:rPr>
          <w:spacing w:val="-6"/>
          <w:sz w:val="22"/>
        </w:rPr>
        <w:t> </w:t>
      </w:r>
      <w:r>
        <w:rPr>
          <w:sz w:val="22"/>
        </w:rPr>
        <w:t>ello</w:t>
      </w:r>
      <w:r>
        <w:rPr>
          <w:spacing w:val="-5"/>
          <w:sz w:val="22"/>
        </w:rPr>
        <w:t> </w:t>
      </w:r>
      <w:r>
        <w:rPr>
          <w:sz w:val="22"/>
        </w:rPr>
        <w:t>no</w:t>
      </w:r>
      <w:r>
        <w:rPr>
          <w:spacing w:val="-8"/>
          <w:sz w:val="22"/>
        </w:rPr>
        <w:t> </w:t>
      </w:r>
      <w:r>
        <w:rPr>
          <w:sz w:val="22"/>
        </w:rPr>
        <w:t>sustituye</w:t>
      </w:r>
      <w:r>
        <w:rPr>
          <w:spacing w:val="-5"/>
          <w:sz w:val="22"/>
        </w:rPr>
        <w:t> </w:t>
      </w:r>
      <w:r>
        <w:rPr>
          <w:sz w:val="22"/>
        </w:rPr>
        <w:t>el</w:t>
      </w:r>
      <w:r>
        <w:rPr>
          <w:spacing w:val="-8"/>
          <w:sz w:val="22"/>
        </w:rPr>
        <w:t> </w:t>
      </w:r>
      <w:r>
        <w:rPr>
          <w:sz w:val="22"/>
        </w:rPr>
        <w:t>deber</w:t>
      </w:r>
      <w:r>
        <w:rPr>
          <w:spacing w:val="-6"/>
          <w:sz w:val="22"/>
        </w:rPr>
        <w:t> </w:t>
      </w:r>
      <w:r>
        <w:rPr>
          <w:sz w:val="22"/>
        </w:rPr>
        <w:t>de</w:t>
      </w:r>
      <w:r>
        <w:rPr>
          <w:spacing w:val="-8"/>
          <w:sz w:val="22"/>
        </w:rPr>
        <w:t> </w:t>
      </w:r>
      <w:r>
        <w:rPr>
          <w:sz w:val="22"/>
        </w:rPr>
        <w:t>demostrar,</w:t>
      </w:r>
      <w:r>
        <w:rPr>
          <w:spacing w:val="-8"/>
          <w:sz w:val="22"/>
        </w:rPr>
        <w:t> </w:t>
      </w:r>
      <w:r>
        <w:rPr>
          <w:sz w:val="22"/>
        </w:rPr>
        <w:t>mediante</w:t>
      </w:r>
      <w:r>
        <w:rPr>
          <w:spacing w:val="-7"/>
          <w:sz w:val="22"/>
        </w:rPr>
        <w:t> </w:t>
      </w:r>
      <w:r>
        <w:rPr>
          <w:sz w:val="22"/>
        </w:rPr>
        <w:t>un</w:t>
      </w:r>
      <w:r>
        <w:rPr>
          <w:spacing w:val="-7"/>
          <w:sz w:val="22"/>
        </w:rPr>
        <w:t> </w:t>
      </w:r>
      <w:r>
        <w:rPr>
          <w:sz w:val="22"/>
        </w:rPr>
        <w:t>ARP</w:t>
      </w:r>
      <w:r>
        <w:rPr>
          <w:spacing w:val="-5"/>
          <w:sz w:val="22"/>
        </w:rPr>
        <w:t> </w:t>
      </w:r>
      <w:r>
        <w:rPr>
          <w:sz w:val="22"/>
        </w:rPr>
        <w:t>específico,</w:t>
      </w:r>
      <w:r>
        <w:rPr>
          <w:spacing w:val="-6"/>
          <w:sz w:val="22"/>
        </w:rPr>
        <w:t> </w:t>
      </w:r>
      <w:r>
        <w:rPr>
          <w:sz w:val="22"/>
        </w:rPr>
        <w:t>por</w:t>
      </w:r>
      <w:r>
        <w:rPr>
          <w:spacing w:val="-6"/>
          <w:sz w:val="22"/>
        </w:rPr>
        <w:t> </w:t>
      </w:r>
      <w:r>
        <w:rPr>
          <w:sz w:val="22"/>
        </w:rPr>
        <w:t>qué el plátano fresco, clasificado en la subpartida afectada, requeriría una restricción territorial del comercio. En efecto, si el producto fresco no constituye un vector directo del patógeno y los riesgos indirectos identificados pueden ser adecuadamente gestionados mediante medidas ordinarias de limpieza, inspección, embalaje y control documental, la exclusión territorial del canal terrestre resulta más intensa que lo </w:t>
      </w:r>
      <w:r>
        <w:rPr>
          <w:spacing w:val="-2"/>
          <w:sz w:val="22"/>
        </w:rPr>
        <w:t>necesario.</w:t>
      </w:r>
    </w:p>
    <w:p>
      <w:pPr>
        <w:pStyle w:val="BodyText"/>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Por</w:t>
      </w:r>
      <w:r>
        <w:rPr>
          <w:spacing w:val="-1"/>
          <w:sz w:val="22"/>
        </w:rPr>
        <w:t> </w:t>
      </w:r>
      <w:r>
        <w:rPr>
          <w:sz w:val="22"/>
        </w:rPr>
        <w:t>tanto,</w:t>
      </w:r>
      <w:r>
        <w:rPr>
          <w:spacing w:val="-3"/>
          <w:sz w:val="22"/>
        </w:rPr>
        <w:t> </w:t>
      </w:r>
      <w:r>
        <w:rPr>
          <w:sz w:val="22"/>
        </w:rPr>
        <w:t>la</w:t>
      </w:r>
      <w:r>
        <w:rPr>
          <w:spacing w:val="-1"/>
          <w:sz w:val="22"/>
        </w:rPr>
        <w:t> </w:t>
      </w:r>
      <w:r>
        <w:rPr>
          <w:sz w:val="22"/>
        </w:rPr>
        <w:t>evidencia</w:t>
      </w:r>
      <w:r>
        <w:rPr>
          <w:spacing w:val="-2"/>
          <w:sz w:val="22"/>
        </w:rPr>
        <w:t> </w:t>
      </w:r>
      <w:r>
        <w:rPr>
          <w:sz w:val="22"/>
        </w:rPr>
        <w:t>del</w:t>
      </w:r>
      <w:r>
        <w:rPr>
          <w:spacing w:val="-3"/>
          <w:sz w:val="22"/>
        </w:rPr>
        <w:t> </w:t>
      </w:r>
      <w:r>
        <w:rPr>
          <w:sz w:val="22"/>
        </w:rPr>
        <w:t>propio</w:t>
      </w:r>
      <w:r>
        <w:rPr>
          <w:spacing w:val="-2"/>
          <w:sz w:val="22"/>
        </w:rPr>
        <w:t> </w:t>
      </w:r>
      <w:r>
        <w:rPr>
          <w:sz w:val="22"/>
        </w:rPr>
        <w:t>expediente</w:t>
      </w:r>
      <w:r>
        <w:rPr>
          <w:spacing w:val="-4"/>
          <w:sz w:val="22"/>
        </w:rPr>
        <w:t> </w:t>
      </w:r>
      <w:r>
        <w:rPr>
          <w:sz w:val="22"/>
        </w:rPr>
        <w:t>muestra</w:t>
      </w:r>
      <w:r>
        <w:rPr>
          <w:spacing w:val="-4"/>
          <w:sz w:val="22"/>
        </w:rPr>
        <w:t> </w:t>
      </w:r>
      <w:r>
        <w:rPr>
          <w:sz w:val="22"/>
        </w:rPr>
        <w:t>que la</w:t>
      </w:r>
      <w:r>
        <w:rPr>
          <w:spacing w:val="-2"/>
          <w:sz w:val="22"/>
        </w:rPr>
        <w:t> </w:t>
      </w:r>
      <w:r>
        <w:rPr>
          <w:sz w:val="22"/>
        </w:rPr>
        <w:t>República</w:t>
      </w:r>
      <w:r>
        <w:rPr>
          <w:spacing w:val="-2"/>
          <w:sz w:val="22"/>
        </w:rPr>
        <w:t> </w:t>
      </w:r>
      <w:r>
        <w:rPr>
          <w:sz w:val="22"/>
        </w:rPr>
        <w:t>de</w:t>
      </w:r>
      <w:r>
        <w:rPr>
          <w:spacing w:val="-1"/>
          <w:sz w:val="22"/>
        </w:rPr>
        <w:t> </w:t>
      </w:r>
      <w:r>
        <w:rPr>
          <w:sz w:val="22"/>
        </w:rPr>
        <w:t>Colombia</w:t>
      </w:r>
      <w:r>
        <w:rPr>
          <w:spacing w:val="-2"/>
          <w:sz w:val="22"/>
        </w:rPr>
        <w:t> </w:t>
      </w:r>
      <w:r>
        <w:rPr>
          <w:sz w:val="22"/>
        </w:rPr>
        <w:t>no acreditó un ARP específico para la subpartida 0803.10.10.00 y que la medida se sustenta</w:t>
      </w:r>
      <w:r>
        <w:rPr>
          <w:spacing w:val="-11"/>
          <w:sz w:val="22"/>
        </w:rPr>
        <w:t> </w:t>
      </w:r>
      <w:r>
        <w:rPr>
          <w:sz w:val="22"/>
        </w:rPr>
        <w:t>en</w:t>
      </w:r>
      <w:r>
        <w:rPr>
          <w:spacing w:val="-9"/>
          <w:sz w:val="22"/>
        </w:rPr>
        <w:t> </w:t>
      </w:r>
      <w:r>
        <w:rPr>
          <w:sz w:val="22"/>
        </w:rPr>
        <w:t>un</w:t>
      </w:r>
      <w:r>
        <w:rPr>
          <w:spacing w:val="-9"/>
          <w:sz w:val="22"/>
        </w:rPr>
        <w:t> </w:t>
      </w:r>
      <w:r>
        <w:rPr>
          <w:sz w:val="22"/>
        </w:rPr>
        <w:t>razonamiento</w:t>
      </w:r>
      <w:r>
        <w:rPr>
          <w:spacing w:val="-8"/>
          <w:sz w:val="22"/>
        </w:rPr>
        <w:t> </w:t>
      </w:r>
      <w:r>
        <w:rPr>
          <w:sz w:val="22"/>
        </w:rPr>
        <w:t>de</w:t>
      </w:r>
      <w:r>
        <w:rPr>
          <w:spacing w:val="-9"/>
          <w:sz w:val="22"/>
        </w:rPr>
        <w:t> </w:t>
      </w:r>
      <w:r>
        <w:rPr>
          <w:sz w:val="22"/>
        </w:rPr>
        <w:t>carácter</w:t>
      </w:r>
      <w:r>
        <w:rPr>
          <w:spacing w:val="-7"/>
          <w:sz w:val="22"/>
        </w:rPr>
        <w:t> </w:t>
      </w:r>
      <w:r>
        <w:rPr>
          <w:sz w:val="22"/>
        </w:rPr>
        <w:t>general,</w:t>
      </w:r>
      <w:r>
        <w:rPr>
          <w:spacing w:val="-10"/>
          <w:sz w:val="22"/>
        </w:rPr>
        <w:t> </w:t>
      </w:r>
      <w:r>
        <w:rPr>
          <w:sz w:val="22"/>
        </w:rPr>
        <w:t>mas</w:t>
      </w:r>
      <w:r>
        <w:rPr>
          <w:spacing w:val="-9"/>
          <w:sz w:val="22"/>
        </w:rPr>
        <w:t> </w:t>
      </w:r>
      <w:r>
        <w:rPr>
          <w:sz w:val="22"/>
        </w:rPr>
        <w:t>no</w:t>
      </w:r>
      <w:r>
        <w:rPr>
          <w:spacing w:val="-9"/>
          <w:sz w:val="22"/>
        </w:rPr>
        <w:t> </w:t>
      </w:r>
      <w:r>
        <w:rPr>
          <w:sz w:val="22"/>
        </w:rPr>
        <w:t>en</w:t>
      </w:r>
      <w:r>
        <w:rPr>
          <w:spacing w:val="-9"/>
          <w:sz w:val="22"/>
        </w:rPr>
        <w:t> </w:t>
      </w:r>
      <w:r>
        <w:rPr>
          <w:sz w:val="22"/>
        </w:rPr>
        <w:t>un</w:t>
      </w:r>
      <w:r>
        <w:rPr>
          <w:spacing w:val="-12"/>
          <w:sz w:val="22"/>
        </w:rPr>
        <w:t> </w:t>
      </w:r>
      <w:r>
        <w:rPr>
          <w:sz w:val="22"/>
        </w:rPr>
        <w:t>riesgo</w:t>
      </w:r>
      <w:r>
        <w:rPr>
          <w:spacing w:val="-9"/>
          <w:sz w:val="22"/>
        </w:rPr>
        <w:t> </w:t>
      </w:r>
      <w:r>
        <w:rPr>
          <w:sz w:val="22"/>
        </w:rPr>
        <w:t>directo</w:t>
      </w:r>
      <w:r>
        <w:rPr>
          <w:spacing w:val="-8"/>
          <w:sz w:val="22"/>
        </w:rPr>
        <w:t> </w:t>
      </w:r>
      <w:r>
        <w:rPr>
          <w:sz w:val="22"/>
        </w:rPr>
        <w:t>atribuible al producto. En tales condiciones, la canalización territorial impuesta configura una restricción al comercio intracomunitario, al exceder lo necesario para alcanzar la finalidad invocada.</w:t>
      </w:r>
    </w:p>
    <w:p>
      <w:pPr>
        <w:pStyle w:val="BodyText"/>
      </w:pPr>
    </w:p>
    <w:p>
      <w:pPr>
        <w:pStyle w:val="ListParagraph"/>
        <w:numPr>
          <w:ilvl w:val="0"/>
          <w:numId w:val="106"/>
        </w:numPr>
        <w:tabs>
          <w:tab w:pos="2006" w:val="left" w:leader="none"/>
        </w:tabs>
        <w:spacing w:line="240" w:lineRule="auto" w:before="1" w:after="0"/>
        <w:ind w:left="2006" w:right="0" w:hanging="358"/>
        <w:jc w:val="left"/>
        <w:rPr>
          <w:rFonts w:ascii="Arial" w:hAnsi="Arial"/>
          <w:i/>
          <w:sz w:val="22"/>
        </w:rPr>
      </w:pPr>
      <w:r>
        <w:rPr>
          <w:rFonts w:ascii="Arial" w:hAnsi="Arial"/>
          <w:i/>
          <w:sz w:val="22"/>
          <w:u w:val="single"/>
        </w:rPr>
        <w:t>Plátano</w:t>
      </w:r>
      <w:r>
        <w:rPr>
          <w:rFonts w:ascii="Arial" w:hAnsi="Arial"/>
          <w:i/>
          <w:spacing w:val="-7"/>
          <w:sz w:val="22"/>
          <w:u w:val="single"/>
        </w:rPr>
        <w:t> </w:t>
      </w:r>
      <w:r>
        <w:rPr>
          <w:rFonts w:ascii="Arial" w:hAnsi="Arial"/>
          <w:i/>
          <w:spacing w:val="-4"/>
          <w:sz w:val="22"/>
          <w:u w:val="single"/>
        </w:rPr>
        <w:t>seco</w:t>
      </w:r>
    </w:p>
    <w:p>
      <w:pPr>
        <w:pStyle w:val="ListParagraph"/>
        <w:numPr>
          <w:ilvl w:val="0"/>
          <w:numId w:val="50"/>
        </w:numPr>
        <w:tabs>
          <w:tab w:pos="1130" w:val="left" w:leader="none"/>
          <w:tab w:pos="1134" w:val="left" w:leader="none"/>
        </w:tabs>
        <w:spacing w:line="240" w:lineRule="auto" w:before="251" w:after="0"/>
        <w:ind w:left="1134" w:right="977" w:hanging="567"/>
        <w:jc w:val="both"/>
        <w:rPr>
          <w:sz w:val="22"/>
        </w:rPr>
      </w:pPr>
      <w:r>
        <w:rPr>
          <w:sz w:val="22"/>
        </w:rPr>
        <w:t>El plátano seco cuyas importaciones se registran por la subpartida 0803.10.20.00, pertenece a categoría de riesgo fitosanitario nivel 2, lo que indica un nivel de riesgo inferior al del producto fresco y un régimen fitosanitario menor: no requiere permiso ni certificado fitosanitario de exportación, pero sí inspección al ingreso. Esta clasificación por sí sola debilita la lógica de imponer una medida de restricción territorial como la adoptada en el Decreto 0170.</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El expediente no contiene un ARP específico para esta subpartida, ni se aporta evidencia técnico-científica que justifique que, pese a su menor categoría de riesgo, resulte necesario restringir su ingreso por vía terrestre por las Aduanas de Ipiales y Puerto Asís. En consecuencia, cuando un producto clasificado con un menor nivel de riesgo fitosanitario es sometido a una medida territorial particularmente severa, sin contar con un ARP individualizado que la sustente, el carácter restrictivo y desproporcionado de la medida se torna aún más evidente.</w:t>
      </w:r>
    </w:p>
    <w:p>
      <w:pPr>
        <w:pStyle w:val="BodyText"/>
        <w:spacing w:before="2"/>
      </w:pPr>
    </w:p>
    <w:p>
      <w:pPr>
        <w:pStyle w:val="BodyText"/>
        <w:ind w:left="1134" w:right="981"/>
        <w:jc w:val="both"/>
      </w:pPr>
      <w:r>
        <w:rPr/>
        <w:t>Por</w:t>
      </w:r>
      <w:r>
        <w:rPr>
          <w:spacing w:val="-11"/>
        </w:rPr>
        <w:t> </w:t>
      </w:r>
      <w:r>
        <w:rPr/>
        <w:t>tanto,</w:t>
      </w:r>
      <w:r>
        <w:rPr>
          <w:spacing w:val="-11"/>
        </w:rPr>
        <w:t> </w:t>
      </w:r>
      <w:r>
        <w:rPr/>
        <w:t>la</w:t>
      </w:r>
      <w:r>
        <w:rPr>
          <w:spacing w:val="-15"/>
        </w:rPr>
        <w:t> </w:t>
      </w:r>
      <w:r>
        <w:rPr/>
        <w:t>subpartida</w:t>
      </w:r>
      <w:r>
        <w:rPr>
          <w:spacing w:val="-13"/>
        </w:rPr>
        <w:t> </w:t>
      </w:r>
      <w:r>
        <w:rPr/>
        <w:t>0803.10.20.00</w:t>
      </w:r>
      <w:r>
        <w:rPr>
          <w:spacing w:val="-13"/>
        </w:rPr>
        <w:t> </w:t>
      </w:r>
      <w:r>
        <w:rPr/>
        <w:t>no</w:t>
      </w:r>
      <w:r>
        <w:rPr>
          <w:spacing w:val="-15"/>
        </w:rPr>
        <w:t> </w:t>
      </w:r>
      <w:r>
        <w:rPr/>
        <w:t>cuenta</w:t>
      </w:r>
      <w:r>
        <w:rPr>
          <w:spacing w:val="-15"/>
        </w:rPr>
        <w:t> </w:t>
      </w:r>
      <w:r>
        <w:rPr/>
        <w:t>con</w:t>
      </w:r>
      <w:r>
        <w:rPr>
          <w:spacing w:val="-13"/>
        </w:rPr>
        <w:t> </w:t>
      </w:r>
      <w:r>
        <w:rPr/>
        <w:t>ARP</w:t>
      </w:r>
      <w:r>
        <w:rPr>
          <w:spacing w:val="-13"/>
        </w:rPr>
        <w:t> </w:t>
      </w:r>
      <w:r>
        <w:rPr/>
        <w:t>específico</w:t>
      </w:r>
      <w:r>
        <w:rPr>
          <w:spacing w:val="-15"/>
        </w:rPr>
        <w:t> </w:t>
      </w:r>
      <w:r>
        <w:rPr/>
        <w:t>acreditado</w:t>
      </w:r>
      <w:r>
        <w:rPr>
          <w:spacing w:val="-12"/>
        </w:rPr>
        <w:t> </w:t>
      </w:r>
      <w:r>
        <w:rPr/>
        <w:t>y,</w:t>
      </w:r>
      <w:r>
        <w:rPr>
          <w:spacing w:val="-13"/>
        </w:rPr>
        <w:t> </w:t>
      </w:r>
      <w:r>
        <w:rPr/>
        <w:t>dada su clasificación en categoría 2, la canalización territorial aparece como una restricción innecesaria e injustificada.</w:t>
      </w:r>
    </w:p>
    <w:p>
      <w:pPr>
        <w:pStyle w:val="ListParagraph"/>
        <w:numPr>
          <w:ilvl w:val="0"/>
          <w:numId w:val="107"/>
        </w:numPr>
        <w:tabs>
          <w:tab w:pos="2008" w:val="left" w:leader="none"/>
        </w:tabs>
        <w:spacing w:line="240" w:lineRule="auto" w:before="252" w:after="0"/>
        <w:ind w:left="2008" w:right="0" w:hanging="360"/>
        <w:jc w:val="left"/>
        <w:rPr>
          <w:rFonts w:ascii="Arial"/>
          <w:i/>
          <w:sz w:val="22"/>
        </w:rPr>
      </w:pPr>
      <w:r>
        <w:rPr>
          <w:rFonts w:ascii="Arial"/>
          <w:i/>
          <w:sz w:val="22"/>
          <w:u w:val="single"/>
        </w:rPr>
        <w:t>Bocadillo,</w:t>
      </w:r>
      <w:r>
        <w:rPr>
          <w:rFonts w:ascii="Arial"/>
          <w:i/>
          <w:spacing w:val="-6"/>
          <w:sz w:val="22"/>
          <w:u w:val="single"/>
        </w:rPr>
        <w:t> </w:t>
      </w:r>
      <w:r>
        <w:rPr>
          <w:rFonts w:ascii="Arial"/>
          <w:i/>
          <w:sz w:val="22"/>
          <w:u w:val="single"/>
        </w:rPr>
        <w:t>manzanito</w:t>
      </w:r>
      <w:r>
        <w:rPr>
          <w:rFonts w:ascii="Arial"/>
          <w:i/>
          <w:spacing w:val="-7"/>
          <w:sz w:val="22"/>
          <w:u w:val="single"/>
        </w:rPr>
        <w:t> </w:t>
      </w:r>
      <w:r>
        <w:rPr>
          <w:rFonts w:ascii="Arial"/>
          <w:i/>
          <w:sz w:val="22"/>
          <w:u w:val="single"/>
        </w:rPr>
        <w:t>u</w:t>
      </w:r>
      <w:r>
        <w:rPr>
          <w:rFonts w:ascii="Arial"/>
          <w:i/>
          <w:spacing w:val="-6"/>
          <w:sz w:val="22"/>
          <w:u w:val="single"/>
        </w:rPr>
        <w:t> </w:t>
      </w:r>
      <w:r>
        <w:rPr>
          <w:rFonts w:ascii="Arial"/>
          <w:i/>
          <w:spacing w:val="-4"/>
          <w:sz w:val="22"/>
          <w:u w:val="single"/>
        </w:rPr>
        <w:t>orito</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El producto clasificado en la subpartida 0803.90.12.00 se encuentra en categoría de riesgo fitosanitario nivel 3 y, como musácea, queda comprendido dentro de la lógica general que la República de Colombia invoca para Foc R4T. No obstante, al igual que</w:t>
      </w:r>
    </w:p>
    <w:p>
      <w:pPr>
        <w:pStyle w:val="BodyText"/>
        <w:spacing w:before="1"/>
        <w:rPr>
          <w:sz w:val="12"/>
        </w:rPr>
      </w:pPr>
      <w:r>
        <w:rPr>
          <w:sz w:val="12"/>
        </w:rPr>
        <mc:AlternateContent>
          <mc:Choice Requires="wps">
            <w:drawing>
              <wp:anchor distT="0" distB="0" distL="0" distR="0" allowOverlap="1" layoutInCell="1" locked="0" behindDoc="1" simplePos="0" relativeHeight="487662592">
                <wp:simplePos x="0" y="0"/>
                <wp:positionH relativeFrom="page">
                  <wp:posOffset>990904</wp:posOffset>
                </wp:positionH>
                <wp:positionV relativeFrom="paragraph">
                  <wp:posOffset>103910</wp:posOffset>
                </wp:positionV>
                <wp:extent cx="1829435" cy="7620"/>
                <wp:effectExtent l="0" t="0" r="0" b="0"/>
                <wp:wrapTopAndBottom/>
                <wp:docPr id="585" name="Graphic 585"/>
                <wp:cNvGraphicFramePr>
                  <a:graphicFrameLocks/>
                </wp:cNvGraphicFramePr>
                <a:graphic>
                  <a:graphicData uri="http://schemas.microsoft.com/office/word/2010/wordprocessingShape">
                    <wps:wsp>
                      <wps:cNvPr id="585" name="Graphic 585"/>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8.181893pt;width:144.020pt;height:.60004pt;mso-position-horizontal-relative:page;mso-position-vertical-relative:paragraph;z-index:-15653888;mso-wrap-distance-left:0;mso-wrap-distance-right:0" id="docshape402" filled="true" fillcolor="#000000" stroked="false">
                <v:fill type="solid"/>
                <w10:wrap type="topAndBottom"/>
              </v:rect>
            </w:pict>
          </mc:Fallback>
        </mc:AlternateContent>
      </w:r>
    </w:p>
    <w:p>
      <w:pPr>
        <w:spacing w:before="92"/>
        <w:ind w:left="568" w:right="0" w:firstLine="0"/>
        <w:jc w:val="left"/>
        <w:rPr>
          <w:sz w:val="16"/>
        </w:rPr>
      </w:pPr>
      <w:bookmarkStart w:name="_bookmark173" w:id="174"/>
      <w:bookmarkEnd w:id="174"/>
      <w:r>
        <w:rPr/>
      </w:r>
      <w:r>
        <w:rPr>
          <w:sz w:val="16"/>
          <w:vertAlign w:val="superscript"/>
        </w:rPr>
        <w:t>106</w:t>
      </w:r>
      <w:r>
        <w:rPr>
          <w:spacing w:val="-5"/>
          <w:sz w:val="16"/>
          <w:vertAlign w:val="baseline"/>
        </w:rPr>
        <w:t> </w:t>
      </w:r>
      <w:r>
        <w:rPr>
          <w:sz w:val="16"/>
          <w:vertAlign w:val="baseline"/>
        </w:rPr>
        <w:t>Anexo</w:t>
      </w:r>
      <w:r>
        <w:rPr>
          <w:spacing w:val="-5"/>
          <w:sz w:val="16"/>
          <w:vertAlign w:val="baseline"/>
        </w:rPr>
        <w:t> </w:t>
      </w:r>
      <w:r>
        <w:rPr>
          <w:sz w:val="16"/>
          <w:vertAlign w:val="baseline"/>
        </w:rPr>
        <w:t>5</w:t>
      </w:r>
      <w:r>
        <w:rPr>
          <w:spacing w:val="-4"/>
          <w:sz w:val="16"/>
          <w:vertAlign w:val="baseline"/>
        </w:rPr>
        <w:t> </w:t>
      </w:r>
      <w:r>
        <w:rPr>
          <w:sz w:val="16"/>
          <w:vertAlign w:val="baseline"/>
        </w:rPr>
        <w:t>-</w:t>
      </w:r>
      <w:r>
        <w:rPr>
          <w:spacing w:val="-7"/>
          <w:sz w:val="16"/>
          <w:vertAlign w:val="baseline"/>
        </w:rPr>
        <w:t> </w:t>
      </w:r>
      <w:r>
        <w:rPr>
          <w:sz w:val="16"/>
          <w:vertAlign w:val="baseline"/>
        </w:rPr>
        <w:t>Estudio</w:t>
      </w:r>
      <w:r>
        <w:rPr>
          <w:spacing w:val="-7"/>
          <w:sz w:val="16"/>
          <w:vertAlign w:val="baseline"/>
        </w:rPr>
        <w:t> </w:t>
      </w:r>
      <w:r>
        <w:rPr>
          <w:sz w:val="16"/>
          <w:vertAlign w:val="baseline"/>
        </w:rPr>
        <w:t>MADR,</w:t>
      </w:r>
      <w:r>
        <w:rPr>
          <w:spacing w:val="-4"/>
          <w:sz w:val="16"/>
          <w:vertAlign w:val="baseline"/>
        </w:rPr>
        <w:t> </w:t>
      </w:r>
      <w:r>
        <w:rPr>
          <w:sz w:val="16"/>
          <w:vertAlign w:val="baseline"/>
        </w:rPr>
        <w:t>43.</w:t>
      </w:r>
      <w:r>
        <w:rPr>
          <w:spacing w:val="-6"/>
          <w:sz w:val="16"/>
          <w:vertAlign w:val="baseline"/>
        </w:rPr>
        <w:t> </w:t>
      </w:r>
      <w:r>
        <w:rPr>
          <w:sz w:val="16"/>
          <w:vertAlign w:val="baseline"/>
        </w:rPr>
        <w:t>Anexos</w:t>
      </w:r>
      <w:r>
        <w:rPr>
          <w:spacing w:val="-6"/>
          <w:sz w:val="16"/>
          <w:vertAlign w:val="baseline"/>
        </w:rPr>
        <w:t> </w:t>
      </w:r>
      <w:r>
        <w:rPr>
          <w:sz w:val="16"/>
          <w:vertAlign w:val="baseline"/>
        </w:rPr>
        <w:t>radicado</w:t>
      </w:r>
      <w:r>
        <w:rPr>
          <w:spacing w:val="-5"/>
          <w:sz w:val="16"/>
          <w:vertAlign w:val="baseline"/>
        </w:rPr>
        <w:t> </w:t>
      </w:r>
      <w:r>
        <w:rPr>
          <w:sz w:val="16"/>
          <w:vertAlign w:val="baseline"/>
        </w:rPr>
        <w:t>011812_presentacion_info_CO –</w:t>
      </w:r>
      <w:r>
        <w:rPr>
          <w:spacing w:val="-7"/>
          <w:sz w:val="16"/>
          <w:vertAlign w:val="baseline"/>
        </w:rPr>
        <w:t> </w:t>
      </w:r>
      <w:r>
        <w:rPr>
          <w:spacing w:val="-2"/>
          <w:sz w:val="16"/>
          <w:vertAlign w:val="baseline"/>
        </w:rPr>
        <w:t>EXPEDIENTE.</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586" name="Group 586"/>
                <wp:cNvGraphicFramePr>
                  <a:graphicFrameLocks/>
                </wp:cNvGraphicFramePr>
                <a:graphic>
                  <a:graphicData uri="http://schemas.microsoft.com/office/word/2010/wordprocessingGroup">
                    <wpg:wgp>
                      <wpg:cNvPr id="586" name="Group 586"/>
                      <wpg:cNvGrpSpPr/>
                      <wpg:grpSpPr>
                        <a:xfrm>
                          <a:off x="0" y="0"/>
                          <a:ext cx="6131560" cy="9525"/>
                          <a:chExt cx="6131560" cy="9525"/>
                        </a:xfrm>
                      </wpg:grpSpPr>
                      <wps:wsp>
                        <wps:cNvPr id="587" name="Graphic 587"/>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403"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93"/>
          <w:footerReference w:type="default" r:id="rId94"/>
          <w:pgSz w:w="11900" w:h="16850"/>
          <w:pgMar w:header="370" w:footer="636" w:top="1380" w:bottom="820" w:left="992" w:right="283"/>
        </w:sectPr>
      </w:pPr>
    </w:p>
    <w:p>
      <w:pPr>
        <w:pStyle w:val="BodyText"/>
        <w:spacing w:before="176"/>
      </w:pPr>
    </w:p>
    <w:p>
      <w:pPr>
        <w:pStyle w:val="BodyText"/>
        <w:ind w:left="1134" w:right="982"/>
        <w:jc w:val="both"/>
      </w:pPr>
      <w:r>
        <w:rPr/>
        <w:t>en</w:t>
      </w:r>
      <w:r>
        <w:rPr>
          <w:spacing w:val="-2"/>
        </w:rPr>
        <w:t> </w:t>
      </w:r>
      <w:r>
        <w:rPr/>
        <w:t>el</w:t>
      </w:r>
      <w:r>
        <w:rPr>
          <w:spacing w:val="-3"/>
        </w:rPr>
        <w:t> </w:t>
      </w:r>
      <w:r>
        <w:rPr/>
        <w:t>caso</w:t>
      </w:r>
      <w:r>
        <w:rPr>
          <w:spacing w:val="-4"/>
        </w:rPr>
        <w:t> </w:t>
      </w:r>
      <w:r>
        <w:rPr/>
        <w:t>del</w:t>
      </w:r>
      <w:r>
        <w:rPr>
          <w:spacing w:val="-5"/>
        </w:rPr>
        <w:t> </w:t>
      </w:r>
      <w:r>
        <w:rPr/>
        <w:t>plátano</w:t>
      </w:r>
      <w:r>
        <w:rPr>
          <w:spacing w:val="-4"/>
        </w:rPr>
        <w:t> </w:t>
      </w:r>
      <w:r>
        <w:rPr/>
        <w:t>fresco,</w:t>
      </w:r>
      <w:r>
        <w:rPr>
          <w:spacing w:val="-3"/>
        </w:rPr>
        <w:t> </w:t>
      </w:r>
      <w:r>
        <w:rPr/>
        <w:t>el</w:t>
      </w:r>
      <w:r>
        <w:rPr>
          <w:spacing w:val="-3"/>
        </w:rPr>
        <w:t> </w:t>
      </w:r>
      <w:r>
        <w:rPr/>
        <w:t>riesgo</w:t>
      </w:r>
      <w:r>
        <w:rPr>
          <w:spacing w:val="-4"/>
        </w:rPr>
        <w:t> </w:t>
      </w:r>
      <w:r>
        <w:rPr/>
        <w:t>relevante</w:t>
      </w:r>
      <w:r>
        <w:rPr>
          <w:spacing w:val="-4"/>
        </w:rPr>
        <w:t> </w:t>
      </w:r>
      <w:r>
        <w:rPr/>
        <w:t>no</w:t>
      </w:r>
      <w:r>
        <w:rPr>
          <w:spacing w:val="-2"/>
        </w:rPr>
        <w:t> </w:t>
      </w:r>
      <w:r>
        <w:rPr/>
        <w:t>ha</w:t>
      </w:r>
      <w:r>
        <w:rPr>
          <w:spacing w:val="-4"/>
        </w:rPr>
        <w:t> </w:t>
      </w:r>
      <w:r>
        <w:rPr/>
        <w:t>sido</w:t>
      </w:r>
      <w:r>
        <w:rPr>
          <w:spacing w:val="-2"/>
        </w:rPr>
        <w:t> </w:t>
      </w:r>
      <w:r>
        <w:rPr/>
        <w:t>demostrado</w:t>
      </w:r>
      <w:r>
        <w:rPr>
          <w:spacing w:val="-4"/>
        </w:rPr>
        <w:t> </w:t>
      </w:r>
      <w:r>
        <w:rPr/>
        <w:t>con</w:t>
      </w:r>
      <w:r>
        <w:rPr>
          <w:spacing w:val="-2"/>
        </w:rPr>
        <w:t> </w:t>
      </w:r>
      <w:r>
        <w:rPr/>
        <w:t>base</w:t>
      </w:r>
      <w:r>
        <w:rPr>
          <w:spacing w:val="-4"/>
        </w:rPr>
        <w:t> </w:t>
      </w:r>
      <w:r>
        <w:rPr/>
        <w:t>en</w:t>
      </w:r>
      <w:r>
        <w:rPr>
          <w:spacing w:val="-2"/>
        </w:rPr>
        <w:t> </w:t>
      </w:r>
      <w:r>
        <w:rPr/>
        <w:t>el fruto fresco como hospedante directo del patógeno, sino que se atribuye, de manera general, a la eventual presencia de vectores pasivos externos al producto, tales como suelo adherido u otros contaminantes, sin que ello se sustente en un ARP específico para la subpartida en cuestión.</w:t>
      </w:r>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78" w:hanging="567"/>
        <w:jc w:val="both"/>
        <w:rPr>
          <w:sz w:val="22"/>
        </w:rPr>
      </w:pPr>
      <w:r>
        <w:rPr>
          <w:sz w:val="22"/>
        </w:rPr>
        <w:t>Este elemento resulta jurídicamente relevante porque la Decisión 515 y la Resolución 025 exigen conectar la medida con el riesgo probado y escoger la alternativa menos restrictiva.</w:t>
      </w:r>
      <w:r>
        <w:rPr>
          <w:spacing w:val="-9"/>
          <w:sz w:val="22"/>
        </w:rPr>
        <w:t> </w:t>
      </w:r>
      <w:r>
        <w:rPr>
          <w:sz w:val="22"/>
        </w:rPr>
        <w:t>En</w:t>
      </w:r>
      <w:r>
        <w:rPr>
          <w:spacing w:val="-10"/>
          <w:sz w:val="22"/>
        </w:rPr>
        <w:t> </w:t>
      </w:r>
      <w:r>
        <w:rPr>
          <w:sz w:val="22"/>
        </w:rPr>
        <w:t>tal</w:t>
      </w:r>
      <w:r>
        <w:rPr>
          <w:spacing w:val="-11"/>
          <w:sz w:val="22"/>
        </w:rPr>
        <w:t> </w:t>
      </w:r>
      <w:r>
        <w:rPr>
          <w:sz w:val="22"/>
        </w:rPr>
        <w:t>sentido,</w:t>
      </w:r>
      <w:r>
        <w:rPr>
          <w:spacing w:val="-9"/>
          <w:sz w:val="22"/>
        </w:rPr>
        <w:t> </w:t>
      </w:r>
      <w:r>
        <w:rPr>
          <w:sz w:val="22"/>
        </w:rPr>
        <w:t>si</w:t>
      </w:r>
      <w:r>
        <w:rPr>
          <w:spacing w:val="-9"/>
          <w:sz w:val="22"/>
        </w:rPr>
        <w:t> </w:t>
      </w:r>
      <w:r>
        <w:rPr>
          <w:sz w:val="22"/>
        </w:rPr>
        <w:t>el</w:t>
      </w:r>
      <w:r>
        <w:rPr>
          <w:spacing w:val="-11"/>
          <w:sz w:val="22"/>
        </w:rPr>
        <w:t> </w:t>
      </w:r>
      <w:r>
        <w:rPr>
          <w:sz w:val="22"/>
        </w:rPr>
        <w:t>riesgo</w:t>
      </w:r>
      <w:r>
        <w:rPr>
          <w:spacing w:val="-8"/>
          <w:sz w:val="22"/>
        </w:rPr>
        <w:t> </w:t>
      </w:r>
      <w:r>
        <w:rPr>
          <w:sz w:val="22"/>
        </w:rPr>
        <w:t>no</w:t>
      </w:r>
      <w:r>
        <w:rPr>
          <w:spacing w:val="-11"/>
          <w:sz w:val="22"/>
        </w:rPr>
        <w:t> </w:t>
      </w:r>
      <w:r>
        <w:rPr>
          <w:sz w:val="22"/>
        </w:rPr>
        <w:t>se</w:t>
      </w:r>
      <w:r>
        <w:rPr>
          <w:spacing w:val="-10"/>
          <w:sz w:val="22"/>
        </w:rPr>
        <w:t> </w:t>
      </w:r>
      <w:r>
        <w:rPr>
          <w:sz w:val="22"/>
        </w:rPr>
        <w:t>vincula</w:t>
      </w:r>
      <w:r>
        <w:rPr>
          <w:spacing w:val="-10"/>
          <w:sz w:val="22"/>
        </w:rPr>
        <w:t> </w:t>
      </w:r>
      <w:r>
        <w:rPr>
          <w:sz w:val="22"/>
        </w:rPr>
        <w:t>al</w:t>
      </w:r>
      <w:r>
        <w:rPr>
          <w:spacing w:val="-11"/>
          <w:sz w:val="22"/>
        </w:rPr>
        <w:t> </w:t>
      </w:r>
      <w:r>
        <w:rPr>
          <w:sz w:val="22"/>
        </w:rPr>
        <w:t>fruto</w:t>
      </w:r>
      <w:r>
        <w:rPr>
          <w:spacing w:val="-10"/>
          <w:sz w:val="22"/>
        </w:rPr>
        <w:t> </w:t>
      </w:r>
      <w:r>
        <w:rPr>
          <w:sz w:val="22"/>
        </w:rPr>
        <w:t>fresco</w:t>
      </w:r>
      <w:r>
        <w:rPr>
          <w:spacing w:val="-8"/>
          <w:sz w:val="22"/>
        </w:rPr>
        <w:t> </w:t>
      </w:r>
      <w:r>
        <w:rPr>
          <w:sz w:val="22"/>
        </w:rPr>
        <w:t>en</w:t>
      </w:r>
      <w:r>
        <w:rPr>
          <w:spacing w:val="-11"/>
          <w:sz w:val="22"/>
        </w:rPr>
        <w:t> </w:t>
      </w:r>
      <w:r>
        <w:rPr>
          <w:sz w:val="22"/>
        </w:rPr>
        <w:t>sí,</w:t>
      </w:r>
      <w:r>
        <w:rPr>
          <w:spacing w:val="-9"/>
          <w:sz w:val="22"/>
        </w:rPr>
        <w:t> </w:t>
      </w:r>
      <w:r>
        <w:rPr>
          <w:sz w:val="22"/>
        </w:rPr>
        <w:t>sino</w:t>
      </w:r>
      <w:r>
        <w:rPr>
          <w:spacing w:val="-11"/>
          <w:sz w:val="22"/>
        </w:rPr>
        <w:t> </w:t>
      </w:r>
      <w:r>
        <w:rPr>
          <w:sz w:val="22"/>
        </w:rPr>
        <w:t>a</w:t>
      </w:r>
      <w:r>
        <w:rPr>
          <w:spacing w:val="-8"/>
          <w:sz w:val="22"/>
        </w:rPr>
        <w:t> </w:t>
      </w:r>
      <w:r>
        <w:rPr>
          <w:sz w:val="22"/>
        </w:rPr>
        <w:t>elementos accesorios o externos —como materiales acompañantes, suelo adherido, embalajes, material</w:t>
      </w:r>
      <w:r>
        <w:rPr>
          <w:spacing w:val="-16"/>
          <w:sz w:val="22"/>
        </w:rPr>
        <w:t> </w:t>
      </w:r>
      <w:r>
        <w:rPr>
          <w:sz w:val="22"/>
        </w:rPr>
        <w:t>de</w:t>
      </w:r>
      <w:r>
        <w:rPr>
          <w:spacing w:val="-15"/>
          <w:sz w:val="22"/>
        </w:rPr>
        <w:t> </w:t>
      </w:r>
      <w:r>
        <w:rPr>
          <w:sz w:val="22"/>
        </w:rPr>
        <w:t>propagación</w:t>
      </w:r>
      <w:r>
        <w:rPr>
          <w:spacing w:val="-15"/>
          <w:sz w:val="22"/>
        </w:rPr>
        <w:t> </w:t>
      </w:r>
      <w:r>
        <w:rPr>
          <w:sz w:val="22"/>
        </w:rPr>
        <w:t>o</w:t>
      </w:r>
      <w:r>
        <w:rPr>
          <w:spacing w:val="-16"/>
          <w:sz w:val="22"/>
        </w:rPr>
        <w:t> </w:t>
      </w:r>
      <w:r>
        <w:rPr>
          <w:sz w:val="22"/>
        </w:rPr>
        <w:t>flujos</w:t>
      </w:r>
      <w:r>
        <w:rPr>
          <w:spacing w:val="-15"/>
          <w:sz w:val="22"/>
        </w:rPr>
        <w:t> </w:t>
      </w:r>
      <w:r>
        <w:rPr>
          <w:sz w:val="22"/>
        </w:rPr>
        <w:t>irregulares—,</w:t>
      </w:r>
      <w:r>
        <w:rPr>
          <w:spacing w:val="-15"/>
          <w:sz w:val="22"/>
        </w:rPr>
        <w:t> </w:t>
      </w:r>
      <w:r>
        <w:rPr>
          <w:sz w:val="22"/>
        </w:rPr>
        <w:t>la</w:t>
      </w:r>
      <w:r>
        <w:rPr>
          <w:spacing w:val="-14"/>
          <w:sz w:val="22"/>
        </w:rPr>
        <w:t> </w:t>
      </w:r>
      <w:r>
        <w:rPr>
          <w:sz w:val="22"/>
        </w:rPr>
        <w:t>respuesta</w:t>
      </w:r>
      <w:r>
        <w:rPr>
          <w:spacing w:val="-15"/>
          <w:sz w:val="22"/>
        </w:rPr>
        <w:t> </w:t>
      </w:r>
      <w:r>
        <w:rPr>
          <w:sz w:val="22"/>
        </w:rPr>
        <w:t>normativa</w:t>
      </w:r>
      <w:r>
        <w:rPr>
          <w:spacing w:val="-15"/>
          <w:sz w:val="22"/>
        </w:rPr>
        <w:t> </w:t>
      </w:r>
      <w:r>
        <w:rPr>
          <w:sz w:val="22"/>
        </w:rPr>
        <w:t>adecuada</w:t>
      </w:r>
      <w:r>
        <w:rPr>
          <w:spacing w:val="-14"/>
          <w:sz w:val="22"/>
        </w:rPr>
        <w:t> </w:t>
      </w:r>
      <w:r>
        <w:rPr>
          <w:sz w:val="22"/>
        </w:rPr>
        <w:t>debería concentrarse en medidas de inspección, higiene, control de embalajes, regulación del material</w:t>
      </w:r>
      <w:r>
        <w:rPr>
          <w:spacing w:val="-15"/>
          <w:sz w:val="22"/>
        </w:rPr>
        <w:t> </w:t>
      </w:r>
      <w:r>
        <w:rPr>
          <w:sz w:val="22"/>
        </w:rPr>
        <w:t>vegetal</w:t>
      </w:r>
      <w:r>
        <w:rPr>
          <w:spacing w:val="-13"/>
          <w:sz w:val="22"/>
        </w:rPr>
        <w:t> </w:t>
      </w:r>
      <w:r>
        <w:rPr>
          <w:sz w:val="22"/>
        </w:rPr>
        <w:t>y</w:t>
      </w:r>
      <w:r>
        <w:rPr>
          <w:spacing w:val="-12"/>
          <w:sz w:val="22"/>
        </w:rPr>
        <w:t> </w:t>
      </w:r>
      <w:r>
        <w:rPr>
          <w:sz w:val="22"/>
        </w:rPr>
        <w:t>control</w:t>
      </w:r>
      <w:r>
        <w:rPr>
          <w:spacing w:val="-16"/>
          <w:sz w:val="22"/>
        </w:rPr>
        <w:t> </w:t>
      </w:r>
      <w:r>
        <w:rPr>
          <w:sz w:val="22"/>
        </w:rPr>
        <w:t>del</w:t>
      </w:r>
      <w:r>
        <w:rPr>
          <w:spacing w:val="-13"/>
          <w:sz w:val="22"/>
        </w:rPr>
        <w:t> </w:t>
      </w:r>
      <w:r>
        <w:rPr>
          <w:sz w:val="22"/>
        </w:rPr>
        <w:t>tránsito,</w:t>
      </w:r>
      <w:r>
        <w:rPr>
          <w:spacing w:val="-12"/>
          <w:sz w:val="22"/>
        </w:rPr>
        <w:t> </w:t>
      </w:r>
      <w:r>
        <w:rPr>
          <w:sz w:val="22"/>
        </w:rPr>
        <w:t>y</w:t>
      </w:r>
      <w:r>
        <w:rPr>
          <w:spacing w:val="-12"/>
          <w:sz w:val="22"/>
        </w:rPr>
        <w:t> </w:t>
      </w:r>
      <w:r>
        <w:rPr>
          <w:sz w:val="22"/>
        </w:rPr>
        <w:t>no</w:t>
      </w:r>
      <w:r>
        <w:rPr>
          <w:spacing w:val="-13"/>
          <w:sz w:val="22"/>
        </w:rPr>
        <w:t> </w:t>
      </w:r>
      <w:r>
        <w:rPr>
          <w:sz w:val="22"/>
        </w:rPr>
        <w:t>en</w:t>
      </w:r>
      <w:r>
        <w:rPr>
          <w:spacing w:val="-13"/>
          <w:sz w:val="22"/>
        </w:rPr>
        <w:t> </w:t>
      </w:r>
      <w:r>
        <w:rPr>
          <w:sz w:val="22"/>
        </w:rPr>
        <w:t>una</w:t>
      </w:r>
      <w:r>
        <w:rPr>
          <w:spacing w:val="-15"/>
          <w:sz w:val="22"/>
        </w:rPr>
        <w:t> </w:t>
      </w:r>
      <w:r>
        <w:rPr>
          <w:sz w:val="22"/>
        </w:rPr>
        <w:t>restricción</w:t>
      </w:r>
      <w:r>
        <w:rPr>
          <w:spacing w:val="-13"/>
          <w:sz w:val="22"/>
        </w:rPr>
        <w:t> </w:t>
      </w:r>
      <w:r>
        <w:rPr>
          <w:sz w:val="22"/>
        </w:rPr>
        <w:t>territorial</w:t>
      </w:r>
      <w:r>
        <w:rPr>
          <w:spacing w:val="-13"/>
          <w:sz w:val="22"/>
        </w:rPr>
        <w:t> </w:t>
      </w:r>
      <w:r>
        <w:rPr>
          <w:sz w:val="22"/>
        </w:rPr>
        <w:t>del</w:t>
      </w:r>
      <w:r>
        <w:rPr>
          <w:spacing w:val="-13"/>
          <w:sz w:val="22"/>
        </w:rPr>
        <w:t> </w:t>
      </w:r>
      <w:r>
        <w:rPr>
          <w:sz w:val="22"/>
        </w:rPr>
        <w:t>canal</w:t>
      </w:r>
      <w:r>
        <w:rPr>
          <w:spacing w:val="-14"/>
          <w:sz w:val="22"/>
        </w:rPr>
        <w:t> </w:t>
      </w:r>
      <w:r>
        <w:rPr>
          <w:sz w:val="22"/>
        </w:rPr>
        <w:t>terrestre aplicable al fruto fresco, adoptada sin un ARP individualizado.</w:t>
      </w:r>
    </w:p>
    <w:p>
      <w:pPr>
        <w:pStyle w:val="ListParagraph"/>
        <w:numPr>
          <w:ilvl w:val="0"/>
          <w:numId w:val="50"/>
        </w:numPr>
        <w:tabs>
          <w:tab w:pos="1130" w:val="left" w:leader="none"/>
          <w:tab w:pos="1134" w:val="left" w:leader="none"/>
        </w:tabs>
        <w:spacing w:line="240" w:lineRule="auto" w:before="252" w:after="0"/>
        <w:ind w:left="1134" w:right="978" w:hanging="567"/>
        <w:jc w:val="both"/>
        <w:rPr>
          <w:sz w:val="22"/>
        </w:rPr>
      </w:pPr>
      <w:r>
        <w:rPr>
          <w:sz w:val="22"/>
        </w:rPr>
        <w:t>Por tanto, al no constar ARP específico para la subpartida 0803.90.12.00 y descansar la medida en un riesgo indirecto no individualizado, la canalización territorial constituye una restricción encubierta al comercio.</w:t>
      </w:r>
    </w:p>
    <w:p>
      <w:pPr>
        <w:pStyle w:val="BodyText"/>
      </w:pPr>
    </w:p>
    <w:p>
      <w:pPr>
        <w:pStyle w:val="ListParagraph"/>
        <w:numPr>
          <w:ilvl w:val="0"/>
          <w:numId w:val="107"/>
        </w:numPr>
        <w:tabs>
          <w:tab w:pos="2008" w:val="left" w:leader="none"/>
        </w:tabs>
        <w:spacing w:line="240" w:lineRule="auto" w:before="0" w:after="0"/>
        <w:ind w:left="2008" w:right="0" w:hanging="360"/>
        <w:jc w:val="left"/>
        <w:rPr>
          <w:rFonts w:ascii="Arial"/>
          <w:i/>
          <w:sz w:val="22"/>
        </w:rPr>
      </w:pPr>
      <w:r>
        <w:rPr>
          <w:rFonts w:ascii="Arial"/>
          <w:i/>
          <w:sz w:val="22"/>
          <w:u w:val="single"/>
        </w:rPr>
        <w:t>Aguacate</w:t>
      </w:r>
      <w:r>
        <w:rPr>
          <w:rFonts w:ascii="Arial"/>
          <w:i/>
          <w:spacing w:val="-6"/>
          <w:sz w:val="22"/>
          <w:u w:val="single"/>
        </w:rPr>
        <w:t> </w:t>
      </w:r>
      <w:r>
        <w:rPr>
          <w:rFonts w:ascii="Arial"/>
          <w:i/>
          <w:spacing w:val="-4"/>
          <w:sz w:val="22"/>
          <w:u w:val="single"/>
        </w:rPr>
        <w:t>Hass</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El</w:t>
      </w:r>
      <w:r>
        <w:rPr>
          <w:spacing w:val="-7"/>
          <w:sz w:val="22"/>
        </w:rPr>
        <w:t> </w:t>
      </w:r>
      <w:r>
        <w:rPr>
          <w:sz w:val="22"/>
        </w:rPr>
        <w:t>aguacate</w:t>
      </w:r>
      <w:r>
        <w:rPr>
          <w:spacing w:val="-8"/>
          <w:sz w:val="22"/>
        </w:rPr>
        <w:t> </w:t>
      </w:r>
      <w:r>
        <w:rPr>
          <w:sz w:val="22"/>
        </w:rPr>
        <w:t>Hass</w:t>
      </w:r>
      <w:r>
        <w:rPr>
          <w:spacing w:val="-8"/>
          <w:sz w:val="22"/>
        </w:rPr>
        <w:t> </w:t>
      </w:r>
      <w:r>
        <w:rPr>
          <w:sz w:val="22"/>
        </w:rPr>
        <w:t>ingresa</w:t>
      </w:r>
      <w:r>
        <w:rPr>
          <w:spacing w:val="-6"/>
          <w:sz w:val="22"/>
        </w:rPr>
        <w:t> </w:t>
      </w:r>
      <w:r>
        <w:rPr>
          <w:sz w:val="22"/>
        </w:rPr>
        <w:t>por</w:t>
      </w:r>
      <w:r>
        <w:rPr>
          <w:spacing w:val="-8"/>
          <w:sz w:val="22"/>
        </w:rPr>
        <w:t> </w:t>
      </w:r>
      <w:r>
        <w:rPr>
          <w:sz w:val="22"/>
        </w:rPr>
        <w:t>la</w:t>
      </w:r>
      <w:r>
        <w:rPr>
          <w:spacing w:val="-8"/>
          <w:sz w:val="22"/>
        </w:rPr>
        <w:t> </w:t>
      </w:r>
      <w:r>
        <w:rPr>
          <w:sz w:val="22"/>
        </w:rPr>
        <w:t>subpartida</w:t>
      </w:r>
      <w:r>
        <w:rPr>
          <w:spacing w:val="-7"/>
          <w:sz w:val="22"/>
        </w:rPr>
        <w:t> </w:t>
      </w:r>
      <w:r>
        <w:rPr>
          <w:sz w:val="22"/>
        </w:rPr>
        <w:t>0804.40.00.10</w:t>
      </w:r>
      <w:r>
        <w:rPr>
          <w:spacing w:val="-9"/>
          <w:sz w:val="22"/>
        </w:rPr>
        <w:t> </w:t>
      </w:r>
      <w:r>
        <w:rPr>
          <w:sz w:val="22"/>
        </w:rPr>
        <w:t>y</w:t>
      </w:r>
      <w:r>
        <w:rPr>
          <w:spacing w:val="-8"/>
          <w:sz w:val="22"/>
        </w:rPr>
        <w:t> </w:t>
      </w:r>
      <w:r>
        <w:rPr>
          <w:sz w:val="22"/>
        </w:rPr>
        <w:t>está</w:t>
      </w:r>
      <w:r>
        <w:rPr>
          <w:spacing w:val="-8"/>
          <w:sz w:val="22"/>
        </w:rPr>
        <w:t> </w:t>
      </w:r>
      <w:r>
        <w:rPr>
          <w:sz w:val="22"/>
        </w:rPr>
        <w:t>en</w:t>
      </w:r>
      <w:r>
        <w:rPr>
          <w:spacing w:val="-9"/>
          <w:sz w:val="22"/>
        </w:rPr>
        <w:t> </w:t>
      </w:r>
      <w:r>
        <w:rPr>
          <w:sz w:val="22"/>
        </w:rPr>
        <w:t>categoría</w:t>
      </w:r>
      <w:r>
        <w:rPr>
          <w:spacing w:val="-8"/>
          <w:sz w:val="22"/>
        </w:rPr>
        <w:t> </w:t>
      </w:r>
      <w:r>
        <w:rPr>
          <w:sz w:val="22"/>
        </w:rPr>
        <w:t>de</w:t>
      </w:r>
      <w:r>
        <w:rPr>
          <w:spacing w:val="-9"/>
          <w:sz w:val="22"/>
        </w:rPr>
        <w:t> </w:t>
      </w:r>
      <w:r>
        <w:rPr>
          <w:sz w:val="22"/>
        </w:rPr>
        <w:t>riesgo fitosanitario</w:t>
      </w:r>
      <w:r>
        <w:rPr>
          <w:spacing w:val="-16"/>
          <w:sz w:val="22"/>
        </w:rPr>
        <w:t> </w:t>
      </w:r>
      <w:r>
        <w:rPr>
          <w:sz w:val="22"/>
        </w:rPr>
        <w:t>nivel</w:t>
      </w:r>
      <w:r>
        <w:rPr>
          <w:spacing w:val="-15"/>
          <w:sz w:val="22"/>
        </w:rPr>
        <w:t> </w:t>
      </w:r>
      <w:r>
        <w:rPr>
          <w:sz w:val="22"/>
        </w:rPr>
        <w:t>3,</w:t>
      </w:r>
      <w:r>
        <w:rPr>
          <w:spacing w:val="-14"/>
          <w:sz w:val="22"/>
        </w:rPr>
        <w:t> </w:t>
      </w:r>
      <w:r>
        <w:rPr>
          <w:sz w:val="22"/>
        </w:rPr>
        <w:t>sujeto</w:t>
      </w:r>
      <w:r>
        <w:rPr>
          <w:spacing w:val="-14"/>
          <w:sz w:val="22"/>
        </w:rPr>
        <w:t> </w:t>
      </w:r>
      <w:r>
        <w:rPr>
          <w:sz w:val="22"/>
        </w:rPr>
        <w:t>a</w:t>
      </w:r>
      <w:r>
        <w:rPr>
          <w:spacing w:val="-15"/>
          <w:sz w:val="22"/>
        </w:rPr>
        <w:t> </w:t>
      </w:r>
      <w:r>
        <w:rPr>
          <w:sz w:val="22"/>
        </w:rPr>
        <w:t>permiso,</w:t>
      </w:r>
      <w:r>
        <w:rPr>
          <w:spacing w:val="-15"/>
          <w:sz w:val="22"/>
        </w:rPr>
        <w:t> </w:t>
      </w:r>
      <w:r>
        <w:rPr>
          <w:sz w:val="22"/>
        </w:rPr>
        <w:t>inspección,</w:t>
      </w:r>
      <w:r>
        <w:rPr>
          <w:spacing w:val="-16"/>
          <w:sz w:val="22"/>
        </w:rPr>
        <w:t> </w:t>
      </w:r>
      <w:r>
        <w:rPr>
          <w:sz w:val="22"/>
        </w:rPr>
        <w:t>certificado</w:t>
      </w:r>
      <w:r>
        <w:rPr>
          <w:spacing w:val="-15"/>
          <w:sz w:val="22"/>
        </w:rPr>
        <w:t> </w:t>
      </w:r>
      <w:r>
        <w:rPr>
          <w:sz w:val="22"/>
        </w:rPr>
        <w:t>fitosanitario</w:t>
      </w:r>
      <w:r>
        <w:rPr>
          <w:spacing w:val="-14"/>
          <w:sz w:val="22"/>
        </w:rPr>
        <w:t> </w:t>
      </w:r>
      <w:r>
        <w:rPr>
          <w:sz w:val="22"/>
        </w:rPr>
        <w:t>y</w:t>
      </w:r>
      <w:r>
        <w:rPr>
          <w:spacing w:val="-16"/>
          <w:sz w:val="22"/>
        </w:rPr>
        <w:t> </w:t>
      </w:r>
      <w:r>
        <w:rPr>
          <w:sz w:val="22"/>
        </w:rPr>
        <w:t>declaraciones adicionales sobre procedencia de áreas libres de Bactrocera spp., y ausencia de otras plagas específicas. Es decir, el régimen ordinario ya contiene medidas de gestión del riesgo compatibles con el comercio regulado.</w:t>
      </w:r>
    </w:p>
    <w:p>
      <w:pPr>
        <w:pStyle w:val="ListParagraph"/>
        <w:numPr>
          <w:ilvl w:val="0"/>
          <w:numId w:val="50"/>
        </w:numPr>
        <w:tabs>
          <w:tab w:pos="1130" w:val="left" w:leader="none"/>
          <w:tab w:pos="1134" w:val="left" w:leader="none"/>
        </w:tabs>
        <w:spacing w:line="240" w:lineRule="auto" w:before="252" w:after="0"/>
        <w:ind w:left="1134" w:right="978" w:hanging="567"/>
        <w:jc w:val="both"/>
        <w:rPr>
          <w:sz w:val="22"/>
        </w:rPr>
      </w:pPr>
      <w:r>
        <w:rPr>
          <w:sz w:val="22"/>
        </w:rPr>
        <w:t>No</w:t>
      </w:r>
      <w:r>
        <w:rPr>
          <w:spacing w:val="-9"/>
          <w:sz w:val="22"/>
        </w:rPr>
        <w:t> </w:t>
      </w:r>
      <w:r>
        <w:rPr>
          <w:sz w:val="22"/>
        </w:rPr>
        <w:t>obstante,</w:t>
      </w:r>
      <w:r>
        <w:rPr>
          <w:spacing w:val="-10"/>
          <w:sz w:val="22"/>
        </w:rPr>
        <w:t> </w:t>
      </w:r>
      <w:r>
        <w:rPr>
          <w:sz w:val="22"/>
        </w:rPr>
        <w:t>no</w:t>
      </w:r>
      <w:r>
        <w:rPr>
          <w:spacing w:val="-9"/>
          <w:sz w:val="22"/>
        </w:rPr>
        <w:t> </w:t>
      </w:r>
      <w:r>
        <w:rPr>
          <w:sz w:val="22"/>
        </w:rPr>
        <w:t>se</w:t>
      </w:r>
      <w:r>
        <w:rPr>
          <w:spacing w:val="-11"/>
          <w:sz w:val="22"/>
        </w:rPr>
        <w:t> </w:t>
      </w:r>
      <w:r>
        <w:rPr>
          <w:sz w:val="22"/>
        </w:rPr>
        <w:t>identifica</w:t>
      </w:r>
      <w:r>
        <w:rPr>
          <w:spacing w:val="-9"/>
          <w:sz w:val="22"/>
        </w:rPr>
        <w:t> </w:t>
      </w:r>
      <w:r>
        <w:rPr>
          <w:sz w:val="22"/>
        </w:rPr>
        <w:t>en</w:t>
      </w:r>
      <w:r>
        <w:rPr>
          <w:spacing w:val="-9"/>
          <w:sz w:val="22"/>
        </w:rPr>
        <w:t> </w:t>
      </w:r>
      <w:r>
        <w:rPr>
          <w:sz w:val="22"/>
        </w:rPr>
        <w:t>el</w:t>
      </w:r>
      <w:r>
        <w:rPr>
          <w:spacing w:val="-12"/>
          <w:sz w:val="22"/>
        </w:rPr>
        <w:t> </w:t>
      </w:r>
      <w:r>
        <w:rPr>
          <w:sz w:val="22"/>
        </w:rPr>
        <w:t>expediente</w:t>
      </w:r>
      <w:r>
        <w:rPr>
          <w:spacing w:val="-9"/>
          <w:sz w:val="22"/>
        </w:rPr>
        <w:t> </w:t>
      </w:r>
      <w:r>
        <w:rPr>
          <w:sz w:val="22"/>
        </w:rPr>
        <w:t>un</w:t>
      </w:r>
      <w:r>
        <w:rPr>
          <w:spacing w:val="-12"/>
          <w:sz w:val="22"/>
        </w:rPr>
        <w:t> </w:t>
      </w:r>
      <w:r>
        <w:rPr>
          <w:sz w:val="22"/>
        </w:rPr>
        <w:t>ARP</w:t>
      </w:r>
      <w:r>
        <w:rPr>
          <w:spacing w:val="-9"/>
          <w:sz w:val="22"/>
        </w:rPr>
        <w:t> </w:t>
      </w:r>
      <w:r>
        <w:rPr>
          <w:sz w:val="22"/>
        </w:rPr>
        <w:t>específico</w:t>
      </w:r>
      <w:r>
        <w:rPr>
          <w:spacing w:val="-11"/>
          <w:sz w:val="22"/>
        </w:rPr>
        <w:t> </w:t>
      </w:r>
      <w:r>
        <w:rPr>
          <w:sz w:val="22"/>
        </w:rPr>
        <w:t>que</w:t>
      </w:r>
      <w:r>
        <w:rPr>
          <w:spacing w:val="-8"/>
          <w:sz w:val="22"/>
        </w:rPr>
        <w:t> </w:t>
      </w:r>
      <w:r>
        <w:rPr>
          <w:sz w:val="22"/>
        </w:rPr>
        <w:t>permita</w:t>
      </w:r>
      <w:r>
        <w:rPr>
          <w:spacing w:val="-9"/>
          <w:sz w:val="22"/>
        </w:rPr>
        <w:t> </w:t>
      </w:r>
      <w:r>
        <w:rPr>
          <w:sz w:val="22"/>
        </w:rPr>
        <w:t>demostrar que</w:t>
      </w:r>
      <w:r>
        <w:rPr>
          <w:spacing w:val="-6"/>
          <w:sz w:val="22"/>
        </w:rPr>
        <w:t> </w:t>
      </w:r>
      <w:r>
        <w:rPr>
          <w:sz w:val="22"/>
        </w:rPr>
        <w:t>el</w:t>
      </w:r>
      <w:r>
        <w:rPr>
          <w:spacing w:val="-7"/>
          <w:sz w:val="22"/>
        </w:rPr>
        <w:t> </w:t>
      </w:r>
      <w:r>
        <w:rPr>
          <w:sz w:val="22"/>
        </w:rPr>
        <w:t>aguacate</w:t>
      </w:r>
      <w:r>
        <w:rPr>
          <w:spacing w:val="-8"/>
          <w:sz w:val="22"/>
        </w:rPr>
        <w:t> </w:t>
      </w:r>
      <w:r>
        <w:rPr>
          <w:sz w:val="22"/>
        </w:rPr>
        <w:t>ecuatoriano</w:t>
      </w:r>
      <w:r>
        <w:rPr>
          <w:spacing w:val="-6"/>
          <w:sz w:val="22"/>
        </w:rPr>
        <w:t> </w:t>
      </w:r>
      <w:r>
        <w:rPr>
          <w:sz w:val="22"/>
        </w:rPr>
        <w:t>requiere,</w:t>
      </w:r>
      <w:r>
        <w:rPr>
          <w:spacing w:val="-7"/>
          <w:sz w:val="22"/>
        </w:rPr>
        <w:t> </w:t>
      </w:r>
      <w:r>
        <w:rPr>
          <w:sz w:val="22"/>
        </w:rPr>
        <w:t>además,</w:t>
      </w:r>
      <w:r>
        <w:rPr>
          <w:spacing w:val="-6"/>
          <w:sz w:val="22"/>
        </w:rPr>
        <w:t> </w:t>
      </w:r>
      <w:r>
        <w:rPr>
          <w:sz w:val="22"/>
        </w:rPr>
        <w:t>una</w:t>
      </w:r>
      <w:r>
        <w:rPr>
          <w:spacing w:val="-6"/>
          <w:sz w:val="22"/>
        </w:rPr>
        <w:t> </w:t>
      </w:r>
      <w:r>
        <w:rPr>
          <w:sz w:val="22"/>
        </w:rPr>
        <w:t>restricción</w:t>
      </w:r>
      <w:r>
        <w:rPr>
          <w:spacing w:val="-8"/>
          <w:sz w:val="22"/>
        </w:rPr>
        <w:t> </w:t>
      </w:r>
      <w:r>
        <w:rPr>
          <w:sz w:val="22"/>
        </w:rPr>
        <w:t>territorial</w:t>
      </w:r>
      <w:r>
        <w:rPr>
          <w:spacing w:val="-7"/>
          <w:sz w:val="22"/>
        </w:rPr>
        <w:t> </w:t>
      </w:r>
      <w:r>
        <w:rPr>
          <w:sz w:val="22"/>
        </w:rPr>
        <w:t>del</w:t>
      </w:r>
      <w:r>
        <w:rPr>
          <w:spacing w:val="-7"/>
          <w:sz w:val="22"/>
        </w:rPr>
        <w:t> </w:t>
      </w:r>
      <w:r>
        <w:rPr>
          <w:sz w:val="22"/>
        </w:rPr>
        <w:t>ingreso</w:t>
      </w:r>
      <w:r>
        <w:rPr>
          <w:spacing w:val="-4"/>
          <w:sz w:val="22"/>
        </w:rPr>
        <w:t> </w:t>
      </w:r>
      <w:r>
        <w:rPr>
          <w:sz w:val="22"/>
        </w:rPr>
        <w:t>por vía</w:t>
      </w:r>
      <w:r>
        <w:rPr>
          <w:spacing w:val="-4"/>
          <w:sz w:val="22"/>
        </w:rPr>
        <w:t> </w:t>
      </w:r>
      <w:r>
        <w:rPr>
          <w:sz w:val="22"/>
        </w:rPr>
        <w:t>terrestre. Si</w:t>
      </w:r>
      <w:r>
        <w:rPr>
          <w:spacing w:val="-5"/>
          <w:sz w:val="22"/>
        </w:rPr>
        <w:t> </w:t>
      </w:r>
      <w:r>
        <w:rPr>
          <w:sz w:val="22"/>
        </w:rPr>
        <w:t>bien</w:t>
      </w:r>
      <w:r>
        <w:rPr>
          <w:spacing w:val="-2"/>
          <w:sz w:val="22"/>
        </w:rPr>
        <w:t> </w:t>
      </w:r>
      <w:r>
        <w:rPr>
          <w:sz w:val="22"/>
        </w:rPr>
        <w:t>la</w:t>
      </w:r>
      <w:r>
        <w:rPr>
          <w:spacing w:val="-2"/>
          <w:sz w:val="22"/>
        </w:rPr>
        <w:t> </w:t>
      </w:r>
      <w:r>
        <w:rPr>
          <w:sz w:val="22"/>
        </w:rPr>
        <w:t>República</w:t>
      </w:r>
      <w:r>
        <w:rPr>
          <w:spacing w:val="-2"/>
          <w:sz w:val="22"/>
        </w:rPr>
        <w:t> </w:t>
      </w:r>
      <w:r>
        <w:rPr>
          <w:sz w:val="22"/>
        </w:rPr>
        <w:t>de</w:t>
      </w:r>
      <w:r>
        <w:rPr>
          <w:spacing w:val="-2"/>
          <w:sz w:val="22"/>
        </w:rPr>
        <w:t> </w:t>
      </w:r>
      <w:r>
        <w:rPr>
          <w:sz w:val="22"/>
        </w:rPr>
        <w:t>Colombia</w:t>
      </w:r>
      <w:r>
        <w:rPr>
          <w:spacing w:val="-2"/>
          <w:sz w:val="22"/>
        </w:rPr>
        <w:t> </w:t>
      </w:r>
      <w:r>
        <w:rPr>
          <w:sz w:val="22"/>
        </w:rPr>
        <w:t>lo</w:t>
      </w:r>
      <w:r>
        <w:rPr>
          <w:spacing w:val="-7"/>
          <w:sz w:val="22"/>
        </w:rPr>
        <w:t> </w:t>
      </w:r>
      <w:r>
        <w:rPr>
          <w:sz w:val="22"/>
        </w:rPr>
        <w:t>incluye</w:t>
      </w:r>
      <w:r>
        <w:rPr>
          <w:spacing w:val="-2"/>
          <w:sz w:val="22"/>
        </w:rPr>
        <w:t> </w:t>
      </w:r>
      <w:r>
        <w:rPr>
          <w:sz w:val="22"/>
        </w:rPr>
        <w:t>dentro</w:t>
      </w:r>
      <w:r>
        <w:rPr>
          <w:spacing w:val="-4"/>
          <w:sz w:val="22"/>
        </w:rPr>
        <w:t> </w:t>
      </w:r>
      <w:r>
        <w:rPr>
          <w:sz w:val="22"/>
        </w:rPr>
        <w:t>del</w:t>
      </w:r>
      <w:r>
        <w:rPr>
          <w:spacing w:val="-5"/>
          <w:sz w:val="22"/>
        </w:rPr>
        <w:t> </w:t>
      </w:r>
      <w:r>
        <w:rPr>
          <w:sz w:val="22"/>
        </w:rPr>
        <w:t>grupo</w:t>
      </w:r>
      <w:r>
        <w:rPr>
          <w:spacing w:val="-7"/>
          <w:sz w:val="22"/>
        </w:rPr>
        <w:t> </w:t>
      </w:r>
      <w:r>
        <w:rPr>
          <w:sz w:val="22"/>
        </w:rPr>
        <w:t>de</w:t>
      </w:r>
      <w:r>
        <w:rPr>
          <w:spacing w:val="-2"/>
          <w:sz w:val="22"/>
        </w:rPr>
        <w:t> </w:t>
      </w:r>
      <w:r>
        <w:rPr>
          <w:sz w:val="22"/>
        </w:rPr>
        <w:t>productos perecederos respecto de los cuales la canalización territorial sería operativamente necesaria, dicha consideración de carácter logístico no sustituye el soporte técnico</w:t>
      </w:r>
      <w:r>
        <w:rPr>
          <w:rFonts w:ascii="Cambria Math" w:hAnsi="Cambria Math"/>
          <w:sz w:val="22"/>
        </w:rPr>
        <w:t>‑</w:t>
      </w:r>
      <w:r>
        <w:rPr>
          <w:sz w:val="22"/>
        </w:rPr>
        <w:t>fitosanitario exigido por la normativa comunitaria andina. Conforme a la jurisprudencia andina, una dificultad operativa en frontera, por sí sola, no resulta suficiente para justificar la imposición de un requisito territorial restrictivo ni para configurar una excepción válida al </w:t>
      </w:r>
      <w:r>
        <w:rPr>
          <w:rFonts w:ascii="Arial" w:hAnsi="Arial"/>
          <w:i/>
          <w:sz w:val="22"/>
        </w:rPr>
        <w:t>Programa de Liberación</w:t>
      </w:r>
      <w:r>
        <w:rPr>
          <w:sz w:val="22"/>
        </w:rPr>
        <w:t>.</w:t>
      </w:r>
    </w:p>
    <w:p>
      <w:pPr>
        <w:pStyle w:val="BodyText"/>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Por tanto, la ausencia de ARP específico para la subpartida 0804.40.00.10 y la existencia de requisitos fitosanitarios de gestión de riesgo, se permite concluir que la medida es restrictiva y no está debidamente justificada.</w:t>
      </w:r>
    </w:p>
    <w:p>
      <w:pPr>
        <w:pStyle w:val="BodyText"/>
        <w:spacing w:before="1"/>
      </w:pPr>
    </w:p>
    <w:p>
      <w:pPr>
        <w:pStyle w:val="ListParagraph"/>
        <w:numPr>
          <w:ilvl w:val="0"/>
          <w:numId w:val="107"/>
        </w:numPr>
        <w:tabs>
          <w:tab w:pos="2007" w:val="left" w:leader="none"/>
        </w:tabs>
        <w:spacing w:line="240" w:lineRule="auto" w:before="0" w:after="0"/>
        <w:ind w:left="2007" w:right="0" w:hanging="359"/>
        <w:jc w:val="left"/>
        <w:rPr>
          <w:rFonts w:ascii="Arial" w:hAnsi="Arial"/>
          <w:i/>
          <w:sz w:val="22"/>
        </w:rPr>
      </w:pPr>
      <w:r>
        <w:rPr>
          <w:rFonts w:ascii="Arial" w:hAnsi="Arial"/>
          <w:i/>
          <w:spacing w:val="-2"/>
          <w:sz w:val="22"/>
          <w:u w:val="single"/>
        </w:rPr>
        <w:t>Maracuyá</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El</w:t>
      </w:r>
      <w:r>
        <w:rPr>
          <w:spacing w:val="-5"/>
          <w:sz w:val="22"/>
        </w:rPr>
        <w:t> </w:t>
      </w:r>
      <w:r>
        <w:rPr>
          <w:sz w:val="22"/>
        </w:rPr>
        <w:t>maracuyá</w:t>
      </w:r>
      <w:r>
        <w:rPr>
          <w:spacing w:val="-4"/>
          <w:sz w:val="22"/>
        </w:rPr>
        <w:t> </w:t>
      </w:r>
      <w:r>
        <w:rPr>
          <w:sz w:val="22"/>
        </w:rPr>
        <w:t>que</w:t>
      </w:r>
      <w:r>
        <w:rPr>
          <w:spacing w:val="-6"/>
          <w:sz w:val="22"/>
        </w:rPr>
        <w:t> </w:t>
      </w:r>
      <w:r>
        <w:rPr>
          <w:sz w:val="22"/>
        </w:rPr>
        <w:t>ingresa</w:t>
      </w:r>
      <w:r>
        <w:rPr>
          <w:spacing w:val="-7"/>
          <w:sz w:val="22"/>
        </w:rPr>
        <w:t> </w:t>
      </w:r>
      <w:r>
        <w:rPr>
          <w:sz w:val="22"/>
        </w:rPr>
        <w:t>por</w:t>
      </w:r>
      <w:r>
        <w:rPr>
          <w:spacing w:val="-3"/>
          <w:sz w:val="22"/>
        </w:rPr>
        <w:t> </w:t>
      </w:r>
      <w:r>
        <w:rPr>
          <w:sz w:val="22"/>
        </w:rPr>
        <w:t>la</w:t>
      </w:r>
      <w:r>
        <w:rPr>
          <w:spacing w:val="-3"/>
          <w:sz w:val="22"/>
        </w:rPr>
        <w:t> </w:t>
      </w:r>
      <w:r>
        <w:rPr>
          <w:sz w:val="22"/>
        </w:rPr>
        <w:t>subpartida</w:t>
      </w:r>
      <w:r>
        <w:rPr>
          <w:spacing w:val="-4"/>
          <w:sz w:val="22"/>
        </w:rPr>
        <w:t> </w:t>
      </w:r>
      <w:r>
        <w:rPr>
          <w:sz w:val="22"/>
        </w:rPr>
        <w:t>0810.90.10.20,</w:t>
      </w:r>
      <w:r>
        <w:rPr>
          <w:spacing w:val="-3"/>
          <w:sz w:val="22"/>
        </w:rPr>
        <w:t> </w:t>
      </w:r>
      <w:r>
        <w:rPr>
          <w:sz w:val="22"/>
        </w:rPr>
        <w:t>figura</w:t>
      </w:r>
      <w:r>
        <w:rPr>
          <w:spacing w:val="-4"/>
          <w:sz w:val="22"/>
        </w:rPr>
        <w:t> </w:t>
      </w:r>
      <w:r>
        <w:rPr>
          <w:sz w:val="22"/>
        </w:rPr>
        <w:t>en</w:t>
      </w:r>
      <w:r>
        <w:rPr>
          <w:spacing w:val="-4"/>
          <w:sz w:val="22"/>
        </w:rPr>
        <w:t> </w:t>
      </w:r>
      <w:r>
        <w:rPr>
          <w:sz w:val="22"/>
        </w:rPr>
        <w:t>categoría</w:t>
      </w:r>
      <w:r>
        <w:rPr>
          <w:spacing w:val="-2"/>
          <w:sz w:val="22"/>
        </w:rPr>
        <w:t> </w:t>
      </w:r>
      <w:r>
        <w:rPr>
          <w:sz w:val="22"/>
        </w:rPr>
        <w:t>de</w:t>
      </w:r>
      <w:r>
        <w:rPr>
          <w:spacing w:val="-7"/>
          <w:sz w:val="22"/>
        </w:rPr>
        <w:t> </w:t>
      </w:r>
      <w:r>
        <w:rPr>
          <w:sz w:val="22"/>
        </w:rPr>
        <w:t>riesgo fitosanitario nivel 3 y exige permiso, inspección y certificado fitosanitario, además de declaraciones adicionales de ausencia de determinadas plagas. Del</w:t>
      </w:r>
      <w:r>
        <w:rPr>
          <w:spacing w:val="-1"/>
          <w:sz w:val="22"/>
        </w:rPr>
        <w:t> </w:t>
      </w:r>
      <w:r>
        <w:rPr>
          <w:sz w:val="22"/>
        </w:rPr>
        <w:t>análisis efectuado se advierte que no existe una consistencia técnica entre los argumentos</w:t>
      </w:r>
      <w:r>
        <w:rPr>
          <w:spacing w:val="-2"/>
          <w:sz w:val="22"/>
        </w:rPr>
        <w:t> </w:t>
      </w:r>
      <w:r>
        <w:rPr>
          <w:sz w:val="22"/>
        </w:rPr>
        <w:t>invocados por la República de Colombia en</w:t>
      </w:r>
      <w:r>
        <w:rPr>
          <w:spacing w:val="-2"/>
          <w:sz w:val="22"/>
        </w:rPr>
        <w:t> </w:t>
      </w:r>
      <w:r>
        <w:rPr>
          <w:sz w:val="22"/>
        </w:rPr>
        <w:t>relación con</w:t>
      </w:r>
      <w:r>
        <w:rPr>
          <w:spacing w:val="-2"/>
          <w:sz w:val="22"/>
        </w:rPr>
        <w:t> </w:t>
      </w:r>
      <w:r>
        <w:rPr>
          <w:sz w:val="22"/>
        </w:rPr>
        <w:t>los Límites</w:t>
      </w:r>
      <w:r>
        <w:rPr>
          <w:spacing w:val="-2"/>
          <w:sz w:val="22"/>
        </w:rPr>
        <w:t> </w:t>
      </w:r>
      <w:r>
        <w:rPr>
          <w:sz w:val="22"/>
        </w:rPr>
        <w:t>Máximos de</w:t>
      </w:r>
      <w:r>
        <w:rPr>
          <w:spacing w:val="-2"/>
          <w:sz w:val="22"/>
        </w:rPr>
        <w:t> </w:t>
      </w:r>
      <w:r>
        <w:rPr>
          <w:sz w:val="22"/>
        </w:rPr>
        <w:t>Residuos (LMR)</w:t>
      </w:r>
      <w:r>
        <w:rPr>
          <w:spacing w:val="-1"/>
          <w:sz w:val="22"/>
        </w:rPr>
        <w:t> </w:t>
      </w:r>
      <w:r>
        <w:rPr>
          <w:sz w:val="22"/>
        </w:rPr>
        <w:t>y</w:t>
      </w:r>
      <w:r>
        <w:rPr>
          <w:spacing w:val="-2"/>
          <w:sz w:val="22"/>
        </w:rPr>
        <w:t> </w:t>
      </w:r>
      <w:r>
        <w:rPr>
          <w:sz w:val="22"/>
        </w:rPr>
        <w:t>la cadena</w:t>
      </w:r>
      <w:r>
        <w:rPr>
          <w:spacing w:val="-7"/>
          <w:sz w:val="22"/>
        </w:rPr>
        <w:t> </w:t>
      </w:r>
      <w:r>
        <w:rPr>
          <w:sz w:val="22"/>
        </w:rPr>
        <w:t>de</w:t>
      </w:r>
      <w:r>
        <w:rPr>
          <w:spacing w:val="-8"/>
          <w:sz w:val="22"/>
        </w:rPr>
        <w:t> </w:t>
      </w:r>
      <w:r>
        <w:rPr>
          <w:sz w:val="22"/>
        </w:rPr>
        <w:t>pasifloras,</w:t>
      </w:r>
      <w:r>
        <w:rPr>
          <w:spacing w:val="-6"/>
          <w:sz w:val="22"/>
        </w:rPr>
        <w:t> </w:t>
      </w:r>
      <w:r>
        <w:rPr>
          <w:sz w:val="22"/>
        </w:rPr>
        <w:t>por</w:t>
      </w:r>
      <w:r>
        <w:rPr>
          <w:spacing w:val="-6"/>
          <w:sz w:val="22"/>
        </w:rPr>
        <w:t> </w:t>
      </w:r>
      <w:r>
        <w:rPr>
          <w:sz w:val="22"/>
        </w:rPr>
        <w:t>cuanto</w:t>
      </w:r>
      <w:r>
        <w:rPr>
          <w:spacing w:val="-9"/>
          <w:sz w:val="22"/>
        </w:rPr>
        <w:t> </w:t>
      </w:r>
      <w:r>
        <w:rPr>
          <w:sz w:val="22"/>
        </w:rPr>
        <w:t>no</w:t>
      </w:r>
      <w:r>
        <w:rPr>
          <w:spacing w:val="-8"/>
          <w:sz w:val="22"/>
        </w:rPr>
        <w:t> </w:t>
      </w:r>
      <w:r>
        <w:rPr>
          <w:sz w:val="22"/>
        </w:rPr>
        <w:t>resulta</w:t>
      </w:r>
      <w:r>
        <w:rPr>
          <w:spacing w:val="-7"/>
          <w:sz w:val="22"/>
        </w:rPr>
        <w:t> </w:t>
      </w:r>
      <w:r>
        <w:rPr>
          <w:sz w:val="22"/>
        </w:rPr>
        <w:t>jurídica</w:t>
      </w:r>
      <w:r>
        <w:rPr>
          <w:spacing w:val="-7"/>
          <w:sz w:val="22"/>
        </w:rPr>
        <w:t> </w:t>
      </w:r>
      <w:r>
        <w:rPr>
          <w:sz w:val="22"/>
        </w:rPr>
        <w:t>ni</w:t>
      </w:r>
      <w:r>
        <w:rPr>
          <w:spacing w:val="-8"/>
          <w:sz w:val="22"/>
        </w:rPr>
        <w:t> </w:t>
      </w:r>
      <w:r>
        <w:rPr>
          <w:sz w:val="22"/>
        </w:rPr>
        <w:t>técnicamente</w:t>
      </w:r>
      <w:r>
        <w:rPr>
          <w:spacing w:val="-10"/>
          <w:sz w:val="22"/>
        </w:rPr>
        <w:t> </w:t>
      </w:r>
      <w:r>
        <w:rPr>
          <w:sz w:val="22"/>
        </w:rPr>
        <w:t>justificado</w:t>
      </w:r>
      <w:r>
        <w:rPr>
          <w:spacing w:val="-7"/>
          <w:sz w:val="22"/>
        </w:rPr>
        <w:t> </w:t>
      </w:r>
      <w:r>
        <w:rPr>
          <w:sz w:val="22"/>
        </w:rPr>
        <w:t>trasladar eventuales problemas de cumplimiento de exportaciones colombianas hacia la Unión Europea al producto de origen ecuatoriano, en el marco del certificado fitosanitario exigido para la importación.</w:t>
      </w:r>
    </w:p>
    <w:p>
      <w:pPr>
        <w:pStyle w:val="ListParagraph"/>
        <w:spacing w:after="0" w:line="240" w:lineRule="auto"/>
        <w:jc w:val="both"/>
        <w:rPr>
          <w:sz w:val="22"/>
        </w:rPr>
        <w:sectPr>
          <w:headerReference w:type="default" r:id="rId95"/>
          <w:footerReference w:type="default" r:id="rId96"/>
          <w:pgSz w:w="11900" w:h="16850"/>
          <w:pgMar w:header="370" w:footer="651" w:top="1380" w:bottom="84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79" w:hanging="567"/>
        <w:jc w:val="both"/>
        <w:rPr>
          <w:sz w:val="22"/>
        </w:rPr>
      </w:pPr>
      <w:r>
        <w:rPr>
          <w:sz w:val="22"/>
        </w:rPr>
        <w:t>La mencionada observación es importante porque muestra una aparente desconexión entre la medida y el riesgo realmente identificado. Si el fundamento no es claro, y tampoco existe un ARP específico por subpartida que justifique la exclusión territorial, la medida se aleja del estándar andino de justificación técnico-científica. Asimismo, cuando una restricción al comercio intracomunitario se apoya en consideraciones ambiguas de inocuidad o de reputación comercial, sin prueba directa e individualizada por</w:t>
      </w:r>
      <w:r>
        <w:rPr>
          <w:spacing w:val="-16"/>
          <w:sz w:val="22"/>
        </w:rPr>
        <w:t> </w:t>
      </w:r>
      <w:r>
        <w:rPr>
          <w:sz w:val="22"/>
        </w:rPr>
        <w:t>producto</w:t>
      </w:r>
      <w:r>
        <w:rPr>
          <w:spacing w:val="-15"/>
          <w:sz w:val="22"/>
        </w:rPr>
        <w:t> </w:t>
      </w:r>
      <w:r>
        <w:rPr>
          <w:sz w:val="22"/>
        </w:rPr>
        <w:t>y</w:t>
      </w:r>
      <w:r>
        <w:rPr>
          <w:spacing w:val="-15"/>
          <w:sz w:val="22"/>
        </w:rPr>
        <w:t> </w:t>
      </w:r>
      <w:r>
        <w:rPr>
          <w:sz w:val="22"/>
        </w:rPr>
        <w:t>por</w:t>
      </w:r>
      <w:r>
        <w:rPr>
          <w:spacing w:val="-16"/>
          <w:sz w:val="22"/>
        </w:rPr>
        <w:t> </w:t>
      </w:r>
      <w:r>
        <w:rPr>
          <w:sz w:val="22"/>
        </w:rPr>
        <w:t>vía</w:t>
      </w:r>
      <w:r>
        <w:rPr>
          <w:spacing w:val="-15"/>
          <w:sz w:val="22"/>
        </w:rPr>
        <w:t> </w:t>
      </w:r>
      <w:r>
        <w:rPr>
          <w:sz w:val="22"/>
        </w:rPr>
        <w:t>de</w:t>
      </w:r>
      <w:r>
        <w:rPr>
          <w:spacing w:val="-15"/>
          <w:sz w:val="22"/>
        </w:rPr>
        <w:t> </w:t>
      </w:r>
      <w:r>
        <w:rPr>
          <w:sz w:val="22"/>
        </w:rPr>
        <w:t>ingreso,</w:t>
      </w:r>
      <w:r>
        <w:rPr>
          <w:spacing w:val="-15"/>
          <w:sz w:val="22"/>
        </w:rPr>
        <w:t> </w:t>
      </w:r>
      <w:r>
        <w:rPr>
          <w:sz w:val="22"/>
        </w:rPr>
        <w:t>se</w:t>
      </w:r>
      <w:r>
        <w:rPr>
          <w:spacing w:val="-16"/>
          <w:sz w:val="22"/>
        </w:rPr>
        <w:t> </w:t>
      </w:r>
      <w:r>
        <w:rPr>
          <w:sz w:val="22"/>
        </w:rPr>
        <w:t>refuerza</w:t>
      </w:r>
      <w:r>
        <w:rPr>
          <w:spacing w:val="-15"/>
          <w:sz w:val="22"/>
        </w:rPr>
        <w:t> </w:t>
      </w:r>
      <w:r>
        <w:rPr>
          <w:sz w:val="22"/>
        </w:rPr>
        <w:t>el</w:t>
      </w:r>
      <w:r>
        <w:rPr>
          <w:spacing w:val="-15"/>
          <w:sz w:val="22"/>
        </w:rPr>
        <w:t> </w:t>
      </w:r>
      <w:r>
        <w:rPr>
          <w:sz w:val="22"/>
        </w:rPr>
        <w:t>indicio</w:t>
      </w:r>
      <w:r>
        <w:rPr>
          <w:spacing w:val="-16"/>
          <w:sz w:val="22"/>
        </w:rPr>
        <w:t> </w:t>
      </w:r>
      <w:r>
        <w:rPr>
          <w:sz w:val="22"/>
        </w:rPr>
        <w:t>de</w:t>
      </w:r>
      <w:r>
        <w:rPr>
          <w:spacing w:val="-15"/>
          <w:sz w:val="22"/>
        </w:rPr>
        <w:t> </w:t>
      </w:r>
      <w:r>
        <w:rPr>
          <w:sz w:val="22"/>
        </w:rPr>
        <w:t>que</w:t>
      </w:r>
      <w:r>
        <w:rPr>
          <w:spacing w:val="-15"/>
          <w:sz w:val="22"/>
        </w:rPr>
        <w:t> </w:t>
      </w:r>
      <w:r>
        <w:rPr>
          <w:sz w:val="22"/>
        </w:rPr>
        <w:t>la</w:t>
      </w:r>
      <w:r>
        <w:rPr>
          <w:spacing w:val="-15"/>
          <w:sz w:val="22"/>
        </w:rPr>
        <w:t> </w:t>
      </w:r>
      <w:r>
        <w:rPr>
          <w:sz w:val="22"/>
        </w:rPr>
        <w:t>medida</w:t>
      </w:r>
      <w:r>
        <w:rPr>
          <w:spacing w:val="-16"/>
          <w:sz w:val="22"/>
        </w:rPr>
        <w:t> </w:t>
      </w:r>
      <w:r>
        <w:rPr>
          <w:sz w:val="22"/>
        </w:rPr>
        <w:t>pueda</w:t>
      </w:r>
      <w:r>
        <w:rPr>
          <w:spacing w:val="-15"/>
          <w:sz w:val="22"/>
        </w:rPr>
        <w:t> </w:t>
      </w:r>
      <w:r>
        <w:rPr>
          <w:sz w:val="22"/>
        </w:rPr>
        <w:t>constituir una restricción encubierta, incompatible con los principios del </w:t>
      </w:r>
      <w:r>
        <w:rPr>
          <w:rFonts w:ascii="Arial" w:hAnsi="Arial"/>
          <w:i/>
          <w:sz w:val="22"/>
        </w:rPr>
        <w:t>Programa de Liberación</w:t>
      </w:r>
      <w:r>
        <w:rPr>
          <w:sz w:val="22"/>
        </w:rPr>
        <w:t>.</w:t>
      </w:r>
    </w:p>
    <w:p>
      <w:pPr>
        <w:pStyle w:val="ListParagraph"/>
        <w:numPr>
          <w:ilvl w:val="0"/>
          <w:numId w:val="50"/>
        </w:numPr>
        <w:tabs>
          <w:tab w:pos="1130" w:val="left" w:leader="none"/>
          <w:tab w:pos="1134" w:val="left" w:leader="none"/>
        </w:tabs>
        <w:spacing w:line="240" w:lineRule="auto" w:before="251" w:after="0"/>
        <w:ind w:left="1134" w:right="980" w:hanging="567"/>
        <w:jc w:val="both"/>
        <w:rPr>
          <w:sz w:val="22"/>
        </w:rPr>
      </w:pPr>
      <w:r>
        <w:rPr>
          <w:sz w:val="22"/>
        </w:rPr>
        <w:t>Por tanto, no se acreditó un ARP específico para la subpartida 0810.90.10.20 y la justificación adicional basada en LMR no resulta técnicamente convincente en el expediente; por ello, la medida es una restricción no sustentada conforme al derecho </w:t>
      </w:r>
      <w:r>
        <w:rPr>
          <w:spacing w:val="-2"/>
          <w:sz w:val="22"/>
        </w:rPr>
        <w:t>andino.</w:t>
      </w:r>
    </w:p>
    <w:p>
      <w:pPr>
        <w:pStyle w:val="BodyText"/>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Como</w:t>
      </w:r>
      <w:r>
        <w:rPr>
          <w:spacing w:val="-6"/>
          <w:sz w:val="22"/>
        </w:rPr>
        <w:t> </w:t>
      </w:r>
      <w:r>
        <w:rPr>
          <w:sz w:val="22"/>
        </w:rPr>
        <w:t>se</w:t>
      </w:r>
      <w:r>
        <w:rPr>
          <w:spacing w:val="-6"/>
          <w:sz w:val="22"/>
        </w:rPr>
        <w:t> </w:t>
      </w:r>
      <w:r>
        <w:rPr>
          <w:sz w:val="22"/>
        </w:rPr>
        <w:t>ha</w:t>
      </w:r>
      <w:r>
        <w:rPr>
          <w:spacing w:val="-9"/>
          <w:sz w:val="22"/>
        </w:rPr>
        <w:t> </w:t>
      </w:r>
      <w:r>
        <w:rPr>
          <w:sz w:val="22"/>
        </w:rPr>
        <w:t>podido</w:t>
      </w:r>
      <w:r>
        <w:rPr>
          <w:spacing w:val="-7"/>
          <w:sz w:val="22"/>
        </w:rPr>
        <w:t> </w:t>
      </w:r>
      <w:r>
        <w:rPr>
          <w:sz w:val="22"/>
        </w:rPr>
        <w:t>evidenciar,</w:t>
      </w:r>
      <w:r>
        <w:rPr>
          <w:spacing w:val="-5"/>
          <w:sz w:val="22"/>
        </w:rPr>
        <w:t> </w:t>
      </w:r>
      <w:r>
        <w:rPr>
          <w:sz w:val="22"/>
        </w:rPr>
        <w:t>luego</w:t>
      </w:r>
      <w:r>
        <w:rPr>
          <w:spacing w:val="-7"/>
          <w:sz w:val="22"/>
        </w:rPr>
        <w:t> </w:t>
      </w:r>
      <w:r>
        <w:rPr>
          <w:sz w:val="22"/>
        </w:rPr>
        <w:t>del</w:t>
      </w:r>
      <w:r>
        <w:rPr>
          <w:spacing w:val="-7"/>
          <w:sz w:val="22"/>
        </w:rPr>
        <w:t> </w:t>
      </w:r>
      <w:r>
        <w:rPr>
          <w:sz w:val="22"/>
        </w:rPr>
        <w:t>análisis</w:t>
      </w:r>
      <w:r>
        <w:rPr>
          <w:spacing w:val="-8"/>
          <w:sz w:val="22"/>
        </w:rPr>
        <w:t> </w:t>
      </w:r>
      <w:r>
        <w:rPr>
          <w:sz w:val="22"/>
        </w:rPr>
        <w:t>realizado,</w:t>
      </w:r>
      <w:r>
        <w:rPr>
          <w:spacing w:val="-5"/>
          <w:sz w:val="22"/>
        </w:rPr>
        <w:t> </w:t>
      </w:r>
      <w:r>
        <w:rPr>
          <w:sz w:val="22"/>
        </w:rPr>
        <w:t>la</w:t>
      </w:r>
      <w:r>
        <w:rPr>
          <w:spacing w:val="-6"/>
          <w:sz w:val="22"/>
        </w:rPr>
        <w:t> </w:t>
      </w:r>
      <w:r>
        <w:rPr>
          <w:sz w:val="22"/>
        </w:rPr>
        <w:t>SGCAN</w:t>
      </w:r>
      <w:r>
        <w:rPr>
          <w:spacing w:val="-7"/>
          <w:sz w:val="22"/>
        </w:rPr>
        <w:t> </w:t>
      </w:r>
      <w:r>
        <w:rPr>
          <w:sz w:val="22"/>
        </w:rPr>
        <w:t>ha</w:t>
      </w:r>
      <w:r>
        <w:rPr>
          <w:spacing w:val="-9"/>
          <w:sz w:val="22"/>
        </w:rPr>
        <w:t> </w:t>
      </w:r>
      <w:r>
        <w:rPr>
          <w:sz w:val="22"/>
        </w:rPr>
        <w:t>descartado</w:t>
      </w:r>
      <w:r>
        <w:rPr>
          <w:spacing w:val="-9"/>
          <w:sz w:val="22"/>
        </w:rPr>
        <w:t> </w:t>
      </w:r>
      <w:r>
        <w:rPr>
          <w:sz w:val="22"/>
        </w:rPr>
        <w:t>la existencia de</w:t>
      </w:r>
      <w:r>
        <w:rPr>
          <w:spacing w:val="-1"/>
          <w:sz w:val="22"/>
        </w:rPr>
        <w:t> </w:t>
      </w:r>
      <w:r>
        <w:rPr>
          <w:sz w:val="22"/>
        </w:rPr>
        <w:t>un</w:t>
      </w:r>
      <w:r>
        <w:rPr>
          <w:spacing w:val="-1"/>
          <w:sz w:val="22"/>
        </w:rPr>
        <w:t> </w:t>
      </w:r>
      <w:r>
        <w:rPr>
          <w:sz w:val="22"/>
        </w:rPr>
        <w:t>fundamento fitosanitario válido en la adopción de la medida restrictiva contenida en el</w:t>
      </w:r>
      <w:r>
        <w:rPr>
          <w:spacing w:val="-1"/>
          <w:sz w:val="22"/>
        </w:rPr>
        <w:t> </w:t>
      </w:r>
      <w:r>
        <w:rPr>
          <w:sz w:val="22"/>
        </w:rPr>
        <w:t>artículo</w:t>
      </w:r>
      <w:r>
        <w:rPr>
          <w:spacing w:val="-2"/>
          <w:sz w:val="22"/>
        </w:rPr>
        <w:t> </w:t>
      </w:r>
      <w:r>
        <w:rPr>
          <w:sz w:val="22"/>
        </w:rPr>
        <w:t>2 del Decreto 0170. No</w:t>
      </w:r>
      <w:r>
        <w:rPr>
          <w:spacing w:val="-2"/>
          <w:sz w:val="22"/>
        </w:rPr>
        <w:t> </w:t>
      </w:r>
      <w:r>
        <w:rPr>
          <w:sz w:val="22"/>
        </w:rPr>
        <w:t>obstante, a continuación, se procederá con el análisis sobre la incidencia de la medida en el comercio andino.</w:t>
      </w:r>
    </w:p>
    <w:p>
      <w:pPr>
        <w:pStyle w:val="ListParagraph"/>
        <w:numPr>
          <w:ilvl w:val="0"/>
          <w:numId w:val="50"/>
        </w:numPr>
        <w:tabs>
          <w:tab w:pos="1130" w:val="left" w:leader="none"/>
          <w:tab w:pos="1134" w:val="left" w:leader="none"/>
        </w:tabs>
        <w:spacing w:line="240" w:lineRule="auto" w:before="252" w:after="0"/>
        <w:ind w:left="1134" w:right="980" w:hanging="567"/>
        <w:jc w:val="both"/>
        <w:rPr>
          <w:sz w:val="22"/>
        </w:rPr>
      </w:pPr>
      <w:r>
        <w:rPr>
          <w:sz w:val="22"/>
        </w:rPr>
        <w:t>Para tal efecto, se procedió a revisar las importaciones ecuatorianas con base en la información aportada tanto por la República de Colombia como por la República del Ecuador.</w:t>
      </w:r>
      <w:r>
        <w:rPr>
          <w:spacing w:val="-4"/>
          <w:sz w:val="22"/>
        </w:rPr>
        <w:t> </w:t>
      </w:r>
      <w:r>
        <w:rPr>
          <w:sz w:val="22"/>
        </w:rPr>
        <w:t>En</w:t>
      </w:r>
      <w:r>
        <w:rPr>
          <w:spacing w:val="-3"/>
          <w:sz w:val="22"/>
        </w:rPr>
        <w:t> </w:t>
      </w:r>
      <w:r>
        <w:rPr>
          <w:sz w:val="22"/>
        </w:rPr>
        <w:t>atención</w:t>
      </w:r>
      <w:r>
        <w:rPr>
          <w:spacing w:val="-5"/>
          <w:sz w:val="22"/>
        </w:rPr>
        <w:t> </w:t>
      </w:r>
      <w:r>
        <w:rPr>
          <w:sz w:val="22"/>
        </w:rPr>
        <w:t>al</w:t>
      </w:r>
      <w:r>
        <w:rPr>
          <w:spacing w:val="-6"/>
          <w:sz w:val="22"/>
        </w:rPr>
        <w:t> </w:t>
      </w:r>
      <w:r>
        <w:rPr>
          <w:sz w:val="22"/>
        </w:rPr>
        <w:t>requerimiento</w:t>
      </w:r>
      <w:r>
        <w:rPr>
          <w:spacing w:val="-7"/>
          <w:sz w:val="22"/>
        </w:rPr>
        <w:t> </w:t>
      </w:r>
      <w:r>
        <w:rPr>
          <w:sz w:val="22"/>
        </w:rPr>
        <w:t>formulado</w:t>
      </w:r>
      <w:r>
        <w:rPr>
          <w:spacing w:val="-5"/>
          <w:sz w:val="22"/>
        </w:rPr>
        <w:t> </w:t>
      </w:r>
      <w:r>
        <w:rPr>
          <w:sz w:val="22"/>
        </w:rPr>
        <w:t>por</w:t>
      </w:r>
      <w:r>
        <w:rPr>
          <w:spacing w:val="-2"/>
          <w:sz w:val="22"/>
        </w:rPr>
        <w:t> </w:t>
      </w:r>
      <w:r>
        <w:rPr>
          <w:sz w:val="22"/>
        </w:rPr>
        <w:t>la</w:t>
      </w:r>
      <w:r>
        <w:rPr>
          <w:spacing w:val="-5"/>
          <w:sz w:val="22"/>
        </w:rPr>
        <w:t> </w:t>
      </w:r>
      <w:r>
        <w:rPr>
          <w:sz w:val="22"/>
        </w:rPr>
        <w:t>SGCAN,</w:t>
      </w:r>
      <w:r>
        <w:rPr>
          <w:spacing w:val="-4"/>
          <w:sz w:val="22"/>
        </w:rPr>
        <w:t> </w:t>
      </w:r>
      <w:r>
        <w:rPr>
          <w:sz w:val="22"/>
        </w:rPr>
        <w:t>se</w:t>
      </w:r>
      <w:r>
        <w:rPr>
          <w:spacing w:val="-5"/>
          <w:sz w:val="22"/>
        </w:rPr>
        <w:t> </w:t>
      </w:r>
      <w:r>
        <w:rPr>
          <w:sz w:val="22"/>
        </w:rPr>
        <w:t>obtuvo</w:t>
      </w:r>
      <w:r>
        <w:rPr>
          <w:spacing w:val="-3"/>
          <w:sz w:val="22"/>
        </w:rPr>
        <w:t> </w:t>
      </w:r>
      <w:r>
        <w:rPr>
          <w:sz w:val="22"/>
        </w:rPr>
        <w:t>información estadística</w:t>
      </w:r>
      <w:r>
        <w:rPr>
          <w:spacing w:val="-8"/>
          <w:sz w:val="22"/>
        </w:rPr>
        <w:t> </w:t>
      </w:r>
      <w:r>
        <w:rPr>
          <w:sz w:val="22"/>
        </w:rPr>
        <w:t>hasta</w:t>
      </w:r>
      <w:r>
        <w:rPr>
          <w:spacing w:val="-8"/>
          <w:sz w:val="22"/>
        </w:rPr>
        <w:t> </w:t>
      </w:r>
      <w:r>
        <w:rPr>
          <w:sz w:val="22"/>
        </w:rPr>
        <w:t>el</w:t>
      </w:r>
      <w:r>
        <w:rPr>
          <w:spacing w:val="-11"/>
          <w:sz w:val="22"/>
        </w:rPr>
        <w:t> </w:t>
      </w:r>
      <w:r>
        <w:rPr>
          <w:sz w:val="22"/>
        </w:rPr>
        <w:t>mes</w:t>
      </w:r>
      <w:r>
        <w:rPr>
          <w:spacing w:val="-10"/>
          <w:sz w:val="22"/>
        </w:rPr>
        <w:t> </w:t>
      </w:r>
      <w:r>
        <w:rPr>
          <w:sz w:val="22"/>
        </w:rPr>
        <w:t>de</w:t>
      </w:r>
      <w:r>
        <w:rPr>
          <w:spacing w:val="-8"/>
          <w:sz w:val="22"/>
        </w:rPr>
        <w:t> </w:t>
      </w:r>
      <w:r>
        <w:rPr>
          <w:sz w:val="22"/>
        </w:rPr>
        <w:t>marzo</w:t>
      </w:r>
      <w:r>
        <w:rPr>
          <w:spacing w:val="-7"/>
          <w:sz w:val="22"/>
        </w:rPr>
        <w:t> </w:t>
      </w:r>
      <w:r>
        <w:rPr>
          <w:sz w:val="22"/>
        </w:rPr>
        <w:t>de</w:t>
      </w:r>
      <w:r>
        <w:rPr>
          <w:spacing w:val="-8"/>
          <w:sz w:val="22"/>
        </w:rPr>
        <w:t> </w:t>
      </w:r>
      <w:r>
        <w:rPr>
          <w:sz w:val="22"/>
        </w:rPr>
        <w:t>2026,</w:t>
      </w:r>
      <w:r>
        <w:rPr>
          <w:spacing w:val="-7"/>
          <w:sz w:val="22"/>
        </w:rPr>
        <w:t> </w:t>
      </w:r>
      <w:r>
        <w:rPr>
          <w:sz w:val="22"/>
        </w:rPr>
        <w:t>de</w:t>
      </w:r>
      <w:r>
        <w:rPr>
          <w:spacing w:val="-8"/>
          <w:sz w:val="22"/>
        </w:rPr>
        <w:t> </w:t>
      </w:r>
      <w:r>
        <w:rPr>
          <w:sz w:val="22"/>
        </w:rPr>
        <w:t>la</w:t>
      </w:r>
      <w:r>
        <w:rPr>
          <w:spacing w:val="-8"/>
          <w:sz w:val="22"/>
        </w:rPr>
        <w:t> </w:t>
      </w:r>
      <w:r>
        <w:rPr>
          <w:sz w:val="22"/>
        </w:rPr>
        <w:t>cual</w:t>
      </w:r>
      <w:r>
        <w:rPr>
          <w:spacing w:val="-7"/>
          <w:sz w:val="22"/>
        </w:rPr>
        <w:t> </w:t>
      </w:r>
      <w:r>
        <w:rPr>
          <w:sz w:val="22"/>
        </w:rPr>
        <w:t>se</w:t>
      </w:r>
      <w:r>
        <w:rPr>
          <w:spacing w:val="-8"/>
          <w:sz w:val="22"/>
        </w:rPr>
        <w:t> </w:t>
      </w:r>
      <w:r>
        <w:rPr>
          <w:sz w:val="22"/>
        </w:rPr>
        <w:t>desprende</w:t>
      </w:r>
      <w:r>
        <w:rPr>
          <w:spacing w:val="-8"/>
          <w:sz w:val="22"/>
        </w:rPr>
        <w:t> </w:t>
      </w:r>
      <w:r>
        <w:rPr>
          <w:sz w:val="22"/>
        </w:rPr>
        <w:t>que</w:t>
      </w:r>
      <w:r>
        <w:rPr>
          <w:spacing w:val="-8"/>
          <w:sz w:val="22"/>
        </w:rPr>
        <w:t> </w:t>
      </w:r>
      <w:r>
        <w:rPr>
          <w:sz w:val="22"/>
        </w:rPr>
        <w:t>no</w:t>
      </w:r>
      <w:r>
        <w:rPr>
          <w:spacing w:val="-6"/>
          <w:sz w:val="22"/>
        </w:rPr>
        <w:t> </w:t>
      </w:r>
      <w:r>
        <w:rPr>
          <w:sz w:val="22"/>
        </w:rPr>
        <w:t>se</w:t>
      </w:r>
      <w:r>
        <w:rPr>
          <w:spacing w:val="-10"/>
          <w:sz w:val="22"/>
        </w:rPr>
        <w:t> </w:t>
      </w:r>
      <w:r>
        <w:rPr>
          <w:sz w:val="22"/>
        </w:rPr>
        <w:t>registran exportaciones durante dicho mes para ninguno de los productos agrícolas analizados, circunstancia relevante para la evaluación del efecto práctico de la medida durante su período de vigencia.</w:t>
      </w:r>
    </w:p>
    <w:p>
      <w:pPr>
        <w:pStyle w:val="BodyText"/>
        <w:spacing w:before="2"/>
      </w:pPr>
    </w:p>
    <w:p>
      <w:pPr>
        <w:pStyle w:val="Heading6"/>
        <w:spacing w:line="252" w:lineRule="exact" w:before="1"/>
        <w:ind w:left="308"/>
        <w:jc w:val="center"/>
      </w:pPr>
      <w:r>
        <w:rPr/>
        <w:t>Tabla</w:t>
      </w:r>
      <w:r>
        <w:rPr>
          <w:spacing w:val="-3"/>
        </w:rPr>
        <w:t> </w:t>
      </w:r>
      <w:r>
        <w:rPr/>
        <w:t>No.</w:t>
      </w:r>
      <w:r>
        <w:rPr>
          <w:spacing w:val="-2"/>
        </w:rPr>
        <w:t> </w:t>
      </w:r>
      <w:r>
        <w:rPr>
          <w:spacing w:val="-5"/>
        </w:rPr>
        <w:t>14</w:t>
      </w:r>
    </w:p>
    <w:p>
      <w:pPr>
        <w:spacing w:before="0"/>
        <w:ind w:left="2704" w:right="2396" w:firstLine="0"/>
        <w:jc w:val="center"/>
        <w:rPr>
          <w:rFonts w:ascii="Arial" w:hAnsi="Arial"/>
          <w:b/>
          <w:sz w:val="22"/>
        </w:rPr>
      </w:pPr>
      <w:r>
        <w:rPr>
          <w:rFonts w:ascii="Arial" w:hAnsi="Arial"/>
          <w:b/>
          <w:sz w:val="22"/>
        </w:rPr>
        <w:t>Exportaciones</w:t>
      </w:r>
      <w:r>
        <w:rPr>
          <w:rFonts w:ascii="Arial" w:hAnsi="Arial"/>
          <w:b/>
          <w:spacing w:val="-10"/>
          <w:sz w:val="22"/>
        </w:rPr>
        <w:t> </w:t>
      </w:r>
      <w:r>
        <w:rPr>
          <w:rFonts w:ascii="Arial" w:hAnsi="Arial"/>
          <w:b/>
          <w:sz w:val="22"/>
        </w:rPr>
        <w:t>ecuatorianas</w:t>
      </w:r>
      <w:r>
        <w:rPr>
          <w:rFonts w:ascii="Arial" w:hAnsi="Arial"/>
          <w:b/>
          <w:spacing w:val="-8"/>
          <w:sz w:val="22"/>
        </w:rPr>
        <w:t> </w:t>
      </w:r>
      <w:r>
        <w:rPr>
          <w:rFonts w:ascii="Arial" w:hAnsi="Arial"/>
          <w:b/>
          <w:sz w:val="22"/>
        </w:rPr>
        <w:t>de</w:t>
      </w:r>
      <w:r>
        <w:rPr>
          <w:rFonts w:ascii="Arial" w:hAnsi="Arial"/>
          <w:b/>
          <w:spacing w:val="-8"/>
          <w:sz w:val="22"/>
        </w:rPr>
        <w:t> </w:t>
      </w:r>
      <w:r>
        <w:rPr>
          <w:rFonts w:ascii="Arial" w:hAnsi="Arial"/>
          <w:b/>
          <w:sz w:val="22"/>
        </w:rPr>
        <w:t>productos</w:t>
      </w:r>
      <w:r>
        <w:rPr>
          <w:rFonts w:ascii="Arial" w:hAnsi="Arial"/>
          <w:b/>
          <w:spacing w:val="-10"/>
          <w:sz w:val="22"/>
        </w:rPr>
        <w:t> </w:t>
      </w:r>
      <w:r>
        <w:rPr>
          <w:rFonts w:ascii="Arial" w:hAnsi="Arial"/>
          <w:b/>
          <w:sz w:val="22"/>
        </w:rPr>
        <w:t>agrícolas Dólares FOB</w:t>
      </w:r>
    </w:p>
    <w:tbl>
      <w:tblPr>
        <w:tblW w:w="0" w:type="auto"/>
        <w:jc w:val="left"/>
        <w:tblInd w:w="23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95"/>
        <w:gridCol w:w="1354"/>
        <w:gridCol w:w="888"/>
        <w:gridCol w:w="1594"/>
      </w:tblGrid>
      <w:tr>
        <w:trPr>
          <w:trHeight w:val="184" w:hRule="atLeast"/>
        </w:trPr>
        <w:tc>
          <w:tcPr>
            <w:tcW w:w="1995" w:type="dxa"/>
            <w:shd w:val="clear" w:color="auto" w:fill="D1D1D1"/>
          </w:tcPr>
          <w:p>
            <w:pPr>
              <w:pStyle w:val="TableParagraph"/>
              <w:spacing w:line="163" w:lineRule="exact" w:before="1"/>
              <w:ind w:left="151"/>
              <w:rPr>
                <w:rFonts w:ascii="Arial"/>
                <w:b/>
                <w:sz w:val="16"/>
              </w:rPr>
            </w:pPr>
            <w:r>
              <w:rPr>
                <w:rFonts w:ascii="Arial"/>
                <w:b/>
                <w:sz w:val="16"/>
              </w:rPr>
              <w:t>PUERTO</w:t>
            </w:r>
            <w:r>
              <w:rPr>
                <w:rFonts w:ascii="Arial"/>
                <w:b/>
                <w:spacing w:val="-4"/>
                <w:sz w:val="16"/>
              </w:rPr>
              <w:t> </w:t>
            </w:r>
            <w:r>
              <w:rPr>
                <w:rFonts w:ascii="Arial"/>
                <w:b/>
                <w:sz w:val="16"/>
              </w:rPr>
              <w:t>DE</w:t>
            </w:r>
            <w:r>
              <w:rPr>
                <w:rFonts w:ascii="Arial"/>
                <w:b/>
                <w:spacing w:val="-3"/>
                <w:sz w:val="16"/>
              </w:rPr>
              <w:t> </w:t>
            </w:r>
            <w:r>
              <w:rPr>
                <w:rFonts w:ascii="Arial"/>
                <w:b/>
                <w:spacing w:val="-2"/>
                <w:sz w:val="16"/>
              </w:rPr>
              <w:t>DESTINO</w:t>
            </w:r>
          </w:p>
        </w:tc>
        <w:tc>
          <w:tcPr>
            <w:tcW w:w="1354" w:type="dxa"/>
            <w:shd w:val="clear" w:color="auto" w:fill="D1D1D1"/>
          </w:tcPr>
          <w:p>
            <w:pPr>
              <w:pStyle w:val="TableParagraph"/>
              <w:spacing w:line="163" w:lineRule="exact" w:before="1"/>
              <w:ind w:left="151"/>
              <w:rPr>
                <w:rFonts w:ascii="Arial"/>
                <w:b/>
                <w:sz w:val="16"/>
              </w:rPr>
            </w:pPr>
            <w:r>
              <w:rPr>
                <w:rFonts w:ascii="Arial"/>
                <w:b/>
                <w:spacing w:val="-2"/>
                <w:sz w:val="16"/>
              </w:rPr>
              <w:t>SUBPARTIDA</w:t>
            </w:r>
          </w:p>
        </w:tc>
        <w:tc>
          <w:tcPr>
            <w:tcW w:w="888" w:type="dxa"/>
            <w:shd w:val="clear" w:color="auto" w:fill="D1D1D1"/>
          </w:tcPr>
          <w:p>
            <w:pPr>
              <w:pStyle w:val="TableParagraph"/>
              <w:spacing w:line="163" w:lineRule="exact" w:before="1"/>
              <w:ind w:left="271"/>
              <w:rPr>
                <w:rFonts w:ascii="Arial"/>
                <w:b/>
                <w:sz w:val="16"/>
              </w:rPr>
            </w:pPr>
            <w:r>
              <w:rPr>
                <w:rFonts w:ascii="Arial"/>
                <w:b/>
                <w:spacing w:val="-5"/>
                <w:sz w:val="16"/>
              </w:rPr>
              <w:t>MES</w:t>
            </w:r>
          </w:p>
        </w:tc>
        <w:tc>
          <w:tcPr>
            <w:tcW w:w="1594" w:type="dxa"/>
            <w:shd w:val="clear" w:color="auto" w:fill="D1D1D1"/>
          </w:tcPr>
          <w:p>
            <w:pPr>
              <w:pStyle w:val="TableParagraph"/>
              <w:spacing w:line="163" w:lineRule="exact" w:before="1"/>
              <w:ind w:right="119"/>
              <w:jc w:val="right"/>
              <w:rPr>
                <w:rFonts w:ascii="Arial"/>
                <w:b/>
                <w:sz w:val="16"/>
              </w:rPr>
            </w:pPr>
            <w:r>
              <w:rPr>
                <w:rFonts w:ascii="Arial"/>
                <w:b/>
                <w:sz w:val="16"/>
              </w:rPr>
              <w:t>2026</w:t>
            </w:r>
            <w:r>
              <w:rPr>
                <w:rFonts w:ascii="Arial"/>
                <w:b/>
                <w:spacing w:val="-4"/>
                <w:sz w:val="16"/>
              </w:rPr>
              <w:t> </w:t>
            </w:r>
            <w:r>
              <w:rPr>
                <w:rFonts w:ascii="Arial"/>
                <w:b/>
                <w:sz w:val="16"/>
              </w:rPr>
              <w:t>hasta</w:t>
            </w:r>
            <w:r>
              <w:rPr>
                <w:rFonts w:ascii="Arial"/>
                <w:b/>
                <w:spacing w:val="-4"/>
                <w:sz w:val="16"/>
              </w:rPr>
              <w:t> </w:t>
            </w:r>
            <w:r>
              <w:rPr>
                <w:rFonts w:ascii="Arial"/>
                <w:b/>
                <w:spacing w:val="-2"/>
                <w:sz w:val="16"/>
              </w:rPr>
              <w:t>marzo</w:t>
            </w:r>
          </w:p>
        </w:tc>
      </w:tr>
      <w:tr>
        <w:trPr>
          <w:trHeight w:val="184" w:hRule="atLeast"/>
        </w:trPr>
        <w:tc>
          <w:tcPr>
            <w:tcW w:w="1995" w:type="dxa"/>
          </w:tcPr>
          <w:p>
            <w:pPr>
              <w:pStyle w:val="TableParagraph"/>
              <w:spacing w:line="163" w:lineRule="exact" w:before="1"/>
              <w:ind w:left="107"/>
              <w:rPr>
                <w:rFonts w:ascii="Arial"/>
                <w:b/>
                <w:sz w:val="16"/>
              </w:rPr>
            </w:pPr>
            <w:r>
              <w:rPr>
                <w:rFonts w:ascii="Arial"/>
                <w:b/>
                <w:spacing w:val="-2"/>
                <w:sz w:val="16"/>
              </w:rPr>
              <w:t>IPIALES</w:t>
            </w:r>
          </w:p>
        </w:tc>
        <w:tc>
          <w:tcPr>
            <w:tcW w:w="1354" w:type="dxa"/>
          </w:tcPr>
          <w:p>
            <w:pPr>
              <w:pStyle w:val="TableParagraph"/>
              <w:spacing w:line="163" w:lineRule="exact" w:before="1"/>
              <w:ind w:left="107"/>
              <w:rPr>
                <w:rFonts w:ascii="Arial"/>
                <w:b/>
                <w:sz w:val="16"/>
              </w:rPr>
            </w:pPr>
            <w:r>
              <w:rPr>
                <w:rFonts w:ascii="Arial"/>
                <w:b/>
                <w:spacing w:val="-2"/>
                <w:sz w:val="16"/>
              </w:rPr>
              <w:t>0702000000</w:t>
            </w:r>
          </w:p>
        </w:tc>
        <w:tc>
          <w:tcPr>
            <w:tcW w:w="888" w:type="dxa"/>
          </w:tcPr>
          <w:p>
            <w:pPr>
              <w:pStyle w:val="TableParagraph"/>
              <w:spacing w:line="163" w:lineRule="exact" w:before="1"/>
              <w:ind w:left="107"/>
              <w:rPr>
                <w:sz w:val="16"/>
              </w:rPr>
            </w:pPr>
            <w:r>
              <w:rPr>
                <w:spacing w:val="-2"/>
                <w:sz w:val="16"/>
              </w:rPr>
              <w:t>enero</w:t>
            </w:r>
          </w:p>
        </w:tc>
        <w:tc>
          <w:tcPr>
            <w:tcW w:w="1594" w:type="dxa"/>
          </w:tcPr>
          <w:p>
            <w:pPr>
              <w:pStyle w:val="TableParagraph"/>
              <w:spacing w:line="163" w:lineRule="exact" w:before="1"/>
              <w:ind w:right="99"/>
              <w:jc w:val="right"/>
              <w:rPr>
                <w:sz w:val="16"/>
              </w:rPr>
            </w:pPr>
            <w:r>
              <w:rPr>
                <w:spacing w:val="-2"/>
                <w:sz w:val="16"/>
              </w:rPr>
              <w:t>2,000</w:t>
            </w:r>
          </w:p>
        </w:tc>
      </w:tr>
      <w:tr>
        <w:trPr>
          <w:trHeight w:val="182" w:hRule="atLeast"/>
        </w:trPr>
        <w:tc>
          <w:tcPr>
            <w:tcW w:w="1995" w:type="dxa"/>
          </w:tcPr>
          <w:p>
            <w:pPr>
              <w:pStyle w:val="TableParagraph"/>
              <w:rPr>
                <w:rFonts w:ascii="Times New Roman"/>
                <w:sz w:val="12"/>
              </w:rPr>
            </w:pPr>
          </w:p>
        </w:tc>
        <w:tc>
          <w:tcPr>
            <w:tcW w:w="1354" w:type="dxa"/>
          </w:tcPr>
          <w:p>
            <w:pPr>
              <w:pStyle w:val="TableParagraph"/>
              <w:rPr>
                <w:rFonts w:ascii="Times New Roman"/>
                <w:sz w:val="12"/>
              </w:rPr>
            </w:pPr>
          </w:p>
        </w:tc>
        <w:tc>
          <w:tcPr>
            <w:tcW w:w="888" w:type="dxa"/>
          </w:tcPr>
          <w:p>
            <w:pPr>
              <w:pStyle w:val="TableParagraph"/>
              <w:spacing w:line="162" w:lineRule="exact"/>
              <w:ind w:left="107"/>
              <w:rPr>
                <w:sz w:val="16"/>
              </w:rPr>
            </w:pPr>
            <w:r>
              <w:rPr>
                <w:spacing w:val="-2"/>
                <w:sz w:val="16"/>
              </w:rPr>
              <w:t>febrero</w:t>
            </w:r>
          </w:p>
        </w:tc>
        <w:tc>
          <w:tcPr>
            <w:tcW w:w="1594" w:type="dxa"/>
          </w:tcPr>
          <w:p>
            <w:pPr>
              <w:pStyle w:val="TableParagraph"/>
              <w:spacing w:line="162" w:lineRule="exact"/>
              <w:ind w:right="99"/>
              <w:jc w:val="right"/>
              <w:rPr>
                <w:sz w:val="16"/>
              </w:rPr>
            </w:pPr>
            <w:r>
              <w:rPr>
                <w:spacing w:val="-2"/>
                <w:sz w:val="16"/>
              </w:rPr>
              <w:t>1,770</w:t>
            </w:r>
          </w:p>
        </w:tc>
      </w:tr>
      <w:tr>
        <w:trPr>
          <w:trHeight w:val="184" w:hRule="atLeast"/>
        </w:trPr>
        <w:tc>
          <w:tcPr>
            <w:tcW w:w="1995" w:type="dxa"/>
          </w:tcPr>
          <w:p>
            <w:pPr>
              <w:pStyle w:val="TableParagraph"/>
              <w:rPr>
                <w:rFonts w:ascii="Times New Roman"/>
                <w:sz w:val="12"/>
              </w:rPr>
            </w:pPr>
          </w:p>
        </w:tc>
        <w:tc>
          <w:tcPr>
            <w:tcW w:w="1354" w:type="dxa"/>
          </w:tcPr>
          <w:p>
            <w:pPr>
              <w:pStyle w:val="TableParagraph"/>
              <w:spacing w:line="163" w:lineRule="exact" w:before="1"/>
              <w:ind w:left="107"/>
              <w:rPr>
                <w:rFonts w:ascii="Arial"/>
                <w:b/>
                <w:sz w:val="16"/>
              </w:rPr>
            </w:pPr>
            <w:r>
              <w:rPr>
                <w:rFonts w:ascii="Arial"/>
                <w:b/>
                <w:spacing w:val="-2"/>
                <w:sz w:val="16"/>
              </w:rPr>
              <w:t>0713339900</w:t>
            </w:r>
          </w:p>
        </w:tc>
        <w:tc>
          <w:tcPr>
            <w:tcW w:w="888" w:type="dxa"/>
          </w:tcPr>
          <w:p>
            <w:pPr>
              <w:pStyle w:val="TableParagraph"/>
              <w:spacing w:line="163" w:lineRule="exact" w:before="1"/>
              <w:ind w:left="107"/>
              <w:rPr>
                <w:sz w:val="16"/>
              </w:rPr>
            </w:pPr>
            <w:r>
              <w:rPr>
                <w:spacing w:val="-2"/>
                <w:sz w:val="16"/>
              </w:rPr>
              <w:t>enero</w:t>
            </w:r>
          </w:p>
        </w:tc>
        <w:tc>
          <w:tcPr>
            <w:tcW w:w="1594" w:type="dxa"/>
          </w:tcPr>
          <w:p>
            <w:pPr>
              <w:pStyle w:val="TableParagraph"/>
              <w:spacing w:line="163" w:lineRule="exact" w:before="1"/>
              <w:ind w:right="98"/>
              <w:jc w:val="right"/>
              <w:rPr>
                <w:sz w:val="16"/>
              </w:rPr>
            </w:pPr>
            <w:r>
              <w:rPr>
                <w:spacing w:val="-2"/>
                <w:sz w:val="16"/>
              </w:rPr>
              <w:t>580,991</w:t>
            </w:r>
          </w:p>
        </w:tc>
      </w:tr>
      <w:tr>
        <w:trPr>
          <w:trHeight w:val="184" w:hRule="atLeast"/>
        </w:trPr>
        <w:tc>
          <w:tcPr>
            <w:tcW w:w="1995" w:type="dxa"/>
          </w:tcPr>
          <w:p>
            <w:pPr>
              <w:pStyle w:val="TableParagraph"/>
              <w:rPr>
                <w:rFonts w:ascii="Times New Roman"/>
                <w:sz w:val="12"/>
              </w:rPr>
            </w:pPr>
          </w:p>
        </w:tc>
        <w:tc>
          <w:tcPr>
            <w:tcW w:w="1354" w:type="dxa"/>
          </w:tcPr>
          <w:p>
            <w:pPr>
              <w:pStyle w:val="TableParagraph"/>
              <w:rPr>
                <w:rFonts w:ascii="Times New Roman"/>
                <w:sz w:val="12"/>
              </w:rPr>
            </w:pPr>
          </w:p>
        </w:tc>
        <w:tc>
          <w:tcPr>
            <w:tcW w:w="888" w:type="dxa"/>
          </w:tcPr>
          <w:p>
            <w:pPr>
              <w:pStyle w:val="TableParagraph"/>
              <w:spacing w:line="163" w:lineRule="exact" w:before="1"/>
              <w:ind w:left="107"/>
              <w:rPr>
                <w:sz w:val="16"/>
              </w:rPr>
            </w:pPr>
            <w:r>
              <w:rPr>
                <w:spacing w:val="-2"/>
                <w:sz w:val="16"/>
              </w:rPr>
              <w:t>febrero</w:t>
            </w:r>
          </w:p>
        </w:tc>
        <w:tc>
          <w:tcPr>
            <w:tcW w:w="1594" w:type="dxa"/>
          </w:tcPr>
          <w:p>
            <w:pPr>
              <w:pStyle w:val="TableParagraph"/>
              <w:spacing w:line="163" w:lineRule="exact" w:before="1"/>
              <w:ind w:right="98"/>
              <w:jc w:val="right"/>
              <w:rPr>
                <w:sz w:val="16"/>
              </w:rPr>
            </w:pPr>
            <w:r>
              <w:rPr>
                <w:spacing w:val="-2"/>
                <w:sz w:val="16"/>
              </w:rPr>
              <w:t>116,888</w:t>
            </w:r>
          </w:p>
        </w:tc>
      </w:tr>
      <w:tr>
        <w:trPr>
          <w:trHeight w:val="184" w:hRule="atLeast"/>
        </w:trPr>
        <w:tc>
          <w:tcPr>
            <w:tcW w:w="1995" w:type="dxa"/>
          </w:tcPr>
          <w:p>
            <w:pPr>
              <w:pStyle w:val="TableParagraph"/>
              <w:rPr>
                <w:rFonts w:ascii="Times New Roman"/>
                <w:sz w:val="12"/>
              </w:rPr>
            </w:pPr>
          </w:p>
        </w:tc>
        <w:tc>
          <w:tcPr>
            <w:tcW w:w="1354" w:type="dxa"/>
          </w:tcPr>
          <w:p>
            <w:pPr>
              <w:pStyle w:val="TableParagraph"/>
              <w:spacing w:line="163" w:lineRule="exact" w:before="1"/>
              <w:ind w:left="107"/>
              <w:rPr>
                <w:rFonts w:ascii="Arial"/>
                <w:b/>
                <w:sz w:val="16"/>
              </w:rPr>
            </w:pPr>
            <w:r>
              <w:rPr>
                <w:rFonts w:ascii="Arial"/>
                <w:b/>
                <w:spacing w:val="-2"/>
                <w:sz w:val="16"/>
              </w:rPr>
              <w:t>0803101000</w:t>
            </w:r>
          </w:p>
        </w:tc>
        <w:tc>
          <w:tcPr>
            <w:tcW w:w="888" w:type="dxa"/>
          </w:tcPr>
          <w:p>
            <w:pPr>
              <w:pStyle w:val="TableParagraph"/>
              <w:spacing w:line="163" w:lineRule="exact" w:before="1"/>
              <w:ind w:left="107"/>
              <w:rPr>
                <w:sz w:val="16"/>
              </w:rPr>
            </w:pPr>
            <w:r>
              <w:rPr>
                <w:spacing w:val="-2"/>
                <w:sz w:val="16"/>
              </w:rPr>
              <w:t>enero</w:t>
            </w:r>
          </w:p>
        </w:tc>
        <w:tc>
          <w:tcPr>
            <w:tcW w:w="1594" w:type="dxa"/>
          </w:tcPr>
          <w:p>
            <w:pPr>
              <w:pStyle w:val="TableParagraph"/>
              <w:spacing w:line="163" w:lineRule="exact" w:before="1"/>
              <w:ind w:right="98"/>
              <w:jc w:val="right"/>
              <w:rPr>
                <w:sz w:val="16"/>
              </w:rPr>
            </w:pPr>
            <w:r>
              <w:rPr>
                <w:spacing w:val="-2"/>
                <w:sz w:val="16"/>
              </w:rPr>
              <w:t>283,837</w:t>
            </w:r>
          </w:p>
        </w:tc>
      </w:tr>
      <w:tr>
        <w:trPr>
          <w:trHeight w:val="184" w:hRule="atLeast"/>
        </w:trPr>
        <w:tc>
          <w:tcPr>
            <w:tcW w:w="1995" w:type="dxa"/>
          </w:tcPr>
          <w:p>
            <w:pPr>
              <w:pStyle w:val="TableParagraph"/>
              <w:rPr>
                <w:rFonts w:ascii="Times New Roman"/>
                <w:sz w:val="12"/>
              </w:rPr>
            </w:pPr>
          </w:p>
        </w:tc>
        <w:tc>
          <w:tcPr>
            <w:tcW w:w="1354" w:type="dxa"/>
          </w:tcPr>
          <w:p>
            <w:pPr>
              <w:pStyle w:val="TableParagraph"/>
              <w:rPr>
                <w:rFonts w:ascii="Times New Roman"/>
                <w:sz w:val="12"/>
              </w:rPr>
            </w:pPr>
          </w:p>
        </w:tc>
        <w:tc>
          <w:tcPr>
            <w:tcW w:w="888" w:type="dxa"/>
          </w:tcPr>
          <w:p>
            <w:pPr>
              <w:pStyle w:val="TableParagraph"/>
              <w:spacing w:line="163" w:lineRule="exact" w:before="1"/>
              <w:ind w:left="107"/>
              <w:rPr>
                <w:sz w:val="16"/>
              </w:rPr>
            </w:pPr>
            <w:r>
              <w:rPr>
                <w:spacing w:val="-2"/>
                <w:sz w:val="16"/>
              </w:rPr>
              <w:t>febrero</w:t>
            </w:r>
          </w:p>
        </w:tc>
        <w:tc>
          <w:tcPr>
            <w:tcW w:w="1594" w:type="dxa"/>
          </w:tcPr>
          <w:p>
            <w:pPr>
              <w:pStyle w:val="TableParagraph"/>
              <w:spacing w:line="163" w:lineRule="exact" w:before="1"/>
              <w:ind w:right="98"/>
              <w:jc w:val="right"/>
              <w:rPr>
                <w:sz w:val="16"/>
              </w:rPr>
            </w:pPr>
            <w:r>
              <w:rPr>
                <w:spacing w:val="-2"/>
                <w:sz w:val="16"/>
              </w:rPr>
              <w:t>311,097</w:t>
            </w:r>
          </w:p>
        </w:tc>
      </w:tr>
      <w:tr>
        <w:trPr>
          <w:trHeight w:val="182" w:hRule="atLeast"/>
        </w:trPr>
        <w:tc>
          <w:tcPr>
            <w:tcW w:w="1995" w:type="dxa"/>
          </w:tcPr>
          <w:p>
            <w:pPr>
              <w:pStyle w:val="TableParagraph"/>
              <w:rPr>
                <w:rFonts w:ascii="Times New Roman"/>
                <w:sz w:val="12"/>
              </w:rPr>
            </w:pPr>
          </w:p>
        </w:tc>
        <w:tc>
          <w:tcPr>
            <w:tcW w:w="1354" w:type="dxa"/>
          </w:tcPr>
          <w:p>
            <w:pPr>
              <w:pStyle w:val="TableParagraph"/>
              <w:spacing w:line="162" w:lineRule="exact"/>
              <w:ind w:left="107"/>
              <w:rPr>
                <w:rFonts w:ascii="Arial"/>
                <w:b/>
                <w:sz w:val="16"/>
              </w:rPr>
            </w:pPr>
            <w:r>
              <w:rPr>
                <w:rFonts w:ascii="Arial"/>
                <w:b/>
                <w:spacing w:val="-2"/>
                <w:sz w:val="16"/>
              </w:rPr>
              <w:t>0803102000</w:t>
            </w:r>
          </w:p>
        </w:tc>
        <w:tc>
          <w:tcPr>
            <w:tcW w:w="888" w:type="dxa"/>
          </w:tcPr>
          <w:p>
            <w:pPr>
              <w:pStyle w:val="TableParagraph"/>
              <w:spacing w:line="162" w:lineRule="exact"/>
              <w:ind w:left="107"/>
              <w:rPr>
                <w:sz w:val="16"/>
              </w:rPr>
            </w:pPr>
            <w:r>
              <w:rPr>
                <w:spacing w:val="-2"/>
                <w:sz w:val="16"/>
              </w:rPr>
              <w:t>enero</w:t>
            </w:r>
          </w:p>
        </w:tc>
        <w:tc>
          <w:tcPr>
            <w:tcW w:w="1594" w:type="dxa"/>
          </w:tcPr>
          <w:p>
            <w:pPr>
              <w:pStyle w:val="TableParagraph"/>
              <w:spacing w:line="162" w:lineRule="exact"/>
              <w:ind w:right="98"/>
              <w:jc w:val="right"/>
              <w:rPr>
                <w:sz w:val="16"/>
              </w:rPr>
            </w:pPr>
            <w:r>
              <w:rPr>
                <w:spacing w:val="-2"/>
                <w:sz w:val="16"/>
              </w:rPr>
              <w:t>13,200</w:t>
            </w:r>
          </w:p>
        </w:tc>
      </w:tr>
      <w:tr>
        <w:trPr>
          <w:trHeight w:val="184" w:hRule="atLeast"/>
        </w:trPr>
        <w:tc>
          <w:tcPr>
            <w:tcW w:w="1995" w:type="dxa"/>
          </w:tcPr>
          <w:p>
            <w:pPr>
              <w:pStyle w:val="TableParagraph"/>
              <w:rPr>
                <w:rFonts w:ascii="Times New Roman"/>
                <w:sz w:val="12"/>
              </w:rPr>
            </w:pPr>
          </w:p>
        </w:tc>
        <w:tc>
          <w:tcPr>
            <w:tcW w:w="1354" w:type="dxa"/>
          </w:tcPr>
          <w:p>
            <w:pPr>
              <w:pStyle w:val="TableParagraph"/>
              <w:rPr>
                <w:rFonts w:ascii="Times New Roman"/>
                <w:sz w:val="12"/>
              </w:rPr>
            </w:pPr>
          </w:p>
        </w:tc>
        <w:tc>
          <w:tcPr>
            <w:tcW w:w="888" w:type="dxa"/>
          </w:tcPr>
          <w:p>
            <w:pPr>
              <w:pStyle w:val="TableParagraph"/>
              <w:spacing w:line="163" w:lineRule="exact" w:before="1"/>
              <w:ind w:left="107"/>
              <w:rPr>
                <w:sz w:val="16"/>
              </w:rPr>
            </w:pPr>
            <w:r>
              <w:rPr>
                <w:spacing w:val="-2"/>
                <w:sz w:val="16"/>
              </w:rPr>
              <w:t>febrero</w:t>
            </w:r>
          </w:p>
        </w:tc>
        <w:tc>
          <w:tcPr>
            <w:tcW w:w="1594" w:type="dxa"/>
          </w:tcPr>
          <w:p>
            <w:pPr>
              <w:pStyle w:val="TableParagraph"/>
              <w:spacing w:line="163" w:lineRule="exact" w:before="1"/>
              <w:ind w:right="98"/>
              <w:jc w:val="right"/>
              <w:rPr>
                <w:sz w:val="16"/>
              </w:rPr>
            </w:pPr>
            <w:r>
              <w:rPr>
                <w:spacing w:val="-2"/>
                <w:sz w:val="16"/>
              </w:rPr>
              <w:t>11,750</w:t>
            </w:r>
          </w:p>
        </w:tc>
      </w:tr>
      <w:tr>
        <w:trPr>
          <w:trHeight w:val="184" w:hRule="atLeast"/>
        </w:trPr>
        <w:tc>
          <w:tcPr>
            <w:tcW w:w="1995" w:type="dxa"/>
          </w:tcPr>
          <w:p>
            <w:pPr>
              <w:pStyle w:val="TableParagraph"/>
              <w:rPr>
                <w:rFonts w:ascii="Times New Roman"/>
                <w:sz w:val="12"/>
              </w:rPr>
            </w:pPr>
          </w:p>
        </w:tc>
        <w:tc>
          <w:tcPr>
            <w:tcW w:w="1354" w:type="dxa"/>
          </w:tcPr>
          <w:p>
            <w:pPr>
              <w:pStyle w:val="TableParagraph"/>
              <w:spacing w:line="163" w:lineRule="exact" w:before="1"/>
              <w:ind w:left="107"/>
              <w:rPr>
                <w:rFonts w:ascii="Arial"/>
                <w:b/>
                <w:sz w:val="16"/>
              </w:rPr>
            </w:pPr>
            <w:r>
              <w:rPr>
                <w:rFonts w:ascii="Arial"/>
                <w:b/>
                <w:spacing w:val="-2"/>
                <w:sz w:val="16"/>
              </w:rPr>
              <w:t>0803901200</w:t>
            </w:r>
          </w:p>
        </w:tc>
        <w:tc>
          <w:tcPr>
            <w:tcW w:w="888" w:type="dxa"/>
          </w:tcPr>
          <w:p>
            <w:pPr>
              <w:pStyle w:val="TableParagraph"/>
              <w:spacing w:line="163" w:lineRule="exact" w:before="1"/>
              <w:ind w:left="107"/>
              <w:rPr>
                <w:sz w:val="16"/>
              </w:rPr>
            </w:pPr>
            <w:r>
              <w:rPr>
                <w:spacing w:val="-2"/>
                <w:sz w:val="16"/>
              </w:rPr>
              <w:t>enero</w:t>
            </w:r>
          </w:p>
        </w:tc>
        <w:tc>
          <w:tcPr>
            <w:tcW w:w="1594" w:type="dxa"/>
          </w:tcPr>
          <w:p>
            <w:pPr>
              <w:pStyle w:val="TableParagraph"/>
              <w:spacing w:line="163" w:lineRule="exact" w:before="1"/>
              <w:ind w:right="98"/>
              <w:jc w:val="right"/>
              <w:rPr>
                <w:sz w:val="16"/>
              </w:rPr>
            </w:pPr>
            <w:r>
              <w:rPr>
                <w:spacing w:val="-2"/>
                <w:sz w:val="16"/>
              </w:rPr>
              <w:t>13,672</w:t>
            </w:r>
          </w:p>
        </w:tc>
      </w:tr>
      <w:tr>
        <w:trPr>
          <w:trHeight w:val="185" w:hRule="atLeast"/>
        </w:trPr>
        <w:tc>
          <w:tcPr>
            <w:tcW w:w="1995" w:type="dxa"/>
          </w:tcPr>
          <w:p>
            <w:pPr>
              <w:pStyle w:val="TableParagraph"/>
              <w:rPr>
                <w:rFonts w:ascii="Times New Roman"/>
                <w:sz w:val="12"/>
              </w:rPr>
            </w:pPr>
          </w:p>
        </w:tc>
        <w:tc>
          <w:tcPr>
            <w:tcW w:w="1354" w:type="dxa"/>
          </w:tcPr>
          <w:p>
            <w:pPr>
              <w:pStyle w:val="TableParagraph"/>
              <w:rPr>
                <w:rFonts w:ascii="Times New Roman"/>
                <w:sz w:val="12"/>
              </w:rPr>
            </w:pPr>
          </w:p>
        </w:tc>
        <w:tc>
          <w:tcPr>
            <w:tcW w:w="888" w:type="dxa"/>
          </w:tcPr>
          <w:p>
            <w:pPr>
              <w:pStyle w:val="TableParagraph"/>
              <w:spacing w:line="163" w:lineRule="exact" w:before="1"/>
              <w:ind w:left="107"/>
              <w:rPr>
                <w:sz w:val="16"/>
              </w:rPr>
            </w:pPr>
            <w:r>
              <w:rPr>
                <w:spacing w:val="-2"/>
                <w:sz w:val="16"/>
              </w:rPr>
              <w:t>febrero</w:t>
            </w:r>
          </w:p>
        </w:tc>
        <w:tc>
          <w:tcPr>
            <w:tcW w:w="1594" w:type="dxa"/>
          </w:tcPr>
          <w:p>
            <w:pPr>
              <w:pStyle w:val="TableParagraph"/>
              <w:spacing w:line="163" w:lineRule="exact" w:before="1"/>
              <w:ind w:right="99"/>
              <w:jc w:val="right"/>
              <w:rPr>
                <w:sz w:val="16"/>
              </w:rPr>
            </w:pPr>
            <w:r>
              <w:rPr>
                <w:spacing w:val="-2"/>
                <w:sz w:val="16"/>
              </w:rPr>
              <w:t>7,183</w:t>
            </w:r>
          </w:p>
        </w:tc>
      </w:tr>
      <w:tr>
        <w:trPr>
          <w:trHeight w:val="184" w:hRule="atLeast"/>
        </w:trPr>
        <w:tc>
          <w:tcPr>
            <w:tcW w:w="1995" w:type="dxa"/>
          </w:tcPr>
          <w:p>
            <w:pPr>
              <w:pStyle w:val="TableParagraph"/>
              <w:rPr>
                <w:rFonts w:ascii="Times New Roman"/>
                <w:sz w:val="12"/>
              </w:rPr>
            </w:pPr>
          </w:p>
        </w:tc>
        <w:tc>
          <w:tcPr>
            <w:tcW w:w="1354" w:type="dxa"/>
          </w:tcPr>
          <w:p>
            <w:pPr>
              <w:pStyle w:val="TableParagraph"/>
              <w:spacing w:line="163" w:lineRule="exact" w:before="1"/>
              <w:ind w:left="107"/>
              <w:rPr>
                <w:rFonts w:ascii="Arial"/>
                <w:b/>
                <w:sz w:val="16"/>
              </w:rPr>
            </w:pPr>
            <w:r>
              <w:rPr>
                <w:rFonts w:ascii="Arial"/>
                <w:b/>
                <w:spacing w:val="-2"/>
                <w:sz w:val="16"/>
              </w:rPr>
              <w:t>0804400000</w:t>
            </w:r>
          </w:p>
        </w:tc>
        <w:tc>
          <w:tcPr>
            <w:tcW w:w="888" w:type="dxa"/>
          </w:tcPr>
          <w:p>
            <w:pPr>
              <w:pStyle w:val="TableParagraph"/>
              <w:spacing w:line="163" w:lineRule="exact" w:before="1"/>
              <w:ind w:left="107"/>
              <w:rPr>
                <w:sz w:val="16"/>
              </w:rPr>
            </w:pPr>
            <w:r>
              <w:rPr>
                <w:spacing w:val="-2"/>
                <w:sz w:val="16"/>
              </w:rPr>
              <w:t>enero</w:t>
            </w:r>
          </w:p>
        </w:tc>
        <w:tc>
          <w:tcPr>
            <w:tcW w:w="1594" w:type="dxa"/>
          </w:tcPr>
          <w:p>
            <w:pPr>
              <w:pStyle w:val="TableParagraph"/>
              <w:spacing w:line="163" w:lineRule="exact" w:before="1"/>
              <w:ind w:right="98"/>
              <w:jc w:val="right"/>
              <w:rPr>
                <w:sz w:val="16"/>
              </w:rPr>
            </w:pPr>
            <w:r>
              <w:rPr>
                <w:spacing w:val="-2"/>
                <w:sz w:val="16"/>
              </w:rPr>
              <w:t>21,720</w:t>
            </w:r>
          </w:p>
        </w:tc>
      </w:tr>
      <w:tr>
        <w:trPr>
          <w:trHeight w:val="184" w:hRule="atLeast"/>
        </w:trPr>
        <w:tc>
          <w:tcPr>
            <w:tcW w:w="1995" w:type="dxa"/>
          </w:tcPr>
          <w:p>
            <w:pPr>
              <w:pStyle w:val="TableParagraph"/>
              <w:rPr>
                <w:rFonts w:ascii="Times New Roman"/>
                <w:sz w:val="12"/>
              </w:rPr>
            </w:pPr>
          </w:p>
        </w:tc>
        <w:tc>
          <w:tcPr>
            <w:tcW w:w="1354" w:type="dxa"/>
          </w:tcPr>
          <w:p>
            <w:pPr>
              <w:pStyle w:val="TableParagraph"/>
              <w:rPr>
                <w:rFonts w:ascii="Times New Roman"/>
                <w:sz w:val="12"/>
              </w:rPr>
            </w:pPr>
          </w:p>
        </w:tc>
        <w:tc>
          <w:tcPr>
            <w:tcW w:w="888" w:type="dxa"/>
          </w:tcPr>
          <w:p>
            <w:pPr>
              <w:pStyle w:val="TableParagraph"/>
              <w:spacing w:line="163" w:lineRule="exact" w:before="1"/>
              <w:ind w:left="107"/>
              <w:rPr>
                <w:sz w:val="16"/>
              </w:rPr>
            </w:pPr>
            <w:r>
              <w:rPr>
                <w:spacing w:val="-2"/>
                <w:sz w:val="16"/>
              </w:rPr>
              <w:t>febrero</w:t>
            </w:r>
          </w:p>
        </w:tc>
        <w:tc>
          <w:tcPr>
            <w:tcW w:w="1594" w:type="dxa"/>
          </w:tcPr>
          <w:p>
            <w:pPr>
              <w:pStyle w:val="TableParagraph"/>
              <w:spacing w:line="163" w:lineRule="exact" w:before="1"/>
              <w:ind w:right="98"/>
              <w:jc w:val="right"/>
              <w:rPr>
                <w:sz w:val="16"/>
              </w:rPr>
            </w:pPr>
            <w:r>
              <w:rPr>
                <w:spacing w:val="-2"/>
                <w:sz w:val="16"/>
              </w:rPr>
              <w:t>27,158</w:t>
            </w:r>
          </w:p>
        </w:tc>
      </w:tr>
      <w:tr>
        <w:trPr>
          <w:trHeight w:val="181" w:hRule="atLeast"/>
        </w:trPr>
        <w:tc>
          <w:tcPr>
            <w:tcW w:w="1995" w:type="dxa"/>
          </w:tcPr>
          <w:p>
            <w:pPr>
              <w:pStyle w:val="TableParagraph"/>
              <w:rPr>
                <w:rFonts w:ascii="Times New Roman"/>
                <w:sz w:val="12"/>
              </w:rPr>
            </w:pPr>
          </w:p>
        </w:tc>
        <w:tc>
          <w:tcPr>
            <w:tcW w:w="1354" w:type="dxa"/>
          </w:tcPr>
          <w:p>
            <w:pPr>
              <w:pStyle w:val="TableParagraph"/>
              <w:spacing w:line="162" w:lineRule="exact"/>
              <w:ind w:left="107"/>
              <w:rPr>
                <w:rFonts w:ascii="Arial"/>
                <w:b/>
                <w:sz w:val="16"/>
              </w:rPr>
            </w:pPr>
            <w:r>
              <w:rPr>
                <w:rFonts w:ascii="Arial"/>
                <w:b/>
                <w:spacing w:val="-2"/>
                <w:sz w:val="16"/>
              </w:rPr>
              <w:t>0810901020</w:t>
            </w:r>
          </w:p>
        </w:tc>
        <w:tc>
          <w:tcPr>
            <w:tcW w:w="888" w:type="dxa"/>
          </w:tcPr>
          <w:p>
            <w:pPr>
              <w:pStyle w:val="TableParagraph"/>
              <w:spacing w:line="162" w:lineRule="exact"/>
              <w:ind w:left="107"/>
              <w:rPr>
                <w:sz w:val="16"/>
              </w:rPr>
            </w:pPr>
            <w:r>
              <w:rPr>
                <w:spacing w:val="-2"/>
                <w:sz w:val="16"/>
              </w:rPr>
              <w:t>enero</w:t>
            </w:r>
          </w:p>
        </w:tc>
        <w:tc>
          <w:tcPr>
            <w:tcW w:w="1594" w:type="dxa"/>
          </w:tcPr>
          <w:p>
            <w:pPr>
              <w:pStyle w:val="TableParagraph"/>
              <w:spacing w:line="162" w:lineRule="exact"/>
              <w:ind w:right="98"/>
              <w:jc w:val="right"/>
              <w:rPr>
                <w:sz w:val="16"/>
              </w:rPr>
            </w:pPr>
            <w:r>
              <w:rPr>
                <w:spacing w:val="-2"/>
                <w:sz w:val="16"/>
              </w:rPr>
              <w:t>125,650</w:t>
            </w:r>
          </w:p>
        </w:tc>
      </w:tr>
      <w:tr>
        <w:trPr>
          <w:trHeight w:val="184" w:hRule="atLeast"/>
        </w:trPr>
        <w:tc>
          <w:tcPr>
            <w:tcW w:w="1995" w:type="dxa"/>
          </w:tcPr>
          <w:p>
            <w:pPr>
              <w:pStyle w:val="TableParagraph"/>
              <w:rPr>
                <w:rFonts w:ascii="Times New Roman"/>
                <w:sz w:val="12"/>
              </w:rPr>
            </w:pPr>
          </w:p>
        </w:tc>
        <w:tc>
          <w:tcPr>
            <w:tcW w:w="1354" w:type="dxa"/>
          </w:tcPr>
          <w:p>
            <w:pPr>
              <w:pStyle w:val="TableParagraph"/>
              <w:rPr>
                <w:rFonts w:ascii="Times New Roman"/>
                <w:sz w:val="12"/>
              </w:rPr>
            </w:pPr>
          </w:p>
        </w:tc>
        <w:tc>
          <w:tcPr>
            <w:tcW w:w="888" w:type="dxa"/>
          </w:tcPr>
          <w:p>
            <w:pPr>
              <w:pStyle w:val="TableParagraph"/>
              <w:spacing w:line="163" w:lineRule="exact" w:before="1"/>
              <w:ind w:left="107"/>
              <w:rPr>
                <w:sz w:val="16"/>
              </w:rPr>
            </w:pPr>
            <w:r>
              <w:rPr>
                <w:spacing w:val="-2"/>
                <w:sz w:val="16"/>
              </w:rPr>
              <w:t>febrero</w:t>
            </w:r>
          </w:p>
        </w:tc>
        <w:tc>
          <w:tcPr>
            <w:tcW w:w="1594" w:type="dxa"/>
          </w:tcPr>
          <w:p>
            <w:pPr>
              <w:pStyle w:val="TableParagraph"/>
              <w:spacing w:line="163" w:lineRule="exact" w:before="1"/>
              <w:ind w:right="98"/>
              <w:jc w:val="right"/>
              <w:rPr>
                <w:sz w:val="16"/>
              </w:rPr>
            </w:pPr>
            <w:r>
              <w:rPr>
                <w:spacing w:val="-2"/>
                <w:sz w:val="16"/>
              </w:rPr>
              <w:t>126,560</w:t>
            </w:r>
          </w:p>
        </w:tc>
      </w:tr>
      <w:tr>
        <w:trPr>
          <w:trHeight w:val="184" w:hRule="atLeast"/>
        </w:trPr>
        <w:tc>
          <w:tcPr>
            <w:tcW w:w="1995" w:type="dxa"/>
          </w:tcPr>
          <w:p>
            <w:pPr>
              <w:pStyle w:val="TableParagraph"/>
              <w:spacing w:line="163" w:lineRule="exact" w:before="1"/>
              <w:ind w:left="107"/>
              <w:rPr>
                <w:rFonts w:ascii="Arial"/>
                <w:b/>
                <w:sz w:val="16"/>
              </w:rPr>
            </w:pPr>
            <w:r>
              <w:rPr>
                <w:rFonts w:ascii="Arial"/>
                <w:b/>
                <w:sz w:val="16"/>
              </w:rPr>
              <w:t>Total</w:t>
            </w:r>
            <w:r>
              <w:rPr>
                <w:rFonts w:ascii="Arial"/>
                <w:b/>
                <w:spacing w:val="-6"/>
                <w:sz w:val="16"/>
              </w:rPr>
              <w:t> </w:t>
            </w:r>
            <w:r>
              <w:rPr>
                <w:rFonts w:ascii="Arial"/>
                <w:b/>
                <w:spacing w:val="-2"/>
                <w:sz w:val="16"/>
              </w:rPr>
              <w:t>general</w:t>
            </w:r>
          </w:p>
        </w:tc>
        <w:tc>
          <w:tcPr>
            <w:tcW w:w="1354" w:type="dxa"/>
          </w:tcPr>
          <w:p>
            <w:pPr>
              <w:pStyle w:val="TableParagraph"/>
              <w:rPr>
                <w:rFonts w:ascii="Times New Roman"/>
                <w:sz w:val="12"/>
              </w:rPr>
            </w:pPr>
          </w:p>
        </w:tc>
        <w:tc>
          <w:tcPr>
            <w:tcW w:w="888" w:type="dxa"/>
          </w:tcPr>
          <w:p>
            <w:pPr>
              <w:pStyle w:val="TableParagraph"/>
              <w:rPr>
                <w:rFonts w:ascii="Times New Roman"/>
                <w:sz w:val="12"/>
              </w:rPr>
            </w:pPr>
          </w:p>
        </w:tc>
        <w:tc>
          <w:tcPr>
            <w:tcW w:w="1594" w:type="dxa"/>
          </w:tcPr>
          <w:p>
            <w:pPr>
              <w:pStyle w:val="TableParagraph"/>
              <w:spacing w:line="163" w:lineRule="exact" w:before="1"/>
              <w:ind w:right="98"/>
              <w:jc w:val="right"/>
              <w:rPr>
                <w:rFonts w:ascii="Arial"/>
                <w:b/>
                <w:sz w:val="16"/>
              </w:rPr>
            </w:pPr>
            <w:r>
              <w:rPr>
                <w:rFonts w:ascii="Arial"/>
                <w:b/>
                <w:spacing w:val="-2"/>
                <w:sz w:val="16"/>
              </w:rPr>
              <w:t>1,643,476</w:t>
            </w:r>
          </w:p>
        </w:tc>
      </w:tr>
    </w:tbl>
    <w:p>
      <w:pPr>
        <w:spacing w:before="6"/>
        <w:ind w:left="2411" w:right="6570" w:firstLine="0"/>
        <w:jc w:val="left"/>
        <w:rPr>
          <w:rFonts w:ascii="Arial" w:hAnsi="Arial"/>
          <w:b/>
          <w:sz w:val="16"/>
        </w:rPr>
      </w:pPr>
      <w:r>
        <w:rPr>
          <w:rFonts w:ascii="Arial" w:hAnsi="Arial"/>
          <w:b/>
          <w:sz w:val="16"/>
        </w:rPr>
        <w:t>Fuente: SENAE. Elaboración:</w:t>
      </w:r>
      <w:r>
        <w:rPr>
          <w:rFonts w:ascii="Arial" w:hAnsi="Arial"/>
          <w:b/>
          <w:spacing w:val="-12"/>
          <w:sz w:val="16"/>
        </w:rPr>
        <w:t> </w:t>
      </w:r>
      <w:r>
        <w:rPr>
          <w:rFonts w:ascii="Arial" w:hAnsi="Arial"/>
          <w:b/>
          <w:sz w:val="16"/>
        </w:rPr>
        <w:t>SGCAN.</w:t>
      </w:r>
    </w:p>
    <w:p>
      <w:pPr>
        <w:pStyle w:val="BodyText"/>
        <w:rPr>
          <w:rFonts w:ascii="Arial"/>
          <w:b/>
          <w:sz w:val="16"/>
        </w:rPr>
      </w:pPr>
    </w:p>
    <w:p>
      <w:pPr>
        <w:pStyle w:val="BodyText"/>
        <w:spacing w:before="136"/>
        <w:rPr>
          <w:rFonts w:ascii="Arial"/>
          <w:b/>
          <w:sz w:val="16"/>
        </w:rPr>
      </w:pPr>
    </w:p>
    <w:p>
      <w:pPr>
        <w:pStyle w:val="ListParagraph"/>
        <w:numPr>
          <w:ilvl w:val="0"/>
          <w:numId w:val="50"/>
        </w:numPr>
        <w:tabs>
          <w:tab w:pos="1130" w:val="left" w:leader="none"/>
          <w:tab w:pos="1134" w:val="left" w:leader="none"/>
        </w:tabs>
        <w:spacing w:line="240" w:lineRule="auto" w:before="1" w:after="0"/>
        <w:ind w:left="1134" w:right="977" w:hanging="567"/>
        <w:jc w:val="both"/>
        <w:rPr>
          <w:sz w:val="22"/>
        </w:rPr>
      </w:pPr>
      <w:r>
        <w:rPr>
          <w:sz w:val="22"/>
        </w:rPr>
        <w:t>Además, para contar con una referencia ilustrativa sobre la evolución del comercio de los productos agrícolas, la Tabla No.</w:t>
      </w:r>
      <w:r>
        <w:rPr>
          <w:spacing w:val="-1"/>
          <w:sz w:val="22"/>
        </w:rPr>
        <w:t> </w:t>
      </w:r>
      <w:r>
        <w:rPr>
          <w:sz w:val="22"/>
        </w:rPr>
        <w:t>15 evidencia</w:t>
      </w:r>
      <w:r>
        <w:rPr>
          <w:spacing w:val="-2"/>
          <w:sz w:val="22"/>
        </w:rPr>
        <w:t> </w:t>
      </w:r>
      <w:r>
        <w:rPr>
          <w:sz w:val="22"/>
        </w:rPr>
        <w:t>la evolución de estas</w:t>
      </w:r>
      <w:r>
        <w:rPr>
          <w:spacing w:val="-2"/>
          <w:sz w:val="22"/>
        </w:rPr>
        <w:t> </w:t>
      </w:r>
      <w:r>
        <w:rPr>
          <w:sz w:val="22"/>
        </w:rPr>
        <w:t>importaciones.</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Heading6"/>
        <w:ind w:right="409"/>
        <w:jc w:val="center"/>
      </w:pPr>
      <w:r>
        <w:rPr/>
        <w:t>Tabla</w:t>
      </w:r>
      <w:r>
        <w:rPr>
          <w:spacing w:val="-2"/>
        </w:rPr>
        <w:t> </w:t>
      </w:r>
      <w:r>
        <w:rPr/>
        <w:t>No.</w:t>
      </w:r>
      <w:r>
        <w:rPr>
          <w:spacing w:val="-2"/>
        </w:rPr>
        <w:t> </w:t>
      </w:r>
      <w:r>
        <w:rPr>
          <w:spacing w:val="-5"/>
        </w:rPr>
        <w:t>15</w:t>
      </w:r>
    </w:p>
    <w:p>
      <w:pPr>
        <w:spacing w:before="2"/>
        <w:ind w:left="1512" w:right="1928" w:firstLine="0"/>
        <w:jc w:val="center"/>
        <w:rPr>
          <w:rFonts w:ascii="Arial" w:hAnsi="Arial"/>
          <w:b/>
          <w:sz w:val="22"/>
        </w:rPr>
      </w:pPr>
      <w:r>
        <w:rPr>
          <w:rFonts w:ascii="Arial" w:hAnsi="Arial"/>
          <w:b/>
          <w:sz w:val="22"/>
        </w:rPr>
        <w:t>Importaciones</w:t>
      </w:r>
      <w:r>
        <w:rPr>
          <w:rFonts w:ascii="Arial" w:hAnsi="Arial"/>
          <w:b/>
          <w:spacing w:val="-5"/>
          <w:sz w:val="22"/>
        </w:rPr>
        <w:t> </w:t>
      </w:r>
      <w:r>
        <w:rPr>
          <w:rFonts w:ascii="Arial" w:hAnsi="Arial"/>
          <w:b/>
          <w:sz w:val="22"/>
        </w:rPr>
        <w:t>de</w:t>
      </w:r>
      <w:r>
        <w:rPr>
          <w:rFonts w:ascii="Arial" w:hAnsi="Arial"/>
          <w:b/>
          <w:spacing w:val="-4"/>
          <w:sz w:val="22"/>
        </w:rPr>
        <w:t> </w:t>
      </w:r>
      <w:r>
        <w:rPr>
          <w:rFonts w:ascii="Arial" w:hAnsi="Arial"/>
          <w:b/>
          <w:sz w:val="22"/>
        </w:rPr>
        <w:t>productos</w:t>
      </w:r>
      <w:r>
        <w:rPr>
          <w:rFonts w:ascii="Arial" w:hAnsi="Arial"/>
          <w:b/>
          <w:spacing w:val="-4"/>
          <w:sz w:val="22"/>
        </w:rPr>
        <w:t> </w:t>
      </w:r>
      <w:r>
        <w:rPr>
          <w:rFonts w:ascii="Arial" w:hAnsi="Arial"/>
          <w:b/>
          <w:sz w:val="22"/>
        </w:rPr>
        <w:t>agrícolas</w:t>
      </w:r>
      <w:r>
        <w:rPr>
          <w:rFonts w:ascii="Arial" w:hAnsi="Arial"/>
          <w:b/>
          <w:spacing w:val="-5"/>
          <w:sz w:val="22"/>
        </w:rPr>
        <w:t> </w:t>
      </w:r>
      <w:r>
        <w:rPr>
          <w:rFonts w:ascii="Arial" w:hAnsi="Arial"/>
          <w:b/>
          <w:sz w:val="22"/>
        </w:rPr>
        <w:t>de</w:t>
      </w:r>
      <w:r>
        <w:rPr>
          <w:rFonts w:ascii="Arial" w:hAnsi="Arial"/>
          <w:b/>
          <w:spacing w:val="-6"/>
          <w:sz w:val="22"/>
        </w:rPr>
        <w:t> </w:t>
      </w:r>
      <w:r>
        <w:rPr>
          <w:rFonts w:ascii="Arial" w:hAnsi="Arial"/>
          <w:b/>
          <w:sz w:val="22"/>
        </w:rPr>
        <w:t>la</w:t>
      </w:r>
      <w:r>
        <w:rPr>
          <w:rFonts w:ascii="Arial" w:hAnsi="Arial"/>
          <w:b/>
          <w:spacing w:val="-5"/>
          <w:sz w:val="22"/>
        </w:rPr>
        <w:t> </w:t>
      </w:r>
      <w:r>
        <w:rPr>
          <w:rFonts w:ascii="Arial" w:hAnsi="Arial"/>
          <w:b/>
          <w:sz w:val="22"/>
        </w:rPr>
        <w:t>República</w:t>
      </w:r>
      <w:r>
        <w:rPr>
          <w:rFonts w:ascii="Arial" w:hAnsi="Arial"/>
          <w:b/>
          <w:spacing w:val="-5"/>
          <w:sz w:val="22"/>
        </w:rPr>
        <w:t> </w:t>
      </w:r>
      <w:r>
        <w:rPr>
          <w:rFonts w:ascii="Arial" w:hAnsi="Arial"/>
          <w:b/>
          <w:sz w:val="22"/>
        </w:rPr>
        <w:t>del</w:t>
      </w:r>
      <w:r>
        <w:rPr>
          <w:rFonts w:ascii="Arial" w:hAnsi="Arial"/>
          <w:b/>
          <w:spacing w:val="-4"/>
          <w:sz w:val="22"/>
        </w:rPr>
        <w:t> </w:t>
      </w:r>
      <w:r>
        <w:rPr>
          <w:rFonts w:ascii="Arial" w:hAnsi="Arial"/>
          <w:b/>
          <w:sz w:val="22"/>
        </w:rPr>
        <w:t>Ecuador En Dólares CIF</w:t>
      </w:r>
    </w:p>
    <w:tbl>
      <w:tblPr>
        <w:tblW w:w="0" w:type="auto"/>
        <w:jc w:val="left"/>
        <w:tblInd w:w="5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06"/>
        <w:gridCol w:w="3821"/>
        <w:gridCol w:w="1017"/>
        <w:gridCol w:w="1018"/>
        <w:gridCol w:w="1017"/>
        <w:gridCol w:w="926"/>
      </w:tblGrid>
      <w:tr>
        <w:trPr>
          <w:trHeight w:val="369" w:hRule="atLeast"/>
        </w:trPr>
        <w:tc>
          <w:tcPr>
            <w:tcW w:w="1106" w:type="dxa"/>
            <w:shd w:val="clear" w:color="auto" w:fill="D1D1D1"/>
          </w:tcPr>
          <w:p>
            <w:pPr>
              <w:pStyle w:val="TableParagraph"/>
              <w:spacing w:before="92"/>
              <w:ind w:left="10"/>
              <w:jc w:val="center"/>
              <w:rPr>
                <w:rFonts w:ascii="Arial"/>
                <w:b/>
                <w:sz w:val="16"/>
              </w:rPr>
            </w:pPr>
            <w:r>
              <w:rPr>
                <w:rFonts w:ascii="Arial"/>
                <w:b/>
                <w:spacing w:val="-2"/>
                <w:sz w:val="16"/>
              </w:rPr>
              <w:t>Subpartida</w:t>
            </w:r>
          </w:p>
        </w:tc>
        <w:tc>
          <w:tcPr>
            <w:tcW w:w="3821" w:type="dxa"/>
            <w:shd w:val="clear" w:color="auto" w:fill="D1D1D1"/>
          </w:tcPr>
          <w:p>
            <w:pPr>
              <w:pStyle w:val="TableParagraph"/>
              <w:spacing w:before="92"/>
              <w:ind w:left="1008"/>
              <w:rPr>
                <w:rFonts w:ascii="Arial" w:hAnsi="Arial"/>
                <w:b/>
                <w:sz w:val="16"/>
              </w:rPr>
            </w:pPr>
            <w:r>
              <w:rPr>
                <w:rFonts w:ascii="Arial" w:hAnsi="Arial"/>
                <w:b/>
                <w:sz w:val="16"/>
              </w:rPr>
              <w:t>Descripción</w:t>
            </w:r>
            <w:r>
              <w:rPr>
                <w:rFonts w:ascii="Arial" w:hAnsi="Arial"/>
                <w:b/>
                <w:spacing w:val="-6"/>
                <w:sz w:val="16"/>
              </w:rPr>
              <w:t> </w:t>
            </w:r>
            <w:r>
              <w:rPr>
                <w:rFonts w:ascii="Arial" w:hAnsi="Arial"/>
                <w:b/>
                <w:spacing w:val="-2"/>
                <w:sz w:val="16"/>
              </w:rPr>
              <w:t>arancelaria</w:t>
            </w:r>
          </w:p>
        </w:tc>
        <w:tc>
          <w:tcPr>
            <w:tcW w:w="1017" w:type="dxa"/>
            <w:shd w:val="clear" w:color="auto" w:fill="D1D1D1"/>
          </w:tcPr>
          <w:p>
            <w:pPr>
              <w:pStyle w:val="TableParagraph"/>
              <w:spacing w:before="92"/>
              <w:ind w:left="14" w:right="2"/>
              <w:jc w:val="center"/>
              <w:rPr>
                <w:rFonts w:ascii="Arial"/>
                <w:b/>
                <w:sz w:val="16"/>
              </w:rPr>
            </w:pPr>
            <w:r>
              <w:rPr>
                <w:rFonts w:ascii="Arial"/>
                <w:b/>
                <w:spacing w:val="-4"/>
                <w:sz w:val="16"/>
              </w:rPr>
              <w:t>2023</w:t>
            </w:r>
          </w:p>
        </w:tc>
        <w:tc>
          <w:tcPr>
            <w:tcW w:w="1018" w:type="dxa"/>
            <w:shd w:val="clear" w:color="auto" w:fill="D1D1D1"/>
          </w:tcPr>
          <w:p>
            <w:pPr>
              <w:pStyle w:val="TableParagraph"/>
              <w:spacing w:before="92"/>
              <w:ind w:left="13" w:right="1"/>
              <w:jc w:val="center"/>
              <w:rPr>
                <w:rFonts w:ascii="Arial"/>
                <w:b/>
                <w:sz w:val="16"/>
              </w:rPr>
            </w:pPr>
            <w:r>
              <w:rPr>
                <w:rFonts w:ascii="Arial"/>
                <w:b/>
                <w:spacing w:val="-4"/>
                <w:sz w:val="16"/>
              </w:rPr>
              <w:t>2024</w:t>
            </w:r>
          </w:p>
        </w:tc>
        <w:tc>
          <w:tcPr>
            <w:tcW w:w="1017" w:type="dxa"/>
            <w:shd w:val="clear" w:color="auto" w:fill="D1D1D1"/>
          </w:tcPr>
          <w:p>
            <w:pPr>
              <w:pStyle w:val="TableParagraph"/>
              <w:spacing w:before="92"/>
              <w:ind w:left="14"/>
              <w:jc w:val="center"/>
              <w:rPr>
                <w:rFonts w:ascii="Arial"/>
                <w:b/>
                <w:sz w:val="16"/>
              </w:rPr>
            </w:pPr>
            <w:r>
              <w:rPr>
                <w:rFonts w:ascii="Arial"/>
                <w:b/>
                <w:spacing w:val="-4"/>
                <w:sz w:val="16"/>
              </w:rPr>
              <w:t>2025</w:t>
            </w:r>
          </w:p>
        </w:tc>
        <w:tc>
          <w:tcPr>
            <w:tcW w:w="926" w:type="dxa"/>
            <w:shd w:val="clear" w:color="auto" w:fill="D1D1D1"/>
          </w:tcPr>
          <w:p>
            <w:pPr>
              <w:pStyle w:val="TableParagraph"/>
              <w:spacing w:line="183" w:lineRule="exact"/>
              <w:ind w:left="17" w:right="2"/>
              <w:jc w:val="center"/>
              <w:rPr>
                <w:rFonts w:ascii="Arial"/>
                <w:b/>
                <w:sz w:val="16"/>
              </w:rPr>
            </w:pPr>
            <w:r>
              <w:rPr>
                <w:rFonts w:ascii="Arial"/>
                <w:b/>
                <w:spacing w:val="-4"/>
                <w:sz w:val="16"/>
              </w:rPr>
              <w:t>2026</w:t>
            </w:r>
          </w:p>
          <w:p>
            <w:pPr>
              <w:pStyle w:val="TableParagraph"/>
              <w:spacing w:line="165" w:lineRule="exact" w:before="1"/>
              <w:ind w:left="17" w:right="2"/>
              <w:jc w:val="center"/>
              <w:rPr>
                <w:rFonts w:ascii="Arial"/>
                <w:b/>
                <w:sz w:val="16"/>
              </w:rPr>
            </w:pPr>
            <w:r>
              <w:rPr>
                <w:rFonts w:ascii="Arial"/>
                <w:b/>
                <w:spacing w:val="-2"/>
                <w:sz w:val="16"/>
              </w:rPr>
              <w:t>(febrero)</w:t>
            </w:r>
          </w:p>
        </w:tc>
      </w:tr>
      <w:tr>
        <w:trPr>
          <w:trHeight w:val="184" w:hRule="atLeast"/>
        </w:trPr>
        <w:tc>
          <w:tcPr>
            <w:tcW w:w="1106" w:type="dxa"/>
          </w:tcPr>
          <w:p>
            <w:pPr>
              <w:pStyle w:val="TableParagraph"/>
              <w:spacing w:line="164" w:lineRule="exact"/>
              <w:ind w:left="10" w:right="3"/>
              <w:jc w:val="center"/>
              <w:rPr>
                <w:rFonts w:ascii="Arial"/>
                <w:b/>
                <w:sz w:val="16"/>
              </w:rPr>
            </w:pPr>
            <w:r>
              <w:rPr>
                <w:rFonts w:ascii="Arial"/>
                <w:b/>
                <w:spacing w:val="-2"/>
                <w:sz w:val="16"/>
              </w:rPr>
              <w:t>0702000000</w:t>
            </w:r>
          </w:p>
        </w:tc>
        <w:tc>
          <w:tcPr>
            <w:tcW w:w="3821" w:type="dxa"/>
          </w:tcPr>
          <w:p>
            <w:pPr>
              <w:pStyle w:val="TableParagraph"/>
              <w:spacing w:line="164" w:lineRule="exact"/>
              <w:ind w:left="108"/>
              <w:rPr>
                <w:sz w:val="16"/>
              </w:rPr>
            </w:pPr>
            <w:r>
              <w:rPr>
                <w:sz w:val="16"/>
              </w:rPr>
              <w:t>Tomates</w:t>
            </w:r>
            <w:r>
              <w:rPr>
                <w:spacing w:val="-6"/>
                <w:sz w:val="16"/>
              </w:rPr>
              <w:t> </w:t>
            </w:r>
            <w:r>
              <w:rPr>
                <w:sz w:val="16"/>
              </w:rPr>
              <w:t>frescos</w:t>
            </w:r>
            <w:r>
              <w:rPr>
                <w:spacing w:val="-5"/>
                <w:sz w:val="16"/>
              </w:rPr>
              <w:t> </w:t>
            </w:r>
            <w:r>
              <w:rPr>
                <w:sz w:val="16"/>
              </w:rPr>
              <w:t>o</w:t>
            </w:r>
            <w:r>
              <w:rPr>
                <w:spacing w:val="-4"/>
                <w:sz w:val="16"/>
              </w:rPr>
              <w:t> </w:t>
            </w:r>
            <w:r>
              <w:rPr>
                <w:spacing w:val="-2"/>
                <w:sz w:val="16"/>
              </w:rPr>
              <w:t>refrigerados</w:t>
            </w:r>
          </w:p>
        </w:tc>
        <w:tc>
          <w:tcPr>
            <w:tcW w:w="1017" w:type="dxa"/>
          </w:tcPr>
          <w:p>
            <w:pPr>
              <w:pStyle w:val="TableParagraph"/>
              <w:rPr>
                <w:rFonts w:ascii="Times New Roman"/>
                <w:sz w:val="12"/>
              </w:rPr>
            </w:pPr>
          </w:p>
        </w:tc>
        <w:tc>
          <w:tcPr>
            <w:tcW w:w="1018" w:type="dxa"/>
          </w:tcPr>
          <w:p>
            <w:pPr>
              <w:pStyle w:val="TableParagraph"/>
              <w:rPr>
                <w:rFonts w:ascii="Times New Roman"/>
                <w:sz w:val="12"/>
              </w:rPr>
            </w:pPr>
          </w:p>
        </w:tc>
        <w:tc>
          <w:tcPr>
            <w:tcW w:w="1017" w:type="dxa"/>
          </w:tcPr>
          <w:p>
            <w:pPr>
              <w:pStyle w:val="TableParagraph"/>
              <w:spacing w:line="164" w:lineRule="exact"/>
              <w:ind w:left="14"/>
              <w:jc w:val="center"/>
              <w:rPr>
                <w:sz w:val="16"/>
              </w:rPr>
            </w:pPr>
            <w:r>
              <w:rPr>
                <w:spacing w:val="-2"/>
                <w:sz w:val="16"/>
              </w:rPr>
              <w:t>11,630</w:t>
            </w:r>
          </w:p>
        </w:tc>
        <w:tc>
          <w:tcPr>
            <w:tcW w:w="926" w:type="dxa"/>
          </w:tcPr>
          <w:p>
            <w:pPr>
              <w:pStyle w:val="TableParagraph"/>
              <w:spacing w:line="164" w:lineRule="exact"/>
              <w:ind w:left="17"/>
              <w:jc w:val="center"/>
              <w:rPr>
                <w:sz w:val="16"/>
              </w:rPr>
            </w:pPr>
            <w:r>
              <w:rPr>
                <w:spacing w:val="-2"/>
                <w:sz w:val="16"/>
              </w:rPr>
              <w:t>4,579</w:t>
            </w:r>
          </w:p>
        </w:tc>
      </w:tr>
      <w:tr>
        <w:trPr>
          <w:trHeight w:val="366" w:hRule="atLeast"/>
        </w:trPr>
        <w:tc>
          <w:tcPr>
            <w:tcW w:w="1106" w:type="dxa"/>
          </w:tcPr>
          <w:p>
            <w:pPr>
              <w:pStyle w:val="TableParagraph"/>
              <w:spacing w:before="90"/>
              <w:ind w:left="10" w:right="3"/>
              <w:jc w:val="center"/>
              <w:rPr>
                <w:rFonts w:ascii="Arial"/>
                <w:b/>
                <w:sz w:val="16"/>
              </w:rPr>
            </w:pPr>
            <w:r>
              <w:rPr>
                <w:rFonts w:ascii="Arial"/>
                <w:b/>
                <w:spacing w:val="-2"/>
                <w:sz w:val="16"/>
              </w:rPr>
              <w:t>0703100010</w:t>
            </w:r>
          </w:p>
        </w:tc>
        <w:tc>
          <w:tcPr>
            <w:tcW w:w="3821" w:type="dxa"/>
          </w:tcPr>
          <w:p>
            <w:pPr>
              <w:pStyle w:val="TableParagraph"/>
              <w:spacing w:line="182" w:lineRule="exact"/>
              <w:ind w:left="108" w:right="88"/>
              <w:rPr>
                <w:sz w:val="16"/>
              </w:rPr>
            </w:pPr>
            <w:r>
              <w:rPr>
                <w:sz w:val="16"/>
              </w:rPr>
              <w:t>Cebollas</w:t>
            </w:r>
            <w:r>
              <w:rPr>
                <w:spacing w:val="-12"/>
                <w:sz w:val="16"/>
              </w:rPr>
              <w:t> </w:t>
            </w:r>
            <w:r>
              <w:rPr>
                <w:sz w:val="16"/>
              </w:rPr>
              <w:t>de</w:t>
            </w:r>
            <w:r>
              <w:rPr>
                <w:spacing w:val="-11"/>
                <w:sz w:val="16"/>
              </w:rPr>
              <w:t> </w:t>
            </w:r>
            <w:r>
              <w:rPr>
                <w:sz w:val="16"/>
              </w:rPr>
              <w:t>bulbo</w:t>
            </w:r>
            <w:r>
              <w:rPr>
                <w:spacing w:val="-12"/>
                <w:sz w:val="16"/>
              </w:rPr>
              <w:t> </w:t>
            </w:r>
            <w:r>
              <w:rPr>
                <w:sz w:val="16"/>
              </w:rPr>
              <w:t>rojo</w:t>
            </w:r>
            <w:r>
              <w:rPr>
                <w:spacing w:val="-11"/>
                <w:sz w:val="16"/>
              </w:rPr>
              <w:t> </w:t>
            </w:r>
            <w:r>
              <w:rPr>
                <w:sz w:val="16"/>
              </w:rPr>
              <w:t>(cabezona</w:t>
            </w:r>
            <w:r>
              <w:rPr>
                <w:spacing w:val="-11"/>
                <w:sz w:val="16"/>
              </w:rPr>
              <w:t> </w:t>
            </w:r>
            <w:r>
              <w:rPr>
                <w:sz w:val="16"/>
              </w:rPr>
              <w:t>roja)</w:t>
            </w:r>
            <w:r>
              <w:rPr>
                <w:spacing w:val="-11"/>
                <w:sz w:val="16"/>
              </w:rPr>
              <w:t> </w:t>
            </w:r>
            <w:r>
              <w:rPr>
                <w:sz w:val="16"/>
              </w:rPr>
              <w:t>(Allium</w:t>
            </w:r>
            <w:r>
              <w:rPr>
                <w:spacing w:val="-11"/>
                <w:sz w:val="16"/>
              </w:rPr>
              <w:t> </w:t>
            </w:r>
            <w:r>
              <w:rPr>
                <w:sz w:val="16"/>
              </w:rPr>
              <w:t>cepa L.), frescas o refrigeradas</w:t>
            </w:r>
          </w:p>
        </w:tc>
        <w:tc>
          <w:tcPr>
            <w:tcW w:w="1017" w:type="dxa"/>
          </w:tcPr>
          <w:p>
            <w:pPr>
              <w:pStyle w:val="TableParagraph"/>
              <w:spacing w:before="90"/>
              <w:ind w:left="14" w:right="2"/>
              <w:jc w:val="center"/>
              <w:rPr>
                <w:sz w:val="16"/>
              </w:rPr>
            </w:pPr>
            <w:r>
              <w:rPr>
                <w:spacing w:val="-2"/>
                <w:sz w:val="16"/>
              </w:rPr>
              <w:t>26,393</w:t>
            </w:r>
          </w:p>
        </w:tc>
        <w:tc>
          <w:tcPr>
            <w:tcW w:w="1018" w:type="dxa"/>
          </w:tcPr>
          <w:p>
            <w:pPr>
              <w:pStyle w:val="TableParagraph"/>
              <w:spacing w:before="90"/>
              <w:ind w:left="13"/>
              <w:jc w:val="center"/>
              <w:rPr>
                <w:sz w:val="16"/>
              </w:rPr>
            </w:pPr>
            <w:r>
              <w:rPr>
                <w:spacing w:val="-2"/>
                <w:sz w:val="16"/>
              </w:rPr>
              <w:t>30,379</w:t>
            </w:r>
          </w:p>
        </w:tc>
        <w:tc>
          <w:tcPr>
            <w:tcW w:w="1017" w:type="dxa"/>
          </w:tcPr>
          <w:p>
            <w:pPr>
              <w:pStyle w:val="TableParagraph"/>
              <w:spacing w:before="90"/>
              <w:ind w:left="14"/>
              <w:jc w:val="center"/>
              <w:rPr>
                <w:sz w:val="16"/>
              </w:rPr>
            </w:pPr>
            <w:r>
              <w:rPr>
                <w:spacing w:val="-2"/>
                <w:sz w:val="16"/>
              </w:rPr>
              <w:t>67,487</w:t>
            </w:r>
          </w:p>
        </w:tc>
        <w:tc>
          <w:tcPr>
            <w:tcW w:w="926" w:type="dxa"/>
          </w:tcPr>
          <w:p>
            <w:pPr>
              <w:pStyle w:val="TableParagraph"/>
              <w:rPr>
                <w:rFonts w:ascii="Times New Roman"/>
                <w:sz w:val="18"/>
              </w:rPr>
            </w:pPr>
          </w:p>
        </w:tc>
      </w:tr>
      <w:tr>
        <w:trPr>
          <w:trHeight w:val="599" w:hRule="atLeast"/>
        </w:trPr>
        <w:tc>
          <w:tcPr>
            <w:tcW w:w="1106" w:type="dxa"/>
          </w:tcPr>
          <w:p>
            <w:pPr>
              <w:pStyle w:val="TableParagraph"/>
              <w:spacing w:before="23"/>
              <w:rPr>
                <w:rFonts w:ascii="Arial"/>
                <w:b/>
                <w:sz w:val="16"/>
              </w:rPr>
            </w:pPr>
          </w:p>
          <w:p>
            <w:pPr>
              <w:pStyle w:val="TableParagraph"/>
              <w:ind w:left="10" w:right="3"/>
              <w:jc w:val="center"/>
              <w:rPr>
                <w:rFonts w:ascii="Arial"/>
                <w:b/>
                <w:sz w:val="16"/>
              </w:rPr>
            </w:pPr>
            <w:r>
              <w:rPr>
                <w:rFonts w:ascii="Arial"/>
                <w:b/>
                <w:spacing w:val="-2"/>
                <w:sz w:val="16"/>
              </w:rPr>
              <w:t>0703100020</w:t>
            </w:r>
          </w:p>
        </w:tc>
        <w:tc>
          <w:tcPr>
            <w:tcW w:w="3821" w:type="dxa"/>
          </w:tcPr>
          <w:p>
            <w:pPr>
              <w:pStyle w:val="TableParagraph"/>
              <w:spacing w:before="114"/>
              <w:ind w:left="108"/>
              <w:rPr>
                <w:sz w:val="16"/>
              </w:rPr>
            </w:pPr>
            <w:r>
              <w:rPr>
                <w:sz w:val="16"/>
              </w:rPr>
              <w:t>Cebollas</w:t>
            </w:r>
            <w:r>
              <w:rPr>
                <w:spacing w:val="80"/>
                <w:sz w:val="16"/>
              </w:rPr>
              <w:t> </w:t>
            </w:r>
            <w:r>
              <w:rPr>
                <w:sz w:val="16"/>
              </w:rPr>
              <w:t>de</w:t>
            </w:r>
            <w:r>
              <w:rPr>
                <w:spacing w:val="80"/>
                <w:sz w:val="16"/>
              </w:rPr>
              <w:t> </w:t>
            </w:r>
            <w:r>
              <w:rPr>
                <w:sz w:val="16"/>
              </w:rPr>
              <w:t>bulbo</w:t>
            </w:r>
            <w:r>
              <w:rPr>
                <w:spacing w:val="80"/>
                <w:sz w:val="16"/>
              </w:rPr>
              <w:t> </w:t>
            </w:r>
            <w:r>
              <w:rPr>
                <w:sz w:val="16"/>
              </w:rPr>
              <w:t>blanco</w:t>
            </w:r>
            <w:r>
              <w:rPr>
                <w:spacing w:val="80"/>
                <w:sz w:val="16"/>
              </w:rPr>
              <w:t> </w:t>
            </w:r>
            <w:r>
              <w:rPr>
                <w:sz w:val="16"/>
              </w:rPr>
              <w:t>(cabezona</w:t>
            </w:r>
            <w:r>
              <w:rPr>
                <w:spacing w:val="80"/>
                <w:sz w:val="16"/>
              </w:rPr>
              <w:t> </w:t>
            </w:r>
            <w:r>
              <w:rPr>
                <w:sz w:val="16"/>
              </w:rPr>
              <w:t>blanca) (Allium cepa L.), frescas o refrigeradas</w:t>
            </w:r>
          </w:p>
        </w:tc>
        <w:tc>
          <w:tcPr>
            <w:tcW w:w="1017" w:type="dxa"/>
          </w:tcPr>
          <w:p>
            <w:pPr>
              <w:pStyle w:val="TableParagraph"/>
              <w:spacing w:before="23"/>
              <w:rPr>
                <w:rFonts w:ascii="Arial"/>
                <w:b/>
                <w:sz w:val="16"/>
              </w:rPr>
            </w:pPr>
          </w:p>
          <w:p>
            <w:pPr>
              <w:pStyle w:val="TableParagraph"/>
              <w:ind w:left="14" w:right="2"/>
              <w:jc w:val="center"/>
              <w:rPr>
                <w:sz w:val="16"/>
              </w:rPr>
            </w:pPr>
            <w:r>
              <w:rPr>
                <w:spacing w:val="-2"/>
                <w:sz w:val="16"/>
              </w:rPr>
              <w:t>90,010</w:t>
            </w:r>
          </w:p>
        </w:tc>
        <w:tc>
          <w:tcPr>
            <w:tcW w:w="1018" w:type="dxa"/>
          </w:tcPr>
          <w:p>
            <w:pPr>
              <w:pStyle w:val="TableParagraph"/>
              <w:spacing w:before="23"/>
              <w:rPr>
                <w:rFonts w:ascii="Arial"/>
                <w:b/>
                <w:sz w:val="16"/>
              </w:rPr>
            </w:pPr>
          </w:p>
          <w:p>
            <w:pPr>
              <w:pStyle w:val="TableParagraph"/>
              <w:ind w:left="13" w:right="3"/>
              <w:jc w:val="center"/>
              <w:rPr>
                <w:sz w:val="16"/>
              </w:rPr>
            </w:pPr>
            <w:r>
              <w:rPr>
                <w:spacing w:val="-2"/>
                <w:sz w:val="16"/>
              </w:rPr>
              <w:t>342,534</w:t>
            </w:r>
          </w:p>
        </w:tc>
        <w:tc>
          <w:tcPr>
            <w:tcW w:w="1017" w:type="dxa"/>
          </w:tcPr>
          <w:p>
            <w:pPr>
              <w:pStyle w:val="TableParagraph"/>
              <w:spacing w:before="23"/>
              <w:rPr>
                <w:rFonts w:ascii="Arial"/>
                <w:b/>
                <w:sz w:val="16"/>
              </w:rPr>
            </w:pPr>
          </w:p>
          <w:p>
            <w:pPr>
              <w:pStyle w:val="TableParagraph"/>
              <w:ind w:left="14"/>
              <w:jc w:val="center"/>
              <w:rPr>
                <w:sz w:val="16"/>
              </w:rPr>
            </w:pPr>
            <w:r>
              <w:rPr>
                <w:spacing w:val="-2"/>
                <w:sz w:val="16"/>
              </w:rPr>
              <w:t>55,423</w:t>
            </w:r>
          </w:p>
        </w:tc>
        <w:tc>
          <w:tcPr>
            <w:tcW w:w="926" w:type="dxa"/>
          </w:tcPr>
          <w:p>
            <w:pPr>
              <w:pStyle w:val="TableParagraph"/>
              <w:rPr>
                <w:rFonts w:ascii="Times New Roman"/>
                <w:sz w:val="18"/>
              </w:rPr>
            </w:pPr>
          </w:p>
        </w:tc>
      </w:tr>
      <w:tr>
        <w:trPr>
          <w:trHeight w:val="902" w:hRule="atLeast"/>
        </w:trPr>
        <w:tc>
          <w:tcPr>
            <w:tcW w:w="1106" w:type="dxa"/>
          </w:tcPr>
          <w:p>
            <w:pPr>
              <w:pStyle w:val="TableParagraph"/>
              <w:spacing w:before="172"/>
              <w:rPr>
                <w:rFonts w:ascii="Arial"/>
                <w:b/>
                <w:sz w:val="16"/>
              </w:rPr>
            </w:pPr>
          </w:p>
          <w:p>
            <w:pPr>
              <w:pStyle w:val="TableParagraph"/>
              <w:ind w:left="10" w:right="3"/>
              <w:jc w:val="center"/>
              <w:rPr>
                <w:rFonts w:ascii="Arial"/>
                <w:b/>
                <w:sz w:val="16"/>
              </w:rPr>
            </w:pPr>
            <w:r>
              <w:rPr>
                <w:rFonts w:ascii="Arial"/>
                <w:b/>
                <w:spacing w:val="-2"/>
                <w:sz w:val="16"/>
              </w:rPr>
              <w:t>0713339900</w:t>
            </w:r>
          </w:p>
        </w:tc>
        <w:tc>
          <w:tcPr>
            <w:tcW w:w="3821" w:type="dxa"/>
          </w:tcPr>
          <w:p>
            <w:pPr>
              <w:pStyle w:val="TableParagraph"/>
              <w:spacing w:before="80"/>
              <w:ind w:left="108" w:right="94"/>
              <w:jc w:val="both"/>
              <w:rPr>
                <w:sz w:val="16"/>
              </w:rPr>
            </w:pPr>
            <w:r>
              <w:rPr>
                <w:sz w:val="16"/>
              </w:rPr>
              <w:t>Los demás frijoles (frejoles, porotos, alubias, judías) comunes (Phaseolus vulgaris), de vainas secas desvainados, aunque estén mondados o partidos, que no sean para la siembra</w:t>
            </w:r>
          </w:p>
        </w:tc>
        <w:tc>
          <w:tcPr>
            <w:tcW w:w="1017" w:type="dxa"/>
          </w:tcPr>
          <w:p>
            <w:pPr>
              <w:pStyle w:val="TableParagraph"/>
              <w:spacing w:before="172"/>
              <w:rPr>
                <w:rFonts w:ascii="Arial"/>
                <w:b/>
                <w:sz w:val="16"/>
              </w:rPr>
            </w:pPr>
          </w:p>
          <w:p>
            <w:pPr>
              <w:pStyle w:val="TableParagraph"/>
              <w:ind w:left="14" w:right="2"/>
              <w:jc w:val="center"/>
              <w:rPr>
                <w:sz w:val="16"/>
              </w:rPr>
            </w:pPr>
            <w:r>
              <w:rPr>
                <w:spacing w:val="-2"/>
                <w:sz w:val="16"/>
              </w:rPr>
              <w:t>11,220,849</w:t>
            </w:r>
          </w:p>
        </w:tc>
        <w:tc>
          <w:tcPr>
            <w:tcW w:w="1018" w:type="dxa"/>
          </w:tcPr>
          <w:p>
            <w:pPr>
              <w:pStyle w:val="TableParagraph"/>
              <w:spacing w:before="172"/>
              <w:rPr>
                <w:rFonts w:ascii="Arial"/>
                <w:b/>
                <w:sz w:val="16"/>
              </w:rPr>
            </w:pPr>
          </w:p>
          <w:p>
            <w:pPr>
              <w:pStyle w:val="TableParagraph"/>
              <w:ind w:left="13" w:right="1"/>
              <w:jc w:val="center"/>
              <w:rPr>
                <w:sz w:val="16"/>
              </w:rPr>
            </w:pPr>
            <w:r>
              <w:rPr>
                <w:spacing w:val="-2"/>
                <w:sz w:val="16"/>
              </w:rPr>
              <w:t>12,064,529</w:t>
            </w:r>
          </w:p>
        </w:tc>
        <w:tc>
          <w:tcPr>
            <w:tcW w:w="1017" w:type="dxa"/>
          </w:tcPr>
          <w:p>
            <w:pPr>
              <w:pStyle w:val="TableParagraph"/>
              <w:spacing w:before="172"/>
              <w:rPr>
                <w:rFonts w:ascii="Arial"/>
                <w:b/>
                <w:sz w:val="16"/>
              </w:rPr>
            </w:pPr>
          </w:p>
          <w:p>
            <w:pPr>
              <w:pStyle w:val="TableParagraph"/>
              <w:ind w:left="14"/>
              <w:jc w:val="center"/>
              <w:rPr>
                <w:sz w:val="16"/>
              </w:rPr>
            </w:pPr>
            <w:r>
              <w:rPr>
                <w:spacing w:val="-2"/>
                <w:sz w:val="16"/>
              </w:rPr>
              <w:t>12,156,475</w:t>
            </w:r>
          </w:p>
        </w:tc>
        <w:tc>
          <w:tcPr>
            <w:tcW w:w="926" w:type="dxa"/>
          </w:tcPr>
          <w:p>
            <w:pPr>
              <w:pStyle w:val="TableParagraph"/>
              <w:spacing w:before="172"/>
              <w:rPr>
                <w:rFonts w:ascii="Arial"/>
                <w:b/>
                <w:sz w:val="16"/>
              </w:rPr>
            </w:pPr>
          </w:p>
          <w:p>
            <w:pPr>
              <w:pStyle w:val="TableParagraph"/>
              <w:ind w:left="17"/>
              <w:jc w:val="center"/>
              <w:rPr>
                <w:sz w:val="16"/>
              </w:rPr>
            </w:pPr>
            <w:r>
              <w:rPr>
                <w:spacing w:val="-2"/>
                <w:sz w:val="16"/>
              </w:rPr>
              <w:t>769,517</w:t>
            </w:r>
          </w:p>
        </w:tc>
      </w:tr>
      <w:tr>
        <w:trPr>
          <w:trHeight w:val="734" w:hRule="atLeast"/>
        </w:trPr>
        <w:tc>
          <w:tcPr>
            <w:tcW w:w="1106" w:type="dxa"/>
          </w:tcPr>
          <w:p>
            <w:pPr>
              <w:pStyle w:val="TableParagraph"/>
              <w:spacing w:before="88"/>
              <w:rPr>
                <w:rFonts w:ascii="Arial"/>
                <w:b/>
                <w:sz w:val="16"/>
              </w:rPr>
            </w:pPr>
          </w:p>
          <w:p>
            <w:pPr>
              <w:pStyle w:val="TableParagraph"/>
              <w:ind w:left="10" w:right="3"/>
              <w:jc w:val="center"/>
              <w:rPr>
                <w:rFonts w:ascii="Arial"/>
                <w:b/>
                <w:sz w:val="16"/>
              </w:rPr>
            </w:pPr>
            <w:r>
              <w:rPr>
                <w:rFonts w:ascii="Arial"/>
                <w:b/>
                <w:spacing w:val="-2"/>
                <w:sz w:val="16"/>
              </w:rPr>
              <w:t>0713359000</w:t>
            </w:r>
          </w:p>
        </w:tc>
        <w:tc>
          <w:tcPr>
            <w:tcW w:w="3821" w:type="dxa"/>
          </w:tcPr>
          <w:p>
            <w:pPr>
              <w:pStyle w:val="TableParagraph"/>
              <w:ind w:left="108"/>
              <w:rPr>
                <w:sz w:val="16"/>
              </w:rPr>
            </w:pPr>
            <w:r>
              <w:rPr>
                <w:sz w:val="16"/>
              </w:rPr>
              <w:t>Los</w:t>
            </w:r>
            <w:r>
              <w:rPr>
                <w:spacing w:val="40"/>
                <w:sz w:val="16"/>
              </w:rPr>
              <w:t> </w:t>
            </w:r>
            <w:r>
              <w:rPr>
                <w:sz w:val="16"/>
              </w:rPr>
              <w:t>demás</w:t>
            </w:r>
            <w:r>
              <w:rPr>
                <w:spacing w:val="40"/>
                <w:sz w:val="16"/>
              </w:rPr>
              <w:t> </w:t>
            </w:r>
            <w:r>
              <w:rPr>
                <w:sz w:val="16"/>
              </w:rPr>
              <w:t>Frijoles</w:t>
            </w:r>
            <w:r>
              <w:rPr>
                <w:spacing w:val="40"/>
                <w:sz w:val="16"/>
              </w:rPr>
              <w:t> </w:t>
            </w:r>
            <w:r>
              <w:rPr>
                <w:sz w:val="16"/>
              </w:rPr>
              <w:t>(frejoles,</w:t>
            </w:r>
            <w:r>
              <w:rPr>
                <w:spacing w:val="40"/>
                <w:sz w:val="16"/>
              </w:rPr>
              <w:t> </w:t>
            </w:r>
            <w:r>
              <w:rPr>
                <w:sz w:val="16"/>
              </w:rPr>
              <w:t>porotos,</w:t>
            </w:r>
            <w:r>
              <w:rPr>
                <w:spacing w:val="40"/>
                <w:sz w:val="16"/>
              </w:rPr>
              <w:t> </w:t>
            </w:r>
            <w:r>
              <w:rPr>
                <w:sz w:val="16"/>
              </w:rPr>
              <w:t>alubias, </w:t>
            </w:r>
            <w:r>
              <w:rPr>
                <w:spacing w:val="-2"/>
                <w:sz w:val="16"/>
              </w:rPr>
              <w:t>judías)*</w:t>
            </w:r>
            <w:r>
              <w:rPr>
                <w:spacing w:val="-5"/>
                <w:sz w:val="16"/>
              </w:rPr>
              <w:t> </w:t>
            </w:r>
            <w:r>
              <w:rPr>
                <w:spacing w:val="-2"/>
                <w:sz w:val="16"/>
              </w:rPr>
              <w:t>salvajes</w:t>
            </w:r>
            <w:r>
              <w:rPr>
                <w:spacing w:val="1"/>
                <w:sz w:val="16"/>
              </w:rPr>
              <w:t> </w:t>
            </w:r>
            <w:r>
              <w:rPr>
                <w:spacing w:val="-2"/>
                <w:sz w:val="16"/>
              </w:rPr>
              <w:t>o</w:t>
            </w:r>
            <w:r>
              <w:rPr>
                <w:spacing w:val="-4"/>
                <w:sz w:val="16"/>
              </w:rPr>
              <w:t> </w:t>
            </w:r>
            <w:r>
              <w:rPr>
                <w:spacing w:val="-2"/>
                <w:sz w:val="16"/>
              </w:rPr>
              <w:t>caupí (Vigna</w:t>
            </w:r>
            <w:r>
              <w:rPr>
                <w:spacing w:val="-1"/>
                <w:sz w:val="16"/>
              </w:rPr>
              <w:t> </w:t>
            </w:r>
            <w:r>
              <w:rPr>
                <w:spacing w:val="-2"/>
                <w:sz w:val="16"/>
              </w:rPr>
              <w:t>unguiculata)</w:t>
            </w:r>
            <w:r>
              <w:rPr>
                <w:spacing w:val="-4"/>
                <w:sz w:val="16"/>
              </w:rPr>
              <w:t> </w:t>
            </w:r>
            <w:r>
              <w:rPr>
                <w:spacing w:val="-2"/>
                <w:sz w:val="16"/>
              </w:rPr>
              <w:t>secos,</w:t>
            </w:r>
          </w:p>
          <w:p>
            <w:pPr>
              <w:pStyle w:val="TableParagraph"/>
              <w:spacing w:line="182" w:lineRule="exact"/>
              <w:ind w:left="108" w:right="88"/>
              <w:rPr>
                <w:sz w:val="16"/>
              </w:rPr>
            </w:pPr>
            <w:r>
              <w:rPr>
                <w:sz w:val="16"/>
              </w:rPr>
              <w:t>que</w:t>
            </w:r>
            <w:r>
              <w:rPr>
                <w:spacing w:val="-12"/>
                <w:sz w:val="16"/>
              </w:rPr>
              <w:t> </w:t>
            </w:r>
            <w:r>
              <w:rPr>
                <w:sz w:val="16"/>
              </w:rPr>
              <w:t>no</w:t>
            </w:r>
            <w:r>
              <w:rPr>
                <w:spacing w:val="-11"/>
                <w:sz w:val="16"/>
              </w:rPr>
              <w:t> </w:t>
            </w:r>
            <w:r>
              <w:rPr>
                <w:sz w:val="16"/>
              </w:rPr>
              <w:t>sean</w:t>
            </w:r>
            <w:r>
              <w:rPr>
                <w:spacing w:val="-11"/>
                <w:sz w:val="16"/>
              </w:rPr>
              <w:t> </w:t>
            </w:r>
            <w:r>
              <w:rPr>
                <w:sz w:val="16"/>
              </w:rPr>
              <w:t>para</w:t>
            </w:r>
            <w:r>
              <w:rPr>
                <w:spacing w:val="-11"/>
                <w:sz w:val="16"/>
              </w:rPr>
              <w:t> </w:t>
            </w:r>
            <w:r>
              <w:rPr>
                <w:sz w:val="16"/>
              </w:rPr>
              <w:t>siembra</w:t>
            </w:r>
            <w:r>
              <w:rPr>
                <w:spacing w:val="-11"/>
                <w:sz w:val="16"/>
              </w:rPr>
              <w:t> </w:t>
            </w:r>
            <w:r>
              <w:rPr>
                <w:sz w:val="16"/>
              </w:rPr>
              <w:t>aunque</w:t>
            </w:r>
            <w:r>
              <w:rPr>
                <w:spacing w:val="-11"/>
                <w:sz w:val="16"/>
              </w:rPr>
              <w:t> </w:t>
            </w:r>
            <w:r>
              <w:rPr>
                <w:sz w:val="16"/>
              </w:rPr>
              <w:t>estén</w:t>
            </w:r>
            <w:r>
              <w:rPr>
                <w:spacing w:val="-11"/>
                <w:sz w:val="16"/>
              </w:rPr>
              <w:t> </w:t>
            </w:r>
            <w:r>
              <w:rPr>
                <w:sz w:val="16"/>
              </w:rPr>
              <w:t>mondadas o partidas</w:t>
            </w:r>
          </w:p>
        </w:tc>
        <w:tc>
          <w:tcPr>
            <w:tcW w:w="1017" w:type="dxa"/>
          </w:tcPr>
          <w:p>
            <w:pPr>
              <w:pStyle w:val="TableParagraph"/>
              <w:rPr>
                <w:rFonts w:ascii="Times New Roman"/>
                <w:sz w:val="18"/>
              </w:rPr>
            </w:pPr>
          </w:p>
        </w:tc>
        <w:tc>
          <w:tcPr>
            <w:tcW w:w="1018" w:type="dxa"/>
          </w:tcPr>
          <w:p>
            <w:pPr>
              <w:pStyle w:val="TableParagraph"/>
              <w:spacing w:before="88"/>
              <w:rPr>
                <w:rFonts w:ascii="Arial"/>
                <w:b/>
                <w:sz w:val="16"/>
              </w:rPr>
            </w:pPr>
          </w:p>
          <w:p>
            <w:pPr>
              <w:pStyle w:val="TableParagraph"/>
              <w:ind w:left="13"/>
              <w:jc w:val="center"/>
              <w:rPr>
                <w:sz w:val="16"/>
              </w:rPr>
            </w:pPr>
            <w:r>
              <w:rPr>
                <w:spacing w:val="-2"/>
                <w:sz w:val="16"/>
              </w:rPr>
              <w:t>45,425</w:t>
            </w:r>
          </w:p>
        </w:tc>
        <w:tc>
          <w:tcPr>
            <w:tcW w:w="1017" w:type="dxa"/>
          </w:tcPr>
          <w:p>
            <w:pPr>
              <w:pStyle w:val="TableParagraph"/>
              <w:rPr>
                <w:rFonts w:ascii="Times New Roman"/>
                <w:sz w:val="18"/>
              </w:rPr>
            </w:pPr>
          </w:p>
        </w:tc>
        <w:tc>
          <w:tcPr>
            <w:tcW w:w="926" w:type="dxa"/>
          </w:tcPr>
          <w:p>
            <w:pPr>
              <w:pStyle w:val="TableParagraph"/>
              <w:rPr>
                <w:rFonts w:ascii="Times New Roman"/>
                <w:sz w:val="18"/>
              </w:rPr>
            </w:pPr>
          </w:p>
        </w:tc>
      </w:tr>
      <w:tr>
        <w:trPr>
          <w:trHeight w:val="184" w:hRule="atLeast"/>
        </w:trPr>
        <w:tc>
          <w:tcPr>
            <w:tcW w:w="1106" w:type="dxa"/>
          </w:tcPr>
          <w:p>
            <w:pPr>
              <w:pStyle w:val="TableParagraph"/>
              <w:spacing w:line="164" w:lineRule="exact"/>
              <w:ind w:left="10" w:right="3"/>
              <w:jc w:val="center"/>
              <w:rPr>
                <w:rFonts w:ascii="Arial"/>
                <w:b/>
                <w:sz w:val="16"/>
              </w:rPr>
            </w:pPr>
            <w:r>
              <w:rPr>
                <w:rFonts w:ascii="Arial"/>
                <w:b/>
                <w:spacing w:val="-2"/>
                <w:sz w:val="16"/>
              </w:rPr>
              <w:t>0803101000</w:t>
            </w:r>
          </w:p>
        </w:tc>
        <w:tc>
          <w:tcPr>
            <w:tcW w:w="3821" w:type="dxa"/>
          </w:tcPr>
          <w:p>
            <w:pPr>
              <w:pStyle w:val="TableParagraph"/>
              <w:spacing w:line="164" w:lineRule="exact"/>
              <w:ind w:left="108"/>
              <w:rPr>
                <w:sz w:val="16"/>
              </w:rPr>
            </w:pPr>
            <w:r>
              <w:rPr>
                <w:sz w:val="16"/>
              </w:rPr>
              <w:t>Plátanos</w:t>
            </w:r>
            <w:r>
              <w:rPr>
                <w:spacing w:val="-7"/>
                <w:sz w:val="16"/>
              </w:rPr>
              <w:t> </w:t>
            </w:r>
            <w:r>
              <w:rPr>
                <w:sz w:val="16"/>
              </w:rPr>
              <w:t>"plantains",</w:t>
            </w:r>
            <w:r>
              <w:rPr>
                <w:spacing w:val="-8"/>
                <w:sz w:val="16"/>
              </w:rPr>
              <w:t> </w:t>
            </w:r>
            <w:r>
              <w:rPr>
                <w:spacing w:val="-2"/>
                <w:sz w:val="16"/>
              </w:rPr>
              <w:t>frescos</w:t>
            </w:r>
          </w:p>
        </w:tc>
        <w:tc>
          <w:tcPr>
            <w:tcW w:w="1017" w:type="dxa"/>
          </w:tcPr>
          <w:p>
            <w:pPr>
              <w:pStyle w:val="TableParagraph"/>
              <w:spacing w:line="164" w:lineRule="exact"/>
              <w:ind w:left="14" w:right="4"/>
              <w:jc w:val="center"/>
              <w:rPr>
                <w:sz w:val="16"/>
              </w:rPr>
            </w:pPr>
            <w:r>
              <w:rPr>
                <w:spacing w:val="-2"/>
                <w:sz w:val="16"/>
              </w:rPr>
              <w:t>1,398,770</w:t>
            </w:r>
          </w:p>
        </w:tc>
        <w:tc>
          <w:tcPr>
            <w:tcW w:w="1018" w:type="dxa"/>
          </w:tcPr>
          <w:p>
            <w:pPr>
              <w:pStyle w:val="TableParagraph"/>
              <w:spacing w:line="164" w:lineRule="exact"/>
              <w:ind w:left="13" w:right="3"/>
              <w:jc w:val="center"/>
              <w:rPr>
                <w:sz w:val="16"/>
              </w:rPr>
            </w:pPr>
            <w:r>
              <w:rPr>
                <w:spacing w:val="-2"/>
                <w:sz w:val="16"/>
              </w:rPr>
              <w:t>2,242,389</w:t>
            </w:r>
          </w:p>
        </w:tc>
        <w:tc>
          <w:tcPr>
            <w:tcW w:w="1017" w:type="dxa"/>
          </w:tcPr>
          <w:p>
            <w:pPr>
              <w:pStyle w:val="TableParagraph"/>
              <w:spacing w:line="164" w:lineRule="exact"/>
              <w:ind w:left="14" w:right="3"/>
              <w:jc w:val="center"/>
              <w:rPr>
                <w:sz w:val="16"/>
              </w:rPr>
            </w:pPr>
            <w:r>
              <w:rPr>
                <w:spacing w:val="-2"/>
                <w:sz w:val="16"/>
              </w:rPr>
              <w:t>414,814</w:t>
            </w:r>
          </w:p>
        </w:tc>
        <w:tc>
          <w:tcPr>
            <w:tcW w:w="926" w:type="dxa"/>
          </w:tcPr>
          <w:p>
            <w:pPr>
              <w:pStyle w:val="TableParagraph"/>
              <w:spacing w:line="164" w:lineRule="exact"/>
              <w:ind w:left="17"/>
              <w:jc w:val="center"/>
              <w:rPr>
                <w:sz w:val="16"/>
              </w:rPr>
            </w:pPr>
            <w:r>
              <w:rPr>
                <w:spacing w:val="-2"/>
                <w:sz w:val="16"/>
              </w:rPr>
              <w:t>624,087</w:t>
            </w:r>
          </w:p>
        </w:tc>
      </w:tr>
      <w:tr>
        <w:trPr>
          <w:trHeight w:val="184" w:hRule="atLeast"/>
        </w:trPr>
        <w:tc>
          <w:tcPr>
            <w:tcW w:w="1106" w:type="dxa"/>
          </w:tcPr>
          <w:p>
            <w:pPr>
              <w:pStyle w:val="TableParagraph"/>
              <w:spacing w:line="164" w:lineRule="exact"/>
              <w:ind w:left="10" w:right="3"/>
              <w:jc w:val="center"/>
              <w:rPr>
                <w:rFonts w:ascii="Arial"/>
                <w:b/>
                <w:sz w:val="16"/>
              </w:rPr>
            </w:pPr>
            <w:r>
              <w:rPr>
                <w:rFonts w:ascii="Arial"/>
                <w:b/>
                <w:spacing w:val="-2"/>
                <w:sz w:val="16"/>
              </w:rPr>
              <w:t>0803102000</w:t>
            </w:r>
          </w:p>
        </w:tc>
        <w:tc>
          <w:tcPr>
            <w:tcW w:w="3821" w:type="dxa"/>
          </w:tcPr>
          <w:p>
            <w:pPr>
              <w:pStyle w:val="TableParagraph"/>
              <w:spacing w:line="164" w:lineRule="exact"/>
              <w:ind w:left="108"/>
              <w:rPr>
                <w:sz w:val="16"/>
              </w:rPr>
            </w:pPr>
            <w:r>
              <w:rPr>
                <w:sz w:val="16"/>
              </w:rPr>
              <w:t>Plátanos</w:t>
            </w:r>
            <w:r>
              <w:rPr>
                <w:spacing w:val="-9"/>
                <w:sz w:val="16"/>
              </w:rPr>
              <w:t> </w:t>
            </w:r>
            <w:r>
              <w:rPr>
                <w:sz w:val="16"/>
              </w:rPr>
              <w:t>"plantains",</w:t>
            </w:r>
            <w:r>
              <w:rPr>
                <w:spacing w:val="-8"/>
                <w:sz w:val="16"/>
              </w:rPr>
              <w:t> </w:t>
            </w:r>
            <w:r>
              <w:rPr>
                <w:spacing w:val="-4"/>
                <w:sz w:val="16"/>
              </w:rPr>
              <w:t>secos</w:t>
            </w:r>
          </w:p>
        </w:tc>
        <w:tc>
          <w:tcPr>
            <w:tcW w:w="1017" w:type="dxa"/>
          </w:tcPr>
          <w:p>
            <w:pPr>
              <w:pStyle w:val="TableParagraph"/>
              <w:spacing w:line="164" w:lineRule="exact"/>
              <w:ind w:left="14" w:right="4"/>
              <w:jc w:val="center"/>
              <w:rPr>
                <w:sz w:val="16"/>
              </w:rPr>
            </w:pPr>
            <w:r>
              <w:rPr>
                <w:spacing w:val="-2"/>
                <w:sz w:val="16"/>
              </w:rPr>
              <w:t>195,693</w:t>
            </w:r>
          </w:p>
        </w:tc>
        <w:tc>
          <w:tcPr>
            <w:tcW w:w="1018" w:type="dxa"/>
          </w:tcPr>
          <w:p>
            <w:pPr>
              <w:pStyle w:val="TableParagraph"/>
              <w:spacing w:line="164" w:lineRule="exact"/>
              <w:ind w:left="13" w:right="3"/>
              <w:jc w:val="center"/>
              <w:rPr>
                <w:sz w:val="16"/>
              </w:rPr>
            </w:pPr>
            <w:r>
              <w:rPr>
                <w:spacing w:val="-2"/>
                <w:sz w:val="16"/>
              </w:rPr>
              <w:t>117,674</w:t>
            </w:r>
          </w:p>
        </w:tc>
        <w:tc>
          <w:tcPr>
            <w:tcW w:w="1017" w:type="dxa"/>
          </w:tcPr>
          <w:p>
            <w:pPr>
              <w:pStyle w:val="TableParagraph"/>
              <w:spacing w:line="164" w:lineRule="exact"/>
              <w:ind w:left="14"/>
              <w:jc w:val="center"/>
              <w:rPr>
                <w:sz w:val="16"/>
              </w:rPr>
            </w:pPr>
            <w:r>
              <w:rPr>
                <w:spacing w:val="-2"/>
                <w:sz w:val="16"/>
              </w:rPr>
              <w:t>75,467</w:t>
            </w:r>
          </w:p>
        </w:tc>
        <w:tc>
          <w:tcPr>
            <w:tcW w:w="926" w:type="dxa"/>
          </w:tcPr>
          <w:p>
            <w:pPr>
              <w:pStyle w:val="TableParagraph"/>
              <w:spacing w:line="164" w:lineRule="exact"/>
              <w:ind w:left="17" w:right="2"/>
              <w:jc w:val="center"/>
              <w:rPr>
                <w:sz w:val="16"/>
              </w:rPr>
            </w:pPr>
            <w:r>
              <w:rPr>
                <w:spacing w:val="-2"/>
                <w:sz w:val="16"/>
              </w:rPr>
              <w:t>25,560</w:t>
            </w:r>
          </w:p>
        </w:tc>
      </w:tr>
      <w:tr>
        <w:trPr>
          <w:trHeight w:val="369" w:hRule="atLeast"/>
        </w:trPr>
        <w:tc>
          <w:tcPr>
            <w:tcW w:w="1106" w:type="dxa"/>
          </w:tcPr>
          <w:p>
            <w:pPr>
              <w:pStyle w:val="TableParagraph"/>
              <w:spacing w:before="90"/>
              <w:ind w:left="10" w:right="3"/>
              <w:jc w:val="center"/>
              <w:rPr>
                <w:rFonts w:ascii="Arial"/>
                <w:b/>
                <w:sz w:val="16"/>
              </w:rPr>
            </w:pPr>
            <w:r>
              <w:rPr>
                <w:rFonts w:ascii="Arial"/>
                <w:b/>
                <w:spacing w:val="-2"/>
                <w:sz w:val="16"/>
              </w:rPr>
              <w:t>0803901200</w:t>
            </w:r>
          </w:p>
        </w:tc>
        <w:tc>
          <w:tcPr>
            <w:tcW w:w="3821" w:type="dxa"/>
          </w:tcPr>
          <w:p>
            <w:pPr>
              <w:pStyle w:val="TableParagraph"/>
              <w:spacing w:line="184" w:lineRule="exact"/>
              <w:ind w:left="108"/>
              <w:rPr>
                <w:sz w:val="16"/>
              </w:rPr>
            </w:pPr>
            <w:r>
              <w:rPr>
                <w:sz w:val="16"/>
              </w:rPr>
              <w:t>Bocadillo</w:t>
            </w:r>
            <w:r>
              <w:rPr>
                <w:spacing w:val="40"/>
                <w:sz w:val="16"/>
              </w:rPr>
              <w:t> </w:t>
            </w:r>
            <w:r>
              <w:rPr>
                <w:sz w:val="16"/>
              </w:rPr>
              <w:t>(manzanito,</w:t>
            </w:r>
            <w:r>
              <w:rPr>
                <w:spacing w:val="40"/>
                <w:sz w:val="16"/>
              </w:rPr>
              <w:t> </w:t>
            </w:r>
            <w:r>
              <w:rPr>
                <w:sz w:val="16"/>
              </w:rPr>
              <w:t>orito)</w:t>
            </w:r>
            <w:r>
              <w:rPr>
                <w:spacing w:val="40"/>
                <w:sz w:val="16"/>
              </w:rPr>
              <w:t> </w:t>
            </w:r>
            <w:r>
              <w:rPr>
                <w:sz w:val="16"/>
              </w:rPr>
              <w:t>(Musa</w:t>
            </w:r>
            <w:r>
              <w:rPr>
                <w:spacing w:val="40"/>
                <w:sz w:val="16"/>
              </w:rPr>
              <w:t> </w:t>
            </w:r>
            <w:r>
              <w:rPr>
                <w:sz w:val="16"/>
              </w:rPr>
              <w:t>acuminata), </w:t>
            </w:r>
            <w:r>
              <w:rPr>
                <w:spacing w:val="-2"/>
                <w:sz w:val="16"/>
              </w:rPr>
              <w:t>frescos</w:t>
            </w:r>
          </w:p>
        </w:tc>
        <w:tc>
          <w:tcPr>
            <w:tcW w:w="1017" w:type="dxa"/>
          </w:tcPr>
          <w:p>
            <w:pPr>
              <w:pStyle w:val="TableParagraph"/>
              <w:spacing w:before="90"/>
              <w:ind w:left="14" w:right="4"/>
              <w:jc w:val="center"/>
              <w:rPr>
                <w:sz w:val="16"/>
              </w:rPr>
            </w:pPr>
            <w:r>
              <w:rPr>
                <w:spacing w:val="-2"/>
                <w:sz w:val="16"/>
              </w:rPr>
              <w:t>280,618</w:t>
            </w:r>
          </w:p>
        </w:tc>
        <w:tc>
          <w:tcPr>
            <w:tcW w:w="1018" w:type="dxa"/>
          </w:tcPr>
          <w:p>
            <w:pPr>
              <w:pStyle w:val="TableParagraph"/>
              <w:spacing w:before="90"/>
              <w:ind w:left="13" w:right="3"/>
              <w:jc w:val="center"/>
              <w:rPr>
                <w:sz w:val="16"/>
              </w:rPr>
            </w:pPr>
            <w:r>
              <w:rPr>
                <w:spacing w:val="-2"/>
                <w:sz w:val="16"/>
              </w:rPr>
              <w:t>365,016</w:t>
            </w:r>
          </w:p>
        </w:tc>
        <w:tc>
          <w:tcPr>
            <w:tcW w:w="1017" w:type="dxa"/>
          </w:tcPr>
          <w:p>
            <w:pPr>
              <w:pStyle w:val="TableParagraph"/>
              <w:spacing w:before="90"/>
              <w:ind w:left="14" w:right="3"/>
              <w:jc w:val="center"/>
              <w:rPr>
                <w:sz w:val="16"/>
              </w:rPr>
            </w:pPr>
            <w:r>
              <w:rPr>
                <w:spacing w:val="-2"/>
                <w:sz w:val="16"/>
              </w:rPr>
              <w:t>155,373</w:t>
            </w:r>
          </w:p>
        </w:tc>
        <w:tc>
          <w:tcPr>
            <w:tcW w:w="926" w:type="dxa"/>
          </w:tcPr>
          <w:p>
            <w:pPr>
              <w:pStyle w:val="TableParagraph"/>
              <w:spacing w:before="90"/>
              <w:ind w:left="17" w:right="2"/>
              <w:jc w:val="center"/>
              <w:rPr>
                <w:sz w:val="16"/>
              </w:rPr>
            </w:pPr>
            <w:r>
              <w:rPr>
                <w:spacing w:val="-2"/>
                <w:sz w:val="16"/>
              </w:rPr>
              <w:t>20,075</w:t>
            </w:r>
          </w:p>
        </w:tc>
      </w:tr>
      <w:tr>
        <w:trPr>
          <w:trHeight w:val="299" w:hRule="atLeast"/>
        </w:trPr>
        <w:tc>
          <w:tcPr>
            <w:tcW w:w="1106" w:type="dxa"/>
          </w:tcPr>
          <w:p>
            <w:pPr>
              <w:pStyle w:val="TableParagraph"/>
              <w:spacing w:before="56"/>
              <w:ind w:left="10" w:right="3"/>
              <w:jc w:val="center"/>
              <w:rPr>
                <w:rFonts w:ascii="Arial"/>
                <w:b/>
                <w:sz w:val="16"/>
              </w:rPr>
            </w:pPr>
            <w:r>
              <w:rPr>
                <w:rFonts w:ascii="Arial"/>
                <w:b/>
                <w:spacing w:val="-2"/>
                <w:sz w:val="16"/>
              </w:rPr>
              <w:t>0804400010</w:t>
            </w:r>
          </w:p>
        </w:tc>
        <w:tc>
          <w:tcPr>
            <w:tcW w:w="3821" w:type="dxa"/>
          </w:tcPr>
          <w:p>
            <w:pPr>
              <w:pStyle w:val="TableParagraph"/>
              <w:spacing w:before="56"/>
              <w:ind w:left="108"/>
              <w:rPr>
                <w:sz w:val="16"/>
              </w:rPr>
            </w:pPr>
            <w:r>
              <w:rPr>
                <w:spacing w:val="-2"/>
                <w:sz w:val="16"/>
              </w:rPr>
              <w:t>Aguacates</w:t>
            </w:r>
            <w:r>
              <w:rPr>
                <w:sz w:val="16"/>
              </w:rPr>
              <w:t> </w:t>
            </w:r>
            <w:r>
              <w:rPr>
                <w:spacing w:val="-2"/>
                <w:sz w:val="16"/>
              </w:rPr>
              <w:t>(paltas),</w:t>
            </w:r>
            <w:r>
              <w:rPr>
                <w:spacing w:val="-1"/>
                <w:sz w:val="16"/>
              </w:rPr>
              <w:t> </w:t>
            </w:r>
            <w:r>
              <w:rPr>
                <w:spacing w:val="-2"/>
                <w:sz w:val="16"/>
              </w:rPr>
              <w:t>variedad</w:t>
            </w:r>
            <w:r>
              <w:rPr>
                <w:sz w:val="16"/>
              </w:rPr>
              <w:t> </w:t>
            </w:r>
            <w:r>
              <w:rPr>
                <w:spacing w:val="-2"/>
                <w:sz w:val="16"/>
              </w:rPr>
              <w:t>Hass,</w:t>
            </w:r>
            <w:r>
              <w:rPr>
                <w:sz w:val="16"/>
              </w:rPr>
              <w:t> </w:t>
            </w:r>
            <w:r>
              <w:rPr>
                <w:spacing w:val="-2"/>
                <w:sz w:val="16"/>
              </w:rPr>
              <w:t>frescos</w:t>
            </w:r>
            <w:r>
              <w:rPr>
                <w:spacing w:val="1"/>
                <w:sz w:val="16"/>
              </w:rPr>
              <w:t> </w:t>
            </w:r>
            <w:r>
              <w:rPr>
                <w:spacing w:val="-2"/>
                <w:sz w:val="16"/>
              </w:rPr>
              <w:t>o</w:t>
            </w:r>
            <w:r>
              <w:rPr>
                <w:spacing w:val="-3"/>
                <w:sz w:val="16"/>
              </w:rPr>
              <w:t> </w:t>
            </w:r>
            <w:r>
              <w:rPr>
                <w:spacing w:val="-4"/>
                <w:sz w:val="16"/>
              </w:rPr>
              <w:t>secos</w:t>
            </w:r>
          </w:p>
        </w:tc>
        <w:tc>
          <w:tcPr>
            <w:tcW w:w="1017" w:type="dxa"/>
          </w:tcPr>
          <w:p>
            <w:pPr>
              <w:pStyle w:val="TableParagraph"/>
              <w:spacing w:before="56"/>
              <w:ind w:left="14" w:right="4"/>
              <w:jc w:val="center"/>
              <w:rPr>
                <w:sz w:val="16"/>
              </w:rPr>
            </w:pPr>
            <w:r>
              <w:rPr>
                <w:spacing w:val="-2"/>
                <w:sz w:val="16"/>
              </w:rPr>
              <w:t>168,271</w:t>
            </w:r>
          </w:p>
        </w:tc>
        <w:tc>
          <w:tcPr>
            <w:tcW w:w="1018" w:type="dxa"/>
          </w:tcPr>
          <w:p>
            <w:pPr>
              <w:pStyle w:val="TableParagraph"/>
              <w:spacing w:before="56"/>
              <w:ind w:left="13" w:right="3"/>
              <w:jc w:val="center"/>
              <w:rPr>
                <w:sz w:val="16"/>
              </w:rPr>
            </w:pPr>
            <w:r>
              <w:rPr>
                <w:spacing w:val="-2"/>
                <w:sz w:val="16"/>
              </w:rPr>
              <w:t>152,685</w:t>
            </w:r>
          </w:p>
        </w:tc>
        <w:tc>
          <w:tcPr>
            <w:tcW w:w="1017" w:type="dxa"/>
          </w:tcPr>
          <w:p>
            <w:pPr>
              <w:pStyle w:val="TableParagraph"/>
              <w:spacing w:before="56"/>
              <w:ind w:left="14" w:right="3"/>
              <w:jc w:val="center"/>
              <w:rPr>
                <w:sz w:val="16"/>
              </w:rPr>
            </w:pPr>
            <w:r>
              <w:rPr>
                <w:spacing w:val="-2"/>
                <w:sz w:val="16"/>
              </w:rPr>
              <w:t>380,283</w:t>
            </w:r>
          </w:p>
        </w:tc>
        <w:tc>
          <w:tcPr>
            <w:tcW w:w="926" w:type="dxa"/>
          </w:tcPr>
          <w:p>
            <w:pPr>
              <w:pStyle w:val="TableParagraph"/>
              <w:spacing w:before="56"/>
              <w:ind w:left="17" w:right="2"/>
              <w:jc w:val="center"/>
              <w:rPr>
                <w:sz w:val="16"/>
              </w:rPr>
            </w:pPr>
            <w:r>
              <w:rPr>
                <w:spacing w:val="-2"/>
                <w:sz w:val="16"/>
              </w:rPr>
              <w:t>34,864</w:t>
            </w:r>
          </w:p>
        </w:tc>
      </w:tr>
      <w:tr>
        <w:trPr>
          <w:trHeight w:val="366" w:hRule="atLeast"/>
        </w:trPr>
        <w:tc>
          <w:tcPr>
            <w:tcW w:w="1106" w:type="dxa"/>
          </w:tcPr>
          <w:p>
            <w:pPr>
              <w:pStyle w:val="TableParagraph"/>
              <w:spacing w:before="90"/>
              <w:ind w:left="10" w:right="3"/>
              <w:jc w:val="center"/>
              <w:rPr>
                <w:rFonts w:ascii="Arial"/>
                <w:b/>
                <w:sz w:val="16"/>
              </w:rPr>
            </w:pPr>
            <w:r>
              <w:rPr>
                <w:rFonts w:ascii="Arial"/>
                <w:b/>
                <w:spacing w:val="-2"/>
                <w:sz w:val="16"/>
              </w:rPr>
              <w:t>0810901020</w:t>
            </w:r>
          </w:p>
        </w:tc>
        <w:tc>
          <w:tcPr>
            <w:tcW w:w="3821" w:type="dxa"/>
          </w:tcPr>
          <w:p>
            <w:pPr>
              <w:pStyle w:val="TableParagraph"/>
              <w:spacing w:line="182" w:lineRule="exact"/>
              <w:ind w:left="108"/>
              <w:rPr>
                <w:sz w:val="16"/>
              </w:rPr>
            </w:pPr>
            <w:r>
              <w:rPr>
                <w:sz w:val="16"/>
              </w:rPr>
              <w:t>Maracuyá</w:t>
            </w:r>
            <w:r>
              <w:rPr>
                <w:spacing w:val="80"/>
                <w:sz w:val="16"/>
              </w:rPr>
              <w:t> </w:t>
            </w:r>
            <w:r>
              <w:rPr>
                <w:sz w:val="16"/>
              </w:rPr>
              <w:t>(parchita)</w:t>
            </w:r>
            <w:r>
              <w:rPr>
                <w:spacing w:val="80"/>
                <w:sz w:val="16"/>
              </w:rPr>
              <w:t> </w:t>
            </w:r>
            <w:r>
              <w:rPr>
                <w:sz w:val="16"/>
              </w:rPr>
              <w:t>(Passif/ora</w:t>
            </w:r>
            <w:r>
              <w:rPr>
                <w:spacing w:val="80"/>
                <w:sz w:val="16"/>
              </w:rPr>
              <w:t> </w:t>
            </w:r>
            <w:r>
              <w:rPr>
                <w:sz w:val="16"/>
              </w:rPr>
              <w:t>edulis</w:t>
            </w:r>
            <w:r>
              <w:rPr>
                <w:spacing w:val="80"/>
                <w:sz w:val="16"/>
              </w:rPr>
              <w:t> </w:t>
            </w:r>
            <w:r>
              <w:rPr>
                <w:sz w:val="16"/>
              </w:rPr>
              <w:t>varo</w:t>
            </w:r>
            <w:r>
              <w:rPr>
                <w:spacing w:val="40"/>
                <w:sz w:val="16"/>
              </w:rPr>
              <w:t> </w:t>
            </w:r>
            <w:r>
              <w:rPr>
                <w:sz w:val="16"/>
              </w:rPr>
              <w:t>Flavicarpa), frescas</w:t>
            </w:r>
          </w:p>
        </w:tc>
        <w:tc>
          <w:tcPr>
            <w:tcW w:w="1017" w:type="dxa"/>
          </w:tcPr>
          <w:p>
            <w:pPr>
              <w:pStyle w:val="TableParagraph"/>
              <w:spacing w:before="90"/>
              <w:ind w:left="14" w:right="4"/>
              <w:jc w:val="center"/>
              <w:rPr>
                <w:sz w:val="16"/>
              </w:rPr>
            </w:pPr>
            <w:r>
              <w:rPr>
                <w:spacing w:val="-2"/>
                <w:sz w:val="16"/>
              </w:rPr>
              <w:t>1,147,619</w:t>
            </w:r>
          </w:p>
        </w:tc>
        <w:tc>
          <w:tcPr>
            <w:tcW w:w="1018" w:type="dxa"/>
          </w:tcPr>
          <w:p>
            <w:pPr>
              <w:pStyle w:val="TableParagraph"/>
              <w:spacing w:before="90"/>
              <w:ind w:left="13" w:right="3"/>
              <w:jc w:val="center"/>
              <w:rPr>
                <w:sz w:val="16"/>
              </w:rPr>
            </w:pPr>
            <w:r>
              <w:rPr>
                <w:spacing w:val="-2"/>
                <w:sz w:val="16"/>
              </w:rPr>
              <w:t>347,151</w:t>
            </w:r>
          </w:p>
        </w:tc>
        <w:tc>
          <w:tcPr>
            <w:tcW w:w="1017" w:type="dxa"/>
          </w:tcPr>
          <w:p>
            <w:pPr>
              <w:pStyle w:val="TableParagraph"/>
              <w:spacing w:before="90"/>
              <w:ind w:left="14" w:right="3"/>
              <w:jc w:val="center"/>
              <w:rPr>
                <w:sz w:val="16"/>
              </w:rPr>
            </w:pPr>
            <w:r>
              <w:rPr>
                <w:spacing w:val="-2"/>
                <w:sz w:val="16"/>
              </w:rPr>
              <w:t>1,072,468</w:t>
            </w:r>
          </w:p>
        </w:tc>
        <w:tc>
          <w:tcPr>
            <w:tcW w:w="926" w:type="dxa"/>
          </w:tcPr>
          <w:p>
            <w:pPr>
              <w:pStyle w:val="TableParagraph"/>
              <w:spacing w:before="90"/>
              <w:ind w:left="17"/>
              <w:jc w:val="center"/>
              <w:rPr>
                <w:sz w:val="16"/>
              </w:rPr>
            </w:pPr>
            <w:r>
              <w:rPr>
                <w:spacing w:val="-2"/>
                <w:sz w:val="16"/>
              </w:rPr>
              <w:t>320,698</w:t>
            </w:r>
          </w:p>
        </w:tc>
      </w:tr>
      <w:tr>
        <w:trPr>
          <w:trHeight w:val="184" w:hRule="atLeast"/>
        </w:trPr>
        <w:tc>
          <w:tcPr>
            <w:tcW w:w="4927" w:type="dxa"/>
            <w:gridSpan w:val="2"/>
          </w:tcPr>
          <w:p>
            <w:pPr>
              <w:pStyle w:val="TableParagraph"/>
              <w:spacing w:line="164" w:lineRule="exact"/>
              <w:ind w:left="107"/>
              <w:rPr>
                <w:rFonts w:ascii="Arial"/>
                <w:b/>
                <w:sz w:val="16"/>
              </w:rPr>
            </w:pPr>
            <w:r>
              <w:rPr>
                <w:rFonts w:ascii="Arial"/>
                <w:b/>
                <w:spacing w:val="-2"/>
                <w:sz w:val="16"/>
              </w:rPr>
              <w:t>Total</w:t>
            </w:r>
          </w:p>
        </w:tc>
        <w:tc>
          <w:tcPr>
            <w:tcW w:w="1017" w:type="dxa"/>
          </w:tcPr>
          <w:p>
            <w:pPr>
              <w:pStyle w:val="TableParagraph"/>
              <w:spacing w:line="164" w:lineRule="exact"/>
              <w:ind w:left="14" w:right="2"/>
              <w:jc w:val="center"/>
              <w:rPr>
                <w:rFonts w:ascii="Arial"/>
                <w:b/>
                <w:sz w:val="16"/>
              </w:rPr>
            </w:pPr>
            <w:r>
              <w:rPr>
                <w:rFonts w:ascii="Arial"/>
                <w:b/>
                <w:spacing w:val="-2"/>
                <w:sz w:val="16"/>
              </w:rPr>
              <w:t>14,528,222</w:t>
            </w:r>
          </w:p>
        </w:tc>
        <w:tc>
          <w:tcPr>
            <w:tcW w:w="1018" w:type="dxa"/>
          </w:tcPr>
          <w:p>
            <w:pPr>
              <w:pStyle w:val="TableParagraph"/>
              <w:spacing w:line="164" w:lineRule="exact"/>
              <w:ind w:left="13" w:right="1"/>
              <w:jc w:val="center"/>
              <w:rPr>
                <w:rFonts w:ascii="Arial"/>
                <w:b/>
                <w:sz w:val="16"/>
              </w:rPr>
            </w:pPr>
            <w:r>
              <w:rPr>
                <w:rFonts w:ascii="Arial"/>
                <w:b/>
                <w:spacing w:val="-2"/>
                <w:sz w:val="16"/>
              </w:rPr>
              <w:t>15,707,783</w:t>
            </w:r>
          </w:p>
        </w:tc>
        <w:tc>
          <w:tcPr>
            <w:tcW w:w="1017" w:type="dxa"/>
          </w:tcPr>
          <w:p>
            <w:pPr>
              <w:pStyle w:val="TableParagraph"/>
              <w:spacing w:line="164" w:lineRule="exact"/>
              <w:ind w:left="14"/>
              <w:jc w:val="center"/>
              <w:rPr>
                <w:rFonts w:ascii="Arial"/>
                <w:b/>
                <w:sz w:val="16"/>
              </w:rPr>
            </w:pPr>
            <w:r>
              <w:rPr>
                <w:rFonts w:ascii="Arial"/>
                <w:b/>
                <w:spacing w:val="-2"/>
                <w:sz w:val="16"/>
              </w:rPr>
              <w:t>14,389,420</w:t>
            </w:r>
          </w:p>
        </w:tc>
        <w:tc>
          <w:tcPr>
            <w:tcW w:w="926" w:type="dxa"/>
          </w:tcPr>
          <w:p>
            <w:pPr>
              <w:pStyle w:val="TableParagraph"/>
              <w:spacing w:line="164" w:lineRule="exact"/>
              <w:ind w:left="17"/>
              <w:jc w:val="center"/>
              <w:rPr>
                <w:rFonts w:ascii="Arial"/>
                <w:b/>
                <w:sz w:val="16"/>
              </w:rPr>
            </w:pPr>
            <w:r>
              <w:rPr>
                <w:rFonts w:ascii="Arial"/>
                <w:b/>
                <w:spacing w:val="-2"/>
                <w:sz w:val="16"/>
              </w:rPr>
              <w:t>1,799,380</w:t>
            </w:r>
          </w:p>
        </w:tc>
      </w:tr>
    </w:tbl>
    <w:p>
      <w:pPr>
        <w:spacing w:before="4"/>
        <w:ind w:left="1288" w:right="6616" w:firstLine="0"/>
        <w:jc w:val="left"/>
        <w:rPr>
          <w:rFonts w:ascii="Arial" w:hAnsi="Arial"/>
          <w:b/>
          <w:sz w:val="16"/>
        </w:rPr>
      </w:pPr>
      <w:r>
        <w:rPr>
          <w:rFonts w:ascii="Arial" w:hAnsi="Arial"/>
          <w:b/>
          <w:sz w:val="16"/>
        </w:rPr>
        <w:t>Fuente:</w:t>
      </w:r>
      <w:r>
        <w:rPr>
          <w:rFonts w:ascii="Arial" w:hAnsi="Arial"/>
          <w:b/>
          <w:spacing w:val="-12"/>
          <w:sz w:val="16"/>
        </w:rPr>
        <w:t> </w:t>
      </w:r>
      <w:r>
        <w:rPr>
          <w:rFonts w:ascii="Arial" w:hAnsi="Arial"/>
          <w:b/>
          <w:sz w:val="16"/>
        </w:rPr>
        <w:t>Datos</w:t>
      </w:r>
      <w:r>
        <w:rPr>
          <w:rFonts w:ascii="Arial" w:hAnsi="Arial"/>
          <w:b/>
          <w:spacing w:val="-11"/>
          <w:sz w:val="16"/>
        </w:rPr>
        <w:t> </w:t>
      </w:r>
      <w:r>
        <w:rPr>
          <w:rFonts w:ascii="Arial" w:hAnsi="Arial"/>
          <w:b/>
          <w:sz w:val="16"/>
        </w:rPr>
        <w:t>DANE-</w:t>
      </w:r>
      <w:r>
        <w:rPr>
          <w:rFonts w:ascii="Arial" w:hAnsi="Arial"/>
          <w:b/>
          <w:sz w:val="16"/>
        </w:rPr>
        <w:t>DIAN. Elaboración: SGCAN.</w:t>
      </w:r>
    </w:p>
    <w:p>
      <w:pPr>
        <w:pStyle w:val="BodyText"/>
        <w:spacing w:before="68"/>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La Tabla</w:t>
      </w:r>
      <w:r>
        <w:rPr>
          <w:spacing w:val="-2"/>
          <w:sz w:val="22"/>
        </w:rPr>
        <w:t> </w:t>
      </w:r>
      <w:r>
        <w:rPr>
          <w:sz w:val="22"/>
        </w:rPr>
        <w:t>No.</w:t>
      </w:r>
      <w:r>
        <w:rPr>
          <w:spacing w:val="-1"/>
          <w:sz w:val="22"/>
        </w:rPr>
        <w:t> </w:t>
      </w:r>
      <w:r>
        <w:rPr>
          <w:sz w:val="22"/>
        </w:rPr>
        <w:t>15</w:t>
      </w:r>
      <w:r>
        <w:rPr>
          <w:spacing w:val="-1"/>
          <w:sz w:val="22"/>
        </w:rPr>
        <w:t> </w:t>
      </w:r>
      <w:r>
        <w:rPr>
          <w:sz w:val="22"/>
        </w:rPr>
        <w:t>evidencia que</w:t>
      </w:r>
      <w:r>
        <w:rPr>
          <w:spacing w:val="-2"/>
          <w:sz w:val="22"/>
        </w:rPr>
        <w:t> </w:t>
      </w:r>
      <w:r>
        <w:rPr>
          <w:sz w:val="22"/>
        </w:rPr>
        <w:t>el</w:t>
      </w:r>
      <w:r>
        <w:rPr>
          <w:spacing w:val="-3"/>
          <w:sz w:val="22"/>
        </w:rPr>
        <w:t> </w:t>
      </w:r>
      <w:r>
        <w:rPr>
          <w:sz w:val="22"/>
        </w:rPr>
        <w:t>producto</w:t>
      </w:r>
      <w:r>
        <w:rPr>
          <w:spacing w:val="-2"/>
          <w:sz w:val="22"/>
        </w:rPr>
        <w:t> </w:t>
      </w:r>
      <w:r>
        <w:rPr>
          <w:sz w:val="22"/>
        </w:rPr>
        <w:t>con</w:t>
      </w:r>
      <w:r>
        <w:rPr>
          <w:spacing w:val="-4"/>
          <w:sz w:val="22"/>
        </w:rPr>
        <w:t> </w:t>
      </w:r>
      <w:r>
        <w:rPr>
          <w:sz w:val="22"/>
        </w:rPr>
        <w:t>mayor</w:t>
      </w:r>
      <w:r>
        <w:rPr>
          <w:spacing w:val="-1"/>
          <w:sz w:val="22"/>
        </w:rPr>
        <w:t> </w:t>
      </w:r>
      <w:r>
        <w:rPr>
          <w:sz w:val="22"/>
        </w:rPr>
        <w:t>valor</w:t>
      </w:r>
      <w:r>
        <w:rPr>
          <w:spacing w:val="-1"/>
          <w:sz w:val="22"/>
        </w:rPr>
        <w:t> </w:t>
      </w:r>
      <w:r>
        <w:rPr>
          <w:sz w:val="22"/>
        </w:rPr>
        <w:t>de</w:t>
      </w:r>
      <w:r>
        <w:rPr>
          <w:spacing w:val="-2"/>
          <w:sz w:val="22"/>
        </w:rPr>
        <w:t> </w:t>
      </w:r>
      <w:r>
        <w:rPr>
          <w:sz w:val="22"/>
        </w:rPr>
        <w:t>comercio corresponde</w:t>
      </w:r>
      <w:r>
        <w:rPr>
          <w:spacing w:val="-2"/>
          <w:sz w:val="22"/>
        </w:rPr>
        <w:t> </w:t>
      </w:r>
      <w:r>
        <w:rPr>
          <w:sz w:val="22"/>
        </w:rPr>
        <w:t>a los frijoles, que, en el 2025, con un valor de 12.1 millones de dólares, representó el 84.5% del total importado de estos productos.</w:t>
      </w:r>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83" w:hanging="567"/>
        <w:jc w:val="both"/>
        <w:rPr>
          <w:sz w:val="22"/>
        </w:rPr>
      </w:pPr>
      <w:r>
        <w:rPr>
          <w:sz w:val="22"/>
        </w:rPr>
        <w:t>De la información revisada, se pudo determinar que la medida impidió (suspender o prohibir) las importaciones de los productos frescos agrícolas provenientes de la República del Ecuador.</w:t>
      </w:r>
    </w:p>
    <w:p>
      <w:pPr>
        <w:pStyle w:val="ListParagraph"/>
        <w:numPr>
          <w:ilvl w:val="0"/>
          <w:numId w:val="104"/>
        </w:numPr>
        <w:tabs>
          <w:tab w:pos="1273" w:val="left" w:leader="none"/>
        </w:tabs>
        <w:spacing w:line="240" w:lineRule="auto" w:before="251" w:after="0"/>
        <w:ind w:left="1273" w:right="0" w:hanging="345"/>
        <w:jc w:val="left"/>
        <w:rPr>
          <w:rFonts w:ascii="Arial" w:hAnsi="Arial"/>
          <w:i/>
          <w:sz w:val="22"/>
        </w:rPr>
      </w:pPr>
      <w:r>
        <w:rPr>
          <w:rFonts w:ascii="Arial" w:hAnsi="Arial"/>
          <w:i/>
          <w:spacing w:val="-2"/>
          <w:sz w:val="22"/>
          <w:u w:val="single"/>
        </w:rPr>
        <w:t>Análisis</w:t>
      </w:r>
      <w:r>
        <w:rPr>
          <w:rFonts w:ascii="Arial" w:hAnsi="Arial"/>
          <w:i/>
          <w:spacing w:val="-7"/>
          <w:sz w:val="22"/>
          <w:u w:val="single"/>
        </w:rPr>
        <w:t> </w:t>
      </w:r>
      <w:r>
        <w:rPr>
          <w:rFonts w:ascii="Arial" w:hAnsi="Arial"/>
          <w:i/>
          <w:spacing w:val="-2"/>
          <w:sz w:val="22"/>
          <w:u w:val="single"/>
        </w:rPr>
        <w:t>para</w:t>
      </w:r>
      <w:r>
        <w:rPr>
          <w:rFonts w:ascii="Arial" w:hAnsi="Arial"/>
          <w:i/>
          <w:spacing w:val="-6"/>
          <w:sz w:val="22"/>
          <w:u w:val="single"/>
        </w:rPr>
        <w:t> </w:t>
      </w:r>
      <w:r>
        <w:rPr>
          <w:rFonts w:ascii="Arial" w:hAnsi="Arial"/>
          <w:i/>
          <w:spacing w:val="-2"/>
          <w:sz w:val="22"/>
          <w:u w:val="single"/>
        </w:rPr>
        <w:t>determinar</w:t>
      </w:r>
      <w:r>
        <w:rPr>
          <w:rFonts w:ascii="Arial" w:hAnsi="Arial"/>
          <w:i/>
          <w:spacing w:val="-7"/>
          <w:sz w:val="22"/>
          <w:u w:val="single"/>
        </w:rPr>
        <w:t> </w:t>
      </w:r>
      <w:r>
        <w:rPr>
          <w:rFonts w:ascii="Arial" w:hAnsi="Arial"/>
          <w:i/>
          <w:spacing w:val="-2"/>
          <w:sz w:val="22"/>
          <w:u w:val="single"/>
        </w:rPr>
        <w:t>si</w:t>
      </w:r>
      <w:r>
        <w:rPr>
          <w:rFonts w:ascii="Arial" w:hAnsi="Arial"/>
          <w:i/>
          <w:spacing w:val="-6"/>
          <w:sz w:val="22"/>
          <w:u w:val="single"/>
        </w:rPr>
        <w:t> </w:t>
      </w:r>
      <w:r>
        <w:rPr>
          <w:rFonts w:ascii="Arial" w:hAnsi="Arial"/>
          <w:i/>
          <w:spacing w:val="-2"/>
          <w:sz w:val="22"/>
          <w:u w:val="single"/>
        </w:rPr>
        <w:t>la</w:t>
      </w:r>
      <w:r>
        <w:rPr>
          <w:rFonts w:ascii="Arial" w:hAnsi="Arial"/>
          <w:i/>
          <w:spacing w:val="-5"/>
          <w:sz w:val="22"/>
          <w:u w:val="single"/>
        </w:rPr>
        <w:t> </w:t>
      </w:r>
      <w:r>
        <w:rPr>
          <w:rFonts w:ascii="Arial" w:hAnsi="Arial"/>
          <w:i/>
          <w:spacing w:val="-2"/>
          <w:sz w:val="22"/>
          <w:u w:val="single"/>
        </w:rPr>
        <w:t>medida</w:t>
      </w:r>
      <w:r>
        <w:rPr>
          <w:rFonts w:ascii="Arial" w:hAnsi="Arial"/>
          <w:i/>
          <w:spacing w:val="-4"/>
          <w:sz w:val="22"/>
          <w:u w:val="single"/>
        </w:rPr>
        <w:t> </w:t>
      </w:r>
      <w:r>
        <w:rPr>
          <w:rFonts w:ascii="Arial" w:hAnsi="Arial"/>
          <w:i/>
          <w:spacing w:val="-2"/>
          <w:sz w:val="22"/>
          <w:u w:val="single"/>
        </w:rPr>
        <w:t>objeto</w:t>
      </w:r>
      <w:r>
        <w:rPr>
          <w:rFonts w:ascii="Arial" w:hAnsi="Arial"/>
          <w:i/>
          <w:spacing w:val="-5"/>
          <w:sz w:val="22"/>
          <w:u w:val="single"/>
        </w:rPr>
        <w:t> </w:t>
      </w:r>
      <w:r>
        <w:rPr>
          <w:rFonts w:ascii="Arial" w:hAnsi="Arial"/>
          <w:i/>
          <w:spacing w:val="-2"/>
          <w:sz w:val="22"/>
          <w:u w:val="single"/>
        </w:rPr>
        <w:t>de</w:t>
      </w:r>
      <w:r>
        <w:rPr>
          <w:rFonts w:ascii="Arial" w:hAnsi="Arial"/>
          <w:i/>
          <w:spacing w:val="-5"/>
          <w:sz w:val="22"/>
          <w:u w:val="single"/>
        </w:rPr>
        <w:t> </w:t>
      </w:r>
      <w:r>
        <w:rPr>
          <w:rFonts w:ascii="Arial" w:hAnsi="Arial"/>
          <w:i/>
          <w:spacing w:val="-2"/>
          <w:sz w:val="22"/>
          <w:u w:val="single"/>
        </w:rPr>
        <w:t>investigación</w:t>
      </w:r>
      <w:r>
        <w:rPr>
          <w:rFonts w:ascii="Arial" w:hAnsi="Arial"/>
          <w:i/>
          <w:spacing w:val="-6"/>
          <w:sz w:val="22"/>
          <w:u w:val="single"/>
        </w:rPr>
        <w:t> </w:t>
      </w:r>
      <w:r>
        <w:rPr>
          <w:rFonts w:ascii="Arial" w:hAnsi="Arial"/>
          <w:i/>
          <w:spacing w:val="-2"/>
          <w:sz w:val="22"/>
          <w:u w:val="single"/>
        </w:rPr>
        <w:t>dificulta</w:t>
      </w:r>
      <w:r>
        <w:rPr>
          <w:rFonts w:ascii="Arial" w:hAnsi="Arial"/>
          <w:i/>
          <w:spacing w:val="-6"/>
          <w:sz w:val="22"/>
          <w:u w:val="single"/>
        </w:rPr>
        <w:t> </w:t>
      </w:r>
      <w:r>
        <w:rPr>
          <w:rFonts w:ascii="Arial" w:hAnsi="Arial"/>
          <w:i/>
          <w:spacing w:val="-2"/>
          <w:sz w:val="22"/>
          <w:u w:val="single"/>
        </w:rPr>
        <w:t>las</w:t>
      </w:r>
      <w:r>
        <w:rPr>
          <w:rFonts w:ascii="Arial" w:hAnsi="Arial"/>
          <w:i/>
          <w:spacing w:val="-4"/>
          <w:sz w:val="22"/>
          <w:u w:val="single"/>
        </w:rPr>
        <w:t> </w:t>
      </w:r>
      <w:r>
        <w:rPr>
          <w:rFonts w:ascii="Arial" w:hAnsi="Arial"/>
          <w:i/>
          <w:spacing w:val="-2"/>
          <w:sz w:val="22"/>
          <w:u w:val="single"/>
        </w:rPr>
        <w:t>importaciones</w:t>
      </w:r>
    </w:p>
    <w:p>
      <w:pPr>
        <w:pStyle w:val="BodyText"/>
        <w:rPr>
          <w:rFonts w:ascii="Arial"/>
          <w:i/>
        </w:rPr>
      </w:pPr>
    </w:p>
    <w:p>
      <w:pPr>
        <w:pStyle w:val="ListParagraph"/>
        <w:numPr>
          <w:ilvl w:val="0"/>
          <w:numId w:val="50"/>
        </w:numPr>
        <w:tabs>
          <w:tab w:pos="1130" w:val="left" w:leader="none"/>
          <w:tab w:pos="1134" w:val="left" w:leader="none"/>
        </w:tabs>
        <w:spacing w:line="240" w:lineRule="auto" w:before="1" w:after="0"/>
        <w:ind w:left="1134" w:right="981" w:hanging="567"/>
        <w:jc w:val="both"/>
        <w:rPr>
          <w:rFonts w:ascii="Arial" w:hAnsi="Arial"/>
          <w:i/>
          <w:sz w:val="22"/>
        </w:rPr>
      </w:pPr>
      <w:r>
        <w:rPr>
          <w:sz w:val="22"/>
        </w:rPr>
        <w:t>De acuerdo con lo argumentado por la República del Ecuador, el 100% de sus exportaciones</w:t>
      </w:r>
      <w:hyperlink w:history="true" w:anchor="_bookmark174">
        <w:r>
          <w:rPr>
            <w:sz w:val="22"/>
            <w:vertAlign w:val="superscript"/>
          </w:rPr>
          <w:t>107</w:t>
        </w:r>
      </w:hyperlink>
      <w:r>
        <w:rPr>
          <w:sz w:val="22"/>
          <w:vertAlign w:val="baseline"/>
        </w:rPr>
        <w:t> de los productos frescos agrícolas destinadas a la República de Colombia se realizarían por vía terrestre, por lo que </w:t>
      </w:r>
      <w:r>
        <w:rPr>
          <w:rFonts w:ascii="Arial" w:hAnsi="Arial"/>
          <w:i/>
          <w:sz w:val="22"/>
          <w:vertAlign w:val="baseline"/>
        </w:rPr>
        <w:t>[l]a prohibición de ingreso por los únicos</w:t>
      </w:r>
      <w:r>
        <w:rPr>
          <w:rFonts w:ascii="Arial" w:hAnsi="Arial"/>
          <w:i/>
          <w:spacing w:val="-10"/>
          <w:sz w:val="22"/>
          <w:vertAlign w:val="baseline"/>
        </w:rPr>
        <w:t> </w:t>
      </w:r>
      <w:r>
        <w:rPr>
          <w:rFonts w:ascii="Arial" w:hAnsi="Arial"/>
          <w:i/>
          <w:sz w:val="22"/>
          <w:vertAlign w:val="baseline"/>
        </w:rPr>
        <w:t>pasos</w:t>
      </w:r>
      <w:r>
        <w:rPr>
          <w:rFonts w:ascii="Arial" w:hAnsi="Arial"/>
          <w:i/>
          <w:spacing w:val="-10"/>
          <w:sz w:val="22"/>
          <w:vertAlign w:val="baseline"/>
        </w:rPr>
        <w:t> </w:t>
      </w:r>
      <w:r>
        <w:rPr>
          <w:rFonts w:ascii="Arial" w:hAnsi="Arial"/>
          <w:i/>
          <w:sz w:val="22"/>
          <w:vertAlign w:val="baseline"/>
        </w:rPr>
        <w:t>utilizados</w:t>
      </w:r>
      <w:r>
        <w:rPr>
          <w:rFonts w:ascii="Arial" w:hAnsi="Arial"/>
          <w:i/>
          <w:spacing w:val="-10"/>
          <w:sz w:val="22"/>
          <w:vertAlign w:val="baseline"/>
        </w:rPr>
        <w:t> </w:t>
      </w:r>
      <w:r>
        <w:rPr>
          <w:rFonts w:ascii="Arial" w:hAnsi="Arial"/>
          <w:i/>
          <w:sz w:val="22"/>
          <w:vertAlign w:val="baseline"/>
        </w:rPr>
        <w:t>equivale,</w:t>
      </w:r>
      <w:r>
        <w:rPr>
          <w:rFonts w:ascii="Arial" w:hAnsi="Arial"/>
          <w:i/>
          <w:spacing w:val="-9"/>
          <w:sz w:val="22"/>
          <w:vertAlign w:val="baseline"/>
        </w:rPr>
        <w:t> </w:t>
      </w:r>
      <w:r>
        <w:rPr>
          <w:rFonts w:ascii="Arial" w:hAnsi="Arial"/>
          <w:i/>
          <w:sz w:val="22"/>
          <w:vertAlign w:val="baseline"/>
        </w:rPr>
        <w:t>en</w:t>
      </w:r>
      <w:r>
        <w:rPr>
          <w:rFonts w:ascii="Arial" w:hAnsi="Arial"/>
          <w:i/>
          <w:spacing w:val="-10"/>
          <w:sz w:val="22"/>
          <w:vertAlign w:val="baseline"/>
        </w:rPr>
        <w:t> </w:t>
      </w:r>
      <w:r>
        <w:rPr>
          <w:rFonts w:ascii="Arial" w:hAnsi="Arial"/>
          <w:i/>
          <w:sz w:val="22"/>
          <w:vertAlign w:val="baseline"/>
        </w:rPr>
        <w:t>los</w:t>
      </w:r>
      <w:r>
        <w:rPr>
          <w:rFonts w:ascii="Arial" w:hAnsi="Arial"/>
          <w:i/>
          <w:spacing w:val="-10"/>
          <w:sz w:val="22"/>
          <w:vertAlign w:val="baseline"/>
        </w:rPr>
        <w:t> </w:t>
      </w:r>
      <w:r>
        <w:rPr>
          <w:rFonts w:ascii="Arial" w:hAnsi="Arial"/>
          <w:i/>
          <w:sz w:val="22"/>
          <w:vertAlign w:val="baseline"/>
        </w:rPr>
        <w:t>hechos,</w:t>
      </w:r>
      <w:r>
        <w:rPr>
          <w:rFonts w:ascii="Arial" w:hAnsi="Arial"/>
          <w:i/>
          <w:spacing w:val="-11"/>
          <w:sz w:val="22"/>
          <w:vertAlign w:val="baseline"/>
        </w:rPr>
        <w:t> </w:t>
      </w:r>
      <w:r>
        <w:rPr>
          <w:rFonts w:ascii="Arial" w:hAnsi="Arial"/>
          <w:i/>
          <w:sz w:val="22"/>
          <w:vertAlign w:val="baseline"/>
        </w:rPr>
        <w:t>a</w:t>
      </w:r>
      <w:r>
        <w:rPr>
          <w:rFonts w:ascii="Arial" w:hAnsi="Arial"/>
          <w:i/>
          <w:spacing w:val="-12"/>
          <w:sz w:val="22"/>
          <w:vertAlign w:val="baseline"/>
        </w:rPr>
        <w:t> </w:t>
      </w:r>
      <w:r>
        <w:rPr>
          <w:rFonts w:ascii="Arial" w:hAnsi="Arial"/>
          <w:i/>
          <w:sz w:val="22"/>
          <w:vertAlign w:val="baseline"/>
        </w:rPr>
        <w:t>una</w:t>
      </w:r>
      <w:r>
        <w:rPr>
          <w:rFonts w:ascii="Arial" w:hAnsi="Arial"/>
          <w:i/>
          <w:spacing w:val="-10"/>
          <w:sz w:val="22"/>
          <w:vertAlign w:val="baseline"/>
        </w:rPr>
        <w:t> </w:t>
      </w:r>
      <w:r>
        <w:rPr>
          <w:rFonts w:ascii="Arial" w:hAnsi="Arial"/>
          <w:i/>
          <w:sz w:val="22"/>
          <w:vertAlign w:val="baseline"/>
        </w:rPr>
        <w:t>prohibición</w:t>
      </w:r>
      <w:r>
        <w:rPr>
          <w:rFonts w:ascii="Arial" w:hAnsi="Arial"/>
          <w:i/>
          <w:spacing w:val="-10"/>
          <w:sz w:val="22"/>
          <w:vertAlign w:val="baseline"/>
        </w:rPr>
        <w:t> </w:t>
      </w:r>
      <w:r>
        <w:rPr>
          <w:rFonts w:ascii="Arial" w:hAnsi="Arial"/>
          <w:i/>
          <w:sz w:val="22"/>
          <w:vertAlign w:val="baseline"/>
        </w:rPr>
        <w:t>total</w:t>
      </w:r>
      <w:r>
        <w:rPr>
          <w:rFonts w:ascii="Arial" w:hAnsi="Arial"/>
          <w:i/>
          <w:spacing w:val="-11"/>
          <w:sz w:val="22"/>
          <w:vertAlign w:val="baseline"/>
        </w:rPr>
        <w:t> </w:t>
      </w:r>
      <w:r>
        <w:rPr>
          <w:rFonts w:ascii="Arial" w:hAnsi="Arial"/>
          <w:i/>
          <w:sz w:val="22"/>
          <w:vertAlign w:val="baseline"/>
        </w:rPr>
        <w:t>de</w:t>
      </w:r>
      <w:r>
        <w:rPr>
          <w:rFonts w:ascii="Arial" w:hAnsi="Arial"/>
          <w:i/>
          <w:spacing w:val="-10"/>
          <w:sz w:val="22"/>
          <w:vertAlign w:val="baseline"/>
        </w:rPr>
        <w:t> </w:t>
      </w:r>
      <w:r>
        <w:rPr>
          <w:rFonts w:ascii="Arial" w:hAnsi="Arial"/>
          <w:i/>
          <w:sz w:val="22"/>
          <w:vertAlign w:val="baseline"/>
        </w:rPr>
        <w:t>exportar</w:t>
      </w:r>
      <w:r>
        <w:rPr>
          <w:rFonts w:ascii="Arial" w:hAnsi="Arial"/>
          <w:i/>
          <w:spacing w:val="-9"/>
          <w:sz w:val="22"/>
          <w:vertAlign w:val="baseline"/>
        </w:rPr>
        <w:t> </w:t>
      </w:r>
      <w:r>
        <w:rPr>
          <w:rFonts w:ascii="Arial" w:hAnsi="Arial"/>
          <w:i/>
          <w:sz w:val="22"/>
          <w:vertAlign w:val="baseline"/>
        </w:rPr>
        <w:t>esos </w:t>
      </w:r>
      <w:r>
        <w:rPr>
          <w:rFonts w:ascii="Arial" w:hAnsi="Arial"/>
          <w:i/>
          <w:spacing w:val="-2"/>
          <w:sz w:val="22"/>
          <w:vertAlign w:val="baseline"/>
        </w:rPr>
        <w:t>productos”.</w:t>
      </w:r>
    </w:p>
    <w:p>
      <w:pPr>
        <w:pStyle w:val="ListParagraph"/>
        <w:numPr>
          <w:ilvl w:val="0"/>
          <w:numId w:val="50"/>
        </w:numPr>
        <w:tabs>
          <w:tab w:pos="1130" w:val="left" w:leader="none"/>
          <w:tab w:pos="1134" w:val="left" w:leader="none"/>
        </w:tabs>
        <w:spacing w:line="240" w:lineRule="auto" w:before="252" w:after="0"/>
        <w:ind w:left="1134" w:right="980" w:hanging="567"/>
        <w:jc w:val="both"/>
        <w:rPr>
          <w:sz w:val="22"/>
        </w:rPr>
      </w:pPr>
      <w:r>
        <w:rPr>
          <w:sz w:val="22"/>
        </w:rPr>
        <w:t>La</w:t>
      </w:r>
      <w:r>
        <w:rPr>
          <w:spacing w:val="-5"/>
          <w:sz w:val="22"/>
        </w:rPr>
        <w:t> </w:t>
      </w:r>
      <w:r>
        <w:rPr>
          <w:sz w:val="22"/>
        </w:rPr>
        <w:t>SGCAN</w:t>
      </w:r>
      <w:r>
        <w:rPr>
          <w:spacing w:val="-6"/>
          <w:sz w:val="22"/>
        </w:rPr>
        <w:t> </w:t>
      </w:r>
      <w:r>
        <w:rPr>
          <w:sz w:val="22"/>
        </w:rPr>
        <w:t>realizó</w:t>
      </w:r>
      <w:r>
        <w:rPr>
          <w:spacing w:val="-5"/>
          <w:sz w:val="22"/>
        </w:rPr>
        <w:t> </w:t>
      </w:r>
      <w:r>
        <w:rPr>
          <w:sz w:val="22"/>
        </w:rPr>
        <w:t>un</w:t>
      </w:r>
      <w:r>
        <w:rPr>
          <w:spacing w:val="-5"/>
          <w:sz w:val="22"/>
        </w:rPr>
        <w:t> </w:t>
      </w:r>
      <w:r>
        <w:rPr>
          <w:sz w:val="22"/>
        </w:rPr>
        <w:t>análisis</w:t>
      </w:r>
      <w:r>
        <w:rPr>
          <w:spacing w:val="-5"/>
          <w:sz w:val="22"/>
        </w:rPr>
        <w:t> </w:t>
      </w:r>
      <w:r>
        <w:rPr>
          <w:sz w:val="22"/>
        </w:rPr>
        <w:t>equivalente</w:t>
      </w:r>
      <w:r>
        <w:rPr>
          <w:spacing w:val="-5"/>
          <w:sz w:val="22"/>
        </w:rPr>
        <w:t> </w:t>
      </w:r>
      <w:r>
        <w:rPr>
          <w:sz w:val="22"/>
        </w:rPr>
        <w:t>con</w:t>
      </w:r>
      <w:r>
        <w:rPr>
          <w:spacing w:val="-5"/>
          <w:sz w:val="22"/>
        </w:rPr>
        <w:t> </w:t>
      </w:r>
      <w:r>
        <w:rPr>
          <w:sz w:val="22"/>
        </w:rPr>
        <w:t>base</w:t>
      </w:r>
      <w:r>
        <w:rPr>
          <w:spacing w:val="-5"/>
          <w:sz w:val="22"/>
        </w:rPr>
        <w:t> </w:t>
      </w:r>
      <w:r>
        <w:rPr>
          <w:sz w:val="22"/>
        </w:rPr>
        <w:t>en</w:t>
      </w:r>
      <w:r>
        <w:rPr>
          <w:spacing w:val="-5"/>
          <w:sz w:val="22"/>
        </w:rPr>
        <w:t> </w:t>
      </w:r>
      <w:r>
        <w:rPr>
          <w:sz w:val="22"/>
        </w:rPr>
        <w:t>estadísticas</w:t>
      </w:r>
      <w:r>
        <w:rPr>
          <w:spacing w:val="-5"/>
          <w:sz w:val="22"/>
        </w:rPr>
        <w:t> </w:t>
      </w:r>
      <w:r>
        <w:rPr>
          <w:sz w:val="22"/>
        </w:rPr>
        <w:t>proporcionadas</w:t>
      </w:r>
      <w:r>
        <w:rPr>
          <w:spacing w:val="-5"/>
          <w:sz w:val="22"/>
        </w:rPr>
        <w:t> </w:t>
      </w:r>
      <w:r>
        <w:rPr>
          <w:sz w:val="22"/>
        </w:rPr>
        <w:t>por la República de Colombia, así como en información obtenida de fuentes propias. En ambos casos los resultados obtenidos son los mismos, es decir, el 100% de las importaciones</w:t>
      </w:r>
      <w:r>
        <w:rPr>
          <w:spacing w:val="-16"/>
          <w:sz w:val="22"/>
        </w:rPr>
        <w:t> </w:t>
      </w:r>
      <w:r>
        <w:rPr>
          <w:sz w:val="22"/>
        </w:rPr>
        <w:t>de</w:t>
      </w:r>
      <w:r>
        <w:rPr>
          <w:spacing w:val="-15"/>
          <w:sz w:val="22"/>
        </w:rPr>
        <w:t> </w:t>
      </w:r>
      <w:r>
        <w:rPr>
          <w:sz w:val="22"/>
        </w:rPr>
        <w:t>productos</w:t>
      </w:r>
      <w:r>
        <w:rPr>
          <w:spacing w:val="-15"/>
          <w:sz w:val="22"/>
        </w:rPr>
        <w:t> </w:t>
      </w:r>
      <w:r>
        <w:rPr>
          <w:sz w:val="22"/>
        </w:rPr>
        <w:t>frescos</w:t>
      </w:r>
      <w:r>
        <w:rPr>
          <w:spacing w:val="-16"/>
          <w:sz w:val="22"/>
        </w:rPr>
        <w:t> </w:t>
      </w:r>
      <w:r>
        <w:rPr>
          <w:sz w:val="22"/>
        </w:rPr>
        <w:t>agrícolas</w:t>
      </w:r>
      <w:r>
        <w:rPr>
          <w:spacing w:val="-15"/>
          <w:sz w:val="22"/>
        </w:rPr>
        <w:t> </w:t>
      </w:r>
      <w:r>
        <w:rPr>
          <w:sz w:val="22"/>
        </w:rPr>
        <w:t>ingresan</w:t>
      </w:r>
      <w:r>
        <w:rPr>
          <w:spacing w:val="-15"/>
          <w:sz w:val="22"/>
        </w:rPr>
        <w:t> </w:t>
      </w:r>
      <w:r>
        <w:rPr>
          <w:sz w:val="22"/>
        </w:rPr>
        <w:t>por</w:t>
      </w:r>
      <w:r>
        <w:rPr>
          <w:spacing w:val="-15"/>
          <w:sz w:val="22"/>
        </w:rPr>
        <w:t> </w:t>
      </w:r>
      <w:r>
        <w:rPr>
          <w:sz w:val="22"/>
        </w:rPr>
        <w:t>vía</w:t>
      </w:r>
      <w:r>
        <w:rPr>
          <w:spacing w:val="-16"/>
          <w:sz w:val="22"/>
        </w:rPr>
        <w:t> </w:t>
      </w:r>
      <w:r>
        <w:rPr>
          <w:sz w:val="22"/>
        </w:rPr>
        <w:t>terrestre,</w:t>
      </w:r>
      <w:r>
        <w:rPr>
          <w:spacing w:val="-15"/>
          <w:sz w:val="22"/>
        </w:rPr>
        <w:t> </w:t>
      </w:r>
      <w:r>
        <w:rPr>
          <w:sz w:val="22"/>
        </w:rPr>
        <w:t>por</w:t>
      </w:r>
      <w:r>
        <w:rPr>
          <w:spacing w:val="-15"/>
          <w:sz w:val="22"/>
        </w:rPr>
        <w:t> </w:t>
      </w:r>
      <w:r>
        <w:rPr>
          <w:sz w:val="22"/>
        </w:rPr>
        <w:t>las</w:t>
      </w:r>
      <w:r>
        <w:rPr>
          <w:spacing w:val="-16"/>
          <w:sz w:val="22"/>
        </w:rPr>
        <w:t> </w:t>
      </w:r>
      <w:r>
        <w:rPr>
          <w:sz w:val="22"/>
        </w:rPr>
        <w:t>Aduanas de Ipiales y Puerto Asís, información que se presenta en la Tabla No. 16.</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65"/>
        <w:rPr>
          <w:sz w:val="20"/>
        </w:rPr>
      </w:pPr>
      <w:r>
        <w:rPr>
          <w:sz w:val="20"/>
        </w:rPr>
        <mc:AlternateContent>
          <mc:Choice Requires="wps">
            <w:drawing>
              <wp:anchor distT="0" distB="0" distL="0" distR="0" allowOverlap="1" layoutInCell="1" locked="0" behindDoc="1" simplePos="0" relativeHeight="487663616">
                <wp:simplePos x="0" y="0"/>
                <wp:positionH relativeFrom="page">
                  <wp:posOffset>990904</wp:posOffset>
                </wp:positionH>
                <wp:positionV relativeFrom="paragraph">
                  <wp:posOffset>266189</wp:posOffset>
                </wp:positionV>
                <wp:extent cx="1829435" cy="7620"/>
                <wp:effectExtent l="0" t="0" r="0" b="0"/>
                <wp:wrapTopAndBottom/>
                <wp:docPr id="603" name="Graphic 603"/>
                <wp:cNvGraphicFramePr>
                  <a:graphicFrameLocks/>
                </wp:cNvGraphicFramePr>
                <a:graphic>
                  <a:graphicData uri="http://schemas.microsoft.com/office/word/2010/wordprocessingShape">
                    <wps:wsp>
                      <wps:cNvPr id="603" name="Graphic 603"/>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0.959824pt;width:144.020pt;height:.60004pt;mso-position-horizontal-relative:page;mso-position-vertical-relative:paragraph;z-index:-15652864;mso-wrap-distance-left:0;mso-wrap-distance-right:0" id="docshape412" filled="true" fillcolor="#000000" stroked="false">
                <v:fill type="solid"/>
                <w10:wrap type="topAndBottom"/>
              </v:rect>
            </w:pict>
          </mc:Fallback>
        </mc:AlternateContent>
      </w:r>
    </w:p>
    <w:p>
      <w:pPr>
        <w:spacing w:before="92"/>
        <w:ind w:left="568" w:right="0" w:firstLine="0"/>
        <w:jc w:val="left"/>
        <w:rPr>
          <w:sz w:val="16"/>
        </w:rPr>
      </w:pPr>
      <w:bookmarkStart w:name="_bookmark174" w:id="175"/>
      <w:bookmarkEnd w:id="175"/>
      <w:r>
        <w:rPr/>
      </w:r>
      <w:r>
        <w:rPr>
          <w:sz w:val="16"/>
          <w:vertAlign w:val="superscript"/>
        </w:rPr>
        <w:t>107</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000019.</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604" name="Group 604"/>
                <wp:cNvGraphicFramePr>
                  <a:graphicFrameLocks/>
                </wp:cNvGraphicFramePr>
                <a:graphic>
                  <a:graphicData uri="http://schemas.microsoft.com/office/word/2010/wordprocessingGroup">
                    <wpg:wgp>
                      <wpg:cNvPr id="604" name="Group 604"/>
                      <wpg:cNvGrpSpPr/>
                      <wpg:grpSpPr>
                        <a:xfrm>
                          <a:off x="0" y="0"/>
                          <a:ext cx="6131560" cy="9525"/>
                          <a:chExt cx="6131560" cy="9525"/>
                        </a:xfrm>
                      </wpg:grpSpPr>
                      <wps:wsp>
                        <wps:cNvPr id="605" name="Graphic 605"/>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413"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97"/>
          <w:footerReference w:type="default" r:id="rId98"/>
          <w:pgSz w:w="11900" w:h="16850"/>
          <w:pgMar w:header="370" w:footer="636" w:top="1380" w:bottom="820" w:left="992" w:right="283"/>
        </w:sectPr>
      </w:pPr>
    </w:p>
    <w:p>
      <w:pPr>
        <w:pStyle w:val="BodyText"/>
        <w:spacing w:before="176"/>
      </w:pPr>
    </w:p>
    <w:p>
      <w:pPr>
        <w:pStyle w:val="Heading6"/>
        <w:ind w:left="308"/>
        <w:jc w:val="center"/>
      </w:pPr>
      <w:r>
        <w:rPr/>
        <w:t>Tabla</w:t>
      </w:r>
      <w:r>
        <w:rPr>
          <w:spacing w:val="-2"/>
        </w:rPr>
        <w:t> </w:t>
      </w:r>
      <w:r>
        <w:rPr/>
        <w:t>No.</w:t>
      </w:r>
      <w:r>
        <w:rPr>
          <w:spacing w:val="-2"/>
        </w:rPr>
        <w:t> </w:t>
      </w:r>
      <w:r>
        <w:rPr>
          <w:spacing w:val="-5"/>
        </w:rPr>
        <w:t>16</w:t>
      </w:r>
    </w:p>
    <w:p>
      <w:pPr>
        <w:spacing w:before="2"/>
        <w:ind w:left="1470" w:right="1168" w:firstLine="0"/>
        <w:jc w:val="center"/>
        <w:rPr>
          <w:rFonts w:ascii="Arial" w:hAnsi="Arial"/>
          <w:b/>
          <w:sz w:val="22"/>
        </w:rPr>
      </w:pPr>
      <w:r>
        <w:rPr>
          <w:rFonts w:ascii="Arial" w:hAnsi="Arial"/>
          <w:b/>
          <w:sz w:val="22"/>
        </w:rPr>
        <w:t>Importaciones</w:t>
      </w:r>
      <w:r>
        <w:rPr>
          <w:rFonts w:ascii="Arial" w:hAnsi="Arial"/>
          <w:b/>
          <w:spacing w:val="-6"/>
          <w:sz w:val="22"/>
        </w:rPr>
        <w:t> </w:t>
      </w:r>
      <w:r>
        <w:rPr>
          <w:rFonts w:ascii="Arial" w:hAnsi="Arial"/>
          <w:b/>
          <w:sz w:val="22"/>
        </w:rPr>
        <w:t>colombianas</w:t>
      </w:r>
      <w:r>
        <w:rPr>
          <w:rFonts w:ascii="Arial" w:hAnsi="Arial"/>
          <w:b/>
          <w:spacing w:val="-4"/>
          <w:sz w:val="22"/>
        </w:rPr>
        <w:t> </w:t>
      </w:r>
      <w:r>
        <w:rPr>
          <w:rFonts w:ascii="Arial" w:hAnsi="Arial"/>
          <w:b/>
          <w:sz w:val="22"/>
        </w:rPr>
        <w:t>de</w:t>
      </w:r>
      <w:r>
        <w:rPr>
          <w:rFonts w:ascii="Arial" w:hAnsi="Arial"/>
          <w:b/>
          <w:spacing w:val="-4"/>
          <w:sz w:val="22"/>
        </w:rPr>
        <w:t> </w:t>
      </w:r>
      <w:r>
        <w:rPr>
          <w:rFonts w:ascii="Arial" w:hAnsi="Arial"/>
          <w:b/>
          <w:sz w:val="22"/>
        </w:rPr>
        <w:t>productos</w:t>
      </w:r>
      <w:r>
        <w:rPr>
          <w:rFonts w:ascii="Arial" w:hAnsi="Arial"/>
          <w:b/>
          <w:spacing w:val="-6"/>
          <w:sz w:val="22"/>
        </w:rPr>
        <w:t> </w:t>
      </w:r>
      <w:r>
        <w:rPr>
          <w:rFonts w:ascii="Arial" w:hAnsi="Arial"/>
          <w:b/>
          <w:sz w:val="22"/>
        </w:rPr>
        <w:t>frescos</w:t>
      </w:r>
      <w:r>
        <w:rPr>
          <w:rFonts w:ascii="Arial" w:hAnsi="Arial"/>
          <w:b/>
          <w:spacing w:val="-4"/>
          <w:sz w:val="22"/>
        </w:rPr>
        <w:t> </w:t>
      </w:r>
      <w:r>
        <w:rPr>
          <w:rFonts w:ascii="Arial" w:hAnsi="Arial"/>
          <w:b/>
          <w:sz w:val="22"/>
        </w:rPr>
        <w:t>agrícolas</w:t>
      </w:r>
      <w:r>
        <w:rPr>
          <w:rFonts w:ascii="Arial" w:hAnsi="Arial"/>
          <w:b/>
          <w:spacing w:val="-6"/>
          <w:sz w:val="22"/>
        </w:rPr>
        <w:t> </w:t>
      </w:r>
      <w:r>
        <w:rPr>
          <w:rFonts w:ascii="Arial" w:hAnsi="Arial"/>
          <w:b/>
          <w:sz w:val="22"/>
        </w:rPr>
        <w:t>originarias</w:t>
      </w:r>
      <w:r>
        <w:rPr>
          <w:rFonts w:ascii="Arial" w:hAnsi="Arial"/>
          <w:b/>
          <w:spacing w:val="-4"/>
          <w:sz w:val="22"/>
        </w:rPr>
        <w:t> </w:t>
      </w:r>
      <w:r>
        <w:rPr>
          <w:rFonts w:ascii="Arial" w:hAnsi="Arial"/>
          <w:b/>
          <w:sz w:val="22"/>
        </w:rPr>
        <w:t>de</w:t>
      </w:r>
      <w:r>
        <w:rPr>
          <w:rFonts w:ascii="Arial" w:hAnsi="Arial"/>
          <w:b/>
          <w:spacing w:val="-6"/>
          <w:sz w:val="22"/>
        </w:rPr>
        <w:t> </w:t>
      </w:r>
      <w:r>
        <w:rPr>
          <w:rFonts w:ascii="Arial" w:hAnsi="Arial"/>
          <w:b/>
          <w:sz w:val="22"/>
        </w:rPr>
        <w:t>la República del Ecuador según aduana de ingreso Dólares CIF</w:t>
      </w:r>
    </w:p>
    <w:tbl>
      <w:tblPr>
        <w:tblW w:w="0" w:type="auto"/>
        <w:jc w:val="left"/>
        <w:tblInd w:w="5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83"/>
        <w:gridCol w:w="1150"/>
        <w:gridCol w:w="3432"/>
        <w:gridCol w:w="1017"/>
        <w:gridCol w:w="1015"/>
        <w:gridCol w:w="1017"/>
        <w:gridCol w:w="929"/>
      </w:tblGrid>
      <w:tr>
        <w:trPr>
          <w:trHeight w:val="369" w:hRule="atLeast"/>
        </w:trPr>
        <w:tc>
          <w:tcPr>
            <w:tcW w:w="883" w:type="dxa"/>
            <w:shd w:val="clear" w:color="auto" w:fill="E8E8E8"/>
          </w:tcPr>
          <w:p>
            <w:pPr>
              <w:pStyle w:val="TableParagraph"/>
              <w:spacing w:line="183" w:lineRule="exact"/>
              <w:ind w:left="148"/>
              <w:rPr>
                <w:rFonts w:ascii="Arial"/>
                <w:b/>
                <w:sz w:val="16"/>
              </w:rPr>
            </w:pPr>
            <w:r>
              <w:rPr>
                <w:rFonts w:ascii="Arial"/>
                <w:b/>
                <w:spacing w:val="-2"/>
                <w:sz w:val="16"/>
              </w:rPr>
              <w:t>Aduana</w:t>
            </w:r>
          </w:p>
        </w:tc>
        <w:tc>
          <w:tcPr>
            <w:tcW w:w="1150" w:type="dxa"/>
            <w:shd w:val="clear" w:color="auto" w:fill="E8E8E8"/>
          </w:tcPr>
          <w:p>
            <w:pPr>
              <w:pStyle w:val="TableParagraph"/>
              <w:spacing w:line="183" w:lineRule="exact"/>
              <w:ind w:left="43" w:right="34"/>
              <w:jc w:val="center"/>
              <w:rPr>
                <w:rFonts w:ascii="Arial"/>
                <w:b/>
                <w:sz w:val="16"/>
              </w:rPr>
            </w:pPr>
            <w:r>
              <w:rPr>
                <w:rFonts w:ascii="Arial"/>
                <w:b/>
                <w:spacing w:val="-2"/>
                <w:sz w:val="16"/>
              </w:rPr>
              <w:t>Subpartida</w:t>
            </w:r>
          </w:p>
        </w:tc>
        <w:tc>
          <w:tcPr>
            <w:tcW w:w="3432" w:type="dxa"/>
            <w:shd w:val="clear" w:color="auto" w:fill="E8E8E8"/>
          </w:tcPr>
          <w:p>
            <w:pPr>
              <w:pStyle w:val="TableParagraph"/>
              <w:spacing w:line="183" w:lineRule="exact"/>
              <w:ind w:left="813"/>
              <w:rPr>
                <w:rFonts w:ascii="Arial" w:hAnsi="Arial"/>
                <w:b/>
                <w:sz w:val="16"/>
              </w:rPr>
            </w:pPr>
            <w:r>
              <w:rPr>
                <w:rFonts w:ascii="Arial" w:hAnsi="Arial"/>
                <w:b/>
                <w:sz w:val="16"/>
              </w:rPr>
              <w:t>Descripción</w:t>
            </w:r>
            <w:r>
              <w:rPr>
                <w:rFonts w:ascii="Arial" w:hAnsi="Arial"/>
                <w:b/>
                <w:spacing w:val="-6"/>
                <w:sz w:val="16"/>
              </w:rPr>
              <w:t> </w:t>
            </w:r>
            <w:r>
              <w:rPr>
                <w:rFonts w:ascii="Arial" w:hAnsi="Arial"/>
                <w:b/>
                <w:spacing w:val="-2"/>
                <w:sz w:val="16"/>
              </w:rPr>
              <w:t>arancelaria</w:t>
            </w:r>
          </w:p>
        </w:tc>
        <w:tc>
          <w:tcPr>
            <w:tcW w:w="1017" w:type="dxa"/>
            <w:shd w:val="clear" w:color="auto" w:fill="E8E8E8"/>
          </w:tcPr>
          <w:p>
            <w:pPr>
              <w:pStyle w:val="TableParagraph"/>
              <w:spacing w:line="183" w:lineRule="exact"/>
              <w:ind w:left="14" w:right="3"/>
              <w:jc w:val="center"/>
              <w:rPr>
                <w:rFonts w:ascii="Arial"/>
                <w:b/>
                <w:sz w:val="16"/>
              </w:rPr>
            </w:pPr>
            <w:r>
              <w:rPr>
                <w:rFonts w:ascii="Arial"/>
                <w:b/>
                <w:spacing w:val="-4"/>
                <w:sz w:val="16"/>
              </w:rPr>
              <w:t>2023</w:t>
            </w:r>
          </w:p>
        </w:tc>
        <w:tc>
          <w:tcPr>
            <w:tcW w:w="1015" w:type="dxa"/>
            <w:shd w:val="clear" w:color="auto" w:fill="E8E8E8"/>
          </w:tcPr>
          <w:p>
            <w:pPr>
              <w:pStyle w:val="TableParagraph"/>
              <w:spacing w:line="183" w:lineRule="exact"/>
              <w:ind w:left="11"/>
              <w:jc w:val="center"/>
              <w:rPr>
                <w:rFonts w:ascii="Arial"/>
                <w:b/>
                <w:sz w:val="16"/>
              </w:rPr>
            </w:pPr>
            <w:r>
              <w:rPr>
                <w:rFonts w:ascii="Arial"/>
                <w:b/>
                <w:spacing w:val="-4"/>
                <w:sz w:val="16"/>
              </w:rPr>
              <w:t>2024</w:t>
            </w:r>
          </w:p>
        </w:tc>
        <w:tc>
          <w:tcPr>
            <w:tcW w:w="1017" w:type="dxa"/>
            <w:shd w:val="clear" w:color="auto" w:fill="E8E8E8"/>
          </w:tcPr>
          <w:p>
            <w:pPr>
              <w:pStyle w:val="TableParagraph"/>
              <w:spacing w:line="183" w:lineRule="exact"/>
              <w:ind w:left="14"/>
              <w:jc w:val="center"/>
              <w:rPr>
                <w:rFonts w:ascii="Arial"/>
                <w:b/>
                <w:sz w:val="16"/>
              </w:rPr>
            </w:pPr>
            <w:r>
              <w:rPr>
                <w:rFonts w:ascii="Arial"/>
                <w:b/>
                <w:spacing w:val="-4"/>
                <w:sz w:val="16"/>
              </w:rPr>
              <w:t>2025</w:t>
            </w:r>
          </w:p>
        </w:tc>
        <w:tc>
          <w:tcPr>
            <w:tcW w:w="929" w:type="dxa"/>
            <w:shd w:val="clear" w:color="auto" w:fill="E8E8E8"/>
          </w:tcPr>
          <w:p>
            <w:pPr>
              <w:pStyle w:val="TableParagraph"/>
              <w:spacing w:line="183" w:lineRule="exact"/>
              <w:ind w:left="15" w:right="3"/>
              <w:jc w:val="center"/>
              <w:rPr>
                <w:rFonts w:ascii="Arial"/>
                <w:b/>
                <w:sz w:val="16"/>
              </w:rPr>
            </w:pPr>
            <w:r>
              <w:rPr>
                <w:rFonts w:ascii="Arial"/>
                <w:b/>
                <w:spacing w:val="-4"/>
                <w:sz w:val="16"/>
              </w:rPr>
              <w:t>2026</w:t>
            </w:r>
          </w:p>
          <w:p>
            <w:pPr>
              <w:pStyle w:val="TableParagraph"/>
              <w:spacing w:line="165" w:lineRule="exact" w:before="1"/>
              <w:ind w:left="15" w:right="3"/>
              <w:jc w:val="center"/>
              <w:rPr>
                <w:rFonts w:ascii="Arial"/>
                <w:b/>
                <w:sz w:val="16"/>
              </w:rPr>
            </w:pPr>
            <w:r>
              <w:rPr>
                <w:rFonts w:ascii="Arial"/>
                <w:b/>
                <w:spacing w:val="-2"/>
                <w:sz w:val="16"/>
              </w:rPr>
              <w:t>(febrero)</w:t>
            </w:r>
          </w:p>
        </w:tc>
      </w:tr>
      <w:tr>
        <w:trPr>
          <w:trHeight w:val="184" w:hRule="atLeast"/>
        </w:trPr>
        <w:tc>
          <w:tcPr>
            <w:tcW w:w="883" w:type="dxa"/>
          </w:tcPr>
          <w:p>
            <w:pPr>
              <w:pStyle w:val="TableParagraph"/>
              <w:spacing w:line="164" w:lineRule="exact"/>
              <w:ind w:left="107"/>
              <w:rPr>
                <w:rFonts w:ascii="Arial"/>
                <w:b/>
                <w:sz w:val="16"/>
              </w:rPr>
            </w:pPr>
            <w:r>
              <w:rPr>
                <w:rFonts w:ascii="Arial"/>
                <w:b/>
                <w:spacing w:val="-2"/>
                <w:sz w:val="16"/>
              </w:rPr>
              <w:t>IPIALES</w:t>
            </w:r>
          </w:p>
        </w:tc>
        <w:tc>
          <w:tcPr>
            <w:tcW w:w="1150" w:type="dxa"/>
          </w:tcPr>
          <w:p>
            <w:pPr>
              <w:pStyle w:val="TableParagraph"/>
              <w:spacing w:line="164" w:lineRule="exact"/>
              <w:ind w:left="9" w:right="43"/>
              <w:jc w:val="center"/>
              <w:rPr>
                <w:rFonts w:ascii="Arial"/>
                <w:b/>
                <w:sz w:val="16"/>
              </w:rPr>
            </w:pPr>
            <w:r>
              <w:rPr>
                <w:rFonts w:ascii="Arial"/>
                <w:b/>
                <w:spacing w:val="-2"/>
                <w:sz w:val="16"/>
              </w:rPr>
              <w:t>0702000000</w:t>
            </w:r>
          </w:p>
        </w:tc>
        <w:tc>
          <w:tcPr>
            <w:tcW w:w="3432" w:type="dxa"/>
          </w:tcPr>
          <w:p>
            <w:pPr>
              <w:pStyle w:val="TableParagraph"/>
              <w:spacing w:line="164" w:lineRule="exact"/>
              <w:ind w:left="108"/>
              <w:rPr>
                <w:sz w:val="16"/>
              </w:rPr>
            </w:pPr>
            <w:r>
              <w:rPr>
                <w:sz w:val="16"/>
              </w:rPr>
              <w:t>Tomates</w:t>
            </w:r>
            <w:r>
              <w:rPr>
                <w:spacing w:val="-6"/>
                <w:sz w:val="16"/>
              </w:rPr>
              <w:t> </w:t>
            </w:r>
            <w:r>
              <w:rPr>
                <w:sz w:val="16"/>
              </w:rPr>
              <w:t>frescos</w:t>
            </w:r>
            <w:r>
              <w:rPr>
                <w:spacing w:val="-5"/>
                <w:sz w:val="16"/>
              </w:rPr>
              <w:t> </w:t>
            </w:r>
            <w:r>
              <w:rPr>
                <w:sz w:val="16"/>
              </w:rPr>
              <w:t>o</w:t>
            </w:r>
            <w:r>
              <w:rPr>
                <w:spacing w:val="-4"/>
                <w:sz w:val="16"/>
              </w:rPr>
              <w:t> </w:t>
            </w:r>
            <w:r>
              <w:rPr>
                <w:spacing w:val="-2"/>
                <w:sz w:val="16"/>
              </w:rPr>
              <w:t>refrigerados</w:t>
            </w:r>
          </w:p>
        </w:tc>
        <w:tc>
          <w:tcPr>
            <w:tcW w:w="1017" w:type="dxa"/>
          </w:tcPr>
          <w:p>
            <w:pPr>
              <w:pStyle w:val="TableParagraph"/>
              <w:rPr>
                <w:rFonts w:ascii="Times New Roman"/>
                <w:sz w:val="12"/>
              </w:rPr>
            </w:pPr>
          </w:p>
        </w:tc>
        <w:tc>
          <w:tcPr>
            <w:tcW w:w="1015" w:type="dxa"/>
          </w:tcPr>
          <w:p>
            <w:pPr>
              <w:pStyle w:val="TableParagraph"/>
              <w:rPr>
                <w:rFonts w:ascii="Times New Roman"/>
                <w:sz w:val="12"/>
              </w:rPr>
            </w:pPr>
          </w:p>
        </w:tc>
        <w:tc>
          <w:tcPr>
            <w:tcW w:w="1017" w:type="dxa"/>
          </w:tcPr>
          <w:p>
            <w:pPr>
              <w:pStyle w:val="TableParagraph"/>
              <w:spacing w:line="164" w:lineRule="exact"/>
              <w:ind w:left="14"/>
              <w:jc w:val="center"/>
              <w:rPr>
                <w:sz w:val="16"/>
              </w:rPr>
            </w:pPr>
            <w:r>
              <w:rPr>
                <w:spacing w:val="-2"/>
                <w:sz w:val="16"/>
              </w:rPr>
              <w:t>11,630</w:t>
            </w:r>
          </w:p>
        </w:tc>
        <w:tc>
          <w:tcPr>
            <w:tcW w:w="929" w:type="dxa"/>
          </w:tcPr>
          <w:p>
            <w:pPr>
              <w:pStyle w:val="TableParagraph"/>
              <w:spacing w:line="164" w:lineRule="exact"/>
              <w:ind w:left="15"/>
              <w:jc w:val="center"/>
              <w:rPr>
                <w:sz w:val="16"/>
              </w:rPr>
            </w:pPr>
            <w:r>
              <w:rPr>
                <w:spacing w:val="-2"/>
                <w:sz w:val="16"/>
              </w:rPr>
              <w:t>4,579</w:t>
            </w:r>
          </w:p>
        </w:tc>
      </w:tr>
      <w:tr>
        <w:trPr>
          <w:trHeight w:val="366" w:hRule="atLeast"/>
        </w:trPr>
        <w:tc>
          <w:tcPr>
            <w:tcW w:w="883" w:type="dxa"/>
          </w:tcPr>
          <w:p>
            <w:pPr>
              <w:pStyle w:val="TableParagraph"/>
              <w:rPr>
                <w:rFonts w:ascii="Times New Roman"/>
                <w:sz w:val="18"/>
              </w:rPr>
            </w:pPr>
          </w:p>
        </w:tc>
        <w:tc>
          <w:tcPr>
            <w:tcW w:w="1150" w:type="dxa"/>
          </w:tcPr>
          <w:p>
            <w:pPr>
              <w:pStyle w:val="TableParagraph"/>
              <w:spacing w:line="183" w:lineRule="exact"/>
              <w:ind w:left="9" w:right="43"/>
              <w:jc w:val="center"/>
              <w:rPr>
                <w:rFonts w:ascii="Arial"/>
                <w:b/>
                <w:sz w:val="16"/>
              </w:rPr>
            </w:pPr>
            <w:r>
              <w:rPr>
                <w:rFonts w:ascii="Arial"/>
                <w:b/>
                <w:spacing w:val="-2"/>
                <w:sz w:val="16"/>
              </w:rPr>
              <w:t>0703100010</w:t>
            </w:r>
          </w:p>
        </w:tc>
        <w:tc>
          <w:tcPr>
            <w:tcW w:w="3432" w:type="dxa"/>
          </w:tcPr>
          <w:p>
            <w:pPr>
              <w:pStyle w:val="TableParagraph"/>
              <w:spacing w:line="182" w:lineRule="exact"/>
              <w:ind w:left="108"/>
              <w:rPr>
                <w:sz w:val="16"/>
              </w:rPr>
            </w:pPr>
            <w:r>
              <w:rPr>
                <w:sz w:val="16"/>
              </w:rPr>
              <w:t>Cebollas</w:t>
            </w:r>
            <w:r>
              <w:rPr>
                <w:spacing w:val="80"/>
                <w:sz w:val="16"/>
              </w:rPr>
              <w:t> </w:t>
            </w:r>
            <w:r>
              <w:rPr>
                <w:sz w:val="16"/>
              </w:rPr>
              <w:t>de</w:t>
            </w:r>
            <w:r>
              <w:rPr>
                <w:spacing w:val="80"/>
                <w:sz w:val="16"/>
              </w:rPr>
              <w:t> </w:t>
            </w:r>
            <w:r>
              <w:rPr>
                <w:sz w:val="16"/>
              </w:rPr>
              <w:t>bulbo</w:t>
            </w:r>
            <w:r>
              <w:rPr>
                <w:spacing w:val="80"/>
                <w:sz w:val="16"/>
              </w:rPr>
              <w:t> </w:t>
            </w:r>
            <w:r>
              <w:rPr>
                <w:sz w:val="16"/>
              </w:rPr>
              <w:t>rojo</w:t>
            </w:r>
            <w:r>
              <w:rPr>
                <w:spacing w:val="80"/>
                <w:sz w:val="16"/>
              </w:rPr>
              <w:t> </w:t>
            </w:r>
            <w:r>
              <w:rPr>
                <w:sz w:val="16"/>
              </w:rPr>
              <w:t>(cabezona</w:t>
            </w:r>
            <w:r>
              <w:rPr>
                <w:spacing w:val="80"/>
                <w:sz w:val="16"/>
              </w:rPr>
              <w:t> </w:t>
            </w:r>
            <w:r>
              <w:rPr>
                <w:sz w:val="16"/>
              </w:rPr>
              <w:t>roja) (Allium cep.a L.), frescas o refrigeradas</w:t>
            </w:r>
          </w:p>
        </w:tc>
        <w:tc>
          <w:tcPr>
            <w:tcW w:w="1017" w:type="dxa"/>
          </w:tcPr>
          <w:p>
            <w:pPr>
              <w:pStyle w:val="TableParagraph"/>
              <w:spacing w:line="183" w:lineRule="exact"/>
              <w:ind w:left="14" w:right="2"/>
              <w:jc w:val="center"/>
              <w:rPr>
                <w:sz w:val="16"/>
              </w:rPr>
            </w:pPr>
            <w:r>
              <w:rPr>
                <w:spacing w:val="-2"/>
                <w:sz w:val="16"/>
              </w:rPr>
              <w:t>17,457</w:t>
            </w:r>
          </w:p>
        </w:tc>
        <w:tc>
          <w:tcPr>
            <w:tcW w:w="1015" w:type="dxa"/>
          </w:tcPr>
          <w:p>
            <w:pPr>
              <w:pStyle w:val="TableParagraph"/>
              <w:spacing w:line="183" w:lineRule="exact"/>
              <w:ind w:left="11"/>
              <w:jc w:val="center"/>
              <w:rPr>
                <w:sz w:val="16"/>
              </w:rPr>
            </w:pPr>
            <w:r>
              <w:rPr>
                <w:spacing w:val="-2"/>
                <w:sz w:val="16"/>
              </w:rPr>
              <w:t>30,379</w:t>
            </w:r>
          </w:p>
        </w:tc>
        <w:tc>
          <w:tcPr>
            <w:tcW w:w="1017" w:type="dxa"/>
          </w:tcPr>
          <w:p>
            <w:pPr>
              <w:pStyle w:val="TableParagraph"/>
              <w:spacing w:line="183" w:lineRule="exact"/>
              <w:ind w:left="14"/>
              <w:jc w:val="center"/>
              <w:rPr>
                <w:sz w:val="16"/>
              </w:rPr>
            </w:pPr>
            <w:r>
              <w:rPr>
                <w:spacing w:val="-2"/>
                <w:sz w:val="16"/>
              </w:rPr>
              <w:t>67,487</w:t>
            </w:r>
          </w:p>
        </w:tc>
        <w:tc>
          <w:tcPr>
            <w:tcW w:w="929" w:type="dxa"/>
          </w:tcPr>
          <w:p>
            <w:pPr>
              <w:pStyle w:val="TableParagraph"/>
              <w:rPr>
                <w:rFonts w:ascii="Times New Roman"/>
                <w:sz w:val="18"/>
              </w:rPr>
            </w:pPr>
          </w:p>
        </w:tc>
      </w:tr>
      <w:tr>
        <w:trPr>
          <w:trHeight w:val="369" w:hRule="atLeast"/>
        </w:trPr>
        <w:tc>
          <w:tcPr>
            <w:tcW w:w="883" w:type="dxa"/>
          </w:tcPr>
          <w:p>
            <w:pPr>
              <w:pStyle w:val="TableParagraph"/>
              <w:rPr>
                <w:rFonts w:ascii="Times New Roman"/>
                <w:sz w:val="18"/>
              </w:rPr>
            </w:pPr>
          </w:p>
        </w:tc>
        <w:tc>
          <w:tcPr>
            <w:tcW w:w="1150" w:type="dxa"/>
          </w:tcPr>
          <w:p>
            <w:pPr>
              <w:pStyle w:val="TableParagraph"/>
              <w:spacing w:line="183" w:lineRule="exact"/>
              <w:ind w:left="9" w:right="43"/>
              <w:jc w:val="center"/>
              <w:rPr>
                <w:rFonts w:ascii="Arial"/>
                <w:b/>
                <w:sz w:val="16"/>
              </w:rPr>
            </w:pPr>
            <w:r>
              <w:rPr>
                <w:rFonts w:ascii="Arial"/>
                <w:b/>
                <w:spacing w:val="-2"/>
                <w:sz w:val="16"/>
              </w:rPr>
              <w:t>0703100020</w:t>
            </w:r>
          </w:p>
        </w:tc>
        <w:tc>
          <w:tcPr>
            <w:tcW w:w="3432" w:type="dxa"/>
          </w:tcPr>
          <w:p>
            <w:pPr>
              <w:pStyle w:val="TableParagraph"/>
              <w:spacing w:line="184" w:lineRule="exact"/>
              <w:ind w:left="108"/>
              <w:rPr>
                <w:sz w:val="16"/>
              </w:rPr>
            </w:pPr>
            <w:r>
              <w:rPr>
                <w:sz w:val="16"/>
              </w:rPr>
              <w:t>Cebollas de bulbo blanco (cabezona blanca) (Allium cepa L.), frescas o refrigeradas</w:t>
            </w:r>
          </w:p>
        </w:tc>
        <w:tc>
          <w:tcPr>
            <w:tcW w:w="1017" w:type="dxa"/>
          </w:tcPr>
          <w:p>
            <w:pPr>
              <w:pStyle w:val="TableParagraph"/>
              <w:spacing w:line="183" w:lineRule="exact"/>
              <w:ind w:left="14" w:right="2"/>
              <w:jc w:val="center"/>
              <w:rPr>
                <w:sz w:val="16"/>
              </w:rPr>
            </w:pPr>
            <w:r>
              <w:rPr>
                <w:spacing w:val="-2"/>
                <w:sz w:val="16"/>
              </w:rPr>
              <w:t>90,010</w:t>
            </w:r>
          </w:p>
        </w:tc>
        <w:tc>
          <w:tcPr>
            <w:tcW w:w="1015" w:type="dxa"/>
          </w:tcPr>
          <w:p>
            <w:pPr>
              <w:pStyle w:val="TableParagraph"/>
              <w:spacing w:line="183" w:lineRule="exact"/>
              <w:ind w:left="11" w:right="2"/>
              <w:jc w:val="center"/>
              <w:rPr>
                <w:sz w:val="16"/>
              </w:rPr>
            </w:pPr>
            <w:r>
              <w:rPr>
                <w:spacing w:val="-2"/>
                <w:sz w:val="16"/>
              </w:rPr>
              <w:t>342,534</w:t>
            </w:r>
          </w:p>
        </w:tc>
        <w:tc>
          <w:tcPr>
            <w:tcW w:w="1017" w:type="dxa"/>
          </w:tcPr>
          <w:p>
            <w:pPr>
              <w:pStyle w:val="TableParagraph"/>
              <w:spacing w:line="183" w:lineRule="exact"/>
              <w:ind w:left="14"/>
              <w:jc w:val="center"/>
              <w:rPr>
                <w:sz w:val="16"/>
              </w:rPr>
            </w:pPr>
            <w:r>
              <w:rPr>
                <w:spacing w:val="-2"/>
                <w:sz w:val="16"/>
              </w:rPr>
              <w:t>55,423</w:t>
            </w:r>
          </w:p>
        </w:tc>
        <w:tc>
          <w:tcPr>
            <w:tcW w:w="929" w:type="dxa"/>
          </w:tcPr>
          <w:p>
            <w:pPr>
              <w:pStyle w:val="TableParagraph"/>
              <w:rPr>
                <w:rFonts w:ascii="Times New Roman"/>
                <w:sz w:val="18"/>
              </w:rPr>
            </w:pPr>
          </w:p>
        </w:tc>
      </w:tr>
      <w:tr>
        <w:trPr>
          <w:trHeight w:val="551" w:hRule="atLeast"/>
        </w:trPr>
        <w:tc>
          <w:tcPr>
            <w:tcW w:w="883" w:type="dxa"/>
          </w:tcPr>
          <w:p>
            <w:pPr>
              <w:pStyle w:val="TableParagraph"/>
              <w:rPr>
                <w:rFonts w:ascii="Times New Roman"/>
                <w:sz w:val="18"/>
              </w:rPr>
            </w:pPr>
          </w:p>
        </w:tc>
        <w:tc>
          <w:tcPr>
            <w:tcW w:w="1150" w:type="dxa"/>
          </w:tcPr>
          <w:p>
            <w:pPr>
              <w:pStyle w:val="TableParagraph"/>
              <w:spacing w:line="183" w:lineRule="exact"/>
              <w:ind w:left="9" w:right="43"/>
              <w:jc w:val="center"/>
              <w:rPr>
                <w:rFonts w:ascii="Arial"/>
                <w:b/>
                <w:sz w:val="16"/>
              </w:rPr>
            </w:pPr>
            <w:r>
              <w:rPr>
                <w:rFonts w:ascii="Arial"/>
                <w:b/>
                <w:spacing w:val="-2"/>
                <w:sz w:val="16"/>
              </w:rPr>
              <w:t>0713339900</w:t>
            </w:r>
          </w:p>
        </w:tc>
        <w:tc>
          <w:tcPr>
            <w:tcW w:w="3432" w:type="dxa"/>
          </w:tcPr>
          <w:p>
            <w:pPr>
              <w:pStyle w:val="TableParagraph"/>
              <w:ind w:left="108"/>
              <w:rPr>
                <w:sz w:val="16"/>
              </w:rPr>
            </w:pPr>
            <w:r>
              <w:rPr>
                <w:sz w:val="16"/>
              </w:rPr>
              <w:t>Los</w:t>
            </w:r>
            <w:r>
              <w:rPr>
                <w:spacing w:val="40"/>
                <w:sz w:val="16"/>
              </w:rPr>
              <w:t> </w:t>
            </w:r>
            <w:r>
              <w:rPr>
                <w:sz w:val="16"/>
              </w:rPr>
              <w:t>demás</w:t>
            </w:r>
            <w:r>
              <w:rPr>
                <w:spacing w:val="40"/>
                <w:sz w:val="16"/>
              </w:rPr>
              <w:t> </w:t>
            </w:r>
            <w:r>
              <w:rPr>
                <w:sz w:val="16"/>
              </w:rPr>
              <w:t>de</w:t>
            </w:r>
            <w:r>
              <w:rPr>
                <w:spacing w:val="40"/>
                <w:sz w:val="16"/>
              </w:rPr>
              <w:t> </w:t>
            </w:r>
            <w:r>
              <w:rPr>
                <w:sz w:val="16"/>
              </w:rPr>
              <w:t>vainas</w:t>
            </w:r>
            <w:r>
              <w:rPr>
                <w:spacing w:val="40"/>
                <w:sz w:val="16"/>
              </w:rPr>
              <w:t> </w:t>
            </w:r>
            <w:r>
              <w:rPr>
                <w:sz w:val="16"/>
              </w:rPr>
              <w:t>secas</w:t>
            </w:r>
            <w:r>
              <w:rPr>
                <w:spacing w:val="40"/>
                <w:sz w:val="16"/>
              </w:rPr>
              <w:t> </w:t>
            </w:r>
            <w:r>
              <w:rPr>
                <w:sz w:val="16"/>
              </w:rPr>
              <w:t>desvainados, aunque</w:t>
            </w:r>
            <w:r>
              <w:rPr>
                <w:spacing w:val="16"/>
                <w:sz w:val="16"/>
              </w:rPr>
              <w:t> </w:t>
            </w:r>
            <w:r>
              <w:rPr>
                <w:sz w:val="16"/>
              </w:rPr>
              <w:t>estén</w:t>
            </w:r>
            <w:r>
              <w:rPr>
                <w:spacing w:val="15"/>
                <w:sz w:val="16"/>
              </w:rPr>
              <w:t> </w:t>
            </w:r>
            <w:r>
              <w:rPr>
                <w:sz w:val="16"/>
              </w:rPr>
              <w:t>mondados</w:t>
            </w:r>
            <w:r>
              <w:rPr>
                <w:spacing w:val="17"/>
                <w:sz w:val="16"/>
              </w:rPr>
              <w:t> </w:t>
            </w:r>
            <w:r>
              <w:rPr>
                <w:sz w:val="16"/>
              </w:rPr>
              <w:t>o</w:t>
            </w:r>
            <w:r>
              <w:rPr>
                <w:spacing w:val="16"/>
                <w:sz w:val="16"/>
              </w:rPr>
              <w:t> </w:t>
            </w:r>
            <w:r>
              <w:rPr>
                <w:sz w:val="16"/>
              </w:rPr>
              <w:t>partidos,</w:t>
            </w:r>
            <w:r>
              <w:rPr>
                <w:spacing w:val="17"/>
                <w:sz w:val="16"/>
              </w:rPr>
              <w:t> </w:t>
            </w:r>
            <w:r>
              <w:rPr>
                <w:sz w:val="16"/>
              </w:rPr>
              <w:t>que</w:t>
            </w:r>
            <w:r>
              <w:rPr>
                <w:spacing w:val="17"/>
                <w:sz w:val="16"/>
              </w:rPr>
              <w:t> </w:t>
            </w:r>
            <w:r>
              <w:rPr>
                <w:spacing w:val="-5"/>
                <w:sz w:val="16"/>
              </w:rPr>
              <w:t>no</w:t>
            </w:r>
          </w:p>
          <w:p>
            <w:pPr>
              <w:pStyle w:val="TableParagraph"/>
              <w:spacing w:line="165" w:lineRule="exact"/>
              <w:ind w:left="108"/>
              <w:rPr>
                <w:sz w:val="16"/>
              </w:rPr>
            </w:pPr>
            <w:r>
              <w:rPr>
                <w:sz w:val="16"/>
              </w:rPr>
              <w:t>sean</w:t>
            </w:r>
            <w:r>
              <w:rPr>
                <w:spacing w:val="-3"/>
                <w:sz w:val="16"/>
              </w:rPr>
              <w:t> </w:t>
            </w:r>
            <w:r>
              <w:rPr>
                <w:sz w:val="16"/>
              </w:rPr>
              <w:t>para</w:t>
            </w:r>
            <w:r>
              <w:rPr>
                <w:spacing w:val="-2"/>
                <w:sz w:val="16"/>
              </w:rPr>
              <w:t> </w:t>
            </w:r>
            <w:r>
              <w:rPr>
                <w:sz w:val="16"/>
              </w:rPr>
              <w:t>la</w:t>
            </w:r>
            <w:r>
              <w:rPr>
                <w:spacing w:val="-3"/>
                <w:sz w:val="16"/>
              </w:rPr>
              <w:t> </w:t>
            </w:r>
            <w:r>
              <w:rPr>
                <w:spacing w:val="-2"/>
                <w:sz w:val="16"/>
              </w:rPr>
              <w:t>siembra</w:t>
            </w:r>
          </w:p>
        </w:tc>
        <w:tc>
          <w:tcPr>
            <w:tcW w:w="1017" w:type="dxa"/>
          </w:tcPr>
          <w:p>
            <w:pPr>
              <w:pStyle w:val="TableParagraph"/>
              <w:spacing w:line="183" w:lineRule="exact"/>
              <w:ind w:left="14" w:right="3"/>
              <w:jc w:val="center"/>
              <w:rPr>
                <w:sz w:val="16"/>
              </w:rPr>
            </w:pPr>
            <w:r>
              <w:rPr>
                <w:spacing w:val="-2"/>
                <w:sz w:val="16"/>
              </w:rPr>
              <w:t>11,220,849</w:t>
            </w:r>
          </w:p>
        </w:tc>
        <w:tc>
          <w:tcPr>
            <w:tcW w:w="1015" w:type="dxa"/>
          </w:tcPr>
          <w:p>
            <w:pPr>
              <w:pStyle w:val="TableParagraph"/>
              <w:spacing w:line="183" w:lineRule="exact"/>
              <w:ind w:left="11" w:right="1"/>
              <w:jc w:val="center"/>
              <w:rPr>
                <w:sz w:val="16"/>
              </w:rPr>
            </w:pPr>
            <w:r>
              <w:rPr>
                <w:spacing w:val="-2"/>
                <w:sz w:val="16"/>
              </w:rPr>
              <w:t>12,064,529</w:t>
            </w:r>
          </w:p>
        </w:tc>
        <w:tc>
          <w:tcPr>
            <w:tcW w:w="1017" w:type="dxa"/>
          </w:tcPr>
          <w:p>
            <w:pPr>
              <w:pStyle w:val="TableParagraph"/>
              <w:spacing w:line="183" w:lineRule="exact"/>
              <w:ind w:left="14"/>
              <w:jc w:val="center"/>
              <w:rPr>
                <w:sz w:val="16"/>
              </w:rPr>
            </w:pPr>
            <w:r>
              <w:rPr>
                <w:spacing w:val="-2"/>
                <w:sz w:val="16"/>
              </w:rPr>
              <w:t>12,156,475</w:t>
            </w:r>
          </w:p>
        </w:tc>
        <w:tc>
          <w:tcPr>
            <w:tcW w:w="929" w:type="dxa"/>
          </w:tcPr>
          <w:p>
            <w:pPr>
              <w:pStyle w:val="TableParagraph"/>
              <w:spacing w:line="183" w:lineRule="exact"/>
              <w:ind w:left="15"/>
              <w:jc w:val="center"/>
              <w:rPr>
                <w:sz w:val="16"/>
              </w:rPr>
            </w:pPr>
            <w:r>
              <w:rPr>
                <w:spacing w:val="-2"/>
                <w:sz w:val="16"/>
              </w:rPr>
              <w:t>769,517</w:t>
            </w:r>
          </w:p>
        </w:tc>
      </w:tr>
      <w:tr>
        <w:trPr>
          <w:trHeight w:val="366" w:hRule="atLeast"/>
        </w:trPr>
        <w:tc>
          <w:tcPr>
            <w:tcW w:w="883" w:type="dxa"/>
          </w:tcPr>
          <w:p>
            <w:pPr>
              <w:pStyle w:val="TableParagraph"/>
              <w:rPr>
                <w:rFonts w:ascii="Times New Roman"/>
                <w:sz w:val="18"/>
              </w:rPr>
            </w:pPr>
          </w:p>
        </w:tc>
        <w:tc>
          <w:tcPr>
            <w:tcW w:w="1150" w:type="dxa"/>
          </w:tcPr>
          <w:p>
            <w:pPr>
              <w:pStyle w:val="TableParagraph"/>
              <w:spacing w:line="183" w:lineRule="exact"/>
              <w:ind w:left="9" w:right="43"/>
              <w:jc w:val="center"/>
              <w:rPr>
                <w:rFonts w:ascii="Arial"/>
                <w:b/>
                <w:sz w:val="16"/>
              </w:rPr>
            </w:pPr>
            <w:r>
              <w:rPr>
                <w:rFonts w:ascii="Arial"/>
                <w:b/>
                <w:spacing w:val="-2"/>
                <w:sz w:val="16"/>
              </w:rPr>
              <w:t>0713359000</w:t>
            </w:r>
          </w:p>
        </w:tc>
        <w:tc>
          <w:tcPr>
            <w:tcW w:w="3432" w:type="dxa"/>
          </w:tcPr>
          <w:p>
            <w:pPr>
              <w:pStyle w:val="TableParagraph"/>
              <w:spacing w:line="182" w:lineRule="exact"/>
              <w:ind w:left="108"/>
              <w:rPr>
                <w:sz w:val="16"/>
              </w:rPr>
            </w:pPr>
            <w:r>
              <w:rPr>
                <w:sz w:val="16"/>
              </w:rPr>
              <w:t>Los demás Frijoles secos, que no sean para siembra aunque estén mondadas o partidas</w:t>
            </w:r>
          </w:p>
        </w:tc>
        <w:tc>
          <w:tcPr>
            <w:tcW w:w="1017" w:type="dxa"/>
          </w:tcPr>
          <w:p>
            <w:pPr>
              <w:pStyle w:val="TableParagraph"/>
              <w:rPr>
                <w:rFonts w:ascii="Times New Roman"/>
                <w:sz w:val="18"/>
              </w:rPr>
            </w:pPr>
          </w:p>
        </w:tc>
        <w:tc>
          <w:tcPr>
            <w:tcW w:w="1015" w:type="dxa"/>
          </w:tcPr>
          <w:p>
            <w:pPr>
              <w:pStyle w:val="TableParagraph"/>
              <w:spacing w:line="183" w:lineRule="exact"/>
              <w:ind w:left="11"/>
              <w:jc w:val="center"/>
              <w:rPr>
                <w:sz w:val="16"/>
              </w:rPr>
            </w:pPr>
            <w:r>
              <w:rPr>
                <w:spacing w:val="-2"/>
                <w:sz w:val="16"/>
              </w:rPr>
              <w:t>45,425</w:t>
            </w:r>
          </w:p>
        </w:tc>
        <w:tc>
          <w:tcPr>
            <w:tcW w:w="1017" w:type="dxa"/>
          </w:tcPr>
          <w:p>
            <w:pPr>
              <w:pStyle w:val="TableParagraph"/>
              <w:rPr>
                <w:rFonts w:ascii="Times New Roman"/>
                <w:sz w:val="18"/>
              </w:rPr>
            </w:pPr>
          </w:p>
        </w:tc>
        <w:tc>
          <w:tcPr>
            <w:tcW w:w="929" w:type="dxa"/>
          </w:tcPr>
          <w:p>
            <w:pPr>
              <w:pStyle w:val="TableParagraph"/>
              <w:rPr>
                <w:rFonts w:ascii="Times New Roman"/>
                <w:sz w:val="18"/>
              </w:rPr>
            </w:pPr>
          </w:p>
        </w:tc>
      </w:tr>
      <w:tr>
        <w:trPr>
          <w:trHeight w:val="185" w:hRule="atLeast"/>
        </w:trPr>
        <w:tc>
          <w:tcPr>
            <w:tcW w:w="883" w:type="dxa"/>
          </w:tcPr>
          <w:p>
            <w:pPr>
              <w:pStyle w:val="TableParagraph"/>
              <w:rPr>
                <w:rFonts w:ascii="Times New Roman"/>
                <w:sz w:val="12"/>
              </w:rPr>
            </w:pPr>
          </w:p>
        </w:tc>
        <w:tc>
          <w:tcPr>
            <w:tcW w:w="1150" w:type="dxa"/>
          </w:tcPr>
          <w:p>
            <w:pPr>
              <w:pStyle w:val="TableParagraph"/>
              <w:spacing w:line="165" w:lineRule="exact"/>
              <w:ind w:left="9" w:right="43"/>
              <w:jc w:val="center"/>
              <w:rPr>
                <w:rFonts w:ascii="Arial"/>
                <w:b/>
                <w:sz w:val="16"/>
              </w:rPr>
            </w:pPr>
            <w:r>
              <w:rPr>
                <w:rFonts w:ascii="Arial"/>
                <w:b/>
                <w:spacing w:val="-2"/>
                <w:sz w:val="16"/>
              </w:rPr>
              <w:t>0803101000</w:t>
            </w:r>
          </w:p>
        </w:tc>
        <w:tc>
          <w:tcPr>
            <w:tcW w:w="3432" w:type="dxa"/>
          </w:tcPr>
          <w:p>
            <w:pPr>
              <w:pStyle w:val="TableParagraph"/>
              <w:spacing w:line="165" w:lineRule="exact"/>
              <w:ind w:left="108"/>
              <w:rPr>
                <w:sz w:val="16"/>
              </w:rPr>
            </w:pPr>
            <w:r>
              <w:rPr>
                <w:sz w:val="16"/>
              </w:rPr>
              <w:t>Plátanos</w:t>
            </w:r>
            <w:r>
              <w:rPr>
                <w:spacing w:val="-7"/>
                <w:sz w:val="16"/>
              </w:rPr>
              <w:t> </w:t>
            </w:r>
            <w:r>
              <w:rPr>
                <w:sz w:val="16"/>
              </w:rPr>
              <w:t>"plantains",</w:t>
            </w:r>
            <w:r>
              <w:rPr>
                <w:spacing w:val="-8"/>
                <w:sz w:val="16"/>
              </w:rPr>
              <w:t> </w:t>
            </w:r>
            <w:r>
              <w:rPr>
                <w:spacing w:val="-2"/>
                <w:sz w:val="16"/>
              </w:rPr>
              <w:t>frescos</w:t>
            </w:r>
          </w:p>
        </w:tc>
        <w:tc>
          <w:tcPr>
            <w:tcW w:w="1017" w:type="dxa"/>
          </w:tcPr>
          <w:p>
            <w:pPr>
              <w:pStyle w:val="TableParagraph"/>
              <w:spacing w:line="165" w:lineRule="exact"/>
              <w:ind w:left="14" w:right="5"/>
              <w:jc w:val="center"/>
              <w:rPr>
                <w:sz w:val="16"/>
              </w:rPr>
            </w:pPr>
            <w:r>
              <w:rPr>
                <w:spacing w:val="-2"/>
                <w:sz w:val="16"/>
              </w:rPr>
              <w:t>1,398,770</w:t>
            </w:r>
          </w:p>
        </w:tc>
        <w:tc>
          <w:tcPr>
            <w:tcW w:w="1015" w:type="dxa"/>
          </w:tcPr>
          <w:p>
            <w:pPr>
              <w:pStyle w:val="TableParagraph"/>
              <w:spacing w:line="165" w:lineRule="exact"/>
              <w:ind w:left="11" w:right="4"/>
              <w:jc w:val="center"/>
              <w:rPr>
                <w:sz w:val="16"/>
              </w:rPr>
            </w:pPr>
            <w:r>
              <w:rPr>
                <w:spacing w:val="-2"/>
                <w:sz w:val="16"/>
              </w:rPr>
              <w:t>2,242,389</w:t>
            </w:r>
          </w:p>
        </w:tc>
        <w:tc>
          <w:tcPr>
            <w:tcW w:w="1017" w:type="dxa"/>
          </w:tcPr>
          <w:p>
            <w:pPr>
              <w:pStyle w:val="TableParagraph"/>
              <w:spacing w:line="165" w:lineRule="exact"/>
              <w:ind w:left="14" w:right="2"/>
              <w:jc w:val="center"/>
              <w:rPr>
                <w:sz w:val="16"/>
              </w:rPr>
            </w:pPr>
            <w:r>
              <w:rPr>
                <w:spacing w:val="-2"/>
                <w:sz w:val="16"/>
              </w:rPr>
              <w:t>414,814</w:t>
            </w:r>
          </w:p>
        </w:tc>
        <w:tc>
          <w:tcPr>
            <w:tcW w:w="929" w:type="dxa"/>
          </w:tcPr>
          <w:p>
            <w:pPr>
              <w:pStyle w:val="TableParagraph"/>
              <w:spacing w:line="165" w:lineRule="exact"/>
              <w:ind w:left="15"/>
              <w:jc w:val="center"/>
              <w:rPr>
                <w:sz w:val="16"/>
              </w:rPr>
            </w:pPr>
            <w:r>
              <w:rPr>
                <w:spacing w:val="-2"/>
                <w:sz w:val="16"/>
              </w:rPr>
              <w:t>624,087</w:t>
            </w:r>
          </w:p>
        </w:tc>
      </w:tr>
      <w:tr>
        <w:trPr>
          <w:trHeight w:val="184" w:hRule="atLeast"/>
        </w:trPr>
        <w:tc>
          <w:tcPr>
            <w:tcW w:w="883" w:type="dxa"/>
          </w:tcPr>
          <w:p>
            <w:pPr>
              <w:pStyle w:val="TableParagraph"/>
              <w:rPr>
                <w:rFonts w:ascii="Times New Roman"/>
                <w:sz w:val="12"/>
              </w:rPr>
            </w:pPr>
          </w:p>
        </w:tc>
        <w:tc>
          <w:tcPr>
            <w:tcW w:w="1150" w:type="dxa"/>
          </w:tcPr>
          <w:p>
            <w:pPr>
              <w:pStyle w:val="TableParagraph"/>
              <w:spacing w:line="164" w:lineRule="exact"/>
              <w:ind w:left="9" w:right="43"/>
              <w:jc w:val="center"/>
              <w:rPr>
                <w:rFonts w:ascii="Arial"/>
                <w:b/>
                <w:sz w:val="16"/>
              </w:rPr>
            </w:pPr>
            <w:r>
              <w:rPr>
                <w:rFonts w:ascii="Arial"/>
                <w:b/>
                <w:spacing w:val="-2"/>
                <w:sz w:val="16"/>
              </w:rPr>
              <w:t>0803102000</w:t>
            </w:r>
          </w:p>
        </w:tc>
        <w:tc>
          <w:tcPr>
            <w:tcW w:w="3432" w:type="dxa"/>
          </w:tcPr>
          <w:p>
            <w:pPr>
              <w:pStyle w:val="TableParagraph"/>
              <w:spacing w:line="164" w:lineRule="exact"/>
              <w:ind w:left="108"/>
              <w:rPr>
                <w:sz w:val="16"/>
              </w:rPr>
            </w:pPr>
            <w:r>
              <w:rPr>
                <w:sz w:val="16"/>
              </w:rPr>
              <w:t>Plátanos</w:t>
            </w:r>
            <w:r>
              <w:rPr>
                <w:spacing w:val="-9"/>
                <w:sz w:val="16"/>
              </w:rPr>
              <w:t> </w:t>
            </w:r>
            <w:r>
              <w:rPr>
                <w:sz w:val="16"/>
              </w:rPr>
              <w:t>"plantains",</w:t>
            </w:r>
            <w:r>
              <w:rPr>
                <w:spacing w:val="-8"/>
                <w:sz w:val="16"/>
              </w:rPr>
              <w:t> </w:t>
            </w:r>
            <w:r>
              <w:rPr>
                <w:spacing w:val="-4"/>
                <w:sz w:val="16"/>
              </w:rPr>
              <w:t>secos</w:t>
            </w:r>
          </w:p>
        </w:tc>
        <w:tc>
          <w:tcPr>
            <w:tcW w:w="1017" w:type="dxa"/>
          </w:tcPr>
          <w:p>
            <w:pPr>
              <w:pStyle w:val="TableParagraph"/>
              <w:spacing w:line="164" w:lineRule="exact"/>
              <w:ind w:left="14" w:right="5"/>
              <w:jc w:val="center"/>
              <w:rPr>
                <w:sz w:val="16"/>
              </w:rPr>
            </w:pPr>
            <w:r>
              <w:rPr>
                <w:spacing w:val="-2"/>
                <w:sz w:val="16"/>
              </w:rPr>
              <w:t>195,693</w:t>
            </w:r>
          </w:p>
        </w:tc>
        <w:tc>
          <w:tcPr>
            <w:tcW w:w="1015" w:type="dxa"/>
          </w:tcPr>
          <w:p>
            <w:pPr>
              <w:pStyle w:val="TableParagraph"/>
              <w:spacing w:line="164" w:lineRule="exact"/>
              <w:ind w:left="11" w:right="2"/>
              <w:jc w:val="center"/>
              <w:rPr>
                <w:sz w:val="16"/>
              </w:rPr>
            </w:pPr>
            <w:r>
              <w:rPr>
                <w:spacing w:val="-2"/>
                <w:sz w:val="16"/>
              </w:rPr>
              <w:t>117,674</w:t>
            </w:r>
          </w:p>
        </w:tc>
        <w:tc>
          <w:tcPr>
            <w:tcW w:w="1017" w:type="dxa"/>
          </w:tcPr>
          <w:p>
            <w:pPr>
              <w:pStyle w:val="TableParagraph"/>
              <w:spacing w:line="164" w:lineRule="exact"/>
              <w:ind w:left="14"/>
              <w:jc w:val="center"/>
              <w:rPr>
                <w:sz w:val="16"/>
              </w:rPr>
            </w:pPr>
            <w:r>
              <w:rPr>
                <w:spacing w:val="-2"/>
                <w:sz w:val="16"/>
              </w:rPr>
              <w:t>75,467</w:t>
            </w:r>
          </w:p>
        </w:tc>
        <w:tc>
          <w:tcPr>
            <w:tcW w:w="929" w:type="dxa"/>
          </w:tcPr>
          <w:p>
            <w:pPr>
              <w:pStyle w:val="TableParagraph"/>
              <w:spacing w:line="164" w:lineRule="exact"/>
              <w:ind w:left="15" w:right="3"/>
              <w:jc w:val="center"/>
              <w:rPr>
                <w:sz w:val="16"/>
              </w:rPr>
            </w:pPr>
            <w:r>
              <w:rPr>
                <w:spacing w:val="-2"/>
                <w:sz w:val="16"/>
              </w:rPr>
              <w:t>25,560</w:t>
            </w:r>
          </w:p>
        </w:tc>
      </w:tr>
      <w:tr>
        <w:trPr>
          <w:trHeight w:val="366" w:hRule="atLeast"/>
        </w:trPr>
        <w:tc>
          <w:tcPr>
            <w:tcW w:w="883" w:type="dxa"/>
          </w:tcPr>
          <w:p>
            <w:pPr>
              <w:pStyle w:val="TableParagraph"/>
              <w:rPr>
                <w:rFonts w:ascii="Times New Roman"/>
                <w:sz w:val="18"/>
              </w:rPr>
            </w:pPr>
          </w:p>
        </w:tc>
        <w:tc>
          <w:tcPr>
            <w:tcW w:w="1150" w:type="dxa"/>
          </w:tcPr>
          <w:p>
            <w:pPr>
              <w:pStyle w:val="TableParagraph"/>
              <w:spacing w:line="183" w:lineRule="exact"/>
              <w:ind w:left="9" w:right="43"/>
              <w:jc w:val="center"/>
              <w:rPr>
                <w:rFonts w:ascii="Arial"/>
                <w:b/>
                <w:sz w:val="16"/>
              </w:rPr>
            </w:pPr>
            <w:r>
              <w:rPr>
                <w:rFonts w:ascii="Arial"/>
                <w:b/>
                <w:spacing w:val="-2"/>
                <w:sz w:val="16"/>
              </w:rPr>
              <w:t>0803901200</w:t>
            </w:r>
          </w:p>
        </w:tc>
        <w:tc>
          <w:tcPr>
            <w:tcW w:w="3432" w:type="dxa"/>
          </w:tcPr>
          <w:p>
            <w:pPr>
              <w:pStyle w:val="TableParagraph"/>
              <w:tabs>
                <w:tab w:pos="1065" w:val="left" w:leader="none"/>
                <w:tab w:pos="2209" w:val="left" w:leader="none"/>
                <w:tab w:pos="2875" w:val="left" w:leader="none"/>
              </w:tabs>
              <w:spacing w:line="182" w:lineRule="exact"/>
              <w:ind w:left="108" w:right="97"/>
              <w:rPr>
                <w:sz w:val="16"/>
              </w:rPr>
            </w:pPr>
            <w:r>
              <w:rPr>
                <w:spacing w:val="-2"/>
                <w:sz w:val="16"/>
              </w:rPr>
              <w:t>Bocadillo</w:t>
            </w:r>
            <w:r>
              <w:rPr>
                <w:sz w:val="16"/>
              </w:rPr>
              <w:tab/>
            </w:r>
            <w:r>
              <w:rPr>
                <w:spacing w:val="-2"/>
                <w:sz w:val="16"/>
              </w:rPr>
              <w:t>(manzanito,</w:t>
            </w:r>
            <w:r>
              <w:rPr>
                <w:sz w:val="16"/>
              </w:rPr>
              <w:tab/>
            </w:r>
            <w:r>
              <w:rPr>
                <w:spacing w:val="-2"/>
                <w:sz w:val="16"/>
              </w:rPr>
              <w:t>orito)</w:t>
            </w:r>
            <w:r>
              <w:rPr>
                <w:sz w:val="16"/>
              </w:rPr>
              <w:tab/>
            </w:r>
            <w:r>
              <w:rPr>
                <w:spacing w:val="-2"/>
                <w:sz w:val="16"/>
              </w:rPr>
              <w:t>(Musa </w:t>
            </w:r>
            <w:r>
              <w:rPr>
                <w:sz w:val="16"/>
              </w:rPr>
              <w:t>acuminata), frescos</w:t>
            </w:r>
          </w:p>
        </w:tc>
        <w:tc>
          <w:tcPr>
            <w:tcW w:w="1017" w:type="dxa"/>
          </w:tcPr>
          <w:p>
            <w:pPr>
              <w:pStyle w:val="TableParagraph"/>
              <w:spacing w:line="183" w:lineRule="exact"/>
              <w:ind w:left="14" w:right="5"/>
              <w:jc w:val="center"/>
              <w:rPr>
                <w:sz w:val="16"/>
              </w:rPr>
            </w:pPr>
            <w:r>
              <w:rPr>
                <w:spacing w:val="-2"/>
                <w:sz w:val="16"/>
              </w:rPr>
              <w:t>280,618</w:t>
            </w:r>
          </w:p>
        </w:tc>
        <w:tc>
          <w:tcPr>
            <w:tcW w:w="1015" w:type="dxa"/>
          </w:tcPr>
          <w:p>
            <w:pPr>
              <w:pStyle w:val="TableParagraph"/>
              <w:spacing w:line="183" w:lineRule="exact"/>
              <w:ind w:left="11" w:right="2"/>
              <w:jc w:val="center"/>
              <w:rPr>
                <w:sz w:val="16"/>
              </w:rPr>
            </w:pPr>
            <w:r>
              <w:rPr>
                <w:spacing w:val="-2"/>
                <w:sz w:val="16"/>
              </w:rPr>
              <w:t>365,016</w:t>
            </w:r>
          </w:p>
        </w:tc>
        <w:tc>
          <w:tcPr>
            <w:tcW w:w="1017" w:type="dxa"/>
          </w:tcPr>
          <w:p>
            <w:pPr>
              <w:pStyle w:val="TableParagraph"/>
              <w:spacing w:line="183" w:lineRule="exact"/>
              <w:ind w:left="14" w:right="2"/>
              <w:jc w:val="center"/>
              <w:rPr>
                <w:sz w:val="16"/>
              </w:rPr>
            </w:pPr>
            <w:r>
              <w:rPr>
                <w:spacing w:val="-2"/>
                <w:sz w:val="16"/>
              </w:rPr>
              <w:t>155,373</w:t>
            </w:r>
          </w:p>
        </w:tc>
        <w:tc>
          <w:tcPr>
            <w:tcW w:w="929" w:type="dxa"/>
          </w:tcPr>
          <w:p>
            <w:pPr>
              <w:pStyle w:val="TableParagraph"/>
              <w:spacing w:line="183" w:lineRule="exact"/>
              <w:ind w:left="15" w:right="3"/>
              <w:jc w:val="center"/>
              <w:rPr>
                <w:sz w:val="16"/>
              </w:rPr>
            </w:pPr>
            <w:r>
              <w:rPr>
                <w:spacing w:val="-2"/>
                <w:sz w:val="16"/>
              </w:rPr>
              <w:t>20,075</w:t>
            </w:r>
          </w:p>
        </w:tc>
      </w:tr>
      <w:tr>
        <w:trPr>
          <w:trHeight w:val="369" w:hRule="atLeast"/>
        </w:trPr>
        <w:tc>
          <w:tcPr>
            <w:tcW w:w="883" w:type="dxa"/>
          </w:tcPr>
          <w:p>
            <w:pPr>
              <w:pStyle w:val="TableParagraph"/>
              <w:rPr>
                <w:rFonts w:ascii="Times New Roman"/>
                <w:sz w:val="18"/>
              </w:rPr>
            </w:pPr>
          </w:p>
        </w:tc>
        <w:tc>
          <w:tcPr>
            <w:tcW w:w="1150" w:type="dxa"/>
          </w:tcPr>
          <w:p>
            <w:pPr>
              <w:pStyle w:val="TableParagraph"/>
              <w:spacing w:line="183" w:lineRule="exact"/>
              <w:ind w:left="9" w:right="43"/>
              <w:jc w:val="center"/>
              <w:rPr>
                <w:rFonts w:ascii="Arial"/>
                <w:b/>
                <w:sz w:val="16"/>
              </w:rPr>
            </w:pPr>
            <w:r>
              <w:rPr>
                <w:rFonts w:ascii="Arial"/>
                <w:b/>
                <w:spacing w:val="-2"/>
                <w:sz w:val="16"/>
              </w:rPr>
              <w:t>0804400010</w:t>
            </w:r>
          </w:p>
        </w:tc>
        <w:tc>
          <w:tcPr>
            <w:tcW w:w="3432" w:type="dxa"/>
          </w:tcPr>
          <w:p>
            <w:pPr>
              <w:pStyle w:val="TableParagraph"/>
              <w:spacing w:line="184" w:lineRule="exact"/>
              <w:ind w:left="108"/>
              <w:rPr>
                <w:sz w:val="16"/>
              </w:rPr>
            </w:pPr>
            <w:r>
              <w:rPr>
                <w:sz w:val="16"/>
              </w:rPr>
              <w:t>Aguacates</w:t>
            </w:r>
            <w:r>
              <w:rPr>
                <w:spacing w:val="-1"/>
                <w:sz w:val="16"/>
              </w:rPr>
              <w:t> </w:t>
            </w:r>
            <w:r>
              <w:rPr>
                <w:sz w:val="16"/>
              </w:rPr>
              <w:t>(paltas),</w:t>
            </w:r>
            <w:r>
              <w:rPr>
                <w:spacing w:val="-4"/>
                <w:sz w:val="16"/>
              </w:rPr>
              <w:t> </w:t>
            </w:r>
            <w:r>
              <w:rPr>
                <w:sz w:val="16"/>
              </w:rPr>
              <w:t>variedad</w:t>
            </w:r>
            <w:r>
              <w:rPr>
                <w:spacing w:val="-1"/>
                <w:sz w:val="16"/>
              </w:rPr>
              <w:t> </w:t>
            </w:r>
            <w:r>
              <w:rPr>
                <w:sz w:val="16"/>
              </w:rPr>
              <w:t>Hass,</w:t>
            </w:r>
            <w:r>
              <w:rPr>
                <w:spacing w:val="-2"/>
                <w:sz w:val="16"/>
              </w:rPr>
              <w:t> </w:t>
            </w:r>
            <w:r>
              <w:rPr>
                <w:sz w:val="16"/>
              </w:rPr>
              <w:t>frescos</w:t>
            </w:r>
            <w:r>
              <w:rPr>
                <w:spacing w:val="-1"/>
                <w:sz w:val="16"/>
              </w:rPr>
              <w:t> </w:t>
            </w:r>
            <w:r>
              <w:rPr>
                <w:sz w:val="16"/>
              </w:rPr>
              <w:t>o </w:t>
            </w:r>
            <w:r>
              <w:rPr>
                <w:spacing w:val="-2"/>
                <w:sz w:val="16"/>
              </w:rPr>
              <w:t>secos</w:t>
            </w:r>
          </w:p>
        </w:tc>
        <w:tc>
          <w:tcPr>
            <w:tcW w:w="1017" w:type="dxa"/>
          </w:tcPr>
          <w:p>
            <w:pPr>
              <w:pStyle w:val="TableParagraph"/>
              <w:spacing w:line="183" w:lineRule="exact"/>
              <w:ind w:left="14" w:right="5"/>
              <w:jc w:val="center"/>
              <w:rPr>
                <w:sz w:val="16"/>
              </w:rPr>
            </w:pPr>
            <w:r>
              <w:rPr>
                <w:spacing w:val="-2"/>
                <w:sz w:val="16"/>
              </w:rPr>
              <w:t>132,919</w:t>
            </w:r>
          </w:p>
        </w:tc>
        <w:tc>
          <w:tcPr>
            <w:tcW w:w="1015" w:type="dxa"/>
          </w:tcPr>
          <w:p>
            <w:pPr>
              <w:pStyle w:val="TableParagraph"/>
              <w:spacing w:line="183" w:lineRule="exact"/>
              <w:ind w:left="11" w:right="2"/>
              <w:jc w:val="center"/>
              <w:rPr>
                <w:sz w:val="16"/>
              </w:rPr>
            </w:pPr>
            <w:r>
              <w:rPr>
                <w:spacing w:val="-2"/>
                <w:sz w:val="16"/>
              </w:rPr>
              <w:t>152,685</w:t>
            </w:r>
          </w:p>
        </w:tc>
        <w:tc>
          <w:tcPr>
            <w:tcW w:w="1017" w:type="dxa"/>
          </w:tcPr>
          <w:p>
            <w:pPr>
              <w:pStyle w:val="TableParagraph"/>
              <w:spacing w:line="183" w:lineRule="exact"/>
              <w:ind w:left="14" w:right="2"/>
              <w:jc w:val="center"/>
              <w:rPr>
                <w:sz w:val="16"/>
              </w:rPr>
            </w:pPr>
            <w:r>
              <w:rPr>
                <w:spacing w:val="-2"/>
                <w:sz w:val="16"/>
              </w:rPr>
              <w:t>380,283</w:t>
            </w:r>
          </w:p>
        </w:tc>
        <w:tc>
          <w:tcPr>
            <w:tcW w:w="929" w:type="dxa"/>
          </w:tcPr>
          <w:p>
            <w:pPr>
              <w:pStyle w:val="TableParagraph"/>
              <w:spacing w:line="183" w:lineRule="exact"/>
              <w:ind w:left="15" w:right="3"/>
              <w:jc w:val="center"/>
              <w:rPr>
                <w:sz w:val="16"/>
              </w:rPr>
            </w:pPr>
            <w:r>
              <w:rPr>
                <w:spacing w:val="-2"/>
                <w:sz w:val="16"/>
              </w:rPr>
              <w:t>34,864</w:t>
            </w:r>
          </w:p>
        </w:tc>
      </w:tr>
      <w:tr>
        <w:trPr>
          <w:trHeight w:val="366" w:hRule="atLeast"/>
        </w:trPr>
        <w:tc>
          <w:tcPr>
            <w:tcW w:w="883" w:type="dxa"/>
          </w:tcPr>
          <w:p>
            <w:pPr>
              <w:pStyle w:val="TableParagraph"/>
              <w:rPr>
                <w:rFonts w:ascii="Times New Roman"/>
                <w:sz w:val="18"/>
              </w:rPr>
            </w:pPr>
          </w:p>
        </w:tc>
        <w:tc>
          <w:tcPr>
            <w:tcW w:w="1150" w:type="dxa"/>
          </w:tcPr>
          <w:p>
            <w:pPr>
              <w:pStyle w:val="TableParagraph"/>
              <w:spacing w:line="183" w:lineRule="exact"/>
              <w:ind w:left="9" w:right="43"/>
              <w:jc w:val="center"/>
              <w:rPr>
                <w:rFonts w:ascii="Arial"/>
                <w:b/>
                <w:sz w:val="16"/>
              </w:rPr>
            </w:pPr>
            <w:r>
              <w:rPr>
                <w:rFonts w:ascii="Arial"/>
                <w:b/>
                <w:spacing w:val="-2"/>
                <w:sz w:val="16"/>
              </w:rPr>
              <w:t>0810901020</w:t>
            </w:r>
          </w:p>
        </w:tc>
        <w:tc>
          <w:tcPr>
            <w:tcW w:w="3432" w:type="dxa"/>
          </w:tcPr>
          <w:p>
            <w:pPr>
              <w:pStyle w:val="TableParagraph"/>
              <w:spacing w:line="182" w:lineRule="exact"/>
              <w:ind w:left="108"/>
              <w:rPr>
                <w:sz w:val="16"/>
              </w:rPr>
            </w:pPr>
            <w:r>
              <w:rPr>
                <w:sz w:val="16"/>
              </w:rPr>
              <w:t>Maracuyá</w:t>
            </w:r>
            <w:r>
              <w:rPr>
                <w:spacing w:val="30"/>
                <w:sz w:val="16"/>
              </w:rPr>
              <w:t> </w:t>
            </w:r>
            <w:r>
              <w:rPr>
                <w:sz w:val="16"/>
              </w:rPr>
              <w:t>(parchita)</w:t>
            </w:r>
            <w:r>
              <w:rPr>
                <w:spacing w:val="32"/>
                <w:sz w:val="16"/>
              </w:rPr>
              <w:t> </w:t>
            </w:r>
            <w:r>
              <w:rPr>
                <w:sz w:val="16"/>
              </w:rPr>
              <w:t>(Passif/ora</w:t>
            </w:r>
            <w:r>
              <w:rPr>
                <w:spacing w:val="30"/>
                <w:sz w:val="16"/>
              </w:rPr>
              <w:t> </w:t>
            </w:r>
            <w:r>
              <w:rPr>
                <w:sz w:val="16"/>
              </w:rPr>
              <w:t>edulis</w:t>
            </w:r>
            <w:r>
              <w:rPr>
                <w:spacing w:val="31"/>
                <w:sz w:val="16"/>
              </w:rPr>
              <w:t> </w:t>
            </w:r>
            <w:r>
              <w:rPr>
                <w:sz w:val="16"/>
              </w:rPr>
              <w:t>varo Flavicarpa), frescas</w:t>
            </w:r>
          </w:p>
        </w:tc>
        <w:tc>
          <w:tcPr>
            <w:tcW w:w="1017" w:type="dxa"/>
          </w:tcPr>
          <w:p>
            <w:pPr>
              <w:pStyle w:val="TableParagraph"/>
              <w:spacing w:line="183" w:lineRule="exact"/>
              <w:ind w:left="14" w:right="5"/>
              <w:jc w:val="center"/>
              <w:rPr>
                <w:sz w:val="16"/>
              </w:rPr>
            </w:pPr>
            <w:r>
              <w:rPr>
                <w:spacing w:val="-2"/>
                <w:sz w:val="16"/>
              </w:rPr>
              <w:t>1,147,619</w:t>
            </w:r>
          </w:p>
        </w:tc>
        <w:tc>
          <w:tcPr>
            <w:tcW w:w="1015" w:type="dxa"/>
          </w:tcPr>
          <w:p>
            <w:pPr>
              <w:pStyle w:val="TableParagraph"/>
              <w:spacing w:line="183" w:lineRule="exact"/>
              <w:ind w:left="11" w:right="2"/>
              <w:jc w:val="center"/>
              <w:rPr>
                <w:sz w:val="16"/>
              </w:rPr>
            </w:pPr>
            <w:r>
              <w:rPr>
                <w:spacing w:val="-2"/>
                <w:sz w:val="16"/>
              </w:rPr>
              <w:t>347,151</w:t>
            </w:r>
          </w:p>
        </w:tc>
        <w:tc>
          <w:tcPr>
            <w:tcW w:w="1017" w:type="dxa"/>
          </w:tcPr>
          <w:p>
            <w:pPr>
              <w:pStyle w:val="TableParagraph"/>
              <w:spacing w:line="183" w:lineRule="exact"/>
              <w:ind w:left="14" w:right="2"/>
              <w:jc w:val="center"/>
              <w:rPr>
                <w:sz w:val="16"/>
              </w:rPr>
            </w:pPr>
            <w:r>
              <w:rPr>
                <w:spacing w:val="-2"/>
                <w:sz w:val="16"/>
              </w:rPr>
              <w:t>1,072,468</w:t>
            </w:r>
          </w:p>
        </w:tc>
        <w:tc>
          <w:tcPr>
            <w:tcW w:w="929" w:type="dxa"/>
          </w:tcPr>
          <w:p>
            <w:pPr>
              <w:pStyle w:val="TableParagraph"/>
              <w:spacing w:line="183" w:lineRule="exact"/>
              <w:ind w:left="15"/>
              <w:jc w:val="center"/>
              <w:rPr>
                <w:sz w:val="16"/>
              </w:rPr>
            </w:pPr>
            <w:r>
              <w:rPr>
                <w:spacing w:val="-2"/>
                <w:sz w:val="16"/>
              </w:rPr>
              <w:t>320,698</w:t>
            </w:r>
          </w:p>
        </w:tc>
      </w:tr>
      <w:tr>
        <w:trPr>
          <w:trHeight w:val="184" w:hRule="atLeast"/>
        </w:trPr>
        <w:tc>
          <w:tcPr>
            <w:tcW w:w="5465" w:type="dxa"/>
            <w:gridSpan w:val="3"/>
            <w:shd w:val="clear" w:color="auto" w:fill="E8E8E8"/>
          </w:tcPr>
          <w:p>
            <w:pPr>
              <w:pStyle w:val="TableParagraph"/>
              <w:spacing w:line="164" w:lineRule="exact"/>
              <w:ind w:left="9"/>
              <w:jc w:val="center"/>
              <w:rPr>
                <w:rFonts w:ascii="Arial"/>
                <w:b/>
                <w:sz w:val="16"/>
              </w:rPr>
            </w:pPr>
            <w:r>
              <w:rPr>
                <w:rFonts w:ascii="Arial"/>
                <w:b/>
                <w:sz w:val="16"/>
              </w:rPr>
              <w:t>TOTAL</w:t>
            </w:r>
            <w:r>
              <w:rPr>
                <w:rFonts w:ascii="Arial"/>
                <w:b/>
                <w:spacing w:val="-7"/>
                <w:sz w:val="16"/>
              </w:rPr>
              <w:t> </w:t>
            </w:r>
            <w:r>
              <w:rPr>
                <w:rFonts w:ascii="Arial"/>
                <w:b/>
                <w:spacing w:val="-2"/>
                <w:sz w:val="16"/>
              </w:rPr>
              <w:t>IPIALES</w:t>
            </w:r>
          </w:p>
        </w:tc>
        <w:tc>
          <w:tcPr>
            <w:tcW w:w="1017" w:type="dxa"/>
            <w:shd w:val="clear" w:color="auto" w:fill="E8E8E8"/>
          </w:tcPr>
          <w:p>
            <w:pPr>
              <w:pStyle w:val="TableParagraph"/>
              <w:spacing w:line="164" w:lineRule="exact"/>
              <w:ind w:left="14" w:right="3"/>
              <w:jc w:val="center"/>
              <w:rPr>
                <w:rFonts w:ascii="Arial"/>
                <w:b/>
                <w:sz w:val="16"/>
              </w:rPr>
            </w:pPr>
            <w:r>
              <w:rPr>
                <w:rFonts w:ascii="Arial"/>
                <w:b/>
                <w:spacing w:val="-2"/>
                <w:sz w:val="16"/>
              </w:rPr>
              <w:t>14,483,934</w:t>
            </w:r>
          </w:p>
        </w:tc>
        <w:tc>
          <w:tcPr>
            <w:tcW w:w="1015" w:type="dxa"/>
            <w:shd w:val="clear" w:color="auto" w:fill="E8E8E8"/>
          </w:tcPr>
          <w:p>
            <w:pPr>
              <w:pStyle w:val="TableParagraph"/>
              <w:spacing w:line="164" w:lineRule="exact"/>
              <w:ind w:left="11" w:right="1"/>
              <w:jc w:val="center"/>
              <w:rPr>
                <w:rFonts w:ascii="Arial"/>
                <w:b/>
                <w:sz w:val="16"/>
              </w:rPr>
            </w:pPr>
            <w:r>
              <w:rPr>
                <w:rFonts w:ascii="Arial"/>
                <w:b/>
                <w:spacing w:val="-2"/>
                <w:sz w:val="16"/>
              </w:rPr>
              <w:t>15,707,783</w:t>
            </w:r>
          </w:p>
        </w:tc>
        <w:tc>
          <w:tcPr>
            <w:tcW w:w="1017" w:type="dxa"/>
            <w:shd w:val="clear" w:color="auto" w:fill="E8E8E8"/>
          </w:tcPr>
          <w:p>
            <w:pPr>
              <w:pStyle w:val="TableParagraph"/>
              <w:spacing w:line="164" w:lineRule="exact"/>
              <w:ind w:left="14"/>
              <w:jc w:val="center"/>
              <w:rPr>
                <w:rFonts w:ascii="Arial"/>
                <w:b/>
                <w:sz w:val="16"/>
              </w:rPr>
            </w:pPr>
            <w:r>
              <w:rPr>
                <w:rFonts w:ascii="Arial"/>
                <w:b/>
                <w:spacing w:val="-2"/>
                <w:sz w:val="16"/>
              </w:rPr>
              <w:t>14,389,420</w:t>
            </w:r>
          </w:p>
        </w:tc>
        <w:tc>
          <w:tcPr>
            <w:tcW w:w="929" w:type="dxa"/>
            <w:shd w:val="clear" w:color="auto" w:fill="E8E8E8"/>
          </w:tcPr>
          <w:p>
            <w:pPr>
              <w:pStyle w:val="TableParagraph"/>
              <w:spacing w:line="164" w:lineRule="exact"/>
              <w:ind w:left="15"/>
              <w:jc w:val="center"/>
              <w:rPr>
                <w:rFonts w:ascii="Arial"/>
                <w:b/>
                <w:sz w:val="16"/>
              </w:rPr>
            </w:pPr>
            <w:r>
              <w:rPr>
                <w:rFonts w:ascii="Arial"/>
                <w:b/>
                <w:spacing w:val="-2"/>
                <w:sz w:val="16"/>
              </w:rPr>
              <w:t>1,799,380</w:t>
            </w:r>
          </w:p>
        </w:tc>
      </w:tr>
      <w:tr>
        <w:trPr>
          <w:trHeight w:val="369" w:hRule="atLeast"/>
        </w:trPr>
        <w:tc>
          <w:tcPr>
            <w:tcW w:w="883" w:type="dxa"/>
          </w:tcPr>
          <w:p>
            <w:pPr>
              <w:pStyle w:val="TableParagraph"/>
              <w:spacing w:line="184" w:lineRule="exact"/>
              <w:ind w:left="107" w:right="91"/>
              <w:rPr>
                <w:rFonts w:ascii="Arial"/>
                <w:b/>
                <w:sz w:val="16"/>
              </w:rPr>
            </w:pPr>
            <w:r>
              <w:rPr>
                <w:rFonts w:ascii="Arial"/>
                <w:b/>
                <w:spacing w:val="-2"/>
                <w:sz w:val="16"/>
              </w:rPr>
              <w:t>PUERTO </w:t>
            </w:r>
            <w:r>
              <w:rPr>
                <w:rFonts w:ascii="Arial"/>
                <w:b/>
                <w:spacing w:val="-4"/>
                <w:sz w:val="16"/>
              </w:rPr>
              <w:t>ASIS</w:t>
            </w:r>
          </w:p>
        </w:tc>
        <w:tc>
          <w:tcPr>
            <w:tcW w:w="1150" w:type="dxa"/>
          </w:tcPr>
          <w:p>
            <w:pPr>
              <w:pStyle w:val="TableParagraph"/>
              <w:spacing w:line="183" w:lineRule="exact"/>
              <w:ind w:left="9" w:right="43"/>
              <w:jc w:val="center"/>
              <w:rPr>
                <w:rFonts w:ascii="Arial"/>
                <w:b/>
                <w:sz w:val="16"/>
              </w:rPr>
            </w:pPr>
            <w:r>
              <w:rPr>
                <w:rFonts w:ascii="Arial"/>
                <w:b/>
                <w:spacing w:val="-2"/>
                <w:sz w:val="16"/>
              </w:rPr>
              <w:t>0703100010</w:t>
            </w:r>
          </w:p>
        </w:tc>
        <w:tc>
          <w:tcPr>
            <w:tcW w:w="3432" w:type="dxa"/>
          </w:tcPr>
          <w:p>
            <w:pPr>
              <w:pStyle w:val="TableParagraph"/>
              <w:spacing w:line="184" w:lineRule="exact"/>
              <w:ind w:left="108"/>
              <w:rPr>
                <w:sz w:val="16"/>
              </w:rPr>
            </w:pPr>
            <w:r>
              <w:rPr>
                <w:sz w:val="16"/>
              </w:rPr>
              <w:t>Cebollas</w:t>
            </w:r>
            <w:r>
              <w:rPr>
                <w:spacing w:val="80"/>
                <w:sz w:val="16"/>
              </w:rPr>
              <w:t> </w:t>
            </w:r>
            <w:r>
              <w:rPr>
                <w:sz w:val="16"/>
              </w:rPr>
              <w:t>de</w:t>
            </w:r>
            <w:r>
              <w:rPr>
                <w:spacing w:val="80"/>
                <w:sz w:val="16"/>
              </w:rPr>
              <w:t> </w:t>
            </w:r>
            <w:r>
              <w:rPr>
                <w:sz w:val="16"/>
              </w:rPr>
              <w:t>bulbo</w:t>
            </w:r>
            <w:r>
              <w:rPr>
                <w:spacing w:val="80"/>
                <w:sz w:val="16"/>
              </w:rPr>
              <w:t> </w:t>
            </w:r>
            <w:r>
              <w:rPr>
                <w:sz w:val="16"/>
              </w:rPr>
              <w:t>rojo</w:t>
            </w:r>
            <w:r>
              <w:rPr>
                <w:spacing w:val="80"/>
                <w:sz w:val="16"/>
              </w:rPr>
              <w:t> </w:t>
            </w:r>
            <w:r>
              <w:rPr>
                <w:sz w:val="16"/>
              </w:rPr>
              <w:t>(cabezona</w:t>
            </w:r>
            <w:r>
              <w:rPr>
                <w:spacing w:val="80"/>
                <w:sz w:val="16"/>
              </w:rPr>
              <w:t> </w:t>
            </w:r>
            <w:r>
              <w:rPr>
                <w:sz w:val="16"/>
              </w:rPr>
              <w:t>roja) (Allium cepa L.), frescas o refrigeradas</w:t>
            </w:r>
          </w:p>
        </w:tc>
        <w:tc>
          <w:tcPr>
            <w:tcW w:w="1017" w:type="dxa"/>
          </w:tcPr>
          <w:p>
            <w:pPr>
              <w:pStyle w:val="TableParagraph"/>
              <w:spacing w:line="183" w:lineRule="exact"/>
              <w:ind w:left="14" w:right="5"/>
              <w:jc w:val="center"/>
              <w:rPr>
                <w:sz w:val="16"/>
              </w:rPr>
            </w:pPr>
            <w:r>
              <w:rPr>
                <w:spacing w:val="-2"/>
                <w:sz w:val="16"/>
              </w:rPr>
              <w:t>8,936</w:t>
            </w:r>
          </w:p>
        </w:tc>
        <w:tc>
          <w:tcPr>
            <w:tcW w:w="1015" w:type="dxa"/>
          </w:tcPr>
          <w:p>
            <w:pPr>
              <w:pStyle w:val="TableParagraph"/>
              <w:rPr>
                <w:rFonts w:ascii="Times New Roman"/>
                <w:sz w:val="18"/>
              </w:rPr>
            </w:pPr>
          </w:p>
        </w:tc>
        <w:tc>
          <w:tcPr>
            <w:tcW w:w="1017" w:type="dxa"/>
          </w:tcPr>
          <w:p>
            <w:pPr>
              <w:pStyle w:val="TableParagraph"/>
              <w:rPr>
                <w:rFonts w:ascii="Times New Roman"/>
                <w:sz w:val="18"/>
              </w:rPr>
            </w:pPr>
          </w:p>
        </w:tc>
        <w:tc>
          <w:tcPr>
            <w:tcW w:w="929" w:type="dxa"/>
          </w:tcPr>
          <w:p>
            <w:pPr>
              <w:pStyle w:val="TableParagraph"/>
              <w:rPr>
                <w:rFonts w:ascii="Times New Roman"/>
                <w:sz w:val="18"/>
              </w:rPr>
            </w:pPr>
          </w:p>
        </w:tc>
      </w:tr>
      <w:tr>
        <w:trPr>
          <w:trHeight w:val="366" w:hRule="atLeast"/>
        </w:trPr>
        <w:tc>
          <w:tcPr>
            <w:tcW w:w="883" w:type="dxa"/>
          </w:tcPr>
          <w:p>
            <w:pPr>
              <w:pStyle w:val="TableParagraph"/>
              <w:rPr>
                <w:rFonts w:ascii="Times New Roman"/>
                <w:sz w:val="18"/>
              </w:rPr>
            </w:pPr>
          </w:p>
        </w:tc>
        <w:tc>
          <w:tcPr>
            <w:tcW w:w="1150" w:type="dxa"/>
          </w:tcPr>
          <w:p>
            <w:pPr>
              <w:pStyle w:val="TableParagraph"/>
              <w:spacing w:line="183" w:lineRule="exact"/>
              <w:ind w:left="9" w:right="43"/>
              <w:jc w:val="center"/>
              <w:rPr>
                <w:rFonts w:ascii="Arial"/>
                <w:b/>
                <w:sz w:val="16"/>
              </w:rPr>
            </w:pPr>
            <w:r>
              <w:rPr>
                <w:rFonts w:ascii="Arial"/>
                <w:b/>
                <w:spacing w:val="-2"/>
                <w:sz w:val="16"/>
              </w:rPr>
              <w:t>0804400010</w:t>
            </w:r>
          </w:p>
        </w:tc>
        <w:tc>
          <w:tcPr>
            <w:tcW w:w="3432" w:type="dxa"/>
          </w:tcPr>
          <w:p>
            <w:pPr>
              <w:pStyle w:val="TableParagraph"/>
              <w:spacing w:line="182" w:lineRule="exact"/>
              <w:ind w:left="108"/>
              <w:rPr>
                <w:sz w:val="16"/>
              </w:rPr>
            </w:pPr>
            <w:r>
              <w:rPr>
                <w:sz w:val="16"/>
              </w:rPr>
              <w:t>Aguacates</w:t>
            </w:r>
            <w:r>
              <w:rPr>
                <w:spacing w:val="-1"/>
                <w:sz w:val="16"/>
              </w:rPr>
              <w:t> </w:t>
            </w:r>
            <w:r>
              <w:rPr>
                <w:sz w:val="16"/>
              </w:rPr>
              <w:t>(paltas),</w:t>
            </w:r>
            <w:r>
              <w:rPr>
                <w:spacing w:val="-4"/>
                <w:sz w:val="16"/>
              </w:rPr>
              <w:t> </w:t>
            </w:r>
            <w:r>
              <w:rPr>
                <w:sz w:val="16"/>
              </w:rPr>
              <w:t>variedad</w:t>
            </w:r>
            <w:r>
              <w:rPr>
                <w:spacing w:val="-1"/>
                <w:sz w:val="16"/>
              </w:rPr>
              <w:t> </w:t>
            </w:r>
            <w:r>
              <w:rPr>
                <w:sz w:val="16"/>
              </w:rPr>
              <w:t>Hass,</w:t>
            </w:r>
            <w:r>
              <w:rPr>
                <w:spacing w:val="-2"/>
                <w:sz w:val="16"/>
              </w:rPr>
              <w:t> </w:t>
            </w:r>
            <w:r>
              <w:rPr>
                <w:sz w:val="16"/>
              </w:rPr>
              <w:t>frescos</w:t>
            </w:r>
            <w:r>
              <w:rPr>
                <w:spacing w:val="-1"/>
                <w:sz w:val="16"/>
              </w:rPr>
              <w:t> </w:t>
            </w:r>
            <w:r>
              <w:rPr>
                <w:sz w:val="16"/>
              </w:rPr>
              <w:t>o </w:t>
            </w:r>
            <w:r>
              <w:rPr>
                <w:spacing w:val="-2"/>
                <w:sz w:val="16"/>
              </w:rPr>
              <w:t>secos</w:t>
            </w:r>
          </w:p>
        </w:tc>
        <w:tc>
          <w:tcPr>
            <w:tcW w:w="1017" w:type="dxa"/>
          </w:tcPr>
          <w:p>
            <w:pPr>
              <w:pStyle w:val="TableParagraph"/>
              <w:spacing w:line="183" w:lineRule="exact"/>
              <w:ind w:left="14" w:right="2"/>
              <w:jc w:val="center"/>
              <w:rPr>
                <w:sz w:val="16"/>
              </w:rPr>
            </w:pPr>
            <w:r>
              <w:rPr>
                <w:spacing w:val="-2"/>
                <w:sz w:val="16"/>
              </w:rPr>
              <w:t>35,352</w:t>
            </w:r>
          </w:p>
        </w:tc>
        <w:tc>
          <w:tcPr>
            <w:tcW w:w="1015" w:type="dxa"/>
          </w:tcPr>
          <w:p>
            <w:pPr>
              <w:pStyle w:val="TableParagraph"/>
              <w:rPr>
                <w:rFonts w:ascii="Times New Roman"/>
                <w:sz w:val="18"/>
              </w:rPr>
            </w:pPr>
          </w:p>
        </w:tc>
        <w:tc>
          <w:tcPr>
            <w:tcW w:w="1017" w:type="dxa"/>
          </w:tcPr>
          <w:p>
            <w:pPr>
              <w:pStyle w:val="TableParagraph"/>
              <w:rPr>
                <w:rFonts w:ascii="Times New Roman"/>
                <w:sz w:val="18"/>
              </w:rPr>
            </w:pPr>
          </w:p>
        </w:tc>
        <w:tc>
          <w:tcPr>
            <w:tcW w:w="929" w:type="dxa"/>
          </w:tcPr>
          <w:p>
            <w:pPr>
              <w:pStyle w:val="TableParagraph"/>
              <w:rPr>
                <w:rFonts w:ascii="Times New Roman"/>
                <w:sz w:val="18"/>
              </w:rPr>
            </w:pPr>
          </w:p>
        </w:tc>
      </w:tr>
      <w:tr>
        <w:trPr>
          <w:trHeight w:val="184" w:hRule="atLeast"/>
        </w:trPr>
        <w:tc>
          <w:tcPr>
            <w:tcW w:w="883" w:type="dxa"/>
          </w:tcPr>
          <w:p>
            <w:pPr>
              <w:pStyle w:val="TableParagraph"/>
              <w:spacing w:line="164" w:lineRule="exact"/>
              <w:ind w:left="107"/>
              <w:rPr>
                <w:rFonts w:ascii="Arial"/>
                <w:b/>
                <w:sz w:val="16"/>
              </w:rPr>
            </w:pPr>
            <w:r>
              <w:rPr>
                <w:rFonts w:ascii="Arial"/>
                <w:b/>
                <w:spacing w:val="-2"/>
                <w:sz w:val="16"/>
              </w:rPr>
              <w:t>Total</w:t>
            </w:r>
          </w:p>
        </w:tc>
        <w:tc>
          <w:tcPr>
            <w:tcW w:w="1150" w:type="dxa"/>
          </w:tcPr>
          <w:p>
            <w:pPr>
              <w:pStyle w:val="TableParagraph"/>
              <w:rPr>
                <w:rFonts w:ascii="Times New Roman"/>
                <w:sz w:val="12"/>
              </w:rPr>
            </w:pPr>
          </w:p>
        </w:tc>
        <w:tc>
          <w:tcPr>
            <w:tcW w:w="3432" w:type="dxa"/>
          </w:tcPr>
          <w:p>
            <w:pPr>
              <w:pStyle w:val="TableParagraph"/>
              <w:rPr>
                <w:rFonts w:ascii="Times New Roman"/>
                <w:sz w:val="12"/>
              </w:rPr>
            </w:pPr>
          </w:p>
        </w:tc>
        <w:tc>
          <w:tcPr>
            <w:tcW w:w="1017" w:type="dxa"/>
          </w:tcPr>
          <w:p>
            <w:pPr>
              <w:pStyle w:val="TableParagraph"/>
              <w:spacing w:line="164" w:lineRule="exact"/>
              <w:ind w:left="14" w:right="3"/>
              <w:jc w:val="center"/>
              <w:rPr>
                <w:rFonts w:ascii="Arial"/>
                <w:b/>
                <w:sz w:val="16"/>
              </w:rPr>
            </w:pPr>
            <w:r>
              <w:rPr>
                <w:rFonts w:ascii="Arial"/>
                <w:b/>
                <w:spacing w:val="-2"/>
                <w:sz w:val="16"/>
              </w:rPr>
              <w:t>14,528,222</w:t>
            </w:r>
          </w:p>
        </w:tc>
        <w:tc>
          <w:tcPr>
            <w:tcW w:w="1015" w:type="dxa"/>
          </w:tcPr>
          <w:p>
            <w:pPr>
              <w:pStyle w:val="TableParagraph"/>
              <w:spacing w:line="164" w:lineRule="exact"/>
              <w:ind w:left="11" w:right="1"/>
              <w:jc w:val="center"/>
              <w:rPr>
                <w:rFonts w:ascii="Arial"/>
                <w:b/>
                <w:sz w:val="16"/>
              </w:rPr>
            </w:pPr>
            <w:r>
              <w:rPr>
                <w:rFonts w:ascii="Arial"/>
                <w:b/>
                <w:spacing w:val="-2"/>
                <w:sz w:val="16"/>
              </w:rPr>
              <w:t>15,707,783</w:t>
            </w:r>
          </w:p>
        </w:tc>
        <w:tc>
          <w:tcPr>
            <w:tcW w:w="1017" w:type="dxa"/>
          </w:tcPr>
          <w:p>
            <w:pPr>
              <w:pStyle w:val="TableParagraph"/>
              <w:spacing w:line="164" w:lineRule="exact"/>
              <w:ind w:left="14"/>
              <w:jc w:val="center"/>
              <w:rPr>
                <w:rFonts w:ascii="Arial"/>
                <w:b/>
                <w:sz w:val="16"/>
              </w:rPr>
            </w:pPr>
            <w:r>
              <w:rPr>
                <w:rFonts w:ascii="Arial"/>
                <w:b/>
                <w:spacing w:val="-2"/>
                <w:sz w:val="16"/>
              </w:rPr>
              <w:t>14,389,420</w:t>
            </w:r>
          </w:p>
        </w:tc>
        <w:tc>
          <w:tcPr>
            <w:tcW w:w="929" w:type="dxa"/>
          </w:tcPr>
          <w:p>
            <w:pPr>
              <w:pStyle w:val="TableParagraph"/>
              <w:spacing w:line="164" w:lineRule="exact"/>
              <w:ind w:left="15"/>
              <w:jc w:val="center"/>
              <w:rPr>
                <w:rFonts w:ascii="Arial"/>
                <w:b/>
                <w:sz w:val="16"/>
              </w:rPr>
            </w:pPr>
            <w:r>
              <w:rPr>
                <w:rFonts w:ascii="Arial"/>
                <w:b/>
                <w:spacing w:val="-2"/>
                <w:sz w:val="16"/>
              </w:rPr>
              <w:t>1,799,380</w:t>
            </w:r>
          </w:p>
        </w:tc>
      </w:tr>
    </w:tbl>
    <w:p>
      <w:pPr>
        <w:spacing w:before="5"/>
        <w:ind w:left="851" w:right="7561" w:firstLine="0"/>
        <w:jc w:val="left"/>
        <w:rPr>
          <w:rFonts w:ascii="Arial" w:hAnsi="Arial"/>
          <w:b/>
          <w:sz w:val="16"/>
        </w:rPr>
      </w:pPr>
      <w:r>
        <w:rPr>
          <w:rFonts w:ascii="Arial" w:hAnsi="Arial"/>
          <w:b/>
          <w:sz w:val="16"/>
        </w:rPr>
        <w:t>Fuente:</w:t>
      </w:r>
      <w:r>
        <w:rPr>
          <w:rFonts w:ascii="Arial" w:hAnsi="Arial"/>
          <w:b/>
          <w:spacing w:val="-12"/>
          <w:sz w:val="16"/>
        </w:rPr>
        <w:t> </w:t>
      </w:r>
      <w:r>
        <w:rPr>
          <w:rFonts w:ascii="Arial" w:hAnsi="Arial"/>
          <w:b/>
          <w:sz w:val="16"/>
        </w:rPr>
        <w:t>Datos</w:t>
      </w:r>
      <w:r>
        <w:rPr>
          <w:rFonts w:ascii="Arial" w:hAnsi="Arial"/>
          <w:b/>
          <w:spacing w:val="-11"/>
          <w:sz w:val="16"/>
        </w:rPr>
        <w:t> </w:t>
      </w:r>
      <w:r>
        <w:rPr>
          <w:rFonts w:ascii="Arial" w:hAnsi="Arial"/>
          <w:b/>
          <w:sz w:val="16"/>
        </w:rPr>
        <w:t>DANE-DIAN. Elaboración: SGCAN.</w:t>
      </w:r>
    </w:p>
    <w:p>
      <w:pPr>
        <w:pStyle w:val="BodyText"/>
        <w:spacing w:before="69"/>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74" w:hanging="567"/>
        <w:jc w:val="both"/>
        <w:rPr>
          <w:sz w:val="22"/>
        </w:rPr>
      </w:pPr>
      <w:r>
        <w:rPr>
          <w:sz w:val="22"/>
        </w:rPr>
        <w:t>La medida adoptada por la República de Colombia obligaría a los operadores ecuatorianos a cambiar la aduana de salida y por ende, a reconfigurar la logística de exportación necesaria para colocar estos productos en el mercado colombiano.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En resumen, se puede concluir que, el 100% de productos frescos agrícolas objeto de análisis, ingresan a la República de Colombia por vía terrestre, siendo la Aduana de Ipiales el principal punto de ingreso, al concentrar el 99,9 % de dichas importaciones durante el período analizado.</w:t>
      </w:r>
    </w:p>
    <w:p>
      <w:pPr>
        <w:pStyle w:val="BodyText"/>
      </w:pPr>
    </w:p>
    <w:p>
      <w:pPr>
        <w:pStyle w:val="Heading6"/>
        <w:spacing w:line="252" w:lineRule="exact"/>
        <w:ind w:right="409"/>
        <w:jc w:val="center"/>
      </w:pPr>
      <w:r>
        <w:rPr/>
        <w:t>Tabla</w:t>
      </w:r>
      <w:r>
        <w:rPr>
          <w:spacing w:val="-2"/>
        </w:rPr>
        <w:t> </w:t>
      </w:r>
      <w:r>
        <w:rPr/>
        <w:t>No.</w:t>
      </w:r>
      <w:r>
        <w:rPr>
          <w:spacing w:val="-2"/>
        </w:rPr>
        <w:t> </w:t>
      </w:r>
      <w:r>
        <w:rPr>
          <w:spacing w:val="-5"/>
        </w:rPr>
        <w:t>17</w:t>
      </w:r>
    </w:p>
    <w:p>
      <w:pPr>
        <w:spacing w:before="0"/>
        <w:ind w:left="1161" w:right="1575" w:firstLine="0"/>
        <w:jc w:val="center"/>
        <w:rPr>
          <w:rFonts w:ascii="Arial" w:hAnsi="Arial"/>
          <w:b/>
          <w:sz w:val="22"/>
        </w:rPr>
      </w:pPr>
      <w:r>
        <w:rPr>
          <w:rFonts w:ascii="Arial" w:hAnsi="Arial"/>
          <w:b/>
          <w:sz w:val="22"/>
        </w:rPr>
        <w:t>Aduanas</w:t>
      </w:r>
      <w:r>
        <w:rPr>
          <w:rFonts w:ascii="Arial" w:hAnsi="Arial"/>
          <w:b/>
          <w:spacing w:val="-3"/>
          <w:sz w:val="22"/>
        </w:rPr>
        <w:t> </w:t>
      </w:r>
      <w:r>
        <w:rPr>
          <w:rFonts w:ascii="Arial" w:hAnsi="Arial"/>
          <w:b/>
          <w:sz w:val="22"/>
        </w:rPr>
        <w:t>de</w:t>
      </w:r>
      <w:r>
        <w:rPr>
          <w:rFonts w:ascii="Arial" w:hAnsi="Arial"/>
          <w:b/>
          <w:spacing w:val="-6"/>
          <w:sz w:val="22"/>
        </w:rPr>
        <w:t> </w:t>
      </w:r>
      <w:r>
        <w:rPr>
          <w:rFonts w:ascii="Arial" w:hAnsi="Arial"/>
          <w:b/>
          <w:sz w:val="22"/>
        </w:rPr>
        <w:t>ingreso</w:t>
      </w:r>
      <w:r>
        <w:rPr>
          <w:rFonts w:ascii="Arial" w:hAnsi="Arial"/>
          <w:b/>
          <w:spacing w:val="-3"/>
          <w:sz w:val="22"/>
        </w:rPr>
        <w:t> </w:t>
      </w:r>
      <w:r>
        <w:rPr>
          <w:rFonts w:ascii="Arial" w:hAnsi="Arial"/>
          <w:b/>
          <w:sz w:val="22"/>
        </w:rPr>
        <w:t>de</w:t>
      </w:r>
      <w:r>
        <w:rPr>
          <w:rFonts w:ascii="Arial" w:hAnsi="Arial"/>
          <w:b/>
          <w:spacing w:val="-6"/>
          <w:sz w:val="22"/>
        </w:rPr>
        <w:t> </w:t>
      </w:r>
      <w:r>
        <w:rPr>
          <w:rFonts w:ascii="Arial" w:hAnsi="Arial"/>
          <w:b/>
          <w:sz w:val="22"/>
        </w:rPr>
        <w:t>las</w:t>
      </w:r>
      <w:r>
        <w:rPr>
          <w:rFonts w:ascii="Arial" w:hAnsi="Arial"/>
          <w:b/>
          <w:spacing w:val="-5"/>
          <w:sz w:val="22"/>
        </w:rPr>
        <w:t> </w:t>
      </w:r>
      <w:r>
        <w:rPr>
          <w:rFonts w:ascii="Arial" w:hAnsi="Arial"/>
          <w:b/>
          <w:sz w:val="22"/>
        </w:rPr>
        <w:t>importaciones</w:t>
      </w:r>
      <w:r>
        <w:rPr>
          <w:rFonts w:ascii="Arial" w:hAnsi="Arial"/>
          <w:b/>
          <w:spacing w:val="-5"/>
          <w:sz w:val="22"/>
        </w:rPr>
        <w:t> </w:t>
      </w:r>
      <w:r>
        <w:rPr>
          <w:rFonts w:ascii="Arial" w:hAnsi="Arial"/>
          <w:b/>
          <w:sz w:val="22"/>
        </w:rPr>
        <w:t>de</w:t>
      </w:r>
      <w:r>
        <w:rPr>
          <w:rFonts w:ascii="Arial" w:hAnsi="Arial"/>
          <w:b/>
          <w:spacing w:val="-3"/>
          <w:sz w:val="22"/>
        </w:rPr>
        <w:t> </w:t>
      </w:r>
      <w:r>
        <w:rPr>
          <w:rFonts w:ascii="Arial" w:hAnsi="Arial"/>
          <w:b/>
          <w:sz w:val="22"/>
        </w:rPr>
        <w:t>productos</w:t>
      </w:r>
      <w:r>
        <w:rPr>
          <w:rFonts w:ascii="Arial" w:hAnsi="Arial"/>
          <w:b/>
          <w:spacing w:val="-5"/>
          <w:sz w:val="22"/>
        </w:rPr>
        <w:t> </w:t>
      </w:r>
      <w:r>
        <w:rPr>
          <w:rFonts w:ascii="Arial" w:hAnsi="Arial"/>
          <w:b/>
          <w:sz w:val="22"/>
        </w:rPr>
        <w:t>frescos</w:t>
      </w:r>
      <w:r>
        <w:rPr>
          <w:rFonts w:ascii="Arial" w:hAnsi="Arial"/>
          <w:b/>
          <w:spacing w:val="-5"/>
          <w:sz w:val="22"/>
        </w:rPr>
        <w:t> </w:t>
      </w:r>
      <w:r>
        <w:rPr>
          <w:rFonts w:ascii="Arial" w:hAnsi="Arial"/>
          <w:b/>
          <w:sz w:val="22"/>
        </w:rPr>
        <w:t>agrícolas provenientes de la República del Ecuador (%)</w:t>
      </w:r>
    </w:p>
    <w:tbl>
      <w:tblPr>
        <w:tblW w:w="0" w:type="auto"/>
        <w:jc w:val="left"/>
        <w:tblInd w:w="22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7"/>
        <w:gridCol w:w="1462"/>
        <w:gridCol w:w="1164"/>
        <w:gridCol w:w="992"/>
        <w:gridCol w:w="994"/>
      </w:tblGrid>
      <w:tr>
        <w:trPr>
          <w:trHeight w:val="414" w:hRule="atLeast"/>
        </w:trPr>
        <w:tc>
          <w:tcPr>
            <w:tcW w:w="1417" w:type="dxa"/>
            <w:shd w:val="clear" w:color="auto" w:fill="E8E8E8"/>
          </w:tcPr>
          <w:p>
            <w:pPr>
              <w:pStyle w:val="TableParagraph"/>
              <w:spacing w:before="102"/>
              <w:ind w:left="317"/>
              <w:rPr>
                <w:rFonts w:ascii="Arial"/>
                <w:b/>
                <w:sz w:val="18"/>
              </w:rPr>
            </w:pPr>
            <w:r>
              <w:rPr>
                <w:rFonts w:ascii="Arial"/>
                <w:b/>
                <w:spacing w:val="-2"/>
                <w:sz w:val="18"/>
              </w:rPr>
              <w:t>Subpartida</w:t>
            </w:r>
          </w:p>
        </w:tc>
        <w:tc>
          <w:tcPr>
            <w:tcW w:w="1462" w:type="dxa"/>
            <w:shd w:val="clear" w:color="auto" w:fill="E8E8E8"/>
          </w:tcPr>
          <w:p>
            <w:pPr>
              <w:pStyle w:val="TableParagraph"/>
              <w:spacing w:line="206" w:lineRule="exact"/>
              <w:ind w:left="273" w:firstLine="60"/>
              <w:rPr>
                <w:rFonts w:ascii="Arial"/>
                <w:b/>
                <w:sz w:val="18"/>
              </w:rPr>
            </w:pPr>
            <w:r>
              <w:rPr>
                <w:rFonts w:ascii="Arial"/>
                <w:b/>
                <w:spacing w:val="-2"/>
                <w:sz w:val="18"/>
              </w:rPr>
              <w:t>Producto referencial</w:t>
            </w:r>
          </w:p>
        </w:tc>
        <w:tc>
          <w:tcPr>
            <w:tcW w:w="1164" w:type="dxa"/>
            <w:shd w:val="clear" w:color="auto" w:fill="E8E8E8"/>
          </w:tcPr>
          <w:p>
            <w:pPr>
              <w:pStyle w:val="TableParagraph"/>
              <w:spacing w:before="102"/>
              <w:ind w:left="229"/>
              <w:rPr>
                <w:rFonts w:ascii="Arial"/>
                <w:b/>
                <w:sz w:val="18"/>
              </w:rPr>
            </w:pPr>
            <w:r>
              <w:rPr>
                <w:rFonts w:ascii="Arial"/>
                <w:b/>
                <w:spacing w:val="-2"/>
                <w:sz w:val="18"/>
              </w:rPr>
              <w:t>IPIALES</w:t>
            </w:r>
          </w:p>
        </w:tc>
        <w:tc>
          <w:tcPr>
            <w:tcW w:w="992" w:type="dxa"/>
            <w:shd w:val="clear" w:color="auto" w:fill="E8E8E8"/>
          </w:tcPr>
          <w:p>
            <w:pPr>
              <w:pStyle w:val="TableParagraph"/>
              <w:spacing w:line="206" w:lineRule="exact"/>
              <w:ind w:left="282" w:right="105" w:hanging="164"/>
              <w:rPr>
                <w:rFonts w:ascii="Arial"/>
                <w:b/>
                <w:sz w:val="18"/>
              </w:rPr>
            </w:pPr>
            <w:r>
              <w:rPr>
                <w:rFonts w:ascii="Arial"/>
                <w:b/>
                <w:spacing w:val="-2"/>
                <w:sz w:val="18"/>
              </w:rPr>
              <w:t>PUERTO </w:t>
            </w:r>
            <w:r>
              <w:rPr>
                <w:rFonts w:ascii="Arial"/>
                <w:b/>
                <w:spacing w:val="-4"/>
                <w:sz w:val="18"/>
              </w:rPr>
              <w:t>ASIS</w:t>
            </w:r>
          </w:p>
        </w:tc>
        <w:tc>
          <w:tcPr>
            <w:tcW w:w="994" w:type="dxa"/>
            <w:shd w:val="clear" w:color="auto" w:fill="E8E8E8"/>
          </w:tcPr>
          <w:p>
            <w:pPr>
              <w:pStyle w:val="TableParagraph"/>
              <w:spacing w:before="102"/>
              <w:ind w:left="71" w:right="64"/>
              <w:jc w:val="center"/>
              <w:rPr>
                <w:rFonts w:ascii="Arial"/>
                <w:b/>
                <w:sz w:val="18"/>
              </w:rPr>
            </w:pPr>
            <w:r>
              <w:rPr>
                <w:rFonts w:ascii="Arial"/>
                <w:b/>
                <w:spacing w:val="-2"/>
                <w:sz w:val="18"/>
              </w:rPr>
              <w:t>Total</w:t>
            </w:r>
          </w:p>
        </w:tc>
      </w:tr>
      <w:tr>
        <w:trPr>
          <w:trHeight w:val="206" w:hRule="atLeast"/>
        </w:trPr>
        <w:tc>
          <w:tcPr>
            <w:tcW w:w="1417" w:type="dxa"/>
          </w:tcPr>
          <w:p>
            <w:pPr>
              <w:pStyle w:val="TableParagraph"/>
              <w:spacing w:line="187" w:lineRule="exact"/>
              <w:ind w:left="206"/>
              <w:rPr>
                <w:sz w:val="18"/>
              </w:rPr>
            </w:pPr>
            <w:r>
              <w:rPr>
                <w:spacing w:val="-2"/>
                <w:sz w:val="18"/>
              </w:rPr>
              <w:t>0713339900</w:t>
            </w:r>
          </w:p>
        </w:tc>
        <w:tc>
          <w:tcPr>
            <w:tcW w:w="1462" w:type="dxa"/>
          </w:tcPr>
          <w:p>
            <w:pPr>
              <w:pStyle w:val="TableParagraph"/>
              <w:spacing w:line="175" w:lineRule="exact" w:before="11"/>
              <w:ind w:left="8" w:right="4"/>
              <w:jc w:val="center"/>
              <w:rPr>
                <w:sz w:val="16"/>
              </w:rPr>
            </w:pPr>
            <w:r>
              <w:rPr>
                <w:spacing w:val="-2"/>
                <w:sz w:val="16"/>
              </w:rPr>
              <w:t>Frijoles</w:t>
            </w:r>
          </w:p>
        </w:tc>
        <w:tc>
          <w:tcPr>
            <w:tcW w:w="1164" w:type="dxa"/>
          </w:tcPr>
          <w:p>
            <w:pPr>
              <w:pStyle w:val="TableParagraph"/>
              <w:spacing w:line="187" w:lineRule="exact"/>
              <w:ind w:right="95"/>
              <w:jc w:val="right"/>
              <w:rPr>
                <w:sz w:val="18"/>
              </w:rPr>
            </w:pPr>
            <w:r>
              <w:rPr>
                <w:spacing w:val="-2"/>
                <w:sz w:val="18"/>
              </w:rPr>
              <w:t>100.00%</w:t>
            </w:r>
          </w:p>
        </w:tc>
        <w:tc>
          <w:tcPr>
            <w:tcW w:w="992" w:type="dxa"/>
          </w:tcPr>
          <w:p>
            <w:pPr>
              <w:pStyle w:val="TableParagraph"/>
              <w:spacing w:line="187" w:lineRule="exact"/>
              <w:ind w:right="96"/>
              <w:jc w:val="right"/>
              <w:rPr>
                <w:sz w:val="18"/>
              </w:rPr>
            </w:pPr>
            <w:r>
              <w:rPr>
                <w:spacing w:val="-4"/>
                <w:sz w:val="18"/>
              </w:rPr>
              <w:t>0.00%</w:t>
            </w:r>
          </w:p>
        </w:tc>
        <w:tc>
          <w:tcPr>
            <w:tcW w:w="994" w:type="dxa"/>
          </w:tcPr>
          <w:p>
            <w:pPr>
              <w:pStyle w:val="TableParagraph"/>
              <w:spacing w:line="187" w:lineRule="exact"/>
              <w:ind w:left="71"/>
              <w:jc w:val="center"/>
              <w:rPr>
                <w:sz w:val="18"/>
              </w:rPr>
            </w:pPr>
            <w:r>
              <w:rPr>
                <w:spacing w:val="-2"/>
                <w:sz w:val="18"/>
              </w:rPr>
              <w:t>100.00%</w:t>
            </w:r>
          </w:p>
        </w:tc>
      </w:tr>
      <w:tr>
        <w:trPr>
          <w:trHeight w:val="206" w:hRule="atLeast"/>
        </w:trPr>
        <w:tc>
          <w:tcPr>
            <w:tcW w:w="1417" w:type="dxa"/>
          </w:tcPr>
          <w:p>
            <w:pPr>
              <w:pStyle w:val="TableParagraph"/>
              <w:spacing w:line="186" w:lineRule="exact"/>
              <w:ind w:left="206"/>
              <w:rPr>
                <w:sz w:val="18"/>
              </w:rPr>
            </w:pPr>
            <w:r>
              <w:rPr>
                <w:spacing w:val="-2"/>
                <w:sz w:val="18"/>
              </w:rPr>
              <w:t>0803101000</w:t>
            </w:r>
          </w:p>
        </w:tc>
        <w:tc>
          <w:tcPr>
            <w:tcW w:w="1462" w:type="dxa"/>
          </w:tcPr>
          <w:p>
            <w:pPr>
              <w:pStyle w:val="TableParagraph"/>
              <w:spacing w:line="173" w:lineRule="exact" w:before="13"/>
              <w:ind w:left="8" w:right="4"/>
              <w:jc w:val="center"/>
              <w:rPr>
                <w:sz w:val="16"/>
              </w:rPr>
            </w:pPr>
            <w:r>
              <w:rPr>
                <w:spacing w:val="-2"/>
                <w:sz w:val="16"/>
              </w:rPr>
              <w:t>Plátanos</w:t>
            </w:r>
          </w:p>
        </w:tc>
        <w:tc>
          <w:tcPr>
            <w:tcW w:w="1164" w:type="dxa"/>
          </w:tcPr>
          <w:p>
            <w:pPr>
              <w:pStyle w:val="TableParagraph"/>
              <w:spacing w:line="186" w:lineRule="exact"/>
              <w:ind w:right="95"/>
              <w:jc w:val="right"/>
              <w:rPr>
                <w:sz w:val="18"/>
              </w:rPr>
            </w:pPr>
            <w:r>
              <w:rPr>
                <w:spacing w:val="-2"/>
                <w:sz w:val="18"/>
              </w:rPr>
              <w:t>100.00%</w:t>
            </w:r>
          </w:p>
        </w:tc>
        <w:tc>
          <w:tcPr>
            <w:tcW w:w="992" w:type="dxa"/>
          </w:tcPr>
          <w:p>
            <w:pPr>
              <w:pStyle w:val="TableParagraph"/>
              <w:spacing w:line="186" w:lineRule="exact"/>
              <w:ind w:right="96"/>
              <w:jc w:val="right"/>
              <w:rPr>
                <w:sz w:val="18"/>
              </w:rPr>
            </w:pPr>
            <w:r>
              <w:rPr>
                <w:spacing w:val="-4"/>
                <w:sz w:val="18"/>
              </w:rPr>
              <w:t>0.00%</w:t>
            </w:r>
          </w:p>
        </w:tc>
        <w:tc>
          <w:tcPr>
            <w:tcW w:w="994" w:type="dxa"/>
          </w:tcPr>
          <w:p>
            <w:pPr>
              <w:pStyle w:val="TableParagraph"/>
              <w:spacing w:line="186" w:lineRule="exact"/>
              <w:ind w:left="71"/>
              <w:jc w:val="center"/>
              <w:rPr>
                <w:sz w:val="18"/>
              </w:rPr>
            </w:pPr>
            <w:r>
              <w:rPr>
                <w:spacing w:val="-2"/>
                <w:sz w:val="18"/>
              </w:rPr>
              <w:t>100.00%</w:t>
            </w:r>
          </w:p>
        </w:tc>
      </w:tr>
      <w:tr>
        <w:trPr>
          <w:trHeight w:val="208" w:hRule="atLeast"/>
        </w:trPr>
        <w:tc>
          <w:tcPr>
            <w:tcW w:w="1417" w:type="dxa"/>
          </w:tcPr>
          <w:p>
            <w:pPr>
              <w:pStyle w:val="TableParagraph"/>
              <w:spacing w:line="187" w:lineRule="exact" w:before="1"/>
              <w:ind w:left="206"/>
              <w:rPr>
                <w:sz w:val="18"/>
              </w:rPr>
            </w:pPr>
            <w:r>
              <w:rPr>
                <w:spacing w:val="-2"/>
                <w:sz w:val="18"/>
              </w:rPr>
              <w:t>0810901020</w:t>
            </w:r>
          </w:p>
        </w:tc>
        <w:tc>
          <w:tcPr>
            <w:tcW w:w="1462" w:type="dxa"/>
          </w:tcPr>
          <w:p>
            <w:pPr>
              <w:pStyle w:val="TableParagraph"/>
              <w:spacing w:line="175" w:lineRule="exact" w:before="13"/>
              <w:ind w:left="8" w:right="2"/>
              <w:jc w:val="center"/>
              <w:rPr>
                <w:sz w:val="16"/>
              </w:rPr>
            </w:pPr>
            <w:r>
              <w:rPr>
                <w:spacing w:val="-2"/>
                <w:sz w:val="16"/>
              </w:rPr>
              <w:t>Maracuyá</w:t>
            </w:r>
          </w:p>
        </w:tc>
        <w:tc>
          <w:tcPr>
            <w:tcW w:w="1164" w:type="dxa"/>
          </w:tcPr>
          <w:p>
            <w:pPr>
              <w:pStyle w:val="TableParagraph"/>
              <w:spacing w:line="187" w:lineRule="exact" w:before="1"/>
              <w:ind w:right="95"/>
              <w:jc w:val="right"/>
              <w:rPr>
                <w:sz w:val="18"/>
              </w:rPr>
            </w:pPr>
            <w:r>
              <w:rPr>
                <w:spacing w:val="-2"/>
                <w:sz w:val="18"/>
              </w:rPr>
              <w:t>100.00%</w:t>
            </w:r>
          </w:p>
        </w:tc>
        <w:tc>
          <w:tcPr>
            <w:tcW w:w="992" w:type="dxa"/>
          </w:tcPr>
          <w:p>
            <w:pPr>
              <w:pStyle w:val="TableParagraph"/>
              <w:spacing w:line="187" w:lineRule="exact" w:before="1"/>
              <w:ind w:right="96"/>
              <w:jc w:val="right"/>
              <w:rPr>
                <w:sz w:val="18"/>
              </w:rPr>
            </w:pPr>
            <w:r>
              <w:rPr>
                <w:spacing w:val="-4"/>
                <w:sz w:val="18"/>
              </w:rPr>
              <w:t>0.00%</w:t>
            </w:r>
          </w:p>
        </w:tc>
        <w:tc>
          <w:tcPr>
            <w:tcW w:w="994" w:type="dxa"/>
          </w:tcPr>
          <w:p>
            <w:pPr>
              <w:pStyle w:val="TableParagraph"/>
              <w:spacing w:line="187" w:lineRule="exact" w:before="1"/>
              <w:ind w:left="71"/>
              <w:jc w:val="center"/>
              <w:rPr>
                <w:sz w:val="18"/>
              </w:rPr>
            </w:pPr>
            <w:r>
              <w:rPr>
                <w:spacing w:val="-2"/>
                <w:sz w:val="18"/>
              </w:rPr>
              <w:t>100.00%</w:t>
            </w:r>
          </w:p>
        </w:tc>
      </w:tr>
      <w:tr>
        <w:trPr>
          <w:trHeight w:val="205" w:hRule="atLeast"/>
        </w:trPr>
        <w:tc>
          <w:tcPr>
            <w:tcW w:w="1417" w:type="dxa"/>
          </w:tcPr>
          <w:p>
            <w:pPr>
              <w:pStyle w:val="TableParagraph"/>
              <w:spacing w:line="186" w:lineRule="exact"/>
              <w:ind w:left="206"/>
              <w:rPr>
                <w:sz w:val="18"/>
              </w:rPr>
            </w:pPr>
            <w:r>
              <w:rPr>
                <w:spacing w:val="-2"/>
                <w:sz w:val="18"/>
              </w:rPr>
              <w:t>0803901200</w:t>
            </w:r>
          </w:p>
        </w:tc>
        <w:tc>
          <w:tcPr>
            <w:tcW w:w="1462" w:type="dxa"/>
          </w:tcPr>
          <w:p>
            <w:pPr>
              <w:pStyle w:val="TableParagraph"/>
              <w:spacing w:line="175" w:lineRule="exact" w:before="10"/>
              <w:ind w:left="8" w:right="4"/>
              <w:jc w:val="center"/>
              <w:rPr>
                <w:sz w:val="16"/>
              </w:rPr>
            </w:pPr>
            <w:r>
              <w:rPr>
                <w:spacing w:val="-2"/>
                <w:sz w:val="16"/>
              </w:rPr>
              <w:t>Plátanos</w:t>
            </w:r>
          </w:p>
        </w:tc>
        <w:tc>
          <w:tcPr>
            <w:tcW w:w="1164" w:type="dxa"/>
          </w:tcPr>
          <w:p>
            <w:pPr>
              <w:pStyle w:val="TableParagraph"/>
              <w:spacing w:line="186" w:lineRule="exact"/>
              <w:ind w:right="95"/>
              <w:jc w:val="right"/>
              <w:rPr>
                <w:sz w:val="18"/>
              </w:rPr>
            </w:pPr>
            <w:r>
              <w:rPr>
                <w:spacing w:val="-2"/>
                <w:sz w:val="18"/>
              </w:rPr>
              <w:t>100.00%</w:t>
            </w:r>
          </w:p>
        </w:tc>
        <w:tc>
          <w:tcPr>
            <w:tcW w:w="992" w:type="dxa"/>
          </w:tcPr>
          <w:p>
            <w:pPr>
              <w:pStyle w:val="TableParagraph"/>
              <w:spacing w:line="186" w:lineRule="exact"/>
              <w:ind w:right="96"/>
              <w:jc w:val="right"/>
              <w:rPr>
                <w:sz w:val="18"/>
              </w:rPr>
            </w:pPr>
            <w:r>
              <w:rPr>
                <w:spacing w:val="-4"/>
                <w:sz w:val="18"/>
              </w:rPr>
              <w:t>0.00%</w:t>
            </w:r>
          </w:p>
        </w:tc>
        <w:tc>
          <w:tcPr>
            <w:tcW w:w="994" w:type="dxa"/>
          </w:tcPr>
          <w:p>
            <w:pPr>
              <w:pStyle w:val="TableParagraph"/>
              <w:spacing w:line="186" w:lineRule="exact"/>
              <w:ind w:left="71"/>
              <w:jc w:val="center"/>
              <w:rPr>
                <w:sz w:val="18"/>
              </w:rPr>
            </w:pPr>
            <w:r>
              <w:rPr>
                <w:spacing w:val="-2"/>
                <w:sz w:val="18"/>
              </w:rPr>
              <w:t>100.00%</w:t>
            </w:r>
          </w:p>
        </w:tc>
      </w:tr>
      <w:tr>
        <w:trPr>
          <w:trHeight w:val="208" w:hRule="atLeast"/>
        </w:trPr>
        <w:tc>
          <w:tcPr>
            <w:tcW w:w="1417" w:type="dxa"/>
          </w:tcPr>
          <w:p>
            <w:pPr>
              <w:pStyle w:val="TableParagraph"/>
              <w:spacing w:line="188" w:lineRule="exact"/>
              <w:ind w:left="206"/>
              <w:rPr>
                <w:sz w:val="18"/>
              </w:rPr>
            </w:pPr>
            <w:r>
              <w:rPr>
                <w:spacing w:val="-2"/>
                <w:sz w:val="18"/>
              </w:rPr>
              <w:t>0804400010</w:t>
            </w:r>
          </w:p>
        </w:tc>
        <w:tc>
          <w:tcPr>
            <w:tcW w:w="1462" w:type="dxa"/>
          </w:tcPr>
          <w:p>
            <w:pPr>
              <w:pStyle w:val="TableParagraph"/>
              <w:spacing w:line="175" w:lineRule="exact" w:before="13"/>
              <w:ind w:left="8" w:right="4"/>
              <w:jc w:val="center"/>
              <w:rPr>
                <w:sz w:val="16"/>
              </w:rPr>
            </w:pPr>
            <w:r>
              <w:rPr>
                <w:spacing w:val="-2"/>
                <w:sz w:val="16"/>
              </w:rPr>
              <w:t>Aguacates</w:t>
            </w:r>
          </w:p>
        </w:tc>
        <w:tc>
          <w:tcPr>
            <w:tcW w:w="1164" w:type="dxa"/>
          </w:tcPr>
          <w:p>
            <w:pPr>
              <w:pStyle w:val="TableParagraph"/>
              <w:spacing w:line="188" w:lineRule="exact"/>
              <w:ind w:right="95"/>
              <w:jc w:val="right"/>
              <w:rPr>
                <w:sz w:val="18"/>
              </w:rPr>
            </w:pPr>
            <w:r>
              <w:rPr>
                <w:spacing w:val="-2"/>
                <w:sz w:val="18"/>
              </w:rPr>
              <w:t>95.20%</w:t>
            </w:r>
          </w:p>
        </w:tc>
        <w:tc>
          <w:tcPr>
            <w:tcW w:w="992" w:type="dxa"/>
          </w:tcPr>
          <w:p>
            <w:pPr>
              <w:pStyle w:val="TableParagraph"/>
              <w:spacing w:line="188" w:lineRule="exact"/>
              <w:ind w:right="96"/>
              <w:jc w:val="right"/>
              <w:rPr>
                <w:sz w:val="18"/>
              </w:rPr>
            </w:pPr>
            <w:r>
              <w:rPr>
                <w:spacing w:val="-4"/>
                <w:sz w:val="18"/>
              </w:rPr>
              <w:t>4.80%</w:t>
            </w:r>
          </w:p>
        </w:tc>
        <w:tc>
          <w:tcPr>
            <w:tcW w:w="994" w:type="dxa"/>
          </w:tcPr>
          <w:p>
            <w:pPr>
              <w:pStyle w:val="TableParagraph"/>
              <w:spacing w:line="188" w:lineRule="exact"/>
              <w:ind w:left="71"/>
              <w:jc w:val="center"/>
              <w:rPr>
                <w:sz w:val="18"/>
              </w:rPr>
            </w:pPr>
            <w:r>
              <w:rPr>
                <w:spacing w:val="-2"/>
                <w:sz w:val="18"/>
              </w:rPr>
              <w:t>100.00%</w:t>
            </w:r>
          </w:p>
        </w:tc>
      </w:tr>
      <w:tr>
        <w:trPr>
          <w:trHeight w:val="206" w:hRule="atLeast"/>
        </w:trPr>
        <w:tc>
          <w:tcPr>
            <w:tcW w:w="1417" w:type="dxa"/>
          </w:tcPr>
          <w:p>
            <w:pPr>
              <w:pStyle w:val="TableParagraph"/>
              <w:spacing w:line="186" w:lineRule="exact"/>
              <w:ind w:left="206"/>
              <w:rPr>
                <w:sz w:val="18"/>
              </w:rPr>
            </w:pPr>
            <w:r>
              <w:rPr>
                <w:spacing w:val="-2"/>
                <w:sz w:val="18"/>
              </w:rPr>
              <w:t>0703100020</w:t>
            </w:r>
          </w:p>
        </w:tc>
        <w:tc>
          <w:tcPr>
            <w:tcW w:w="1462" w:type="dxa"/>
          </w:tcPr>
          <w:p>
            <w:pPr>
              <w:pStyle w:val="TableParagraph"/>
              <w:spacing w:line="175" w:lineRule="exact" w:before="10"/>
              <w:ind w:left="8" w:right="4"/>
              <w:jc w:val="center"/>
              <w:rPr>
                <w:sz w:val="16"/>
              </w:rPr>
            </w:pPr>
            <w:r>
              <w:rPr>
                <w:spacing w:val="-2"/>
                <w:sz w:val="16"/>
              </w:rPr>
              <w:t>Frijoles</w:t>
            </w:r>
          </w:p>
        </w:tc>
        <w:tc>
          <w:tcPr>
            <w:tcW w:w="1164" w:type="dxa"/>
          </w:tcPr>
          <w:p>
            <w:pPr>
              <w:pStyle w:val="TableParagraph"/>
              <w:spacing w:line="186" w:lineRule="exact"/>
              <w:ind w:right="95"/>
              <w:jc w:val="right"/>
              <w:rPr>
                <w:sz w:val="18"/>
              </w:rPr>
            </w:pPr>
            <w:r>
              <w:rPr>
                <w:spacing w:val="-2"/>
                <w:sz w:val="18"/>
              </w:rPr>
              <w:t>100.00%</w:t>
            </w:r>
          </w:p>
        </w:tc>
        <w:tc>
          <w:tcPr>
            <w:tcW w:w="992" w:type="dxa"/>
          </w:tcPr>
          <w:p>
            <w:pPr>
              <w:pStyle w:val="TableParagraph"/>
              <w:spacing w:line="186" w:lineRule="exact"/>
              <w:ind w:right="96"/>
              <w:jc w:val="right"/>
              <w:rPr>
                <w:sz w:val="18"/>
              </w:rPr>
            </w:pPr>
            <w:r>
              <w:rPr>
                <w:spacing w:val="-4"/>
                <w:sz w:val="18"/>
              </w:rPr>
              <w:t>0.00%</w:t>
            </w:r>
          </w:p>
        </w:tc>
        <w:tc>
          <w:tcPr>
            <w:tcW w:w="994" w:type="dxa"/>
          </w:tcPr>
          <w:p>
            <w:pPr>
              <w:pStyle w:val="TableParagraph"/>
              <w:spacing w:line="186" w:lineRule="exact"/>
              <w:ind w:left="71"/>
              <w:jc w:val="center"/>
              <w:rPr>
                <w:sz w:val="18"/>
              </w:rPr>
            </w:pPr>
            <w:r>
              <w:rPr>
                <w:spacing w:val="-2"/>
                <w:sz w:val="18"/>
              </w:rPr>
              <w:t>100.00%</w:t>
            </w:r>
          </w:p>
        </w:tc>
      </w:tr>
      <w:tr>
        <w:trPr>
          <w:trHeight w:val="205" w:hRule="atLeast"/>
        </w:trPr>
        <w:tc>
          <w:tcPr>
            <w:tcW w:w="1417" w:type="dxa"/>
          </w:tcPr>
          <w:p>
            <w:pPr>
              <w:pStyle w:val="TableParagraph"/>
              <w:spacing w:line="186" w:lineRule="exact"/>
              <w:ind w:left="206"/>
              <w:rPr>
                <w:sz w:val="18"/>
              </w:rPr>
            </w:pPr>
            <w:r>
              <w:rPr>
                <w:spacing w:val="-2"/>
                <w:sz w:val="18"/>
              </w:rPr>
              <w:t>0803102000</w:t>
            </w:r>
          </w:p>
        </w:tc>
        <w:tc>
          <w:tcPr>
            <w:tcW w:w="1462" w:type="dxa"/>
          </w:tcPr>
          <w:p>
            <w:pPr>
              <w:pStyle w:val="TableParagraph"/>
              <w:spacing w:line="173" w:lineRule="exact" w:before="13"/>
              <w:ind w:left="8" w:right="4"/>
              <w:jc w:val="center"/>
              <w:rPr>
                <w:sz w:val="16"/>
              </w:rPr>
            </w:pPr>
            <w:r>
              <w:rPr>
                <w:spacing w:val="-2"/>
                <w:sz w:val="16"/>
              </w:rPr>
              <w:t>Plátanos</w:t>
            </w:r>
          </w:p>
        </w:tc>
        <w:tc>
          <w:tcPr>
            <w:tcW w:w="1164" w:type="dxa"/>
          </w:tcPr>
          <w:p>
            <w:pPr>
              <w:pStyle w:val="TableParagraph"/>
              <w:spacing w:line="186" w:lineRule="exact"/>
              <w:ind w:right="95"/>
              <w:jc w:val="right"/>
              <w:rPr>
                <w:sz w:val="18"/>
              </w:rPr>
            </w:pPr>
            <w:r>
              <w:rPr>
                <w:spacing w:val="-2"/>
                <w:sz w:val="18"/>
              </w:rPr>
              <w:t>100.00%</w:t>
            </w:r>
          </w:p>
        </w:tc>
        <w:tc>
          <w:tcPr>
            <w:tcW w:w="992" w:type="dxa"/>
          </w:tcPr>
          <w:p>
            <w:pPr>
              <w:pStyle w:val="TableParagraph"/>
              <w:spacing w:line="186" w:lineRule="exact"/>
              <w:ind w:right="96"/>
              <w:jc w:val="right"/>
              <w:rPr>
                <w:sz w:val="18"/>
              </w:rPr>
            </w:pPr>
            <w:r>
              <w:rPr>
                <w:spacing w:val="-4"/>
                <w:sz w:val="18"/>
              </w:rPr>
              <w:t>0.00%</w:t>
            </w:r>
          </w:p>
        </w:tc>
        <w:tc>
          <w:tcPr>
            <w:tcW w:w="994" w:type="dxa"/>
          </w:tcPr>
          <w:p>
            <w:pPr>
              <w:pStyle w:val="TableParagraph"/>
              <w:spacing w:line="186" w:lineRule="exact"/>
              <w:ind w:left="71"/>
              <w:jc w:val="center"/>
              <w:rPr>
                <w:sz w:val="18"/>
              </w:rPr>
            </w:pPr>
            <w:r>
              <w:rPr>
                <w:spacing w:val="-2"/>
                <w:sz w:val="18"/>
              </w:rPr>
              <w:t>100.00%</w:t>
            </w:r>
          </w:p>
        </w:tc>
      </w:tr>
      <w:tr>
        <w:trPr>
          <w:trHeight w:val="208" w:hRule="atLeast"/>
        </w:trPr>
        <w:tc>
          <w:tcPr>
            <w:tcW w:w="1417" w:type="dxa"/>
          </w:tcPr>
          <w:p>
            <w:pPr>
              <w:pStyle w:val="TableParagraph"/>
              <w:spacing w:line="187" w:lineRule="exact" w:before="1"/>
              <w:ind w:left="206"/>
              <w:rPr>
                <w:sz w:val="18"/>
              </w:rPr>
            </w:pPr>
            <w:r>
              <w:rPr>
                <w:spacing w:val="-2"/>
                <w:sz w:val="18"/>
              </w:rPr>
              <w:t>0703100010</w:t>
            </w:r>
          </w:p>
        </w:tc>
        <w:tc>
          <w:tcPr>
            <w:tcW w:w="1462" w:type="dxa"/>
          </w:tcPr>
          <w:p>
            <w:pPr>
              <w:pStyle w:val="TableParagraph"/>
              <w:spacing w:line="175" w:lineRule="exact" w:before="13"/>
              <w:ind w:left="8" w:right="3"/>
              <w:jc w:val="center"/>
              <w:rPr>
                <w:sz w:val="16"/>
              </w:rPr>
            </w:pPr>
            <w:r>
              <w:rPr>
                <w:sz w:val="16"/>
              </w:rPr>
              <w:t>Cebolla</w:t>
            </w:r>
            <w:r>
              <w:rPr>
                <w:spacing w:val="-5"/>
                <w:sz w:val="16"/>
              </w:rPr>
              <w:t> </w:t>
            </w:r>
            <w:r>
              <w:rPr>
                <w:spacing w:val="-4"/>
                <w:sz w:val="16"/>
              </w:rPr>
              <w:t>Roja</w:t>
            </w:r>
          </w:p>
        </w:tc>
        <w:tc>
          <w:tcPr>
            <w:tcW w:w="1164" w:type="dxa"/>
          </w:tcPr>
          <w:p>
            <w:pPr>
              <w:pStyle w:val="TableParagraph"/>
              <w:spacing w:line="187" w:lineRule="exact" w:before="1"/>
              <w:ind w:right="95"/>
              <w:jc w:val="right"/>
              <w:rPr>
                <w:sz w:val="18"/>
              </w:rPr>
            </w:pPr>
            <w:r>
              <w:rPr>
                <w:spacing w:val="-2"/>
                <w:sz w:val="18"/>
              </w:rPr>
              <w:t>92.81%</w:t>
            </w:r>
          </w:p>
        </w:tc>
        <w:tc>
          <w:tcPr>
            <w:tcW w:w="992" w:type="dxa"/>
          </w:tcPr>
          <w:p>
            <w:pPr>
              <w:pStyle w:val="TableParagraph"/>
              <w:spacing w:line="187" w:lineRule="exact" w:before="1"/>
              <w:ind w:right="96"/>
              <w:jc w:val="right"/>
              <w:rPr>
                <w:sz w:val="18"/>
              </w:rPr>
            </w:pPr>
            <w:r>
              <w:rPr>
                <w:spacing w:val="-4"/>
                <w:sz w:val="18"/>
              </w:rPr>
              <w:t>7.19%</w:t>
            </w:r>
          </w:p>
        </w:tc>
        <w:tc>
          <w:tcPr>
            <w:tcW w:w="994" w:type="dxa"/>
          </w:tcPr>
          <w:p>
            <w:pPr>
              <w:pStyle w:val="TableParagraph"/>
              <w:spacing w:line="187" w:lineRule="exact" w:before="1"/>
              <w:ind w:left="71"/>
              <w:jc w:val="center"/>
              <w:rPr>
                <w:sz w:val="18"/>
              </w:rPr>
            </w:pPr>
            <w:r>
              <w:rPr>
                <w:spacing w:val="-2"/>
                <w:sz w:val="18"/>
              </w:rPr>
              <w:t>100.00%</w:t>
            </w:r>
          </w:p>
        </w:tc>
      </w:tr>
      <w:tr>
        <w:trPr>
          <w:trHeight w:val="205" w:hRule="atLeast"/>
        </w:trPr>
        <w:tc>
          <w:tcPr>
            <w:tcW w:w="1417" w:type="dxa"/>
          </w:tcPr>
          <w:p>
            <w:pPr>
              <w:pStyle w:val="TableParagraph"/>
              <w:spacing w:line="186" w:lineRule="exact"/>
              <w:ind w:left="206"/>
              <w:rPr>
                <w:sz w:val="18"/>
              </w:rPr>
            </w:pPr>
            <w:r>
              <w:rPr>
                <w:spacing w:val="-2"/>
                <w:sz w:val="18"/>
              </w:rPr>
              <w:t>0713359000</w:t>
            </w:r>
          </w:p>
        </w:tc>
        <w:tc>
          <w:tcPr>
            <w:tcW w:w="1462" w:type="dxa"/>
          </w:tcPr>
          <w:p>
            <w:pPr>
              <w:pStyle w:val="TableParagraph"/>
              <w:spacing w:line="175" w:lineRule="exact" w:before="10"/>
              <w:ind w:left="8" w:right="4"/>
              <w:jc w:val="center"/>
              <w:rPr>
                <w:sz w:val="16"/>
              </w:rPr>
            </w:pPr>
            <w:r>
              <w:rPr>
                <w:spacing w:val="-2"/>
                <w:sz w:val="16"/>
              </w:rPr>
              <w:t>Frijoles</w:t>
            </w:r>
          </w:p>
        </w:tc>
        <w:tc>
          <w:tcPr>
            <w:tcW w:w="1164" w:type="dxa"/>
          </w:tcPr>
          <w:p>
            <w:pPr>
              <w:pStyle w:val="TableParagraph"/>
              <w:spacing w:line="186" w:lineRule="exact"/>
              <w:ind w:right="95"/>
              <w:jc w:val="right"/>
              <w:rPr>
                <w:sz w:val="18"/>
              </w:rPr>
            </w:pPr>
            <w:r>
              <w:rPr>
                <w:spacing w:val="-2"/>
                <w:sz w:val="18"/>
              </w:rPr>
              <w:t>100.00%</w:t>
            </w:r>
          </w:p>
        </w:tc>
        <w:tc>
          <w:tcPr>
            <w:tcW w:w="992" w:type="dxa"/>
          </w:tcPr>
          <w:p>
            <w:pPr>
              <w:pStyle w:val="TableParagraph"/>
              <w:spacing w:line="186" w:lineRule="exact"/>
              <w:ind w:right="96"/>
              <w:jc w:val="right"/>
              <w:rPr>
                <w:sz w:val="18"/>
              </w:rPr>
            </w:pPr>
            <w:r>
              <w:rPr>
                <w:spacing w:val="-4"/>
                <w:sz w:val="18"/>
              </w:rPr>
              <w:t>0.00%</w:t>
            </w:r>
          </w:p>
        </w:tc>
        <w:tc>
          <w:tcPr>
            <w:tcW w:w="994" w:type="dxa"/>
          </w:tcPr>
          <w:p>
            <w:pPr>
              <w:pStyle w:val="TableParagraph"/>
              <w:spacing w:line="186" w:lineRule="exact"/>
              <w:ind w:left="71"/>
              <w:jc w:val="center"/>
              <w:rPr>
                <w:sz w:val="18"/>
              </w:rPr>
            </w:pPr>
            <w:r>
              <w:rPr>
                <w:spacing w:val="-2"/>
                <w:sz w:val="18"/>
              </w:rPr>
              <w:t>100.00%</w:t>
            </w:r>
          </w:p>
        </w:tc>
      </w:tr>
      <w:tr>
        <w:trPr>
          <w:trHeight w:val="208" w:hRule="atLeast"/>
        </w:trPr>
        <w:tc>
          <w:tcPr>
            <w:tcW w:w="1417" w:type="dxa"/>
          </w:tcPr>
          <w:p>
            <w:pPr>
              <w:pStyle w:val="TableParagraph"/>
              <w:spacing w:line="188" w:lineRule="exact"/>
              <w:ind w:left="206"/>
              <w:rPr>
                <w:sz w:val="18"/>
              </w:rPr>
            </w:pPr>
            <w:r>
              <w:rPr>
                <w:spacing w:val="-2"/>
                <w:sz w:val="18"/>
              </w:rPr>
              <w:t>0702000000</w:t>
            </w:r>
          </w:p>
        </w:tc>
        <w:tc>
          <w:tcPr>
            <w:tcW w:w="1462" w:type="dxa"/>
          </w:tcPr>
          <w:p>
            <w:pPr>
              <w:pStyle w:val="TableParagraph"/>
              <w:spacing w:line="175" w:lineRule="exact" w:before="13"/>
              <w:ind w:left="8"/>
              <w:jc w:val="center"/>
              <w:rPr>
                <w:sz w:val="16"/>
              </w:rPr>
            </w:pPr>
            <w:r>
              <w:rPr>
                <w:spacing w:val="-2"/>
                <w:sz w:val="16"/>
              </w:rPr>
              <w:t>Tomate</w:t>
            </w:r>
          </w:p>
        </w:tc>
        <w:tc>
          <w:tcPr>
            <w:tcW w:w="1164" w:type="dxa"/>
          </w:tcPr>
          <w:p>
            <w:pPr>
              <w:pStyle w:val="TableParagraph"/>
              <w:spacing w:line="188" w:lineRule="exact"/>
              <w:ind w:right="95"/>
              <w:jc w:val="right"/>
              <w:rPr>
                <w:sz w:val="18"/>
              </w:rPr>
            </w:pPr>
            <w:r>
              <w:rPr>
                <w:spacing w:val="-2"/>
                <w:sz w:val="18"/>
              </w:rPr>
              <w:t>100.00%</w:t>
            </w:r>
          </w:p>
        </w:tc>
        <w:tc>
          <w:tcPr>
            <w:tcW w:w="992" w:type="dxa"/>
          </w:tcPr>
          <w:p>
            <w:pPr>
              <w:pStyle w:val="TableParagraph"/>
              <w:spacing w:line="188" w:lineRule="exact"/>
              <w:ind w:right="96"/>
              <w:jc w:val="right"/>
              <w:rPr>
                <w:sz w:val="18"/>
              </w:rPr>
            </w:pPr>
            <w:r>
              <w:rPr>
                <w:spacing w:val="-4"/>
                <w:sz w:val="18"/>
              </w:rPr>
              <w:t>0.00%</w:t>
            </w:r>
          </w:p>
        </w:tc>
        <w:tc>
          <w:tcPr>
            <w:tcW w:w="994" w:type="dxa"/>
          </w:tcPr>
          <w:p>
            <w:pPr>
              <w:pStyle w:val="TableParagraph"/>
              <w:spacing w:line="188" w:lineRule="exact"/>
              <w:ind w:left="71"/>
              <w:jc w:val="center"/>
              <w:rPr>
                <w:sz w:val="18"/>
              </w:rPr>
            </w:pPr>
            <w:r>
              <w:rPr>
                <w:spacing w:val="-2"/>
                <w:sz w:val="18"/>
              </w:rPr>
              <w:t>100.00%</w:t>
            </w:r>
          </w:p>
        </w:tc>
      </w:tr>
      <w:tr>
        <w:trPr>
          <w:trHeight w:val="205" w:hRule="atLeast"/>
        </w:trPr>
        <w:tc>
          <w:tcPr>
            <w:tcW w:w="1417" w:type="dxa"/>
          </w:tcPr>
          <w:p>
            <w:pPr>
              <w:pStyle w:val="TableParagraph"/>
              <w:spacing w:line="186" w:lineRule="exact"/>
              <w:ind w:left="9"/>
              <w:jc w:val="center"/>
              <w:rPr>
                <w:rFonts w:ascii="Arial"/>
                <w:b/>
                <w:sz w:val="18"/>
              </w:rPr>
            </w:pPr>
            <w:r>
              <w:rPr>
                <w:rFonts w:ascii="Arial"/>
                <w:b/>
                <w:spacing w:val="-2"/>
                <w:sz w:val="18"/>
              </w:rPr>
              <w:t>Total</w:t>
            </w:r>
          </w:p>
        </w:tc>
        <w:tc>
          <w:tcPr>
            <w:tcW w:w="1462" w:type="dxa"/>
          </w:tcPr>
          <w:p>
            <w:pPr>
              <w:pStyle w:val="TableParagraph"/>
              <w:rPr>
                <w:rFonts w:ascii="Times New Roman"/>
                <w:sz w:val="14"/>
              </w:rPr>
            </w:pPr>
          </w:p>
        </w:tc>
        <w:tc>
          <w:tcPr>
            <w:tcW w:w="1164" w:type="dxa"/>
          </w:tcPr>
          <w:p>
            <w:pPr>
              <w:pStyle w:val="TableParagraph"/>
              <w:spacing w:line="186" w:lineRule="exact"/>
              <w:ind w:right="93"/>
              <w:jc w:val="right"/>
              <w:rPr>
                <w:rFonts w:ascii="Arial"/>
                <w:b/>
                <w:sz w:val="18"/>
              </w:rPr>
            </w:pPr>
            <w:r>
              <w:rPr>
                <w:rFonts w:ascii="Arial"/>
                <w:b/>
                <w:spacing w:val="-2"/>
                <w:sz w:val="18"/>
              </w:rPr>
              <w:t>99.90%</w:t>
            </w:r>
          </w:p>
        </w:tc>
        <w:tc>
          <w:tcPr>
            <w:tcW w:w="992" w:type="dxa"/>
          </w:tcPr>
          <w:p>
            <w:pPr>
              <w:pStyle w:val="TableParagraph"/>
              <w:spacing w:line="186" w:lineRule="exact"/>
              <w:ind w:right="96"/>
              <w:jc w:val="right"/>
              <w:rPr>
                <w:rFonts w:ascii="Arial"/>
                <w:b/>
                <w:sz w:val="18"/>
              </w:rPr>
            </w:pPr>
            <w:r>
              <w:rPr>
                <w:rFonts w:ascii="Arial"/>
                <w:b/>
                <w:spacing w:val="-4"/>
                <w:sz w:val="18"/>
              </w:rPr>
              <w:t>0.10%</w:t>
            </w:r>
          </w:p>
        </w:tc>
        <w:tc>
          <w:tcPr>
            <w:tcW w:w="994" w:type="dxa"/>
          </w:tcPr>
          <w:p>
            <w:pPr>
              <w:pStyle w:val="TableParagraph"/>
              <w:spacing w:line="186" w:lineRule="exact"/>
              <w:ind w:left="71"/>
              <w:jc w:val="center"/>
              <w:rPr>
                <w:rFonts w:ascii="Arial"/>
                <w:b/>
                <w:sz w:val="18"/>
              </w:rPr>
            </w:pPr>
            <w:r>
              <w:rPr>
                <w:rFonts w:ascii="Arial"/>
                <w:b/>
                <w:spacing w:val="-2"/>
                <w:sz w:val="18"/>
              </w:rPr>
              <w:t>100.00%</w:t>
            </w:r>
          </w:p>
        </w:tc>
      </w:tr>
    </w:tbl>
    <w:p>
      <w:pPr>
        <w:spacing w:before="7"/>
        <w:ind w:left="2270" w:right="6286" w:firstLine="0"/>
        <w:jc w:val="left"/>
        <w:rPr>
          <w:rFonts w:ascii="Arial" w:hAnsi="Arial"/>
          <w:b/>
          <w:sz w:val="16"/>
        </w:rPr>
      </w:pPr>
      <w:r>
        <w:rPr>
          <w:rFonts w:ascii="Arial" w:hAnsi="Arial"/>
          <w:b/>
          <w:sz w:val="16"/>
        </w:rPr>
        <w:t>Fuente:</w:t>
      </w:r>
      <w:r>
        <w:rPr>
          <w:rFonts w:ascii="Arial" w:hAnsi="Arial"/>
          <w:b/>
          <w:spacing w:val="-12"/>
          <w:sz w:val="16"/>
        </w:rPr>
        <w:t> </w:t>
      </w:r>
      <w:r>
        <w:rPr>
          <w:rFonts w:ascii="Arial" w:hAnsi="Arial"/>
          <w:b/>
          <w:sz w:val="16"/>
        </w:rPr>
        <w:t>Datos</w:t>
      </w:r>
      <w:r>
        <w:rPr>
          <w:rFonts w:ascii="Arial" w:hAnsi="Arial"/>
          <w:b/>
          <w:spacing w:val="-11"/>
          <w:sz w:val="16"/>
        </w:rPr>
        <w:t> </w:t>
      </w:r>
      <w:r>
        <w:rPr>
          <w:rFonts w:ascii="Arial" w:hAnsi="Arial"/>
          <w:b/>
          <w:sz w:val="16"/>
        </w:rPr>
        <w:t>DANE-</w:t>
      </w:r>
      <w:r>
        <w:rPr>
          <w:rFonts w:ascii="Arial" w:hAnsi="Arial"/>
          <w:b/>
          <w:sz w:val="16"/>
        </w:rPr>
        <w:t>DIAN. Elaboración: SGCAN.</w:t>
      </w:r>
    </w:p>
    <w:p>
      <w:pPr>
        <w:pStyle w:val="ListParagraph"/>
        <w:numPr>
          <w:ilvl w:val="0"/>
          <w:numId w:val="50"/>
        </w:numPr>
        <w:tabs>
          <w:tab w:pos="1130" w:val="left" w:leader="none"/>
          <w:tab w:pos="1134" w:val="left" w:leader="none"/>
        </w:tabs>
        <w:spacing w:line="240" w:lineRule="auto" w:before="183" w:after="0"/>
        <w:ind w:left="1134" w:right="982" w:hanging="567"/>
        <w:jc w:val="both"/>
        <w:rPr>
          <w:sz w:val="22"/>
        </w:rPr>
      </w:pPr>
      <w:r>
        <w:rPr>
          <w:sz w:val="22"/>
        </w:rPr>
        <w:t>La</w:t>
      </w:r>
      <w:r>
        <w:rPr>
          <w:spacing w:val="-1"/>
          <w:sz w:val="22"/>
        </w:rPr>
        <w:t> </w:t>
      </w:r>
      <w:r>
        <w:rPr>
          <w:sz w:val="22"/>
        </w:rPr>
        <w:t>SGCAN</w:t>
      </w:r>
      <w:r>
        <w:rPr>
          <w:spacing w:val="-1"/>
          <w:sz w:val="22"/>
        </w:rPr>
        <w:t> </w:t>
      </w:r>
      <w:r>
        <w:rPr>
          <w:sz w:val="22"/>
        </w:rPr>
        <w:t>solicitó información</w:t>
      </w:r>
      <w:r>
        <w:rPr>
          <w:spacing w:val="-1"/>
          <w:sz w:val="22"/>
        </w:rPr>
        <w:t> </w:t>
      </w:r>
      <w:r>
        <w:rPr>
          <w:sz w:val="22"/>
        </w:rPr>
        <w:t>sobre cotizaciones de</w:t>
      </w:r>
      <w:r>
        <w:rPr>
          <w:spacing w:val="-1"/>
          <w:sz w:val="22"/>
        </w:rPr>
        <w:t> </w:t>
      </w:r>
      <w:r>
        <w:rPr>
          <w:sz w:val="22"/>
        </w:rPr>
        <w:t>embarques</w:t>
      </w:r>
      <w:r>
        <w:rPr>
          <w:spacing w:val="-3"/>
          <w:sz w:val="22"/>
        </w:rPr>
        <w:t> </w:t>
      </w:r>
      <w:r>
        <w:rPr>
          <w:sz w:val="22"/>
        </w:rPr>
        <w:t>desde</w:t>
      </w:r>
      <w:r>
        <w:rPr>
          <w:spacing w:val="-3"/>
          <w:sz w:val="22"/>
        </w:rPr>
        <w:t> </w:t>
      </w:r>
      <w:r>
        <w:rPr>
          <w:sz w:val="22"/>
        </w:rPr>
        <w:t>aduanas de</w:t>
      </w:r>
      <w:r>
        <w:rPr>
          <w:spacing w:val="-1"/>
          <w:sz w:val="22"/>
        </w:rPr>
        <w:t> </w:t>
      </w:r>
      <w:r>
        <w:rPr>
          <w:sz w:val="22"/>
        </w:rPr>
        <w:t>la República del Ecuador con destino a las aduanas de la República de Colombia, con el propósito de verificar si la utilización exclusiva de las aduanas habilitadas conforme al Decreto 0170 implicó un encarecimiento o una mayor onerosidad de las importaciones</w:t>
      </w:r>
    </w:p>
    <w:p>
      <w:pPr>
        <w:pStyle w:val="ListParagraph"/>
        <w:spacing w:after="0" w:line="240" w:lineRule="auto"/>
        <w:jc w:val="both"/>
        <w:rPr>
          <w:sz w:val="22"/>
        </w:rPr>
        <w:sectPr>
          <w:headerReference w:type="default" r:id="rId99"/>
          <w:footerReference w:type="default" r:id="rId100"/>
          <w:pgSz w:w="11900" w:h="16850"/>
          <w:pgMar w:header="370" w:footer="651" w:top="1380" w:bottom="840" w:left="992" w:right="283"/>
        </w:sectPr>
      </w:pPr>
    </w:p>
    <w:p>
      <w:pPr>
        <w:pStyle w:val="BodyText"/>
        <w:spacing w:before="176"/>
      </w:pPr>
    </w:p>
    <w:p>
      <w:pPr>
        <w:pStyle w:val="BodyText"/>
        <w:ind w:left="1134" w:right="955"/>
      </w:pPr>
      <w:r>
        <w:rPr/>
        <w:t>de</w:t>
      </w:r>
      <w:r>
        <w:rPr>
          <w:spacing w:val="40"/>
        </w:rPr>
        <w:t> </w:t>
      </w:r>
      <w:r>
        <w:rPr/>
        <w:t>origen</w:t>
      </w:r>
      <w:r>
        <w:rPr>
          <w:spacing w:val="40"/>
        </w:rPr>
        <w:t> </w:t>
      </w:r>
      <w:r>
        <w:rPr/>
        <w:t>ecuatoriano,</w:t>
      </w:r>
      <w:r>
        <w:rPr>
          <w:spacing w:val="40"/>
        </w:rPr>
        <w:t> </w:t>
      </w:r>
      <w:r>
        <w:rPr/>
        <w:t>en</w:t>
      </w:r>
      <w:r>
        <w:rPr>
          <w:spacing w:val="40"/>
        </w:rPr>
        <w:t> </w:t>
      </w:r>
      <w:r>
        <w:rPr/>
        <w:t>comparación</w:t>
      </w:r>
      <w:r>
        <w:rPr>
          <w:spacing w:val="40"/>
        </w:rPr>
        <w:t> </w:t>
      </w:r>
      <w:r>
        <w:rPr/>
        <w:t>con</w:t>
      </w:r>
      <w:r>
        <w:rPr>
          <w:spacing w:val="40"/>
        </w:rPr>
        <w:t> </w:t>
      </w:r>
      <w:r>
        <w:rPr/>
        <w:t>aquellas</w:t>
      </w:r>
      <w:r>
        <w:rPr>
          <w:spacing w:val="40"/>
        </w:rPr>
        <w:t> </w:t>
      </w:r>
      <w:r>
        <w:rPr/>
        <w:t>realizadas</w:t>
      </w:r>
      <w:r>
        <w:rPr>
          <w:spacing w:val="40"/>
        </w:rPr>
        <w:t> </w:t>
      </w:r>
      <w:r>
        <w:rPr/>
        <w:t>a</w:t>
      </w:r>
      <w:r>
        <w:rPr>
          <w:spacing w:val="40"/>
        </w:rPr>
        <w:t> </w:t>
      </w:r>
      <w:r>
        <w:rPr/>
        <w:t>través</w:t>
      </w:r>
      <w:r>
        <w:rPr>
          <w:spacing w:val="40"/>
        </w:rPr>
        <w:t> </w:t>
      </w:r>
      <w:r>
        <w:rPr/>
        <w:t>de</w:t>
      </w:r>
      <w:r>
        <w:rPr>
          <w:spacing w:val="40"/>
        </w:rPr>
        <w:t> </w:t>
      </w:r>
      <w:r>
        <w:rPr/>
        <w:t>otras aduanas no comprendidas en el ámbito de aplicación de dicha norma.</w:t>
      </w:r>
    </w:p>
    <w:p>
      <w:pPr>
        <w:pStyle w:val="BodyText"/>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Con</w:t>
      </w:r>
      <w:r>
        <w:rPr>
          <w:spacing w:val="-12"/>
          <w:sz w:val="22"/>
        </w:rPr>
        <w:t> </w:t>
      </w:r>
      <w:r>
        <w:rPr>
          <w:sz w:val="22"/>
        </w:rPr>
        <w:t>la</w:t>
      </w:r>
      <w:r>
        <w:rPr>
          <w:spacing w:val="-11"/>
          <w:sz w:val="22"/>
        </w:rPr>
        <w:t> </w:t>
      </w:r>
      <w:r>
        <w:rPr>
          <w:sz w:val="22"/>
        </w:rPr>
        <w:t>información</w:t>
      </w:r>
      <w:r>
        <w:rPr>
          <w:spacing w:val="-12"/>
          <w:sz w:val="22"/>
        </w:rPr>
        <w:t> </w:t>
      </w:r>
      <w:r>
        <w:rPr>
          <w:sz w:val="22"/>
        </w:rPr>
        <w:t>sobre</w:t>
      </w:r>
      <w:r>
        <w:rPr>
          <w:spacing w:val="-14"/>
          <w:sz w:val="22"/>
        </w:rPr>
        <w:t> </w:t>
      </w:r>
      <w:r>
        <w:rPr>
          <w:sz w:val="22"/>
        </w:rPr>
        <w:t>cotizaciones</w:t>
      </w:r>
      <w:r>
        <w:rPr>
          <w:spacing w:val="-11"/>
          <w:sz w:val="22"/>
        </w:rPr>
        <w:t> </w:t>
      </w:r>
      <w:r>
        <w:rPr>
          <w:sz w:val="22"/>
        </w:rPr>
        <w:t>presentada</w:t>
      </w:r>
      <w:r>
        <w:rPr>
          <w:spacing w:val="-14"/>
          <w:sz w:val="22"/>
        </w:rPr>
        <w:t> </w:t>
      </w:r>
      <w:r>
        <w:rPr>
          <w:sz w:val="22"/>
        </w:rPr>
        <w:t>por</w:t>
      </w:r>
      <w:r>
        <w:rPr>
          <w:spacing w:val="-10"/>
          <w:sz w:val="22"/>
        </w:rPr>
        <w:t> </w:t>
      </w:r>
      <w:r>
        <w:rPr>
          <w:sz w:val="22"/>
        </w:rPr>
        <w:t>la</w:t>
      </w:r>
      <w:r>
        <w:rPr>
          <w:spacing w:val="-11"/>
          <w:sz w:val="22"/>
        </w:rPr>
        <w:t> </w:t>
      </w:r>
      <w:r>
        <w:rPr>
          <w:sz w:val="22"/>
        </w:rPr>
        <w:t>República</w:t>
      </w:r>
      <w:r>
        <w:rPr>
          <w:spacing w:val="-11"/>
          <w:sz w:val="22"/>
        </w:rPr>
        <w:t> </w:t>
      </w:r>
      <w:r>
        <w:rPr>
          <w:sz w:val="22"/>
        </w:rPr>
        <w:t>del</w:t>
      </w:r>
      <w:r>
        <w:rPr>
          <w:spacing w:val="-12"/>
          <w:sz w:val="22"/>
        </w:rPr>
        <w:t> </w:t>
      </w:r>
      <w:r>
        <w:rPr>
          <w:sz w:val="22"/>
        </w:rPr>
        <w:t>Ecuador</w:t>
      </w:r>
      <w:r>
        <w:rPr>
          <w:spacing w:val="-10"/>
          <w:sz w:val="22"/>
        </w:rPr>
        <w:t> </w:t>
      </w:r>
      <w:r>
        <w:rPr>
          <w:sz w:val="22"/>
        </w:rPr>
        <w:t>se</w:t>
      </w:r>
      <w:r>
        <w:rPr>
          <w:spacing w:val="-11"/>
          <w:sz w:val="22"/>
        </w:rPr>
        <w:t> </w:t>
      </w:r>
      <w:r>
        <w:rPr>
          <w:sz w:val="22"/>
        </w:rPr>
        <w:t>pudo constatar que las exportaciones, para los productos contenidos en la Tabla No. 18, incluidos en el Decreto 0170, al cambiar de vía de exportación de terrestre a marítima, verían incrementados sus costos en un 65% por la vía marítima de Buenaventura y en 111% por Cartagena.</w:t>
      </w:r>
    </w:p>
    <w:p>
      <w:pPr>
        <w:pStyle w:val="BodyText"/>
        <w:spacing w:before="1"/>
      </w:pPr>
    </w:p>
    <w:p>
      <w:pPr>
        <w:pStyle w:val="Heading6"/>
        <w:spacing w:line="252" w:lineRule="exact"/>
        <w:ind w:left="308"/>
        <w:jc w:val="center"/>
      </w:pPr>
      <w:r>
        <w:rPr/>
        <w:t>Tabla</w:t>
      </w:r>
      <w:r>
        <w:rPr>
          <w:spacing w:val="-3"/>
        </w:rPr>
        <w:t> </w:t>
      </w:r>
      <w:r>
        <w:rPr/>
        <w:t>No.</w:t>
      </w:r>
      <w:r>
        <w:rPr>
          <w:spacing w:val="-2"/>
        </w:rPr>
        <w:t> </w:t>
      </w:r>
      <w:r>
        <w:rPr>
          <w:spacing w:val="-5"/>
        </w:rPr>
        <w:t>18</w:t>
      </w:r>
    </w:p>
    <w:p>
      <w:pPr>
        <w:spacing w:line="252" w:lineRule="exact" w:before="0" w:after="31"/>
        <w:ind w:left="307" w:right="0" w:firstLine="0"/>
        <w:jc w:val="center"/>
        <w:rPr>
          <w:rFonts w:ascii="Arial" w:hAnsi="Arial"/>
          <w:b/>
          <w:sz w:val="22"/>
        </w:rPr>
      </w:pPr>
      <w:r>
        <w:rPr>
          <w:rFonts w:ascii="Arial" w:hAnsi="Arial"/>
          <w:b/>
          <w:sz w:val="22"/>
        </w:rPr>
        <w:t>Cotización</w:t>
      </w:r>
      <w:r>
        <w:rPr>
          <w:rFonts w:ascii="Arial" w:hAnsi="Arial"/>
          <w:b/>
          <w:spacing w:val="-6"/>
          <w:sz w:val="22"/>
        </w:rPr>
        <w:t> </w:t>
      </w:r>
      <w:r>
        <w:rPr>
          <w:rFonts w:ascii="Arial" w:hAnsi="Arial"/>
          <w:b/>
          <w:sz w:val="22"/>
        </w:rPr>
        <w:t>en</w:t>
      </w:r>
      <w:r>
        <w:rPr>
          <w:rFonts w:ascii="Arial" w:hAnsi="Arial"/>
          <w:b/>
          <w:spacing w:val="-8"/>
          <w:sz w:val="22"/>
        </w:rPr>
        <w:t> </w:t>
      </w:r>
      <w:r>
        <w:rPr>
          <w:rFonts w:ascii="Arial" w:hAnsi="Arial"/>
          <w:b/>
          <w:sz w:val="22"/>
        </w:rPr>
        <w:t>USD</w:t>
      </w:r>
      <w:r>
        <w:rPr>
          <w:rFonts w:ascii="Arial" w:hAnsi="Arial"/>
          <w:b/>
          <w:spacing w:val="-5"/>
          <w:sz w:val="22"/>
        </w:rPr>
        <w:t> </w:t>
      </w:r>
      <w:r>
        <w:rPr>
          <w:rFonts w:ascii="Arial" w:hAnsi="Arial"/>
          <w:b/>
          <w:sz w:val="22"/>
        </w:rPr>
        <w:t>para</w:t>
      </w:r>
      <w:r>
        <w:rPr>
          <w:rFonts w:ascii="Arial" w:hAnsi="Arial"/>
          <w:b/>
          <w:spacing w:val="-3"/>
          <w:sz w:val="22"/>
        </w:rPr>
        <w:t> </w:t>
      </w:r>
      <w:r>
        <w:rPr>
          <w:rFonts w:ascii="Arial" w:hAnsi="Arial"/>
          <w:b/>
          <w:sz w:val="22"/>
        </w:rPr>
        <w:t>plátanos,</w:t>
      </w:r>
      <w:r>
        <w:rPr>
          <w:rFonts w:ascii="Arial" w:hAnsi="Arial"/>
          <w:b/>
          <w:spacing w:val="-6"/>
          <w:sz w:val="22"/>
        </w:rPr>
        <w:t> </w:t>
      </w:r>
      <w:r>
        <w:rPr>
          <w:rFonts w:ascii="Arial" w:hAnsi="Arial"/>
          <w:b/>
          <w:sz w:val="22"/>
        </w:rPr>
        <w:t>maracuyá,</w:t>
      </w:r>
      <w:r>
        <w:rPr>
          <w:rFonts w:ascii="Arial" w:hAnsi="Arial"/>
          <w:b/>
          <w:spacing w:val="-8"/>
          <w:sz w:val="22"/>
        </w:rPr>
        <w:t> </w:t>
      </w:r>
      <w:r>
        <w:rPr>
          <w:rFonts w:ascii="Arial" w:hAnsi="Arial"/>
          <w:b/>
          <w:sz w:val="22"/>
        </w:rPr>
        <w:t>aguacate,</w:t>
      </w:r>
      <w:r>
        <w:rPr>
          <w:rFonts w:ascii="Arial" w:hAnsi="Arial"/>
          <w:b/>
          <w:spacing w:val="-6"/>
          <w:sz w:val="22"/>
        </w:rPr>
        <w:t> </w:t>
      </w:r>
      <w:r>
        <w:rPr>
          <w:rFonts w:ascii="Arial" w:hAnsi="Arial"/>
          <w:b/>
          <w:spacing w:val="-2"/>
          <w:sz w:val="22"/>
        </w:rPr>
        <w:t>orito</w:t>
      </w:r>
    </w:p>
    <w:tbl>
      <w:tblPr>
        <w:tblW w:w="0" w:type="auto"/>
        <w:jc w:val="left"/>
        <w:tblInd w:w="2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9"/>
        <w:gridCol w:w="1937"/>
        <w:gridCol w:w="1680"/>
        <w:gridCol w:w="1315"/>
      </w:tblGrid>
      <w:tr>
        <w:trPr>
          <w:trHeight w:val="552" w:hRule="atLeast"/>
        </w:trPr>
        <w:tc>
          <w:tcPr>
            <w:tcW w:w="1829" w:type="dxa"/>
            <w:shd w:val="clear" w:color="auto" w:fill="D1D1D1"/>
          </w:tcPr>
          <w:p>
            <w:pPr>
              <w:pStyle w:val="TableParagraph"/>
              <w:spacing w:before="2"/>
              <w:rPr>
                <w:rFonts w:ascii="Arial"/>
                <w:b/>
                <w:sz w:val="16"/>
              </w:rPr>
            </w:pPr>
          </w:p>
          <w:p>
            <w:pPr>
              <w:pStyle w:val="TableParagraph"/>
              <w:ind w:right="173"/>
              <w:jc w:val="right"/>
              <w:rPr>
                <w:rFonts w:ascii="Arial"/>
                <w:b/>
                <w:sz w:val="16"/>
              </w:rPr>
            </w:pPr>
            <w:r>
              <w:rPr>
                <w:rFonts w:ascii="Arial"/>
                <w:b/>
                <w:sz w:val="16"/>
              </w:rPr>
              <w:t>TIPO</w:t>
            </w:r>
            <w:r>
              <w:rPr>
                <w:rFonts w:ascii="Arial"/>
                <w:b/>
                <w:spacing w:val="-2"/>
                <w:sz w:val="16"/>
              </w:rPr>
              <w:t> </w:t>
            </w:r>
            <w:r>
              <w:rPr>
                <w:rFonts w:ascii="Arial"/>
                <w:b/>
                <w:sz w:val="16"/>
              </w:rPr>
              <w:t>DE</w:t>
            </w:r>
            <w:r>
              <w:rPr>
                <w:rFonts w:ascii="Arial"/>
                <w:b/>
                <w:spacing w:val="-1"/>
                <w:sz w:val="16"/>
              </w:rPr>
              <w:t> </w:t>
            </w:r>
            <w:r>
              <w:rPr>
                <w:rFonts w:ascii="Arial"/>
                <w:b/>
                <w:spacing w:val="-2"/>
                <w:sz w:val="16"/>
              </w:rPr>
              <w:t>PRODUCTO</w:t>
            </w:r>
          </w:p>
        </w:tc>
        <w:tc>
          <w:tcPr>
            <w:tcW w:w="1937" w:type="dxa"/>
            <w:shd w:val="clear" w:color="auto" w:fill="D1D1D1"/>
          </w:tcPr>
          <w:p>
            <w:pPr>
              <w:pStyle w:val="TableParagraph"/>
              <w:spacing w:before="1"/>
              <w:ind w:left="475" w:firstLine="26"/>
              <w:rPr>
                <w:rFonts w:ascii="Arial"/>
                <w:b/>
                <w:sz w:val="16"/>
              </w:rPr>
            </w:pPr>
            <w:r>
              <w:rPr>
                <w:rFonts w:ascii="Arial"/>
                <w:b/>
                <w:spacing w:val="-2"/>
                <w:sz w:val="16"/>
              </w:rPr>
              <w:t>PLATANOS-</w:t>
            </w:r>
          </w:p>
          <w:p>
            <w:pPr>
              <w:pStyle w:val="TableParagraph"/>
              <w:spacing w:line="182" w:lineRule="exact"/>
              <w:ind w:left="235" w:right="220" w:firstLine="240"/>
              <w:rPr>
                <w:rFonts w:ascii="Arial"/>
                <w:b/>
                <w:sz w:val="16"/>
              </w:rPr>
            </w:pPr>
            <w:r>
              <w:rPr>
                <w:rFonts w:ascii="Arial"/>
                <w:b/>
                <w:spacing w:val="-2"/>
                <w:sz w:val="16"/>
              </w:rPr>
              <w:t>MARACUYA-AGUACATE-</w:t>
            </w:r>
            <w:r>
              <w:rPr>
                <w:rFonts w:ascii="Arial"/>
                <w:b/>
                <w:spacing w:val="-2"/>
                <w:sz w:val="16"/>
              </w:rPr>
              <w:t>ORITO</w:t>
            </w:r>
          </w:p>
        </w:tc>
        <w:tc>
          <w:tcPr>
            <w:tcW w:w="1680" w:type="dxa"/>
            <w:shd w:val="clear" w:color="auto" w:fill="D1D1D1"/>
          </w:tcPr>
          <w:p>
            <w:pPr>
              <w:pStyle w:val="TableParagraph"/>
              <w:spacing w:before="2"/>
              <w:rPr>
                <w:rFonts w:ascii="Arial"/>
                <w:b/>
                <w:sz w:val="16"/>
              </w:rPr>
            </w:pPr>
          </w:p>
          <w:p>
            <w:pPr>
              <w:pStyle w:val="TableParagraph"/>
              <w:ind w:left="13"/>
              <w:jc w:val="center"/>
              <w:rPr>
                <w:rFonts w:ascii="Arial"/>
                <w:b/>
                <w:sz w:val="16"/>
              </w:rPr>
            </w:pPr>
            <w:r>
              <w:rPr>
                <w:rFonts w:ascii="Arial"/>
                <w:b/>
                <w:sz w:val="16"/>
              </w:rPr>
              <w:t>CARGA</w:t>
            </w:r>
            <w:r>
              <w:rPr>
                <w:rFonts w:ascii="Arial"/>
                <w:b/>
                <w:spacing w:val="-7"/>
                <w:sz w:val="16"/>
              </w:rPr>
              <w:t> </w:t>
            </w:r>
            <w:r>
              <w:rPr>
                <w:rFonts w:ascii="Arial"/>
                <w:b/>
                <w:spacing w:val="-4"/>
                <w:sz w:val="16"/>
              </w:rPr>
              <w:t>SECA</w:t>
            </w:r>
          </w:p>
        </w:tc>
        <w:tc>
          <w:tcPr>
            <w:tcW w:w="1315" w:type="dxa"/>
            <w:shd w:val="clear" w:color="auto" w:fill="D1D1D1"/>
          </w:tcPr>
          <w:p>
            <w:pPr>
              <w:pStyle w:val="TableParagraph"/>
              <w:spacing w:before="2"/>
              <w:rPr>
                <w:rFonts w:ascii="Arial"/>
                <w:b/>
                <w:sz w:val="16"/>
              </w:rPr>
            </w:pPr>
          </w:p>
          <w:p>
            <w:pPr>
              <w:pStyle w:val="TableParagraph"/>
              <w:ind w:left="12" w:right="2"/>
              <w:jc w:val="center"/>
              <w:rPr>
                <w:rFonts w:ascii="Arial"/>
                <w:b/>
                <w:sz w:val="16"/>
              </w:rPr>
            </w:pPr>
            <w:r>
              <w:rPr>
                <w:rFonts w:ascii="Arial"/>
                <w:b/>
                <w:sz w:val="16"/>
              </w:rPr>
              <w:t>CARGA</w:t>
            </w:r>
            <w:r>
              <w:rPr>
                <w:rFonts w:ascii="Arial"/>
                <w:b/>
                <w:spacing w:val="-7"/>
                <w:sz w:val="16"/>
              </w:rPr>
              <w:t> </w:t>
            </w:r>
            <w:r>
              <w:rPr>
                <w:rFonts w:ascii="Arial"/>
                <w:b/>
                <w:spacing w:val="-4"/>
                <w:sz w:val="16"/>
              </w:rPr>
              <w:t>SECA</w:t>
            </w:r>
          </w:p>
        </w:tc>
      </w:tr>
      <w:tr>
        <w:trPr>
          <w:trHeight w:val="184" w:hRule="atLeast"/>
        </w:trPr>
        <w:tc>
          <w:tcPr>
            <w:tcW w:w="1829" w:type="dxa"/>
          </w:tcPr>
          <w:p>
            <w:pPr>
              <w:pStyle w:val="TableParagraph"/>
              <w:spacing w:line="163" w:lineRule="exact" w:before="1"/>
              <w:ind w:left="10"/>
              <w:jc w:val="center"/>
              <w:rPr>
                <w:rFonts w:ascii="Arial"/>
                <w:b/>
                <w:sz w:val="16"/>
              </w:rPr>
            </w:pPr>
            <w:r>
              <w:rPr>
                <w:rFonts w:ascii="Arial"/>
                <w:b/>
                <w:spacing w:val="-4"/>
                <w:sz w:val="16"/>
              </w:rPr>
              <w:t>PESO</w:t>
            </w:r>
          </w:p>
        </w:tc>
        <w:tc>
          <w:tcPr>
            <w:tcW w:w="1937" w:type="dxa"/>
          </w:tcPr>
          <w:p>
            <w:pPr>
              <w:pStyle w:val="TableParagraph"/>
              <w:spacing w:line="163" w:lineRule="exact" w:before="1"/>
              <w:ind w:left="11" w:right="1"/>
              <w:jc w:val="center"/>
              <w:rPr>
                <w:sz w:val="16"/>
              </w:rPr>
            </w:pPr>
            <w:r>
              <w:rPr>
                <w:spacing w:val="-2"/>
                <w:sz w:val="16"/>
              </w:rPr>
              <w:t>24000</w:t>
            </w:r>
          </w:p>
        </w:tc>
        <w:tc>
          <w:tcPr>
            <w:tcW w:w="1680" w:type="dxa"/>
          </w:tcPr>
          <w:p>
            <w:pPr>
              <w:pStyle w:val="TableParagraph"/>
              <w:spacing w:line="163" w:lineRule="exact" w:before="1"/>
              <w:ind w:left="13" w:right="5"/>
              <w:jc w:val="center"/>
              <w:rPr>
                <w:sz w:val="16"/>
              </w:rPr>
            </w:pPr>
            <w:r>
              <w:rPr>
                <w:spacing w:val="-2"/>
                <w:sz w:val="16"/>
              </w:rPr>
              <w:t>24000</w:t>
            </w:r>
          </w:p>
        </w:tc>
        <w:tc>
          <w:tcPr>
            <w:tcW w:w="1315" w:type="dxa"/>
          </w:tcPr>
          <w:p>
            <w:pPr>
              <w:pStyle w:val="TableParagraph"/>
              <w:spacing w:line="163" w:lineRule="exact" w:before="1"/>
              <w:ind w:left="12" w:right="3"/>
              <w:jc w:val="center"/>
              <w:rPr>
                <w:sz w:val="16"/>
              </w:rPr>
            </w:pPr>
            <w:r>
              <w:rPr>
                <w:spacing w:val="-2"/>
                <w:sz w:val="16"/>
              </w:rPr>
              <w:t>24000</w:t>
            </w:r>
          </w:p>
        </w:tc>
      </w:tr>
      <w:tr>
        <w:trPr>
          <w:trHeight w:val="184" w:hRule="atLeast"/>
        </w:trPr>
        <w:tc>
          <w:tcPr>
            <w:tcW w:w="1829" w:type="dxa"/>
          </w:tcPr>
          <w:p>
            <w:pPr>
              <w:pStyle w:val="TableParagraph"/>
              <w:spacing w:line="163" w:lineRule="exact" w:before="1"/>
              <w:ind w:left="598"/>
              <w:rPr>
                <w:rFonts w:ascii="Arial"/>
                <w:b/>
                <w:sz w:val="16"/>
              </w:rPr>
            </w:pPr>
            <w:r>
              <w:rPr>
                <w:rFonts w:ascii="Arial"/>
                <w:b/>
                <w:spacing w:val="-2"/>
                <w:sz w:val="16"/>
              </w:rPr>
              <w:t>ORIGEN</w:t>
            </w:r>
          </w:p>
        </w:tc>
        <w:tc>
          <w:tcPr>
            <w:tcW w:w="1937" w:type="dxa"/>
          </w:tcPr>
          <w:p>
            <w:pPr>
              <w:pStyle w:val="TableParagraph"/>
              <w:spacing w:line="163" w:lineRule="exact" w:before="1"/>
              <w:ind w:left="11" w:right="1"/>
              <w:jc w:val="center"/>
              <w:rPr>
                <w:sz w:val="16"/>
              </w:rPr>
            </w:pPr>
            <w:r>
              <w:rPr>
                <w:spacing w:val="-4"/>
                <w:sz w:val="16"/>
              </w:rPr>
              <w:t>DURAN</w:t>
            </w:r>
          </w:p>
        </w:tc>
        <w:tc>
          <w:tcPr>
            <w:tcW w:w="1680" w:type="dxa"/>
          </w:tcPr>
          <w:p>
            <w:pPr>
              <w:pStyle w:val="TableParagraph"/>
              <w:spacing w:line="163" w:lineRule="exact" w:before="1"/>
              <w:ind w:left="13" w:right="2"/>
              <w:jc w:val="center"/>
              <w:rPr>
                <w:sz w:val="16"/>
              </w:rPr>
            </w:pPr>
            <w:r>
              <w:rPr>
                <w:spacing w:val="-2"/>
                <w:sz w:val="16"/>
              </w:rPr>
              <w:t>GUAYAQUIL</w:t>
            </w:r>
          </w:p>
        </w:tc>
        <w:tc>
          <w:tcPr>
            <w:tcW w:w="1315" w:type="dxa"/>
          </w:tcPr>
          <w:p>
            <w:pPr>
              <w:pStyle w:val="TableParagraph"/>
              <w:spacing w:line="163" w:lineRule="exact" w:before="1"/>
              <w:ind w:left="12"/>
              <w:jc w:val="center"/>
              <w:rPr>
                <w:sz w:val="16"/>
              </w:rPr>
            </w:pPr>
            <w:r>
              <w:rPr>
                <w:spacing w:val="-2"/>
                <w:sz w:val="16"/>
              </w:rPr>
              <w:t>GUAYAQUIL</w:t>
            </w:r>
          </w:p>
        </w:tc>
      </w:tr>
      <w:tr>
        <w:trPr>
          <w:trHeight w:val="366" w:hRule="atLeast"/>
        </w:trPr>
        <w:tc>
          <w:tcPr>
            <w:tcW w:w="1829" w:type="dxa"/>
          </w:tcPr>
          <w:p>
            <w:pPr>
              <w:pStyle w:val="TableParagraph"/>
              <w:spacing w:before="92"/>
              <w:ind w:left="557"/>
              <w:rPr>
                <w:rFonts w:ascii="Arial"/>
                <w:b/>
                <w:sz w:val="16"/>
              </w:rPr>
            </w:pPr>
            <w:r>
              <w:rPr>
                <w:rFonts w:ascii="Arial"/>
                <w:b/>
                <w:spacing w:val="-2"/>
                <w:sz w:val="16"/>
              </w:rPr>
              <w:t>DESTINO</w:t>
            </w:r>
          </w:p>
        </w:tc>
        <w:tc>
          <w:tcPr>
            <w:tcW w:w="1937" w:type="dxa"/>
          </w:tcPr>
          <w:p>
            <w:pPr>
              <w:pStyle w:val="TableParagraph"/>
              <w:spacing w:before="92"/>
              <w:ind w:left="11"/>
              <w:jc w:val="center"/>
              <w:rPr>
                <w:sz w:val="16"/>
              </w:rPr>
            </w:pPr>
            <w:r>
              <w:rPr>
                <w:spacing w:val="-2"/>
                <w:sz w:val="16"/>
              </w:rPr>
              <w:t>IPIALES-BOGOTÁ</w:t>
            </w:r>
          </w:p>
        </w:tc>
        <w:tc>
          <w:tcPr>
            <w:tcW w:w="1680" w:type="dxa"/>
          </w:tcPr>
          <w:p>
            <w:pPr>
              <w:pStyle w:val="TableParagraph"/>
              <w:spacing w:line="182" w:lineRule="exact"/>
              <w:ind w:left="497" w:right="142" w:hanging="344"/>
              <w:rPr>
                <w:sz w:val="16"/>
              </w:rPr>
            </w:pPr>
            <w:r>
              <w:rPr>
                <w:spacing w:val="-2"/>
                <w:sz w:val="16"/>
              </w:rPr>
              <w:t>BUENAVENTURA-BOGOTÁ</w:t>
            </w:r>
          </w:p>
        </w:tc>
        <w:tc>
          <w:tcPr>
            <w:tcW w:w="1315" w:type="dxa"/>
          </w:tcPr>
          <w:p>
            <w:pPr>
              <w:pStyle w:val="TableParagraph"/>
              <w:spacing w:line="182" w:lineRule="exact"/>
              <w:ind w:left="315" w:hanging="185"/>
              <w:rPr>
                <w:sz w:val="16"/>
              </w:rPr>
            </w:pPr>
            <w:r>
              <w:rPr>
                <w:spacing w:val="-2"/>
                <w:sz w:val="16"/>
              </w:rPr>
              <w:t>CARTAGENA-BOGOTÁ</w:t>
            </w:r>
          </w:p>
        </w:tc>
      </w:tr>
      <w:tr>
        <w:trPr>
          <w:trHeight w:val="184" w:hRule="atLeast"/>
        </w:trPr>
        <w:tc>
          <w:tcPr>
            <w:tcW w:w="1829" w:type="dxa"/>
          </w:tcPr>
          <w:p>
            <w:pPr>
              <w:pStyle w:val="TableParagraph"/>
              <w:spacing w:line="163" w:lineRule="exact" w:before="1"/>
              <w:ind w:left="605"/>
              <w:rPr>
                <w:rFonts w:ascii="Arial"/>
                <w:b/>
                <w:sz w:val="16"/>
              </w:rPr>
            </w:pPr>
            <w:r>
              <w:rPr>
                <w:rFonts w:ascii="Arial"/>
                <w:b/>
                <w:spacing w:val="-2"/>
                <w:sz w:val="16"/>
              </w:rPr>
              <w:t>TIEMPO</w:t>
            </w:r>
          </w:p>
        </w:tc>
        <w:tc>
          <w:tcPr>
            <w:tcW w:w="1937" w:type="dxa"/>
          </w:tcPr>
          <w:p>
            <w:pPr>
              <w:pStyle w:val="TableParagraph"/>
              <w:rPr>
                <w:rFonts w:ascii="Times New Roman"/>
                <w:sz w:val="12"/>
              </w:rPr>
            </w:pPr>
          </w:p>
        </w:tc>
        <w:tc>
          <w:tcPr>
            <w:tcW w:w="1680" w:type="dxa"/>
          </w:tcPr>
          <w:p>
            <w:pPr>
              <w:pStyle w:val="TableParagraph"/>
              <w:spacing w:line="163" w:lineRule="exact" w:before="1"/>
              <w:ind w:left="13" w:right="4"/>
              <w:jc w:val="center"/>
              <w:rPr>
                <w:sz w:val="16"/>
              </w:rPr>
            </w:pPr>
            <w:r>
              <w:rPr>
                <w:spacing w:val="-10"/>
                <w:sz w:val="16"/>
              </w:rPr>
              <w:t>2</w:t>
            </w:r>
          </w:p>
        </w:tc>
        <w:tc>
          <w:tcPr>
            <w:tcW w:w="1315" w:type="dxa"/>
          </w:tcPr>
          <w:p>
            <w:pPr>
              <w:pStyle w:val="TableParagraph"/>
              <w:spacing w:line="163" w:lineRule="exact" w:before="1"/>
              <w:ind w:left="12" w:right="2"/>
              <w:jc w:val="center"/>
              <w:rPr>
                <w:sz w:val="16"/>
              </w:rPr>
            </w:pPr>
            <w:r>
              <w:rPr>
                <w:spacing w:val="-10"/>
                <w:sz w:val="16"/>
              </w:rPr>
              <w:t>6</w:t>
            </w:r>
          </w:p>
        </w:tc>
      </w:tr>
      <w:tr>
        <w:trPr>
          <w:trHeight w:val="369" w:hRule="atLeast"/>
        </w:trPr>
        <w:tc>
          <w:tcPr>
            <w:tcW w:w="1829" w:type="dxa"/>
          </w:tcPr>
          <w:p>
            <w:pPr>
              <w:pStyle w:val="TableParagraph"/>
              <w:spacing w:line="180" w:lineRule="atLeast"/>
              <w:ind w:left="249" w:firstLine="408"/>
              <w:rPr>
                <w:rFonts w:ascii="Arial"/>
                <w:b/>
                <w:sz w:val="16"/>
              </w:rPr>
            </w:pPr>
            <w:r>
              <w:rPr>
                <w:rFonts w:ascii="Arial"/>
                <w:b/>
                <w:spacing w:val="-4"/>
                <w:sz w:val="16"/>
              </w:rPr>
              <w:t>FLETE </w:t>
            </w:r>
            <w:r>
              <w:rPr>
                <w:rFonts w:ascii="Arial"/>
                <w:b/>
                <w:spacing w:val="-2"/>
                <w:sz w:val="16"/>
              </w:rPr>
              <w:t>INTERNACIONAL</w:t>
            </w:r>
          </w:p>
        </w:tc>
        <w:tc>
          <w:tcPr>
            <w:tcW w:w="1937" w:type="dxa"/>
          </w:tcPr>
          <w:p>
            <w:pPr>
              <w:pStyle w:val="TableParagraph"/>
              <w:spacing w:before="92"/>
              <w:ind w:left="11" w:right="1"/>
              <w:jc w:val="center"/>
              <w:rPr>
                <w:sz w:val="16"/>
              </w:rPr>
            </w:pPr>
            <w:r>
              <w:rPr>
                <w:spacing w:val="-2"/>
                <w:sz w:val="16"/>
              </w:rPr>
              <w:t>1,850</w:t>
            </w:r>
          </w:p>
        </w:tc>
        <w:tc>
          <w:tcPr>
            <w:tcW w:w="1680" w:type="dxa"/>
          </w:tcPr>
          <w:p>
            <w:pPr>
              <w:pStyle w:val="TableParagraph"/>
              <w:spacing w:before="92"/>
              <w:ind w:left="13" w:right="5"/>
              <w:jc w:val="center"/>
              <w:rPr>
                <w:sz w:val="16"/>
              </w:rPr>
            </w:pPr>
            <w:r>
              <w:rPr>
                <w:spacing w:val="-2"/>
                <w:sz w:val="16"/>
              </w:rPr>
              <w:t>1,666</w:t>
            </w:r>
          </w:p>
        </w:tc>
        <w:tc>
          <w:tcPr>
            <w:tcW w:w="1315" w:type="dxa"/>
          </w:tcPr>
          <w:p>
            <w:pPr>
              <w:pStyle w:val="TableParagraph"/>
              <w:spacing w:before="92"/>
              <w:ind w:left="12" w:right="2"/>
              <w:jc w:val="center"/>
              <w:rPr>
                <w:sz w:val="16"/>
              </w:rPr>
            </w:pPr>
            <w:r>
              <w:rPr>
                <w:spacing w:val="-2"/>
                <w:sz w:val="16"/>
              </w:rPr>
              <w:t>3,090</w:t>
            </w:r>
          </w:p>
        </w:tc>
      </w:tr>
      <w:tr>
        <w:trPr>
          <w:trHeight w:val="184" w:hRule="atLeast"/>
        </w:trPr>
        <w:tc>
          <w:tcPr>
            <w:tcW w:w="1829" w:type="dxa"/>
          </w:tcPr>
          <w:p>
            <w:pPr>
              <w:pStyle w:val="TableParagraph"/>
              <w:spacing w:line="163" w:lineRule="exact" w:before="1"/>
              <w:ind w:right="215"/>
              <w:jc w:val="right"/>
              <w:rPr>
                <w:rFonts w:ascii="Arial"/>
                <w:b/>
                <w:sz w:val="16"/>
              </w:rPr>
            </w:pPr>
            <w:r>
              <w:rPr>
                <w:rFonts w:ascii="Arial"/>
                <w:b/>
                <w:sz w:val="16"/>
              </w:rPr>
              <w:t>GATOS</w:t>
            </w:r>
            <w:r>
              <w:rPr>
                <w:rFonts w:ascii="Arial"/>
                <w:b/>
                <w:spacing w:val="-5"/>
                <w:sz w:val="16"/>
              </w:rPr>
              <w:t> </w:t>
            </w:r>
            <w:r>
              <w:rPr>
                <w:rFonts w:ascii="Arial"/>
                <w:b/>
                <w:spacing w:val="-2"/>
                <w:sz w:val="16"/>
              </w:rPr>
              <w:t>LOCALES</w:t>
            </w:r>
          </w:p>
        </w:tc>
        <w:tc>
          <w:tcPr>
            <w:tcW w:w="1937" w:type="dxa"/>
          </w:tcPr>
          <w:p>
            <w:pPr>
              <w:pStyle w:val="TableParagraph"/>
              <w:spacing w:line="163" w:lineRule="exact" w:before="1"/>
              <w:ind w:left="11" w:right="3"/>
              <w:jc w:val="center"/>
              <w:rPr>
                <w:sz w:val="16"/>
              </w:rPr>
            </w:pPr>
            <w:r>
              <w:rPr>
                <w:spacing w:val="-10"/>
                <w:sz w:val="16"/>
              </w:rPr>
              <w:t>-</w:t>
            </w:r>
          </w:p>
        </w:tc>
        <w:tc>
          <w:tcPr>
            <w:tcW w:w="1680" w:type="dxa"/>
          </w:tcPr>
          <w:p>
            <w:pPr>
              <w:pStyle w:val="TableParagraph"/>
              <w:spacing w:line="163" w:lineRule="exact" w:before="1"/>
              <w:ind w:left="13" w:right="5"/>
              <w:jc w:val="center"/>
              <w:rPr>
                <w:sz w:val="16"/>
              </w:rPr>
            </w:pPr>
            <w:r>
              <w:rPr>
                <w:spacing w:val="-2"/>
                <w:sz w:val="16"/>
              </w:rPr>
              <w:t>1,857</w:t>
            </w:r>
          </w:p>
        </w:tc>
        <w:tc>
          <w:tcPr>
            <w:tcW w:w="1315" w:type="dxa"/>
          </w:tcPr>
          <w:p>
            <w:pPr>
              <w:pStyle w:val="TableParagraph"/>
              <w:spacing w:line="163" w:lineRule="exact" w:before="1"/>
              <w:ind w:left="12" w:right="2"/>
              <w:jc w:val="center"/>
              <w:rPr>
                <w:sz w:val="16"/>
              </w:rPr>
            </w:pPr>
            <w:r>
              <w:rPr>
                <w:spacing w:val="-2"/>
                <w:sz w:val="16"/>
              </w:rPr>
              <w:t>1,857</w:t>
            </w:r>
          </w:p>
        </w:tc>
      </w:tr>
      <w:tr>
        <w:trPr>
          <w:trHeight w:val="366" w:hRule="atLeast"/>
        </w:trPr>
        <w:tc>
          <w:tcPr>
            <w:tcW w:w="1829" w:type="dxa"/>
          </w:tcPr>
          <w:p>
            <w:pPr>
              <w:pStyle w:val="TableParagraph"/>
              <w:spacing w:line="184" w:lineRule="exact"/>
              <w:ind w:left="552" w:hanging="193"/>
              <w:rPr>
                <w:rFonts w:ascii="Arial"/>
                <w:b/>
                <w:sz w:val="16"/>
              </w:rPr>
            </w:pPr>
            <w:r>
              <w:rPr>
                <w:rFonts w:ascii="Arial"/>
                <w:b/>
                <w:spacing w:val="-2"/>
                <w:sz w:val="16"/>
              </w:rPr>
              <w:t>TRANSPORTE INTERNO</w:t>
            </w:r>
          </w:p>
        </w:tc>
        <w:tc>
          <w:tcPr>
            <w:tcW w:w="1937" w:type="dxa"/>
          </w:tcPr>
          <w:p>
            <w:pPr>
              <w:pStyle w:val="TableParagraph"/>
              <w:spacing w:before="92"/>
              <w:ind w:left="11" w:right="1"/>
              <w:jc w:val="center"/>
              <w:rPr>
                <w:sz w:val="16"/>
              </w:rPr>
            </w:pPr>
            <w:r>
              <w:rPr>
                <w:spacing w:val="-2"/>
                <w:sz w:val="16"/>
              </w:rPr>
              <w:t>2,300</w:t>
            </w:r>
          </w:p>
        </w:tc>
        <w:tc>
          <w:tcPr>
            <w:tcW w:w="1680" w:type="dxa"/>
          </w:tcPr>
          <w:p>
            <w:pPr>
              <w:pStyle w:val="TableParagraph"/>
              <w:spacing w:before="92"/>
              <w:ind w:left="13" w:right="5"/>
              <w:jc w:val="center"/>
              <w:rPr>
                <w:sz w:val="16"/>
              </w:rPr>
            </w:pPr>
            <w:r>
              <w:rPr>
                <w:spacing w:val="-2"/>
                <w:sz w:val="16"/>
              </w:rPr>
              <w:t>3,318</w:t>
            </w:r>
          </w:p>
        </w:tc>
        <w:tc>
          <w:tcPr>
            <w:tcW w:w="1315" w:type="dxa"/>
          </w:tcPr>
          <w:p>
            <w:pPr>
              <w:pStyle w:val="TableParagraph"/>
              <w:spacing w:before="92"/>
              <w:ind w:left="12" w:right="2"/>
              <w:jc w:val="center"/>
              <w:rPr>
                <w:sz w:val="16"/>
              </w:rPr>
            </w:pPr>
            <w:r>
              <w:rPr>
                <w:spacing w:val="-2"/>
                <w:sz w:val="16"/>
              </w:rPr>
              <w:t>3,815</w:t>
            </w:r>
          </w:p>
        </w:tc>
      </w:tr>
      <w:tr>
        <w:trPr>
          <w:trHeight w:val="183" w:hRule="atLeast"/>
        </w:trPr>
        <w:tc>
          <w:tcPr>
            <w:tcW w:w="1829" w:type="dxa"/>
          </w:tcPr>
          <w:p>
            <w:pPr>
              <w:pStyle w:val="TableParagraph"/>
              <w:spacing w:line="163" w:lineRule="exact"/>
              <w:ind w:left="10" w:right="3"/>
              <w:jc w:val="center"/>
              <w:rPr>
                <w:rFonts w:ascii="Arial"/>
                <w:b/>
                <w:sz w:val="16"/>
              </w:rPr>
            </w:pPr>
            <w:r>
              <w:rPr>
                <w:rFonts w:ascii="Arial"/>
                <w:b/>
                <w:spacing w:val="-2"/>
                <w:sz w:val="16"/>
              </w:rPr>
              <w:t>TOTAL</w:t>
            </w:r>
          </w:p>
        </w:tc>
        <w:tc>
          <w:tcPr>
            <w:tcW w:w="1937" w:type="dxa"/>
          </w:tcPr>
          <w:p>
            <w:pPr>
              <w:pStyle w:val="TableParagraph"/>
              <w:spacing w:line="163" w:lineRule="exact"/>
              <w:ind w:left="11" w:right="1"/>
              <w:jc w:val="center"/>
              <w:rPr>
                <w:sz w:val="16"/>
              </w:rPr>
            </w:pPr>
            <w:r>
              <w:rPr>
                <w:spacing w:val="-2"/>
                <w:sz w:val="16"/>
              </w:rPr>
              <w:t>4,150</w:t>
            </w:r>
          </w:p>
        </w:tc>
        <w:tc>
          <w:tcPr>
            <w:tcW w:w="1680" w:type="dxa"/>
          </w:tcPr>
          <w:p>
            <w:pPr>
              <w:pStyle w:val="TableParagraph"/>
              <w:spacing w:line="163" w:lineRule="exact"/>
              <w:ind w:left="13" w:right="5"/>
              <w:jc w:val="center"/>
              <w:rPr>
                <w:sz w:val="16"/>
              </w:rPr>
            </w:pPr>
            <w:r>
              <w:rPr>
                <w:spacing w:val="-2"/>
                <w:sz w:val="16"/>
              </w:rPr>
              <w:t>6,841</w:t>
            </w:r>
          </w:p>
        </w:tc>
        <w:tc>
          <w:tcPr>
            <w:tcW w:w="1315" w:type="dxa"/>
          </w:tcPr>
          <w:p>
            <w:pPr>
              <w:pStyle w:val="TableParagraph"/>
              <w:spacing w:line="163" w:lineRule="exact"/>
              <w:ind w:left="12" w:right="2"/>
              <w:jc w:val="center"/>
              <w:rPr>
                <w:sz w:val="16"/>
              </w:rPr>
            </w:pPr>
            <w:r>
              <w:rPr>
                <w:spacing w:val="-2"/>
                <w:sz w:val="16"/>
              </w:rPr>
              <w:t>8,763</w:t>
            </w:r>
          </w:p>
        </w:tc>
      </w:tr>
    </w:tbl>
    <w:p>
      <w:pPr>
        <w:spacing w:before="57"/>
        <w:ind w:left="1845" w:right="4159" w:firstLine="0"/>
        <w:jc w:val="left"/>
        <w:rPr>
          <w:rFonts w:ascii="Arial" w:hAnsi="Arial"/>
          <w:b/>
          <w:sz w:val="16"/>
        </w:rPr>
      </w:pPr>
      <w:r>
        <w:rPr>
          <w:rFonts w:ascii="Arial" w:hAnsi="Arial"/>
          <w:b/>
          <w:sz w:val="16"/>
        </w:rPr>
        <w:t>Fuente:</w:t>
      </w:r>
      <w:r>
        <w:rPr>
          <w:rFonts w:ascii="Arial" w:hAnsi="Arial"/>
          <w:b/>
          <w:spacing w:val="-5"/>
          <w:sz w:val="16"/>
        </w:rPr>
        <w:t> </w:t>
      </w:r>
      <w:r>
        <w:rPr>
          <w:rFonts w:ascii="Arial" w:hAnsi="Arial"/>
          <w:b/>
          <w:sz w:val="16"/>
        </w:rPr>
        <w:t>República</w:t>
      </w:r>
      <w:r>
        <w:rPr>
          <w:rFonts w:ascii="Arial" w:hAnsi="Arial"/>
          <w:b/>
          <w:spacing w:val="-8"/>
          <w:sz w:val="16"/>
        </w:rPr>
        <w:t> </w:t>
      </w:r>
      <w:r>
        <w:rPr>
          <w:rFonts w:ascii="Arial" w:hAnsi="Arial"/>
          <w:b/>
          <w:sz w:val="16"/>
        </w:rPr>
        <w:t>del</w:t>
      </w:r>
      <w:r>
        <w:rPr>
          <w:rFonts w:ascii="Arial" w:hAnsi="Arial"/>
          <w:b/>
          <w:spacing w:val="-6"/>
          <w:sz w:val="16"/>
        </w:rPr>
        <w:t> </w:t>
      </w:r>
      <w:r>
        <w:rPr>
          <w:rFonts w:ascii="Arial" w:hAnsi="Arial"/>
          <w:b/>
          <w:sz w:val="16"/>
        </w:rPr>
        <w:t>Ecuador</w:t>
      </w:r>
      <w:r>
        <w:rPr>
          <w:rFonts w:ascii="Arial" w:hAnsi="Arial"/>
          <w:b/>
          <w:spacing w:val="-6"/>
          <w:sz w:val="16"/>
        </w:rPr>
        <w:t> </w:t>
      </w:r>
      <w:r>
        <w:rPr>
          <w:rFonts w:ascii="Arial" w:hAnsi="Arial"/>
          <w:b/>
          <w:sz w:val="16"/>
        </w:rPr>
        <w:t>–</w:t>
      </w:r>
      <w:r>
        <w:rPr>
          <w:rFonts w:ascii="Arial" w:hAnsi="Arial"/>
          <w:b/>
          <w:spacing w:val="-5"/>
          <w:sz w:val="16"/>
        </w:rPr>
        <w:t> </w:t>
      </w:r>
      <w:r>
        <w:rPr>
          <w:rFonts w:ascii="Arial" w:hAnsi="Arial"/>
          <w:b/>
          <w:sz w:val="16"/>
        </w:rPr>
        <w:t>Cotizaciones</w:t>
      </w:r>
      <w:r>
        <w:rPr>
          <w:rFonts w:ascii="Arial" w:hAnsi="Arial"/>
          <w:b/>
          <w:spacing w:val="-7"/>
          <w:sz w:val="16"/>
        </w:rPr>
        <w:t> </w:t>
      </w:r>
      <w:r>
        <w:rPr>
          <w:rFonts w:ascii="Arial" w:hAnsi="Arial"/>
          <w:b/>
          <w:sz w:val="16"/>
        </w:rPr>
        <w:t>Empresas. Elaboración: SGCAN.</w:t>
      </w:r>
    </w:p>
    <w:p>
      <w:pPr>
        <w:pStyle w:val="BodyText"/>
        <w:spacing w:before="69"/>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Asimismo, según las cifras de importaciones analizadas, se puede evidenciar que la totalidad las importaciones de productos agrícolas ingresan por vía terrestre a la República</w:t>
      </w:r>
      <w:r>
        <w:rPr>
          <w:spacing w:val="-3"/>
          <w:sz w:val="22"/>
        </w:rPr>
        <w:t> </w:t>
      </w:r>
      <w:r>
        <w:rPr>
          <w:sz w:val="22"/>
        </w:rPr>
        <w:t>de</w:t>
      </w:r>
      <w:r>
        <w:rPr>
          <w:spacing w:val="-3"/>
          <w:sz w:val="22"/>
        </w:rPr>
        <w:t> </w:t>
      </w:r>
      <w:r>
        <w:rPr>
          <w:sz w:val="22"/>
        </w:rPr>
        <w:t>Colombia,</w:t>
      </w:r>
      <w:r>
        <w:rPr>
          <w:spacing w:val="-6"/>
          <w:sz w:val="22"/>
        </w:rPr>
        <w:t> </w:t>
      </w:r>
      <w:r>
        <w:rPr>
          <w:sz w:val="22"/>
        </w:rPr>
        <w:t>por</w:t>
      </w:r>
      <w:r>
        <w:rPr>
          <w:spacing w:val="-2"/>
          <w:sz w:val="22"/>
        </w:rPr>
        <w:t> </w:t>
      </w:r>
      <w:r>
        <w:rPr>
          <w:sz w:val="22"/>
        </w:rPr>
        <w:t>las</w:t>
      </w:r>
      <w:r>
        <w:rPr>
          <w:spacing w:val="-5"/>
          <w:sz w:val="22"/>
        </w:rPr>
        <w:t> </w:t>
      </w:r>
      <w:r>
        <w:rPr>
          <w:sz w:val="22"/>
        </w:rPr>
        <w:t>Aduanas</w:t>
      </w:r>
      <w:r>
        <w:rPr>
          <w:spacing w:val="-5"/>
          <w:sz w:val="22"/>
        </w:rPr>
        <w:t> </w:t>
      </w:r>
      <w:r>
        <w:rPr>
          <w:sz w:val="22"/>
        </w:rPr>
        <w:t>de</w:t>
      </w:r>
      <w:r>
        <w:rPr>
          <w:spacing w:val="-5"/>
          <w:sz w:val="22"/>
        </w:rPr>
        <w:t> </w:t>
      </w:r>
      <w:r>
        <w:rPr>
          <w:sz w:val="22"/>
        </w:rPr>
        <w:t>Ipiales</w:t>
      </w:r>
      <w:r>
        <w:rPr>
          <w:spacing w:val="-3"/>
          <w:sz w:val="22"/>
        </w:rPr>
        <w:t> </w:t>
      </w:r>
      <w:r>
        <w:rPr>
          <w:sz w:val="22"/>
        </w:rPr>
        <w:t>y</w:t>
      </w:r>
      <w:r>
        <w:rPr>
          <w:spacing w:val="-4"/>
          <w:sz w:val="22"/>
        </w:rPr>
        <w:t> </w:t>
      </w:r>
      <w:r>
        <w:rPr>
          <w:sz w:val="22"/>
        </w:rPr>
        <w:t>Puerto</w:t>
      </w:r>
      <w:r>
        <w:rPr>
          <w:spacing w:val="-3"/>
          <w:sz w:val="22"/>
        </w:rPr>
        <w:t> </w:t>
      </w:r>
      <w:r>
        <w:rPr>
          <w:sz w:val="22"/>
        </w:rPr>
        <w:t>Asís,</w:t>
      </w:r>
      <w:r>
        <w:rPr>
          <w:spacing w:val="-1"/>
          <w:sz w:val="22"/>
        </w:rPr>
        <w:t> </w:t>
      </w:r>
      <w:r>
        <w:rPr>
          <w:sz w:val="22"/>
        </w:rPr>
        <w:t>que</w:t>
      </w:r>
      <w:r>
        <w:rPr>
          <w:spacing w:val="-5"/>
          <w:sz w:val="22"/>
        </w:rPr>
        <w:t> </w:t>
      </w:r>
      <w:r>
        <w:rPr>
          <w:sz w:val="22"/>
        </w:rPr>
        <w:t>son</w:t>
      </w:r>
      <w:r>
        <w:rPr>
          <w:spacing w:val="-3"/>
          <w:sz w:val="22"/>
        </w:rPr>
        <w:t> </w:t>
      </w:r>
      <w:r>
        <w:rPr>
          <w:sz w:val="22"/>
        </w:rPr>
        <w:t>las</w:t>
      </w:r>
      <w:r>
        <w:rPr>
          <w:spacing w:val="-2"/>
          <w:sz w:val="22"/>
        </w:rPr>
        <w:t> </w:t>
      </w:r>
      <w:r>
        <w:rPr>
          <w:sz w:val="22"/>
        </w:rPr>
        <w:t>aduanas cuyo ingreso se encuentra prohibido por el Decreto 0170.</w:t>
      </w:r>
    </w:p>
    <w:p>
      <w:pPr>
        <w:pStyle w:val="ListParagraph"/>
        <w:numPr>
          <w:ilvl w:val="0"/>
          <w:numId w:val="50"/>
        </w:numPr>
        <w:tabs>
          <w:tab w:pos="1130" w:val="left" w:leader="none"/>
          <w:tab w:pos="1134" w:val="left" w:leader="none"/>
        </w:tabs>
        <w:spacing w:line="240" w:lineRule="auto" w:before="186" w:after="0"/>
        <w:ind w:left="1134" w:right="981" w:hanging="567"/>
        <w:jc w:val="both"/>
        <w:rPr>
          <w:sz w:val="22"/>
        </w:rPr>
      </w:pPr>
      <w:r>
        <w:rPr>
          <w:sz w:val="22"/>
        </w:rPr>
        <w:t>Por</w:t>
      </w:r>
      <w:r>
        <w:rPr>
          <w:spacing w:val="-10"/>
          <w:sz w:val="22"/>
        </w:rPr>
        <w:t> </w:t>
      </w:r>
      <w:r>
        <w:rPr>
          <w:sz w:val="22"/>
        </w:rPr>
        <w:t>tanto,</w:t>
      </w:r>
      <w:r>
        <w:rPr>
          <w:spacing w:val="-10"/>
          <w:sz w:val="22"/>
        </w:rPr>
        <w:t> </w:t>
      </w:r>
      <w:r>
        <w:rPr>
          <w:sz w:val="22"/>
        </w:rPr>
        <w:t>los</w:t>
      </w:r>
      <w:r>
        <w:rPr>
          <w:spacing w:val="-11"/>
          <w:sz w:val="22"/>
        </w:rPr>
        <w:t> </w:t>
      </w:r>
      <w:r>
        <w:rPr>
          <w:sz w:val="22"/>
        </w:rPr>
        <w:t>hechos</w:t>
      </w:r>
      <w:r>
        <w:rPr>
          <w:spacing w:val="-11"/>
          <w:sz w:val="22"/>
        </w:rPr>
        <w:t> </w:t>
      </w:r>
      <w:r>
        <w:rPr>
          <w:sz w:val="22"/>
        </w:rPr>
        <w:t>expuestos</w:t>
      </w:r>
      <w:r>
        <w:rPr>
          <w:spacing w:val="-11"/>
          <w:sz w:val="22"/>
        </w:rPr>
        <w:t> </w:t>
      </w:r>
      <w:r>
        <w:rPr>
          <w:sz w:val="22"/>
        </w:rPr>
        <w:t>permiten</w:t>
      </w:r>
      <w:r>
        <w:rPr>
          <w:spacing w:val="-14"/>
          <w:sz w:val="22"/>
        </w:rPr>
        <w:t> </w:t>
      </w:r>
      <w:r>
        <w:rPr>
          <w:sz w:val="22"/>
        </w:rPr>
        <w:t>concluir</w:t>
      </w:r>
      <w:r>
        <w:rPr>
          <w:spacing w:val="-13"/>
          <w:sz w:val="22"/>
        </w:rPr>
        <w:t> </w:t>
      </w:r>
      <w:r>
        <w:rPr>
          <w:sz w:val="22"/>
        </w:rPr>
        <w:t>que</w:t>
      </w:r>
      <w:r>
        <w:rPr>
          <w:spacing w:val="-11"/>
          <w:sz w:val="22"/>
        </w:rPr>
        <w:t> </w:t>
      </w:r>
      <w:r>
        <w:rPr>
          <w:sz w:val="22"/>
        </w:rPr>
        <w:t>la</w:t>
      </w:r>
      <w:r>
        <w:rPr>
          <w:spacing w:val="-11"/>
          <w:sz w:val="22"/>
        </w:rPr>
        <w:t> </w:t>
      </w:r>
      <w:r>
        <w:rPr>
          <w:sz w:val="22"/>
        </w:rPr>
        <w:t>medida</w:t>
      </w:r>
      <w:r>
        <w:rPr>
          <w:spacing w:val="-12"/>
          <w:sz w:val="22"/>
        </w:rPr>
        <w:t> </w:t>
      </w:r>
      <w:r>
        <w:rPr>
          <w:sz w:val="22"/>
        </w:rPr>
        <w:t>objeto</w:t>
      </w:r>
      <w:r>
        <w:rPr>
          <w:spacing w:val="-11"/>
          <w:sz w:val="22"/>
        </w:rPr>
        <w:t> </w:t>
      </w:r>
      <w:r>
        <w:rPr>
          <w:sz w:val="22"/>
        </w:rPr>
        <w:t>de</w:t>
      </w:r>
      <w:r>
        <w:rPr>
          <w:spacing w:val="-12"/>
          <w:sz w:val="22"/>
        </w:rPr>
        <w:t> </w:t>
      </w:r>
      <w:r>
        <w:rPr>
          <w:sz w:val="22"/>
        </w:rPr>
        <w:t>investigación tiene por efecto dificultar (encarecer o hacer más onerosa) las importaciones de productos frescos de origen ecuatoriano.</w:t>
      </w:r>
    </w:p>
    <w:p>
      <w:pPr>
        <w:pStyle w:val="ListParagraph"/>
        <w:numPr>
          <w:ilvl w:val="0"/>
          <w:numId w:val="50"/>
        </w:numPr>
        <w:tabs>
          <w:tab w:pos="1130" w:val="left" w:leader="none"/>
          <w:tab w:pos="1134" w:val="left" w:leader="none"/>
        </w:tabs>
        <w:spacing w:line="240" w:lineRule="auto" w:before="184" w:after="0"/>
        <w:ind w:left="1134" w:right="980" w:hanging="567"/>
        <w:jc w:val="both"/>
        <w:rPr>
          <w:sz w:val="22"/>
        </w:rPr>
      </w:pPr>
      <w:r>
        <w:rPr>
          <w:sz w:val="22"/>
        </w:rPr>
        <w:t>Finalmente,</w:t>
      </w:r>
      <w:r>
        <w:rPr>
          <w:spacing w:val="-6"/>
          <w:sz w:val="22"/>
        </w:rPr>
        <w:t> </w:t>
      </w:r>
      <w:r>
        <w:rPr>
          <w:sz w:val="22"/>
        </w:rPr>
        <w:t>con</w:t>
      </w:r>
      <w:r>
        <w:rPr>
          <w:spacing w:val="-8"/>
          <w:sz w:val="22"/>
        </w:rPr>
        <w:t> </w:t>
      </w:r>
      <w:r>
        <w:rPr>
          <w:sz w:val="22"/>
        </w:rPr>
        <w:t>base</w:t>
      </w:r>
      <w:r>
        <w:rPr>
          <w:spacing w:val="-5"/>
          <w:sz w:val="22"/>
        </w:rPr>
        <w:t> </w:t>
      </w:r>
      <w:r>
        <w:rPr>
          <w:sz w:val="22"/>
        </w:rPr>
        <w:t>en</w:t>
      </w:r>
      <w:r>
        <w:rPr>
          <w:spacing w:val="-8"/>
          <w:sz w:val="22"/>
        </w:rPr>
        <w:t> </w:t>
      </w:r>
      <w:r>
        <w:rPr>
          <w:sz w:val="22"/>
        </w:rPr>
        <w:t>la</w:t>
      </w:r>
      <w:r>
        <w:rPr>
          <w:spacing w:val="-5"/>
          <w:sz w:val="22"/>
        </w:rPr>
        <w:t> </w:t>
      </w:r>
      <w:r>
        <w:rPr>
          <w:sz w:val="22"/>
        </w:rPr>
        <w:t>información</w:t>
      </w:r>
      <w:r>
        <w:rPr>
          <w:spacing w:val="-8"/>
          <w:sz w:val="22"/>
        </w:rPr>
        <w:t> </w:t>
      </w:r>
      <w:r>
        <w:rPr>
          <w:sz w:val="22"/>
        </w:rPr>
        <w:t>obrante</w:t>
      </w:r>
      <w:r>
        <w:rPr>
          <w:spacing w:val="-5"/>
          <w:sz w:val="22"/>
        </w:rPr>
        <w:t> </w:t>
      </w:r>
      <w:r>
        <w:rPr>
          <w:sz w:val="22"/>
        </w:rPr>
        <w:t>en</w:t>
      </w:r>
      <w:r>
        <w:rPr>
          <w:spacing w:val="-5"/>
          <w:sz w:val="22"/>
        </w:rPr>
        <w:t> </w:t>
      </w:r>
      <w:r>
        <w:rPr>
          <w:sz w:val="22"/>
        </w:rPr>
        <w:t>el</w:t>
      </w:r>
      <w:r>
        <w:rPr>
          <w:spacing w:val="-6"/>
          <w:sz w:val="22"/>
        </w:rPr>
        <w:t> </w:t>
      </w:r>
      <w:r>
        <w:rPr>
          <w:sz w:val="22"/>
        </w:rPr>
        <w:t>expediente,</w:t>
      </w:r>
      <w:r>
        <w:rPr>
          <w:spacing w:val="-6"/>
          <w:sz w:val="22"/>
        </w:rPr>
        <w:t> </w:t>
      </w:r>
      <w:r>
        <w:rPr>
          <w:sz w:val="22"/>
        </w:rPr>
        <w:t>puede</w:t>
      </w:r>
      <w:r>
        <w:rPr>
          <w:spacing w:val="-5"/>
          <w:sz w:val="22"/>
        </w:rPr>
        <w:t> </w:t>
      </w:r>
      <w:r>
        <w:rPr>
          <w:sz w:val="22"/>
        </w:rPr>
        <w:t>concluirse</w:t>
      </w:r>
      <w:r>
        <w:rPr>
          <w:spacing w:val="-5"/>
          <w:sz w:val="22"/>
        </w:rPr>
        <w:t> </w:t>
      </w:r>
      <w:r>
        <w:rPr>
          <w:sz w:val="22"/>
        </w:rPr>
        <w:t>que la medida objeto de investigación tuvo como efecto impedir las importaciones de productos agrícolas de origen ecuatoriano, al suspender de facto su ingreso durante el período de vigencia de la medida. Asimismo, se advierte que dicha medida dificultó el acceso de estos productos al mercado de la República de Colombia, en la medida en que encareció o hizo más onerosas las operaciones comerciales, afectando el flujo normal del comercio intracomunitario andino.</w:t>
      </w:r>
    </w:p>
    <w:p>
      <w:pPr>
        <w:pStyle w:val="Heading6"/>
        <w:numPr>
          <w:ilvl w:val="0"/>
          <w:numId w:val="108"/>
        </w:numPr>
        <w:tabs>
          <w:tab w:pos="1420" w:val="left" w:leader="none"/>
        </w:tabs>
        <w:spacing w:line="240" w:lineRule="auto" w:before="185" w:after="0"/>
        <w:ind w:left="1420" w:right="0" w:hanging="360"/>
        <w:jc w:val="left"/>
      </w:pPr>
      <w:r>
        <w:rPr/>
        <w:t>Restricción</w:t>
      </w:r>
      <w:r>
        <w:rPr>
          <w:spacing w:val="-4"/>
        </w:rPr>
        <w:t> </w:t>
      </w:r>
      <w:r>
        <w:rPr/>
        <w:t>al</w:t>
      </w:r>
      <w:r>
        <w:rPr>
          <w:spacing w:val="-5"/>
        </w:rPr>
        <w:t> </w:t>
      </w:r>
      <w:r>
        <w:rPr/>
        <w:t>ingreso</w:t>
      </w:r>
      <w:r>
        <w:rPr>
          <w:spacing w:val="-9"/>
        </w:rPr>
        <w:t> </w:t>
      </w:r>
      <w:r>
        <w:rPr/>
        <w:t>de</w:t>
      </w:r>
      <w:r>
        <w:rPr>
          <w:spacing w:val="-4"/>
        </w:rPr>
        <w:t> </w:t>
      </w:r>
      <w:r>
        <w:rPr/>
        <w:t>productos</w:t>
      </w:r>
      <w:r>
        <w:rPr>
          <w:spacing w:val="-6"/>
        </w:rPr>
        <w:t> </w:t>
      </w:r>
      <w:r>
        <w:rPr>
          <w:spacing w:val="-2"/>
        </w:rPr>
        <w:t>pesqueros</w:t>
      </w:r>
    </w:p>
    <w:p>
      <w:pPr>
        <w:pStyle w:val="ListParagraph"/>
        <w:numPr>
          <w:ilvl w:val="0"/>
          <w:numId w:val="50"/>
        </w:numPr>
        <w:tabs>
          <w:tab w:pos="1130" w:val="left" w:leader="none"/>
          <w:tab w:pos="1134" w:val="left" w:leader="none"/>
        </w:tabs>
        <w:spacing w:line="240" w:lineRule="auto" w:before="250" w:after="0"/>
        <w:ind w:left="1134" w:right="981" w:hanging="567"/>
        <w:jc w:val="both"/>
        <w:rPr>
          <w:sz w:val="22"/>
        </w:rPr>
      </w:pPr>
      <w:r>
        <w:rPr>
          <w:sz w:val="22"/>
        </w:rPr>
        <w:t>Los productos denominados como pesqueros, de acuerdo con el Decreto 0170, comprenden un total de 6 subpartidas arancelarias y, según la Tabla No. 19, corresponden a material bilógico, truchas, camarones, langostinos.</w:t>
      </w:r>
    </w:p>
    <w:p>
      <w:pPr>
        <w:pStyle w:val="BodyText"/>
      </w:pPr>
    </w:p>
    <w:p>
      <w:pPr>
        <w:pStyle w:val="Heading6"/>
        <w:spacing w:line="252" w:lineRule="exact" w:before="1"/>
        <w:ind w:left="15"/>
        <w:jc w:val="center"/>
      </w:pPr>
      <w:r>
        <w:rPr/>
        <w:t>Tabla</w:t>
      </w:r>
      <w:r>
        <w:rPr>
          <w:spacing w:val="-2"/>
        </w:rPr>
        <w:t> </w:t>
      </w:r>
      <w:r>
        <w:rPr/>
        <w:t>No.</w:t>
      </w:r>
      <w:r>
        <w:rPr>
          <w:spacing w:val="-2"/>
        </w:rPr>
        <w:t> </w:t>
      </w:r>
      <w:r>
        <w:rPr>
          <w:spacing w:val="-5"/>
        </w:rPr>
        <w:t>19</w:t>
      </w:r>
    </w:p>
    <w:p>
      <w:pPr>
        <w:spacing w:line="252" w:lineRule="exact" w:before="0"/>
        <w:ind w:left="13" w:right="0" w:firstLine="0"/>
        <w:jc w:val="center"/>
        <w:rPr>
          <w:rFonts w:ascii="Arial" w:hAnsi="Arial"/>
          <w:b/>
          <w:sz w:val="22"/>
        </w:rPr>
      </w:pPr>
      <w:r>
        <w:rPr>
          <w:rFonts w:ascii="Arial" w:hAnsi="Arial"/>
          <w:b/>
          <w:sz w:val="22"/>
        </w:rPr>
        <w:t>Productos</w:t>
      </w:r>
      <w:r>
        <w:rPr>
          <w:rFonts w:ascii="Arial" w:hAnsi="Arial"/>
          <w:b/>
          <w:spacing w:val="-7"/>
          <w:sz w:val="22"/>
        </w:rPr>
        <w:t> </w:t>
      </w:r>
      <w:r>
        <w:rPr>
          <w:rFonts w:ascii="Arial" w:hAnsi="Arial"/>
          <w:b/>
          <w:sz w:val="22"/>
        </w:rPr>
        <w:t>pesqueros</w:t>
      </w:r>
      <w:r>
        <w:rPr>
          <w:rFonts w:ascii="Arial" w:hAnsi="Arial"/>
          <w:b/>
          <w:spacing w:val="-5"/>
          <w:sz w:val="22"/>
        </w:rPr>
        <w:t> </w:t>
      </w:r>
      <w:r>
        <w:rPr>
          <w:rFonts w:ascii="Arial" w:hAnsi="Arial"/>
          <w:b/>
          <w:sz w:val="22"/>
        </w:rPr>
        <w:t>según</w:t>
      </w:r>
      <w:r>
        <w:rPr>
          <w:rFonts w:ascii="Arial" w:hAnsi="Arial"/>
          <w:b/>
          <w:spacing w:val="-4"/>
          <w:sz w:val="22"/>
        </w:rPr>
        <w:t> </w:t>
      </w:r>
      <w:r>
        <w:rPr>
          <w:rFonts w:ascii="Arial" w:hAnsi="Arial"/>
          <w:b/>
          <w:sz w:val="22"/>
        </w:rPr>
        <w:t>Decreto</w:t>
      </w:r>
      <w:r>
        <w:rPr>
          <w:rFonts w:ascii="Arial" w:hAnsi="Arial"/>
          <w:b/>
          <w:spacing w:val="-7"/>
          <w:sz w:val="22"/>
        </w:rPr>
        <w:t> </w:t>
      </w:r>
      <w:r>
        <w:rPr>
          <w:rFonts w:ascii="Arial" w:hAnsi="Arial"/>
          <w:b/>
          <w:sz w:val="22"/>
        </w:rPr>
        <w:t>0170</w:t>
      </w:r>
      <w:r>
        <w:rPr>
          <w:rFonts w:ascii="Arial" w:hAnsi="Arial"/>
          <w:b/>
          <w:spacing w:val="-4"/>
          <w:sz w:val="22"/>
        </w:rPr>
        <w:t> </w:t>
      </w:r>
      <w:r>
        <w:rPr>
          <w:rFonts w:ascii="Arial" w:hAnsi="Arial"/>
          <w:b/>
          <w:sz w:val="22"/>
        </w:rPr>
        <w:t>de</w:t>
      </w:r>
      <w:r>
        <w:rPr>
          <w:rFonts w:ascii="Arial" w:hAnsi="Arial"/>
          <w:b/>
          <w:spacing w:val="-9"/>
          <w:sz w:val="22"/>
        </w:rPr>
        <w:t> </w:t>
      </w:r>
      <w:r>
        <w:rPr>
          <w:rFonts w:ascii="Arial" w:hAnsi="Arial"/>
          <w:b/>
          <w:spacing w:val="-4"/>
          <w:sz w:val="22"/>
        </w:rPr>
        <w:t>2026</w:t>
      </w:r>
    </w:p>
    <w:tbl>
      <w:tblPr>
        <w:tblW w:w="0" w:type="auto"/>
        <w:jc w:val="left"/>
        <w:tblInd w:w="1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21"/>
        <w:gridCol w:w="4398"/>
        <w:gridCol w:w="2128"/>
      </w:tblGrid>
      <w:tr>
        <w:trPr>
          <w:trHeight w:val="208" w:hRule="atLeast"/>
        </w:trPr>
        <w:tc>
          <w:tcPr>
            <w:tcW w:w="1321" w:type="dxa"/>
            <w:shd w:val="clear" w:color="auto" w:fill="E8E8E8"/>
          </w:tcPr>
          <w:p>
            <w:pPr>
              <w:pStyle w:val="TableParagraph"/>
              <w:spacing w:line="187" w:lineRule="exact" w:before="1"/>
              <w:ind w:right="180"/>
              <w:jc w:val="right"/>
              <w:rPr>
                <w:rFonts w:ascii="Arial"/>
                <w:b/>
                <w:sz w:val="18"/>
              </w:rPr>
            </w:pPr>
            <w:r>
              <w:rPr>
                <w:rFonts w:ascii="Arial"/>
                <w:b/>
                <w:spacing w:val="-2"/>
                <w:sz w:val="18"/>
              </w:rPr>
              <w:t>Subpartida</w:t>
            </w:r>
          </w:p>
        </w:tc>
        <w:tc>
          <w:tcPr>
            <w:tcW w:w="4398" w:type="dxa"/>
            <w:shd w:val="clear" w:color="auto" w:fill="E8E8E8"/>
          </w:tcPr>
          <w:p>
            <w:pPr>
              <w:pStyle w:val="TableParagraph"/>
              <w:spacing w:line="187" w:lineRule="exact" w:before="1"/>
              <w:ind w:left="1"/>
              <w:jc w:val="center"/>
              <w:rPr>
                <w:rFonts w:ascii="Arial" w:hAnsi="Arial"/>
                <w:b/>
                <w:sz w:val="18"/>
              </w:rPr>
            </w:pPr>
            <w:r>
              <w:rPr>
                <w:rFonts w:ascii="Arial" w:hAnsi="Arial"/>
                <w:b/>
                <w:spacing w:val="-2"/>
                <w:sz w:val="18"/>
              </w:rPr>
              <w:t>Descripción</w:t>
            </w:r>
          </w:p>
        </w:tc>
        <w:tc>
          <w:tcPr>
            <w:tcW w:w="2128" w:type="dxa"/>
            <w:shd w:val="clear" w:color="auto" w:fill="E8E8E8"/>
          </w:tcPr>
          <w:p>
            <w:pPr>
              <w:pStyle w:val="TableParagraph"/>
              <w:spacing w:line="187" w:lineRule="exact" w:before="1"/>
              <w:ind w:left="157"/>
              <w:rPr>
                <w:rFonts w:ascii="Arial"/>
                <w:b/>
                <w:sz w:val="18"/>
              </w:rPr>
            </w:pPr>
            <w:r>
              <w:rPr>
                <w:rFonts w:ascii="Arial"/>
                <w:b/>
                <w:sz w:val="18"/>
              </w:rPr>
              <w:t>Producto </w:t>
            </w:r>
            <w:r>
              <w:rPr>
                <w:rFonts w:ascii="Arial"/>
                <w:b/>
                <w:spacing w:val="-2"/>
                <w:sz w:val="18"/>
              </w:rPr>
              <w:t>Referencial</w:t>
            </w:r>
          </w:p>
        </w:tc>
      </w:tr>
      <w:tr>
        <w:trPr>
          <w:trHeight w:val="206" w:hRule="atLeast"/>
        </w:trPr>
        <w:tc>
          <w:tcPr>
            <w:tcW w:w="1321" w:type="dxa"/>
          </w:tcPr>
          <w:p>
            <w:pPr>
              <w:pStyle w:val="TableParagraph"/>
              <w:spacing w:line="186" w:lineRule="exact"/>
              <w:ind w:right="199"/>
              <w:jc w:val="right"/>
              <w:rPr>
                <w:rFonts w:ascii="Arial"/>
                <w:b/>
                <w:sz w:val="18"/>
              </w:rPr>
            </w:pPr>
            <w:r>
              <w:rPr>
                <w:rFonts w:ascii="Arial"/>
                <w:b/>
                <w:spacing w:val="-2"/>
                <w:sz w:val="18"/>
              </w:rPr>
              <w:t>0301190000</w:t>
            </w:r>
          </w:p>
        </w:tc>
        <w:tc>
          <w:tcPr>
            <w:tcW w:w="4398" w:type="dxa"/>
          </w:tcPr>
          <w:p>
            <w:pPr>
              <w:pStyle w:val="TableParagraph"/>
              <w:spacing w:line="186" w:lineRule="exact"/>
              <w:ind w:left="105"/>
              <w:rPr>
                <w:sz w:val="18"/>
              </w:rPr>
            </w:pPr>
            <w:r>
              <w:rPr>
                <w:sz w:val="18"/>
              </w:rPr>
              <w:t>-</w:t>
            </w:r>
            <w:r>
              <w:rPr>
                <w:spacing w:val="-2"/>
                <w:sz w:val="18"/>
              </w:rPr>
              <w:t> </w:t>
            </w:r>
            <w:r>
              <w:rPr>
                <w:sz w:val="18"/>
              </w:rPr>
              <w:t>- Los</w:t>
            </w:r>
            <w:r>
              <w:rPr>
                <w:spacing w:val="-2"/>
                <w:sz w:val="18"/>
              </w:rPr>
              <w:t> demás</w:t>
            </w:r>
          </w:p>
        </w:tc>
        <w:tc>
          <w:tcPr>
            <w:tcW w:w="2128" w:type="dxa"/>
          </w:tcPr>
          <w:p>
            <w:pPr>
              <w:pStyle w:val="TableParagraph"/>
              <w:spacing w:line="186" w:lineRule="exact"/>
              <w:ind w:left="106"/>
              <w:rPr>
                <w:sz w:val="18"/>
              </w:rPr>
            </w:pPr>
            <w:r>
              <w:rPr>
                <w:sz w:val="18"/>
              </w:rPr>
              <w:t>Peces</w:t>
            </w:r>
            <w:r>
              <w:rPr>
                <w:spacing w:val="-1"/>
                <w:sz w:val="18"/>
              </w:rPr>
              <w:t> </w:t>
            </w:r>
            <w:r>
              <w:rPr>
                <w:spacing w:val="-2"/>
                <w:sz w:val="18"/>
              </w:rPr>
              <w:t>ornamentales</w:t>
            </w:r>
          </w:p>
        </w:tc>
      </w:tr>
      <w:tr>
        <w:trPr>
          <w:trHeight w:val="208" w:hRule="atLeast"/>
        </w:trPr>
        <w:tc>
          <w:tcPr>
            <w:tcW w:w="1321" w:type="dxa"/>
          </w:tcPr>
          <w:p>
            <w:pPr>
              <w:pStyle w:val="TableParagraph"/>
              <w:spacing w:line="188" w:lineRule="exact"/>
              <w:ind w:right="199"/>
              <w:jc w:val="right"/>
              <w:rPr>
                <w:rFonts w:ascii="Arial"/>
                <w:b/>
                <w:sz w:val="18"/>
              </w:rPr>
            </w:pPr>
            <w:r>
              <w:rPr>
                <w:rFonts w:ascii="Arial"/>
                <w:b/>
                <w:spacing w:val="-2"/>
                <w:sz w:val="18"/>
              </w:rPr>
              <w:t>0301911000</w:t>
            </w:r>
          </w:p>
        </w:tc>
        <w:tc>
          <w:tcPr>
            <w:tcW w:w="4398" w:type="dxa"/>
          </w:tcPr>
          <w:p>
            <w:pPr>
              <w:pStyle w:val="TableParagraph"/>
              <w:spacing w:line="188" w:lineRule="exact"/>
              <w:ind w:left="105"/>
              <w:rPr>
                <w:sz w:val="18"/>
              </w:rPr>
            </w:pPr>
            <w:r>
              <w:rPr>
                <w:sz w:val="18"/>
              </w:rPr>
              <w:t>-</w:t>
            </w:r>
            <w:r>
              <w:rPr>
                <w:spacing w:val="-2"/>
                <w:sz w:val="18"/>
              </w:rPr>
              <w:t> </w:t>
            </w:r>
            <w:r>
              <w:rPr>
                <w:sz w:val="18"/>
              </w:rPr>
              <w:t>-</w:t>
            </w:r>
            <w:r>
              <w:rPr>
                <w:spacing w:val="-1"/>
                <w:sz w:val="18"/>
              </w:rPr>
              <w:t> </w:t>
            </w:r>
            <w:r>
              <w:rPr>
                <w:sz w:val="18"/>
              </w:rPr>
              <w:t>-</w:t>
            </w:r>
            <w:r>
              <w:rPr>
                <w:spacing w:val="-2"/>
                <w:sz w:val="18"/>
              </w:rPr>
              <w:t> </w:t>
            </w:r>
            <w:r>
              <w:rPr>
                <w:sz w:val="18"/>
              </w:rPr>
              <w:t>Para</w:t>
            </w:r>
            <w:r>
              <w:rPr>
                <w:spacing w:val="-1"/>
                <w:sz w:val="18"/>
              </w:rPr>
              <w:t> </w:t>
            </w:r>
            <w:r>
              <w:rPr>
                <w:sz w:val="18"/>
              </w:rPr>
              <w:t>reproducción</w:t>
            </w:r>
            <w:r>
              <w:rPr>
                <w:spacing w:val="-2"/>
                <w:sz w:val="18"/>
              </w:rPr>
              <w:t> </w:t>
            </w:r>
            <w:r>
              <w:rPr>
                <w:sz w:val="18"/>
              </w:rPr>
              <w:t>o</w:t>
            </w:r>
            <w:r>
              <w:rPr>
                <w:spacing w:val="-3"/>
                <w:sz w:val="18"/>
              </w:rPr>
              <w:t> </w:t>
            </w:r>
            <w:r>
              <w:rPr>
                <w:sz w:val="18"/>
              </w:rPr>
              <w:t>cria</w:t>
            </w:r>
            <w:r>
              <w:rPr>
                <w:spacing w:val="-3"/>
                <w:sz w:val="18"/>
              </w:rPr>
              <w:t> </w:t>
            </w:r>
            <w:r>
              <w:rPr>
                <w:spacing w:val="-2"/>
                <w:sz w:val="18"/>
              </w:rPr>
              <w:t>industrial</w:t>
            </w:r>
          </w:p>
        </w:tc>
        <w:tc>
          <w:tcPr>
            <w:tcW w:w="2128" w:type="dxa"/>
          </w:tcPr>
          <w:p>
            <w:pPr>
              <w:pStyle w:val="TableParagraph"/>
              <w:spacing w:line="188" w:lineRule="exact"/>
              <w:ind w:left="106"/>
              <w:rPr>
                <w:sz w:val="18"/>
              </w:rPr>
            </w:pPr>
            <w:r>
              <w:rPr>
                <w:spacing w:val="-2"/>
                <w:sz w:val="18"/>
              </w:rPr>
              <w:t>Truchas</w:t>
            </w:r>
          </w:p>
        </w:tc>
      </w:tr>
      <w:tr>
        <w:trPr>
          <w:trHeight w:val="205" w:hRule="atLeast"/>
        </w:trPr>
        <w:tc>
          <w:tcPr>
            <w:tcW w:w="1321" w:type="dxa"/>
          </w:tcPr>
          <w:p>
            <w:pPr>
              <w:pStyle w:val="TableParagraph"/>
              <w:spacing w:line="186" w:lineRule="exact"/>
              <w:ind w:right="199"/>
              <w:jc w:val="right"/>
              <w:rPr>
                <w:rFonts w:ascii="Arial"/>
                <w:b/>
                <w:sz w:val="18"/>
              </w:rPr>
            </w:pPr>
            <w:r>
              <w:rPr>
                <w:rFonts w:ascii="Arial"/>
                <w:b/>
                <w:spacing w:val="-2"/>
                <w:sz w:val="18"/>
              </w:rPr>
              <w:t>0303910000</w:t>
            </w:r>
          </w:p>
        </w:tc>
        <w:tc>
          <w:tcPr>
            <w:tcW w:w="4398" w:type="dxa"/>
          </w:tcPr>
          <w:p>
            <w:pPr>
              <w:pStyle w:val="TableParagraph"/>
              <w:spacing w:line="186" w:lineRule="exact"/>
              <w:ind w:left="105"/>
              <w:rPr>
                <w:sz w:val="18"/>
              </w:rPr>
            </w:pPr>
            <w:r>
              <w:rPr>
                <w:sz w:val="18"/>
              </w:rPr>
              <w:t>-</w:t>
            </w:r>
            <w:r>
              <w:rPr>
                <w:spacing w:val="-1"/>
                <w:sz w:val="18"/>
              </w:rPr>
              <w:t> </w:t>
            </w:r>
            <w:r>
              <w:rPr>
                <w:sz w:val="18"/>
              </w:rPr>
              <w:t>-</w:t>
            </w:r>
            <w:r>
              <w:rPr>
                <w:spacing w:val="-1"/>
                <w:sz w:val="18"/>
              </w:rPr>
              <w:t> </w:t>
            </w:r>
            <w:r>
              <w:rPr>
                <w:sz w:val="18"/>
              </w:rPr>
              <w:t>Hígados,</w:t>
            </w:r>
            <w:r>
              <w:rPr>
                <w:spacing w:val="-3"/>
                <w:sz w:val="18"/>
              </w:rPr>
              <w:t> </w:t>
            </w:r>
            <w:r>
              <w:rPr>
                <w:sz w:val="18"/>
              </w:rPr>
              <w:t>huevas</w:t>
            </w:r>
            <w:r>
              <w:rPr>
                <w:spacing w:val="-3"/>
                <w:sz w:val="18"/>
              </w:rPr>
              <w:t> </w:t>
            </w:r>
            <w:r>
              <w:rPr>
                <w:sz w:val="18"/>
              </w:rPr>
              <w:t>y</w:t>
            </w:r>
            <w:r>
              <w:rPr>
                <w:spacing w:val="-1"/>
                <w:sz w:val="18"/>
              </w:rPr>
              <w:t> </w:t>
            </w:r>
            <w:r>
              <w:rPr>
                <w:spacing w:val="-2"/>
                <w:sz w:val="18"/>
              </w:rPr>
              <w:t>lechas</w:t>
            </w:r>
          </w:p>
        </w:tc>
        <w:tc>
          <w:tcPr>
            <w:tcW w:w="2128" w:type="dxa"/>
          </w:tcPr>
          <w:p>
            <w:pPr>
              <w:pStyle w:val="TableParagraph"/>
              <w:spacing w:line="186" w:lineRule="exact"/>
              <w:ind w:left="106"/>
              <w:rPr>
                <w:sz w:val="18"/>
              </w:rPr>
            </w:pPr>
            <w:r>
              <w:rPr>
                <w:spacing w:val="-2"/>
                <w:sz w:val="18"/>
              </w:rPr>
              <w:t>Peces</w:t>
            </w:r>
          </w:p>
        </w:tc>
      </w:tr>
      <w:tr>
        <w:trPr>
          <w:trHeight w:val="208" w:hRule="atLeast"/>
        </w:trPr>
        <w:tc>
          <w:tcPr>
            <w:tcW w:w="1321" w:type="dxa"/>
          </w:tcPr>
          <w:p>
            <w:pPr>
              <w:pStyle w:val="TableParagraph"/>
              <w:spacing w:line="189" w:lineRule="exact"/>
              <w:ind w:right="199"/>
              <w:jc w:val="right"/>
              <w:rPr>
                <w:rFonts w:ascii="Arial"/>
                <w:b/>
                <w:sz w:val="18"/>
              </w:rPr>
            </w:pPr>
            <w:r>
              <w:rPr>
                <w:rFonts w:ascii="Arial"/>
                <w:b/>
                <w:spacing w:val="-2"/>
                <w:sz w:val="18"/>
              </w:rPr>
              <w:t>0305720000</w:t>
            </w:r>
          </w:p>
        </w:tc>
        <w:tc>
          <w:tcPr>
            <w:tcW w:w="4398" w:type="dxa"/>
          </w:tcPr>
          <w:p>
            <w:pPr>
              <w:pStyle w:val="TableParagraph"/>
              <w:spacing w:line="189" w:lineRule="exact"/>
              <w:ind w:left="105"/>
              <w:rPr>
                <w:sz w:val="18"/>
              </w:rPr>
            </w:pPr>
            <w:r>
              <w:rPr>
                <w:sz w:val="18"/>
              </w:rPr>
              <w:t>-</w:t>
            </w:r>
            <w:r>
              <w:rPr>
                <w:spacing w:val="-3"/>
                <w:sz w:val="18"/>
              </w:rPr>
              <w:t> </w:t>
            </w:r>
            <w:r>
              <w:rPr>
                <w:sz w:val="18"/>
              </w:rPr>
              <w:t>-</w:t>
            </w:r>
            <w:r>
              <w:rPr>
                <w:spacing w:val="-2"/>
                <w:sz w:val="18"/>
              </w:rPr>
              <w:t> </w:t>
            </w:r>
            <w:r>
              <w:rPr>
                <w:sz w:val="18"/>
              </w:rPr>
              <w:t>Cabezas,</w:t>
            </w:r>
            <w:r>
              <w:rPr>
                <w:spacing w:val="-3"/>
                <w:sz w:val="18"/>
              </w:rPr>
              <w:t> </w:t>
            </w:r>
            <w:r>
              <w:rPr>
                <w:sz w:val="18"/>
              </w:rPr>
              <w:t>colas</w:t>
            </w:r>
            <w:r>
              <w:rPr>
                <w:spacing w:val="-2"/>
                <w:sz w:val="18"/>
              </w:rPr>
              <w:t> </w:t>
            </w:r>
            <w:r>
              <w:rPr>
                <w:sz w:val="18"/>
              </w:rPr>
              <w:t>y</w:t>
            </w:r>
            <w:r>
              <w:rPr>
                <w:spacing w:val="-2"/>
                <w:sz w:val="18"/>
              </w:rPr>
              <w:t> </w:t>
            </w:r>
            <w:r>
              <w:rPr>
                <w:sz w:val="18"/>
              </w:rPr>
              <w:t>vejigas</w:t>
            </w:r>
            <w:r>
              <w:rPr>
                <w:spacing w:val="-2"/>
                <w:sz w:val="18"/>
              </w:rPr>
              <w:t> </w:t>
            </w:r>
            <w:r>
              <w:rPr>
                <w:sz w:val="18"/>
              </w:rPr>
              <w:t>natatorias,</w:t>
            </w:r>
            <w:r>
              <w:rPr>
                <w:spacing w:val="-3"/>
                <w:sz w:val="18"/>
              </w:rPr>
              <w:t> </w:t>
            </w:r>
            <w:r>
              <w:rPr>
                <w:sz w:val="18"/>
              </w:rPr>
              <w:t>de</w:t>
            </w:r>
            <w:r>
              <w:rPr>
                <w:spacing w:val="-2"/>
                <w:sz w:val="18"/>
              </w:rPr>
              <w:t> pescado</w:t>
            </w:r>
          </w:p>
        </w:tc>
        <w:tc>
          <w:tcPr>
            <w:tcW w:w="2128" w:type="dxa"/>
          </w:tcPr>
          <w:p>
            <w:pPr>
              <w:pStyle w:val="TableParagraph"/>
              <w:spacing w:line="189" w:lineRule="exact"/>
              <w:ind w:left="106"/>
              <w:rPr>
                <w:sz w:val="18"/>
              </w:rPr>
            </w:pPr>
            <w:r>
              <w:rPr>
                <w:sz w:val="18"/>
              </w:rPr>
              <w:t>Cabezas</w:t>
            </w:r>
            <w:r>
              <w:rPr>
                <w:spacing w:val="-2"/>
                <w:sz w:val="18"/>
              </w:rPr>
              <w:t> </w:t>
            </w:r>
            <w:r>
              <w:rPr>
                <w:sz w:val="18"/>
              </w:rPr>
              <w:t>de</w:t>
            </w:r>
            <w:r>
              <w:rPr>
                <w:spacing w:val="-2"/>
                <w:sz w:val="18"/>
              </w:rPr>
              <w:t> pescado</w:t>
            </w:r>
          </w:p>
        </w:tc>
      </w:tr>
      <w:tr>
        <w:trPr>
          <w:trHeight w:val="206" w:hRule="atLeast"/>
        </w:trPr>
        <w:tc>
          <w:tcPr>
            <w:tcW w:w="1321" w:type="dxa"/>
          </w:tcPr>
          <w:p>
            <w:pPr>
              <w:pStyle w:val="TableParagraph"/>
              <w:spacing w:line="186" w:lineRule="exact"/>
              <w:ind w:right="199"/>
              <w:jc w:val="right"/>
              <w:rPr>
                <w:rFonts w:ascii="Arial"/>
                <w:b/>
                <w:sz w:val="18"/>
              </w:rPr>
            </w:pPr>
            <w:r>
              <w:rPr>
                <w:rFonts w:ascii="Arial"/>
                <w:b/>
                <w:spacing w:val="-2"/>
                <w:sz w:val="18"/>
              </w:rPr>
              <w:t>0306171900</w:t>
            </w:r>
          </w:p>
        </w:tc>
        <w:tc>
          <w:tcPr>
            <w:tcW w:w="4398" w:type="dxa"/>
          </w:tcPr>
          <w:p>
            <w:pPr>
              <w:pStyle w:val="TableParagraph"/>
              <w:spacing w:line="186" w:lineRule="exact"/>
              <w:ind w:left="105"/>
              <w:rPr>
                <w:sz w:val="18"/>
              </w:rPr>
            </w:pPr>
            <w:r>
              <w:rPr>
                <w:sz w:val="18"/>
              </w:rPr>
              <w:t>-</w:t>
            </w:r>
            <w:r>
              <w:rPr>
                <w:spacing w:val="-1"/>
                <w:sz w:val="18"/>
              </w:rPr>
              <w:t> </w:t>
            </w:r>
            <w:r>
              <w:rPr>
                <w:sz w:val="18"/>
              </w:rPr>
              <w:t>- -</w:t>
            </w:r>
            <w:r>
              <w:rPr>
                <w:spacing w:val="-1"/>
                <w:sz w:val="18"/>
              </w:rPr>
              <w:t> </w:t>
            </w:r>
            <w:r>
              <w:rPr>
                <w:sz w:val="18"/>
              </w:rPr>
              <w:t>- Los</w:t>
            </w:r>
            <w:r>
              <w:rPr>
                <w:spacing w:val="1"/>
                <w:sz w:val="18"/>
              </w:rPr>
              <w:t> </w:t>
            </w:r>
            <w:r>
              <w:rPr>
                <w:spacing w:val="-2"/>
                <w:sz w:val="18"/>
              </w:rPr>
              <w:t>demás</w:t>
            </w:r>
          </w:p>
        </w:tc>
        <w:tc>
          <w:tcPr>
            <w:tcW w:w="2128" w:type="dxa"/>
          </w:tcPr>
          <w:p>
            <w:pPr>
              <w:pStyle w:val="TableParagraph"/>
              <w:spacing w:line="186" w:lineRule="exact"/>
              <w:ind w:left="106"/>
              <w:rPr>
                <w:sz w:val="18"/>
              </w:rPr>
            </w:pPr>
            <w:r>
              <w:rPr>
                <w:spacing w:val="-2"/>
                <w:sz w:val="18"/>
              </w:rPr>
              <w:t>Langostinos</w:t>
            </w:r>
          </w:p>
        </w:tc>
      </w:tr>
      <w:tr>
        <w:trPr>
          <w:trHeight w:val="205" w:hRule="atLeast"/>
        </w:trPr>
        <w:tc>
          <w:tcPr>
            <w:tcW w:w="1321" w:type="dxa"/>
          </w:tcPr>
          <w:p>
            <w:pPr>
              <w:pStyle w:val="TableParagraph"/>
              <w:spacing w:line="186" w:lineRule="exact"/>
              <w:ind w:right="199"/>
              <w:jc w:val="right"/>
              <w:rPr>
                <w:rFonts w:ascii="Arial"/>
                <w:b/>
                <w:sz w:val="18"/>
              </w:rPr>
            </w:pPr>
            <w:r>
              <w:rPr>
                <w:rFonts w:ascii="Arial"/>
                <w:b/>
                <w:spacing w:val="-2"/>
                <w:sz w:val="18"/>
              </w:rPr>
              <w:t>0306179900</w:t>
            </w:r>
          </w:p>
        </w:tc>
        <w:tc>
          <w:tcPr>
            <w:tcW w:w="4398" w:type="dxa"/>
          </w:tcPr>
          <w:p>
            <w:pPr>
              <w:pStyle w:val="TableParagraph"/>
              <w:spacing w:line="186" w:lineRule="exact"/>
              <w:ind w:left="105"/>
              <w:rPr>
                <w:sz w:val="18"/>
              </w:rPr>
            </w:pPr>
            <w:r>
              <w:rPr>
                <w:sz w:val="18"/>
              </w:rPr>
              <w:t>-</w:t>
            </w:r>
            <w:r>
              <w:rPr>
                <w:spacing w:val="-1"/>
                <w:sz w:val="18"/>
              </w:rPr>
              <w:t> </w:t>
            </w:r>
            <w:r>
              <w:rPr>
                <w:sz w:val="18"/>
              </w:rPr>
              <w:t>- -</w:t>
            </w:r>
            <w:r>
              <w:rPr>
                <w:spacing w:val="-1"/>
                <w:sz w:val="18"/>
              </w:rPr>
              <w:t> </w:t>
            </w:r>
            <w:r>
              <w:rPr>
                <w:sz w:val="18"/>
              </w:rPr>
              <w:t>- Los</w:t>
            </w:r>
            <w:r>
              <w:rPr>
                <w:spacing w:val="1"/>
                <w:sz w:val="18"/>
              </w:rPr>
              <w:t> </w:t>
            </w:r>
            <w:r>
              <w:rPr>
                <w:spacing w:val="-2"/>
                <w:sz w:val="18"/>
              </w:rPr>
              <w:t>demás</w:t>
            </w:r>
          </w:p>
        </w:tc>
        <w:tc>
          <w:tcPr>
            <w:tcW w:w="2128" w:type="dxa"/>
          </w:tcPr>
          <w:p>
            <w:pPr>
              <w:pStyle w:val="TableParagraph"/>
              <w:spacing w:line="186" w:lineRule="exact"/>
              <w:ind w:left="106"/>
              <w:rPr>
                <w:sz w:val="18"/>
              </w:rPr>
            </w:pPr>
            <w:r>
              <w:rPr>
                <w:spacing w:val="-2"/>
                <w:sz w:val="18"/>
              </w:rPr>
              <w:t>Camarones</w:t>
            </w:r>
          </w:p>
        </w:tc>
      </w:tr>
    </w:tbl>
    <w:p>
      <w:pPr>
        <w:spacing w:before="3"/>
        <w:ind w:left="1276" w:right="0" w:firstLine="0"/>
        <w:jc w:val="left"/>
        <w:rPr>
          <w:rFonts w:ascii="Arial" w:hAnsi="Arial"/>
          <w:b/>
          <w:sz w:val="16"/>
        </w:rPr>
      </w:pPr>
      <w:r>
        <w:rPr>
          <w:rFonts w:ascii="Arial" w:hAnsi="Arial"/>
          <w:b/>
          <w:sz w:val="16"/>
        </w:rPr>
        <w:t>Elaboración:</w:t>
      </w:r>
      <w:r>
        <w:rPr>
          <w:rFonts w:ascii="Arial" w:hAnsi="Arial"/>
          <w:b/>
          <w:spacing w:val="-11"/>
          <w:sz w:val="16"/>
        </w:rPr>
        <w:t> </w:t>
      </w:r>
      <w:r>
        <w:rPr>
          <w:rFonts w:ascii="Arial" w:hAnsi="Arial"/>
          <w:b/>
          <w:spacing w:val="-4"/>
          <w:sz w:val="16"/>
        </w:rPr>
        <w:t>SGCAN</w:t>
      </w:r>
    </w:p>
    <w:p>
      <w:pPr>
        <w:spacing w:after="0"/>
        <w:jc w:val="left"/>
        <w:rPr>
          <w:rFonts w:ascii="Arial" w:hAnsi="Arial"/>
          <w:b/>
          <w:sz w:val="16"/>
        </w:rPr>
        <w:sectPr>
          <w:pgSz w:w="11900" w:h="16850"/>
          <w:pgMar w:header="370" w:footer="651" w:top="1380" w:bottom="840" w:left="992" w:right="283"/>
        </w:sectPr>
      </w:pPr>
    </w:p>
    <w:p>
      <w:pPr>
        <w:pStyle w:val="BodyText"/>
        <w:rPr>
          <w:rFonts w:ascii="Arial"/>
          <w:b/>
        </w:rPr>
      </w:pPr>
    </w:p>
    <w:p>
      <w:pPr>
        <w:pStyle w:val="BodyText"/>
        <w:spacing w:before="177"/>
        <w:rPr>
          <w:rFonts w:ascii="Arial"/>
          <w:b/>
        </w:rPr>
      </w:pPr>
    </w:p>
    <w:p>
      <w:pPr>
        <w:pStyle w:val="ListParagraph"/>
        <w:numPr>
          <w:ilvl w:val="0"/>
          <w:numId w:val="50"/>
        </w:numPr>
        <w:tabs>
          <w:tab w:pos="1130" w:val="left" w:leader="none"/>
          <w:tab w:pos="1134" w:val="left" w:leader="none"/>
        </w:tabs>
        <w:spacing w:line="240" w:lineRule="auto" w:before="1" w:after="0"/>
        <w:ind w:left="1134" w:right="978" w:hanging="567"/>
        <w:jc w:val="both"/>
        <w:rPr>
          <w:rFonts w:ascii="Arial" w:hAnsi="Arial"/>
          <w:i/>
          <w:sz w:val="22"/>
        </w:rPr>
      </w:pPr>
      <w:bookmarkStart w:name="_bookmark178" w:id="176"/>
      <w:bookmarkEnd w:id="176"/>
      <w:r>
        <w:rPr/>
      </w:r>
      <w:r>
        <w:rPr>
          <w:sz w:val="22"/>
        </w:rPr>
        <w:t>Según</w:t>
      </w:r>
      <w:r>
        <w:rPr>
          <w:spacing w:val="-2"/>
          <w:sz w:val="22"/>
        </w:rPr>
        <w:t> </w:t>
      </w:r>
      <w:r>
        <w:rPr>
          <w:sz w:val="22"/>
        </w:rPr>
        <w:t>el</w:t>
      </w:r>
      <w:r>
        <w:rPr>
          <w:spacing w:val="-3"/>
          <w:sz w:val="22"/>
        </w:rPr>
        <w:t> </w:t>
      </w:r>
      <w:r>
        <w:rPr>
          <w:sz w:val="22"/>
        </w:rPr>
        <w:t>Decreto</w:t>
      </w:r>
      <w:r>
        <w:rPr>
          <w:spacing w:val="-4"/>
          <w:sz w:val="22"/>
        </w:rPr>
        <w:t> </w:t>
      </w:r>
      <w:r>
        <w:rPr>
          <w:sz w:val="22"/>
        </w:rPr>
        <w:t>0170,</w:t>
      </w:r>
      <w:r>
        <w:rPr>
          <w:spacing w:val="-5"/>
          <w:sz w:val="22"/>
        </w:rPr>
        <w:t> </w:t>
      </w:r>
      <w:r>
        <w:rPr>
          <w:sz w:val="22"/>
        </w:rPr>
        <w:t>se</w:t>
      </w:r>
      <w:r>
        <w:rPr>
          <w:spacing w:val="-2"/>
          <w:sz w:val="22"/>
        </w:rPr>
        <w:t> </w:t>
      </w:r>
      <w:r>
        <w:rPr>
          <w:sz w:val="22"/>
        </w:rPr>
        <w:t>señala</w:t>
      </w:r>
      <w:r>
        <w:rPr>
          <w:spacing w:val="-2"/>
          <w:sz w:val="22"/>
        </w:rPr>
        <w:t> </w:t>
      </w:r>
      <w:r>
        <w:rPr>
          <w:sz w:val="22"/>
        </w:rPr>
        <w:t>que</w:t>
      </w:r>
      <w:r>
        <w:rPr>
          <w:spacing w:val="-2"/>
          <w:sz w:val="22"/>
        </w:rPr>
        <w:t> </w:t>
      </w:r>
      <w:r>
        <w:rPr>
          <w:sz w:val="22"/>
        </w:rPr>
        <w:t>los</w:t>
      </w:r>
      <w:r>
        <w:rPr>
          <w:spacing w:val="-2"/>
          <w:sz w:val="22"/>
        </w:rPr>
        <w:t> </w:t>
      </w:r>
      <w:r>
        <w:rPr>
          <w:rFonts w:ascii="Arial" w:hAnsi="Arial"/>
          <w:i/>
          <w:sz w:val="22"/>
        </w:rPr>
        <w:t>“productos</w:t>
      </w:r>
      <w:r>
        <w:rPr>
          <w:rFonts w:ascii="Arial" w:hAnsi="Arial"/>
          <w:i/>
          <w:spacing w:val="-2"/>
          <w:sz w:val="22"/>
        </w:rPr>
        <w:t> </w:t>
      </w:r>
      <w:r>
        <w:rPr>
          <w:rFonts w:ascii="Arial" w:hAnsi="Arial"/>
          <w:i/>
          <w:sz w:val="22"/>
        </w:rPr>
        <w:t>pesqueros</w:t>
      </w:r>
      <w:r>
        <w:rPr>
          <w:rFonts w:ascii="Arial" w:hAnsi="Arial"/>
          <w:i/>
          <w:spacing w:val="-4"/>
          <w:sz w:val="22"/>
        </w:rPr>
        <w:t> </w:t>
      </w:r>
      <w:r>
        <w:rPr>
          <w:rFonts w:ascii="Arial" w:hAnsi="Arial"/>
          <w:i/>
          <w:sz w:val="22"/>
        </w:rPr>
        <w:t>congelados</w:t>
      </w:r>
      <w:r>
        <w:rPr>
          <w:rFonts w:ascii="Arial" w:hAnsi="Arial"/>
          <w:i/>
          <w:spacing w:val="-2"/>
          <w:sz w:val="22"/>
        </w:rPr>
        <w:t> </w:t>
      </w:r>
      <w:r>
        <w:rPr>
          <w:rFonts w:ascii="Arial" w:hAnsi="Arial"/>
          <w:i/>
          <w:sz w:val="22"/>
        </w:rPr>
        <w:t>presentan alto valor comercial y alta rentabilidad en mercados informales, lo que incentiva su ingreso irregular. Así mismo, el contrabando de productos pesqueros compromete la trazabilidad, el control de cadena de frío y la protección del consumidor final.”</w:t>
      </w:r>
      <w:hyperlink w:history="true" w:anchor="_bookmark175">
        <w:r>
          <w:rPr>
            <w:rFonts w:ascii="Arial" w:hAnsi="Arial"/>
            <w:i/>
            <w:sz w:val="22"/>
            <w:vertAlign w:val="superscript"/>
          </w:rPr>
          <w:t>108</w:t>
        </w:r>
      </w:hyperlink>
    </w:p>
    <w:p>
      <w:pPr>
        <w:pStyle w:val="ListParagraph"/>
        <w:numPr>
          <w:ilvl w:val="0"/>
          <w:numId w:val="50"/>
        </w:numPr>
        <w:tabs>
          <w:tab w:pos="1130" w:val="left" w:leader="none"/>
          <w:tab w:pos="1134" w:val="left" w:leader="none"/>
        </w:tabs>
        <w:spacing w:line="240" w:lineRule="auto" w:before="253" w:after="0"/>
        <w:ind w:left="1134" w:right="982" w:hanging="567"/>
        <w:jc w:val="both"/>
        <w:rPr>
          <w:sz w:val="22"/>
        </w:rPr>
      </w:pPr>
      <w:r>
        <w:rPr>
          <w:sz w:val="22"/>
        </w:rPr>
        <w:t>En</w:t>
      </w:r>
      <w:r>
        <w:rPr>
          <w:spacing w:val="-14"/>
          <w:sz w:val="22"/>
        </w:rPr>
        <w:t> </w:t>
      </w:r>
      <w:r>
        <w:rPr>
          <w:sz w:val="22"/>
        </w:rPr>
        <w:t>relación</w:t>
      </w:r>
      <w:r>
        <w:rPr>
          <w:spacing w:val="-14"/>
          <w:sz w:val="22"/>
        </w:rPr>
        <w:t> </w:t>
      </w:r>
      <w:r>
        <w:rPr>
          <w:sz w:val="22"/>
        </w:rPr>
        <w:t>con</w:t>
      </w:r>
      <w:r>
        <w:rPr>
          <w:spacing w:val="-14"/>
          <w:sz w:val="22"/>
        </w:rPr>
        <w:t> </w:t>
      </w:r>
      <w:r>
        <w:rPr>
          <w:sz w:val="22"/>
        </w:rPr>
        <w:t>la</w:t>
      </w:r>
      <w:r>
        <w:rPr>
          <w:spacing w:val="-14"/>
          <w:sz w:val="22"/>
        </w:rPr>
        <w:t> </w:t>
      </w:r>
      <w:r>
        <w:rPr>
          <w:sz w:val="22"/>
        </w:rPr>
        <w:t>trucha,</w:t>
      </w:r>
      <w:r>
        <w:rPr>
          <w:spacing w:val="-15"/>
          <w:sz w:val="22"/>
        </w:rPr>
        <w:t> </w:t>
      </w:r>
      <w:r>
        <w:rPr>
          <w:sz w:val="22"/>
        </w:rPr>
        <w:t>se</w:t>
      </w:r>
      <w:r>
        <w:rPr>
          <w:spacing w:val="-14"/>
          <w:sz w:val="22"/>
        </w:rPr>
        <w:t> </w:t>
      </w:r>
      <w:r>
        <w:rPr>
          <w:sz w:val="22"/>
        </w:rPr>
        <w:t>argumenta</w:t>
      </w:r>
      <w:r>
        <w:rPr>
          <w:spacing w:val="-14"/>
          <w:sz w:val="22"/>
        </w:rPr>
        <w:t> </w:t>
      </w:r>
      <w:r>
        <w:rPr>
          <w:sz w:val="22"/>
        </w:rPr>
        <w:t>que</w:t>
      </w:r>
      <w:r>
        <w:rPr>
          <w:spacing w:val="-16"/>
          <w:sz w:val="22"/>
        </w:rPr>
        <w:t> </w:t>
      </w:r>
      <w:r>
        <w:rPr>
          <w:sz w:val="22"/>
        </w:rPr>
        <w:t>su</w:t>
      </w:r>
      <w:r>
        <w:rPr>
          <w:spacing w:val="-13"/>
          <w:sz w:val="22"/>
        </w:rPr>
        <w:t> </w:t>
      </w:r>
      <w:r>
        <w:rPr>
          <w:sz w:val="22"/>
        </w:rPr>
        <w:t>sistema</w:t>
      </w:r>
      <w:r>
        <w:rPr>
          <w:spacing w:val="-13"/>
          <w:sz w:val="22"/>
        </w:rPr>
        <w:t> </w:t>
      </w:r>
      <w:r>
        <w:rPr>
          <w:sz w:val="22"/>
        </w:rPr>
        <w:t>productivo</w:t>
      </w:r>
      <w:r>
        <w:rPr>
          <w:spacing w:val="-14"/>
          <w:sz w:val="22"/>
        </w:rPr>
        <w:t> </w:t>
      </w:r>
      <w:r>
        <w:rPr>
          <w:sz w:val="22"/>
        </w:rPr>
        <w:t>depende</w:t>
      </w:r>
      <w:r>
        <w:rPr>
          <w:spacing w:val="-14"/>
          <w:sz w:val="22"/>
        </w:rPr>
        <w:t> </w:t>
      </w:r>
      <w:r>
        <w:rPr>
          <w:sz w:val="22"/>
        </w:rPr>
        <w:t>en</w:t>
      </w:r>
      <w:r>
        <w:rPr>
          <w:spacing w:val="-14"/>
          <w:sz w:val="22"/>
        </w:rPr>
        <w:t> </w:t>
      </w:r>
      <w:r>
        <w:rPr>
          <w:sz w:val="22"/>
        </w:rPr>
        <w:t>un</w:t>
      </w:r>
      <w:r>
        <w:rPr>
          <w:spacing w:val="-14"/>
          <w:sz w:val="22"/>
        </w:rPr>
        <w:t> </w:t>
      </w:r>
      <w:r>
        <w:rPr>
          <w:sz w:val="22"/>
        </w:rPr>
        <w:t>100% de la importación de ovas embrionadas, principalmente de los Estados Unidos, lo que incrementaría la sensibilidad sanitaria y bioseguridad del sector frente al ingreso irregular de peces vivos</w:t>
      </w:r>
      <w:r>
        <w:rPr>
          <w:spacing w:val="-2"/>
          <w:sz w:val="22"/>
        </w:rPr>
        <w:t> </w:t>
      </w:r>
      <w:r>
        <w:rPr>
          <w:sz w:val="22"/>
        </w:rPr>
        <w:t>o material biológico por frontera terrestre. Sobre esta base, se sostiene que dicha circunstancia justificaría la adopción de medidas restrictivas.</w:t>
      </w:r>
    </w:p>
    <w:p>
      <w:pPr>
        <w:pStyle w:val="ListParagraph"/>
        <w:numPr>
          <w:ilvl w:val="0"/>
          <w:numId w:val="50"/>
        </w:numPr>
        <w:tabs>
          <w:tab w:pos="1130" w:val="left" w:leader="none"/>
          <w:tab w:pos="1134" w:val="left" w:leader="none"/>
        </w:tabs>
        <w:spacing w:line="240" w:lineRule="auto" w:before="252" w:after="0"/>
        <w:ind w:left="1134" w:right="981" w:hanging="567"/>
        <w:jc w:val="both"/>
        <w:rPr>
          <w:sz w:val="22"/>
        </w:rPr>
      </w:pPr>
      <w:r>
        <w:rPr>
          <w:sz w:val="22"/>
        </w:rPr>
        <w:t>Además, se menciona que la producción de trucha enfrentaría una problemática sanitaria principalmente en la laguna de La Cocha, ubicada en el departamento de Nariño, la cual, según se sostiene, estaría asociada a la convergencia del ingreso irregular de material biológico desde la República del Ecuador.</w:t>
      </w:r>
    </w:p>
    <w:p>
      <w:pPr>
        <w:pStyle w:val="BodyText"/>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Respecto</w:t>
      </w:r>
      <w:r>
        <w:rPr>
          <w:spacing w:val="-16"/>
          <w:sz w:val="22"/>
        </w:rPr>
        <w:t> </w:t>
      </w:r>
      <w:r>
        <w:rPr>
          <w:sz w:val="22"/>
        </w:rPr>
        <w:t>al</w:t>
      </w:r>
      <w:r>
        <w:rPr>
          <w:spacing w:val="-15"/>
          <w:sz w:val="22"/>
        </w:rPr>
        <w:t> </w:t>
      </w:r>
      <w:r>
        <w:rPr>
          <w:sz w:val="22"/>
        </w:rPr>
        <w:t>camarón,</w:t>
      </w:r>
      <w:r>
        <w:rPr>
          <w:spacing w:val="-15"/>
          <w:sz w:val="22"/>
        </w:rPr>
        <w:t> </w:t>
      </w:r>
      <w:r>
        <w:rPr>
          <w:sz w:val="22"/>
        </w:rPr>
        <w:t>señalan</w:t>
      </w:r>
      <w:r>
        <w:rPr>
          <w:spacing w:val="-16"/>
          <w:sz w:val="22"/>
        </w:rPr>
        <w:t> </w:t>
      </w:r>
      <w:r>
        <w:rPr>
          <w:sz w:val="22"/>
        </w:rPr>
        <w:t>que</w:t>
      </w:r>
      <w:r>
        <w:rPr>
          <w:spacing w:val="-15"/>
          <w:sz w:val="22"/>
        </w:rPr>
        <w:t> </w:t>
      </w:r>
      <w:r>
        <w:rPr>
          <w:sz w:val="22"/>
        </w:rPr>
        <w:t>representa</w:t>
      </w:r>
      <w:r>
        <w:rPr>
          <w:spacing w:val="-15"/>
          <w:sz w:val="22"/>
        </w:rPr>
        <w:t> </w:t>
      </w:r>
      <w:r>
        <w:rPr>
          <w:sz w:val="22"/>
        </w:rPr>
        <w:t>una</w:t>
      </w:r>
      <w:r>
        <w:rPr>
          <w:spacing w:val="-15"/>
          <w:sz w:val="22"/>
        </w:rPr>
        <w:t> </w:t>
      </w:r>
      <w:r>
        <w:rPr>
          <w:sz w:val="22"/>
        </w:rPr>
        <w:t>actividad</w:t>
      </w:r>
      <w:r>
        <w:rPr>
          <w:spacing w:val="-16"/>
          <w:sz w:val="22"/>
        </w:rPr>
        <w:t> </w:t>
      </w:r>
      <w:r>
        <w:rPr>
          <w:sz w:val="22"/>
        </w:rPr>
        <w:t>estratégica</w:t>
      </w:r>
      <w:r>
        <w:rPr>
          <w:spacing w:val="-15"/>
          <w:sz w:val="22"/>
        </w:rPr>
        <w:t> </w:t>
      </w:r>
      <w:r>
        <w:rPr>
          <w:sz w:val="22"/>
        </w:rPr>
        <w:t>de</w:t>
      </w:r>
      <w:r>
        <w:rPr>
          <w:spacing w:val="-15"/>
          <w:sz w:val="22"/>
        </w:rPr>
        <w:t> </w:t>
      </w:r>
      <w:r>
        <w:rPr>
          <w:sz w:val="22"/>
        </w:rPr>
        <w:t>la</w:t>
      </w:r>
      <w:r>
        <w:rPr>
          <w:spacing w:val="-16"/>
          <w:sz w:val="22"/>
        </w:rPr>
        <w:t> </w:t>
      </w:r>
      <w:r>
        <w:rPr>
          <w:sz w:val="22"/>
        </w:rPr>
        <w:t>acuicultura marina y continental del país. La introducción de camarón y langostino por vías terrestres desde países vecinos sin los debidos controles aduaneros, sanitarios y cadena</w:t>
      </w:r>
      <w:r>
        <w:rPr>
          <w:spacing w:val="-10"/>
          <w:sz w:val="22"/>
        </w:rPr>
        <w:t> </w:t>
      </w:r>
      <w:r>
        <w:rPr>
          <w:sz w:val="22"/>
        </w:rPr>
        <w:t>de</w:t>
      </w:r>
      <w:r>
        <w:rPr>
          <w:spacing w:val="-14"/>
          <w:sz w:val="22"/>
        </w:rPr>
        <w:t> </w:t>
      </w:r>
      <w:r>
        <w:rPr>
          <w:sz w:val="22"/>
        </w:rPr>
        <w:t>frío</w:t>
      </w:r>
      <w:r>
        <w:rPr>
          <w:spacing w:val="-12"/>
          <w:sz w:val="22"/>
        </w:rPr>
        <w:t> </w:t>
      </w:r>
      <w:r>
        <w:rPr>
          <w:sz w:val="22"/>
        </w:rPr>
        <w:t>representaría</w:t>
      </w:r>
      <w:r>
        <w:rPr>
          <w:spacing w:val="-12"/>
          <w:sz w:val="22"/>
        </w:rPr>
        <w:t> </w:t>
      </w:r>
      <w:r>
        <w:rPr>
          <w:sz w:val="22"/>
        </w:rPr>
        <w:t>un</w:t>
      </w:r>
      <w:r>
        <w:rPr>
          <w:spacing w:val="-13"/>
          <w:sz w:val="22"/>
        </w:rPr>
        <w:t> </w:t>
      </w:r>
      <w:r>
        <w:rPr>
          <w:sz w:val="22"/>
        </w:rPr>
        <w:t>riesgo</w:t>
      </w:r>
      <w:r>
        <w:rPr>
          <w:spacing w:val="-12"/>
          <w:sz w:val="22"/>
        </w:rPr>
        <w:t> </w:t>
      </w:r>
      <w:r>
        <w:rPr>
          <w:sz w:val="22"/>
        </w:rPr>
        <w:t>para</w:t>
      </w:r>
      <w:r>
        <w:rPr>
          <w:spacing w:val="-10"/>
          <w:sz w:val="22"/>
        </w:rPr>
        <w:t> </w:t>
      </w:r>
      <w:r>
        <w:rPr>
          <w:sz w:val="22"/>
        </w:rPr>
        <w:t>la</w:t>
      </w:r>
      <w:r>
        <w:rPr>
          <w:spacing w:val="-12"/>
          <w:sz w:val="22"/>
        </w:rPr>
        <w:t> </w:t>
      </w:r>
      <w:r>
        <w:rPr>
          <w:sz w:val="22"/>
        </w:rPr>
        <w:t>estabilidad</w:t>
      </w:r>
      <w:r>
        <w:rPr>
          <w:spacing w:val="-10"/>
          <w:sz w:val="22"/>
        </w:rPr>
        <w:t> </w:t>
      </w:r>
      <w:r>
        <w:rPr>
          <w:sz w:val="22"/>
        </w:rPr>
        <w:t>económica</w:t>
      </w:r>
      <w:r>
        <w:rPr>
          <w:spacing w:val="-10"/>
          <w:sz w:val="22"/>
        </w:rPr>
        <w:t> </w:t>
      </w:r>
      <w:r>
        <w:rPr>
          <w:sz w:val="22"/>
        </w:rPr>
        <w:t>del</w:t>
      </w:r>
      <w:r>
        <w:rPr>
          <w:spacing w:val="-13"/>
          <w:sz w:val="22"/>
        </w:rPr>
        <w:t> </w:t>
      </w:r>
      <w:r>
        <w:rPr>
          <w:sz w:val="22"/>
        </w:rPr>
        <w:t>sector,</w:t>
      </w:r>
      <w:r>
        <w:rPr>
          <w:spacing w:val="-11"/>
          <w:sz w:val="22"/>
        </w:rPr>
        <w:t> </w:t>
      </w:r>
      <w:r>
        <w:rPr>
          <w:sz w:val="22"/>
        </w:rPr>
        <w:t>la</w:t>
      </w:r>
      <w:r>
        <w:rPr>
          <w:spacing w:val="-10"/>
          <w:sz w:val="22"/>
        </w:rPr>
        <w:t> </w:t>
      </w:r>
      <w:r>
        <w:rPr>
          <w:sz w:val="22"/>
        </w:rPr>
        <w:t>salud pública y la sanidad acuícola, al facilitar la circulación de productos sin trazabilidad, potencialmente afectados por enfermedades como el síndrome de la mancha blanca y el</w:t>
      </w:r>
      <w:r>
        <w:rPr>
          <w:spacing w:val="-8"/>
          <w:sz w:val="22"/>
        </w:rPr>
        <w:t> </w:t>
      </w:r>
      <w:r>
        <w:rPr>
          <w:sz w:val="22"/>
        </w:rPr>
        <w:t>virus</w:t>
      </w:r>
      <w:r>
        <w:rPr>
          <w:spacing w:val="-10"/>
          <w:sz w:val="22"/>
        </w:rPr>
        <w:t> </w:t>
      </w:r>
      <w:r>
        <w:rPr>
          <w:sz w:val="22"/>
        </w:rPr>
        <w:t>de</w:t>
      </w:r>
      <w:r>
        <w:rPr>
          <w:spacing w:val="-8"/>
          <w:sz w:val="22"/>
        </w:rPr>
        <w:t> </w:t>
      </w:r>
      <w:r>
        <w:rPr>
          <w:sz w:val="22"/>
        </w:rPr>
        <w:t>la</w:t>
      </w:r>
      <w:r>
        <w:rPr>
          <w:spacing w:val="-10"/>
          <w:sz w:val="22"/>
        </w:rPr>
        <w:t> </w:t>
      </w:r>
      <w:r>
        <w:rPr>
          <w:sz w:val="22"/>
        </w:rPr>
        <w:t>cabeza</w:t>
      </w:r>
      <w:r>
        <w:rPr>
          <w:spacing w:val="-10"/>
          <w:sz w:val="22"/>
        </w:rPr>
        <w:t> </w:t>
      </w:r>
      <w:r>
        <w:rPr>
          <w:sz w:val="22"/>
        </w:rPr>
        <w:t>amarilla.</w:t>
      </w:r>
      <w:r>
        <w:rPr>
          <w:spacing w:val="-6"/>
          <w:sz w:val="22"/>
        </w:rPr>
        <w:t> </w:t>
      </w:r>
      <w:r>
        <w:rPr>
          <w:sz w:val="22"/>
        </w:rPr>
        <w:t>Sobre</w:t>
      </w:r>
      <w:r>
        <w:rPr>
          <w:spacing w:val="-10"/>
          <w:sz w:val="22"/>
        </w:rPr>
        <w:t> </w:t>
      </w:r>
      <w:r>
        <w:rPr>
          <w:sz w:val="22"/>
        </w:rPr>
        <w:t>esta</w:t>
      </w:r>
      <w:r>
        <w:rPr>
          <w:spacing w:val="-9"/>
          <w:sz w:val="22"/>
        </w:rPr>
        <w:t> </w:t>
      </w:r>
      <w:r>
        <w:rPr>
          <w:sz w:val="22"/>
        </w:rPr>
        <w:t>base,</w:t>
      </w:r>
      <w:r>
        <w:rPr>
          <w:spacing w:val="-8"/>
          <w:sz w:val="22"/>
        </w:rPr>
        <w:t> </w:t>
      </w:r>
      <w:r>
        <w:rPr>
          <w:sz w:val="22"/>
        </w:rPr>
        <w:t>se</w:t>
      </w:r>
      <w:r>
        <w:rPr>
          <w:spacing w:val="-7"/>
          <w:sz w:val="22"/>
        </w:rPr>
        <w:t> </w:t>
      </w:r>
      <w:r>
        <w:rPr>
          <w:sz w:val="22"/>
        </w:rPr>
        <w:t>sostiene</w:t>
      </w:r>
      <w:r>
        <w:rPr>
          <w:spacing w:val="-7"/>
          <w:sz w:val="22"/>
        </w:rPr>
        <w:t> </w:t>
      </w:r>
      <w:r>
        <w:rPr>
          <w:sz w:val="22"/>
        </w:rPr>
        <w:t>que</w:t>
      </w:r>
      <w:r>
        <w:rPr>
          <w:spacing w:val="-10"/>
          <w:sz w:val="22"/>
        </w:rPr>
        <w:t> </w:t>
      </w:r>
      <w:r>
        <w:rPr>
          <w:sz w:val="22"/>
        </w:rPr>
        <w:t>dichas</w:t>
      </w:r>
      <w:r>
        <w:rPr>
          <w:spacing w:val="-9"/>
          <w:sz w:val="22"/>
        </w:rPr>
        <w:t> </w:t>
      </w:r>
      <w:r>
        <w:rPr>
          <w:sz w:val="22"/>
        </w:rPr>
        <w:t>consideraciones justificarían la adopción de medidas excepcionales de restricción y control del ingreso.</w:t>
      </w:r>
    </w:p>
    <w:p>
      <w:pPr>
        <w:pStyle w:val="BodyText"/>
        <w:spacing w:before="1"/>
      </w:pPr>
    </w:p>
    <w:p>
      <w:pPr>
        <w:pStyle w:val="Heading6"/>
        <w:numPr>
          <w:ilvl w:val="0"/>
          <w:numId w:val="109"/>
        </w:numPr>
        <w:tabs>
          <w:tab w:pos="1561" w:val="left" w:leader="none"/>
        </w:tabs>
        <w:spacing w:line="240" w:lineRule="auto" w:before="0" w:after="0"/>
        <w:ind w:left="1561" w:right="0" w:hanging="359"/>
        <w:jc w:val="left"/>
      </w:pPr>
      <w:r>
        <w:rPr/>
        <w:t>Argumentos</w:t>
      </w:r>
      <w:r>
        <w:rPr>
          <w:spacing w:val="-6"/>
        </w:rPr>
        <w:t> </w:t>
      </w:r>
      <w:r>
        <w:rPr/>
        <w:t>de</w:t>
      </w:r>
      <w:r>
        <w:rPr>
          <w:spacing w:val="-6"/>
        </w:rPr>
        <w:t> </w:t>
      </w:r>
      <w:r>
        <w:rPr/>
        <w:t>la</w:t>
      </w:r>
      <w:r>
        <w:rPr>
          <w:spacing w:val="-3"/>
        </w:rPr>
        <w:t> </w:t>
      </w:r>
      <w:r>
        <w:rPr/>
        <w:t>República</w:t>
      </w:r>
      <w:r>
        <w:rPr>
          <w:spacing w:val="-6"/>
        </w:rPr>
        <w:t> </w:t>
      </w:r>
      <w:r>
        <w:rPr/>
        <w:t>del</w:t>
      </w:r>
      <w:r>
        <w:rPr>
          <w:spacing w:val="-4"/>
        </w:rPr>
        <w:t> </w:t>
      </w:r>
      <w:r>
        <w:rPr>
          <w:spacing w:val="-2"/>
        </w:rPr>
        <w:t>Ecuador</w:t>
      </w:r>
    </w:p>
    <w:p>
      <w:pPr>
        <w:pStyle w:val="ListParagraph"/>
        <w:numPr>
          <w:ilvl w:val="0"/>
          <w:numId w:val="50"/>
        </w:numPr>
        <w:tabs>
          <w:tab w:pos="1130" w:val="left" w:leader="none"/>
          <w:tab w:pos="1134" w:val="left" w:leader="none"/>
        </w:tabs>
        <w:spacing w:line="240" w:lineRule="auto" w:before="251" w:after="0"/>
        <w:ind w:left="1134" w:right="975" w:hanging="567"/>
        <w:jc w:val="both"/>
        <w:rPr>
          <w:sz w:val="22"/>
        </w:rPr>
      </w:pPr>
      <w:r>
        <w:rPr>
          <w:sz w:val="22"/>
        </w:rPr>
        <w:t>La República del Ecuador manifestó que la expresión “no podrá ingresar bajo ningún régimen aduanero”, contenida en el artículo 2 del Decreto 0170, configura una prohibición absoluta de ingreso para las mercancías comprendidas en las subpartidas allí listadas, las cuales incluyen productos pesqueros de alta sensibilidad para la economía ecuatoriana.</w:t>
      </w:r>
    </w:p>
    <w:p>
      <w:pPr>
        <w:pStyle w:val="ListParagraph"/>
        <w:numPr>
          <w:ilvl w:val="0"/>
          <w:numId w:val="50"/>
        </w:numPr>
        <w:tabs>
          <w:tab w:pos="1130" w:val="left" w:leader="none"/>
          <w:tab w:pos="1134" w:val="left" w:leader="none"/>
        </w:tabs>
        <w:spacing w:line="240" w:lineRule="auto" w:before="252" w:after="0"/>
        <w:ind w:left="1134" w:right="979" w:hanging="567"/>
        <w:jc w:val="both"/>
        <w:rPr>
          <w:sz w:val="22"/>
        </w:rPr>
      </w:pPr>
      <w:r>
        <w:rPr>
          <w:sz w:val="22"/>
        </w:rPr>
        <w:t>En el informe</w:t>
      </w:r>
      <w:hyperlink w:history="true" w:anchor="_bookmark176">
        <w:r>
          <w:rPr>
            <w:sz w:val="22"/>
            <w:vertAlign w:val="superscript"/>
          </w:rPr>
          <w:t>109</w:t>
        </w:r>
      </w:hyperlink>
      <w:r>
        <w:rPr>
          <w:sz w:val="22"/>
          <w:vertAlign w:val="baseline"/>
        </w:rPr>
        <w:t> que se adjunta como anexo a su solicitud, realiza un análisis del comercio</w:t>
      </w:r>
      <w:r>
        <w:rPr>
          <w:spacing w:val="-14"/>
          <w:sz w:val="22"/>
          <w:vertAlign w:val="baseline"/>
        </w:rPr>
        <w:t> </w:t>
      </w:r>
      <w:r>
        <w:rPr>
          <w:sz w:val="22"/>
          <w:vertAlign w:val="baseline"/>
        </w:rPr>
        <w:t>de</w:t>
      </w:r>
      <w:r>
        <w:rPr>
          <w:spacing w:val="-13"/>
          <w:sz w:val="22"/>
          <w:vertAlign w:val="baseline"/>
        </w:rPr>
        <w:t> </w:t>
      </w:r>
      <w:r>
        <w:rPr>
          <w:sz w:val="22"/>
          <w:vertAlign w:val="baseline"/>
        </w:rPr>
        <w:t>las</w:t>
      </w:r>
      <w:r>
        <w:rPr>
          <w:spacing w:val="-14"/>
          <w:sz w:val="22"/>
          <w:vertAlign w:val="baseline"/>
        </w:rPr>
        <w:t> </w:t>
      </w:r>
      <w:r>
        <w:rPr>
          <w:sz w:val="22"/>
          <w:vertAlign w:val="baseline"/>
        </w:rPr>
        <w:t>subpartidas</w:t>
      </w:r>
      <w:r>
        <w:rPr>
          <w:spacing w:val="-12"/>
          <w:sz w:val="22"/>
          <w:vertAlign w:val="baseline"/>
        </w:rPr>
        <w:t> </w:t>
      </w:r>
      <w:r>
        <w:rPr>
          <w:sz w:val="22"/>
          <w:vertAlign w:val="baseline"/>
        </w:rPr>
        <w:t>del</w:t>
      </w:r>
      <w:r>
        <w:rPr>
          <w:spacing w:val="-13"/>
          <w:sz w:val="22"/>
          <w:vertAlign w:val="baseline"/>
        </w:rPr>
        <w:t> </w:t>
      </w:r>
      <w:r>
        <w:rPr>
          <w:sz w:val="22"/>
          <w:vertAlign w:val="baseline"/>
        </w:rPr>
        <w:t>artículo</w:t>
      </w:r>
      <w:r>
        <w:rPr>
          <w:spacing w:val="-12"/>
          <w:sz w:val="22"/>
          <w:vertAlign w:val="baseline"/>
        </w:rPr>
        <w:t> </w:t>
      </w:r>
      <w:r>
        <w:rPr>
          <w:sz w:val="22"/>
          <w:vertAlign w:val="baseline"/>
        </w:rPr>
        <w:t>2</w:t>
      </w:r>
      <w:r>
        <w:rPr>
          <w:spacing w:val="-14"/>
          <w:sz w:val="22"/>
          <w:vertAlign w:val="baseline"/>
        </w:rPr>
        <w:t> </w:t>
      </w:r>
      <w:r>
        <w:rPr>
          <w:sz w:val="22"/>
          <w:vertAlign w:val="baseline"/>
        </w:rPr>
        <w:t>del</w:t>
      </w:r>
      <w:r>
        <w:rPr>
          <w:spacing w:val="-13"/>
          <w:sz w:val="22"/>
          <w:vertAlign w:val="baseline"/>
        </w:rPr>
        <w:t> </w:t>
      </w:r>
      <w:r>
        <w:rPr>
          <w:sz w:val="22"/>
          <w:vertAlign w:val="baseline"/>
        </w:rPr>
        <w:t>Decreto</w:t>
      </w:r>
      <w:r>
        <w:rPr>
          <w:spacing w:val="-13"/>
          <w:sz w:val="22"/>
          <w:vertAlign w:val="baseline"/>
        </w:rPr>
        <w:t> </w:t>
      </w:r>
      <w:r>
        <w:rPr>
          <w:sz w:val="22"/>
          <w:vertAlign w:val="baseline"/>
        </w:rPr>
        <w:t>0170.</w:t>
      </w:r>
      <w:r>
        <w:rPr>
          <w:spacing w:val="-13"/>
          <w:sz w:val="22"/>
          <w:vertAlign w:val="baseline"/>
        </w:rPr>
        <w:t> </w:t>
      </w:r>
      <w:r>
        <w:rPr>
          <w:sz w:val="22"/>
          <w:vertAlign w:val="baseline"/>
        </w:rPr>
        <w:t>Dicho</w:t>
      </w:r>
      <w:r>
        <w:rPr>
          <w:spacing w:val="-13"/>
          <w:sz w:val="22"/>
          <w:vertAlign w:val="baseline"/>
        </w:rPr>
        <w:t> </w:t>
      </w:r>
      <w:r>
        <w:rPr>
          <w:sz w:val="22"/>
          <w:vertAlign w:val="baseline"/>
        </w:rPr>
        <w:t>análisis</w:t>
      </w:r>
      <w:r>
        <w:rPr>
          <w:spacing w:val="-13"/>
          <w:sz w:val="22"/>
          <w:vertAlign w:val="baseline"/>
        </w:rPr>
        <w:t> </w:t>
      </w:r>
      <w:r>
        <w:rPr>
          <w:sz w:val="22"/>
          <w:vertAlign w:val="baseline"/>
        </w:rPr>
        <w:t>concluye</w:t>
      </w:r>
      <w:r>
        <w:rPr>
          <w:spacing w:val="-13"/>
          <w:sz w:val="22"/>
          <w:vertAlign w:val="baseline"/>
        </w:rPr>
        <w:t> </w:t>
      </w:r>
      <w:r>
        <w:rPr>
          <w:sz w:val="22"/>
          <w:vertAlign w:val="baseline"/>
        </w:rPr>
        <w:t>que “[l]</w:t>
      </w:r>
      <w:r>
        <w:rPr>
          <w:rFonts w:ascii="Arial" w:hAnsi="Arial"/>
          <w:i/>
          <w:sz w:val="22"/>
          <w:vertAlign w:val="baseline"/>
        </w:rPr>
        <w:t>os</w:t>
      </w:r>
      <w:r>
        <w:rPr>
          <w:rFonts w:ascii="Arial" w:hAnsi="Arial"/>
          <w:i/>
          <w:spacing w:val="-16"/>
          <w:sz w:val="22"/>
          <w:vertAlign w:val="baseline"/>
        </w:rPr>
        <w:t> </w:t>
      </w:r>
      <w:r>
        <w:rPr>
          <w:rFonts w:ascii="Arial" w:hAnsi="Arial"/>
          <w:i/>
          <w:sz w:val="22"/>
          <w:vertAlign w:val="baseline"/>
        </w:rPr>
        <w:t>productos</w:t>
      </w:r>
      <w:r>
        <w:rPr>
          <w:rFonts w:ascii="Arial" w:hAnsi="Arial"/>
          <w:i/>
          <w:spacing w:val="-15"/>
          <w:sz w:val="22"/>
          <w:vertAlign w:val="baseline"/>
        </w:rPr>
        <w:t> </w:t>
      </w:r>
      <w:r>
        <w:rPr>
          <w:rFonts w:ascii="Arial" w:hAnsi="Arial"/>
          <w:i/>
          <w:sz w:val="22"/>
          <w:vertAlign w:val="baseline"/>
        </w:rPr>
        <w:t>afectados</w:t>
      </w:r>
      <w:r>
        <w:rPr>
          <w:rFonts w:ascii="Arial" w:hAnsi="Arial"/>
          <w:i/>
          <w:spacing w:val="-15"/>
          <w:sz w:val="22"/>
          <w:vertAlign w:val="baseline"/>
        </w:rPr>
        <w:t> </w:t>
      </w:r>
      <w:r>
        <w:rPr>
          <w:rFonts w:ascii="Arial" w:hAnsi="Arial"/>
          <w:i/>
          <w:sz w:val="22"/>
          <w:vertAlign w:val="baseline"/>
        </w:rPr>
        <w:t>por</w:t>
      </w:r>
      <w:r>
        <w:rPr>
          <w:rFonts w:ascii="Arial" w:hAnsi="Arial"/>
          <w:i/>
          <w:spacing w:val="-16"/>
          <w:sz w:val="22"/>
          <w:vertAlign w:val="baseline"/>
        </w:rPr>
        <w:t> </w:t>
      </w:r>
      <w:r>
        <w:rPr>
          <w:rFonts w:ascii="Arial" w:hAnsi="Arial"/>
          <w:i/>
          <w:sz w:val="22"/>
          <w:vertAlign w:val="baseline"/>
        </w:rPr>
        <w:t>el</w:t>
      </w:r>
      <w:r>
        <w:rPr>
          <w:rFonts w:ascii="Arial" w:hAnsi="Arial"/>
          <w:i/>
          <w:spacing w:val="-15"/>
          <w:sz w:val="22"/>
          <w:vertAlign w:val="baseline"/>
        </w:rPr>
        <w:t> </w:t>
      </w:r>
      <w:r>
        <w:rPr>
          <w:rFonts w:ascii="Arial" w:hAnsi="Arial"/>
          <w:i/>
          <w:sz w:val="22"/>
          <w:vertAlign w:val="baseline"/>
        </w:rPr>
        <w:t>artículo</w:t>
      </w:r>
      <w:r>
        <w:rPr>
          <w:rFonts w:ascii="Arial" w:hAnsi="Arial"/>
          <w:i/>
          <w:spacing w:val="-15"/>
          <w:sz w:val="22"/>
          <w:vertAlign w:val="baseline"/>
        </w:rPr>
        <w:t> </w:t>
      </w:r>
      <w:r>
        <w:rPr>
          <w:rFonts w:ascii="Arial" w:hAnsi="Arial"/>
          <w:i/>
          <w:sz w:val="22"/>
          <w:vertAlign w:val="baseline"/>
        </w:rPr>
        <w:t>2</w:t>
      </w:r>
      <w:r>
        <w:rPr>
          <w:rFonts w:ascii="Arial" w:hAnsi="Arial"/>
          <w:i/>
          <w:spacing w:val="-15"/>
          <w:sz w:val="22"/>
          <w:vertAlign w:val="baseline"/>
        </w:rPr>
        <w:t> </w:t>
      </w:r>
      <w:r>
        <w:rPr>
          <w:rFonts w:ascii="Arial" w:hAnsi="Arial"/>
          <w:i/>
          <w:sz w:val="22"/>
          <w:vertAlign w:val="baseline"/>
        </w:rPr>
        <w:t>del</w:t>
      </w:r>
      <w:r>
        <w:rPr>
          <w:rFonts w:ascii="Arial" w:hAnsi="Arial"/>
          <w:i/>
          <w:spacing w:val="-16"/>
          <w:sz w:val="22"/>
          <w:vertAlign w:val="baseline"/>
        </w:rPr>
        <w:t> </w:t>
      </w:r>
      <w:r>
        <w:rPr>
          <w:rFonts w:ascii="Arial" w:hAnsi="Arial"/>
          <w:i/>
          <w:sz w:val="22"/>
          <w:vertAlign w:val="baseline"/>
        </w:rPr>
        <w:t>Decreto</w:t>
      </w:r>
      <w:r>
        <w:rPr>
          <w:rFonts w:ascii="Arial" w:hAnsi="Arial"/>
          <w:i/>
          <w:spacing w:val="-15"/>
          <w:sz w:val="22"/>
          <w:vertAlign w:val="baseline"/>
        </w:rPr>
        <w:t> </w:t>
      </w:r>
      <w:r>
        <w:rPr>
          <w:rFonts w:ascii="Arial" w:hAnsi="Arial"/>
          <w:i/>
          <w:sz w:val="22"/>
          <w:vertAlign w:val="baseline"/>
        </w:rPr>
        <w:t>0170</w:t>
      </w:r>
      <w:r>
        <w:rPr>
          <w:rFonts w:ascii="Arial" w:hAnsi="Arial"/>
          <w:i/>
          <w:spacing w:val="-15"/>
          <w:sz w:val="22"/>
          <w:vertAlign w:val="baseline"/>
        </w:rPr>
        <w:t> </w:t>
      </w:r>
      <w:r>
        <w:rPr>
          <w:rFonts w:ascii="Arial" w:hAnsi="Arial"/>
          <w:i/>
          <w:sz w:val="22"/>
          <w:vertAlign w:val="baseline"/>
        </w:rPr>
        <w:t>son</w:t>
      </w:r>
      <w:r>
        <w:rPr>
          <w:rFonts w:ascii="Arial" w:hAnsi="Arial"/>
          <w:i/>
          <w:spacing w:val="-16"/>
          <w:sz w:val="22"/>
          <w:vertAlign w:val="baseline"/>
        </w:rPr>
        <w:t> </w:t>
      </w:r>
      <w:r>
        <w:rPr>
          <w:rFonts w:ascii="Arial" w:hAnsi="Arial"/>
          <w:i/>
          <w:sz w:val="22"/>
          <w:vertAlign w:val="baseline"/>
        </w:rPr>
        <w:t>camarones,</w:t>
      </w:r>
      <w:r>
        <w:rPr>
          <w:rFonts w:ascii="Arial" w:hAnsi="Arial"/>
          <w:i/>
          <w:spacing w:val="-15"/>
          <w:sz w:val="22"/>
          <w:vertAlign w:val="baseline"/>
        </w:rPr>
        <w:t> </w:t>
      </w:r>
      <w:r>
        <w:rPr>
          <w:rFonts w:ascii="Arial" w:hAnsi="Arial"/>
          <w:i/>
          <w:sz w:val="22"/>
          <w:vertAlign w:val="baseline"/>
        </w:rPr>
        <w:t>arroz,</w:t>
      </w:r>
      <w:r>
        <w:rPr>
          <w:rFonts w:ascii="Arial" w:hAnsi="Arial"/>
          <w:i/>
          <w:spacing w:val="-15"/>
          <w:sz w:val="22"/>
          <w:vertAlign w:val="baseline"/>
        </w:rPr>
        <w:t> </w:t>
      </w:r>
      <w:r>
        <w:rPr>
          <w:rFonts w:ascii="Arial" w:hAnsi="Arial"/>
          <w:i/>
          <w:sz w:val="22"/>
          <w:vertAlign w:val="baseline"/>
        </w:rPr>
        <w:t>fréjol, plátano, maracuyá, orito, aguacate, plátanos secos, cebolla roja, cebolla perla, huevas de pescado, cabezas de pescado y tomates frescos.</w:t>
      </w:r>
      <w:r>
        <w:rPr>
          <w:sz w:val="22"/>
          <w:vertAlign w:val="baseline"/>
        </w:rPr>
        <w:t>”</w:t>
      </w:r>
      <w:hyperlink w:history="true" w:anchor="_bookmark177">
        <w:r>
          <w:rPr>
            <w:sz w:val="22"/>
            <w:vertAlign w:val="superscript"/>
          </w:rPr>
          <w:t>110</w:t>
        </w:r>
        <w:r>
          <w:rPr>
            <w:sz w:val="22"/>
            <w:vertAlign w:val="baseline"/>
          </w:rPr>
          <w:t>.</w:t>
        </w:r>
      </w:hyperlink>
    </w:p>
    <w:p>
      <w:pPr>
        <w:pStyle w:val="BodyText"/>
        <w:spacing w:before="2"/>
      </w:pPr>
    </w:p>
    <w:p>
      <w:pPr>
        <w:pStyle w:val="Heading6"/>
        <w:numPr>
          <w:ilvl w:val="0"/>
          <w:numId w:val="110"/>
        </w:numPr>
        <w:tabs>
          <w:tab w:pos="1561" w:val="left" w:leader="none"/>
        </w:tabs>
        <w:spacing w:line="240" w:lineRule="auto" w:before="0" w:after="0"/>
        <w:ind w:left="1561" w:right="0" w:hanging="359"/>
        <w:jc w:val="left"/>
      </w:pPr>
      <w:r>
        <w:rPr/>
        <w:t>Argumentos</w:t>
      </w:r>
      <w:r>
        <w:rPr>
          <w:spacing w:val="-6"/>
        </w:rPr>
        <w:t> </w:t>
      </w:r>
      <w:r>
        <w:rPr/>
        <w:t>de</w:t>
      </w:r>
      <w:r>
        <w:rPr>
          <w:spacing w:val="-5"/>
        </w:rPr>
        <w:t> </w:t>
      </w:r>
      <w:r>
        <w:rPr/>
        <w:t>la</w:t>
      </w:r>
      <w:r>
        <w:rPr>
          <w:spacing w:val="-4"/>
        </w:rPr>
        <w:t> </w:t>
      </w:r>
      <w:r>
        <w:rPr/>
        <w:t>República</w:t>
      </w:r>
      <w:r>
        <w:rPr>
          <w:spacing w:val="-5"/>
        </w:rPr>
        <w:t> </w:t>
      </w:r>
      <w:r>
        <w:rPr/>
        <w:t>de</w:t>
      </w:r>
      <w:r>
        <w:rPr>
          <w:spacing w:val="-3"/>
        </w:rPr>
        <w:t> </w:t>
      </w:r>
      <w:r>
        <w:rPr>
          <w:spacing w:val="-2"/>
        </w:rPr>
        <w:t>Colombia</w:t>
      </w:r>
    </w:p>
    <w:p>
      <w:pPr>
        <w:pStyle w:val="ListParagraph"/>
        <w:numPr>
          <w:ilvl w:val="0"/>
          <w:numId w:val="50"/>
        </w:numPr>
        <w:tabs>
          <w:tab w:pos="1130" w:val="left" w:leader="none"/>
          <w:tab w:pos="1134" w:val="left" w:leader="none"/>
        </w:tabs>
        <w:spacing w:line="240" w:lineRule="auto" w:before="252" w:after="0"/>
        <w:ind w:left="1134" w:right="981" w:hanging="567"/>
        <w:jc w:val="both"/>
        <w:rPr>
          <w:sz w:val="22"/>
        </w:rPr>
      </w:pPr>
      <w:r>
        <w:rPr>
          <w:sz w:val="22"/>
        </w:rPr>
        <w:t>En el</w:t>
      </w:r>
      <w:r>
        <w:rPr>
          <w:spacing w:val="-1"/>
          <w:sz w:val="22"/>
        </w:rPr>
        <w:t> </w:t>
      </w:r>
      <w:r>
        <w:rPr>
          <w:sz w:val="22"/>
        </w:rPr>
        <w:t>escrito que da respuesta a la solicitud planteada por la República del Ecuador, la República de Colombia señala que la “</w:t>
      </w:r>
      <w:r>
        <w:rPr>
          <w:rFonts w:ascii="Arial" w:hAnsi="Arial"/>
          <w:i/>
          <w:sz w:val="22"/>
        </w:rPr>
        <w:t>cadena acuícola del camarón presenta un perfil de riesgo sanitario particular y verificable”</w:t>
      </w:r>
      <w:hyperlink w:history="true" w:anchor="_bookmark178">
        <w:r>
          <w:rPr>
            <w:rFonts w:ascii="Arial" w:hAnsi="Arial"/>
            <w:i/>
            <w:sz w:val="22"/>
            <w:vertAlign w:val="superscript"/>
          </w:rPr>
          <w:t>111</w:t>
        </w:r>
        <w:r>
          <w:rPr>
            <w:rFonts w:ascii="Arial" w:hAnsi="Arial"/>
            <w:i/>
            <w:sz w:val="22"/>
            <w:vertAlign w:val="baseline"/>
          </w:rPr>
          <w:t>.</w:t>
        </w:r>
      </w:hyperlink>
      <w:r>
        <w:rPr>
          <w:rFonts w:ascii="Arial" w:hAnsi="Arial"/>
          <w:i/>
          <w:sz w:val="22"/>
          <w:vertAlign w:val="baseline"/>
        </w:rPr>
        <w:t> </w:t>
      </w:r>
      <w:r>
        <w:rPr>
          <w:sz w:val="22"/>
          <w:vertAlign w:val="baseline"/>
        </w:rPr>
        <w:t>Se destaca que las importaciones de camarón representarían alrededor del 95% del total importado por la República de </w:t>
      </w:r>
      <w:r>
        <w:rPr>
          <w:spacing w:val="-2"/>
          <w:sz w:val="22"/>
          <w:vertAlign w:val="baseline"/>
        </w:rPr>
        <w:t>Colombia.</w:t>
      </w:r>
    </w:p>
    <w:p>
      <w:pPr>
        <w:pStyle w:val="ListParagraph"/>
        <w:numPr>
          <w:ilvl w:val="0"/>
          <w:numId w:val="50"/>
        </w:numPr>
        <w:tabs>
          <w:tab w:pos="1130" w:val="left" w:leader="none"/>
          <w:tab w:pos="1134" w:val="left" w:leader="none"/>
        </w:tabs>
        <w:spacing w:line="240" w:lineRule="auto" w:before="251" w:after="0"/>
        <w:ind w:left="1134" w:right="977" w:hanging="567"/>
        <w:jc w:val="both"/>
        <w:rPr>
          <w:rFonts w:ascii="Arial" w:hAnsi="Arial"/>
          <w:i/>
          <w:sz w:val="22"/>
        </w:rPr>
      </w:pPr>
      <w:r>
        <w:rPr>
          <w:sz w:val="22"/>
        </w:rPr>
        <w:t>Asimismo,</w:t>
      </w:r>
      <w:r>
        <w:rPr>
          <w:spacing w:val="-5"/>
          <w:sz w:val="22"/>
        </w:rPr>
        <w:t> </w:t>
      </w:r>
      <w:r>
        <w:rPr>
          <w:sz w:val="22"/>
        </w:rPr>
        <w:t>se</w:t>
      </w:r>
      <w:r>
        <w:rPr>
          <w:spacing w:val="-4"/>
          <w:sz w:val="22"/>
        </w:rPr>
        <w:t> </w:t>
      </w:r>
      <w:r>
        <w:rPr>
          <w:sz w:val="22"/>
        </w:rPr>
        <w:t>argumenta</w:t>
      </w:r>
      <w:r>
        <w:rPr>
          <w:spacing w:val="-6"/>
          <w:sz w:val="22"/>
        </w:rPr>
        <w:t> </w:t>
      </w:r>
      <w:r>
        <w:rPr>
          <w:sz w:val="22"/>
        </w:rPr>
        <w:t>que</w:t>
      </w:r>
      <w:r>
        <w:rPr>
          <w:spacing w:val="-4"/>
          <w:sz w:val="22"/>
        </w:rPr>
        <w:t> </w:t>
      </w:r>
      <w:r>
        <w:rPr>
          <w:sz w:val="22"/>
        </w:rPr>
        <w:t>la</w:t>
      </w:r>
      <w:r>
        <w:rPr>
          <w:spacing w:val="-4"/>
          <w:sz w:val="22"/>
        </w:rPr>
        <w:t> </w:t>
      </w:r>
      <w:r>
        <w:rPr>
          <w:sz w:val="22"/>
        </w:rPr>
        <w:t>República</w:t>
      </w:r>
      <w:r>
        <w:rPr>
          <w:spacing w:val="-4"/>
          <w:sz w:val="22"/>
        </w:rPr>
        <w:t> </w:t>
      </w:r>
      <w:r>
        <w:rPr>
          <w:sz w:val="22"/>
        </w:rPr>
        <w:t>de</w:t>
      </w:r>
      <w:r>
        <w:rPr>
          <w:spacing w:val="-4"/>
          <w:sz w:val="22"/>
        </w:rPr>
        <w:t> </w:t>
      </w:r>
      <w:r>
        <w:rPr>
          <w:sz w:val="22"/>
        </w:rPr>
        <w:t>Colombia</w:t>
      </w:r>
      <w:r>
        <w:rPr>
          <w:spacing w:val="-4"/>
          <w:sz w:val="22"/>
        </w:rPr>
        <w:t> </w:t>
      </w:r>
      <w:r>
        <w:rPr>
          <w:sz w:val="22"/>
        </w:rPr>
        <w:t>habría</w:t>
      </w:r>
      <w:r>
        <w:rPr>
          <w:spacing w:val="-4"/>
          <w:sz w:val="22"/>
        </w:rPr>
        <w:t> </w:t>
      </w:r>
      <w:r>
        <w:rPr>
          <w:sz w:val="22"/>
        </w:rPr>
        <w:t>alegado</w:t>
      </w:r>
      <w:r>
        <w:rPr>
          <w:spacing w:val="-4"/>
          <w:sz w:val="22"/>
        </w:rPr>
        <w:t> </w:t>
      </w:r>
      <w:r>
        <w:rPr>
          <w:sz w:val="22"/>
        </w:rPr>
        <w:t>la</w:t>
      </w:r>
      <w:r>
        <w:rPr>
          <w:spacing w:val="-4"/>
          <w:sz w:val="22"/>
        </w:rPr>
        <w:t> </w:t>
      </w:r>
      <w:r>
        <w:rPr>
          <w:sz w:val="22"/>
        </w:rPr>
        <w:t>existencia</w:t>
      </w:r>
      <w:r>
        <w:rPr>
          <w:spacing w:val="-4"/>
          <w:sz w:val="22"/>
        </w:rPr>
        <w:t> </w:t>
      </w:r>
      <w:r>
        <w:rPr>
          <w:sz w:val="22"/>
        </w:rPr>
        <w:t>de hechos epidemiológicos objetivos que fundamentarían la adopción de la medida en lo que</w:t>
      </w:r>
      <w:r>
        <w:rPr>
          <w:spacing w:val="-3"/>
          <w:sz w:val="22"/>
        </w:rPr>
        <w:t> </w:t>
      </w:r>
      <w:r>
        <w:rPr>
          <w:sz w:val="22"/>
        </w:rPr>
        <w:t>respecta</w:t>
      </w:r>
      <w:r>
        <w:rPr>
          <w:spacing w:val="-5"/>
          <w:sz w:val="22"/>
        </w:rPr>
        <w:t> </w:t>
      </w:r>
      <w:r>
        <w:rPr>
          <w:sz w:val="22"/>
        </w:rPr>
        <w:t>a</w:t>
      </w:r>
      <w:r>
        <w:rPr>
          <w:spacing w:val="-5"/>
          <w:sz w:val="22"/>
        </w:rPr>
        <w:t> </w:t>
      </w:r>
      <w:r>
        <w:rPr>
          <w:sz w:val="22"/>
        </w:rPr>
        <w:t>la</w:t>
      </w:r>
      <w:r>
        <w:rPr>
          <w:spacing w:val="-3"/>
          <w:sz w:val="22"/>
        </w:rPr>
        <w:t> </w:t>
      </w:r>
      <w:r>
        <w:rPr>
          <w:sz w:val="22"/>
        </w:rPr>
        <w:t>cadena</w:t>
      </w:r>
      <w:r>
        <w:rPr>
          <w:spacing w:val="-3"/>
          <w:sz w:val="22"/>
        </w:rPr>
        <w:t> </w:t>
      </w:r>
      <w:r>
        <w:rPr>
          <w:sz w:val="22"/>
        </w:rPr>
        <w:t>productiva</w:t>
      </w:r>
      <w:r>
        <w:rPr>
          <w:spacing w:val="-5"/>
          <w:sz w:val="22"/>
        </w:rPr>
        <w:t> </w:t>
      </w:r>
      <w:r>
        <w:rPr>
          <w:sz w:val="22"/>
        </w:rPr>
        <w:t>del</w:t>
      </w:r>
      <w:r>
        <w:rPr>
          <w:spacing w:val="-3"/>
          <w:sz w:val="22"/>
        </w:rPr>
        <w:t> </w:t>
      </w:r>
      <w:r>
        <w:rPr>
          <w:sz w:val="22"/>
        </w:rPr>
        <w:t>camarón,</w:t>
      </w:r>
      <w:r>
        <w:rPr>
          <w:spacing w:val="-2"/>
          <w:sz w:val="22"/>
        </w:rPr>
        <w:t> </w:t>
      </w:r>
      <w:r>
        <w:rPr>
          <w:sz w:val="22"/>
        </w:rPr>
        <w:t>en</w:t>
      </w:r>
      <w:r>
        <w:rPr>
          <w:spacing w:val="-5"/>
          <w:sz w:val="22"/>
        </w:rPr>
        <w:t> </w:t>
      </w:r>
      <w:r>
        <w:rPr>
          <w:sz w:val="22"/>
        </w:rPr>
        <w:t>los</w:t>
      </w:r>
      <w:r>
        <w:rPr>
          <w:spacing w:val="-5"/>
          <w:sz w:val="22"/>
        </w:rPr>
        <w:t> </w:t>
      </w:r>
      <w:r>
        <w:rPr>
          <w:sz w:val="22"/>
        </w:rPr>
        <w:t>siguientes</w:t>
      </w:r>
      <w:r>
        <w:rPr>
          <w:spacing w:val="-5"/>
          <w:sz w:val="22"/>
        </w:rPr>
        <w:t> </w:t>
      </w:r>
      <w:r>
        <w:rPr>
          <w:sz w:val="22"/>
        </w:rPr>
        <w:t>términos: </w:t>
      </w:r>
      <w:r>
        <w:rPr>
          <w:rFonts w:ascii="Arial" w:hAnsi="Arial"/>
          <w:i/>
          <w:sz w:val="22"/>
        </w:rPr>
        <w:t>“el</w:t>
      </w:r>
      <w:r>
        <w:rPr>
          <w:rFonts w:ascii="Arial" w:hAnsi="Arial"/>
          <w:i/>
          <w:spacing w:val="-6"/>
          <w:sz w:val="22"/>
        </w:rPr>
        <w:t> </w:t>
      </w:r>
      <w:r>
        <w:rPr>
          <w:rFonts w:ascii="Arial" w:hAnsi="Arial"/>
          <w:i/>
          <w:sz w:val="22"/>
        </w:rPr>
        <w:t>riesgo</w:t>
      </w:r>
    </w:p>
    <w:p>
      <w:pPr>
        <w:pStyle w:val="BodyText"/>
        <w:spacing w:before="87"/>
        <w:rPr>
          <w:rFonts w:ascii="Arial"/>
          <w:i/>
          <w:sz w:val="20"/>
        </w:rPr>
      </w:pPr>
      <w:r>
        <w:rPr>
          <w:rFonts w:ascii="Arial"/>
          <w:i/>
          <w:sz w:val="20"/>
        </w:rPr>
        <mc:AlternateContent>
          <mc:Choice Requires="wps">
            <w:drawing>
              <wp:anchor distT="0" distB="0" distL="0" distR="0" allowOverlap="1" layoutInCell="1" locked="0" behindDoc="1" simplePos="0" relativeHeight="487664640">
                <wp:simplePos x="0" y="0"/>
                <wp:positionH relativeFrom="page">
                  <wp:posOffset>990904</wp:posOffset>
                </wp:positionH>
                <wp:positionV relativeFrom="paragraph">
                  <wp:posOffset>216790</wp:posOffset>
                </wp:positionV>
                <wp:extent cx="1829435" cy="7620"/>
                <wp:effectExtent l="0" t="0" r="0" b="0"/>
                <wp:wrapTopAndBottom/>
                <wp:docPr id="623" name="Graphic 623"/>
                <wp:cNvGraphicFramePr>
                  <a:graphicFrameLocks/>
                </wp:cNvGraphicFramePr>
                <a:graphic>
                  <a:graphicData uri="http://schemas.microsoft.com/office/word/2010/wordprocessingShape">
                    <wps:wsp>
                      <wps:cNvPr id="623" name="Graphic 623"/>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7.070137pt;width:144.020pt;height:.599980pt;mso-position-horizontal-relative:page;mso-position-vertical-relative:paragraph;z-index:-15651840;mso-wrap-distance-left:0;mso-wrap-distance-right:0" id="docshape423" filled="true" fillcolor="#000000" stroked="false">
                <v:fill type="solid"/>
                <w10:wrap type="topAndBottom"/>
              </v:rect>
            </w:pict>
          </mc:Fallback>
        </mc:AlternateContent>
      </w:r>
    </w:p>
    <w:p>
      <w:pPr>
        <w:spacing w:before="92"/>
        <w:ind w:left="568" w:right="0" w:firstLine="0"/>
        <w:jc w:val="left"/>
        <w:rPr>
          <w:sz w:val="16"/>
        </w:rPr>
      </w:pPr>
      <w:bookmarkStart w:name="_bookmark175" w:id="177"/>
      <w:bookmarkEnd w:id="177"/>
      <w:r>
        <w:rPr/>
      </w:r>
      <w:r>
        <w:rPr>
          <w:sz w:val="16"/>
          <w:vertAlign w:val="superscript"/>
        </w:rPr>
        <w:t>108</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000091.</w:t>
      </w:r>
    </w:p>
    <w:p>
      <w:pPr>
        <w:spacing w:line="183" w:lineRule="exact" w:before="1"/>
        <w:ind w:left="568" w:right="0" w:firstLine="0"/>
        <w:jc w:val="left"/>
        <w:rPr>
          <w:sz w:val="16"/>
        </w:rPr>
      </w:pPr>
      <w:bookmarkStart w:name="_bookmark176" w:id="178"/>
      <w:bookmarkEnd w:id="178"/>
      <w:r>
        <w:rPr/>
      </w:r>
      <w:r>
        <w:rPr>
          <w:sz w:val="16"/>
          <w:vertAlign w:val="superscript"/>
        </w:rPr>
        <w:t>109</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000104.</w:t>
      </w:r>
    </w:p>
    <w:p>
      <w:pPr>
        <w:spacing w:line="183" w:lineRule="exact" w:before="0"/>
        <w:ind w:left="568" w:right="0" w:firstLine="0"/>
        <w:jc w:val="left"/>
        <w:rPr>
          <w:rFonts w:ascii="Arial"/>
          <w:i/>
          <w:sz w:val="16"/>
        </w:rPr>
      </w:pPr>
      <w:bookmarkStart w:name="_bookmark177" w:id="179"/>
      <w:bookmarkEnd w:id="179"/>
      <w:r>
        <w:rPr/>
      </w:r>
      <w:r>
        <w:rPr>
          <w:sz w:val="16"/>
          <w:vertAlign w:val="superscript"/>
        </w:rPr>
        <w:t>110</w:t>
      </w:r>
      <w:r>
        <w:rPr>
          <w:spacing w:val="-1"/>
          <w:sz w:val="16"/>
          <w:vertAlign w:val="baseline"/>
        </w:rPr>
        <w:t> </w:t>
      </w:r>
      <w:r>
        <w:rPr>
          <w:rFonts w:ascii="Arial"/>
          <w:i/>
          <w:spacing w:val="-2"/>
          <w:sz w:val="16"/>
          <w:vertAlign w:val="baseline"/>
        </w:rPr>
        <w:t>Ibidem.</w:t>
      </w:r>
    </w:p>
    <w:p>
      <w:pPr>
        <w:spacing w:after="0" w:line="183" w:lineRule="exact"/>
        <w:jc w:val="left"/>
        <w:rPr>
          <w:rFonts w:ascii="Arial"/>
          <w:i/>
          <w:sz w:val="16"/>
        </w:rPr>
        <w:sectPr>
          <w:headerReference w:type="default" r:id="rId101"/>
          <w:footerReference w:type="default" r:id="rId102"/>
          <w:pgSz w:w="11900" w:h="16850"/>
          <w:pgMar w:header="370" w:footer="651" w:top="1380" w:bottom="840" w:left="992" w:right="283"/>
        </w:sectPr>
      </w:pPr>
    </w:p>
    <w:p>
      <w:pPr>
        <w:pStyle w:val="BodyText"/>
        <w:spacing w:before="176"/>
        <w:rPr>
          <w:rFonts w:ascii="Arial"/>
          <w:i/>
        </w:rPr>
      </w:pPr>
    </w:p>
    <w:p>
      <w:pPr>
        <w:spacing w:before="0"/>
        <w:ind w:left="1134" w:right="980" w:firstLine="0"/>
        <w:jc w:val="both"/>
        <w:rPr>
          <w:sz w:val="22"/>
        </w:rPr>
      </w:pPr>
      <w:r>
        <w:rPr>
          <w:rFonts w:ascii="Arial" w:hAnsi="Arial"/>
          <w:i/>
          <w:sz w:val="22"/>
        </w:rPr>
        <w:t>de introducción y propagación del virus del síndrome de las manchas blancas (WSSV) y de otros patógenos asociados fue confirmado mediante pruebas realizadas en el Laboratorio Nacional de Diagnóstico Veterinario a muestras de camarón crudo congelado</w:t>
      </w:r>
      <w:r>
        <w:rPr>
          <w:rFonts w:ascii="Arial" w:hAnsi="Arial"/>
          <w:i/>
          <w:spacing w:val="-14"/>
          <w:sz w:val="22"/>
        </w:rPr>
        <w:t> </w:t>
      </w:r>
      <w:r>
        <w:rPr>
          <w:rFonts w:ascii="Arial" w:hAnsi="Arial"/>
          <w:i/>
          <w:sz w:val="22"/>
        </w:rPr>
        <w:t>originario</w:t>
      </w:r>
      <w:r>
        <w:rPr>
          <w:rFonts w:ascii="Arial" w:hAnsi="Arial"/>
          <w:i/>
          <w:spacing w:val="-14"/>
          <w:sz w:val="22"/>
        </w:rPr>
        <w:t> </w:t>
      </w:r>
      <w:r>
        <w:rPr>
          <w:rFonts w:ascii="Arial" w:hAnsi="Arial"/>
          <w:i/>
          <w:sz w:val="22"/>
        </w:rPr>
        <w:t>del</w:t>
      </w:r>
      <w:r>
        <w:rPr>
          <w:rFonts w:ascii="Arial" w:hAnsi="Arial"/>
          <w:i/>
          <w:spacing w:val="-14"/>
          <w:sz w:val="22"/>
        </w:rPr>
        <w:t> </w:t>
      </w:r>
      <w:r>
        <w:rPr>
          <w:rFonts w:ascii="Arial" w:hAnsi="Arial"/>
          <w:i/>
          <w:sz w:val="22"/>
        </w:rPr>
        <w:t>Ecuador</w:t>
      </w:r>
      <w:r>
        <w:rPr>
          <w:rFonts w:ascii="Arial" w:hAnsi="Arial"/>
          <w:i/>
          <w:spacing w:val="-13"/>
          <w:sz w:val="22"/>
        </w:rPr>
        <w:t> </w:t>
      </w:r>
      <w:r>
        <w:rPr>
          <w:rFonts w:ascii="Arial" w:hAnsi="Arial"/>
          <w:i/>
          <w:sz w:val="22"/>
        </w:rPr>
        <w:t>los</w:t>
      </w:r>
      <w:r>
        <w:rPr>
          <w:rFonts w:ascii="Arial" w:hAnsi="Arial"/>
          <w:i/>
          <w:spacing w:val="-13"/>
          <w:sz w:val="22"/>
        </w:rPr>
        <w:t> </w:t>
      </w:r>
      <w:r>
        <w:rPr>
          <w:rFonts w:ascii="Arial" w:hAnsi="Arial"/>
          <w:i/>
          <w:sz w:val="22"/>
        </w:rPr>
        <w:t>días</w:t>
      </w:r>
      <w:r>
        <w:rPr>
          <w:rFonts w:ascii="Arial" w:hAnsi="Arial"/>
          <w:i/>
          <w:spacing w:val="-15"/>
          <w:sz w:val="22"/>
        </w:rPr>
        <w:t> </w:t>
      </w:r>
      <w:r>
        <w:rPr>
          <w:rFonts w:ascii="Arial" w:hAnsi="Arial"/>
          <w:i/>
          <w:sz w:val="22"/>
        </w:rPr>
        <w:t>18</w:t>
      </w:r>
      <w:r>
        <w:rPr>
          <w:rFonts w:ascii="Arial" w:hAnsi="Arial"/>
          <w:i/>
          <w:spacing w:val="-14"/>
          <w:sz w:val="22"/>
        </w:rPr>
        <w:t> </w:t>
      </w:r>
      <w:r>
        <w:rPr>
          <w:rFonts w:ascii="Arial" w:hAnsi="Arial"/>
          <w:i/>
          <w:sz w:val="22"/>
        </w:rPr>
        <w:t>de</w:t>
      </w:r>
      <w:r>
        <w:rPr>
          <w:rFonts w:ascii="Arial" w:hAnsi="Arial"/>
          <w:i/>
          <w:spacing w:val="-16"/>
          <w:sz w:val="22"/>
        </w:rPr>
        <w:t> </w:t>
      </w:r>
      <w:r>
        <w:rPr>
          <w:rFonts w:ascii="Arial" w:hAnsi="Arial"/>
          <w:i/>
          <w:sz w:val="22"/>
        </w:rPr>
        <w:t>marzo,</w:t>
      </w:r>
      <w:r>
        <w:rPr>
          <w:rFonts w:ascii="Arial" w:hAnsi="Arial"/>
          <w:i/>
          <w:spacing w:val="-11"/>
          <w:sz w:val="22"/>
        </w:rPr>
        <w:t> </w:t>
      </w:r>
      <w:r>
        <w:rPr>
          <w:rFonts w:ascii="Arial" w:hAnsi="Arial"/>
          <w:i/>
          <w:sz w:val="22"/>
        </w:rPr>
        <w:t>22</w:t>
      </w:r>
      <w:r>
        <w:rPr>
          <w:rFonts w:ascii="Arial" w:hAnsi="Arial"/>
          <w:i/>
          <w:spacing w:val="-16"/>
          <w:sz w:val="22"/>
        </w:rPr>
        <w:t> </w:t>
      </w:r>
      <w:r>
        <w:rPr>
          <w:rFonts w:ascii="Arial" w:hAnsi="Arial"/>
          <w:i/>
          <w:sz w:val="22"/>
        </w:rPr>
        <w:t>de</w:t>
      </w:r>
      <w:r>
        <w:rPr>
          <w:rFonts w:ascii="Arial" w:hAnsi="Arial"/>
          <w:i/>
          <w:spacing w:val="-13"/>
          <w:sz w:val="22"/>
        </w:rPr>
        <w:t> </w:t>
      </w:r>
      <w:r>
        <w:rPr>
          <w:rFonts w:ascii="Arial" w:hAnsi="Arial"/>
          <w:i/>
          <w:sz w:val="22"/>
        </w:rPr>
        <w:t>abril</w:t>
      </w:r>
      <w:r>
        <w:rPr>
          <w:rFonts w:ascii="Arial" w:hAnsi="Arial"/>
          <w:i/>
          <w:spacing w:val="-14"/>
          <w:sz w:val="22"/>
        </w:rPr>
        <w:t> </w:t>
      </w:r>
      <w:r>
        <w:rPr>
          <w:rFonts w:ascii="Arial" w:hAnsi="Arial"/>
          <w:i/>
          <w:sz w:val="22"/>
        </w:rPr>
        <w:t>y</w:t>
      </w:r>
      <w:r>
        <w:rPr>
          <w:rFonts w:ascii="Arial" w:hAnsi="Arial"/>
          <w:i/>
          <w:spacing w:val="-13"/>
          <w:sz w:val="22"/>
        </w:rPr>
        <w:t> </w:t>
      </w:r>
      <w:r>
        <w:rPr>
          <w:rFonts w:ascii="Arial" w:hAnsi="Arial"/>
          <w:i/>
          <w:sz w:val="22"/>
        </w:rPr>
        <w:t>21</w:t>
      </w:r>
      <w:r>
        <w:rPr>
          <w:rFonts w:ascii="Arial" w:hAnsi="Arial"/>
          <w:i/>
          <w:spacing w:val="-14"/>
          <w:sz w:val="22"/>
        </w:rPr>
        <w:t> </w:t>
      </w:r>
      <w:r>
        <w:rPr>
          <w:rFonts w:ascii="Arial" w:hAnsi="Arial"/>
          <w:i/>
          <w:sz w:val="22"/>
        </w:rPr>
        <w:t>de</w:t>
      </w:r>
      <w:r>
        <w:rPr>
          <w:rFonts w:ascii="Arial" w:hAnsi="Arial"/>
          <w:i/>
          <w:spacing w:val="-16"/>
          <w:sz w:val="22"/>
        </w:rPr>
        <w:t> </w:t>
      </w:r>
      <w:r>
        <w:rPr>
          <w:rFonts w:ascii="Arial" w:hAnsi="Arial"/>
          <w:i/>
          <w:sz w:val="22"/>
        </w:rPr>
        <w:t>junio</w:t>
      </w:r>
      <w:r>
        <w:rPr>
          <w:rFonts w:ascii="Arial" w:hAnsi="Arial"/>
          <w:i/>
          <w:spacing w:val="-13"/>
          <w:sz w:val="22"/>
        </w:rPr>
        <w:t> </w:t>
      </w:r>
      <w:r>
        <w:rPr>
          <w:rFonts w:ascii="Arial" w:hAnsi="Arial"/>
          <w:i/>
          <w:sz w:val="22"/>
        </w:rPr>
        <w:t>de</w:t>
      </w:r>
      <w:r>
        <w:rPr>
          <w:rFonts w:ascii="Arial" w:hAnsi="Arial"/>
          <w:i/>
          <w:spacing w:val="-14"/>
          <w:sz w:val="22"/>
        </w:rPr>
        <w:t> </w:t>
      </w:r>
      <w:r>
        <w:rPr>
          <w:rFonts w:ascii="Arial" w:hAnsi="Arial"/>
          <w:i/>
          <w:sz w:val="22"/>
        </w:rPr>
        <w:t>2024, con detección de ADN de WSSV, del virus de necrosis infecciosa hipodérmica y hematopoyética</w:t>
      </w:r>
      <w:r>
        <w:rPr>
          <w:rFonts w:ascii="Arial" w:hAnsi="Arial"/>
          <w:i/>
          <w:spacing w:val="-16"/>
          <w:sz w:val="22"/>
        </w:rPr>
        <w:t> </w:t>
      </w:r>
      <w:r>
        <w:rPr>
          <w:rFonts w:ascii="Arial" w:hAnsi="Arial"/>
          <w:i/>
          <w:sz w:val="22"/>
        </w:rPr>
        <w:t>(IHHNV)</w:t>
      </w:r>
      <w:r>
        <w:rPr>
          <w:rFonts w:ascii="Arial" w:hAnsi="Arial"/>
          <w:i/>
          <w:spacing w:val="-12"/>
          <w:sz w:val="22"/>
        </w:rPr>
        <w:t> </w:t>
      </w:r>
      <w:r>
        <w:rPr>
          <w:rFonts w:ascii="Arial" w:hAnsi="Arial"/>
          <w:i/>
          <w:sz w:val="22"/>
        </w:rPr>
        <w:t>y</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la</w:t>
      </w:r>
      <w:r>
        <w:rPr>
          <w:rFonts w:ascii="Arial" w:hAnsi="Arial"/>
          <w:i/>
          <w:spacing w:val="-13"/>
          <w:sz w:val="22"/>
        </w:rPr>
        <w:t> </w:t>
      </w:r>
      <w:r>
        <w:rPr>
          <w:rFonts w:ascii="Arial" w:hAnsi="Arial"/>
          <w:i/>
          <w:sz w:val="22"/>
        </w:rPr>
        <w:t>bacteria</w:t>
      </w:r>
      <w:r>
        <w:rPr>
          <w:rFonts w:ascii="Arial" w:hAnsi="Arial"/>
          <w:i/>
          <w:spacing w:val="-13"/>
          <w:sz w:val="22"/>
        </w:rPr>
        <w:t> </w:t>
      </w:r>
      <w:r>
        <w:rPr>
          <w:rFonts w:ascii="Arial" w:hAnsi="Arial"/>
          <w:i/>
          <w:sz w:val="22"/>
        </w:rPr>
        <w:t>causante</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la</w:t>
      </w:r>
      <w:r>
        <w:rPr>
          <w:rFonts w:ascii="Arial" w:hAnsi="Arial"/>
          <w:i/>
          <w:spacing w:val="-13"/>
          <w:sz w:val="22"/>
        </w:rPr>
        <w:t> </w:t>
      </w:r>
      <w:r>
        <w:rPr>
          <w:rFonts w:ascii="Arial" w:hAnsi="Arial"/>
          <w:i/>
          <w:sz w:val="22"/>
        </w:rPr>
        <w:t>hepatopancreatitis</w:t>
      </w:r>
      <w:r>
        <w:rPr>
          <w:rFonts w:ascii="Arial" w:hAnsi="Arial"/>
          <w:i/>
          <w:spacing w:val="-16"/>
          <w:sz w:val="22"/>
        </w:rPr>
        <w:t> </w:t>
      </w:r>
      <w:r>
        <w:rPr>
          <w:rFonts w:ascii="Arial" w:hAnsi="Arial"/>
          <w:i/>
          <w:sz w:val="22"/>
        </w:rPr>
        <w:t>necrotizante (NHP), hallazgos</w:t>
      </w:r>
      <w:r>
        <w:rPr>
          <w:rFonts w:ascii="Arial" w:hAnsi="Arial"/>
          <w:i/>
          <w:spacing w:val="-2"/>
          <w:sz w:val="22"/>
        </w:rPr>
        <w:t> </w:t>
      </w:r>
      <w:r>
        <w:rPr>
          <w:rFonts w:ascii="Arial" w:hAnsi="Arial"/>
          <w:i/>
          <w:sz w:val="22"/>
        </w:rPr>
        <w:t>que</w:t>
      </w:r>
      <w:r>
        <w:rPr>
          <w:rFonts w:ascii="Arial" w:hAnsi="Arial"/>
          <w:i/>
          <w:spacing w:val="-2"/>
          <w:sz w:val="22"/>
        </w:rPr>
        <w:t> </w:t>
      </w:r>
      <w:r>
        <w:rPr>
          <w:rFonts w:ascii="Arial" w:hAnsi="Arial"/>
          <w:i/>
          <w:sz w:val="22"/>
        </w:rPr>
        <w:t>motivaron en</w:t>
      </w:r>
      <w:r>
        <w:rPr>
          <w:rFonts w:ascii="Arial" w:hAnsi="Arial"/>
          <w:i/>
          <w:spacing w:val="-2"/>
          <w:sz w:val="22"/>
        </w:rPr>
        <w:t> </w:t>
      </w:r>
      <w:r>
        <w:rPr>
          <w:rFonts w:ascii="Arial" w:hAnsi="Arial"/>
          <w:i/>
          <w:sz w:val="22"/>
        </w:rPr>
        <w:t>todos los</w:t>
      </w:r>
      <w:r>
        <w:rPr>
          <w:rFonts w:ascii="Arial" w:hAnsi="Arial"/>
          <w:i/>
          <w:spacing w:val="-2"/>
          <w:sz w:val="22"/>
        </w:rPr>
        <w:t> </w:t>
      </w:r>
      <w:r>
        <w:rPr>
          <w:rFonts w:ascii="Arial" w:hAnsi="Arial"/>
          <w:i/>
          <w:sz w:val="22"/>
        </w:rPr>
        <w:t>casos el reembarque de</w:t>
      </w:r>
      <w:r>
        <w:rPr>
          <w:rFonts w:ascii="Arial" w:hAnsi="Arial"/>
          <w:i/>
          <w:spacing w:val="-2"/>
          <w:sz w:val="22"/>
        </w:rPr>
        <w:t> </w:t>
      </w:r>
      <w:r>
        <w:rPr>
          <w:rFonts w:ascii="Arial" w:hAnsi="Arial"/>
          <w:i/>
          <w:sz w:val="22"/>
        </w:rPr>
        <w:t>la</w:t>
      </w:r>
      <w:r>
        <w:rPr>
          <w:rFonts w:ascii="Arial" w:hAnsi="Arial"/>
          <w:i/>
          <w:spacing w:val="-2"/>
          <w:sz w:val="22"/>
        </w:rPr>
        <w:t> </w:t>
      </w:r>
      <w:r>
        <w:rPr>
          <w:rFonts w:ascii="Arial" w:hAnsi="Arial"/>
          <w:i/>
          <w:sz w:val="22"/>
        </w:rPr>
        <w:t>mercancía</w:t>
      </w:r>
      <w:r>
        <w:rPr>
          <w:sz w:val="22"/>
        </w:rPr>
        <w:t>”</w:t>
      </w:r>
      <w:hyperlink w:history="true" w:anchor="_bookmark179">
        <w:r>
          <w:rPr>
            <w:sz w:val="22"/>
            <w:vertAlign w:val="superscript"/>
          </w:rPr>
          <w:t>112</w:t>
        </w:r>
      </w:hyperlink>
      <w:r>
        <w:rPr>
          <w:sz w:val="22"/>
          <w:vertAlign w:val="baseline"/>
        </w:rPr>
        <w:t>.</w:t>
      </w:r>
    </w:p>
    <w:p>
      <w:pPr>
        <w:pStyle w:val="ListParagraph"/>
        <w:numPr>
          <w:ilvl w:val="0"/>
          <w:numId w:val="50"/>
        </w:numPr>
        <w:tabs>
          <w:tab w:pos="1130" w:val="left" w:leader="none"/>
          <w:tab w:pos="1134" w:val="left" w:leader="none"/>
        </w:tabs>
        <w:spacing w:line="240" w:lineRule="auto" w:before="253" w:after="0"/>
        <w:ind w:left="1134" w:right="977" w:hanging="567"/>
        <w:jc w:val="both"/>
        <w:rPr>
          <w:rFonts w:ascii="Arial" w:hAnsi="Arial"/>
          <w:i/>
          <w:sz w:val="22"/>
        </w:rPr>
      </w:pPr>
      <w:r>
        <w:rPr>
          <w:sz w:val="22"/>
        </w:rPr>
        <w:t>Respecto de las medidas adoptadas para la trucha y pescado, se señala que la Septicemia</w:t>
      </w:r>
      <w:r>
        <w:rPr>
          <w:spacing w:val="-8"/>
          <w:sz w:val="22"/>
        </w:rPr>
        <w:t> </w:t>
      </w:r>
      <w:r>
        <w:rPr>
          <w:sz w:val="22"/>
        </w:rPr>
        <w:t>Hemorrágica</w:t>
      </w:r>
      <w:r>
        <w:rPr>
          <w:spacing w:val="-10"/>
          <w:sz w:val="22"/>
        </w:rPr>
        <w:t> </w:t>
      </w:r>
      <w:r>
        <w:rPr>
          <w:sz w:val="22"/>
        </w:rPr>
        <w:t>Viral</w:t>
      </w:r>
      <w:r>
        <w:rPr>
          <w:spacing w:val="-11"/>
          <w:sz w:val="22"/>
        </w:rPr>
        <w:t> </w:t>
      </w:r>
      <w:r>
        <w:rPr>
          <w:sz w:val="22"/>
        </w:rPr>
        <w:t>(VHS),</w:t>
      </w:r>
      <w:r>
        <w:rPr>
          <w:spacing w:val="-6"/>
          <w:sz w:val="22"/>
        </w:rPr>
        <w:t> </w:t>
      </w:r>
      <w:r>
        <w:rPr>
          <w:sz w:val="22"/>
        </w:rPr>
        <w:t>sería</w:t>
      </w:r>
      <w:r>
        <w:rPr>
          <w:spacing w:val="-10"/>
          <w:sz w:val="22"/>
        </w:rPr>
        <w:t> </w:t>
      </w:r>
      <w:r>
        <w:rPr>
          <w:sz w:val="22"/>
        </w:rPr>
        <w:t>una</w:t>
      </w:r>
      <w:r>
        <w:rPr>
          <w:spacing w:val="-9"/>
          <w:sz w:val="22"/>
        </w:rPr>
        <w:t> </w:t>
      </w:r>
      <w:r>
        <w:rPr>
          <w:sz w:val="22"/>
        </w:rPr>
        <w:t>enfermedad</w:t>
      </w:r>
      <w:r>
        <w:rPr>
          <w:spacing w:val="-10"/>
          <w:sz w:val="22"/>
        </w:rPr>
        <w:t> </w:t>
      </w:r>
      <w:r>
        <w:rPr>
          <w:sz w:val="22"/>
        </w:rPr>
        <w:t>de</w:t>
      </w:r>
      <w:r>
        <w:rPr>
          <w:spacing w:val="-8"/>
          <w:sz w:val="22"/>
        </w:rPr>
        <w:t> </w:t>
      </w:r>
      <w:r>
        <w:rPr>
          <w:sz w:val="22"/>
        </w:rPr>
        <w:t>notificación</w:t>
      </w:r>
      <w:r>
        <w:rPr>
          <w:spacing w:val="-7"/>
          <w:sz w:val="22"/>
        </w:rPr>
        <w:t> </w:t>
      </w:r>
      <w:r>
        <w:rPr>
          <w:sz w:val="22"/>
        </w:rPr>
        <w:t>obligatoria</w:t>
      </w:r>
      <w:r>
        <w:rPr>
          <w:spacing w:val="-9"/>
          <w:sz w:val="22"/>
        </w:rPr>
        <w:t> </w:t>
      </w:r>
      <w:r>
        <w:rPr>
          <w:sz w:val="22"/>
        </w:rPr>
        <w:t>y “</w:t>
      </w:r>
      <w:r>
        <w:rPr>
          <w:rFonts w:ascii="Arial" w:hAnsi="Arial"/>
          <w:i/>
          <w:sz w:val="22"/>
        </w:rPr>
        <w:t>que se caracteriza por su alta capacidad de diseminación, elevada mortalidad y significativo</w:t>
      </w:r>
      <w:r>
        <w:rPr>
          <w:rFonts w:ascii="Arial" w:hAnsi="Arial"/>
          <w:i/>
          <w:spacing w:val="-7"/>
          <w:sz w:val="22"/>
        </w:rPr>
        <w:t> </w:t>
      </w:r>
      <w:r>
        <w:rPr>
          <w:rFonts w:ascii="Arial" w:hAnsi="Arial"/>
          <w:i/>
          <w:sz w:val="22"/>
        </w:rPr>
        <w:t>impacto</w:t>
      </w:r>
      <w:r>
        <w:rPr>
          <w:rFonts w:ascii="Arial" w:hAnsi="Arial"/>
          <w:i/>
          <w:spacing w:val="-9"/>
          <w:sz w:val="22"/>
        </w:rPr>
        <w:t> </w:t>
      </w:r>
      <w:r>
        <w:rPr>
          <w:rFonts w:ascii="Arial" w:hAnsi="Arial"/>
          <w:i/>
          <w:sz w:val="22"/>
        </w:rPr>
        <w:t>económico</w:t>
      </w:r>
      <w:r>
        <w:rPr>
          <w:rFonts w:ascii="Arial" w:hAnsi="Arial"/>
          <w:i/>
          <w:spacing w:val="-6"/>
          <w:sz w:val="22"/>
        </w:rPr>
        <w:t> </w:t>
      </w:r>
      <w:r>
        <w:rPr>
          <w:rFonts w:ascii="Arial" w:hAnsi="Arial"/>
          <w:i/>
          <w:sz w:val="22"/>
        </w:rPr>
        <w:t>en</w:t>
      </w:r>
      <w:r>
        <w:rPr>
          <w:rFonts w:ascii="Arial" w:hAnsi="Arial"/>
          <w:i/>
          <w:spacing w:val="-9"/>
          <w:sz w:val="22"/>
        </w:rPr>
        <w:t> </w:t>
      </w:r>
      <w:r>
        <w:rPr>
          <w:rFonts w:ascii="Arial" w:hAnsi="Arial"/>
          <w:i/>
          <w:sz w:val="22"/>
        </w:rPr>
        <w:t>la</w:t>
      </w:r>
      <w:r>
        <w:rPr>
          <w:rFonts w:ascii="Arial" w:hAnsi="Arial"/>
          <w:i/>
          <w:spacing w:val="-9"/>
          <w:sz w:val="22"/>
        </w:rPr>
        <w:t> </w:t>
      </w:r>
      <w:r>
        <w:rPr>
          <w:rFonts w:ascii="Arial" w:hAnsi="Arial"/>
          <w:i/>
          <w:sz w:val="22"/>
        </w:rPr>
        <w:t>acuicultura.</w:t>
      </w:r>
      <w:r>
        <w:rPr>
          <w:rFonts w:ascii="Arial" w:hAnsi="Arial"/>
          <w:i/>
          <w:spacing w:val="-7"/>
          <w:sz w:val="22"/>
        </w:rPr>
        <w:t> </w:t>
      </w:r>
      <w:r>
        <w:rPr>
          <w:rFonts w:ascii="Arial" w:hAnsi="Arial"/>
          <w:i/>
          <w:sz w:val="22"/>
        </w:rPr>
        <w:t>De</w:t>
      </w:r>
      <w:r>
        <w:rPr>
          <w:rFonts w:ascii="Arial" w:hAnsi="Arial"/>
          <w:i/>
          <w:spacing w:val="-9"/>
          <w:sz w:val="22"/>
        </w:rPr>
        <w:t> </w:t>
      </w:r>
      <w:r>
        <w:rPr>
          <w:rFonts w:ascii="Arial" w:hAnsi="Arial"/>
          <w:i/>
          <w:sz w:val="22"/>
        </w:rPr>
        <w:t>acuerdo</w:t>
      </w:r>
      <w:r>
        <w:rPr>
          <w:rFonts w:ascii="Arial" w:hAnsi="Arial"/>
          <w:i/>
          <w:spacing w:val="-9"/>
          <w:sz w:val="22"/>
        </w:rPr>
        <w:t> </w:t>
      </w:r>
      <w:r>
        <w:rPr>
          <w:rFonts w:ascii="Arial" w:hAnsi="Arial"/>
          <w:i/>
          <w:sz w:val="22"/>
        </w:rPr>
        <w:t>con</w:t>
      </w:r>
      <w:r>
        <w:rPr>
          <w:rFonts w:ascii="Arial" w:hAnsi="Arial"/>
          <w:i/>
          <w:spacing w:val="-9"/>
          <w:sz w:val="22"/>
        </w:rPr>
        <w:t> </w:t>
      </w:r>
      <w:r>
        <w:rPr>
          <w:rFonts w:ascii="Arial" w:hAnsi="Arial"/>
          <w:i/>
          <w:sz w:val="22"/>
        </w:rPr>
        <w:t>el</w:t>
      </w:r>
      <w:r>
        <w:rPr>
          <w:rFonts w:ascii="Arial" w:hAnsi="Arial"/>
          <w:i/>
          <w:spacing w:val="-10"/>
          <w:sz w:val="22"/>
        </w:rPr>
        <w:t> </w:t>
      </w:r>
      <w:r>
        <w:rPr>
          <w:rFonts w:ascii="Arial" w:hAnsi="Arial"/>
          <w:i/>
          <w:sz w:val="22"/>
        </w:rPr>
        <w:t>sistema</w:t>
      </w:r>
      <w:r>
        <w:rPr>
          <w:rFonts w:ascii="Arial" w:hAnsi="Arial"/>
          <w:i/>
          <w:spacing w:val="-9"/>
          <w:sz w:val="22"/>
        </w:rPr>
        <w:t> </w:t>
      </w:r>
      <w:r>
        <w:rPr>
          <w:rFonts w:ascii="Arial" w:hAnsi="Arial"/>
          <w:i/>
          <w:sz w:val="22"/>
        </w:rPr>
        <w:t>WAHIS</w:t>
      </w:r>
      <w:r>
        <w:rPr>
          <w:rFonts w:ascii="Arial" w:hAnsi="Arial"/>
          <w:i/>
          <w:spacing w:val="-9"/>
          <w:sz w:val="22"/>
        </w:rPr>
        <w:t> </w:t>
      </w:r>
      <w:r>
        <w:rPr>
          <w:rFonts w:ascii="Arial" w:hAnsi="Arial"/>
          <w:i/>
          <w:sz w:val="22"/>
        </w:rPr>
        <w:t>de la OMSA, el virus se transmite principalmente a través del movimiento de peces vivos, ovas y material genético sin certificación sanitaria, pudiendo circular además de forma subclínica en reproductores</w:t>
      </w:r>
      <w:r>
        <w:rPr>
          <w:sz w:val="22"/>
        </w:rPr>
        <w:t>”</w:t>
      </w:r>
      <w:r>
        <w:rPr>
          <w:rFonts w:ascii="Arial" w:hAnsi="Arial"/>
          <w:i/>
          <w:sz w:val="22"/>
        </w:rPr>
        <w:t>.</w:t>
      </w:r>
    </w:p>
    <w:p>
      <w:pPr>
        <w:pStyle w:val="BodyText"/>
        <w:spacing w:before="2"/>
        <w:rPr>
          <w:rFonts w:ascii="Arial"/>
          <w:i/>
        </w:rPr>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Según</w:t>
      </w:r>
      <w:r>
        <w:rPr>
          <w:spacing w:val="-8"/>
          <w:sz w:val="22"/>
        </w:rPr>
        <w:t> </w:t>
      </w:r>
      <w:r>
        <w:rPr>
          <w:sz w:val="22"/>
        </w:rPr>
        <w:t>lo</w:t>
      </w:r>
      <w:r>
        <w:rPr>
          <w:spacing w:val="-7"/>
          <w:sz w:val="22"/>
        </w:rPr>
        <w:t> </w:t>
      </w:r>
      <w:r>
        <w:rPr>
          <w:sz w:val="22"/>
        </w:rPr>
        <w:t>sostenido</w:t>
      </w:r>
      <w:r>
        <w:rPr>
          <w:spacing w:val="-8"/>
          <w:sz w:val="22"/>
        </w:rPr>
        <w:t> </w:t>
      </w:r>
      <w:r>
        <w:rPr>
          <w:sz w:val="22"/>
        </w:rPr>
        <w:t>por</w:t>
      </w:r>
      <w:r>
        <w:rPr>
          <w:spacing w:val="-6"/>
          <w:sz w:val="22"/>
        </w:rPr>
        <w:t> </w:t>
      </w:r>
      <w:r>
        <w:rPr>
          <w:sz w:val="22"/>
        </w:rPr>
        <w:t>la</w:t>
      </w:r>
      <w:r>
        <w:rPr>
          <w:spacing w:val="-7"/>
          <w:sz w:val="22"/>
        </w:rPr>
        <w:t> </w:t>
      </w:r>
      <w:r>
        <w:rPr>
          <w:sz w:val="22"/>
        </w:rPr>
        <w:t>República</w:t>
      </w:r>
      <w:r>
        <w:rPr>
          <w:spacing w:val="-7"/>
          <w:sz w:val="22"/>
        </w:rPr>
        <w:t> </w:t>
      </w:r>
      <w:r>
        <w:rPr>
          <w:sz w:val="22"/>
        </w:rPr>
        <w:t>de</w:t>
      </w:r>
      <w:r>
        <w:rPr>
          <w:spacing w:val="-8"/>
          <w:sz w:val="22"/>
        </w:rPr>
        <w:t> </w:t>
      </w:r>
      <w:r>
        <w:rPr>
          <w:sz w:val="22"/>
        </w:rPr>
        <w:t>Colombia,</w:t>
      </w:r>
      <w:r>
        <w:rPr>
          <w:spacing w:val="-6"/>
          <w:sz w:val="22"/>
        </w:rPr>
        <w:t> </w:t>
      </w:r>
      <w:r>
        <w:rPr>
          <w:sz w:val="22"/>
        </w:rPr>
        <w:t>el</w:t>
      </w:r>
      <w:r>
        <w:rPr>
          <w:spacing w:val="-8"/>
          <w:sz w:val="22"/>
        </w:rPr>
        <w:t> </w:t>
      </w:r>
      <w:r>
        <w:rPr>
          <w:sz w:val="22"/>
        </w:rPr>
        <w:t>Instituto</w:t>
      </w:r>
      <w:r>
        <w:rPr>
          <w:spacing w:val="-9"/>
          <w:sz w:val="22"/>
        </w:rPr>
        <w:t> </w:t>
      </w:r>
      <w:r>
        <w:rPr>
          <w:sz w:val="22"/>
        </w:rPr>
        <w:t>Colombiano</w:t>
      </w:r>
      <w:r>
        <w:rPr>
          <w:spacing w:val="-10"/>
          <w:sz w:val="22"/>
        </w:rPr>
        <w:t> </w:t>
      </w:r>
      <w:r>
        <w:rPr>
          <w:sz w:val="22"/>
        </w:rPr>
        <w:t>Agropecuario (ICA) habría formulado, como hipótesis, que el brote detectado en el año 2026 en la Laguna de La Cocha (departamento de Nariño) estaría asociado al</w:t>
      </w:r>
      <w:r>
        <w:rPr>
          <w:spacing w:val="-1"/>
          <w:sz w:val="22"/>
        </w:rPr>
        <w:t> </w:t>
      </w:r>
      <w:r>
        <w:rPr>
          <w:sz w:val="22"/>
        </w:rPr>
        <w:t>ingreso de material genético de procedencia desconocida, el cual habría ingresado sin cumplir con los controles</w:t>
      </w:r>
      <w:r>
        <w:rPr>
          <w:spacing w:val="-16"/>
          <w:sz w:val="22"/>
        </w:rPr>
        <w:t> </w:t>
      </w:r>
      <w:r>
        <w:rPr>
          <w:sz w:val="22"/>
        </w:rPr>
        <w:t>sanitarios</w:t>
      </w:r>
      <w:r>
        <w:rPr>
          <w:spacing w:val="-15"/>
          <w:sz w:val="22"/>
        </w:rPr>
        <w:t> </w:t>
      </w:r>
      <w:r>
        <w:rPr>
          <w:sz w:val="22"/>
        </w:rPr>
        <w:t>exigidos,</w:t>
      </w:r>
      <w:r>
        <w:rPr>
          <w:spacing w:val="-15"/>
          <w:sz w:val="22"/>
        </w:rPr>
        <w:t> </w:t>
      </w:r>
      <w:r>
        <w:rPr>
          <w:sz w:val="22"/>
        </w:rPr>
        <w:t>y</w:t>
      </w:r>
      <w:r>
        <w:rPr>
          <w:spacing w:val="-16"/>
          <w:sz w:val="22"/>
        </w:rPr>
        <w:t> </w:t>
      </w:r>
      <w:r>
        <w:rPr>
          <w:sz w:val="22"/>
        </w:rPr>
        <w:t>que,</w:t>
      </w:r>
      <w:r>
        <w:rPr>
          <w:spacing w:val="-15"/>
          <w:sz w:val="22"/>
        </w:rPr>
        <w:t> </w:t>
      </w:r>
      <w:r>
        <w:rPr>
          <w:sz w:val="22"/>
        </w:rPr>
        <w:t>en</w:t>
      </w:r>
      <w:r>
        <w:rPr>
          <w:spacing w:val="-15"/>
          <w:sz w:val="22"/>
        </w:rPr>
        <w:t> </w:t>
      </w:r>
      <w:r>
        <w:rPr>
          <w:sz w:val="22"/>
        </w:rPr>
        <w:t>tal</w:t>
      </w:r>
      <w:r>
        <w:rPr>
          <w:spacing w:val="-15"/>
          <w:sz w:val="22"/>
        </w:rPr>
        <w:t> </w:t>
      </w:r>
      <w:r>
        <w:rPr>
          <w:sz w:val="22"/>
        </w:rPr>
        <w:t>sentido,</w:t>
      </w:r>
      <w:r>
        <w:rPr>
          <w:spacing w:val="-16"/>
          <w:sz w:val="22"/>
        </w:rPr>
        <w:t> </w:t>
      </w:r>
      <w:r>
        <w:rPr>
          <w:sz w:val="22"/>
        </w:rPr>
        <w:t>constituiría</w:t>
      </w:r>
      <w:r>
        <w:rPr>
          <w:spacing w:val="-15"/>
          <w:sz w:val="22"/>
        </w:rPr>
        <w:t> </w:t>
      </w:r>
      <w:r>
        <w:rPr>
          <w:sz w:val="22"/>
        </w:rPr>
        <w:t>el</w:t>
      </w:r>
      <w:r>
        <w:rPr>
          <w:spacing w:val="-15"/>
          <w:sz w:val="22"/>
        </w:rPr>
        <w:t> </w:t>
      </w:r>
      <w:r>
        <w:rPr>
          <w:sz w:val="22"/>
        </w:rPr>
        <w:t>origen</w:t>
      </w:r>
      <w:r>
        <w:rPr>
          <w:spacing w:val="-16"/>
          <w:sz w:val="22"/>
        </w:rPr>
        <w:t> </w:t>
      </w:r>
      <w:r>
        <w:rPr>
          <w:sz w:val="22"/>
        </w:rPr>
        <w:t>del</w:t>
      </w:r>
      <w:r>
        <w:rPr>
          <w:spacing w:val="-15"/>
          <w:sz w:val="22"/>
        </w:rPr>
        <w:t> </w:t>
      </w:r>
      <w:r>
        <w:rPr>
          <w:sz w:val="22"/>
        </w:rPr>
        <w:t>referido</w:t>
      </w:r>
      <w:r>
        <w:rPr>
          <w:spacing w:val="-15"/>
          <w:sz w:val="22"/>
        </w:rPr>
        <w:t> </w:t>
      </w:r>
      <w:r>
        <w:rPr>
          <w:sz w:val="22"/>
        </w:rPr>
        <w:t>brote </w:t>
      </w:r>
      <w:r>
        <w:rPr>
          <w:spacing w:val="-2"/>
          <w:sz w:val="22"/>
        </w:rPr>
        <w:t>viral.</w:t>
      </w:r>
    </w:p>
    <w:p>
      <w:pPr>
        <w:pStyle w:val="BodyText"/>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También se indica, que “</w:t>
      </w:r>
      <w:r>
        <w:rPr>
          <w:rFonts w:ascii="Arial" w:hAnsi="Arial"/>
          <w:i/>
          <w:sz w:val="22"/>
        </w:rPr>
        <w:t>el sistema productivo de trucha colombiano depende en un 100% de la importación de ovas embrionadas provenientes principalmente de los Estados Unidos, circunstancia que incrementa la sensibilidad sanitaria y biosegura del sector frente al ingreso irregular de peces vivos o material biológico por frontera </w:t>
      </w:r>
      <w:r>
        <w:rPr>
          <w:rFonts w:ascii="Arial" w:hAnsi="Arial"/>
          <w:i/>
          <w:spacing w:val="-2"/>
          <w:sz w:val="22"/>
        </w:rPr>
        <w:t>terrestre</w:t>
      </w:r>
      <w:r>
        <w:rPr>
          <w:spacing w:val="-2"/>
          <w:sz w:val="22"/>
        </w:rPr>
        <w:t>.”.</w:t>
      </w:r>
    </w:p>
    <w:p>
      <w:pPr>
        <w:pStyle w:val="ListParagraph"/>
        <w:numPr>
          <w:ilvl w:val="0"/>
          <w:numId w:val="50"/>
        </w:numPr>
        <w:tabs>
          <w:tab w:pos="1130" w:val="left" w:leader="none"/>
          <w:tab w:pos="1134" w:val="left" w:leader="none"/>
        </w:tabs>
        <w:spacing w:line="240" w:lineRule="auto" w:before="253" w:after="0"/>
        <w:ind w:left="1134" w:right="980" w:hanging="567"/>
        <w:jc w:val="both"/>
        <w:rPr>
          <w:rFonts w:ascii="Arial" w:hAnsi="Arial"/>
          <w:i/>
          <w:sz w:val="22"/>
        </w:rPr>
      </w:pPr>
      <w:r>
        <w:rPr>
          <w:sz w:val="22"/>
        </w:rPr>
        <w:t>Por último, se menciona que la medida de canalización del ingreso de mercancías estaría “</w:t>
      </w:r>
      <w:r>
        <w:rPr>
          <w:rFonts w:ascii="Arial" w:hAnsi="Arial"/>
          <w:i/>
          <w:sz w:val="22"/>
        </w:rPr>
        <w:t>enmarcada simultáneamente en el en (i) la excepción del literal d) del artículo 73 del Acuerdo de Cartagena, desarrollada por la Decisión 515 (Sistema Andino de Sanidad Agropecuaria); (ii) el principio de precaución contenido en el artículo 5.7 del Acuerdo sobre la Aplicación de Medidas Sanitarias y Fitosanitarias de la OMC9; y (iii) los estándares internacionales de la CIPF, la OMSA y el Codex Alimentarius”.</w:t>
      </w:r>
    </w:p>
    <w:p>
      <w:pPr>
        <w:pStyle w:val="Heading6"/>
        <w:numPr>
          <w:ilvl w:val="0"/>
          <w:numId w:val="111"/>
        </w:numPr>
        <w:tabs>
          <w:tab w:pos="1561" w:val="left" w:leader="none"/>
        </w:tabs>
        <w:spacing w:line="240" w:lineRule="auto" w:before="253" w:after="0"/>
        <w:ind w:left="1561" w:right="0" w:hanging="359"/>
        <w:jc w:val="left"/>
      </w:pPr>
      <w:r>
        <w:rPr/>
        <w:t>Análisis</w:t>
      </w:r>
      <w:r>
        <w:rPr>
          <w:spacing w:val="-5"/>
        </w:rPr>
        <w:t> </w:t>
      </w:r>
      <w:r>
        <w:rPr/>
        <w:t>de</w:t>
      </w:r>
      <w:r>
        <w:rPr>
          <w:spacing w:val="-4"/>
        </w:rPr>
        <w:t> </w:t>
      </w:r>
      <w:r>
        <w:rPr/>
        <w:t>la</w:t>
      </w:r>
      <w:r>
        <w:rPr>
          <w:spacing w:val="-4"/>
        </w:rPr>
        <w:t> SGCAN</w:t>
      </w:r>
    </w:p>
    <w:p>
      <w:pPr>
        <w:pStyle w:val="ListParagraph"/>
        <w:numPr>
          <w:ilvl w:val="0"/>
          <w:numId w:val="112"/>
        </w:numPr>
        <w:tabs>
          <w:tab w:pos="1274" w:val="left" w:leader="none"/>
          <w:tab w:pos="1276" w:val="left" w:leader="none"/>
        </w:tabs>
        <w:spacing w:line="240" w:lineRule="auto" w:before="251" w:after="0"/>
        <w:ind w:left="1276" w:right="978" w:hanging="348"/>
        <w:jc w:val="left"/>
        <w:rPr>
          <w:rFonts w:ascii="Arial" w:hAnsi="Arial"/>
          <w:i/>
          <w:sz w:val="22"/>
        </w:rPr>
      </w:pPr>
      <w:r>
        <w:rPr>
          <w:rFonts w:ascii="Arial" w:hAnsi="Arial"/>
          <w:i/>
          <w:sz w:val="22"/>
          <w:u w:val="single"/>
        </w:rPr>
        <w:t>Análisis</w:t>
      </w:r>
      <w:r>
        <w:rPr>
          <w:rFonts w:ascii="Arial" w:hAnsi="Arial"/>
          <w:i/>
          <w:spacing w:val="-5"/>
          <w:sz w:val="22"/>
          <w:u w:val="single"/>
        </w:rPr>
        <w:t> </w:t>
      </w:r>
      <w:r>
        <w:rPr>
          <w:rFonts w:ascii="Arial" w:hAnsi="Arial"/>
          <w:i/>
          <w:sz w:val="22"/>
          <w:u w:val="single"/>
        </w:rPr>
        <w:t>para</w:t>
      </w:r>
      <w:r>
        <w:rPr>
          <w:rFonts w:ascii="Arial" w:hAnsi="Arial"/>
          <w:i/>
          <w:spacing w:val="-5"/>
          <w:sz w:val="22"/>
          <w:u w:val="single"/>
        </w:rPr>
        <w:t> </w:t>
      </w:r>
      <w:r>
        <w:rPr>
          <w:rFonts w:ascii="Arial" w:hAnsi="Arial"/>
          <w:i/>
          <w:sz w:val="22"/>
          <w:u w:val="single"/>
        </w:rPr>
        <w:t>determinar</w:t>
      </w:r>
      <w:r>
        <w:rPr>
          <w:rFonts w:ascii="Arial" w:hAnsi="Arial"/>
          <w:i/>
          <w:spacing w:val="-9"/>
          <w:sz w:val="22"/>
          <w:u w:val="single"/>
        </w:rPr>
        <w:t> </w:t>
      </w:r>
      <w:r>
        <w:rPr>
          <w:rFonts w:ascii="Arial" w:hAnsi="Arial"/>
          <w:i/>
          <w:sz w:val="22"/>
          <w:u w:val="single"/>
        </w:rPr>
        <w:t>si</w:t>
      </w:r>
      <w:r>
        <w:rPr>
          <w:rFonts w:ascii="Arial" w:hAnsi="Arial"/>
          <w:i/>
          <w:spacing w:val="-6"/>
          <w:sz w:val="22"/>
          <w:u w:val="single"/>
        </w:rPr>
        <w:t> </w:t>
      </w:r>
      <w:r>
        <w:rPr>
          <w:rFonts w:ascii="Arial" w:hAnsi="Arial"/>
          <w:i/>
          <w:sz w:val="22"/>
          <w:u w:val="single"/>
        </w:rPr>
        <w:t>la</w:t>
      </w:r>
      <w:r>
        <w:rPr>
          <w:rFonts w:ascii="Arial" w:hAnsi="Arial"/>
          <w:i/>
          <w:spacing w:val="-5"/>
          <w:sz w:val="22"/>
          <w:u w:val="single"/>
        </w:rPr>
        <w:t> </w:t>
      </w:r>
      <w:r>
        <w:rPr>
          <w:rFonts w:ascii="Arial" w:hAnsi="Arial"/>
          <w:i/>
          <w:sz w:val="22"/>
          <w:u w:val="single"/>
        </w:rPr>
        <w:t>medida</w:t>
      </w:r>
      <w:r>
        <w:rPr>
          <w:rFonts w:ascii="Arial" w:hAnsi="Arial"/>
          <w:i/>
          <w:spacing w:val="-3"/>
          <w:sz w:val="22"/>
          <w:u w:val="single"/>
        </w:rPr>
        <w:t> </w:t>
      </w:r>
      <w:r>
        <w:rPr>
          <w:rFonts w:ascii="Arial" w:hAnsi="Arial"/>
          <w:i/>
          <w:sz w:val="22"/>
          <w:u w:val="single"/>
        </w:rPr>
        <w:t>objeto</w:t>
      </w:r>
      <w:r>
        <w:rPr>
          <w:rFonts w:ascii="Arial" w:hAnsi="Arial"/>
          <w:i/>
          <w:spacing w:val="-5"/>
          <w:sz w:val="22"/>
          <w:u w:val="single"/>
        </w:rPr>
        <w:t> </w:t>
      </w:r>
      <w:r>
        <w:rPr>
          <w:rFonts w:ascii="Arial" w:hAnsi="Arial"/>
          <w:i/>
          <w:sz w:val="22"/>
          <w:u w:val="single"/>
        </w:rPr>
        <w:t>de</w:t>
      </w:r>
      <w:r>
        <w:rPr>
          <w:rFonts w:ascii="Arial" w:hAnsi="Arial"/>
          <w:i/>
          <w:spacing w:val="-8"/>
          <w:sz w:val="22"/>
          <w:u w:val="single"/>
        </w:rPr>
        <w:t> </w:t>
      </w:r>
      <w:r>
        <w:rPr>
          <w:rFonts w:ascii="Arial" w:hAnsi="Arial"/>
          <w:i/>
          <w:sz w:val="22"/>
          <w:u w:val="single"/>
        </w:rPr>
        <w:t>investigación</w:t>
      </w:r>
      <w:r>
        <w:rPr>
          <w:rFonts w:ascii="Arial" w:hAnsi="Arial"/>
          <w:i/>
          <w:spacing w:val="-5"/>
          <w:sz w:val="22"/>
          <w:u w:val="single"/>
        </w:rPr>
        <w:t> </w:t>
      </w:r>
      <w:r>
        <w:rPr>
          <w:rFonts w:ascii="Arial" w:hAnsi="Arial"/>
          <w:i/>
          <w:sz w:val="22"/>
          <w:u w:val="single"/>
        </w:rPr>
        <w:t>impide</w:t>
      </w:r>
      <w:r>
        <w:rPr>
          <w:rFonts w:ascii="Arial" w:hAnsi="Arial"/>
          <w:i/>
          <w:spacing w:val="-5"/>
          <w:sz w:val="22"/>
          <w:u w:val="single"/>
        </w:rPr>
        <w:t> </w:t>
      </w:r>
      <w:r>
        <w:rPr>
          <w:rFonts w:ascii="Arial" w:hAnsi="Arial"/>
          <w:i/>
          <w:sz w:val="22"/>
          <w:u w:val="single"/>
        </w:rPr>
        <w:t>las</w:t>
      </w:r>
      <w:r>
        <w:rPr>
          <w:rFonts w:ascii="Arial" w:hAnsi="Arial"/>
          <w:i/>
          <w:spacing w:val="-7"/>
          <w:sz w:val="22"/>
          <w:u w:val="single"/>
        </w:rPr>
        <w:t> </w:t>
      </w:r>
      <w:r>
        <w:rPr>
          <w:rFonts w:ascii="Arial" w:hAnsi="Arial"/>
          <w:i/>
          <w:sz w:val="22"/>
          <w:u w:val="single"/>
        </w:rPr>
        <w:t>importaciones</w:t>
      </w:r>
      <w:r>
        <w:rPr>
          <w:rFonts w:ascii="Arial" w:hAnsi="Arial"/>
          <w:i/>
          <w:sz w:val="22"/>
        </w:rPr>
        <w:t> </w:t>
      </w:r>
      <w:r>
        <w:rPr>
          <w:rFonts w:ascii="Arial" w:hAnsi="Arial"/>
          <w:i/>
          <w:sz w:val="22"/>
          <w:u w:val="single"/>
        </w:rPr>
        <w:t>de productos pesqueros</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Para</w:t>
      </w:r>
      <w:r>
        <w:rPr>
          <w:spacing w:val="-9"/>
          <w:sz w:val="22"/>
        </w:rPr>
        <w:t> </w:t>
      </w:r>
      <w:r>
        <w:rPr>
          <w:sz w:val="22"/>
        </w:rPr>
        <w:t>la</w:t>
      </w:r>
      <w:r>
        <w:rPr>
          <w:spacing w:val="-12"/>
          <w:sz w:val="22"/>
        </w:rPr>
        <w:t> </w:t>
      </w:r>
      <w:r>
        <w:rPr>
          <w:sz w:val="22"/>
        </w:rPr>
        <w:t>revisión</w:t>
      </w:r>
      <w:r>
        <w:rPr>
          <w:spacing w:val="-10"/>
          <w:sz w:val="22"/>
        </w:rPr>
        <w:t> </w:t>
      </w:r>
      <w:r>
        <w:rPr>
          <w:sz w:val="22"/>
        </w:rPr>
        <w:t>de</w:t>
      </w:r>
      <w:r>
        <w:rPr>
          <w:spacing w:val="-13"/>
          <w:sz w:val="22"/>
        </w:rPr>
        <w:t> </w:t>
      </w:r>
      <w:r>
        <w:rPr>
          <w:sz w:val="22"/>
        </w:rPr>
        <w:t>la</w:t>
      </w:r>
      <w:r>
        <w:rPr>
          <w:spacing w:val="-12"/>
          <w:sz w:val="22"/>
        </w:rPr>
        <w:t> </w:t>
      </w:r>
      <w:r>
        <w:rPr>
          <w:sz w:val="22"/>
        </w:rPr>
        <w:t>medida</w:t>
      </w:r>
      <w:r>
        <w:rPr>
          <w:spacing w:val="-10"/>
          <w:sz w:val="22"/>
        </w:rPr>
        <w:t> </w:t>
      </w:r>
      <w:r>
        <w:rPr>
          <w:sz w:val="22"/>
        </w:rPr>
        <w:t>aplicada</w:t>
      </w:r>
      <w:r>
        <w:rPr>
          <w:spacing w:val="-10"/>
          <w:sz w:val="22"/>
        </w:rPr>
        <w:t> </w:t>
      </w:r>
      <w:r>
        <w:rPr>
          <w:sz w:val="22"/>
        </w:rPr>
        <w:t>por</w:t>
      </w:r>
      <w:r>
        <w:rPr>
          <w:spacing w:val="-11"/>
          <w:sz w:val="22"/>
        </w:rPr>
        <w:t> </w:t>
      </w:r>
      <w:r>
        <w:rPr>
          <w:sz w:val="22"/>
        </w:rPr>
        <w:t>la</w:t>
      </w:r>
      <w:r>
        <w:rPr>
          <w:spacing w:val="-10"/>
          <w:sz w:val="22"/>
        </w:rPr>
        <w:t> </w:t>
      </w:r>
      <w:r>
        <w:rPr>
          <w:sz w:val="22"/>
        </w:rPr>
        <w:t>República</w:t>
      </w:r>
      <w:r>
        <w:rPr>
          <w:spacing w:val="-10"/>
          <w:sz w:val="22"/>
        </w:rPr>
        <w:t> </w:t>
      </w:r>
      <w:r>
        <w:rPr>
          <w:sz w:val="22"/>
        </w:rPr>
        <w:t>de</w:t>
      </w:r>
      <w:r>
        <w:rPr>
          <w:spacing w:val="-10"/>
          <w:sz w:val="22"/>
        </w:rPr>
        <w:t> </w:t>
      </w:r>
      <w:r>
        <w:rPr>
          <w:sz w:val="22"/>
        </w:rPr>
        <w:t>Colombia</w:t>
      </w:r>
      <w:r>
        <w:rPr>
          <w:spacing w:val="-10"/>
          <w:sz w:val="22"/>
        </w:rPr>
        <w:t> </w:t>
      </w:r>
      <w:r>
        <w:rPr>
          <w:sz w:val="22"/>
        </w:rPr>
        <w:t>a</w:t>
      </w:r>
      <w:r>
        <w:rPr>
          <w:spacing w:val="-12"/>
          <w:sz w:val="22"/>
        </w:rPr>
        <w:t> </w:t>
      </w:r>
      <w:r>
        <w:rPr>
          <w:sz w:val="22"/>
        </w:rPr>
        <w:t>las</w:t>
      </w:r>
      <w:r>
        <w:rPr>
          <w:spacing w:val="-15"/>
          <w:sz w:val="22"/>
        </w:rPr>
        <w:t> </w:t>
      </w:r>
      <w:r>
        <w:rPr>
          <w:sz w:val="22"/>
        </w:rPr>
        <w:t>importaciones de productos pesqueros, y de manera análoga a lo realizado respecto de los demás productos comprendidos en el artículo 2 del Decreto N.º 170, se llevará a cabo un análisis</w:t>
      </w:r>
      <w:r>
        <w:rPr>
          <w:spacing w:val="-16"/>
          <w:sz w:val="22"/>
        </w:rPr>
        <w:t> </w:t>
      </w:r>
      <w:r>
        <w:rPr>
          <w:sz w:val="22"/>
        </w:rPr>
        <w:t>individual,</w:t>
      </w:r>
      <w:r>
        <w:rPr>
          <w:spacing w:val="-15"/>
          <w:sz w:val="22"/>
        </w:rPr>
        <w:t> </w:t>
      </w:r>
      <w:r>
        <w:rPr>
          <w:sz w:val="22"/>
        </w:rPr>
        <w:t>producto</w:t>
      </w:r>
      <w:r>
        <w:rPr>
          <w:spacing w:val="-15"/>
          <w:sz w:val="22"/>
        </w:rPr>
        <w:t> </w:t>
      </w:r>
      <w:r>
        <w:rPr>
          <w:sz w:val="22"/>
        </w:rPr>
        <w:t>por</w:t>
      </w:r>
      <w:r>
        <w:rPr>
          <w:spacing w:val="-16"/>
          <w:sz w:val="22"/>
        </w:rPr>
        <w:t> </w:t>
      </w:r>
      <w:r>
        <w:rPr>
          <w:sz w:val="22"/>
        </w:rPr>
        <w:t>producto,</w:t>
      </w:r>
      <w:r>
        <w:rPr>
          <w:spacing w:val="-15"/>
          <w:sz w:val="22"/>
        </w:rPr>
        <w:t> </w:t>
      </w:r>
      <w:r>
        <w:rPr>
          <w:sz w:val="22"/>
        </w:rPr>
        <w:t>orientado</w:t>
      </w:r>
      <w:r>
        <w:rPr>
          <w:spacing w:val="-15"/>
          <w:sz w:val="22"/>
        </w:rPr>
        <w:t> </w:t>
      </w:r>
      <w:r>
        <w:rPr>
          <w:sz w:val="22"/>
        </w:rPr>
        <w:t>a</w:t>
      </w:r>
      <w:r>
        <w:rPr>
          <w:spacing w:val="-15"/>
          <w:sz w:val="22"/>
        </w:rPr>
        <w:t> </w:t>
      </w:r>
      <w:r>
        <w:rPr>
          <w:sz w:val="22"/>
        </w:rPr>
        <w:t>verificar</w:t>
      </w:r>
      <w:r>
        <w:rPr>
          <w:spacing w:val="-16"/>
          <w:sz w:val="22"/>
        </w:rPr>
        <w:t> </w:t>
      </w:r>
      <w:r>
        <w:rPr>
          <w:sz w:val="22"/>
        </w:rPr>
        <w:t>el</w:t>
      </w:r>
      <w:r>
        <w:rPr>
          <w:spacing w:val="-15"/>
          <w:sz w:val="22"/>
        </w:rPr>
        <w:t> </w:t>
      </w:r>
      <w:r>
        <w:rPr>
          <w:sz w:val="22"/>
        </w:rPr>
        <w:t>cumplimiento</w:t>
      </w:r>
      <w:r>
        <w:rPr>
          <w:spacing w:val="-15"/>
          <w:sz w:val="22"/>
        </w:rPr>
        <w:t> </w:t>
      </w:r>
      <w:r>
        <w:rPr>
          <w:sz w:val="22"/>
        </w:rPr>
        <w:t>del</w:t>
      </w:r>
      <w:r>
        <w:rPr>
          <w:spacing w:val="-16"/>
          <w:sz w:val="22"/>
        </w:rPr>
        <w:t> </w:t>
      </w:r>
      <w:r>
        <w:rPr>
          <w:sz w:val="22"/>
        </w:rPr>
        <w:t>marco normativo aplicable a la adopción de medidas sanitarias y fitosanitarias.</w:t>
      </w:r>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81" w:hanging="567"/>
        <w:jc w:val="both"/>
        <w:rPr>
          <w:sz w:val="22"/>
        </w:rPr>
      </w:pPr>
      <w:r>
        <w:rPr>
          <w:sz w:val="22"/>
        </w:rPr>
        <w:t>En ese sentido, resulta asimismo pertinente destacar que, de conformidad con lo dispuesto en la Decisión 515, que establece el Sistema Andino de Sanidad Agropecuaria, los Países Miembros que pretendan adoptar medidas sanitarias o fitosanitarias que impliquen restricciones al comercio intracomunitario deben observar los</w:t>
      </w:r>
      <w:r>
        <w:rPr>
          <w:spacing w:val="-5"/>
          <w:sz w:val="22"/>
        </w:rPr>
        <w:t> </w:t>
      </w:r>
      <w:r>
        <w:rPr>
          <w:sz w:val="22"/>
        </w:rPr>
        <w:t>procedimientos</w:t>
      </w:r>
      <w:r>
        <w:rPr>
          <w:spacing w:val="-6"/>
          <w:sz w:val="22"/>
        </w:rPr>
        <w:t> </w:t>
      </w:r>
      <w:r>
        <w:rPr>
          <w:sz w:val="22"/>
        </w:rPr>
        <w:t>específicos</w:t>
      </w:r>
      <w:r>
        <w:rPr>
          <w:spacing w:val="-5"/>
          <w:sz w:val="22"/>
        </w:rPr>
        <w:t> </w:t>
      </w:r>
      <w:r>
        <w:rPr>
          <w:sz w:val="22"/>
        </w:rPr>
        <w:t>previstos</w:t>
      </w:r>
      <w:r>
        <w:rPr>
          <w:spacing w:val="-5"/>
          <w:sz w:val="22"/>
        </w:rPr>
        <w:t> </w:t>
      </w:r>
      <w:r>
        <w:rPr>
          <w:sz w:val="22"/>
        </w:rPr>
        <w:t>en</w:t>
      </w:r>
      <w:r>
        <w:rPr>
          <w:spacing w:val="-5"/>
          <w:sz w:val="22"/>
        </w:rPr>
        <w:t> </w:t>
      </w:r>
      <w:r>
        <w:rPr>
          <w:sz w:val="22"/>
        </w:rPr>
        <w:t>dicha</w:t>
      </w:r>
      <w:r>
        <w:rPr>
          <w:spacing w:val="-7"/>
          <w:sz w:val="22"/>
        </w:rPr>
        <w:t> </w:t>
      </w:r>
      <w:r>
        <w:rPr>
          <w:sz w:val="22"/>
        </w:rPr>
        <w:t>normativa,</w:t>
      </w:r>
      <w:r>
        <w:rPr>
          <w:spacing w:val="-4"/>
          <w:sz w:val="22"/>
        </w:rPr>
        <w:t> </w:t>
      </w:r>
      <w:r>
        <w:rPr>
          <w:sz w:val="22"/>
        </w:rPr>
        <w:t>los</w:t>
      </w:r>
      <w:r>
        <w:rPr>
          <w:spacing w:val="-6"/>
          <w:sz w:val="22"/>
        </w:rPr>
        <w:t> </w:t>
      </w:r>
      <w:r>
        <w:rPr>
          <w:sz w:val="22"/>
        </w:rPr>
        <w:t>cuales</w:t>
      </w:r>
      <w:r>
        <w:rPr>
          <w:spacing w:val="-5"/>
          <w:sz w:val="22"/>
        </w:rPr>
        <w:t> </w:t>
      </w:r>
      <w:r>
        <w:rPr>
          <w:sz w:val="22"/>
        </w:rPr>
        <w:t>varían</w:t>
      </w:r>
      <w:r>
        <w:rPr>
          <w:spacing w:val="-5"/>
          <w:sz w:val="22"/>
        </w:rPr>
        <w:t> </w:t>
      </w:r>
      <w:r>
        <w:rPr>
          <w:sz w:val="22"/>
        </w:rPr>
        <w:t>según</w:t>
      </w:r>
      <w:r>
        <w:rPr>
          <w:spacing w:val="-7"/>
          <w:sz w:val="22"/>
        </w:rPr>
        <w:t> </w:t>
      </w:r>
      <w:r>
        <w:rPr>
          <w:sz w:val="22"/>
        </w:rPr>
        <w:t>la naturaleza y el alcance de la medida propuesta.</w:t>
      </w:r>
    </w:p>
    <w:p>
      <w:pPr>
        <w:pStyle w:val="BodyText"/>
        <w:spacing w:before="146"/>
        <w:rPr>
          <w:sz w:val="20"/>
        </w:rPr>
      </w:pPr>
      <w:r>
        <w:rPr>
          <w:sz w:val="20"/>
        </w:rPr>
        <mc:AlternateContent>
          <mc:Choice Requires="wps">
            <w:drawing>
              <wp:anchor distT="0" distB="0" distL="0" distR="0" allowOverlap="1" layoutInCell="1" locked="0" behindDoc="1" simplePos="0" relativeHeight="487665152">
                <wp:simplePos x="0" y="0"/>
                <wp:positionH relativeFrom="page">
                  <wp:posOffset>990904</wp:posOffset>
                </wp:positionH>
                <wp:positionV relativeFrom="paragraph">
                  <wp:posOffset>254019</wp:posOffset>
                </wp:positionV>
                <wp:extent cx="1829435" cy="7620"/>
                <wp:effectExtent l="0" t="0" r="0" b="0"/>
                <wp:wrapTopAndBottom/>
                <wp:docPr id="631" name="Graphic 631"/>
                <wp:cNvGraphicFramePr>
                  <a:graphicFrameLocks/>
                </wp:cNvGraphicFramePr>
                <a:graphic>
                  <a:graphicData uri="http://schemas.microsoft.com/office/word/2010/wordprocessingShape">
                    <wps:wsp>
                      <wps:cNvPr id="631" name="Graphic 631"/>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0.001522pt;width:144.020pt;height:.60004pt;mso-position-horizontal-relative:page;mso-position-vertical-relative:paragraph;z-index:-15651328;mso-wrap-distance-left:0;mso-wrap-distance-right:0" id="docshape428" filled="true" fillcolor="#000000" stroked="false">
                <v:fill type="solid"/>
                <w10:wrap type="topAndBottom"/>
              </v:rect>
            </w:pict>
          </mc:Fallback>
        </mc:AlternateContent>
      </w:r>
    </w:p>
    <w:p>
      <w:pPr>
        <w:spacing w:before="92"/>
        <w:ind w:left="568" w:right="0" w:firstLine="0"/>
        <w:jc w:val="left"/>
        <w:rPr>
          <w:sz w:val="16"/>
        </w:rPr>
      </w:pPr>
      <w:bookmarkStart w:name="_bookmark179" w:id="180"/>
      <w:bookmarkEnd w:id="180"/>
      <w:r>
        <w:rPr/>
      </w:r>
      <w:r>
        <w:rPr>
          <w:sz w:val="16"/>
          <w:vertAlign w:val="superscript"/>
        </w:rPr>
        <w:t>112</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000364.</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632" name="Group 632"/>
                <wp:cNvGraphicFramePr>
                  <a:graphicFrameLocks/>
                </wp:cNvGraphicFramePr>
                <a:graphic>
                  <a:graphicData uri="http://schemas.microsoft.com/office/word/2010/wordprocessingGroup">
                    <wpg:wgp>
                      <wpg:cNvPr id="632" name="Group 632"/>
                      <wpg:cNvGrpSpPr/>
                      <wpg:grpSpPr>
                        <a:xfrm>
                          <a:off x="0" y="0"/>
                          <a:ext cx="6131560" cy="9525"/>
                          <a:chExt cx="6131560" cy="9525"/>
                        </a:xfrm>
                      </wpg:grpSpPr>
                      <wps:wsp>
                        <wps:cNvPr id="633" name="Graphic 633"/>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429"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103"/>
          <w:footerReference w:type="default" r:id="rId104"/>
          <w:pgSz w:w="11900" w:h="16850"/>
          <w:pgMar w:header="370" w:footer="636" w:top="1380" w:bottom="82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82" w:hanging="567"/>
        <w:jc w:val="both"/>
        <w:rPr>
          <w:sz w:val="22"/>
        </w:rPr>
      </w:pPr>
      <w:r>
        <w:rPr>
          <w:sz w:val="22"/>
        </w:rPr>
        <w:t>En particular, cuando se trate de situaciones de emergencia sanitaria, el artículo 31 de la Decisión 515 permite la adopción inmediata de medidas temporales, siempre que estas sean notificadas a la SGCAN dentro de los tres (3) días hábiles siguientes a su publicación,</w:t>
      </w:r>
      <w:r>
        <w:rPr>
          <w:spacing w:val="-6"/>
          <w:sz w:val="22"/>
        </w:rPr>
        <w:t> </w:t>
      </w:r>
      <w:r>
        <w:rPr>
          <w:sz w:val="22"/>
        </w:rPr>
        <w:t>y</w:t>
      </w:r>
      <w:r>
        <w:rPr>
          <w:spacing w:val="-7"/>
          <w:sz w:val="22"/>
        </w:rPr>
        <w:t> </w:t>
      </w:r>
      <w:r>
        <w:rPr>
          <w:sz w:val="22"/>
        </w:rPr>
        <w:t>que</w:t>
      </w:r>
      <w:r>
        <w:rPr>
          <w:spacing w:val="-10"/>
          <w:sz w:val="22"/>
        </w:rPr>
        <w:t> </w:t>
      </w:r>
      <w:r>
        <w:rPr>
          <w:sz w:val="22"/>
        </w:rPr>
        <w:t>dicha</w:t>
      </w:r>
      <w:r>
        <w:rPr>
          <w:spacing w:val="-10"/>
          <w:sz w:val="22"/>
        </w:rPr>
        <w:t> </w:t>
      </w:r>
      <w:r>
        <w:rPr>
          <w:sz w:val="22"/>
        </w:rPr>
        <w:t>notificación</w:t>
      </w:r>
      <w:r>
        <w:rPr>
          <w:spacing w:val="-8"/>
          <w:sz w:val="22"/>
        </w:rPr>
        <w:t> </w:t>
      </w:r>
      <w:r>
        <w:rPr>
          <w:sz w:val="22"/>
        </w:rPr>
        <w:t>vaya</w:t>
      </w:r>
      <w:r>
        <w:rPr>
          <w:spacing w:val="-10"/>
          <w:sz w:val="22"/>
        </w:rPr>
        <w:t> </w:t>
      </w:r>
      <w:r>
        <w:rPr>
          <w:sz w:val="22"/>
        </w:rPr>
        <w:t>acompañada</w:t>
      </w:r>
      <w:r>
        <w:rPr>
          <w:spacing w:val="-7"/>
          <w:sz w:val="22"/>
        </w:rPr>
        <w:t> </w:t>
      </w:r>
      <w:r>
        <w:rPr>
          <w:sz w:val="22"/>
        </w:rPr>
        <w:t>de</w:t>
      </w:r>
      <w:r>
        <w:rPr>
          <w:spacing w:val="-8"/>
          <w:sz w:val="22"/>
        </w:rPr>
        <w:t> </w:t>
      </w:r>
      <w:r>
        <w:rPr>
          <w:sz w:val="22"/>
        </w:rPr>
        <w:t>un</w:t>
      </w:r>
      <w:r>
        <w:rPr>
          <w:spacing w:val="-10"/>
          <w:sz w:val="22"/>
        </w:rPr>
        <w:t> </w:t>
      </w:r>
      <w:r>
        <w:rPr>
          <w:sz w:val="22"/>
        </w:rPr>
        <w:t>informe</w:t>
      </w:r>
      <w:r>
        <w:rPr>
          <w:spacing w:val="-12"/>
          <w:sz w:val="22"/>
        </w:rPr>
        <w:t> </w:t>
      </w:r>
      <w:r>
        <w:rPr>
          <w:sz w:val="22"/>
        </w:rPr>
        <w:t>técnico</w:t>
      </w:r>
      <w:r>
        <w:rPr>
          <w:spacing w:val="-7"/>
          <w:sz w:val="22"/>
        </w:rPr>
        <w:t> </w:t>
      </w:r>
      <w:r>
        <w:rPr>
          <w:sz w:val="22"/>
        </w:rPr>
        <w:t>preliminar que sustente su necesidad, alcance, duración y características. Asimismo, tales medidas deben contar con un plazo de vigencia determinado y, en caso de requerirse su prórroga, deberá presentarse un estudio técnico definitivo para su evaluación </w:t>
      </w:r>
      <w:r>
        <w:rPr>
          <w:spacing w:val="-2"/>
          <w:sz w:val="22"/>
        </w:rPr>
        <w:t>correspondiente.</w:t>
      </w:r>
    </w:p>
    <w:p>
      <w:pPr>
        <w:pStyle w:val="ListParagraph"/>
        <w:numPr>
          <w:ilvl w:val="0"/>
          <w:numId w:val="50"/>
        </w:numPr>
        <w:tabs>
          <w:tab w:pos="1130" w:val="left" w:leader="none"/>
          <w:tab w:pos="1134" w:val="left" w:leader="none"/>
        </w:tabs>
        <w:spacing w:line="240" w:lineRule="auto" w:before="251" w:after="0"/>
        <w:ind w:left="1134" w:right="978" w:hanging="567"/>
        <w:jc w:val="both"/>
        <w:rPr>
          <w:sz w:val="22"/>
        </w:rPr>
      </w:pPr>
      <w:r>
        <w:rPr>
          <w:sz w:val="22"/>
        </w:rPr>
        <w:t>De</w:t>
      </w:r>
      <w:r>
        <w:rPr>
          <w:spacing w:val="-4"/>
          <w:sz w:val="22"/>
        </w:rPr>
        <w:t> </w:t>
      </w:r>
      <w:r>
        <w:rPr>
          <w:sz w:val="22"/>
        </w:rPr>
        <w:t>manera</w:t>
      </w:r>
      <w:r>
        <w:rPr>
          <w:spacing w:val="-6"/>
          <w:sz w:val="22"/>
        </w:rPr>
        <w:t> </w:t>
      </w:r>
      <w:r>
        <w:rPr>
          <w:sz w:val="22"/>
        </w:rPr>
        <w:t>adicional,</w:t>
      </w:r>
      <w:r>
        <w:rPr>
          <w:spacing w:val="-3"/>
          <w:sz w:val="22"/>
        </w:rPr>
        <w:t> </w:t>
      </w:r>
      <w:r>
        <w:rPr>
          <w:sz w:val="22"/>
        </w:rPr>
        <w:t>de</w:t>
      </w:r>
      <w:r>
        <w:rPr>
          <w:spacing w:val="-7"/>
          <w:sz w:val="22"/>
        </w:rPr>
        <w:t> </w:t>
      </w:r>
      <w:r>
        <w:rPr>
          <w:sz w:val="22"/>
        </w:rPr>
        <w:t>conformidad</w:t>
      </w:r>
      <w:r>
        <w:rPr>
          <w:spacing w:val="-4"/>
          <w:sz w:val="22"/>
        </w:rPr>
        <w:t> </w:t>
      </w:r>
      <w:r>
        <w:rPr>
          <w:sz w:val="22"/>
        </w:rPr>
        <w:t>con</w:t>
      </w:r>
      <w:r>
        <w:rPr>
          <w:spacing w:val="-4"/>
          <w:sz w:val="22"/>
        </w:rPr>
        <w:t> </w:t>
      </w:r>
      <w:r>
        <w:rPr>
          <w:sz w:val="22"/>
        </w:rPr>
        <w:t>lo</w:t>
      </w:r>
      <w:r>
        <w:rPr>
          <w:spacing w:val="-4"/>
          <w:sz w:val="22"/>
        </w:rPr>
        <w:t> </w:t>
      </w:r>
      <w:r>
        <w:rPr>
          <w:sz w:val="22"/>
        </w:rPr>
        <w:t>dispuesto</w:t>
      </w:r>
      <w:r>
        <w:rPr>
          <w:spacing w:val="-3"/>
          <w:sz w:val="22"/>
        </w:rPr>
        <w:t> </w:t>
      </w:r>
      <w:r>
        <w:rPr>
          <w:sz w:val="22"/>
        </w:rPr>
        <w:t>en</w:t>
      </w:r>
      <w:r>
        <w:rPr>
          <w:spacing w:val="-4"/>
          <w:sz w:val="22"/>
        </w:rPr>
        <w:t> </w:t>
      </w:r>
      <w:r>
        <w:rPr>
          <w:sz w:val="22"/>
        </w:rPr>
        <w:t>los</w:t>
      </w:r>
      <w:r>
        <w:rPr>
          <w:spacing w:val="-6"/>
          <w:sz w:val="22"/>
        </w:rPr>
        <w:t> </w:t>
      </w:r>
      <w:r>
        <w:rPr>
          <w:sz w:val="22"/>
        </w:rPr>
        <w:t>artículos</w:t>
      </w:r>
      <w:r>
        <w:rPr>
          <w:spacing w:val="-4"/>
          <w:sz w:val="22"/>
        </w:rPr>
        <w:t> </w:t>
      </w:r>
      <w:r>
        <w:rPr>
          <w:sz w:val="22"/>
        </w:rPr>
        <w:t>29,</w:t>
      </w:r>
      <w:r>
        <w:rPr>
          <w:spacing w:val="-5"/>
          <w:sz w:val="22"/>
        </w:rPr>
        <w:t> </w:t>
      </w:r>
      <w:r>
        <w:rPr>
          <w:sz w:val="22"/>
        </w:rPr>
        <w:t>33</w:t>
      </w:r>
      <w:r>
        <w:rPr>
          <w:spacing w:val="-4"/>
          <w:sz w:val="22"/>
        </w:rPr>
        <w:t> </w:t>
      </w:r>
      <w:r>
        <w:rPr>
          <w:sz w:val="22"/>
        </w:rPr>
        <w:t>y</w:t>
      </w:r>
      <w:r>
        <w:rPr>
          <w:spacing w:val="-4"/>
          <w:sz w:val="22"/>
        </w:rPr>
        <w:t> </w:t>
      </w:r>
      <w:r>
        <w:rPr>
          <w:sz w:val="22"/>
        </w:rPr>
        <w:t>34</w:t>
      </w:r>
      <w:r>
        <w:rPr>
          <w:spacing w:val="-4"/>
          <w:sz w:val="22"/>
        </w:rPr>
        <w:t> </w:t>
      </w:r>
      <w:r>
        <w:rPr>
          <w:sz w:val="22"/>
        </w:rPr>
        <w:t>de</w:t>
      </w:r>
      <w:r>
        <w:rPr>
          <w:spacing w:val="-7"/>
          <w:sz w:val="22"/>
        </w:rPr>
        <w:t> </w:t>
      </w:r>
      <w:r>
        <w:rPr>
          <w:sz w:val="22"/>
        </w:rPr>
        <w:t>la Decisión</w:t>
      </w:r>
      <w:r>
        <w:rPr>
          <w:spacing w:val="-5"/>
          <w:sz w:val="22"/>
        </w:rPr>
        <w:t> </w:t>
      </w:r>
      <w:r>
        <w:rPr>
          <w:sz w:val="22"/>
        </w:rPr>
        <w:t>515,</w:t>
      </w:r>
      <w:r>
        <w:rPr>
          <w:spacing w:val="-6"/>
          <w:sz w:val="22"/>
        </w:rPr>
        <w:t> </w:t>
      </w:r>
      <w:r>
        <w:rPr>
          <w:sz w:val="22"/>
        </w:rPr>
        <w:t>para</w:t>
      </w:r>
      <w:r>
        <w:rPr>
          <w:spacing w:val="-7"/>
          <w:sz w:val="22"/>
        </w:rPr>
        <w:t> </w:t>
      </w:r>
      <w:r>
        <w:rPr>
          <w:sz w:val="22"/>
        </w:rPr>
        <w:t>que</w:t>
      </w:r>
      <w:r>
        <w:rPr>
          <w:spacing w:val="-7"/>
          <w:sz w:val="22"/>
        </w:rPr>
        <w:t> </w:t>
      </w:r>
      <w:r>
        <w:rPr>
          <w:sz w:val="22"/>
        </w:rPr>
        <w:t>una</w:t>
      </w:r>
      <w:r>
        <w:rPr>
          <w:spacing w:val="-5"/>
          <w:sz w:val="22"/>
        </w:rPr>
        <w:t> </w:t>
      </w:r>
      <w:r>
        <w:rPr>
          <w:sz w:val="22"/>
        </w:rPr>
        <w:t>norma</w:t>
      </w:r>
      <w:r>
        <w:rPr>
          <w:spacing w:val="-7"/>
          <w:sz w:val="22"/>
        </w:rPr>
        <w:t> </w:t>
      </w:r>
      <w:r>
        <w:rPr>
          <w:sz w:val="22"/>
        </w:rPr>
        <w:t>sanitaria</w:t>
      </w:r>
      <w:r>
        <w:rPr>
          <w:spacing w:val="-5"/>
          <w:sz w:val="22"/>
        </w:rPr>
        <w:t> </w:t>
      </w:r>
      <w:r>
        <w:rPr>
          <w:sz w:val="22"/>
        </w:rPr>
        <w:t>nacional</w:t>
      </w:r>
      <w:r>
        <w:rPr>
          <w:spacing w:val="-6"/>
          <w:sz w:val="22"/>
        </w:rPr>
        <w:t> </w:t>
      </w:r>
      <w:r>
        <w:rPr>
          <w:sz w:val="22"/>
        </w:rPr>
        <w:t>resulte</w:t>
      </w:r>
      <w:r>
        <w:rPr>
          <w:spacing w:val="-7"/>
          <w:sz w:val="22"/>
        </w:rPr>
        <w:t> </w:t>
      </w:r>
      <w:r>
        <w:rPr>
          <w:sz w:val="22"/>
        </w:rPr>
        <w:t>exigible</w:t>
      </w:r>
      <w:r>
        <w:rPr>
          <w:spacing w:val="-5"/>
          <w:sz w:val="22"/>
        </w:rPr>
        <w:t> </w:t>
      </w:r>
      <w:r>
        <w:rPr>
          <w:sz w:val="22"/>
        </w:rPr>
        <w:t>frente</w:t>
      </w:r>
      <w:r>
        <w:rPr>
          <w:spacing w:val="-7"/>
          <w:sz w:val="22"/>
        </w:rPr>
        <w:t> </w:t>
      </w:r>
      <w:r>
        <w:rPr>
          <w:sz w:val="22"/>
        </w:rPr>
        <w:t>a</w:t>
      </w:r>
      <w:r>
        <w:rPr>
          <w:spacing w:val="-7"/>
          <w:sz w:val="22"/>
        </w:rPr>
        <w:t> </w:t>
      </w:r>
      <w:r>
        <w:rPr>
          <w:sz w:val="22"/>
        </w:rPr>
        <w:t>los</w:t>
      </w:r>
      <w:r>
        <w:rPr>
          <w:spacing w:val="-7"/>
          <w:sz w:val="22"/>
        </w:rPr>
        <w:t> </w:t>
      </w:r>
      <w:r>
        <w:rPr>
          <w:sz w:val="22"/>
        </w:rPr>
        <w:t>demás Países Miembros, esta debe encontrarse debidamente inscrita en el Registro Subregional de Normas Sanitarias y Fitosanitarias. Asimismo, tratándose de enfermedades de notificación obligatoria en animales acuáticos, la Decisión 808 establece la obligación de comunicar su detección a la SGCAN y a los demás Países Miembros</w:t>
      </w:r>
      <w:r>
        <w:rPr>
          <w:spacing w:val="-16"/>
          <w:sz w:val="22"/>
        </w:rPr>
        <w:t> </w:t>
      </w:r>
      <w:r>
        <w:rPr>
          <w:sz w:val="22"/>
        </w:rPr>
        <w:t>dentro</w:t>
      </w:r>
      <w:r>
        <w:rPr>
          <w:spacing w:val="-15"/>
          <w:sz w:val="22"/>
        </w:rPr>
        <w:t> </w:t>
      </w:r>
      <w:r>
        <w:rPr>
          <w:sz w:val="22"/>
        </w:rPr>
        <w:t>de</w:t>
      </w:r>
      <w:r>
        <w:rPr>
          <w:spacing w:val="-15"/>
          <w:sz w:val="22"/>
        </w:rPr>
        <w:t> </w:t>
      </w:r>
      <w:r>
        <w:rPr>
          <w:sz w:val="22"/>
        </w:rPr>
        <w:t>un</w:t>
      </w:r>
      <w:r>
        <w:rPr>
          <w:spacing w:val="-16"/>
          <w:sz w:val="22"/>
        </w:rPr>
        <w:t> </w:t>
      </w:r>
      <w:r>
        <w:rPr>
          <w:sz w:val="22"/>
        </w:rPr>
        <w:t>plazo</w:t>
      </w:r>
      <w:r>
        <w:rPr>
          <w:spacing w:val="-15"/>
          <w:sz w:val="22"/>
        </w:rPr>
        <w:t> </w:t>
      </w:r>
      <w:r>
        <w:rPr>
          <w:sz w:val="22"/>
        </w:rPr>
        <w:t>no</w:t>
      </w:r>
      <w:r>
        <w:rPr>
          <w:spacing w:val="-15"/>
          <w:sz w:val="22"/>
        </w:rPr>
        <w:t> </w:t>
      </w:r>
      <w:r>
        <w:rPr>
          <w:sz w:val="22"/>
        </w:rPr>
        <w:t>mayor</w:t>
      </w:r>
      <w:r>
        <w:rPr>
          <w:spacing w:val="-15"/>
          <w:sz w:val="22"/>
        </w:rPr>
        <w:t> </w:t>
      </w:r>
      <w:r>
        <w:rPr>
          <w:sz w:val="22"/>
        </w:rPr>
        <w:t>a</w:t>
      </w:r>
      <w:r>
        <w:rPr>
          <w:spacing w:val="-16"/>
          <w:sz w:val="22"/>
        </w:rPr>
        <w:t> </w:t>
      </w:r>
      <w:r>
        <w:rPr>
          <w:sz w:val="22"/>
        </w:rPr>
        <w:t>veinticuatro</w:t>
      </w:r>
      <w:r>
        <w:rPr>
          <w:spacing w:val="-15"/>
          <w:sz w:val="22"/>
        </w:rPr>
        <w:t> </w:t>
      </w:r>
      <w:r>
        <w:rPr>
          <w:sz w:val="22"/>
        </w:rPr>
        <w:t>(24)</w:t>
      </w:r>
      <w:r>
        <w:rPr>
          <w:spacing w:val="-15"/>
          <w:sz w:val="22"/>
        </w:rPr>
        <w:t> </w:t>
      </w:r>
      <w:r>
        <w:rPr>
          <w:sz w:val="22"/>
        </w:rPr>
        <w:t>horas,</w:t>
      </w:r>
      <w:r>
        <w:rPr>
          <w:spacing w:val="-16"/>
          <w:sz w:val="22"/>
        </w:rPr>
        <w:t> </w:t>
      </w:r>
      <w:r>
        <w:rPr>
          <w:sz w:val="22"/>
        </w:rPr>
        <w:t>debiendo</w:t>
      </w:r>
      <w:r>
        <w:rPr>
          <w:spacing w:val="-15"/>
          <w:sz w:val="22"/>
        </w:rPr>
        <w:t> </w:t>
      </w:r>
      <w:r>
        <w:rPr>
          <w:sz w:val="22"/>
        </w:rPr>
        <w:t>acompañarse la información técnica pertinente.</w:t>
      </w:r>
    </w:p>
    <w:p>
      <w:pPr>
        <w:pStyle w:val="BodyText"/>
        <w:spacing w:before="1"/>
      </w:pPr>
    </w:p>
    <w:p>
      <w:pPr>
        <w:pStyle w:val="ListParagraph"/>
        <w:numPr>
          <w:ilvl w:val="0"/>
          <w:numId w:val="113"/>
        </w:numPr>
        <w:tabs>
          <w:tab w:pos="1560" w:val="left" w:leader="none"/>
        </w:tabs>
        <w:spacing w:line="240" w:lineRule="auto" w:before="0" w:after="0"/>
        <w:ind w:left="1560" w:right="0" w:hanging="284"/>
        <w:jc w:val="left"/>
        <w:rPr>
          <w:rFonts w:ascii="Arial" w:hAnsi="Arial"/>
          <w:i/>
          <w:sz w:val="22"/>
        </w:rPr>
      </w:pPr>
      <w:r>
        <w:rPr>
          <w:rFonts w:ascii="Arial" w:hAnsi="Arial"/>
          <w:i/>
          <w:sz w:val="22"/>
          <w:u w:val="single"/>
        </w:rPr>
        <w:t>Análisis</w:t>
      </w:r>
      <w:r>
        <w:rPr>
          <w:rFonts w:ascii="Arial" w:hAnsi="Arial"/>
          <w:i/>
          <w:spacing w:val="-3"/>
          <w:sz w:val="22"/>
          <w:u w:val="single"/>
        </w:rPr>
        <w:t> </w:t>
      </w:r>
      <w:r>
        <w:rPr>
          <w:rFonts w:ascii="Arial" w:hAnsi="Arial"/>
          <w:i/>
          <w:sz w:val="22"/>
          <w:u w:val="single"/>
        </w:rPr>
        <w:t>camarón</w:t>
      </w:r>
      <w:r>
        <w:rPr>
          <w:rFonts w:ascii="Arial" w:hAnsi="Arial"/>
          <w:i/>
          <w:spacing w:val="-6"/>
          <w:sz w:val="22"/>
          <w:u w:val="single"/>
        </w:rPr>
        <w:t> </w:t>
      </w:r>
      <w:r>
        <w:rPr>
          <w:rFonts w:ascii="Arial" w:hAnsi="Arial"/>
          <w:i/>
          <w:sz w:val="22"/>
          <w:u w:val="single"/>
        </w:rPr>
        <w:t>y</w:t>
      </w:r>
      <w:r>
        <w:rPr>
          <w:rFonts w:ascii="Arial" w:hAnsi="Arial"/>
          <w:i/>
          <w:spacing w:val="-2"/>
          <w:sz w:val="22"/>
          <w:u w:val="single"/>
        </w:rPr>
        <w:t> crustáceos</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En</w:t>
      </w:r>
      <w:r>
        <w:rPr>
          <w:spacing w:val="-16"/>
          <w:sz w:val="22"/>
        </w:rPr>
        <w:t> </w:t>
      </w:r>
      <w:r>
        <w:rPr>
          <w:sz w:val="22"/>
        </w:rPr>
        <w:t>relación</w:t>
      </w:r>
      <w:r>
        <w:rPr>
          <w:spacing w:val="-15"/>
          <w:sz w:val="22"/>
        </w:rPr>
        <w:t> </w:t>
      </w:r>
      <w:r>
        <w:rPr>
          <w:sz w:val="22"/>
        </w:rPr>
        <w:t>con</w:t>
      </w:r>
      <w:r>
        <w:rPr>
          <w:spacing w:val="-15"/>
          <w:sz w:val="22"/>
        </w:rPr>
        <w:t> </w:t>
      </w:r>
      <w:r>
        <w:rPr>
          <w:sz w:val="22"/>
        </w:rPr>
        <w:t>los</w:t>
      </w:r>
      <w:r>
        <w:rPr>
          <w:spacing w:val="-16"/>
          <w:sz w:val="22"/>
        </w:rPr>
        <w:t> </w:t>
      </w:r>
      <w:r>
        <w:rPr>
          <w:sz w:val="22"/>
        </w:rPr>
        <w:t>productos</w:t>
      </w:r>
      <w:r>
        <w:rPr>
          <w:spacing w:val="-15"/>
          <w:sz w:val="22"/>
        </w:rPr>
        <w:t> </w:t>
      </w:r>
      <w:r>
        <w:rPr>
          <w:sz w:val="22"/>
        </w:rPr>
        <w:t>vinculados</w:t>
      </w:r>
      <w:r>
        <w:rPr>
          <w:spacing w:val="-15"/>
          <w:sz w:val="22"/>
        </w:rPr>
        <w:t> </w:t>
      </w:r>
      <w:r>
        <w:rPr>
          <w:sz w:val="22"/>
        </w:rPr>
        <w:t>a</w:t>
      </w:r>
      <w:r>
        <w:rPr>
          <w:spacing w:val="-15"/>
          <w:sz w:val="22"/>
        </w:rPr>
        <w:t> </w:t>
      </w:r>
      <w:r>
        <w:rPr>
          <w:sz w:val="22"/>
        </w:rPr>
        <w:t>camarones</w:t>
      </w:r>
      <w:r>
        <w:rPr>
          <w:spacing w:val="-16"/>
          <w:sz w:val="22"/>
        </w:rPr>
        <w:t> </w:t>
      </w:r>
      <w:r>
        <w:rPr>
          <w:sz w:val="22"/>
        </w:rPr>
        <w:t>y</w:t>
      </w:r>
      <w:r>
        <w:rPr>
          <w:spacing w:val="-15"/>
          <w:sz w:val="22"/>
        </w:rPr>
        <w:t> </w:t>
      </w:r>
      <w:r>
        <w:rPr>
          <w:sz w:val="22"/>
        </w:rPr>
        <w:t>demás</w:t>
      </w:r>
      <w:r>
        <w:rPr>
          <w:spacing w:val="-15"/>
          <w:sz w:val="22"/>
        </w:rPr>
        <w:t> </w:t>
      </w:r>
      <w:r>
        <w:rPr>
          <w:sz w:val="22"/>
        </w:rPr>
        <w:t>crustáceos,</w:t>
      </w:r>
      <w:r>
        <w:rPr>
          <w:spacing w:val="-16"/>
          <w:sz w:val="22"/>
        </w:rPr>
        <w:t> </w:t>
      </w:r>
      <w:r>
        <w:rPr>
          <w:sz w:val="22"/>
        </w:rPr>
        <w:t>la</w:t>
      </w:r>
      <w:r>
        <w:rPr>
          <w:spacing w:val="-15"/>
          <w:sz w:val="22"/>
        </w:rPr>
        <w:t> </w:t>
      </w:r>
      <w:r>
        <w:rPr>
          <w:sz w:val="22"/>
        </w:rPr>
        <w:t>República de Colombia sustenta la restricción adoptada en la Resolución ICA N.º 00009105 de 2024, dictada frente al riesgo de introducción del virus del síndrome de las manchas blancas (WSSV) y otros patógenos asociados. No obstante, de la información técnica disponible</w:t>
      </w:r>
      <w:r>
        <w:rPr>
          <w:spacing w:val="-2"/>
          <w:sz w:val="22"/>
        </w:rPr>
        <w:t> </w:t>
      </w:r>
      <w:r>
        <w:rPr>
          <w:sz w:val="22"/>
        </w:rPr>
        <w:t>se</w:t>
      </w:r>
      <w:r>
        <w:rPr>
          <w:spacing w:val="-1"/>
          <w:sz w:val="22"/>
        </w:rPr>
        <w:t> </w:t>
      </w:r>
      <w:r>
        <w:rPr>
          <w:sz w:val="22"/>
        </w:rPr>
        <w:t>constata</w:t>
      </w:r>
      <w:r>
        <w:rPr>
          <w:spacing w:val="-2"/>
          <w:sz w:val="22"/>
        </w:rPr>
        <w:t> </w:t>
      </w:r>
      <w:r>
        <w:rPr>
          <w:sz w:val="22"/>
        </w:rPr>
        <w:t>que</w:t>
      </w:r>
      <w:r>
        <w:rPr>
          <w:spacing w:val="-2"/>
          <w:sz w:val="22"/>
        </w:rPr>
        <w:t> </w:t>
      </w:r>
      <w:r>
        <w:rPr>
          <w:sz w:val="22"/>
        </w:rPr>
        <w:t>dicha</w:t>
      </w:r>
      <w:r>
        <w:rPr>
          <w:spacing w:val="-2"/>
          <w:sz w:val="22"/>
        </w:rPr>
        <w:t> </w:t>
      </w:r>
      <w:r>
        <w:rPr>
          <w:sz w:val="22"/>
        </w:rPr>
        <w:t>medida</w:t>
      </w:r>
      <w:r>
        <w:rPr>
          <w:spacing w:val="-4"/>
          <w:sz w:val="22"/>
        </w:rPr>
        <w:t> </w:t>
      </w:r>
      <w:r>
        <w:rPr>
          <w:sz w:val="22"/>
        </w:rPr>
        <w:t>fue</w:t>
      </w:r>
      <w:r>
        <w:rPr>
          <w:spacing w:val="-2"/>
          <w:sz w:val="22"/>
        </w:rPr>
        <w:t> </w:t>
      </w:r>
      <w:r>
        <w:rPr>
          <w:sz w:val="22"/>
        </w:rPr>
        <w:t>autorizada</w:t>
      </w:r>
      <w:r>
        <w:rPr>
          <w:spacing w:val="-2"/>
          <w:sz w:val="22"/>
        </w:rPr>
        <w:t> </w:t>
      </w:r>
      <w:r>
        <w:rPr>
          <w:sz w:val="22"/>
        </w:rPr>
        <w:t>por</w:t>
      </w:r>
      <w:r>
        <w:rPr>
          <w:spacing w:val="-3"/>
          <w:sz w:val="22"/>
        </w:rPr>
        <w:t> </w:t>
      </w:r>
      <w:r>
        <w:rPr>
          <w:sz w:val="22"/>
        </w:rPr>
        <w:t>la</w:t>
      </w:r>
      <w:r>
        <w:rPr>
          <w:spacing w:val="-2"/>
          <w:sz w:val="22"/>
        </w:rPr>
        <w:t> </w:t>
      </w:r>
      <w:r>
        <w:rPr>
          <w:sz w:val="22"/>
        </w:rPr>
        <w:t>Secretaría</w:t>
      </w:r>
      <w:r>
        <w:rPr>
          <w:spacing w:val="-4"/>
          <w:sz w:val="22"/>
        </w:rPr>
        <w:t> </w:t>
      </w:r>
      <w:r>
        <w:rPr>
          <w:sz w:val="22"/>
        </w:rPr>
        <w:t>General</w:t>
      </w:r>
      <w:r>
        <w:rPr>
          <w:spacing w:val="-3"/>
          <w:sz w:val="22"/>
        </w:rPr>
        <w:t> </w:t>
      </w:r>
      <w:r>
        <w:rPr>
          <w:sz w:val="22"/>
        </w:rPr>
        <w:t>de</w:t>
      </w:r>
      <w:r>
        <w:rPr>
          <w:spacing w:val="-2"/>
          <w:sz w:val="22"/>
        </w:rPr>
        <w:t> </w:t>
      </w:r>
      <w:r>
        <w:rPr>
          <w:sz w:val="22"/>
        </w:rPr>
        <w:t>la Comunidad</w:t>
      </w:r>
      <w:r>
        <w:rPr>
          <w:spacing w:val="-10"/>
          <w:sz w:val="22"/>
        </w:rPr>
        <w:t> </w:t>
      </w:r>
      <w:r>
        <w:rPr>
          <w:sz w:val="22"/>
        </w:rPr>
        <w:t>Andina</w:t>
      </w:r>
      <w:r>
        <w:rPr>
          <w:spacing w:val="-10"/>
          <w:sz w:val="22"/>
        </w:rPr>
        <w:t> </w:t>
      </w:r>
      <w:r>
        <w:rPr>
          <w:sz w:val="22"/>
        </w:rPr>
        <w:t>(SGCAN)</w:t>
      </w:r>
      <w:r>
        <w:rPr>
          <w:spacing w:val="-9"/>
          <w:sz w:val="22"/>
        </w:rPr>
        <w:t> </w:t>
      </w:r>
      <w:r>
        <w:rPr>
          <w:sz w:val="22"/>
        </w:rPr>
        <w:t>únicamente</w:t>
      </w:r>
      <w:r>
        <w:rPr>
          <w:spacing w:val="-10"/>
          <w:sz w:val="22"/>
        </w:rPr>
        <w:t> </w:t>
      </w:r>
      <w:r>
        <w:rPr>
          <w:sz w:val="22"/>
        </w:rPr>
        <w:t>de</w:t>
      </w:r>
      <w:r>
        <w:rPr>
          <w:spacing w:val="-12"/>
          <w:sz w:val="22"/>
        </w:rPr>
        <w:t> </w:t>
      </w:r>
      <w:r>
        <w:rPr>
          <w:sz w:val="22"/>
        </w:rPr>
        <w:t>manera</w:t>
      </w:r>
      <w:r>
        <w:rPr>
          <w:spacing w:val="-10"/>
          <w:sz w:val="22"/>
        </w:rPr>
        <w:t> </w:t>
      </w:r>
      <w:r>
        <w:rPr>
          <w:sz w:val="22"/>
        </w:rPr>
        <w:t>temporal,</w:t>
      </w:r>
      <w:r>
        <w:rPr>
          <w:spacing w:val="-11"/>
          <w:sz w:val="22"/>
        </w:rPr>
        <w:t> </w:t>
      </w:r>
      <w:r>
        <w:rPr>
          <w:sz w:val="22"/>
        </w:rPr>
        <w:t>por</w:t>
      </w:r>
      <w:r>
        <w:rPr>
          <w:spacing w:val="-9"/>
          <w:sz w:val="22"/>
        </w:rPr>
        <w:t> </w:t>
      </w:r>
      <w:r>
        <w:rPr>
          <w:sz w:val="22"/>
        </w:rPr>
        <w:t>un</w:t>
      </w:r>
      <w:r>
        <w:rPr>
          <w:spacing w:val="-10"/>
          <w:sz w:val="22"/>
        </w:rPr>
        <w:t> </w:t>
      </w:r>
      <w:r>
        <w:rPr>
          <w:sz w:val="22"/>
        </w:rPr>
        <w:t>plazo</w:t>
      </w:r>
      <w:r>
        <w:rPr>
          <w:spacing w:val="-10"/>
          <w:sz w:val="22"/>
        </w:rPr>
        <w:t> </w:t>
      </w:r>
      <w:r>
        <w:rPr>
          <w:sz w:val="22"/>
        </w:rPr>
        <w:t>de</w:t>
      </w:r>
      <w:r>
        <w:rPr>
          <w:spacing w:val="-10"/>
          <w:sz w:val="22"/>
        </w:rPr>
        <w:t> </w:t>
      </w:r>
      <w:r>
        <w:rPr>
          <w:sz w:val="22"/>
        </w:rPr>
        <w:t>noventa</w:t>
      </w:r>
    </w:p>
    <w:p>
      <w:pPr>
        <w:pStyle w:val="BodyText"/>
        <w:ind w:left="1134" w:right="981"/>
        <w:jc w:val="both"/>
      </w:pPr>
      <w:r>
        <w:rPr/>
        <w:t>(90) días calendario, sin que posteriormente haya sido válidamente prorrogada, ni incorporada</w:t>
      </w:r>
      <w:r>
        <w:rPr>
          <w:spacing w:val="-3"/>
        </w:rPr>
        <w:t> </w:t>
      </w:r>
      <w:r>
        <w:rPr/>
        <w:t>en</w:t>
      </w:r>
      <w:r>
        <w:rPr>
          <w:spacing w:val="-3"/>
        </w:rPr>
        <w:t> </w:t>
      </w:r>
      <w:r>
        <w:rPr/>
        <w:t>el</w:t>
      </w:r>
      <w:r>
        <w:rPr>
          <w:spacing w:val="-4"/>
        </w:rPr>
        <w:t> </w:t>
      </w:r>
      <w:r>
        <w:rPr/>
        <w:t>Registro</w:t>
      </w:r>
      <w:r>
        <w:rPr>
          <w:spacing w:val="-3"/>
        </w:rPr>
        <w:t> </w:t>
      </w:r>
      <w:r>
        <w:rPr/>
        <w:t>Subregional</w:t>
      </w:r>
      <w:r>
        <w:rPr>
          <w:spacing w:val="-4"/>
        </w:rPr>
        <w:t> </w:t>
      </w:r>
      <w:r>
        <w:rPr/>
        <w:t>de</w:t>
      </w:r>
      <w:r>
        <w:rPr>
          <w:spacing w:val="-3"/>
        </w:rPr>
        <w:t> </w:t>
      </w:r>
      <w:r>
        <w:rPr/>
        <w:t>Normas</w:t>
      </w:r>
      <w:r>
        <w:rPr>
          <w:spacing w:val="-3"/>
        </w:rPr>
        <w:t> </w:t>
      </w:r>
      <w:r>
        <w:rPr/>
        <w:t>Sanitarias</w:t>
      </w:r>
      <w:r>
        <w:rPr>
          <w:spacing w:val="-2"/>
        </w:rPr>
        <w:t> </w:t>
      </w:r>
      <w:r>
        <w:rPr/>
        <w:t>y</w:t>
      </w:r>
      <w:r>
        <w:rPr>
          <w:spacing w:val="-5"/>
        </w:rPr>
        <w:t> </w:t>
      </w:r>
      <w:r>
        <w:rPr/>
        <w:t>Fitosanitarias</w:t>
      </w:r>
      <w:r>
        <w:rPr>
          <w:spacing w:val="-2"/>
        </w:rPr>
        <w:t> </w:t>
      </w:r>
      <w:r>
        <w:rPr/>
        <w:t>mediante una nueva autorización sustentada en un estudio técnico definitivo, conforme a lo exigido por la Decisión 515.</w:t>
      </w:r>
    </w:p>
    <w:p>
      <w:pPr>
        <w:pStyle w:val="ListParagraph"/>
        <w:numPr>
          <w:ilvl w:val="0"/>
          <w:numId w:val="50"/>
        </w:numPr>
        <w:tabs>
          <w:tab w:pos="1130" w:val="left" w:leader="none"/>
          <w:tab w:pos="1134" w:val="left" w:leader="none"/>
        </w:tabs>
        <w:spacing w:line="240" w:lineRule="auto" w:before="252" w:after="0"/>
        <w:ind w:left="1134" w:right="979" w:hanging="567"/>
        <w:jc w:val="both"/>
        <w:rPr>
          <w:sz w:val="22"/>
        </w:rPr>
      </w:pPr>
      <w:r>
        <w:rPr>
          <w:sz w:val="22"/>
        </w:rPr>
        <w:t>En ese sentido, se constata que la República de Colombia no dio cumplimiento al procedimiento</w:t>
      </w:r>
      <w:r>
        <w:rPr>
          <w:spacing w:val="-5"/>
          <w:sz w:val="22"/>
        </w:rPr>
        <w:t> </w:t>
      </w:r>
      <w:r>
        <w:rPr>
          <w:sz w:val="22"/>
        </w:rPr>
        <w:t>previsto</w:t>
      </w:r>
      <w:r>
        <w:rPr>
          <w:spacing w:val="-5"/>
          <w:sz w:val="22"/>
        </w:rPr>
        <w:t> </w:t>
      </w:r>
      <w:r>
        <w:rPr>
          <w:sz w:val="22"/>
        </w:rPr>
        <w:t>en</w:t>
      </w:r>
      <w:r>
        <w:rPr>
          <w:spacing w:val="-3"/>
          <w:sz w:val="22"/>
        </w:rPr>
        <w:t> </w:t>
      </w:r>
      <w:r>
        <w:rPr>
          <w:sz w:val="22"/>
        </w:rPr>
        <w:t>la</w:t>
      </w:r>
      <w:r>
        <w:rPr>
          <w:spacing w:val="-3"/>
          <w:sz w:val="22"/>
        </w:rPr>
        <w:t> </w:t>
      </w:r>
      <w:r>
        <w:rPr>
          <w:sz w:val="22"/>
        </w:rPr>
        <w:t>normativa</w:t>
      </w:r>
      <w:r>
        <w:rPr>
          <w:spacing w:val="-3"/>
          <w:sz w:val="22"/>
        </w:rPr>
        <w:t> </w:t>
      </w:r>
      <w:r>
        <w:rPr>
          <w:sz w:val="22"/>
        </w:rPr>
        <w:t>andina</w:t>
      </w:r>
      <w:r>
        <w:rPr>
          <w:spacing w:val="-3"/>
          <w:sz w:val="22"/>
        </w:rPr>
        <w:t> </w:t>
      </w:r>
      <w:r>
        <w:rPr>
          <w:sz w:val="22"/>
        </w:rPr>
        <w:t>para</w:t>
      </w:r>
      <w:r>
        <w:rPr>
          <w:spacing w:val="-3"/>
          <w:sz w:val="22"/>
        </w:rPr>
        <w:t> </w:t>
      </w:r>
      <w:r>
        <w:rPr>
          <w:sz w:val="22"/>
        </w:rPr>
        <w:t>la</w:t>
      </w:r>
      <w:r>
        <w:rPr>
          <w:spacing w:val="-5"/>
          <w:sz w:val="22"/>
        </w:rPr>
        <w:t> </w:t>
      </w:r>
      <w:r>
        <w:rPr>
          <w:sz w:val="22"/>
        </w:rPr>
        <w:t>vigencia</w:t>
      </w:r>
      <w:r>
        <w:rPr>
          <w:spacing w:val="-3"/>
          <w:sz w:val="22"/>
        </w:rPr>
        <w:t> </w:t>
      </w:r>
      <w:r>
        <w:rPr>
          <w:sz w:val="22"/>
        </w:rPr>
        <w:t>de</w:t>
      </w:r>
      <w:r>
        <w:rPr>
          <w:spacing w:val="-5"/>
          <w:sz w:val="22"/>
        </w:rPr>
        <w:t> </w:t>
      </w:r>
      <w:r>
        <w:rPr>
          <w:sz w:val="22"/>
        </w:rPr>
        <w:t>una</w:t>
      </w:r>
      <w:r>
        <w:rPr>
          <w:spacing w:val="-5"/>
          <w:sz w:val="22"/>
        </w:rPr>
        <w:t> </w:t>
      </w:r>
      <w:r>
        <w:rPr>
          <w:sz w:val="22"/>
        </w:rPr>
        <w:t>medida</w:t>
      </w:r>
      <w:r>
        <w:rPr>
          <w:spacing w:val="-3"/>
          <w:sz w:val="22"/>
        </w:rPr>
        <w:t> </w:t>
      </w:r>
      <w:r>
        <w:rPr>
          <w:sz w:val="22"/>
        </w:rPr>
        <w:t>sanitaria de emergencia, en la medida en que no presentó oportunamente un estudio técnico definitivo que sustentara</w:t>
      </w:r>
      <w:r>
        <w:rPr>
          <w:spacing w:val="-1"/>
          <w:sz w:val="22"/>
        </w:rPr>
        <w:t> </w:t>
      </w:r>
      <w:r>
        <w:rPr>
          <w:sz w:val="22"/>
        </w:rPr>
        <w:t>su continuidad, ni</w:t>
      </w:r>
      <w:r>
        <w:rPr>
          <w:spacing w:val="-1"/>
          <w:sz w:val="22"/>
        </w:rPr>
        <w:t> </w:t>
      </w:r>
      <w:r>
        <w:rPr>
          <w:sz w:val="22"/>
        </w:rPr>
        <w:t>obtuvo una nueva</w:t>
      </w:r>
      <w:r>
        <w:rPr>
          <w:spacing w:val="-1"/>
          <w:sz w:val="22"/>
        </w:rPr>
        <w:t> </w:t>
      </w:r>
      <w:r>
        <w:rPr>
          <w:sz w:val="22"/>
        </w:rPr>
        <w:t>autorización</w:t>
      </w:r>
      <w:r>
        <w:rPr>
          <w:spacing w:val="-1"/>
          <w:sz w:val="22"/>
        </w:rPr>
        <w:t> </w:t>
      </w:r>
      <w:r>
        <w:rPr>
          <w:sz w:val="22"/>
        </w:rPr>
        <w:t>por parte de la SGCAN, conforme a lo establecido en la Decisión 515. En consecuencia, la Resolución</w:t>
      </w:r>
      <w:r>
        <w:rPr>
          <w:spacing w:val="-4"/>
          <w:sz w:val="22"/>
        </w:rPr>
        <w:t> </w:t>
      </w:r>
      <w:r>
        <w:rPr>
          <w:sz w:val="22"/>
        </w:rPr>
        <w:t>ICA</w:t>
      </w:r>
      <w:r>
        <w:rPr>
          <w:spacing w:val="-4"/>
          <w:sz w:val="22"/>
        </w:rPr>
        <w:t> </w:t>
      </w:r>
      <w:r>
        <w:rPr>
          <w:sz w:val="22"/>
        </w:rPr>
        <w:t>N.º</w:t>
      </w:r>
      <w:r>
        <w:rPr>
          <w:spacing w:val="-4"/>
          <w:sz w:val="22"/>
        </w:rPr>
        <w:t> </w:t>
      </w:r>
      <w:r>
        <w:rPr>
          <w:sz w:val="22"/>
        </w:rPr>
        <w:t>00009105</w:t>
      </w:r>
      <w:r>
        <w:rPr>
          <w:spacing w:val="-4"/>
          <w:sz w:val="22"/>
        </w:rPr>
        <w:t> </w:t>
      </w:r>
      <w:r>
        <w:rPr>
          <w:sz w:val="22"/>
        </w:rPr>
        <w:t>de</w:t>
      </w:r>
      <w:r>
        <w:rPr>
          <w:spacing w:val="-4"/>
          <w:sz w:val="22"/>
        </w:rPr>
        <w:t> </w:t>
      </w:r>
      <w:r>
        <w:rPr>
          <w:sz w:val="22"/>
        </w:rPr>
        <w:t>2024</w:t>
      </w:r>
      <w:r>
        <w:rPr>
          <w:spacing w:val="-4"/>
          <w:sz w:val="22"/>
        </w:rPr>
        <w:t> </w:t>
      </w:r>
      <w:r>
        <w:rPr>
          <w:sz w:val="22"/>
        </w:rPr>
        <w:t>no</w:t>
      </w:r>
      <w:r>
        <w:rPr>
          <w:spacing w:val="-7"/>
          <w:sz w:val="22"/>
        </w:rPr>
        <w:t> </w:t>
      </w:r>
      <w:r>
        <w:rPr>
          <w:sz w:val="22"/>
        </w:rPr>
        <w:t>se</w:t>
      </w:r>
      <w:r>
        <w:rPr>
          <w:spacing w:val="-4"/>
          <w:sz w:val="22"/>
        </w:rPr>
        <w:t> </w:t>
      </w:r>
      <w:r>
        <w:rPr>
          <w:sz w:val="22"/>
        </w:rPr>
        <w:t>encontraba</w:t>
      </w:r>
      <w:r>
        <w:rPr>
          <w:spacing w:val="-6"/>
          <w:sz w:val="22"/>
        </w:rPr>
        <w:t> </w:t>
      </w:r>
      <w:r>
        <w:rPr>
          <w:sz w:val="22"/>
        </w:rPr>
        <w:t>vigente</w:t>
      </w:r>
      <w:r>
        <w:rPr>
          <w:spacing w:val="-4"/>
          <w:sz w:val="22"/>
        </w:rPr>
        <w:t> </w:t>
      </w:r>
      <w:r>
        <w:rPr>
          <w:sz w:val="22"/>
        </w:rPr>
        <w:t>ni</w:t>
      </w:r>
      <w:r>
        <w:rPr>
          <w:spacing w:val="-5"/>
          <w:sz w:val="22"/>
        </w:rPr>
        <w:t> </w:t>
      </w:r>
      <w:r>
        <w:rPr>
          <w:sz w:val="22"/>
        </w:rPr>
        <w:t>era</w:t>
      </w:r>
      <w:r>
        <w:rPr>
          <w:spacing w:val="-4"/>
          <w:sz w:val="22"/>
        </w:rPr>
        <w:t> </w:t>
      </w:r>
      <w:r>
        <w:rPr>
          <w:sz w:val="22"/>
        </w:rPr>
        <w:t>exigible</w:t>
      </w:r>
      <w:r>
        <w:rPr>
          <w:spacing w:val="-4"/>
          <w:sz w:val="22"/>
        </w:rPr>
        <w:t> </w:t>
      </w:r>
      <w:r>
        <w:rPr>
          <w:sz w:val="22"/>
        </w:rPr>
        <w:t>frente</w:t>
      </w:r>
      <w:r>
        <w:rPr>
          <w:spacing w:val="-4"/>
          <w:sz w:val="22"/>
        </w:rPr>
        <w:t> </w:t>
      </w:r>
      <w:r>
        <w:rPr>
          <w:sz w:val="22"/>
        </w:rPr>
        <w:t>a los demás Países Miembros al momento de la adopción del Decreto 0170.</w:t>
      </w:r>
    </w:p>
    <w:p>
      <w:pPr>
        <w:pStyle w:val="BodyText"/>
        <w:spacing w:before="2"/>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Asimismo, se advierte que el procedimiento aplicable exigía, además de la notificación inicial</w:t>
      </w:r>
      <w:r>
        <w:rPr>
          <w:spacing w:val="-7"/>
          <w:sz w:val="22"/>
        </w:rPr>
        <w:t> </w:t>
      </w:r>
      <w:r>
        <w:rPr>
          <w:sz w:val="22"/>
        </w:rPr>
        <w:t>dentro</w:t>
      </w:r>
      <w:r>
        <w:rPr>
          <w:spacing w:val="-6"/>
          <w:sz w:val="22"/>
        </w:rPr>
        <w:t> </w:t>
      </w:r>
      <w:r>
        <w:rPr>
          <w:sz w:val="22"/>
        </w:rPr>
        <w:t>del</w:t>
      </w:r>
      <w:r>
        <w:rPr>
          <w:spacing w:val="-9"/>
          <w:sz w:val="22"/>
        </w:rPr>
        <w:t> </w:t>
      </w:r>
      <w:r>
        <w:rPr>
          <w:sz w:val="22"/>
        </w:rPr>
        <w:t>plazo</w:t>
      </w:r>
      <w:r>
        <w:rPr>
          <w:spacing w:val="-7"/>
          <w:sz w:val="22"/>
        </w:rPr>
        <w:t> </w:t>
      </w:r>
      <w:r>
        <w:rPr>
          <w:sz w:val="22"/>
        </w:rPr>
        <w:t>de</w:t>
      </w:r>
      <w:r>
        <w:rPr>
          <w:spacing w:val="-6"/>
          <w:sz w:val="22"/>
        </w:rPr>
        <w:t> </w:t>
      </w:r>
      <w:r>
        <w:rPr>
          <w:sz w:val="22"/>
        </w:rPr>
        <w:t>tres</w:t>
      </w:r>
      <w:r>
        <w:rPr>
          <w:spacing w:val="-9"/>
          <w:sz w:val="22"/>
        </w:rPr>
        <w:t> </w:t>
      </w:r>
      <w:r>
        <w:rPr>
          <w:sz w:val="22"/>
        </w:rPr>
        <w:t>(3)</w:t>
      </w:r>
      <w:r>
        <w:rPr>
          <w:spacing w:val="-5"/>
          <w:sz w:val="22"/>
        </w:rPr>
        <w:t> </w:t>
      </w:r>
      <w:r>
        <w:rPr>
          <w:sz w:val="22"/>
        </w:rPr>
        <w:t>días</w:t>
      </w:r>
      <w:r>
        <w:rPr>
          <w:spacing w:val="-9"/>
          <w:sz w:val="22"/>
        </w:rPr>
        <w:t> </w:t>
      </w:r>
      <w:r>
        <w:rPr>
          <w:sz w:val="22"/>
        </w:rPr>
        <w:t>hábiles,</w:t>
      </w:r>
      <w:r>
        <w:rPr>
          <w:spacing w:val="-8"/>
          <w:sz w:val="22"/>
        </w:rPr>
        <w:t> </w:t>
      </w:r>
      <w:r>
        <w:rPr>
          <w:sz w:val="22"/>
        </w:rPr>
        <w:t>la</w:t>
      </w:r>
      <w:r>
        <w:rPr>
          <w:spacing w:val="-9"/>
          <w:sz w:val="22"/>
        </w:rPr>
        <w:t> </w:t>
      </w:r>
      <w:r>
        <w:rPr>
          <w:sz w:val="22"/>
        </w:rPr>
        <w:t>determinación</w:t>
      </w:r>
      <w:r>
        <w:rPr>
          <w:spacing w:val="-7"/>
          <w:sz w:val="22"/>
        </w:rPr>
        <w:t> </w:t>
      </w:r>
      <w:r>
        <w:rPr>
          <w:sz w:val="22"/>
        </w:rPr>
        <w:t>de</w:t>
      </w:r>
      <w:r>
        <w:rPr>
          <w:spacing w:val="-9"/>
          <w:sz w:val="22"/>
        </w:rPr>
        <w:t> </w:t>
      </w:r>
      <w:r>
        <w:rPr>
          <w:sz w:val="22"/>
        </w:rPr>
        <w:t>un</w:t>
      </w:r>
      <w:r>
        <w:rPr>
          <w:spacing w:val="-9"/>
          <w:sz w:val="22"/>
        </w:rPr>
        <w:t> </w:t>
      </w:r>
      <w:r>
        <w:rPr>
          <w:sz w:val="22"/>
        </w:rPr>
        <w:t>plazo</w:t>
      </w:r>
      <w:r>
        <w:rPr>
          <w:spacing w:val="-7"/>
          <w:sz w:val="22"/>
        </w:rPr>
        <w:t> </w:t>
      </w:r>
      <w:r>
        <w:rPr>
          <w:sz w:val="22"/>
        </w:rPr>
        <w:t>de</w:t>
      </w:r>
      <w:r>
        <w:rPr>
          <w:spacing w:val="-9"/>
          <w:sz w:val="22"/>
        </w:rPr>
        <w:t> </w:t>
      </w:r>
      <w:r>
        <w:rPr>
          <w:sz w:val="22"/>
        </w:rPr>
        <w:t>vigencia cierto y, de ser el caso, la presentación de una solicitud de prórroga debidamente </w:t>
      </w:r>
      <w:r>
        <w:rPr>
          <w:spacing w:val="-2"/>
          <w:sz w:val="22"/>
        </w:rPr>
        <w:t>sustentada.</w:t>
      </w:r>
    </w:p>
    <w:p>
      <w:pPr>
        <w:pStyle w:val="BodyText"/>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En consecuencia, ante la ausencia de los elementos procedimentales y sustantivos exigidos, se considera que la medida sanitaria invocada por la República de Colombia no</w:t>
      </w:r>
      <w:r>
        <w:rPr>
          <w:spacing w:val="-16"/>
          <w:sz w:val="22"/>
        </w:rPr>
        <w:t> </w:t>
      </w:r>
      <w:r>
        <w:rPr>
          <w:sz w:val="22"/>
        </w:rPr>
        <w:t>cumple</w:t>
      </w:r>
      <w:r>
        <w:rPr>
          <w:spacing w:val="-15"/>
          <w:sz w:val="22"/>
        </w:rPr>
        <w:t> </w:t>
      </w:r>
      <w:r>
        <w:rPr>
          <w:sz w:val="22"/>
        </w:rPr>
        <w:t>con</w:t>
      </w:r>
      <w:r>
        <w:rPr>
          <w:spacing w:val="-15"/>
          <w:sz w:val="22"/>
        </w:rPr>
        <w:t> </w:t>
      </w:r>
      <w:r>
        <w:rPr>
          <w:sz w:val="22"/>
        </w:rPr>
        <w:t>los</w:t>
      </w:r>
      <w:r>
        <w:rPr>
          <w:spacing w:val="-16"/>
          <w:sz w:val="22"/>
        </w:rPr>
        <w:t> </w:t>
      </w:r>
      <w:r>
        <w:rPr>
          <w:sz w:val="22"/>
        </w:rPr>
        <w:t>requisitos</w:t>
      </w:r>
      <w:r>
        <w:rPr>
          <w:spacing w:val="-15"/>
          <w:sz w:val="22"/>
        </w:rPr>
        <w:t> </w:t>
      </w:r>
      <w:r>
        <w:rPr>
          <w:sz w:val="22"/>
        </w:rPr>
        <w:t>establecidos</w:t>
      </w:r>
      <w:r>
        <w:rPr>
          <w:spacing w:val="-15"/>
          <w:sz w:val="22"/>
        </w:rPr>
        <w:t> </w:t>
      </w:r>
      <w:r>
        <w:rPr>
          <w:sz w:val="22"/>
        </w:rPr>
        <w:t>en</w:t>
      </w:r>
      <w:r>
        <w:rPr>
          <w:spacing w:val="-15"/>
          <w:sz w:val="22"/>
        </w:rPr>
        <w:t> </w:t>
      </w:r>
      <w:r>
        <w:rPr>
          <w:sz w:val="22"/>
        </w:rPr>
        <w:t>el</w:t>
      </w:r>
      <w:r>
        <w:rPr>
          <w:spacing w:val="-16"/>
          <w:sz w:val="22"/>
        </w:rPr>
        <w:t> </w:t>
      </w:r>
      <w:r>
        <w:rPr>
          <w:sz w:val="22"/>
        </w:rPr>
        <w:t>marco</w:t>
      </w:r>
      <w:r>
        <w:rPr>
          <w:spacing w:val="-15"/>
          <w:sz w:val="22"/>
        </w:rPr>
        <w:t> </w:t>
      </w:r>
      <w:r>
        <w:rPr>
          <w:sz w:val="22"/>
        </w:rPr>
        <w:t>normativo</w:t>
      </w:r>
      <w:r>
        <w:rPr>
          <w:spacing w:val="-15"/>
          <w:sz w:val="22"/>
        </w:rPr>
        <w:t> </w:t>
      </w:r>
      <w:r>
        <w:rPr>
          <w:sz w:val="22"/>
        </w:rPr>
        <w:t>andino,</w:t>
      </w:r>
      <w:r>
        <w:rPr>
          <w:spacing w:val="-16"/>
          <w:sz w:val="22"/>
        </w:rPr>
        <w:t> </w:t>
      </w:r>
      <w:r>
        <w:rPr>
          <w:sz w:val="22"/>
        </w:rPr>
        <w:t>lo</w:t>
      </w:r>
      <w:r>
        <w:rPr>
          <w:spacing w:val="-15"/>
          <w:sz w:val="22"/>
        </w:rPr>
        <w:t> </w:t>
      </w:r>
      <w:r>
        <w:rPr>
          <w:sz w:val="22"/>
        </w:rPr>
        <w:t>que</w:t>
      </w:r>
      <w:r>
        <w:rPr>
          <w:spacing w:val="-15"/>
          <w:sz w:val="22"/>
        </w:rPr>
        <w:t> </w:t>
      </w:r>
      <w:r>
        <w:rPr>
          <w:sz w:val="22"/>
        </w:rPr>
        <w:t>desvirtúa su</w:t>
      </w:r>
      <w:r>
        <w:rPr>
          <w:spacing w:val="-10"/>
          <w:sz w:val="22"/>
        </w:rPr>
        <w:t> </w:t>
      </w:r>
      <w:r>
        <w:rPr>
          <w:sz w:val="22"/>
        </w:rPr>
        <w:t>utilización</w:t>
      </w:r>
      <w:r>
        <w:rPr>
          <w:spacing w:val="-10"/>
          <w:sz w:val="22"/>
        </w:rPr>
        <w:t> </w:t>
      </w:r>
      <w:r>
        <w:rPr>
          <w:sz w:val="22"/>
        </w:rPr>
        <w:t>como</w:t>
      </w:r>
      <w:r>
        <w:rPr>
          <w:spacing w:val="-12"/>
          <w:sz w:val="22"/>
        </w:rPr>
        <w:t> </w:t>
      </w:r>
      <w:r>
        <w:rPr>
          <w:sz w:val="22"/>
        </w:rPr>
        <w:t>fundamento</w:t>
      </w:r>
      <w:r>
        <w:rPr>
          <w:spacing w:val="-15"/>
          <w:sz w:val="22"/>
        </w:rPr>
        <w:t> </w:t>
      </w:r>
      <w:r>
        <w:rPr>
          <w:sz w:val="22"/>
        </w:rPr>
        <w:t>jurídico</w:t>
      </w:r>
      <w:r>
        <w:rPr>
          <w:spacing w:val="-10"/>
          <w:sz w:val="22"/>
        </w:rPr>
        <w:t> </w:t>
      </w:r>
      <w:r>
        <w:rPr>
          <w:sz w:val="22"/>
        </w:rPr>
        <w:t>válido</w:t>
      </w:r>
      <w:r>
        <w:rPr>
          <w:spacing w:val="-10"/>
          <w:sz w:val="22"/>
        </w:rPr>
        <w:t> </w:t>
      </w:r>
      <w:r>
        <w:rPr>
          <w:sz w:val="22"/>
        </w:rPr>
        <w:t>para</w:t>
      </w:r>
      <w:r>
        <w:rPr>
          <w:spacing w:val="-10"/>
          <w:sz w:val="22"/>
        </w:rPr>
        <w:t> </w:t>
      </w:r>
      <w:r>
        <w:rPr>
          <w:sz w:val="22"/>
        </w:rPr>
        <w:t>restringir</w:t>
      </w:r>
      <w:r>
        <w:rPr>
          <w:spacing w:val="-11"/>
          <w:sz w:val="22"/>
        </w:rPr>
        <w:t> </w:t>
      </w:r>
      <w:r>
        <w:rPr>
          <w:sz w:val="22"/>
        </w:rPr>
        <w:t>el</w:t>
      </w:r>
      <w:r>
        <w:rPr>
          <w:spacing w:val="-11"/>
          <w:sz w:val="22"/>
        </w:rPr>
        <w:t> </w:t>
      </w:r>
      <w:r>
        <w:rPr>
          <w:sz w:val="22"/>
        </w:rPr>
        <w:t>ingreso</w:t>
      </w:r>
      <w:r>
        <w:rPr>
          <w:spacing w:val="-10"/>
          <w:sz w:val="22"/>
        </w:rPr>
        <w:t> </w:t>
      </w:r>
      <w:r>
        <w:rPr>
          <w:sz w:val="22"/>
        </w:rPr>
        <w:t>de</w:t>
      </w:r>
      <w:r>
        <w:rPr>
          <w:spacing w:val="-13"/>
          <w:sz w:val="22"/>
        </w:rPr>
        <w:t> </w:t>
      </w:r>
      <w:r>
        <w:rPr>
          <w:sz w:val="22"/>
        </w:rPr>
        <w:t>los</w:t>
      </w:r>
      <w:r>
        <w:rPr>
          <w:spacing w:val="-10"/>
          <w:sz w:val="22"/>
        </w:rPr>
        <w:t> </w:t>
      </w:r>
      <w:r>
        <w:rPr>
          <w:sz w:val="22"/>
        </w:rPr>
        <w:t>productos objeto de análisis al comercio intracomunitario.</w:t>
      </w:r>
    </w:p>
    <w:p>
      <w:pPr>
        <w:pStyle w:val="ListParagraph"/>
        <w:numPr>
          <w:ilvl w:val="0"/>
          <w:numId w:val="113"/>
        </w:numPr>
        <w:tabs>
          <w:tab w:pos="1560" w:val="left" w:leader="none"/>
        </w:tabs>
        <w:spacing w:line="240" w:lineRule="auto" w:before="252" w:after="0"/>
        <w:ind w:left="1560" w:right="0" w:hanging="284"/>
        <w:jc w:val="left"/>
        <w:rPr>
          <w:rFonts w:ascii="Arial" w:hAnsi="Arial"/>
          <w:i/>
          <w:sz w:val="22"/>
        </w:rPr>
      </w:pPr>
      <w:r>
        <w:rPr>
          <w:rFonts w:ascii="Arial" w:hAnsi="Arial"/>
          <w:i/>
          <w:sz w:val="22"/>
          <w:u w:val="single"/>
        </w:rPr>
        <w:t>Análisis</w:t>
      </w:r>
      <w:r>
        <w:rPr>
          <w:rFonts w:ascii="Arial" w:hAnsi="Arial"/>
          <w:i/>
          <w:spacing w:val="-5"/>
          <w:sz w:val="22"/>
          <w:u w:val="single"/>
        </w:rPr>
        <w:t> </w:t>
      </w:r>
      <w:r>
        <w:rPr>
          <w:rFonts w:ascii="Arial" w:hAnsi="Arial"/>
          <w:i/>
          <w:sz w:val="22"/>
          <w:u w:val="single"/>
        </w:rPr>
        <w:t>de</w:t>
      </w:r>
      <w:r>
        <w:rPr>
          <w:rFonts w:ascii="Arial" w:hAnsi="Arial"/>
          <w:i/>
          <w:spacing w:val="-4"/>
          <w:sz w:val="22"/>
          <w:u w:val="single"/>
        </w:rPr>
        <w:t> </w:t>
      </w:r>
      <w:r>
        <w:rPr>
          <w:rFonts w:ascii="Arial" w:hAnsi="Arial"/>
          <w:i/>
          <w:sz w:val="22"/>
          <w:u w:val="single"/>
        </w:rPr>
        <w:t>peces,</w:t>
      </w:r>
      <w:r>
        <w:rPr>
          <w:rFonts w:ascii="Arial" w:hAnsi="Arial"/>
          <w:i/>
          <w:spacing w:val="-6"/>
          <w:sz w:val="22"/>
          <w:u w:val="single"/>
        </w:rPr>
        <w:t> </w:t>
      </w:r>
      <w:r>
        <w:rPr>
          <w:rFonts w:ascii="Arial" w:hAnsi="Arial"/>
          <w:i/>
          <w:sz w:val="22"/>
          <w:u w:val="single"/>
        </w:rPr>
        <w:t>truchas</w:t>
      </w:r>
      <w:r>
        <w:rPr>
          <w:rFonts w:ascii="Arial" w:hAnsi="Arial"/>
          <w:i/>
          <w:spacing w:val="-4"/>
          <w:sz w:val="22"/>
          <w:u w:val="single"/>
        </w:rPr>
        <w:t> </w:t>
      </w:r>
      <w:r>
        <w:rPr>
          <w:rFonts w:ascii="Arial" w:hAnsi="Arial"/>
          <w:i/>
          <w:sz w:val="22"/>
          <w:u w:val="single"/>
        </w:rPr>
        <w:t>y</w:t>
      </w:r>
      <w:r>
        <w:rPr>
          <w:rFonts w:ascii="Arial" w:hAnsi="Arial"/>
          <w:i/>
          <w:spacing w:val="-6"/>
          <w:sz w:val="22"/>
          <w:u w:val="single"/>
        </w:rPr>
        <w:t> </w:t>
      </w:r>
      <w:r>
        <w:rPr>
          <w:rFonts w:ascii="Arial" w:hAnsi="Arial"/>
          <w:i/>
          <w:sz w:val="22"/>
          <w:u w:val="single"/>
        </w:rPr>
        <w:t>material</w:t>
      </w:r>
      <w:r>
        <w:rPr>
          <w:rFonts w:ascii="Arial" w:hAnsi="Arial"/>
          <w:i/>
          <w:spacing w:val="-5"/>
          <w:sz w:val="22"/>
          <w:u w:val="single"/>
        </w:rPr>
        <w:t> </w:t>
      </w:r>
      <w:r>
        <w:rPr>
          <w:rFonts w:ascii="Arial" w:hAnsi="Arial"/>
          <w:i/>
          <w:spacing w:val="-2"/>
          <w:sz w:val="22"/>
          <w:u w:val="single"/>
        </w:rPr>
        <w:t>acuícola</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84" w:hanging="567"/>
        <w:jc w:val="left"/>
        <w:rPr>
          <w:sz w:val="22"/>
        </w:rPr>
      </w:pPr>
      <w:r>
        <w:rPr>
          <w:sz w:val="22"/>
        </w:rPr>
        <w:t>En</w:t>
      </w:r>
      <w:r>
        <w:rPr>
          <w:spacing w:val="39"/>
          <w:sz w:val="22"/>
        </w:rPr>
        <w:t> </w:t>
      </w:r>
      <w:r>
        <w:rPr>
          <w:sz w:val="22"/>
        </w:rPr>
        <w:t>relación</w:t>
      </w:r>
      <w:r>
        <w:rPr>
          <w:spacing w:val="38"/>
          <w:sz w:val="22"/>
        </w:rPr>
        <w:t> </w:t>
      </w:r>
      <w:r>
        <w:rPr>
          <w:sz w:val="22"/>
        </w:rPr>
        <w:t>con</w:t>
      </w:r>
      <w:r>
        <w:rPr>
          <w:spacing w:val="38"/>
          <w:sz w:val="22"/>
        </w:rPr>
        <w:t> </w:t>
      </w:r>
      <w:r>
        <w:rPr>
          <w:sz w:val="22"/>
        </w:rPr>
        <w:t>los</w:t>
      </w:r>
      <w:r>
        <w:rPr>
          <w:spacing w:val="39"/>
          <w:sz w:val="22"/>
        </w:rPr>
        <w:t> </w:t>
      </w:r>
      <w:r>
        <w:rPr>
          <w:sz w:val="22"/>
        </w:rPr>
        <w:t>productos</w:t>
      </w:r>
      <w:r>
        <w:rPr>
          <w:spacing w:val="39"/>
          <w:sz w:val="22"/>
        </w:rPr>
        <w:t> </w:t>
      </w:r>
      <w:r>
        <w:rPr>
          <w:sz w:val="22"/>
        </w:rPr>
        <w:t>correspondientes</w:t>
      </w:r>
      <w:r>
        <w:rPr>
          <w:spacing w:val="36"/>
          <w:sz w:val="22"/>
        </w:rPr>
        <w:t> </w:t>
      </w:r>
      <w:r>
        <w:rPr>
          <w:sz w:val="22"/>
        </w:rPr>
        <w:t>a</w:t>
      </w:r>
      <w:r>
        <w:rPr>
          <w:spacing w:val="39"/>
          <w:sz w:val="22"/>
        </w:rPr>
        <w:t> </w:t>
      </w:r>
      <w:r>
        <w:rPr>
          <w:sz w:val="22"/>
        </w:rPr>
        <w:t>peces,</w:t>
      </w:r>
      <w:r>
        <w:rPr>
          <w:spacing w:val="37"/>
          <w:sz w:val="22"/>
        </w:rPr>
        <w:t> </w:t>
      </w:r>
      <w:r>
        <w:rPr>
          <w:sz w:val="22"/>
        </w:rPr>
        <w:t>truchas</w:t>
      </w:r>
      <w:r>
        <w:rPr>
          <w:spacing w:val="39"/>
          <w:sz w:val="22"/>
        </w:rPr>
        <w:t> </w:t>
      </w:r>
      <w:r>
        <w:rPr>
          <w:sz w:val="22"/>
        </w:rPr>
        <w:t>y</w:t>
      </w:r>
      <w:r>
        <w:rPr>
          <w:spacing w:val="39"/>
          <w:sz w:val="22"/>
        </w:rPr>
        <w:t> </w:t>
      </w:r>
      <w:r>
        <w:rPr>
          <w:sz w:val="22"/>
        </w:rPr>
        <w:t>demás</w:t>
      </w:r>
      <w:r>
        <w:rPr>
          <w:spacing w:val="37"/>
          <w:sz w:val="22"/>
        </w:rPr>
        <w:t> </w:t>
      </w:r>
      <w:r>
        <w:rPr>
          <w:sz w:val="22"/>
        </w:rPr>
        <w:t>material biológico acuícola, la República de Colombia invoca la existencia de riesgos sanitarios</w:t>
      </w:r>
    </w:p>
    <w:p>
      <w:pPr>
        <w:pStyle w:val="ListParagraph"/>
        <w:spacing w:after="0" w:line="240" w:lineRule="auto"/>
        <w:jc w:val="left"/>
        <w:rPr>
          <w:sz w:val="22"/>
        </w:rPr>
        <w:sectPr>
          <w:headerReference w:type="default" r:id="rId105"/>
          <w:footerReference w:type="default" r:id="rId106"/>
          <w:pgSz w:w="11900" w:h="16850"/>
          <w:pgMar w:header="370" w:footer="651" w:top="1380" w:bottom="840" w:left="992" w:right="283"/>
        </w:sectPr>
      </w:pPr>
    </w:p>
    <w:p>
      <w:pPr>
        <w:pStyle w:val="BodyText"/>
        <w:spacing w:before="176"/>
      </w:pPr>
    </w:p>
    <w:p>
      <w:pPr>
        <w:pStyle w:val="BodyText"/>
        <w:ind w:left="1134" w:right="982"/>
        <w:jc w:val="both"/>
      </w:pPr>
      <w:r>
        <w:rPr/>
        <w:t>asociados, entre otros, a la presencia de la Septicemia Hemorrágica Viral (VHS) en la Laguna de La Cocha. No obstante, de la revisión del expediente no se desprende que dicha situación haya sido notificada formalmente</w:t>
      </w:r>
      <w:r>
        <w:rPr>
          <w:spacing w:val="-2"/>
        </w:rPr>
        <w:t> </w:t>
      </w:r>
      <w:r>
        <w:rPr/>
        <w:t>a la SGCAN, conforme</w:t>
      </w:r>
      <w:r>
        <w:rPr>
          <w:spacing w:val="-2"/>
        </w:rPr>
        <w:t> </w:t>
      </w:r>
      <w:r>
        <w:rPr/>
        <w:t>a lo dispuesto en la Decisión 515 y en la Decisión 808, las cuales establecen la obligación de comunicar la ocurrencia de enfermedades de notificación obligatoria dentro de plazos perentorios y acompañadas de informes técnicos específicos.</w:t>
      </w:r>
    </w:p>
    <w:p>
      <w:pPr>
        <w:pStyle w:val="BodyText"/>
      </w:pPr>
    </w:p>
    <w:p>
      <w:pPr>
        <w:pStyle w:val="ListParagraph"/>
        <w:numPr>
          <w:ilvl w:val="0"/>
          <w:numId w:val="50"/>
        </w:numPr>
        <w:tabs>
          <w:tab w:pos="1130" w:val="left" w:leader="none"/>
          <w:tab w:pos="1134" w:val="left" w:leader="none"/>
        </w:tabs>
        <w:spacing w:line="240" w:lineRule="auto" w:before="1" w:after="0"/>
        <w:ind w:left="1134" w:right="980" w:hanging="567"/>
        <w:jc w:val="both"/>
        <w:rPr>
          <w:sz w:val="22"/>
        </w:rPr>
      </w:pPr>
      <w:r>
        <w:rPr>
          <w:sz w:val="22"/>
        </w:rPr>
        <w:t>En particular, tratándose de enfermedades de animales acuáticos incluidas en los listados de importancia sanitaria, el procedimiento aplicable exigía la notificación a la SGCAN</w:t>
      </w:r>
      <w:r>
        <w:rPr>
          <w:spacing w:val="-12"/>
          <w:sz w:val="22"/>
        </w:rPr>
        <w:t> </w:t>
      </w:r>
      <w:r>
        <w:rPr>
          <w:sz w:val="22"/>
        </w:rPr>
        <w:t>y</w:t>
      </w:r>
      <w:r>
        <w:rPr>
          <w:spacing w:val="-11"/>
          <w:sz w:val="22"/>
        </w:rPr>
        <w:t> </w:t>
      </w:r>
      <w:r>
        <w:rPr>
          <w:sz w:val="22"/>
        </w:rPr>
        <w:t>a</w:t>
      </w:r>
      <w:r>
        <w:rPr>
          <w:spacing w:val="-11"/>
          <w:sz w:val="22"/>
        </w:rPr>
        <w:t> </w:t>
      </w:r>
      <w:r>
        <w:rPr>
          <w:sz w:val="22"/>
        </w:rPr>
        <w:t>los</w:t>
      </w:r>
      <w:r>
        <w:rPr>
          <w:spacing w:val="-14"/>
          <w:sz w:val="22"/>
        </w:rPr>
        <w:t> </w:t>
      </w:r>
      <w:r>
        <w:rPr>
          <w:sz w:val="22"/>
        </w:rPr>
        <w:t>demás</w:t>
      </w:r>
      <w:r>
        <w:rPr>
          <w:spacing w:val="-11"/>
          <w:sz w:val="22"/>
        </w:rPr>
        <w:t> </w:t>
      </w:r>
      <w:r>
        <w:rPr>
          <w:sz w:val="22"/>
        </w:rPr>
        <w:t>Países</w:t>
      </w:r>
      <w:r>
        <w:rPr>
          <w:spacing w:val="-13"/>
          <w:sz w:val="22"/>
        </w:rPr>
        <w:t> </w:t>
      </w:r>
      <w:r>
        <w:rPr>
          <w:sz w:val="22"/>
        </w:rPr>
        <w:t>Miembros</w:t>
      </w:r>
      <w:r>
        <w:rPr>
          <w:spacing w:val="-11"/>
          <w:sz w:val="22"/>
        </w:rPr>
        <w:t> </w:t>
      </w:r>
      <w:r>
        <w:rPr>
          <w:sz w:val="22"/>
        </w:rPr>
        <w:t>dentro</w:t>
      </w:r>
      <w:r>
        <w:rPr>
          <w:spacing w:val="-14"/>
          <w:sz w:val="22"/>
        </w:rPr>
        <w:t> </w:t>
      </w:r>
      <w:r>
        <w:rPr>
          <w:sz w:val="22"/>
        </w:rPr>
        <w:t>de</w:t>
      </w:r>
      <w:r>
        <w:rPr>
          <w:spacing w:val="-11"/>
          <w:sz w:val="22"/>
        </w:rPr>
        <w:t> </w:t>
      </w:r>
      <w:r>
        <w:rPr>
          <w:sz w:val="22"/>
        </w:rPr>
        <w:t>un</w:t>
      </w:r>
      <w:r>
        <w:rPr>
          <w:spacing w:val="-12"/>
          <w:sz w:val="22"/>
        </w:rPr>
        <w:t> </w:t>
      </w:r>
      <w:r>
        <w:rPr>
          <w:sz w:val="22"/>
        </w:rPr>
        <w:t>plazo</w:t>
      </w:r>
      <w:r>
        <w:rPr>
          <w:spacing w:val="-12"/>
          <w:sz w:val="22"/>
        </w:rPr>
        <w:t> </w:t>
      </w:r>
      <w:r>
        <w:rPr>
          <w:sz w:val="22"/>
        </w:rPr>
        <w:t>no</w:t>
      </w:r>
      <w:r>
        <w:rPr>
          <w:spacing w:val="-14"/>
          <w:sz w:val="22"/>
        </w:rPr>
        <w:t> </w:t>
      </w:r>
      <w:r>
        <w:rPr>
          <w:sz w:val="22"/>
        </w:rPr>
        <w:t>mayor</w:t>
      </w:r>
      <w:r>
        <w:rPr>
          <w:spacing w:val="-10"/>
          <w:sz w:val="22"/>
        </w:rPr>
        <w:t> </w:t>
      </w:r>
      <w:r>
        <w:rPr>
          <w:sz w:val="22"/>
        </w:rPr>
        <w:t>a</w:t>
      </w:r>
      <w:r>
        <w:rPr>
          <w:spacing w:val="-14"/>
          <w:sz w:val="22"/>
        </w:rPr>
        <w:t> </w:t>
      </w:r>
      <w:r>
        <w:rPr>
          <w:sz w:val="22"/>
        </w:rPr>
        <w:t>veinticuatro</w:t>
      </w:r>
      <w:r>
        <w:rPr>
          <w:spacing w:val="-14"/>
          <w:sz w:val="22"/>
        </w:rPr>
        <w:t> </w:t>
      </w:r>
      <w:r>
        <w:rPr>
          <w:sz w:val="22"/>
        </w:rPr>
        <w:t>(24) horas contadas desde su detección, acompañada de la información técnica correspondiente.</w:t>
      </w:r>
      <w:r>
        <w:rPr>
          <w:spacing w:val="-6"/>
          <w:sz w:val="22"/>
        </w:rPr>
        <w:t> </w:t>
      </w:r>
      <w:r>
        <w:rPr>
          <w:sz w:val="22"/>
        </w:rPr>
        <w:t>No</w:t>
      </w:r>
      <w:r>
        <w:rPr>
          <w:spacing w:val="-5"/>
          <w:sz w:val="22"/>
        </w:rPr>
        <w:t> </w:t>
      </w:r>
      <w:r>
        <w:rPr>
          <w:sz w:val="22"/>
        </w:rPr>
        <w:t>obstante,</w:t>
      </w:r>
      <w:r>
        <w:rPr>
          <w:spacing w:val="-6"/>
          <w:sz w:val="22"/>
        </w:rPr>
        <w:t> </w:t>
      </w:r>
      <w:r>
        <w:rPr>
          <w:sz w:val="22"/>
        </w:rPr>
        <w:t>no</w:t>
      </w:r>
      <w:r>
        <w:rPr>
          <w:spacing w:val="-8"/>
          <w:sz w:val="22"/>
        </w:rPr>
        <w:t> </w:t>
      </w:r>
      <w:r>
        <w:rPr>
          <w:sz w:val="22"/>
        </w:rPr>
        <w:t>se</w:t>
      </w:r>
      <w:r>
        <w:rPr>
          <w:spacing w:val="-7"/>
          <w:sz w:val="22"/>
        </w:rPr>
        <w:t> </w:t>
      </w:r>
      <w:r>
        <w:rPr>
          <w:sz w:val="22"/>
        </w:rPr>
        <w:t>ha</w:t>
      </w:r>
      <w:r>
        <w:rPr>
          <w:spacing w:val="-5"/>
          <w:sz w:val="22"/>
        </w:rPr>
        <w:t> </w:t>
      </w:r>
      <w:r>
        <w:rPr>
          <w:sz w:val="22"/>
        </w:rPr>
        <w:t>acreditado</w:t>
      </w:r>
      <w:r>
        <w:rPr>
          <w:spacing w:val="-5"/>
          <w:sz w:val="22"/>
        </w:rPr>
        <w:t> </w:t>
      </w:r>
      <w:r>
        <w:rPr>
          <w:sz w:val="22"/>
        </w:rPr>
        <w:t>el</w:t>
      </w:r>
      <w:r>
        <w:rPr>
          <w:spacing w:val="-6"/>
          <w:sz w:val="22"/>
        </w:rPr>
        <w:t> </w:t>
      </w:r>
      <w:r>
        <w:rPr>
          <w:sz w:val="22"/>
        </w:rPr>
        <w:t>cumplimiento</w:t>
      </w:r>
      <w:r>
        <w:rPr>
          <w:spacing w:val="-7"/>
          <w:sz w:val="22"/>
        </w:rPr>
        <w:t> </w:t>
      </w:r>
      <w:r>
        <w:rPr>
          <w:sz w:val="22"/>
        </w:rPr>
        <w:t>de</w:t>
      </w:r>
      <w:r>
        <w:rPr>
          <w:spacing w:val="-8"/>
          <w:sz w:val="22"/>
        </w:rPr>
        <w:t> </w:t>
      </w:r>
      <w:r>
        <w:rPr>
          <w:sz w:val="22"/>
        </w:rPr>
        <w:t>dicha</w:t>
      </w:r>
      <w:r>
        <w:rPr>
          <w:spacing w:val="-5"/>
          <w:sz w:val="22"/>
        </w:rPr>
        <w:t> </w:t>
      </w:r>
      <w:r>
        <w:rPr>
          <w:sz w:val="22"/>
        </w:rPr>
        <w:t>obligación, lo cual impide constatar la existencia de una situación de emergencia sanitaria debidamente</w:t>
      </w:r>
      <w:r>
        <w:rPr>
          <w:spacing w:val="-10"/>
          <w:sz w:val="22"/>
        </w:rPr>
        <w:t> </w:t>
      </w:r>
      <w:r>
        <w:rPr>
          <w:sz w:val="22"/>
        </w:rPr>
        <w:t>reconocida</w:t>
      </w:r>
      <w:r>
        <w:rPr>
          <w:spacing w:val="-8"/>
          <w:sz w:val="22"/>
        </w:rPr>
        <w:t> </w:t>
      </w:r>
      <w:r>
        <w:rPr>
          <w:sz w:val="22"/>
        </w:rPr>
        <w:t>en</w:t>
      </w:r>
      <w:r>
        <w:rPr>
          <w:spacing w:val="-10"/>
          <w:sz w:val="22"/>
        </w:rPr>
        <w:t> </w:t>
      </w:r>
      <w:r>
        <w:rPr>
          <w:sz w:val="22"/>
        </w:rPr>
        <w:t>el</w:t>
      </w:r>
      <w:r>
        <w:rPr>
          <w:spacing w:val="-8"/>
          <w:sz w:val="22"/>
        </w:rPr>
        <w:t> </w:t>
      </w:r>
      <w:r>
        <w:rPr>
          <w:sz w:val="22"/>
        </w:rPr>
        <w:t>ámbito</w:t>
      </w:r>
      <w:r>
        <w:rPr>
          <w:spacing w:val="-10"/>
          <w:sz w:val="22"/>
        </w:rPr>
        <w:t> </w:t>
      </w:r>
      <w:r>
        <w:rPr>
          <w:sz w:val="22"/>
        </w:rPr>
        <w:t>subregional,</w:t>
      </w:r>
      <w:r>
        <w:rPr>
          <w:spacing w:val="-8"/>
          <w:sz w:val="22"/>
        </w:rPr>
        <w:t> </w:t>
      </w:r>
      <w:r>
        <w:rPr>
          <w:sz w:val="22"/>
        </w:rPr>
        <w:t>conforme</w:t>
      </w:r>
      <w:r>
        <w:rPr>
          <w:spacing w:val="-10"/>
          <w:sz w:val="22"/>
        </w:rPr>
        <w:t> </w:t>
      </w:r>
      <w:r>
        <w:rPr>
          <w:sz w:val="22"/>
        </w:rPr>
        <w:t>al</w:t>
      </w:r>
      <w:r>
        <w:rPr>
          <w:spacing w:val="-11"/>
          <w:sz w:val="22"/>
        </w:rPr>
        <w:t> </w:t>
      </w:r>
      <w:r>
        <w:rPr>
          <w:sz w:val="22"/>
        </w:rPr>
        <w:t>marco</w:t>
      </w:r>
      <w:r>
        <w:rPr>
          <w:spacing w:val="-10"/>
          <w:sz w:val="22"/>
        </w:rPr>
        <w:t> </w:t>
      </w:r>
      <w:r>
        <w:rPr>
          <w:sz w:val="22"/>
        </w:rPr>
        <w:t>normativo</w:t>
      </w:r>
      <w:r>
        <w:rPr>
          <w:spacing w:val="-10"/>
          <w:sz w:val="22"/>
        </w:rPr>
        <w:t> </w:t>
      </w:r>
      <w:r>
        <w:rPr>
          <w:sz w:val="22"/>
        </w:rPr>
        <w:t>andino </w:t>
      </w:r>
      <w:r>
        <w:rPr>
          <w:spacing w:val="-2"/>
          <w:sz w:val="22"/>
        </w:rPr>
        <w:t>aplicable.</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En</w:t>
      </w:r>
      <w:r>
        <w:rPr>
          <w:spacing w:val="-2"/>
          <w:sz w:val="22"/>
        </w:rPr>
        <w:t> </w:t>
      </w:r>
      <w:r>
        <w:rPr>
          <w:sz w:val="22"/>
        </w:rPr>
        <w:t>consecuencia,</w:t>
      </w:r>
      <w:r>
        <w:rPr>
          <w:spacing w:val="-1"/>
          <w:sz w:val="22"/>
        </w:rPr>
        <w:t> </w:t>
      </w:r>
      <w:r>
        <w:rPr>
          <w:sz w:val="22"/>
        </w:rPr>
        <w:t>la</w:t>
      </w:r>
      <w:r>
        <w:rPr>
          <w:spacing w:val="-2"/>
          <w:sz w:val="22"/>
        </w:rPr>
        <w:t> </w:t>
      </w:r>
      <w:r>
        <w:rPr>
          <w:sz w:val="22"/>
        </w:rPr>
        <w:t>República</w:t>
      </w:r>
      <w:r>
        <w:rPr>
          <w:spacing w:val="-2"/>
          <w:sz w:val="22"/>
        </w:rPr>
        <w:t> </w:t>
      </w:r>
      <w:r>
        <w:rPr>
          <w:sz w:val="22"/>
        </w:rPr>
        <w:t>de</w:t>
      </w:r>
      <w:r>
        <w:rPr>
          <w:spacing w:val="-2"/>
          <w:sz w:val="22"/>
        </w:rPr>
        <w:t> </w:t>
      </w:r>
      <w:r>
        <w:rPr>
          <w:sz w:val="22"/>
        </w:rPr>
        <w:t>Colombia</w:t>
      </w:r>
      <w:r>
        <w:rPr>
          <w:spacing w:val="-2"/>
          <w:sz w:val="22"/>
        </w:rPr>
        <w:t> </w:t>
      </w:r>
      <w:r>
        <w:rPr>
          <w:sz w:val="22"/>
        </w:rPr>
        <w:t>no</w:t>
      </w:r>
      <w:r>
        <w:rPr>
          <w:spacing w:val="-2"/>
          <w:sz w:val="22"/>
        </w:rPr>
        <w:t> </w:t>
      </w:r>
      <w:r>
        <w:rPr>
          <w:sz w:val="22"/>
        </w:rPr>
        <w:t>observó</w:t>
      </w:r>
      <w:r>
        <w:rPr>
          <w:spacing w:val="-2"/>
          <w:sz w:val="22"/>
        </w:rPr>
        <w:t> </w:t>
      </w:r>
      <w:r>
        <w:rPr>
          <w:sz w:val="22"/>
        </w:rPr>
        <w:t>el</w:t>
      </w:r>
      <w:r>
        <w:rPr>
          <w:spacing w:val="-2"/>
          <w:sz w:val="22"/>
        </w:rPr>
        <w:t> </w:t>
      </w:r>
      <w:r>
        <w:rPr>
          <w:sz w:val="22"/>
        </w:rPr>
        <w:t>procedimiento</w:t>
      </w:r>
      <w:r>
        <w:rPr>
          <w:spacing w:val="-6"/>
          <w:sz w:val="22"/>
        </w:rPr>
        <w:t> </w:t>
      </w:r>
      <w:r>
        <w:rPr>
          <w:sz w:val="22"/>
        </w:rPr>
        <w:t>previsto</w:t>
      </w:r>
      <w:r>
        <w:rPr>
          <w:spacing w:val="-2"/>
          <w:sz w:val="22"/>
        </w:rPr>
        <w:t> </w:t>
      </w:r>
      <w:r>
        <w:rPr>
          <w:sz w:val="22"/>
        </w:rPr>
        <w:t>en</w:t>
      </w:r>
      <w:r>
        <w:rPr>
          <w:spacing w:val="-4"/>
          <w:sz w:val="22"/>
        </w:rPr>
        <w:t> </w:t>
      </w:r>
      <w:r>
        <w:rPr>
          <w:sz w:val="22"/>
        </w:rPr>
        <w:t>la normativa andina para sustentar la adopción de</w:t>
      </w:r>
      <w:r>
        <w:rPr>
          <w:spacing w:val="-1"/>
          <w:sz w:val="22"/>
        </w:rPr>
        <w:t> </w:t>
      </w:r>
      <w:r>
        <w:rPr>
          <w:sz w:val="22"/>
        </w:rPr>
        <w:t>medidas restrictivas respecto de</w:t>
      </w:r>
      <w:r>
        <w:rPr>
          <w:spacing w:val="-1"/>
          <w:sz w:val="22"/>
        </w:rPr>
        <w:t> </w:t>
      </w:r>
      <w:r>
        <w:rPr>
          <w:sz w:val="22"/>
        </w:rPr>
        <w:t>estos productos,</w:t>
      </w:r>
      <w:r>
        <w:rPr>
          <w:spacing w:val="-16"/>
          <w:sz w:val="22"/>
        </w:rPr>
        <w:t> </w:t>
      </w:r>
      <w:r>
        <w:rPr>
          <w:sz w:val="22"/>
        </w:rPr>
        <w:t>en</w:t>
      </w:r>
      <w:r>
        <w:rPr>
          <w:spacing w:val="-15"/>
          <w:sz w:val="22"/>
        </w:rPr>
        <w:t> </w:t>
      </w:r>
      <w:r>
        <w:rPr>
          <w:sz w:val="22"/>
        </w:rPr>
        <w:t>la</w:t>
      </w:r>
      <w:r>
        <w:rPr>
          <w:spacing w:val="-15"/>
          <w:sz w:val="22"/>
        </w:rPr>
        <w:t> </w:t>
      </w:r>
      <w:r>
        <w:rPr>
          <w:sz w:val="22"/>
        </w:rPr>
        <w:t>medida</w:t>
      </w:r>
      <w:r>
        <w:rPr>
          <w:spacing w:val="-16"/>
          <w:sz w:val="22"/>
        </w:rPr>
        <w:t> </w:t>
      </w:r>
      <w:r>
        <w:rPr>
          <w:sz w:val="22"/>
        </w:rPr>
        <w:t>en</w:t>
      </w:r>
      <w:r>
        <w:rPr>
          <w:spacing w:val="-15"/>
          <w:sz w:val="22"/>
        </w:rPr>
        <w:t> </w:t>
      </w:r>
      <w:r>
        <w:rPr>
          <w:sz w:val="22"/>
        </w:rPr>
        <w:t>que</w:t>
      </w:r>
      <w:r>
        <w:rPr>
          <w:spacing w:val="-15"/>
          <w:sz w:val="22"/>
        </w:rPr>
        <w:t> </w:t>
      </w:r>
      <w:r>
        <w:rPr>
          <w:sz w:val="22"/>
        </w:rPr>
        <w:t>no</w:t>
      </w:r>
      <w:r>
        <w:rPr>
          <w:spacing w:val="-15"/>
          <w:sz w:val="22"/>
        </w:rPr>
        <w:t> </w:t>
      </w:r>
      <w:r>
        <w:rPr>
          <w:sz w:val="22"/>
        </w:rPr>
        <w:t>notificó</w:t>
      </w:r>
      <w:r>
        <w:rPr>
          <w:spacing w:val="-16"/>
          <w:sz w:val="22"/>
        </w:rPr>
        <w:t> </w:t>
      </w:r>
      <w:r>
        <w:rPr>
          <w:sz w:val="22"/>
        </w:rPr>
        <w:t>formalmente</w:t>
      </w:r>
      <w:r>
        <w:rPr>
          <w:spacing w:val="-15"/>
          <w:sz w:val="22"/>
        </w:rPr>
        <w:t> </w:t>
      </w:r>
      <w:r>
        <w:rPr>
          <w:sz w:val="22"/>
        </w:rPr>
        <w:t>la</w:t>
      </w:r>
      <w:r>
        <w:rPr>
          <w:spacing w:val="-15"/>
          <w:sz w:val="22"/>
        </w:rPr>
        <w:t> </w:t>
      </w:r>
      <w:r>
        <w:rPr>
          <w:sz w:val="22"/>
        </w:rPr>
        <w:t>emergencia</w:t>
      </w:r>
      <w:r>
        <w:rPr>
          <w:spacing w:val="-16"/>
          <w:sz w:val="22"/>
        </w:rPr>
        <w:t> </w:t>
      </w:r>
      <w:r>
        <w:rPr>
          <w:sz w:val="22"/>
        </w:rPr>
        <w:t>sanitaria</w:t>
      </w:r>
      <w:r>
        <w:rPr>
          <w:spacing w:val="-15"/>
          <w:sz w:val="22"/>
        </w:rPr>
        <w:t> </w:t>
      </w:r>
      <w:r>
        <w:rPr>
          <w:sz w:val="22"/>
        </w:rPr>
        <w:t>alegada, ni registró norma alguna que establezca requisitos sanitarios exigibles frente a los demás</w:t>
      </w:r>
      <w:r>
        <w:rPr>
          <w:spacing w:val="-6"/>
          <w:sz w:val="22"/>
        </w:rPr>
        <w:t> </w:t>
      </w:r>
      <w:r>
        <w:rPr>
          <w:sz w:val="22"/>
        </w:rPr>
        <w:t>Países</w:t>
      </w:r>
      <w:r>
        <w:rPr>
          <w:spacing w:val="-8"/>
          <w:sz w:val="22"/>
        </w:rPr>
        <w:t> </w:t>
      </w:r>
      <w:r>
        <w:rPr>
          <w:sz w:val="22"/>
        </w:rPr>
        <w:t>Miembros,</w:t>
      </w:r>
      <w:r>
        <w:rPr>
          <w:spacing w:val="-3"/>
          <w:sz w:val="22"/>
        </w:rPr>
        <w:t> </w:t>
      </w:r>
      <w:r>
        <w:rPr>
          <w:sz w:val="22"/>
        </w:rPr>
        <w:t>conforme</w:t>
      </w:r>
      <w:r>
        <w:rPr>
          <w:spacing w:val="-6"/>
          <w:sz w:val="22"/>
        </w:rPr>
        <w:t> </w:t>
      </w:r>
      <w:r>
        <w:rPr>
          <w:sz w:val="22"/>
        </w:rPr>
        <w:t>a</w:t>
      </w:r>
      <w:r>
        <w:rPr>
          <w:spacing w:val="-6"/>
          <w:sz w:val="22"/>
        </w:rPr>
        <w:t> </w:t>
      </w:r>
      <w:r>
        <w:rPr>
          <w:sz w:val="22"/>
        </w:rPr>
        <w:t>lo</w:t>
      </w:r>
      <w:r>
        <w:rPr>
          <w:spacing w:val="-4"/>
          <w:sz w:val="22"/>
        </w:rPr>
        <w:t> </w:t>
      </w:r>
      <w:r>
        <w:rPr>
          <w:sz w:val="22"/>
        </w:rPr>
        <w:t>dispuesto</w:t>
      </w:r>
      <w:r>
        <w:rPr>
          <w:spacing w:val="-6"/>
          <w:sz w:val="22"/>
        </w:rPr>
        <w:t> </w:t>
      </w:r>
      <w:r>
        <w:rPr>
          <w:sz w:val="22"/>
        </w:rPr>
        <w:t>en</w:t>
      </w:r>
      <w:r>
        <w:rPr>
          <w:spacing w:val="-7"/>
          <w:sz w:val="22"/>
        </w:rPr>
        <w:t> </w:t>
      </w:r>
      <w:r>
        <w:rPr>
          <w:sz w:val="22"/>
        </w:rPr>
        <w:t>la</w:t>
      </w:r>
      <w:r>
        <w:rPr>
          <w:spacing w:val="-4"/>
          <w:sz w:val="22"/>
        </w:rPr>
        <w:t> </w:t>
      </w:r>
      <w:r>
        <w:rPr>
          <w:sz w:val="22"/>
        </w:rPr>
        <w:t>Decisión</w:t>
      </w:r>
      <w:r>
        <w:rPr>
          <w:spacing w:val="-4"/>
          <w:sz w:val="22"/>
        </w:rPr>
        <w:t> </w:t>
      </w:r>
      <w:r>
        <w:rPr>
          <w:sz w:val="22"/>
        </w:rPr>
        <w:t>515</w:t>
      </w:r>
      <w:r>
        <w:rPr>
          <w:spacing w:val="-6"/>
          <w:sz w:val="22"/>
        </w:rPr>
        <w:t> </w:t>
      </w:r>
      <w:r>
        <w:rPr>
          <w:sz w:val="22"/>
        </w:rPr>
        <w:t>y</w:t>
      </w:r>
      <w:r>
        <w:rPr>
          <w:spacing w:val="-6"/>
          <w:sz w:val="22"/>
        </w:rPr>
        <w:t> </w:t>
      </w:r>
      <w:r>
        <w:rPr>
          <w:sz w:val="22"/>
        </w:rPr>
        <w:t>la</w:t>
      </w:r>
      <w:r>
        <w:rPr>
          <w:spacing w:val="-9"/>
          <w:sz w:val="22"/>
        </w:rPr>
        <w:t> </w:t>
      </w:r>
      <w:r>
        <w:rPr>
          <w:sz w:val="22"/>
        </w:rPr>
        <w:t>Decisión</w:t>
      </w:r>
      <w:r>
        <w:rPr>
          <w:spacing w:val="-4"/>
          <w:sz w:val="22"/>
        </w:rPr>
        <w:t> </w:t>
      </w:r>
      <w:r>
        <w:rPr>
          <w:sz w:val="22"/>
        </w:rPr>
        <w:t>808.</w:t>
      </w:r>
    </w:p>
    <w:p>
      <w:pPr>
        <w:pStyle w:val="ListParagraph"/>
        <w:numPr>
          <w:ilvl w:val="0"/>
          <w:numId w:val="50"/>
        </w:numPr>
        <w:tabs>
          <w:tab w:pos="1130" w:val="left" w:leader="none"/>
          <w:tab w:pos="1134" w:val="left" w:leader="none"/>
        </w:tabs>
        <w:spacing w:line="240" w:lineRule="auto" w:before="252" w:after="0"/>
        <w:ind w:left="1134" w:right="977" w:hanging="567"/>
        <w:jc w:val="both"/>
        <w:rPr>
          <w:sz w:val="22"/>
        </w:rPr>
      </w:pPr>
      <w:r>
        <w:rPr>
          <w:sz w:val="22"/>
        </w:rPr>
        <w:t>En</w:t>
      </w:r>
      <w:r>
        <w:rPr>
          <w:spacing w:val="-3"/>
          <w:sz w:val="22"/>
        </w:rPr>
        <w:t> </w:t>
      </w:r>
      <w:r>
        <w:rPr>
          <w:sz w:val="22"/>
        </w:rPr>
        <w:t>virtud</w:t>
      </w:r>
      <w:r>
        <w:rPr>
          <w:spacing w:val="-4"/>
          <w:sz w:val="22"/>
        </w:rPr>
        <w:t> </w:t>
      </w:r>
      <w:r>
        <w:rPr>
          <w:sz w:val="22"/>
        </w:rPr>
        <w:t>de</w:t>
      </w:r>
      <w:r>
        <w:rPr>
          <w:spacing w:val="-3"/>
          <w:sz w:val="22"/>
        </w:rPr>
        <w:t> </w:t>
      </w:r>
      <w:r>
        <w:rPr>
          <w:sz w:val="22"/>
        </w:rPr>
        <w:t>lo</w:t>
      </w:r>
      <w:r>
        <w:rPr>
          <w:spacing w:val="-4"/>
          <w:sz w:val="22"/>
        </w:rPr>
        <w:t> </w:t>
      </w:r>
      <w:r>
        <w:rPr>
          <w:sz w:val="22"/>
        </w:rPr>
        <w:t>expuesto,</w:t>
      </w:r>
      <w:r>
        <w:rPr>
          <w:spacing w:val="-4"/>
          <w:sz w:val="22"/>
        </w:rPr>
        <w:t> </w:t>
      </w:r>
      <w:r>
        <w:rPr>
          <w:sz w:val="22"/>
        </w:rPr>
        <w:t>se</w:t>
      </w:r>
      <w:r>
        <w:rPr>
          <w:spacing w:val="-3"/>
          <w:sz w:val="22"/>
        </w:rPr>
        <w:t> </w:t>
      </w:r>
      <w:r>
        <w:rPr>
          <w:sz w:val="22"/>
        </w:rPr>
        <w:t>concluye</w:t>
      </w:r>
      <w:r>
        <w:rPr>
          <w:spacing w:val="-4"/>
          <w:sz w:val="22"/>
        </w:rPr>
        <w:t> </w:t>
      </w:r>
      <w:r>
        <w:rPr>
          <w:sz w:val="22"/>
        </w:rPr>
        <w:t>que</w:t>
      </w:r>
      <w:r>
        <w:rPr>
          <w:spacing w:val="-3"/>
          <w:sz w:val="22"/>
        </w:rPr>
        <w:t> </w:t>
      </w:r>
      <w:r>
        <w:rPr>
          <w:sz w:val="22"/>
        </w:rPr>
        <w:t>la</w:t>
      </w:r>
      <w:r>
        <w:rPr>
          <w:spacing w:val="-4"/>
          <w:sz w:val="22"/>
        </w:rPr>
        <w:t> </w:t>
      </w:r>
      <w:r>
        <w:rPr>
          <w:sz w:val="22"/>
        </w:rPr>
        <w:t>República</w:t>
      </w:r>
      <w:r>
        <w:rPr>
          <w:spacing w:val="-3"/>
          <w:sz w:val="22"/>
        </w:rPr>
        <w:t> </w:t>
      </w:r>
      <w:r>
        <w:rPr>
          <w:sz w:val="22"/>
        </w:rPr>
        <w:t>de</w:t>
      </w:r>
      <w:r>
        <w:rPr>
          <w:spacing w:val="-4"/>
          <w:sz w:val="22"/>
        </w:rPr>
        <w:t> </w:t>
      </w:r>
      <w:r>
        <w:rPr>
          <w:sz w:val="22"/>
        </w:rPr>
        <w:t>Colombia</w:t>
      </w:r>
      <w:r>
        <w:rPr>
          <w:spacing w:val="-3"/>
          <w:sz w:val="22"/>
        </w:rPr>
        <w:t> </w:t>
      </w:r>
      <w:r>
        <w:rPr>
          <w:sz w:val="22"/>
        </w:rPr>
        <w:t>no</w:t>
      </w:r>
      <w:r>
        <w:rPr>
          <w:spacing w:val="-4"/>
          <w:sz w:val="22"/>
        </w:rPr>
        <w:t> </w:t>
      </w:r>
      <w:r>
        <w:rPr>
          <w:sz w:val="22"/>
        </w:rPr>
        <w:t>cumplió</w:t>
      </w:r>
      <w:r>
        <w:rPr>
          <w:spacing w:val="-3"/>
          <w:sz w:val="22"/>
        </w:rPr>
        <w:t> </w:t>
      </w:r>
      <w:r>
        <w:rPr>
          <w:sz w:val="22"/>
        </w:rPr>
        <w:t>con</w:t>
      </w:r>
      <w:r>
        <w:rPr>
          <w:spacing w:val="-4"/>
          <w:sz w:val="22"/>
        </w:rPr>
        <w:t> </w:t>
      </w:r>
      <w:r>
        <w:rPr>
          <w:sz w:val="22"/>
        </w:rPr>
        <w:t>los procedimientos establecidos en la normativa comunitaria andina para la adopción de medidas sanitarias con efectos restrictivos sobre el ingreso de mercancías, tanto respecto de los productos derivados de crustáceos como de los peces y del material acuícola. En particular, se constata la falta de notificación oportuna de medidas de emergencia, la inexistencia de normas sanitarias vigentes debidamente inscritas en el Registro</w:t>
      </w:r>
      <w:r>
        <w:rPr>
          <w:spacing w:val="-16"/>
          <w:sz w:val="22"/>
        </w:rPr>
        <w:t> </w:t>
      </w:r>
      <w:r>
        <w:rPr>
          <w:sz w:val="22"/>
        </w:rPr>
        <w:t>Subregional,</w:t>
      </w:r>
      <w:r>
        <w:rPr>
          <w:spacing w:val="-15"/>
          <w:sz w:val="22"/>
        </w:rPr>
        <w:t> </w:t>
      </w:r>
      <w:r>
        <w:rPr>
          <w:sz w:val="22"/>
        </w:rPr>
        <w:t>así</w:t>
      </w:r>
      <w:r>
        <w:rPr>
          <w:spacing w:val="-15"/>
          <w:sz w:val="22"/>
        </w:rPr>
        <w:t> </w:t>
      </w:r>
      <w:r>
        <w:rPr>
          <w:sz w:val="22"/>
        </w:rPr>
        <w:t>como</w:t>
      </w:r>
      <w:r>
        <w:rPr>
          <w:spacing w:val="-16"/>
          <w:sz w:val="22"/>
        </w:rPr>
        <w:t> </w:t>
      </w:r>
      <w:r>
        <w:rPr>
          <w:sz w:val="22"/>
        </w:rPr>
        <w:t>la</w:t>
      </w:r>
      <w:r>
        <w:rPr>
          <w:spacing w:val="-14"/>
          <w:sz w:val="22"/>
        </w:rPr>
        <w:t> </w:t>
      </w:r>
      <w:r>
        <w:rPr>
          <w:sz w:val="22"/>
        </w:rPr>
        <w:t>ausencia</w:t>
      </w:r>
      <w:r>
        <w:rPr>
          <w:spacing w:val="-14"/>
          <w:sz w:val="22"/>
        </w:rPr>
        <w:t> </w:t>
      </w:r>
      <w:r>
        <w:rPr>
          <w:sz w:val="22"/>
        </w:rPr>
        <w:t>de</w:t>
      </w:r>
      <w:r>
        <w:rPr>
          <w:spacing w:val="-14"/>
          <w:sz w:val="22"/>
        </w:rPr>
        <w:t> </w:t>
      </w:r>
      <w:r>
        <w:rPr>
          <w:sz w:val="22"/>
        </w:rPr>
        <w:t>un</w:t>
      </w:r>
      <w:r>
        <w:rPr>
          <w:spacing w:val="-16"/>
          <w:sz w:val="22"/>
        </w:rPr>
        <w:t> </w:t>
      </w:r>
      <w:r>
        <w:rPr>
          <w:sz w:val="22"/>
        </w:rPr>
        <w:t>sustento</w:t>
      </w:r>
      <w:r>
        <w:rPr>
          <w:spacing w:val="-15"/>
          <w:sz w:val="22"/>
        </w:rPr>
        <w:t> </w:t>
      </w:r>
      <w:r>
        <w:rPr>
          <w:sz w:val="22"/>
        </w:rPr>
        <w:t>técnico</w:t>
      </w:r>
      <w:r>
        <w:rPr>
          <w:rFonts w:ascii="Cambria Math" w:hAnsi="Cambria Math"/>
          <w:sz w:val="22"/>
        </w:rPr>
        <w:t>‑</w:t>
      </w:r>
      <w:r>
        <w:rPr>
          <w:sz w:val="22"/>
        </w:rPr>
        <w:t>científico</w:t>
      </w:r>
      <w:r>
        <w:rPr>
          <w:spacing w:val="-14"/>
          <w:sz w:val="22"/>
        </w:rPr>
        <w:t> </w:t>
      </w:r>
      <w:r>
        <w:rPr>
          <w:sz w:val="22"/>
        </w:rPr>
        <w:t>actualizado que permita justificar la adopción de la medida. En consecuencia, las restricciones contenidas</w:t>
      </w:r>
      <w:r>
        <w:rPr>
          <w:spacing w:val="-16"/>
          <w:sz w:val="22"/>
        </w:rPr>
        <w:t> </w:t>
      </w:r>
      <w:r>
        <w:rPr>
          <w:sz w:val="22"/>
        </w:rPr>
        <w:t>en</w:t>
      </w:r>
      <w:r>
        <w:rPr>
          <w:spacing w:val="-15"/>
          <w:sz w:val="22"/>
        </w:rPr>
        <w:t> </w:t>
      </w:r>
      <w:r>
        <w:rPr>
          <w:sz w:val="22"/>
        </w:rPr>
        <w:t>el</w:t>
      </w:r>
      <w:r>
        <w:rPr>
          <w:spacing w:val="-15"/>
          <w:sz w:val="22"/>
        </w:rPr>
        <w:t> </w:t>
      </w:r>
      <w:r>
        <w:rPr>
          <w:sz w:val="22"/>
        </w:rPr>
        <w:t>artículo</w:t>
      </w:r>
      <w:r>
        <w:rPr>
          <w:spacing w:val="-16"/>
          <w:sz w:val="22"/>
        </w:rPr>
        <w:t> </w:t>
      </w:r>
      <w:r>
        <w:rPr>
          <w:sz w:val="22"/>
        </w:rPr>
        <w:t>2</w:t>
      </w:r>
      <w:r>
        <w:rPr>
          <w:spacing w:val="-15"/>
          <w:sz w:val="22"/>
        </w:rPr>
        <w:t> </w:t>
      </w:r>
      <w:r>
        <w:rPr>
          <w:sz w:val="22"/>
        </w:rPr>
        <w:t>del</w:t>
      </w:r>
      <w:r>
        <w:rPr>
          <w:spacing w:val="-15"/>
          <w:sz w:val="22"/>
        </w:rPr>
        <w:t> </w:t>
      </w:r>
      <w:r>
        <w:rPr>
          <w:sz w:val="22"/>
        </w:rPr>
        <w:t>Decreto</w:t>
      </w:r>
      <w:r>
        <w:rPr>
          <w:spacing w:val="-15"/>
          <w:sz w:val="22"/>
        </w:rPr>
        <w:t> </w:t>
      </w:r>
      <w:r>
        <w:rPr>
          <w:sz w:val="22"/>
        </w:rPr>
        <w:t>0170</w:t>
      </w:r>
      <w:r>
        <w:rPr>
          <w:spacing w:val="-16"/>
          <w:sz w:val="22"/>
        </w:rPr>
        <w:t> </w:t>
      </w:r>
      <w:r>
        <w:rPr>
          <w:sz w:val="22"/>
        </w:rPr>
        <w:t>no</w:t>
      </w:r>
      <w:r>
        <w:rPr>
          <w:spacing w:val="-15"/>
          <w:sz w:val="22"/>
        </w:rPr>
        <w:t> </w:t>
      </w:r>
      <w:r>
        <w:rPr>
          <w:sz w:val="22"/>
        </w:rPr>
        <w:t>pueden</w:t>
      </w:r>
      <w:r>
        <w:rPr>
          <w:spacing w:val="-15"/>
          <w:sz w:val="22"/>
        </w:rPr>
        <w:t> </w:t>
      </w:r>
      <w:r>
        <w:rPr>
          <w:sz w:val="22"/>
        </w:rPr>
        <w:t>ser</w:t>
      </w:r>
      <w:r>
        <w:rPr>
          <w:spacing w:val="-16"/>
          <w:sz w:val="22"/>
        </w:rPr>
        <w:t> </w:t>
      </w:r>
      <w:r>
        <w:rPr>
          <w:sz w:val="22"/>
        </w:rPr>
        <w:t>válidamente</w:t>
      </w:r>
      <w:r>
        <w:rPr>
          <w:spacing w:val="-15"/>
          <w:sz w:val="22"/>
        </w:rPr>
        <w:t> </w:t>
      </w:r>
      <w:r>
        <w:rPr>
          <w:sz w:val="22"/>
        </w:rPr>
        <w:t>invocadas</w:t>
      </w:r>
      <w:r>
        <w:rPr>
          <w:spacing w:val="-14"/>
          <w:sz w:val="22"/>
        </w:rPr>
        <w:t> </w:t>
      </w:r>
      <w:r>
        <w:rPr>
          <w:sz w:val="22"/>
        </w:rPr>
        <w:t>como medidas sanitarias al amparo del ordenamiento jurídico comunitario.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5" w:hanging="567"/>
        <w:jc w:val="both"/>
        <w:rPr>
          <w:sz w:val="22"/>
        </w:rPr>
      </w:pPr>
      <w:r>
        <w:rPr>
          <w:sz w:val="22"/>
        </w:rPr>
        <w:t>Como se ha podido evidenciar a partir del análisis realizado, y de manera análoga a lo concluido respecto de los productos agrícolas frescos, la SGCAN ha descartado la existencia de un fundamento sanitario válido en la adopción de la medida restrictiva prevista en el artículo 2 del Decreto 0170 en relación con los denominados productos pesqueros. No obstante,</w:t>
      </w:r>
      <w:r>
        <w:rPr>
          <w:spacing w:val="-1"/>
          <w:sz w:val="22"/>
        </w:rPr>
        <w:t> </w:t>
      </w:r>
      <w:r>
        <w:rPr>
          <w:sz w:val="22"/>
        </w:rPr>
        <w:t>a continuación, se procederá a analizar la incidencia de dicha medida en el comercio andino, a fin de evaluar sus efectos conforme al </w:t>
      </w:r>
      <w:r>
        <w:rPr>
          <w:rFonts w:ascii="Arial" w:hAnsi="Arial"/>
          <w:i/>
          <w:sz w:val="22"/>
        </w:rPr>
        <w:t>Programa de Liberación </w:t>
      </w:r>
      <w:r>
        <w:rPr>
          <w:sz w:val="22"/>
        </w:rPr>
        <w:t>del Acuerdo de Cartagena.</w:t>
      </w:r>
    </w:p>
    <w:p>
      <w:pPr>
        <w:pStyle w:val="BodyText"/>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Para tal efecto, se procedió a revisar las importaciones con base en la información aportada por la República de Colombia y la República del Ecuador del año 2026, disponible</w:t>
      </w:r>
      <w:r>
        <w:rPr>
          <w:spacing w:val="-4"/>
          <w:sz w:val="22"/>
        </w:rPr>
        <w:t> </w:t>
      </w:r>
      <w:r>
        <w:rPr>
          <w:sz w:val="22"/>
        </w:rPr>
        <w:t>hasta</w:t>
      </w:r>
      <w:r>
        <w:rPr>
          <w:spacing w:val="-4"/>
          <w:sz w:val="22"/>
        </w:rPr>
        <w:t> </w:t>
      </w:r>
      <w:r>
        <w:rPr>
          <w:sz w:val="22"/>
        </w:rPr>
        <w:t>el</w:t>
      </w:r>
      <w:r>
        <w:rPr>
          <w:spacing w:val="-5"/>
          <w:sz w:val="22"/>
        </w:rPr>
        <w:t> </w:t>
      </w:r>
      <w:r>
        <w:rPr>
          <w:sz w:val="22"/>
        </w:rPr>
        <w:t>mes</w:t>
      </w:r>
      <w:r>
        <w:rPr>
          <w:spacing w:val="-6"/>
          <w:sz w:val="22"/>
        </w:rPr>
        <w:t> </w:t>
      </w:r>
      <w:r>
        <w:rPr>
          <w:sz w:val="22"/>
        </w:rPr>
        <w:t>de</w:t>
      </w:r>
      <w:r>
        <w:rPr>
          <w:spacing w:val="-4"/>
          <w:sz w:val="22"/>
        </w:rPr>
        <w:t> </w:t>
      </w:r>
      <w:r>
        <w:rPr>
          <w:sz w:val="22"/>
        </w:rPr>
        <w:t>marzo</w:t>
      </w:r>
      <w:r>
        <w:rPr>
          <w:spacing w:val="-5"/>
          <w:sz w:val="22"/>
        </w:rPr>
        <w:t> </w:t>
      </w:r>
      <w:r>
        <w:rPr>
          <w:sz w:val="22"/>
        </w:rPr>
        <w:t>de</w:t>
      </w:r>
      <w:r>
        <w:rPr>
          <w:spacing w:val="-4"/>
          <w:sz w:val="22"/>
        </w:rPr>
        <w:t> </w:t>
      </w:r>
      <w:r>
        <w:rPr>
          <w:sz w:val="22"/>
        </w:rPr>
        <w:t>ese</w:t>
      </w:r>
      <w:r>
        <w:rPr>
          <w:spacing w:val="-4"/>
          <w:sz w:val="22"/>
        </w:rPr>
        <w:t> </w:t>
      </w:r>
      <w:r>
        <w:rPr>
          <w:sz w:val="22"/>
        </w:rPr>
        <w:t>año.</w:t>
      </w:r>
      <w:r>
        <w:rPr>
          <w:spacing w:val="-5"/>
          <w:sz w:val="22"/>
        </w:rPr>
        <w:t> </w:t>
      </w:r>
      <w:r>
        <w:rPr>
          <w:sz w:val="22"/>
        </w:rPr>
        <w:t>El</w:t>
      </w:r>
      <w:r>
        <w:rPr>
          <w:spacing w:val="-5"/>
          <w:sz w:val="22"/>
        </w:rPr>
        <w:t> </w:t>
      </w:r>
      <w:r>
        <w:rPr>
          <w:sz w:val="22"/>
        </w:rPr>
        <w:t>análisis</w:t>
      </w:r>
      <w:r>
        <w:rPr>
          <w:spacing w:val="-4"/>
          <w:sz w:val="22"/>
        </w:rPr>
        <w:t> </w:t>
      </w:r>
      <w:r>
        <w:rPr>
          <w:sz w:val="22"/>
        </w:rPr>
        <w:t>de</w:t>
      </w:r>
      <w:r>
        <w:rPr>
          <w:spacing w:val="-4"/>
          <w:sz w:val="22"/>
        </w:rPr>
        <w:t> </w:t>
      </w:r>
      <w:r>
        <w:rPr>
          <w:sz w:val="22"/>
        </w:rPr>
        <w:t>las</w:t>
      </w:r>
      <w:r>
        <w:rPr>
          <w:spacing w:val="-4"/>
          <w:sz w:val="22"/>
        </w:rPr>
        <w:t> </w:t>
      </w:r>
      <w:r>
        <w:rPr>
          <w:sz w:val="22"/>
        </w:rPr>
        <w:t>cifras</w:t>
      </w:r>
      <w:r>
        <w:rPr>
          <w:spacing w:val="-4"/>
          <w:sz w:val="22"/>
        </w:rPr>
        <w:t> </w:t>
      </w:r>
      <w:r>
        <w:rPr>
          <w:sz w:val="22"/>
        </w:rPr>
        <w:t>correspondientes al</w:t>
      </w:r>
      <w:r>
        <w:rPr>
          <w:spacing w:val="-6"/>
          <w:sz w:val="22"/>
        </w:rPr>
        <w:t> </w:t>
      </w:r>
      <w:r>
        <w:rPr>
          <w:sz w:val="22"/>
        </w:rPr>
        <w:t>año</w:t>
      </w:r>
      <w:r>
        <w:rPr>
          <w:spacing w:val="-5"/>
          <w:sz w:val="22"/>
        </w:rPr>
        <w:t> </w:t>
      </w:r>
      <w:r>
        <w:rPr>
          <w:sz w:val="22"/>
        </w:rPr>
        <w:t>2026</w:t>
      </w:r>
      <w:r>
        <w:rPr>
          <w:spacing w:val="-7"/>
          <w:sz w:val="22"/>
        </w:rPr>
        <w:t> </w:t>
      </w:r>
      <w:r>
        <w:rPr>
          <w:sz w:val="22"/>
        </w:rPr>
        <w:t>evidencia</w:t>
      </w:r>
      <w:r>
        <w:rPr>
          <w:spacing w:val="-5"/>
          <w:sz w:val="22"/>
        </w:rPr>
        <w:t> </w:t>
      </w:r>
      <w:r>
        <w:rPr>
          <w:sz w:val="22"/>
        </w:rPr>
        <w:t>que</w:t>
      </w:r>
      <w:r>
        <w:rPr>
          <w:spacing w:val="-5"/>
          <w:sz w:val="22"/>
        </w:rPr>
        <w:t> </w:t>
      </w:r>
      <w:r>
        <w:rPr>
          <w:sz w:val="22"/>
        </w:rPr>
        <w:t>se</w:t>
      </w:r>
      <w:r>
        <w:rPr>
          <w:spacing w:val="-6"/>
          <w:sz w:val="22"/>
        </w:rPr>
        <w:t> </w:t>
      </w:r>
      <w:r>
        <w:rPr>
          <w:sz w:val="22"/>
        </w:rPr>
        <w:t>mantuvieron</w:t>
      </w:r>
      <w:r>
        <w:rPr>
          <w:spacing w:val="-6"/>
          <w:sz w:val="22"/>
        </w:rPr>
        <w:t> </w:t>
      </w:r>
      <w:r>
        <w:rPr>
          <w:sz w:val="22"/>
        </w:rPr>
        <w:t>exportaciones</w:t>
      </w:r>
      <w:r>
        <w:rPr>
          <w:spacing w:val="-5"/>
          <w:sz w:val="22"/>
        </w:rPr>
        <w:t> </w:t>
      </w:r>
      <w:r>
        <w:rPr>
          <w:sz w:val="22"/>
        </w:rPr>
        <w:t>a</w:t>
      </w:r>
      <w:r>
        <w:rPr>
          <w:spacing w:val="-6"/>
          <w:sz w:val="22"/>
        </w:rPr>
        <w:t> </w:t>
      </w:r>
      <w:r>
        <w:rPr>
          <w:sz w:val="22"/>
        </w:rPr>
        <w:t>través</w:t>
      </w:r>
      <w:r>
        <w:rPr>
          <w:spacing w:val="-5"/>
          <w:sz w:val="22"/>
        </w:rPr>
        <w:t> </w:t>
      </w:r>
      <w:r>
        <w:rPr>
          <w:sz w:val="22"/>
        </w:rPr>
        <w:t>de</w:t>
      </w:r>
      <w:r>
        <w:rPr>
          <w:spacing w:val="-7"/>
          <w:sz w:val="22"/>
        </w:rPr>
        <w:t> </w:t>
      </w:r>
      <w:r>
        <w:rPr>
          <w:sz w:val="22"/>
        </w:rPr>
        <w:t>puertos</w:t>
      </w:r>
      <w:r>
        <w:rPr>
          <w:spacing w:val="-6"/>
          <w:sz w:val="22"/>
        </w:rPr>
        <w:t> </w:t>
      </w:r>
      <w:r>
        <w:rPr>
          <w:sz w:val="22"/>
        </w:rPr>
        <w:t>marítimos (Buenaventura y Cartagena), mientras que no se registraron operaciones por vía terrestre (Ipiales), pese a que esta constituía el principal canal de ingreso de dichos productos con anterioridad a la adopción de la medida, circunstancia que resulta significativa para evaluar su efecto práctico sobre el comercio intracomunitario.</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Heading6"/>
        <w:ind w:left="3245" w:right="3163" w:firstLine="1425"/>
      </w:pPr>
      <w:r>
        <w:rPr/>
        <w:t>Tabla No. 20 Exportaciones</w:t>
      </w:r>
      <w:r>
        <w:rPr>
          <w:spacing w:val="-13"/>
        </w:rPr>
        <w:t> </w:t>
      </w:r>
      <w:r>
        <w:rPr/>
        <w:t>de</w:t>
      </w:r>
      <w:r>
        <w:rPr>
          <w:spacing w:val="-11"/>
        </w:rPr>
        <w:t> </w:t>
      </w:r>
      <w:r>
        <w:rPr/>
        <w:t>productos</w:t>
      </w:r>
      <w:r>
        <w:rPr>
          <w:spacing w:val="-11"/>
        </w:rPr>
        <w:t> </w:t>
      </w:r>
      <w:r>
        <w:rPr/>
        <w:t>pesqueros</w:t>
      </w:r>
    </w:p>
    <w:p>
      <w:pPr>
        <w:spacing w:before="1"/>
        <w:ind w:left="14" w:right="0" w:firstLine="0"/>
        <w:jc w:val="center"/>
        <w:rPr>
          <w:rFonts w:ascii="Arial"/>
          <w:b/>
          <w:sz w:val="22"/>
        </w:rPr>
      </w:pPr>
      <w:r>
        <w:rPr>
          <w:rFonts w:ascii="Arial"/>
          <w:b/>
          <w:sz w:val="22"/>
        </w:rPr>
        <w:t>USD</w:t>
      </w:r>
      <w:r>
        <w:rPr>
          <w:rFonts w:ascii="Arial"/>
          <w:b/>
          <w:spacing w:val="-3"/>
          <w:sz w:val="22"/>
        </w:rPr>
        <w:t> </w:t>
      </w:r>
      <w:r>
        <w:rPr>
          <w:rFonts w:ascii="Arial"/>
          <w:b/>
          <w:sz w:val="22"/>
        </w:rPr>
        <w:t>FOB</w:t>
      </w:r>
      <w:r>
        <w:rPr>
          <w:rFonts w:ascii="Arial"/>
          <w:b/>
          <w:spacing w:val="-4"/>
          <w:sz w:val="22"/>
        </w:rPr>
        <w:t> </w:t>
      </w:r>
      <w:r>
        <w:rPr>
          <w:rFonts w:ascii="Arial"/>
          <w:b/>
          <w:sz w:val="22"/>
        </w:rPr>
        <w:t>/ Enero</w:t>
      </w:r>
      <w:r>
        <w:rPr>
          <w:rFonts w:ascii="Arial"/>
          <w:b/>
          <w:spacing w:val="-5"/>
          <w:sz w:val="22"/>
        </w:rPr>
        <w:t> </w:t>
      </w:r>
      <w:r>
        <w:rPr>
          <w:rFonts w:ascii="Arial"/>
          <w:b/>
          <w:sz w:val="22"/>
        </w:rPr>
        <w:t>-</w:t>
      </w:r>
      <w:r>
        <w:rPr>
          <w:rFonts w:ascii="Arial"/>
          <w:b/>
          <w:spacing w:val="-3"/>
          <w:sz w:val="22"/>
        </w:rPr>
        <w:t> </w:t>
      </w:r>
      <w:r>
        <w:rPr>
          <w:rFonts w:ascii="Arial"/>
          <w:b/>
          <w:sz w:val="22"/>
        </w:rPr>
        <w:t>marzo</w:t>
      </w:r>
      <w:r>
        <w:rPr>
          <w:rFonts w:ascii="Arial"/>
          <w:b/>
          <w:spacing w:val="-2"/>
          <w:sz w:val="22"/>
        </w:rPr>
        <w:t> </w:t>
      </w:r>
      <w:r>
        <w:rPr>
          <w:rFonts w:ascii="Arial"/>
          <w:b/>
          <w:spacing w:val="-4"/>
          <w:sz w:val="22"/>
        </w:rPr>
        <w:t>2026</w:t>
      </w:r>
    </w:p>
    <w:tbl>
      <w:tblPr>
        <w:tblW w:w="0" w:type="auto"/>
        <w:jc w:val="left"/>
        <w:tblInd w:w="26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94"/>
        <w:gridCol w:w="950"/>
        <w:gridCol w:w="993"/>
        <w:gridCol w:w="1063"/>
      </w:tblGrid>
      <w:tr>
        <w:trPr>
          <w:trHeight w:val="184" w:hRule="atLeast"/>
        </w:trPr>
        <w:tc>
          <w:tcPr>
            <w:tcW w:w="1994" w:type="dxa"/>
            <w:shd w:val="clear" w:color="auto" w:fill="D1D1D1"/>
          </w:tcPr>
          <w:p>
            <w:pPr>
              <w:pStyle w:val="TableParagraph"/>
              <w:spacing w:line="163" w:lineRule="exact" w:before="1"/>
              <w:ind w:left="151"/>
              <w:rPr>
                <w:rFonts w:ascii="Arial"/>
                <w:b/>
                <w:sz w:val="16"/>
              </w:rPr>
            </w:pPr>
            <w:r>
              <w:rPr>
                <w:rFonts w:ascii="Arial"/>
                <w:b/>
                <w:sz w:val="16"/>
              </w:rPr>
              <w:t>PUERTO</w:t>
            </w:r>
            <w:r>
              <w:rPr>
                <w:rFonts w:ascii="Arial"/>
                <w:b/>
                <w:spacing w:val="-4"/>
                <w:sz w:val="16"/>
              </w:rPr>
              <w:t> </w:t>
            </w:r>
            <w:r>
              <w:rPr>
                <w:rFonts w:ascii="Arial"/>
                <w:b/>
                <w:sz w:val="16"/>
              </w:rPr>
              <w:t>DE</w:t>
            </w:r>
            <w:r>
              <w:rPr>
                <w:rFonts w:ascii="Arial"/>
                <w:b/>
                <w:spacing w:val="-3"/>
                <w:sz w:val="16"/>
              </w:rPr>
              <w:t> </w:t>
            </w:r>
            <w:r>
              <w:rPr>
                <w:rFonts w:ascii="Arial"/>
                <w:b/>
                <w:spacing w:val="-2"/>
                <w:sz w:val="16"/>
              </w:rPr>
              <w:t>DESTINO</w:t>
            </w:r>
          </w:p>
        </w:tc>
        <w:tc>
          <w:tcPr>
            <w:tcW w:w="950" w:type="dxa"/>
            <w:shd w:val="clear" w:color="auto" w:fill="D1D1D1"/>
          </w:tcPr>
          <w:p>
            <w:pPr>
              <w:pStyle w:val="TableParagraph"/>
              <w:spacing w:line="163" w:lineRule="exact" w:before="1"/>
              <w:ind w:left="11"/>
              <w:jc w:val="center"/>
              <w:rPr>
                <w:rFonts w:ascii="Arial"/>
                <w:b/>
                <w:sz w:val="16"/>
              </w:rPr>
            </w:pPr>
            <w:r>
              <w:rPr>
                <w:rFonts w:ascii="Arial"/>
                <w:b/>
                <w:spacing w:val="-2"/>
                <w:sz w:val="16"/>
              </w:rPr>
              <w:t>enero</w:t>
            </w:r>
          </w:p>
        </w:tc>
        <w:tc>
          <w:tcPr>
            <w:tcW w:w="993" w:type="dxa"/>
            <w:shd w:val="clear" w:color="auto" w:fill="D1D1D1"/>
          </w:tcPr>
          <w:p>
            <w:pPr>
              <w:pStyle w:val="TableParagraph"/>
              <w:spacing w:line="163" w:lineRule="exact" w:before="1"/>
              <w:ind w:left="221"/>
              <w:rPr>
                <w:rFonts w:ascii="Arial"/>
                <w:b/>
                <w:sz w:val="16"/>
              </w:rPr>
            </w:pPr>
            <w:r>
              <w:rPr>
                <w:rFonts w:ascii="Arial"/>
                <w:b/>
                <w:spacing w:val="-2"/>
                <w:sz w:val="16"/>
              </w:rPr>
              <w:t>febrero</w:t>
            </w:r>
          </w:p>
        </w:tc>
        <w:tc>
          <w:tcPr>
            <w:tcW w:w="1063" w:type="dxa"/>
            <w:shd w:val="clear" w:color="auto" w:fill="D1D1D1"/>
          </w:tcPr>
          <w:p>
            <w:pPr>
              <w:pStyle w:val="TableParagraph"/>
              <w:spacing w:line="163" w:lineRule="exact" w:before="1"/>
              <w:ind w:right="281"/>
              <w:jc w:val="right"/>
              <w:rPr>
                <w:rFonts w:ascii="Arial"/>
                <w:b/>
                <w:sz w:val="16"/>
              </w:rPr>
            </w:pPr>
            <w:r>
              <w:rPr>
                <w:rFonts w:ascii="Arial"/>
                <w:b/>
                <w:spacing w:val="-2"/>
                <w:sz w:val="16"/>
              </w:rPr>
              <w:t>marzo</w:t>
            </w:r>
          </w:p>
        </w:tc>
      </w:tr>
      <w:tr>
        <w:trPr>
          <w:trHeight w:val="184" w:hRule="atLeast"/>
        </w:trPr>
        <w:tc>
          <w:tcPr>
            <w:tcW w:w="1994" w:type="dxa"/>
          </w:tcPr>
          <w:p>
            <w:pPr>
              <w:pStyle w:val="TableParagraph"/>
              <w:spacing w:line="163" w:lineRule="exact" w:before="1"/>
              <w:ind w:left="107"/>
              <w:rPr>
                <w:sz w:val="16"/>
              </w:rPr>
            </w:pPr>
            <w:r>
              <w:rPr>
                <w:spacing w:val="-2"/>
                <w:sz w:val="16"/>
              </w:rPr>
              <w:t>BOGOTA</w:t>
            </w:r>
          </w:p>
        </w:tc>
        <w:tc>
          <w:tcPr>
            <w:tcW w:w="950" w:type="dxa"/>
          </w:tcPr>
          <w:p>
            <w:pPr>
              <w:pStyle w:val="TableParagraph"/>
              <w:rPr>
                <w:rFonts w:ascii="Times New Roman"/>
                <w:sz w:val="12"/>
              </w:rPr>
            </w:pPr>
          </w:p>
        </w:tc>
        <w:tc>
          <w:tcPr>
            <w:tcW w:w="993" w:type="dxa"/>
          </w:tcPr>
          <w:p>
            <w:pPr>
              <w:pStyle w:val="TableParagraph"/>
              <w:spacing w:line="163" w:lineRule="exact" w:before="1"/>
              <w:ind w:left="108"/>
              <w:rPr>
                <w:sz w:val="16"/>
              </w:rPr>
            </w:pPr>
            <w:r>
              <w:rPr>
                <w:spacing w:val="-2"/>
                <w:sz w:val="16"/>
              </w:rPr>
              <w:t>128,568</w:t>
            </w:r>
          </w:p>
        </w:tc>
        <w:tc>
          <w:tcPr>
            <w:tcW w:w="1063" w:type="dxa"/>
          </w:tcPr>
          <w:p>
            <w:pPr>
              <w:pStyle w:val="TableParagraph"/>
              <w:rPr>
                <w:rFonts w:ascii="Times New Roman"/>
                <w:sz w:val="12"/>
              </w:rPr>
            </w:pPr>
          </w:p>
        </w:tc>
      </w:tr>
      <w:tr>
        <w:trPr>
          <w:trHeight w:val="184" w:hRule="atLeast"/>
        </w:trPr>
        <w:tc>
          <w:tcPr>
            <w:tcW w:w="1994" w:type="dxa"/>
          </w:tcPr>
          <w:p>
            <w:pPr>
              <w:pStyle w:val="TableParagraph"/>
              <w:spacing w:line="163" w:lineRule="exact" w:before="1"/>
              <w:ind w:left="107"/>
              <w:rPr>
                <w:sz w:val="16"/>
              </w:rPr>
            </w:pPr>
            <w:r>
              <w:rPr>
                <w:spacing w:val="-2"/>
                <w:sz w:val="16"/>
              </w:rPr>
              <w:t>BUENAVENTURA</w:t>
            </w:r>
          </w:p>
        </w:tc>
        <w:tc>
          <w:tcPr>
            <w:tcW w:w="950" w:type="dxa"/>
          </w:tcPr>
          <w:p>
            <w:pPr>
              <w:pStyle w:val="TableParagraph"/>
              <w:spacing w:line="163" w:lineRule="exact" w:before="1"/>
              <w:ind w:right="142"/>
              <w:jc w:val="center"/>
              <w:rPr>
                <w:sz w:val="16"/>
              </w:rPr>
            </w:pPr>
            <w:r>
              <w:rPr>
                <w:spacing w:val="-2"/>
                <w:sz w:val="16"/>
              </w:rPr>
              <w:t>809,791</w:t>
            </w:r>
          </w:p>
        </w:tc>
        <w:tc>
          <w:tcPr>
            <w:tcW w:w="993" w:type="dxa"/>
          </w:tcPr>
          <w:p>
            <w:pPr>
              <w:pStyle w:val="TableParagraph"/>
              <w:spacing w:line="163" w:lineRule="exact" w:before="1"/>
              <w:ind w:left="108"/>
              <w:rPr>
                <w:sz w:val="16"/>
              </w:rPr>
            </w:pPr>
            <w:r>
              <w:rPr>
                <w:spacing w:val="-2"/>
                <w:sz w:val="16"/>
              </w:rPr>
              <w:t>954,844</w:t>
            </w:r>
          </w:p>
        </w:tc>
        <w:tc>
          <w:tcPr>
            <w:tcW w:w="1063" w:type="dxa"/>
          </w:tcPr>
          <w:p>
            <w:pPr>
              <w:pStyle w:val="TableParagraph"/>
              <w:spacing w:line="163" w:lineRule="exact" w:before="1"/>
              <w:ind w:right="228"/>
              <w:jc w:val="right"/>
              <w:rPr>
                <w:sz w:val="16"/>
              </w:rPr>
            </w:pPr>
            <w:r>
              <w:rPr>
                <w:spacing w:val="-2"/>
                <w:sz w:val="16"/>
              </w:rPr>
              <w:t>5,987,660</w:t>
            </w:r>
          </w:p>
        </w:tc>
      </w:tr>
      <w:tr>
        <w:trPr>
          <w:trHeight w:val="184" w:hRule="atLeast"/>
        </w:trPr>
        <w:tc>
          <w:tcPr>
            <w:tcW w:w="1994" w:type="dxa"/>
          </w:tcPr>
          <w:p>
            <w:pPr>
              <w:pStyle w:val="TableParagraph"/>
              <w:spacing w:line="163" w:lineRule="exact" w:before="1"/>
              <w:ind w:left="107"/>
              <w:rPr>
                <w:sz w:val="16"/>
              </w:rPr>
            </w:pPr>
            <w:r>
              <w:rPr>
                <w:spacing w:val="-2"/>
                <w:sz w:val="16"/>
              </w:rPr>
              <w:t>CARTAGENA</w:t>
            </w:r>
          </w:p>
        </w:tc>
        <w:tc>
          <w:tcPr>
            <w:tcW w:w="950" w:type="dxa"/>
          </w:tcPr>
          <w:p>
            <w:pPr>
              <w:pStyle w:val="TableParagraph"/>
              <w:spacing w:line="163" w:lineRule="exact" w:before="1"/>
              <w:ind w:right="142"/>
              <w:jc w:val="center"/>
              <w:rPr>
                <w:sz w:val="16"/>
              </w:rPr>
            </w:pPr>
            <w:r>
              <w:rPr>
                <w:spacing w:val="-2"/>
                <w:sz w:val="16"/>
              </w:rPr>
              <w:t>173,175</w:t>
            </w:r>
          </w:p>
        </w:tc>
        <w:tc>
          <w:tcPr>
            <w:tcW w:w="993" w:type="dxa"/>
          </w:tcPr>
          <w:p>
            <w:pPr>
              <w:pStyle w:val="TableParagraph"/>
              <w:spacing w:line="163" w:lineRule="exact" w:before="1"/>
              <w:ind w:left="108"/>
              <w:rPr>
                <w:sz w:val="16"/>
              </w:rPr>
            </w:pPr>
            <w:r>
              <w:rPr>
                <w:spacing w:val="-2"/>
                <w:sz w:val="16"/>
              </w:rPr>
              <w:t>82,650</w:t>
            </w:r>
          </w:p>
        </w:tc>
        <w:tc>
          <w:tcPr>
            <w:tcW w:w="1063" w:type="dxa"/>
          </w:tcPr>
          <w:p>
            <w:pPr>
              <w:pStyle w:val="TableParagraph"/>
              <w:spacing w:line="163" w:lineRule="exact" w:before="1"/>
              <w:ind w:right="228"/>
              <w:jc w:val="right"/>
              <w:rPr>
                <w:sz w:val="16"/>
              </w:rPr>
            </w:pPr>
            <w:r>
              <w:rPr>
                <w:spacing w:val="-2"/>
                <w:sz w:val="16"/>
              </w:rPr>
              <w:t>1,483,649</w:t>
            </w:r>
          </w:p>
        </w:tc>
      </w:tr>
      <w:tr>
        <w:trPr>
          <w:trHeight w:val="184" w:hRule="atLeast"/>
        </w:trPr>
        <w:tc>
          <w:tcPr>
            <w:tcW w:w="1994" w:type="dxa"/>
          </w:tcPr>
          <w:p>
            <w:pPr>
              <w:pStyle w:val="TableParagraph"/>
              <w:spacing w:line="163" w:lineRule="exact" w:before="1"/>
              <w:ind w:left="107"/>
              <w:rPr>
                <w:sz w:val="16"/>
              </w:rPr>
            </w:pPr>
            <w:r>
              <w:rPr>
                <w:spacing w:val="-2"/>
                <w:sz w:val="16"/>
              </w:rPr>
              <w:t>IPIALES</w:t>
            </w:r>
          </w:p>
        </w:tc>
        <w:tc>
          <w:tcPr>
            <w:tcW w:w="950" w:type="dxa"/>
          </w:tcPr>
          <w:p>
            <w:pPr>
              <w:pStyle w:val="TableParagraph"/>
              <w:spacing w:line="163" w:lineRule="exact" w:before="1"/>
              <w:ind w:left="14" w:right="22"/>
              <w:jc w:val="center"/>
              <w:rPr>
                <w:sz w:val="16"/>
              </w:rPr>
            </w:pPr>
            <w:r>
              <w:rPr>
                <w:spacing w:val="-2"/>
                <w:sz w:val="16"/>
              </w:rPr>
              <w:t>6,590,665</w:t>
            </w:r>
          </w:p>
        </w:tc>
        <w:tc>
          <w:tcPr>
            <w:tcW w:w="993" w:type="dxa"/>
          </w:tcPr>
          <w:p>
            <w:pPr>
              <w:pStyle w:val="TableParagraph"/>
              <w:spacing w:line="163" w:lineRule="exact" w:before="1"/>
              <w:ind w:left="108"/>
              <w:rPr>
                <w:sz w:val="16"/>
              </w:rPr>
            </w:pPr>
            <w:r>
              <w:rPr>
                <w:spacing w:val="-2"/>
                <w:sz w:val="16"/>
              </w:rPr>
              <w:t>2,988,170</w:t>
            </w:r>
          </w:p>
        </w:tc>
        <w:tc>
          <w:tcPr>
            <w:tcW w:w="1063" w:type="dxa"/>
          </w:tcPr>
          <w:p>
            <w:pPr>
              <w:pStyle w:val="TableParagraph"/>
              <w:rPr>
                <w:rFonts w:ascii="Times New Roman"/>
                <w:sz w:val="12"/>
              </w:rPr>
            </w:pPr>
          </w:p>
        </w:tc>
      </w:tr>
      <w:tr>
        <w:trPr>
          <w:trHeight w:val="184" w:hRule="atLeast"/>
        </w:trPr>
        <w:tc>
          <w:tcPr>
            <w:tcW w:w="1994" w:type="dxa"/>
          </w:tcPr>
          <w:p>
            <w:pPr>
              <w:pStyle w:val="TableParagraph"/>
              <w:spacing w:line="164" w:lineRule="exact"/>
              <w:ind w:left="107"/>
              <w:rPr>
                <w:rFonts w:ascii="Arial"/>
                <w:b/>
                <w:sz w:val="16"/>
              </w:rPr>
            </w:pPr>
            <w:r>
              <w:rPr>
                <w:rFonts w:ascii="Arial"/>
                <w:b/>
                <w:sz w:val="16"/>
              </w:rPr>
              <w:t>Total</w:t>
            </w:r>
            <w:r>
              <w:rPr>
                <w:rFonts w:ascii="Arial"/>
                <w:b/>
                <w:spacing w:val="-6"/>
                <w:sz w:val="16"/>
              </w:rPr>
              <w:t> </w:t>
            </w:r>
            <w:r>
              <w:rPr>
                <w:rFonts w:ascii="Arial"/>
                <w:b/>
                <w:spacing w:val="-2"/>
                <w:sz w:val="16"/>
              </w:rPr>
              <w:t>general</w:t>
            </w:r>
          </w:p>
        </w:tc>
        <w:tc>
          <w:tcPr>
            <w:tcW w:w="950" w:type="dxa"/>
          </w:tcPr>
          <w:p>
            <w:pPr>
              <w:pStyle w:val="TableParagraph"/>
              <w:spacing w:line="164" w:lineRule="exact"/>
              <w:ind w:left="14" w:right="22"/>
              <w:jc w:val="center"/>
              <w:rPr>
                <w:rFonts w:ascii="Arial"/>
                <w:b/>
                <w:sz w:val="16"/>
              </w:rPr>
            </w:pPr>
            <w:r>
              <w:rPr>
                <w:rFonts w:ascii="Arial"/>
                <w:b/>
                <w:spacing w:val="-2"/>
                <w:sz w:val="16"/>
              </w:rPr>
              <w:t>7,573,630</w:t>
            </w:r>
          </w:p>
        </w:tc>
        <w:tc>
          <w:tcPr>
            <w:tcW w:w="993" w:type="dxa"/>
          </w:tcPr>
          <w:p>
            <w:pPr>
              <w:pStyle w:val="TableParagraph"/>
              <w:spacing w:line="164" w:lineRule="exact"/>
              <w:ind w:left="108"/>
              <w:rPr>
                <w:rFonts w:ascii="Arial"/>
                <w:b/>
                <w:sz w:val="16"/>
              </w:rPr>
            </w:pPr>
            <w:r>
              <w:rPr>
                <w:rFonts w:ascii="Arial"/>
                <w:b/>
                <w:spacing w:val="-2"/>
                <w:sz w:val="16"/>
              </w:rPr>
              <w:t>4,154,232</w:t>
            </w:r>
          </w:p>
        </w:tc>
        <w:tc>
          <w:tcPr>
            <w:tcW w:w="1063" w:type="dxa"/>
          </w:tcPr>
          <w:p>
            <w:pPr>
              <w:pStyle w:val="TableParagraph"/>
              <w:spacing w:line="164" w:lineRule="exact"/>
              <w:ind w:right="228"/>
              <w:jc w:val="right"/>
              <w:rPr>
                <w:rFonts w:ascii="Arial"/>
                <w:b/>
                <w:sz w:val="16"/>
              </w:rPr>
            </w:pPr>
            <w:r>
              <w:rPr>
                <w:rFonts w:ascii="Arial"/>
                <w:b/>
                <w:spacing w:val="-2"/>
                <w:sz w:val="16"/>
              </w:rPr>
              <w:t>7,471,309</w:t>
            </w:r>
          </w:p>
        </w:tc>
      </w:tr>
    </w:tbl>
    <w:p>
      <w:pPr>
        <w:spacing w:before="0"/>
        <w:ind w:left="2695" w:right="6286" w:firstLine="0"/>
        <w:jc w:val="left"/>
        <w:rPr>
          <w:rFonts w:ascii="Arial" w:hAnsi="Arial"/>
          <w:b/>
          <w:sz w:val="16"/>
        </w:rPr>
      </w:pPr>
      <w:r>
        <w:rPr>
          <w:rFonts w:ascii="Arial" w:hAnsi="Arial"/>
          <w:b/>
          <w:sz w:val="16"/>
        </w:rPr>
        <w:t>Fuente: SENAE. Elaboración:</w:t>
      </w:r>
      <w:r>
        <w:rPr>
          <w:rFonts w:ascii="Arial" w:hAnsi="Arial"/>
          <w:b/>
          <w:spacing w:val="-12"/>
          <w:sz w:val="16"/>
        </w:rPr>
        <w:t> </w:t>
      </w:r>
      <w:r>
        <w:rPr>
          <w:rFonts w:ascii="Arial" w:hAnsi="Arial"/>
          <w:b/>
          <w:sz w:val="16"/>
        </w:rPr>
        <w:t>SGCAN.</w:t>
      </w:r>
    </w:p>
    <w:p>
      <w:pPr>
        <w:pStyle w:val="BodyText"/>
        <w:spacing w:before="68"/>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Sumado a lo anterior, y con el fin de contar con una referencia ilustrativa sobre la evolución</w:t>
      </w:r>
      <w:r>
        <w:rPr>
          <w:spacing w:val="-16"/>
          <w:sz w:val="22"/>
        </w:rPr>
        <w:t> </w:t>
      </w:r>
      <w:r>
        <w:rPr>
          <w:sz w:val="22"/>
        </w:rPr>
        <w:t>del</w:t>
      </w:r>
      <w:r>
        <w:rPr>
          <w:spacing w:val="-15"/>
          <w:sz w:val="22"/>
        </w:rPr>
        <w:t> </w:t>
      </w:r>
      <w:r>
        <w:rPr>
          <w:sz w:val="22"/>
        </w:rPr>
        <w:t>comercio</w:t>
      </w:r>
      <w:r>
        <w:rPr>
          <w:spacing w:val="-15"/>
          <w:sz w:val="22"/>
        </w:rPr>
        <w:t> </w:t>
      </w:r>
      <w:r>
        <w:rPr>
          <w:sz w:val="22"/>
        </w:rPr>
        <w:t>de</w:t>
      </w:r>
      <w:r>
        <w:rPr>
          <w:spacing w:val="-16"/>
          <w:sz w:val="22"/>
        </w:rPr>
        <w:t> </w:t>
      </w:r>
      <w:r>
        <w:rPr>
          <w:sz w:val="22"/>
        </w:rPr>
        <w:t>los</w:t>
      </w:r>
      <w:r>
        <w:rPr>
          <w:spacing w:val="-15"/>
          <w:sz w:val="22"/>
        </w:rPr>
        <w:t> </w:t>
      </w:r>
      <w:r>
        <w:rPr>
          <w:sz w:val="22"/>
        </w:rPr>
        <w:t>productos</w:t>
      </w:r>
      <w:r>
        <w:rPr>
          <w:spacing w:val="-15"/>
          <w:sz w:val="22"/>
        </w:rPr>
        <w:t> </w:t>
      </w:r>
      <w:r>
        <w:rPr>
          <w:sz w:val="22"/>
        </w:rPr>
        <w:t>pesqueros,</w:t>
      </w:r>
      <w:r>
        <w:rPr>
          <w:spacing w:val="-15"/>
          <w:sz w:val="22"/>
        </w:rPr>
        <w:t> </w:t>
      </w:r>
      <w:r>
        <w:rPr>
          <w:sz w:val="22"/>
        </w:rPr>
        <w:t>la</w:t>
      </w:r>
      <w:r>
        <w:rPr>
          <w:spacing w:val="-16"/>
          <w:sz w:val="22"/>
        </w:rPr>
        <w:t> </w:t>
      </w:r>
      <w:r>
        <w:rPr>
          <w:sz w:val="22"/>
        </w:rPr>
        <w:t>Tabla</w:t>
      </w:r>
      <w:r>
        <w:rPr>
          <w:spacing w:val="-15"/>
          <w:sz w:val="22"/>
        </w:rPr>
        <w:t> </w:t>
      </w:r>
      <w:r>
        <w:rPr>
          <w:sz w:val="22"/>
        </w:rPr>
        <w:t>No.</w:t>
      </w:r>
      <w:r>
        <w:rPr>
          <w:spacing w:val="-15"/>
          <w:sz w:val="22"/>
        </w:rPr>
        <w:t> </w:t>
      </w:r>
      <w:r>
        <w:rPr>
          <w:sz w:val="22"/>
        </w:rPr>
        <w:t>21</w:t>
      </w:r>
      <w:r>
        <w:rPr>
          <w:spacing w:val="-16"/>
          <w:sz w:val="22"/>
        </w:rPr>
        <w:t> </w:t>
      </w:r>
      <w:r>
        <w:rPr>
          <w:sz w:val="22"/>
        </w:rPr>
        <w:t>muestra</w:t>
      </w:r>
      <w:r>
        <w:rPr>
          <w:spacing w:val="-15"/>
          <w:sz w:val="22"/>
        </w:rPr>
        <w:t> </w:t>
      </w:r>
      <w:r>
        <w:rPr>
          <w:sz w:val="22"/>
        </w:rPr>
        <w:t>la</w:t>
      </w:r>
      <w:r>
        <w:rPr>
          <w:spacing w:val="-15"/>
          <w:sz w:val="22"/>
        </w:rPr>
        <w:t> </w:t>
      </w:r>
      <w:r>
        <w:rPr>
          <w:sz w:val="22"/>
        </w:rPr>
        <w:t>evolución de las importaciones correspondientes a dichos productos durante el período </w:t>
      </w:r>
      <w:r>
        <w:rPr>
          <w:spacing w:val="-2"/>
          <w:sz w:val="22"/>
        </w:rPr>
        <w:t>considerado.</w:t>
      </w:r>
    </w:p>
    <w:p>
      <w:pPr>
        <w:pStyle w:val="BodyText"/>
      </w:pPr>
    </w:p>
    <w:p>
      <w:pPr>
        <w:pStyle w:val="Heading6"/>
        <w:ind w:right="409"/>
        <w:jc w:val="center"/>
      </w:pPr>
      <w:r>
        <w:rPr/>
        <w:t>Tabla</w:t>
      </w:r>
      <w:r>
        <w:rPr>
          <w:spacing w:val="-2"/>
        </w:rPr>
        <w:t> </w:t>
      </w:r>
      <w:r>
        <w:rPr/>
        <w:t>No.</w:t>
      </w:r>
      <w:r>
        <w:rPr>
          <w:spacing w:val="-2"/>
        </w:rPr>
        <w:t> </w:t>
      </w:r>
      <w:r>
        <w:rPr>
          <w:spacing w:val="-5"/>
        </w:rPr>
        <w:t>21</w:t>
      </w:r>
    </w:p>
    <w:p>
      <w:pPr>
        <w:spacing w:before="2"/>
        <w:ind w:left="712" w:right="1126" w:firstLine="0"/>
        <w:jc w:val="center"/>
        <w:rPr>
          <w:rFonts w:ascii="Arial" w:hAnsi="Arial"/>
          <w:b/>
          <w:sz w:val="22"/>
        </w:rPr>
      </w:pPr>
      <w:r>
        <w:rPr>
          <w:rFonts w:ascii="Arial" w:hAnsi="Arial"/>
          <w:b/>
          <w:sz w:val="22"/>
        </w:rPr>
        <w:t>Importaciones</w:t>
      </w:r>
      <w:r>
        <w:rPr>
          <w:rFonts w:ascii="Arial" w:hAnsi="Arial"/>
          <w:b/>
          <w:spacing w:val="-5"/>
          <w:sz w:val="22"/>
        </w:rPr>
        <w:t> </w:t>
      </w:r>
      <w:r>
        <w:rPr>
          <w:rFonts w:ascii="Arial" w:hAnsi="Arial"/>
          <w:b/>
          <w:sz w:val="22"/>
        </w:rPr>
        <w:t>de</w:t>
      </w:r>
      <w:r>
        <w:rPr>
          <w:rFonts w:ascii="Arial" w:hAnsi="Arial"/>
          <w:b/>
          <w:spacing w:val="-3"/>
          <w:sz w:val="22"/>
        </w:rPr>
        <w:t> </w:t>
      </w:r>
      <w:r>
        <w:rPr>
          <w:rFonts w:ascii="Arial" w:hAnsi="Arial"/>
          <w:b/>
          <w:sz w:val="22"/>
        </w:rPr>
        <w:t>productos</w:t>
      </w:r>
      <w:r>
        <w:rPr>
          <w:rFonts w:ascii="Arial" w:hAnsi="Arial"/>
          <w:b/>
          <w:spacing w:val="-3"/>
          <w:sz w:val="22"/>
        </w:rPr>
        <w:t> </w:t>
      </w:r>
      <w:r>
        <w:rPr>
          <w:rFonts w:ascii="Arial" w:hAnsi="Arial"/>
          <w:b/>
          <w:sz w:val="22"/>
        </w:rPr>
        <w:t>pesqueros</w:t>
      </w:r>
      <w:r>
        <w:rPr>
          <w:rFonts w:ascii="Arial" w:hAnsi="Arial"/>
          <w:b/>
          <w:spacing w:val="-5"/>
          <w:sz w:val="22"/>
        </w:rPr>
        <w:t> </w:t>
      </w:r>
      <w:r>
        <w:rPr>
          <w:rFonts w:ascii="Arial" w:hAnsi="Arial"/>
          <w:b/>
          <w:sz w:val="22"/>
        </w:rPr>
        <w:t>originarias</w:t>
      </w:r>
      <w:r>
        <w:rPr>
          <w:rFonts w:ascii="Arial" w:hAnsi="Arial"/>
          <w:b/>
          <w:spacing w:val="-3"/>
          <w:sz w:val="22"/>
        </w:rPr>
        <w:t> </w:t>
      </w:r>
      <w:r>
        <w:rPr>
          <w:rFonts w:ascii="Arial" w:hAnsi="Arial"/>
          <w:b/>
          <w:sz w:val="22"/>
        </w:rPr>
        <w:t>de</w:t>
      </w:r>
      <w:r>
        <w:rPr>
          <w:rFonts w:ascii="Arial" w:hAnsi="Arial"/>
          <w:b/>
          <w:spacing w:val="-8"/>
          <w:sz w:val="22"/>
        </w:rPr>
        <w:t> </w:t>
      </w:r>
      <w:r>
        <w:rPr>
          <w:rFonts w:ascii="Arial" w:hAnsi="Arial"/>
          <w:b/>
          <w:sz w:val="22"/>
        </w:rPr>
        <w:t>la</w:t>
      </w:r>
      <w:r>
        <w:rPr>
          <w:rFonts w:ascii="Arial" w:hAnsi="Arial"/>
          <w:b/>
          <w:spacing w:val="-3"/>
          <w:sz w:val="22"/>
        </w:rPr>
        <w:t> </w:t>
      </w:r>
      <w:r>
        <w:rPr>
          <w:rFonts w:ascii="Arial" w:hAnsi="Arial"/>
          <w:b/>
          <w:sz w:val="22"/>
        </w:rPr>
        <w:t>República</w:t>
      </w:r>
      <w:r>
        <w:rPr>
          <w:rFonts w:ascii="Arial" w:hAnsi="Arial"/>
          <w:b/>
          <w:spacing w:val="-3"/>
          <w:sz w:val="22"/>
        </w:rPr>
        <w:t> </w:t>
      </w:r>
      <w:r>
        <w:rPr>
          <w:rFonts w:ascii="Arial" w:hAnsi="Arial"/>
          <w:b/>
          <w:sz w:val="22"/>
        </w:rPr>
        <w:t>del</w:t>
      </w:r>
      <w:r>
        <w:rPr>
          <w:rFonts w:ascii="Arial" w:hAnsi="Arial"/>
          <w:b/>
          <w:spacing w:val="-2"/>
          <w:sz w:val="22"/>
        </w:rPr>
        <w:t> </w:t>
      </w:r>
      <w:r>
        <w:rPr>
          <w:rFonts w:ascii="Arial" w:hAnsi="Arial"/>
          <w:b/>
          <w:sz w:val="22"/>
        </w:rPr>
        <w:t>Ecuador /</w:t>
      </w:r>
      <w:r>
        <w:rPr>
          <w:rFonts w:ascii="Arial" w:hAnsi="Arial"/>
          <w:b/>
          <w:spacing w:val="-4"/>
          <w:sz w:val="22"/>
        </w:rPr>
        <w:t> </w:t>
      </w:r>
      <w:r>
        <w:rPr>
          <w:rFonts w:ascii="Arial" w:hAnsi="Arial"/>
          <w:b/>
          <w:sz w:val="22"/>
        </w:rPr>
        <w:t>En dólares CIF</w:t>
      </w:r>
    </w:p>
    <w:tbl>
      <w:tblPr>
        <w:tblW w:w="0" w:type="auto"/>
        <w:jc w:val="left"/>
        <w:tblInd w:w="15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17"/>
        <w:gridCol w:w="1200"/>
        <w:gridCol w:w="1200"/>
        <w:gridCol w:w="1200"/>
        <w:gridCol w:w="1469"/>
        <w:gridCol w:w="1260"/>
      </w:tblGrid>
      <w:tr>
        <w:trPr>
          <w:trHeight w:val="206" w:hRule="atLeast"/>
        </w:trPr>
        <w:tc>
          <w:tcPr>
            <w:tcW w:w="1217" w:type="dxa"/>
            <w:shd w:val="clear" w:color="auto" w:fill="D1D1D1"/>
          </w:tcPr>
          <w:p>
            <w:pPr>
              <w:pStyle w:val="TableParagraph"/>
              <w:spacing w:line="186" w:lineRule="exact"/>
              <w:ind w:left="107"/>
              <w:rPr>
                <w:rFonts w:ascii="Arial"/>
                <w:b/>
                <w:sz w:val="18"/>
              </w:rPr>
            </w:pPr>
            <w:r>
              <w:rPr>
                <w:rFonts w:ascii="Arial"/>
                <w:b/>
                <w:spacing w:val="-2"/>
                <w:sz w:val="18"/>
              </w:rPr>
              <w:t>Subpartida</w:t>
            </w:r>
          </w:p>
        </w:tc>
        <w:tc>
          <w:tcPr>
            <w:tcW w:w="1200" w:type="dxa"/>
            <w:shd w:val="clear" w:color="auto" w:fill="D1D1D1"/>
          </w:tcPr>
          <w:p>
            <w:pPr>
              <w:pStyle w:val="TableParagraph"/>
              <w:spacing w:line="186" w:lineRule="exact"/>
              <w:ind w:left="398"/>
              <w:rPr>
                <w:rFonts w:ascii="Arial"/>
                <w:b/>
                <w:sz w:val="18"/>
              </w:rPr>
            </w:pPr>
            <w:r>
              <w:rPr>
                <w:rFonts w:ascii="Arial"/>
                <w:b/>
                <w:spacing w:val="-4"/>
                <w:sz w:val="18"/>
              </w:rPr>
              <w:t>2023</w:t>
            </w:r>
          </w:p>
        </w:tc>
        <w:tc>
          <w:tcPr>
            <w:tcW w:w="1200" w:type="dxa"/>
            <w:shd w:val="clear" w:color="auto" w:fill="D1D1D1"/>
          </w:tcPr>
          <w:p>
            <w:pPr>
              <w:pStyle w:val="TableParagraph"/>
              <w:spacing w:line="186" w:lineRule="exact"/>
              <w:ind w:left="398"/>
              <w:rPr>
                <w:rFonts w:ascii="Arial"/>
                <w:b/>
                <w:sz w:val="18"/>
              </w:rPr>
            </w:pPr>
            <w:r>
              <w:rPr>
                <w:rFonts w:ascii="Arial"/>
                <w:b/>
                <w:spacing w:val="-4"/>
                <w:sz w:val="18"/>
              </w:rPr>
              <w:t>2024</w:t>
            </w:r>
          </w:p>
        </w:tc>
        <w:tc>
          <w:tcPr>
            <w:tcW w:w="1200" w:type="dxa"/>
            <w:shd w:val="clear" w:color="auto" w:fill="D1D1D1"/>
          </w:tcPr>
          <w:p>
            <w:pPr>
              <w:pStyle w:val="TableParagraph"/>
              <w:spacing w:line="186" w:lineRule="exact"/>
              <w:ind w:left="399"/>
              <w:rPr>
                <w:rFonts w:ascii="Arial"/>
                <w:b/>
                <w:sz w:val="18"/>
              </w:rPr>
            </w:pPr>
            <w:r>
              <w:rPr>
                <w:rFonts w:ascii="Arial"/>
                <w:b/>
                <w:spacing w:val="-4"/>
                <w:sz w:val="18"/>
              </w:rPr>
              <w:t>2025</w:t>
            </w:r>
          </w:p>
        </w:tc>
        <w:tc>
          <w:tcPr>
            <w:tcW w:w="1469" w:type="dxa"/>
            <w:shd w:val="clear" w:color="auto" w:fill="D1D1D1"/>
          </w:tcPr>
          <w:p>
            <w:pPr>
              <w:pStyle w:val="TableParagraph"/>
              <w:spacing w:line="186" w:lineRule="exact"/>
              <w:ind w:right="128"/>
              <w:jc w:val="right"/>
              <w:rPr>
                <w:rFonts w:ascii="Arial"/>
                <w:b/>
                <w:sz w:val="18"/>
              </w:rPr>
            </w:pPr>
            <w:r>
              <w:rPr>
                <w:rFonts w:ascii="Arial"/>
                <w:b/>
                <w:sz w:val="18"/>
              </w:rPr>
              <w:t>2026 </w:t>
            </w:r>
            <w:r>
              <w:rPr>
                <w:rFonts w:ascii="Arial"/>
                <w:b/>
                <w:spacing w:val="-2"/>
                <w:sz w:val="18"/>
              </w:rPr>
              <w:t>(febrero)</w:t>
            </w:r>
          </w:p>
        </w:tc>
        <w:tc>
          <w:tcPr>
            <w:tcW w:w="1260" w:type="dxa"/>
            <w:shd w:val="clear" w:color="auto" w:fill="D1D1D1"/>
          </w:tcPr>
          <w:p>
            <w:pPr>
              <w:pStyle w:val="TableParagraph"/>
              <w:spacing w:line="186" w:lineRule="exact"/>
              <w:ind w:left="413"/>
              <w:rPr>
                <w:rFonts w:ascii="Arial"/>
                <w:b/>
                <w:sz w:val="18"/>
              </w:rPr>
            </w:pPr>
            <w:r>
              <w:rPr>
                <w:rFonts w:ascii="Arial"/>
                <w:b/>
                <w:spacing w:val="-2"/>
                <w:sz w:val="18"/>
              </w:rPr>
              <w:t>Total</w:t>
            </w:r>
          </w:p>
        </w:tc>
      </w:tr>
      <w:tr>
        <w:trPr>
          <w:trHeight w:val="206" w:hRule="atLeast"/>
        </w:trPr>
        <w:tc>
          <w:tcPr>
            <w:tcW w:w="1217" w:type="dxa"/>
          </w:tcPr>
          <w:p>
            <w:pPr>
              <w:pStyle w:val="TableParagraph"/>
              <w:spacing w:line="186" w:lineRule="exact"/>
              <w:ind w:left="107"/>
              <w:rPr>
                <w:sz w:val="18"/>
              </w:rPr>
            </w:pPr>
            <w:r>
              <w:rPr>
                <w:spacing w:val="-2"/>
                <w:sz w:val="18"/>
              </w:rPr>
              <w:t>0306179900</w:t>
            </w:r>
          </w:p>
        </w:tc>
        <w:tc>
          <w:tcPr>
            <w:tcW w:w="1200" w:type="dxa"/>
          </w:tcPr>
          <w:p>
            <w:pPr>
              <w:pStyle w:val="TableParagraph"/>
              <w:spacing w:line="186" w:lineRule="exact"/>
              <w:ind w:right="97"/>
              <w:jc w:val="right"/>
              <w:rPr>
                <w:sz w:val="18"/>
              </w:rPr>
            </w:pPr>
            <w:r>
              <w:rPr>
                <w:spacing w:val="-2"/>
                <w:sz w:val="18"/>
              </w:rPr>
              <w:t>45,659,471</w:t>
            </w:r>
          </w:p>
        </w:tc>
        <w:tc>
          <w:tcPr>
            <w:tcW w:w="1200" w:type="dxa"/>
          </w:tcPr>
          <w:p>
            <w:pPr>
              <w:pStyle w:val="TableParagraph"/>
              <w:spacing w:line="186" w:lineRule="exact"/>
              <w:ind w:right="97"/>
              <w:jc w:val="right"/>
              <w:rPr>
                <w:sz w:val="18"/>
              </w:rPr>
            </w:pPr>
            <w:r>
              <w:rPr>
                <w:spacing w:val="-2"/>
                <w:sz w:val="18"/>
              </w:rPr>
              <w:t>54,040,402</w:t>
            </w:r>
          </w:p>
        </w:tc>
        <w:tc>
          <w:tcPr>
            <w:tcW w:w="1200" w:type="dxa"/>
          </w:tcPr>
          <w:p>
            <w:pPr>
              <w:pStyle w:val="TableParagraph"/>
              <w:spacing w:line="186" w:lineRule="exact"/>
              <w:ind w:right="96"/>
              <w:jc w:val="right"/>
              <w:rPr>
                <w:sz w:val="18"/>
              </w:rPr>
            </w:pPr>
            <w:r>
              <w:rPr>
                <w:spacing w:val="-2"/>
                <w:sz w:val="18"/>
              </w:rPr>
              <w:t>75,886,479</w:t>
            </w:r>
          </w:p>
        </w:tc>
        <w:tc>
          <w:tcPr>
            <w:tcW w:w="1469" w:type="dxa"/>
          </w:tcPr>
          <w:p>
            <w:pPr>
              <w:pStyle w:val="TableParagraph"/>
              <w:spacing w:line="186" w:lineRule="exact"/>
              <w:ind w:right="99"/>
              <w:jc w:val="right"/>
              <w:rPr>
                <w:sz w:val="18"/>
              </w:rPr>
            </w:pPr>
            <w:r>
              <w:rPr>
                <w:spacing w:val="-2"/>
                <w:sz w:val="18"/>
              </w:rPr>
              <w:t>13,800,910</w:t>
            </w:r>
          </w:p>
        </w:tc>
        <w:tc>
          <w:tcPr>
            <w:tcW w:w="1260" w:type="dxa"/>
          </w:tcPr>
          <w:p>
            <w:pPr>
              <w:pStyle w:val="TableParagraph"/>
              <w:spacing w:line="186" w:lineRule="exact"/>
              <w:ind w:right="96"/>
              <w:jc w:val="right"/>
              <w:rPr>
                <w:sz w:val="18"/>
              </w:rPr>
            </w:pPr>
            <w:r>
              <w:rPr>
                <w:spacing w:val="-2"/>
                <w:sz w:val="18"/>
              </w:rPr>
              <w:t>189,387,261</w:t>
            </w:r>
          </w:p>
        </w:tc>
      </w:tr>
      <w:tr>
        <w:trPr>
          <w:trHeight w:val="208" w:hRule="atLeast"/>
        </w:trPr>
        <w:tc>
          <w:tcPr>
            <w:tcW w:w="1217" w:type="dxa"/>
          </w:tcPr>
          <w:p>
            <w:pPr>
              <w:pStyle w:val="TableParagraph"/>
              <w:spacing w:line="187" w:lineRule="exact" w:before="1"/>
              <w:ind w:left="107"/>
              <w:rPr>
                <w:sz w:val="18"/>
              </w:rPr>
            </w:pPr>
            <w:r>
              <w:rPr>
                <w:spacing w:val="-2"/>
                <w:sz w:val="18"/>
              </w:rPr>
              <w:t>0306171900</w:t>
            </w:r>
          </w:p>
        </w:tc>
        <w:tc>
          <w:tcPr>
            <w:tcW w:w="1200" w:type="dxa"/>
          </w:tcPr>
          <w:p>
            <w:pPr>
              <w:pStyle w:val="TableParagraph"/>
              <w:spacing w:line="187" w:lineRule="exact" w:before="1"/>
              <w:ind w:right="97"/>
              <w:jc w:val="right"/>
              <w:rPr>
                <w:sz w:val="18"/>
              </w:rPr>
            </w:pPr>
            <w:r>
              <w:rPr>
                <w:spacing w:val="-2"/>
                <w:sz w:val="18"/>
              </w:rPr>
              <w:t>2,298,614</w:t>
            </w:r>
          </w:p>
        </w:tc>
        <w:tc>
          <w:tcPr>
            <w:tcW w:w="1200" w:type="dxa"/>
          </w:tcPr>
          <w:p>
            <w:pPr>
              <w:pStyle w:val="TableParagraph"/>
              <w:spacing w:line="187" w:lineRule="exact" w:before="1"/>
              <w:ind w:right="97"/>
              <w:jc w:val="right"/>
              <w:rPr>
                <w:sz w:val="18"/>
              </w:rPr>
            </w:pPr>
            <w:r>
              <w:rPr>
                <w:spacing w:val="-2"/>
                <w:sz w:val="18"/>
              </w:rPr>
              <w:t>149,611</w:t>
            </w:r>
          </w:p>
        </w:tc>
        <w:tc>
          <w:tcPr>
            <w:tcW w:w="1200" w:type="dxa"/>
          </w:tcPr>
          <w:p>
            <w:pPr>
              <w:pStyle w:val="TableParagraph"/>
              <w:rPr>
                <w:rFonts w:ascii="Times New Roman"/>
                <w:sz w:val="14"/>
              </w:rPr>
            </w:pPr>
          </w:p>
        </w:tc>
        <w:tc>
          <w:tcPr>
            <w:tcW w:w="1469" w:type="dxa"/>
          </w:tcPr>
          <w:p>
            <w:pPr>
              <w:pStyle w:val="TableParagraph"/>
              <w:rPr>
                <w:rFonts w:ascii="Times New Roman"/>
                <w:sz w:val="14"/>
              </w:rPr>
            </w:pPr>
          </w:p>
        </w:tc>
        <w:tc>
          <w:tcPr>
            <w:tcW w:w="1260" w:type="dxa"/>
          </w:tcPr>
          <w:p>
            <w:pPr>
              <w:pStyle w:val="TableParagraph"/>
              <w:spacing w:line="187" w:lineRule="exact" w:before="1"/>
              <w:ind w:right="96"/>
              <w:jc w:val="right"/>
              <w:rPr>
                <w:sz w:val="18"/>
              </w:rPr>
            </w:pPr>
            <w:r>
              <w:rPr>
                <w:spacing w:val="-2"/>
                <w:sz w:val="18"/>
              </w:rPr>
              <w:t>2,448,225</w:t>
            </w:r>
          </w:p>
        </w:tc>
      </w:tr>
      <w:tr>
        <w:trPr>
          <w:trHeight w:val="206" w:hRule="atLeast"/>
        </w:trPr>
        <w:tc>
          <w:tcPr>
            <w:tcW w:w="1217" w:type="dxa"/>
          </w:tcPr>
          <w:p>
            <w:pPr>
              <w:pStyle w:val="TableParagraph"/>
              <w:spacing w:line="186" w:lineRule="exact"/>
              <w:ind w:left="107"/>
              <w:rPr>
                <w:sz w:val="18"/>
              </w:rPr>
            </w:pPr>
            <w:r>
              <w:rPr>
                <w:spacing w:val="-2"/>
                <w:sz w:val="18"/>
              </w:rPr>
              <w:t>0303910000</w:t>
            </w:r>
          </w:p>
        </w:tc>
        <w:tc>
          <w:tcPr>
            <w:tcW w:w="1200" w:type="dxa"/>
          </w:tcPr>
          <w:p>
            <w:pPr>
              <w:pStyle w:val="TableParagraph"/>
              <w:spacing w:line="186" w:lineRule="exact"/>
              <w:ind w:right="97"/>
              <w:jc w:val="right"/>
              <w:rPr>
                <w:sz w:val="18"/>
              </w:rPr>
            </w:pPr>
            <w:r>
              <w:rPr>
                <w:spacing w:val="-2"/>
                <w:sz w:val="18"/>
              </w:rPr>
              <w:t>49,054</w:t>
            </w:r>
          </w:p>
        </w:tc>
        <w:tc>
          <w:tcPr>
            <w:tcW w:w="1200" w:type="dxa"/>
          </w:tcPr>
          <w:p>
            <w:pPr>
              <w:pStyle w:val="TableParagraph"/>
              <w:spacing w:line="186" w:lineRule="exact"/>
              <w:ind w:right="97"/>
              <w:jc w:val="right"/>
              <w:rPr>
                <w:sz w:val="18"/>
              </w:rPr>
            </w:pPr>
            <w:r>
              <w:rPr>
                <w:spacing w:val="-2"/>
                <w:sz w:val="18"/>
              </w:rPr>
              <w:t>65,037</w:t>
            </w:r>
          </w:p>
        </w:tc>
        <w:tc>
          <w:tcPr>
            <w:tcW w:w="1200" w:type="dxa"/>
          </w:tcPr>
          <w:p>
            <w:pPr>
              <w:pStyle w:val="TableParagraph"/>
              <w:spacing w:line="186" w:lineRule="exact"/>
              <w:ind w:right="96"/>
              <w:jc w:val="right"/>
              <w:rPr>
                <w:sz w:val="18"/>
              </w:rPr>
            </w:pPr>
            <w:r>
              <w:rPr>
                <w:spacing w:val="-2"/>
                <w:sz w:val="18"/>
              </w:rPr>
              <w:t>18,810</w:t>
            </w:r>
          </w:p>
        </w:tc>
        <w:tc>
          <w:tcPr>
            <w:tcW w:w="1469" w:type="dxa"/>
          </w:tcPr>
          <w:p>
            <w:pPr>
              <w:pStyle w:val="TableParagraph"/>
              <w:spacing w:line="186" w:lineRule="exact"/>
              <w:ind w:right="96"/>
              <w:jc w:val="right"/>
              <w:rPr>
                <w:sz w:val="18"/>
              </w:rPr>
            </w:pPr>
            <w:r>
              <w:rPr>
                <w:spacing w:val="-2"/>
                <w:sz w:val="18"/>
              </w:rPr>
              <w:t>2,559</w:t>
            </w:r>
          </w:p>
        </w:tc>
        <w:tc>
          <w:tcPr>
            <w:tcW w:w="1260" w:type="dxa"/>
          </w:tcPr>
          <w:p>
            <w:pPr>
              <w:pStyle w:val="TableParagraph"/>
              <w:spacing w:line="186" w:lineRule="exact"/>
              <w:ind w:right="96"/>
              <w:jc w:val="right"/>
              <w:rPr>
                <w:sz w:val="18"/>
              </w:rPr>
            </w:pPr>
            <w:r>
              <w:rPr>
                <w:spacing w:val="-2"/>
                <w:sz w:val="18"/>
              </w:rPr>
              <w:t>135,458</w:t>
            </w:r>
          </w:p>
        </w:tc>
      </w:tr>
      <w:tr>
        <w:trPr>
          <w:trHeight w:val="208" w:hRule="atLeast"/>
        </w:trPr>
        <w:tc>
          <w:tcPr>
            <w:tcW w:w="1217" w:type="dxa"/>
          </w:tcPr>
          <w:p>
            <w:pPr>
              <w:pStyle w:val="TableParagraph"/>
              <w:spacing w:line="188" w:lineRule="exact"/>
              <w:ind w:left="107"/>
              <w:rPr>
                <w:sz w:val="18"/>
              </w:rPr>
            </w:pPr>
            <w:r>
              <w:rPr>
                <w:spacing w:val="-2"/>
                <w:sz w:val="18"/>
              </w:rPr>
              <w:t>0305720000</w:t>
            </w:r>
          </w:p>
        </w:tc>
        <w:tc>
          <w:tcPr>
            <w:tcW w:w="1200" w:type="dxa"/>
          </w:tcPr>
          <w:p>
            <w:pPr>
              <w:pStyle w:val="TableParagraph"/>
              <w:rPr>
                <w:rFonts w:ascii="Times New Roman"/>
                <w:sz w:val="14"/>
              </w:rPr>
            </w:pPr>
          </w:p>
        </w:tc>
        <w:tc>
          <w:tcPr>
            <w:tcW w:w="1200" w:type="dxa"/>
          </w:tcPr>
          <w:p>
            <w:pPr>
              <w:pStyle w:val="TableParagraph"/>
              <w:spacing w:line="188" w:lineRule="exact"/>
              <w:ind w:right="97"/>
              <w:jc w:val="right"/>
              <w:rPr>
                <w:sz w:val="18"/>
              </w:rPr>
            </w:pPr>
            <w:r>
              <w:rPr>
                <w:spacing w:val="-2"/>
                <w:sz w:val="18"/>
              </w:rPr>
              <w:t>10,755</w:t>
            </w:r>
          </w:p>
        </w:tc>
        <w:tc>
          <w:tcPr>
            <w:tcW w:w="1200" w:type="dxa"/>
          </w:tcPr>
          <w:p>
            <w:pPr>
              <w:pStyle w:val="TableParagraph"/>
              <w:spacing w:line="188" w:lineRule="exact"/>
              <w:ind w:right="96"/>
              <w:jc w:val="right"/>
              <w:rPr>
                <w:sz w:val="18"/>
              </w:rPr>
            </w:pPr>
            <w:r>
              <w:rPr>
                <w:spacing w:val="-2"/>
                <w:sz w:val="18"/>
              </w:rPr>
              <w:t>58,871</w:t>
            </w:r>
          </w:p>
        </w:tc>
        <w:tc>
          <w:tcPr>
            <w:tcW w:w="1469" w:type="dxa"/>
          </w:tcPr>
          <w:p>
            <w:pPr>
              <w:pStyle w:val="TableParagraph"/>
              <w:spacing w:line="188" w:lineRule="exact"/>
              <w:ind w:right="96"/>
              <w:jc w:val="right"/>
              <w:rPr>
                <w:sz w:val="18"/>
              </w:rPr>
            </w:pPr>
            <w:r>
              <w:rPr>
                <w:spacing w:val="-2"/>
                <w:sz w:val="18"/>
              </w:rPr>
              <w:t>5,297</w:t>
            </w:r>
          </w:p>
        </w:tc>
        <w:tc>
          <w:tcPr>
            <w:tcW w:w="1260" w:type="dxa"/>
          </w:tcPr>
          <w:p>
            <w:pPr>
              <w:pStyle w:val="TableParagraph"/>
              <w:spacing w:line="188" w:lineRule="exact"/>
              <w:ind w:right="96"/>
              <w:jc w:val="right"/>
              <w:rPr>
                <w:sz w:val="18"/>
              </w:rPr>
            </w:pPr>
            <w:r>
              <w:rPr>
                <w:spacing w:val="-2"/>
                <w:sz w:val="18"/>
              </w:rPr>
              <w:t>74,922</w:t>
            </w:r>
          </w:p>
        </w:tc>
      </w:tr>
      <w:tr>
        <w:trPr>
          <w:trHeight w:val="206" w:hRule="atLeast"/>
        </w:trPr>
        <w:tc>
          <w:tcPr>
            <w:tcW w:w="1217" w:type="dxa"/>
          </w:tcPr>
          <w:p>
            <w:pPr>
              <w:pStyle w:val="TableParagraph"/>
              <w:spacing w:line="186" w:lineRule="exact"/>
              <w:ind w:left="107"/>
              <w:rPr>
                <w:rFonts w:ascii="Arial"/>
                <w:b/>
                <w:sz w:val="18"/>
              </w:rPr>
            </w:pPr>
            <w:r>
              <w:rPr>
                <w:rFonts w:ascii="Arial"/>
                <w:b/>
                <w:spacing w:val="-2"/>
                <w:sz w:val="18"/>
              </w:rPr>
              <w:t>Total</w:t>
            </w:r>
          </w:p>
        </w:tc>
        <w:tc>
          <w:tcPr>
            <w:tcW w:w="1200" w:type="dxa"/>
          </w:tcPr>
          <w:p>
            <w:pPr>
              <w:pStyle w:val="TableParagraph"/>
              <w:spacing w:line="186" w:lineRule="exact"/>
              <w:ind w:right="97"/>
              <w:jc w:val="right"/>
              <w:rPr>
                <w:rFonts w:ascii="Arial"/>
                <w:b/>
                <w:sz w:val="18"/>
              </w:rPr>
            </w:pPr>
            <w:r>
              <w:rPr>
                <w:rFonts w:ascii="Arial"/>
                <w:b/>
                <w:spacing w:val="-2"/>
                <w:sz w:val="18"/>
              </w:rPr>
              <w:t>48,007,139</w:t>
            </w:r>
          </w:p>
        </w:tc>
        <w:tc>
          <w:tcPr>
            <w:tcW w:w="1200" w:type="dxa"/>
          </w:tcPr>
          <w:p>
            <w:pPr>
              <w:pStyle w:val="TableParagraph"/>
              <w:spacing w:line="186" w:lineRule="exact"/>
              <w:ind w:right="97"/>
              <w:jc w:val="right"/>
              <w:rPr>
                <w:rFonts w:ascii="Arial"/>
                <w:b/>
                <w:sz w:val="18"/>
              </w:rPr>
            </w:pPr>
            <w:r>
              <w:rPr>
                <w:rFonts w:ascii="Arial"/>
                <w:b/>
                <w:spacing w:val="-2"/>
                <w:sz w:val="18"/>
              </w:rPr>
              <w:t>54,265,804</w:t>
            </w:r>
          </w:p>
        </w:tc>
        <w:tc>
          <w:tcPr>
            <w:tcW w:w="1200" w:type="dxa"/>
          </w:tcPr>
          <w:p>
            <w:pPr>
              <w:pStyle w:val="TableParagraph"/>
              <w:spacing w:line="186" w:lineRule="exact"/>
              <w:ind w:right="96"/>
              <w:jc w:val="right"/>
              <w:rPr>
                <w:rFonts w:ascii="Arial"/>
                <w:b/>
                <w:sz w:val="18"/>
              </w:rPr>
            </w:pPr>
            <w:r>
              <w:rPr>
                <w:rFonts w:ascii="Arial"/>
                <w:b/>
                <w:spacing w:val="-2"/>
                <w:sz w:val="18"/>
              </w:rPr>
              <w:t>75,964,160</w:t>
            </w:r>
          </w:p>
        </w:tc>
        <w:tc>
          <w:tcPr>
            <w:tcW w:w="1469" w:type="dxa"/>
          </w:tcPr>
          <w:p>
            <w:pPr>
              <w:pStyle w:val="TableParagraph"/>
              <w:spacing w:line="186" w:lineRule="exact"/>
              <w:ind w:right="99"/>
              <w:jc w:val="right"/>
              <w:rPr>
                <w:rFonts w:ascii="Arial"/>
                <w:b/>
                <w:sz w:val="18"/>
              </w:rPr>
            </w:pPr>
            <w:r>
              <w:rPr>
                <w:rFonts w:ascii="Arial"/>
                <w:b/>
                <w:spacing w:val="-2"/>
                <w:sz w:val="18"/>
              </w:rPr>
              <w:t>13,808,765</w:t>
            </w:r>
          </w:p>
        </w:tc>
        <w:tc>
          <w:tcPr>
            <w:tcW w:w="1260" w:type="dxa"/>
          </w:tcPr>
          <w:p>
            <w:pPr>
              <w:pStyle w:val="TableParagraph"/>
              <w:spacing w:line="186" w:lineRule="exact"/>
              <w:ind w:right="96"/>
              <w:jc w:val="right"/>
              <w:rPr>
                <w:rFonts w:ascii="Arial"/>
                <w:b/>
                <w:sz w:val="18"/>
              </w:rPr>
            </w:pPr>
            <w:r>
              <w:rPr>
                <w:rFonts w:ascii="Arial"/>
                <w:b/>
                <w:spacing w:val="-2"/>
                <w:sz w:val="18"/>
              </w:rPr>
              <w:t>192,045,867</w:t>
            </w:r>
          </w:p>
        </w:tc>
      </w:tr>
    </w:tbl>
    <w:p>
      <w:pPr>
        <w:spacing w:before="1"/>
        <w:ind w:left="1420" w:right="6616" w:firstLine="0"/>
        <w:jc w:val="left"/>
        <w:rPr>
          <w:rFonts w:ascii="Arial" w:hAnsi="Arial"/>
          <w:b/>
          <w:sz w:val="16"/>
        </w:rPr>
      </w:pPr>
      <w:r>
        <w:rPr>
          <w:rFonts w:ascii="Arial" w:hAnsi="Arial"/>
          <w:b/>
          <w:sz w:val="16"/>
        </w:rPr>
        <w:t>Fuente:</w:t>
      </w:r>
      <w:r>
        <w:rPr>
          <w:rFonts w:ascii="Arial" w:hAnsi="Arial"/>
          <w:b/>
          <w:spacing w:val="-5"/>
          <w:sz w:val="16"/>
        </w:rPr>
        <w:t> </w:t>
      </w:r>
      <w:r>
        <w:rPr>
          <w:rFonts w:ascii="Arial" w:hAnsi="Arial"/>
          <w:b/>
          <w:sz w:val="16"/>
        </w:rPr>
        <w:t>Datos</w:t>
      </w:r>
      <w:r>
        <w:rPr>
          <w:rFonts w:ascii="Arial" w:hAnsi="Arial"/>
          <w:b/>
          <w:spacing w:val="-11"/>
          <w:sz w:val="16"/>
        </w:rPr>
        <w:t> </w:t>
      </w:r>
      <w:r>
        <w:rPr>
          <w:rFonts w:ascii="Arial" w:hAnsi="Arial"/>
          <w:b/>
          <w:sz w:val="16"/>
        </w:rPr>
        <w:t>DANE-</w:t>
      </w:r>
      <w:r>
        <w:rPr>
          <w:rFonts w:ascii="Arial" w:hAnsi="Arial"/>
          <w:b/>
          <w:sz w:val="16"/>
        </w:rPr>
        <w:t>DIAN. Elaboración: SGCAN.</w:t>
      </w:r>
    </w:p>
    <w:p>
      <w:pPr>
        <w:pStyle w:val="BodyText"/>
        <w:spacing w:before="69"/>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74" w:hanging="567"/>
        <w:jc w:val="both"/>
        <w:rPr>
          <w:sz w:val="22"/>
        </w:rPr>
      </w:pPr>
      <w:r>
        <w:rPr>
          <w:sz w:val="22"/>
        </w:rPr>
        <w:t>La información disponible evidencia que el principal producto importado corresponde a los camarones, clasificado en la subpartida arancelaria 0306.17.99.00, los cuales, durante</w:t>
      </w:r>
      <w:r>
        <w:rPr>
          <w:spacing w:val="-1"/>
          <w:sz w:val="22"/>
        </w:rPr>
        <w:t> </w:t>
      </w:r>
      <w:r>
        <w:rPr>
          <w:sz w:val="22"/>
        </w:rPr>
        <w:t>el período</w:t>
      </w:r>
      <w:r>
        <w:rPr>
          <w:spacing w:val="-1"/>
          <w:sz w:val="22"/>
        </w:rPr>
        <w:t> </w:t>
      </w:r>
      <w:r>
        <w:rPr>
          <w:sz w:val="22"/>
        </w:rPr>
        <w:t>analizado, representaron</w:t>
      </w:r>
      <w:r>
        <w:rPr>
          <w:spacing w:val="-1"/>
          <w:sz w:val="22"/>
        </w:rPr>
        <w:t> </w:t>
      </w:r>
      <w:r>
        <w:rPr>
          <w:sz w:val="22"/>
        </w:rPr>
        <w:t>el 98,6</w:t>
      </w:r>
      <w:r>
        <w:rPr>
          <w:spacing w:val="-1"/>
          <w:sz w:val="22"/>
        </w:rPr>
        <w:t> </w:t>
      </w:r>
      <w:r>
        <w:rPr>
          <w:sz w:val="22"/>
        </w:rPr>
        <w:t>% del</w:t>
      </w:r>
      <w:r>
        <w:rPr>
          <w:spacing w:val="-1"/>
          <w:sz w:val="22"/>
        </w:rPr>
        <w:t> </w:t>
      </w:r>
      <w:r>
        <w:rPr>
          <w:sz w:val="22"/>
        </w:rPr>
        <w:t>total de las</w:t>
      </w:r>
      <w:r>
        <w:rPr>
          <w:spacing w:val="-1"/>
          <w:sz w:val="22"/>
        </w:rPr>
        <w:t> </w:t>
      </w:r>
      <w:r>
        <w:rPr>
          <w:sz w:val="22"/>
        </w:rPr>
        <w:t>importaciones</w:t>
      </w:r>
      <w:r>
        <w:rPr>
          <w:spacing w:val="-1"/>
          <w:sz w:val="22"/>
        </w:rPr>
        <w:t> </w:t>
      </w:r>
      <w:r>
        <w:rPr>
          <w:sz w:val="22"/>
        </w:rPr>
        <w:t>de los productos pesqueros considerados. Asimismo, se constata que, durante el mes de marzo</w:t>
      </w:r>
      <w:r>
        <w:rPr>
          <w:spacing w:val="-1"/>
          <w:sz w:val="22"/>
        </w:rPr>
        <w:t> </w:t>
      </w:r>
      <w:r>
        <w:rPr>
          <w:sz w:val="22"/>
        </w:rPr>
        <w:t>de</w:t>
      </w:r>
      <w:r>
        <w:rPr>
          <w:spacing w:val="-2"/>
          <w:sz w:val="22"/>
        </w:rPr>
        <w:t> </w:t>
      </w:r>
      <w:r>
        <w:rPr>
          <w:sz w:val="22"/>
        </w:rPr>
        <w:t>2026, correspondiente al</w:t>
      </w:r>
      <w:r>
        <w:rPr>
          <w:spacing w:val="-1"/>
          <w:sz w:val="22"/>
        </w:rPr>
        <w:t> </w:t>
      </w:r>
      <w:r>
        <w:rPr>
          <w:sz w:val="22"/>
        </w:rPr>
        <w:t>período</w:t>
      </w:r>
      <w:r>
        <w:rPr>
          <w:spacing w:val="-2"/>
          <w:sz w:val="22"/>
        </w:rPr>
        <w:t> </w:t>
      </w:r>
      <w:r>
        <w:rPr>
          <w:sz w:val="22"/>
        </w:rPr>
        <w:t>de vigencia de la</w:t>
      </w:r>
      <w:r>
        <w:rPr>
          <w:spacing w:val="-2"/>
          <w:sz w:val="22"/>
        </w:rPr>
        <w:t> </w:t>
      </w:r>
      <w:r>
        <w:rPr>
          <w:sz w:val="22"/>
        </w:rPr>
        <w:t>medida, no se registraron importaciones por vía terrestre, manteniéndose habilitado el ingreso por vía marítima. En consecuencia, se determina que la medida adoptada no tuvo por efecto impedir — esto</w:t>
      </w:r>
      <w:r>
        <w:rPr>
          <w:spacing w:val="-9"/>
          <w:sz w:val="22"/>
        </w:rPr>
        <w:t> </w:t>
      </w:r>
      <w:r>
        <w:rPr>
          <w:sz w:val="22"/>
        </w:rPr>
        <w:t>es,</w:t>
      </w:r>
      <w:r>
        <w:rPr>
          <w:spacing w:val="-8"/>
          <w:sz w:val="22"/>
        </w:rPr>
        <w:t> </w:t>
      </w:r>
      <w:r>
        <w:rPr>
          <w:sz w:val="22"/>
        </w:rPr>
        <w:t>suspender</w:t>
      </w:r>
      <w:r>
        <w:rPr>
          <w:spacing w:val="-9"/>
          <w:sz w:val="22"/>
        </w:rPr>
        <w:t> </w:t>
      </w:r>
      <w:r>
        <w:rPr>
          <w:sz w:val="22"/>
        </w:rPr>
        <w:t>o</w:t>
      </w:r>
      <w:r>
        <w:rPr>
          <w:spacing w:val="-12"/>
          <w:sz w:val="22"/>
        </w:rPr>
        <w:t> </w:t>
      </w:r>
      <w:r>
        <w:rPr>
          <w:sz w:val="22"/>
        </w:rPr>
        <w:t>prohibir—</w:t>
      </w:r>
      <w:r>
        <w:rPr>
          <w:spacing w:val="-9"/>
          <w:sz w:val="22"/>
        </w:rPr>
        <w:t> </w:t>
      </w:r>
      <w:r>
        <w:rPr>
          <w:sz w:val="22"/>
        </w:rPr>
        <w:t>las</w:t>
      </w:r>
      <w:r>
        <w:rPr>
          <w:spacing w:val="-10"/>
          <w:sz w:val="22"/>
        </w:rPr>
        <w:t> </w:t>
      </w:r>
      <w:r>
        <w:rPr>
          <w:sz w:val="22"/>
        </w:rPr>
        <w:t>importaciones</w:t>
      </w:r>
      <w:r>
        <w:rPr>
          <w:spacing w:val="-12"/>
          <w:sz w:val="22"/>
        </w:rPr>
        <w:t> </w:t>
      </w:r>
      <w:r>
        <w:rPr>
          <w:sz w:val="22"/>
        </w:rPr>
        <w:t>de</w:t>
      </w:r>
      <w:r>
        <w:rPr>
          <w:spacing w:val="-10"/>
          <w:sz w:val="22"/>
        </w:rPr>
        <w:t> </w:t>
      </w:r>
      <w:r>
        <w:rPr>
          <w:sz w:val="22"/>
        </w:rPr>
        <w:t>productos</w:t>
      </w:r>
      <w:r>
        <w:rPr>
          <w:spacing w:val="-10"/>
          <w:sz w:val="22"/>
        </w:rPr>
        <w:t> </w:t>
      </w:r>
      <w:r>
        <w:rPr>
          <w:sz w:val="22"/>
        </w:rPr>
        <w:t>pesqueros</w:t>
      </w:r>
      <w:r>
        <w:rPr>
          <w:spacing w:val="-12"/>
          <w:sz w:val="22"/>
        </w:rPr>
        <w:t> </w:t>
      </w:r>
      <w:r>
        <w:rPr>
          <w:sz w:val="22"/>
        </w:rPr>
        <w:t>provenientes de la República del Ecuador, sin perjuicio de su incidencia en la modalidad de ingreso utilizada para dichas importaciones.</w:t>
      </w:r>
    </w:p>
    <w:p>
      <w:pPr>
        <w:pStyle w:val="ListParagraph"/>
        <w:numPr>
          <w:ilvl w:val="0"/>
          <w:numId w:val="112"/>
        </w:numPr>
        <w:tabs>
          <w:tab w:pos="1273" w:val="left" w:leader="none"/>
        </w:tabs>
        <w:spacing w:line="240" w:lineRule="auto" w:before="252" w:after="0"/>
        <w:ind w:left="1273" w:right="0" w:hanging="345"/>
        <w:jc w:val="left"/>
        <w:rPr>
          <w:rFonts w:ascii="Arial" w:hAnsi="Arial"/>
          <w:i/>
          <w:sz w:val="22"/>
        </w:rPr>
      </w:pPr>
      <w:r>
        <w:rPr>
          <w:rFonts w:ascii="Arial" w:hAnsi="Arial"/>
          <w:i/>
          <w:spacing w:val="-2"/>
          <w:sz w:val="22"/>
          <w:u w:val="single"/>
        </w:rPr>
        <w:t>Análisis</w:t>
      </w:r>
      <w:r>
        <w:rPr>
          <w:rFonts w:ascii="Arial" w:hAnsi="Arial"/>
          <w:i/>
          <w:spacing w:val="-7"/>
          <w:sz w:val="22"/>
          <w:u w:val="single"/>
        </w:rPr>
        <w:t> </w:t>
      </w:r>
      <w:r>
        <w:rPr>
          <w:rFonts w:ascii="Arial" w:hAnsi="Arial"/>
          <w:i/>
          <w:spacing w:val="-2"/>
          <w:sz w:val="22"/>
          <w:u w:val="single"/>
        </w:rPr>
        <w:t>para</w:t>
      </w:r>
      <w:r>
        <w:rPr>
          <w:rFonts w:ascii="Arial" w:hAnsi="Arial"/>
          <w:i/>
          <w:spacing w:val="-6"/>
          <w:sz w:val="22"/>
          <w:u w:val="single"/>
        </w:rPr>
        <w:t> </w:t>
      </w:r>
      <w:r>
        <w:rPr>
          <w:rFonts w:ascii="Arial" w:hAnsi="Arial"/>
          <w:i/>
          <w:spacing w:val="-2"/>
          <w:sz w:val="22"/>
          <w:u w:val="single"/>
        </w:rPr>
        <w:t>determinar</w:t>
      </w:r>
      <w:r>
        <w:rPr>
          <w:rFonts w:ascii="Arial" w:hAnsi="Arial"/>
          <w:i/>
          <w:spacing w:val="-7"/>
          <w:sz w:val="22"/>
          <w:u w:val="single"/>
        </w:rPr>
        <w:t> </w:t>
      </w:r>
      <w:r>
        <w:rPr>
          <w:rFonts w:ascii="Arial" w:hAnsi="Arial"/>
          <w:i/>
          <w:spacing w:val="-2"/>
          <w:sz w:val="22"/>
          <w:u w:val="single"/>
        </w:rPr>
        <w:t>si</w:t>
      </w:r>
      <w:r>
        <w:rPr>
          <w:rFonts w:ascii="Arial" w:hAnsi="Arial"/>
          <w:i/>
          <w:spacing w:val="-6"/>
          <w:sz w:val="22"/>
          <w:u w:val="single"/>
        </w:rPr>
        <w:t> </w:t>
      </w:r>
      <w:r>
        <w:rPr>
          <w:rFonts w:ascii="Arial" w:hAnsi="Arial"/>
          <w:i/>
          <w:spacing w:val="-2"/>
          <w:sz w:val="22"/>
          <w:u w:val="single"/>
        </w:rPr>
        <w:t>la</w:t>
      </w:r>
      <w:r>
        <w:rPr>
          <w:rFonts w:ascii="Arial" w:hAnsi="Arial"/>
          <w:i/>
          <w:spacing w:val="-5"/>
          <w:sz w:val="22"/>
          <w:u w:val="single"/>
        </w:rPr>
        <w:t> </w:t>
      </w:r>
      <w:r>
        <w:rPr>
          <w:rFonts w:ascii="Arial" w:hAnsi="Arial"/>
          <w:i/>
          <w:spacing w:val="-2"/>
          <w:sz w:val="22"/>
          <w:u w:val="single"/>
        </w:rPr>
        <w:t>medida</w:t>
      </w:r>
      <w:r>
        <w:rPr>
          <w:rFonts w:ascii="Arial" w:hAnsi="Arial"/>
          <w:i/>
          <w:spacing w:val="-4"/>
          <w:sz w:val="22"/>
          <w:u w:val="single"/>
        </w:rPr>
        <w:t> </w:t>
      </w:r>
      <w:r>
        <w:rPr>
          <w:rFonts w:ascii="Arial" w:hAnsi="Arial"/>
          <w:i/>
          <w:spacing w:val="-2"/>
          <w:sz w:val="22"/>
          <w:u w:val="single"/>
        </w:rPr>
        <w:t>objeto</w:t>
      </w:r>
      <w:r>
        <w:rPr>
          <w:rFonts w:ascii="Arial" w:hAnsi="Arial"/>
          <w:i/>
          <w:spacing w:val="-5"/>
          <w:sz w:val="22"/>
          <w:u w:val="single"/>
        </w:rPr>
        <w:t> </w:t>
      </w:r>
      <w:r>
        <w:rPr>
          <w:rFonts w:ascii="Arial" w:hAnsi="Arial"/>
          <w:i/>
          <w:spacing w:val="-2"/>
          <w:sz w:val="22"/>
          <w:u w:val="single"/>
        </w:rPr>
        <w:t>de</w:t>
      </w:r>
      <w:r>
        <w:rPr>
          <w:rFonts w:ascii="Arial" w:hAnsi="Arial"/>
          <w:i/>
          <w:spacing w:val="-5"/>
          <w:sz w:val="22"/>
          <w:u w:val="single"/>
        </w:rPr>
        <w:t> </w:t>
      </w:r>
      <w:r>
        <w:rPr>
          <w:rFonts w:ascii="Arial" w:hAnsi="Arial"/>
          <w:i/>
          <w:spacing w:val="-2"/>
          <w:sz w:val="22"/>
          <w:u w:val="single"/>
        </w:rPr>
        <w:t>investigación</w:t>
      </w:r>
      <w:r>
        <w:rPr>
          <w:rFonts w:ascii="Arial" w:hAnsi="Arial"/>
          <w:i/>
          <w:spacing w:val="-6"/>
          <w:sz w:val="22"/>
          <w:u w:val="single"/>
        </w:rPr>
        <w:t> </w:t>
      </w:r>
      <w:r>
        <w:rPr>
          <w:rFonts w:ascii="Arial" w:hAnsi="Arial"/>
          <w:i/>
          <w:spacing w:val="-2"/>
          <w:sz w:val="22"/>
          <w:u w:val="single"/>
        </w:rPr>
        <w:t>dificulta</w:t>
      </w:r>
      <w:r>
        <w:rPr>
          <w:rFonts w:ascii="Arial" w:hAnsi="Arial"/>
          <w:i/>
          <w:spacing w:val="-6"/>
          <w:sz w:val="22"/>
          <w:u w:val="single"/>
        </w:rPr>
        <w:t> </w:t>
      </w:r>
      <w:r>
        <w:rPr>
          <w:rFonts w:ascii="Arial" w:hAnsi="Arial"/>
          <w:i/>
          <w:spacing w:val="-2"/>
          <w:sz w:val="22"/>
          <w:u w:val="single"/>
        </w:rPr>
        <w:t>las</w:t>
      </w:r>
      <w:r>
        <w:rPr>
          <w:rFonts w:ascii="Arial" w:hAnsi="Arial"/>
          <w:i/>
          <w:spacing w:val="-4"/>
          <w:sz w:val="22"/>
          <w:u w:val="single"/>
        </w:rPr>
        <w:t> </w:t>
      </w:r>
      <w:r>
        <w:rPr>
          <w:rFonts w:ascii="Arial" w:hAnsi="Arial"/>
          <w:i/>
          <w:spacing w:val="-2"/>
          <w:sz w:val="22"/>
          <w:u w:val="single"/>
        </w:rPr>
        <w:t>importaciones</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80" w:hanging="567"/>
        <w:jc w:val="both"/>
        <w:rPr>
          <w:rFonts w:ascii="Arial" w:hAnsi="Arial"/>
          <w:i/>
          <w:sz w:val="22"/>
        </w:rPr>
      </w:pPr>
      <w:r>
        <w:rPr>
          <w:sz w:val="22"/>
        </w:rPr>
        <w:t>De acuerdo con lo argumentado por la República del Ecuador, el 100% de sus exportaciones de productos pesqueros destinadas a la República de Colombia se realizarían por vía terrestre, por lo que </w:t>
      </w:r>
      <w:r>
        <w:rPr>
          <w:rFonts w:ascii="Arial" w:hAnsi="Arial"/>
          <w:i/>
          <w:sz w:val="22"/>
        </w:rPr>
        <w:t>[l]a prohibición de ingreso por los únicos pasos utilizados equivale, en los hechos, a una prohibición total de exportar esos productos”.</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Conforme a la metodología aplicada, se procede a analizar las importaciones según la aduana</w:t>
      </w:r>
      <w:r>
        <w:rPr>
          <w:spacing w:val="-7"/>
          <w:sz w:val="22"/>
        </w:rPr>
        <w:t> </w:t>
      </w:r>
      <w:r>
        <w:rPr>
          <w:sz w:val="22"/>
        </w:rPr>
        <w:t>de</w:t>
      </w:r>
      <w:r>
        <w:rPr>
          <w:spacing w:val="-7"/>
          <w:sz w:val="22"/>
        </w:rPr>
        <w:t> </w:t>
      </w:r>
      <w:r>
        <w:rPr>
          <w:sz w:val="22"/>
        </w:rPr>
        <w:t>ingreso,</w:t>
      </w:r>
      <w:r>
        <w:rPr>
          <w:spacing w:val="-8"/>
          <w:sz w:val="22"/>
        </w:rPr>
        <w:t> </w:t>
      </w:r>
      <w:r>
        <w:rPr>
          <w:sz w:val="22"/>
        </w:rPr>
        <w:t>con</w:t>
      </w:r>
      <w:r>
        <w:rPr>
          <w:spacing w:val="-9"/>
          <w:sz w:val="22"/>
        </w:rPr>
        <w:t> </w:t>
      </w:r>
      <w:r>
        <w:rPr>
          <w:sz w:val="22"/>
        </w:rPr>
        <w:t>el</w:t>
      </w:r>
      <w:r>
        <w:rPr>
          <w:spacing w:val="-7"/>
          <w:sz w:val="22"/>
        </w:rPr>
        <w:t> </w:t>
      </w:r>
      <w:r>
        <w:rPr>
          <w:sz w:val="22"/>
        </w:rPr>
        <w:t>objetivo</w:t>
      </w:r>
      <w:r>
        <w:rPr>
          <w:spacing w:val="-9"/>
          <w:sz w:val="22"/>
        </w:rPr>
        <w:t> </w:t>
      </w:r>
      <w:r>
        <w:rPr>
          <w:sz w:val="22"/>
        </w:rPr>
        <w:t>de</w:t>
      </w:r>
      <w:r>
        <w:rPr>
          <w:spacing w:val="-7"/>
          <w:sz w:val="22"/>
        </w:rPr>
        <w:t> </w:t>
      </w:r>
      <w:r>
        <w:rPr>
          <w:sz w:val="22"/>
        </w:rPr>
        <w:t>identificar</w:t>
      </w:r>
      <w:r>
        <w:rPr>
          <w:spacing w:val="-8"/>
          <w:sz w:val="22"/>
        </w:rPr>
        <w:t> </w:t>
      </w:r>
      <w:r>
        <w:rPr>
          <w:sz w:val="22"/>
        </w:rPr>
        <w:t>los</w:t>
      </w:r>
      <w:r>
        <w:rPr>
          <w:spacing w:val="-6"/>
          <w:sz w:val="22"/>
        </w:rPr>
        <w:t> </w:t>
      </w:r>
      <w:r>
        <w:rPr>
          <w:sz w:val="22"/>
        </w:rPr>
        <w:t>principales</w:t>
      </w:r>
      <w:r>
        <w:rPr>
          <w:spacing w:val="-6"/>
          <w:sz w:val="22"/>
        </w:rPr>
        <w:t> </w:t>
      </w:r>
      <w:r>
        <w:rPr>
          <w:sz w:val="22"/>
        </w:rPr>
        <w:t>puntos</w:t>
      </w:r>
      <w:r>
        <w:rPr>
          <w:spacing w:val="-6"/>
          <w:sz w:val="22"/>
        </w:rPr>
        <w:t> </w:t>
      </w:r>
      <w:r>
        <w:rPr>
          <w:sz w:val="22"/>
        </w:rPr>
        <w:t>de</w:t>
      </w:r>
      <w:r>
        <w:rPr>
          <w:spacing w:val="-12"/>
          <w:sz w:val="22"/>
        </w:rPr>
        <w:t> </w:t>
      </w:r>
      <w:r>
        <w:rPr>
          <w:sz w:val="22"/>
        </w:rPr>
        <w:t>ingreso</w:t>
      </w:r>
      <w:r>
        <w:rPr>
          <w:spacing w:val="-7"/>
          <w:sz w:val="22"/>
        </w:rPr>
        <w:t> </w:t>
      </w:r>
      <w:r>
        <w:rPr>
          <w:sz w:val="22"/>
        </w:rPr>
        <w:t>de</w:t>
      </w:r>
      <w:r>
        <w:rPr>
          <w:spacing w:val="-7"/>
          <w:sz w:val="22"/>
        </w:rPr>
        <w:t> </w:t>
      </w:r>
      <w:r>
        <w:rPr>
          <w:sz w:val="22"/>
        </w:rPr>
        <w:t>los productos pesqueros a la República de Colombia. La información correspondiente se presenta en la Tabla N.º 22.</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Heading6"/>
        <w:ind w:right="409"/>
        <w:jc w:val="center"/>
      </w:pPr>
      <w:r>
        <w:rPr/>
        <w:t>Tabla</w:t>
      </w:r>
      <w:r>
        <w:rPr>
          <w:spacing w:val="-2"/>
        </w:rPr>
        <w:t> </w:t>
      </w:r>
      <w:r>
        <w:rPr/>
        <w:t>No.</w:t>
      </w:r>
      <w:r>
        <w:rPr>
          <w:spacing w:val="-2"/>
        </w:rPr>
        <w:t> </w:t>
      </w:r>
      <w:r>
        <w:rPr>
          <w:spacing w:val="-5"/>
        </w:rPr>
        <w:t>22</w:t>
      </w:r>
    </w:p>
    <w:p>
      <w:pPr>
        <w:spacing w:before="2"/>
        <w:ind w:left="597" w:right="1009" w:firstLine="0"/>
        <w:jc w:val="center"/>
        <w:rPr>
          <w:rFonts w:ascii="Arial" w:hAnsi="Arial"/>
          <w:b/>
          <w:sz w:val="22"/>
        </w:rPr>
      </w:pPr>
      <w:r>
        <w:rPr>
          <w:rFonts w:ascii="Arial" w:hAnsi="Arial"/>
          <w:b/>
          <w:sz w:val="22"/>
        </w:rPr>
        <w:t>Importaciones</w:t>
      </w:r>
      <w:r>
        <w:rPr>
          <w:rFonts w:ascii="Arial" w:hAnsi="Arial"/>
          <w:b/>
          <w:spacing w:val="-4"/>
          <w:sz w:val="22"/>
        </w:rPr>
        <w:t> </w:t>
      </w:r>
      <w:r>
        <w:rPr>
          <w:rFonts w:ascii="Arial" w:hAnsi="Arial"/>
          <w:b/>
          <w:sz w:val="22"/>
        </w:rPr>
        <w:t>de</w:t>
      </w:r>
      <w:r>
        <w:rPr>
          <w:rFonts w:ascii="Arial" w:hAnsi="Arial"/>
          <w:b/>
          <w:spacing w:val="-2"/>
          <w:sz w:val="22"/>
        </w:rPr>
        <w:t> </w:t>
      </w:r>
      <w:r>
        <w:rPr>
          <w:rFonts w:ascii="Arial" w:hAnsi="Arial"/>
          <w:b/>
          <w:sz w:val="22"/>
        </w:rPr>
        <w:t>productos</w:t>
      </w:r>
      <w:r>
        <w:rPr>
          <w:rFonts w:ascii="Arial" w:hAnsi="Arial"/>
          <w:b/>
          <w:spacing w:val="-2"/>
          <w:sz w:val="22"/>
        </w:rPr>
        <w:t> </w:t>
      </w:r>
      <w:r>
        <w:rPr>
          <w:rFonts w:ascii="Arial" w:hAnsi="Arial"/>
          <w:b/>
          <w:sz w:val="22"/>
        </w:rPr>
        <w:t>pesqueros</w:t>
      </w:r>
      <w:r>
        <w:rPr>
          <w:rFonts w:ascii="Arial" w:hAnsi="Arial"/>
          <w:b/>
          <w:spacing w:val="-4"/>
          <w:sz w:val="22"/>
        </w:rPr>
        <w:t> </w:t>
      </w:r>
      <w:r>
        <w:rPr>
          <w:rFonts w:ascii="Arial" w:hAnsi="Arial"/>
          <w:b/>
          <w:sz w:val="22"/>
        </w:rPr>
        <w:t>originarias</w:t>
      </w:r>
      <w:r>
        <w:rPr>
          <w:rFonts w:ascii="Arial" w:hAnsi="Arial"/>
          <w:b/>
          <w:spacing w:val="-2"/>
          <w:sz w:val="22"/>
        </w:rPr>
        <w:t> </w:t>
      </w:r>
      <w:r>
        <w:rPr>
          <w:rFonts w:ascii="Arial" w:hAnsi="Arial"/>
          <w:b/>
          <w:sz w:val="22"/>
        </w:rPr>
        <w:t>de</w:t>
      </w:r>
      <w:r>
        <w:rPr>
          <w:rFonts w:ascii="Arial" w:hAnsi="Arial"/>
          <w:b/>
          <w:spacing w:val="-7"/>
          <w:sz w:val="22"/>
        </w:rPr>
        <w:t> </w:t>
      </w:r>
      <w:r>
        <w:rPr>
          <w:rFonts w:ascii="Arial" w:hAnsi="Arial"/>
          <w:b/>
          <w:sz w:val="22"/>
        </w:rPr>
        <w:t>la</w:t>
      </w:r>
      <w:r>
        <w:rPr>
          <w:rFonts w:ascii="Arial" w:hAnsi="Arial"/>
          <w:b/>
          <w:spacing w:val="-2"/>
          <w:sz w:val="22"/>
        </w:rPr>
        <w:t> </w:t>
      </w:r>
      <w:r>
        <w:rPr>
          <w:rFonts w:ascii="Arial" w:hAnsi="Arial"/>
          <w:b/>
          <w:sz w:val="22"/>
        </w:rPr>
        <w:t>República</w:t>
      </w:r>
      <w:r>
        <w:rPr>
          <w:rFonts w:ascii="Arial" w:hAnsi="Arial"/>
          <w:b/>
          <w:spacing w:val="-2"/>
          <w:sz w:val="22"/>
        </w:rPr>
        <w:t> </w:t>
      </w:r>
      <w:r>
        <w:rPr>
          <w:rFonts w:ascii="Arial" w:hAnsi="Arial"/>
          <w:b/>
          <w:sz w:val="22"/>
        </w:rPr>
        <w:t>del</w:t>
      </w:r>
      <w:r>
        <w:rPr>
          <w:rFonts w:ascii="Arial" w:hAnsi="Arial"/>
          <w:b/>
          <w:spacing w:val="-1"/>
          <w:sz w:val="22"/>
        </w:rPr>
        <w:t> </w:t>
      </w:r>
      <w:r>
        <w:rPr>
          <w:rFonts w:ascii="Arial" w:hAnsi="Arial"/>
          <w:b/>
          <w:sz w:val="22"/>
        </w:rPr>
        <w:t>Ecuador /</w:t>
      </w:r>
      <w:r>
        <w:rPr>
          <w:rFonts w:ascii="Arial" w:hAnsi="Arial"/>
          <w:b/>
          <w:spacing w:val="-3"/>
          <w:sz w:val="22"/>
        </w:rPr>
        <w:t> </w:t>
      </w:r>
      <w:r>
        <w:rPr>
          <w:rFonts w:ascii="Arial" w:hAnsi="Arial"/>
          <w:b/>
          <w:sz w:val="22"/>
        </w:rPr>
        <w:t>en</w:t>
      </w:r>
      <w:r>
        <w:rPr>
          <w:rFonts w:ascii="Arial" w:hAnsi="Arial"/>
          <w:b/>
          <w:spacing w:val="-4"/>
          <w:sz w:val="22"/>
        </w:rPr>
        <w:t> </w:t>
      </w:r>
      <w:r>
        <w:rPr>
          <w:rFonts w:ascii="Arial" w:hAnsi="Arial"/>
          <w:b/>
          <w:sz w:val="22"/>
        </w:rPr>
        <w:t>% de dólares CIF</w:t>
      </w:r>
    </w:p>
    <w:tbl>
      <w:tblPr>
        <w:tblW w:w="0" w:type="auto"/>
        <w:jc w:val="left"/>
        <w:tblInd w:w="5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38"/>
        <w:gridCol w:w="1019"/>
        <w:gridCol w:w="1537"/>
        <w:gridCol w:w="1367"/>
        <w:gridCol w:w="1730"/>
        <w:gridCol w:w="1180"/>
        <w:gridCol w:w="1003"/>
      </w:tblGrid>
      <w:tr>
        <w:trPr>
          <w:trHeight w:val="208" w:hRule="atLeast"/>
        </w:trPr>
        <w:tc>
          <w:tcPr>
            <w:tcW w:w="1438" w:type="dxa"/>
            <w:shd w:val="clear" w:color="auto" w:fill="D1D1D1"/>
          </w:tcPr>
          <w:p>
            <w:pPr>
              <w:pStyle w:val="TableParagraph"/>
              <w:spacing w:line="188" w:lineRule="exact"/>
              <w:ind w:left="107"/>
              <w:rPr>
                <w:rFonts w:ascii="Arial"/>
                <w:b/>
                <w:sz w:val="18"/>
              </w:rPr>
            </w:pPr>
            <w:r>
              <w:rPr>
                <w:rFonts w:ascii="Arial"/>
                <w:b/>
                <w:spacing w:val="-2"/>
                <w:sz w:val="18"/>
              </w:rPr>
              <w:t>Subpartida</w:t>
            </w:r>
          </w:p>
        </w:tc>
        <w:tc>
          <w:tcPr>
            <w:tcW w:w="1019" w:type="dxa"/>
            <w:shd w:val="clear" w:color="auto" w:fill="D1D1D1"/>
          </w:tcPr>
          <w:p>
            <w:pPr>
              <w:pStyle w:val="TableParagraph"/>
              <w:spacing w:line="188" w:lineRule="exact"/>
              <w:ind w:left="107"/>
              <w:rPr>
                <w:rFonts w:ascii="Arial"/>
                <w:b/>
                <w:sz w:val="18"/>
              </w:rPr>
            </w:pPr>
            <w:r>
              <w:rPr>
                <w:rFonts w:ascii="Arial"/>
                <w:b/>
                <w:spacing w:val="-2"/>
                <w:sz w:val="18"/>
              </w:rPr>
              <w:t>IPIALES</w:t>
            </w:r>
          </w:p>
        </w:tc>
        <w:tc>
          <w:tcPr>
            <w:tcW w:w="1537" w:type="dxa"/>
            <w:shd w:val="clear" w:color="auto" w:fill="D1D1D1"/>
          </w:tcPr>
          <w:p>
            <w:pPr>
              <w:pStyle w:val="TableParagraph"/>
              <w:spacing w:line="188" w:lineRule="exact"/>
              <w:ind w:left="106"/>
              <w:rPr>
                <w:rFonts w:ascii="Arial"/>
                <w:b/>
                <w:sz w:val="18"/>
              </w:rPr>
            </w:pPr>
            <w:r>
              <w:rPr>
                <w:rFonts w:ascii="Arial"/>
                <w:b/>
                <w:sz w:val="18"/>
              </w:rPr>
              <w:t>PUERTO</w:t>
            </w:r>
            <w:r>
              <w:rPr>
                <w:rFonts w:ascii="Arial"/>
                <w:b/>
                <w:spacing w:val="-4"/>
                <w:sz w:val="18"/>
              </w:rPr>
              <w:t> ASIS</w:t>
            </w:r>
          </w:p>
        </w:tc>
        <w:tc>
          <w:tcPr>
            <w:tcW w:w="1367" w:type="dxa"/>
            <w:shd w:val="clear" w:color="auto" w:fill="D1D1D1"/>
          </w:tcPr>
          <w:p>
            <w:pPr>
              <w:pStyle w:val="TableParagraph"/>
              <w:spacing w:line="188" w:lineRule="exact"/>
              <w:ind w:right="101"/>
              <w:jc w:val="right"/>
              <w:rPr>
                <w:rFonts w:ascii="Arial"/>
                <w:b/>
                <w:sz w:val="18"/>
              </w:rPr>
            </w:pPr>
            <w:r>
              <w:rPr>
                <w:rFonts w:ascii="Arial"/>
                <w:b/>
                <w:spacing w:val="-2"/>
                <w:sz w:val="18"/>
              </w:rPr>
              <w:t>CARTAGENA</w:t>
            </w:r>
          </w:p>
        </w:tc>
        <w:tc>
          <w:tcPr>
            <w:tcW w:w="1730" w:type="dxa"/>
            <w:shd w:val="clear" w:color="auto" w:fill="D1D1D1"/>
          </w:tcPr>
          <w:p>
            <w:pPr>
              <w:pStyle w:val="TableParagraph"/>
              <w:spacing w:line="188" w:lineRule="exact"/>
              <w:ind w:right="105"/>
              <w:jc w:val="right"/>
              <w:rPr>
                <w:rFonts w:ascii="Arial"/>
                <w:b/>
                <w:sz w:val="18"/>
              </w:rPr>
            </w:pPr>
            <w:r>
              <w:rPr>
                <w:rFonts w:ascii="Arial"/>
                <w:b/>
                <w:spacing w:val="-2"/>
                <w:sz w:val="18"/>
              </w:rPr>
              <w:t>BUENAVENTURA</w:t>
            </w:r>
          </w:p>
        </w:tc>
        <w:tc>
          <w:tcPr>
            <w:tcW w:w="1180" w:type="dxa"/>
            <w:shd w:val="clear" w:color="auto" w:fill="D1D1D1"/>
          </w:tcPr>
          <w:p>
            <w:pPr>
              <w:pStyle w:val="TableParagraph"/>
              <w:spacing w:line="188" w:lineRule="exact"/>
              <w:ind w:left="103"/>
              <w:rPr>
                <w:rFonts w:ascii="Arial" w:hAnsi="Arial"/>
                <w:b/>
                <w:sz w:val="18"/>
              </w:rPr>
            </w:pPr>
            <w:r>
              <w:rPr>
                <w:rFonts w:ascii="Arial" w:hAnsi="Arial"/>
                <w:b/>
                <w:spacing w:val="-2"/>
                <w:sz w:val="18"/>
              </w:rPr>
              <w:t>BOGOTÁ</w:t>
            </w:r>
          </w:p>
        </w:tc>
        <w:tc>
          <w:tcPr>
            <w:tcW w:w="1003" w:type="dxa"/>
            <w:shd w:val="clear" w:color="auto" w:fill="D1D1D1"/>
          </w:tcPr>
          <w:p>
            <w:pPr>
              <w:pStyle w:val="TableParagraph"/>
              <w:spacing w:line="188" w:lineRule="exact"/>
              <w:ind w:right="6"/>
              <w:jc w:val="center"/>
              <w:rPr>
                <w:rFonts w:ascii="Arial"/>
                <w:b/>
                <w:sz w:val="18"/>
              </w:rPr>
            </w:pPr>
            <w:r>
              <w:rPr>
                <w:rFonts w:ascii="Arial"/>
                <w:b/>
                <w:spacing w:val="-2"/>
                <w:sz w:val="18"/>
              </w:rPr>
              <w:t>Total</w:t>
            </w:r>
          </w:p>
        </w:tc>
      </w:tr>
      <w:tr>
        <w:trPr>
          <w:trHeight w:val="206" w:hRule="atLeast"/>
        </w:trPr>
        <w:tc>
          <w:tcPr>
            <w:tcW w:w="1438" w:type="dxa"/>
          </w:tcPr>
          <w:p>
            <w:pPr>
              <w:pStyle w:val="TableParagraph"/>
              <w:spacing w:line="186" w:lineRule="exact"/>
              <w:ind w:left="107"/>
              <w:rPr>
                <w:sz w:val="18"/>
              </w:rPr>
            </w:pPr>
            <w:r>
              <w:rPr>
                <w:spacing w:val="-2"/>
                <w:sz w:val="18"/>
              </w:rPr>
              <w:t>0306179900</w:t>
            </w:r>
          </w:p>
        </w:tc>
        <w:tc>
          <w:tcPr>
            <w:tcW w:w="1019" w:type="dxa"/>
          </w:tcPr>
          <w:p>
            <w:pPr>
              <w:pStyle w:val="TableParagraph"/>
              <w:spacing w:line="186" w:lineRule="exact"/>
              <w:ind w:right="96"/>
              <w:jc w:val="right"/>
              <w:rPr>
                <w:sz w:val="18"/>
              </w:rPr>
            </w:pPr>
            <w:r>
              <w:rPr>
                <w:spacing w:val="-2"/>
                <w:sz w:val="18"/>
              </w:rPr>
              <w:t>42.34%</w:t>
            </w:r>
          </w:p>
        </w:tc>
        <w:tc>
          <w:tcPr>
            <w:tcW w:w="1537" w:type="dxa"/>
          </w:tcPr>
          <w:p>
            <w:pPr>
              <w:pStyle w:val="TableParagraph"/>
              <w:spacing w:line="186" w:lineRule="exact"/>
              <w:ind w:right="97"/>
              <w:jc w:val="right"/>
              <w:rPr>
                <w:sz w:val="18"/>
              </w:rPr>
            </w:pPr>
            <w:r>
              <w:rPr>
                <w:spacing w:val="-2"/>
                <w:sz w:val="18"/>
              </w:rPr>
              <w:t>32.75%</w:t>
            </w:r>
          </w:p>
        </w:tc>
        <w:tc>
          <w:tcPr>
            <w:tcW w:w="1367" w:type="dxa"/>
          </w:tcPr>
          <w:p>
            <w:pPr>
              <w:pStyle w:val="TableParagraph"/>
              <w:spacing w:line="186" w:lineRule="exact"/>
              <w:ind w:right="98"/>
              <w:jc w:val="right"/>
              <w:rPr>
                <w:sz w:val="18"/>
              </w:rPr>
            </w:pPr>
            <w:r>
              <w:rPr>
                <w:spacing w:val="-2"/>
                <w:sz w:val="18"/>
              </w:rPr>
              <w:t>14.23%</w:t>
            </w:r>
          </w:p>
        </w:tc>
        <w:tc>
          <w:tcPr>
            <w:tcW w:w="1730" w:type="dxa"/>
          </w:tcPr>
          <w:p>
            <w:pPr>
              <w:pStyle w:val="TableParagraph"/>
              <w:spacing w:line="186" w:lineRule="exact"/>
              <w:ind w:right="100"/>
              <w:jc w:val="right"/>
              <w:rPr>
                <w:sz w:val="18"/>
              </w:rPr>
            </w:pPr>
            <w:r>
              <w:rPr>
                <w:spacing w:val="-2"/>
                <w:sz w:val="18"/>
              </w:rPr>
              <w:t>10.68%</w:t>
            </w:r>
          </w:p>
        </w:tc>
        <w:tc>
          <w:tcPr>
            <w:tcW w:w="1180" w:type="dxa"/>
          </w:tcPr>
          <w:p>
            <w:pPr>
              <w:pStyle w:val="TableParagraph"/>
              <w:spacing w:line="186" w:lineRule="exact"/>
              <w:ind w:right="99"/>
              <w:jc w:val="right"/>
              <w:rPr>
                <w:sz w:val="18"/>
              </w:rPr>
            </w:pPr>
            <w:r>
              <w:rPr>
                <w:spacing w:val="-4"/>
                <w:sz w:val="18"/>
              </w:rPr>
              <w:t>0.00%</w:t>
            </w:r>
          </w:p>
        </w:tc>
        <w:tc>
          <w:tcPr>
            <w:tcW w:w="1003" w:type="dxa"/>
          </w:tcPr>
          <w:p>
            <w:pPr>
              <w:pStyle w:val="TableParagraph"/>
              <w:spacing w:line="186" w:lineRule="exact"/>
              <w:ind w:left="2" w:right="6"/>
              <w:jc w:val="center"/>
              <w:rPr>
                <w:sz w:val="18"/>
              </w:rPr>
            </w:pPr>
            <w:r>
              <w:rPr>
                <w:spacing w:val="-2"/>
                <w:sz w:val="18"/>
              </w:rPr>
              <w:t>100.00%</w:t>
            </w:r>
          </w:p>
        </w:tc>
      </w:tr>
      <w:tr>
        <w:trPr>
          <w:trHeight w:val="208" w:hRule="atLeast"/>
        </w:trPr>
        <w:tc>
          <w:tcPr>
            <w:tcW w:w="1438" w:type="dxa"/>
          </w:tcPr>
          <w:p>
            <w:pPr>
              <w:pStyle w:val="TableParagraph"/>
              <w:spacing w:line="188" w:lineRule="exact"/>
              <w:ind w:left="107"/>
              <w:rPr>
                <w:sz w:val="18"/>
              </w:rPr>
            </w:pPr>
            <w:r>
              <w:rPr>
                <w:spacing w:val="-2"/>
                <w:sz w:val="18"/>
              </w:rPr>
              <w:t>0306171900</w:t>
            </w:r>
          </w:p>
        </w:tc>
        <w:tc>
          <w:tcPr>
            <w:tcW w:w="1019" w:type="dxa"/>
          </w:tcPr>
          <w:p>
            <w:pPr>
              <w:pStyle w:val="TableParagraph"/>
              <w:spacing w:line="188" w:lineRule="exact"/>
              <w:ind w:right="97"/>
              <w:jc w:val="right"/>
              <w:rPr>
                <w:sz w:val="18"/>
              </w:rPr>
            </w:pPr>
            <w:r>
              <w:rPr>
                <w:spacing w:val="-4"/>
                <w:sz w:val="18"/>
              </w:rPr>
              <w:t>0.00%</w:t>
            </w:r>
          </w:p>
        </w:tc>
        <w:tc>
          <w:tcPr>
            <w:tcW w:w="1537" w:type="dxa"/>
          </w:tcPr>
          <w:p>
            <w:pPr>
              <w:pStyle w:val="TableParagraph"/>
              <w:spacing w:line="188" w:lineRule="exact"/>
              <w:ind w:right="97"/>
              <w:jc w:val="right"/>
              <w:rPr>
                <w:sz w:val="18"/>
              </w:rPr>
            </w:pPr>
            <w:r>
              <w:rPr>
                <w:spacing w:val="-4"/>
                <w:sz w:val="18"/>
              </w:rPr>
              <w:t>0.00%</w:t>
            </w:r>
          </w:p>
        </w:tc>
        <w:tc>
          <w:tcPr>
            <w:tcW w:w="1367" w:type="dxa"/>
          </w:tcPr>
          <w:p>
            <w:pPr>
              <w:pStyle w:val="TableParagraph"/>
              <w:spacing w:line="188" w:lineRule="exact"/>
              <w:ind w:right="98"/>
              <w:jc w:val="right"/>
              <w:rPr>
                <w:sz w:val="18"/>
              </w:rPr>
            </w:pPr>
            <w:r>
              <w:rPr>
                <w:spacing w:val="-2"/>
                <w:sz w:val="18"/>
              </w:rPr>
              <w:t>100.00%</w:t>
            </w:r>
          </w:p>
        </w:tc>
        <w:tc>
          <w:tcPr>
            <w:tcW w:w="1730" w:type="dxa"/>
          </w:tcPr>
          <w:p>
            <w:pPr>
              <w:pStyle w:val="TableParagraph"/>
              <w:spacing w:line="188" w:lineRule="exact"/>
              <w:ind w:right="100"/>
              <w:jc w:val="right"/>
              <w:rPr>
                <w:sz w:val="18"/>
              </w:rPr>
            </w:pPr>
            <w:r>
              <w:rPr>
                <w:spacing w:val="-4"/>
                <w:sz w:val="18"/>
              </w:rPr>
              <w:t>0.00%</w:t>
            </w:r>
          </w:p>
        </w:tc>
        <w:tc>
          <w:tcPr>
            <w:tcW w:w="1180" w:type="dxa"/>
          </w:tcPr>
          <w:p>
            <w:pPr>
              <w:pStyle w:val="TableParagraph"/>
              <w:spacing w:line="188" w:lineRule="exact"/>
              <w:ind w:right="99"/>
              <w:jc w:val="right"/>
              <w:rPr>
                <w:sz w:val="18"/>
              </w:rPr>
            </w:pPr>
            <w:r>
              <w:rPr>
                <w:spacing w:val="-4"/>
                <w:sz w:val="18"/>
              </w:rPr>
              <w:t>0.00%</w:t>
            </w:r>
          </w:p>
        </w:tc>
        <w:tc>
          <w:tcPr>
            <w:tcW w:w="1003" w:type="dxa"/>
          </w:tcPr>
          <w:p>
            <w:pPr>
              <w:pStyle w:val="TableParagraph"/>
              <w:spacing w:line="188" w:lineRule="exact"/>
              <w:ind w:left="2" w:right="6"/>
              <w:jc w:val="center"/>
              <w:rPr>
                <w:sz w:val="18"/>
              </w:rPr>
            </w:pPr>
            <w:r>
              <w:rPr>
                <w:spacing w:val="-2"/>
                <w:sz w:val="18"/>
              </w:rPr>
              <w:t>100.00%</w:t>
            </w:r>
          </w:p>
        </w:tc>
      </w:tr>
      <w:tr>
        <w:trPr>
          <w:trHeight w:val="206" w:hRule="atLeast"/>
        </w:trPr>
        <w:tc>
          <w:tcPr>
            <w:tcW w:w="1438" w:type="dxa"/>
          </w:tcPr>
          <w:p>
            <w:pPr>
              <w:pStyle w:val="TableParagraph"/>
              <w:spacing w:line="186" w:lineRule="exact"/>
              <w:ind w:left="107"/>
              <w:rPr>
                <w:sz w:val="18"/>
              </w:rPr>
            </w:pPr>
            <w:r>
              <w:rPr>
                <w:spacing w:val="-2"/>
                <w:sz w:val="18"/>
              </w:rPr>
              <w:t>0303910000</w:t>
            </w:r>
          </w:p>
        </w:tc>
        <w:tc>
          <w:tcPr>
            <w:tcW w:w="1019" w:type="dxa"/>
          </w:tcPr>
          <w:p>
            <w:pPr>
              <w:pStyle w:val="TableParagraph"/>
              <w:spacing w:line="186" w:lineRule="exact"/>
              <w:ind w:right="96"/>
              <w:jc w:val="right"/>
              <w:rPr>
                <w:sz w:val="18"/>
              </w:rPr>
            </w:pPr>
            <w:r>
              <w:rPr>
                <w:spacing w:val="-2"/>
                <w:sz w:val="18"/>
              </w:rPr>
              <w:t>28.43%</w:t>
            </w:r>
          </w:p>
        </w:tc>
        <w:tc>
          <w:tcPr>
            <w:tcW w:w="1537" w:type="dxa"/>
          </w:tcPr>
          <w:p>
            <w:pPr>
              <w:pStyle w:val="TableParagraph"/>
              <w:spacing w:line="186" w:lineRule="exact"/>
              <w:ind w:right="97"/>
              <w:jc w:val="right"/>
              <w:rPr>
                <w:sz w:val="18"/>
              </w:rPr>
            </w:pPr>
            <w:r>
              <w:rPr>
                <w:spacing w:val="-2"/>
                <w:sz w:val="18"/>
              </w:rPr>
              <w:t>71.57%</w:t>
            </w:r>
          </w:p>
        </w:tc>
        <w:tc>
          <w:tcPr>
            <w:tcW w:w="1367" w:type="dxa"/>
          </w:tcPr>
          <w:p>
            <w:pPr>
              <w:pStyle w:val="TableParagraph"/>
              <w:spacing w:line="186" w:lineRule="exact"/>
              <w:ind w:right="98"/>
              <w:jc w:val="right"/>
              <w:rPr>
                <w:sz w:val="18"/>
              </w:rPr>
            </w:pPr>
            <w:r>
              <w:rPr>
                <w:spacing w:val="-4"/>
                <w:sz w:val="18"/>
              </w:rPr>
              <w:t>0.00%</w:t>
            </w:r>
          </w:p>
        </w:tc>
        <w:tc>
          <w:tcPr>
            <w:tcW w:w="1730" w:type="dxa"/>
          </w:tcPr>
          <w:p>
            <w:pPr>
              <w:pStyle w:val="TableParagraph"/>
              <w:spacing w:line="186" w:lineRule="exact"/>
              <w:ind w:right="100"/>
              <w:jc w:val="right"/>
              <w:rPr>
                <w:sz w:val="18"/>
              </w:rPr>
            </w:pPr>
            <w:r>
              <w:rPr>
                <w:spacing w:val="-4"/>
                <w:sz w:val="18"/>
              </w:rPr>
              <w:t>0.00%</w:t>
            </w:r>
          </w:p>
        </w:tc>
        <w:tc>
          <w:tcPr>
            <w:tcW w:w="1180" w:type="dxa"/>
          </w:tcPr>
          <w:p>
            <w:pPr>
              <w:pStyle w:val="TableParagraph"/>
              <w:spacing w:line="186" w:lineRule="exact"/>
              <w:ind w:right="99"/>
              <w:jc w:val="right"/>
              <w:rPr>
                <w:sz w:val="18"/>
              </w:rPr>
            </w:pPr>
            <w:r>
              <w:rPr>
                <w:spacing w:val="-4"/>
                <w:sz w:val="18"/>
              </w:rPr>
              <w:t>0.00%</w:t>
            </w:r>
          </w:p>
        </w:tc>
        <w:tc>
          <w:tcPr>
            <w:tcW w:w="1003" w:type="dxa"/>
          </w:tcPr>
          <w:p>
            <w:pPr>
              <w:pStyle w:val="TableParagraph"/>
              <w:spacing w:line="186" w:lineRule="exact"/>
              <w:ind w:left="2" w:right="6"/>
              <w:jc w:val="center"/>
              <w:rPr>
                <w:sz w:val="18"/>
              </w:rPr>
            </w:pPr>
            <w:r>
              <w:rPr>
                <w:spacing w:val="-2"/>
                <w:sz w:val="18"/>
              </w:rPr>
              <w:t>100.00%</w:t>
            </w:r>
          </w:p>
        </w:tc>
      </w:tr>
      <w:tr>
        <w:trPr>
          <w:trHeight w:val="206" w:hRule="atLeast"/>
        </w:trPr>
        <w:tc>
          <w:tcPr>
            <w:tcW w:w="1438" w:type="dxa"/>
          </w:tcPr>
          <w:p>
            <w:pPr>
              <w:pStyle w:val="TableParagraph"/>
              <w:spacing w:line="186" w:lineRule="exact"/>
              <w:ind w:left="107"/>
              <w:rPr>
                <w:sz w:val="18"/>
              </w:rPr>
            </w:pPr>
            <w:r>
              <w:rPr>
                <w:spacing w:val="-2"/>
                <w:sz w:val="18"/>
              </w:rPr>
              <w:t>0305720000</w:t>
            </w:r>
          </w:p>
        </w:tc>
        <w:tc>
          <w:tcPr>
            <w:tcW w:w="1019" w:type="dxa"/>
          </w:tcPr>
          <w:p>
            <w:pPr>
              <w:pStyle w:val="TableParagraph"/>
              <w:spacing w:line="186" w:lineRule="exact"/>
              <w:ind w:right="96"/>
              <w:jc w:val="right"/>
              <w:rPr>
                <w:sz w:val="18"/>
              </w:rPr>
            </w:pPr>
            <w:r>
              <w:rPr>
                <w:spacing w:val="-2"/>
                <w:sz w:val="18"/>
              </w:rPr>
              <w:t>43.24%</w:t>
            </w:r>
          </w:p>
        </w:tc>
        <w:tc>
          <w:tcPr>
            <w:tcW w:w="1537" w:type="dxa"/>
          </w:tcPr>
          <w:p>
            <w:pPr>
              <w:pStyle w:val="TableParagraph"/>
              <w:spacing w:line="186" w:lineRule="exact"/>
              <w:ind w:right="97"/>
              <w:jc w:val="right"/>
              <w:rPr>
                <w:sz w:val="18"/>
              </w:rPr>
            </w:pPr>
            <w:r>
              <w:rPr>
                <w:spacing w:val="-2"/>
                <w:sz w:val="18"/>
              </w:rPr>
              <w:t>56.76%</w:t>
            </w:r>
          </w:p>
        </w:tc>
        <w:tc>
          <w:tcPr>
            <w:tcW w:w="1367" w:type="dxa"/>
          </w:tcPr>
          <w:p>
            <w:pPr>
              <w:pStyle w:val="TableParagraph"/>
              <w:spacing w:line="186" w:lineRule="exact"/>
              <w:ind w:right="98"/>
              <w:jc w:val="right"/>
              <w:rPr>
                <w:sz w:val="18"/>
              </w:rPr>
            </w:pPr>
            <w:r>
              <w:rPr>
                <w:spacing w:val="-4"/>
                <w:sz w:val="18"/>
              </w:rPr>
              <w:t>0.00%</w:t>
            </w:r>
          </w:p>
        </w:tc>
        <w:tc>
          <w:tcPr>
            <w:tcW w:w="1730" w:type="dxa"/>
          </w:tcPr>
          <w:p>
            <w:pPr>
              <w:pStyle w:val="TableParagraph"/>
              <w:spacing w:line="186" w:lineRule="exact"/>
              <w:ind w:right="100"/>
              <w:jc w:val="right"/>
              <w:rPr>
                <w:sz w:val="18"/>
              </w:rPr>
            </w:pPr>
            <w:r>
              <w:rPr>
                <w:spacing w:val="-4"/>
                <w:sz w:val="18"/>
              </w:rPr>
              <w:t>0.00%</w:t>
            </w:r>
          </w:p>
        </w:tc>
        <w:tc>
          <w:tcPr>
            <w:tcW w:w="1180" w:type="dxa"/>
          </w:tcPr>
          <w:p>
            <w:pPr>
              <w:pStyle w:val="TableParagraph"/>
              <w:spacing w:line="186" w:lineRule="exact"/>
              <w:ind w:right="99"/>
              <w:jc w:val="right"/>
              <w:rPr>
                <w:sz w:val="18"/>
              </w:rPr>
            </w:pPr>
            <w:r>
              <w:rPr>
                <w:spacing w:val="-4"/>
                <w:sz w:val="18"/>
              </w:rPr>
              <w:t>0.00%</w:t>
            </w:r>
          </w:p>
        </w:tc>
        <w:tc>
          <w:tcPr>
            <w:tcW w:w="1003" w:type="dxa"/>
          </w:tcPr>
          <w:p>
            <w:pPr>
              <w:pStyle w:val="TableParagraph"/>
              <w:spacing w:line="186" w:lineRule="exact"/>
              <w:ind w:left="2" w:right="6"/>
              <w:jc w:val="center"/>
              <w:rPr>
                <w:sz w:val="18"/>
              </w:rPr>
            </w:pPr>
            <w:r>
              <w:rPr>
                <w:spacing w:val="-2"/>
                <w:sz w:val="18"/>
              </w:rPr>
              <w:t>100.00%</w:t>
            </w:r>
          </w:p>
        </w:tc>
      </w:tr>
      <w:tr>
        <w:trPr>
          <w:trHeight w:val="208" w:hRule="atLeast"/>
        </w:trPr>
        <w:tc>
          <w:tcPr>
            <w:tcW w:w="1438" w:type="dxa"/>
          </w:tcPr>
          <w:p>
            <w:pPr>
              <w:pStyle w:val="TableParagraph"/>
              <w:spacing w:line="188" w:lineRule="exact"/>
              <w:ind w:left="107"/>
              <w:rPr>
                <w:rFonts w:ascii="Arial"/>
                <w:b/>
                <w:sz w:val="18"/>
              </w:rPr>
            </w:pPr>
            <w:r>
              <w:rPr>
                <w:rFonts w:ascii="Arial"/>
                <w:b/>
                <w:spacing w:val="-2"/>
                <w:sz w:val="18"/>
              </w:rPr>
              <w:t>Total</w:t>
            </w:r>
          </w:p>
        </w:tc>
        <w:tc>
          <w:tcPr>
            <w:tcW w:w="1019" w:type="dxa"/>
          </w:tcPr>
          <w:p>
            <w:pPr>
              <w:pStyle w:val="TableParagraph"/>
              <w:spacing w:line="188" w:lineRule="exact"/>
              <w:ind w:right="94"/>
              <w:jc w:val="right"/>
              <w:rPr>
                <w:rFonts w:ascii="Arial"/>
                <w:b/>
                <w:sz w:val="18"/>
              </w:rPr>
            </w:pPr>
            <w:r>
              <w:rPr>
                <w:rFonts w:ascii="Arial"/>
                <w:b/>
                <w:spacing w:val="-2"/>
                <w:sz w:val="18"/>
              </w:rPr>
              <w:t>41.79%</w:t>
            </w:r>
          </w:p>
        </w:tc>
        <w:tc>
          <w:tcPr>
            <w:tcW w:w="1537" w:type="dxa"/>
          </w:tcPr>
          <w:p>
            <w:pPr>
              <w:pStyle w:val="TableParagraph"/>
              <w:spacing w:line="188" w:lineRule="exact"/>
              <w:ind w:right="95"/>
              <w:jc w:val="right"/>
              <w:rPr>
                <w:rFonts w:ascii="Arial"/>
                <w:b/>
                <w:sz w:val="18"/>
              </w:rPr>
            </w:pPr>
            <w:r>
              <w:rPr>
                <w:rFonts w:ascii="Arial"/>
                <w:b/>
                <w:spacing w:val="-2"/>
                <w:sz w:val="18"/>
              </w:rPr>
              <w:t>32.37%</w:t>
            </w:r>
          </w:p>
        </w:tc>
        <w:tc>
          <w:tcPr>
            <w:tcW w:w="1367" w:type="dxa"/>
          </w:tcPr>
          <w:p>
            <w:pPr>
              <w:pStyle w:val="TableParagraph"/>
              <w:spacing w:line="188" w:lineRule="exact"/>
              <w:ind w:right="96"/>
              <w:jc w:val="right"/>
              <w:rPr>
                <w:rFonts w:ascii="Arial"/>
                <w:b/>
                <w:sz w:val="18"/>
              </w:rPr>
            </w:pPr>
            <w:r>
              <w:rPr>
                <w:rFonts w:ascii="Arial"/>
                <w:b/>
                <w:spacing w:val="-2"/>
                <w:sz w:val="18"/>
              </w:rPr>
              <w:t>15.31%</w:t>
            </w:r>
          </w:p>
        </w:tc>
        <w:tc>
          <w:tcPr>
            <w:tcW w:w="1730" w:type="dxa"/>
          </w:tcPr>
          <w:p>
            <w:pPr>
              <w:pStyle w:val="TableParagraph"/>
              <w:spacing w:line="188" w:lineRule="exact"/>
              <w:ind w:right="98"/>
              <w:jc w:val="right"/>
              <w:rPr>
                <w:rFonts w:ascii="Arial"/>
                <w:b/>
                <w:sz w:val="18"/>
              </w:rPr>
            </w:pPr>
            <w:r>
              <w:rPr>
                <w:rFonts w:ascii="Arial"/>
                <w:b/>
                <w:spacing w:val="-2"/>
                <w:sz w:val="18"/>
              </w:rPr>
              <w:t>10.53%</w:t>
            </w:r>
          </w:p>
        </w:tc>
        <w:tc>
          <w:tcPr>
            <w:tcW w:w="1180" w:type="dxa"/>
          </w:tcPr>
          <w:p>
            <w:pPr>
              <w:pStyle w:val="TableParagraph"/>
              <w:spacing w:line="188" w:lineRule="exact"/>
              <w:ind w:right="99"/>
              <w:jc w:val="right"/>
              <w:rPr>
                <w:rFonts w:ascii="Arial"/>
                <w:b/>
                <w:sz w:val="18"/>
              </w:rPr>
            </w:pPr>
            <w:r>
              <w:rPr>
                <w:rFonts w:ascii="Arial"/>
                <w:b/>
                <w:spacing w:val="-4"/>
                <w:sz w:val="18"/>
              </w:rPr>
              <w:t>0.00%</w:t>
            </w:r>
          </w:p>
        </w:tc>
        <w:tc>
          <w:tcPr>
            <w:tcW w:w="1003" w:type="dxa"/>
          </w:tcPr>
          <w:p>
            <w:pPr>
              <w:pStyle w:val="TableParagraph"/>
              <w:spacing w:line="188" w:lineRule="exact"/>
              <w:ind w:left="2" w:right="6"/>
              <w:jc w:val="center"/>
              <w:rPr>
                <w:rFonts w:ascii="Arial"/>
                <w:b/>
                <w:sz w:val="18"/>
              </w:rPr>
            </w:pPr>
            <w:r>
              <w:rPr>
                <w:rFonts w:ascii="Arial"/>
                <w:b/>
                <w:spacing w:val="-2"/>
                <w:sz w:val="18"/>
              </w:rPr>
              <w:t>100.00%</w:t>
            </w:r>
          </w:p>
        </w:tc>
      </w:tr>
    </w:tbl>
    <w:p>
      <w:pPr>
        <w:spacing w:before="0"/>
        <w:ind w:left="1276" w:right="6616" w:firstLine="0"/>
        <w:jc w:val="left"/>
        <w:rPr>
          <w:rFonts w:ascii="Arial" w:hAnsi="Arial"/>
          <w:b/>
          <w:sz w:val="16"/>
        </w:rPr>
      </w:pPr>
      <w:r>
        <w:rPr>
          <w:rFonts w:ascii="Arial" w:hAnsi="Arial"/>
          <w:b/>
          <w:sz w:val="16"/>
        </w:rPr>
        <w:t>Fuente:</w:t>
      </w:r>
      <w:r>
        <w:rPr>
          <w:rFonts w:ascii="Arial" w:hAnsi="Arial"/>
          <w:b/>
          <w:spacing w:val="-5"/>
          <w:sz w:val="16"/>
        </w:rPr>
        <w:t> </w:t>
      </w:r>
      <w:r>
        <w:rPr>
          <w:rFonts w:ascii="Arial" w:hAnsi="Arial"/>
          <w:b/>
          <w:sz w:val="16"/>
        </w:rPr>
        <w:t>Datos</w:t>
      </w:r>
      <w:r>
        <w:rPr>
          <w:rFonts w:ascii="Arial" w:hAnsi="Arial"/>
          <w:b/>
          <w:spacing w:val="-11"/>
          <w:sz w:val="16"/>
        </w:rPr>
        <w:t> </w:t>
      </w:r>
      <w:r>
        <w:rPr>
          <w:rFonts w:ascii="Arial" w:hAnsi="Arial"/>
          <w:b/>
          <w:sz w:val="16"/>
        </w:rPr>
        <w:t>DANE-</w:t>
      </w:r>
      <w:r>
        <w:rPr>
          <w:rFonts w:ascii="Arial" w:hAnsi="Arial"/>
          <w:b/>
          <w:sz w:val="16"/>
        </w:rPr>
        <w:t>DIAN. Elaboración: SGCAN.</w:t>
      </w:r>
    </w:p>
    <w:p>
      <w:pPr>
        <w:pStyle w:val="BodyText"/>
        <w:rPr>
          <w:rFonts w:ascii="Arial"/>
          <w:b/>
          <w:sz w:val="16"/>
        </w:rPr>
      </w:pPr>
    </w:p>
    <w:p>
      <w:pPr>
        <w:pStyle w:val="BodyText"/>
        <w:spacing w:before="137"/>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Como se observa en la Tabla N.º 22, el principal producto importado por la República de Colombia corresponde al camarón, clasificado en la subpartida arancelaria 0306.17.99.00, el cual representó el 98,6 % del total importado durante el período analizado.</w:t>
      </w:r>
      <w:r>
        <w:rPr>
          <w:spacing w:val="-1"/>
          <w:sz w:val="22"/>
        </w:rPr>
        <w:t> </w:t>
      </w:r>
      <w:r>
        <w:rPr>
          <w:sz w:val="22"/>
        </w:rPr>
        <w:t>Asimismo,</w:t>
      </w:r>
      <w:r>
        <w:rPr>
          <w:spacing w:val="-3"/>
          <w:sz w:val="22"/>
        </w:rPr>
        <w:t> </w:t>
      </w:r>
      <w:r>
        <w:rPr>
          <w:sz w:val="22"/>
        </w:rPr>
        <w:t>del</w:t>
      </w:r>
      <w:r>
        <w:rPr>
          <w:spacing w:val="-2"/>
          <w:sz w:val="22"/>
        </w:rPr>
        <w:t> </w:t>
      </w:r>
      <w:r>
        <w:rPr>
          <w:sz w:val="22"/>
        </w:rPr>
        <w:t>análisis</w:t>
      </w:r>
      <w:r>
        <w:rPr>
          <w:spacing w:val="-1"/>
          <w:sz w:val="22"/>
        </w:rPr>
        <w:t> </w:t>
      </w:r>
      <w:r>
        <w:rPr>
          <w:sz w:val="22"/>
        </w:rPr>
        <w:t>por</w:t>
      </w:r>
      <w:r>
        <w:rPr>
          <w:spacing w:val="-3"/>
          <w:sz w:val="22"/>
        </w:rPr>
        <w:t> </w:t>
      </w:r>
      <w:r>
        <w:rPr>
          <w:sz w:val="22"/>
        </w:rPr>
        <w:t>aduana</w:t>
      </w:r>
      <w:r>
        <w:rPr>
          <w:spacing w:val="-4"/>
          <w:sz w:val="22"/>
        </w:rPr>
        <w:t> </w:t>
      </w:r>
      <w:r>
        <w:rPr>
          <w:sz w:val="22"/>
        </w:rPr>
        <w:t>de</w:t>
      </w:r>
      <w:r>
        <w:rPr>
          <w:spacing w:val="-4"/>
          <w:sz w:val="22"/>
        </w:rPr>
        <w:t> </w:t>
      </w:r>
      <w:r>
        <w:rPr>
          <w:sz w:val="22"/>
        </w:rPr>
        <w:t>ingreso</w:t>
      </w:r>
      <w:r>
        <w:rPr>
          <w:spacing w:val="-4"/>
          <w:sz w:val="22"/>
        </w:rPr>
        <w:t> </w:t>
      </w:r>
      <w:r>
        <w:rPr>
          <w:sz w:val="22"/>
        </w:rPr>
        <w:t>se</w:t>
      </w:r>
      <w:r>
        <w:rPr>
          <w:spacing w:val="-4"/>
          <w:sz w:val="22"/>
        </w:rPr>
        <w:t> </w:t>
      </w:r>
      <w:r>
        <w:rPr>
          <w:sz w:val="22"/>
        </w:rPr>
        <w:t>constata</w:t>
      </w:r>
      <w:r>
        <w:rPr>
          <w:spacing w:val="-4"/>
          <w:sz w:val="22"/>
        </w:rPr>
        <w:t> </w:t>
      </w:r>
      <w:r>
        <w:rPr>
          <w:sz w:val="22"/>
        </w:rPr>
        <w:t>que</w:t>
      </w:r>
      <w:r>
        <w:rPr>
          <w:spacing w:val="-4"/>
          <w:sz w:val="22"/>
        </w:rPr>
        <w:t> </w:t>
      </w:r>
      <w:r>
        <w:rPr>
          <w:sz w:val="22"/>
        </w:rPr>
        <w:t>el</w:t>
      </w:r>
      <w:r>
        <w:rPr>
          <w:spacing w:val="-3"/>
          <w:sz w:val="22"/>
        </w:rPr>
        <w:t> </w:t>
      </w:r>
      <w:r>
        <w:rPr>
          <w:sz w:val="22"/>
        </w:rPr>
        <w:t>75,09</w:t>
      </w:r>
      <w:r>
        <w:rPr>
          <w:spacing w:val="-4"/>
          <w:sz w:val="22"/>
        </w:rPr>
        <w:t> </w:t>
      </w:r>
      <w:r>
        <w:rPr>
          <w:sz w:val="22"/>
        </w:rPr>
        <w:t>%</w:t>
      </w:r>
      <w:r>
        <w:rPr>
          <w:spacing w:val="-3"/>
          <w:sz w:val="22"/>
        </w:rPr>
        <w:t> </w:t>
      </w:r>
      <w:r>
        <w:rPr>
          <w:sz w:val="22"/>
        </w:rPr>
        <w:t>de dichas importaciones ingresa por vía terrestre (Ipiales y Puerto Asís), a través de las aduanas</w:t>
      </w:r>
      <w:r>
        <w:rPr>
          <w:spacing w:val="-16"/>
          <w:sz w:val="22"/>
        </w:rPr>
        <w:t> </w:t>
      </w:r>
      <w:r>
        <w:rPr>
          <w:sz w:val="22"/>
        </w:rPr>
        <w:t>cuyo</w:t>
      </w:r>
      <w:r>
        <w:rPr>
          <w:spacing w:val="-15"/>
          <w:sz w:val="22"/>
        </w:rPr>
        <w:t> </w:t>
      </w:r>
      <w:r>
        <w:rPr>
          <w:sz w:val="22"/>
        </w:rPr>
        <w:t>acceso</w:t>
      </w:r>
      <w:r>
        <w:rPr>
          <w:spacing w:val="-15"/>
          <w:sz w:val="22"/>
        </w:rPr>
        <w:t> </w:t>
      </w:r>
      <w:r>
        <w:rPr>
          <w:sz w:val="22"/>
        </w:rPr>
        <w:t>se</w:t>
      </w:r>
      <w:r>
        <w:rPr>
          <w:spacing w:val="-16"/>
          <w:sz w:val="22"/>
        </w:rPr>
        <w:t> </w:t>
      </w:r>
      <w:r>
        <w:rPr>
          <w:sz w:val="22"/>
        </w:rPr>
        <w:t>encuentra</w:t>
      </w:r>
      <w:r>
        <w:rPr>
          <w:spacing w:val="-15"/>
          <w:sz w:val="22"/>
        </w:rPr>
        <w:t> </w:t>
      </w:r>
      <w:r>
        <w:rPr>
          <w:sz w:val="22"/>
        </w:rPr>
        <w:t>restringido</w:t>
      </w:r>
      <w:r>
        <w:rPr>
          <w:spacing w:val="-15"/>
          <w:sz w:val="22"/>
        </w:rPr>
        <w:t> </w:t>
      </w:r>
      <w:r>
        <w:rPr>
          <w:sz w:val="22"/>
        </w:rPr>
        <w:t>por</w:t>
      </w:r>
      <w:r>
        <w:rPr>
          <w:spacing w:val="-15"/>
          <w:sz w:val="22"/>
        </w:rPr>
        <w:t> </w:t>
      </w:r>
      <w:r>
        <w:rPr>
          <w:sz w:val="22"/>
        </w:rPr>
        <w:t>la</w:t>
      </w:r>
      <w:r>
        <w:rPr>
          <w:spacing w:val="-16"/>
          <w:sz w:val="22"/>
        </w:rPr>
        <w:t> </w:t>
      </w:r>
      <w:r>
        <w:rPr>
          <w:sz w:val="22"/>
        </w:rPr>
        <w:t>medida</w:t>
      </w:r>
      <w:r>
        <w:rPr>
          <w:spacing w:val="-15"/>
          <w:sz w:val="22"/>
        </w:rPr>
        <w:t> </w:t>
      </w:r>
      <w:r>
        <w:rPr>
          <w:sz w:val="22"/>
        </w:rPr>
        <w:t>objeto</w:t>
      </w:r>
      <w:r>
        <w:rPr>
          <w:spacing w:val="-15"/>
          <w:sz w:val="22"/>
        </w:rPr>
        <w:t> </w:t>
      </w:r>
      <w:r>
        <w:rPr>
          <w:sz w:val="22"/>
        </w:rPr>
        <w:t>de</w:t>
      </w:r>
      <w:r>
        <w:rPr>
          <w:spacing w:val="-16"/>
          <w:sz w:val="22"/>
        </w:rPr>
        <w:t> </w:t>
      </w:r>
      <w:r>
        <w:rPr>
          <w:sz w:val="22"/>
        </w:rPr>
        <w:t>análisis,</w:t>
      </w:r>
      <w:r>
        <w:rPr>
          <w:spacing w:val="-15"/>
          <w:sz w:val="22"/>
        </w:rPr>
        <w:t> </w:t>
      </w:r>
      <w:r>
        <w:rPr>
          <w:sz w:val="22"/>
        </w:rPr>
        <w:t>mientras que</w:t>
      </w:r>
      <w:r>
        <w:rPr>
          <w:spacing w:val="-16"/>
          <w:sz w:val="22"/>
        </w:rPr>
        <w:t> </w:t>
      </w:r>
      <w:r>
        <w:rPr>
          <w:sz w:val="22"/>
        </w:rPr>
        <w:t>el</w:t>
      </w:r>
      <w:r>
        <w:rPr>
          <w:spacing w:val="-15"/>
          <w:sz w:val="22"/>
        </w:rPr>
        <w:t> </w:t>
      </w:r>
      <w:r>
        <w:rPr>
          <w:sz w:val="22"/>
        </w:rPr>
        <w:t>24,91</w:t>
      </w:r>
      <w:r>
        <w:rPr>
          <w:spacing w:val="-15"/>
          <w:sz w:val="22"/>
        </w:rPr>
        <w:t> </w:t>
      </w:r>
      <w:r>
        <w:rPr>
          <w:sz w:val="22"/>
        </w:rPr>
        <w:t>%</w:t>
      </w:r>
      <w:r>
        <w:rPr>
          <w:spacing w:val="-16"/>
          <w:sz w:val="22"/>
        </w:rPr>
        <w:t> </w:t>
      </w:r>
      <w:r>
        <w:rPr>
          <w:sz w:val="22"/>
        </w:rPr>
        <w:t>restante</w:t>
      </w:r>
      <w:r>
        <w:rPr>
          <w:spacing w:val="-16"/>
          <w:sz w:val="22"/>
        </w:rPr>
        <w:t> </w:t>
      </w:r>
      <w:r>
        <w:rPr>
          <w:sz w:val="22"/>
        </w:rPr>
        <w:t>ingresa</w:t>
      </w:r>
      <w:r>
        <w:rPr>
          <w:spacing w:val="-15"/>
          <w:sz w:val="22"/>
        </w:rPr>
        <w:t> </w:t>
      </w:r>
      <w:r>
        <w:rPr>
          <w:sz w:val="22"/>
        </w:rPr>
        <w:t>por</w:t>
      </w:r>
      <w:r>
        <w:rPr>
          <w:spacing w:val="-15"/>
          <w:sz w:val="22"/>
        </w:rPr>
        <w:t> </w:t>
      </w:r>
      <w:r>
        <w:rPr>
          <w:sz w:val="22"/>
        </w:rPr>
        <w:t>las</w:t>
      </w:r>
      <w:r>
        <w:rPr>
          <w:spacing w:val="-15"/>
          <w:sz w:val="22"/>
        </w:rPr>
        <w:t> </w:t>
      </w:r>
      <w:r>
        <w:rPr>
          <w:sz w:val="22"/>
        </w:rPr>
        <w:t>aduanas</w:t>
      </w:r>
      <w:r>
        <w:rPr>
          <w:spacing w:val="-16"/>
          <w:sz w:val="22"/>
        </w:rPr>
        <w:t> </w:t>
      </w:r>
      <w:r>
        <w:rPr>
          <w:sz w:val="22"/>
        </w:rPr>
        <w:t>marítimas</w:t>
      </w:r>
      <w:r>
        <w:rPr>
          <w:spacing w:val="-15"/>
          <w:sz w:val="22"/>
        </w:rPr>
        <w:t> </w:t>
      </w:r>
      <w:r>
        <w:rPr>
          <w:sz w:val="22"/>
        </w:rPr>
        <w:t>(Cartagena</w:t>
      </w:r>
      <w:r>
        <w:rPr>
          <w:spacing w:val="-15"/>
          <w:sz w:val="22"/>
        </w:rPr>
        <w:t> </w:t>
      </w:r>
      <w:r>
        <w:rPr>
          <w:sz w:val="22"/>
        </w:rPr>
        <w:t>y</w:t>
      </w:r>
      <w:r>
        <w:rPr>
          <w:spacing w:val="-16"/>
          <w:sz w:val="22"/>
        </w:rPr>
        <w:t> </w:t>
      </w:r>
      <w:r>
        <w:rPr>
          <w:sz w:val="22"/>
        </w:rPr>
        <w:t>Buenaventura).</w:t>
      </w:r>
    </w:p>
    <w:p>
      <w:pPr>
        <w:pStyle w:val="ListParagraph"/>
        <w:numPr>
          <w:ilvl w:val="0"/>
          <w:numId w:val="50"/>
        </w:numPr>
        <w:tabs>
          <w:tab w:pos="1130" w:val="left" w:leader="none"/>
          <w:tab w:pos="1134" w:val="left" w:leader="none"/>
        </w:tabs>
        <w:spacing w:line="240" w:lineRule="auto" w:before="252" w:after="0"/>
        <w:ind w:left="1134" w:right="981" w:hanging="567"/>
        <w:jc w:val="both"/>
        <w:rPr>
          <w:sz w:val="22"/>
        </w:rPr>
      </w:pPr>
      <w:r>
        <w:rPr>
          <w:sz w:val="22"/>
        </w:rPr>
        <w:t>Al considerar</w:t>
      </w:r>
      <w:r>
        <w:rPr>
          <w:spacing w:val="-1"/>
          <w:sz w:val="22"/>
        </w:rPr>
        <w:t> </w:t>
      </w:r>
      <w:r>
        <w:rPr>
          <w:sz w:val="22"/>
        </w:rPr>
        <w:t>de</w:t>
      </w:r>
      <w:r>
        <w:rPr>
          <w:spacing w:val="-4"/>
          <w:sz w:val="22"/>
        </w:rPr>
        <w:t> </w:t>
      </w:r>
      <w:r>
        <w:rPr>
          <w:sz w:val="22"/>
        </w:rPr>
        <w:t>manera</w:t>
      </w:r>
      <w:r>
        <w:rPr>
          <w:spacing w:val="-2"/>
          <w:sz w:val="22"/>
        </w:rPr>
        <w:t> </w:t>
      </w:r>
      <w:r>
        <w:rPr>
          <w:sz w:val="22"/>
        </w:rPr>
        <w:t>conjunta</w:t>
      </w:r>
      <w:r>
        <w:rPr>
          <w:spacing w:val="-2"/>
          <w:sz w:val="22"/>
        </w:rPr>
        <w:t> </w:t>
      </w:r>
      <w:r>
        <w:rPr>
          <w:sz w:val="22"/>
        </w:rPr>
        <w:t>las</w:t>
      </w:r>
      <w:r>
        <w:rPr>
          <w:spacing w:val="-2"/>
          <w:sz w:val="22"/>
        </w:rPr>
        <w:t> </w:t>
      </w:r>
      <w:r>
        <w:rPr>
          <w:sz w:val="22"/>
        </w:rPr>
        <w:t>Aduanas</w:t>
      </w:r>
      <w:r>
        <w:rPr>
          <w:spacing w:val="-2"/>
          <w:sz w:val="22"/>
        </w:rPr>
        <w:t> </w:t>
      </w:r>
      <w:r>
        <w:rPr>
          <w:sz w:val="22"/>
        </w:rPr>
        <w:t>de</w:t>
      </w:r>
      <w:r>
        <w:rPr>
          <w:spacing w:val="-2"/>
          <w:sz w:val="22"/>
        </w:rPr>
        <w:t> </w:t>
      </w:r>
      <w:r>
        <w:rPr>
          <w:sz w:val="22"/>
        </w:rPr>
        <w:t>Ipiales y</w:t>
      </w:r>
      <w:r>
        <w:rPr>
          <w:spacing w:val="-2"/>
          <w:sz w:val="22"/>
        </w:rPr>
        <w:t> </w:t>
      </w:r>
      <w:r>
        <w:rPr>
          <w:sz w:val="22"/>
        </w:rPr>
        <w:t>de</w:t>
      </w:r>
      <w:r>
        <w:rPr>
          <w:spacing w:val="-2"/>
          <w:sz w:val="22"/>
        </w:rPr>
        <w:t> </w:t>
      </w:r>
      <w:r>
        <w:rPr>
          <w:sz w:val="22"/>
        </w:rPr>
        <w:t>Puerto</w:t>
      </w:r>
      <w:r>
        <w:rPr>
          <w:spacing w:val="-2"/>
          <w:sz w:val="22"/>
        </w:rPr>
        <w:t> </w:t>
      </w:r>
      <w:r>
        <w:rPr>
          <w:sz w:val="22"/>
        </w:rPr>
        <w:t>Asís, se</w:t>
      </w:r>
      <w:r>
        <w:rPr>
          <w:spacing w:val="-2"/>
          <w:sz w:val="22"/>
        </w:rPr>
        <w:t> </w:t>
      </w:r>
      <w:r>
        <w:rPr>
          <w:sz w:val="22"/>
        </w:rPr>
        <w:t>constata que el 74,16 % del total de los productos importados desde la República del Ecuador ingresa por vía</w:t>
      </w:r>
      <w:r>
        <w:rPr>
          <w:spacing w:val="-1"/>
          <w:sz w:val="22"/>
        </w:rPr>
        <w:t> </w:t>
      </w:r>
      <w:r>
        <w:rPr>
          <w:sz w:val="22"/>
        </w:rPr>
        <w:t>terrestre. En consecuencia, dicho</w:t>
      </w:r>
      <w:r>
        <w:rPr>
          <w:spacing w:val="-1"/>
          <w:sz w:val="22"/>
        </w:rPr>
        <w:t> </w:t>
      </w:r>
      <w:r>
        <w:rPr>
          <w:sz w:val="22"/>
        </w:rPr>
        <w:t>porcentaje</w:t>
      </w:r>
      <w:r>
        <w:rPr>
          <w:spacing w:val="-1"/>
          <w:sz w:val="22"/>
        </w:rPr>
        <w:t> </w:t>
      </w:r>
      <w:r>
        <w:rPr>
          <w:sz w:val="22"/>
        </w:rPr>
        <w:t>de importaciones se vería obligado a modificar su modalidad de transporte, pasando de la vía terrestre a la vía marítima, como efecto directo de la restricción establecida.</w:t>
      </w:r>
    </w:p>
    <w:p>
      <w:pPr>
        <w:pStyle w:val="BodyText"/>
        <w:spacing w:before="2"/>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La SGCAN requirió cotizaciones de costos de embarques que permitan evidenciar la diferencia entre los embarques por vía terrestre de la marítima. La República del Ecuador presentó esta información que permite constatar la diferencia de costos entre las dos opciones, llegando a porcentajes superiores al 53% la vía marítima por Buenaventura y del 96% la opción de Cartagena, en comparación con la vía terrestre </w:t>
      </w:r>
      <w:r>
        <w:rPr>
          <w:spacing w:val="-2"/>
          <w:sz w:val="22"/>
        </w:rPr>
        <w:t>(Ipiales).</w:t>
      </w:r>
    </w:p>
    <w:p>
      <w:pPr>
        <w:pStyle w:val="BodyText"/>
        <w:spacing w:before="252"/>
      </w:pPr>
    </w:p>
    <w:p>
      <w:pPr>
        <w:pStyle w:val="Heading6"/>
        <w:ind w:left="308"/>
        <w:jc w:val="center"/>
      </w:pPr>
      <w:r>
        <w:rPr/>
        <w:t>Tabla</w:t>
      </w:r>
      <w:r>
        <w:rPr>
          <w:spacing w:val="-3"/>
        </w:rPr>
        <w:t> </w:t>
      </w:r>
      <w:r>
        <w:rPr/>
        <w:t>No.</w:t>
      </w:r>
      <w:r>
        <w:rPr>
          <w:spacing w:val="-2"/>
        </w:rPr>
        <w:t> </w:t>
      </w:r>
      <w:r>
        <w:rPr>
          <w:spacing w:val="-5"/>
        </w:rPr>
        <w:t>23</w:t>
      </w:r>
    </w:p>
    <w:p>
      <w:pPr>
        <w:spacing w:before="2"/>
        <w:ind w:left="1451" w:right="1148" w:firstLine="0"/>
        <w:jc w:val="center"/>
        <w:rPr>
          <w:rFonts w:ascii="Arial" w:hAnsi="Arial"/>
          <w:b/>
          <w:sz w:val="22"/>
        </w:rPr>
      </w:pPr>
      <w:r>
        <w:rPr>
          <w:rFonts w:ascii="Arial" w:hAnsi="Arial"/>
          <w:b/>
          <w:sz w:val="22"/>
        </w:rPr>
        <w:t>Cotizaciones</w:t>
      </w:r>
      <w:r>
        <w:rPr>
          <w:rFonts w:ascii="Arial" w:hAnsi="Arial"/>
          <w:b/>
          <w:spacing w:val="-4"/>
          <w:sz w:val="22"/>
        </w:rPr>
        <w:t> </w:t>
      </w:r>
      <w:r>
        <w:rPr>
          <w:rFonts w:ascii="Arial" w:hAnsi="Arial"/>
          <w:b/>
          <w:sz w:val="22"/>
        </w:rPr>
        <w:t>para</w:t>
      </w:r>
      <w:r>
        <w:rPr>
          <w:rFonts w:ascii="Arial" w:hAnsi="Arial"/>
          <w:b/>
          <w:spacing w:val="-6"/>
          <w:sz w:val="22"/>
        </w:rPr>
        <w:t> </w:t>
      </w:r>
      <w:r>
        <w:rPr>
          <w:rFonts w:ascii="Arial" w:hAnsi="Arial"/>
          <w:b/>
          <w:sz w:val="22"/>
        </w:rPr>
        <w:t>transporte</w:t>
      </w:r>
      <w:r>
        <w:rPr>
          <w:rFonts w:ascii="Arial" w:hAnsi="Arial"/>
          <w:b/>
          <w:spacing w:val="-4"/>
          <w:sz w:val="22"/>
        </w:rPr>
        <w:t> </w:t>
      </w:r>
      <w:r>
        <w:rPr>
          <w:rFonts w:ascii="Arial" w:hAnsi="Arial"/>
          <w:b/>
          <w:sz w:val="22"/>
        </w:rPr>
        <w:t>de</w:t>
      </w:r>
      <w:r>
        <w:rPr>
          <w:rFonts w:ascii="Arial" w:hAnsi="Arial"/>
          <w:b/>
          <w:spacing w:val="-6"/>
          <w:sz w:val="22"/>
        </w:rPr>
        <w:t> </w:t>
      </w:r>
      <w:r>
        <w:rPr>
          <w:rFonts w:ascii="Arial" w:hAnsi="Arial"/>
          <w:b/>
          <w:sz w:val="22"/>
        </w:rPr>
        <w:t>camarones,</w:t>
      </w:r>
      <w:r>
        <w:rPr>
          <w:rFonts w:ascii="Arial" w:hAnsi="Arial"/>
          <w:b/>
          <w:spacing w:val="-7"/>
          <w:sz w:val="22"/>
        </w:rPr>
        <w:t> </w:t>
      </w:r>
      <w:r>
        <w:rPr>
          <w:rFonts w:ascii="Arial" w:hAnsi="Arial"/>
          <w:b/>
          <w:sz w:val="22"/>
        </w:rPr>
        <w:t>huevas</w:t>
      </w:r>
      <w:r>
        <w:rPr>
          <w:rFonts w:ascii="Arial" w:hAnsi="Arial"/>
          <w:b/>
          <w:spacing w:val="-4"/>
          <w:sz w:val="22"/>
        </w:rPr>
        <w:t> </w:t>
      </w:r>
      <w:r>
        <w:rPr>
          <w:rFonts w:ascii="Arial" w:hAnsi="Arial"/>
          <w:b/>
          <w:sz w:val="22"/>
        </w:rPr>
        <w:t>de</w:t>
      </w:r>
      <w:r>
        <w:rPr>
          <w:rFonts w:ascii="Arial" w:hAnsi="Arial"/>
          <w:b/>
          <w:spacing w:val="-4"/>
          <w:sz w:val="22"/>
        </w:rPr>
        <w:t> </w:t>
      </w:r>
      <w:r>
        <w:rPr>
          <w:rFonts w:ascii="Arial" w:hAnsi="Arial"/>
          <w:b/>
          <w:sz w:val="22"/>
        </w:rPr>
        <w:t>pescado,</w:t>
      </w:r>
      <w:r>
        <w:rPr>
          <w:rFonts w:ascii="Arial" w:hAnsi="Arial"/>
          <w:b/>
          <w:spacing w:val="-2"/>
          <w:sz w:val="22"/>
        </w:rPr>
        <w:t> </w:t>
      </w:r>
      <w:r>
        <w:rPr>
          <w:rFonts w:ascii="Arial" w:hAnsi="Arial"/>
          <w:b/>
          <w:sz w:val="22"/>
        </w:rPr>
        <w:t>cabezas</w:t>
      </w:r>
      <w:r>
        <w:rPr>
          <w:rFonts w:ascii="Arial" w:hAnsi="Arial"/>
          <w:b/>
          <w:spacing w:val="-4"/>
          <w:sz w:val="22"/>
        </w:rPr>
        <w:t> </w:t>
      </w:r>
      <w:r>
        <w:rPr>
          <w:rFonts w:ascii="Arial" w:hAnsi="Arial"/>
          <w:b/>
          <w:sz w:val="22"/>
        </w:rPr>
        <w:t>de pescado en dólares</w:t>
      </w:r>
    </w:p>
    <w:tbl>
      <w:tblPr>
        <w:tblW w:w="0" w:type="auto"/>
        <w:jc w:val="left"/>
        <w:tblInd w:w="16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41"/>
        <w:gridCol w:w="1649"/>
        <w:gridCol w:w="1584"/>
        <w:gridCol w:w="1508"/>
      </w:tblGrid>
      <w:tr>
        <w:trPr>
          <w:trHeight w:val="369" w:hRule="atLeast"/>
        </w:trPr>
        <w:tc>
          <w:tcPr>
            <w:tcW w:w="1541" w:type="dxa"/>
            <w:shd w:val="clear" w:color="auto" w:fill="D1D1D1"/>
          </w:tcPr>
          <w:p>
            <w:pPr>
              <w:pStyle w:val="TableParagraph"/>
              <w:spacing w:before="92"/>
              <w:ind w:left="63" w:right="54"/>
              <w:jc w:val="center"/>
              <w:rPr>
                <w:rFonts w:ascii="Arial"/>
                <w:b/>
                <w:sz w:val="16"/>
              </w:rPr>
            </w:pPr>
            <w:r>
              <w:rPr>
                <w:rFonts w:ascii="Arial"/>
                <w:b/>
                <w:spacing w:val="-2"/>
                <w:sz w:val="16"/>
              </w:rPr>
              <w:t>RUBRO</w:t>
            </w:r>
          </w:p>
        </w:tc>
        <w:tc>
          <w:tcPr>
            <w:tcW w:w="1649" w:type="dxa"/>
            <w:shd w:val="clear" w:color="auto" w:fill="D1D1D1"/>
          </w:tcPr>
          <w:p>
            <w:pPr>
              <w:pStyle w:val="TableParagraph"/>
              <w:spacing w:before="92"/>
              <w:ind w:left="11" w:right="3"/>
              <w:jc w:val="center"/>
              <w:rPr>
                <w:rFonts w:ascii="Arial" w:hAnsi="Arial"/>
                <w:b/>
                <w:sz w:val="16"/>
              </w:rPr>
            </w:pPr>
            <w:r>
              <w:rPr>
                <w:rFonts w:ascii="Arial" w:hAnsi="Arial"/>
                <w:b/>
                <w:spacing w:val="-2"/>
                <w:sz w:val="16"/>
              </w:rPr>
              <w:t>CAMARÓN</w:t>
            </w:r>
          </w:p>
        </w:tc>
        <w:tc>
          <w:tcPr>
            <w:tcW w:w="1584" w:type="dxa"/>
            <w:shd w:val="clear" w:color="auto" w:fill="D1D1D1"/>
          </w:tcPr>
          <w:p>
            <w:pPr>
              <w:pStyle w:val="TableParagraph"/>
              <w:spacing w:line="184" w:lineRule="exact"/>
              <w:ind w:left="149" w:firstLine="132"/>
              <w:rPr>
                <w:rFonts w:ascii="Arial"/>
                <w:b/>
                <w:sz w:val="16"/>
              </w:rPr>
            </w:pPr>
            <w:r>
              <w:rPr>
                <w:rFonts w:ascii="Arial"/>
                <w:b/>
                <w:spacing w:val="-2"/>
                <w:sz w:val="16"/>
              </w:rPr>
              <w:t>PRODUCTOS REFRIGERADOS</w:t>
            </w:r>
          </w:p>
        </w:tc>
        <w:tc>
          <w:tcPr>
            <w:tcW w:w="1508" w:type="dxa"/>
            <w:shd w:val="clear" w:color="auto" w:fill="D1D1D1"/>
          </w:tcPr>
          <w:p>
            <w:pPr>
              <w:pStyle w:val="TableParagraph"/>
              <w:spacing w:line="184" w:lineRule="exact"/>
              <w:ind w:left="108" w:firstLine="132"/>
              <w:rPr>
                <w:rFonts w:ascii="Arial"/>
                <w:b/>
                <w:sz w:val="16"/>
              </w:rPr>
            </w:pPr>
            <w:r>
              <w:rPr>
                <w:rFonts w:ascii="Arial"/>
                <w:b/>
                <w:spacing w:val="-2"/>
                <w:sz w:val="16"/>
              </w:rPr>
              <w:t>PRODUCTOS REFRIGERADOS</w:t>
            </w:r>
          </w:p>
        </w:tc>
      </w:tr>
      <w:tr>
        <w:trPr>
          <w:trHeight w:val="184" w:hRule="atLeast"/>
        </w:trPr>
        <w:tc>
          <w:tcPr>
            <w:tcW w:w="1541" w:type="dxa"/>
          </w:tcPr>
          <w:p>
            <w:pPr>
              <w:pStyle w:val="TableParagraph"/>
              <w:spacing w:line="164" w:lineRule="exact"/>
              <w:ind w:left="63" w:right="54"/>
              <w:jc w:val="center"/>
              <w:rPr>
                <w:rFonts w:ascii="Arial"/>
                <w:b/>
                <w:sz w:val="16"/>
              </w:rPr>
            </w:pPr>
            <w:r>
              <w:rPr>
                <w:rFonts w:ascii="Arial"/>
                <w:b/>
                <w:spacing w:val="-4"/>
                <w:sz w:val="16"/>
              </w:rPr>
              <w:t>PESO</w:t>
            </w:r>
          </w:p>
        </w:tc>
        <w:tc>
          <w:tcPr>
            <w:tcW w:w="1649" w:type="dxa"/>
          </w:tcPr>
          <w:p>
            <w:pPr>
              <w:pStyle w:val="TableParagraph"/>
              <w:spacing w:line="164" w:lineRule="exact"/>
              <w:ind w:left="11" w:right="1"/>
              <w:jc w:val="center"/>
              <w:rPr>
                <w:sz w:val="16"/>
              </w:rPr>
            </w:pPr>
            <w:r>
              <w:rPr>
                <w:spacing w:val="-2"/>
                <w:sz w:val="16"/>
              </w:rPr>
              <w:t>24000</w:t>
            </w:r>
          </w:p>
        </w:tc>
        <w:tc>
          <w:tcPr>
            <w:tcW w:w="1584" w:type="dxa"/>
          </w:tcPr>
          <w:p>
            <w:pPr>
              <w:pStyle w:val="TableParagraph"/>
              <w:spacing w:line="164" w:lineRule="exact"/>
              <w:ind w:left="16" w:right="3"/>
              <w:jc w:val="center"/>
              <w:rPr>
                <w:sz w:val="16"/>
              </w:rPr>
            </w:pPr>
            <w:r>
              <w:rPr>
                <w:spacing w:val="-2"/>
                <w:sz w:val="16"/>
              </w:rPr>
              <w:t>24000</w:t>
            </w:r>
          </w:p>
        </w:tc>
        <w:tc>
          <w:tcPr>
            <w:tcW w:w="1508" w:type="dxa"/>
          </w:tcPr>
          <w:p>
            <w:pPr>
              <w:pStyle w:val="TableParagraph"/>
              <w:spacing w:line="164" w:lineRule="exact"/>
              <w:ind w:left="11" w:right="4"/>
              <w:jc w:val="center"/>
              <w:rPr>
                <w:sz w:val="16"/>
              </w:rPr>
            </w:pPr>
            <w:r>
              <w:rPr>
                <w:spacing w:val="-2"/>
                <w:sz w:val="16"/>
              </w:rPr>
              <w:t>24000</w:t>
            </w:r>
          </w:p>
        </w:tc>
      </w:tr>
      <w:tr>
        <w:trPr>
          <w:trHeight w:val="185" w:hRule="atLeast"/>
        </w:trPr>
        <w:tc>
          <w:tcPr>
            <w:tcW w:w="1541" w:type="dxa"/>
          </w:tcPr>
          <w:p>
            <w:pPr>
              <w:pStyle w:val="TableParagraph"/>
              <w:spacing w:line="165" w:lineRule="exact"/>
              <w:ind w:left="63" w:right="54"/>
              <w:jc w:val="center"/>
              <w:rPr>
                <w:rFonts w:ascii="Arial"/>
                <w:b/>
                <w:sz w:val="16"/>
              </w:rPr>
            </w:pPr>
            <w:r>
              <w:rPr>
                <w:rFonts w:ascii="Arial"/>
                <w:b/>
                <w:spacing w:val="-2"/>
                <w:sz w:val="16"/>
              </w:rPr>
              <w:t>ORIGEN</w:t>
            </w:r>
          </w:p>
        </w:tc>
        <w:tc>
          <w:tcPr>
            <w:tcW w:w="1649" w:type="dxa"/>
          </w:tcPr>
          <w:p>
            <w:pPr>
              <w:pStyle w:val="TableParagraph"/>
              <w:spacing w:line="165" w:lineRule="exact"/>
              <w:ind w:left="11" w:right="1"/>
              <w:jc w:val="center"/>
              <w:rPr>
                <w:sz w:val="16"/>
              </w:rPr>
            </w:pPr>
            <w:r>
              <w:rPr>
                <w:spacing w:val="-4"/>
                <w:sz w:val="16"/>
              </w:rPr>
              <w:t>DURAN</w:t>
            </w:r>
          </w:p>
        </w:tc>
        <w:tc>
          <w:tcPr>
            <w:tcW w:w="1584" w:type="dxa"/>
          </w:tcPr>
          <w:p>
            <w:pPr>
              <w:pStyle w:val="TableParagraph"/>
              <w:spacing w:line="165" w:lineRule="exact"/>
              <w:ind w:left="16"/>
              <w:jc w:val="center"/>
              <w:rPr>
                <w:sz w:val="16"/>
              </w:rPr>
            </w:pPr>
            <w:r>
              <w:rPr>
                <w:spacing w:val="-2"/>
                <w:sz w:val="16"/>
              </w:rPr>
              <w:t>GUAYAQUIL</w:t>
            </w:r>
          </w:p>
        </w:tc>
        <w:tc>
          <w:tcPr>
            <w:tcW w:w="1508" w:type="dxa"/>
          </w:tcPr>
          <w:p>
            <w:pPr>
              <w:pStyle w:val="TableParagraph"/>
              <w:spacing w:line="165" w:lineRule="exact"/>
              <w:ind w:left="11" w:right="1"/>
              <w:jc w:val="center"/>
              <w:rPr>
                <w:sz w:val="16"/>
              </w:rPr>
            </w:pPr>
            <w:r>
              <w:rPr>
                <w:spacing w:val="-2"/>
                <w:sz w:val="16"/>
              </w:rPr>
              <w:t>GUAYAQUIL</w:t>
            </w:r>
          </w:p>
        </w:tc>
      </w:tr>
      <w:tr>
        <w:trPr>
          <w:trHeight w:val="366" w:hRule="atLeast"/>
        </w:trPr>
        <w:tc>
          <w:tcPr>
            <w:tcW w:w="1541" w:type="dxa"/>
          </w:tcPr>
          <w:p>
            <w:pPr>
              <w:pStyle w:val="TableParagraph"/>
              <w:spacing w:before="90"/>
              <w:ind w:left="63" w:right="52"/>
              <w:jc w:val="center"/>
              <w:rPr>
                <w:rFonts w:ascii="Arial"/>
                <w:b/>
                <w:sz w:val="16"/>
              </w:rPr>
            </w:pPr>
            <w:r>
              <w:rPr>
                <w:rFonts w:ascii="Arial"/>
                <w:b/>
                <w:spacing w:val="-2"/>
                <w:sz w:val="16"/>
              </w:rPr>
              <w:t>DESTINO</w:t>
            </w:r>
          </w:p>
        </w:tc>
        <w:tc>
          <w:tcPr>
            <w:tcW w:w="1649" w:type="dxa"/>
          </w:tcPr>
          <w:p>
            <w:pPr>
              <w:pStyle w:val="TableParagraph"/>
              <w:spacing w:before="90"/>
              <w:ind w:left="11"/>
              <w:jc w:val="center"/>
              <w:rPr>
                <w:sz w:val="16"/>
              </w:rPr>
            </w:pPr>
            <w:r>
              <w:rPr>
                <w:spacing w:val="-2"/>
                <w:sz w:val="16"/>
              </w:rPr>
              <w:t>IPIALES-BOGOTA</w:t>
            </w:r>
          </w:p>
        </w:tc>
        <w:tc>
          <w:tcPr>
            <w:tcW w:w="1584" w:type="dxa"/>
          </w:tcPr>
          <w:p>
            <w:pPr>
              <w:pStyle w:val="TableParagraph"/>
              <w:spacing w:line="180" w:lineRule="exact"/>
              <w:ind w:left="16" w:right="3"/>
              <w:jc w:val="center"/>
              <w:rPr>
                <w:sz w:val="16"/>
              </w:rPr>
            </w:pPr>
            <w:r>
              <w:rPr>
                <w:spacing w:val="-2"/>
                <w:sz w:val="16"/>
              </w:rPr>
              <w:t>BUENAVENTURA-</w:t>
            </w:r>
          </w:p>
          <w:p>
            <w:pPr>
              <w:pStyle w:val="TableParagraph"/>
              <w:spacing w:line="166" w:lineRule="exact" w:before="1"/>
              <w:ind w:left="16" w:right="2"/>
              <w:jc w:val="center"/>
              <w:rPr>
                <w:sz w:val="16"/>
              </w:rPr>
            </w:pPr>
            <w:r>
              <w:rPr>
                <w:spacing w:val="-2"/>
                <w:sz w:val="16"/>
              </w:rPr>
              <w:t>BOGOTA</w:t>
            </w:r>
          </w:p>
        </w:tc>
        <w:tc>
          <w:tcPr>
            <w:tcW w:w="1508" w:type="dxa"/>
          </w:tcPr>
          <w:p>
            <w:pPr>
              <w:pStyle w:val="TableParagraph"/>
              <w:spacing w:line="180" w:lineRule="exact"/>
              <w:ind w:left="11"/>
              <w:jc w:val="center"/>
              <w:rPr>
                <w:sz w:val="16"/>
              </w:rPr>
            </w:pPr>
            <w:r>
              <w:rPr>
                <w:spacing w:val="-2"/>
                <w:sz w:val="16"/>
              </w:rPr>
              <w:t>CARTAGENA-</w:t>
            </w:r>
          </w:p>
          <w:p>
            <w:pPr>
              <w:pStyle w:val="TableParagraph"/>
              <w:spacing w:line="166" w:lineRule="exact" w:before="1"/>
              <w:ind w:left="11" w:right="2"/>
              <w:jc w:val="center"/>
              <w:rPr>
                <w:sz w:val="16"/>
              </w:rPr>
            </w:pPr>
            <w:r>
              <w:rPr>
                <w:spacing w:val="-2"/>
                <w:sz w:val="16"/>
              </w:rPr>
              <w:t>BOGOTA</w:t>
            </w:r>
          </w:p>
        </w:tc>
      </w:tr>
      <w:tr>
        <w:trPr>
          <w:trHeight w:val="184" w:hRule="atLeast"/>
        </w:trPr>
        <w:tc>
          <w:tcPr>
            <w:tcW w:w="1541" w:type="dxa"/>
          </w:tcPr>
          <w:p>
            <w:pPr>
              <w:pStyle w:val="TableParagraph"/>
              <w:spacing w:line="164" w:lineRule="exact"/>
              <w:ind w:left="63" w:right="52"/>
              <w:jc w:val="center"/>
              <w:rPr>
                <w:rFonts w:ascii="Arial"/>
                <w:b/>
                <w:sz w:val="16"/>
              </w:rPr>
            </w:pPr>
            <w:r>
              <w:rPr>
                <w:rFonts w:ascii="Arial"/>
                <w:b/>
                <w:spacing w:val="-2"/>
                <w:sz w:val="16"/>
              </w:rPr>
              <w:t>TIEMPO</w:t>
            </w:r>
          </w:p>
        </w:tc>
        <w:tc>
          <w:tcPr>
            <w:tcW w:w="1649" w:type="dxa"/>
          </w:tcPr>
          <w:p>
            <w:pPr>
              <w:pStyle w:val="TableParagraph"/>
              <w:rPr>
                <w:rFonts w:ascii="Times New Roman"/>
                <w:sz w:val="12"/>
              </w:rPr>
            </w:pPr>
          </w:p>
        </w:tc>
        <w:tc>
          <w:tcPr>
            <w:tcW w:w="1584" w:type="dxa"/>
          </w:tcPr>
          <w:p>
            <w:pPr>
              <w:pStyle w:val="TableParagraph"/>
              <w:spacing w:line="164" w:lineRule="exact"/>
              <w:ind w:left="16" w:right="3"/>
              <w:jc w:val="center"/>
              <w:rPr>
                <w:sz w:val="16"/>
              </w:rPr>
            </w:pPr>
            <w:r>
              <w:rPr>
                <w:spacing w:val="-10"/>
                <w:sz w:val="16"/>
              </w:rPr>
              <w:t>2</w:t>
            </w:r>
          </w:p>
        </w:tc>
        <w:tc>
          <w:tcPr>
            <w:tcW w:w="1508" w:type="dxa"/>
          </w:tcPr>
          <w:p>
            <w:pPr>
              <w:pStyle w:val="TableParagraph"/>
              <w:spacing w:line="164" w:lineRule="exact"/>
              <w:ind w:left="11" w:right="3"/>
              <w:jc w:val="center"/>
              <w:rPr>
                <w:sz w:val="16"/>
              </w:rPr>
            </w:pPr>
            <w:r>
              <w:rPr>
                <w:spacing w:val="-10"/>
                <w:sz w:val="16"/>
              </w:rPr>
              <w:t>6</w:t>
            </w:r>
          </w:p>
        </w:tc>
      </w:tr>
      <w:tr>
        <w:trPr>
          <w:trHeight w:val="551" w:hRule="atLeast"/>
        </w:trPr>
        <w:tc>
          <w:tcPr>
            <w:tcW w:w="1541" w:type="dxa"/>
          </w:tcPr>
          <w:p>
            <w:pPr>
              <w:pStyle w:val="TableParagraph"/>
              <w:ind w:left="63" w:right="53"/>
              <w:jc w:val="center"/>
              <w:rPr>
                <w:rFonts w:ascii="Arial"/>
                <w:b/>
                <w:sz w:val="16"/>
              </w:rPr>
            </w:pPr>
            <w:r>
              <w:rPr>
                <w:rFonts w:ascii="Arial"/>
                <w:b/>
                <w:spacing w:val="-2"/>
                <w:sz w:val="16"/>
              </w:rPr>
              <w:t>TRANSPORTE INTERNO</w:t>
            </w:r>
          </w:p>
          <w:p>
            <w:pPr>
              <w:pStyle w:val="TableParagraph"/>
              <w:spacing w:line="165" w:lineRule="exact"/>
              <w:ind w:left="63" w:right="56"/>
              <w:jc w:val="center"/>
              <w:rPr>
                <w:rFonts w:ascii="Arial"/>
                <w:b/>
                <w:sz w:val="16"/>
              </w:rPr>
            </w:pPr>
            <w:r>
              <w:rPr>
                <w:rFonts w:ascii="Arial"/>
                <w:b/>
                <w:spacing w:val="-2"/>
                <w:sz w:val="16"/>
              </w:rPr>
              <w:t>ECUADOR</w:t>
            </w:r>
          </w:p>
        </w:tc>
        <w:tc>
          <w:tcPr>
            <w:tcW w:w="1649" w:type="dxa"/>
          </w:tcPr>
          <w:p>
            <w:pPr>
              <w:pStyle w:val="TableParagraph"/>
              <w:rPr>
                <w:rFonts w:ascii="Times New Roman"/>
                <w:sz w:val="20"/>
              </w:rPr>
            </w:pPr>
          </w:p>
        </w:tc>
        <w:tc>
          <w:tcPr>
            <w:tcW w:w="1584" w:type="dxa"/>
          </w:tcPr>
          <w:p>
            <w:pPr>
              <w:pStyle w:val="TableParagraph"/>
              <w:spacing w:before="181"/>
              <w:ind w:left="16" w:right="3"/>
              <w:jc w:val="center"/>
              <w:rPr>
                <w:sz w:val="16"/>
              </w:rPr>
            </w:pPr>
            <w:r>
              <w:rPr>
                <w:spacing w:val="-5"/>
                <w:sz w:val="16"/>
              </w:rPr>
              <w:t>295</w:t>
            </w:r>
          </w:p>
        </w:tc>
        <w:tc>
          <w:tcPr>
            <w:tcW w:w="1508" w:type="dxa"/>
          </w:tcPr>
          <w:p>
            <w:pPr>
              <w:pStyle w:val="TableParagraph"/>
              <w:spacing w:before="181"/>
              <w:ind w:left="11" w:right="4"/>
              <w:jc w:val="center"/>
              <w:rPr>
                <w:sz w:val="16"/>
              </w:rPr>
            </w:pPr>
            <w:r>
              <w:rPr>
                <w:spacing w:val="-5"/>
                <w:sz w:val="16"/>
              </w:rPr>
              <w:t>295</w:t>
            </w:r>
          </w:p>
        </w:tc>
      </w:tr>
      <w:tr>
        <w:trPr>
          <w:trHeight w:val="366" w:hRule="atLeast"/>
        </w:trPr>
        <w:tc>
          <w:tcPr>
            <w:tcW w:w="1541" w:type="dxa"/>
          </w:tcPr>
          <w:p>
            <w:pPr>
              <w:pStyle w:val="TableParagraph"/>
              <w:spacing w:line="182" w:lineRule="exact"/>
              <w:ind w:left="107" w:firstLine="408"/>
              <w:rPr>
                <w:rFonts w:ascii="Arial"/>
                <w:b/>
                <w:sz w:val="16"/>
              </w:rPr>
            </w:pPr>
            <w:r>
              <w:rPr>
                <w:rFonts w:ascii="Arial"/>
                <w:b/>
                <w:spacing w:val="-4"/>
                <w:sz w:val="16"/>
              </w:rPr>
              <w:t>FLETE </w:t>
            </w:r>
            <w:r>
              <w:rPr>
                <w:rFonts w:ascii="Arial"/>
                <w:b/>
                <w:spacing w:val="-2"/>
                <w:sz w:val="16"/>
              </w:rPr>
              <w:t>INTERNACIONAL</w:t>
            </w:r>
          </w:p>
        </w:tc>
        <w:tc>
          <w:tcPr>
            <w:tcW w:w="1649" w:type="dxa"/>
          </w:tcPr>
          <w:p>
            <w:pPr>
              <w:pStyle w:val="TableParagraph"/>
              <w:spacing w:before="90"/>
              <w:ind w:left="11" w:right="1"/>
              <w:jc w:val="center"/>
              <w:rPr>
                <w:sz w:val="16"/>
              </w:rPr>
            </w:pPr>
            <w:r>
              <w:rPr>
                <w:spacing w:val="-2"/>
                <w:sz w:val="16"/>
              </w:rPr>
              <w:t>2,500</w:t>
            </w:r>
          </w:p>
        </w:tc>
        <w:tc>
          <w:tcPr>
            <w:tcW w:w="1584" w:type="dxa"/>
          </w:tcPr>
          <w:p>
            <w:pPr>
              <w:pStyle w:val="TableParagraph"/>
              <w:spacing w:before="90"/>
              <w:ind w:left="16" w:right="3"/>
              <w:jc w:val="center"/>
              <w:rPr>
                <w:sz w:val="16"/>
              </w:rPr>
            </w:pPr>
            <w:r>
              <w:rPr>
                <w:spacing w:val="-2"/>
                <w:sz w:val="16"/>
              </w:rPr>
              <w:t>2,725</w:t>
            </w:r>
          </w:p>
        </w:tc>
        <w:tc>
          <w:tcPr>
            <w:tcW w:w="1508" w:type="dxa"/>
          </w:tcPr>
          <w:p>
            <w:pPr>
              <w:pStyle w:val="TableParagraph"/>
              <w:spacing w:before="90"/>
              <w:ind w:left="11" w:right="3"/>
              <w:jc w:val="center"/>
              <w:rPr>
                <w:sz w:val="16"/>
              </w:rPr>
            </w:pPr>
            <w:r>
              <w:rPr>
                <w:spacing w:val="-2"/>
                <w:sz w:val="16"/>
              </w:rPr>
              <w:t>4,665</w:t>
            </w:r>
          </w:p>
        </w:tc>
      </w:tr>
      <w:tr>
        <w:trPr>
          <w:trHeight w:val="369" w:hRule="atLeast"/>
        </w:trPr>
        <w:tc>
          <w:tcPr>
            <w:tcW w:w="1541" w:type="dxa"/>
          </w:tcPr>
          <w:p>
            <w:pPr>
              <w:pStyle w:val="TableParagraph"/>
              <w:spacing w:line="184" w:lineRule="exact"/>
              <w:ind w:left="386" w:right="374" w:firstLine="98"/>
              <w:rPr>
                <w:rFonts w:ascii="Arial"/>
                <w:b/>
                <w:sz w:val="16"/>
              </w:rPr>
            </w:pPr>
            <w:r>
              <w:rPr>
                <w:rFonts w:ascii="Arial"/>
                <w:b/>
                <w:spacing w:val="-2"/>
                <w:sz w:val="16"/>
              </w:rPr>
              <w:t>GATOS LOCALES</w:t>
            </w:r>
          </w:p>
        </w:tc>
        <w:tc>
          <w:tcPr>
            <w:tcW w:w="1649" w:type="dxa"/>
          </w:tcPr>
          <w:p>
            <w:pPr>
              <w:pStyle w:val="TableParagraph"/>
              <w:spacing w:before="92"/>
              <w:ind w:left="11" w:right="3"/>
              <w:jc w:val="center"/>
              <w:rPr>
                <w:sz w:val="16"/>
              </w:rPr>
            </w:pPr>
            <w:r>
              <w:rPr>
                <w:spacing w:val="-10"/>
                <w:sz w:val="16"/>
              </w:rPr>
              <w:t>-</w:t>
            </w:r>
          </w:p>
        </w:tc>
        <w:tc>
          <w:tcPr>
            <w:tcW w:w="1584" w:type="dxa"/>
          </w:tcPr>
          <w:p>
            <w:pPr>
              <w:pStyle w:val="TableParagraph"/>
              <w:spacing w:before="92"/>
              <w:ind w:left="16" w:right="3"/>
              <w:jc w:val="center"/>
              <w:rPr>
                <w:sz w:val="16"/>
              </w:rPr>
            </w:pPr>
            <w:r>
              <w:rPr>
                <w:spacing w:val="-2"/>
                <w:sz w:val="16"/>
              </w:rPr>
              <w:t>1,857</w:t>
            </w:r>
          </w:p>
        </w:tc>
        <w:tc>
          <w:tcPr>
            <w:tcW w:w="1508" w:type="dxa"/>
          </w:tcPr>
          <w:p>
            <w:pPr>
              <w:pStyle w:val="TableParagraph"/>
              <w:spacing w:before="92"/>
              <w:ind w:left="11" w:right="3"/>
              <w:jc w:val="center"/>
              <w:rPr>
                <w:sz w:val="16"/>
              </w:rPr>
            </w:pPr>
            <w:r>
              <w:rPr>
                <w:spacing w:val="-2"/>
                <w:sz w:val="16"/>
              </w:rPr>
              <w:t>1,857</w:t>
            </w:r>
          </w:p>
        </w:tc>
      </w:tr>
      <w:tr>
        <w:trPr>
          <w:trHeight w:val="551" w:hRule="atLeast"/>
        </w:trPr>
        <w:tc>
          <w:tcPr>
            <w:tcW w:w="1541" w:type="dxa"/>
          </w:tcPr>
          <w:p>
            <w:pPr>
              <w:pStyle w:val="TableParagraph"/>
              <w:ind w:left="63" w:right="53"/>
              <w:jc w:val="center"/>
              <w:rPr>
                <w:rFonts w:ascii="Arial"/>
                <w:b/>
                <w:sz w:val="16"/>
              </w:rPr>
            </w:pPr>
            <w:r>
              <w:rPr>
                <w:rFonts w:ascii="Arial"/>
                <w:b/>
                <w:spacing w:val="-2"/>
                <w:sz w:val="16"/>
              </w:rPr>
              <w:t>TRANSPORTE INTERNO</w:t>
            </w:r>
          </w:p>
          <w:p>
            <w:pPr>
              <w:pStyle w:val="TableParagraph"/>
              <w:spacing w:line="165" w:lineRule="exact"/>
              <w:ind w:left="63" w:right="54"/>
              <w:jc w:val="center"/>
              <w:rPr>
                <w:rFonts w:ascii="Arial"/>
                <w:b/>
                <w:sz w:val="16"/>
              </w:rPr>
            </w:pPr>
            <w:r>
              <w:rPr>
                <w:rFonts w:ascii="Arial"/>
                <w:b/>
                <w:spacing w:val="-2"/>
                <w:sz w:val="16"/>
              </w:rPr>
              <w:t>COLOMBIA</w:t>
            </w:r>
          </w:p>
        </w:tc>
        <w:tc>
          <w:tcPr>
            <w:tcW w:w="1649" w:type="dxa"/>
          </w:tcPr>
          <w:p>
            <w:pPr>
              <w:pStyle w:val="TableParagraph"/>
              <w:spacing w:before="181"/>
              <w:ind w:left="11" w:right="1"/>
              <w:jc w:val="center"/>
              <w:rPr>
                <w:sz w:val="16"/>
              </w:rPr>
            </w:pPr>
            <w:r>
              <w:rPr>
                <w:spacing w:val="-2"/>
                <w:sz w:val="16"/>
              </w:rPr>
              <w:t>3,200</w:t>
            </w:r>
          </w:p>
        </w:tc>
        <w:tc>
          <w:tcPr>
            <w:tcW w:w="1584" w:type="dxa"/>
          </w:tcPr>
          <w:p>
            <w:pPr>
              <w:pStyle w:val="TableParagraph"/>
              <w:spacing w:before="181"/>
              <w:ind w:left="16" w:right="3"/>
              <w:jc w:val="center"/>
              <w:rPr>
                <w:sz w:val="16"/>
              </w:rPr>
            </w:pPr>
            <w:r>
              <w:rPr>
                <w:spacing w:val="-2"/>
                <w:sz w:val="16"/>
              </w:rPr>
              <w:t>3,871</w:t>
            </w:r>
          </w:p>
        </w:tc>
        <w:tc>
          <w:tcPr>
            <w:tcW w:w="1508" w:type="dxa"/>
          </w:tcPr>
          <w:p>
            <w:pPr>
              <w:pStyle w:val="TableParagraph"/>
              <w:spacing w:before="181"/>
              <w:ind w:left="11" w:right="4"/>
              <w:jc w:val="center"/>
              <w:rPr>
                <w:sz w:val="16"/>
              </w:rPr>
            </w:pPr>
            <w:r>
              <w:rPr>
                <w:spacing w:val="-2"/>
                <w:sz w:val="16"/>
              </w:rPr>
              <w:t>4368.37</w:t>
            </w:r>
          </w:p>
        </w:tc>
      </w:tr>
      <w:tr>
        <w:trPr>
          <w:trHeight w:val="246" w:hRule="atLeast"/>
        </w:trPr>
        <w:tc>
          <w:tcPr>
            <w:tcW w:w="1541" w:type="dxa"/>
          </w:tcPr>
          <w:p>
            <w:pPr>
              <w:pStyle w:val="TableParagraph"/>
              <w:spacing w:before="30"/>
              <w:ind w:left="63" w:right="52"/>
              <w:jc w:val="center"/>
              <w:rPr>
                <w:rFonts w:ascii="Arial"/>
                <w:b/>
                <w:sz w:val="16"/>
              </w:rPr>
            </w:pPr>
            <w:r>
              <w:rPr>
                <w:rFonts w:ascii="Arial"/>
                <w:b/>
                <w:spacing w:val="-2"/>
                <w:sz w:val="16"/>
              </w:rPr>
              <w:t>TOTAL</w:t>
            </w:r>
          </w:p>
        </w:tc>
        <w:tc>
          <w:tcPr>
            <w:tcW w:w="1649" w:type="dxa"/>
          </w:tcPr>
          <w:p>
            <w:pPr>
              <w:pStyle w:val="TableParagraph"/>
              <w:spacing w:before="30"/>
              <w:ind w:left="11" w:right="1"/>
              <w:jc w:val="center"/>
              <w:rPr>
                <w:sz w:val="16"/>
              </w:rPr>
            </w:pPr>
            <w:r>
              <w:rPr>
                <w:spacing w:val="-2"/>
                <w:sz w:val="16"/>
              </w:rPr>
              <w:t>5,700</w:t>
            </w:r>
          </w:p>
        </w:tc>
        <w:tc>
          <w:tcPr>
            <w:tcW w:w="1584" w:type="dxa"/>
          </w:tcPr>
          <w:p>
            <w:pPr>
              <w:pStyle w:val="TableParagraph"/>
              <w:spacing w:before="30"/>
              <w:ind w:left="16" w:right="3"/>
              <w:jc w:val="center"/>
              <w:rPr>
                <w:sz w:val="16"/>
              </w:rPr>
            </w:pPr>
            <w:r>
              <w:rPr>
                <w:spacing w:val="-2"/>
                <w:sz w:val="16"/>
              </w:rPr>
              <w:t>8,748</w:t>
            </w:r>
          </w:p>
        </w:tc>
        <w:tc>
          <w:tcPr>
            <w:tcW w:w="1508" w:type="dxa"/>
          </w:tcPr>
          <w:p>
            <w:pPr>
              <w:pStyle w:val="TableParagraph"/>
              <w:spacing w:before="30"/>
              <w:ind w:left="11" w:right="6"/>
              <w:jc w:val="center"/>
              <w:rPr>
                <w:sz w:val="16"/>
              </w:rPr>
            </w:pPr>
            <w:r>
              <w:rPr>
                <w:spacing w:val="-2"/>
                <w:sz w:val="16"/>
              </w:rPr>
              <w:t>11,186</w:t>
            </w:r>
          </w:p>
        </w:tc>
      </w:tr>
    </w:tbl>
    <w:p>
      <w:pPr>
        <w:spacing w:before="1"/>
        <w:ind w:left="1701" w:right="4159" w:firstLine="0"/>
        <w:jc w:val="left"/>
        <w:rPr>
          <w:rFonts w:ascii="Arial" w:hAnsi="Arial"/>
          <w:b/>
          <w:sz w:val="16"/>
        </w:rPr>
      </w:pPr>
      <w:r>
        <w:rPr>
          <w:rFonts w:ascii="Arial" w:hAnsi="Arial"/>
          <w:b/>
          <w:sz w:val="16"/>
        </w:rPr>
        <w:t>Fuente:</w:t>
      </w:r>
      <w:r>
        <w:rPr>
          <w:rFonts w:ascii="Arial" w:hAnsi="Arial"/>
          <w:b/>
          <w:spacing w:val="-5"/>
          <w:sz w:val="16"/>
        </w:rPr>
        <w:t> </w:t>
      </w:r>
      <w:r>
        <w:rPr>
          <w:rFonts w:ascii="Arial" w:hAnsi="Arial"/>
          <w:b/>
          <w:sz w:val="16"/>
        </w:rPr>
        <w:t>República</w:t>
      </w:r>
      <w:r>
        <w:rPr>
          <w:rFonts w:ascii="Arial" w:hAnsi="Arial"/>
          <w:b/>
          <w:spacing w:val="-8"/>
          <w:sz w:val="16"/>
        </w:rPr>
        <w:t> </w:t>
      </w:r>
      <w:r>
        <w:rPr>
          <w:rFonts w:ascii="Arial" w:hAnsi="Arial"/>
          <w:b/>
          <w:sz w:val="16"/>
        </w:rPr>
        <w:t>del</w:t>
      </w:r>
      <w:r>
        <w:rPr>
          <w:rFonts w:ascii="Arial" w:hAnsi="Arial"/>
          <w:b/>
          <w:spacing w:val="-5"/>
          <w:sz w:val="16"/>
        </w:rPr>
        <w:t> </w:t>
      </w:r>
      <w:r>
        <w:rPr>
          <w:rFonts w:ascii="Arial" w:hAnsi="Arial"/>
          <w:b/>
          <w:sz w:val="16"/>
        </w:rPr>
        <w:t>Ecuador</w:t>
      </w:r>
      <w:r>
        <w:rPr>
          <w:rFonts w:ascii="Arial" w:hAnsi="Arial"/>
          <w:b/>
          <w:spacing w:val="-6"/>
          <w:sz w:val="16"/>
        </w:rPr>
        <w:t> </w:t>
      </w:r>
      <w:r>
        <w:rPr>
          <w:rFonts w:ascii="Arial" w:hAnsi="Arial"/>
          <w:b/>
          <w:sz w:val="16"/>
        </w:rPr>
        <w:t>–</w:t>
      </w:r>
      <w:r>
        <w:rPr>
          <w:rFonts w:ascii="Arial" w:hAnsi="Arial"/>
          <w:b/>
          <w:spacing w:val="-5"/>
          <w:sz w:val="16"/>
        </w:rPr>
        <w:t> </w:t>
      </w:r>
      <w:r>
        <w:rPr>
          <w:rFonts w:ascii="Arial" w:hAnsi="Arial"/>
          <w:b/>
          <w:sz w:val="16"/>
        </w:rPr>
        <w:t>Cotizaciones</w:t>
      </w:r>
      <w:r>
        <w:rPr>
          <w:rFonts w:ascii="Arial" w:hAnsi="Arial"/>
          <w:b/>
          <w:spacing w:val="-7"/>
          <w:sz w:val="16"/>
        </w:rPr>
        <w:t> </w:t>
      </w:r>
      <w:r>
        <w:rPr>
          <w:rFonts w:ascii="Arial" w:hAnsi="Arial"/>
          <w:b/>
          <w:sz w:val="16"/>
        </w:rPr>
        <w:t>Empresas. Elaboración: SGCAN.</w:t>
      </w:r>
    </w:p>
    <w:p>
      <w:pPr>
        <w:pStyle w:val="BodyText"/>
        <w:spacing w:before="69"/>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Por lo tanto, los hechos constatados permiten concluir que la medida objeto de la presente investigación tiene por efecto dificultar (encarecer o hacer más onerosas) las</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BodyText"/>
        <w:ind w:left="1134" w:right="984"/>
        <w:jc w:val="both"/>
      </w:pPr>
      <w:r>
        <w:rPr/>
        <w:t>importaciones de productos pesqueros de origen ecuatoriano, al obligar a una modificación sustancial de los canales logísticos tradicionalmente utilizados para su ingreso al mercado de la República de Colombia.</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Finalmente,</w:t>
      </w:r>
      <w:r>
        <w:rPr>
          <w:spacing w:val="-3"/>
          <w:sz w:val="22"/>
        </w:rPr>
        <w:t> </w:t>
      </w:r>
      <w:r>
        <w:rPr>
          <w:sz w:val="22"/>
        </w:rPr>
        <w:t>con</w:t>
      </w:r>
      <w:r>
        <w:rPr>
          <w:spacing w:val="-4"/>
          <w:sz w:val="22"/>
        </w:rPr>
        <w:t> </w:t>
      </w:r>
      <w:r>
        <w:rPr>
          <w:sz w:val="22"/>
        </w:rPr>
        <w:t>base</w:t>
      </w:r>
      <w:r>
        <w:rPr>
          <w:spacing w:val="-4"/>
          <w:sz w:val="22"/>
        </w:rPr>
        <w:t> </w:t>
      </w:r>
      <w:r>
        <w:rPr>
          <w:sz w:val="22"/>
        </w:rPr>
        <w:t>en</w:t>
      </w:r>
      <w:r>
        <w:rPr>
          <w:spacing w:val="-4"/>
          <w:sz w:val="22"/>
        </w:rPr>
        <w:t> </w:t>
      </w:r>
      <w:r>
        <w:rPr>
          <w:sz w:val="22"/>
        </w:rPr>
        <w:t>la</w:t>
      </w:r>
      <w:r>
        <w:rPr>
          <w:spacing w:val="-2"/>
          <w:sz w:val="22"/>
        </w:rPr>
        <w:t> </w:t>
      </w:r>
      <w:r>
        <w:rPr>
          <w:sz w:val="22"/>
        </w:rPr>
        <w:t>información</w:t>
      </w:r>
      <w:r>
        <w:rPr>
          <w:spacing w:val="-2"/>
          <w:sz w:val="22"/>
        </w:rPr>
        <w:t> </w:t>
      </w:r>
      <w:r>
        <w:rPr>
          <w:sz w:val="22"/>
        </w:rPr>
        <w:t>disponible,</w:t>
      </w:r>
      <w:r>
        <w:rPr>
          <w:spacing w:val="-1"/>
          <w:sz w:val="22"/>
        </w:rPr>
        <w:t> </w:t>
      </w:r>
      <w:r>
        <w:rPr>
          <w:sz w:val="22"/>
        </w:rPr>
        <w:t>se</w:t>
      </w:r>
      <w:r>
        <w:rPr>
          <w:spacing w:val="-4"/>
          <w:sz w:val="22"/>
        </w:rPr>
        <w:t> </w:t>
      </w:r>
      <w:r>
        <w:rPr>
          <w:sz w:val="22"/>
        </w:rPr>
        <w:t>puede</w:t>
      </w:r>
      <w:r>
        <w:rPr>
          <w:spacing w:val="-4"/>
          <w:sz w:val="22"/>
        </w:rPr>
        <w:t> </w:t>
      </w:r>
      <w:r>
        <w:rPr>
          <w:sz w:val="22"/>
        </w:rPr>
        <w:t>señalar</w:t>
      </w:r>
      <w:r>
        <w:rPr>
          <w:spacing w:val="-3"/>
          <w:sz w:val="22"/>
        </w:rPr>
        <w:t> </w:t>
      </w:r>
      <w:r>
        <w:rPr>
          <w:sz w:val="22"/>
        </w:rPr>
        <w:t>que,</w:t>
      </w:r>
      <w:r>
        <w:rPr>
          <w:spacing w:val="-3"/>
          <w:sz w:val="22"/>
        </w:rPr>
        <w:t> </w:t>
      </w:r>
      <w:r>
        <w:rPr>
          <w:sz w:val="22"/>
        </w:rPr>
        <w:t>la</w:t>
      </w:r>
      <w:r>
        <w:rPr>
          <w:spacing w:val="-4"/>
          <w:sz w:val="22"/>
        </w:rPr>
        <w:t> </w:t>
      </w:r>
      <w:r>
        <w:rPr>
          <w:sz w:val="22"/>
        </w:rPr>
        <w:t>medida</w:t>
      </w:r>
      <w:r>
        <w:rPr>
          <w:spacing w:val="-2"/>
          <w:sz w:val="22"/>
        </w:rPr>
        <w:t> </w:t>
      </w:r>
      <w:r>
        <w:rPr>
          <w:sz w:val="22"/>
        </w:rPr>
        <w:t>no tuvo como efecto impedir las importaciones de productos pesqueros de origen ecuatoriano.</w:t>
      </w:r>
      <w:r>
        <w:rPr>
          <w:spacing w:val="-6"/>
          <w:sz w:val="22"/>
        </w:rPr>
        <w:t> </w:t>
      </w:r>
      <w:r>
        <w:rPr>
          <w:sz w:val="22"/>
        </w:rPr>
        <w:t>Sin</w:t>
      </w:r>
      <w:r>
        <w:rPr>
          <w:spacing w:val="-5"/>
          <w:sz w:val="22"/>
        </w:rPr>
        <w:t> </w:t>
      </w:r>
      <w:r>
        <w:rPr>
          <w:sz w:val="22"/>
        </w:rPr>
        <w:t>embargo,</w:t>
      </w:r>
      <w:r>
        <w:rPr>
          <w:spacing w:val="-4"/>
          <w:sz w:val="22"/>
        </w:rPr>
        <w:t> </w:t>
      </w:r>
      <w:r>
        <w:rPr>
          <w:sz w:val="22"/>
        </w:rPr>
        <w:t>sí</w:t>
      </w:r>
      <w:r>
        <w:rPr>
          <w:spacing w:val="-6"/>
          <w:sz w:val="22"/>
        </w:rPr>
        <w:t> </w:t>
      </w:r>
      <w:r>
        <w:rPr>
          <w:sz w:val="22"/>
        </w:rPr>
        <w:t>se</w:t>
      </w:r>
      <w:r>
        <w:rPr>
          <w:spacing w:val="-5"/>
          <w:sz w:val="22"/>
        </w:rPr>
        <w:t> </w:t>
      </w:r>
      <w:r>
        <w:rPr>
          <w:sz w:val="22"/>
        </w:rPr>
        <w:t>advierte</w:t>
      </w:r>
      <w:r>
        <w:rPr>
          <w:spacing w:val="-7"/>
          <w:sz w:val="22"/>
        </w:rPr>
        <w:t> </w:t>
      </w:r>
      <w:r>
        <w:rPr>
          <w:sz w:val="22"/>
        </w:rPr>
        <w:t>que</w:t>
      </w:r>
      <w:r>
        <w:rPr>
          <w:spacing w:val="-5"/>
          <w:sz w:val="22"/>
        </w:rPr>
        <w:t> </w:t>
      </w:r>
      <w:r>
        <w:rPr>
          <w:sz w:val="22"/>
        </w:rPr>
        <w:t>dicha</w:t>
      </w:r>
      <w:r>
        <w:rPr>
          <w:spacing w:val="-5"/>
          <w:sz w:val="22"/>
        </w:rPr>
        <w:t> </w:t>
      </w:r>
      <w:r>
        <w:rPr>
          <w:sz w:val="22"/>
        </w:rPr>
        <w:t>medida</w:t>
      </w:r>
      <w:r>
        <w:rPr>
          <w:spacing w:val="-8"/>
          <w:sz w:val="22"/>
        </w:rPr>
        <w:t> </w:t>
      </w:r>
      <w:r>
        <w:rPr>
          <w:sz w:val="22"/>
        </w:rPr>
        <w:t>habría</w:t>
      </w:r>
      <w:r>
        <w:rPr>
          <w:spacing w:val="-5"/>
          <w:sz w:val="22"/>
        </w:rPr>
        <w:t> </w:t>
      </w:r>
      <w:r>
        <w:rPr>
          <w:sz w:val="22"/>
        </w:rPr>
        <w:t>dificultado</w:t>
      </w:r>
      <w:r>
        <w:rPr>
          <w:spacing w:val="-5"/>
          <w:sz w:val="22"/>
        </w:rPr>
        <w:t> </w:t>
      </w:r>
      <w:r>
        <w:rPr>
          <w:sz w:val="22"/>
        </w:rPr>
        <w:t>su</w:t>
      </w:r>
      <w:r>
        <w:rPr>
          <w:spacing w:val="-5"/>
          <w:sz w:val="22"/>
        </w:rPr>
        <w:t> </w:t>
      </w:r>
      <w:r>
        <w:rPr>
          <w:sz w:val="22"/>
        </w:rPr>
        <w:t>acceso al mercado de la República de Colombia, al encarecer o hacer</w:t>
      </w:r>
      <w:r>
        <w:rPr>
          <w:spacing w:val="-1"/>
          <w:sz w:val="22"/>
        </w:rPr>
        <w:t> </w:t>
      </w:r>
      <w:r>
        <w:rPr>
          <w:sz w:val="22"/>
        </w:rPr>
        <w:t>más oneroso el ingreso de dichos productos.</w:t>
      </w:r>
    </w:p>
    <w:p>
      <w:pPr>
        <w:pStyle w:val="BodyText"/>
        <w:spacing w:before="3"/>
      </w:pPr>
    </w:p>
    <w:p>
      <w:pPr>
        <w:pStyle w:val="Heading6"/>
        <w:numPr>
          <w:ilvl w:val="0"/>
          <w:numId w:val="114"/>
        </w:numPr>
        <w:tabs>
          <w:tab w:pos="1420" w:val="left" w:leader="none"/>
        </w:tabs>
        <w:spacing w:line="237" w:lineRule="auto" w:before="0" w:after="0"/>
        <w:ind w:left="1420" w:right="978" w:hanging="360"/>
        <w:jc w:val="left"/>
      </w:pPr>
      <w:r>
        <w:rPr/>
        <w:t>Restricción</w:t>
      </w:r>
      <w:r>
        <w:rPr>
          <w:spacing w:val="40"/>
        </w:rPr>
        <w:t> </w:t>
      </w:r>
      <w:r>
        <w:rPr/>
        <w:t>para</w:t>
      </w:r>
      <w:r>
        <w:rPr>
          <w:spacing w:val="40"/>
        </w:rPr>
        <w:t> </w:t>
      </w:r>
      <w:r>
        <w:rPr/>
        <w:t>mercancías</w:t>
      </w:r>
      <w:r>
        <w:rPr>
          <w:spacing w:val="40"/>
        </w:rPr>
        <w:t> </w:t>
      </w:r>
      <w:r>
        <w:rPr/>
        <w:t>presuntamente</w:t>
      </w:r>
      <w:r>
        <w:rPr>
          <w:spacing w:val="40"/>
        </w:rPr>
        <w:t> </w:t>
      </w:r>
      <w:r>
        <w:rPr/>
        <w:t>utilizadas</w:t>
      </w:r>
      <w:r>
        <w:rPr>
          <w:spacing w:val="40"/>
        </w:rPr>
        <w:t> </w:t>
      </w:r>
      <w:r>
        <w:rPr/>
        <w:t>en</w:t>
      </w:r>
      <w:r>
        <w:rPr>
          <w:spacing w:val="40"/>
        </w:rPr>
        <w:t> </w:t>
      </w:r>
      <w:r>
        <w:rPr/>
        <w:t>la</w:t>
      </w:r>
      <w:r>
        <w:rPr>
          <w:spacing w:val="40"/>
        </w:rPr>
        <w:t> </w:t>
      </w:r>
      <w:r>
        <w:rPr/>
        <w:t>producción</w:t>
      </w:r>
      <w:r>
        <w:rPr>
          <w:spacing w:val="40"/>
        </w:rPr>
        <w:t> </w:t>
      </w:r>
      <w:r>
        <w:rPr/>
        <w:t>de </w:t>
      </w:r>
      <w:r>
        <w:rPr>
          <w:spacing w:val="-2"/>
        </w:rPr>
        <w:t>fentanilo</w:t>
      </w:r>
    </w:p>
    <w:p>
      <w:pPr>
        <w:pStyle w:val="BodyText"/>
        <w:spacing w:before="1"/>
        <w:rPr>
          <w:rFonts w:ascii="Arial"/>
          <w:b/>
        </w:rPr>
      </w:pPr>
    </w:p>
    <w:p>
      <w:pPr>
        <w:pStyle w:val="ListParagraph"/>
        <w:numPr>
          <w:ilvl w:val="0"/>
          <w:numId w:val="50"/>
        </w:numPr>
        <w:tabs>
          <w:tab w:pos="1130" w:val="left" w:leader="none"/>
          <w:tab w:pos="1134" w:val="left" w:leader="none"/>
        </w:tabs>
        <w:spacing w:line="240" w:lineRule="auto" w:before="1" w:after="0"/>
        <w:ind w:left="1134" w:right="978" w:hanging="567"/>
        <w:jc w:val="both"/>
        <w:rPr>
          <w:sz w:val="22"/>
        </w:rPr>
      </w:pPr>
      <w:r>
        <w:rPr>
          <w:sz w:val="22"/>
        </w:rPr>
        <w:t>El artículo 3 del Decreto 0170 de la República de Colombia, establece una medida de restricción</w:t>
      </w:r>
      <w:r>
        <w:rPr>
          <w:spacing w:val="-5"/>
          <w:sz w:val="22"/>
        </w:rPr>
        <w:t> </w:t>
      </w:r>
      <w:r>
        <w:rPr>
          <w:sz w:val="22"/>
        </w:rPr>
        <w:t>al</w:t>
      </w:r>
      <w:r>
        <w:rPr>
          <w:spacing w:val="-8"/>
          <w:sz w:val="22"/>
        </w:rPr>
        <w:t> </w:t>
      </w:r>
      <w:r>
        <w:rPr>
          <w:sz w:val="22"/>
        </w:rPr>
        <w:t>ingreso</w:t>
      </w:r>
      <w:r>
        <w:rPr>
          <w:spacing w:val="-8"/>
          <w:sz w:val="22"/>
        </w:rPr>
        <w:t> </w:t>
      </w:r>
      <w:r>
        <w:rPr>
          <w:sz w:val="22"/>
        </w:rPr>
        <w:t>de</w:t>
      </w:r>
      <w:r>
        <w:rPr>
          <w:spacing w:val="-10"/>
          <w:sz w:val="22"/>
        </w:rPr>
        <w:t> </w:t>
      </w:r>
      <w:r>
        <w:rPr>
          <w:sz w:val="22"/>
        </w:rPr>
        <w:t>mercancías</w:t>
      </w:r>
      <w:r>
        <w:rPr>
          <w:spacing w:val="-7"/>
          <w:sz w:val="22"/>
        </w:rPr>
        <w:t> </w:t>
      </w:r>
      <w:r>
        <w:rPr>
          <w:sz w:val="22"/>
        </w:rPr>
        <w:t>utilizadas</w:t>
      </w:r>
      <w:r>
        <w:rPr>
          <w:spacing w:val="-7"/>
          <w:sz w:val="22"/>
        </w:rPr>
        <w:t> </w:t>
      </w:r>
      <w:r>
        <w:rPr>
          <w:sz w:val="22"/>
        </w:rPr>
        <w:t>en</w:t>
      </w:r>
      <w:r>
        <w:rPr>
          <w:spacing w:val="-5"/>
          <w:sz w:val="22"/>
        </w:rPr>
        <w:t> </w:t>
      </w:r>
      <w:r>
        <w:rPr>
          <w:sz w:val="22"/>
        </w:rPr>
        <w:t>la</w:t>
      </w:r>
      <w:r>
        <w:rPr>
          <w:spacing w:val="-7"/>
          <w:sz w:val="22"/>
        </w:rPr>
        <w:t> </w:t>
      </w:r>
      <w:r>
        <w:rPr>
          <w:sz w:val="22"/>
        </w:rPr>
        <w:t>producción</w:t>
      </w:r>
      <w:r>
        <w:rPr>
          <w:spacing w:val="-8"/>
          <w:sz w:val="22"/>
        </w:rPr>
        <w:t> </w:t>
      </w:r>
      <w:r>
        <w:rPr>
          <w:sz w:val="22"/>
        </w:rPr>
        <w:t>de</w:t>
      </w:r>
      <w:r>
        <w:rPr>
          <w:spacing w:val="-8"/>
          <w:sz w:val="22"/>
        </w:rPr>
        <w:t> </w:t>
      </w:r>
      <w:r>
        <w:rPr>
          <w:sz w:val="22"/>
        </w:rPr>
        <w:t>fentanilo,</w:t>
      </w:r>
      <w:r>
        <w:rPr>
          <w:spacing w:val="-6"/>
          <w:sz w:val="22"/>
        </w:rPr>
        <w:t> </w:t>
      </w:r>
      <w:r>
        <w:rPr>
          <w:sz w:val="22"/>
        </w:rPr>
        <w:t>aplicable</w:t>
      </w:r>
      <w:r>
        <w:rPr>
          <w:spacing w:val="-7"/>
          <w:sz w:val="22"/>
        </w:rPr>
        <w:t> </w:t>
      </w:r>
      <w:r>
        <w:rPr>
          <w:sz w:val="22"/>
        </w:rPr>
        <w:t>a las siguientes subpartidas arancelarias.</w:t>
      </w:r>
    </w:p>
    <w:p>
      <w:pPr>
        <w:pStyle w:val="Heading6"/>
        <w:spacing w:before="251"/>
        <w:ind w:right="409"/>
        <w:jc w:val="center"/>
      </w:pPr>
      <w:r>
        <w:rPr/>
        <w:t>Tabla</w:t>
      </w:r>
      <w:r>
        <w:rPr>
          <w:spacing w:val="-2"/>
        </w:rPr>
        <w:t> </w:t>
      </w:r>
      <w:r>
        <w:rPr/>
        <w:t>No.</w:t>
      </w:r>
      <w:r>
        <w:rPr>
          <w:spacing w:val="-2"/>
        </w:rPr>
        <w:t> </w:t>
      </w:r>
      <w:r>
        <w:rPr>
          <w:spacing w:val="-5"/>
        </w:rPr>
        <w:t>24</w:t>
      </w:r>
    </w:p>
    <w:p>
      <w:pPr>
        <w:spacing w:before="2"/>
        <w:ind w:left="-1" w:right="415" w:firstLine="0"/>
        <w:jc w:val="center"/>
        <w:rPr>
          <w:rFonts w:ascii="Arial" w:hAnsi="Arial"/>
          <w:b/>
          <w:sz w:val="22"/>
        </w:rPr>
      </w:pPr>
      <w:r>
        <w:rPr>
          <w:rFonts w:ascii="Arial" w:hAnsi="Arial"/>
          <w:b/>
          <w:sz w:val="22"/>
        </w:rPr>
        <w:t>Subpartidas</w:t>
      </w:r>
      <w:r>
        <w:rPr>
          <w:rFonts w:ascii="Arial" w:hAnsi="Arial"/>
          <w:b/>
          <w:spacing w:val="-8"/>
          <w:sz w:val="22"/>
        </w:rPr>
        <w:t> </w:t>
      </w:r>
      <w:r>
        <w:rPr>
          <w:rFonts w:ascii="Arial" w:hAnsi="Arial"/>
          <w:b/>
          <w:sz w:val="22"/>
        </w:rPr>
        <w:t>del</w:t>
      </w:r>
      <w:r>
        <w:rPr>
          <w:rFonts w:ascii="Arial" w:hAnsi="Arial"/>
          <w:b/>
          <w:spacing w:val="-5"/>
          <w:sz w:val="22"/>
        </w:rPr>
        <w:t> </w:t>
      </w:r>
      <w:r>
        <w:rPr>
          <w:rFonts w:ascii="Arial" w:hAnsi="Arial"/>
          <w:b/>
          <w:sz w:val="22"/>
        </w:rPr>
        <w:t>artículo</w:t>
      </w:r>
      <w:r>
        <w:rPr>
          <w:rFonts w:ascii="Arial" w:hAnsi="Arial"/>
          <w:b/>
          <w:spacing w:val="-4"/>
          <w:sz w:val="22"/>
        </w:rPr>
        <w:t> </w:t>
      </w:r>
      <w:r>
        <w:rPr>
          <w:rFonts w:ascii="Arial" w:hAnsi="Arial"/>
          <w:b/>
          <w:sz w:val="22"/>
        </w:rPr>
        <w:t>3</w:t>
      </w:r>
      <w:r>
        <w:rPr>
          <w:rFonts w:ascii="Arial" w:hAnsi="Arial"/>
          <w:b/>
          <w:spacing w:val="-4"/>
          <w:sz w:val="22"/>
        </w:rPr>
        <w:t> </w:t>
      </w:r>
      <w:r>
        <w:rPr>
          <w:rFonts w:ascii="Arial" w:hAnsi="Arial"/>
          <w:b/>
          <w:sz w:val="22"/>
        </w:rPr>
        <w:t>del</w:t>
      </w:r>
      <w:r>
        <w:rPr>
          <w:rFonts w:ascii="Arial" w:hAnsi="Arial"/>
          <w:b/>
          <w:spacing w:val="-2"/>
          <w:sz w:val="22"/>
        </w:rPr>
        <w:t> </w:t>
      </w:r>
      <w:r>
        <w:rPr>
          <w:rFonts w:ascii="Arial" w:hAnsi="Arial"/>
          <w:b/>
          <w:sz w:val="22"/>
        </w:rPr>
        <w:t>Decreto</w:t>
      </w:r>
      <w:r>
        <w:rPr>
          <w:rFonts w:ascii="Arial" w:hAnsi="Arial"/>
          <w:b/>
          <w:spacing w:val="-4"/>
          <w:sz w:val="22"/>
        </w:rPr>
        <w:t> </w:t>
      </w:r>
      <w:r>
        <w:rPr>
          <w:rFonts w:ascii="Arial" w:hAnsi="Arial"/>
          <w:b/>
          <w:sz w:val="22"/>
        </w:rPr>
        <w:t>0170</w:t>
      </w:r>
      <w:r>
        <w:rPr>
          <w:rFonts w:ascii="Arial" w:hAnsi="Arial"/>
          <w:b/>
          <w:spacing w:val="-7"/>
          <w:sz w:val="22"/>
        </w:rPr>
        <w:t> </w:t>
      </w:r>
      <w:r>
        <w:rPr>
          <w:rFonts w:ascii="Arial" w:hAnsi="Arial"/>
          <w:b/>
          <w:sz w:val="22"/>
        </w:rPr>
        <w:t>de</w:t>
      </w:r>
      <w:r>
        <w:rPr>
          <w:rFonts w:ascii="Arial" w:hAnsi="Arial"/>
          <w:b/>
          <w:spacing w:val="-7"/>
          <w:sz w:val="22"/>
        </w:rPr>
        <w:t> </w:t>
      </w:r>
      <w:r>
        <w:rPr>
          <w:rFonts w:ascii="Arial" w:hAnsi="Arial"/>
          <w:b/>
          <w:sz w:val="22"/>
        </w:rPr>
        <w:t>la</w:t>
      </w:r>
      <w:r>
        <w:rPr>
          <w:rFonts w:ascii="Arial" w:hAnsi="Arial"/>
          <w:b/>
          <w:spacing w:val="-6"/>
          <w:sz w:val="22"/>
        </w:rPr>
        <w:t> </w:t>
      </w:r>
      <w:r>
        <w:rPr>
          <w:rFonts w:ascii="Arial" w:hAnsi="Arial"/>
          <w:b/>
          <w:sz w:val="22"/>
        </w:rPr>
        <w:t>República</w:t>
      </w:r>
      <w:r>
        <w:rPr>
          <w:rFonts w:ascii="Arial" w:hAnsi="Arial"/>
          <w:b/>
          <w:spacing w:val="-4"/>
          <w:sz w:val="22"/>
        </w:rPr>
        <w:t> </w:t>
      </w:r>
      <w:r>
        <w:rPr>
          <w:rFonts w:ascii="Arial" w:hAnsi="Arial"/>
          <w:b/>
          <w:sz w:val="22"/>
        </w:rPr>
        <w:t>de</w:t>
      </w:r>
      <w:r>
        <w:rPr>
          <w:rFonts w:ascii="Arial" w:hAnsi="Arial"/>
          <w:b/>
          <w:spacing w:val="-5"/>
          <w:sz w:val="22"/>
        </w:rPr>
        <w:t> </w:t>
      </w:r>
      <w:r>
        <w:rPr>
          <w:rFonts w:ascii="Arial" w:hAnsi="Arial"/>
          <w:b/>
          <w:spacing w:val="-2"/>
          <w:sz w:val="22"/>
        </w:rPr>
        <w:t>Colombia</w:t>
      </w:r>
    </w:p>
    <w:tbl>
      <w:tblPr>
        <w:tblW w:w="0" w:type="auto"/>
        <w:jc w:val="left"/>
        <w:tblInd w:w="2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18"/>
        <w:gridCol w:w="3836"/>
      </w:tblGrid>
      <w:tr>
        <w:trPr>
          <w:trHeight w:val="299" w:hRule="atLeast"/>
        </w:trPr>
        <w:tc>
          <w:tcPr>
            <w:tcW w:w="1318" w:type="dxa"/>
            <w:shd w:val="clear" w:color="auto" w:fill="D1D1D1"/>
          </w:tcPr>
          <w:p>
            <w:pPr>
              <w:pStyle w:val="TableParagraph"/>
              <w:spacing w:line="206" w:lineRule="exact"/>
              <w:ind w:left="9" w:right="2"/>
              <w:jc w:val="center"/>
              <w:rPr>
                <w:rFonts w:ascii="Arial"/>
                <w:b/>
                <w:sz w:val="18"/>
              </w:rPr>
            </w:pPr>
            <w:r>
              <w:rPr>
                <w:rFonts w:ascii="Arial"/>
                <w:b/>
                <w:spacing w:val="-2"/>
                <w:sz w:val="18"/>
              </w:rPr>
              <w:t>Subpartida</w:t>
            </w:r>
          </w:p>
        </w:tc>
        <w:tc>
          <w:tcPr>
            <w:tcW w:w="3836" w:type="dxa"/>
            <w:shd w:val="clear" w:color="auto" w:fill="D1D1D1"/>
          </w:tcPr>
          <w:p>
            <w:pPr>
              <w:pStyle w:val="TableParagraph"/>
              <w:spacing w:line="206" w:lineRule="exact"/>
              <w:ind w:left="8"/>
              <w:jc w:val="center"/>
              <w:rPr>
                <w:rFonts w:ascii="Arial" w:hAnsi="Arial"/>
                <w:b/>
                <w:sz w:val="18"/>
              </w:rPr>
            </w:pPr>
            <w:r>
              <w:rPr>
                <w:rFonts w:ascii="Arial" w:hAnsi="Arial"/>
                <w:b/>
                <w:spacing w:val="-2"/>
                <w:sz w:val="18"/>
              </w:rPr>
              <w:t>Descripción</w:t>
            </w:r>
          </w:p>
        </w:tc>
      </w:tr>
      <w:tr>
        <w:trPr>
          <w:trHeight w:val="208" w:hRule="atLeast"/>
        </w:trPr>
        <w:tc>
          <w:tcPr>
            <w:tcW w:w="1318" w:type="dxa"/>
          </w:tcPr>
          <w:p>
            <w:pPr>
              <w:pStyle w:val="TableParagraph"/>
              <w:spacing w:line="188" w:lineRule="exact"/>
              <w:ind w:left="9"/>
              <w:jc w:val="center"/>
              <w:rPr>
                <w:rFonts w:ascii="Arial"/>
                <w:b/>
                <w:sz w:val="18"/>
              </w:rPr>
            </w:pPr>
            <w:r>
              <w:rPr>
                <w:rFonts w:ascii="Arial"/>
                <w:b/>
                <w:spacing w:val="-2"/>
                <w:sz w:val="18"/>
              </w:rPr>
              <w:t>2707200000</w:t>
            </w:r>
          </w:p>
        </w:tc>
        <w:tc>
          <w:tcPr>
            <w:tcW w:w="3836" w:type="dxa"/>
          </w:tcPr>
          <w:p>
            <w:pPr>
              <w:pStyle w:val="TableParagraph"/>
              <w:spacing w:line="188" w:lineRule="exact"/>
              <w:ind w:left="108"/>
              <w:rPr>
                <w:sz w:val="18"/>
              </w:rPr>
            </w:pPr>
            <w:r>
              <w:rPr>
                <w:sz w:val="18"/>
              </w:rPr>
              <w:t>-</w:t>
            </w:r>
            <w:r>
              <w:rPr>
                <w:spacing w:val="-4"/>
                <w:sz w:val="18"/>
              </w:rPr>
              <w:t> </w:t>
            </w:r>
            <w:r>
              <w:rPr>
                <w:sz w:val="18"/>
              </w:rPr>
              <w:t>Toluol</w:t>
            </w:r>
            <w:r>
              <w:rPr>
                <w:spacing w:val="-1"/>
                <w:sz w:val="18"/>
              </w:rPr>
              <w:t> </w:t>
            </w:r>
            <w:r>
              <w:rPr>
                <w:spacing w:val="-2"/>
                <w:sz w:val="18"/>
              </w:rPr>
              <w:t>(tolueno)</w:t>
            </w:r>
          </w:p>
        </w:tc>
      </w:tr>
      <w:tr>
        <w:trPr>
          <w:trHeight w:val="206" w:hRule="atLeast"/>
        </w:trPr>
        <w:tc>
          <w:tcPr>
            <w:tcW w:w="1318" w:type="dxa"/>
          </w:tcPr>
          <w:p>
            <w:pPr>
              <w:pStyle w:val="TableParagraph"/>
              <w:spacing w:line="186" w:lineRule="exact"/>
              <w:ind w:left="9"/>
              <w:jc w:val="center"/>
              <w:rPr>
                <w:rFonts w:ascii="Arial"/>
                <w:b/>
                <w:sz w:val="18"/>
              </w:rPr>
            </w:pPr>
            <w:r>
              <w:rPr>
                <w:rFonts w:ascii="Arial"/>
                <w:b/>
                <w:spacing w:val="-2"/>
                <w:sz w:val="18"/>
              </w:rPr>
              <w:t>2806100000</w:t>
            </w:r>
          </w:p>
        </w:tc>
        <w:tc>
          <w:tcPr>
            <w:tcW w:w="3836" w:type="dxa"/>
          </w:tcPr>
          <w:p>
            <w:pPr>
              <w:pStyle w:val="TableParagraph"/>
              <w:spacing w:line="186" w:lineRule="exact"/>
              <w:ind w:left="108"/>
              <w:rPr>
                <w:sz w:val="18"/>
              </w:rPr>
            </w:pPr>
            <w:r>
              <w:rPr>
                <w:sz w:val="18"/>
              </w:rPr>
              <w:t>-</w:t>
            </w:r>
            <w:r>
              <w:rPr>
                <w:spacing w:val="-3"/>
                <w:sz w:val="18"/>
              </w:rPr>
              <w:t> </w:t>
            </w:r>
            <w:r>
              <w:rPr>
                <w:sz w:val="18"/>
              </w:rPr>
              <w:t>Cloruro</w:t>
            </w:r>
            <w:r>
              <w:rPr>
                <w:spacing w:val="-5"/>
                <w:sz w:val="18"/>
              </w:rPr>
              <w:t> </w:t>
            </w:r>
            <w:r>
              <w:rPr>
                <w:sz w:val="18"/>
              </w:rPr>
              <w:t>de</w:t>
            </w:r>
            <w:r>
              <w:rPr>
                <w:spacing w:val="-2"/>
                <w:sz w:val="18"/>
              </w:rPr>
              <w:t> </w:t>
            </w:r>
            <w:r>
              <w:rPr>
                <w:sz w:val="18"/>
              </w:rPr>
              <w:t>hidrógeno</w:t>
            </w:r>
            <w:r>
              <w:rPr>
                <w:spacing w:val="-3"/>
                <w:sz w:val="18"/>
              </w:rPr>
              <w:t> </w:t>
            </w:r>
            <w:r>
              <w:rPr>
                <w:sz w:val="18"/>
              </w:rPr>
              <w:t>(ácido</w:t>
            </w:r>
            <w:r>
              <w:rPr>
                <w:spacing w:val="-6"/>
                <w:sz w:val="18"/>
              </w:rPr>
              <w:t> </w:t>
            </w:r>
            <w:r>
              <w:rPr>
                <w:spacing w:val="-2"/>
                <w:sz w:val="18"/>
              </w:rPr>
              <w:t>clorhídrico)</w:t>
            </w:r>
          </w:p>
        </w:tc>
      </w:tr>
      <w:tr>
        <w:trPr>
          <w:trHeight w:val="208" w:hRule="atLeast"/>
        </w:trPr>
        <w:tc>
          <w:tcPr>
            <w:tcW w:w="1318" w:type="dxa"/>
          </w:tcPr>
          <w:p>
            <w:pPr>
              <w:pStyle w:val="TableParagraph"/>
              <w:spacing w:line="188" w:lineRule="exact"/>
              <w:ind w:left="9"/>
              <w:jc w:val="center"/>
              <w:rPr>
                <w:rFonts w:ascii="Arial"/>
                <w:b/>
                <w:sz w:val="18"/>
              </w:rPr>
            </w:pPr>
            <w:r>
              <w:rPr>
                <w:rFonts w:ascii="Arial"/>
                <w:b/>
                <w:spacing w:val="-2"/>
                <w:sz w:val="18"/>
              </w:rPr>
              <w:t>2909110000</w:t>
            </w:r>
          </w:p>
        </w:tc>
        <w:tc>
          <w:tcPr>
            <w:tcW w:w="3836" w:type="dxa"/>
          </w:tcPr>
          <w:p>
            <w:pPr>
              <w:pStyle w:val="TableParagraph"/>
              <w:spacing w:line="188" w:lineRule="exact"/>
              <w:ind w:left="108"/>
              <w:rPr>
                <w:sz w:val="18"/>
              </w:rPr>
            </w:pPr>
            <w:r>
              <w:rPr>
                <w:sz w:val="18"/>
              </w:rPr>
              <w:t>-</w:t>
            </w:r>
            <w:r>
              <w:rPr>
                <w:spacing w:val="-3"/>
                <w:sz w:val="18"/>
              </w:rPr>
              <w:t> </w:t>
            </w:r>
            <w:r>
              <w:rPr>
                <w:sz w:val="18"/>
              </w:rPr>
              <w:t>-</w:t>
            </w:r>
            <w:r>
              <w:rPr>
                <w:spacing w:val="-2"/>
                <w:sz w:val="18"/>
              </w:rPr>
              <w:t> </w:t>
            </w:r>
            <w:r>
              <w:rPr>
                <w:sz w:val="18"/>
              </w:rPr>
              <w:t>Eter</w:t>
            </w:r>
            <w:r>
              <w:rPr>
                <w:spacing w:val="-2"/>
                <w:sz w:val="18"/>
              </w:rPr>
              <w:t> </w:t>
            </w:r>
            <w:r>
              <w:rPr>
                <w:sz w:val="18"/>
              </w:rPr>
              <w:t>dietílico</w:t>
            </w:r>
            <w:r>
              <w:rPr>
                <w:spacing w:val="-2"/>
                <w:sz w:val="18"/>
              </w:rPr>
              <w:t> </w:t>
            </w:r>
            <w:r>
              <w:rPr>
                <w:sz w:val="18"/>
              </w:rPr>
              <w:t>(óxido</w:t>
            </w:r>
            <w:r>
              <w:rPr>
                <w:spacing w:val="-2"/>
                <w:sz w:val="18"/>
              </w:rPr>
              <w:t> </w:t>
            </w:r>
            <w:r>
              <w:rPr>
                <w:sz w:val="18"/>
              </w:rPr>
              <w:t>de</w:t>
            </w:r>
            <w:r>
              <w:rPr>
                <w:spacing w:val="-3"/>
                <w:sz w:val="18"/>
              </w:rPr>
              <w:t> </w:t>
            </w:r>
            <w:r>
              <w:rPr>
                <w:spacing w:val="-2"/>
                <w:sz w:val="18"/>
              </w:rPr>
              <w:t>dietilo)</w:t>
            </w:r>
          </w:p>
        </w:tc>
      </w:tr>
    </w:tbl>
    <w:p>
      <w:pPr>
        <w:spacing w:before="0"/>
        <w:ind w:left="2128" w:right="5189" w:firstLine="0"/>
        <w:jc w:val="left"/>
        <w:rPr>
          <w:rFonts w:ascii="Arial" w:hAnsi="Arial"/>
          <w:b/>
          <w:sz w:val="16"/>
        </w:rPr>
      </w:pPr>
      <w:r>
        <w:rPr>
          <w:rFonts w:ascii="Arial" w:hAnsi="Arial"/>
          <w:b/>
          <w:sz w:val="16"/>
        </w:rPr>
        <w:t>Fuente:</w:t>
      </w:r>
      <w:r>
        <w:rPr>
          <w:rFonts w:ascii="Arial" w:hAnsi="Arial"/>
          <w:b/>
          <w:spacing w:val="-9"/>
          <w:sz w:val="16"/>
        </w:rPr>
        <w:t> </w:t>
      </w:r>
      <w:r>
        <w:rPr>
          <w:rFonts w:ascii="Arial" w:hAnsi="Arial"/>
          <w:b/>
          <w:sz w:val="16"/>
        </w:rPr>
        <w:t>Decreto</w:t>
      </w:r>
      <w:r>
        <w:rPr>
          <w:rFonts w:ascii="Arial" w:hAnsi="Arial"/>
          <w:b/>
          <w:spacing w:val="-9"/>
          <w:sz w:val="16"/>
        </w:rPr>
        <w:t> </w:t>
      </w:r>
      <w:r>
        <w:rPr>
          <w:rFonts w:ascii="Arial" w:hAnsi="Arial"/>
          <w:b/>
          <w:sz w:val="16"/>
        </w:rPr>
        <w:t>0170</w:t>
      </w:r>
      <w:r>
        <w:rPr>
          <w:rFonts w:ascii="Arial" w:hAnsi="Arial"/>
          <w:b/>
          <w:spacing w:val="-10"/>
          <w:sz w:val="16"/>
        </w:rPr>
        <w:t> </w:t>
      </w:r>
      <w:r>
        <w:rPr>
          <w:rFonts w:ascii="Arial" w:hAnsi="Arial"/>
          <w:b/>
          <w:sz w:val="16"/>
        </w:rPr>
        <w:t>–</w:t>
      </w:r>
      <w:r>
        <w:rPr>
          <w:rFonts w:ascii="Arial" w:hAnsi="Arial"/>
          <w:b/>
          <w:spacing w:val="-12"/>
          <w:sz w:val="16"/>
        </w:rPr>
        <w:t> </w:t>
      </w:r>
      <w:r>
        <w:rPr>
          <w:rFonts w:ascii="Arial" w:hAnsi="Arial"/>
          <w:b/>
          <w:sz w:val="16"/>
        </w:rPr>
        <w:t>DIAN</w:t>
      </w:r>
      <w:hyperlink w:history="true" w:anchor="_bookmark180">
        <w:r>
          <w:rPr>
            <w:rFonts w:ascii="Arial" w:hAnsi="Arial"/>
            <w:b/>
            <w:sz w:val="16"/>
            <w:vertAlign w:val="superscript"/>
          </w:rPr>
          <w:t>113</w:t>
        </w:r>
        <w:r>
          <w:rPr>
            <w:rFonts w:ascii="Arial" w:hAnsi="Arial"/>
            <w:b/>
            <w:sz w:val="16"/>
            <w:vertAlign w:val="baseline"/>
          </w:rPr>
          <w:t>.</w:t>
        </w:r>
      </w:hyperlink>
      <w:r>
        <w:rPr>
          <w:rFonts w:ascii="Arial" w:hAnsi="Arial"/>
          <w:b/>
          <w:sz w:val="16"/>
          <w:vertAlign w:val="baseline"/>
        </w:rPr>
        <w:t> Elaboración: SGCAN.</w:t>
      </w:r>
    </w:p>
    <w:p>
      <w:pPr>
        <w:pStyle w:val="BodyText"/>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82" w:hanging="567"/>
        <w:jc w:val="both"/>
        <w:rPr>
          <w:rFonts w:ascii="Arial" w:hAnsi="Arial"/>
          <w:i/>
          <w:sz w:val="22"/>
        </w:rPr>
      </w:pPr>
      <w:r>
        <w:rPr>
          <w:sz w:val="22"/>
        </w:rPr>
        <w:t>La República de Colombia afirma que tiene un compromiso contra el fentanilo, </w:t>
      </w:r>
      <w:r>
        <w:rPr>
          <w:rFonts w:ascii="Arial" w:hAnsi="Arial"/>
          <w:i/>
          <w:sz w:val="22"/>
        </w:rPr>
        <w:t>“reconociendo esta sustancia como una amenaza emergente para la salud pública, la seguridad ciudadana y la estabilidad institucional en el marco de las dinámicas de narcotráfico transnacional.”</w:t>
      </w:r>
      <w:hyperlink w:history="true" w:anchor="_bookmark181">
        <w:r>
          <w:rPr>
            <w:rFonts w:ascii="Arial" w:hAnsi="Arial"/>
            <w:i/>
            <w:sz w:val="22"/>
            <w:vertAlign w:val="superscript"/>
          </w:rPr>
          <w:t>114</w:t>
        </w:r>
      </w:hyperlink>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Precisa que es deber estatal prevenir y mitigar el uso indebido de las denominadas drogas sintéticas y que por tanto se “</w:t>
      </w:r>
      <w:r>
        <w:rPr>
          <w:rFonts w:ascii="Arial" w:hAnsi="Arial"/>
          <w:i/>
          <w:sz w:val="22"/>
        </w:rPr>
        <w:t>adoptaron lineamientos que permiten controlar y vigilar las sustancias y elementos que puedan introducirse, sacarse del país, transportarse o tenerse en poder para el procesamiento ilícito de estupefacientes, incluido el fentanilo</w:t>
      </w:r>
      <w:r>
        <w:rPr>
          <w:sz w:val="22"/>
        </w:rPr>
        <w:t>”</w:t>
      </w:r>
      <w:hyperlink w:history="true" w:anchor="_bookmark182">
        <w:r>
          <w:rPr>
            <w:sz w:val="22"/>
            <w:vertAlign w:val="superscript"/>
          </w:rPr>
          <w:t>115</w:t>
        </w:r>
        <w:r>
          <w:rPr>
            <w:sz w:val="22"/>
            <w:vertAlign w:val="baseline"/>
          </w:rPr>
          <w:t>.</w:t>
        </w:r>
      </w:hyperlink>
    </w:p>
    <w:p>
      <w:pPr>
        <w:pStyle w:val="ListParagraph"/>
        <w:numPr>
          <w:ilvl w:val="0"/>
          <w:numId w:val="50"/>
        </w:numPr>
        <w:tabs>
          <w:tab w:pos="1130" w:val="left" w:leader="none"/>
          <w:tab w:pos="1134" w:val="left" w:leader="none"/>
        </w:tabs>
        <w:spacing w:line="240" w:lineRule="auto" w:before="252" w:after="0"/>
        <w:ind w:left="1134" w:right="978" w:hanging="567"/>
        <w:jc w:val="both"/>
        <w:rPr>
          <w:sz w:val="22"/>
        </w:rPr>
      </w:pPr>
      <w:r>
        <w:rPr>
          <w:sz w:val="22"/>
        </w:rPr>
        <w:t>Asimismo,</w:t>
      </w:r>
      <w:r>
        <w:rPr>
          <w:spacing w:val="-13"/>
          <w:sz w:val="22"/>
        </w:rPr>
        <w:t> </w:t>
      </w:r>
      <w:r>
        <w:rPr>
          <w:sz w:val="22"/>
        </w:rPr>
        <w:t>se</w:t>
      </w:r>
      <w:r>
        <w:rPr>
          <w:spacing w:val="-14"/>
          <w:sz w:val="22"/>
        </w:rPr>
        <w:t> </w:t>
      </w:r>
      <w:r>
        <w:rPr>
          <w:sz w:val="22"/>
        </w:rPr>
        <w:t>menciona</w:t>
      </w:r>
      <w:r>
        <w:rPr>
          <w:spacing w:val="-16"/>
          <w:sz w:val="22"/>
        </w:rPr>
        <w:t> </w:t>
      </w:r>
      <w:r>
        <w:rPr>
          <w:sz w:val="22"/>
        </w:rPr>
        <w:t>que</w:t>
      </w:r>
      <w:r>
        <w:rPr>
          <w:spacing w:val="-10"/>
          <w:sz w:val="22"/>
        </w:rPr>
        <w:t> </w:t>
      </w:r>
      <w:r>
        <w:rPr>
          <w:sz w:val="22"/>
        </w:rPr>
        <w:t>existiría</w:t>
      </w:r>
      <w:r>
        <w:rPr>
          <w:spacing w:val="-11"/>
          <w:sz w:val="22"/>
        </w:rPr>
        <w:t> </w:t>
      </w:r>
      <w:r>
        <w:rPr>
          <w:sz w:val="22"/>
        </w:rPr>
        <w:t>una</w:t>
      </w:r>
      <w:r>
        <w:rPr>
          <w:spacing w:val="-11"/>
          <w:sz w:val="22"/>
        </w:rPr>
        <w:t> </w:t>
      </w:r>
      <w:r>
        <w:rPr>
          <w:sz w:val="22"/>
        </w:rPr>
        <w:t>actualización</w:t>
      </w:r>
      <w:r>
        <w:rPr>
          <w:spacing w:val="-12"/>
          <w:sz w:val="22"/>
        </w:rPr>
        <w:t> </w:t>
      </w:r>
      <w:r>
        <w:rPr>
          <w:sz w:val="22"/>
        </w:rPr>
        <w:t>de</w:t>
      </w:r>
      <w:r>
        <w:rPr>
          <w:spacing w:val="-12"/>
          <w:sz w:val="22"/>
        </w:rPr>
        <w:t> </w:t>
      </w:r>
      <w:r>
        <w:rPr>
          <w:sz w:val="22"/>
        </w:rPr>
        <w:t>la</w:t>
      </w:r>
      <w:r>
        <w:rPr>
          <w:spacing w:val="-11"/>
          <w:sz w:val="22"/>
        </w:rPr>
        <w:t> </w:t>
      </w:r>
      <w:r>
        <w:rPr>
          <w:sz w:val="22"/>
        </w:rPr>
        <w:t>normativa</w:t>
      </w:r>
      <w:r>
        <w:rPr>
          <w:spacing w:val="-14"/>
          <w:sz w:val="22"/>
        </w:rPr>
        <w:t> </w:t>
      </w:r>
      <w:r>
        <w:rPr>
          <w:sz w:val="22"/>
        </w:rPr>
        <w:t>relativa</w:t>
      </w:r>
      <w:r>
        <w:rPr>
          <w:spacing w:val="-12"/>
          <w:sz w:val="22"/>
        </w:rPr>
        <w:t> </w:t>
      </w:r>
      <w:r>
        <w:rPr>
          <w:sz w:val="22"/>
        </w:rPr>
        <w:t>al</w:t>
      </w:r>
      <w:r>
        <w:rPr>
          <w:spacing w:val="-12"/>
          <w:sz w:val="22"/>
        </w:rPr>
        <w:t> </w:t>
      </w:r>
      <w:r>
        <w:rPr>
          <w:sz w:val="22"/>
        </w:rPr>
        <w:t>control de</w:t>
      </w:r>
      <w:r>
        <w:rPr>
          <w:spacing w:val="-10"/>
          <w:sz w:val="22"/>
        </w:rPr>
        <w:t> </w:t>
      </w:r>
      <w:r>
        <w:rPr>
          <w:sz w:val="22"/>
        </w:rPr>
        <w:t>sustancias</w:t>
      </w:r>
      <w:r>
        <w:rPr>
          <w:spacing w:val="-10"/>
          <w:sz w:val="22"/>
        </w:rPr>
        <w:t> </w:t>
      </w:r>
      <w:r>
        <w:rPr>
          <w:sz w:val="22"/>
        </w:rPr>
        <w:t>y</w:t>
      </w:r>
      <w:r>
        <w:rPr>
          <w:spacing w:val="-9"/>
          <w:sz w:val="22"/>
        </w:rPr>
        <w:t> </w:t>
      </w:r>
      <w:r>
        <w:rPr>
          <w:sz w:val="22"/>
        </w:rPr>
        <w:t>productos</w:t>
      </w:r>
      <w:r>
        <w:rPr>
          <w:spacing w:val="-9"/>
          <w:sz w:val="22"/>
        </w:rPr>
        <w:t> </w:t>
      </w:r>
      <w:r>
        <w:rPr>
          <w:sz w:val="22"/>
        </w:rPr>
        <w:t>químicos</w:t>
      </w:r>
      <w:r>
        <w:rPr>
          <w:spacing w:val="-12"/>
          <w:sz w:val="22"/>
        </w:rPr>
        <w:t> </w:t>
      </w:r>
      <w:r>
        <w:rPr>
          <w:sz w:val="22"/>
        </w:rPr>
        <w:t>empleados</w:t>
      </w:r>
      <w:r>
        <w:rPr>
          <w:spacing w:val="-9"/>
          <w:sz w:val="22"/>
        </w:rPr>
        <w:t> </w:t>
      </w:r>
      <w:r>
        <w:rPr>
          <w:sz w:val="22"/>
        </w:rPr>
        <w:t>en</w:t>
      </w:r>
      <w:r>
        <w:rPr>
          <w:spacing w:val="-10"/>
          <w:sz w:val="22"/>
        </w:rPr>
        <w:t> </w:t>
      </w:r>
      <w:r>
        <w:rPr>
          <w:sz w:val="22"/>
        </w:rPr>
        <w:t>la</w:t>
      </w:r>
      <w:r>
        <w:rPr>
          <w:spacing w:val="-10"/>
          <w:sz w:val="22"/>
        </w:rPr>
        <w:t> </w:t>
      </w:r>
      <w:r>
        <w:rPr>
          <w:sz w:val="22"/>
        </w:rPr>
        <w:t>producción</w:t>
      </w:r>
      <w:r>
        <w:rPr>
          <w:spacing w:val="-10"/>
          <w:sz w:val="22"/>
        </w:rPr>
        <w:t> </w:t>
      </w:r>
      <w:r>
        <w:rPr>
          <w:sz w:val="22"/>
        </w:rPr>
        <w:t>de</w:t>
      </w:r>
      <w:r>
        <w:rPr>
          <w:spacing w:val="-10"/>
          <w:sz w:val="22"/>
        </w:rPr>
        <w:t> </w:t>
      </w:r>
      <w:r>
        <w:rPr>
          <w:sz w:val="22"/>
        </w:rPr>
        <w:t>fentanilo,</w:t>
      </w:r>
      <w:r>
        <w:rPr>
          <w:spacing w:val="-5"/>
          <w:sz w:val="22"/>
        </w:rPr>
        <w:t> </w:t>
      </w:r>
      <w:r>
        <w:rPr>
          <w:sz w:val="22"/>
        </w:rPr>
        <w:t>contenida en la Resolución 0004 del 2 de diciembre de 2025.</w:t>
      </w:r>
    </w:p>
    <w:p>
      <w:pPr>
        <w:pStyle w:val="BodyText"/>
        <w:spacing w:before="1"/>
      </w:pPr>
    </w:p>
    <w:p>
      <w:pPr>
        <w:pStyle w:val="Heading6"/>
        <w:numPr>
          <w:ilvl w:val="0"/>
          <w:numId w:val="115"/>
        </w:numPr>
        <w:tabs>
          <w:tab w:pos="1986" w:val="left" w:leader="none"/>
        </w:tabs>
        <w:spacing w:line="240" w:lineRule="auto" w:before="0" w:after="0"/>
        <w:ind w:left="1986" w:right="0" w:hanging="501"/>
        <w:jc w:val="left"/>
      </w:pPr>
      <w:r>
        <w:rPr/>
        <w:t>Argumentos</w:t>
      </w:r>
      <w:r>
        <w:rPr>
          <w:spacing w:val="-6"/>
        </w:rPr>
        <w:t> </w:t>
      </w:r>
      <w:r>
        <w:rPr/>
        <w:t>de</w:t>
      </w:r>
      <w:r>
        <w:rPr>
          <w:spacing w:val="-6"/>
        </w:rPr>
        <w:t> </w:t>
      </w:r>
      <w:r>
        <w:rPr/>
        <w:t>la</w:t>
      </w:r>
      <w:r>
        <w:rPr>
          <w:spacing w:val="-3"/>
        </w:rPr>
        <w:t> </w:t>
      </w:r>
      <w:r>
        <w:rPr/>
        <w:t>República</w:t>
      </w:r>
      <w:r>
        <w:rPr>
          <w:spacing w:val="-6"/>
        </w:rPr>
        <w:t> </w:t>
      </w:r>
      <w:r>
        <w:rPr/>
        <w:t>del</w:t>
      </w:r>
      <w:r>
        <w:rPr>
          <w:spacing w:val="-4"/>
        </w:rPr>
        <w:t> </w:t>
      </w:r>
      <w:r>
        <w:rPr>
          <w:spacing w:val="-2"/>
        </w:rPr>
        <w:t>Ecuador</w:t>
      </w:r>
    </w:p>
    <w:p>
      <w:pPr>
        <w:pStyle w:val="ListParagraph"/>
        <w:numPr>
          <w:ilvl w:val="0"/>
          <w:numId w:val="50"/>
        </w:numPr>
        <w:tabs>
          <w:tab w:pos="1130" w:val="left" w:leader="none"/>
          <w:tab w:pos="1134" w:val="left" w:leader="none"/>
        </w:tabs>
        <w:spacing w:line="240" w:lineRule="auto" w:before="252" w:after="0"/>
        <w:ind w:left="1134" w:right="979" w:hanging="567"/>
        <w:jc w:val="both"/>
        <w:rPr>
          <w:rFonts w:ascii="Arial" w:hAnsi="Arial"/>
          <w:i/>
          <w:sz w:val="22"/>
        </w:rPr>
      </w:pPr>
      <w:r>
        <w:rPr>
          <w:sz w:val="22"/>
        </w:rPr>
        <w:t>En la solicitud presentada por la República del Ecuador no se menciona manera específica a las subpartidas del artículo 3 del Decreto 0170. En el informe presentado como</w:t>
      </w:r>
      <w:r>
        <w:rPr>
          <w:spacing w:val="-15"/>
          <w:sz w:val="22"/>
        </w:rPr>
        <w:t> </w:t>
      </w:r>
      <w:r>
        <w:rPr>
          <w:sz w:val="22"/>
        </w:rPr>
        <w:t>anexo</w:t>
      </w:r>
      <w:r>
        <w:rPr>
          <w:spacing w:val="-16"/>
          <w:sz w:val="22"/>
        </w:rPr>
        <w:t> </w:t>
      </w:r>
      <w:r>
        <w:rPr>
          <w:sz w:val="22"/>
        </w:rPr>
        <w:t>mencionan</w:t>
      </w:r>
      <w:r>
        <w:rPr>
          <w:spacing w:val="-14"/>
          <w:sz w:val="22"/>
        </w:rPr>
        <w:t> </w:t>
      </w:r>
      <w:r>
        <w:rPr>
          <w:sz w:val="22"/>
        </w:rPr>
        <w:t>“</w:t>
      </w:r>
      <w:r>
        <w:rPr>
          <w:rFonts w:ascii="Arial" w:hAnsi="Arial"/>
          <w:i/>
          <w:sz w:val="22"/>
        </w:rPr>
        <w:t>que</w:t>
      </w:r>
      <w:r>
        <w:rPr>
          <w:rFonts w:ascii="Arial" w:hAnsi="Arial"/>
          <w:i/>
          <w:spacing w:val="-12"/>
          <w:sz w:val="22"/>
        </w:rPr>
        <w:t> </w:t>
      </w:r>
      <w:r>
        <w:rPr>
          <w:rFonts w:ascii="Arial" w:hAnsi="Arial"/>
          <w:i/>
          <w:sz w:val="22"/>
        </w:rPr>
        <w:t>Ecuador</w:t>
      </w:r>
      <w:r>
        <w:rPr>
          <w:rFonts w:ascii="Arial" w:hAnsi="Arial"/>
          <w:i/>
          <w:spacing w:val="-13"/>
          <w:sz w:val="22"/>
        </w:rPr>
        <w:t> </w:t>
      </w:r>
      <w:r>
        <w:rPr>
          <w:rFonts w:ascii="Arial" w:hAnsi="Arial"/>
          <w:i/>
          <w:sz w:val="22"/>
        </w:rPr>
        <w:t>no</w:t>
      </w:r>
      <w:r>
        <w:rPr>
          <w:rFonts w:ascii="Arial" w:hAnsi="Arial"/>
          <w:i/>
          <w:spacing w:val="-15"/>
          <w:sz w:val="22"/>
        </w:rPr>
        <w:t> </w:t>
      </w:r>
      <w:r>
        <w:rPr>
          <w:rFonts w:ascii="Arial" w:hAnsi="Arial"/>
          <w:i/>
          <w:sz w:val="22"/>
        </w:rPr>
        <w:t>realizó</w:t>
      </w:r>
      <w:r>
        <w:rPr>
          <w:rFonts w:ascii="Arial" w:hAnsi="Arial"/>
          <w:i/>
          <w:spacing w:val="-15"/>
          <w:sz w:val="22"/>
        </w:rPr>
        <w:t> </w:t>
      </w:r>
      <w:r>
        <w:rPr>
          <w:rFonts w:ascii="Arial" w:hAnsi="Arial"/>
          <w:i/>
          <w:sz w:val="22"/>
        </w:rPr>
        <w:t>exportaciones</w:t>
      </w:r>
      <w:r>
        <w:rPr>
          <w:rFonts w:ascii="Arial" w:hAnsi="Arial"/>
          <w:i/>
          <w:spacing w:val="-15"/>
          <w:sz w:val="22"/>
        </w:rPr>
        <w:t> </w:t>
      </w:r>
      <w:r>
        <w:rPr>
          <w:rFonts w:ascii="Arial" w:hAnsi="Arial"/>
          <w:i/>
          <w:sz w:val="22"/>
        </w:rPr>
        <w:t>en</w:t>
      </w:r>
      <w:r>
        <w:rPr>
          <w:rFonts w:ascii="Arial" w:hAnsi="Arial"/>
          <w:i/>
          <w:spacing w:val="-15"/>
          <w:sz w:val="22"/>
        </w:rPr>
        <w:t> </w:t>
      </w:r>
      <w:r>
        <w:rPr>
          <w:rFonts w:ascii="Arial" w:hAnsi="Arial"/>
          <w:i/>
          <w:sz w:val="22"/>
        </w:rPr>
        <w:t>el</w:t>
      </w:r>
      <w:r>
        <w:rPr>
          <w:rFonts w:ascii="Arial" w:hAnsi="Arial"/>
          <w:i/>
          <w:spacing w:val="-16"/>
          <w:sz w:val="22"/>
        </w:rPr>
        <w:t> </w:t>
      </w:r>
      <w:r>
        <w:rPr>
          <w:rFonts w:ascii="Arial" w:hAnsi="Arial"/>
          <w:i/>
          <w:sz w:val="22"/>
        </w:rPr>
        <w:t>período</w:t>
      </w:r>
      <w:r>
        <w:rPr>
          <w:rFonts w:ascii="Arial" w:hAnsi="Arial"/>
          <w:i/>
          <w:spacing w:val="-11"/>
          <w:sz w:val="22"/>
        </w:rPr>
        <w:t> </w:t>
      </w:r>
      <w:r>
        <w:rPr>
          <w:rFonts w:ascii="Arial" w:hAnsi="Arial"/>
          <w:i/>
          <w:sz w:val="22"/>
        </w:rPr>
        <w:t>2023-2025 de las tres subpartidas arancelarias incluidas en el artículo 3 del Decreto 0170 que según menciona el instrumento son utilizadas en la producción de fentanilo.”</w:t>
      </w:r>
      <w:hyperlink w:history="true" w:anchor="_bookmark183">
        <w:r>
          <w:rPr>
            <w:rFonts w:ascii="Arial" w:hAnsi="Arial"/>
            <w:i/>
            <w:sz w:val="22"/>
            <w:vertAlign w:val="superscript"/>
          </w:rPr>
          <w:t>116</w:t>
        </w:r>
      </w:hyperlink>
    </w:p>
    <w:p>
      <w:pPr>
        <w:pStyle w:val="BodyText"/>
        <w:rPr>
          <w:rFonts w:ascii="Arial"/>
          <w:i/>
        </w:rPr>
      </w:pPr>
    </w:p>
    <w:p>
      <w:pPr>
        <w:pStyle w:val="Heading6"/>
        <w:numPr>
          <w:ilvl w:val="0"/>
          <w:numId w:val="116"/>
        </w:numPr>
        <w:tabs>
          <w:tab w:pos="1986" w:val="left" w:leader="none"/>
        </w:tabs>
        <w:spacing w:line="240" w:lineRule="auto" w:before="0" w:after="0"/>
        <w:ind w:left="1986" w:right="0" w:hanging="566"/>
        <w:jc w:val="left"/>
      </w:pPr>
      <w:r>
        <w:rPr/>
        <w:t>Argumentos</w:t>
      </w:r>
      <w:r>
        <w:rPr>
          <w:spacing w:val="-6"/>
        </w:rPr>
        <w:t> </w:t>
      </w:r>
      <w:r>
        <w:rPr/>
        <w:t>de</w:t>
      </w:r>
      <w:r>
        <w:rPr>
          <w:spacing w:val="-5"/>
        </w:rPr>
        <w:t> </w:t>
      </w:r>
      <w:r>
        <w:rPr/>
        <w:t>la</w:t>
      </w:r>
      <w:r>
        <w:rPr>
          <w:spacing w:val="-4"/>
        </w:rPr>
        <w:t> </w:t>
      </w:r>
      <w:r>
        <w:rPr/>
        <w:t>República</w:t>
      </w:r>
      <w:r>
        <w:rPr>
          <w:spacing w:val="-5"/>
        </w:rPr>
        <w:t> </w:t>
      </w:r>
      <w:r>
        <w:rPr/>
        <w:t>de</w:t>
      </w:r>
      <w:r>
        <w:rPr>
          <w:spacing w:val="-3"/>
        </w:rPr>
        <w:t> </w:t>
      </w:r>
      <w:r>
        <w:rPr>
          <w:spacing w:val="-2"/>
        </w:rPr>
        <w:t>Colombia</w:t>
      </w:r>
    </w:p>
    <w:p>
      <w:pPr>
        <w:pStyle w:val="BodyText"/>
        <w:rPr>
          <w:rFonts w:ascii="Arial"/>
          <w:b/>
          <w:sz w:val="20"/>
        </w:rPr>
      </w:pPr>
    </w:p>
    <w:p>
      <w:pPr>
        <w:pStyle w:val="BodyText"/>
        <w:spacing w:before="154"/>
        <w:rPr>
          <w:rFonts w:ascii="Arial"/>
          <w:b/>
          <w:sz w:val="20"/>
        </w:rPr>
      </w:pPr>
      <w:r>
        <w:rPr>
          <w:rFonts w:ascii="Arial"/>
          <w:b/>
          <w:sz w:val="20"/>
        </w:rPr>
        <mc:AlternateContent>
          <mc:Choice Requires="wps">
            <w:drawing>
              <wp:anchor distT="0" distB="0" distL="0" distR="0" allowOverlap="1" layoutInCell="1" locked="0" behindDoc="1" simplePos="0" relativeHeight="487666176">
                <wp:simplePos x="0" y="0"/>
                <wp:positionH relativeFrom="page">
                  <wp:posOffset>990904</wp:posOffset>
                </wp:positionH>
                <wp:positionV relativeFrom="paragraph">
                  <wp:posOffset>259564</wp:posOffset>
                </wp:positionV>
                <wp:extent cx="1829435" cy="7620"/>
                <wp:effectExtent l="0" t="0" r="0" b="0"/>
                <wp:wrapTopAndBottom/>
                <wp:docPr id="649" name="Graphic 649"/>
                <wp:cNvGraphicFramePr>
                  <a:graphicFrameLocks/>
                </wp:cNvGraphicFramePr>
                <a:graphic>
                  <a:graphicData uri="http://schemas.microsoft.com/office/word/2010/wordprocessingShape">
                    <wps:wsp>
                      <wps:cNvPr id="649" name="Graphic 649"/>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20.438189pt;width:144.020pt;height:.599980pt;mso-position-horizontal-relative:page;mso-position-vertical-relative:paragraph;z-index:-15650304;mso-wrap-distance-left:0;mso-wrap-distance-right:0" id="docshape438" filled="true" fillcolor="#000000" stroked="false">
                <v:fill type="solid"/>
                <w10:wrap type="topAndBottom"/>
              </v:rect>
            </w:pict>
          </mc:Fallback>
        </mc:AlternateContent>
      </w:r>
    </w:p>
    <w:p>
      <w:pPr>
        <w:tabs>
          <w:tab w:pos="1177" w:val="left" w:leader="none"/>
          <w:tab w:pos="2252" w:val="left" w:leader="none"/>
          <w:tab w:pos="3341" w:val="left" w:leader="none"/>
          <w:tab w:pos="3907" w:val="left" w:leader="none"/>
          <w:tab w:pos="4991" w:val="left" w:leader="none"/>
          <w:tab w:pos="5905" w:val="left" w:leader="none"/>
          <w:tab w:pos="6557" w:val="left" w:leader="none"/>
          <w:tab w:pos="7286" w:val="left" w:leader="none"/>
          <w:tab w:pos="8020" w:val="left" w:leader="none"/>
          <w:tab w:pos="8642" w:val="left" w:leader="none"/>
          <w:tab w:pos="9208" w:val="left" w:leader="none"/>
        </w:tabs>
        <w:spacing w:before="93"/>
        <w:ind w:left="568" w:right="987" w:firstLine="0"/>
        <w:jc w:val="left"/>
        <w:rPr>
          <w:sz w:val="16"/>
        </w:rPr>
      </w:pPr>
      <w:bookmarkStart w:name="_bookmark180" w:id="181"/>
      <w:bookmarkEnd w:id="181"/>
      <w:r>
        <w:rPr/>
      </w:r>
      <w:r>
        <w:rPr>
          <w:spacing w:val="-4"/>
          <w:sz w:val="16"/>
          <w:vertAlign w:val="superscript"/>
        </w:rPr>
        <w:t>113</w:t>
      </w:r>
      <w:r>
        <w:rPr>
          <w:sz w:val="16"/>
          <w:vertAlign w:val="baseline"/>
        </w:rPr>
        <w:tab/>
      </w:r>
      <w:r>
        <w:rPr>
          <w:spacing w:val="-2"/>
          <w:sz w:val="16"/>
          <w:vertAlign w:val="baseline"/>
        </w:rPr>
        <w:t>Consulta</w:t>
      </w:r>
      <w:r>
        <w:rPr>
          <w:sz w:val="16"/>
          <w:vertAlign w:val="baseline"/>
        </w:rPr>
        <w:tab/>
      </w:r>
      <w:r>
        <w:rPr>
          <w:spacing w:val="-2"/>
          <w:sz w:val="16"/>
          <w:vertAlign w:val="baseline"/>
        </w:rPr>
        <w:t>realizada</w:t>
      </w:r>
      <w:r>
        <w:rPr>
          <w:sz w:val="16"/>
          <w:vertAlign w:val="baseline"/>
        </w:rPr>
        <w:tab/>
      </w:r>
      <w:r>
        <w:rPr>
          <w:spacing w:val="-6"/>
          <w:sz w:val="16"/>
          <w:vertAlign w:val="baseline"/>
        </w:rPr>
        <w:t>el</w:t>
      </w:r>
      <w:r>
        <w:rPr>
          <w:sz w:val="16"/>
          <w:vertAlign w:val="baseline"/>
        </w:rPr>
        <w:tab/>
      </w:r>
      <w:r>
        <w:rPr>
          <w:spacing w:val="-2"/>
          <w:sz w:val="16"/>
          <w:vertAlign w:val="baseline"/>
        </w:rPr>
        <w:t>siguiente</w:t>
      </w:r>
      <w:r>
        <w:rPr>
          <w:sz w:val="16"/>
          <w:vertAlign w:val="baseline"/>
        </w:rPr>
        <w:tab/>
      </w:r>
      <w:r>
        <w:rPr>
          <w:spacing w:val="-2"/>
          <w:sz w:val="16"/>
          <w:vertAlign w:val="baseline"/>
        </w:rPr>
        <w:t>enlace</w:t>
      </w:r>
      <w:r>
        <w:rPr>
          <w:sz w:val="16"/>
          <w:vertAlign w:val="baseline"/>
        </w:rPr>
        <w:tab/>
      </w:r>
      <w:r>
        <w:rPr>
          <w:spacing w:val="-4"/>
          <w:sz w:val="16"/>
          <w:vertAlign w:val="baseline"/>
        </w:rPr>
        <w:t>del</w:t>
      </w:r>
      <w:r>
        <w:rPr>
          <w:sz w:val="16"/>
          <w:vertAlign w:val="baseline"/>
        </w:rPr>
        <w:tab/>
      </w:r>
      <w:r>
        <w:rPr>
          <w:spacing w:val="-2"/>
          <w:sz w:val="16"/>
          <w:vertAlign w:val="baseline"/>
        </w:rPr>
        <w:t>sitio</w:t>
      </w:r>
      <w:r>
        <w:rPr>
          <w:sz w:val="16"/>
          <w:vertAlign w:val="baseline"/>
        </w:rPr>
        <w:tab/>
      </w:r>
      <w:r>
        <w:rPr>
          <w:spacing w:val="-4"/>
          <w:sz w:val="16"/>
          <w:vertAlign w:val="baseline"/>
        </w:rPr>
        <w:t>web</w:t>
      </w:r>
      <w:r>
        <w:rPr>
          <w:sz w:val="16"/>
          <w:vertAlign w:val="baseline"/>
        </w:rPr>
        <w:tab/>
      </w:r>
      <w:r>
        <w:rPr>
          <w:spacing w:val="-6"/>
          <w:sz w:val="16"/>
          <w:vertAlign w:val="baseline"/>
        </w:rPr>
        <w:t>de</w:t>
      </w:r>
      <w:r>
        <w:rPr>
          <w:sz w:val="16"/>
          <w:vertAlign w:val="baseline"/>
        </w:rPr>
        <w:tab/>
      </w:r>
      <w:r>
        <w:rPr>
          <w:spacing w:val="-6"/>
          <w:sz w:val="16"/>
          <w:vertAlign w:val="baseline"/>
        </w:rPr>
        <w:t>la</w:t>
      </w:r>
      <w:r>
        <w:rPr>
          <w:sz w:val="16"/>
          <w:vertAlign w:val="baseline"/>
        </w:rPr>
        <w:tab/>
      </w:r>
      <w:r>
        <w:rPr>
          <w:spacing w:val="-2"/>
          <w:sz w:val="16"/>
          <w:vertAlign w:val="baseline"/>
        </w:rPr>
        <w:t>DIAN: </w:t>
      </w:r>
      <w:hyperlink r:id="rId109">
        <w:r>
          <w:rPr>
            <w:spacing w:val="-2"/>
            <w:sz w:val="16"/>
            <w:vertAlign w:val="baseline"/>
          </w:rPr>
          <w:t>https://muisca.dian.gov.co/WebArancel/DefConsultaNomenclaturaPorCodigo.faces</w:t>
        </w:r>
      </w:hyperlink>
      <w:r>
        <w:rPr>
          <w:spacing w:val="-2"/>
          <w:sz w:val="16"/>
          <w:vertAlign w:val="baseline"/>
        </w:rPr>
        <w:t>.</w:t>
      </w:r>
    </w:p>
    <w:p>
      <w:pPr>
        <w:spacing w:line="183" w:lineRule="exact" w:before="1"/>
        <w:ind w:left="568" w:right="0" w:firstLine="0"/>
        <w:jc w:val="left"/>
        <w:rPr>
          <w:sz w:val="16"/>
        </w:rPr>
      </w:pPr>
      <w:bookmarkStart w:name="_bookmark181" w:id="182"/>
      <w:bookmarkEnd w:id="182"/>
      <w:r>
        <w:rPr/>
      </w:r>
      <w:r>
        <w:rPr>
          <w:sz w:val="16"/>
          <w:vertAlign w:val="superscript"/>
        </w:rPr>
        <w:t>114</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000091.</w:t>
      </w:r>
    </w:p>
    <w:p>
      <w:pPr>
        <w:spacing w:line="183" w:lineRule="exact" w:before="0"/>
        <w:ind w:left="568" w:right="0" w:firstLine="0"/>
        <w:jc w:val="left"/>
        <w:rPr>
          <w:rFonts w:ascii="Arial"/>
          <w:i/>
          <w:sz w:val="16"/>
        </w:rPr>
      </w:pPr>
      <w:bookmarkStart w:name="_bookmark182" w:id="183"/>
      <w:bookmarkEnd w:id="183"/>
      <w:r>
        <w:rPr/>
      </w:r>
      <w:r>
        <w:rPr>
          <w:sz w:val="16"/>
          <w:vertAlign w:val="superscript"/>
        </w:rPr>
        <w:t>115</w:t>
      </w:r>
      <w:r>
        <w:rPr>
          <w:spacing w:val="-1"/>
          <w:sz w:val="16"/>
          <w:vertAlign w:val="baseline"/>
        </w:rPr>
        <w:t> </w:t>
      </w:r>
      <w:r>
        <w:rPr>
          <w:rFonts w:ascii="Arial"/>
          <w:i/>
          <w:spacing w:val="-2"/>
          <w:sz w:val="16"/>
          <w:vertAlign w:val="baseline"/>
        </w:rPr>
        <w:t>Ibidem.</w:t>
      </w:r>
    </w:p>
    <w:p>
      <w:pPr>
        <w:spacing w:before="1"/>
        <w:ind w:left="568" w:right="0" w:firstLine="0"/>
        <w:jc w:val="left"/>
        <w:rPr>
          <w:sz w:val="16"/>
        </w:rPr>
      </w:pPr>
      <w:bookmarkStart w:name="_bookmark183" w:id="184"/>
      <w:bookmarkEnd w:id="184"/>
      <w:r>
        <w:rPr/>
      </w:r>
      <w:r>
        <w:rPr>
          <w:sz w:val="16"/>
          <w:vertAlign w:val="superscript"/>
        </w:rPr>
        <w:t>116</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000105.</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650" name="Group 650"/>
                <wp:cNvGraphicFramePr>
                  <a:graphicFrameLocks/>
                </wp:cNvGraphicFramePr>
                <a:graphic>
                  <a:graphicData uri="http://schemas.microsoft.com/office/word/2010/wordprocessingGroup">
                    <wpg:wgp>
                      <wpg:cNvPr id="650" name="Group 650"/>
                      <wpg:cNvGrpSpPr/>
                      <wpg:grpSpPr>
                        <a:xfrm>
                          <a:off x="0" y="0"/>
                          <a:ext cx="6131560" cy="9525"/>
                          <a:chExt cx="6131560" cy="9525"/>
                        </a:xfrm>
                      </wpg:grpSpPr>
                      <wps:wsp>
                        <wps:cNvPr id="651" name="Graphic 651"/>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439"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107"/>
          <w:footerReference w:type="default" r:id="rId108"/>
          <w:pgSz w:w="11900" w:h="16850"/>
          <w:pgMar w:header="370" w:footer="597" w:top="1380" w:bottom="780" w:left="992" w:right="283"/>
        </w:sectPr>
      </w:pPr>
    </w:p>
    <w:p>
      <w:pPr>
        <w:pStyle w:val="BodyText"/>
        <w:spacing w:before="176"/>
      </w:pPr>
    </w:p>
    <w:p>
      <w:pPr>
        <w:pStyle w:val="ListParagraph"/>
        <w:numPr>
          <w:ilvl w:val="0"/>
          <w:numId w:val="50"/>
        </w:numPr>
        <w:tabs>
          <w:tab w:pos="1130" w:val="left" w:leader="none"/>
          <w:tab w:pos="1134" w:val="left" w:leader="none"/>
        </w:tabs>
        <w:spacing w:line="240" w:lineRule="auto" w:before="0" w:after="0"/>
        <w:ind w:left="1134" w:right="977" w:hanging="567"/>
        <w:jc w:val="both"/>
        <w:rPr>
          <w:rFonts w:ascii="Arial" w:hAnsi="Arial"/>
          <w:i/>
          <w:sz w:val="22"/>
        </w:rPr>
      </w:pPr>
      <w:r>
        <w:rPr>
          <w:sz w:val="22"/>
        </w:rPr>
        <w:t>La República de Colombia señala que existe el Decreto Ley 2272 de 1991 que tendría una</w:t>
      </w:r>
      <w:r>
        <w:rPr>
          <w:spacing w:val="-3"/>
          <w:sz w:val="22"/>
        </w:rPr>
        <w:t> </w:t>
      </w:r>
      <w:r>
        <w:rPr>
          <w:sz w:val="22"/>
        </w:rPr>
        <w:t>jerarquía</w:t>
      </w:r>
      <w:r>
        <w:rPr>
          <w:spacing w:val="-3"/>
          <w:sz w:val="22"/>
        </w:rPr>
        <w:t> </w:t>
      </w:r>
      <w:r>
        <w:rPr>
          <w:sz w:val="22"/>
        </w:rPr>
        <w:t>normativa</w:t>
      </w:r>
      <w:r>
        <w:rPr>
          <w:spacing w:val="-5"/>
          <w:sz w:val="22"/>
        </w:rPr>
        <w:t> </w:t>
      </w:r>
      <w:r>
        <w:rPr>
          <w:sz w:val="22"/>
        </w:rPr>
        <w:t>superior al</w:t>
      </w:r>
      <w:r>
        <w:rPr>
          <w:spacing w:val="-4"/>
          <w:sz w:val="22"/>
        </w:rPr>
        <w:t> </w:t>
      </w:r>
      <w:r>
        <w:rPr>
          <w:sz w:val="22"/>
        </w:rPr>
        <w:t>Decreto</w:t>
      </w:r>
      <w:r>
        <w:rPr>
          <w:spacing w:val="-2"/>
          <w:sz w:val="22"/>
        </w:rPr>
        <w:t> </w:t>
      </w:r>
      <w:r>
        <w:rPr>
          <w:sz w:val="22"/>
        </w:rPr>
        <w:t>0170,</w:t>
      </w:r>
      <w:r>
        <w:rPr>
          <w:spacing w:val="-1"/>
          <w:sz w:val="22"/>
        </w:rPr>
        <w:t> </w:t>
      </w:r>
      <w:r>
        <w:rPr>
          <w:sz w:val="22"/>
        </w:rPr>
        <w:t>y</w:t>
      </w:r>
      <w:r>
        <w:rPr>
          <w:spacing w:val="-2"/>
          <w:sz w:val="22"/>
        </w:rPr>
        <w:t> </w:t>
      </w:r>
      <w:r>
        <w:rPr>
          <w:sz w:val="22"/>
        </w:rPr>
        <w:t>dicho</w:t>
      </w:r>
      <w:r>
        <w:rPr>
          <w:spacing w:val="-5"/>
          <w:sz w:val="22"/>
        </w:rPr>
        <w:t> </w:t>
      </w:r>
      <w:r>
        <w:rPr>
          <w:sz w:val="22"/>
        </w:rPr>
        <w:t>Decreto</w:t>
      </w:r>
      <w:r>
        <w:rPr>
          <w:spacing w:val="-3"/>
          <w:sz w:val="22"/>
        </w:rPr>
        <w:t> </w:t>
      </w:r>
      <w:r>
        <w:rPr>
          <w:sz w:val="22"/>
        </w:rPr>
        <w:t>Ley</w:t>
      </w:r>
      <w:r>
        <w:rPr>
          <w:spacing w:val="-3"/>
          <w:sz w:val="22"/>
        </w:rPr>
        <w:t> </w:t>
      </w:r>
      <w:r>
        <w:rPr>
          <w:sz w:val="22"/>
        </w:rPr>
        <w:t>establecería</w:t>
      </w:r>
      <w:r>
        <w:rPr>
          <w:spacing w:val="-2"/>
          <w:sz w:val="22"/>
        </w:rPr>
        <w:t> </w:t>
      </w:r>
      <w:r>
        <w:rPr>
          <w:sz w:val="22"/>
        </w:rPr>
        <w:t>“</w:t>
      </w:r>
      <w:r>
        <w:rPr>
          <w:rFonts w:ascii="Arial" w:hAnsi="Arial"/>
          <w:i/>
          <w:sz w:val="22"/>
        </w:rPr>
        <w:t>de manera expresa que la importación de dichas sustancias se encuentra limitada a aduanas previamente habilitadas tales como Barranquilla, Bogotá, Buenaventura, Cartagena y Cúcuta</w:t>
      </w:r>
      <w:r>
        <w:rPr>
          <w:sz w:val="22"/>
        </w:rPr>
        <w:t>”</w:t>
      </w:r>
      <w:hyperlink w:history="true" w:anchor="_bookmark184">
        <w:r>
          <w:rPr>
            <w:sz w:val="22"/>
            <w:vertAlign w:val="superscript"/>
          </w:rPr>
          <w:t>117</w:t>
        </w:r>
        <w:r>
          <w:rPr>
            <w:rFonts w:ascii="Arial" w:hAnsi="Arial"/>
            <w:i/>
            <w:sz w:val="22"/>
            <w:vertAlign w:val="baseline"/>
          </w:rPr>
          <w:t>.</w:t>
        </w:r>
      </w:hyperlink>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1" w:after="0"/>
        <w:ind w:left="1134" w:right="977" w:hanging="567"/>
        <w:jc w:val="both"/>
        <w:rPr>
          <w:rFonts w:ascii="Arial" w:hAnsi="Arial"/>
          <w:i/>
          <w:sz w:val="22"/>
        </w:rPr>
      </w:pPr>
      <w:r>
        <w:rPr>
          <w:sz w:val="22"/>
        </w:rPr>
        <w:t>La</w:t>
      </w:r>
      <w:r>
        <w:rPr>
          <w:spacing w:val="-9"/>
          <w:sz w:val="22"/>
        </w:rPr>
        <w:t> </w:t>
      </w:r>
      <w:r>
        <w:rPr>
          <w:sz w:val="22"/>
        </w:rPr>
        <w:t>República</w:t>
      </w:r>
      <w:r>
        <w:rPr>
          <w:spacing w:val="-9"/>
          <w:sz w:val="22"/>
        </w:rPr>
        <w:t> </w:t>
      </w:r>
      <w:r>
        <w:rPr>
          <w:sz w:val="22"/>
        </w:rPr>
        <w:t>de</w:t>
      </w:r>
      <w:r>
        <w:rPr>
          <w:spacing w:val="-12"/>
          <w:sz w:val="22"/>
        </w:rPr>
        <w:t> </w:t>
      </w:r>
      <w:r>
        <w:rPr>
          <w:sz w:val="22"/>
        </w:rPr>
        <w:t>Colombia</w:t>
      </w:r>
      <w:r>
        <w:rPr>
          <w:spacing w:val="-9"/>
          <w:sz w:val="22"/>
        </w:rPr>
        <w:t> </w:t>
      </w:r>
      <w:r>
        <w:rPr>
          <w:sz w:val="22"/>
        </w:rPr>
        <w:t>sostiene,</w:t>
      </w:r>
      <w:r>
        <w:rPr>
          <w:spacing w:val="-10"/>
          <w:sz w:val="22"/>
        </w:rPr>
        <w:t> </w:t>
      </w:r>
      <w:r>
        <w:rPr>
          <w:sz w:val="22"/>
        </w:rPr>
        <w:t>además,</w:t>
      </w:r>
      <w:r>
        <w:rPr>
          <w:spacing w:val="-10"/>
          <w:sz w:val="22"/>
        </w:rPr>
        <w:t> </w:t>
      </w:r>
      <w:r>
        <w:rPr>
          <w:sz w:val="22"/>
        </w:rPr>
        <w:t>que</w:t>
      </w:r>
      <w:r>
        <w:rPr>
          <w:spacing w:val="-14"/>
          <w:sz w:val="22"/>
        </w:rPr>
        <w:t> </w:t>
      </w:r>
      <w:r>
        <w:rPr>
          <w:sz w:val="22"/>
        </w:rPr>
        <w:t>el</w:t>
      </w:r>
      <w:r>
        <w:rPr>
          <w:spacing w:val="-10"/>
          <w:sz w:val="22"/>
        </w:rPr>
        <w:t> </w:t>
      </w:r>
      <w:r>
        <w:rPr>
          <w:sz w:val="22"/>
        </w:rPr>
        <w:t>control</w:t>
      </w:r>
      <w:r>
        <w:rPr>
          <w:spacing w:val="-10"/>
          <w:sz w:val="22"/>
        </w:rPr>
        <w:t> </w:t>
      </w:r>
      <w:r>
        <w:rPr>
          <w:sz w:val="22"/>
        </w:rPr>
        <w:t>de</w:t>
      </w:r>
      <w:r>
        <w:rPr>
          <w:spacing w:val="-12"/>
          <w:sz w:val="22"/>
        </w:rPr>
        <w:t> </w:t>
      </w:r>
      <w:r>
        <w:rPr>
          <w:sz w:val="22"/>
        </w:rPr>
        <w:t>ingreso</w:t>
      </w:r>
      <w:r>
        <w:rPr>
          <w:spacing w:val="-12"/>
          <w:sz w:val="22"/>
        </w:rPr>
        <w:t> </w:t>
      </w:r>
      <w:r>
        <w:rPr>
          <w:sz w:val="22"/>
        </w:rPr>
        <w:t>de</w:t>
      </w:r>
      <w:r>
        <w:rPr>
          <w:spacing w:val="-12"/>
          <w:sz w:val="22"/>
        </w:rPr>
        <w:t> </w:t>
      </w:r>
      <w:r>
        <w:rPr>
          <w:sz w:val="22"/>
        </w:rPr>
        <w:t>determinadas sustancias se encontraría justificado al amparo del segundo párrafo del artículo 73 del Acuerdo de Cartagena. En particular, argumenta que la potestad de regular el ingreso de mercancías se enmarcaría en la excepción relativa a la moralidad pública, cuya definición correspondería al ámbito de competencia del Estado colombiano. Por tal razón,</w:t>
      </w:r>
      <w:r>
        <w:rPr>
          <w:spacing w:val="-16"/>
          <w:sz w:val="22"/>
        </w:rPr>
        <w:t> </w:t>
      </w:r>
      <w:r>
        <w:rPr>
          <w:sz w:val="22"/>
        </w:rPr>
        <w:t>el</w:t>
      </w:r>
      <w:r>
        <w:rPr>
          <w:spacing w:val="-15"/>
          <w:sz w:val="22"/>
        </w:rPr>
        <w:t> </w:t>
      </w:r>
      <w:r>
        <w:rPr>
          <w:sz w:val="22"/>
        </w:rPr>
        <w:t>Decreto</w:t>
      </w:r>
      <w:r>
        <w:rPr>
          <w:spacing w:val="-15"/>
          <w:sz w:val="22"/>
        </w:rPr>
        <w:t> </w:t>
      </w:r>
      <w:r>
        <w:rPr>
          <w:sz w:val="22"/>
        </w:rPr>
        <w:t>0170</w:t>
      </w:r>
      <w:r>
        <w:rPr>
          <w:spacing w:val="-16"/>
          <w:sz w:val="22"/>
        </w:rPr>
        <w:t> </w:t>
      </w:r>
      <w:r>
        <w:rPr>
          <w:rFonts w:ascii="Arial" w:hAnsi="Arial"/>
          <w:i/>
          <w:sz w:val="22"/>
        </w:rPr>
        <w:t>“en</w:t>
      </w:r>
      <w:r>
        <w:rPr>
          <w:rFonts w:ascii="Arial" w:hAnsi="Arial"/>
          <w:i/>
          <w:spacing w:val="-15"/>
          <w:sz w:val="22"/>
        </w:rPr>
        <w:t> </w:t>
      </w:r>
      <w:r>
        <w:rPr>
          <w:rFonts w:ascii="Arial" w:hAnsi="Arial"/>
          <w:i/>
          <w:sz w:val="22"/>
        </w:rPr>
        <w:t>concordancia</w:t>
      </w:r>
      <w:r>
        <w:rPr>
          <w:rFonts w:ascii="Arial" w:hAnsi="Arial"/>
          <w:i/>
          <w:spacing w:val="-15"/>
          <w:sz w:val="22"/>
        </w:rPr>
        <w:t> </w:t>
      </w:r>
      <w:r>
        <w:rPr>
          <w:rFonts w:ascii="Arial" w:hAnsi="Arial"/>
          <w:i/>
          <w:sz w:val="22"/>
        </w:rPr>
        <w:t>con</w:t>
      </w:r>
      <w:r>
        <w:rPr>
          <w:rFonts w:ascii="Arial" w:hAnsi="Arial"/>
          <w:i/>
          <w:spacing w:val="-15"/>
          <w:sz w:val="22"/>
        </w:rPr>
        <w:t> </w:t>
      </w:r>
      <w:r>
        <w:rPr>
          <w:rFonts w:ascii="Arial" w:hAnsi="Arial"/>
          <w:i/>
          <w:sz w:val="22"/>
        </w:rPr>
        <w:t>el</w:t>
      </w:r>
      <w:r>
        <w:rPr>
          <w:rFonts w:ascii="Arial" w:hAnsi="Arial"/>
          <w:i/>
          <w:spacing w:val="-15"/>
          <w:sz w:val="22"/>
        </w:rPr>
        <w:t> </w:t>
      </w:r>
      <w:r>
        <w:rPr>
          <w:rFonts w:ascii="Arial" w:hAnsi="Arial"/>
          <w:i/>
          <w:sz w:val="22"/>
        </w:rPr>
        <w:t>parágrafo</w:t>
      </w:r>
      <w:r>
        <w:rPr>
          <w:rFonts w:ascii="Arial" w:hAnsi="Arial"/>
          <w:i/>
          <w:spacing w:val="-13"/>
          <w:sz w:val="22"/>
        </w:rPr>
        <w:t> </w:t>
      </w:r>
      <w:r>
        <w:rPr>
          <w:rFonts w:ascii="Arial" w:hAnsi="Arial"/>
          <w:i/>
          <w:sz w:val="22"/>
        </w:rPr>
        <w:t>del</w:t>
      </w:r>
      <w:r>
        <w:rPr>
          <w:rFonts w:ascii="Arial" w:hAnsi="Arial"/>
          <w:i/>
          <w:spacing w:val="-16"/>
          <w:sz w:val="22"/>
        </w:rPr>
        <w:t> </w:t>
      </w:r>
      <w:r>
        <w:rPr>
          <w:rFonts w:ascii="Arial" w:hAnsi="Arial"/>
          <w:i/>
          <w:sz w:val="22"/>
        </w:rPr>
        <w:t>artículo</w:t>
      </w:r>
      <w:r>
        <w:rPr>
          <w:rFonts w:ascii="Arial" w:hAnsi="Arial"/>
          <w:i/>
          <w:spacing w:val="-13"/>
          <w:sz w:val="22"/>
        </w:rPr>
        <w:t> </w:t>
      </w:r>
      <w:r>
        <w:rPr>
          <w:rFonts w:ascii="Arial" w:hAnsi="Arial"/>
          <w:i/>
          <w:sz w:val="22"/>
        </w:rPr>
        <w:t>4</w:t>
      </w:r>
      <w:r>
        <w:rPr>
          <w:rFonts w:ascii="Arial" w:hAnsi="Arial"/>
          <w:i/>
          <w:spacing w:val="-16"/>
          <w:sz w:val="22"/>
        </w:rPr>
        <w:t> </w:t>
      </w:r>
      <w:r>
        <w:rPr>
          <w:rFonts w:ascii="Arial" w:hAnsi="Arial"/>
          <w:i/>
          <w:sz w:val="22"/>
        </w:rPr>
        <w:t>del</w:t>
      </w:r>
      <w:r>
        <w:rPr>
          <w:rFonts w:ascii="Arial" w:hAnsi="Arial"/>
          <w:i/>
          <w:spacing w:val="-15"/>
          <w:sz w:val="22"/>
        </w:rPr>
        <w:t> </w:t>
      </w:r>
      <w:r>
        <w:rPr>
          <w:rFonts w:ascii="Arial" w:hAnsi="Arial"/>
          <w:i/>
          <w:sz w:val="22"/>
        </w:rPr>
        <w:t>Decreto</w:t>
      </w:r>
      <w:r>
        <w:rPr>
          <w:rFonts w:ascii="Arial" w:hAnsi="Arial"/>
          <w:i/>
          <w:spacing w:val="-15"/>
          <w:sz w:val="22"/>
        </w:rPr>
        <w:t> </w:t>
      </w:r>
      <w:r>
        <w:rPr>
          <w:rFonts w:ascii="Arial" w:hAnsi="Arial"/>
          <w:i/>
          <w:sz w:val="22"/>
        </w:rPr>
        <w:t>2272 de</w:t>
      </w:r>
      <w:r>
        <w:rPr>
          <w:rFonts w:ascii="Arial" w:hAnsi="Arial"/>
          <w:i/>
          <w:spacing w:val="-16"/>
          <w:sz w:val="22"/>
        </w:rPr>
        <w:t> </w:t>
      </w:r>
      <w:r>
        <w:rPr>
          <w:rFonts w:ascii="Arial" w:hAnsi="Arial"/>
          <w:i/>
          <w:sz w:val="22"/>
        </w:rPr>
        <w:t>1991,</w:t>
      </w:r>
      <w:r>
        <w:rPr>
          <w:rFonts w:ascii="Arial" w:hAnsi="Arial"/>
          <w:i/>
          <w:spacing w:val="-15"/>
          <w:sz w:val="22"/>
        </w:rPr>
        <w:t> </w:t>
      </w:r>
      <w:r>
        <w:rPr>
          <w:rFonts w:ascii="Arial" w:hAnsi="Arial"/>
          <w:i/>
          <w:sz w:val="22"/>
        </w:rPr>
        <w:t>se</w:t>
      </w:r>
      <w:r>
        <w:rPr>
          <w:rFonts w:ascii="Arial" w:hAnsi="Arial"/>
          <w:i/>
          <w:spacing w:val="-15"/>
          <w:sz w:val="22"/>
        </w:rPr>
        <w:t> </w:t>
      </w:r>
      <w:r>
        <w:rPr>
          <w:rFonts w:ascii="Arial" w:hAnsi="Arial"/>
          <w:i/>
          <w:sz w:val="22"/>
        </w:rPr>
        <w:t>determinó</w:t>
      </w:r>
      <w:r>
        <w:rPr>
          <w:rFonts w:ascii="Arial" w:hAnsi="Arial"/>
          <w:i/>
          <w:spacing w:val="-16"/>
          <w:sz w:val="22"/>
        </w:rPr>
        <w:t> </w:t>
      </w:r>
      <w:r>
        <w:rPr>
          <w:rFonts w:ascii="Arial" w:hAnsi="Arial"/>
          <w:i/>
          <w:sz w:val="22"/>
        </w:rPr>
        <w:t>que</w:t>
      </w:r>
      <w:r>
        <w:rPr>
          <w:rFonts w:ascii="Arial" w:hAnsi="Arial"/>
          <w:i/>
          <w:spacing w:val="-15"/>
          <w:sz w:val="22"/>
        </w:rPr>
        <w:t> </w:t>
      </w:r>
      <w:r>
        <w:rPr>
          <w:rFonts w:ascii="Arial" w:hAnsi="Arial"/>
          <w:i/>
          <w:sz w:val="22"/>
        </w:rPr>
        <w:t>ciertos</w:t>
      </w:r>
      <w:r>
        <w:rPr>
          <w:rFonts w:ascii="Arial" w:hAnsi="Arial"/>
          <w:i/>
          <w:spacing w:val="-15"/>
          <w:sz w:val="22"/>
        </w:rPr>
        <w:t> </w:t>
      </w:r>
      <w:r>
        <w:rPr>
          <w:rFonts w:ascii="Arial" w:hAnsi="Arial"/>
          <w:i/>
          <w:sz w:val="22"/>
        </w:rPr>
        <w:t>productos</w:t>
      </w:r>
      <w:r>
        <w:rPr>
          <w:rFonts w:ascii="Arial" w:hAnsi="Arial"/>
          <w:i/>
          <w:spacing w:val="-15"/>
          <w:sz w:val="22"/>
        </w:rPr>
        <w:t> </w:t>
      </w:r>
      <w:r>
        <w:rPr>
          <w:rFonts w:ascii="Arial" w:hAnsi="Arial"/>
          <w:i/>
          <w:sz w:val="22"/>
        </w:rPr>
        <w:t>son</w:t>
      </w:r>
      <w:r>
        <w:rPr>
          <w:rFonts w:ascii="Arial" w:hAnsi="Arial"/>
          <w:i/>
          <w:spacing w:val="-16"/>
          <w:sz w:val="22"/>
        </w:rPr>
        <w:t> </w:t>
      </w:r>
      <w:r>
        <w:rPr>
          <w:rFonts w:ascii="Arial" w:hAnsi="Arial"/>
          <w:i/>
          <w:sz w:val="22"/>
        </w:rPr>
        <w:t>utilizados</w:t>
      </w:r>
      <w:r>
        <w:rPr>
          <w:rFonts w:ascii="Arial" w:hAnsi="Arial"/>
          <w:i/>
          <w:spacing w:val="-15"/>
          <w:sz w:val="22"/>
        </w:rPr>
        <w:t> </w:t>
      </w:r>
      <w:r>
        <w:rPr>
          <w:rFonts w:ascii="Arial" w:hAnsi="Arial"/>
          <w:i/>
          <w:sz w:val="22"/>
        </w:rPr>
        <w:t>en</w:t>
      </w:r>
      <w:r>
        <w:rPr>
          <w:rFonts w:ascii="Arial" w:hAnsi="Arial"/>
          <w:i/>
          <w:spacing w:val="-15"/>
          <w:sz w:val="22"/>
        </w:rPr>
        <w:t> </w:t>
      </w:r>
      <w:r>
        <w:rPr>
          <w:rFonts w:ascii="Arial" w:hAnsi="Arial"/>
          <w:i/>
          <w:sz w:val="22"/>
        </w:rPr>
        <w:t>la</w:t>
      </w:r>
      <w:r>
        <w:rPr>
          <w:rFonts w:ascii="Arial" w:hAnsi="Arial"/>
          <w:i/>
          <w:spacing w:val="-16"/>
          <w:sz w:val="22"/>
        </w:rPr>
        <w:t> </w:t>
      </w:r>
      <w:r>
        <w:rPr>
          <w:rFonts w:ascii="Arial" w:hAnsi="Arial"/>
          <w:i/>
          <w:sz w:val="22"/>
        </w:rPr>
        <w:t>producción</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fentanilo, motivo por el cual, su introducción al país debe estar acorde con la normatividad que dispone medidas para su control”.</w:t>
      </w:r>
      <w:hyperlink w:history="true" w:anchor="_bookmark185">
        <w:r>
          <w:rPr>
            <w:rFonts w:ascii="Arial" w:hAnsi="Arial"/>
            <w:i/>
            <w:sz w:val="22"/>
            <w:vertAlign w:val="superscript"/>
          </w:rPr>
          <w:t>118</w:t>
        </w:r>
      </w:hyperlink>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Añaden también, que “</w:t>
      </w:r>
      <w:r>
        <w:rPr>
          <w:rFonts w:ascii="Arial" w:hAnsi="Arial"/>
          <w:i/>
          <w:sz w:val="22"/>
        </w:rPr>
        <w:t>la medida busca asegurar el cumplimiento del artículo 73(b) del Acuerdo</w:t>
      </w:r>
      <w:r>
        <w:rPr>
          <w:rFonts w:ascii="Arial" w:hAnsi="Arial"/>
          <w:i/>
          <w:spacing w:val="-2"/>
          <w:sz w:val="22"/>
        </w:rPr>
        <w:t> </w:t>
      </w:r>
      <w:r>
        <w:rPr>
          <w:rFonts w:ascii="Arial" w:hAnsi="Arial"/>
          <w:i/>
          <w:sz w:val="22"/>
        </w:rPr>
        <w:t>de</w:t>
      </w:r>
      <w:r>
        <w:rPr>
          <w:rFonts w:ascii="Arial" w:hAnsi="Arial"/>
          <w:i/>
          <w:spacing w:val="-2"/>
          <w:sz w:val="22"/>
        </w:rPr>
        <w:t> </w:t>
      </w:r>
      <w:r>
        <w:rPr>
          <w:rFonts w:ascii="Arial" w:hAnsi="Arial"/>
          <w:i/>
          <w:sz w:val="22"/>
        </w:rPr>
        <w:t>Cartagena</w:t>
      </w:r>
      <w:r>
        <w:rPr>
          <w:rFonts w:ascii="Arial" w:hAnsi="Arial"/>
          <w:i/>
          <w:spacing w:val="-4"/>
          <w:sz w:val="22"/>
        </w:rPr>
        <w:t> </w:t>
      </w:r>
      <w:r>
        <w:rPr>
          <w:rFonts w:ascii="Arial" w:hAnsi="Arial"/>
          <w:i/>
          <w:sz w:val="22"/>
        </w:rPr>
        <w:t>establece</w:t>
      </w:r>
      <w:r>
        <w:rPr>
          <w:rFonts w:ascii="Arial" w:hAnsi="Arial"/>
          <w:i/>
          <w:spacing w:val="-2"/>
          <w:sz w:val="22"/>
        </w:rPr>
        <w:t> </w:t>
      </w:r>
      <w:r>
        <w:rPr>
          <w:rFonts w:ascii="Arial" w:hAnsi="Arial"/>
          <w:i/>
          <w:sz w:val="22"/>
        </w:rPr>
        <w:t>que</w:t>
      </w:r>
      <w:r>
        <w:rPr>
          <w:rFonts w:ascii="Arial" w:hAnsi="Arial"/>
          <w:i/>
          <w:spacing w:val="-2"/>
          <w:sz w:val="22"/>
        </w:rPr>
        <w:t> </w:t>
      </w:r>
      <w:r>
        <w:rPr>
          <w:rFonts w:ascii="Arial" w:hAnsi="Arial"/>
          <w:i/>
          <w:sz w:val="22"/>
        </w:rPr>
        <w:t>una</w:t>
      </w:r>
      <w:r>
        <w:rPr>
          <w:rFonts w:ascii="Arial" w:hAnsi="Arial"/>
          <w:i/>
          <w:spacing w:val="-4"/>
          <w:sz w:val="22"/>
        </w:rPr>
        <w:t> </w:t>
      </w:r>
      <w:r>
        <w:rPr>
          <w:rFonts w:ascii="Arial" w:hAnsi="Arial"/>
          <w:i/>
          <w:sz w:val="22"/>
        </w:rPr>
        <w:t>medida</w:t>
      </w:r>
      <w:r>
        <w:rPr>
          <w:rFonts w:ascii="Arial" w:hAnsi="Arial"/>
          <w:i/>
          <w:spacing w:val="-2"/>
          <w:sz w:val="22"/>
        </w:rPr>
        <w:t> </w:t>
      </w:r>
      <w:r>
        <w:rPr>
          <w:rFonts w:ascii="Arial" w:hAnsi="Arial"/>
          <w:i/>
          <w:sz w:val="22"/>
        </w:rPr>
        <w:t>persigue</w:t>
      </w:r>
      <w:r>
        <w:rPr>
          <w:rFonts w:ascii="Arial" w:hAnsi="Arial"/>
          <w:i/>
          <w:spacing w:val="-2"/>
          <w:sz w:val="22"/>
        </w:rPr>
        <w:t> </w:t>
      </w:r>
      <w:r>
        <w:rPr>
          <w:rFonts w:ascii="Arial" w:hAnsi="Arial"/>
          <w:i/>
          <w:sz w:val="22"/>
        </w:rPr>
        <w:t>un</w:t>
      </w:r>
      <w:r>
        <w:rPr>
          <w:rFonts w:ascii="Arial" w:hAnsi="Arial"/>
          <w:i/>
          <w:spacing w:val="-2"/>
          <w:sz w:val="22"/>
        </w:rPr>
        <w:t> </w:t>
      </w:r>
      <w:r>
        <w:rPr>
          <w:rFonts w:ascii="Arial" w:hAnsi="Arial"/>
          <w:i/>
          <w:sz w:val="22"/>
        </w:rPr>
        <w:t>objetivo</w:t>
      </w:r>
      <w:r>
        <w:rPr>
          <w:rFonts w:ascii="Arial" w:hAnsi="Arial"/>
          <w:i/>
          <w:spacing w:val="-2"/>
          <w:sz w:val="22"/>
        </w:rPr>
        <w:t> </w:t>
      </w:r>
      <w:r>
        <w:rPr>
          <w:rFonts w:ascii="Arial" w:hAnsi="Arial"/>
          <w:i/>
          <w:sz w:val="22"/>
        </w:rPr>
        <w:t>legítimo</w:t>
      </w:r>
      <w:r>
        <w:rPr>
          <w:rFonts w:ascii="Arial" w:hAnsi="Arial"/>
          <w:i/>
          <w:spacing w:val="-4"/>
          <w:sz w:val="22"/>
        </w:rPr>
        <w:t> </w:t>
      </w:r>
      <w:r>
        <w:rPr>
          <w:rFonts w:ascii="Arial" w:hAnsi="Arial"/>
          <w:i/>
          <w:sz w:val="22"/>
        </w:rPr>
        <w:t>cuando pretende la aplicación de leyes y reglamentos de seguridad; disposición espejo del artículo</w:t>
      </w:r>
      <w:r>
        <w:rPr>
          <w:rFonts w:ascii="Arial" w:hAnsi="Arial"/>
          <w:i/>
          <w:spacing w:val="-9"/>
          <w:sz w:val="22"/>
        </w:rPr>
        <w:t> </w:t>
      </w:r>
      <w:r>
        <w:rPr>
          <w:rFonts w:ascii="Arial" w:hAnsi="Arial"/>
          <w:i/>
          <w:sz w:val="22"/>
        </w:rPr>
        <w:t>XX</w:t>
      </w:r>
      <w:r>
        <w:rPr>
          <w:rFonts w:ascii="Arial" w:hAnsi="Arial"/>
          <w:i/>
          <w:spacing w:val="-14"/>
          <w:sz w:val="22"/>
        </w:rPr>
        <w:t> </w:t>
      </w:r>
      <w:r>
        <w:rPr>
          <w:rFonts w:ascii="Arial" w:hAnsi="Arial"/>
          <w:i/>
          <w:sz w:val="22"/>
        </w:rPr>
        <w:t>(d)16</w:t>
      </w:r>
      <w:r>
        <w:rPr>
          <w:rFonts w:ascii="Arial" w:hAnsi="Arial"/>
          <w:i/>
          <w:spacing w:val="-11"/>
          <w:sz w:val="22"/>
        </w:rPr>
        <w:t> </w:t>
      </w:r>
      <w:r>
        <w:rPr>
          <w:rFonts w:ascii="Arial" w:hAnsi="Arial"/>
          <w:i/>
          <w:sz w:val="22"/>
        </w:rPr>
        <w:t>y</w:t>
      </w:r>
      <w:r>
        <w:rPr>
          <w:rFonts w:ascii="Arial" w:hAnsi="Arial"/>
          <w:i/>
          <w:spacing w:val="-11"/>
          <w:sz w:val="22"/>
        </w:rPr>
        <w:t> </w:t>
      </w:r>
      <w:r>
        <w:rPr>
          <w:rFonts w:ascii="Arial" w:hAnsi="Arial"/>
          <w:i/>
          <w:sz w:val="22"/>
        </w:rPr>
        <w:t>XXI17</w:t>
      </w:r>
      <w:r>
        <w:rPr>
          <w:rFonts w:ascii="Arial" w:hAnsi="Arial"/>
          <w:i/>
          <w:spacing w:val="-10"/>
          <w:sz w:val="22"/>
        </w:rPr>
        <w:t> </w:t>
      </w:r>
      <w:r>
        <w:rPr>
          <w:rFonts w:ascii="Arial" w:hAnsi="Arial"/>
          <w:i/>
          <w:sz w:val="22"/>
        </w:rPr>
        <w:t>del</w:t>
      </w:r>
      <w:r>
        <w:rPr>
          <w:rFonts w:ascii="Arial" w:hAnsi="Arial"/>
          <w:i/>
          <w:spacing w:val="-12"/>
          <w:sz w:val="22"/>
        </w:rPr>
        <w:t> </w:t>
      </w:r>
      <w:r>
        <w:rPr>
          <w:rFonts w:ascii="Arial" w:hAnsi="Arial"/>
          <w:i/>
          <w:sz w:val="22"/>
        </w:rPr>
        <w:t>Acuerdo</w:t>
      </w:r>
      <w:r>
        <w:rPr>
          <w:rFonts w:ascii="Arial" w:hAnsi="Arial"/>
          <w:i/>
          <w:spacing w:val="-14"/>
          <w:sz w:val="22"/>
        </w:rPr>
        <w:t> </w:t>
      </w:r>
      <w:r>
        <w:rPr>
          <w:rFonts w:ascii="Arial" w:hAnsi="Arial"/>
          <w:i/>
          <w:sz w:val="22"/>
        </w:rPr>
        <w:t>General</w:t>
      </w:r>
      <w:r>
        <w:rPr>
          <w:rFonts w:ascii="Arial" w:hAnsi="Arial"/>
          <w:i/>
          <w:spacing w:val="-12"/>
          <w:sz w:val="22"/>
        </w:rPr>
        <w:t> </w:t>
      </w:r>
      <w:r>
        <w:rPr>
          <w:rFonts w:ascii="Arial" w:hAnsi="Arial"/>
          <w:i/>
          <w:sz w:val="22"/>
        </w:rPr>
        <w:t>sobre</w:t>
      </w:r>
      <w:r>
        <w:rPr>
          <w:rFonts w:ascii="Arial" w:hAnsi="Arial"/>
          <w:i/>
          <w:spacing w:val="-8"/>
          <w:sz w:val="22"/>
        </w:rPr>
        <w:t> </w:t>
      </w:r>
      <w:r>
        <w:rPr>
          <w:rFonts w:ascii="Arial" w:hAnsi="Arial"/>
          <w:i/>
          <w:sz w:val="22"/>
        </w:rPr>
        <w:t>Aranceles</w:t>
      </w:r>
      <w:r>
        <w:rPr>
          <w:rFonts w:ascii="Arial" w:hAnsi="Arial"/>
          <w:i/>
          <w:spacing w:val="-11"/>
          <w:sz w:val="22"/>
        </w:rPr>
        <w:t> </w:t>
      </w:r>
      <w:r>
        <w:rPr>
          <w:rFonts w:ascii="Arial" w:hAnsi="Arial"/>
          <w:i/>
          <w:sz w:val="22"/>
        </w:rPr>
        <w:t>y</w:t>
      </w:r>
      <w:r>
        <w:rPr>
          <w:rFonts w:ascii="Arial" w:hAnsi="Arial"/>
          <w:i/>
          <w:spacing w:val="-11"/>
          <w:sz w:val="22"/>
        </w:rPr>
        <w:t> </w:t>
      </w:r>
      <w:r>
        <w:rPr>
          <w:rFonts w:ascii="Arial" w:hAnsi="Arial"/>
          <w:i/>
          <w:sz w:val="22"/>
        </w:rPr>
        <w:t>Comercio</w:t>
      </w:r>
      <w:r>
        <w:rPr>
          <w:rFonts w:ascii="Arial" w:hAnsi="Arial"/>
          <w:i/>
          <w:spacing w:val="-9"/>
          <w:sz w:val="22"/>
        </w:rPr>
        <w:t> </w:t>
      </w:r>
      <w:r>
        <w:rPr>
          <w:rFonts w:ascii="Arial" w:hAnsi="Arial"/>
          <w:i/>
          <w:sz w:val="22"/>
        </w:rPr>
        <w:t>de</w:t>
      </w:r>
      <w:r>
        <w:rPr>
          <w:rFonts w:ascii="Arial" w:hAnsi="Arial"/>
          <w:i/>
          <w:spacing w:val="-12"/>
          <w:sz w:val="22"/>
        </w:rPr>
        <w:t> </w:t>
      </w:r>
      <w:r>
        <w:rPr>
          <w:rFonts w:ascii="Arial" w:hAnsi="Arial"/>
          <w:i/>
          <w:sz w:val="22"/>
        </w:rPr>
        <w:t>1994</w:t>
      </w:r>
      <w:r>
        <w:rPr>
          <w:rFonts w:ascii="Arial" w:hAnsi="Arial"/>
          <w:i/>
          <w:spacing w:val="-14"/>
          <w:sz w:val="22"/>
        </w:rPr>
        <w:t> </w:t>
      </w:r>
      <w:r>
        <w:rPr>
          <w:rFonts w:ascii="Arial" w:hAnsi="Arial"/>
          <w:i/>
          <w:sz w:val="22"/>
        </w:rPr>
        <w:t>(en adelante “GATT 1994”)</w:t>
      </w:r>
      <w:r>
        <w:rPr>
          <w:sz w:val="22"/>
        </w:rPr>
        <w:t>”</w:t>
      </w:r>
      <w:hyperlink w:history="true" w:anchor="_bookmark186">
        <w:r>
          <w:rPr>
            <w:sz w:val="22"/>
            <w:vertAlign w:val="superscript"/>
          </w:rPr>
          <w:t>119</w:t>
        </w:r>
        <w:r>
          <w:rPr>
            <w:sz w:val="22"/>
            <w:vertAlign w:val="baseline"/>
          </w:rPr>
          <w:t>.</w:t>
        </w:r>
      </w:hyperlink>
    </w:p>
    <w:p>
      <w:pPr>
        <w:pStyle w:val="ListParagraph"/>
        <w:numPr>
          <w:ilvl w:val="0"/>
          <w:numId w:val="50"/>
        </w:numPr>
        <w:tabs>
          <w:tab w:pos="1130" w:val="left" w:leader="none"/>
          <w:tab w:pos="1134" w:val="left" w:leader="none"/>
        </w:tabs>
        <w:spacing w:line="240" w:lineRule="auto" w:before="252" w:after="0"/>
        <w:ind w:left="1134" w:right="981" w:hanging="567"/>
        <w:jc w:val="both"/>
        <w:rPr>
          <w:rFonts w:ascii="Arial" w:hAnsi="Arial"/>
          <w:i/>
          <w:sz w:val="22"/>
        </w:rPr>
      </w:pPr>
      <w:r>
        <w:rPr>
          <w:sz w:val="22"/>
        </w:rPr>
        <w:t>Asimismo, se incorporan datos relativos al fenómeno del narcotráfico, señalando que: “</w:t>
      </w:r>
      <w:r>
        <w:rPr>
          <w:rFonts w:ascii="Arial" w:hAnsi="Arial"/>
          <w:i/>
          <w:sz w:val="22"/>
        </w:rPr>
        <w:t>De</w:t>
      </w:r>
      <w:r>
        <w:rPr>
          <w:rFonts w:ascii="Arial" w:hAnsi="Arial"/>
          <w:i/>
          <w:spacing w:val="-7"/>
          <w:sz w:val="22"/>
        </w:rPr>
        <w:t> </w:t>
      </w:r>
      <w:r>
        <w:rPr>
          <w:rFonts w:ascii="Arial" w:hAnsi="Arial"/>
          <w:i/>
          <w:sz w:val="22"/>
        </w:rPr>
        <w:t>hecho,</w:t>
      </w:r>
      <w:r>
        <w:rPr>
          <w:rFonts w:ascii="Arial" w:hAnsi="Arial"/>
          <w:i/>
          <w:spacing w:val="-6"/>
          <w:sz w:val="22"/>
        </w:rPr>
        <w:t> </w:t>
      </w:r>
      <w:r>
        <w:rPr>
          <w:rFonts w:ascii="Arial" w:hAnsi="Arial"/>
          <w:i/>
          <w:sz w:val="22"/>
        </w:rPr>
        <w:t>el</w:t>
      </w:r>
      <w:r>
        <w:rPr>
          <w:rFonts w:ascii="Arial" w:hAnsi="Arial"/>
          <w:i/>
          <w:spacing w:val="-10"/>
          <w:sz w:val="22"/>
        </w:rPr>
        <w:t> </w:t>
      </w:r>
      <w:r>
        <w:rPr>
          <w:rFonts w:ascii="Arial" w:hAnsi="Arial"/>
          <w:i/>
          <w:sz w:val="22"/>
        </w:rPr>
        <w:t>fenómeno</w:t>
      </w:r>
      <w:r>
        <w:rPr>
          <w:rFonts w:ascii="Arial" w:hAnsi="Arial"/>
          <w:i/>
          <w:spacing w:val="-12"/>
          <w:sz w:val="22"/>
        </w:rPr>
        <w:t> </w:t>
      </w:r>
      <w:r>
        <w:rPr>
          <w:rFonts w:ascii="Arial" w:hAnsi="Arial"/>
          <w:i/>
          <w:sz w:val="22"/>
        </w:rPr>
        <w:t>del</w:t>
      </w:r>
      <w:r>
        <w:rPr>
          <w:rFonts w:ascii="Arial" w:hAnsi="Arial"/>
          <w:i/>
          <w:spacing w:val="-8"/>
          <w:sz w:val="22"/>
        </w:rPr>
        <w:t> </w:t>
      </w:r>
      <w:r>
        <w:rPr>
          <w:rFonts w:ascii="Arial" w:hAnsi="Arial"/>
          <w:i/>
          <w:sz w:val="22"/>
        </w:rPr>
        <w:t>narcotráfico</w:t>
      </w:r>
      <w:r>
        <w:rPr>
          <w:rFonts w:ascii="Arial" w:hAnsi="Arial"/>
          <w:i/>
          <w:spacing w:val="-7"/>
          <w:sz w:val="22"/>
        </w:rPr>
        <w:t> </w:t>
      </w:r>
      <w:r>
        <w:rPr>
          <w:rFonts w:ascii="Arial" w:hAnsi="Arial"/>
          <w:i/>
          <w:sz w:val="22"/>
        </w:rPr>
        <w:t>ha</w:t>
      </w:r>
      <w:r>
        <w:rPr>
          <w:rFonts w:ascii="Arial" w:hAnsi="Arial"/>
          <w:i/>
          <w:spacing w:val="-10"/>
          <w:sz w:val="22"/>
        </w:rPr>
        <w:t> </w:t>
      </w:r>
      <w:r>
        <w:rPr>
          <w:rFonts w:ascii="Arial" w:hAnsi="Arial"/>
          <w:i/>
          <w:sz w:val="22"/>
        </w:rPr>
        <w:t>afectado</w:t>
      </w:r>
      <w:r>
        <w:rPr>
          <w:rFonts w:ascii="Arial" w:hAnsi="Arial"/>
          <w:i/>
          <w:spacing w:val="-8"/>
          <w:sz w:val="22"/>
        </w:rPr>
        <w:t> </w:t>
      </w:r>
      <w:r>
        <w:rPr>
          <w:rFonts w:ascii="Arial" w:hAnsi="Arial"/>
          <w:i/>
          <w:sz w:val="22"/>
        </w:rPr>
        <w:t>tanto</w:t>
      </w:r>
      <w:r>
        <w:rPr>
          <w:rFonts w:ascii="Arial" w:hAnsi="Arial"/>
          <w:i/>
          <w:spacing w:val="-10"/>
          <w:sz w:val="22"/>
        </w:rPr>
        <w:t> </w:t>
      </w:r>
      <w:r>
        <w:rPr>
          <w:rFonts w:ascii="Arial" w:hAnsi="Arial"/>
          <w:i/>
          <w:sz w:val="22"/>
        </w:rPr>
        <w:t>a</w:t>
      </w:r>
      <w:r>
        <w:rPr>
          <w:rFonts w:ascii="Arial" w:hAnsi="Arial"/>
          <w:i/>
          <w:spacing w:val="-7"/>
          <w:sz w:val="22"/>
        </w:rPr>
        <w:t> </w:t>
      </w:r>
      <w:r>
        <w:rPr>
          <w:rFonts w:ascii="Arial" w:hAnsi="Arial"/>
          <w:i/>
          <w:sz w:val="22"/>
        </w:rPr>
        <w:t>Colombia</w:t>
      </w:r>
      <w:r>
        <w:rPr>
          <w:rFonts w:ascii="Arial" w:hAnsi="Arial"/>
          <w:i/>
          <w:spacing w:val="-10"/>
          <w:sz w:val="22"/>
        </w:rPr>
        <w:t> </w:t>
      </w:r>
      <w:r>
        <w:rPr>
          <w:rFonts w:ascii="Arial" w:hAnsi="Arial"/>
          <w:i/>
          <w:sz w:val="22"/>
        </w:rPr>
        <w:t>como</w:t>
      </w:r>
      <w:r>
        <w:rPr>
          <w:rFonts w:ascii="Arial" w:hAnsi="Arial"/>
          <w:i/>
          <w:spacing w:val="-7"/>
          <w:sz w:val="22"/>
        </w:rPr>
        <w:t> </w:t>
      </w:r>
      <w:r>
        <w:rPr>
          <w:rFonts w:ascii="Arial" w:hAnsi="Arial"/>
          <w:i/>
          <w:sz w:val="22"/>
        </w:rPr>
        <w:t>a</w:t>
      </w:r>
      <w:r>
        <w:rPr>
          <w:rFonts w:ascii="Arial" w:hAnsi="Arial"/>
          <w:i/>
          <w:spacing w:val="-7"/>
          <w:sz w:val="22"/>
        </w:rPr>
        <w:t> </w:t>
      </w:r>
      <w:r>
        <w:rPr>
          <w:rFonts w:ascii="Arial" w:hAnsi="Arial"/>
          <w:i/>
          <w:sz w:val="22"/>
        </w:rPr>
        <w:t>Ecuador. El aumento del tráfico de cocaína ha tenido un impacto particularmente fuerte en Ecuador,</w:t>
      </w:r>
      <w:r>
        <w:rPr>
          <w:rFonts w:ascii="Arial" w:hAnsi="Arial"/>
          <w:i/>
          <w:spacing w:val="-8"/>
          <w:sz w:val="22"/>
        </w:rPr>
        <w:t> </w:t>
      </w:r>
      <w:r>
        <w:rPr>
          <w:rFonts w:ascii="Arial" w:hAnsi="Arial"/>
          <w:i/>
          <w:sz w:val="22"/>
        </w:rPr>
        <w:t>donde</w:t>
      </w:r>
      <w:r>
        <w:rPr>
          <w:rFonts w:ascii="Arial" w:hAnsi="Arial"/>
          <w:i/>
          <w:spacing w:val="-10"/>
          <w:sz w:val="22"/>
        </w:rPr>
        <w:t> </w:t>
      </w:r>
      <w:r>
        <w:rPr>
          <w:rFonts w:ascii="Arial" w:hAnsi="Arial"/>
          <w:i/>
          <w:sz w:val="22"/>
        </w:rPr>
        <w:t>se</w:t>
      </w:r>
      <w:r>
        <w:rPr>
          <w:rFonts w:ascii="Arial" w:hAnsi="Arial"/>
          <w:i/>
          <w:spacing w:val="-10"/>
          <w:sz w:val="22"/>
        </w:rPr>
        <w:t> </w:t>
      </w:r>
      <w:r>
        <w:rPr>
          <w:rFonts w:ascii="Arial" w:hAnsi="Arial"/>
          <w:i/>
          <w:sz w:val="22"/>
        </w:rPr>
        <w:t>ha</w:t>
      </w:r>
      <w:r>
        <w:rPr>
          <w:rFonts w:ascii="Arial" w:hAnsi="Arial"/>
          <w:i/>
          <w:spacing w:val="-10"/>
          <w:sz w:val="22"/>
        </w:rPr>
        <w:t> </w:t>
      </w:r>
      <w:r>
        <w:rPr>
          <w:rFonts w:ascii="Arial" w:hAnsi="Arial"/>
          <w:i/>
          <w:sz w:val="22"/>
        </w:rPr>
        <w:t>producido</w:t>
      </w:r>
      <w:r>
        <w:rPr>
          <w:rFonts w:ascii="Arial" w:hAnsi="Arial"/>
          <w:i/>
          <w:spacing w:val="-8"/>
          <w:sz w:val="22"/>
        </w:rPr>
        <w:t> </w:t>
      </w:r>
      <w:r>
        <w:rPr>
          <w:rFonts w:ascii="Arial" w:hAnsi="Arial"/>
          <w:i/>
          <w:sz w:val="22"/>
        </w:rPr>
        <w:t>una</w:t>
      </w:r>
      <w:r>
        <w:rPr>
          <w:rFonts w:ascii="Arial" w:hAnsi="Arial"/>
          <w:i/>
          <w:spacing w:val="-10"/>
          <w:sz w:val="22"/>
        </w:rPr>
        <w:t> </w:t>
      </w:r>
      <w:r>
        <w:rPr>
          <w:rFonts w:ascii="Arial" w:hAnsi="Arial"/>
          <w:i/>
          <w:sz w:val="22"/>
        </w:rPr>
        <w:t>ola</w:t>
      </w:r>
      <w:r>
        <w:rPr>
          <w:rFonts w:ascii="Arial" w:hAnsi="Arial"/>
          <w:i/>
          <w:spacing w:val="-7"/>
          <w:sz w:val="22"/>
        </w:rPr>
        <w:t> </w:t>
      </w:r>
      <w:r>
        <w:rPr>
          <w:rFonts w:ascii="Arial" w:hAnsi="Arial"/>
          <w:i/>
          <w:sz w:val="22"/>
        </w:rPr>
        <w:t>de</w:t>
      </w:r>
      <w:r>
        <w:rPr>
          <w:rFonts w:ascii="Arial" w:hAnsi="Arial"/>
          <w:i/>
          <w:spacing w:val="-12"/>
          <w:sz w:val="22"/>
        </w:rPr>
        <w:t> </w:t>
      </w:r>
      <w:r>
        <w:rPr>
          <w:rFonts w:ascii="Arial" w:hAnsi="Arial"/>
          <w:i/>
          <w:sz w:val="22"/>
        </w:rPr>
        <w:t>violencia</w:t>
      </w:r>
      <w:r>
        <w:rPr>
          <w:rFonts w:ascii="Arial" w:hAnsi="Arial"/>
          <w:i/>
          <w:spacing w:val="-7"/>
          <w:sz w:val="22"/>
        </w:rPr>
        <w:t> </w:t>
      </w:r>
      <w:r>
        <w:rPr>
          <w:rFonts w:ascii="Arial" w:hAnsi="Arial"/>
          <w:i/>
          <w:sz w:val="22"/>
        </w:rPr>
        <w:t>letal</w:t>
      </w:r>
      <w:r>
        <w:rPr>
          <w:rFonts w:ascii="Arial" w:hAnsi="Arial"/>
          <w:i/>
          <w:spacing w:val="-10"/>
          <w:sz w:val="22"/>
        </w:rPr>
        <w:t> </w:t>
      </w:r>
      <w:r>
        <w:rPr>
          <w:rFonts w:ascii="Arial" w:hAnsi="Arial"/>
          <w:i/>
          <w:sz w:val="22"/>
        </w:rPr>
        <w:t>en</w:t>
      </w:r>
      <w:r>
        <w:rPr>
          <w:rFonts w:ascii="Arial" w:hAnsi="Arial"/>
          <w:i/>
          <w:spacing w:val="-8"/>
          <w:sz w:val="22"/>
        </w:rPr>
        <w:t> </w:t>
      </w:r>
      <w:r>
        <w:rPr>
          <w:rFonts w:ascii="Arial" w:hAnsi="Arial"/>
          <w:i/>
          <w:sz w:val="22"/>
        </w:rPr>
        <w:t>los</w:t>
      </w:r>
      <w:r>
        <w:rPr>
          <w:rFonts w:ascii="Arial" w:hAnsi="Arial"/>
          <w:i/>
          <w:spacing w:val="-10"/>
          <w:sz w:val="22"/>
        </w:rPr>
        <w:t> </w:t>
      </w:r>
      <w:r>
        <w:rPr>
          <w:rFonts w:ascii="Arial" w:hAnsi="Arial"/>
          <w:i/>
          <w:sz w:val="22"/>
        </w:rPr>
        <w:t>últimos</w:t>
      </w:r>
      <w:r>
        <w:rPr>
          <w:rFonts w:ascii="Arial" w:hAnsi="Arial"/>
          <w:i/>
          <w:spacing w:val="-10"/>
          <w:sz w:val="22"/>
        </w:rPr>
        <w:t> </w:t>
      </w:r>
      <w:r>
        <w:rPr>
          <w:rFonts w:ascii="Arial" w:hAnsi="Arial"/>
          <w:i/>
          <w:sz w:val="22"/>
        </w:rPr>
        <w:t>años</w:t>
      </w:r>
      <w:r>
        <w:rPr>
          <w:rFonts w:ascii="Arial" w:hAnsi="Arial"/>
          <w:i/>
          <w:spacing w:val="-7"/>
          <w:sz w:val="22"/>
        </w:rPr>
        <w:t> </w:t>
      </w:r>
      <w:r>
        <w:rPr>
          <w:rFonts w:ascii="Arial" w:hAnsi="Arial"/>
          <w:i/>
          <w:sz w:val="22"/>
        </w:rPr>
        <w:t>vinculada a grupos delictivos,</w:t>
      </w:r>
      <w:r>
        <w:rPr>
          <w:rFonts w:ascii="Arial" w:hAnsi="Arial"/>
          <w:i/>
          <w:spacing w:val="-1"/>
          <w:sz w:val="22"/>
        </w:rPr>
        <w:t> </w:t>
      </w:r>
      <w:r>
        <w:rPr>
          <w:rFonts w:ascii="Arial" w:hAnsi="Arial"/>
          <w:i/>
          <w:sz w:val="22"/>
        </w:rPr>
        <w:t>incluidas bandas</w:t>
      </w:r>
      <w:r>
        <w:rPr>
          <w:rFonts w:ascii="Arial" w:hAnsi="Arial"/>
          <w:i/>
          <w:spacing w:val="-3"/>
          <w:sz w:val="22"/>
        </w:rPr>
        <w:t> </w:t>
      </w:r>
      <w:r>
        <w:rPr>
          <w:rFonts w:ascii="Arial" w:hAnsi="Arial"/>
          <w:i/>
          <w:sz w:val="22"/>
        </w:rPr>
        <w:t>de</w:t>
      </w:r>
      <w:r>
        <w:rPr>
          <w:rFonts w:ascii="Arial" w:hAnsi="Arial"/>
          <w:i/>
          <w:spacing w:val="-3"/>
          <w:sz w:val="22"/>
        </w:rPr>
        <w:t> </w:t>
      </w:r>
      <w:r>
        <w:rPr>
          <w:rFonts w:ascii="Arial" w:hAnsi="Arial"/>
          <w:i/>
          <w:sz w:val="22"/>
        </w:rPr>
        <w:t>narcotraficantes.</w:t>
      </w:r>
      <w:r>
        <w:rPr>
          <w:rFonts w:ascii="Arial" w:hAnsi="Arial"/>
          <w:i/>
          <w:spacing w:val="-2"/>
          <w:sz w:val="22"/>
        </w:rPr>
        <w:t> </w:t>
      </w:r>
      <w:r>
        <w:rPr>
          <w:rFonts w:ascii="Arial" w:hAnsi="Arial"/>
          <w:i/>
          <w:sz w:val="22"/>
        </w:rPr>
        <w:t>Según</w:t>
      </w:r>
      <w:r>
        <w:rPr>
          <w:rFonts w:ascii="Arial" w:hAnsi="Arial"/>
          <w:i/>
          <w:spacing w:val="-3"/>
          <w:sz w:val="22"/>
        </w:rPr>
        <w:t> </w:t>
      </w:r>
      <w:r>
        <w:rPr>
          <w:rFonts w:ascii="Arial" w:hAnsi="Arial"/>
          <w:i/>
          <w:sz w:val="22"/>
        </w:rPr>
        <w:t>un</w:t>
      </w:r>
      <w:r>
        <w:rPr>
          <w:rFonts w:ascii="Arial" w:hAnsi="Arial"/>
          <w:i/>
          <w:spacing w:val="-3"/>
          <w:sz w:val="22"/>
        </w:rPr>
        <w:t> </w:t>
      </w:r>
      <w:r>
        <w:rPr>
          <w:rFonts w:ascii="Arial" w:hAnsi="Arial"/>
          <w:i/>
          <w:sz w:val="22"/>
        </w:rPr>
        <w:t>estudio</w:t>
      </w:r>
      <w:r>
        <w:rPr>
          <w:rFonts w:ascii="Arial" w:hAnsi="Arial"/>
          <w:i/>
          <w:spacing w:val="-3"/>
          <w:sz w:val="22"/>
        </w:rPr>
        <w:t> </w:t>
      </w:r>
      <w:r>
        <w:rPr>
          <w:rFonts w:ascii="Arial" w:hAnsi="Arial"/>
          <w:i/>
          <w:sz w:val="22"/>
        </w:rPr>
        <w:t>mundial</w:t>
      </w:r>
      <w:r>
        <w:rPr>
          <w:rFonts w:ascii="Arial" w:hAnsi="Arial"/>
          <w:i/>
          <w:spacing w:val="-2"/>
          <w:sz w:val="22"/>
        </w:rPr>
        <w:t> </w:t>
      </w:r>
      <w:r>
        <w:rPr>
          <w:rFonts w:ascii="Arial" w:hAnsi="Arial"/>
          <w:i/>
          <w:sz w:val="22"/>
        </w:rPr>
        <w:t>de la</w:t>
      </w:r>
      <w:r>
        <w:rPr>
          <w:rFonts w:ascii="Arial" w:hAnsi="Arial"/>
          <w:i/>
          <w:spacing w:val="-16"/>
          <w:sz w:val="22"/>
        </w:rPr>
        <w:t> </w:t>
      </w:r>
      <w:r>
        <w:rPr>
          <w:rFonts w:ascii="Arial" w:hAnsi="Arial"/>
          <w:i/>
          <w:sz w:val="22"/>
        </w:rPr>
        <w:t>UNODC</w:t>
      </w:r>
      <w:r>
        <w:rPr>
          <w:rFonts w:ascii="Arial" w:hAnsi="Arial"/>
          <w:i/>
          <w:spacing w:val="-15"/>
          <w:sz w:val="22"/>
        </w:rPr>
        <w:t> </w:t>
      </w:r>
      <w:r>
        <w:rPr>
          <w:rFonts w:ascii="Arial" w:hAnsi="Arial"/>
          <w:i/>
          <w:sz w:val="22"/>
        </w:rPr>
        <w:t>sobre</w:t>
      </w:r>
      <w:r>
        <w:rPr>
          <w:rFonts w:ascii="Arial" w:hAnsi="Arial"/>
          <w:i/>
          <w:spacing w:val="-15"/>
          <w:sz w:val="22"/>
        </w:rPr>
        <w:t> </w:t>
      </w:r>
      <w:r>
        <w:rPr>
          <w:rFonts w:ascii="Arial" w:hAnsi="Arial"/>
          <w:i/>
          <w:sz w:val="22"/>
        </w:rPr>
        <w:t>el</w:t>
      </w:r>
      <w:r>
        <w:rPr>
          <w:rFonts w:ascii="Arial" w:hAnsi="Arial"/>
          <w:i/>
          <w:spacing w:val="-15"/>
          <w:sz w:val="22"/>
        </w:rPr>
        <w:t> </w:t>
      </w:r>
      <w:r>
        <w:rPr>
          <w:rFonts w:ascii="Arial" w:hAnsi="Arial"/>
          <w:i/>
          <w:sz w:val="22"/>
        </w:rPr>
        <w:t>homicidio</w:t>
      </w:r>
      <w:r>
        <w:rPr>
          <w:rFonts w:ascii="Arial" w:hAnsi="Arial"/>
          <w:i/>
          <w:spacing w:val="-14"/>
          <w:sz w:val="22"/>
        </w:rPr>
        <w:t> </w:t>
      </w:r>
      <w:r>
        <w:rPr>
          <w:rFonts w:ascii="Arial" w:hAnsi="Arial"/>
          <w:i/>
          <w:sz w:val="22"/>
        </w:rPr>
        <w:t>en</w:t>
      </w:r>
      <w:r>
        <w:rPr>
          <w:rFonts w:ascii="Arial" w:hAnsi="Arial"/>
          <w:i/>
          <w:spacing w:val="-14"/>
          <w:sz w:val="22"/>
        </w:rPr>
        <w:t> </w:t>
      </w:r>
      <w:r>
        <w:rPr>
          <w:rFonts w:ascii="Arial" w:hAnsi="Arial"/>
          <w:i/>
          <w:sz w:val="22"/>
        </w:rPr>
        <w:t>2023,</w:t>
      </w:r>
      <w:r>
        <w:rPr>
          <w:rFonts w:ascii="Arial" w:hAnsi="Arial"/>
          <w:i/>
          <w:spacing w:val="-12"/>
          <w:sz w:val="22"/>
        </w:rPr>
        <w:t> </w:t>
      </w:r>
      <w:r>
        <w:rPr>
          <w:rFonts w:ascii="Arial" w:hAnsi="Arial"/>
          <w:i/>
          <w:sz w:val="22"/>
        </w:rPr>
        <w:t>uno</w:t>
      </w:r>
      <w:r>
        <w:rPr>
          <w:rFonts w:ascii="Arial" w:hAnsi="Arial"/>
          <w:i/>
          <w:spacing w:val="-14"/>
          <w:sz w:val="22"/>
        </w:rPr>
        <w:t> </w:t>
      </w:r>
      <w:r>
        <w:rPr>
          <w:rFonts w:ascii="Arial" w:hAnsi="Arial"/>
          <w:i/>
          <w:sz w:val="22"/>
        </w:rPr>
        <w:t>de</w:t>
      </w:r>
      <w:r>
        <w:rPr>
          <w:rFonts w:ascii="Arial" w:hAnsi="Arial"/>
          <w:i/>
          <w:spacing w:val="-14"/>
          <w:sz w:val="22"/>
        </w:rPr>
        <w:t> </w:t>
      </w:r>
      <w:r>
        <w:rPr>
          <w:rFonts w:ascii="Arial" w:hAnsi="Arial"/>
          <w:i/>
          <w:sz w:val="22"/>
        </w:rPr>
        <w:t>los</w:t>
      </w:r>
      <w:r>
        <w:rPr>
          <w:rFonts w:ascii="Arial" w:hAnsi="Arial"/>
          <w:i/>
          <w:spacing w:val="-16"/>
          <w:sz w:val="22"/>
        </w:rPr>
        <w:t> </w:t>
      </w:r>
      <w:r>
        <w:rPr>
          <w:rFonts w:ascii="Arial" w:hAnsi="Arial"/>
          <w:i/>
          <w:sz w:val="22"/>
        </w:rPr>
        <w:t>motivos</w:t>
      </w:r>
      <w:r>
        <w:rPr>
          <w:rFonts w:ascii="Arial" w:hAnsi="Arial"/>
          <w:i/>
          <w:spacing w:val="-15"/>
          <w:sz w:val="22"/>
        </w:rPr>
        <w:t> </w:t>
      </w:r>
      <w:r>
        <w:rPr>
          <w:rFonts w:ascii="Arial" w:hAnsi="Arial"/>
          <w:i/>
          <w:sz w:val="22"/>
        </w:rPr>
        <w:t>de</w:t>
      </w:r>
      <w:r>
        <w:rPr>
          <w:rFonts w:ascii="Arial" w:hAnsi="Arial"/>
          <w:i/>
          <w:spacing w:val="-14"/>
          <w:sz w:val="22"/>
        </w:rPr>
        <w:t> </w:t>
      </w:r>
      <w:r>
        <w:rPr>
          <w:rFonts w:ascii="Arial" w:hAnsi="Arial"/>
          <w:i/>
          <w:sz w:val="22"/>
        </w:rPr>
        <w:t>que</w:t>
      </w:r>
      <w:r>
        <w:rPr>
          <w:rFonts w:ascii="Arial" w:hAnsi="Arial"/>
          <w:i/>
          <w:spacing w:val="-16"/>
          <w:sz w:val="22"/>
        </w:rPr>
        <w:t> </w:t>
      </w:r>
      <w:r>
        <w:rPr>
          <w:rFonts w:ascii="Arial" w:hAnsi="Arial"/>
          <w:i/>
          <w:sz w:val="22"/>
        </w:rPr>
        <w:t>la</w:t>
      </w:r>
      <w:r>
        <w:rPr>
          <w:rFonts w:ascii="Arial" w:hAnsi="Arial"/>
          <w:i/>
          <w:spacing w:val="-13"/>
          <w:sz w:val="22"/>
        </w:rPr>
        <w:t> </w:t>
      </w:r>
      <w:r>
        <w:rPr>
          <w:rFonts w:ascii="Arial" w:hAnsi="Arial"/>
          <w:i/>
          <w:sz w:val="22"/>
        </w:rPr>
        <w:t>violencia</w:t>
      </w:r>
      <w:r>
        <w:rPr>
          <w:rFonts w:ascii="Arial" w:hAnsi="Arial"/>
          <w:i/>
          <w:spacing w:val="-14"/>
          <w:sz w:val="22"/>
        </w:rPr>
        <w:t> </w:t>
      </w:r>
      <w:r>
        <w:rPr>
          <w:rFonts w:ascii="Arial" w:hAnsi="Arial"/>
          <w:i/>
          <w:sz w:val="22"/>
        </w:rPr>
        <w:t>aumentara alrededor de un 407% de 2016 a 2022 son el nivel sin precedentes del cultivo de coca en países fronterizos como Colombia”.</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81" w:hanging="567"/>
        <w:jc w:val="both"/>
        <w:rPr>
          <w:sz w:val="22"/>
        </w:rPr>
      </w:pPr>
      <w:r>
        <w:rPr>
          <w:sz w:val="22"/>
        </w:rPr>
        <w:t>Se sostiene que la medida de restricción al ingreso de mercancías utilizadas en la producción de fentanilo tendría como finalidad afectar las finanzas de los grupos armados y organizaciones criminales, en la medida en que limitaría su capacidad para procesar</w:t>
      </w:r>
      <w:r>
        <w:rPr>
          <w:spacing w:val="-3"/>
          <w:sz w:val="22"/>
        </w:rPr>
        <w:t> </w:t>
      </w:r>
      <w:r>
        <w:rPr>
          <w:sz w:val="22"/>
        </w:rPr>
        <w:t>sustancias</w:t>
      </w:r>
      <w:r>
        <w:rPr>
          <w:spacing w:val="-2"/>
          <w:sz w:val="22"/>
        </w:rPr>
        <w:t> </w:t>
      </w:r>
      <w:r>
        <w:rPr>
          <w:sz w:val="22"/>
        </w:rPr>
        <w:t>ilícitas,</w:t>
      </w:r>
      <w:r>
        <w:rPr>
          <w:spacing w:val="-1"/>
          <w:sz w:val="22"/>
        </w:rPr>
        <w:t> </w:t>
      </w:r>
      <w:r>
        <w:rPr>
          <w:sz w:val="22"/>
        </w:rPr>
        <w:t>con</w:t>
      </w:r>
      <w:r>
        <w:rPr>
          <w:spacing w:val="-4"/>
          <w:sz w:val="22"/>
        </w:rPr>
        <w:t> </w:t>
      </w:r>
      <w:r>
        <w:rPr>
          <w:sz w:val="22"/>
        </w:rPr>
        <w:t>el</w:t>
      </w:r>
      <w:r>
        <w:rPr>
          <w:spacing w:val="-3"/>
          <w:sz w:val="22"/>
        </w:rPr>
        <w:t> </w:t>
      </w:r>
      <w:r>
        <w:rPr>
          <w:sz w:val="22"/>
        </w:rPr>
        <w:t>objetivo</w:t>
      </w:r>
      <w:r>
        <w:rPr>
          <w:spacing w:val="-2"/>
          <w:sz w:val="22"/>
        </w:rPr>
        <w:t> </w:t>
      </w:r>
      <w:r>
        <w:rPr>
          <w:sz w:val="22"/>
        </w:rPr>
        <w:t>último</w:t>
      </w:r>
      <w:r>
        <w:rPr>
          <w:spacing w:val="-4"/>
          <w:sz w:val="22"/>
        </w:rPr>
        <w:t> </w:t>
      </w:r>
      <w:r>
        <w:rPr>
          <w:sz w:val="22"/>
        </w:rPr>
        <w:t>de</w:t>
      </w:r>
      <w:r>
        <w:rPr>
          <w:spacing w:val="-2"/>
          <w:sz w:val="22"/>
        </w:rPr>
        <w:t> </w:t>
      </w:r>
      <w:r>
        <w:rPr>
          <w:sz w:val="22"/>
        </w:rPr>
        <w:t>prevenir</w:t>
      </w:r>
      <w:r>
        <w:rPr>
          <w:spacing w:val="-1"/>
          <w:sz w:val="22"/>
        </w:rPr>
        <w:t> </w:t>
      </w:r>
      <w:r>
        <w:rPr>
          <w:sz w:val="22"/>
        </w:rPr>
        <w:t>afectaciones</w:t>
      </w:r>
      <w:r>
        <w:rPr>
          <w:spacing w:val="-1"/>
          <w:sz w:val="22"/>
        </w:rPr>
        <w:t> </w:t>
      </w:r>
      <w:r>
        <w:rPr>
          <w:sz w:val="22"/>
        </w:rPr>
        <w:t>a</w:t>
      </w:r>
      <w:r>
        <w:rPr>
          <w:spacing w:val="-2"/>
          <w:sz w:val="22"/>
        </w:rPr>
        <w:t> </w:t>
      </w:r>
      <w:r>
        <w:rPr>
          <w:sz w:val="22"/>
        </w:rPr>
        <w:t>la</w:t>
      </w:r>
      <w:r>
        <w:rPr>
          <w:spacing w:val="-2"/>
          <w:sz w:val="22"/>
        </w:rPr>
        <w:t> </w:t>
      </w:r>
      <w:r>
        <w:rPr>
          <w:sz w:val="22"/>
        </w:rPr>
        <w:t>vida</w:t>
      </w:r>
      <w:r>
        <w:rPr>
          <w:spacing w:val="-2"/>
          <w:sz w:val="22"/>
        </w:rPr>
        <w:t> </w:t>
      </w:r>
      <w:r>
        <w:rPr>
          <w:sz w:val="22"/>
        </w:rPr>
        <w:t>y</w:t>
      </w:r>
      <w:r>
        <w:rPr>
          <w:spacing w:val="-4"/>
          <w:sz w:val="22"/>
        </w:rPr>
        <w:t> </w:t>
      </w:r>
      <w:r>
        <w:rPr>
          <w:sz w:val="22"/>
        </w:rPr>
        <w:t>a la salud de la población colombiana.</w:t>
      </w:r>
    </w:p>
    <w:p>
      <w:pPr>
        <w:pStyle w:val="ListParagraph"/>
        <w:numPr>
          <w:ilvl w:val="0"/>
          <w:numId w:val="50"/>
        </w:numPr>
        <w:tabs>
          <w:tab w:pos="1130" w:val="left" w:leader="none"/>
          <w:tab w:pos="1134" w:val="left" w:leader="none"/>
        </w:tabs>
        <w:spacing w:line="240" w:lineRule="auto" w:before="252" w:after="0"/>
        <w:ind w:left="1134" w:right="980" w:hanging="567"/>
        <w:jc w:val="both"/>
        <w:rPr>
          <w:rFonts w:ascii="Arial" w:hAnsi="Arial"/>
          <w:i/>
          <w:sz w:val="22"/>
        </w:rPr>
      </w:pPr>
      <w:r>
        <w:rPr>
          <w:sz w:val="22"/>
        </w:rPr>
        <w:t>Se concluye mencionando que “</w:t>
      </w:r>
      <w:r>
        <w:rPr>
          <w:rFonts w:ascii="Arial" w:hAnsi="Arial"/>
          <w:i/>
          <w:sz w:val="22"/>
        </w:rPr>
        <w:t>[l]a medida contenida en el artículo 3 del Decreto 170 de</w:t>
      </w:r>
      <w:r>
        <w:rPr>
          <w:rFonts w:ascii="Arial" w:hAnsi="Arial"/>
          <w:i/>
          <w:spacing w:val="-3"/>
          <w:sz w:val="22"/>
        </w:rPr>
        <w:t> </w:t>
      </w:r>
      <w:r>
        <w:rPr>
          <w:rFonts w:ascii="Arial" w:hAnsi="Arial"/>
          <w:i/>
          <w:sz w:val="22"/>
        </w:rPr>
        <w:t>2026</w:t>
      </w:r>
      <w:r>
        <w:rPr>
          <w:rFonts w:ascii="Arial" w:hAnsi="Arial"/>
          <w:i/>
          <w:spacing w:val="-3"/>
          <w:sz w:val="22"/>
        </w:rPr>
        <w:t> </w:t>
      </w:r>
      <w:r>
        <w:rPr>
          <w:rFonts w:ascii="Arial" w:hAnsi="Arial"/>
          <w:i/>
          <w:sz w:val="22"/>
        </w:rPr>
        <w:t>atiende</w:t>
      </w:r>
      <w:r>
        <w:rPr>
          <w:rFonts w:ascii="Arial" w:hAnsi="Arial"/>
          <w:i/>
          <w:spacing w:val="-3"/>
          <w:sz w:val="22"/>
        </w:rPr>
        <w:t> </w:t>
      </w:r>
      <w:r>
        <w:rPr>
          <w:rFonts w:ascii="Arial" w:hAnsi="Arial"/>
          <w:i/>
          <w:sz w:val="22"/>
        </w:rPr>
        <w:t>preocupaciones</w:t>
      </w:r>
      <w:r>
        <w:rPr>
          <w:rFonts w:ascii="Arial" w:hAnsi="Arial"/>
          <w:i/>
          <w:spacing w:val="-3"/>
          <w:sz w:val="22"/>
        </w:rPr>
        <w:t> </w:t>
      </w:r>
      <w:r>
        <w:rPr>
          <w:rFonts w:ascii="Arial" w:hAnsi="Arial"/>
          <w:i/>
          <w:sz w:val="22"/>
        </w:rPr>
        <w:t>de</w:t>
      </w:r>
      <w:r>
        <w:rPr>
          <w:rFonts w:ascii="Arial" w:hAnsi="Arial"/>
          <w:i/>
          <w:spacing w:val="-3"/>
          <w:sz w:val="22"/>
        </w:rPr>
        <w:t> </w:t>
      </w:r>
      <w:r>
        <w:rPr>
          <w:rFonts w:ascii="Arial" w:hAnsi="Arial"/>
          <w:i/>
          <w:sz w:val="22"/>
        </w:rPr>
        <w:t>política</w:t>
      </w:r>
      <w:r>
        <w:rPr>
          <w:rFonts w:ascii="Arial" w:hAnsi="Arial"/>
          <w:i/>
          <w:spacing w:val="-5"/>
          <w:sz w:val="22"/>
        </w:rPr>
        <w:t> </w:t>
      </w:r>
      <w:r>
        <w:rPr>
          <w:rFonts w:ascii="Arial" w:hAnsi="Arial"/>
          <w:i/>
          <w:sz w:val="22"/>
        </w:rPr>
        <w:t>pública</w:t>
      </w:r>
      <w:r>
        <w:rPr>
          <w:rFonts w:ascii="Arial" w:hAnsi="Arial"/>
          <w:i/>
          <w:spacing w:val="-3"/>
          <w:sz w:val="22"/>
        </w:rPr>
        <w:t> </w:t>
      </w:r>
      <w:r>
        <w:rPr>
          <w:rFonts w:ascii="Arial" w:hAnsi="Arial"/>
          <w:i/>
          <w:sz w:val="22"/>
        </w:rPr>
        <w:t>legítimas</w:t>
      </w:r>
      <w:r>
        <w:rPr>
          <w:rFonts w:ascii="Arial" w:hAnsi="Arial"/>
          <w:i/>
          <w:spacing w:val="-3"/>
          <w:sz w:val="22"/>
        </w:rPr>
        <w:t> </w:t>
      </w:r>
      <w:r>
        <w:rPr>
          <w:rFonts w:ascii="Arial" w:hAnsi="Arial"/>
          <w:i/>
          <w:sz w:val="22"/>
        </w:rPr>
        <w:t>y</w:t>
      </w:r>
      <w:r>
        <w:rPr>
          <w:rFonts w:ascii="Arial" w:hAnsi="Arial"/>
          <w:i/>
          <w:spacing w:val="-4"/>
          <w:sz w:val="22"/>
        </w:rPr>
        <w:t> </w:t>
      </w:r>
      <w:r>
        <w:rPr>
          <w:rFonts w:ascii="Arial" w:hAnsi="Arial"/>
          <w:i/>
          <w:sz w:val="22"/>
        </w:rPr>
        <w:t>se</w:t>
      </w:r>
      <w:r>
        <w:rPr>
          <w:rFonts w:ascii="Arial" w:hAnsi="Arial"/>
          <w:i/>
          <w:spacing w:val="-3"/>
          <w:sz w:val="22"/>
        </w:rPr>
        <w:t> </w:t>
      </w:r>
      <w:r>
        <w:rPr>
          <w:rFonts w:ascii="Arial" w:hAnsi="Arial"/>
          <w:i/>
          <w:sz w:val="22"/>
        </w:rPr>
        <w:t>encuentra</w:t>
      </w:r>
      <w:r>
        <w:rPr>
          <w:rFonts w:ascii="Arial" w:hAnsi="Arial"/>
          <w:i/>
          <w:spacing w:val="-3"/>
          <w:sz w:val="22"/>
        </w:rPr>
        <w:t> </w:t>
      </w:r>
      <w:r>
        <w:rPr>
          <w:rFonts w:ascii="Arial" w:hAnsi="Arial"/>
          <w:i/>
          <w:sz w:val="22"/>
        </w:rPr>
        <w:t>justificada bajo el artículo 73 del AC por perseguir simultáneamente los objetivos legítimos de (i) protección</w:t>
      </w:r>
      <w:r>
        <w:rPr>
          <w:rFonts w:ascii="Arial" w:hAnsi="Arial"/>
          <w:i/>
          <w:spacing w:val="-4"/>
          <w:sz w:val="22"/>
        </w:rPr>
        <w:t> </w:t>
      </w:r>
      <w:r>
        <w:rPr>
          <w:rFonts w:ascii="Arial" w:hAnsi="Arial"/>
          <w:i/>
          <w:sz w:val="22"/>
        </w:rPr>
        <w:t>de</w:t>
      </w:r>
      <w:r>
        <w:rPr>
          <w:rFonts w:ascii="Arial" w:hAnsi="Arial"/>
          <w:i/>
          <w:spacing w:val="-4"/>
          <w:sz w:val="22"/>
        </w:rPr>
        <w:t> </w:t>
      </w:r>
      <w:r>
        <w:rPr>
          <w:rFonts w:ascii="Arial" w:hAnsi="Arial"/>
          <w:i/>
          <w:sz w:val="22"/>
        </w:rPr>
        <w:t>la</w:t>
      </w:r>
      <w:r>
        <w:rPr>
          <w:rFonts w:ascii="Arial" w:hAnsi="Arial"/>
          <w:i/>
          <w:spacing w:val="-4"/>
          <w:sz w:val="22"/>
        </w:rPr>
        <w:t> </w:t>
      </w:r>
      <w:r>
        <w:rPr>
          <w:rFonts w:ascii="Arial" w:hAnsi="Arial"/>
          <w:i/>
          <w:sz w:val="22"/>
        </w:rPr>
        <w:t>moralidad</w:t>
      </w:r>
      <w:r>
        <w:rPr>
          <w:rFonts w:ascii="Arial" w:hAnsi="Arial"/>
          <w:i/>
          <w:spacing w:val="-2"/>
          <w:sz w:val="22"/>
        </w:rPr>
        <w:t> </w:t>
      </w:r>
      <w:r>
        <w:rPr>
          <w:rFonts w:ascii="Arial" w:hAnsi="Arial"/>
          <w:i/>
          <w:sz w:val="22"/>
        </w:rPr>
        <w:t>pública</w:t>
      </w:r>
      <w:r>
        <w:rPr>
          <w:rFonts w:ascii="Arial" w:hAnsi="Arial"/>
          <w:i/>
          <w:spacing w:val="-2"/>
          <w:sz w:val="22"/>
        </w:rPr>
        <w:t> </w:t>
      </w:r>
      <w:r>
        <w:rPr>
          <w:rFonts w:ascii="Arial" w:hAnsi="Arial"/>
          <w:i/>
          <w:sz w:val="22"/>
        </w:rPr>
        <w:t>(ii)</w:t>
      </w:r>
      <w:r>
        <w:rPr>
          <w:rFonts w:ascii="Arial" w:hAnsi="Arial"/>
          <w:i/>
          <w:spacing w:val="-3"/>
          <w:sz w:val="22"/>
        </w:rPr>
        <w:t> </w:t>
      </w:r>
      <w:r>
        <w:rPr>
          <w:rFonts w:ascii="Arial" w:hAnsi="Arial"/>
          <w:i/>
          <w:sz w:val="22"/>
        </w:rPr>
        <w:t>aplicación</w:t>
      </w:r>
      <w:r>
        <w:rPr>
          <w:rFonts w:ascii="Arial" w:hAnsi="Arial"/>
          <w:i/>
          <w:spacing w:val="-4"/>
          <w:sz w:val="22"/>
        </w:rPr>
        <w:t> </w:t>
      </w:r>
      <w:r>
        <w:rPr>
          <w:rFonts w:ascii="Arial" w:hAnsi="Arial"/>
          <w:i/>
          <w:sz w:val="22"/>
        </w:rPr>
        <w:t>de</w:t>
      </w:r>
      <w:r>
        <w:rPr>
          <w:rFonts w:ascii="Arial" w:hAnsi="Arial"/>
          <w:i/>
          <w:spacing w:val="-2"/>
          <w:sz w:val="22"/>
        </w:rPr>
        <w:t> </w:t>
      </w:r>
      <w:r>
        <w:rPr>
          <w:rFonts w:ascii="Arial" w:hAnsi="Arial"/>
          <w:i/>
          <w:sz w:val="22"/>
        </w:rPr>
        <w:t>leyes</w:t>
      </w:r>
      <w:r>
        <w:rPr>
          <w:rFonts w:ascii="Arial" w:hAnsi="Arial"/>
          <w:i/>
          <w:spacing w:val="-4"/>
          <w:sz w:val="22"/>
        </w:rPr>
        <w:t> </w:t>
      </w:r>
      <w:r>
        <w:rPr>
          <w:rFonts w:ascii="Arial" w:hAnsi="Arial"/>
          <w:i/>
          <w:sz w:val="22"/>
        </w:rPr>
        <w:t>y</w:t>
      </w:r>
      <w:r>
        <w:rPr>
          <w:rFonts w:ascii="Arial" w:hAnsi="Arial"/>
          <w:i/>
          <w:spacing w:val="-4"/>
          <w:sz w:val="22"/>
        </w:rPr>
        <w:t> </w:t>
      </w:r>
      <w:r>
        <w:rPr>
          <w:rFonts w:ascii="Arial" w:hAnsi="Arial"/>
          <w:i/>
          <w:sz w:val="22"/>
        </w:rPr>
        <w:t>reglamentos</w:t>
      </w:r>
      <w:r>
        <w:rPr>
          <w:rFonts w:ascii="Arial" w:hAnsi="Arial"/>
          <w:i/>
          <w:spacing w:val="-4"/>
          <w:sz w:val="22"/>
        </w:rPr>
        <w:t> </w:t>
      </w:r>
      <w:r>
        <w:rPr>
          <w:rFonts w:ascii="Arial" w:hAnsi="Arial"/>
          <w:i/>
          <w:sz w:val="22"/>
        </w:rPr>
        <w:t>de</w:t>
      </w:r>
      <w:r>
        <w:rPr>
          <w:rFonts w:ascii="Arial" w:hAnsi="Arial"/>
          <w:i/>
          <w:spacing w:val="-2"/>
          <w:sz w:val="22"/>
        </w:rPr>
        <w:t> </w:t>
      </w:r>
      <w:r>
        <w:rPr>
          <w:rFonts w:ascii="Arial" w:hAnsi="Arial"/>
          <w:i/>
          <w:sz w:val="22"/>
        </w:rPr>
        <w:t>seguridad</w:t>
      </w:r>
      <w:r>
        <w:rPr>
          <w:rFonts w:ascii="Arial" w:hAnsi="Arial"/>
          <w:i/>
          <w:spacing w:val="-4"/>
          <w:sz w:val="22"/>
        </w:rPr>
        <w:t> </w:t>
      </w:r>
      <w:r>
        <w:rPr>
          <w:rFonts w:ascii="Arial" w:hAnsi="Arial"/>
          <w:i/>
          <w:sz w:val="22"/>
        </w:rPr>
        <w:t>y</w:t>
      </w:r>
    </w:p>
    <w:p>
      <w:pPr>
        <w:pStyle w:val="ListParagraph"/>
        <w:numPr>
          <w:ilvl w:val="0"/>
          <w:numId w:val="112"/>
        </w:numPr>
        <w:tabs>
          <w:tab w:pos="1499" w:val="left" w:leader="none"/>
        </w:tabs>
        <w:spacing w:line="240" w:lineRule="auto" w:before="2" w:after="0"/>
        <w:ind w:left="1134" w:right="986" w:firstLine="0"/>
        <w:jc w:val="both"/>
        <w:rPr>
          <w:sz w:val="22"/>
        </w:rPr>
      </w:pPr>
      <w:r>
        <w:rPr>
          <w:rFonts w:ascii="Arial" w:hAnsi="Arial"/>
          <w:i/>
          <w:sz w:val="22"/>
        </w:rPr>
        <w:t>protección de la vida y la salud de las personas, cumpliendo con los requisitos de idoneidad, necesidad, proporcionalidad y exigencia de no discriminación</w:t>
      </w:r>
      <w:r>
        <w:rPr>
          <w:sz w:val="22"/>
        </w:rPr>
        <w:t>”</w:t>
      </w:r>
      <w:hyperlink w:history="true" w:anchor="_bookmark187">
        <w:r>
          <w:rPr>
            <w:sz w:val="22"/>
            <w:vertAlign w:val="superscript"/>
          </w:rPr>
          <w:t>120</w:t>
        </w:r>
        <w:r>
          <w:rPr>
            <w:sz w:val="22"/>
            <w:vertAlign w:val="baseline"/>
          </w:rPr>
          <w:t>.</w:t>
        </w:r>
      </w:hyperlink>
    </w:p>
    <w:p>
      <w:pPr>
        <w:pStyle w:val="BodyText"/>
        <w:spacing w:before="1"/>
      </w:pPr>
    </w:p>
    <w:p>
      <w:pPr>
        <w:pStyle w:val="Heading6"/>
        <w:numPr>
          <w:ilvl w:val="0"/>
          <w:numId w:val="117"/>
        </w:numPr>
        <w:tabs>
          <w:tab w:pos="1561" w:val="left" w:leader="none"/>
        </w:tabs>
        <w:spacing w:line="240" w:lineRule="auto" w:before="0" w:after="0"/>
        <w:ind w:left="1561" w:right="0" w:hanging="359"/>
        <w:jc w:val="both"/>
      </w:pPr>
      <w:r>
        <w:rPr/>
        <w:t>Análisis</w:t>
      </w:r>
      <w:r>
        <w:rPr>
          <w:spacing w:val="-5"/>
        </w:rPr>
        <w:t> </w:t>
      </w:r>
      <w:r>
        <w:rPr/>
        <w:t>de</w:t>
      </w:r>
      <w:r>
        <w:rPr>
          <w:spacing w:val="-4"/>
        </w:rPr>
        <w:t> </w:t>
      </w:r>
      <w:r>
        <w:rPr/>
        <w:t>la</w:t>
      </w:r>
      <w:r>
        <w:rPr>
          <w:spacing w:val="-4"/>
        </w:rPr>
        <w:t> SGCAN</w:t>
      </w:r>
    </w:p>
    <w:p>
      <w:pPr>
        <w:pStyle w:val="ListParagraph"/>
        <w:numPr>
          <w:ilvl w:val="0"/>
          <w:numId w:val="118"/>
        </w:numPr>
        <w:tabs>
          <w:tab w:pos="1274" w:val="left" w:leader="none"/>
          <w:tab w:pos="1276" w:val="left" w:leader="none"/>
        </w:tabs>
        <w:spacing w:line="240" w:lineRule="auto" w:before="249" w:after="0"/>
        <w:ind w:left="1276" w:right="981" w:hanging="348"/>
        <w:jc w:val="left"/>
        <w:rPr>
          <w:rFonts w:ascii="Arial" w:hAnsi="Arial"/>
          <w:i/>
          <w:sz w:val="22"/>
        </w:rPr>
      </w:pPr>
      <w:r>
        <w:rPr>
          <w:rFonts w:ascii="Arial" w:hAnsi="Arial"/>
          <w:i/>
          <w:sz w:val="22"/>
          <w:u w:val="single"/>
        </w:rPr>
        <w:t>Análisis</w:t>
      </w:r>
      <w:r>
        <w:rPr>
          <w:rFonts w:ascii="Arial" w:hAnsi="Arial"/>
          <w:i/>
          <w:spacing w:val="-5"/>
          <w:sz w:val="22"/>
          <w:u w:val="single"/>
        </w:rPr>
        <w:t> </w:t>
      </w:r>
      <w:r>
        <w:rPr>
          <w:rFonts w:ascii="Arial" w:hAnsi="Arial"/>
          <w:i/>
          <w:sz w:val="22"/>
          <w:u w:val="single"/>
        </w:rPr>
        <w:t>para</w:t>
      </w:r>
      <w:r>
        <w:rPr>
          <w:rFonts w:ascii="Arial" w:hAnsi="Arial"/>
          <w:i/>
          <w:spacing w:val="-5"/>
          <w:sz w:val="22"/>
          <w:u w:val="single"/>
        </w:rPr>
        <w:t> </w:t>
      </w:r>
      <w:r>
        <w:rPr>
          <w:rFonts w:ascii="Arial" w:hAnsi="Arial"/>
          <w:i/>
          <w:sz w:val="22"/>
          <w:u w:val="single"/>
        </w:rPr>
        <w:t>determinar</w:t>
      </w:r>
      <w:r>
        <w:rPr>
          <w:rFonts w:ascii="Arial" w:hAnsi="Arial"/>
          <w:i/>
          <w:spacing w:val="-9"/>
          <w:sz w:val="22"/>
          <w:u w:val="single"/>
        </w:rPr>
        <w:t> </w:t>
      </w:r>
      <w:r>
        <w:rPr>
          <w:rFonts w:ascii="Arial" w:hAnsi="Arial"/>
          <w:i/>
          <w:sz w:val="22"/>
          <w:u w:val="single"/>
        </w:rPr>
        <w:t>si</w:t>
      </w:r>
      <w:r>
        <w:rPr>
          <w:rFonts w:ascii="Arial" w:hAnsi="Arial"/>
          <w:i/>
          <w:spacing w:val="-6"/>
          <w:sz w:val="22"/>
          <w:u w:val="single"/>
        </w:rPr>
        <w:t> </w:t>
      </w:r>
      <w:r>
        <w:rPr>
          <w:rFonts w:ascii="Arial" w:hAnsi="Arial"/>
          <w:i/>
          <w:sz w:val="22"/>
          <w:u w:val="single"/>
        </w:rPr>
        <w:t>la</w:t>
      </w:r>
      <w:r>
        <w:rPr>
          <w:rFonts w:ascii="Arial" w:hAnsi="Arial"/>
          <w:i/>
          <w:spacing w:val="-5"/>
          <w:sz w:val="22"/>
          <w:u w:val="single"/>
        </w:rPr>
        <w:t> </w:t>
      </w:r>
      <w:r>
        <w:rPr>
          <w:rFonts w:ascii="Arial" w:hAnsi="Arial"/>
          <w:i/>
          <w:sz w:val="22"/>
          <w:u w:val="single"/>
        </w:rPr>
        <w:t>medida</w:t>
      </w:r>
      <w:r>
        <w:rPr>
          <w:rFonts w:ascii="Arial" w:hAnsi="Arial"/>
          <w:i/>
          <w:spacing w:val="-5"/>
          <w:sz w:val="22"/>
          <w:u w:val="single"/>
        </w:rPr>
        <w:t> </w:t>
      </w:r>
      <w:r>
        <w:rPr>
          <w:rFonts w:ascii="Arial" w:hAnsi="Arial"/>
          <w:i/>
          <w:sz w:val="22"/>
          <w:u w:val="single"/>
        </w:rPr>
        <w:t>objeto</w:t>
      </w:r>
      <w:r>
        <w:rPr>
          <w:rFonts w:ascii="Arial" w:hAnsi="Arial"/>
          <w:i/>
          <w:spacing w:val="-5"/>
          <w:sz w:val="22"/>
          <w:u w:val="single"/>
        </w:rPr>
        <w:t> </w:t>
      </w:r>
      <w:r>
        <w:rPr>
          <w:rFonts w:ascii="Arial" w:hAnsi="Arial"/>
          <w:i/>
          <w:sz w:val="22"/>
          <w:u w:val="single"/>
        </w:rPr>
        <w:t>de</w:t>
      </w:r>
      <w:r>
        <w:rPr>
          <w:rFonts w:ascii="Arial" w:hAnsi="Arial"/>
          <w:i/>
          <w:spacing w:val="-8"/>
          <w:sz w:val="22"/>
          <w:u w:val="single"/>
        </w:rPr>
        <w:t> </w:t>
      </w:r>
      <w:r>
        <w:rPr>
          <w:rFonts w:ascii="Arial" w:hAnsi="Arial"/>
          <w:i/>
          <w:sz w:val="22"/>
          <w:u w:val="single"/>
        </w:rPr>
        <w:t>investigación</w:t>
      </w:r>
      <w:r>
        <w:rPr>
          <w:rFonts w:ascii="Arial" w:hAnsi="Arial"/>
          <w:i/>
          <w:spacing w:val="-5"/>
          <w:sz w:val="22"/>
          <w:u w:val="single"/>
        </w:rPr>
        <w:t> </w:t>
      </w:r>
      <w:r>
        <w:rPr>
          <w:rFonts w:ascii="Arial" w:hAnsi="Arial"/>
          <w:i/>
          <w:sz w:val="22"/>
          <w:u w:val="single"/>
        </w:rPr>
        <w:t>impide</w:t>
      </w:r>
      <w:r>
        <w:rPr>
          <w:rFonts w:ascii="Arial" w:hAnsi="Arial"/>
          <w:i/>
          <w:spacing w:val="-5"/>
          <w:sz w:val="22"/>
          <w:u w:val="single"/>
        </w:rPr>
        <w:t> </w:t>
      </w:r>
      <w:r>
        <w:rPr>
          <w:rFonts w:ascii="Arial" w:hAnsi="Arial"/>
          <w:i/>
          <w:sz w:val="22"/>
          <w:u w:val="single"/>
        </w:rPr>
        <w:t>las</w:t>
      </w:r>
      <w:r>
        <w:rPr>
          <w:rFonts w:ascii="Arial" w:hAnsi="Arial"/>
          <w:i/>
          <w:spacing w:val="-7"/>
          <w:sz w:val="22"/>
          <w:u w:val="single"/>
        </w:rPr>
        <w:t> </w:t>
      </w:r>
      <w:r>
        <w:rPr>
          <w:rFonts w:ascii="Arial" w:hAnsi="Arial"/>
          <w:i/>
          <w:sz w:val="22"/>
          <w:u w:val="single"/>
        </w:rPr>
        <w:t>importaciones</w:t>
      </w:r>
      <w:r>
        <w:rPr>
          <w:rFonts w:ascii="Arial" w:hAnsi="Arial"/>
          <w:i/>
          <w:sz w:val="22"/>
        </w:rPr>
        <w:t> </w:t>
      </w:r>
      <w:r>
        <w:rPr>
          <w:rFonts w:ascii="Arial" w:hAnsi="Arial"/>
          <w:i/>
          <w:sz w:val="22"/>
          <w:u w:val="single"/>
        </w:rPr>
        <w:t>de productos presuntamente usados en la producción fentanilo</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9" w:hanging="567"/>
        <w:jc w:val="left"/>
        <w:rPr>
          <w:sz w:val="22"/>
        </w:rPr>
      </w:pPr>
      <w:r>
        <w:rPr>
          <w:sz w:val="22"/>
        </w:rPr>
        <w:t>Para</w:t>
      </w:r>
      <w:r>
        <w:rPr>
          <w:spacing w:val="-9"/>
          <w:sz w:val="22"/>
        </w:rPr>
        <w:t> </w:t>
      </w:r>
      <w:r>
        <w:rPr>
          <w:sz w:val="22"/>
        </w:rPr>
        <w:t>la</w:t>
      </w:r>
      <w:r>
        <w:rPr>
          <w:spacing w:val="-12"/>
          <w:sz w:val="22"/>
        </w:rPr>
        <w:t> </w:t>
      </w:r>
      <w:r>
        <w:rPr>
          <w:sz w:val="22"/>
        </w:rPr>
        <w:t>revisión</w:t>
      </w:r>
      <w:r>
        <w:rPr>
          <w:spacing w:val="-10"/>
          <w:sz w:val="22"/>
        </w:rPr>
        <w:t> </w:t>
      </w:r>
      <w:r>
        <w:rPr>
          <w:sz w:val="22"/>
        </w:rPr>
        <w:t>de</w:t>
      </w:r>
      <w:r>
        <w:rPr>
          <w:spacing w:val="-13"/>
          <w:sz w:val="22"/>
        </w:rPr>
        <w:t> </w:t>
      </w:r>
      <w:r>
        <w:rPr>
          <w:sz w:val="22"/>
        </w:rPr>
        <w:t>la</w:t>
      </w:r>
      <w:r>
        <w:rPr>
          <w:spacing w:val="-12"/>
          <w:sz w:val="22"/>
        </w:rPr>
        <w:t> </w:t>
      </w:r>
      <w:r>
        <w:rPr>
          <w:sz w:val="22"/>
        </w:rPr>
        <w:t>medida</w:t>
      </w:r>
      <w:r>
        <w:rPr>
          <w:spacing w:val="-10"/>
          <w:sz w:val="22"/>
        </w:rPr>
        <w:t> </w:t>
      </w:r>
      <w:r>
        <w:rPr>
          <w:sz w:val="22"/>
        </w:rPr>
        <w:t>aplicada</w:t>
      </w:r>
      <w:r>
        <w:rPr>
          <w:spacing w:val="-10"/>
          <w:sz w:val="22"/>
        </w:rPr>
        <w:t> </w:t>
      </w:r>
      <w:r>
        <w:rPr>
          <w:sz w:val="22"/>
        </w:rPr>
        <w:t>por</w:t>
      </w:r>
      <w:r>
        <w:rPr>
          <w:spacing w:val="-11"/>
          <w:sz w:val="22"/>
        </w:rPr>
        <w:t> </w:t>
      </w:r>
      <w:r>
        <w:rPr>
          <w:sz w:val="22"/>
        </w:rPr>
        <w:t>la</w:t>
      </w:r>
      <w:r>
        <w:rPr>
          <w:spacing w:val="-10"/>
          <w:sz w:val="22"/>
        </w:rPr>
        <w:t> </w:t>
      </w:r>
      <w:r>
        <w:rPr>
          <w:sz w:val="22"/>
        </w:rPr>
        <w:t>República</w:t>
      </w:r>
      <w:r>
        <w:rPr>
          <w:spacing w:val="-10"/>
          <w:sz w:val="22"/>
        </w:rPr>
        <w:t> </w:t>
      </w:r>
      <w:r>
        <w:rPr>
          <w:sz w:val="22"/>
        </w:rPr>
        <w:t>de</w:t>
      </w:r>
      <w:r>
        <w:rPr>
          <w:spacing w:val="-10"/>
          <w:sz w:val="22"/>
        </w:rPr>
        <w:t> </w:t>
      </w:r>
      <w:r>
        <w:rPr>
          <w:sz w:val="22"/>
        </w:rPr>
        <w:t>Colombia</w:t>
      </w:r>
      <w:r>
        <w:rPr>
          <w:spacing w:val="-10"/>
          <w:sz w:val="22"/>
        </w:rPr>
        <w:t> </w:t>
      </w:r>
      <w:r>
        <w:rPr>
          <w:sz w:val="22"/>
        </w:rPr>
        <w:t>a</w:t>
      </w:r>
      <w:r>
        <w:rPr>
          <w:spacing w:val="-12"/>
          <w:sz w:val="22"/>
        </w:rPr>
        <w:t> </w:t>
      </w:r>
      <w:r>
        <w:rPr>
          <w:sz w:val="22"/>
        </w:rPr>
        <w:t>las</w:t>
      </w:r>
      <w:r>
        <w:rPr>
          <w:spacing w:val="-15"/>
          <w:sz w:val="22"/>
        </w:rPr>
        <w:t> </w:t>
      </w:r>
      <w:r>
        <w:rPr>
          <w:sz w:val="22"/>
        </w:rPr>
        <w:t>importaciones de</w:t>
      </w:r>
      <w:r>
        <w:rPr>
          <w:spacing w:val="35"/>
          <w:sz w:val="22"/>
        </w:rPr>
        <w:t> </w:t>
      </w:r>
      <w:r>
        <w:rPr>
          <w:sz w:val="22"/>
        </w:rPr>
        <w:t>productos</w:t>
      </w:r>
      <w:r>
        <w:rPr>
          <w:spacing w:val="33"/>
          <w:sz w:val="22"/>
        </w:rPr>
        <w:t> </w:t>
      </w:r>
      <w:r>
        <w:rPr>
          <w:sz w:val="22"/>
        </w:rPr>
        <w:t>presuntamente</w:t>
      </w:r>
      <w:r>
        <w:rPr>
          <w:spacing w:val="35"/>
          <w:sz w:val="22"/>
        </w:rPr>
        <w:t> </w:t>
      </w:r>
      <w:r>
        <w:rPr>
          <w:sz w:val="22"/>
        </w:rPr>
        <w:t>utilizados</w:t>
      </w:r>
      <w:r>
        <w:rPr>
          <w:spacing w:val="36"/>
          <w:sz w:val="22"/>
        </w:rPr>
        <w:t> </w:t>
      </w:r>
      <w:r>
        <w:rPr>
          <w:sz w:val="22"/>
        </w:rPr>
        <w:t>en</w:t>
      </w:r>
      <w:r>
        <w:rPr>
          <w:spacing w:val="35"/>
          <w:sz w:val="22"/>
        </w:rPr>
        <w:t> </w:t>
      </w:r>
      <w:r>
        <w:rPr>
          <w:sz w:val="22"/>
        </w:rPr>
        <w:t>la</w:t>
      </w:r>
      <w:r>
        <w:rPr>
          <w:spacing w:val="35"/>
          <w:sz w:val="22"/>
        </w:rPr>
        <w:t> </w:t>
      </w:r>
      <w:r>
        <w:rPr>
          <w:sz w:val="22"/>
        </w:rPr>
        <w:t>producción</w:t>
      </w:r>
      <w:r>
        <w:rPr>
          <w:spacing w:val="35"/>
          <w:sz w:val="22"/>
        </w:rPr>
        <w:t> </w:t>
      </w:r>
      <w:r>
        <w:rPr>
          <w:sz w:val="22"/>
        </w:rPr>
        <w:t>de</w:t>
      </w:r>
      <w:r>
        <w:rPr>
          <w:spacing w:val="33"/>
          <w:sz w:val="22"/>
        </w:rPr>
        <w:t> </w:t>
      </w:r>
      <w:r>
        <w:rPr>
          <w:sz w:val="22"/>
        </w:rPr>
        <w:t>fentanilo,</w:t>
      </w:r>
      <w:r>
        <w:rPr>
          <w:spacing w:val="34"/>
          <w:sz w:val="22"/>
        </w:rPr>
        <w:t> </w:t>
      </w:r>
      <w:r>
        <w:rPr>
          <w:sz w:val="22"/>
        </w:rPr>
        <w:t>prevista</w:t>
      </w:r>
      <w:r>
        <w:rPr>
          <w:spacing w:val="33"/>
          <w:sz w:val="22"/>
        </w:rPr>
        <w:t> </w:t>
      </w:r>
      <w:r>
        <w:rPr>
          <w:sz w:val="22"/>
        </w:rPr>
        <w:t>en</w:t>
      </w:r>
      <w:r>
        <w:rPr>
          <w:spacing w:val="35"/>
          <w:sz w:val="22"/>
        </w:rPr>
        <w:t> </w:t>
      </w:r>
      <w:r>
        <w:rPr>
          <w:sz w:val="22"/>
        </w:rPr>
        <w:t>el</w:t>
      </w:r>
    </w:p>
    <w:p>
      <w:pPr>
        <w:pStyle w:val="BodyText"/>
        <w:spacing w:before="102"/>
        <w:rPr>
          <w:sz w:val="20"/>
        </w:rPr>
      </w:pPr>
      <w:r>
        <w:rPr>
          <w:sz w:val="20"/>
        </w:rPr>
        <mc:AlternateContent>
          <mc:Choice Requires="wps">
            <w:drawing>
              <wp:anchor distT="0" distB="0" distL="0" distR="0" allowOverlap="1" layoutInCell="1" locked="0" behindDoc="1" simplePos="0" relativeHeight="487667200">
                <wp:simplePos x="0" y="0"/>
                <wp:positionH relativeFrom="page">
                  <wp:posOffset>990904</wp:posOffset>
                </wp:positionH>
                <wp:positionV relativeFrom="paragraph">
                  <wp:posOffset>226066</wp:posOffset>
                </wp:positionV>
                <wp:extent cx="1829435" cy="7620"/>
                <wp:effectExtent l="0" t="0" r="0" b="0"/>
                <wp:wrapTopAndBottom/>
                <wp:docPr id="652" name="Graphic 652"/>
                <wp:cNvGraphicFramePr>
                  <a:graphicFrameLocks/>
                </wp:cNvGraphicFramePr>
                <a:graphic>
                  <a:graphicData uri="http://schemas.microsoft.com/office/word/2010/wordprocessingShape">
                    <wps:wsp>
                      <wps:cNvPr id="652" name="Graphic 652"/>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7.800508pt;width:144.020pt;height:.599980pt;mso-position-horizontal-relative:page;mso-position-vertical-relative:paragraph;z-index:-15649280;mso-wrap-distance-left:0;mso-wrap-distance-right:0" id="docshape440" filled="true" fillcolor="#000000" stroked="false">
                <v:fill type="solid"/>
                <w10:wrap type="topAndBottom"/>
              </v:rect>
            </w:pict>
          </mc:Fallback>
        </mc:AlternateContent>
      </w:r>
    </w:p>
    <w:p>
      <w:pPr>
        <w:spacing w:before="92"/>
        <w:ind w:left="568" w:right="0" w:firstLine="0"/>
        <w:jc w:val="left"/>
        <w:rPr>
          <w:sz w:val="16"/>
        </w:rPr>
      </w:pPr>
      <w:bookmarkStart w:name="_bookmark184" w:id="185"/>
      <w:bookmarkEnd w:id="185"/>
      <w:r>
        <w:rPr/>
      </w:r>
      <w:r>
        <w:rPr>
          <w:sz w:val="16"/>
          <w:vertAlign w:val="superscript"/>
        </w:rPr>
        <w:t>117</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000370.</w:t>
      </w:r>
    </w:p>
    <w:p>
      <w:pPr>
        <w:spacing w:line="183" w:lineRule="exact" w:before="1"/>
        <w:ind w:left="568" w:right="0" w:firstLine="0"/>
        <w:jc w:val="left"/>
        <w:rPr>
          <w:rFonts w:ascii="Arial"/>
          <w:i/>
          <w:sz w:val="16"/>
        </w:rPr>
      </w:pPr>
      <w:bookmarkStart w:name="_bookmark185" w:id="186"/>
      <w:bookmarkEnd w:id="186"/>
      <w:r>
        <w:rPr/>
      </w:r>
      <w:r>
        <w:rPr>
          <w:sz w:val="16"/>
          <w:vertAlign w:val="superscript"/>
        </w:rPr>
        <w:t>118</w:t>
      </w:r>
      <w:r>
        <w:rPr>
          <w:spacing w:val="-10"/>
          <w:sz w:val="16"/>
          <w:vertAlign w:val="baseline"/>
        </w:rPr>
        <w:t> </w:t>
      </w:r>
      <w:r>
        <w:rPr>
          <w:sz w:val="16"/>
          <w:vertAlign w:val="baseline"/>
        </w:rPr>
        <w:t>Expediente</w:t>
      </w:r>
      <w:r>
        <w:rPr>
          <w:spacing w:val="-9"/>
          <w:sz w:val="16"/>
          <w:vertAlign w:val="baseline"/>
        </w:rPr>
        <w:t> </w:t>
      </w:r>
      <w:r>
        <w:rPr>
          <w:sz w:val="16"/>
          <w:vertAlign w:val="baseline"/>
        </w:rPr>
        <w:t>DGCOM/GRAV-</w:t>
      </w:r>
      <w:r>
        <w:rPr>
          <w:spacing w:val="-2"/>
          <w:sz w:val="16"/>
          <w:vertAlign w:val="baseline"/>
        </w:rPr>
        <w:t>REST/002/2026,</w:t>
      </w:r>
      <w:r>
        <w:rPr>
          <w:rFonts w:ascii="Arial"/>
          <w:i/>
          <w:spacing w:val="-2"/>
          <w:sz w:val="16"/>
          <w:vertAlign w:val="baseline"/>
        </w:rPr>
        <w:t>Ibidem.</w:t>
      </w:r>
    </w:p>
    <w:p>
      <w:pPr>
        <w:spacing w:line="183" w:lineRule="exact" w:before="0"/>
        <w:ind w:left="568" w:right="0" w:firstLine="0"/>
        <w:jc w:val="left"/>
        <w:rPr>
          <w:rFonts w:ascii="Arial"/>
          <w:i/>
          <w:sz w:val="16"/>
        </w:rPr>
      </w:pPr>
      <w:bookmarkStart w:name="_bookmark186" w:id="187"/>
      <w:bookmarkEnd w:id="187"/>
      <w:r>
        <w:rPr/>
      </w:r>
      <w:r>
        <w:rPr>
          <w:sz w:val="16"/>
          <w:vertAlign w:val="superscript"/>
        </w:rPr>
        <w:t>119</w:t>
      </w:r>
      <w:r>
        <w:rPr>
          <w:spacing w:val="-10"/>
          <w:sz w:val="16"/>
          <w:vertAlign w:val="baseline"/>
        </w:rPr>
        <w:t> </w:t>
      </w:r>
      <w:r>
        <w:rPr>
          <w:sz w:val="16"/>
          <w:vertAlign w:val="baseline"/>
        </w:rPr>
        <w:t>Expediente</w:t>
      </w:r>
      <w:r>
        <w:rPr>
          <w:spacing w:val="-9"/>
          <w:sz w:val="16"/>
          <w:vertAlign w:val="baseline"/>
        </w:rPr>
        <w:t> </w:t>
      </w:r>
      <w:r>
        <w:rPr>
          <w:sz w:val="16"/>
          <w:vertAlign w:val="baseline"/>
        </w:rPr>
        <w:t>DGCOM/GRAV-</w:t>
      </w:r>
      <w:r>
        <w:rPr>
          <w:spacing w:val="-2"/>
          <w:sz w:val="16"/>
          <w:vertAlign w:val="baseline"/>
        </w:rPr>
        <w:t>REST/002/2026,</w:t>
      </w:r>
      <w:r>
        <w:rPr>
          <w:rFonts w:ascii="Arial"/>
          <w:i/>
          <w:spacing w:val="-2"/>
          <w:sz w:val="16"/>
          <w:vertAlign w:val="baseline"/>
        </w:rPr>
        <w:t>Ibidem.</w:t>
      </w:r>
    </w:p>
    <w:p>
      <w:pPr>
        <w:spacing w:before="1"/>
        <w:ind w:left="568" w:right="0" w:firstLine="0"/>
        <w:jc w:val="left"/>
        <w:rPr>
          <w:sz w:val="16"/>
        </w:rPr>
      </w:pPr>
      <w:bookmarkStart w:name="_bookmark187" w:id="188"/>
      <w:bookmarkEnd w:id="188"/>
      <w:r>
        <w:rPr/>
      </w:r>
      <w:r>
        <w:rPr>
          <w:sz w:val="16"/>
          <w:vertAlign w:val="superscript"/>
        </w:rPr>
        <w:t>120</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000375.</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653" name="Group 653"/>
                <wp:cNvGraphicFramePr>
                  <a:graphicFrameLocks/>
                </wp:cNvGraphicFramePr>
                <a:graphic>
                  <a:graphicData uri="http://schemas.microsoft.com/office/word/2010/wordprocessingGroup">
                    <wpg:wgp>
                      <wpg:cNvPr id="653" name="Group 653"/>
                      <wpg:cNvGrpSpPr/>
                      <wpg:grpSpPr>
                        <a:xfrm>
                          <a:off x="0" y="0"/>
                          <a:ext cx="6131560" cy="9525"/>
                          <a:chExt cx="6131560" cy="9525"/>
                        </a:xfrm>
                      </wpg:grpSpPr>
                      <wps:wsp>
                        <wps:cNvPr id="654" name="Graphic 654"/>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441"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820" w:left="992" w:right="283"/>
        </w:sectPr>
      </w:pPr>
    </w:p>
    <w:p>
      <w:pPr>
        <w:pStyle w:val="BodyText"/>
        <w:spacing w:before="176"/>
      </w:pPr>
    </w:p>
    <w:p>
      <w:pPr>
        <w:pStyle w:val="BodyText"/>
        <w:ind w:left="1134" w:right="976"/>
        <w:jc w:val="both"/>
      </w:pPr>
      <w:r>
        <w:rPr/>
        <w:t>artículo 3</w:t>
      </w:r>
      <w:r>
        <w:rPr>
          <w:spacing w:val="-2"/>
        </w:rPr>
        <w:t> </w:t>
      </w:r>
      <w:r>
        <w:rPr/>
        <w:t>del Decreto</w:t>
      </w:r>
      <w:r>
        <w:rPr>
          <w:spacing w:val="-1"/>
        </w:rPr>
        <w:t> </w:t>
      </w:r>
      <w:r>
        <w:rPr/>
        <w:t>N.º 170</w:t>
      </w:r>
      <w:r>
        <w:rPr>
          <w:spacing w:val="-2"/>
        </w:rPr>
        <w:t> </w:t>
      </w:r>
      <w:r>
        <w:rPr/>
        <w:t>de</w:t>
      </w:r>
      <w:r>
        <w:rPr>
          <w:spacing w:val="-2"/>
        </w:rPr>
        <w:t> </w:t>
      </w:r>
      <w:r>
        <w:rPr/>
        <w:t>2026,</w:t>
      </w:r>
      <w:r>
        <w:rPr>
          <w:spacing w:val="-3"/>
        </w:rPr>
        <w:t> </w:t>
      </w:r>
      <w:r>
        <w:rPr/>
        <w:t>resulta</w:t>
      </w:r>
      <w:r>
        <w:rPr>
          <w:spacing w:val="-2"/>
        </w:rPr>
        <w:t> </w:t>
      </w:r>
      <w:r>
        <w:rPr/>
        <w:t>pertinente</w:t>
      </w:r>
      <w:r>
        <w:rPr>
          <w:spacing w:val="-4"/>
        </w:rPr>
        <w:t> </w:t>
      </w:r>
      <w:r>
        <w:rPr/>
        <w:t>tomar</w:t>
      </w:r>
      <w:r>
        <w:rPr>
          <w:spacing w:val="-1"/>
        </w:rPr>
        <w:t> </w:t>
      </w:r>
      <w:r>
        <w:rPr/>
        <w:t>como</w:t>
      </w:r>
      <w:r>
        <w:rPr>
          <w:spacing w:val="-4"/>
        </w:rPr>
        <w:t> </w:t>
      </w:r>
      <w:r>
        <w:rPr/>
        <w:t>marco normativo de referencia la Decisión 602, mediante la cual se establece el listado comunitario de sustancias</w:t>
      </w:r>
      <w:r>
        <w:rPr>
          <w:spacing w:val="-10"/>
        </w:rPr>
        <w:t> </w:t>
      </w:r>
      <w:r>
        <w:rPr/>
        <w:t>y</w:t>
      </w:r>
      <w:r>
        <w:rPr>
          <w:spacing w:val="-12"/>
        </w:rPr>
        <w:t> </w:t>
      </w:r>
      <w:r>
        <w:rPr/>
        <w:t>productos</w:t>
      </w:r>
      <w:r>
        <w:rPr>
          <w:spacing w:val="-10"/>
        </w:rPr>
        <w:t> </w:t>
      </w:r>
      <w:r>
        <w:rPr/>
        <w:t>químicos</w:t>
      </w:r>
      <w:r>
        <w:rPr>
          <w:spacing w:val="-12"/>
        </w:rPr>
        <w:t> </w:t>
      </w:r>
      <w:r>
        <w:rPr/>
        <w:t>utilizados</w:t>
      </w:r>
      <w:r>
        <w:rPr>
          <w:spacing w:val="-10"/>
        </w:rPr>
        <w:t> </w:t>
      </w:r>
      <w:r>
        <w:rPr/>
        <w:t>con</w:t>
      </w:r>
      <w:r>
        <w:rPr>
          <w:spacing w:val="-13"/>
        </w:rPr>
        <w:t> </w:t>
      </w:r>
      <w:r>
        <w:rPr/>
        <w:t>frecuencia</w:t>
      </w:r>
      <w:r>
        <w:rPr>
          <w:spacing w:val="-10"/>
        </w:rPr>
        <w:t> </w:t>
      </w:r>
      <w:r>
        <w:rPr/>
        <w:t>en</w:t>
      </w:r>
      <w:r>
        <w:rPr>
          <w:spacing w:val="-10"/>
        </w:rPr>
        <w:t> </w:t>
      </w:r>
      <w:r>
        <w:rPr/>
        <w:t>la</w:t>
      </w:r>
      <w:r>
        <w:rPr>
          <w:spacing w:val="-10"/>
        </w:rPr>
        <w:t> </w:t>
      </w:r>
      <w:r>
        <w:rPr/>
        <w:t>producción,</w:t>
      </w:r>
      <w:r>
        <w:rPr>
          <w:spacing w:val="-8"/>
        </w:rPr>
        <w:t> </w:t>
      </w:r>
      <w:r>
        <w:rPr/>
        <w:t>fabricación, preparación o extracción ilícita de estupefacientes y sustancias psicotrópicas, en particular de cocaína y heroína.</w:t>
      </w:r>
    </w:p>
    <w:p>
      <w:pPr>
        <w:pStyle w:val="BodyText"/>
        <w:spacing w:before="1"/>
      </w:pPr>
    </w:p>
    <w:p>
      <w:pPr>
        <w:pStyle w:val="ListParagraph"/>
        <w:numPr>
          <w:ilvl w:val="0"/>
          <w:numId w:val="50"/>
        </w:numPr>
        <w:tabs>
          <w:tab w:pos="1130" w:val="left" w:leader="none"/>
          <w:tab w:pos="1134" w:val="left" w:leader="none"/>
        </w:tabs>
        <w:spacing w:line="240" w:lineRule="auto" w:before="1" w:after="0"/>
        <w:ind w:left="1134" w:right="978" w:hanging="567"/>
        <w:jc w:val="both"/>
        <w:rPr>
          <w:sz w:val="22"/>
        </w:rPr>
      </w:pPr>
      <w:r>
        <w:rPr>
          <w:sz w:val="22"/>
        </w:rPr>
        <w:t>No obstante, lo anterior, y pese a que la Decisión 602 fue emitida en el año 2004, se observa que en su Anexo 1</w:t>
      </w:r>
      <w:hyperlink w:history="true" w:anchor="_bookmark188">
        <w:r>
          <w:rPr>
            <w:sz w:val="22"/>
            <w:vertAlign w:val="superscript"/>
          </w:rPr>
          <w:t>121</w:t>
        </w:r>
        <w:r>
          <w:rPr>
            <w:sz w:val="22"/>
            <w:vertAlign w:val="baseline"/>
          </w:rPr>
          <w:t>,</w:t>
        </w:r>
      </w:hyperlink>
      <w:r>
        <w:rPr>
          <w:sz w:val="22"/>
          <w:vertAlign w:val="baseline"/>
        </w:rPr>
        <w:t> se incluyen subpartidas arancelarias coincidentes con aquellas previstas en el artículo 3 del Decreto 0170. En ese contexto, al consultar la información</w:t>
      </w:r>
      <w:r>
        <w:rPr>
          <w:spacing w:val="-16"/>
          <w:sz w:val="22"/>
          <w:vertAlign w:val="baseline"/>
        </w:rPr>
        <w:t> </w:t>
      </w:r>
      <w:r>
        <w:rPr>
          <w:sz w:val="22"/>
          <w:vertAlign w:val="baseline"/>
        </w:rPr>
        <w:t>publicada</w:t>
      </w:r>
      <w:r>
        <w:rPr>
          <w:spacing w:val="-15"/>
          <w:sz w:val="22"/>
          <w:vertAlign w:val="baseline"/>
        </w:rPr>
        <w:t> </w:t>
      </w:r>
      <w:r>
        <w:rPr>
          <w:sz w:val="22"/>
          <w:vertAlign w:val="baseline"/>
        </w:rPr>
        <w:t>en</w:t>
      </w:r>
      <w:r>
        <w:rPr>
          <w:spacing w:val="-15"/>
          <w:sz w:val="22"/>
          <w:vertAlign w:val="baseline"/>
        </w:rPr>
        <w:t> </w:t>
      </w:r>
      <w:r>
        <w:rPr>
          <w:sz w:val="22"/>
          <w:vertAlign w:val="baseline"/>
        </w:rPr>
        <w:t>el</w:t>
      </w:r>
      <w:r>
        <w:rPr>
          <w:spacing w:val="-16"/>
          <w:sz w:val="22"/>
          <w:vertAlign w:val="baseline"/>
        </w:rPr>
        <w:t> </w:t>
      </w:r>
      <w:r>
        <w:rPr>
          <w:sz w:val="22"/>
          <w:vertAlign w:val="baseline"/>
        </w:rPr>
        <w:t>sitio</w:t>
      </w:r>
      <w:r>
        <w:rPr>
          <w:spacing w:val="-15"/>
          <w:sz w:val="22"/>
          <w:vertAlign w:val="baseline"/>
        </w:rPr>
        <w:t> </w:t>
      </w:r>
      <w:r>
        <w:rPr>
          <w:sz w:val="22"/>
          <w:vertAlign w:val="baseline"/>
        </w:rPr>
        <w:t>web</w:t>
      </w:r>
      <w:r>
        <w:rPr>
          <w:spacing w:val="-15"/>
          <w:sz w:val="22"/>
          <w:vertAlign w:val="baseline"/>
        </w:rPr>
        <w:t> </w:t>
      </w:r>
      <w:r>
        <w:rPr>
          <w:sz w:val="22"/>
          <w:vertAlign w:val="baseline"/>
        </w:rPr>
        <w:t>de</w:t>
      </w:r>
      <w:r>
        <w:rPr>
          <w:spacing w:val="-13"/>
          <w:sz w:val="22"/>
          <w:vertAlign w:val="baseline"/>
        </w:rPr>
        <w:t> </w:t>
      </w:r>
      <w:r>
        <w:rPr>
          <w:sz w:val="22"/>
          <w:vertAlign w:val="baseline"/>
        </w:rPr>
        <w:t>la</w:t>
      </w:r>
      <w:r>
        <w:rPr>
          <w:spacing w:val="-15"/>
          <w:sz w:val="22"/>
          <w:vertAlign w:val="baseline"/>
        </w:rPr>
        <w:t> </w:t>
      </w:r>
      <w:r>
        <w:rPr>
          <w:sz w:val="22"/>
          <w:vertAlign w:val="baseline"/>
        </w:rPr>
        <w:t>DIAN,</w:t>
      </w:r>
      <w:r>
        <w:rPr>
          <w:spacing w:val="-15"/>
          <w:sz w:val="22"/>
          <w:vertAlign w:val="baseline"/>
        </w:rPr>
        <w:t> </w:t>
      </w:r>
      <w:r>
        <w:rPr>
          <w:sz w:val="22"/>
          <w:vertAlign w:val="baseline"/>
        </w:rPr>
        <w:t>se</w:t>
      </w:r>
      <w:r>
        <w:rPr>
          <w:spacing w:val="-14"/>
          <w:sz w:val="22"/>
          <w:vertAlign w:val="baseline"/>
        </w:rPr>
        <w:t> </w:t>
      </w:r>
      <w:r>
        <w:rPr>
          <w:sz w:val="22"/>
          <w:vertAlign w:val="baseline"/>
        </w:rPr>
        <w:t>verifica</w:t>
      </w:r>
      <w:r>
        <w:rPr>
          <w:spacing w:val="-14"/>
          <w:sz w:val="22"/>
          <w:vertAlign w:val="baseline"/>
        </w:rPr>
        <w:t> </w:t>
      </w:r>
      <w:r>
        <w:rPr>
          <w:sz w:val="22"/>
          <w:vertAlign w:val="baseline"/>
        </w:rPr>
        <w:t>que</w:t>
      </w:r>
      <w:r>
        <w:rPr>
          <w:spacing w:val="-16"/>
          <w:sz w:val="22"/>
          <w:vertAlign w:val="baseline"/>
        </w:rPr>
        <w:t> </w:t>
      </w:r>
      <w:r>
        <w:rPr>
          <w:sz w:val="22"/>
          <w:vertAlign w:val="baseline"/>
        </w:rPr>
        <w:t>la</w:t>
      </w:r>
      <w:r>
        <w:rPr>
          <w:spacing w:val="-15"/>
          <w:sz w:val="22"/>
          <w:vertAlign w:val="baseline"/>
        </w:rPr>
        <w:t> </w:t>
      </w:r>
      <w:r>
        <w:rPr>
          <w:sz w:val="22"/>
          <w:vertAlign w:val="baseline"/>
        </w:rPr>
        <w:t>importación</w:t>
      </w:r>
      <w:r>
        <w:rPr>
          <w:spacing w:val="-14"/>
          <w:sz w:val="22"/>
          <w:vertAlign w:val="baseline"/>
        </w:rPr>
        <w:t> </w:t>
      </w:r>
      <w:r>
        <w:rPr>
          <w:sz w:val="22"/>
          <w:vertAlign w:val="baseline"/>
        </w:rPr>
        <w:t>de</w:t>
      </w:r>
      <w:r>
        <w:rPr>
          <w:spacing w:val="-16"/>
          <w:sz w:val="22"/>
          <w:vertAlign w:val="baseline"/>
        </w:rPr>
        <w:t> </w:t>
      </w:r>
      <w:r>
        <w:rPr>
          <w:sz w:val="22"/>
          <w:vertAlign w:val="baseline"/>
        </w:rPr>
        <w:t>dichas subpartidas</w:t>
      </w:r>
      <w:r>
        <w:rPr>
          <w:spacing w:val="-8"/>
          <w:sz w:val="22"/>
          <w:vertAlign w:val="baseline"/>
        </w:rPr>
        <w:t> </w:t>
      </w:r>
      <w:r>
        <w:rPr>
          <w:sz w:val="22"/>
          <w:vertAlign w:val="baseline"/>
        </w:rPr>
        <w:t>se</w:t>
      </w:r>
      <w:r>
        <w:rPr>
          <w:spacing w:val="-9"/>
          <w:sz w:val="22"/>
          <w:vertAlign w:val="baseline"/>
        </w:rPr>
        <w:t> </w:t>
      </w:r>
      <w:r>
        <w:rPr>
          <w:sz w:val="22"/>
          <w:vertAlign w:val="baseline"/>
        </w:rPr>
        <w:t>encuentra</w:t>
      </w:r>
      <w:r>
        <w:rPr>
          <w:spacing w:val="-9"/>
          <w:sz w:val="22"/>
          <w:vertAlign w:val="baseline"/>
        </w:rPr>
        <w:t> </w:t>
      </w:r>
      <w:r>
        <w:rPr>
          <w:sz w:val="22"/>
          <w:vertAlign w:val="baseline"/>
        </w:rPr>
        <w:t>al</w:t>
      </w:r>
      <w:r>
        <w:rPr>
          <w:spacing w:val="-10"/>
          <w:sz w:val="22"/>
          <w:vertAlign w:val="baseline"/>
        </w:rPr>
        <w:t> </w:t>
      </w:r>
      <w:r>
        <w:rPr>
          <w:sz w:val="22"/>
          <w:vertAlign w:val="baseline"/>
        </w:rPr>
        <w:t>cumplimiento</w:t>
      </w:r>
      <w:r>
        <w:rPr>
          <w:spacing w:val="-9"/>
          <w:sz w:val="22"/>
          <w:vertAlign w:val="baseline"/>
        </w:rPr>
        <w:t> </w:t>
      </w:r>
      <w:r>
        <w:rPr>
          <w:sz w:val="22"/>
          <w:vertAlign w:val="baseline"/>
        </w:rPr>
        <w:t>de</w:t>
      </w:r>
      <w:r>
        <w:rPr>
          <w:spacing w:val="-9"/>
          <w:sz w:val="22"/>
          <w:vertAlign w:val="baseline"/>
        </w:rPr>
        <w:t> </w:t>
      </w:r>
      <w:r>
        <w:rPr>
          <w:sz w:val="22"/>
          <w:vertAlign w:val="baseline"/>
        </w:rPr>
        <w:t>requisitos</w:t>
      </w:r>
      <w:r>
        <w:rPr>
          <w:spacing w:val="-9"/>
          <w:sz w:val="22"/>
          <w:vertAlign w:val="baseline"/>
        </w:rPr>
        <w:t> </w:t>
      </w:r>
      <w:r>
        <w:rPr>
          <w:sz w:val="22"/>
          <w:vertAlign w:val="baseline"/>
        </w:rPr>
        <w:t>previos,</w:t>
      </w:r>
      <w:r>
        <w:rPr>
          <w:spacing w:val="-8"/>
          <w:sz w:val="22"/>
          <w:vertAlign w:val="baseline"/>
        </w:rPr>
        <w:t> </w:t>
      </w:r>
      <w:r>
        <w:rPr>
          <w:sz w:val="22"/>
          <w:vertAlign w:val="baseline"/>
        </w:rPr>
        <w:t>conforme</w:t>
      </w:r>
      <w:r>
        <w:rPr>
          <w:spacing w:val="-11"/>
          <w:sz w:val="22"/>
          <w:vertAlign w:val="baseline"/>
        </w:rPr>
        <w:t> </w:t>
      </w:r>
      <w:r>
        <w:rPr>
          <w:sz w:val="22"/>
          <w:vertAlign w:val="baseline"/>
        </w:rPr>
        <w:t>al</w:t>
      </w:r>
      <w:r>
        <w:rPr>
          <w:spacing w:val="-10"/>
          <w:sz w:val="22"/>
          <w:vertAlign w:val="baseline"/>
        </w:rPr>
        <w:t> </w:t>
      </w:r>
      <w:r>
        <w:rPr>
          <w:sz w:val="22"/>
          <w:vertAlign w:val="baseline"/>
        </w:rPr>
        <w:t>régimen</w:t>
      </w:r>
      <w:r>
        <w:rPr>
          <w:spacing w:val="-9"/>
          <w:sz w:val="22"/>
          <w:vertAlign w:val="baseline"/>
        </w:rPr>
        <w:t> </w:t>
      </w:r>
      <w:r>
        <w:rPr>
          <w:sz w:val="22"/>
          <w:vertAlign w:val="baseline"/>
        </w:rPr>
        <w:t>de control aplicable a sustancias y productos químicos.</w:t>
      </w:r>
    </w:p>
    <w:p>
      <w:pPr>
        <w:pStyle w:val="BodyText"/>
        <w:spacing w:before="252"/>
      </w:pPr>
    </w:p>
    <w:p>
      <w:pPr>
        <w:pStyle w:val="Heading6"/>
        <w:spacing w:line="252" w:lineRule="exact" w:before="1"/>
        <w:ind w:right="409"/>
        <w:jc w:val="center"/>
      </w:pPr>
      <w:r>
        <w:rPr/>
        <w:t>Tabla</w:t>
      </w:r>
      <w:r>
        <w:rPr>
          <w:spacing w:val="-2"/>
        </w:rPr>
        <w:t> </w:t>
      </w:r>
      <w:r>
        <w:rPr/>
        <w:t>No.</w:t>
      </w:r>
      <w:r>
        <w:rPr>
          <w:spacing w:val="-2"/>
        </w:rPr>
        <w:t> </w:t>
      </w:r>
      <w:r>
        <w:rPr>
          <w:spacing w:val="-5"/>
        </w:rPr>
        <w:t>25</w:t>
      </w:r>
    </w:p>
    <w:p>
      <w:pPr>
        <w:spacing w:line="252" w:lineRule="exact" w:before="0"/>
        <w:ind w:left="-1" w:right="411" w:firstLine="0"/>
        <w:jc w:val="center"/>
        <w:rPr>
          <w:rFonts w:ascii="Arial" w:hAnsi="Arial"/>
          <w:b/>
          <w:sz w:val="22"/>
        </w:rPr>
      </w:pPr>
      <w:r>
        <w:rPr>
          <w:rFonts w:ascii="Arial" w:hAnsi="Arial"/>
          <w:b/>
          <w:sz w:val="22"/>
        </w:rPr>
        <w:t>Información</w:t>
      </w:r>
      <w:r>
        <w:rPr>
          <w:rFonts w:ascii="Arial" w:hAnsi="Arial"/>
          <w:b/>
          <w:spacing w:val="-7"/>
          <w:sz w:val="22"/>
        </w:rPr>
        <w:t> </w:t>
      </w:r>
      <w:r>
        <w:rPr>
          <w:rFonts w:ascii="Arial" w:hAnsi="Arial"/>
          <w:b/>
          <w:sz w:val="22"/>
        </w:rPr>
        <w:t>obtenida</w:t>
      </w:r>
      <w:r>
        <w:rPr>
          <w:rFonts w:ascii="Arial" w:hAnsi="Arial"/>
          <w:b/>
          <w:spacing w:val="-3"/>
          <w:sz w:val="22"/>
        </w:rPr>
        <w:t> </w:t>
      </w:r>
      <w:r>
        <w:rPr>
          <w:rFonts w:ascii="Arial" w:hAnsi="Arial"/>
          <w:b/>
          <w:sz w:val="22"/>
        </w:rPr>
        <w:t>del</w:t>
      </w:r>
      <w:r>
        <w:rPr>
          <w:rFonts w:ascii="Arial" w:hAnsi="Arial"/>
          <w:b/>
          <w:spacing w:val="-2"/>
          <w:sz w:val="22"/>
        </w:rPr>
        <w:t> </w:t>
      </w:r>
      <w:r>
        <w:rPr>
          <w:rFonts w:ascii="Arial" w:hAnsi="Arial"/>
          <w:b/>
          <w:sz w:val="22"/>
        </w:rPr>
        <w:t>sitio</w:t>
      </w:r>
      <w:r>
        <w:rPr>
          <w:rFonts w:ascii="Arial" w:hAnsi="Arial"/>
          <w:b/>
          <w:spacing w:val="-5"/>
          <w:sz w:val="22"/>
        </w:rPr>
        <w:t> </w:t>
      </w:r>
      <w:r>
        <w:rPr>
          <w:rFonts w:ascii="Arial" w:hAnsi="Arial"/>
          <w:b/>
          <w:sz w:val="22"/>
        </w:rPr>
        <w:t>web</w:t>
      </w:r>
      <w:r>
        <w:rPr>
          <w:rFonts w:ascii="Arial" w:hAnsi="Arial"/>
          <w:b/>
          <w:spacing w:val="-3"/>
          <w:sz w:val="22"/>
        </w:rPr>
        <w:t> </w:t>
      </w:r>
      <w:r>
        <w:rPr>
          <w:rFonts w:ascii="Arial" w:hAnsi="Arial"/>
          <w:b/>
          <w:sz w:val="22"/>
        </w:rPr>
        <w:t>de</w:t>
      </w:r>
      <w:r>
        <w:rPr>
          <w:rFonts w:ascii="Arial" w:hAnsi="Arial"/>
          <w:b/>
          <w:spacing w:val="-6"/>
          <w:sz w:val="22"/>
        </w:rPr>
        <w:t> </w:t>
      </w:r>
      <w:r>
        <w:rPr>
          <w:rFonts w:ascii="Arial" w:hAnsi="Arial"/>
          <w:b/>
          <w:sz w:val="22"/>
        </w:rPr>
        <w:t>la</w:t>
      </w:r>
      <w:r>
        <w:rPr>
          <w:rFonts w:ascii="Arial" w:hAnsi="Arial"/>
          <w:b/>
          <w:spacing w:val="-5"/>
          <w:sz w:val="22"/>
        </w:rPr>
        <w:t> </w:t>
      </w:r>
      <w:r>
        <w:rPr>
          <w:rFonts w:ascii="Arial" w:hAnsi="Arial"/>
          <w:b/>
          <w:spacing w:val="-4"/>
          <w:sz w:val="22"/>
        </w:rPr>
        <w:t>DIAN</w:t>
      </w:r>
    </w:p>
    <w:p>
      <w:pPr>
        <w:spacing w:line="240" w:lineRule="auto"/>
        <w:ind w:left="1952" w:right="0" w:firstLine="0"/>
        <w:rPr>
          <w:rFonts w:ascii="Arial"/>
          <w:sz w:val="20"/>
        </w:rPr>
      </w:pPr>
      <w:r>
        <w:rPr>
          <w:rFonts w:ascii="Arial"/>
          <w:sz w:val="20"/>
        </w:rPr>
        <w:drawing>
          <wp:inline distT="0" distB="0" distL="0" distR="0">
            <wp:extent cx="4419463" cy="915543"/>
            <wp:effectExtent l="0" t="0" r="0" b="0"/>
            <wp:docPr id="655" name="Image 655" descr="DIAN - MUISCA - Google Chrome"/>
            <wp:cNvGraphicFramePr>
              <a:graphicFrameLocks/>
            </wp:cNvGraphicFramePr>
            <a:graphic>
              <a:graphicData uri="http://schemas.openxmlformats.org/drawingml/2006/picture">
                <pic:pic>
                  <pic:nvPicPr>
                    <pic:cNvPr id="655" name="Image 655" descr="DIAN - MUISCA - Google Chrome"/>
                    <pic:cNvPicPr/>
                  </pic:nvPicPr>
                  <pic:blipFill>
                    <a:blip r:embed="rId110" cstate="print"/>
                    <a:stretch>
                      <a:fillRect/>
                    </a:stretch>
                  </pic:blipFill>
                  <pic:spPr>
                    <a:xfrm>
                      <a:off x="0" y="0"/>
                      <a:ext cx="4419463" cy="915543"/>
                    </a:xfrm>
                    <a:prstGeom prst="rect">
                      <a:avLst/>
                    </a:prstGeom>
                  </pic:spPr>
                </pic:pic>
              </a:graphicData>
            </a:graphic>
          </wp:inline>
        </w:drawing>
      </w:r>
      <w:r>
        <w:rPr>
          <w:rFonts w:ascii="Arial"/>
          <w:sz w:val="20"/>
        </w:rPr>
      </w:r>
    </w:p>
    <w:p>
      <w:pPr>
        <w:pStyle w:val="BodyText"/>
        <w:spacing w:before="4"/>
        <w:rPr>
          <w:rFonts w:ascii="Arial"/>
          <w:b/>
          <w:sz w:val="18"/>
        </w:rPr>
      </w:pPr>
      <w:r>
        <w:rPr>
          <w:rFonts w:ascii="Arial"/>
          <w:b/>
          <w:sz w:val="18"/>
        </w:rPr>
        <mc:AlternateContent>
          <mc:Choice Requires="wps">
            <w:drawing>
              <wp:anchor distT="0" distB="0" distL="0" distR="0" allowOverlap="1" layoutInCell="1" locked="0" behindDoc="1" simplePos="0" relativeHeight="487668224">
                <wp:simplePos x="0" y="0"/>
                <wp:positionH relativeFrom="page">
                  <wp:posOffset>1855470</wp:posOffset>
                </wp:positionH>
                <wp:positionV relativeFrom="paragraph">
                  <wp:posOffset>149605</wp:posOffset>
                </wp:positionV>
                <wp:extent cx="4391025" cy="2314575"/>
                <wp:effectExtent l="0" t="0" r="0" b="0"/>
                <wp:wrapTopAndBottom/>
                <wp:docPr id="656" name="Group 656"/>
                <wp:cNvGraphicFramePr>
                  <a:graphicFrameLocks/>
                </wp:cNvGraphicFramePr>
                <a:graphic>
                  <a:graphicData uri="http://schemas.microsoft.com/office/word/2010/wordprocessingGroup">
                    <wpg:wgp>
                      <wpg:cNvPr id="656" name="Group 656"/>
                      <wpg:cNvGrpSpPr/>
                      <wpg:grpSpPr>
                        <a:xfrm>
                          <a:off x="0" y="0"/>
                          <a:ext cx="4391025" cy="2314575"/>
                          <a:chExt cx="4391025" cy="2314575"/>
                        </a:xfrm>
                      </wpg:grpSpPr>
                      <pic:pic>
                        <pic:nvPicPr>
                          <pic:cNvPr id="657" name="Image 657" descr="DIAN - MUISCA - Google Chrome"/>
                          <pic:cNvPicPr/>
                        </pic:nvPicPr>
                        <pic:blipFill>
                          <a:blip r:embed="rId111" cstate="print"/>
                          <a:stretch>
                            <a:fillRect/>
                          </a:stretch>
                        </pic:blipFill>
                        <pic:spPr>
                          <a:xfrm>
                            <a:off x="0" y="0"/>
                            <a:ext cx="4391025" cy="1161288"/>
                          </a:xfrm>
                          <a:prstGeom prst="rect">
                            <a:avLst/>
                          </a:prstGeom>
                        </pic:spPr>
                      </pic:pic>
                      <pic:pic>
                        <pic:nvPicPr>
                          <pic:cNvPr id="658" name="Image 658" descr="DIAN - MUISCA - Google Chrome"/>
                          <pic:cNvPicPr/>
                        </pic:nvPicPr>
                        <pic:blipFill>
                          <a:blip r:embed="rId112" cstate="print"/>
                          <a:stretch>
                            <a:fillRect/>
                          </a:stretch>
                        </pic:blipFill>
                        <pic:spPr>
                          <a:xfrm>
                            <a:off x="47625" y="1161922"/>
                            <a:ext cx="4295775" cy="1152525"/>
                          </a:xfrm>
                          <a:prstGeom prst="rect">
                            <a:avLst/>
                          </a:prstGeom>
                        </pic:spPr>
                      </pic:pic>
                    </wpg:wgp>
                  </a:graphicData>
                </a:graphic>
              </wp:anchor>
            </w:drawing>
          </mc:Choice>
          <mc:Fallback>
            <w:pict>
              <v:group style="position:absolute;margin-left:146.100006pt;margin-top:11.78pt;width:345.75pt;height:182.25pt;mso-position-horizontal-relative:page;mso-position-vertical-relative:paragraph;z-index:-15648256;mso-wrap-distance-left:0;mso-wrap-distance-right:0" id="docshapegroup442" coordorigin="2922,236" coordsize="6915,3645">
                <v:shape style="position:absolute;left:2922;top:235;width:6915;height:1829" type="#_x0000_t75" id="docshape443" alt="DIAN - MUISCA - Google Chrome" stroked="false">
                  <v:imagedata r:id="rId111" o:title=""/>
                </v:shape>
                <v:shape style="position:absolute;left:2997;top:2065;width:6765;height:1815" type="#_x0000_t75" id="docshape444" alt="DIAN - MUISCA - Google Chrome" stroked="false">
                  <v:imagedata r:id="rId112" o:title=""/>
                </v:shape>
                <w10:wrap type="topAndBottom"/>
              </v:group>
            </w:pict>
          </mc:Fallback>
        </mc:AlternateContent>
      </w:r>
    </w:p>
    <w:p>
      <w:pPr>
        <w:pStyle w:val="BodyText"/>
        <w:spacing w:before="1"/>
        <w:rPr>
          <w:rFonts w:ascii="Arial"/>
          <w:b/>
        </w:rPr>
      </w:pPr>
    </w:p>
    <w:p>
      <w:pPr>
        <w:pStyle w:val="ListParagraph"/>
        <w:numPr>
          <w:ilvl w:val="0"/>
          <w:numId w:val="50"/>
        </w:numPr>
        <w:tabs>
          <w:tab w:pos="1131" w:val="left" w:leader="none"/>
        </w:tabs>
        <w:spacing w:line="240" w:lineRule="auto" w:before="0" w:after="0"/>
        <w:ind w:left="1131" w:right="0" w:hanging="563"/>
        <w:jc w:val="left"/>
        <w:rPr>
          <w:sz w:val="22"/>
        </w:rPr>
      </w:pPr>
      <w:r>
        <w:rPr>
          <w:sz w:val="22"/>
        </w:rPr>
        <w:t>Asimismo,</w:t>
      </w:r>
      <w:r>
        <w:rPr>
          <w:spacing w:val="-7"/>
          <w:sz w:val="22"/>
        </w:rPr>
        <w:t> </w:t>
      </w:r>
      <w:r>
        <w:rPr>
          <w:sz w:val="22"/>
        </w:rPr>
        <w:t>la</w:t>
      </w:r>
      <w:r>
        <w:rPr>
          <w:spacing w:val="-4"/>
          <w:sz w:val="22"/>
        </w:rPr>
        <w:t> </w:t>
      </w:r>
      <w:r>
        <w:rPr>
          <w:sz w:val="22"/>
        </w:rPr>
        <w:t>citada</w:t>
      </w:r>
      <w:r>
        <w:rPr>
          <w:spacing w:val="-6"/>
          <w:sz w:val="22"/>
        </w:rPr>
        <w:t> </w:t>
      </w:r>
      <w:r>
        <w:rPr>
          <w:sz w:val="22"/>
        </w:rPr>
        <w:t>Decisión</w:t>
      </w:r>
      <w:r>
        <w:rPr>
          <w:spacing w:val="-4"/>
          <w:sz w:val="22"/>
        </w:rPr>
        <w:t> </w:t>
      </w:r>
      <w:r>
        <w:rPr>
          <w:sz w:val="22"/>
        </w:rPr>
        <w:t>602</w:t>
      </w:r>
      <w:r>
        <w:rPr>
          <w:spacing w:val="-4"/>
          <w:sz w:val="22"/>
        </w:rPr>
        <w:t> </w:t>
      </w:r>
      <w:r>
        <w:rPr>
          <w:sz w:val="22"/>
        </w:rPr>
        <w:t>en</w:t>
      </w:r>
      <w:r>
        <w:rPr>
          <w:spacing w:val="-6"/>
          <w:sz w:val="22"/>
        </w:rPr>
        <w:t> </w:t>
      </w:r>
      <w:r>
        <w:rPr>
          <w:sz w:val="22"/>
        </w:rPr>
        <w:t>su</w:t>
      </w:r>
      <w:r>
        <w:rPr>
          <w:spacing w:val="-4"/>
          <w:sz w:val="22"/>
        </w:rPr>
        <w:t> </w:t>
      </w:r>
      <w:r>
        <w:rPr>
          <w:sz w:val="22"/>
        </w:rPr>
        <w:t>artículo</w:t>
      </w:r>
      <w:r>
        <w:rPr>
          <w:spacing w:val="-4"/>
          <w:sz w:val="22"/>
        </w:rPr>
        <w:t> </w:t>
      </w:r>
      <w:r>
        <w:rPr>
          <w:sz w:val="22"/>
        </w:rPr>
        <w:t>2</w:t>
      </w:r>
      <w:r>
        <w:rPr>
          <w:spacing w:val="-3"/>
          <w:sz w:val="22"/>
        </w:rPr>
        <w:t> </w:t>
      </w:r>
      <w:r>
        <w:rPr>
          <w:sz w:val="22"/>
        </w:rPr>
        <w:t>se</w:t>
      </w:r>
      <w:r>
        <w:rPr>
          <w:spacing w:val="-4"/>
          <w:sz w:val="22"/>
        </w:rPr>
        <w:t> </w:t>
      </w:r>
      <w:r>
        <w:rPr>
          <w:sz w:val="22"/>
        </w:rPr>
        <w:t>dispone</w:t>
      </w:r>
      <w:r>
        <w:rPr>
          <w:spacing w:val="-5"/>
          <w:sz w:val="22"/>
        </w:rPr>
        <w:t> </w:t>
      </w:r>
      <w:r>
        <w:rPr>
          <w:spacing w:val="-4"/>
          <w:sz w:val="22"/>
        </w:rPr>
        <w:t>que:</w:t>
      </w:r>
    </w:p>
    <w:p>
      <w:pPr>
        <w:pStyle w:val="BodyText"/>
        <w:spacing w:before="1"/>
      </w:pPr>
    </w:p>
    <w:p>
      <w:pPr>
        <w:spacing w:before="0"/>
        <w:ind w:left="1288" w:right="983" w:firstLine="0"/>
        <w:jc w:val="both"/>
        <w:rPr>
          <w:rFonts w:ascii="Arial" w:hAnsi="Arial"/>
          <w:i/>
          <w:sz w:val="22"/>
        </w:rPr>
      </w:pPr>
      <w:r>
        <w:rPr>
          <w:rFonts w:ascii="Arial" w:hAnsi="Arial"/>
          <w:i/>
          <w:sz w:val="22"/>
        </w:rPr>
        <w:t>“Artículo 2.- La presente Norma se aplicará en todo el territorio de los Países Miembros. Las reglas y procedimientos establecidos en la presente Norma no implicarán, en ningún caso:</w:t>
      </w:r>
    </w:p>
    <w:p>
      <w:pPr>
        <w:pStyle w:val="ListParagraph"/>
        <w:numPr>
          <w:ilvl w:val="0"/>
          <w:numId w:val="119"/>
        </w:numPr>
        <w:tabs>
          <w:tab w:pos="1699" w:val="left" w:leader="none"/>
          <w:tab w:pos="1701" w:val="left" w:leader="none"/>
        </w:tabs>
        <w:spacing w:line="240" w:lineRule="auto" w:before="0" w:after="0"/>
        <w:ind w:left="1701" w:right="981" w:hanging="360"/>
        <w:jc w:val="both"/>
        <w:rPr>
          <w:rFonts w:ascii="Arial" w:hAnsi="Arial"/>
          <w:i/>
          <w:sz w:val="22"/>
        </w:rPr>
      </w:pPr>
      <w:r>
        <w:rPr>
          <w:rFonts w:ascii="Arial" w:hAnsi="Arial"/>
          <w:b/>
          <w:i/>
          <w:sz w:val="22"/>
          <w:u w:val="single"/>
        </w:rPr>
        <w:t>Crear restricciones innecesarias al libre comercio o al libre tránsito</w:t>
      </w:r>
      <w:r>
        <w:rPr>
          <w:rFonts w:ascii="Arial" w:hAnsi="Arial"/>
          <w:b/>
          <w:i/>
          <w:sz w:val="22"/>
        </w:rPr>
        <w:t> </w:t>
      </w:r>
      <w:r>
        <w:rPr>
          <w:rFonts w:ascii="Arial" w:hAnsi="Arial"/>
          <w:b/>
          <w:i/>
          <w:sz w:val="22"/>
          <w:u w:val="single"/>
        </w:rPr>
        <w:t>fronterizo</w:t>
      </w:r>
      <w:r>
        <w:rPr>
          <w:rFonts w:ascii="Arial" w:hAnsi="Arial"/>
          <w:i/>
          <w:sz w:val="22"/>
        </w:rPr>
        <w:t>, de conformidad con lo previsto en el Acuerdo de Cartagena o en Acuerdos o Tratados bilaterales o multilaterales;</w:t>
      </w:r>
    </w:p>
    <w:p>
      <w:pPr>
        <w:pStyle w:val="ListParagraph"/>
        <w:numPr>
          <w:ilvl w:val="0"/>
          <w:numId w:val="119"/>
        </w:numPr>
        <w:tabs>
          <w:tab w:pos="1699" w:val="left" w:leader="none"/>
          <w:tab w:pos="1701" w:val="left" w:leader="none"/>
        </w:tabs>
        <w:spacing w:line="240" w:lineRule="auto" w:before="0" w:after="0"/>
        <w:ind w:left="1701" w:right="982" w:hanging="360"/>
        <w:jc w:val="both"/>
        <w:rPr>
          <w:rFonts w:ascii="Arial" w:hAnsi="Arial"/>
          <w:i/>
          <w:sz w:val="22"/>
        </w:rPr>
      </w:pPr>
      <w:r>
        <w:rPr>
          <w:rFonts w:ascii="Arial" w:hAnsi="Arial"/>
          <w:i/>
          <w:sz w:val="22"/>
        </w:rPr>
        <w:t>Limitar la</w:t>
      </w:r>
      <w:r>
        <w:rPr>
          <w:rFonts w:ascii="Arial" w:hAnsi="Arial"/>
          <w:i/>
          <w:spacing w:val="-1"/>
          <w:sz w:val="22"/>
        </w:rPr>
        <w:t> </w:t>
      </w:r>
      <w:r>
        <w:rPr>
          <w:rFonts w:ascii="Arial" w:hAnsi="Arial"/>
          <w:i/>
          <w:sz w:val="22"/>
        </w:rPr>
        <w:t>aplicación en cada País Miembro</w:t>
      </w:r>
      <w:r>
        <w:rPr>
          <w:rFonts w:ascii="Arial" w:hAnsi="Arial"/>
          <w:i/>
          <w:spacing w:val="-1"/>
          <w:sz w:val="22"/>
        </w:rPr>
        <w:t> </w:t>
      </w:r>
      <w:r>
        <w:rPr>
          <w:rFonts w:ascii="Arial" w:hAnsi="Arial"/>
          <w:i/>
          <w:sz w:val="22"/>
        </w:rPr>
        <w:t>a las disposiciones del Artículo 12 de la Convención de las Naciones Unidas de 1988, Contra el Tráfico Ilícito de Estupefacientes y Sustancias Psicotrópicas;</w:t>
      </w:r>
    </w:p>
    <w:p>
      <w:pPr>
        <w:pStyle w:val="ListParagraph"/>
        <w:numPr>
          <w:ilvl w:val="0"/>
          <w:numId w:val="119"/>
        </w:numPr>
        <w:tabs>
          <w:tab w:pos="1701" w:val="left" w:leader="none"/>
        </w:tabs>
        <w:spacing w:line="240" w:lineRule="auto" w:before="1" w:after="0"/>
        <w:ind w:left="1701" w:right="977" w:hanging="360"/>
        <w:jc w:val="both"/>
        <w:rPr>
          <w:sz w:val="22"/>
        </w:rPr>
      </w:pPr>
      <w:r>
        <w:rPr>
          <w:rFonts w:ascii="Arial" w:hAnsi="Arial"/>
          <w:i/>
          <w:sz w:val="22"/>
        </w:rPr>
        <w:t>Desconocer</w:t>
      </w:r>
      <w:r>
        <w:rPr>
          <w:rFonts w:ascii="Arial" w:hAnsi="Arial"/>
          <w:i/>
          <w:spacing w:val="-9"/>
          <w:sz w:val="22"/>
        </w:rPr>
        <w:t> </w:t>
      </w:r>
      <w:r>
        <w:rPr>
          <w:rFonts w:ascii="Arial" w:hAnsi="Arial"/>
          <w:i/>
          <w:sz w:val="22"/>
        </w:rPr>
        <w:t>la</w:t>
      </w:r>
      <w:r>
        <w:rPr>
          <w:rFonts w:ascii="Arial" w:hAnsi="Arial"/>
          <w:i/>
          <w:spacing w:val="-11"/>
          <w:sz w:val="22"/>
        </w:rPr>
        <w:t> </w:t>
      </w:r>
      <w:r>
        <w:rPr>
          <w:rFonts w:ascii="Arial" w:hAnsi="Arial"/>
          <w:i/>
          <w:sz w:val="22"/>
        </w:rPr>
        <w:t>facultad</w:t>
      </w:r>
      <w:r>
        <w:rPr>
          <w:rFonts w:ascii="Arial" w:hAnsi="Arial"/>
          <w:i/>
          <w:spacing w:val="-12"/>
          <w:sz w:val="22"/>
        </w:rPr>
        <w:t> </w:t>
      </w:r>
      <w:r>
        <w:rPr>
          <w:rFonts w:ascii="Arial" w:hAnsi="Arial"/>
          <w:i/>
          <w:sz w:val="22"/>
        </w:rPr>
        <w:t>de</w:t>
      </w:r>
      <w:r>
        <w:rPr>
          <w:rFonts w:ascii="Arial" w:hAnsi="Arial"/>
          <w:i/>
          <w:spacing w:val="-10"/>
          <w:sz w:val="22"/>
        </w:rPr>
        <w:t> </w:t>
      </w:r>
      <w:r>
        <w:rPr>
          <w:rFonts w:ascii="Arial" w:hAnsi="Arial"/>
          <w:i/>
          <w:sz w:val="22"/>
        </w:rPr>
        <w:t>cada</w:t>
      </w:r>
      <w:r>
        <w:rPr>
          <w:rFonts w:ascii="Arial" w:hAnsi="Arial"/>
          <w:i/>
          <w:spacing w:val="-10"/>
          <w:sz w:val="22"/>
        </w:rPr>
        <w:t> </w:t>
      </w:r>
      <w:r>
        <w:rPr>
          <w:rFonts w:ascii="Arial" w:hAnsi="Arial"/>
          <w:i/>
          <w:sz w:val="22"/>
        </w:rPr>
        <w:t>País</w:t>
      </w:r>
      <w:r>
        <w:rPr>
          <w:rFonts w:ascii="Arial" w:hAnsi="Arial"/>
          <w:i/>
          <w:spacing w:val="-9"/>
          <w:sz w:val="22"/>
        </w:rPr>
        <w:t> </w:t>
      </w:r>
      <w:r>
        <w:rPr>
          <w:rFonts w:ascii="Arial" w:hAnsi="Arial"/>
          <w:i/>
          <w:sz w:val="22"/>
        </w:rPr>
        <w:t>Miembro</w:t>
      </w:r>
      <w:r>
        <w:rPr>
          <w:rFonts w:ascii="Arial" w:hAnsi="Arial"/>
          <w:i/>
          <w:spacing w:val="-10"/>
          <w:sz w:val="22"/>
        </w:rPr>
        <w:t> </w:t>
      </w:r>
      <w:r>
        <w:rPr>
          <w:rFonts w:ascii="Arial" w:hAnsi="Arial"/>
          <w:i/>
          <w:sz w:val="22"/>
        </w:rPr>
        <w:t>para</w:t>
      </w:r>
      <w:r>
        <w:rPr>
          <w:rFonts w:ascii="Arial" w:hAnsi="Arial"/>
          <w:i/>
          <w:spacing w:val="-10"/>
          <w:sz w:val="22"/>
        </w:rPr>
        <w:t> </w:t>
      </w:r>
      <w:r>
        <w:rPr>
          <w:rFonts w:ascii="Arial" w:hAnsi="Arial"/>
          <w:i/>
          <w:sz w:val="22"/>
        </w:rPr>
        <w:t>regular</w:t>
      </w:r>
      <w:r>
        <w:rPr>
          <w:rFonts w:ascii="Arial" w:hAnsi="Arial"/>
          <w:i/>
          <w:spacing w:val="-11"/>
          <w:sz w:val="22"/>
        </w:rPr>
        <w:t> </w:t>
      </w:r>
      <w:r>
        <w:rPr>
          <w:rFonts w:ascii="Arial" w:hAnsi="Arial"/>
          <w:i/>
          <w:sz w:val="22"/>
        </w:rPr>
        <w:t>la</w:t>
      </w:r>
      <w:r>
        <w:rPr>
          <w:rFonts w:ascii="Arial" w:hAnsi="Arial"/>
          <w:i/>
          <w:spacing w:val="-10"/>
          <w:sz w:val="22"/>
        </w:rPr>
        <w:t> </w:t>
      </w:r>
      <w:r>
        <w:rPr>
          <w:rFonts w:ascii="Arial" w:hAnsi="Arial"/>
          <w:i/>
          <w:sz w:val="22"/>
        </w:rPr>
        <w:t>fiscalización</w:t>
      </w:r>
      <w:r>
        <w:rPr>
          <w:rFonts w:ascii="Arial" w:hAnsi="Arial"/>
          <w:i/>
          <w:spacing w:val="-12"/>
          <w:sz w:val="22"/>
        </w:rPr>
        <w:t> </w:t>
      </w:r>
      <w:r>
        <w:rPr>
          <w:rFonts w:ascii="Arial" w:hAnsi="Arial"/>
          <w:i/>
          <w:sz w:val="22"/>
        </w:rPr>
        <w:t>de</w:t>
      </w:r>
      <w:r>
        <w:rPr>
          <w:rFonts w:ascii="Arial" w:hAnsi="Arial"/>
          <w:i/>
          <w:spacing w:val="-10"/>
          <w:sz w:val="22"/>
        </w:rPr>
        <w:t> </w:t>
      </w:r>
      <w:r>
        <w:rPr>
          <w:rFonts w:ascii="Arial" w:hAnsi="Arial"/>
          <w:i/>
          <w:sz w:val="22"/>
        </w:rPr>
        <w:t>toda forma</w:t>
      </w:r>
      <w:r>
        <w:rPr>
          <w:rFonts w:ascii="Arial" w:hAnsi="Arial"/>
          <w:i/>
          <w:spacing w:val="-9"/>
          <w:sz w:val="22"/>
        </w:rPr>
        <w:t> </w:t>
      </w:r>
      <w:r>
        <w:rPr>
          <w:rFonts w:ascii="Arial" w:hAnsi="Arial"/>
          <w:i/>
          <w:sz w:val="22"/>
        </w:rPr>
        <w:t>de</w:t>
      </w:r>
      <w:r>
        <w:rPr>
          <w:rFonts w:ascii="Arial" w:hAnsi="Arial"/>
          <w:i/>
          <w:spacing w:val="-11"/>
          <w:sz w:val="22"/>
        </w:rPr>
        <w:t> </w:t>
      </w:r>
      <w:r>
        <w:rPr>
          <w:rFonts w:ascii="Arial" w:hAnsi="Arial"/>
          <w:i/>
          <w:sz w:val="22"/>
        </w:rPr>
        <w:t>comercialización,</w:t>
      </w:r>
      <w:r>
        <w:rPr>
          <w:rFonts w:ascii="Arial" w:hAnsi="Arial"/>
          <w:i/>
          <w:spacing w:val="-8"/>
          <w:sz w:val="22"/>
        </w:rPr>
        <w:t> </w:t>
      </w:r>
      <w:r>
        <w:rPr>
          <w:rFonts w:ascii="Arial" w:hAnsi="Arial"/>
          <w:i/>
          <w:sz w:val="22"/>
        </w:rPr>
        <w:t>incluidos</w:t>
      </w:r>
      <w:r>
        <w:rPr>
          <w:rFonts w:ascii="Arial" w:hAnsi="Arial"/>
          <w:i/>
          <w:spacing w:val="-9"/>
          <w:sz w:val="22"/>
        </w:rPr>
        <w:t> </w:t>
      </w:r>
      <w:r>
        <w:rPr>
          <w:rFonts w:ascii="Arial" w:hAnsi="Arial"/>
          <w:i/>
          <w:sz w:val="22"/>
        </w:rPr>
        <w:t>entre</w:t>
      </w:r>
      <w:r>
        <w:rPr>
          <w:rFonts w:ascii="Arial" w:hAnsi="Arial"/>
          <w:i/>
          <w:spacing w:val="-11"/>
          <w:sz w:val="22"/>
        </w:rPr>
        <w:t> </w:t>
      </w:r>
      <w:r>
        <w:rPr>
          <w:rFonts w:ascii="Arial" w:hAnsi="Arial"/>
          <w:i/>
          <w:sz w:val="22"/>
        </w:rPr>
        <w:t>otros,</w:t>
      </w:r>
      <w:r>
        <w:rPr>
          <w:rFonts w:ascii="Arial" w:hAnsi="Arial"/>
          <w:i/>
          <w:spacing w:val="-8"/>
          <w:sz w:val="22"/>
        </w:rPr>
        <w:t> </w:t>
      </w:r>
      <w:r>
        <w:rPr>
          <w:rFonts w:ascii="Arial" w:hAnsi="Arial"/>
          <w:i/>
          <w:sz w:val="22"/>
        </w:rPr>
        <w:t>la</w:t>
      </w:r>
      <w:r>
        <w:rPr>
          <w:rFonts w:ascii="Arial" w:hAnsi="Arial"/>
          <w:i/>
          <w:spacing w:val="-9"/>
          <w:sz w:val="22"/>
        </w:rPr>
        <w:t> </w:t>
      </w:r>
      <w:r>
        <w:rPr>
          <w:rFonts w:ascii="Arial" w:hAnsi="Arial"/>
          <w:i/>
          <w:sz w:val="22"/>
        </w:rPr>
        <w:t>producción,</w:t>
      </w:r>
      <w:r>
        <w:rPr>
          <w:rFonts w:ascii="Arial" w:hAnsi="Arial"/>
          <w:i/>
          <w:spacing w:val="-8"/>
          <w:sz w:val="22"/>
        </w:rPr>
        <w:t> </w:t>
      </w:r>
      <w:r>
        <w:rPr>
          <w:rFonts w:ascii="Arial" w:hAnsi="Arial"/>
          <w:i/>
          <w:sz w:val="22"/>
        </w:rPr>
        <w:t>almacenamiento</w:t>
      </w:r>
      <w:r>
        <w:rPr>
          <w:rFonts w:ascii="Arial" w:hAnsi="Arial"/>
          <w:i/>
          <w:spacing w:val="-11"/>
          <w:sz w:val="22"/>
        </w:rPr>
        <w:t> </w:t>
      </w:r>
      <w:r>
        <w:rPr>
          <w:rFonts w:ascii="Arial" w:hAnsi="Arial"/>
          <w:i/>
          <w:sz w:val="22"/>
        </w:rPr>
        <w:t>y distribución, en concordancia con lo establecido en la presente Norma.” </w:t>
      </w:r>
      <w:r>
        <w:rPr>
          <w:sz w:val="22"/>
        </w:rPr>
        <w:t>[énfasis </w:t>
      </w:r>
      <w:r>
        <w:rPr>
          <w:spacing w:val="-2"/>
          <w:sz w:val="22"/>
        </w:rPr>
        <w:t>añadido]</w:t>
      </w:r>
    </w:p>
    <w:p>
      <w:pPr>
        <w:pStyle w:val="BodyText"/>
        <w:rPr>
          <w:sz w:val="17"/>
        </w:rPr>
      </w:pPr>
      <w:r>
        <w:rPr>
          <w:sz w:val="17"/>
        </w:rPr>
        <mc:AlternateContent>
          <mc:Choice Requires="wps">
            <w:drawing>
              <wp:anchor distT="0" distB="0" distL="0" distR="0" allowOverlap="1" layoutInCell="1" locked="0" behindDoc="1" simplePos="0" relativeHeight="487668736">
                <wp:simplePos x="0" y="0"/>
                <wp:positionH relativeFrom="page">
                  <wp:posOffset>990904</wp:posOffset>
                </wp:positionH>
                <wp:positionV relativeFrom="paragraph">
                  <wp:posOffset>139536</wp:posOffset>
                </wp:positionV>
                <wp:extent cx="1829435" cy="7620"/>
                <wp:effectExtent l="0" t="0" r="0" b="0"/>
                <wp:wrapTopAndBottom/>
                <wp:docPr id="659" name="Graphic 659"/>
                <wp:cNvGraphicFramePr>
                  <a:graphicFrameLocks/>
                </wp:cNvGraphicFramePr>
                <a:graphic>
                  <a:graphicData uri="http://schemas.microsoft.com/office/word/2010/wordprocessingShape">
                    <wps:wsp>
                      <wps:cNvPr id="659" name="Graphic 659"/>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0.987147pt;width:144.020pt;height:.60004pt;mso-position-horizontal-relative:page;mso-position-vertical-relative:paragraph;z-index:-15647744;mso-wrap-distance-left:0;mso-wrap-distance-right:0" id="docshape445" filled="true" fillcolor="#000000" stroked="false">
                <v:fill type="solid"/>
                <w10:wrap type="topAndBottom"/>
              </v:rect>
            </w:pict>
          </mc:Fallback>
        </mc:AlternateContent>
      </w:r>
    </w:p>
    <w:p>
      <w:pPr>
        <w:spacing w:before="92"/>
        <w:ind w:left="568" w:right="0" w:firstLine="0"/>
        <w:jc w:val="left"/>
        <w:rPr>
          <w:sz w:val="16"/>
        </w:rPr>
      </w:pPr>
      <w:bookmarkStart w:name="_bookmark188" w:id="189"/>
      <w:bookmarkEnd w:id="189"/>
      <w:r>
        <w:rPr/>
      </w:r>
      <w:r>
        <w:rPr>
          <w:sz w:val="16"/>
          <w:vertAlign w:val="superscript"/>
        </w:rPr>
        <w:t>121</w:t>
      </w:r>
      <w:r>
        <w:rPr>
          <w:spacing w:val="1"/>
          <w:sz w:val="16"/>
          <w:vertAlign w:val="baseline"/>
        </w:rPr>
        <w:t> </w:t>
      </w:r>
      <w:r>
        <w:rPr>
          <w:sz w:val="16"/>
          <w:vertAlign w:val="baseline"/>
        </w:rPr>
        <w:t>Lista</w:t>
      </w:r>
      <w:r>
        <w:rPr>
          <w:spacing w:val="-2"/>
          <w:sz w:val="16"/>
          <w:vertAlign w:val="baseline"/>
        </w:rPr>
        <w:t> </w:t>
      </w:r>
      <w:r>
        <w:rPr>
          <w:sz w:val="16"/>
          <w:vertAlign w:val="baseline"/>
        </w:rPr>
        <w:t>Básica</w:t>
      </w:r>
      <w:r>
        <w:rPr>
          <w:spacing w:val="-1"/>
          <w:sz w:val="16"/>
          <w:vertAlign w:val="baseline"/>
        </w:rPr>
        <w:t> </w:t>
      </w:r>
      <w:r>
        <w:rPr>
          <w:sz w:val="16"/>
          <w:vertAlign w:val="baseline"/>
        </w:rPr>
        <w:t>Común en</w:t>
      </w:r>
      <w:r>
        <w:rPr>
          <w:spacing w:val="-1"/>
          <w:sz w:val="16"/>
          <w:vertAlign w:val="baseline"/>
        </w:rPr>
        <w:t> </w:t>
      </w:r>
      <w:r>
        <w:rPr>
          <w:sz w:val="16"/>
          <w:vertAlign w:val="baseline"/>
        </w:rPr>
        <w:t>la</w:t>
      </w:r>
      <w:r>
        <w:rPr>
          <w:spacing w:val="1"/>
          <w:sz w:val="16"/>
          <w:vertAlign w:val="baseline"/>
        </w:rPr>
        <w:t> </w:t>
      </w:r>
      <w:r>
        <w:rPr>
          <w:sz w:val="16"/>
          <w:vertAlign w:val="baseline"/>
        </w:rPr>
        <w:t>que</w:t>
      </w:r>
      <w:r>
        <w:rPr>
          <w:spacing w:val="-1"/>
          <w:sz w:val="16"/>
          <w:vertAlign w:val="baseline"/>
        </w:rPr>
        <w:t> </w:t>
      </w:r>
      <w:r>
        <w:rPr>
          <w:sz w:val="16"/>
          <w:vertAlign w:val="baseline"/>
        </w:rPr>
        <w:t>se</w:t>
      </w:r>
      <w:r>
        <w:rPr>
          <w:spacing w:val="-2"/>
          <w:sz w:val="16"/>
          <w:vertAlign w:val="baseline"/>
        </w:rPr>
        <w:t> </w:t>
      </w:r>
      <w:r>
        <w:rPr>
          <w:sz w:val="16"/>
          <w:vertAlign w:val="baseline"/>
        </w:rPr>
        <w:t>incluyen</w:t>
      </w:r>
      <w:r>
        <w:rPr>
          <w:spacing w:val="-1"/>
          <w:sz w:val="16"/>
          <w:vertAlign w:val="baseline"/>
        </w:rPr>
        <w:t> </w:t>
      </w:r>
      <w:r>
        <w:rPr>
          <w:sz w:val="16"/>
          <w:vertAlign w:val="baseline"/>
        </w:rPr>
        <w:t>las sustancias</w:t>
      </w:r>
      <w:r>
        <w:rPr>
          <w:spacing w:val="2"/>
          <w:sz w:val="16"/>
          <w:vertAlign w:val="baseline"/>
        </w:rPr>
        <w:t> </w:t>
      </w:r>
      <w:r>
        <w:rPr>
          <w:sz w:val="16"/>
          <w:vertAlign w:val="baseline"/>
        </w:rPr>
        <w:t>químicas</w:t>
      </w:r>
      <w:r>
        <w:rPr>
          <w:spacing w:val="1"/>
          <w:sz w:val="16"/>
          <w:vertAlign w:val="baseline"/>
        </w:rPr>
        <w:t> </w:t>
      </w:r>
      <w:r>
        <w:rPr>
          <w:sz w:val="16"/>
          <w:vertAlign w:val="baseline"/>
        </w:rPr>
        <w:t>sometidas a</w:t>
      </w:r>
      <w:r>
        <w:rPr>
          <w:spacing w:val="-1"/>
          <w:sz w:val="16"/>
          <w:vertAlign w:val="baseline"/>
        </w:rPr>
        <w:t> </w:t>
      </w:r>
      <w:r>
        <w:rPr>
          <w:sz w:val="16"/>
          <w:vertAlign w:val="baseline"/>
        </w:rPr>
        <w:t>medidas específicas</w:t>
      </w:r>
      <w:r>
        <w:rPr>
          <w:spacing w:val="-1"/>
          <w:sz w:val="16"/>
          <w:vertAlign w:val="baseline"/>
        </w:rPr>
        <w:t> </w:t>
      </w:r>
      <w:r>
        <w:rPr>
          <w:sz w:val="16"/>
          <w:vertAlign w:val="baseline"/>
        </w:rPr>
        <w:t>adicionales de</w:t>
      </w:r>
      <w:r>
        <w:rPr>
          <w:spacing w:val="-1"/>
          <w:sz w:val="16"/>
          <w:vertAlign w:val="baseline"/>
        </w:rPr>
        <w:t> </w:t>
      </w:r>
      <w:r>
        <w:rPr>
          <w:sz w:val="16"/>
          <w:vertAlign w:val="baseline"/>
        </w:rPr>
        <w:t>control</w:t>
      </w:r>
      <w:r>
        <w:rPr>
          <w:spacing w:val="-1"/>
          <w:sz w:val="16"/>
          <w:vertAlign w:val="baseline"/>
        </w:rPr>
        <w:t> </w:t>
      </w:r>
      <w:r>
        <w:rPr>
          <w:sz w:val="16"/>
          <w:vertAlign w:val="baseline"/>
        </w:rPr>
        <w:t>en</w:t>
      </w:r>
      <w:r>
        <w:rPr>
          <w:spacing w:val="1"/>
          <w:sz w:val="16"/>
          <w:vertAlign w:val="baseline"/>
        </w:rPr>
        <w:t> </w:t>
      </w:r>
      <w:r>
        <w:rPr>
          <w:sz w:val="16"/>
          <w:vertAlign w:val="baseline"/>
        </w:rPr>
        <w:t>el</w:t>
      </w:r>
      <w:r>
        <w:rPr>
          <w:spacing w:val="9"/>
          <w:sz w:val="16"/>
          <w:vertAlign w:val="baseline"/>
        </w:rPr>
        <w:t> </w:t>
      </w:r>
      <w:r>
        <w:rPr>
          <w:spacing w:val="-2"/>
          <w:sz w:val="16"/>
          <w:vertAlign w:val="baseline"/>
        </w:rPr>
        <w:t>ámbito</w:t>
      </w:r>
    </w:p>
    <w:p>
      <w:pPr>
        <w:tabs>
          <w:tab w:pos="568" w:val="left" w:leader="none"/>
          <w:tab w:pos="9816" w:val="left" w:leader="none"/>
        </w:tabs>
        <w:spacing w:before="1"/>
        <w:ind w:left="160" w:right="0" w:firstLine="0"/>
        <w:jc w:val="left"/>
        <w:rPr>
          <w:sz w:val="16"/>
        </w:rPr>
      </w:pPr>
      <w:r>
        <w:rPr>
          <w:sz w:val="16"/>
          <w:u w:val="single"/>
        </w:rPr>
        <w:tab/>
        <w:t>de</w:t>
      </w:r>
      <w:r>
        <w:rPr>
          <w:spacing w:val="-4"/>
          <w:sz w:val="16"/>
          <w:u w:val="single"/>
        </w:rPr>
        <w:t> </w:t>
      </w:r>
      <w:r>
        <w:rPr>
          <w:sz w:val="16"/>
          <w:u w:val="single"/>
        </w:rPr>
        <w:t>la</w:t>
      </w:r>
      <w:r>
        <w:rPr>
          <w:spacing w:val="-3"/>
          <w:sz w:val="16"/>
          <w:u w:val="single"/>
        </w:rPr>
        <w:t> </w:t>
      </w:r>
      <w:r>
        <w:rPr>
          <w:sz w:val="16"/>
          <w:u w:val="single"/>
        </w:rPr>
        <w:t>Comunidad</w:t>
      </w:r>
      <w:r>
        <w:rPr>
          <w:spacing w:val="-5"/>
          <w:sz w:val="16"/>
          <w:u w:val="single"/>
        </w:rPr>
        <w:t> </w:t>
      </w:r>
      <w:r>
        <w:rPr>
          <w:spacing w:val="-2"/>
          <w:sz w:val="16"/>
          <w:u w:val="single"/>
        </w:rPr>
        <w:t>Andina.</w:t>
      </w:r>
      <w:r>
        <w:rPr>
          <w:sz w:val="16"/>
          <w:u w:val="single"/>
        </w:rPr>
        <w:tab/>
      </w:r>
    </w:p>
    <w:p>
      <w:pPr>
        <w:spacing w:after="0"/>
        <w:jc w:val="left"/>
        <w:rPr>
          <w:sz w:val="16"/>
        </w:rPr>
        <w:sectPr>
          <w:pgSz w:w="11900" w:h="16850"/>
          <w:pgMar w:header="370" w:footer="597" w:top="1380" w:bottom="78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76" w:hanging="567"/>
        <w:jc w:val="both"/>
        <w:rPr>
          <w:sz w:val="22"/>
        </w:rPr>
      </w:pPr>
      <w:r>
        <w:rPr>
          <w:sz w:val="22"/>
        </w:rPr>
        <w:t>La norma en mención también establece en su artículo 7 que “</w:t>
      </w:r>
      <w:r>
        <w:rPr>
          <w:rFonts w:ascii="Arial" w:hAnsi="Arial"/>
          <w:i/>
          <w:sz w:val="22"/>
        </w:rPr>
        <w:t>[q]uienes importen o exporten las sustancias químicas comprendidas en el Anexo I de la presente Norma y las que figuren listadas en la correspondiente legislación de cada País Miembro, se sujetarán a un régimen de control consistente en autorizaciones, licencias u otros similares, de acuerdo con la normatividad interna de cada País Miembro</w:t>
      </w:r>
      <w:r>
        <w:rPr>
          <w:sz w:val="22"/>
        </w:rPr>
        <w:t>.”.</w:t>
      </w:r>
    </w:p>
    <w:p>
      <w:pPr>
        <w:pStyle w:val="ListParagraph"/>
        <w:numPr>
          <w:ilvl w:val="0"/>
          <w:numId w:val="50"/>
        </w:numPr>
        <w:tabs>
          <w:tab w:pos="1130" w:val="left" w:leader="none"/>
          <w:tab w:pos="1134" w:val="left" w:leader="none"/>
        </w:tabs>
        <w:spacing w:line="240" w:lineRule="auto" w:before="252" w:after="0"/>
        <w:ind w:left="1134" w:right="978" w:hanging="567"/>
        <w:jc w:val="both"/>
        <w:rPr>
          <w:sz w:val="22"/>
        </w:rPr>
      </w:pPr>
      <w:r>
        <w:rPr>
          <w:sz w:val="22"/>
        </w:rPr>
        <w:t>Es</w:t>
      </w:r>
      <w:r>
        <w:rPr>
          <w:spacing w:val="-8"/>
          <w:sz w:val="22"/>
        </w:rPr>
        <w:t> </w:t>
      </w:r>
      <w:r>
        <w:rPr>
          <w:sz w:val="22"/>
        </w:rPr>
        <w:t>preciso</w:t>
      </w:r>
      <w:r>
        <w:rPr>
          <w:spacing w:val="-11"/>
          <w:sz w:val="22"/>
        </w:rPr>
        <w:t> </w:t>
      </w:r>
      <w:r>
        <w:rPr>
          <w:sz w:val="22"/>
        </w:rPr>
        <w:t>señalar</w:t>
      </w:r>
      <w:r>
        <w:rPr>
          <w:spacing w:val="-10"/>
          <w:sz w:val="22"/>
        </w:rPr>
        <w:t> </w:t>
      </w:r>
      <w:r>
        <w:rPr>
          <w:sz w:val="22"/>
        </w:rPr>
        <w:t>que,</w:t>
      </w:r>
      <w:r>
        <w:rPr>
          <w:spacing w:val="-10"/>
          <w:sz w:val="22"/>
        </w:rPr>
        <w:t> </w:t>
      </w:r>
      <w:r>
        <w:rPr>
          <w:sz w:val="22"/>
        </w:rPr>
        <w:t>si</w:t>
      </w:r>
      <w:r>
        <w:rPr>
          <w:spacing w:val="-10"/>
          <w:sz w:val="22"/>
        </w:rPr>
        <w:t> </w:t>
      </w:r>
      <w:r>
        <w:rPr>
          <w:sz w:val="22"/>
        </w:rPr>
        <w:t>bien</w:t>
      </w:r>
      <w:r>
        <w:rPr>
          <w:spacing w:val="-9"/>
          <w:sz w:val="22"/>
        </w:rPr>
        <w:t> </w:t>
      </w:r>
      <w:r>
        <w:rPr>
          <w:sz w:val="22"/>
        </w:rPr>
        <w:t>la</w:t>
      </w:r>
      <w:r>
        <w:rPr>
          <w:spacing w:val="-11"/>
          <w:sz w:val="22"/>
        </w:rPr>
        <w:t> </w:t>
      </w:r>
      <w:r>
        <w:rPr>
          <w:sz w:val="22"/>
        </w:rPr>
        <w:t>medida</w:t>
      </w:r>
      <w:r>
        <w:rPr>
          <w:spacing w:val="-9"/>
          <w:sz w:val="22"/>
        </w:rPr>
        <w:t> </w:t>
      </w:r>
      <w:r>
        <w:rPr>
          <w:sz w:val="22"/>
        </w:rPr>
        <w:t>adoptada</w:t>
      </w:r>
      <w:r>
        <w:rPr>
          <w:spacing w:val="-9"/>
          <w:sz w:val="22"/>
        </w:rPr>
        <w:t> </w:t>
      </w:r>
      <w:r>
        <w:rPr>
          <w:sz w:val="22"/>
        </w:rPr>
        <w:t>por</w:t>
      </w:r>
      <w:r>
        <w:rPr>
          <w:spacing w:val="-10"/>
          <w:sz w:val="22"/>
        </w:rPr>
        <w:t> </w:t>
      </w:r>
      <w:r>
        <w:rPr>
          <w:sz w:val="22"/>
        </w:rPr>
        <w:t>la</w:t>
      </w:r>
      <w:r>
        <w:rPr>
          <w:spacing w:val="-9"/>
          <w:sz w:val="22"/>
        </w:rPr>
        <w:t> </w:t>
      </w:r>
      <w:r>
        <w:rPr>
          <w:sz w:val="22"/>
        </w:rPr>
        <w:t>República</w:t>
      </w:r>
      <w:r>
        <w:rPr>
          <w:spacing w:val="-9"/>
          <w:sz w:val="22"/>
        </w:rPr>
        <w:t> </w:t>
      </w:r>
      <w:r>
        <w:rPr>
          <w:sz w:val="22"/>
        </w:rPr>
        <w:t>de</w:t>
      </w:r>
      <w:r>
        <w:rPr>
          <w:spacing w:val="-12"/>
          <w:sz w:val="22"/>
        </w:rPr>
        <w:t> </w:t>
      </w:r>
      <w:r>
        <w:rPr>
          <w:sz w:val="22"/>
        </w:rPr>
        <w:t>Colombia</w:t>
      </w:r>
      <w:r>
        <w:rPr>
          <w:spacing w:val="-9"/>
          <w:sz w:val="22"/>
        </w:rPr>
        <w:t> </w:t>
      </w:r>
      <w:r>
        <w:rPr>
          <w:sz w:val="22"/>
        </w:rPr>
        <w:t>puede enmarcarse</w:t>
      </w:r>
      <w:r>
        <w:rPr>
          <w:spacing w:val="-9"/>
          <w:sz w:val="22"/>
        </w:rPr>
        <w:t> </w:t>
      </w:r>
      <w:r>
        <w:rPr>
          <w:sz w:val="22"/>
        </w:rPr>
        <w:t>en</w:t>
      </w:r>
      <w:r>
        <w:rPr>
          <w:spacing w:val="-8"/>
          <w:sz w:val="22"/>
        </w:rPr>
        <w:t> </w:t>
      </w:r>
      <w:r>
        <w:rPr>
          <w:sz w:val="22"/>
        </w:rPr>
        <w:t>un</w:t>
      </w:r>
      <w:r>
        <w:rPr>
          <w:spacing w:val="-9"/>
          <w:sz w:val="22"/>
        </w:rPr>
        <w:t> </w:t>
      </w:r>
      <w:r>
        <w:rPr>
          <w:sz w:val="22"/>
        </w:rPr>
        <w:t>objetivo</w:t>
      </w:r>
      <w:r>
        <w:rPr>
          <w:spacing w:val="-7"/>
          <w:sz w:val="22"/>
        </w:rPr>
        <w:t> </w:t>
      </w:r>
      <w:r>
        <w:rPr>
          <w:sz w:val="22"/>
        </w:rPr>
        <w:t>legítimo</w:t>
      </w:r>
      <w:r>
        <w:rPr>
          <w:spacing w:val="-7"/>
          <w:sz w:val="22"/>
        </w:rPr>
        <w:t> </w:t>
      </w:r>
      <w:r>
        <w:rPr>
          <w:sz w:val="22"/>
        </w:rPr>
        <w:t>previsto</w:t>
      </w:r>
      <w:r>
        <w:rPr>
          <w:spacing w:val="-9"/>
          <w:sz w:val="22"/>
        </w:rPr>
        <w:t> </w:t>
      </w:r>
      <w:r>
        <w:rPr>
          <w:sz w:val="22"/>
        </w:rPr>
        <w:t>en</w:t>
      </w:r>
      <w:r>
        <w:rPr>
          <w:spacing w:val="-9"/>
          <w:sz w:val="22"/>
        </w:rPr>
        <w:t> </w:t>
      </w:r>
      <w:r>
        <w:rPr>
          <w:sz w:val="22"/>
        </w:rPr>
        <w:t>el</w:t>
      </w:r>
      <w:r>
        <w:rPr>
          <w:spacing w:val="-10"/>
          <w:sz w:val="22"/>
        </w:rPr>
        <w:t> </w:t>
      </w:r>
      <w:r>
        <w:rPr>
          <w:sz w:val="22"/>
        </w:rPr>
        <w:t>artículo</w:t>
      </w:r>
      <w:r>
        <w:rPr>
          <w:spacing w:val="-7"/>
          <w:sz w:val="22"/>
        </w:rPr>
        <w:t> </w:t>
      </w:r>
      <w:r>
        <w:rPr>
          <w:sz w:val="22"/>
        </w:rPr>
        <w:t>73</w:t>
      </w:r>
      <w:r>
        <w:rPr>
          <w:spacing w:val="-9"/>
          <w:sz w:val="22"/>
        </w:rPr>
        <w:t> </w:t>
      </w:r>
      <w:r>
        <w:rPr>
          <w:sz w:val="22"/>
        </w:rPr>
        <w:t>del</w:t>
      </w:r>
      <w:r>
        <w:rPr>
          <w:spacing w:val="-8"/>
          <w:sz w:val="22"/>
        </w:rPr>
        <w:t> </w:t>
      </w:r>
      <w:r>
        <w:rPr>
          <w:sz w:val="22"/>
        </w:rPr>
        <w:t>Acuerdo</w:t>
      </w:r>
      <w:r>
        <w:rPr>
          <w:spacing w:val="-8"/>
          <w:sz w:val="22"/>
        </w:rPr>
        <w:t> </w:t>
      </w:r>
      <w:r>
        <w:rPr>
          <w:sz w:val="22"/>
        </w:rPr>
        <w:t>de</w:t>
      </w:r>
      <w:r>
        <w:rPr>
          <w:spacing w:val="-7"/>
          <w:sz w:val="22"/>
        </w:rPr>
        <w:t> </w:t>
      </w:r>
      <w:r>
        <w:rPr>
          <w:sz w:val="22"/>
        </w:rPr>
        <w:t>Cartagena, su</w:t>
      </w:r>
      <w:r>
        <w:rPr>
          <w:spacing w:val="-11"/>
          <w:sz w:val="22"/>
        </w:rPr>
        <w:t> </w:t>
      </w:r>
      <w:r>
        <w:rPr>
          <w:sz w:val="22"/>
        </w:rPr>
        <w:t>aplicación</w:t>
      </w:r>
      <w:r>
        <w:rPr>
          <w:spacing w:val="-11"/>
          <w:sz w:val="22"/>
        </w:rPr>
        <w:t> </w:t>
      </w:r>
      <w:r>
        <w:rPr>
          <w:sz w:val="22"/>
        </w:rPr>
        <w:t>no</w:t>
      </w:r>
      <w:r>
        <w:rPr>
          <w:spacing w:val="-11"/>
          <w:sz w:val="22"/>
        </w:rPr>
        <w:t> </w:t>
      </w:r>
      <w:r>
        <w:rPr>
          <w:sz w:val="22"/>
        </w:rPr>
        <w:t>puede</w:t>
      </w:r>
      <w:r>
        <w:rPr>
          <w:spacing w:val="-11"/>
          <w:sz w:val="22"/>
        </w:rPr>
        <w:t> </w:t>
      </w:r>
      <w:r>
        <w:rPr>
          <w:sz w:val="22"/>
        </w:rPr>
        <w:t>circunscribirse</w:t>
      </w:r>
      <w:r>
        <w:rPr>
          <w:spacing w:val="-13"/>
          <w:sz w:val="22"/>
        </w:rPr>
        <w:t> </w:t>
      </w:r>
      <w:r>
        <w:rPr>
          <w:sz w:val="22"/>
        </w:rPr>
        <w:t>exclusivamente</w:t>
      </w:r>
      <w:r>
        <w:rPr>
          <w:spacing w:val="-11"/>
          <w:sz w:val="22"/>
        </w:rPr>
        <w:t> </w:t>
      </w:r>
      <w:r>
        <w:rPr>
          <w:sz w:val="22"/>
        </w:rPr>
        <w:t>a</w:t>
      </w:r>
      <w:r>
        <w:rPr>
          <w:spacing w:val="-13"/>
          <w:sz w:val="22"/>
        </w:rPr>
        <w:t> </w:t>
      </w:r>
      <w:r>
        <w:rPr>
          <w:sz w:val="22"/>
        </w:rPr>
        <w:t>las</w:t>
      </w:r>
      <w:r>
        <w:rPr>
          <w:spacing w:val="-11"/>
          <w:sz w:val="22"/>
        </w:rPr>
        <w:t> </w:t>
      </w:r>
      <w:r>
        <w:rPr>
          <w:sz w:val="22"/>
        </w:rPr>
        <w:t>importaciones</w:t>
      </w:r>
      <w:r>
        <w:rPr>
          <w:spacing w:val="-13"/>
          <w:sz w:val="22"/>
        </w:rPr>
        <w:t> </w:t>
      </w:r>
      <w:r>
        <w:rPr>
          <w:sz w:val="22"/>
        </w:rPr>
        <w:t>provenientes de un solo País Miembro, en tanto ello resultaría incompatible con los principios de no discriminación</w:t>
      </w:r>
      <w:r>
        <w:rPr>
          <w:spacing w:val="-4"/>
          <w:sz w:val="22"/>
        </w:rPr>
        <w:t> </w:t>
      </w:r>
      <w:r>
        <w:rPr>
          <w:sz w:val="22"/>
        </w:rPr>
        <w:t>y</w:t>
      </w:r>
      <w:r>
        <w:rPr>
          <w:spacing w:val="-4"/>
          <w:sz w:val="22"/>
        </w:rPr>
        <w:t> </w:t>
      </w:r>
      <w:r>
        <w:rPr>
          <w:sz w:val="22"/>
        </w:rPr>
        <w:t>de</w:t>
      </w:r>
      <w:r>
        <w:rPr>
          <w:spacing w:val="-7"/>
          <w:sz w:val="22"/>
        </w:rPr>
        <w:t> </w:t>
      </w:r>
      <w:r>
        <w:rPr>
          <w:sz w:val="22"/>
        </w:rPr>
        <w:t>trato</w:t>
      </w:r>
      <w:r>
        <w:rPr>
          <w:spacing w:val="-6"/>
          <w:sz w:val="22"/>
        </w:rPr>
        <w:t> </w:t>
      </w:r>
      <w:r>
        <w:rPr>
          <w:sz w:val="22"/>
        </w:rPr>
        <w:t>igualitario</w:t>
      </w:r>
      <w:r>
        <w:rPr>
          <w:spacing w:val="-4"/>
          <w:sz w:val="22"/>
        </w:rPr>
        <w:t> </w:t>
      </w:r>
      <w:r>
        <w:rPr>
          <w:sz w:val="22"/>
        </w:rPr>
        <w:t>que</w:t>
      </w:r>
      <w:r>
        <w:rPr>
          <w:spacing w:val="-4"/>
          <w:sz w:val="22"/>
        </w:rPr>
        <w:t> </w:t>
      </w:r>
      <w:r>
        <w:rPr>
          <w:sz w:val="22"/>
        </w:rPr>
        <w:t>rigen</w:t>
      </w:r>
      <w:r>
        <w:rPr>
          <w:spacing w:val="-4"/>
          <w:sz w:val="22"/>
        </w:rPr>
        <w:t> </w:t>
      </w:r>
      <w:r>
        <w:rPr>
          <w:sz w:val="22"/>
        </w:rPr>
        <w:t>el</w:t>
      </w:r>
      <w:r>
        <w:rPr>
          <w:spacing w:val="-5"/>
          <w:sz w:val="22"/>
        </w:rPr>
        <w:t> </w:t>
      </w:r>
      <w:r>
        <w:rPr>
          <w:sz w:val="22"/>
        </w:rPr>
        <w:t>comercio</w:t>
      </w:r>
      <w:r>
        <w:rPr>
          <w:spacing w:val="-4"/>
          <w:sz w:val="22"/>
        </w:rPr>
        <w:t> </w:t>
      </w:r>
      <w:r>
        <w:rPr>
          <w:sz w:val="22"/>
        </w:rPr>
        <w:t>intracomunitario</w:t>
      </w:r>
      <w:r>
        <w:rPr>
          <w:spacing w:val="-7"/>
          <w:sz w:val="22"/>
        </w:rPr>
        <w:t> </w:t>
      </w:r>
      <w:r>
        <w:rPr>
          <w:sz w:val="22"/>
        </w:rPr>
        <w:t>andino,</w:t>
      </w:r>
      <w:r>
        <w:rPr>
          <w:spacing w:val="-3"/>
          <w:sz w:val="22"/>
        </w:rPr>
        <w:t> </w:t>
      </w:r>
      <w:r>
        <w:rPr>
          <w:sz w:val="22"/>
        </w:rPr>
        <w:t>salvo que</w:t>
      </w:r>
      <w:r>
        <w:rPr>
          <w:spacing w:val="-7"/>
          <w:sz w:val="22"/>
        </w:rPr>
        <w:t> </w:t>
      </w:r>
      <w:r>
        <w:rPr>
          <w:sz w:val="22"/>
        </w:rPr>
        <w:t>dicha</w:t>
      </w:r>
      <w:r>
        <w:rPr>
          <w:spacing w:val="-8"/>
          <w:sz w:val="22"/>
        </w:rPr>
        <w:t> </w:t>
      </w:r>
      <w:r>
        <w:rPr>
          <w:sz w:val="22"/>
        </w:rPr>
        <w:t>diferenciación</w:t>
      </w:r>
      <w:r>
        <w:rPr>
          <w:spacing w:val="-10"/>
          <w:sz w:val="22"/>
        </w:rPr>
        <w:t> </w:t>
      </w:r>
      <w:r>
        <w:rPr>
          <w:sz w:val="22"/>
        </w:rPr>
        <w:t>se</w:t>
      </w:r>
      <w:r>
        <w:rPr>
          <w:spacing w:val="-7"/>
          <w:sz w:val="22"/>
        </w:rPr>
        <w:t> </w:t>
      </w:r>
      <w:r>
        <w:rPr>
          <w:sz w:val="22"/>
        </w:rPr>
        <w:t>encuentre</w:t>
      </w:r>
      <w:r>
        <w:rPr>
          <w:spacing w:val="-7"/>
          <w:sz w:val="22"/>
        </w:rPr>
        <w:t> </w:t>
      </w:r>
      <w:r>
        <w:rPr>
          <w:sz w:val="22"/>
        </w:rPr>
        <w:t>debidamente</w:t>
      </w:r>
      <w:r>
        <w:rPr>
          <w:spacing w:val="-10"/>
          <w:sz w:val="22"/>
        </w:rPr>
        <w:t> </w:t>
      </w:r>
      <w:r>
        <w:rPr>
          <w:sz w:val="22"/>
        </w:rPr>
        <w:t>justificada</w:t>
      </w:r>
      <w:r>
        <w:rPr>
          <w:spacing w:val="-10"/>
          <w:sz w:val="22"/>
        </w:rPr>
        <w:t> </w:t>
      </w:r>
      <w:r>
        <w:rPr>
          <w:sz w:val="22"/>
        </w:rPr>
        <w:t>y</w:t>
      </w:r>
      <w:r>
        <w:rPr>
          <w:spacing w:val="-7"/>
          <w:sz w:val="22"/>
        </w:rPr>
        <w:t> </w:t>
      </w:r>
      <w:r>
        <w:rPr>
          <w:sz w:val="22"/>
        </w:rPr>
        <w:t>sustentada</w:t>
      </w:r>
      <w:r>
        <w:rPr>
          <w:spacing w:val="-7"/>
          <w:sz w:val="22"/>
        </w:rPr>
        <w:t> </w:t>
      </w:r>
      <w:r>
        <w:rPr>
          <w:sz w:val="22"/>
        </w:rPr>
        <w:t>conforme</w:t>
      </w:r>
      <w:r>
        <w:rPr>
          <w:spacing w:val="-10"/>
          <w:sz w:val="22"/>
        </w:rPr>
        <w:t> </w:t>
      </w:r>
      <w:r>
        <w:rPr>
          <w:sz w:val="22"/>
        </w:rPr>
        <w:t>a la normativa comunitaria aplicable.</w:t>
      </w:r>
    </w:p>
    <w:p>
      <w:pPr>
        <w:pStyle w:val="ListParagraph"/>
        <w:numPr>
          <w:ilvl w:val="0"/>
          <w:numId w:val="50"/>
        </w:numPr>
        <w:tabs>
          <w:tab w:pos="1130" w:val="left" w:leader="none"/>
          <w:tab w:pos="1134" w:val="left" w:leader="none"/>
        </w:tabs>
        <w:spacing w:line="240" w:lineRule="auto" w:before="253" w:after="0"/>
        <w:ind w:left="1134" w:right="977" w:hanging="567"/>
        <w:jc w:val="both"/>
        <w:rPr>
          <w:sz w:val="22"/>
        </w:rPr>
      </w:pPr>
      <w:r>
        <w:rPr>
          <w:sz w:val="22"/>
        </w:rPr>
        <w:t>No obstante, del análisis efectuado se verificó que no se registran importaciones con origen en la República del Ecuador correspondientes a las subpartidas arancelarias comprendidas en el artículo 3 del Decreto 0170, por lo que la SGCAN no cuenta con elementos suficientes para determinar si la medida adoptada tuvo por efecto impedir (suspender o prohibir) dichas importaciones.</w:t>
      </w:r>
    </w:p>
    <w:p>
      <w:pPr>
        <w:pStyle w:val="BodyText"/>
        <w:spacing w:before="1"/>
      </w:pPr>
    </w:p>
    <w:p>
      <w:pPr>
        <w:pStyle w:val="ListParagraph"/>
        <w:numPr>
          <w:ilvl w:val="0"/>
          <w:numId w:val="118"/>
        </w:numPr>
        <w:tabs>
          <w:tab w:pos="1273" w:val="left" w:leader="none"/>
        </w:tabs>
        <w:spacing w:line="240" w:lineRule="auto" w:before="0" w:after="0"/>
        <w:ind w:left="1273" w:right="0" w:hanging="345"/>
        <w:jc w:val="left"/>
        <w:rPr>
          <w:rFonts w:ascii="Arial" w:hAnsi="Arial"/>
          <w:i/>
          <w:sz w:val="22"/>
        </w:rPr>
      </w:pPr>
      <w:r>
        <w:rPr>
          <w:rFonts w:ascii="Arial" w:hAnsi="Arial"/>
          <w:i/>
          <w:spacing w:val="-2"/>
          <w:sz w:val="22"/>
          <w:u w:val="single"/>
        </w:rPr>
        <w:t>Análisis</w:t>
      </w:r>
      <w:r>
        <w:rPr>
          <w:rFonts w:ascii="Arial" w:hAnsi="Arial"/>
          <w:i/>
          <w:spacing w:val="-7"/>
          <w:sz w:val="22"/>
          <w:u w:val="single"/>
        </w:rPr>
        <w:t> </w:t>
      </w:r>
      <w:r>
        <w:rPr>
          <w:rFonts w:ascii="Arial" w:hAnsi="Arial"/>
          <w:i/>
          <w:spacing w:val="-2"/>
          <w:sz w:val="22"/>
          <w:u w:val="single"/>
        </w:rPr>
        <w:t>para</w:t>
      </w:r>
      <w:r>
        <w:rPr>
          <w:rFonts w:ascii="Arial" w:hAnsi="Arial"/>
          <w:i/>
          <w:spacing w:val="-6"/>
          <w:sz w:val="22"/>
          <w:u w:val="single"/>
        </w:rPr>
        <w:t> </w:t>
      </w:r>
      <w:r>
        <w:rPr>
          <w:rFonts w:ascii="Arial" w:hAnsi="Arial"/>
          <w:i/>
          <w:spacing w:val="-2"/>
          <w:sz w:val="22"/>
          <w:u w:val="single"/>
        </w:rPr>
        <w:t>determinar</w:t>
      </w:r>
      <w:r>
        <w:rPr>
          <w:rFonts w:ascii="Arial" w:hAnsi="Arial"/>
          <w:i/>
          <w:spacing w:val="-7"/>
          <w:sz w:val="22"/>
          <w:u w:val="single"/>
        </w:rPr>
        <w:t> </w:t>
      </w:r>
      <w:r>
        <w:rPr>
          <w:rFonts w:ascii="Arial" w:hAnsi="Arial"/>
          <w:i/>
          <w:spacing w:val="-2"/>
          <w:sz w:val="22"/>
          <w:u w:val="single"/>
        </w:rPr>
        <w:t>si</w:t>
      </w:r>
      <w:r>
        <w:rPr>
          <w:rFonts w:ascii="Arial" w:hAnsi="Arial"/>
          <w:i/>
          <w:spacing w:val="-5"/>
          <w:sz w:val="22"/>
          <w:u w:val="single"/>
        </w:rPr>
        <w:t> </w:t>
      </w:r>
      <w:r>
        <w:rPr>
          <w:rFonts w:ascii="Arial" w:hAnsi="Arial"/>
          <w:i/>
          <w:spacing w:val="-2"/>
          <w:sz w:val="22"/>
          <w:u w:val="single"/>
        </w:rPr>
        <w:t>la</w:t>
      </w:r>
      <w:r>
        <w:rPr>
          <w:rFonts w:ascii="Arial" w:hAnsi="Arial"/>
          <w:i/>
          <w:spacing w:val="-6"/>
          <w:sz w:val="22"/>
          <w:u w:val="single"/>
        </w:rPr>
        <w:t> </w:t>
      </w:r>
      <w:r>
        <w:rPr>
          <w:rFonts w:ascii="Arial" w:hAnsi="Arial"/>
          <w:i/>
          <w:spacing w:val="-2"/>
          <w:sz w:val="22"/>
          <w:u w:val="single"/>
        </w:rPr>
        <w:t>medida</w:t>
      </w:r>
      <w:r>
        <w:rPr>
          <w:rFonts w:ascii="Arial" w:hAnsi="Arial"/>
          <w:i/>
          <w:spacing w:val="-6"/>
          <w:sz w:val="22"/>
          <w:u w:val="single"/>
        </w:rPr>
        <w:t> </w:t>
      </w:r>
      <w:r>
        <w:rPr>
          <w:rFonts w:ascii="Arial" w:hAnsi="Arial"/>
          <w:i/>
          <w:spacing w:val="-2"/>
          <w:sz w:val="22"/>
          <w:u w:val="single"/>
        </w:rPr>
        <w:t>objeto</w:t>
      </w:r>
      <w:r>
        <w:rPr>
          <w:rFonts w:ascii="Arial" w:hAnsi="Arial"/>
          <w:i/>
          <w:spacing w:val="-5"/>
          <w:sz w:val="22"/>
          <w:u w:val="single"/>
        </w:rPr>
        <w:t> </w:t>
      </w:r>
      <w:r>
        <w:rPr>
          <w:rFonts w:ascii="Arial" w:hAnsi="Arial"/>
          <w:i/>
          <w:spacing w:val="-2"/>
          <w:sz w:val="22"/>
          <w:u w:val="single"/>
        </w:rPr>
        <w:t>de</w:t>
      </w:r>
      <w:r>
        <w:rPr>
          <w:rFonts w:ascii="Arial" w:hAnsi="Arial"/>
          <w:i/>
          <w:spacing w:val="-5"/>
          <w:sz w:val="22"/>
          <w:u w:val="single"/>
        </w:rPr>
        <w:t> </w:t>
      </w:r>
      <w:r>
        <w:rPr>
          <w:rFonts w:ascii="Arial" w:hAnsi="Arial"/>
          <w:i/>
          <w:spacing w:val="-2"/>
          <w:sz w:val="22"/>
          <w:u w:val="single"/>
        </w:rPr>
        <w:t>investigación</w:t>
      </w:r>
      <w:r>
        <w:rPr>
          <w:rFonts w:ascii="Arial" w:hAnsi="Arial"/>
          <w:i/>
          <w:spacing w:val="-6"/>
          <w:sz w:val="22"/>
          <w:u w:val="single"/>
        </w:rPr>
        <w:t> </w:t>
      </w:r>
      <w:r>
        <w:rPr>
          <w:rFonts w:ascii="Arial" w:hAnsi="Arial"/>
          <w:i/>
          <w:spacing w:val="-2"/>
          <w:sz w:val="22"/>
          <w:u w:val="single"/>
        </w:rPr>
        <w:t>dificulta</w:t>
      </w:r>
      <w:r>
        <w:rPr>
          <w:rFonts w:ascii="Arial" w:hAnsi="Arial"/>
          <w:i/>
          <w:spacing w:val="-6"/>
          <w:sz w:val="22"/>
          <w:u w:val="single"/>
        </w:rPr>
        <w:t> </w:t>
      </w:r>
      <w:r>
        <w:rPr>
          <w:rFonts w:ascii="Arial" w:hAnsi="Arial"/>
          <w:i/>
          <w:spacing w:val="-2"/>
          <w:sz w:val="22"/>
          <w:u w:val="single"/>
        </w:rPr>
        <w:t>las</w:t>
      </w:r>
      <w:r>
        <w:rPr>
          <w:rFonts w:ascii="Arial" w:hAnsi="Arial"/>
          <w:i/>
          <w:spacing w:val="-4"/>
          <w:sz w:val="22"/>
          <w:u w:val="single"/>
        </w:rPr>
        <w:t> </w:t>
      </w:r>
      <w:r>
        <w:rPr>
          <w:rFonts w:ascii="Arial" w:hAnsi="Arial"/>
          <w:i/>
          <w:spacing w:val="-2"/>
          <w:sz w:val="22"/>
          <w:u w:val="single"/>
        </w:rPr>
        <w:t>importaciones</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83" w:hanging="567"/>
        <w:jc w:val="both"/>
        <w:rPr>
          <w:sz w:val="22"/>
        </w:rPr>
      </w:pPr>
      <w:r>
        <w:rPr>
          <w:sz w:val="22"/>
        </w:rPr>
        <w:t>Tal como se ha señalado, la SGCAN consultó información sobre importaciones con el fin</w:t>
      </w:r>
      <w:r>
        <w:rPr>
          <w:spacing w:val="-12"/>
          <w:sz w:val="22"/>
        </w:rPr>
        <w:t> </w:t>
      </w:r>
      <w:r>
        <w:rPr>
          <w:sz w:val="22"/>
        </w:rPr>
        <w:t>de</w:t>
      </w:r>
      <w:r>
        <w:rPr>
          <w:spacing w:val="-13"/>
          <w:sz w:val="22"/>
        </w:rPr>
        <w:t> </w:t>
      </w:r>
      <w:r>
        <w:rPr>
          <w:sz w:val="22"/>
        </w:rPr>
        <w:t>analizar</w:t>
      </w:r>
      <w:r>
        <w:rPr>
          <w:spacing w:val="-14"/>
          <w:sz w:val="22"/>
        </w:rPr>
        <w:t> </w:t>
      </w:r>
      <w:r>
        <w:rPr>
          <w:sz w:val="22"/>
        </w:rPr>
        <w:t>el</w:t>
      </w:r>
      <w:r>
        <w:rPr>
          <w:spacing w:val="-13"/>
          <w:sz w:val="22"/>
        </w:rPr>
        <w:t> </w:t>
      </w:r>
      <w:r>
        <w:rPr>
          <w:sz w:val="22"/>
        </w:rPr>
        <w:t>comercio</w:t>
      </w:r>
      <w:r>
        <w:rPr>
          <w:spacing w:val="-12"/>
          <w:sz w:val="22"/>
        </w:rPr>
        <w:t> </w:t>
      </w:r>
      <w:r>
        <w:rPr>
          <w:sz w:val="22"/>
        </w:rPr>
        <w:t>correspondiente</w:t>
      </w:r>
      <w:r>
        <w:rPr>
          <w:spacing w:val="-15"/>
          <w:sz w:val="22"/>
        </w:rPr>
        <w:t> </w:t>
      </w:r>
      <w:r>
        <w:rPr>
          <w:sz w:val="22"/>
        </w:rPr>
        <w:t>a</w:t>
      </w:r>
      <w:r>
        <w:rPr>
          <w:spacing w:val="-12"/>
          <w:sz w:val="22"/>
        </w:rPr>
        <w:t> </w:t>
      </w:r>
      <w:r>
        <w:rPr>
          <w:sz w:val="22"/>
        </w:rPr>
        <w:t>las</w:t>
      </w:r>
      <w:r>
        <w:rPr>
          <w:spacing w:val="-15"/>
          <w:sz w:val="22"/>
        </w:rPr>
        <w:t> </w:t>
      </w:r>
      <w:r>
        <w:rPr>
          <w:sz w:val="22"/>
        </w:rPr>
        <w:t>subpartidas</w:t>
      </w:r>
      <w:r>
        <w:rPr>
          <w:spacing w:val="-12"/>
          <w:sz w:val="22"/>
        </w:rPr>
        <w:t> </w:t>
      </w:r>
      <w:r>
        <w:rPr>
          <w:sz w:val="22"/>
        </w:rPr>
        <w:t>objeto</w:t>
      </w:r>
      <w:r>
        <w:rPr>
          <w:spacing w:val="-12"/>
          <w:sz w:val="22"/>
        </w:rPr>
        <w:t> </w:t>
      </w:r>
      <w:r>
        <w:rPr>
          <w:sz w:val="22"/>
        </w:rPr>
        <w:t>de</w:t>
      </w:r>
      <w:r>
        <w:rPr>
          <w:spacing w:val="-15"/>
          <w:sz w:val="22"/>
        </w:rPr>
        <w:t> </w:t>
      </w:r>
      <w:r>
        <w:rPr>
          <w:sz w:val="22"/>
        </w:rPr>
        <w:t>investigación;</w:t>
      </w:r>
      <w:r>
        <w:rPr>
          <w:spacing w:val="-11"/>
          <w:sz w:val="22"/>
        </w:rPr>
        <w:t> </w:t>
      </w:r>
      <w:r>
        <w:rPr>
          <w:sz w:val="22"/>
        </w:rPr>
        <w:t>sin embargo, de la revisión efectuada no se evidenció que la República de Colombia haya realizado importaciones provenientes de la República del Ecuador respecto de dichas </w:t>
      </w:r>
      <w:r>
        <w:rPr>
          <w:spacing w:val="-2"/>
          <w:sz w:val="22"/>
        </w:rPr>
        <w:t>subpartidas.</w:t>
      </w:r>
    </w:p>
    <w:p>
      <w:pPr>
        <w:pStyle w:val="ListParagraph"/>
        <w:numPr>
          <w:ilvl w:val="0"/>
          <w:numId w:val="50"/>
        </w:numPr>
        <w:tabs>
          <w:tab w:pos="1130" w:val="left" w:leader="none"/>
          <w:tab w:pos="1134" w:val="left" w:leader="none"/>
        </w:tabs>
        <w:spacing w:line="240" w:lineRule="auto" w:before="253" w:after="0"/>
        <w:ind w:left="1134" w:right="981" w:hanging="567"/>
        <w:jc w:val="both"/>
        <w:rPr>
          <w:sz w:val="22"/>
        </w:rPr>
      </w:pPr>
      <w:r>
        <w:rPr>
          <w:sz w:val="22"/>
        </w:rPr>
        <w:t>Sin</w:t>
      </w:r>
      <w:r>
        <w:rPr>
          <w:spacing w:val="-4"/>
          <w:sz w:val="22"/>
        </w:rPr>
        <w:t> </w:t>
      </w:r>
      <w:r>
        <w:rPr>
          <w:sz w:val="22"/>
        </w:rPr>
        <w:t>embargo,</w:t>
      </w:r>
      <w:r>
        <w:rPr>
          <w:spacing w:val="-5"/>
          <w:sz w:val="22"/>
        </w:rPr>
        <w:t> </w:t>
      </w:r>
      <w:r>
        <w:rPr>
          <w:sz w:val="22"/>
        </w:rPr>
        <w:t>del</w:t>
      </w:r>
      <w:r>
        <w:rPr>
          <w:spacing w:val="-5"/>
          <w:sz w:val="22"/>
        </w:rPr>
        <w:t> </w:t>
      </w:r>
      <w:r>
        <w:rPr>
          <w:sz w:val="22"/>
        </w:rPr>
        <w:t>análisis</w:t>
      </w:r>
      <w:r>
        <w:rPr>
          <w:spacing w:val="-4"/>
          <w:sz w:val="22"/>
        </w:rPr>
        <w:t> </w:t>
      </w:r>
      <w:r>
        <w:rPr>
          <w:sz w:val="22"/>
        </w:rPr>
        <w:t>realizado</w:t>
      </w:r>
      <w:r>
        <w:rPr>
          <w:spacing w:val="-4"/>
          <w:sz w:val="22"/>
        </w:rPr>
        <w:t> </w:t>
      </w:r>
      <w:r>
        <w:rPr>
          <w:sz w:val="22"/>
        </w:rPr>
        <w:t>se</w:t>
      </w:r>
      <w:r>
        <w:rPr>
          <w:spacing w:val="-4"/>
          <w:sz w:val="22"/>
        </w:rPr>
        <w:t> </w:t>
      </w:r>
      <w:r>
        <w:rPr>
          <w:sz w:val="22"/>
        </w:rPr>
        <w:t>desprende</w:t>
      </w:r>
      <w:r>
        <w:rPr>
          <w:spacing w:val="-9"/>
          <w:sz w:val="22"/>
        </w:rPr>
        <w:t> </w:t>
      </w:r>
      <w:r>
        <w:rPr>
          <w:sz w:val="22"/>
        </w:rPr>
        <w:t>que</w:t>
      </w:r>
      <w:r>
        <w:rPr>
          <w:spacing w:val="-4"/>
          <w:sz w:val="22"/>
        </w:rPr>
        <w:t> </w:t>
      </w:r>
      <w:r>
        <w:rPr>
          <w:sz w:val="22"/>
        </w:rPr>
        <w:t>la</w:t>
      </w:r>
      <w:r>
        <w:rPr>
          <w:spacing w:val="-4"/>
          <w:sz w:val="22"/>
        </w:rPr>
        <w:t> </w:t>
      </w:r>
      <w:r>
        <w:rPr>
          <w:sz w:val="22"/>
        </w:rPr>
        <w:t>República</w:t>
      </w:r>
      <w:r>
        <w:rPr>
          <w:spacing w:val="-4"/>
          <w:sz w:val="22"/>
        </w:rPr>
        <w:t> </w:t>
      </w:r>
      <w:r>
        <w:rPr>
          <w:sz w:val="22"/>
        </w:rPr>
        <w:t>de</w:t>
      </w:r>
      <w:r>
        <w:rPr>
          <w:spacing w:val="-4"/>
          <w:sz w:val="22"/>
        </w:rPr>
        <w:t> </w:t>
      </w:r>
      <w:r>
        <w:rPr>
          <w:sz w:val="22"/>
        </w:rPr>
        <w:t>Colombia</w:t>
      </w:r>
      <w:r>
        <w:rPr>
          <w:spacing w:val="-4"/>
          <w:sz w:val="22"/>
        </w:rPr>
        <w:t> </w:t>
      </w:r>
      <w:r>
        <w:rPr>
          <w:sz w:val="22"/>
        </w:rPr>
        <w:t>cuenta ya con mecanismos normativos y administrativos suficientes para el control de la importación</w:t>
      </w:r>
      <w:r>
        <w:rPr>
          <w:spacing w:val="-8"/>
          <w:sz w:val="22"/>
        </w:rPr>
        <w:t> </w:t>
      </w:r>
      <w:r>
        <w:rPr>
          <w:sz w:val="22"/>
        </w:rPr>
        <w:t>de</w:t>
      </w:r>
      <w:r>
        <w:rPr>
          <w:spacing w:val="-10"/>
          <w:sz w:val="22"/>
        </w:rPr>
        <w:t> </w:t>
      </w:r>
      <w:r>
        <w:rPr>
          <w:sz w:val="22"/>
        </w:rPr>
        <w:t>mercancías</w:t>
      </w:r>
      <w:r>
        <w:rPr>
          <w:spacing w:val="-7"/>
          <w:sz w:val="22"/>
        </w:rPr>
        <w:t> </w:t>
      </w:r>
      <w:r>
        <w:rPr>
          <w:sz w:val="22"/>
        </w:rPr>
        <w:t>utilizadas</w:t>
      </w:r>
      <w:r>
        <w:rPr>
          <w:spacing w:val="-7"/>
          <w:sz w:val="22"/>
        </w:rPr>
        <w:t> </w:t>
      </w:r>
      <w:r>
        <w:rPr>
          <w:sz w:val="22"/>
        </w:rPr>
        <w:t>en</w:t>
      </w:r>
      <w:r>
        <w:rPr>
          <w:spacing w:val="-8"/>
          <w:sz w:val="22"/>
        </w:rPr>
        <w:t> </w:t>
      </w:r>
      <w:r>
        <w:rPr>
          <w:sz w:val="22"/>
        </w:rPr>
        <w:t>la</w:t>
      </w:r>
      <w:r>
        <w:rPr>
          <w:spacing w:val="-7"/>
          <w:sz w:val="22"/>
        </w:rPr>
        <w:t> </w:t>
      </w:r>
      <w:r>
        <w:rPr>
          <w:sz w:val="22"/>
        </w:rPr>
        <w:t>producción</w:t>
      </w:r>
      <w:r>
        <w:rPr>
          <w:spacing w:val="-8"/>
          <w:sz w:val="22"/>
        </w:rPr>
        <w:t> </w:t>
      </w:r>
      <w:r>
        <w:rPr>
          <w:sz w:val="22"/>
        </w:rPr>
        <w:t>de</w:t>
      </w:r>
      <w:r>
        <w:rPr>
          <w:spacing w:val="-8"/>
          <w:sz w:val="22"/>
        </w:rPr>
        <w:t> </w:t>
      </w:r>
      <w:r>
        <w:rPr>
          <w:sz w:val="22"/>
        </w:rPr>
        <w:t>fentanilo,</w:t>
      </w:r>
      <w:r>
        <w:rPr>
          <w:spacing w:val="-6"/>
          <w:sz w:val="22"/>
        </w:rPr>
        <w:t> </w:t>
      </w:r>
      <w:r>
        <w:rPr>
          <w:sz w:val="22"/>
        </w:rPr>
        <w:t>de</w:t>
      </w:r>
      <w:r>
        <w:rPr>
          <w:spacing w:val="-10"/>
          <w:sz w:val="22"/>
        </w:rPr>
        <w:t> </w:t>
      </w:r>
      <w:r>
        <w:rPr>
          <w:sz w:val="22"/>
        </w:rPr>
        <w:t>conformidad</w:t>
      </w:r>
      <w:r>
        <w:rPr>
          <w:spacing w:val="-7"/>
          <w:sz w:val="22"/>
        </w:rPr>
        <w:t> </w:t>
      </w:r>
      <w:r>
        <w:rPr>
          <w:sz w:val="22"/>
        </w:rPr>
        <w:t>con la</w:t>
      </w:r>
      <w:r>
        <w:rPr>
          <w:spacing w:val="-9"/>
          <w:sz w:val="22"/>
        </w:rPr>
        <w:t> </w:t>
      </w:r>
      <w:r>
        <w:rPr>
          <w:sz w:val="22"/>
        </w:rPr>
        <w:t>normativa</w:t>
      </w:r>
      <w:r>
        <w:rPr>
          <w:spacing w:val="-9"/>
          <w:sz w:val="22"/>
        </w:rPr>
        <w:t> </w:t>
      </w:r>
      <w:r>
        <w:rPr>
          <w:sz w:val="22"/>
        </w:rPr>
        <w:t>interna</w:t>
      </w:r>
      <w:r>
        <w:rPr>
          <w:spacing w:val="-9"/>
          <w:sz w:val="22"/>
        </w:rPr>
        <w:t> </w:t>
      </w:r>
      <w:r>
        <w:rPr>
          <w:sz w:val="22"/>
        </w:rPr>
        <w:t>y</w:t>
      </w:r>
      <w:r>
        <w:rPr>
          <w:spacing w:val="-11"/>
          <w:sz w:val="22"/>
        </w:rPr>
        <w:t> </w:t>
      </w:r>
      <w:r>
        <w:rPr>
          <w:sz w:val="22"/>
        </w:rPr>
        <w:t>comunitaria</w:t>
      </w:r>
      <w:r>
        <w:rPr>
          <w:spacing w:val="-9"/>
          <w:sz w:val="22"/>
        </w:rPr>
        <w:t> </w:t>
      </w:r>
      <w:r>
        <w:rPr>
          <w:sz w:val="22"/>
        </w:rPr>
        <w:t>aplicable.</w:t>
      </w:r>
      <w:r>
        <w:rPr>
          <w:spacing w:val="-8"/>
          <w:sz w:val="22"/>
        </w:rPr>
        <w:t> </w:t>
      </w:r>
      <w:r>
        <w:rPr>
          <w:sz w:val="22"/>
        </w:rPr>
        <w:t>En</w:t>
      </w:r>
      <w:r>
        <w:rPr>
          <w:spacing w:val="-9"/>
          <w:sz w:val="22"/>
        </w:rPr>
        <w:t> </w:t>
      </w:r>
      <w:r>
        <w:rPr>
          <w:sz w:val="22"/>
        </w:rPr>
        <w:t>ese</w:t>
      </w:r>
      <w:r>
        <w:rPr>
          <w:spacing w:val="-9"/>
          <w:sz w:val="22"/>
        </w:rPr>
        <w:t> </w:t>
      </w:r>
      <w:r>
        <w:rPr>
          <w:sz w:val="22"/>
        </w:rPr>
        <w:t>sentido,</w:t>
      </w:r>
      <w:r>
        <w:rPr>
          <w:spacing w:val="-7"/>
          <w:sz w:val="22"/>
        </w:rPr>
        <w:t> </w:t>
      </w:r>
      <w:r>
        <w:rPr>
          <w:sz w:val="22"/>
        </w:rPr>
        <w:t>no</w:t>
      </w:r>
      <w:r>
        <w:rPr>
          <w:spacing w:val="-12"/>
          <w:sz w:val="22"/>
        </w:rPr>
        <w:t> </w:t>
      </w:r>
      <w:r>
        <w:rPr>
          <w:sz w:val="22"/>
        </w:rPr>
        <w:t>se</w:t>
      </w:r>
      <w:r>
        <w:rPr>
          <w:spacing w:val="-9"/>
          <w:sz w:val="22"/>
        </w:rPr>
        <w:t> </w:t>
      </w:r>
      <w:r>
        <w:rPr>
          <w:sz w:val="22"/>
        </w:rPr>
        <w:t>advierte</w:t>
      </w:r>
      <w:r>
        <w:rPr>
          <w:spacing w:val="-9"/>
          <w:sz w:val="22"/>
        </w:rPr>
        <w:t> </w:t>
      </w:r>
      <w:r>
        <w:rPr>
          <w:sz w:val="22"/>
        </w:rPr>
        <w:t>la</w:t>
      </w:r>
      <w:r>
        <w:rPr>
          <w:spacing w:val="-9"/>
          <w:sz w:val="22"/>
        </w:rPr>
        <w:t> </w:t>
      </w:r>
      <w:r>
        <w:rPr>
          <w:sz w:val="22"/>
        </w:rPr>
        <w:t>existencia de un análisis técnico o fáctico que evidencie una problemática concreta en las importaciones de dichas mercancías provenientes de la República del Ecuador, ni que permita concluir que la canalización o restricción específica de tales importaciones constituya una medida adecuada, necesaria o proporcional para atender una eventual situación de riesgo. Por consiguiente, la medida adoptada no resulta debidamente justificada a la luz del ordenamiento jurídico comunitario andino.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Por tanto, los</w:t>
      </w:r>
      <w:r>
        <w:rPr>
          <w:spacing w:val="-3"/>
          <w:sz w:val="22"/>
        </w:rPr>
        <w:t> </w:t>
      </w:r>
      <w:r>
        <w:rPr>
          <w:sz w:val="22"/>
        </w:rPr>
        <w:t>hechos</w:t>
      </w:r>
      <w:r>
        <w:rPr>
          <w:spacing w:val="-2"/>
          <w:sz w:val="22"/>
        </w:rPr>
        <w:t> </w:t>
      </w:r>
      <w:r>
        <w:rPr>
          <w:sz w:val="22"/>
        </w:rPr>
        <w:t>analizados permiten</w:t>
      </w:r>
      <w:r>
        <w:rPr>
          <w:spacing w:val="-1"/>
          <w:sz w:val="22"/>
        </w:rPr>
        <w:t> </w:t>
      </w:r>
      <w:r>
        <w:rPr>
          <w:sz w:val="22"/>
        </w:rPr>
        <w:t>concluir que la</w:t>
      </w:r>
      <w:r>
        <w:rPr>
          <w:spacing w:val="-3"/>
          <w:sz w:val="22"/>
        </w:rPr>
        <w:t> </w:t>
      </w:r>
      <w:r>
        <w:rPr>
          <w:sz w:val="22"/>
        </w:rPr>
        <w:t>medida</w:t>
      </w:r>
      <w:r>
        <w:rPr>
          <w:spacing w:val="-1"/>
          <w:sz w:val="22"/>
        </w:rPr>
        <w:t> </w:t>
      </w:r>
      <w:r>
        <w:rPr>
          <w:sz w:val="22"/>
        </w:rPr>
        <w:t>objeto de la presente investigación tiene por efecto dificultar (encarecer o hacer más onerosas) las importaciones de origen ecuatoriano correspondientes a las subpartidas arancelarias comprendidas en el artículo 3 del Decreto 0170, al imponer restricciones adicionales que afectarían</w:t>
      </w:r>
      <w:r>
        <w:rPr>
          <w:spacing w:val="-1"/>
          <w:sz w:val="22"/>
        </w:rPr>
        <w:t> </w:t>
      </w:r>
      <w:r>
        <w:rPr>
          <w:sz w:val="22"/>
        </w:rPr>
        <w:t>las</w:t>
      </w:r>
      <w:r>
        <w:rPr>
          <w:spacing w:val="-2"/>
          <w:sz w:val="22"/>
        </w:rPr>
        <w:t> </w:t>
      </w:r>
      <w:r>
        <w:rPr>
          <w:sz w:val="22"/>
        </w:rPr>
        <w:t>condiciones normales</w:t>
      </w:r>
      <w:r>
        <w:rPr>
          <w:spacing w:val="-2"/>
          <w:sz w:val="22"/>
        </w:rPr>
        <w:t> </w:t>
      </w:r>
      <w:r>
        <w:rPr>
          <w:sz w:val="22"/>
        </w:rPr>
        <w:t>de</w:t>
      </w:r>
      <w:r>
        <w:rPr>
          <w:spacing w:val="-2"/>
          <w:sz w:val="22"/>
        </w:rPr>
        <w:t> </w:t>
      </w:r>
      <w:r>
        <w:rPr>
          <w:sz w:val="22"/>
        </w:rPr>
        <w:t>acceso de</w:t>
      </w:r>
      <w:r>
        <w:rPr>
          <w:spacing w:val="-2"/>
          <w:sz w:val="22"/>
        </w:rPr>
        <w:t> </w:t>
      </w:r>
      <w:r>
        <w:rPr>
          <w:sz w:val="22"/>
        </w:rPr>
        <w:t>dichos</w:t>
      </w:r>
      <w:r>
        <w:rPr>
          <w:spacing w:val="-2"/>
          <w:sz w:val="22"/>
        </w:rPr>
        <w:t> </w:t>
      </w:r>
      <w:r>
        <w:rPr>
          <w:sz w:val="22"/>
        </w:rPr>
        <w:t>productos</w:t>
      </w:r>
      <w:r>
        <w:rPr>
          <w:spacing w:val="-2"/>
          <w:sz w:val="22"/>
        </w:rPr>
        <w:t> </w:t>
      </w:r>
      <w:r>
        <w:rPr>
          <w:sz w:val="22"/>
        </w:rPr>
        <w:t>al</w:t>
      </w:r>
      <w:r>
        <w:rPr>
          <w:spacing w:val="-5"/>
          <w:sz w:val="22"/>
        </w:rPr>
        <w:t> </w:t>
      </w:r>
      <w:r>
        <w:rPr>
          <w:sz w:val="22"/>
        </w:rPr>
        <w:t>mercado</w:t>
      </w:r>
      <w:r>
        <w:rPr>
          <w:spacing w:val="-2"/>
          <w:sz w:val="22"/>
        </w:rPr>
        <w:t> </w:t>
      </w:r>
      <w:r>
        <w:rPr>
          <w:sz w:val="22"/>
        </w:rPr>
        <w:t>de la República de Colombia.</w:t>
      </w:r>
    </w:p>
    <w:p>
      <w:pPr>
        <w:pStyle w:val="ListParagraph"/>
        <w:numPr>
          <w:ilvl w:val="0"/>
          <w:numId w:val="50"/>
        </w:numPr>
        <w:tabs>
          <w:tab w:pos="1130" w:val="left" w:leader="none"/>
          <w:tab w:pos="1134" w:val="left" w:leader="none"/>
        </w:tabs>
        <w:spacing w:line="240" w:lineRule="auto" w:before="251" w:after="0"/>
        <w:ind w:left="1134" w:right="974" w:hanging="567"/>
        <w:jc w:val="both"/>
        <w:rPr>
          <w:sz w:val="22"/>
        </w:rPr>
      </w:pPr>
      <w:r>
        <w:rPr>
          <w:sz w:val="22"/>
        </w:rPr>
        <w:t>Finalmente,</w:t>
      </w:r>
      <w:r>
        <w:rPr>
          <w:spacing w:val="-13"/>
          <w:sz w:val="22"/>
        </w:rPr>
        <w:t> </w:t>
      </w:r>
      <w:r>
        <w:rPr>
          <w:sz w:val="22"/>
        </w:rPr>
        <w:t>con</w:t>
      </w:r>
      <w:r>
        <w:rPr>
          <w:spacing w:val="-14"/>
          <w:sz w:val="22"/>
        </w:rPr>
        <w:t> </w:t>
      </w:r>
      <w:r>
        <w:rPr>
          <w:sz w:val="22"/>
        </w:rPr>
        <w:t>base</w:t>
      </w:r>
      <w:r>
        <w:rPr>
          <w:spacing w:val="-14"/>
          <w:sz w:val="22"/>
        </w:rPr>
        <w:t> </w:t>
      </w:r>
      <w:r>
        <w:rPr>
          <w:sz w:val="22"/>
        </w:rPr>
        <w:t>en</w:t>
      </w:r>
      <w:r>
        <w:rPr>
          <w:spacing w:val="-14"/>
          <w:sz w:val="22"/>
        </w:rPr>
        <w:t> </w:t>
      </w:r>
      <w:r>
        <w:rPr>
          <w:sz w:val="22"/>
        </w:rPr>
        <w:t>la</w:t>
      </w:r>
      <w:r>
        <w:rPr>
          <w:spacing w:val="-11"/>
          <w:sz w:val="22"/>
        </w:rPr>
        <w:t> </w:t>
      </w:r>
      <w:r>
        <w:rPr>
          <w:sz w:val="22"/>
        </w:rPr>
        <w:t>información</w:t>
      </w:r>
      <w:r>
        <w:rPr>
          <w:spacing w:val="-12"/>
          <w:sz w:val="22"/>
        </w:rPr>
        <w:t> </w:t>
      </w:r>
      <w:r>
        <w:rPr>
          <w:sz w:val="22"/>
        </w:rPr>
        <w:t>presentada,</w:t>
      </w:r>
      <w:r>
        <w:rPr>
          <w:spacing w:val="-10"/>
          <w:sz w:val="22"/>
        </w:rPr>
        <w:t> </w:t>
      </w:r>
      <w:r>
        <w:rPr>
          <w:sz w:val="22"/>
        </w:rPr>
        <w:t>se</w:t>
      </w:r>
      <w:r>
        <w:rPr>
          <w:spacing w:val="-14"/>
          <w:sz w:val="22"/>
        </w:rPr>
        <w:t> </w:t>
      </w:r>
      <w:r>
        <w:rPr>
          <w:sz w:val="22"/>
        </w:rPr>
        <w:t>puede</w:t>
      </w:r>
      <w:r>
        <w:rPr>
          <w:spacing w:val="-14"/>
          <w:sz w:val="22"/>
        </w:rPr>
        <w:t> </w:t>
      </w:r>
      <w:r>
        <w:rPr>
          <w:sz w:val="22"/>
        </w:rPr>
        <w:t>señalar</w:t>
      </w:r>
      <w:r>
        <w:rPr>
          <w:spacing w:val="-13"/>
          <w:sz w:val="22"/>
        </w:rPr>
        <w:t> </w:t>
      </w:r>
      <w:r>
        <w:rPr>
          <w:sz w:val="22"/>
        </w:rPr>
        <w:t>que,</w:t>
      </w:r>
      <w:r>
        <w:rPr>
          <w:spacing w:val="-12"/>
          <w:sz w:val="22"/>
        </w:rPr>
        <w:t> </w:t>
      </w:r>
      <w:r>
        <w:rPr>
          <w:sz w:val="22"/>
        </w:rPr>
        <w:t>debido</w:t>
      </w:r>
      <w:r>
        <w:rPr>
          <w:spacing w:val="-12"/>
          <w:sz w:val="22"/>
        </w:rPr>
        <w:t> </w:t>
      </w:r>
      <w:r>
        <w:rPr>
          <w:sz w:val="22"/>
        </w:rPr>
        <w:t>a</w:t>
      </w:r>
      <w:r>
        <w:rPr>
          <w:spacing w:val="-11"/>
          <w:sz w:val="22"/>
        </w:rPr>
        <w:t> </w:t>
      </w:r>
      <w:r>
        <w:rPr>
          <w:sz w:val="22"/>
        </w:rPr>
        <w:t>que la República de Colombia no registra importaciones con origen en la República del Ecuador</w:t>
      </w:r>
      <w:r>
        <w:rPr>
          <w:spacing w:val="-2"/>
          <w:sz w:val="22"/>
        </w:rPr>
        <w:t> </w:t>
      </w:r>
      <w:r>
        <w:rPr>
          <w:sz w:val="22"/>
        </w:rPr>
        <w:t>correspondientes</w:t>
      </w:r>
      <w:r>
        <w:rPr>
          <w:spacing w:val="-3"/>
          <w:sz w:val="22"/>
        </w:rPr>
        <w:t> </w:t>
      </w:r>
      <w:r>
        <w:rPr>
          <w:sz w:val="22"/>
        </w:rPr>
        <w:t>a</w:t>
      </w:r>
      <w:r>
        <w:rPr>
          <w:spacing w:val="-2"/>
          <w:sz w:val="22"/>
        </w:rPr>
        <w:t> </w:t>
      </w:r>
      <w:r>
        <w:rPr>
          <w:sz w:val="22"/>
        </w:rPr>
        <w:t>las</w:t>
      </w:r>
      <w:r>
        <w:rPr>
          <w:spacing w:val="-3"/>
          <w:sz w:val="22"/>
        </w:rPr>
        <w:t> </w:t>
      </w:r>
      <w:r>
        <w:rPr>
          <w:sz w:val="22"/>
        </w:rPr>
        <w:t>subpartidas</w:t>
      </w:r>
      <w:r>
        <w:rPr>
          <w:spacing w:val="-2"/>
          <w:sz w:val="22"/>
        </w:rPr>
        <w:t> </w:t>
      </w:r>
      <w:r>
        <w:rPr>
          <w:sz w:val="22"/>
        </w:rPr>
        <w:t>arancelarias</w:t>
      </w:r>
      <w:r>
        <w:rPr>
          <w:spacing w:val="-2"/>
          <w:sz w:val="22"/>
        </w:rPr>
        <w:t> </w:t>
      </w:r>
      <w:r>
        <w:rPr>
          <w:sz w:val="22"/>
        </w:rPr>
        <w:t>comprendidas</w:t>
      </w:r>
      <w:r>
        <w:rPr>
          <w:spacing w:val="-5"/>
          <w:sz w:val="22"/>
        </w:rPr>
        <w:t> </w:t>
      </w:r>
      <w:r>
        <w:rPr>
          <w:sz w:val="22"/>
        </w:rPr>
        <w:t>en</w:t>
      </w:r>
      <w:r>
        <w:rPr>
          <w:spacing w:val="-3"/>
          <w:sz w:val="22"/>
        </w:rPr>
        <w:t> </w:t>
      </w:r>
      <w:r>
        <w:rPr>
          <w:sz w:val="22"/>
        </w:rPr>
        <w:t>el</w:t>
      </w:r>
      <w:r>
        <w:rPr>
          <w:spacing w:val="-4"/>
          <w:sz w:val="22"/>
        </w:rPr>
        <w:t> </w:t>
      </w:r>
      <w:r>
        <w:rPr>
          <w:sz w:val="22"/>
        </w:rPr>
        <w:t>artículo</w:t>
      </w:r>
      <w:r>
        <w:rPr>
          <w:spacing w:val="-3"/>
          <w:sz w:val="22"/>
        </w:rPr>
        <w:t> </w:t>
      </w:r>
      <w:r>
        <w:rPr>
          <w:sz w:val="22"/>
        </w:rPr>
        <w:t>3 del Decreto 0170, no fue posible determinar si la medida objeto de investigación tuvo como efecto impedir dichas importaciones. No obstante, se advierte que la aplicación de la medida podría dificultar el acceso futuro de tales mercancías al mercado colombiano, al introducir condiciones adicionales que afectarían las operaciones de </w:t>
      </w:r>
      <w:r>
        <w:rPr>
          <w:spacing w:val="-2"/>
          <w:sz w:val="22"/>
        </w:rPr>
        <w:t>importación.</w:t>
      </w:r>
    </w:p>
    <w:p>
      <w:pPr>
        <w:pStyle w:val="ListParagraph"/>
        <w:spacing w:after="0" w:line="240" w:lineRule="auto"/>
        <w:jc w:val="both"/>
        <w:rPr>
          <w:sz w:val="22"/>
        </w:rPr>
        <w:sectPr>
          <w:headerReference w:type="default" r:id="rId113"/>
          <w:footerReference w:type="default" r:id="rId114"/>
          <w:pgSz w:w="11900" w:h="16850"/>
          <w:pgMar w:header="370" w:footer="651" w:top="1380" w:bottom="840" w:left="992" w:right="283"/>
        </w:sectPr>
      </w:pPr>
    </w:p>
    <w:p>
      <w:pPr>
        <w:pStyle w:val="BodyText"/>
      </w:pPr>
    </w:p>
    <w:p>
      <w:pPr>
        <w:pStyle w:val="BodyText"/>
      </w:pPr>
    </w:p>
    <w:p>
      <w:pPr>
        <w:pStyle w:val="BodyText"/>
        <w:spacing w:before="177"/>
      </w:pPr>
    </w:p>
    <w:p>
      <w:pPr>
        <w:pStyle w:val="Heading5"/>
        <w:numPr>
          <w:ilvl w:val="1"/>
          <w:numId w:val="61"/>
        </w:numPr>
        <w:tabs>
          <w:tab w:pos="993" w:val="left" w:leader="none"/>
          <w:tab w:pos="995" w:val="left" w:leader="none"/>
        </w:tabs>
        <w:spacing w:line="240" w:lineRule="auto" w:before="0" w:after="0"/>
        <w:ind w:left="995" w:right="981" w:hanging="360"/>
        <w:jc w:val="both"/>
      </w:pPr>
      <w:r>
        <w:rPr/>
        <w:t>EVALUACIÓN DE LA MEDIDA OBJETO DE INVESTIGACIÓN EN RELACIÓN CON LAS EXCEPCIONES PREVISTAS EN EL ARTÍCULO 73 DEL ACUERDO DE </w:t>
      </w:r>
      <w:r>
        <w:rPr>
          <w:spacing w:val="-2"/>
        </w:rPr>
        <w:t>CARTAGENA</w:t>
      </w:r>
    </w:p>
    <w:p>
      <w:pPr>
        <w:pStyle w:val="BodyText"/>
        <w:rPr>
          <w:rFonts w:ascii="Arial"/>
          <w:b/>
        </w:rPr>
      </w:pPr>
    </w:p>
    <w:p>
      <w:pPr>
        <w:pStyle w:val="ListParagraph"/>
        <w:numPr>
          <w:ilvl w:val="0"/>
          <w:numId w:val="50"/>
        </w:numPr>
        <w:tabs>
          <w:tab w:pos="1130" w:val="left" w:leader="none"/>
          <w:tab w:pos="1134" w:val="left" w:leader="none"/>
        </w:tabs>
        <w:spacing w:line="240" w:lineRule="auto" w:before="1" w:after="0"/>
        <w:ind w:left="1134" w:right="975" w:hanging="567"/>
        <w:jc w:val="both"/>
        <w:rPr>
          <w:sz w:val="22"/>
        </w:rPr>
      </w:pPr>
      <w:r>
        <w:rPr>
          <w:sz w:val="22"/>
        </w:rPr>
        <w:t>En</w:t>
      </w:r>
      <w:r>
        <w:rPr>
          <w:spacing w:val="-2"/>
          <w:sz w:val="22"/>
        </w:rPr>
        <w:t> </w:t>
      </w:r>
      <w:r>
        <w:rPr>
          <w:sz w:val="22"/>
        </w:rPr>
        <w:t>el</w:t>
      </w:r>
      <w:r>
        <w:rPr>
          <w:spacing w:val="-2"/>
          <w:sz w:val="22"/>
        </w:rPr>
        <w:t> </w:t>
      </w:r>
      <w:r>
        <w:rPr>
          <w:sz w:val="22"/>
        </w:rPr>
        <w:t>presente</w:t>
      </w:r>
      <w:r>
        <w:rPr>
          <w:spacing w:val="-2"/>
          <w:sz w:val="22"/>
        </w:rPr>
        <w:t> </w:t>
      </w:r>
      <w:r>
        <w:rPr>
          <w:sz w:val="22"/>
        </w:rPr>
        <w:t>acápite</w:t>
      </w:r>
      <w:r>
        <w:rPr>
          <w:spacing w:val="-4"/>
          <w:sz w:val="22"/>
        </w:rPr>
        <w:t> </w:t>
      </w:r>
      <w:r>
        <w:rPr>
          <w:sz w:val="22"/>
        </w:rPr>
        <w:t>se</w:t>
      </w:r>
      <w:r>
        <w:rPr>
          <w:spacing w:val="-2"/>
          <w:sz w:val="22"/>
        </w:rPr>
        <w:t> </w:t>
      </w:r>
      <w:r>
        <w:rPr>
          <w:sz w:val="22"/>
        </w:rPr>
        <w:t>analizará</w:t>
      </w:r>
      <w:r>
        <w:rPr>
          <w:spacing w:val="-4"/>
          <w:sz w:val="22"/>
        </w:rPr>
        <w:t> </w:t>
      </w:r>
      <w:r>
        <w:rPr>
          <w:sz w:val="22"/>
        </w:rPr>
        <w:t>si</w:t>
      </w:r>
      <w:r>
        <w:rPr>
          <w:spacing w:val="-2"/>
          <w:sz w:val="22"/>
        </w:rPr>
        <w:t> </w:t>
      </w:r>
      <w:r>
        <w:rPr>
          <w:sz w:val="22"/>
        </w:rPr>
        <w:t>la</w:t>
      </w:r>
      <w:r>
        <w:rPr>
          <w:spacing w:val="-4"/>
          <w:sz w:val="22"/>
        </w:rPr>
        <w:t> </w:t>
      </w:r>
      <w:r>
        <w:rPr>
          <w:sz w:val="22"/>
        </w:rPr>
        <w:t>medida</w:t>
      </w:r>
      <w:r>
        <w:rPr>
          <w:spacing w:val="-7"/>
          <w:sz w:val="22"/>
        </w:rPr>
        <w:t> </w:t>
      </w:r>
      <w:r>
        <w:rPr>
          <w:sz w:val="22"/>
        </w:rPr>
        <w:t>objeto</w:t>
      </w:r>
      <w:r>
        <w:rPr>
          <w:spacing w:val="-4"/>
          <w:sz w:val="22"/>
        </w:rPr>
        <w:t> </w:t>
      </w:r>
      <w:r>
        <w:rPr>
          <w:sz w:val="22"/>
        </w:rPr>
        <w:t>de</w:t>
      </w:r>
      <w:r>
        <w:rPr>
          <w:spacing w:val="-4"/>
          <w:sz w:val="22"/>
        </w:rPr>
        <w:t> </w:t>
      </w:r>
      <w:r>
        <w:rPr>
          <w:sz w:val="22"/>
        </w:rPr>
        <w:t>investigación,</w:t>
      </w:r>
      <w:r>
        <w:rPr>
          <w:spacing w:val="-5"/>
          <w:sz w:val="22"/>
        </w:rPr>
        <w:t> </w:t>
      </w:r>
      <w:r>
        <w:rPr>
          <w:sz w:val="22"/>
        </w:rPr>
        <w:t>establecida</w:t>
      </w:r>
      <w:r>
        <w:rPr>
          <w:spacing w:val="-2"/>
          <w:sz w:val="22"/>
        </w:rPr>
        <w:t> </w:t>
      </w:r>
      <w:r>
        <w:rPr>
          <w:sz w:val="22"/>
        </w:rPr>
        <w:t>en el artículo 2 del Decreto 0170, resulta susceptible de ampararse en alguna de las excepciones previstas en el artículo 73 del Acuerdo de Cartagena y conforme a la jurisprudencia del TJCAN.</w:t>
      </w:r>
    </w:p>
    <w:p>
      <w:pPr>
        <w:pStyle w:val="Heading6"/>
        <w:numPr>
          <w:ilvl w:val="0"/>
          <w:numId w:val="120"/>
        </w:numPr>
        <w:tabs>
          <w:tab w:pos="1134" w:val="left" w:leader="none"/>
        </w:tabs>
        <w:spacing w:line="240" w:lineRule="auto" w:before="252" w:after="0"/>
        <w:ind w:left="1134" w:right="0" w:hanging="360"/>
        <w:jc w:val="left"/>
      </w:pPr>
      <w:r>
        <w:rPr>
          <w:spacing w:val="-2"/>
        </w:rPr>
        <w:t>Consideraciones</w:t>
      </w:r>
      <w:r>
        <w:rPr>
          <w:spacing w:val="13"/>
        </w:rPr>
        <w:t> </w:t>
      </w:r>
      <w:r>
        <w:rPr>
          <w:spacing w:val="-2"/>
        </w:rPr>
        <w:t>iniciales</w:t>
      </w:r>
    </w:p>
    <w:p>
      <w:pPr>
        <w:pStyle w:val="ListParagraph"/>
        <w:numPr>
          <w:ilvl w:val="0"/>
          <w:numId w:val="50"/>
        </w:numPr>
        <w:tabs>
          <w:tab w:pos="1130" w:val="left" w:leader="none"/>
          <w:tab w:pos="1134" w:val="left" w:leader="none"/>
        </w:tabs>
        <w:spacing w:line="240" w:lineRule="auto" w:before="252" w:after="0"/>
        <w:ind w:left="1134" w:right="978" w:hanging="567"/>
        <w:jc w:val="both"/>
        <w:rPr>
          <w:sz w:val="22"/>
        </w:rPr>
      </w:pPr>
      <w:r>
        <w:rPr>
          <w:sz w:val="22"/>
        </w:rPr>
        <w:t>En relación con las excepciones previstas en el artículo 73 del Acuerdo de Cartagena, el TJCAN, en el marco del Proceso 01-AN-2014, desarrolló los criterios y consideraciones aplicables para justificar la excepcionalidad de una medida. En ese sentido, señaló lo siguiente:</w:t>
      </w:r>
    </w:p>
    <w:p>
      <w:pPr>
        <w:pStyle w:val="BodyText"/>
      </w:pPr>
    </w:p>
    <w:p>
      <w:pPr>
        <w:spacing w:before="0"/>
        <w:ind w:left="1701" w:right="980" w:firstLine="0"/>
        <w:jc w:val="both"/>
        <w:rPr>
          <w:rFonts w:ascii="Arial" w:hAnsi="Arial"/>
          <w:i/>
          <w:sz w:val="22"/>
        </w:rPr>
      </w:pPr>
      <w:r>
        <w:rPr>
          <w:rFonts w:ascii="Arial" w:hAnsi="Arial"/>
          <w:i/>
          <w:sz w:val="22"/>
        </w:rPr>
        <w:t>“En ese orden de ideas, este Tribunal considera que para que una medida adoptada por un país miembro</w:t>
      </w:r>
      <w:r>
        <w:rPr>
          <w:sz w:val="22"/>
        </w:rPr>
        <w:t>[sic] </w:t>
      </w:r>
      <w:r>
        <w:rPr>
          <w:rFonts w:ascii="Arial" w:hAnsi="Arial"/>
          <w:i/>
          <w:sz w:val="22"/>
        </w:rPr>
        <w:t>se justifique como una excepción de las previstas en el segundo párrafo del Artículo 73 del Acuerdo de Cartagena, debe cumplir, de manera concurrente, con los siguientes requisitos:</w:t>
      </w:r>
    </w:p>
    <w:p>
      <w:pPr>
        <w:pStyle w:val="BodyText"/>
        <w:rPr>
          <w:rFonts w:ascii="Arial"/>
          <w:i/>
        </w:rPr>
      </w:pPr>
    </w:p>
    <w:p>
      <w:pPr>
        <w:pStyle w:val="ListParagraph"/>
        <w:numPr>
          <w:ilvl w:val="0"/>
          <w:numId w:val="58"/>
        </w:numPr>
        <w:tabs>
          <w:tab w:pos="1701" w:val="left" w:leader="none"/>
        </w:tabs>
        <w:spacing w:line="240" w:lineRule="auto" w:before="0" w:after="0"/>
        <w:ind w:left="1701" w:right="984" w:hanging="360"/>
        <w:jc w:val="both"/>
        <w:rPr>
          <w:rFonts w:ascii="Arial" w:hAnsi="Arial"/>
          <w:i/>
          <w:sz w:val="22"/>
        </w:rPr>
      </w:pPr>
      <w:r>
        <w:rPr>
          <w:rFonts w:ascii="Arial" w:hAnsi="Arial"/>
          <w:i/>
          <w:sz w:val="22"/>
        </w:rPr>
        <w:t>La finalidad de la medida debe fundamentarse en alguna de las excepciones (taxativamente) previstas en el segundo párrafo del Artículo 73 del Acuerdo de Cartagena, las que deben ser interpretadas de manera restrictiva.</w:t>
      </w:r>
    </w:p>
    <w:p>
      <w:pPr>
        <w:pStyle w:val="ListParagraph"/>
        <w:numPr>
          <w:ilvl w:val="0"/>
          <w:numId w:val="58"/>
        </w:numPr>
        <w:tabs>
          <w:tab w:pos="1699" w:val="left" w:leader="none"/>
        </w:tabs>
        <w:spacing w:line="252" w:lineRule="exact" w:before="0" w:after="0"/>
        <w:ind w:left="1699" w:right="0" w:hanging="358"/>
        <w:jc w:val="both"/>
        <w:rPr>
          <w:rFonts w:ascii="Arial" w:hAnsi="Arial"/>
          <w:i/>
          <w:sz w:val="22"/>
        </w:rPr>
      </w:pPr>
      <w:r>
        <w:rPr>
          <w:rFonts w:ascii="Arial" w:hAnsi="Arial"/>
          <w:i/>
          <w:sz w:val="22"/>
        </w:rPr>
        <w:t>La</w:t>
      </w:r>
      <w:r>
        <w:rPr>
          <w:rFonts w:ascii="Arial" w:hAnsi="Arial"/>
          <w:i/>
          <w:spacing w:val="-5"/>
          <w:sz w:val="22"/>
        </w:rPr>
        <w:t> </w:t>
      </w:r>
      <w:r>
        <w:rPr>
          <w:rFonts w:ascii="Arial" w:hAnsi="Arial"/>
          <w:i/>
          <w:sz w:val="22"/>
        </w:rPr>
        <w:t>medida</w:t>
      </w:r>
      <w:r>
        <w:rPr>
          <w:rFonts w:ascii="Arial" w:hAnsi="Arial"/>
          <w:i/>
          <w:spacing w:val="-5"/>
          <w:sz w:val="22"/>
        </w:rPr>
        <w:t> </w:t>
      </w:r>
      <w:r>
        <w:rPr>
          <w:rFonts w:ascii="Arial" w:hAnsi="Arial"/>
          <w:i/>
          <w:sz w:val="22"/>
        </w:rPr>
        <w:t>debe</w:t>
      </w:r>
      <w:r>
        <w:rPr>
          <w:rFonts w:ascii="Arial" w:hAnsi="Arial"/>
          <w:i/>
          <w:spacing w:val="-6"/>
          <w:sz w:val="22"/>
        </w:rPr>
        <w:t> </w:t>
      </w:r>
      <w:r>
        <w:rPr>
          <w:rFonts w:ascii="Arial" w:hAnsi="Arial"/>
          <w:i/>
          <w:sz w:val="22"/>
        </w:rPr>
        <w:t>ser</w:t>
      </w:r>
      <w:r>
        <w:rPr>
          <w:rFonts w:ascii="Arial" w:hAnsi="Arial"/>
          <w:i/>
          <w:spacing w:val="-4"/>
          <w:sz w:val="22"/>
        </w:rPr>
        <w:t> </w:t>
      </w:r>
      <w:r>
        <w:rPr>
          <w:rFonts w:ascii="Arial" w:hAnsi="Arial"/>
          <w:i/>
          <w:sz w:val="22"/>
        </w:rPr>
        <w:t>idónea</w:t>
      </w:r>
      <w:r>
        <w:rPr>
          <w:rFonts w:ascii="Arial" w:hAnsi="Arial"/>
          <w:i/>
          <w:spacing w:val="-4"/>
          <w:sz w:val="22"/>
        </w:rPr>
        <w:t> </w:t>
      </w:r>
      <w:r>
        <w:rPr>
          <w:rFonts w:ascii="Arial" w:hAnsi="Arial"/>
          <w:i/>
          <w:sz w:val="22"/>
        </w:rPr>
        <w:t>para</w:t>
      </w:r>
      <w:r>
        <w:rPr>
          <w:rFonts w:ascii="Arial" w:hAnsi="Arial"/>
          <w:i/>
          <w:spacing w:val="-7"/>
          <w:sz w:val="22"/>
        </w:rPr>
        <w:t> </w:t>
      </w:r>
      <w:r>
        <w:rPr>
          <w:rFonts w:ascii="Arial" w:hAnsi="Arial"/>
          <w:i/>
          <w:sz w:val="22"/>
        </w:rPr>
        <w:t>cumplir</w:t>
      </w:r>
      <w:r>
        <w:rPr>
          <w:rFonts w:ascii="Arial" w:hAnsi="Arial"/>
          <w:i/>
          <w:spacing w:val="-5"/>
          <w:sz w:val="22"/>
        </w:rPr>
        <w:t> </w:t>
      </w:r>
      <w:r>
        <w:rPr>
          <w:rFonts w:ascii="Arial" w:hAnsi="Arial"/>
          <w:i/>
          <w:sz w:val="22"/>
        </w:rPr>
        <w:t>la</w:t>
      </w:r>
      <w:r>
        <w:rPr>
          <w:rFonts w:ascii="Arial" w:hAnsi="Arial"/>
          <w:i/>
          <w:spacing w:val="-7"/>
          <w:sz w:val="22"/>
        </w:rPr>
        <w:t> </w:t>
      </w:r>
      <w:r>
        <w:rPr>
          <w:rFonts w:ascii="Arial" w:hAnsi="Arial"/>
          <w:i/>
          <w:sz w:val="22"/>
        </w:rPr>
        <w:t>mencionada</w:t>
      </w:r>
      <w:r>
        <w:rPr>
          <w:rFonts w:ascii="Arial" w:hAnsi="Arial"/>
          <w:i/>
          <w:spacing w:val="-4"/>
          <w:sz w:val="22"/>
        </w:rPr>
        <w:t> </w:t>
      </w:r>
      <w:r>
        <w:rPr>
          <w:rFonts w:ascii="Arial" w:hAnsi="Arial"/>
          <w:i/>
          <w:spacing w:val="-2"/>
          <w:sz w:val="22"/>
        </w:rPr>
        <w:t>finalidad.</w:t>
      </w:r>
    </w:p>
    <w:p>
      <w:pPr>
        <w:pStyle w:val="ListParagraph"/>
        <w:numPr>
          <w:ilvl w:val="0"/>
          <w:numId w:val="58"/>
        </w:numPr>
        <w:tabs>
          <w:tab w:pos="1699" w:val="left" w:leader="none"/>
          <w:tab w:pos="1701" w:val="left" w:leader="none"/>
        </w:tabs>
        <w:spacing w:line="240" w:lineRule="auto" w:before="0" w:after="0"/>
        <w:ind w:left="1701" w:right="980" w:hanging="360"/>
        <w:jc w:val="both"/>
        <w:rPr>
          <w:rFonts w:ascii="Arial" w:hAnsi="Arial"/>
          <w:i/>
          <w:sz w:val="22"/>
        </w:rPr>
      </w:pPr>
      <w:r>
        <w:rPr>
          <w:rFonts w:ascii="Arial" w:hAnsi="Arial"/>
          <w:i/>
          <w:sz w:val="22"/>
        </w:rPr>
        <w:t>La medida debe ser necesaria (o insustituible); es decir, no debería haber otra medida</w:t>
      </w:r>
      <w:r>
        <w:rPr>
          <w:rFonts w:ascii="Arial" w:hAnsi="Arial"/>
          <w:i/>
          <w:spacing w:val="-16"/>
          <w:sz w:val="22"/>
        </w:rPr>
        <w:t> </w:t>
      </w:r>
      <w:r>
        <w:rPr>
          <w:rFonts w:ascii="Arial" w:hAnsi="Arial"/>
          <w:i/>
          <w:sz w:val="22"/>
        </w:rPr>
        <w:t>menos</w:t>
      </w:r>
      <w:r>
        <w:rPr>
          <w:rFonts w:ascii="Arial" w:hAnsi="Arial"/>
          <w:i/>
          <w:spacing w:val="-15"/>
          <w:sz w:val="22"/>
        </w:rPr>
        <w:t> </w:t>
      </w:r>
      <w:r>
        <w:rPr>
          <w:rFonts w:ascii="Arial" w:hAnsi="Arial"/>
          <w:i/>
          <w:sz w:val="22"/>
        </w:rPr>
        <w:t>lesiva</w:t>
      </w:r>
      <w:r>
        <w:rPr>
          <w:rFonts w:ascii="Arial" w:hAnsi="Arial"/>
          <w:i/>
          <w:spacing w:val="-15"/>
          <w:sz w:val="22"/>
        </w:rPr>
        <w:t> </w:t>
      </w:r>
      <w:r>
        <w:rPr>
          <w:rFonts w:ascii="Arial" w:hAnsi="Arial"/>
          <w:i/>
          <w:sz w:val="22"/>
        </w:rPr>
        <w:t>o</w:t>
      </w:r>
      <w:r>
        <w:rPr>
          <w:rFonts w:ascii="Arial" w:hAnsi="Arial"/>
          <w:i/>
          <w:spacing w:val="-16"/>
          <w:sz w:val="22"/>
        </w:rPr>
        <w:t> </w:t>
      </w:r>
      <w:r>
        <w:rPr>
          <w:rFonts w:ascii="Arial" w:hAnsi="Arial"/>
          <w:i/>
          <w:sz w:val="22"/>
        </w:rPr>
        <w:t>gravosa</w:t>
      </w:r>
      <w:r>
        <w:rPr>
          <w:rFonts w:ascii="Arial" w:hAnsi="Arial"/>
          <w:i/>
          <w:spacing w:val="-15"/>
          <w:sz w:val="22"/>
        </w:rPr>
        <w:t> </w:t>
      </w:r>
      <w:r>
        <w:rPr>
          <w:rFonts w:ascii="Arial" w:hAnsi="Arial"/>
          <w:i/>
          <w:sz w:val="22"/>
        </w:rPr>
        <w:t>al</w:t>
      </w:r>
      <w:r>
        <w:rPr>
          <w:rFonts w:ascii="Arial" w:hAnsi="Arial"/>
          <w:i/>
          <w:spacing w:val="-15"/>
          <w:sz w:val="22"/>
        </w:rPr>
        <w:t> </w:t>
      </w:r>
      <w:r>
        <w:rPr>
          <w:rFonts w:ascii="Arial" w:hAnsi="Arial"/>
          <w:i/>
          <w:sz w:val="22"/>
        </w:rPr>
        <w:t>comercio</w:t>
      </w:r>
      <w:r>
        <w:rPr>
          <w:rFonts w:ascii="Arial" w:hAnsi="Arial"/>
          <w:i/>
          <w:spacing w:val="-15"/>
          <w:sz w:val="22"/>
        </w:rPr>
        <w:t> </w:t>
      </w:r>
      <w:r>
        <w:rPr>
          <w:rFonts w:ascii="Arial" w:hAnsi="Arial"/>
          <w:i/>
          <w:sz w:val="22"/>
        </w:rPr>
        <w:t>subregional</w:t>
      </w:r>
      <w:r>
        <w:rPr>
          <w:rFonts w:ascii="Arial" w:hAnsi="Arial"/>
          <w:i/>
          <w:spacing w:val="-16"/>
          <w:sz w:val="22"/>
        </w:rPr>
        <w:t> </w:t>
      </w:r>
      <w:r>
        <w:rPr>
          <w:rFonts w:ascii="Arial" w:hAnsi="Arial"/>
          <w:i/>
          <w:sz w:val="22"/>
        </w:rPr>
        <w:t>andino</w:t>
      </w:r>
      <w:r>
        <w:rPr>
          <w:rFonts w:ascii="Arial" w:hAnsi="Arial"/>
          <w:i/>
          <w:spacing w:val="-15"/>
          <w:sz w:val="22"/>
        </w:rPr>
        <w:t> </w:t>
      </w:r>
      <w:r>
        <w:rPr>
          <w:rFonts w:ascii="Arial" w:hAnsi="Arial"/>
          <w:i/>
          <w:sz w:val="22"/>
        </w:rPr>
        <w:t>que</w:t>
      </w:r>
      <w:r>
        <w:rPr>
          <w:rFonts w:ascii="Arial" w:hAnsi="Arial"/>
          <w:i/>
          <w:spacing w:val="-15"/>
          <w:sz w:val="22"/>
        </w:rPr>
        <w:t> </w:t>
      </w:r>
      <w:r>
        <w:rPr>
          <w:rFonts w:ascii="Arial" w:hAnsi="Arial"/>
          <w:i/>
          <w:sz w:val="22"/>
        </w:rPr>
        <w:t>podría</w:t>
      </w:r>
      <w:r>
        <w:rPr>
          <w:rFonts w:ascii="Arial" w:hAnsi="Arial"/>
          <w:i/>
          <w:spacing w:val="-16"/>
          <w:sz w:val="22"/>
        </w:rPr>
        <w:t> </w:t>
      </w:r>
      <w:r>
        <w:rPr>
          <w:rFonts w:ascii="Arial" w:hAnsi="Arial"/>
          <w:i/>
          <w:sz w:val="22"/>
        </w:rPr>
        <w:t>cumplir con la mencionada finalidad.</w:t>
      </w:r>
    </w:p>
    <w:p>
      <w:pPr>
        <w:pStyle w:val="ListParagraph"/>
        <w:numPr>
          <w:ilvl w:val="0"/>
          <w:numId w:val="58"/>
        </w:numPr>
        <w:tabs>
          <w:tab w:pos="1699" w:val="left" w:leader="none"/>
          <w:tab w:pos="1701" w:val="left" w:leader="none"/>
        </w:tabs>
        <w:spacing w:line="240" w:lineRule="auto" w:before="2" w:after="0"/>
        <w:ind w:left="1701" w:right="982" w:hanging="360"/>
        <w:jc w:val="both"/>
        <w:rPr>
          <w:rFonts w:ascii="Arial"/>
          <w:i/>
          <w:sz w:val="22"/>
        </w:rPr>
      </w:pPr>
      <w:r>
        <w:rPr>
          <w:rFonts w:ascii="Arial"/>
          <w:i/>
          <w:sz w:val="22"/>
        </w:rPr>
        <w:t>La medida deber ser proporcional; esto es, que sus beneficios son superiores a sus costos, tanto a nivel cuantitativo como cualitativo.</w:t>
      </w:r>
    </w:p>
    <w:p>
      <w:pPr>
        <w:pStyle w:val="ListParagraph"/>
        <w:numPr>
          <w:ilvl w:val="0"/>
          <w:numId w:val="58"/>
        </w:numPr>
        <w:tabs>
          <w:tab w:pos="1699" w:val="left" w:leader="none"/>
        </w:tabs>
        <w:spacing w:line="251" w:lineRule="exact" w:before="0" w:after="0"/>
        <w:ind w:left="1699" w:right="0" w:hanging="358"/>
        <w:jc w:val="both"/>
        <w:rPr>
          <w:rFonts w:ascii="Arial" w:hAnsi="Arial"/>
          <w:i/>
          <w:sz w:val="22"/>
        </w:rPr>
      </w:pPr>
      <w:r>
        <w:rPr>
          <w:rFonts w:ascii="Arial" w:hAnsi="Arial"/>
          <w:i/>
          <w:sz w:val="22"/>
        </w:rPr>
        <w:t>La</w:t>
      </w:r>
      <w:r>
        <w:rPr>
          <w:rFonts w:ascii="Arial" w:hAnsi="Arial"/>
          <w:i/>
          <w:spacing w:val="-3"/>
          <w:sz w:val="22"/>
        </w:rPr>
        <w:t> </w:t>
      </w:r>
      <w:r>
        <w:rPr>
          <w:rFonts w:ascii="Arial" w:hAnsi="Arial"/>
          <w:i/>
          <w:sz w:val="22"/>
        </w:rPr>
        <w:t>medida</w:t>
      </w:r>
      <w:r>
        <w:rPr>
          <w:rFonts w:ascii="Arial" w:hAnsi="Arial"/>
          <w:i/>
          <w:spacing w:val="-2"/>
          <w:sz w:val="22"/>
        </w:rPr>
        <w:t> </w:t>
      </w:r>
      <w:r>
        <w:rPr>
          <w:rFonts w:ascii="Arial" w:hAnsi="Arial"/>
          <w:i/>
          <w:sz w:val="22"/>
        </w:rPr>
        <w:t>no</w:t>
      </w:r>
      <w:r>
        <w:rPr>
          <w:rFonts w:ascii="Arial" w:hAnsi="Arial"/>
          <w:i/>
          <w:spacing w:val="-4"/>
          <w:sz w:val="22"/>
        </w:rPr>
        <w:t> </w:t>
      </w:r>
      <w:r>
        <w:rPr>
          <w:rFonts w:ascii="Arial" w:hAnsi="Arial"/>
          <w:i/>
          <w:sz w:val="22"/>
        </w:rPr>
        <w:t>debe</w:t>
      </w:r>
      <w:r>
        <w:rPr>
          <w:rFonts w:ascii="Arial" w:hAnsi="Arial"/>
          <w:i/>
          <w:spacing w:val="-5"/>
          <w:sz w:val="22"/>
        </w:rPr>
        <w:t> </w:t>
      </w:r>
      <w:r>
        <w:rPr>
          <w:rFonts w:ascii="Arial" w:hAnsi="Arial"/>
          <w:i/>
          <w:sz w:val="22"/>
        </w:rPr>
        <w:t>de</w:t>
      </w:r>
      <w:r>
        <w:rPr>
          <w:rFonts w:ascii="Arial" w:hAnsi="Arial"/>
          <w:i/>
          <w:spacing w:val="-2"/>
          <w:sz w:val="22"/>
        </w:rPr>
        <w:t> </w:t>
      </w:r>
      <w:r>
        <w:rPr>
          <w:rFonts w:ascii="Arial" w:hAnsi="Arial"/>
          <w:i/>
          <w:sz w:val="22"/>
        </w:rPr>
        <w:t>ser</w:t>
      </w:r>
      <w:r>
        <w:rPr>
          <w:rFonts w:ascii="Arial" w:hAnsi="Arial"/>
          <w:i/>
          <w:spacing w:val="-1"/>
          <w:sz w:val="22"/>
        </w:rPr>
        <w:t> </w:t>
      </w:r>
      <w:r>
        <w:rPr>
          <w:rFonts w:ascii="Arial" w:hAnsi="Arial"/>
          <w:i/>
          <w:spacing w:val="-2"/>
          <w:sz w:val="22"/>
        </w:rPr>
        <w:t>discriminatoria.”</w:t>
      </w:r>
    </w:p>
    <w:p>
      <w:pPr>
        <w:pStyle w:val="BodyText"/>
        <w:rPr>
          <w:rFonts w:ascii="Arial"/>
          <w:i/>
        </w:rPr>
      </w:pPr>
    </w:p>
    <w:p>
      <w:pPr>
        <w:pStyle w:val="ListParagraph"/>
        <w:numPr>
          <w:ilvl w:val="0"/>
          <w:numId w:val="50"/>
        </w:numPr>
        <w:tabs>
          <w:tab w:pos="1420" w:val="left" w:leader="none"/>
        </w:tabs>
        <w:spacing w:line="240" w:lineRule="auto" w:before="0" w:after="0"/>
        <w:ind w:left="1420" w:right="0" w:hanging="852"/>
        <w:jc w:val="left"/>
        <w:rPr>
          <w:sz w:val="22"/>
        </w:rPr>
      </w:pPr>
      <w:r>
        <w:rPr>
          <w:sz w:val="22"/>
        </w:rPr>
        <w:t>En</w:t>
      </w:r>
      <w:r>
        <w:rPr>
          <w:spacing w:val="-10"/>
          <w:sz w:val="22"/>
        </w:rPr>
        <w:t> </w:t>
      </w:r>
      <w:r>
        <w:rPr>
          <w:sz w:val="22"/>
        </w:rPr>
        <w:t>resumen,</w:t>
      </w:r>
      <w:r>
        <w:rPr>
          <w:spacing w:val="-6"/>
          <w:sz w:val="22"/>
        </w:rPr>
        <w:t> </w:t>
      </w:r>
      <w:r>
        <w:rPr>
          <w:sz w:val="22"/>
        </w:rPr>
        <w:t>corresponde</w:t>
      </w:r>
      <w:r>
        <w:rPr>
          <w:spacing w:val="-8"/>
          <w:sz w:val="22"/>
        </w:rPr>
        <w:t> </w:t>
      </w:r>
      <w:r>
        <w:rPr>
          <w:sz w:val="22"/>
        </w:rPr>
        <w:t>a</w:t>
      </w:r>
      <w:r>
        <w:rPr>
          <w:spacing w:val="-7"/>
          <w:sz w:val="22"/>
        </w:rPr>
        <w:t> </w:t>
      </w:r>
      <w:r>
        <w:rPr>
          <w:sz w:val="22"/>
        </w:rPr>
        <w:t>este</w:t>
      </w:r>
      <w:r>
        <w:rPr>
          <w:spacing w:val="-9"/>
          <w:sz w:val="22"/>
        </w:rPr>
        <w:t> </w:t>
      </w:r>
      <w:r>
        <w:rPr>
          <w:sz w:val="22"/>
        </w:rPr>
        <w:t>órgano</w:t>
      </w:r>
      <w:r>
        <w:rPr>
          <w:spacing w:val="-10"/>
          <w:sz w:val="22"/>
        </w:rPr>
        <w:t> </w:t>
      </w:r>
      <w:r>
        <w:rPr>
          <w:sz w:val="22"/>
        </w:rPr>
        <w:t>comunitario</w:t>
      </w:r>
      <w:r>
        <w:rPr>
          <w:spacing w:val="-8"/>
          <w:sz w:val="22"/>
        </w:rPr>
        <w:t> </w:t>
      </w:r>
      <w:r>
        <w:rPr>
          <w:sz w:val="22"/>
        </w:rPr>
        <w:t>realizar</w:t>
      </w:r>
      <w:r>
        <w:rPr>
          <w:spacing w:val="-6"/>
          <w:sz w:val="22"/>
        </w:rPr>
        <w:t> </w:t>
      </w:r>
      <w:r>
        <w:rPr>
          <w:sz w:val="22"/>
        </w:rPr>
        <w:t>el</w:t>
      </w:r>
      <w:r>
        <w:rPr>
          <w:spacing w:val="-9"/>
          <w:sz w:val="22"/>
        </w:rPr>
        <w:t> </w:t>
      </w:r>
      <w:r>
        <w:rPr>
          <w:sz w:val="22"/>
        </w:rPr>
        <w:t>análisis</w:t>
      </w:r>
      <w:r>
        <w:rPr>
          <w:spacing w:val="-7"/>
          <w:sz w:val="22"/>
        </w:rPr>
        <w:t> </w:t>
      </w:r>
      <w:r>
        <w:rPr>
          <w:sz w:val="22"/>
        </w:rPr>
        <w:t>si</w:t>
      </w:r>
      <w:r>
        <w:rPr>
          <w:spacing w:val="-10"/>
          <w:sz w:val="22"/>
        </w:rPr>
        <w:t> </w:t>
      </w:r>
      <w:r>
        <w:rPr>
          <w:sz w:val="22"/>
        </w:rPr>
        <w:t>la</w:t>
      </w:r>
      <w:r>
        <w:rPr>
          <w:spacing w:val="-7"/>
          <w:sz w:val="22"/>
        </w:rPr>
        <w:t> </w:t>
      </w:r>
      <w:r>
        <w:rPr>
          <w:spacing w:val="-2"/>
          <w:sz w:val="22"/>
        </w:rPr>
        <w:t>medida:</w:t>
      </w:r>
    </w:p>
    <w:p>
      <w:pPr>
        <w:pStyle w:val="BodyText"/>
      </w:pPr>
    </w:p>
    <w:p>
      <w:pPr>
        <w:pStyle w:val="ListParagraph"/>
        <w:numPr>
          <w:ilvl w:val="0"/>
          <w:numId w:val="121"/>
        </w:numPr>
        <w:tabs>
          <w:tab w:pos="1697" w:val="left" w:leader="none"/>
        </w:tabs>
        <w:spacing w:line="252" w:lineRule="exact" w:before="0" w:after="0"/>
        <w:ind w:left="1697" w:right="0" w:hanging="421"/>
        <w:jc w:val="left"/>
        <w:rPr>
          <w:sz w:val="22"/>
        </w:rPr>
      </w:pPr>
      <w:r>
        <w:rPr>
          <w:sz w:val="22"/>
        </w:rPr>
        <w:t>Se</w:t>
      </w:r>
      <w:r>
        <w:rPr>
          <w:spacing w:val="-4"/>
          <w:sz w:val="22"/>
        </w:rPr>
        <w:t> </w:t>
      </w:r>
      <w:r>
        <w:rPr>
          <w:sz w:val="22"/>
        </w:rPr>
        <w:t>fundamenta</w:t>
      </w:r>
      <w:r>
        <w:rPr>
          <w:spacing w:val="-6"/>
          <w:sz w:val="22"/>
        </w:rPr>
        <w:t> </w:t>
      </w:r>
      <w:r>
        <w:rPr>
          <w:sz w:val="22"/>
        </w:rPr>
        <w:t>en</w:t>
      </w:r>
      <w:r>
        <w:rPr>
          <w:spacing w:val="-4"/>
          <w:sz w:val="22"/>
        </w:rPr>
        <w:t> </w:t>
      </w:r>
      <w:r>
        <w:rPr>
          <w:sz w:val="22"/>
        </w:rPr>
        <w:t>el</w:t>
      </w:r>
      <w:r>
        <w:rPr>
          <w:spacing w:val="-5"/>
          <w:sz w:val="22"/>
        </w:rPr>
        <w:t> </w:t>
      </w:r>
      <w:r>
        <w:rPr>
          <w:sz w:val="22"/>
        </w:rPr>
        <w:t>artículo</w:t>
      </w:r>
      <w:r>
        <w:rPr>
          <w:spacing w:val="-3"/>
          <w:sz w:val="22"/>
        </w:rPr>
        <w:t> </w:t>
      </w:r>
      <w:r>
        <w:rPr>
          <w:sz w:val="22"/>
        </w:rPr>
        <w:t>73</w:t>
      </w:r>
      <w:r>
        <w:rPr>
          <w:spacing w:val="-4"/>
          <w:sz w:val="22"/>
        </w:rPr>
        <w:t> </w:t>
      </w:r>
      <w:r>
        <w:rPr>
          <w:sz w:val="22"/>
        </w:rPr>
        <w:t>del</w:t>
      </w:r>
      <w:r>
        <w:rPr>
          <w:spacing w:val="-4"/>
          <w:sz w:val="22"/>
        </w:rPr>
        <w:t> </w:t>
      </w:r>
      <w:r>
        <w:rPr>
          <w:sz w:val="22"/>
        </w:rPr>
        <w:t>Acuerdo</w:t>
      </w:r>
      <w:r>
        <w:rPr>
          <w:spacing w:val="-4"/>
          <w:sz w:val="22"/>
        </w:rPr>
        <w:t> </w:t>
      </w:r>
      <w:r>
        <w:rPr>
          <w:sz w:val="22"/>
        </w:rPr>
        <w:t>de</w:t>
      </w:r>
      <w:r>
        <w:rPr>
          <w:spacing w:val="-8"/>
          <w:sz w:val="22"/>
        </w:rPr>
        <w:t> </w:t>
      </w:r>
      <w:r>
        <w:rPr>
          <w:spacing w:val="-2"/>
          <w:sz w:val="22"/>
        </w:rPr>
        <w:t>Cartagena;</w:t>
      </w:r>
    </w:p>
    <w:p>
      <w:pPr>
        <w:pStyle w:val="ListParagraph"/>
        <w:numPr>
          <w:ilvl w:val="0"/>
          <w:numId w:val="121"/>
        </w:numPr>
        <w:tabs>
          <w:tab w:pos="1696" w:val="left" w:leader="none"/>
        </w:tabs>
        <w:spacing w:line="252" w:lineRule="exact" w:before="0" w:after="0"/>
        <w:ind w:left="1696" w:right="0" w:hanging="420"/>
        <w:jc w:val="left"/>
        <w:rPr>
          <w:sz w:val="22"/>
        </w:rPr>
      </w:pPr>
      <w:r>
        <w:rPr>
          <w:sz w:val="22"/>
        </w:rPr>
        <w:t>Es </w:t>
      </w:r>
      <w:r>
        <w:rPr>
          <w:spacing w:val="-2"/>
          <w:sz w:val="22"/>
        </w:rPr>
        <w:t>idónea;</w:t>
      </w:r>
    </w:p>
    <w:p>
      <w:pPr>
        <w:pStyle w:val="ListParagraph"/>
        <w:numPr>
          <w:ilvl w:val="0"/>
          <w:numId w:val="121"/>
        </w:numPr>
        <w:tabs>
          <w:tab w:pos="1695" w:val="left" w:leader="none"/>
        </w:tabs>
        <w:spacing w:line="253" w:lineRule="exact" w:before="2" w:after="0"/>
        <w:ind w:left="1695" w:right="0" w:hanging="419"/>
        <w:jc w:val="left"/>
        <w:rPr>
          <w:sz w:val="22"/>
        </w:rPr>
      </w:pPr>
      <w:r>
        <w:rPr>
          <w:sz w:val="22"/>
        </w:rPr>
        <w:t>Es</w:t>
      </w:r>
      <w:r>
        <w:rPr>
          <w:spacing w:val="-3"/>
          <w:sz w:val="22"/>
        </w:rPr>
        <w:t> </w:t>
      </w:r>
      <w:r>
        <w:rPr>
          <w:sz w:val="22"/>
        </w:rPr>
        <w:t>necesaria</w:t>
      </w:r>
      <w:r>
        <w:rPr>
          <w:spacing w:val="-4"/>
          <w:sz w:val="22"/>
        </w:rPr>
        <w:t> </w:t>
      </w:r>
      <w:r>
        <w:rPr>
          <w:sz w:val="22"/>
        </w:rPr>
        <w:t>o</w:t>
      </w:r>
      <w:r>
        <w:rPr>
          <w:spacing w:val="-3"/>
          <w:sz w:val="22"/>
        </w:rPr>
        <w:t> </w:t>
      </w:r>
      <w:r>
        <w:rPr>
          <w:spacing w:val="-2"/>
          <w:sz w:val="22"/>
        </w:rPr>
        <w:t>insustituible;</w:t>
      </w:r>
    </w:p>
    <w:p>
      <w:pPr>
        <w:pStyle w:val="ListParagraph"/>
        <w:numPr>
          <w:ilvl w:val="0"/>
          <w:numId w:val="121"/>
        </w:numPr>
        <w:tabs>
          <w:tab w:pos="1698" w:val="left" w:leader="none"/>
        </w:tabs>
        <w:spacing w:line="240" w:lineRule="auto" w:before="0" w:after="0"/>
        <w:ind w:left="1698" w:right="0" w:hanging="422"/>
        <w:jc w:val="left"/>
        <w:rPr>
          <w:sz w:val="22"/>
        </w:rPr>
      </w:pPr>
      <w:r>
        <w:rPr>
          <w:sz w:val="22"/>
        </w:rPr>
        <w:t>Es</w:t>
      </w:r>
      <w:r>
        <w:rPr>
          <w:spacing w:val="-8"/>
          <w:sz w:val="22"/>
        </w:rPr>
        <w:t> </w:t>
      </w:r>
      <w:r>
        <w:rPr>
          <w:sz w:val="22"/>
        </w:rPr>
        <w:t>proporcional;</w:t>
      </w:r>
      <w:r>
        <w:rPr>
          <w:spacing w:val="-6"/>
          <w:sz w:val="22"/>
        </w:rPr>
        <w:t> </w:t>
      </w:r>
      <w:r>
        <w:rPr>
          <w:spacing w:val="-5"/>
          <w:sz w:val="22"/>
        </w:rPr>
        <w:t>y,</w:t>
      </w:r>
    </w:p>
    <w:p>
      <w:pPr>
        <w:pStyle w:val="ListParagraph"/>
        <w:numPr>
          <w:ilvl w:val="0"/>
          <w:numId w:val="121"/>
        </w:numPr>
        <w:tabs>
          <w:tab w:pos="1699" w:val="left" w:leader="none"/>
        </w:tabs>
        <w:spacing w:line="240" w:lineRule="auto" w:before="1" w:after="0"/>
        <w:ind w:left="1699" w:right="0" w:hanging="423"/>
        <w:jc w:val="left"/>
        <w:rPr>
          <w:sz w:val="22"/>
        </w:rPr>
      </w:pPr>
      <w:r>
        <w:rPr>
          <w:sz w:val="22"/>
        </w:rPr>
        <w:t>Es</w:t>
      </w:r>
      <w:r>
        <w:rPr>
          <w:spacing w:val="-3"/>
          <w:sz w:val="22"/>
        </w:rPr>
        <w:t> </w:t>
      </w:r>
      <w:r>
        <w:rPr>
          <w:sz w:val="22"/>
        </w:rPr>
        <w:t>de</w:t>
      </w:r>
      <w:r>
        <w:rPr>
          <w:spacing w:val="-4"/>
          <w:sz w:val="22"/>
        </w:rPr>
        <w:t> </w:t>
      </w:r>
      <w:r>
        <w:rPr>
          <w:sz w:val="22"/>
        </w:rPr>
        <w:t>carácter</w:t>
      </w:r>
      <w:r>
        <w:rPr>
          <w:spacing w:val="-3"/>
          <w:sz w:val="22"/>
        </w:rPr>
        <w:t> </w:t>
      </w:r>
      <w:r>
        <w:rPr>
          <w:sz w:val="22"/>
        </w:rPr>
        <w:t>no</w:t>
      </w:r>
      <w:r>
        <w:rPr>
          <w:spacing w:val="-3"/>
          <w:sz w:val="22"/>
        </w:rPr>
        <w:t> </w:t>
      </w:r>
      <w:r>
        <w:rPr>
          <w:spacing w:val="-2"/>
          <w:sz w:val="22"/>
        </w:rPr>
        <w:t>discriminatorio.</w:t>
      </w:r>
    </w:p>
    <w:p>
      <w:pPr>
        <w:pStyle w:val="BodyText"/>
      </w:pPr>
    </w:p>
    <w:p>
      <w:pPr>
        <w:pStyle w:val="Heading6"/>
        <w:numPr>
          <w:ilvl w:val="0"/>
          <w:numId w:val="122"/>
        </w:numPr>
        <w:tabs>
          <w:tab w:pos="1134" w:val="left" w:leader="none"/>
        </w:tabs>
        <w:spacing w:line="240" w:lineRule="auto" w:before="0" w:after="0"/>
        <w:ind w:left="1134" w:right="0" w:hanging="360"/>
        <w:jc w:val="left"/>
      </w:pPr>
      <w:r>
        <w:rPr/>
        <w:t>Análisis</w:t>
      </w:r>
      <w:r>
        <w:rPr>
          <w:spacing w:val="-5"/>
        </w:rPr>
        <w:t> </w:t>
      </w:r>
      <w:r>
        <w:rPr/>
        <w:t>de</w:t>
      </w:r>
      <w:r>
        <w:rPr>
          <w:spacing w:val="-4"/>
        </w:rPr>
        <w:t> </w:t>
      </w:r>
      <w:r>
        <w:rPr/>
        <w:t>la</w:t>
      </w:r>
      <w:r>
        <w:rPr>
          <w:spacing w:val="-4"/>
        </w:rPr>
        <w:t> SGCAN</w:t>
      </w:r>
    </w:p>
    <w:p>
      <w:pPr>
        <w:pStyle w:val="ListParagraph"/>
        <w:numPr>
          <w:ilvl w:val="1"/>
          <w:numId w:val="122"/>
        </w:numPr>
        <w:tabs>
          <w:tab w:pos="1701" w:val="left" w:leader="none"/>
        </w:tabs>
        <w:spacing w:line="240" w:lineRule="auto" w:before="252" w:after="0"/>
        <w:ind w:left="1701" w:right="0" w:hanging="567"/>
        <w:jc w:val="left"/>
        <w:rPr>
          <w:rFonts w:ascii="Arial" w:hAnsi="Arial"/>
          <w:i/>
          <w:sz w:val="22"/>
        </w:rPr>
      </w:pPr>
      <w:r>
        <w:rPr>
          <w:rFonts w:ascii="Arial" w:hAnsi="Arial"/>
          <w:i/>
          <w:sz w:val="22"/>
          <w:u w:val="single"/>
        </w:rPr>
        <w:t>Sobre</w:t>
      </w:r>
      <w:r>
        <w:rPr>
          <w:rFonts w:ascii="Arial" w:hAnsi="Arial"/>
          <w:i/>
          <w:spacing w:val="-5"/>
          <w:sz w:val="22"/>
          <w:u w:val="single"/>
        </w:rPr>
        <w:t> </w:t>
      </w:r>
      <w:r>
        <w:rPr>
          <w:rFonts w:ascii="Arial" w:hAnsi="Arial"/>
          <w:i/>
          <w:sz w:val="22"/>
          <w:u w:val="single"/>
        </w:rPr>
        <w:t>la</w:t>
      </w:r>
      <w:r>
        <w:rPr>
          <w:rFonts w:ascii="Arial" w:hAnsi="Arial"/>
          <w:i/>
          <w:spacing w:val="-5"/>
          <w:sz w:val="22"/>
          <w:u w:val="single"/>
        </w:rPr>
        <w:t> </w:t>
      </w:r>
      <w:r>
        <w:rPr>
          <w:rFonts w:ascii="Arial" w:hAnsi="Arial"/>
          <w:i/>
          <w:sz w:val="22"/>
          <w:u w:val="single"/>
        </w:rPr>
        <w:t>aplicación</w:t>
      </w:r>
      <w:r>
        <w:rPr>
          <w:rFonts w:ascii="Arial" w:hAnsi="Arial"/>
          <w:i/>
          <w:spacing w:val="-4"/>
          <w:sz w:val="22"/>
          <w:u w:val="single"/>
        </w:rPr>
        <w:t> </w:t>
      </w:r>
      <w:r>
        <w:rPr>
          <w:rFonts w:ascii="Arial" w:hAnsi="Arial"/>
          <w:i/>
          <w:sz w:val="22"/>
          <w:u w:val="single"/>
        </w:rPr>
        <w:t>de</w:t>
      </w:r>
      <w:r>
        <w:rPr>
          <w:rFonts w:ascii="Arial" w:hAnsi="Arial"/>
          <w:i/>
          <w:spacing w:val="-5"/>
          <w:sz w:val="22"/>
          <w:u w:val="single"/>
        </w:rPr>
        <w:t> </w:t>
      </w:r>
      <w:r>
        <w:rPr>
          <w:rFonts w:ascii="Arial" w:hAnsi="Arial"/>
          <w:i/>
          <w:sz w:val="22"/>
          <w:u w:val="single"/>
        </w:rPr>
        <w:t>los</w:t>
      </w:r>
      <w:r>
        <w:rPr>
          <w:rFonts w:ascii="Arial" w:hAnsi="Arial"/>
          <w:i/>
          <w:spacing w:val="-3"/>
          <w:sz w:val="22"/>
          <w:u w:val="single"/>
        </w:rPr>
        <w:t> </w:t>
      </w:r>
      <w:r>
        <w:rPr>
          <w:rFonts w:ascii="Arial" w:hAnsi="Arial"/>
          <w:i/>
          <w:sz w:val="22"/>
          <w:u w:val="single"/>
        </w:rPr>
        <w:t>criterios</w:t>
      </w:r>
      <w:r>
        <w:rPr>
          <w:rFonts w:ascii="Arial" w:hAnsi="Arial"/>
          <w:i/>
          <w:spacing w:val="-4"/>
          <w:sz w:val="22"/>
          <w:u w:val="single"/>
        </w:rPr>
        <w:t> </w:t>
      </w:r>
      <w:r>
        <w:rPr>
          <w:rFonts w:ascii="Arial" w:hAnsi="Arial"/>
          <w:i/>
          <w:sz w:val="22"/>
          <w:u w:val="single"/>
        </w:rPr>
        <w:t>del</w:t>
      </w:r>
      <w:r>
        <w:rPr>
          <w:rFonts w:ascii="Arial" w:hAnsi="Arial"/>
          <w:i/>
          <w:spacing w:val="-7"/>
          <w:sz w:val="22"/>
          <w:u w:val="single"/>
        </w:rPr>
        <w:t> </w:t>
      </w:r>
      <w:r>
        <w:rPr>
          <w:rFonts w:ascii="Arial" w:hAnsi="Arial"/>
          <w:i/>
          <w:sz w:val="22"/>
          <w:u w:val="single"/>
        </w:rPr>
        <w:t>artículo</w:t>
      </w:r>
      <w:r>
        <w:rPr>
          <w:rFonts w:ascii="Arial" w:hAnsi="Arial"/>
          <w:i/>
          <w:spacing w:val="-4"/>
          <w:sz w:val="22"/>
          <w:u w:val="single"/>
        </w:rPr>
        <w:t> </w:t>
      </w:r>
      <w:r>
        <w:rPr>
          <w:rFonts w:ascii="Arial" w:hAnsi="Arial"/>
          <w:i/>
          <w:spacing w:val="-5"/>
          <w:sz w:val="22"/>
          <w:u w:val="single"/>
        </w:rPr>
        <w:t>73</w:t>
      </w:r>
    </w:p>
    <w:p>
      <w:pPr>
        <w:pStyle w:val="ListParagraph"/>
        <w:numPr>
          <w:ilvl w:val="0"/>
          <w:numId w:val="50"/>
        </w:numPr>
        <w:tabs>
          <w:tab w:pos="1130" w:val="left" w:leader="none"/>
          <w:tab w:pos="1134" w:val="left" w:leader="none"/>
        </w:tabs>
        <w:spacing w:line="240" w:lineRule="auto" w:before="251" w:after="0"/>
        <w:ind w:left="1134" w:right="977" w:hanging="567"/>
        <w:jc w:val="both"/>
        <w:rPr>
          <w:sz w:val="22"/>
        </w:rPr>
      </w:pPr>
      <w:r>
        <w:rPr>
          <w:sz w:val="22"/>
        </w:rPr>
        <w:t>De acuerdo con lo establecido en el artículo 73 del Acuerdo de Cartagena, los Países Miembros</w:t>
      </w:r>
      <w:r>
        <w:rPr>
          <w:spacing w:val="-7"/>
          <w:sz w:val="22"/>
        </w:rPr>
        <w:t> </w:t>
      </w:r>
      <w:r>
        <w:rPr>
          <w:sz w:val="22"/>
        </w:rPr>
        <w:t>gozan</w:t>
      </w:r>
      <w:r>
        <w:rPr>
          <w:spacing w:val="-10"/>
          <w:sz w:val="22"/>
        </w:rPr>
        <w:t> </w:t>
      </w:r>
      <w:r>
        <w:rPr>
          <w:sz w:val="22"/>
        </w:rPr>
        <w:t>del</w:t>
      </w:r>
      <w:r>
        <w:rPr>
          <w:spacing w:val="-8"/>
          <w:sz w:val="22"/>
        </w:rPr>
        <w:t> </w:t>
      </w:r>
      <w:r>
        <w:rPr>
          <w:sz w:val="22"/>
        </w:rPr>
        <w:t>derecho</w:t>
      </w:r>
      <w:r>
        <w:rPr>
          <w:spacing w:val="-7"/>
          <w:sz w:val="22"/>
        </w:rPr>
        <w:t> </w:t>
      </w:r>
      <w:r>
        <w:rPr>
          <w:sz w:val="22"/>
        </w:rPr>
        <w:t>de</w:t>
      </w:r>
      <w:r>
        <w:rPr>
          <w:spacing w:val="-8"/>
          <w:sz w:val="22"/>
        </w:rPr>
        <w:t> </w:t>
      </w:r>
      <w:r>
        <w:rPr>
          <w:sz w:val="22"/>
        </w:rPr>
        <w:t>invocar</w:t>
      </w:r>
      <w:r>
        <w:rPr>
          <w:spacing w:val="-6"/>
          <w:sz w:val="22"/>
        </w:rPr>
        <w:t> </w:t>
      </w:r>
      <w:r>
        <w:rPr>
          <w:sz w:val="22"/>
        </w:rPr>
        <w:t>las</w:t>
      </w:r>
      <w:r>
        <w:rPr>
          <w:spacing w:val="-7"/>
          <w:sz w:val="22"/>
        </w:rPr>
        <w:t> </w:t>
      </w:r>
      <w:r>
        <w:rPr>
          <w:sz w:val="22"/>
        </w:rPr>
        <w:t>excepciones</w:t>
      </w:r>
      <w:r>
        <w:rPr>
          <w:spacing w:val="-7"/>
          <w:sz w:val="22"/>
        </w:rPr>
        <w:t> </w:t>
      </w:r>
      <w:r>
        <w:rPr>
          <w:sz w:val="22"/>
        </w:rPr>
        <w:t>previstas</w:t>
      </w:r>
      <w:r>
        <w:rPr>
          <w:spacing w:val="-7"/>
          <w:sz w:val="22"/>
        </w:rPr>
        <w:t> </w:t>
      </w:r>
      <w:r>
        <w:rPr>
          <w:sz w:val="22"/>
        </w:rPr>
        <w:t>en</w:t>
      </w:r>
      <w:r>
        <w:rPr>
          <w:spacing w:val="-10"/>
          <w:sz w:val="22"/>
        </w:rPr>
        <w:t> </w:t>
      </w:r>
      <w:r>
        <w:rPr>
          <w:sz w:val="22"/>
        </w:rPr>
        <w:t>dicho</w:t>
      </w:r>
      <w:r>
        <w:rPr>
          <w:spacing w:val="-8"/>
          <w:sz w:val="22"/>
        </w:rPr>
        <w:t> </w:t>
      </w:r>
      <w:r>
        <w:rPr>
          <w:sz w:val="22"/>
        </w:rPr>
        <w:t>artículo.</w:t>
      </w:r>
      <w:r>
        <w:rPr>
          <w:spacing w:val="-9"/>
          <w:sz w:val="22"/>
        </w:rPr>
        <w:t> </w:t>
      </w:r>
      <w:r>
        <w:rPr>
          <w:sz w:val="22"/>
        </w:rPr>
        <w:t>No obstante,</w:t>
      </w:r>
      <w:r>
        <w:rPr>
          <w:spacing w:val="-8"/>
          <w:sz w:val="22"/>
        </w:rPr>
        <w:t> </w:t>
      </w:r>
      <w:r>
        <w:rPr>
          <w:sz w:val="22"/>
        </w:rPr>
        <w:t>el</w:t>
      </w:r>
      <w:r>
        <w:rPr>
          <w:spacing w:val="-8"/>
          <w:sz w:val="22"/>
        </w:rPr>
        <w:t> </w:t>
      </w:r>
      <w:r>
        <w:rPr>
          <w:sz w:val="22"/>
        </w:rPr>
        <w:t>ejercicio</w:t>
      </w:r>
      <w:r>
        <w:rPr>
          <w:spacing w:val="-7"/>
          <w:sz w:val="22"/>
        </w:rPr>
        <w:t> </w:t>
      </w:r>
      <w:r>
        <w:rPr>
          <w:sz w:val="22"/>
        </w:rPr>
        <w:t>de</w:t>
      </w:r>
      <w:r>
        <w:rPr>
          <w:spacing w:val="-12"/>
          <w:sz w:val="22"/>
        </w:rPr>
        <w:t> </w:t>
      </w:r>
      <w:r>
        <w:rPr>
          <w:sz w:val="22"/>
        </w:rPr>
        <w:t>dicha</w:t>
      </w:r>
      <w:r>
        <w:rPr>
          <w:spacing w:val="-8"/>
          <w:sz w:val="22"/>
        </w:rPr>
        <w:t> </w:t>
      </w:r>
      <w:r>
        <w:rPr>
          <w:sz w:val="22"/>
        </w:rPr>
        <w:t>facultad</w:t>
      </w:r>
      <w:r>
        <w:rPr>
          <w:spacing w:val="-9"/>
          <w:sz w:val="22"/>
        </w:rPr>
        <w:t> </w:t>
      </w:r>
      <w:r>
        <w:rPr>
          <w:sz w:val="22"/>
        </w:rPr>
        <w:t>no</w:t>
      </w:r>
      <w:r>
        <w:rPr>
          <w:spacing w:val="-9"/>
          <w:sz w:val="22"/>
        </w:rPr>
        <w:t> </w:t>
      </w:r>
      <w:r>
        <w:rPr>
          <w:sz w:val="22"/>
        </w:rPr>
        <w:t>es</w:t>
      </w:r>
      <w:r>
        <w:rPr>
          <w:spacing w:val="-9"/>
          <w:sz w:val="22"/>
        </w:rPr>
        <w:t> </w:t>
      </w:r>
      <w:r>
        <w:rPr>
          <w:sz w:val="22"/>
        </w:rPr>
        <w:t>irrestricto,</w:t>
      </w:r>
      <w:r>
        <w:rPr>
          <w:spacing w:val="-8"/>
          <w:sz w:val="22"/>
        </w:rPr>
        <w:t> </w:t>
      </w:r>
      <w:r>
        <w:rPr>
          <w:sz w:val="22"/>
        </w:rPr>
        <w:t>sino</w:t>
      </w:r>
      <w:r>
        <w:rPr>
          <w:spacing w:val="-8"/>
          <w:sz w:val="22"/>
        </w:rPr>
        <w:t> </w:t>
      </w:r>
      <w:r>
        <w:rPr>
          <w:sz w:val="22"/>
        </w:rPr>
        <w:t>que</w:t>
      </w:r>
      <w:r>
        <w:rPr>
          <w:spacing w:val="-9"/>
          <w:sz w:val="22"/>
        </w:rPr>
        <w:t> </w:t>
      </w:r>
      <w:r>
        <w:rPr>
          <w:sz w:val="22"/>
        </w:rPr>
        <w:t>dicho</w:t>
      </w:r>
      <w:r>
        <w:rPr>
          <w:spacing w:val="-8"/>
          <w:sz w:val="22"/>
        </w:rPr>
        <w:t> </w:t>
      </w:r>
      <w:r>
        <w:rPr>
          <w:sz w:val="22"/>
        </w:rPr>
        <w:t>ejercicio</w:t>
      </w:r>
      <w:r>
        <w:rPr>
          <w:spacing w:val="-3"/>
          <w:sz w:val="22"/>
        </w:rPr>
        <w:t> </w:t>
      </w:r>
      <w:r>
        <w:rPr>
          <w:sz w:val="22"/>
        </w:rPr>
        <w:t>conlleva necesariamente el deber de sustentar la medida adoptada conforme a los parámetros desarrollados por la jurisprudencia del TJCAN.</w:t>
      </w:r>
    </w:p>
    <w:p>
      <w:pPr>
        <w:pStyle w:val="ListParagraph"/>
        <w:spacing w:after="0" w:line="240" w:lineRule="auto"/>
        <w:jc w:val="both"/>
        <w:rPr>
          <w:sz w:val="22"/>
        </w:rPr>
        <w:sectPr>
          <w:pgSz w:w="11900" w:h="16850"/>
          <w:pgMar w:header="370" w:footer="651" w:top="1380" w:bottom="840" w:left="992" w:right="283"/>
        </w:sectPr>
      </w:pPr>
    </w:p>
    <w:p>
      <w:pPr>
        <w:pStyle w:val="BodyText"/>
        <w:spacing w:before="176"/>
      </w:pPr>
    </w:p>
    <w:p>
      <w:pPr>
        <w:pStyle w:val="ListParagraph"/>
        <w:numPr>
          <w:ilvl w:val="1"/>
          <w:numId w:val="122"/>
        </w:numPr>
        <w:tabs>
          <w:tab w:pos="1701" w:val="left" w:leader="none"/>
        </w:tabs>
        <w:spacing w:line="240" w:lineRule="auto" w:before="0" w:after="0"/>
        <w:ind w:left="1701" w:right="0" w:hanging="567"/>
        <w:jc w:val="left"/>
        <w:rPr>
          <w:rFonts w:ascii="Arial"/>
          <w:i/>
          <w:sz w:val="22"/>
        </w:rPr>
      </w:pPr>
      <w:r>
        <w:rPr>
          <w:rFonts w:ascii="Arial"/>
          <w:i/>
          <w:sz w:val="22"/>
          <w:u w:val="single"/>
        </w:rPr>
        <w:t>Sobre</w:t>
      </w:r>
      <w:r>
        <w:rPr>
          <w:rFonts w:ascii="Arial"/>
          <w:i/>
          <w:spacing w:val="-4"/>
          <w:sz w:val="22"/>
          <w:u w:val="single"/>
        </w:rPr>
        <w:t> </w:t>
      </w:r>
      <w:r>
        <w:rPr>
          <w:rFonts w:ascii="Arial"/>
          <w:i/>
          <w:sz w:val="22"/>
          <w:u w:val="single"/>
        </w:rPr>
        <w:t>la</w:t>
      </w:r>
      <w:r>
        <w:rPr>
          <w:rFonts w:ascii="Arial"/>
          <w:i/>
          <w:spacing w:val="-5"/>
          <w:sz w:val="22"/>
          <w:u w:val="single"/>
        </w:rPr>
        <w:t> </w:t>
      </w:r>
      <w:r>
        <w:rPr>
          <w:rFonts w:ascii="Arial"/>
          <w:i/>
          <w:sz w:val="22"/>
          <w:u w:val="single"/>
        </w:rPr>
        <w:t>finalidad</w:t>
      </w:r>
      <w:r>
        <w:rPr>
          <w:rFonts w:ascii="Arial"/>
          <w:i/>
          <w:spacing w:val="-4"/>
          <w:sz w:val="22"/>
          <w:u w:val="single"/>
        </w:rPr>
        <w:t> </w:t>
      </w:r>
      <w:r>
        <w:rPr>
          <w:rFonts w:ascii="Arial"/>
          <w:i/>
          <w:sz w:val="22"/>
          <w:u w:val="single"/>
        </w:rPr>
        <w:t>de</w:t>
      </w:r>
      <w:r>
        <w:rPr>
          <w:rFonts w:ascii="Arial"/>
          <w:i/>
          <w:spacing w:val="-3"/>
          <w:sz w:val="22"/>
          <w:u w:val="single"/>
        </w:rPr>
        <w:t> </w:t>
      </w:r>
      <w:r>
        <w:rPr>
          <w:rFonts w:ascii="Arial"/>
          <w:i/>
          <w:sz w:val="22"/>
          <w:u w:val="single"/>
        </w:rPr>
        <w:t>la</w:t>
      </w:r>
      <w:r>
        <w:rPr>
          <w:rFonts w:ascii="Arial"/>
          <w:i/>
          <w:spacing w:val="-5"/>
          <w:sz w:val="22"/>
          <w:u w:val="single"/>
        </w:rPr>
        <w:t> </w:t>
      </w:r>
      <w:r>
        <w:rPr>
          <w:rFonts w:ascii="Arial"/>
          <w:i/>
          <w:spacing w:val="-2"/>
          <w:sz w:val="22"/>
          <w:u w:val="single"/>
        </w:rPr>
        <w:t>medida</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Para el análisis exigido por la norma comunitaria, resulta pertinente traer a colación lo señalado por el TJCAN en su sentencia del proceso 01-AN-2014, al referirse a la finalidad de las medidas expedidas por un País Miembro al amparo del artículo 73 del Acuerdo de Cartagena, en los siguientes términos:</w:t>
      </w:r>
    </w:p>
    <w:p>
      <w:pPr>
        <w:pStyle w:val="BodyText"/>
      </w:pPr>
    </w:p>
    <w:p>
      <w:pPr>
        <w:pStyle w:val="BodyText"/>
        <w:spacing w:before="26"/>
      </w:pPr>
    </w:p>
    <w:p>
      <w:pPr>
        <w:pStyle w:val="Heading4"/>
        <w:spacing w:before="1"/>
      </w:pPr>
      <w:r>
        <w:rPr/>
        <w:t>“En</w:t>
      </w:r>
      <w:r>
        <w:rPr>
          <w:spacing w:val="-1"/>
        </w:rPr>
        <w:t> </w:t>
      </w:r>
      <w:r>
        <w:rPr/>
        <w:t>ese</w:t>
      </w:r>
      <w:r>
        <w:rPr>
          <w:spacing w:val="-1"/>
        </w:rPr>
        <w:t> </w:t>
      </w:r>
      <w:r>
        <w:rPr/>
        <w:t>sentido, tratándose</w:t>
      </w:r>
      <w:r>
        <w:rPr>
          <w:spacing w:val="-1"/>
        </w:rPr>
        <w:t> </w:t>
      </w:r>
      <w:r>
        <w:rPr/>
        <w:t>de</w:t>
      </w:r>
      <w:r>
        <w:rPr>
          <w:spacing w:val="-1"/>
        </w:rPr>
        <w:t> </w:t>
      </w:r>
      <w:r>
        <w:rPr/>
        <w:t>restricciones de</w:t>
      </w:r>
      <w:r>
        <w:rPr>
          <w:spacing w:val="-1"/>
        </w:rPr>
        <w:t> </w:t>
      </w:r>
      <w:r>
        <w:rPr/>
        <w:t>todo orden, se</w:t>
      </w:r>
      <w:r>
        <w:rPr>
          <w:spacing w:val="-1"/>
        </w:rPr>
        <w:t> </w:t>
      </w:r>
      <w:r>
        <w:rPr/>
        <w:t>tolera la afectación del principio de libre circulación de mercancías únicamente por la necesidad de salvaguardar la inminencia de determinadas causales taxativamente establecidas en</w:t>
      </w:r>
      <w:r>
        <w:rPr>
          <w:spacing w:val="-15"/>
        </w:rPr>
        <w:t> </w:t>
      </w:r>
      <w:r>
        <w:rPr/>
        <w:t>la</w:t>
      </w:r>
      <w:r>
        <w:rPr>
          <w:spacing w:val="-15"/>
        </w:rPr>
        <w:t> </w:t>
      </w:r>
      <w:r>
        <w:rPr/>
        <w:t>norma</w:t>
      </w:r>
      <w:r>
        <w:rPr>
          <w:spacing w:val="-15"/>
        </w:rPr>
        <w:t> </w:t>
      </w:r>
      <w:r>
        <w:rPr/>
        <w:t>precitada;</w:t>
      </w:r>
      <w:r>
        <w:rPr>
          <w:spacing w:val="-15"/>
        </w:rPr>
        <w:t> </w:t>
      </w:r>
      <w:r>
        <w:rPr/>
        <w:t>esto</w:t>
      </w:r>
      <w:r>
        <w:rPr>
          <w:spacing w:val="-15"/>
        </w:rPr>
        <w:t> </w:t>
      </w:r>
      <w:r>
        <w:rPr/>
        <w:t>es,</w:t>
      </w:r>
      <w:r>
        <w:rPr>
          <w:spacing w:val="-15"/>
        </w:rPr>
        <w:t> </w:t>
      </w:r>
      <w:r>
        <w:rPr/>
        <w:t>la</w:t>
      </w:r>
      <w:r>
        <w:rPr>
          <w:spacing w:val="-15"/>
        </w:rPr>
        <w:t> </w:t>
      </w:r>
      <w:r>
        <w:rPr/>
        <w:t>protección</w:t>
      </w:r>
      <w:r>
        <w:rPr>
          <w:spacing w:val="-15"/>
        </w:rPr>
        <w:t> </w:t>
      </w:r>
      <w:r>
        <w:rPr/>
        <w:t>de</w:t>
      </w:r>
      <w:r>
        <w:rPr>
          <w:spacing w:val="-15"/>
        </w:rPr>
        <w:t> </w:t>
      </w:r>
      <w:r>
        <w:rPr/>
        <w:t>la</w:t>
      </w:r>
      <w:r>
        <w:rPr>
          <w:spacing w:val="-13"/>
        </w:rPr>
        <w:t> </w:t>
      </w:r>
      <w:r>
        <w:rPr/>
        <w:t>moralidad</w:t>
      </w:r>
      <w:r>
        <w:rPr>
          <w:spacing w:val="-15"/>
        </w:rPr>
        <w:t> </w:t>
      </w:r>
      <w:r>
        <w:rPr/>
        <w:t>pública,</w:t>
      </w:r>
      <w:r>
        <w:rPr>
          <w:spacing w:val="-13"/>
        </w:rPr>
        <w:t> </w:t>
      </w:r>
      <w:r>
        <w:rPr>
          <w:b/>
          <w:u w:val="single"/>
        </w:rPr>
        <w:t>la</w:t>
      </w:r>
      <w:r>
        <w:rPr>
          <w:b/>
          <w:spacing w:val="-15"/>
          <w:u w:val="single"/>
        </w:rPr>
        <w:t> </w:t>
      </w:r>
      <w:r>
        <w:rPr>
          <w:b/>
          <w:u w:val="single"/>
        </w:rPr>
        <w:t>aplicación</w:t>
      </w:r>
      <w:r>
        <w:rPr>
          <w:b/>
        </w:rPr>
        <w:t> </w:t>
      </w:r>
      <w:r>
        <w:rPr>
          <w:b/>
          <w:u w:val="single"/>
        </w:rPr>
        <w:t>de</w:t>
      </w:r>
      <w:r>
        <w:rPr>
          <w:b/>
          <w:spacing w:val="-11"/>
          <w:u w:val="single"/>
        </w:rPr>
        <w:t> </w:t>
      </w:r>
      <w:r>
        <w:rPr>
          <w:b/>
          <w:u w:val="single"/>
        </w:rPr>
        <w:t>leyes</w:t>
      </w:r>
      <w:r>
        <w:rPr>
          <w:b/>
          <w:spacing w:val="-8"/>
          <w:u w:val="single"/>
        </w:rPr>
        <w:t> </w:t>
      </w:r>
      <w:r>
        <w:rPr>
          <w:b/>
          <w:u w:val="single"/>
        </w:rPr>
        <w:t>y</w:t>
      </w:r>
      <w:r>
        <w:rPr>
          <w:b/>
          <w:spacing w:val="-11"/>
          <w:u w:val="single"/>
        </w:rPr>
        <w:t> </w:t>
      </w:r>
      <w:r>
        <w:rPr>
          <w:b/>
          <w:u w:val="single"/>
        </w:rPr>
        <w:t>reglamentos</w:t>
      </w:r>
      <w:r>
        <w:rPr>
          <w:b/>
          <w:spacing w:val="-10"/>
          <w:u w:val="single"/>
        </w:rPr>
        <w:t> </w:t>
      </w:r>
      <w:r>
        <w:rPr>
          <w:b/>
          <w:u w:val="single"/>
        </w:rPr>
        <w:t>de</w:t>
      </w:r>
      <w:r>
        <w:rPr>
          <w:b/>
          <w:spacing w:val="-11"/>
          <w:u w:val="single"/>
        </w:rPr>
        <w:t> </w:t>
      </w:r>
      <w:r>
        <w:rPr>
          <w:b/>
          <w:u w:val="single"/>
        </w:rPr>
        <w:t>seguridad</w:t>
      </w:r>
      <w:r>
        <w:rPr/>
        <w:t>,</w:t>
      </w:r>
      <w:r>
        <w:rPr>
          <w:spacing w:val="-10"/>
        </w:rPr>
        <w:t> </w:t>
      </w:r>
      <w:r>
        <w:rPr/>
        <w:t>protección</w:t>
      </w:r>
      <w:r>
        <w:rPr>
          <w:spacing w:val="-10"/>
        </w:rPr>
        <w:t> </w:t>
      </w:r>
      <w:r>
        <w:rPr/>
        <w:t>de</w:t>
      </w:r>
      <w:r>
        <w:rPr>
          <w:spacing w:val="-11"/>
        </w:rPr>
        <w:t> </w:t>
      </w:r>
      <w:r>
        <w:rPr/>
        <w:t>la</w:t>
      </w:r>
      <w:r>
        <w:rPr>
          <w:spacing w:val="-10"/>
        </w:rPr>
        <w:t> </w:t>
      </w:r>
      <w:r>
        <w:rPr/>
        <w:t>vida</w:t>
      </w:r>
      <w:r>
        <w:rPr>
          <w:spacing w:val="-10"/>
        </w:rPr>
        <w:t> </w:t>
      </w:r>
      <w:r>
        <w:rPr/>
        <w:t>y</w:t>
      </w:r>
      <w:r>
        <w:rPr>
          <w:spacing w:val="-11"/>
        </w:rPr>
        <w:t> </w:t>
      </w:r>
      <w:r>
        <w:rPr/>
        <w:t>salud</w:t>
      </w:r>
      <w:r>
        <w:rPr>
          <w:spacing w:val="-10"/>
        </w:rPr>
        <w:t> </w:t>
      </w:r>
      <w:r>
        <w:rPr/>
        <w:t>de</w:t>
      </w:r>
      <w:r>
        <w:rPr>
          <w:spacing w:val="-11"/>
        </w:rPr>
        <w:t> </w:t>
      </w:r>
      <w:r>
        <w:rPr/>
        <w:t>las</w:t>
      </w:r>
      <w:r>
        <w:rPr>
          <w:spacing w:val="-10"/>
        </w:rPr>
        <w:t> </w:t>
      </w:r>
      <w:r>
        <w:rPr/>
        <w:t>personas, los</w:t>
      </w:r>
      <w:r>
        <w:rPr>
          <w:spacing w:val="-8"/>
        </w:rPr>
        <w:t> </w:t>
      </w:r>
      <w:r>
        <w:rPr/>
        <w:t>animales</w:t>
      </w:r>
      <w:r>
        <w:rPr>
          <w:spacing w:val="-9"/>
        </w:rPr>
        <w:t> </w:t>
      </w:r>
      <w:r>
        <w:rPr/>
        <w:t>y</w:t>
      </w:r>
      <w:r>
        <w:rPr>
          <w:spacing w:val="-9"/>
        </w:rPr>
        <w:t> </w:t>
      </w:r>
      <w:r>
        <w:rPr/>
        <w:t>los</w:t>
      </w:r>
      <w:r>
        <w:rPr>
          <w:spacing w:val="-8"/>
        </w:rPr>
        <w:t> </w:t>
      </w:r>
      <w:r>
        <w:rPr/>
        <w:t>vegetales;</w:t>
      </w:r>
      <w:r>
        <w:rPr>
          <w:spacing w:val="-9"/>
        </w:rPr>
        <w:t> </w:t>
      </w:r>
      <w:r>
        <w:rPr/>
        <w:t>protección</w:t>
      </w:r>
      <w:r>
        <w:rPr>
          <w:spacing w:val="-8"/>
        </w:rPr>
        <w:t> </w:t>
      </w:r>
      <w:r>
        <w:rPr/>
        <w:t>del</w:t>
      </w:r>
      <w:r>
        <w:rPr>
          <w:spacing w:val="-8"/>
        </w:rPr>
        <w:t> </w:t>
      </w:r>
      <w:r>
        <w:rPr/>
        <w:t>patrimonio</w:t>
      </w:r>
      <w:r>
        <w:rPr>
          <w:spacing w:val="-8"/>
        </w:rPr>
        <w:t> </w:t>
      </w:r>
      <w:r>
        <w:rPr/>
        <w:t>nacional</w:t>
      </w:r>
      <w:r>
        <w:rPr>
          <w:spacing w:val="-8"/>
        </w:rPr>
        <w:t> </w:t>
      </w:r>
      <w:r>
        <w:rPr/>
        <w:t>de</w:t>
      </w:r>
      <w:r>
        <w:rPr>
          <w:spacing w:val="-9"/>
        </w:rPr>
        <w:t> </w:t>
      </w:r>
      <w:r>
        <w:rPr/>
        <w:t>valor</w:t>
      </w:r>
      <w:r>
        <w:rPr>
          <w:spacing w:val="-8"/>
        </w:rPr>
        <w:t> </w:t>
      </w:r>
      <w:r>
        <w:rPr/>
        <w:t>artístico, histórico o arqueológico, entre otros.</w:t>
      </w:r>
    </w:p>
    <w:p>
      <w:pPr>
        <w:pStyle w:val="BodyText"/>
        <w:spacing w:before="3"/>
        <w:rPr>
          <w:rFonts w:ascii="Times New Roman"/>
          <w:i/>
          <w:sz w:val="24"/>
        </w:rPr>
      </w:pPr>
    </w:p>
    <w:p>
      <w:pPr>
        <w:spacing w:before="0"/>
        <w:ind w:left="2409" w:right="0" w:firstLine="0"/>
        <w:jc w:val="left"/>
        <w:rPr>
          <w:rFonts w:ascii="Times New Roman" w:hAnsi="Times New Roman"/>
          <w:i/>
          <w:sz w:val="24"/>
        </w:rPr>
      </w:pPr>
      <w:r>
        <w:rPr>
          <w:rFonts w:ascii="Times New Roman" w:hAnsi="Times New Roman"/>
          <w:i/>
          <w:spacing w:val="-5"/>
          <w:sz w:val="24"/>
        </w:rPr>
        <w:t>(…)</w:t>
      </w:r>
    </w:p>
    <w:p>
      <w:pPr>
        <w:pStyle w:val="BodyText"/>
        <w:spacing w:before="5"/>
        <w:rPr>
          <w:rFonts w:ascii="Times New Roman"/>
          <w:i/>
          <w:sz w:val="24"/>
        </w:rPr>
      </w:pPr>
    </w:p>
    <w:p>
      <w:pPr>
        <w:spacing w:before="0"/>
        <w:ind w:left="1701" w:right="980" w:firstLine="0"/>
        <w:jc w:val="both"/>
        <w:rPr>
          <w:sz w:val="22"/>
        </w:rPr>
      </w:pPr>
      <w:r>
        <w:rPr>
          <w:rFonts w:ascii="Arial" w:hAnsi="Arial"/>
          <w:i/>
          <w:sz w:val="22"/>
        </w:rPr>
        <w:t>Por</w:t>
      </w:r>
      <w:r>
        <w:rPr>
          <w:rFonts w:ascii="Arial" w:hAnsi="Arial"/>
          <w:i/>
          <w:spacing w:val="-13"/>
          <w:sz w:val="22"/>
        </w:rPr>
        <w:t> </w:t>
      </w:r>
      <w:r>
        <w:rPr>
          <w:rFonts w:ascii="Arial" w:hAnsi="Arial"/>
          <w:i/>
          <w:sz w:val="22"/>
        </w:rPr>
        <w:t>tanto,</w:t>
      </w:r>
      <w:r>
        <w:rPr>
          <w:rFonts w:ascii="Arial" w:hAnsi="Arial"/>
          <w:i/>
          <w:spacing w:val="-9"/>
          <w:sz w:val="22"/>
        </w:rPr>
        <w:t> </w:t>
      </w:r>
      <w:r>
        <w:rPr>
          <w:rFonts w:ascii="Arial" w:hAnsi="Arial"/>
          <w:b/>
          <w:i/>
          <w:sz w:val="22"/>
          <w:u w:val="single"/>
        </w:rPr>
        <w:t>no</w:t>
      </w:r>
      <w:r>
        <w:rPr>
          <w:rFonts w:ascii="Arial" w:hAnsi="Arial"/>
          <w:b/>
          <w:i/>
          <w:spacing w:val="-14"/>
          <w:sz w:val="22"/>
          <w:u w:val="single"/>
        </w:rPr>
        <w:t> </w:t>
      </w:r>
      <w:r>
        <w:rPr>
          <w:rFonts w:ascii="Arial" w:hAnsi="Arial"/>
          <w:b/>
          <w:i/>
          <w:sz w:val="22"/>
          <w:u w:val="single"/>
        </w:rPr>
        <w:t>bastaría</w:t>
      </w:r>
      <w:r>
        <w:rPr>
          <w:rFonts w:ascii="Arial" w:hAnsi="Arial"/>
          <w:b/>
          <w:i/>
          <w:spacing w:val="-14"/>
          <w:sz w:val="22"/>
          <w:u w:val="single"/>
        </w:rPr>
        <w:t> </w:t>
      </w:r>
      <w:r>
        <w:rPr>
          <w:rFonts w:ascii="Arial" w:hAnsi="Arial"/>
          <w:b/>
          <w:i/>
          <w:sz w:val="22"/>
          <w:u w:val="single"/>
        </w:rPr>
        <w:t>que</w:t>
      </w:r>
      <w:r>
        <w:rPr>
          <w:rFonts w:ascii="Arial" w:hAnsi="Arial"/>
          <w:b/>
          <w:i/>
          <w:spacing w:val="-12"/>
          <w:sz w:val="22"/>
          <w:u w:val="single"/>
        </w:rPr>
        <w:t> </w:t>
      </w:r>
      <w:r>
        <w:rPr>
          <w:rFonts w:ascii="Arial" w:hAnsi="Arial"/>
          <w:b/>
          <w:i/>
          <w:sz w:val="22"/>
          <w:u w:val="single"/>
        </w:rPr>
        <w:t>un</w:t>
      </w:r>
      <w:r>
        <w:rPr>
          <w:rFonts w:ascii="Arial" w:hAnsi="Arial"/>
          <w:b/>
          <w:i/>
          <w:spacing w:val="-12"/>
          <w:sz w:val="22"/>
          <w:u w:val="single"/>
        </w:rPr>
        <w:t> </w:t>
      </w:r>
      <w:r>
        <w:rPr>
          <w:rFonts w:ascii="Arial" w:hAnsi="Arial"/>
          <w:b/>
          <w:i/>
          <w:sz w:val="22"/>
          <w:u w:val="single"/>
        </w:rPr>
        <w:t>país</w:t>
      </w:r>
      <w:r>
        <w:rPr>
          <w:rFonts w:ascii="Arial" w:hAnsi="Arial"/>
          <w:b/>
          <w:i/>
          <w:spacing w:val="-14"/>
          <w:sz w:val="22"/>
          <w:u w:val="single"/>
        </w:rPr>
        <w:t> </w:t>
      </w:r>
      <w:r>
        <w:rPr>
          <w:rFonts w:ascii="Arial" w:hAnsi="Arial"/>
          <w:b/>
          <w:i/>
          <w:sz w:val="22"/>
          <w:u w:val="single"/>
        </w:rPr>
        <w:t>alegue</w:t>
      </w:r>
      <w:r>
        <w:rPr>
          <w:rFonts w:ascii="Arial" w:hAnsi="Arial"/>
          <w:b/>
          <w:i/>
          <w:spacing w:val="-14"/>
          <w:sz w:val="22"/>
          <w:u w:val="single"/>
        </w:rPr>
        <w:t> </w:t>
      </w:r>
      <w:r>
        <w:rPr>
          <w:rFonts w:ascii="Arial" w:hAnsi="Arial"/>
          <w:b/>
          <w:i/>
          <w:sz w:val="22"/>
          <w:u w:val="single"/>
        </w:rPr>
        <w:t>sin</w:t>
      </w:r>
      <w:r>
        <w:rPr>
          <w:rFonts w:ascii="Arial" w:hAnsi="Arial"/>
          <w:b/>
          <w:i/>
          <w:spacing w:val="-15"/>
          <w:sz w:val="22"/>
          <w:u w:val="single"/>
        </w:rPr>
        <w:t> </w:t>
      </w:r>
      <w:r>
        <w:rPr>
          <w:rFonts w:ascii="Arial" w:hAnsi="Arial"/>
          <w:b/>
          <w:i/>
          <w:sz w:val="22"/>
          <w:u w:val="single"/>
        </w:rPr>
        <w:t>mayor</w:t>
      </w:r>
      <w:r>
        <w:rPr>
          <w:rFonts w:ascii="Arial" w:hAnsi="Arial"/>
          <w:b/>
          <w:i/>
          <w:spacing w:val="-13"/>
          <w:sz w:val="22"/>
          <w:u w:val="single"/>
        </w:rPr>
        <w:t> </w:t>
      </w:r>
      <w:r>
        <w:rPr>
          <w:rFonts w:ascii="Arial" w:hAnsi="Arial"/>
          <w:b/>
          <w:i/>
          <w:sz w:val="22"/>
          <w:u w:val="single"/>
        </w:rPr>
        <w:t>justificación</w:t>
      </w:r>
      <w:r>
        <w:rPr>
          <w:rFonts w:ascii="Arial" w:hAnsi="Arial"/>
          <w:b/>
          <w:i/>
          <w:spacing w:val="-14"/>
          <w:sz w:val="22"/>
          <w:u w:val="single"/>
        </w:rPr>
        <w:t> </w:t>
      </w:r>
      <w:r>
        <w:rPr>
          <w:rFonts w:ascii="Arial" w:hAnsi="Arial"/>
          <w:b/>
          <w:i/>
          <w:sz w:val="22"/>
          <w:u w:val="single"/>
        </w:rPr>
        <w:t>la</w:t>
      </w:r>
      <w:r>
        <w:rPr>
          <w:rFonts w:ascii="Arial" w:hAnsi="Arial"/>
          <w:b/>
          <w:i/>
          <w:spacing w:val="-14"/>
          <w:sz w:val="22"/>
          <w:u w:val="single"/>
        </w:rPr>
        <w:t> </w:t>
      </w:r>
      <w:r>
        <w:rPr>
          <w:rFonts w:ascii="Arial" w:hAnsi="Arial"/>
          <w:b/>
          <w:i/>
          <w:sz w:val="22"/>
          <w:u w:val="single"/>
        </w:rPr>
        <w:t>aplicación</w:t>
      </w:r>
      <w:r>
        <w:rPr>
          <w:rFonts w:ascii="Arial" w:hAnsi="Arial"/>
          <w:b/>
          <w:i/>
          <w:sz w:val="22"/>
        </w:rPr>
        <w:t> </w:t>
      </w:r>
      <w:r>
        <w:rPr>
          <w:rFonts w:ascii="Arial" w:hAnsi="Arial"/>
          <w:b/>
          <w:i/>
          <w:sz w:val="22"/>
          <w:u w:val="single"/>
        </w:rPr>
        <w:t>de</w:t>
      </w:r>
      <w:r>
        <w:rPr>
          <w:rFonts w:ascii="Arial" w:hAnsi="Arial"/>
          <w:b/>
          <w:i/>
          <w:spacing w:val="-10"/>
          <w:sz w:val="22"/>
          <w:u w:val="single"/>
        </w:rPr>
        <w:t> </w:t>
      </w:r>
      <w:r>
        <w:rPr>
          <w:rFonts w:ascii="Arial" w:hAnsi="Arial"/>
          <w:b/>
          <w:i/>
          <w:sz w:val="22"/>
          <w:u w:val="single"/>
        </w:rPr>
        <w:t>algunas</w:t>
      </w:r>
      <w:r>
        <w:rPr>
          <w:rFonts w:ascii="Arial" w:hAnsi="Arial"/>
          <w:b/>
          <w:i/>
          <w:spacing w:val="-13"/>
          <w:sz w:val="22"/>
          <w:u w:val="single"/>
        </w:rPr>
        <w:t> </w:t>
      </w:r>
      <w:r>
        <w:rPr>
          <w:rFonts w:ascii="Arial" w:hAnsi="Arial"/>
          <w:b/>
          <w:i/>
          <w:sz w:val="22"/>
          <w:u w:val="single"/>
        </w:rPr>
        <w:t>de</w:t>
      </w:r>
      <w:r>
        <w:rPr>
          <w:rFonts w:ascii="Arial" w:hAnsi="Arial"/>
          <w:b/>
          <w:i/>
          <w:spacing w:val="-13"/>
          <w:sz w:val="22"/>
          <w:u w:val="single"/>
        </w:rPr>
        <w:t> </w:t>
      </w:r>
      <w:r>
        <w:rPr>
          <w:rFonts w:ascii="Arial" w:hAnsi="Arial"/>
          <w:b/>
          <w:i/>
          <w:sz w:val="22"/>
          <w:u w:val="single"/>
        </w:rPr>
        <w:t>las</w:t>
      </w:r>
      <w:r>
        <w:rPr>
          <w:rFonts w:ascii="Arial" w:hAnsi="Arial"/>
          <w:b/>
          <w:i/>
          <w:spacing w:val="-13"/>
          <w:sz w:val="22"/>
          <w:u w:val="single"/>
        </w:rPr>
        <w:t> </w:t>
      </w:r>
      <w:r>
        <w:rPr>
          <w:rFonts w:ascii="Arial" w:hAnsi="Arial"/>
          <w:b/>
          <w:i/>
          <w:sz w:val="22"/>
          <w:u w:val="single"/>
        </w:rPr>
        <w:t>excepciones</w:t>
      </w:r>
      <w:r>
        <w:rPr>
          <w:rFonts w:ascii="Arial" w:hAnsi="Arial"/>
          <w:b/>
          <w:i/>
          <w:spacing w:val="-10"/>
          <w:sz w:val="22"/>
          <w:u w:val="single"/>
        </w:rPr>
        <w:t> </w:t>
      </w:r>
      <w:r>
        <w:rPr>
          <w:rFonts w:ascii="Arial" w:hAnsi="Arial"/>
          <w:b/>
          <w:i/>
          <w:sz w:val="22"/>
          <w:u w:val="single"/>
        </w:rPr>
        <w:t>del</w:t>
      </w:r>
      <w:r>
        <w:rPr>
          <w:rFonts w:ascii="Arial" w:hAnsi="Arial"/>
          <w:b/>
          <w:i/>
          <w:spacing w:val="-8"/>
          <w:sz w:val="22"/>
          <w:u w:val="single"/>
        </w:rPr>
        <w:t> </w:t>
      </w:r>
      <w:r>
        <w:rPr>
          <w:rFonts w:ascii="Arial" w:hAnsi="Arial"/>
          <w:b/>
          <w:i/>
          <w:sz w:val="22"/>
          <w:u w:val="single"/>
        </w:rPr>
        <w:t>segundo</w:t>
      </w:r>
      <w:r>
        <w:rPr>
          <w:rFonts w:ascii="Arial" w:hAnsi="Arial"/>
          <w:b/>
          <w:i/>
          <w:spacing w:val="-12"/>
          <w:sz w:val="22"/>
          <w:u w:val="single"/>
        </w:rPr>
        <w:t> </w:t>
      </w:r>
      <w:r>
        <w:rPr>
          <w:rFonts w:ascii="Arial" w:hAnsi="Arial"/>
          <w:b/>
          <w:i/>
          <w:sz w:val="22"/>
          <w:u w:val="single"/>
        </w:rPr>
        <w:t>párrafo</w:t>
      </w:r>
      <w:r>
        <w:rPr>
          <w:rFonts w:ascii="Arial" w:hAnsi="Arial"/>
          <w:b/>
          <w:i/>
          <w:spacing w:val="-12"/>
          <w:sz w:val="22"/>
          <w:u w:val="single"/>
        </w:rPr>
        <w:t> </w:t>
      </w:r>
      <w:r>
        <w:rPr>
          <w:rFonts w:ascii="Arial" w:hAnsi="Arial"/>
          <w:b/>
          <w:i/>
          <w:sz w:val="22"/>
          <w:u w:val="single"/>
        </w:rPr>
        <w:t>del</w:t>
      </w:r>
      <w:r>
        <w:rPr>
          <w:rFonts w:ascii="Arial" w:hAnsi="Arial"/>
          <w:b/>
          <w:i/>
          <w:spacing w:val="-11"/>
          <w:sz w:val="22"/>
          <w:u w:val="single"/>
        </w:rPr>
        <w:t> </w:t>
      </w:r>
      <w:r>
        <w:rPr>
          <w:rFonts w:ascii="Arial" w:hAnsi="Arial"/>
          <w:b/>
          <w:i/>
          <w:sz w:val="22"/>
          <w:u w:val="single"/>
        </w:rPr>
        <w:t>Artículo</w:t>
      </w:r>
      <w:r>
        <w:rPr>
          <w:rFonts w:ascii="Arial" w:hAnsi="Arial"/>
          <w:b/>
          <w:i/>
          <w:spacing w:val="-10"/>
          <w:sz w:val="22"/>
          <w:u w:val="single"/>
        </w:rPr>
        <w:t> </w:t>
      </w:r>
      <w:r>
        <w:rPr>
          <w:rFonts w:ascii="Arial" w:hAnsi="Arial"/>
          <w:b/>
          <w:i/>
          <w:sz w:val="22"/>
          <w:u w:val="single"/>
        </w:rPr>
        <w:t>73</w:t>
      </w:r>
      <w:r>
        <w:rPr>
          <w:rFonts w:ascii="Arial" w:hAnsi="Arial"/>
          <w:b/>
          <w:i/>
          <w:spacing w:val="-13"/>
          <w:sz w:val="22"/>
          <w:u w:val="single"/>
        </w:rPr>
        <w:t> </w:t>
      </w:r>
      <w:r>
        <w:rPr>
          <w:rFonts w:ascii="Arial" w:hAnsi="Arial"/>
          <w:b/>
          <w:i/>
          <w:sz w:val="22"/>
          <w:u w:val="single"/>
        </w:rPr>
        <w:t>precitado</w:t>
      </w:r>
      <w:r>
        <w:rPr>
          <w:rFonts w:ascii="Arial" w:hAnsi="Arial"/>
          <w:b/>
          <w:i/>
          <w:sz w:val="22"/>
        </w:rPr>
        <w:t> </w:t>
      </w:r>
      <w:r>
        <w:rPr>
          <w:rFonts w:ascii="Arial" w:hAnsi="Arial"/>
          <w:b/>
          <w:i/>
          <w:sz w:val="22"/>
          <w:u w:val="single"/>
        </w:rPr>
        <w:t>para considerar que queda autorizado para establecer una restricción al</w:t>
      </w:r>
      <w:r>
        <w:rPr>
          <w:rFonts w:ascii="Arial" w:hAnsi="Arial"/>
          <w:b/>
          <w:i/>
          <w:sz w:val="22"/>
        </w:rPr>
        <w:t> </w:t>
      </w:r>
      <w:r>
        <w:rPr>
          <w:rFonts w:ascii="Arial" w:hAnsi="Arial"/>
          <w:b/>
          <w:i/>
          <w:sz w:val="22"/>
          <w:u w:val="single"/>
        </w:rPr>
        <w:t>comercio subregional andino</w:t>
      </w:r>
      <w:r>
        <w:rPr>
          <w:rFonts w:ascii="Arial" w:hAnsi="Arial"/>
          <w:i/>
          <w:sz w:val="22"/>
        </w:rPr>
        <w:t>, pues ello vaciaría de contenido al Programa de Liberación</w:t>
      </w:r>
      <w:r>
        <w:rPr>
          <w:rFonts w:ascii="Arial" w:hAnsi="Arial"/>
          <w:i/>
          <w:spacing w:val="-3"/>
          <w:sz w:val="22"/>
        </w:rPr>
        <w:t> </w:t>
      </w:r>
      <w:r>
        <w:rPr>
          <w:rFonts w:ascii="Arial" w:hAnsi="Arial"/>
          <w:i/>
          <w:sz w:val="22"/>
        </w:rPr>
        <w:t>previsto</w:t>
      </w:r>
      <w:r>
        <w:rPr>
          <w:rFonts w:ascii="Arial" w:hAnsi="Arial"/>
          <w:i/>
          <w:spacing w:val="-5"/>
          <w:sz w:val="22"/>
        </w:rPr>
        <w:t> </w:t>
      </w:r>
      <w:r>
        <w:rPr>
          <w:rFonts w:ascii="Arial" w:hAnsi="Arial"/>
          <w:i/>
          <w:sz w:val="22"/>
        </w:rPr>
        <w:t>en</w:t>
      </w:r>
      <w:r>
        <w:rPr>
          <w:rFonts w:ascii="Arial" w:hAnsi="Arial"/>
          <w:i/>
          <w:spacing w:val="-5"/>
          <w:sz w:val="22"/>
        </w:rPr>
        <w:t> </w:t>
      </w:r>
      <w:r>
        <w:rPr>
          <w:rFonts w:ascii="Arial" w:hAnsi="Arial"/>
          <w:i/>
          <w:sz w:val="22"/>
        </w:rPr>
        <w:t>el</w:t>
      </w:r>
      <w:r>
        <w:rPr>
          <w:rFonts w:ascii="Arial" w:hAnsi="Arial"/>
          <w:i/>
          <w:spacing w:val="-8"/>
          <w:sz w:val="22"/>
        </w:rPr>
        <w:t> </w:t>
      </w:r>
      <w:r>
        <w:rPr>
          <w:rFonts w:ascii="Arial" w:hAnsi="Arial"/>
          <w:i/>
          <w:sz w:val="22"/>
        </w:rPr>
        <w:t>Capítulo</w:t>
      </w:r>
      <w:r>
        <w:rPr>
          <w:rFonts w:ascii="Arial" w:hAnsi="Arial"/>
          <w:i/>
          <w:spacing w:val="-5"/>
          <w:sz w:val="22"/>
        </w:rPr>
        <w:t> </w:t>
      </w:r>
      <w:r>
        <w:rPr>
          <w:rFonts w:ascii="Arial" w:hAnsi="Arial"/>
          <w:i/>
          <w:sz w:val="22"/>
        </w:rPr>
        <w:t>VI</w:t>
      </w:r>
      <w:r>
        <w:rPr>
          <w:rFonts w:ascii="Arial" w:hAnsi="Arial"/>
          <w:i/>
          <w:spacing w:val="-4"/>
          <w:sz w:val="22"/>
        </w:rPr>
        <w:t> </w:t>
      </w:r>
      <w:r>
        <w:rPr>
          <w:rFonts w:ascii="Arial" w:hAnsi="Arial"/>
          <w:i/>
          <w:sz w:val="22"/>
        </w:rPr>
        <w:t>del</w:t>
      </w:r>
      <w:r>
        <w:rPr>
          <w:rFonts w:ascii="Arial" w:hAnsi="Arial"/>
          <w:i/>
          <w:spacing w:val="-3"/>
          <w:sz w:val="22"/>
        </w:rPr>
        <w:t> </w:t>
      </w:r>
      <w:r>
        <w:rPr>
          <w:rFonts w:ascii="Arial" w:hAnsi="Arial"/>
          <w:i/>
          <w:sz w:val="22"/>
        </w:rPr>
        <w:t>Acuerdo</w:t>
      </w:r>
      <w:r>
        <w:rPr>
          <w:rFonts w:ascii="Arial" w:hAnsi="Arial"/>
          <w:i/>
          <w:spacing w:val="-8"/>
          <w:sz w:val="22"/>
        </w:rPr>
        <w:t> </w:t>
      </w:r>
      <w:r>
        <w:rPr>
          <w:rFonts w:ascii="Arial" w:hAnsi="Arial"/>
          <w:i/>
          <w:sz w:val="22"/>
        </w:rPr>
        <w:t>de</w:t>
      </w:r>
      <w:r>
        <w:rPr>
          <w:rFonts w:ascii="Arial" w:hAnsi="Arial"/>
          <w:i/>
          <w:spacing w:val="-3"/>
          <w:sz w:val="22"/>
        </w:rPr>
        <w:t> </w:t>
      </w:r>
      <w:r>
        <w:rPr>
          <w:rFonts w:ascii="Arial" w:hAnsi="Arial"/>
          <w:i/>
          <w:sz w:val="22"/>
        </w:rPr>
        <w:t>Cartagena,</w:t>
      </w:r>
      <w:r>
        <w:rPr>
          <w:rFonts w:ascii="Arial" w:hAnsi="Arial"/>
          <w:i/>
          <w:spacing w:val="-6"/>
          <w:sz w:val="22"/>
        </w:rPr>
        <w:t> </w:t>
      </w:r>
      <w:r>
        <w:rPr>
          <w:rFonts w:ascii="Arial" w:hAnsi="Arial"/>
          <w:i/>
          <w:sz w:val="22"/>
        </w:rPr>
        <w:t>convirtiéndolo</w:t>
      </w:r>
      <w:r>
        <w:rPr>
          <w:rFonts w:ascii="Arial" w:hAnsi="Arial"/>
          <w:i/>
          <w:spacing w:val="-3"/>
          <w:sz w:val="22"/>
        </w:rPr>
        <w:t> </w:t>
      </w:r>
      <w:r>
        <w:rPr>
          <w:rFonts w:ascii="Arial" w:hAnsi="Arial"/>
          <w:i/>
          <w:sz w:val="22"/>
        </w:rPr>
        <w:t>en letra muerta”</w:t>
      </w:r>
      <w:r>
        <w:rPr>
          <w:rFonts w:ascii="Arial" w:hAnsi="Arial"/>
          <w:i/>
          <w:spacing w:val="-1"/>
          <w:sz w:val="22"/>
        </w:rPr>
        <w:t> </w:t>
      </w:r>
      <w:hyperlink w:history="true" w:anchor="_bookmark189">
        <w:r>
          <w:rPr>
            <w:sz w:val="22"/>
            <w:vertAlign w:val="superscript"/>
          </w:rPr>
          <w:t>122</w:t>
        </w:r>
      </w:hyperlink>
      <w:r>
        <w:rPr>
          <w:sz w:val="22"/>
          <w:vertAlign w:val="baseline"/>
        </w:rPr>
        <w:t> [énfasis añadido]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En ese sentido, la interpretación de las excepciones al </w:t>
      </w:r>
      <w:r>
        <w:rPr>
          <w:rFonts w:ascii="Arial" w:hAnsi="Arial"/>
          <w:i/>
          <w:sz w:val="22"/>
        </w:rPr>
        <w:t>Programa de Liberación</w:t>
      </w:r>
      <w:r>
        <w:rPr>
          <w:sz w:val="22"/>
        </w:rPr>
        <w:t>, previstas</w:t>
      </w:r>
      <w:r>
        <w:rPr>
          <w:spacing w:val="-16"/>
          <w:sz w:val="22"/>
        </w:rPr>
        <w:t> </w:t>
      </w:r>
      <w:r>
        <w:rPr>
          <w:sz w:val="22"/>
        </w:rPr>
        <w:t>al</w:t>
      </w:r>
      <w:r>
        <w:rPr>
          <w:spacing w:val="-15"/>
          <w:sz w:val="22"/>
        </w:rPr>
        <w:t> </w:t>
      </w:r>
      <w:r>
        <w:rPr>
          <w:sz w:val="22"/>
        </w:rPr>
        <w:t>amparo</w:t>
      </w:r>
      <w:r>
        <w:rPr>
          <w:spacing w:val="-15"/>
          <w:sz w:val="22"/>
        </w:rPr>
        <w:t> </w:t>
      </w:r>
      <w:r>
        <w:rPr>
          <w:sz w:val="22"/>
        </w:rPr>
        <w:t>del</w:t>
      </w:r>
      <w:r>
        <w:rPr>
          <w:spacing w:val="-16"/>
          <w:sz w:val="22"/>
        </w:rPr>
        <w:t> </w:t>
      </w:r>
      <w:r>
        <w:rPr>
          <w:sz w:val="22"/>
        </w:rPr>
        <w:t>artículo</w:t>
      </w:r>
      <w:r>
        <w:rPr>
          <w:spacing w:val="-15"/>
          <w:sz w:val="22"/>
        </w:rPr>
        <w:t> </w:t>
      </w:r>
      <w:r>
        <w:rPr>
          <w:sz w:val="22"/>
        </w:rPr>
        <w:t>73</w:t>
      </w:r>
      <w:r>
        <w:rPr>
          <w:spacing w:val="-15"/>
          <w:sz w:val="22"/>
        </w:rPr>
        <w:t> </w:t>
      </w:r>
      <w:r>
        <w:rPr>
          <w:sz w:val="22"/>
        </w:rPr>
        <w:t>del</w:t>
      </w:r>
      <w:r>
        <w:rPr>
          <w:spacing w:val="-15"/>
          <w:sz w:val="22"/>
        </w:rPr>
        <w:t> </w:t>
      </w:r>
      <w:r>
        <w:rPr>
          <w:sz w:val="22"/>
        </w:rPr>
        <w:t>Tratado</w:t>
      </w:r>
      <w:r>
        <w:rPr>
          <w:spacing w:val="-16"/>
          <w:sz w:val="22"/>
        </w:rPr>
        <w:t> </w:t>
      </w:r>
      <w:r>
        <w:rPr>
          <w:sz w:val="22"/>
        </w:rPr>
        <w:t>Fundacional,</w:t>
      </w:r>
      <w:r>
        <w:rPr>
          <w:spacing w:val="-15"/>
          <w:sz w:val="22"/>
        </w:rPr>
        <w:t> </w:t>
      </w:r>
      <w:r>
        <w:rPr>
          <w:sz w:val="22"/>
        </w:rPr>
        <w:t>deben</w:t>
      </w:r>
      <w:r>
        <w:rPr>
          <w:spacing w:val="-15"/>
          <w:sz w:val="22"/>
        </w:rPr>
        <w:t> </w:t>
      </w:r>
      <w:r>
        <w:rPr>
          <w:sz w:val="22"/>
        </w:rPr>
        <w:t>realizarse</w:t>
      </w:r>
      <w:r>
        <w:rPr>
          <w:spacing w:val="-16"/>
          <w:sz w:val="22"/>
        </w:rPr>
        <w:t> </w:t>
      </w:r>
      <w:r>
        <w:rPr>
          <w:sz w:val="22"/>
        </w:rPr>
        <w:t>de</w:t>
      </w:r>
      <w:r>
        <w:rPr>
          <w:spacing w:val="-15"/>
          <w:sz w:val="22"/>
        </w:rPr>
        <w:t> </w:t>
      </w:r>
      <w:r>
        <w:rPr>
          <w:sz w:val="22"/>
        </w:rPr>
        <w:t>manera restrictiva y taxativa, conforme la jurisprudencia del TJCAN.</w:t>
      </w:r>
    </w:p>
    <w:p>
      <w:pPr>
        <w:pStyle w:val="ListParagraph"/>
        <w:numPr>
          <w:ilvl w:val="0"/>
          <w:numId w:val="50"/>
        </w:numPr>
        <w:tabs>
          <w:tab w:pos="1130" w:val="left" w:leader="none"/>
          <w:tab w:pos="1134" w:val="left" w:leader="none"/>
        </w:tabs>
        <w:spacing w:line="240" w:lineRule="auto" w:before="252" w:after="0"/>
        <w:ind w:left="1134" w:right="982" w:hanging="567"/>
        <w:jc w:val="both"/>
        <w:rPr>
          <w:sz w:val="22"/>
        </w:rPr>
      </w:pPr>
      <w:r>
        <w:rPr>
          <w:sz w:val="22"/>
        </w:rPr>
        <w:t>La República de Colombia en el Decreto 0170 cita que, el párrafo dos del literal b) del artículo 73 del Acuerdo de Cartagena la facultaría para adoptar medidas destinadas a la defensa de la seguridad nacional del país. Asimismo, argumenta que:</w:t>
      </w:r>
    </w:p>
    <w:p>
      <w:pPr>
        <w:pStyle w:val="BodyText"/>
      </w:pPr>
    </w:p>
    <w:p>
      <w:pPr>
        <w:spacing w:before="1"/>
        <w:ind w:left="1648" w:right="976" w:firstLine="0"/>
        <w:jc w:val="both"/>
        <w:rPr>
          <w:rFonts w:ascii="Arial" w:hAnsi="Arial"/>
          <w:i/>
          <w:sz w:val="22"/>
        </w:rPr>
      </w:pPr>
      <w:r>
        <w:rPr>
          <w:sz w:val="22"/>
        </w:rPr>
        <w:t>“</w:t>
      </w:r>
      <w:r>
        <w:rPr>
          <w:rFonts w:ascii="Arial" w:hAnsi="Arial"/>
          <w:i/>
          <w:sz w:val="22"/>
        </w:rPr>
        <w:t>El concepto de seguridad nacional en el</w:t>
      </w:r>
      <w:r>
        <w:rPr>
          <w:rFonts w:ascii="Arial" w:hAnsi="Arial"/>
          <w:i/>
          <w:spacing w:val="-1"/>
          <w:sz w:val="22"/>
        </w:rPr>
        <w:t> </w:t>
      </w:r>
      <w:r>
        <w:rPr>
          <w:rFonts w:ascii="Arial" w:hAnsi="Arial"/>
          <w:i/>
          <w:sz w:val="22"/>
        </w:rPr>
        <w:t>marco de la CAN ha sido introducido en el artículo 11 de la Decisión 439, autorizando a los Países Miembros a tomar medidas en materia de servicios cuyo objetivo sea “proteger los intereses esenciales</w:t>
      </w:r>
      <w:r>
        <w:rPr>
          <w:rFonts w:ascii="Arial" w:hAnsi="Arial"/>
          <w:i/>
          <w:spacing w:val="-16"/>
          <w:sz w:val="22"/>
        </w:rPr>
        <w:t> </w:t>
      </w:r>
      <w:r>
        <w:rPr>
          <w:rFonts w:ascii="Arial" w:hAnsi="Arial"/>
          <w:i/>
          <w:sz w:val="22"/>
        </w:rPr>
        <w:t>de</w:t>
      </w:r>
      <w:r>
        <w:rPr>
          <w:rFonts w:ascii="Arial" w:hAnsi="Arial"/>
          <w:i/>
          <w:spacing w:val="-15"/>
          <w:sz w:val="22"/>
        </w:rPr>
        <w:t> </w:t>
      </w:r>
      <w:r>
        <w:rPr>
          <w:rFonts w:ascii="Arial" w:hAnsi="Arial"/>
          <w:i/>
          <w:sz w:val="22"/>
        </w:rPr>
        <w:t>seguridad</w:t>
      </w:r>
      <w:r>
        <w:rPr>
          <w:rFonts w:ascii="Arial" w:hAnsi="Arial"/>
          <w:i/>
          <w:spacing w:val="-15"/>
          <w:sz w:val="22"/>
        </w:rPr>
        <w:t> </w:t>
      </w:r>
      <w:r>
        <w:rPr>
          <w:rFonts w:ascii="Arial" w:hAnsi="Arial"/>
          <w:i/>
          <w:sz w:val="22"/>
        </w:rPr>
        <w:t>nacional,</w:t>
      </w:r>
      <w:r>
        <w:rPr>
          <w:rFonts w:ascii="Arial" w:hAnsi="Arial"/>
          <w:i/>
          <w:spacing w:val="-16"/>
          <w:sz w:val="22"/>
        </w:rPr>
        <w:t> </w:t>
      </w:r>
      <w:r>
        <w:rPr>
          <w:rFonts w:ascii="Arial" w:hAnsi="Arial"/>
          <w:i/>
          <w:sz w:val="22"/>
        </w:rPr>
        <w:t>motivo</w:t>
      </w:r>
      <w:r>
        <w:rPr>
          <w:rFonts w:ascii="Arial" w:hAnsi="Arial"/>
          <w:i/>
          <w:spacing w:val="-15"/>
          <w:sz w:val="22"/>
        </w:rPr>
        <w:t> </w:t>
      </w:r>
      <w:r>
        <w:rPr>
          <w:rFonts w:ascii="Arial" w:hAnsi="Arial"/>
          <w:i/>
          <w:sz w:val="22"/>
        </w:rPr>
        <w:t>por</w:t>
      </w:r>
      <w:r>
        <w:rPr>
          <w:rFonts w:ascii="Arial" w:hAnsi="Arial"/>
          <w:i/>
          <w:spacing w:val="-15"/>
          <w:sz w:val="22"/>
        </w:rPr>
        <w:t> </w:t>
      </w:r>
      <w:r>
        <w:rPr>
          <w:rFonts w:ascii="Arial" w:hAnsi="Arial"/>
          <w:i/>
          <w:sz w:val="22"/>
        </w:rPr>
        <w:t>el</w:t>
      </w:r>
      <w:r>
        <w:rPr>
          <w:rFonts w:ascii="Arial" w:hAnsi="Arial"/>
          <w:i/>
          <w:spacing w:val="-15"/>
          <w:sz w:val="22"/>
        </w:rPr>
        <w:t> </w:t>
      </w:r>
      <w:r>
        <w:rPr>
          <w:rFonts w:ascii="Arial" w:hAnsi="Arial"/>
          <w:i/>
          <w:sz w:val="22"/>
        </w:rPr>
        <w:t>cual,</w:t>
      </w:r>
      <w:r>
        <w:rPr>
          <w:rFonts w:ascii="Arial" w:hAnsi="Arial"/>
          <w:i/>
          <w:spacing w:val="-16"/>
          <w:sz w:val="22"/>
        </w:rPr>
        <w:t> </w:t>
      </w:r>
      <w:r>
        <w:rPr>
          <w:rFonts w:ascii="Arial" w:hAnsi="Arial"/>
          <w:i/>
          <w:sz w:val="22"/>
        </w:rPr>
        <w:t>Colombia</w:t>
      </w:r>
      <w:r>
        <w:rPr>
          <w:rFonts w:ascii="Arial" w:hAnsi="Arial"/>
          <w:i/>
          <w:spacing w:val="-15"/>
          <w:sz w:val="22"/>
        </w:rPr>
        <w:t> </w:t>
      </w:r>
      <w:r>
        <w:rPr>
          <w:rFonts w:ascii="Arial" w:hAnsi="Arial"/>
          <w:i/>
          <w:sz w:val="22"/>
        </w:rPr>
        <w:t>está</w:t>
      </w:r>
      <w:r>
        <w:rPr>
          <w:rFonts w:ascii="Arial" w:hAnsi="Arial"/>
          <w:i/>
          <w:spacing w:val="-15"/>
          <w:sz w:val="22"/>
        </w:rPr>
        <w:t> </w:t>
      </w:r>
      <w:r>
        <w:rPr>
          <w:rFonts w:ascii="Arial" w:hAnsi="Arial"/>
          <w:i/>
          <w:sz w:val="22"/>
        </w:rPr>
        <w:t>habilitada</w:t>
      </w:r>
      <w:r>
        <w:rPr>
          <w:rFonts w:ascii="Arial" w:hAnsi="Arial"/>
          <w:i/>
          <w:spacing w:val="-16"/>
          <w:sz w:val="22"/>
        </w:rPr>
        <w:t> </w:t>
      </w:r>
      <w:r>
        <w:rPr>
          <w:rFonts w:ascii="Arial" w:hAnsi="Arial"/>
          <w:i/>
          <w:sz w:val="22"/>
        </w:rPr>
        <w:t>para tomar medidas similares respecto del comercio de bienes, en aplicación del principio de complemento indispensable respecto del alcance del literal b) del artículo</w:t>
      </w:r>
      <w:r>
        <w:rPr>
          <w:rFonts w:ascii="Arial" w:hAnsi="Arial"/>
          <w:i/>
          <w:spacing w:val="-12"/>
          <w:sz w:val="22"/>
        </w:rPr>
        <w:t> </w:t>
      </w:r>
      <w:r>
        <w:rPr>
          <w:rFonts w:ascii="Arial" w:hAnsi="Arial"/>
          <w:i/>
          <w:sz w:val="22"/>
        </w:rPr>
        <w:t>73</w:t>
      </w:r>
      <w:r>
        <w:rPr>
          <w:rFonts w:ascii="Arial" w:hAnsi="Arial"/>
          <w:i/>
          <w:spacing w:val="-14"/>
          <w:sz w:val="22"/>
        </w:rPr>
        <w:t> </w:t>
      </w:r>
      <w:r>
        <w:rPr>
          <w:rFonts w:ascii="Arial" w:hAnsi="Arial"/>
          <w:i/>
          <w:sz w:val="22"/>
        </w:rPr>
        <w:t>del</w:t>
      </w:r>
      <w:r>
        <w:rPr>
          <w:rFonts w:ascii="Arial" w:hAnsi="Arial"/>
          <w:i/>
          <w:spacing w:val="-12"/>
          <w:sz w:val="22"/>
        </w:rPr>
        <w:t> </w:t>
      </w:r>
      <w:r>
        <w:rPr>
          <w:rFonts w:ascii="Arial" w:hAnsi="Arial"/>
          <w:i/>
          <w:sz w:val="22"/>
        </w:rPr>
        <w:t>Acuerdo</w:t>
      </w:r>
      <w:r>
        <w:rPr>
          <w:rFonts w:ascii="Arial" w:hAnsi="Arial"/>
          <w:i/>
          <w:spacing w:val="-12"/>
          <w:sz w:val="22"/>
        </w:rPr>
        <w:t> </w:t>
      </w:r>
      <w:r>
        <w:rPr>
          <w:rFonts w:ascii="Arial" w:hAnsi="Arial"/>
          <w:i/>
          <w:sz w:val="22"/>
        </w:rPr>
        <w:t>de</w:t>
      </w:r>
      <w:r>
        <w:rPr>
          <w:rFonts w:ascii="Arial" w:hAnsi="Arial"/>
          <w:i/>
          <w:spacing w:val="-11"/>
          <w:sz w:val="22"/>
        </w:rPr>
        <w:t> </w:t>
      </w:r>
      <w:r>
        <w:rPr>
          <w:rFonts w:ascii="Arial" w:hAnsi="Arial"/>
          <w:i/>
          <w:sz w:val="22"/>
        </w:rPr>
        <w:t>Cartagena,</w:t>
      </w:r>
      <w:r>
        <w:rPr>
          <w:rFonts w:ascii="Arial" w:hAnsi="Arial"/>
          <w:i/>
          <w:spacing w:val="-13"/>
          <w:sz w:val="22"/>
        </w:rPr>
        <w:t> </w:t>
      </w:r>
      <w:r>
        <w:rPr>
          <w:rFonts w:ascii="Arial" w:hAnsi="Arial"/>
          <w:i/>
          <w:sz w:val="22"/>
        </w:rPr>
        <w:t>siempre</w:t>
      </w:r>
      <w:r>
        <w:rPr>
          <w:rFonts w:ascii="Arial" w:hAnsi="Arial"/>
          <w:i/>
          <w:spacing w:val="-14"/>
          <w:sz w:val="22"/>
        </w:rPr>
        <w:t> </w:t>
      </w:r>
      <w:r>
        <w:rPr>
          <w:rFonts w:ascii="Arial" w:hAnsi="Arial"/>
          <w:i/>
          <w:sz w:val="22"/>
        </w:rPr>
        <w:t>y</w:t>
      </w:r>
      <w:r>
        <w:rPr>
          <w:rFonts w:ascii="Arial" w:hAnsi="Arial"/>
          <w:i/>
          <w:spacing w:val="-11"/>
          <w:sz w:val="22"/>
        </w:rPr>
        <w:t> </w:t>
      </w:r>
      <w:r>
        <w:rPr>
          <w:rFonts w:ascii="Arial" w:hAnsi="Arial"/>
          <w:i/>
          <w:sz w:val="22"/>
        </w:rPr>
        <w:t>cuando</w:t>
      </w:r>
      <w:r>
        <w:rPr>
          <w:rFonts w:ascii="Arial" w:hAnsi="Arial"/>
          <w:i/>
          <w:spacing w:val="-11"/>
          <w:sz w:val="22"/>
        </w:rPr>
        <w:t> </w:t>
      </w:r>
      <w:r>
        <w:rPr>
          <w:rFonts w:ascii="Arial" w:hAnsi="Arial"/>
          <w:i/>
          <w:sz w:val="22"/>
        </w:rPr>
        <w:t>no</w:t>
      </w:r>
      <w:r>
        <w:rPr>
          <w:rFonts w:ascii="Arial" w:hAnsi="Arial"/>
          <w:i/>
          <w:spacing w:val="-14"/>
          <w:sz w:val="22"/>
        </w:rPr>
        <w:t> </w:t>
      </w:r>
      <w:r>
        <w:rPr>
          <w:rFonts w:ascii="Arial" w:hAnsi="Arial"/>
          <w:i/>
          <w:sz w:val="22"/>
        </w:rPr>
        <w:t>se</w:t>
      </w:r>
      <w:r>
        <w:rPr>
          <w:rFonts w:ascii="Arial" w:hAnsi="Arial"/>
          <w:i/>
          <w:spacing w:val="-11"/>
          <w:sz w:val="22"/>
        </w:rPr>
        <w:t> </w:t>
      </w:r>
      <w:r>
        <w:rPr>
          <w:rFonts w:ascii="Arial" w:hAnsi="Arial"/>
          <w:i/>
          <w:sz w:val="22"/>
        </w:rPr>
        <w:t>apliquen</w:t>
      </w:r>
      <w:r>
        <w:rPr>
          <w:rFonts w:ascii="Arial" w:hAnsi="Arial"/>
          <w:i/>
          <w:spacing w:val="-12"/>
          <w:sz w:val="22"/>
        </w:rPr>
        <w:t> </w:t>
      </w:r>
      <w:r>
        <w:rPr>
          <w:rFonts w:ascii="Arial" w:hAnsi="Arial"/>
          <w:i/>
          <w:sz w:val="22"/>
        </w:rPr>
        <w:t>de</w:t>
      </w:r>
      <w:r>
        <w:rPr>
          <w:rFonts w:ascii="Arial" w:hAnsi="Arial"/>
          <w:i/>
          <w:spacing w:val="-16"/>
          <w:sz w:val="22"/>
        </w:rPr>
        <w:t> </w:t>
      </w:r>
      <w:r>
        <w:rPr>
          <w:rFonts w:ascii="Arial" w:hAnsi="Arial"/>
          <w:i/>
          <w:sz w:val="22"/>
        </w:rPr>
        <w:t>manera desproporcionada</w:t>
      </w:r>
      <w:r>
        <w:rPr>
          <w:rFonts w:ascii="Arial" w:hAnsi="Arial"/>
          <w:i/>
          <w:spacing w:val="-9"/>
          <w:sz w:val="22"/>
        </w:rPr>
        <w:t> </w:t>
      </w:r>
      <w:r>
        <w:rPr>
          <w:rFonts w:ascii="Arial" w:hAnsi="Arial"/>
          <w:i/>
          <w:sz w:val="22"/>
        </w:rPr>
        <w:t>en</w:t>
      </w:r>
      <w:r>
        <w:rPr>
          <w:rFonts w:ascii="Arial" w:hAnsi="Arial"/>
          <w:i/>
          <w:spacing w:val="-12"/>
          <w:sz w:val="22"/>
        </w:rPr>
        <w:t> </w:t>
      </w:r>
      <w:r>
        <w:rPr>
          <w:rFonts w:ascii="Arial" w:hAnsi="Arial"/>
          <w:i/>
          <w:sz w:val="22"/>
        </w:rPr>
        <w:t>relación</w:t>
      </w:r>
      <w:r>
        <w:rPr>
          <w:rFonts w:ascii="Arial" w:hAnsi="Arial"/>
          <w:i/>
          <w:spacing w:val="-9"/>
          <w:sz w:val="22"/>
        </w:rPr>
        <w:t> </w:t>
      </w:r>
      <w:r>
        <w:rPr>
          <w:rFonts w:ascii="Arial" w:hAnsi="Arial"/>
          <w:i/>
          <w:sz w:val="22"/>
        </w:rPr>
        <w:t>con</w:t>
      </w:r>
      <w:r>
        <w:rPr>
          <w:rFonts w:ascii="Arial" w:hAnsi="Arial"/>
          <w:i/>
          <w:spacing w:val="-9"/>
          <w:sz w:val="22"/>
        </w:rPr>
        <w:t> </w:t>
      </w:r>
      <w:r>
        <w:rPr>
          <w:rFonts w:ascii="Arial" w:hAnsi="Arial"/>
          <w:i/>
          <w:sz w:val="22"/>
        </w:rPr>
        <w:t>el</w:t>
      </w:r>
      <w:r>
        <w:rPr>
          <w:rFonts w:ascii="Arial" w:hAnsi="Arial"/>
          <w:i/>
          <w:spacing w:val="-10"/>
          <w:sz w:val="22"/>
        </w:rPr>
        <w:t> </w:t>
      </w:r>
      <w:r>
        <w:rPr>
          <w:rFonts w:ascii="Arial" w:hAnsi="Arial"/>
          <w:i/>
          <w:sz w:val="22"/>
        </w:rPr>
        <w:t>objetivo</w:t>
      </w:r>
      <w:r>
        <w:rPr>
          <w:rFonts w:ascii="Arial" w:hAnsi="Arial"/>
          <w:i/>
          <w:spacing w:val="-9"/>
          <w:sz w:val="22"/>
        </w:rPr>
        <w:t> </w:t>
      </w:r>
      <w:r>
        <w:rPr>
          <w:rFonts w:ascii="Arial" w:hAnsi="Arial"/>
          <w:i/>
          <w:sz w:val="22"/>
        </w:rPr>
        <w:t>que</w:t>
      </w:r>
      <w:r>
        <w:rPr>
          <w:rFonts w:ascii="Arial" w:hAnsi="Arial"/>
          <w:i/>
          <w:spacing w:val="-9"/>
          <w:sz w:val="22"/>
        </w:rPr>
        <w:t> </w:t>
      </w:r>
      <w:r>
        <w:rPr>
          <w:rFonts w:ascii="Arial" w:hAnsi="Arial"/>
          <w:i/>
          <w:sz w:val="22"/>
        </w:rPr>
        <w:t>persiguen</w:t>
      </w:r>
      <w:r>
        <w:rPr>
          <w:rFonts w:ascii="Arial" w:hAnsi="Arial"/>
          <w:i/>
          <w:spacing w:val="-9"/>
          <w:sz w:val="22"/>
        </w:rPr>
        <w:t> </w:t>
      </w:r>
      <w:r>
        <w:rPr>
          <w:rFonts w:ascii="Arial" w:hAnsi="Arial"/>
          <w:i/>
          <w:sz w:val="22"/>
        </w:rPr>
        <w:t>y</w:t>
      </w:r>
      <w:r>
        <w:rPr>
          <w:rFonts w:ascii="Arial" w:hAnsi="Arial"/>
          <w:i/>
          <w:spacing w:val="-8"/>
          <w:sz w:val="22"/>
        </w:rPr>
        <w:t> </w:t>
      </w:r>
      <w:r>
        <w:rPr>
          <w:rFonts w:ascii="Arial" w:hAnsi="Arial"/>
          <w:i/>
          <w:sz w:val="22"/>
        </w:rPr>
        <w:t>que</w:t>
      </w:r>
      <w:r>
        <w:rPr>
          <w:rFonts w:ascii="Arial" w:hAnsi="Arial"/>
          <w:i/>
          <w:spacing w:val="-9"/>
          <w:sz w:val="22"/>
        </w:rPr>
        <w:t> </w:t>
      </w:r>
      <w:r>
        <w:rPr>
          <w:rFonts w:ascii="Arial" w:hAnsi="Arial"/>
          <w:i/>
          <w:sz w:val="22"/>
        </w:rPr>
        <w:t>tampoco</w:t>
      </w:r>
      <w:r>
        <w:rPr>
          <w:rFonts w:ascii="Arial" w:hAnsi="Arial"/>
          <w:i/>
          <w:spacing w:val="-11"/>
          <w:sz w:val="22"/>
        </w:rPr>
        <w:t> </w:t>
      </w:r>
      <w:r>
        <w:rPr>
          <w:rFonts w:ascii="Arial" w:hAnsi="Arial"/>
          <w:i/>
          <w:sz w:val="22"/>
        </w:rPr>
        <w:t>tengan fines proteccionistas”</w:t>
      </w:r>
      <w:hyperlink w:history="true" w:anchor="_bookmark190">
        <w:r>
          <w:rPr>
            <w:rFonts w:ascii="Arial" w:hAnsi="Arial"/>
            <w:i/>
            <w:sz w:val="22"/>
          </w:rPr>
          <w:t>.</w:t>
        </w:r>
        <w:r>
          <w:rPr>
            <w:rFonts w:ascii="Arial" w:hAnsi="Arial"/>
            <w:i/>
            <w:sz w:val="22"/>
            <w:vertAlign w:val="superscript"/>
          </w:rPr>
          <w:t>123</w:t>
        </w:r>
      </w:hyperlink>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Asimismo, señala en el Decreto 0170, que, el segundo párrafo del literal b) del artículo 73</w:t>
      </w:r>
      <w:r>
        <w:rPr>
          <w:spacing w:val="-12"/>
          <w:sz w:val="22"/>
        </w:rPr>
        <w:t> </w:t>
      </w:r>
      <w:r>
        <w:rPr>
          <w:sz w:val="22"/>
        </w:rPr>
        <w:t>del</w:t>
      </w:r>
      <w:r>
        <w:rPr>
          <w:spacing w:val="-12"/>
          <w:sz w:val="22"/>
        </w:rPr>
        <w:t> </w:t>
      </w:r>
      <w:r>
        <w:rPr>
          <w:sz w:val="22"/>
        </w:rPr>
        <w:t>Acuerdo</w:t>
      </w:r>
      <w:r>
        <w:rPr>
          <w:spacing w:val="-12"/>
          <w:sz w:val="22"/>
        </w:rPr>
        <w:t> </w:t>
      </w:r>
      <w:r>
        <w:rPr>
          <w:sz w:val="22"/>
        </w:rPr>
        <w:t>de</w:t>
      </w:r>
      <w:r>
        <w:rPr>
          <w:spacing w:val="-12"/>
          <w:sz w:val="22"/>
        </w:rPr>
        <w:t> </w:t>
      </w:r>
      <w:r>
        <w:rPr>
          <w:sz w:val="22"/>
        </w:rPr>
        <w:t>Cartagena</w:t>
      </w:r>
      <w:r>
        <w:rPr>
          <w:spacing w:val="-12"/>
          <w:sz w:val="22"/>
        </w:rPr>
        <w:t> </w:t>
      </w:r>
      <w:r>
        <w:rPr>
          <w:sz w:val="22"/>
        </w:rPr>
        <w:t>la</w:t>
      </w:r>
      <w:r>
        <w:rPr>
          <w:spacing w:val="-11"/>
          <w:sz w:val="22"/>
        </w:rPr>
        <w:t> </w:t>
      </w:r>
      <w:r>
        <w:rPr>
          <w:sz w:val="22"/>
        </w:rPr>
        <w:t>facultaría</w:t>
      </w:r>
      <w:r>
        <w:rPr>
          <w:spacing w:val="-14"/>
          <w:sz w:val="22"/>
        </w:rPr>
        <w:t> </w:t>
      </w:r>
      <w:r>
        <w:rPr>
          <w:sz w:val="22"/>
        </w:rPr>
        <w:t>para</w:t>
      </w:r>
      <w:r>
        <w:rPr>
          <w:spacing w:val="-11"/>
          <w:sz w:val="22"/>
        </w:rPr>
        <w:t> </w:t>
      </w:r>
      <w:r>
        <w:rPr>
          <w:sz w:val="22"/>
        </w:rPr>
        <w:t>adoptar</w:t>
      </w:r>
      <w:r>
        <w:rPr>
          <w:spacing w:val="-12"/>
          <w:sz w:val="22"/>
        </w:rPr>
        <w:t> </w:t>
      </w:r>
      <w:r>
        <w:rPr>
          <w:sz w:val="22"/>
        </w:rPr>
        <w:t>medidas</w:t>
      </w:r>
      <w:r>
        <w:rPr>
          <w:spacing w:val="-11"/>
          <w:sz w:val="22"/>
        </w:rPr>
        <w:t> </w:t>
      </w:r>
      <w:r>
        <w:rPr>
          <w:sz w:val="22"/>
        </w:rPr>
        <w:t>orientadas</w:t>
      </w:r>
      <w:r>
        <w:rPr>
          <w:spacing w:val="-11"/>
          <w:sz w:val="22"/>
        </w:rPr>
        <w:t> </w:t>
      </w:r>
      <w:r>
        <w:rPr>
          <w:sz w:val="22"/>
        </w:rPr>
        <w:t>a</w:t>
      </w:r>
      <w:r>
        <w:rPr>
          <w:spacing w:val="-11"/>
          <w:sz w:val="22"/>
        </w:rPr>
        <w:t> </w:t>
      </w:r>
      <w:r>
        <w:rPr>
          <w:sz w:val="22"/>
        </w:rPr>
        <w:t>la</w:t>
      </w:r>
      <w:r>
        <w:rPr>
          <w:spacing w:val="-11"/>
          <w:sz w:val="22"/>
        </w:rPr>
        <w:t> </w:t>
      </w:r>
      <w:r>
        <w:rPr>
          <w:sz w:val="22"/>
        </w:rPr>
        <w:t>defensa de la seguridad nacional. Adicionalmente, invoca criterios vinculados al contrabando y al</w:t>
      </w:r>
      <w:r>
        <w:rPr>
          <w:spacing w:val="-8"/>
          <w:sz w:val="22"/>
        </w:rPr>
        <w:t> </w:t>
      </w:r>
      <w:r>
        <w:rPr>
          <w:sz w:val="22"/>
        </w:rPr>
        <w:t>comercio</w:t>
      </w:r>
      <w:r>
        <w:rPr>
          <w:spacing w:val="-7"/>
          <w:sz w:val="22"/>
        </w:rPr>
        <w:t> </w:t>
      </w:r>
      <w:r>
        <w:rPr>
          <w:sz w:val="22"/>
        </w:rPr>
        <w:t>ilícito</w:t>
      </w:r>
      <w:r>
        <w:rPr>
          <w:spacing w:val="-7"/>
          <w:sz w:val="22"/>
        </w:rPr>
        <w:t> </w:t>
      </w:r>
      <w:r>
        <w:rPr>
          <w:sz w:val="22"/>
        </w:rPr>
        <w:t>de</w:t>
      </w:r>
      <w:r>
        <w:rPr>
          <w:spacing w:val="-10"/>
          <w:sz w:val="22"/>
        </w:rPr>
        <w:t> </w:t>
      </w:r>
      <w:r>
        <w:rPr>
          <w:sz w:val="22"/>
        </w:rPr>
        <w:t>mercancías,</w:t>
      </w:r>
      <w:r>
        <w:rPr>
          <w:spacing w:val="-8"/>
          <w:sz w:val="22"/>
        </w:rPr>
        <w:t> </w:t>
      </w:r>
      <w:r>
        <w:rPr>
          <w:sz w:val="22"/>
        </w:rPr>
        <w:t>como</w:t>
      </w:r>
      <w:r>
        <w:rPr>
          <w:spacing w:val="-12"/>
          <w:sz w:val="22"/>
        </w:rPr>
        <w:t> </w:t>
      </w:r>
      <w:r>
        <w:rPr>
          <w:sz w:val="22"/>
        </w:rPr>
        <w:t>fundamentos</w:t>
      </w:r>
      <w:r>
        <w:rPr>
          <w:spacing w:val="-10"/>
          <w:sz w:val="22"/>
        </w:rPr>
        <w:t> </w:t>
      </w:r>
      <w:r>
        <w:rPr>
          <w:sz w:val="22"/>
        </w:rPr>
        <w:t>de</w:t>
      </w:r>
      <w:r>
        <w:rPr>
          <w:spacing w:val="-8"/>
          <w:sz w:val="22"/>
        </w:rPr>
        <w:t> </w:t>
      </w:r>
      <w:r>
        <w:rPr>
          <w:sz w:val="22"/>
        </w:rPr>
        <w:t>la</w:t>
      </w:r>
      <w:r>
        <w:rPr>
          <w:spacing w:val="-12"/>
          <w:sz w:val="22"/>
        </w:rPr>
        <w:t> </w:t>
      </w:r>
      <w:r>
        <w:rPr>
          <w:sz w:val="22"/>
        </w:rPr>
        <w:t>medida.</w:t>
      </w:r>
      <w:r>
        <w:rPr>
          <w:spacing w:val="-8"/>
          <w:sz w:val="22"/>
        </w:rPr>
        <w:t> </w:t>
      </w:r>
      <w:r>
        <w:rPr>
          <w:sz w:val="22"/>
        </w:rPr>
        <w:t>De</w:t>
      </w:r>
      <w:r>
        <w:rPr>
          <w:spacing w:val="-10"/>
          <w:sz w:val="22"/>
        </w:rPr>
        <w:t> </w:t>
      </w:r>
      <w:r>
        <w:rPr>
          <w:sz w:val="22"/>
        </w:rPr>
        <w:t>manera</w:t>
      </w:r>
      <w:r>
        <w:rPr>
          <w:spacing w:val="-7"/>
          <w:sz w:val="22"/>
        </w:rPr>
        <w:t> </w:t>
      </w:r>
      <w:r>
        <w:rPr>
          <w:sz w:val="22"/>
        </w:rPr>
        <w:t>general, los argumentos expuestos respecto de cada producto se sistematizan en la Tabla No. </w:t>
      </w:r>
      <w:r>
        <w:rPr>
          <w:spacing w:val="-4"/>
          <w:sz w:val="22"/>
        </w:rPr>
        <w:t>26.</w:t>
      </w:r>
    </w:p>
    <w:p>
      <w:pPr>
        <w:pStyle w:val="BodyText"/>
        <w:rPr>
          <w:sz w:val="20"/>
        </w:rPr>
      </w:pPr>
    </w:p>
    <w:p>
      <w:pPr>
        <w:pStyle w:val="BodyText"/>
        <w:rPr>
          <w:sz w:val="20"/>
        </w:rPr>
      </w:pPr>
    </w:p>
    <w:p>
      <w:pPr>
        <w:pStyle w:val="BodyText"/>
        <w:spacing w:before="82"/>
        <w:rPr>
          <w:sz w:val="20"/>
        </w:rPr>
      </w:pPr>
      <w:r>
        <w:rPr>
          <w:sz w:val="20"/>
        </w:rPr>
        <mc:AlternateContent>
          <mc:Choice Requires="wps">
            <w:drawing>
              <wp:anchor distT="0" distB="0" distL="0" distR="0" allowOverlap="1" layoutInCell="1" locked="0" behindDoc="1" simplePos="0" relativeHeight="487669248">
                <wp:simplePos x="0" y="0"/>
                <wp:positionH relativeFrom="page">
                  <wp:posOffset>990904</wp:posOffset>
                </wp:positionH>
                <wp:positionV relativeFrom="paragraph">
                  <wp:posOffset>213621</wp:posOffset>
                </wp:positionV>
                <wp:extent cx="1829435" cy="7620"/>
                <wp:effectExtent l="0" t="0" r="0" b="0"/>
                <wp:wrapTopAndBottom/>
                <wp:docPr id="675" name="Graphic 675"/>
                <wp:cNvGraphicFramePr>
                  <a:graphicFrameLocks/>
                </wp:cNvGraphicFramePr>
                <a:graphic>
                  <a:graphicData uri="http://schemas.microsoft.com/office/word/2010/wordprocessingShape">
                    <wps:wsp>
                      <wps:cNvPr id="675" name="Graphic 675"/>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6.820587pt;width:144.020pt;height:.599980pt;mso-position-horizontal-relative:page;mso-position-vertical-relative:paragraph;z-index:-15647232;mso-wrap-distance-left:0;mso-wrap-distance-right:0" id="docshape454" filled="true" fillcolor="#000000" stroked="false">
                <v:fill type="solid"/>
                <w10:wrap type="topAndBottom"/>
              </v:rect>
            </w:pict>
          </mc:Fallback>
        </mc:AlternateContent>
      </w:r>
    </w:p>
    <w:p>
      <w:pPr>
        <w:spacing w:before="92"/>
        <w:ind w:left="568" w:right="955" w:firstLine="0"/>
        <w:jc w:val="left"/>
        <w:rPr>
          <w:sz w:val="16"/>
        </w:rPr>
      </w:pPr>
      <w:bookmarkStart w:name="_bookmark189" w:id="190"/>
      <w:bookmarkEnd w:id="190"/>
      <w:r>
        <w:rPr/>
      </w:r>
      <w:r>
        <w:rPr>
          <w:sz w:val="16"/>
          <w:vertAlign w:val="superscript"/>
        </w:rPr>
        <w:t>122</w:t>
      </w:r>
      <w:r>
        <w:rPr>
          <w:sz w:val="16"/>
          <w:vertAlign w:val="baseline"/>
        </w:rPr>
        <w:t> Tribunal</w:t>
      </w:r>
      <w:r>
        <w:rPr>
          <w:spacing w:val="16"/>
          <w:sz w:val="16"/>
          <w:vertAlign w:val="baseline"/>
        </w:rPr>
        <w:t> </w:t>
      </w:r>
      <w:r>
        <w:rPr>
          <w:sz w:val="16"/>
          <w:vertAlign w:val="baseline"/>
        </w:rPr>
        <w:t>Andino de Justicia.</w:t>
      </w:r>
      <w:r>
        <w:rPr>
          <w:spacing w:val="16"/>
          <w:sz w:val="16"/>
          <w:vertAlign w:val="baseline"/>
        </w:rPr>
        <w:t> </w:t>
      </w:r>
      <w:r>
        <w:rPr>
          <w:sz w:val="16"/>
          <w:vertAlign w:val="baseline"/>
        </w:rPr>
        <w:t>Proceso 01-AN-2014. Acción de Nulidad interpuesta por la República del</w:t>
      </w:r>
      <w:r>
        <w:rPr>
          <w:spacing w:val="16"/>
          <w:sz w:val="16"/>
          <w:vertAlign w:val="baseline"/>
        </w:rPr>
        <w:t> </w:t>
      </w:r>
      <w:r>
        <w:rPr>
          <w:sz w:val="16"/>
          <w:vertAlign w:val="baseline"/>
        </w:rPr>
        <w:t>Ecuador contra las</w:t>
      </w:r>
      <w:r>
        <w:rPr>
          <w:spacing w:val="40"/>
          <w:sz w:val="16"/>
          <w:vertAlign w:val="baseline"/>
        </w:rPr>
        <w:t> </w:t>
      </w:r>
      <w:r>
        <w:rPr>
          <w:sz w:val="16"/>
          <w:vertAlign w:val="baseline"/>
        </w:rPr>
        <w:t>Resoluciones 1695 y 1716 emitidas por la Secretaría General de la Comunidad Andina.</w:t>
      </w:r>
    </w:p>
    <w:p>
      <w:pPr>
        <w:spacing w:line="183" w:lineRule="exact" w:before="0"/>
        <w:ind w:left="568" w:right="0" w:firstLine="0"/>
        <w:jc w:val="left"/>
        <w:rPr>
          <w:sz w:val="16"/>
        </w:rPr>
      </w:pPr>
      <w:bookmarkStart w:name="_bookmark190" w:id="191"/>
      <w:bookmarkEnd w:id="191"/>
      <w:r>
        <w:rPr/>
      </w:r>
      <w:r>
        <w:rPr>
          <w:sz w:val="16"/>
          <w:vertAlign w:val="superscript"/>
        </w:rPr>
        <w:t>123</w:t>
      </w:r>
      <w:r>
        <w:rPr>
          <w:spacing w:val="-7"/>
          <w:sz w:val="16"/>
          <w:vertAlign w:val="baseline"/>
        </w:rPr>
        <w:t> </w:t>
      </w:r>
      <w:r>
        <w:rPr>
          <w:sz w:val="16"/>
          <w:vertAlign w:val="baseline"/>
        </w:rPr>
        <w:t>Expediente</w:t>
      </w:r>
      <w:r>
        <w:rPr>
          <w:spacing w:val="-7"/>
          <w:sz w:val="16"/>
          <w:vertAlign w:val="baseline"/>
        </w:rPr>
        <w:t> </w:t>
      </w:r>
      <w:r>
        <w:rPr>
          <w:sz w:val="16"/>
          <w:vertAlign w:val="baseline"/>
        </w:rPr>
        <w:t>DGCOM/GRAV-REST/002/2026,</w:t>
      </w:r>
      <w:r>
        <w:rPr>
          <w:spacing w:val="-7"/>
          <w:sz w:val="16"/>
          <w:vertAlign w:val="baseline"/>
        </w:rPr>
        <w:t> </w:t>
      </w:r>
      <w:r>
        <w:rPr>
          <w:sz w:val="16"/>
          <w:vertAlign w:val="baseline"/>
        </w:rPr>
        <w:t>folios</w:t>
      </w:r>
      <w:r>
        <w:rPr>
          <w:spacing w:val="-5"/>
          <w:sz w:val="16"/>
          <w:vertAlign w:val="baseline"/>
        </w:rPr>
        <w:t> </w:t>
      </w:r>
      <w:r>
        <w:rPr>
          <w:sz w:val="16"/>
          <w:vertAlign w:val="baseline"/>
        </w:rPr>
        <w:t>000088</w:t>
      </w:r>
      <w:r>
        <w:rPr>
          <w:spacing w:val="-9"/>
          <w:sz w:val="16"/>
          <w:vertAlign w:val="baseline"/>
        </w:rPr>
        <w:t> </w:t>
      </w:r>
      <w:r>
        <w:rPr>
          <w:sz w:val="16"/>
          <w:vertAlign w:val="baseline"/>
        </w:rPr>
        <w:t>y</w:t>
      </w:r>
      <w:r>
        <w:rPr>
          <w:spacing w:val="-8"/>
          <w:sz w:val="16"/>
          <w:vertAlign w:val="baseline"/>
        </w:rPr>
        <w:t> </w:t>
      </w:r>
      <w:r>
        <w:rPr>
          <w:spacing w:val="-2"/>
          <w:sz w:val="16"/>
          <w:vertAlign w:val="baseline"/>
        </w:rPr>
        <w:t>000089.</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676" name="Group 676"/>
                <wp:cNvGraphicFramePr>
                  <a:graphicFrameLocks/>
                </wp:cNvGraphicFramePr>
                <a:graphic>
                  <a:graphicData uri="http://schemas.microsoft.com/office/word/2010/wordprocessingGroup">
                    <wpg:wgp>
                      <wpg:cNvPr id="676" name="Group 676"/>
                      <wpg:cNvGrpSpPr/>
                      <wpg:grpSpPr>
                        <a:xfrm>
                          <a:off x="0" y="0"/>
                          <a:ext cx="6131560" cy="9525"/>
                          <a:chExt cx="6131560" cy="9525"/>
                        </a:xfrm>
                      </wpg:grpSpPr>
                      <wps:wsp>
                        <wps:cNvPr id="677" name="Graphic 677"/>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455"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115"/>
          <w:footerReference w:type="default" r:id="rId116"/>
          <w:pgSz w:w="11900" w:h="16850"/>
          <w:pgMar w:header="370" w:footer="597" w:top="1380" w:bottom="780" w:left="992" w:right="283"/>
        </w:sectPr>
      </w:pPr>
    </w:p>
    <w:p>
      <w:pPr>
        <w:pStyle w:val="BodyText"/>
        <w:spacing w:before="176"/>
      </w:pPr>
    </w:p>
    <w:p>
      <w:pPr>
        <w:pStyle w:val="Heading6"/>
        <w:ind w:right="409"/>
        <w:jc w:val="center"/>
      </w:pPr>
      <w:r>
        <w:rPr/>
        <w:t>Tabla</w:t>
      </w:r>
      <w:r>
        <w:rPr>
          <w:spacing w:val="-2"/>
        </w:rPr>
        <w:t> </w:t>
      </w:r>
      <w:r>
        <w:rPr/>
        <w:t>No.</w:t>
      </w:r>
      <w:r>
        <w:rPr>
          <w:spacing w:val="-2"/>
        </w:rPr>
        <w:t> </w:t>
      </w:r>
      <w:r>
        <w:rPr>
          <w:spacing w:val="-5"/>
        </w:rPr>
        <w:t>26</w:t>
      </w:r>
    </w:p>
    <w:p>
      <w:pPr>
        <w:spacing w:before="2"/>
        <w:ind w:left="2392" w:right="2805" w:firstLine="0"/>
        <w:jc w:val="center"/>
        <w:rPr>
          <w:rFonts w:ascii="Arial" w:hAnsi="Arial"/>
          <w:b/>
          <w:sz w:val="22"/>
        </w:rPr>
      </w:pPr>
      <w:r>
        <w:rPr>
          <w:rFonts w:ascii="Arial" w:hAnsi="Arial"/>
          <w:b/>
          <w:sz w:val="22"/>
        </w:rPr>
        <w:t>Resumen</w:t>
      </w:r>
      <w:r>
        <w:rPr>
          <w:rFonts w:ascii="Arial" w:hAnsi="Arial"/>
          <w:b/>
          <w:spacing w:val="-7"/>
          <w:sz w:val="22"/>
        </w:rPr>
        <w:t> </w:t>
      </w:r>
      <w:r>
        <w:rPr>
          <w:rFonts w:ascii="Arial" w:hAnsi="Arial"/>
          <w:b/>
          <w:sz w:val="22"/>
        </w:rPr>
        <w:t>de</w:t>
      </w:r>
      <w:r>
        <w:rPr>
          <w:rFonts w:ascii="Arial" w:hAnsi="Arial"/>
          <w:b/>
          <w:spacing w:val="-7"/>
          <w:sz w:val="22"/>
        </w:rPr>
        <w:t> </w:t>
      </w:r>
      <w:r>
        <w:rPr>
          <w:rFonts w:ascii="Arial" w:hAnsi="Arial"/>
          <w:b/>
          <w:sz w:val="22"/>
        </w:rPr>
        <w:t>argumentos</w:t>
      </w:r>
      <w:r>
        <w:rPr>
          <w:rFonts w:ascii="Arial" w:hAnsi="Arial"/>
          <w:b/>
          <w:spacing w:val="-7"/>
          <w:sz w:val="22"/>
        </w:rPr>
        <w:t> </w:t>
      </w:r>
      <w:r>
        <w:rPr>
          <w:rFonts w:ascii="Arial" w:hAnsi="Arial"/>
          <w:b/>
          <w:sz w:val="22"/>
        </w:rPr>
        <w:t>del</w:t>
      </w:r>
      <w:r>
        <w:rPr>
          <w:rFonts w:ascii="Arial" w:hAnsi="Arial"/>
          <w:b/>
          <w:spacing w:val="-8"/>
          <w:sz w:val="22"/>
        </w:rPr>
        <w:t> </w:t>
      </w:r>
      <w:r>
        <w:rPr>
          <w:rFonts w:ascii="Arial" w:hAnsi="Arial"/>
          <w:b/>
          <w:sz w:val="22"/>
        </w:rPr>
        <w:t>Decreto</w:t>
      </w:r>
      <w:r>
        <w:rPr>
          <w:rFonts w:ascii="Arial" w:hAnsi="Arial"/>
          <w:b/>
          <w:spacing w:val="-9"/>
          <w:sz w:val="22"/>
        </w:rPr>
        <w:t> </w:t>
      </w:r>
      <w:r>
        <w:rPr>
          <w:rFonts w:ascii="Arial" w:hAnsi="Arial"/>
          <w:b/>
          <w:sz w:val="22"/>
        </w:rPr>
        <w:t>0170 Productos contenidos en el artículo 2</w:t>
      </w:r>
    </w:p>
    <w:tbl>
      <w:tblPr>
        <w:tblW w:w="0" w:type="auto"/>
        <w:jc w:val="left"/>
        <w:tblInd w:w="1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02"/>
        <w:gridCol w:w="4820"/>
      </w:tblGrid>
      <w:tr>
        <w:trPr>
          <w:trHeight w:val="184" w:hRule="atLeast"/>
        </w:trPr>
        <w:tc>
          <w:tcPr>
            <w:tcW w:w="2302" w:type="dxa"/>
            <w:shd w:val="clear" w:color="auto" w:fill="D1D1D1"/>
          </w:tcPr>
          <w:p>
            <w:pPr>
              <w:pStyle w:val="TableParagraph"/>
              <w:spacing w:line="164" w:lineRule="exact"/>
              <w:ind w:left="79"/>
              <w:rPr>
                <w:rFonts w:ascii="Arial"/>
                <w:b/>
                <w:sz w:val="16"/>
              </w:rPr>
            </w:pPr>
            <w:r>
              <w:rPr>
                <w:rFonts w:ascii="Arial"/>
                <w:b/>
                <w:sz w:val="16"/>
              </w:rPr>
              <w:t>PRODUCTO</w:t>
            </w:r>
            <w:r>
              <w:rPr>
                <w:rFonts w:ascii="Arial"/>
                <w:b/>
                <w:spacing w:val="-9"/>
                <w:sz w:val="16"/>
              </w:rPr>
              <w:t> </w:t>
            </w:r>
            <w:r>
              <w:rPr>
                <w:rFonts w:ascii="Arial"/>
                <w:b/>
                <w:sz w:val="16"/>
              </w:rPr>
              <w:t>DECRETO</w:t>
            </w:r>
            <w:r>
              <w:rPr>
                <w:rFonts w:ascii="Arial"/>
                <w:b/>
                <w:spacing w:val="-5"/>
                <w:sz w:val="16"/>
              </w:rPr>
              <w:t> </w:t>
            </w:r>
            <w:r>
              <w:rPr>
                <w:rFonts w:ascii="Arial"/>
                <w:b/>
                <w:spacing w:val="-4"/>
                <w:sz w:val="16"/>
              </w:rPr>
              <w:t>0170</w:t>
            </w:r>
          </w:p>
        </w:tc>
        <w:tc>
          <w:tcPr>
            <w:tcW w:w="4820" w:type="dxa"/>
            <w:shd w:val="clear" w:color="auto" w:fill="D1D1D1"/>
          </w:tcPr>
          <w:p>
            <w:pPr>
              <w:pStyle w:val="TableParagraph"/>
              <w:spacing w:line="164" w:lineRule="exact"/>
              <w:ind w:left="1272"/>
              <w:rPr>
                <w:rFonts w:ascii="Arial"/>
                <w:b/>
                <w:sz w:val="16"/>
              </w:rPr>
            </w:pPr>
            <w:r>
              <w:rPr>
                <w:rFonts w:ascii="Arial"/>
                <w:b/>
                <w:sz w:val="16"/>
              </w:rPr>
              <w:t>ARGUMENTO</w:t>
            </w:r>
            <w:r>
              <w:rPr>
                <w:rFonts w:ascii="Arial"/>
                <w:b/>
                <w:spacing w:val="-7"/>
                <w:sz w:val="16"/>
              </w:rPr>
              <w:t> </w:t>
            </w:r>
            <w:r>
              <w:rPr>
                <w:rFonts w:ascii="Arial"/>
                <w:b/>
                <w:sz w:val="16"/>
              </w:rPr>
              <w:t>DECRETO</w:t>
            </w:r>
            <w:r>
              <w:rPr>
                <w:rFonts w:ascii="Arial"/>
                <w:b/>
                <w:spacing w:val="-8"/>
                <w:sz w:val="16"/>
              </w:rPr>
              <w:t> </w:t>
            </w:r>
            <w:r>
              <w:rPr>
                <w:rFonts w:ascii="Arial"/>
                <w:b/>
                <w:spacing w:val="-4"/>
                <w:sz w:val="16"/>
              </w:rPr>
              <w:t>0170</w:t>
            </w:r>
          </w:p>
        </w:tc>
      </w:tr>
      <w:tr>
        <w:trPr>
          <w:trHeight w:val="184" w:hRule="atLeast"/>
        </w:trPr>
        <w:tc>
          <w:tcPr>
            <w:tcW w:w="2302" w:type="dxa"/>
          </w:tcPr>
          <w:p>
            <w:pPr>
              <w:pStyle w:val="TableParagraph"/>
              <w:spacing w:line="164" w:lineRule="exact"/>
              <w:ind w:left="71"/>
              <w:rPr>
                <w:sz w:val="16"/>
              </w:rPr>
            </w:pPr>
            <w:r>
              <w:rPr>
                <w:spacing w:val="-2"/>
                <w:sz w:val="16"/>
              </w:rPr>
              <w:t>Arroz</w:t>
            </w:r>
          </w:p>
        </w:tc>
        <w:tc>
          <w:tcPr>
            <w:tcW w:w="4820" w:type="dxa"/>
          </w:tcPr>
          <w:p>
            <w:pPr>
              <w:pStyle w:val="TableParagraph"/>
              <w:spacing w:line="164" w:lineRule="exact"/>
              <w:ind w:left="69"/>
              <w:rPr>
                <w:sz w:val="16"/>
              </w:rPr>
            </w:pPr>
            <w:r>
              <w:rPr>
                <w:sz w:val="16"/>
              </w:rPr>
              <w:t>Contrabando,</w:t>
            </w:r>
            <w:r>
              <w:rPr>
                <w:spacing w:val="-11"/>
                <w:sz w:val="16"/>
              </w:rPr>
              <w:t> </w:t>
            </w:r>
            <w:r>
              <w:rPr>
                <w:sz w:val="16"/>
              </w:rPr>
              <w:t>incremento</w:t>
            </w:r>
            <w:r>
              <w:rPr>
                <w:spacing w:val="-10"/>
                <w:sz w:val="16"/>
              </w:rPr>
              <w:t> </w:t>
            </w:r>
            <w:r>
              <w:rPr>
                <w:sz w:val="16"/>
              </w:rPr>
              <w:t>inventarios,</w:t>
            </w:r>
            <w:r>
              <w:rPr>
                <w:spacing w:val="-11"/>
                <w:sz w:val="16"/>
              </w:rPr>
              <w:t> </w:t>
            </w:r>
            <w:r>
              <w:rPr>
                <w:sz w:val="16"/>
              </w:rPr>
              <w:t>subsidios</w:t>
            </w:r>
            <w:r>
              <w:rPr>
                <w:spacing w:val="-11"/>
                <w:sz w:val="16"/>
              </w:rPr>
              <w:t> </w:t>
            </w:r>
            <w:r>
              <w:rPr>
                <w:spacing w:val="-2"/>
                <w:sz w:val="16"/>
              </w:rPr>
              <w:t>Ecuador.</w:t>
            </w:r>
          </w:p>
        </w:tc>
      </w:tr>
      <w:tr>
        <w:trPr>
          <w:trHeight w:val="369" w:hRule="atLeast"/>
        </w:trPr>
        <w:tc>
          <w:tcPr>
            <w:tcW w:w="2302" w:type="dxa"/>
          </w:tcPr>
          <w:p>
            <w:pPr>
              <w:pStyle w:val="TableParagraph"/>
              <w:spacing w:before="90"/>
              <w:ind w:left="71"/>
              <w:rPr>
                <w:sz w:val="16"/>
              </w:rPr>
            </w:pPr>
            <w:r>
              <w:rPr>
                <w:sz w:val="16"/>
              </w:rPr>
              <w:t>Plátanos</w:t>
            </w:r>
            <w:r>
              <w:rPr>
                <w:spacing w:val="-6"/>
                <w:sz w:val="16"/>
              </w:rPr>
              <w:t> </w:t>
            </w:r>
            <w:r>
              <w:rPr>
                <w:spacing w:val="-2"/>
                <w:sz w:val="16"/>
              </w:rPr>
              <w:t>frescos</w:t>
            </w:r>
          </w:p>
        </w:tc>
        <w:tc>
          <w:tcPr>
            <w:tcW w:w="4820" w:type="dxa"/>
          </w:tcPr>
          <w:p>
            <w:pPr>
              <w:pStyle w:val="TableParagraph"/>
              <w:spacing w:line="184" w:lineRule="exact"/>
              <w:ind w:left="69"/>
              <w:rPr>
                <w:sz w:val="16"/>
              </w:rPr>
            </w:pPr>
            <w:r>
              <w:rPr>
                <w:sz w:val="16"/>
              </w:rPr>
              <w:t>Incremento</w:t>
            </w:r>
            <w:r>
              <w:rPr>
                <w:spacing w:val="40"/>
                <w:sz w:val="16"/>
              </w:rPr>
              <w:t> </w:t>
            </w:r>
            <w:r>
              <w:rPr>
                <w:sz w:val="16"/>
              </w:rPr>
              <w:t>riesgo</w:t>
            </w:r>
            <w:r>
              <w:rPr>
                <w:spacing w:val="40"/>
                <w:sz w:val="16"/>
              </w:rPr>
              <w:t> </w:t>
            </w:r>
            <w:r>
              <w:rPr>
                <w:sz w:val="16"/>
              </w:rPr>
              <w:t>de</w:t>
            </w:r>
            <w:r>
              <w:rPr>
                <w:spacing w:val="40"/>
                <w:sz w:val="16"/>
              </w:rPr>
              <w:t> </w:t>
            </w:r>
            <w:r>
              <w:rPr>
                <w:sz w:val="16"/>
              </w:rPr>
              <w:t>plagas:</w:t>
            </w:r>
            <w:r>
              <w:rPr>
                <w:spacing w:val="40"/>
                <w:sz w:val="16"/>
              </w:rPr>
              <w:t> </w:t>
            </w:r>
            <w:r>
              <w:rPr>
                <w:sz w:val="16"/>
              </w:rPr>
              <w:t>fusarium</w:t>
            </w:r>
            <w:r>
              <w:rPr>
                <w:spacing w:val="40"/>
                <w:sz w:val="16"/>
              </w:rPr>
              <w:t> </w:t>
            </w:r>
            <w:r>
              <w:rPr>
                <w:sz w:val="16"/>
              </w:rPr>
              <w:t>y</w:t>
            </w:r>
            <w:r>
              <w:rPr>
                <w:spacing w:val="40"/>
                <w:sz w:val="16"/>
              </w:rPr>
              <w:t> </w:t>
            </w:r>
            <w:r>
              <w:rPr>
                <w:sz w:val="16"/>
              </w:rPr>
              <w:t>moko</w:t>
            </w:r>
            <w:r>
              <w:rPr>
                <w:spacing w:val="40"/>
                <w:sz w:val="16"/>
              </w:rPr>
              <w:t> </w:t>
            </w:r>
            <w:r>
              <w:rPr>
                <w:sz w:val="16"/>
              </w:rPr>
              <w:t>bacteriano,</w:t>
            </w:r>
            <w:r>
              <w:rPr>
                <w:spacing w:val="80"/>
                <w:sz w:val="16"/>
              </w:rPr>
              <w:t> </w:t>
            </w:r>
            <w:r>
              <w:rPr>
                <w:sz w:val="16"/>
              </w:rPr>
              <w:t>mercado sensible, contrabando.</w:t>
            </w:r>
          </w:p>
        </w:tc>
      </w:tr>
      <w:tr>
        <w:trPr>
          <w:trHeight w:val="181" w:hRule="atLeast"/>
        </w:trPr>
        <w:tc>
          <w:tcPr>
            <w:tcW w:w="2302" w:type="dxa"/>
          </w:tcPr>
          <w:p>
            <w:pPr>
              <w:pStyle w:val="TableParagraph"/>
              <w:spacing w:line="162" w:lineRule="exact"/>
              <w:ind w:left="71"/>
              <w:rPr>
                <w:sz w:val="16"/>
              </w:rPr>
            </w:pPr>
            <w:r>
              <w:rPr>
                <w:sz w:val="16"/>
              </w:rPr>
              <w:t>Plátanos</w:t>
            </w:r>
            <w:r>
              <w:rPr>
                <w:spacing w:val="-9"/>
                <w:sz w:val="16"/>
              </w:rPr>
              <w:t> </w:t>
            </w:r>
            <w:r>
              <w:rPr>
                <w:spacing w:val="-2"/>
                <w:sz w:val="16"/>
              </w:rPr>
              <w:t>secos</w:t>
            </w:r>
          </w:p>
        </w:tc>
        <w:tc>
          <w:tcPr>
            <w:tcW w:w="4820" w:type="dxa"/>
          </w:tcPr>
          <w:p>
            <w:pPr>
              <w:pStyle w:val="TableParagraph"/>
              <w:spacing w:line="162" w:lineRule="exact"/>
              <w:ind w:left="69"/>
              <w:rPr>
                <w:sz w:val="16"/>
              </w:rPr>
            </w:pPr>
            <w:r>
              <w:rPr>
                <w:sz w:val="16"/>
              </w:rPr>
              <w:t>Contrabando</w:t>
            </w:r>
            <w:r>
              <w:rPr>
                <w:spacing w:val="-8"/>
                <w:sz w:val="16"/>
              </w:rPr>
              <w:t> </w:t>
            </w:r>
            <w:r>
              <w:rPr>
                <w:sz w:val="16"/>
              </w:rPr>
              <w:t>y</w:t>
            </w:r>
            <w:r>
              <w:rPr>
                <w:spacing w:val="-9"/>
                <w:sz w:val="16"/>
              </w:rPr>
              <w:t> </w:t>
            </w:r>
            <w:r>
              <w:rPr>
                <w:sz w:val="16"/>
              </w:rPr>
              <w:t>comercialización</w:t>
            </w:r>
            <w:r>
              <w:rPr>
                <w:spacing w:val="-10"/>
                <w:sz w:val="16"/>
              </w:rPr>
              <w:t> </w:t>
            </w:r>
            <w:r>
              <w:rPr>
                <w:spacing w:val="-2"/>
                <w:sz w:val="16"/>
              </w:rPr>
              <w:t>informal.</w:t>
            </w:r>
          </w:p>
        </w:tc>
      </w:tr>
      <w:tr>
        <w:trPr>
          <w:trHeight w:val="184" w:hRule="atLeast"/>
        </w:trPr>
        <w:tc>
          <w:tcPr>
            <w:tcW w:w="2302" w:type="dxa"/>
          </w:tcPr>
          <w:p>
            <w:pPr>
              <w:pStyle w:val="TableParagraph"/>
              <w:spacing w:line="164" w:lineRule="exact"/>
              <w:ind w:left="71"/>
              <w:rPr>
                <w:sz w:val="16"/>
              </w:rPr>
            </w:pPr>
            <w:r>
              <w:rPr>
                <w:sz w:val="16"/>
              </w:rPr>
              <w:t>Banano</w:t>
            </w:r>
            <w:r>
              <w:rPr>
                <w:spacing w:val="-6"/>
                <w:sz w:val="16"/>
              </w:rPr>
              <w:t> </w:t>
            </w:r>
            <w:r>
              <w:rPr>
                <w:sz w:val="16"/>
              </w:rPr>
              <w:t>bocadillo</w:t>
            </w:r>
            <w:r>
              <w:rPr>
                <w:spacing w:val="-6"/>
                <w:sz w:val="16"/>
              </w:rPr>
              <w:t> </w:t>
            </w:r>
            <w:r>
              <w:rPr>
                <w:spacing w:val="-2"/>
                <w:sz w:val="16"/>
              </w:rPr>
              <w:t>(orito)</w:t>
            </w:r>
          </w:p>
        </w:tc>
        <w:tc>
          <w:tcPr>
            <w:tcW w:w="4820" w:type="dxa"/>
          </w:tcPr>
          <w:p>
            <w:pPr>
              <w:pStyle w:val="TableParagraph"/>
              <w:spacing w:line="164" w:lineRule="exact"/>
              <w:ind w:left="69"/>
              <w:rPr>
                <w:sz w:val="16"/>
              </w:rPr>
            </w:pPr>
            <w:r>
              <w:rPr>
                <w:sz w:val="16"/>
              </w:rPr>
              <w:t>Contrabando</w:t>
            </w:r>
            <w:r>
              <w:rPr>
                <w:spacing w:val="-6"/>
                <w:sz w:val="16"/>
              </w:rPr>
              <w:t> </w:t>
            </w:r>
            <w:r>
              <w:rPr>
                <w:sz w:val="16"/>
              </w:rPr>
              <w:t>y</w:t>
            </w:r>
            <w:r>
              <w:rPr>
                <w:spacing w:val="-3"/>
                <w:sz w:val="16"/>
              </w:rPr>
              <w:t> </w:t>
            </w:r>
            <w:r>
              <w:rPr>
                <w:sz w:val="16"/>
              </w:rPr>
              <w:t>riesgos</w:t>
            </w:r>
            <w:r>
              <w:rPr>
                <w:spacing w:val="-6"/>
                <w:sz w:val="16"/>
              </w:rPr>
              <w:t> </w:t>
            </w:r>
            <w:r>
              <w:rPr>
                <w:spacing w:val="-2"/>
                <w:sz w:val="16"/>
              </w:rPr>
              <w:t>fitosanitarios.</w:t>
            </w:r>
          </w:p>
        </w:tc>
      </w:tr>
      <w:tr>
        <w:trPr>
          <w:trHeight w:val="184" w:hRule="atLeast"/>
        </w:trPr>
        <w:tc>
          <w:tcPr>
            <w:tcW w:w="2302" w:type="dxa"/>
          </w:tcPr>
          <w:p>
            <w:pPr>
              <w:pStyle w:val="TableParagraph"/>
              <w:spacing w:line="164" w:lineRule="exact"/>
              <w:ind w:left="71"/>
              <w:rPr>
                <w:sz w:val="16"/>
              </w:rPr>
            </w:pPr>
            <w:r>
              <w:rPr>
                <w:sz w:val="16"/>
              </w:rPr>
              <w:t>Aguacate</w:t>
            </w:r>
            <w:r>
              <w:rPr>
                <w:spacing w:val="-7"/>
                <w:sz w:val="16"/>
              </w:rPr>
              <w:t> </w:t>
            </w:r>
            <w:r>
              <w:rPr>
                <w:spacing w:val="-4"/>
                <w:sz w:val="16"/>
              </w:rPr>
              <w:t>Hass</w:t>
            </w:r>
          </w:p>
        </w:tc>
        <w:tc>
          <w:tcPr>
            <w:tcW w:w="4820" w:type="dxa"/>
          </w:tcPr>
          <w:p>
            <w:pPr>
              <w:pStyle w:val="TableParagraph"/>
              <w:spacing w:line="164" w:lineRule="exact"/>
              <w:ind w:left="69"/>
              <w:rPr>
                <w:sz w:val="16"/>
              </w:rPr>
            </w:pPr>
            <w:r>
              <w:rPr>
                <w:sz w:val="16"/>
              </w:rPr>
              <w:t>Incremento</w:t>
            </w:r>
            <w:r>
              <w:rPr>
                <w:spacing w:val="-5"/>
                <w:sz w:val="16"/>
              </w:rPr>
              <w:t> </w:t>
            </w:r>
            <w:r>
              <w:rPr>
                <w:sz w:val="16"/>
              </w:rPr>
              <w:t>de</w:t>
            </w:r>
            <w:r>
              <w:rPr>
                <w:spacing w:val="-5"/>
                <w:sz w:val="16"/>
              </w:rPr>
              <w:t> </w:t>
            </w:r>
            <w:r>
              <w:rPr>
                <w:sz w:val="16"/>
              </w:rPr>
              <w:t>riesgo</w:t>
            </w:r>
            <w:r>
              <w:rPr>
                <w:spacing w:val="-5"/>
                <w:sz w:val="16"/>
              </w:rPr>
              <w:t> </w:t>
            </w:r>
            <w:r>
              <w:rPr>
                <w:sz w:val="16"/>
              </w:rPr>
              <w:t>de</w:t>
            </w:r>
            <w:r>
              <w:rPr>
                <w:spacing w:val="-6"/>
                <w:sz w:val="16"/>
              </w:rPr>
              <w:t> </w:t>
            </w:r>
            <w:r>
              <w:rPr>
                <w:sz w:val="16"/>
              </w:rPr>
              <w:t>introducción</w:t>
            </w:r>
            <w:r>
              <w:rPr>
                <w:spacing w:val="-5"/>
                <w:sz w:val="16"/>
              </w:rPr>
              <w:t> </w:t>
            </w:r>
            <w:r>
              <w:rPr>
                <w:sz w:val="16"/>
              </w:rPr>
              <w:t>de</w:t>
            </w:r>
            <w:r>
              <w:rPr>
                <w:spacing w:val="-4"/>
                <w:sz w:val="16"/>
              </w:rPr>
              <w:t> </w:t>
            </w:r>
            <w:r>
              <w:rPr>
                <w:spacing w:val="-2"/>
                <w:sz w:val="16"/>
              </w:rPr>
              <w:t>patógenos.</w:t>
            </w:r>
          </w:p>
        </w:tc>
      </w:tr>
      <w:tr>
        <w:trPr>
          <w:trHeight w:val="184" w:hRule="atLeast"/>
        </w:trPr>
        <w:tc>
          <w:tcPr>
            <w:tcW w:w="2302" w:type="dxa"/>
          </w:tcPr>
          <w:p>
            <w:pPr>
              <w:pStyle w:val="TableParagraph"/>
              <w:spacing w:line="164" w:lineRule="exact"/>
              <w:ind w:left="71"/>
              <w:rPr>
                <w:sz w:val="16"/>
              </w:rPr>
            </w:pPr>
            <w:r>
              <w:rPr>
                <w:sz w:val="16"/>
              </w:rPr>
              <w:t>Papa</w:t>
            </w:r>
            <w:r>
              <w:rPr>
                <w:spacing w:val="-3"/>
                <w:sz w:val="16"/>
              </w:rPr>
              <w:t> </w:t>
            </w:r>
            <w:r>
              <w:rPr>
                <w:sz w:val="16"/>
              </w:rPr>
              <w:t>y</w:t>
            </w:r>
            <w:r>
              <w:rPr>
                <w:spacing w:val="-4"/>
                <w:sz w:val="16"/>
              </w:rPr>
              <w:t> </w:t>
            </w:r>
            <w:r>
              <w:rPr>
                <w:sz w:val="16"/>
              </w:rPr>
              <w:t>otras</w:t>
            </w:r>
            <w:r>
              <w:rPr>
                <w:spacing w:val="-3"/>
                <w:sz w:val="16"/>
              </w:rPr>
              <w:t> </w:t>
            </w:r>
            <w:r>
              <w:rPr>
                <w:spacing w:val="-2"/>
                <w:sz w:val="16"/>
              </w:rPr>
              <w:t>solanáceas</w:t>
            </w:r>
          </w:p>
        </w:tc>
        <w:tc>
          <w:tcPr>
            <w:tcW w:w="4820" w:type="dxa"/>
          </w:tcPr>
          <w:p>
            <w:pPr>
              <w:pStyle w:val="TableParagraph"/>
              <w:spacing w:line="164" w:lineRule="exact"/>
              <w:ind w:left="69"/>
              <w:rPr>
                <w:sz w:val="16"/>
              </w:rPr>
            </w:pPr>
            <w:r>
              <w:rPr>
                <w:sz w:val="16"/>
              </w:rPr>
              <w:t>Enfermedad</w:t>
            </w:r>
            <w:r>
              <w:rPr>
                <w:spacing w:val="-6"/>
                <w:sz w:val="16"/>
              </w:rPr>
              <w:t> </w:t>
            </w:r>
            <w:r>
              <w:rPr>
                <w:sz w:val="16"/>
              </w:rPr>
              <w:t>Punta</w:t>
            </w:r>
            <w:r>
              <w:rPr>
                <w:spacing w:val="-7"/>
                <w:sz w:val="16"/>
              </w:rPr>
              <w:t> </w:t>
            </w:r>
            <w:r>
              <w:rPr>
                <w:sz w:val="16"/>
              </w:rPr>
              <w:t>Morada,</w:t>
            </w:r>
            <w:r>
              <w:rPr>
                <w:spacing w:val="-5"/>
                <w:sz w:val="16"/>
              </w:rPr>
              <w:t> </w:t>
            </w:r>
            <w:r>
              <w:rPr>
                <w:sz w:val="16"/>
              </w:rPr>
              <w:t>Zebra</w:t>
            </w:r>
            <w:r>
              <w:rPr>
                <w:spacing w:val="-4"/>
                <w:sz w:val="16"/>
              </w:rPr>
              <w:t> </w:t>
            </w:r>
            <w:r>
              <w:rPr>
                <w:sz w:val="16"/>
              </w:rPr>
              <w:t>Chip,</w:t>
            </w:r>
            <w:r>
              <w:rPr>
                <w:spacing w:val="-5"/>
                <w:sz w:val="16"/>
              </w:rPr>
              <w:t> </w:t>
            </w:r>
            <w:r>
              <w:rPr>
                <w:spacing w:val="-2"/>
                <w:sz w:val="16"/>
              </w:rPr>
              <w:t>contrabando.</w:t>
            </w:r>
          </w:p>
        </w:tc>
      </w:tr>
      <w:tr>
        <w:trPr>
          <w:trHeight w:val="184" w:hRule="atLeast"/>
        </w:trPr>
        <w:tc>
          <w:tcPr>
            <w:tcW w:w="2302" w:type="dxa"/>
          </w:tcPr>
          <w:p>
            <w:pPr>
              <w:pStyle w:val="TableParagraph"/>
              <w:spacing w:line="164" w:lineRule="exact"/>
              <w:ind w:left="71"/>
              <w:rPr>
                <w:sz w:val="16"/>
              </w:rPr>
            </w:pPr>
            <w:r>
              <w:rPr>
                <w:sz w:val="16"/>
              </w:rPr>
              <w:t>Cebolla</w:t>
            </w:r>
            <w:r>
              <w:rPr>
                <w:spacing w:val="-3"/>
                <w:sz w:val="16"/>
              </w:rPr>
              <w:t> </w:t>
            </w:r>
            <w:r>
              <w:rPr>
                <w:sz w:val="16"/>
              </w:rPr>
              <w:t>de</w:t>
            </w:r>
            <w:r>
              <w:rPr>
                <w:spacing w:val="-3"/>
                <w:sz w:val="16"/>
              </w:rPr>
              <w:t> </w:t>
            </w:r>
            <w:r>
              <w:rPr>
                <w:spacing w:val="-2"/>
                <w:sz w:val="16"/>
              </w:rPr>
              <w:t>bulbo</w:t>
            </w:r>
          </w:p>
        </w:tc>
        <w:tc>
          <w:tcPr>
            <w:tcW w:w="4820" w:type="dxa"/>
          </w:tcPr>
          <w:p>
            <w:pPr>
              <w:pStyle w:val="TableParagraph"/>
              <w:spacing w:line="164" w:lineRule="exact"/>
              <w:ind w:left="69"/>
              <w:rPr>
                <w:sz w:val="16"/>
              </w:rPr>
            </w:pPr>
            <w:r>
              <w:rPr>
                <w:sz w:val="16"/>
              </w:rPr>
              <w:t>Contrabando</w:t>
            </w:r>
            <w:r>
              <w:rPr>
                <w:spacing w:val="-5"/>
                <w:sz w:val="16"/>
              </w:rPr>
              <w:t> </w:t>
            </w:r>
            <w:r>
              <w:rPr>
                <w:sz w:val="16"/>
              </w:rPr>
              <w:t>y</w:t>
            </w:r>
            <w:r>
              <w:rPr>
                <w:spacing w:val="-4"/>
                <w:sz w:val="16"/>
              </w:rPr>
              <w:t> </w:t>
            </w:r>
            <w:r>
              <w:rPr>
                <w:sz w:val="16"/>
              </w:rPr>
              <w:t>riesgo</w:t>
            </w:r>
            <w:r>
              <w:rPr>
                <w:spacing w:val="-4"/>
                <w:sz w:val="16"/>
              </w:rPr>
              <w:t> </w:t>
            </w:r>
            <w:r>
              <w:rPr>
                <w:spacing w:val="-2"/>
                <w:sz w:val="16"/>
              </w:rPr>
              <w:t>fitosanitario.</w:t>
            </w:r>
          </w:p>
        </w:tc>
      </w:tr>
      <w:tr>
        <w:trPr>
          <w:trHeight w:val="184" w:hRule="atLeast"/>
        </w:trPr>
        <w:tc>
          <w:tcPr>
            <w:tcW w:w="2302" w:type="dxa"/>
          </w:tcPr>
          <w:p>
            <w:pPr>
              <w:pStyle w:val="TableParagraph"/>
              <w:spacing w:line="164" w:lineRule="exact"/>
              <w:ind w:left="71"/>
              <w:rPr>
                <w:sz w:val="16"/>
              </w:rPr>
            </w:pPr>
            <w:r>
              <w:rPr>
                <w:sz w:val="16"/>
              </w:rPr>
              <w:t>Cebolla</w:t>
            </w:r>
            <w:r>
              <w:rPr>
                <w:spacing w:val="-4"/>
                <w:sz w:val="16"/>
              </w:rPr>
              <w:t> </w:t>
            </w:r>
            <w:r>
              <w:rPr>
                <w:sz w:val="16"/>
              </w:rPr>
              <w:t>de</w:t>
            </w:r>
            <w:r>
              <w:rPr>
                <w:spacing w:val="-3"/>
                <w:sz w:val="16"/>
              </w:rPr>
              <w:t> </w:t>
            </w:r>
            <w:r>
              <w:rPr>
                <w:sz w:val="16"/>
              </w:rPr>
              <w:t>bulbo</w:t>
            </w:r>
            <w:r>
              <w:rPr>
                <w:spacing w:val="-3"/>
                <w:sz w:val="16"/>
              </w:rPr>
              <w:t> </w:t>
            </w:r>
            <w:r>
              <w:rPr>
                <w:spacing w:val="-4"/>
                <w:sz w:val="16"/>
              </w:rPr>
              <w:t>rojo</w:t>
            </w:r>
          </w:p>
        </w:tc>
        <w:tc>
          <w:tcPr>
            <w:tcW w:w="4820" w:type="dxa"/>
          </w:tcPr>
          <w:p>
            <w:pPr>
              <w:pStyle w:val="TableParagraph"/>
              <w:spacing w:line="164" w:lineRule="exact"/>
              <w:ind w:left="69"/>
              <w:rPr>
                <w:sz w:val="16"/>
              </w:rPr>
            </w:pPr>
            <w:r>
              <w:rPr>
                <w:sz w:val="16"/>
              </w:rPr>
              <w:t>Problemas</w:t>
            </w:r>
            <w:r>
              <w:rPr>
                <w:spacing w:val="-6"/>
                <w:sz w:val="16"/>
              </w:rPr>
              <w:t> </w:t>
            </w:r>
            <w:r>
              <w:rPr>
                <w:sz w:val="16"/>
              </w:rPr>
              <w:t>en</w:t>
            </w:r>
            <w:r>
              <w:rPr>
                <w:spacing w:val="-5"/>
                <w:sz w:val="16"/>
              </w:rPr>
              <w:t> </w:t>
            </w:r>
            <w:r>
              <w:rPr>
                <w:sz w:val="16"/>
              </w:rPr>
              <w:t>el</w:t>
            </w:r>
            <w:r>
              <w:rPr>
                <w:spacing w:val="-6"/>
                <w:sz w:val="16"/>
              </w:rPr>
              <w:t> </w:t>
            </w:r>
            <w:r>
              <w:rPr>
                <w:sz w:val="16"/>
              </w:rPr>
              <w:t>sector:</w:t>
            </w:r>
            <w:r>
              <w:rPr>
                <w:spacing w:val="-4"/>
                <w:sz w:val="16"/>
              </w:rPr>
              <w:t> </w:t>
            </w:r>
            <w:r>
              <w:rPr>
                <w:sz w:val="16"/>
              </w:rPr>
              <w:t>precios,</w:t>
            </w:r>
            <w:r>
              <w:rPr>
                <w:spacing w:val="-3"/>
                <w:sz w:val="16"/>
              </w:rPr>
              <w:t> </w:t>
            </w:r>
            <w:r>
              <w:rPr>
                <w:sz w:val="16"/>
              </w:rPr>
              <w:t>área</w:t>
            </w:r>
            <w:r>
              <w:rPr>
                <w:spacing w:val="-5"/>
                <w:sz w:val="16"/>
              </w:rPr>
              <w:t> </w:t>
            </w:r>
            <w:r>
              <w:rPr>
                <w:sz w:val="16"/>
              </w:rPr>
              <w:t>sembrada,</w:t>
            </w:r>
            <w:r>
              <w:rPr>
                <w:spacing w:val="-5"/>
                <w:sz w:val="16"/>
              </w:rPr>
              <w:t> </w:t>
            </w:r>
            <w:r>
              <w:rPr>
                <w:spacing w:val="-2"/>
                <w:sz w:val="16"/>
              </w:rPr>
              <w:t>contrabando.</w:t>
            </w:r>
          </w:p>
        </w:tc>
      </w:tr>
      <w:tr>
        <w:trPr>
          <w:trHeight w:val="181" w:hRule="atLeast"/>
        </w:trPr>
        <w:tc>
          <w:tcPr>
            <w:tcW w:w="2302" w:type="dxa"/>
          </w:tcPr>
          <w:p>
            <w:pPr>
              <w:pStyle w:val="TableParagraph"/>
              <w:spacing w:line="162" w:lineRule="exact"/>
              <w:ind w:left="71"/>
              <w:rPr>
                <w:sz w:val="16"/>
              </w:rPr>
            </w:pPr>
            <w:r>
              <w:rPr>
                <w:sz w:val="16"/>
              </w:rPr>
              <w:t>Cebolla</w:t>
            </w:r>
            <w:r>
              <w:rPr>
                <w:spacing w:val="-4"/>
                <w:sz w:val="16"/>
              </w:rPr>
              <w:t> </w:t>
            </w:r>
            <w:r>
              <w:rPr>
                <w:sz w:val="16"/>
              </w:rPr>
              <w:t>de</w:t>
            </w:r>
            <w:r>
              <w:rPr>
                <w:spacing w:val="-3"/>
                <w:sz w:val="16"/>
              </w:rPr>
              <w:t> </w:t>
            </w:r>
            <w:r>
              <w:rPr>
                <w:sz w:val="16"/>
              </w:rPr>
              <w:t>bulbo</w:t>
            </w:r>
            <w:r>
              <w:rPr>
                <w:spacing w:val="-3"/>
                <w:sz w:val="16"/>
              </w:rPr>
              <w:t> </w:t>
            </w:r>
            <w:r>
              <w:rPr>
                <w:spacing w:val="-2"/>
                <w:sz w:val="16"/>
              </w:rPr>
              <w:t>blanco</w:t>
            </w:r>
          </w:p>
        </w:tc>
        <w:tc>
          <w:tcPr>
            <w:tcW w:w="4820" w:type="dxa"/>
          </w:tcPr>
          <w:p>
            <w:pPr>
              <w:pStyle w:val="TableParagraph"/>
              <w:spacing w:line="162" w:lineRule="exact"/>
              <w:ind w:left="69"/>
              <w:rPr>
                <w:sz w:val="16"/>
              </w:rPr>
            </w:pPr>
            <w:r>
              <w:rPr>
                <w:sz w:val="16"/>
              </w:rPr>
              <w:t>Problemas</w:t>
            </w:r>
            <w:r>
              <w:rPr>
                <w:spacing w:val="-6"/>
                <w:sz w:val="16"/>
              </w:rPr>
              <w:t> </w:t>
            </w:r>
            <w:r>
              <w:rPr>
                <w:sz w:val="16"/>
              </w:rPr>
              <w:t>en</w:t>
            </w:r>
            <w:r>
              <w:rPr>
                <w:spacing w:val="-4"/>
                <w:sz w:val="16"/>
              </w:rPr>
              <w:t> </w:t>
            </w:r>
            <w:r>
              <w:rPr>
                <w:sz w:val="16"/>
              </w:rPr>
              <w:t>el</w:t>
            </w:r>
            <w:r>
              <w:rPr>
                <w:spacing w:val="-7"/>
                <w:sz w:val="16"/>
              </w:rPr>
              <w:t> </w:t>
            </w:r>
            <w:r>
              <w:rPr>
                <w:sz w:val="16"/>
              </w:rPr>
              <w:t>sector:</w:t>
            </w:r>
            <w:r>
              <w:rPr>
                <w:spacing w:val="-3"/>
                <w:sz w:val="16"/>
              </w:rPr>
              <w:t> </w:t>
            </w:r>
            <w:r>
              <w:rPr>
                <w:sz w:val="16"/>
              </w:rPr>
              <w:t>precios,</w:t>
            </w:r>
            <w:r>
              <w:rPr>
                <w:spacing w:val="-4"/>
                <w:sz w:val="16"/>
              </w:rPr>
              <w:t> </w:t>
            </w:r>
            <w:r>
              <w:rPr>
                <w:sz w:val="16"/>
              </w:rPr>
              <w:t>área</w:t>
            </w:r>
            <w:r>
              <w:rPr>
                <w:spacing w:val="-4"/>
                <w:sz w:val="16"/>
              </w:rPr>
              <w:t> </w:t>
            </w:r>
            <w:r>
              <w:rPr>
                <w:spacing w:val="-2"/>
                <w:sz w:val="16"/>
              </w:rPr>
              <w:t>sembrada.</w:t>
            </w:r>
          </w:p>
        </w:tc>
      </w:tr>
      <w:tr>
        <w:trPr>
          <w:trHeight w:val="184" w:hRule="atLeast"/>
        </w:trPr>
        <w:tc>
          <w:tcPr>
            <w:tcW w:w="2302" w:type="dxa"/>
          </w:tcPr>
          <w:p>
            <w:pPr>
              <w:pStyle w:val="TableParagraph"/>
              <w:spacing w:line="164" w:lineRule="exact"/>
              <w:ind w:left="71"/>
              <w:rPr>
                <w:sz w:val="16"/>
              </w:rPr>
            </w:pPr>
            <w:r>
              <w:rPr>
                <w:spacing w:val="-2"/>
                <w:sz w:val="16"/>
              </w:rPr>
              <w:t>Tomate</w:t>
            </w:r>
          </w:p>
        </w:tc>
        <w:tc>
          <w:tcPr>
            <w:tcW w:w="4820" w:type="dxa"/>
          </w:tcPr>
          <w:p>
            <w:pPr>
              <w:pStyle w:val="TableParagraph"/>
              <w:spacing w:line="164" w:lineRule="exact"/>
              <w:ind w:left="69"/>
              <w:rPr>
                <w:sz w:val="16"/>
              </w:rPr>
            </w:pPr>
            <w:r>
              <w:rPr>
                <w:sz w:val="16"/>
              </w:rPr>
              <w:t>Contrabando</w:t>
            </w:r>
            <w:r>
              <w:rPr>
                <w:spacing w:val="-5"/>
                <w:sz w:val="16"/>
              </w:rPr>
              <w:t> </w:t>
            </w:r>
            <w:r>
              <w:rPr>
                <w:sz w:val="16"/>
              </w:rPr>
              <w:t>y</w:t>
            </w:r>
            <w:r>
              <w:rPr>
                <w:spacing w:val="-4"/>
                <w:sz w:val="16"/>
              </w:rPr>
              <w:t> </w:t>
            </w:r>
            <w:r>
              <w:rPr>
                <w:sz w:val="16"/>
              </w:rPr>
              <w:t>riesgo</w:t>
            </w:r>
            <w:r>
              <w:rPr>
                <w:spacing w:val="-4"/>
                <w:sz w:val="16"/>
              </w:rPr>
              <w:t> </w:t>
            </w:r>
            <w:r>
              <w:rPr>
                <w:spacing w:val="-2"/>
                <w:sz w:val="16"/>
              </w:rPr>
              <w:t>fitosanitario.</w:t>
            </w:r>
          </w:p>
        </w:tc>
      </w:tr>
      <w:tr>
        <w:trPr>
          <w:trHeight w:val="184" w:hRule="atLeast"/>
        </w:trPr>
        <w:tc>
          <w:tcPr>
            <w:tcW w:w="2302" w:type="dxa"/>
          </w:tcPr>
          <w:p>
            <w:pPr>
              <w:pStyle w:val="TableParagraph"/>
              <w:spacing w:line="165" w:lineRule="exact"/>
              <w:ind w:left="71"/>
              <w:rPr>
                <w:sz w:val="16"/>
              </w:rPr>
            </w:pPr>
            <w:r>
              <w:rPr>
                <w:spacing w:val="-2"/>
                <w:sz w:val="16"/>
              </w:rPr>
              <w:t>Frijol</w:t>
            </w:r>
          </w:p>
        </w:tc>
        <w:tc>
          <w:tcPr>
            <w:tcW w:w="4820" w:type="dxa"/>
          </w:tcPr>
          <w:p>
            <w:pPr>
              <w:pStyle w:val="TableParagraph"/>
              <w:spacing w:line="165" w:lineRule="exact"/>
              <w:ind w:left="69"/>
              <w:rPr>
                <w:sz w:val="16"/>
              </w:rPr>
            </w:pPr>
            <w:r>
              <w:rPr>
                <w:spacing w:val="-2"/>
                <w:sz w:val="16"/>
              </w:rPr>
              <w:t>Contrabando.</w:t>
            </w:r>
          </w:p>
        </w:tc>
      </w:tr>
      <w:tr>
        <w:trPr>
          <w:trHeight w:val="184" w:hRule="atLeast"/>
        </w:trPr>
        <w:tc>
          <w:tcPr>
            <w:tcW w:w="2302" w:type="dxa"/>
          </w:tcPr>
          <w:p>
            <w:pPr>
              <w:pStyle w:val="TableParagraph"/>
              <w:spacing w:line="164" w:lineRule="exact"/>
              <w:ind w:left="71"/>
              <w:rPr>
                <w:sz w:val="16"/>
              </w:rPr>
            </w:pPr>
            <w:r>
              <w:rPr>
                <w:spacing w:val="-2"/>
                <w:sz w:val="16"/>
              </w:rPr>
              <w:t>Maracuyá</w:t>
            </w:r>
          </w:p>
        </w:tc>
        <w:tc>
          <w:tcPr>
            <w:tcW w:w="4820" w:type="dxa"/>
          </w:tcPr>
          <w:p>
            <w:pPr>
              <w:pStyle w:val="TableParagraph"/>
              <w:spacing w:line="164" w:lineRule="exact"/>
              <w:ind w:left="69"/>
              <w:rPr>
                <w:sz w:val="16"/>
              </w:rPr>
            </w:pPr>
            <w:r>
              <w:rPr>
                <w:sz w:val="16"/>
              </w:rPr>
              <w:t>Riesgos</w:t>
            </w:r>
            <w:r>
              <w:rPr>
                <w:spacing w:val="-5"/>
                <w:sz w:val="16"/>
              </w:rPr>
              <w:t> </w:t>
            </w:r>
            <w:r>
              <w:rPr>
                <w:sz w:val="16"/>
              </w:rPr>
              <w:t>fitosanitarios</w:t>
            </w:r>
            <w:r>
              <w:rPr>
                <w:spacing w:val="-5"/>
                <w:sz w:val="16"/>
              </w:rPr>
              <w:t> </w:t>
            </w:r>
            <w:r>
              <w:rPr>
                <w:sz w:val="16"/>
              </w:rPr>
              <w:t>y</w:t>
            </w:r>
            <w:r>
              <w:rPr>
                <w:spacing w:val="-5"/>
                <w:sz w:val="16"/>
              </w:rPr>
              <w:t> </w:t>
            </w:r>
            <w:r>
              <w:rPr>
                <w:sz w:val="16"/>
              </w:rPr>
              <w:t>de</w:t>
            </w:r>
            <w:r>
              <w:rPr>
                <w:spacing w:val="-3"/>
                <w:sz w:val="16"/>
              </w:rPr>
              <w:t> </w:t>
            </w:r>
            <w:r>
              <w:rPr>
                <w:spacing w:val="-2"/>
                <w:sz w:val="16"/>
              </w:rPr>
              <w:t>inocuidad.</w:t>
            </w:r>
          </w:p>
        </w:tc>
      </w:tr>
      <w:tr>
        <w:trPr>
          <w:trHeight w:val="366" w:hRule="atLeast"/>
        </w:trPr>
        <w:tc>
          <w:tcPr>
            <w:tcW w:w="2302" w:type="dxa"/>
          </w:tcPr>
          <w:p>
            <w:pPr>
              <w:pStyle w:val="TableParagraph"/>
              <w:tabs>
                <w:tab w:pos="750" w:val="left" w:leader="none"/>
                <w:tab w:pos="1347" w:val="left" w:leader="none"/>
                <w:tab w:pos="1661" w:val="left" w:leader="none"/>
              </w:tabs>
              <w:spacing w:line="182" w:lineRule="exact"/>
              <w:ind w:left="71" w:right="57"/>
              <w:rPr>
                <w:sz w:val="16"/>
              </w:rPr>
            </w:pPr>
            <w:r>
              <w:rPr>
                <w:spacing w:val="-2"/>
                <w:sz w:val="16"/>
              </w:rPr>
              <w:t>Peces</w:t>
            </w:r>
            <w:r>
              <w:rPr>
                <w:sz w:val="16"/>
              </w:rPr>
              <w:tab/>
            </w:r>
            <w:r>
              <w:rPr>
                <w:spacing w:val="-2"/>
                <w:sz w:val="16"/>
              </w:rPr>
              <w:t>vivos</w:t>
            </w:r>
            <w:r>
              <w:rPr>
                <w:sz w:val="16"/>
              </w:rPr>
              <w:tab/>
            </w:r>
            <w:r>
              <w:rPr>
                <w:spacing w:val="-10"/>
                <w:sz w:val="16"/>
              </w:rPr>
              <w:t>y</w:t>
            </w:r>
            <w:r>
              <w:rPr>
                <w:sz w:val="16"/>
              </w:rPr>
              <w:tab/>
            </w:r>
            <w:r>
              <w:rPr>
                <w:spacing w:val="-2"/>
                <w:sz w:val="16"/>
              </w:rPr>
              <w:t>material </w:t>
            </w:r>
            <w:r>
              <w:rPr>
                <w:sz w:val="16"/>
              </w:rPr>
              <w:t>biológico acuícola</w:t>
            </w:r>
          </w:p>
        </w:tc>
        <w:tc>
          <w:tcPr>
            <w:tcW w:w="4820" w:type="dxa"/>
          </w:tcPr>
          <w:p>
            <w:pPr>
              <w:pStyle w:val="TableParagraph"/>
              <w:spacing w:before="90"/>
              <w:ind w:left="69"/>
              <w:rPr>
                <w:sz w:val="16"/>
              </w:rPr>
            </w:pPr>
            <w:r>
              <w:rPr>
                <w:sz w:val="16"/>
              </w:rPr>
              <w:t>Riesgo</w:t>
            </w:r>
            <w:r>
              <w:rPr>
                <w:spacing w:val="-6"/>
                <w:sz w:val="16"/>
              </w:rPr>
              <w:t> </w:t>
            </w:r>
            <w:r>
              <w:rPr>
                <w:spacing w:val="-2"/>
                <w:sz w:val="16"/>
              </w:rPr>
              <w:t>sanitario.</w:t>
            </w:r>
          </w:p>
        </w:tc>
      </w:tr>
      <w:tr>
        <w:trPr>
          <w:trHeight w:val="184" w:hRule="atLeast"/>
        </w:trPr>
        <w:tc>
          <w:tcPr>
            <w:tcW w:w="2302" w:type="dxa"/>
          </w:tcPr>
          <w:p>
            <w:pPr>
              <w:pStyle w:val="TableParagraph"/>
              <w:spacing w:line="164" w:lineRule="exact"/>
              <w:ind w:left="71"/>
              <w:rPr>
                <w:sz w:val="16"/>
              </w:rPr>
            </w:pPr>
            <w:r>
              <w:rPr>
                <w:spacing w:val="-2"/>
                <w:sz w:val="16"/>
              </w:rPr>
              <w:t>Trucha</w:t>
            </w:r>
          </w:p>
        </w:tc>
        <w:tc>
          <w:tcPr>
            <w:tcW w:w="4820" w:type="dxa"/>
          </w:tcPr>
          <w:p>
            <w:pPr>
              <w:pStyle w:val="TableParagraph"/>
              <w:spacing w:line="164" w:lineRule="exact"/>
              <w:ind w:left="69"/>
              <w:rPr>
                <w:sz w:val="16"/>
              </w:rPr>
            </w:pPr>
            <w:r>
              <w:rPr>
                <w:sz w:val="16"/>
              </w:rPr>
              <w:t>Riesgo</w:t>
            </w:r>
            <w:r>
              <w:rPr>
                <w:spacing w:val="-7"/>
                <w:sz w:val="16"/>
              </w:rPr>
              <w:t> </w:t>
            </w:r>
            <w:r>
              <w:rPr>
                <w:sz w:val="16"/>
              </w:rPr>
              <w:t>sanitario,</w:t>
            </w:r>
            <w:r>
              <w:rPr>
                <w:spacing w:val="-5"/>
                <w:sz w:val="16"/>
              </w:rPr>
              <w:t> </w:t>
            </w:r>
            <w:r>
              <w:rPr>
                <w:spacing w:val="-2"/>
                <w:sz w:val="16"/>
              </w:rPr>
              <w:t>contrabando.</w:t>
            </w:r>
          </w:p>
        </w:tc>
      </w:tr>
      <w:tr>
        <w:trPr>
          <w:trHeight w:val="369" w:hRule="atLeast"/>
        </w:trPr>
        <w:tc>
          <w:tcPr>
            <w:tcW w:w="2302" w:type="dxa"/>
          </w:tcPr>
          <w:p>
            <w:pPr>
              <w:pStyle w:val="TableParagraph"/>
              <w:spacing w:before="90"/>
              <w:ind w:left="71"/>
              <w:rPr>
                <w:sz w:val="16"/>
              </w:rPr>
            </w:pPr>
            <w:r>
              <w:rPr>
                <w:sz w:val="16"/>
              </w:rPr>
              <w:t>Camarón</w:t>
            </w:r>
            <w:r>
              <w:rPr>
                <w:spacing w:val="-3"/>
                <w:sz w:val="16"/>
              </w:rPr>
              <w:t> </w:t>
            </w:r>
            <w:r>
              <w:rPr>
                <w:sz w:val="16"/>
              </w:rPr>
              <w:t>y</w:t>
            </w:r>
            <w:r>
              <w:rPr>
                <w:spacing w:val="-2"/>
                <w:sz w:val="16"/>
              </w:rPr>
              <w:t> langostino</w:t>
            </w:r>
          </w:p>
        </w:tc>
        <w:tc>
          <w:tcPr>
            <w:tcW w:w="4820" w:type="dxa"/>
          </w:tcPr>
          <w:p>
            <w:pPr>
              <w:pStyle w:val="TableParagraph"/>
              <w:spacing w:line="184" w:lineRule="exact"/>
              <w:ind w:left="69"/>
              <w:rPr>
                <w:sz w:val="16"/>
              </w:rPr>
            </w:pPr>
            <w:r>
              <w:rPr>
                <w:sz w:val="16"/>
              </w:rPr>
              <w:t>Riesgo</w:t>
            </w:r>
            <w:r>
              <w:rPr>
                <w:spacing w:val="-4"/>
                <w:sz w:val="16"/>
              </w:rPr>
              <w:t> </w:t>
            </w:r>
            <w:r>
              <w:rPr>
                <w:sz w:val="16"/>
              </w:rPr>
              <w:t>para</w:t>
            </w:r>
            <w:r>
              <w:rPr>
                <w:spacing w:val="-4"/>
                <w:sz w:val="16"/>
              </w:rPr>
              <w:t> </w:t>
            </w:r>
            <w:r>
              <w:rPr>
                <w:sz w:val="16"/>
              </w:rPr>
              <w:t>la</w:t>
            </w:r>
            <w:r>
              <w:rPr>
                <w:spacing w:val="-4"/>
                <w:sz w:val="16"/>
              </w:rPr>
              <w:t> </w:t>
            </w:r>
            <w:r>
              <w:rPr>
                <w:sz w:val="16"/>
              </w:rPr>
              <w:t>sanidad</w:t>
            </w:r>
            <w:r>
              <w:rPr>
                <w:spacing w:val="-4"/>
                <w:sz w:val="16"/>
              </w:rPr>
              <w:t> </w:t>
            </w:r>
            <w:r>
              <w:rPr>
                <w:sz w:val="16"/>
              </w:rPr>
              <w:t>acuícola</w:t>
            </w:r>
            <w:r>
              <w:rPr>
                <w:spacing w:val="-4"/>
                <w:sz w:val="16"/>
              </w:rPr>
              <w:t> </w:t>
            </w:r>
            <w:r>
              <w:rPr>
                <w:sz w:val="16"/>
              </w:rPr>
              <w:t>por</w:t>
            </w:r>
            <w:r>
              <w:rPr>
                <w:spacing w:val="-4"/>
                <w:sz w:val="16"/>
              </w:rPr>
              <w:t> </w:t>
            </w:r>
            <w:r>
              <w:rPr>
                <w:sz w:val="16"/>
              </w:rPr>
              <w:t>enfermedades</w:t>
            </w:r>
            <w:r>
              <w:rPr>
                <w:spacing w:val="-2"/>
                <w:sz w:val="16"/>
              </w:rPr>
              <w:t> </w:t>
            </w:r>
            <w:r>
              <w:rPr>
                <w:sz w:val="16"/>
              </w:rPr>
              <w:t>como</w:t>
            </w:r>
            <w:r>
              <w:rPr>
                <w:spacing w:val="-6"/>
                <w:sz w:val="16"/>
              </w:rPr>
              <w:t> </w:t>
            </w:r>
            <w:r>
              <w:rPr>
                <w:sz w:val="16"/>
              </w:rPr>
              <w:t>mancha blanca y virus de la cabeza amarilla.</w:t>
            </w:r>
          </w:p>
        </w:tc>
      </w:tr>
      <w:tr>
        <w:trPr>
          <w:trHeight w:val="184" w:hRule="atLeast"/>
        </w:trPr>
        <w:tc>
          <w:tcPr>
            <w:tcW w:w="2302" w:type="dxa"/>
          </w:tcPr>
          <w:p>
            <w:pPr>
              <w:pStyle w:val="TableParagraph"/>
              <w:spacing w:line="164" w:lineRule="exact"/>
              <w:ind w:left="71"/>
              <w:rPr>
                <w:sz w:val="16"/>
              </w:rPr>
            </w:pPr>
            <w:r>
              <w:rPr>
                <w:spacing w:val="-2"/>
                <w:sz w:val="16"/>
              </w:rPr>
              <w:t>Fentanilo</w:t>
            </w:r>
          </w:p>
        </w:tc>
        <w:tc>
          <w:tcPr>
            <w:tcW w:w="4820" w:type="dxa"/>
          </w:tcPr>
          <w:p>
            <w:pPr>
              <w:pStyle w:val="TableParagraph"/>
              <w:spacing w:line="164" w:lineRule="exact"/>
              <w:ind w:left="69"/>
              <w:rPr>
                <w:sz w:val="16"/>
              </w:rPr>
            </w:pPr>
            <w:r>
              <w:rPr>
                <w:sz w:val="16"/>
              </w:rPr>
              <w:t>Sustancia</w:t>
            </w:r>
            <w:r>
              <w:rPr>
                <w:spacing w:val="-8"/>
                <w:sz w:val="16"/>
              </w:rPr>
              <w:t> </w:t>
            </w:r>
            <w:r>
              <w:rPr>
                <w:sz w:val="16"/>
              </w:rPr>
              <w:t>que</w:t>
            </w:r>
            <w:r>
              <w:rPr>
                <w:spacing w:val="-5"/>
                <w:sz w:val="16"/>
              </w:rPr>
              <w:t> </w:t>
            </w:r>
            <w:r>
              <w:rPr>
                <w:sz w:val="16"/>
              </w:rPr>
              <w:t>amenaza</w:t>
            </w:r>
            <w:r>
              <w:rPr>
                <w:spacing w:val="-5"/>
                <w:sz w:val="16"/>
              </w:rPr>
              <w:t> </w:t>
            </w:r>
            <w:r>
              <w:rPr>
                <w:sz w:val="16"/>
              </w:rPr>
              <w:t>la</w:t>
            </w:r>
            <w:r>
              <w:rPr>
                <w:spacing w:val="-7"/>
                <w:sz w:val="16"/>
              </w:rPr>
              <w:t> </w:t>
            </w:r>
            <w:r>
              <w:rPr>
                <w:sz w:val="16"/>
              </w:rPr>
              <w:t>salud,</w:t>
            </w:r>
            <w:r>
              <w:rPr>
                <w:spacing w:val="-6"/>
                <w:sz w:val="16"/>
              </w:rPr>
              <w:t> </w:t>
            </w:r>
            <w:r>
              <w:rPr>
                <w:sz w:val="16"/>
              </w:rPr>
              <w:t>fortalecer</w:t>
            </w:r>
            <w:r>
              <w:rPr>
                <w:spacing w:val="-7"/>
                <w:sz w:val="16"/>
              </w:rPr>
              <w:t> </w:t>
            </w:r>
            <w:r>
              <w:rPr>
                <w:sz w:val="16"/>
              </w:rPr>
              <w:t>medidas</w:t>
            </w:r>
            <w:r>
              <w:rPr>
                <w:spacing w:val="-6"/>
                <w:sz w:val="16"/>
              </w:rPr>
              <w:t> </w:t>
            </w:r>
            <w:r>
              <w:rPr>
                <w:spacing w:val="-2"/>
                <w:sz w:val="16"/>
              </w:rPr>
              <w:t>nacionales.</w:t>
            </w:r>
          </w:p>
        </w:tc>
      </w:tr>
    </w:tbl>
    <w:p>
      <w:pPr>
        <w:spacing w:before="5"/>
        <w:ind w:left="1420" w:right="6616" w:firstLine="0"/>
        <w:jc w:val="left"/>
        <w:rPr>
          <w:rFonts w:ascii="Arial" w:hAnsi="Arial"/>
          <w:b/>
          <w:sz w:val="16"/>
        </w:rPr>
      </w:pPr>
      <w:r>
        <w:rPr>
          <w:rFonts w:ascii="Arial" w:hAnsi="Arial"/>
          <w:b/>
          <w:sz w:val="16"/>
        </w:rPr>
        <w:t>Fuente:</w:t>
      </w:r>
      <w:r>
        <w:rPr>
          <w:rFonts w:ascii="Arial" w:hAnsi="Arial"/>
          <w:b/>
          <w:spacing w:val="-5"/>
          <w:sz w:val="16"/>
        </w:rPr>
        <w:t> </w:t>
      </w:r>
      <w:r>
        <w:rPr>
          <w:rFonts w:ascii="Arial" w:hAnsi="Arial"/>
          <w:b/>
          <w:sz w:val="16"/>
        </w:rPr>
        <w:t>Decreto</w:t>
      </w:r>
      <w:r>
        <w:rPr>
          <w:rFonts w:ascii="Arial" w:hAnsi="Arial"/>
          <w:b/>
          <w:spacing w:val="-11"/>
          <w:sz w:val="16"/>
        </w:rPr>
        <w:t> </w:t>
      </w:r>
      <w:r>
        <w:rPr>
          <w:rFonts w:ascii="Arial" w:hAnsi="Arial"/>
          <w:b/>
          <w:sz w:val="16"/>
        </w:rPr>
        <w:t>0170. Elaboración:</w:t>
      </w:r>
      <w:r>
        <w:rPr>
          <w:rFonts w:ascii="Arial" w:hAnsi="Arial"/>
          <w:b/>
          <w:spacing w:val="-9"/>
          <w:sz w:val="16"/>
        </w:rPr>
        <w:t> </w:t>
      </w:r>
      <w:r>
        <w:rPr>
          <w:rFonts w:ascii="Arial" w:hAnsi="Arial"/>
          <w:b/>
          <w:spacing w:val="-2"/>
          <w:sz w:val="16"/>
        </w:rPr>
        <w:t>SGCAN.</w:t>
      </w:r>
    </w:p>
    <w:p>
      <w:pPr>
        <w:pStyle w:val="BodyText"/>
        <w:spacing w:before="68"/>
        <w:rPr>
          <w:rFonts w:ascii="Arial"/>
          <w:b/>
          <w:sz w:val="16"/>
        </w:rPr>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Al</w:t>
      </w:r>
      <w:r>
        <w:rPr>
          <w:spacing w:val="-12"/>
          <w:sz w:val="22"/>
        </w:rPr>
        <w:t> </w:t>
      </w:r>
      <w:r>
        <w:rPr>
          <w:sz w:val="22"/>
        </w:rPr>
        <w:t>respecto,</w:t>
      </w:r>
      <w:r>
        <w:rPr>
          <w:spacing w:val="-12"/>
          <w:sz w:val="22"/>
        </w:rPr>
        <w:t> </w:t>
      </w:r>
      <w:r>
        <w:rPr>
          <w:sz w:val="22"/>
        </w:rPr>
        <w:t>los</w:t>
      </w:r>
      <w:r>
        <w:rPr>
          <w:spacing w:val="-11"/>
          <w:sz w:val="22"/>
        </w:rPr>
        <w:t> </w:t>
      </w:r>
      <w:r>
        <w:rPr>
          <w:sz w:val="22"/>
        </w:rPr>
        <w:t>argumentos</w:t>
      </w:r>
      <w:r>
        <w:rPr>
          <w:spacing w:val="-11"/>
          <w:sz w:val="22"/>
        </w:rPr>
        <w:t> </w:t>
      </w:r>
      <w:r>
        <w:rPr>
          <w:sz w:val="22"/>
        </w:rPr>
        <w:t>expuestos</w:t>
      </w:r>
      <w:r>
        <w:rPr>
          <w:spacing w:val="-13"/>
          <w:sz w:val="22"/>
        </w:rPr>
        <w:t> </w:t>
      </w:r>
      <w:r>
        <w:rPr>
          <w:sz w:val="22"/>
        </w:rPr>
        <w:t>no</w:t>
      </w:r>
      <w:r>
        <w:rPr>
          <w:spacing w:val="-14"/>
          <w:sz w:val="22"/>
        </w:rPr>
        <w:t> </w:t>
      </w:r>
      <w:r>
        <w:rPr>
          <w:sz w:val="22"/>
        </w:rPr>
        <w:t>permiten</w:t>
      </w:r>
      <w:r>
        <w:rPr>
          <w:spacing w:val="-11"/>
          <w:sz w:val="22"/>
        </w:rPr>
        <w:t> </w:t>
      </w:r>
      <w:r>
        <w:rPr>
          <w:sz w:val="22"/>
        </w:rPr>
        <w:t>evidenciar</w:t>
      </w:r>
      <w:r>
        <w:rPr>
          <w:spacing w:val="-10"/>
          <w:sz w:val="22"/>
        </w:rPr>
        <w:t> </w:t>
      </w:r>
      <w:r>
        <w:rPr>
          <w:sz w:val="22"/>
        </w:rPr>
        <w:t>la</w:t>
      </w:r>
      <w:r>
        <w:rPr>
          <w:spacing w:val="-14"/>
          <w:sz w:val="22"/>
        </w:rPr>
        <w:t> </w:t>
      </w:r>
      <w:r>
        <w:rPr>
          <w:sz w:val="22"/>
        </w:rPr>
        <w:t>existencia</w:t>
      </w:r>
      <w:r>
        <w:rPr>
          <w:spacing w:val="-14"/>
          <w:sz w:val="22"/>
        </w:rPr>
        <w:t> </w:t>
      </w:r>
      <w:r>
        <w:rPr>
          <w:sz w:val="22"/>
        </w:rPr>
        <w:t>de</w:t>
      </w:r>
      <w:r>
        <w:rPr>
          <w:spacing w:val="-12"/>
          <w:sz w:val="22"/>
        </w:rPr>
        <w:t> </w:t>
      </w:r>
      <w:r>
        <w:rPr>
          <w:sz w:val="22"/>
        </w:rPr>
        <w:t>un</w:t>
      </w:r>
      <w:r>
        <w:rPr>
          <w:spacing w:val="-14"/>
          <w:sz w:val="22"/>
        </w:rPr>
        <w:t> </w:t>
      </w:r>
      <w:r>
        <w:rPr>
          <w:sz w:val="22"/>
        </w:rPr>
        <w:t>riesgo sanitario,</w:t>
      </w:r>
      <w:r>
        <w:rPr>
          <w:spacing w:val="-8"/>
          <w:sz w:val="22"/>
        </w:rPr>
        <w:t> </w:t>
      </w:r>
      <w:r>
        <w:rPr>
          <w:sz w:val="22"/>
        </w:rPr>
        <w:t>fitosanitario</w:t>
      </w:r>
      <w:r>
        <w:rPr>
          <w:spacing w:val="-7"/>
          <w:sz w:val="22"/>
        </w:rPr>
        <w:t> </w:t>
      </w:r>
      <w:r>
        <w:rPr>
          <w:sz w:val="22"/>
        </w:rPr>
        <w:t>o</w:t>
      </w:r>
      <w:r>
        <w:rPr>
          <w:spacing w:val="-7"/>
          <w:sz w:val="22"/>
        </w:rPr>
        <w:t> </w:t>
      </w:r>
      <w:r>
        <w:rPr>
          <w:sz w:val="22"/>
        </w:rPr>
        <w:t>zoosanitario</w:t>
      </w:r>
      <w:r>
        <w:rPr>
          <w:spacing w:val="-8"/>
          <w:sz w:val="22"/>
        </w:rPr>
        <w:t> </w:t>
      </w:r>
      <w:r>
        <w:rPr>
          <w:sz w:val="22"/>
        </w:rPr>
        <w:t>real</w:t>
      </w:r>
      <w:r>
        <w:rPr>
          <w:spacing w:val="-8"/>
          <w:sz w:val="22"/>
        </w:rPr>
        <w:t> </w:t>
      </w:r>
      <w:r>
        <w:rPr>
          <w:sz w:val="22"/>
        </w:rPr>
        <w:t>y</w:t>
      </w:r>
      <w:r>
        <w:rPr>
          <w:spacing w:val="-7"/>
          <w:sz w:val="22"/>
        </w:rPr>
        <w:t> </w:t>
      </w:r>
      <w:r>
        <w:rPr>
          <w:sz w:val="22"/>
        </w:rPr>
        <w:t>debidamente</w:t>
      </w:r>
      <w:r>
        <w:rPr>
          <w:spacing w:val="-7"/>
          <w:sz w:val="22"/>
        </w:rPr>
        <w:t> </w:t>
      </w:r>
      <w:r>
        <w:rPr>
          <w:sz w:val="22"/>
        </w:rPr>
        <w:t>acreditado.</w:t>
      </w:r>
      <w:r>
        <w:rPr>
          <w:spacing w:val="-6"/>
          <w:sz w:val="22"/>
        </w:rPr>
        <w:t> </w:t>
      </w:r>
      <w:r>
        <w:rPr>
          <w:sz w:val="22"/>
        </w:rPr>
        <w:t>Por</w:t>
      </w:r>
      <w:r>
        <w:rPr>
          <w:spacing w:val="-7"/>
          <w:sz w:val="22"/>
        </w:rPr>
        <w:t> </w:t>
      </w:r>
      <w:r>
        <w:rPr>
          <w:sz w:val="22"/>
        </w:rPr>
        <w:t>el</w:t>
      </w:r>
      <w:r>
        <w:rPr>
          <w:spacing w:val="-11"/>
          <w:sz w:val="22"/>
        </w:rPr>
        <w:t> </w:t>
      </w:r>
      <w:r>
        <w:rPr>
          <w:sz w:val="22"/>
        </w:rPr>
        <w:t>contrario,</w:t>
      </w:r>
      <w:r>
        <w:rPr>
          <w:spacing w:val="-6"/>
          <w:sz w:val="22"/>
        </w:rPr>
        <w:t> </w:t>
      </w:r>
      <w:r>
        <w:rPr>
          <w:sz w:val="22"/>
        </w:rPr>
        <w:t>los fundamentos invocados se refieren, principalmente, a otras dificultades asociadas a la comercialización y a la producción de las</w:t>
      </w:r>
      <w:r>
        <w:rPr>
          <w:spacing w:val="-1"/>
          <w:sz w:val="22"/>
        </w:rPr>
        <w:t> </w:t>
      </w:r>
      <w:r>
        <w:rPr>
          <w:sz w:val="22"/>
        </w:rPr>
        <w:t>mercancías analizadas, tales como aspectos de competitividad, precios o informalidad, circunstancias que habrían motivado a la República de Colombia a adoptar las medidas restrictivas objeto del presente análisis, sin que estas se encuentren sustentadas en una</w:t>
      </w:r>
      <w:r>
        <w:rPr>
          <w:spacing w:val="-1"/>
          <w:sz w:val="22"/>
        </w:rPr>
        <w:t> </w:t>
      </w:r>
      <w:r>
        <w:rPr>
          <w:sz w:val="22"/>
        </w:rPr>
        <w:t>justificación sanitaria válida conforme al ordenamiento jurídico comunitario andino.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Asimismo,</w:t>
      </w:r>
      <w:r>
        <w:rPr>
          <w:spacing w:val="-11"/>
          <w:sz w:val="22"/>
        </w:rPr>
        <w:t> </w:t>
      </w:r>
      <w:r>
        <w:rPr>
          <w:sz w:val="22"/>
        </w:rPr>
        <w:t>de</w:t>
      </w:r>
      <w:r>
        <w:rPr>
          <w:spacing w:val="-10"/>
          <w:sz w:val="22"/>
        </w:rPr>
        <w:t> </w:t>
      </w:r>
      <w:r>
        <w:rPr>
          <w:sz w:val="22"/>
        </w:rPr>
        <w:t>conformidad</w:t>
      </w:r>
      <w:r>
        <w:rPr>
          <w:spacing w:val="-10"/>
          <w:sz w:val="22"/>
        </w:rPr>
        <w:t> </w:t>
      </w:r>
      <w:r>
        <w:rPr>
          <w:sz w:val="22"/>
        </w:rPr>
        <w:t>con</w:t>
      </w:r>
      <w:r>
        <w:rPr>
          <w:spacing w:val="-10"/>
          <w:sz w:val="22"/>
        </w:rPr>
        <w:t> </w:t>
      </w:r>
      <w:r>
        <w:rPr>
          <w:sz w:val="22"/>
        </w:rPr>
        <w:t>el</w:t>
      </w:r>
      <w:r>
        <w:rPr>
          <w:spacing w:val="-11"/>
          <w:sz w:val="22"/>
        </w:rPr>
        <w:t> </w:t>
      </w:r>
      <w:r>
        <w:rPr>
          <w:sz w:val="22"/>
        </w:rPr>
        <w:t>análisis</w:t>
      </w:r>
      <w:r>
        <w:rPr>
          <w:spacing w:val="-9"/>
          <w:sz w:val="22"/>
        </w:rPr>
        <w:t> </w:t>
      </w:r>
      <w:r>
        <w:rPr>
          <w:sz w:val="22"/>
        </w:rPr>
        <w:t>del</w:t>
      </w:r>
      <w:r>
        <w:rPr>
          <w:spacing w:val="-11"/>
          <w:sz w:val="22"/>
        </w:rPr>
        <w:t> </w:t>
      </w:r>
      <w:r>
        <w:rPr>
          <w:sz w:val="22"/>
        </w:rPr>
        <w:t>complemento</w:t>
      </w:r>
      <w:r>
        <w:rPr>
          <w:spacing w:val="-10"/>
          <w:sz w:val="22"/>
        </w:rPr>
        <w:t> </w:t>
      </w:r>
      <w:r>
        <w:rPr>
          <w:sz w:val="22"/>
        </w:rPr>
        <w:t>indispensable,</w:t>
      </w:r>
      <w:r>
        <w:rPr>
          <w:spacing w:val="-9"/>
          <w:sz w:val="22"/>
        </w:rPr>
        <w:t> </w:t>
      </w:r>
      <w:r>
        <w:rPr>
          <w:sz w:val="22"/>
        </w:rPr>
        <w:t>se</w:t>
      </w:r>
      <w:r>
        <w:rPr>
          <w:spacing w:val="-10"/>
          <w:sz w:val="22"/>
        </w:rPr>
        <w:t> </w:t>
      </w:r>
      <w:r>
        <w:rPr>
          <w:sz w:val="22"/>
        </w:rPr>
        <w:t>determinó que no resulta procedente invocar disposiciones correspondientes al ámbito de los servicios para la aplicación del artículo 73 del Acuerdo de Cartagena en el presente caso. En tal sentido, el criterio de seguridad nacional alegado no resulta pertinente ni suficiente para sustentar los argumentos expuestos ni para justificar la adopción de la medida objeto de análisis.</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En ese sentido, si bien se reconoce el derecho de los Países Miembros a adoptar medidas motivadas para la protección de su seguridad conforme a lo señalado en el literal b) del artículo 73, la aplicación de tales medidas reviste carácter estrictamente excepcional y por ende, deberá ser objeto de una interpretación restrictiva, debiendo acreditarse, de manera concurrente, el cumplimiento de los criterios de finalidad, idoneidad, necesidad,</w:t>
      </w:r>
      <w:r>
        <w:rPr>
          <w:spacing w:val="-3"/>
          <w:sz w:val="22"/>
        </w:rPr>
        <w:t> </w:t>
      </w:r>
      <w:r>
        <w:rPr>
          <w:sz w:val="22"/>
        </w:rPr>
        <w:t>proporcionalidad</w:t>
      </w:r>
      <w:r>
        <w:rPr>
          <w:spacing w:val="-1"/>
          <w:sz w:val="22"/>
        </w:rPr>
        <w:t> </w:t>
      </w:r>
      <w:r>
        <w:rPr>
          <w:sz w:val="22"/>
        </w:rPr>
        <w:t>y</w:t>
      </w:r>
      <w:r>
        <w:rPr>
          <w:spacing w:val="-1"/>
          <w:sz w:val="22"/>
        </w:rPr>
        <w:t> </w:t>
      </w:r>
      <w:r>
        <w:rPr>
          <w:sz w:val="22"/>
        </w:rPr>
        <w:t>no</w:t>
      </w:r>
      <w:r>
        <w:rPr>
          <w:spacing w:val="-4"/>
          <w:sz w:val="22"/>
        </w:rPr>
        <w:t> </w:t>
      </w:r>
      <w:r>
        <w:rPr>
          <w:sz w:val="22"/>
        </w:rPr>
        <w:t>discriminación</w:t>
      </w:r>
      <w:r>
        <w:rPr>
          <w:spacing w:val="-2"/>
          <w:sz w:val="22"/>
        </w:rPr>
        <w:t> </w:t>
      </w:r>
      <w:r>
        <w:rPr>
          <w:sz w:val="22"/>
        </w:rPr>
        <w:t>establecidos</w:t>
      </w:r>
      <w:r>
        <w:rPr>
          <w:spacing w:val="-4"/>
          <w:sz w:val="22"/>
        </w:rPr>
        <w:t> </w:t>
      </w:r>
      <w:r>
        <w:rPr>
          <w:sz w:val="22"/>
        </w:rPr>
        <w:t>por el</w:t>
      </w:r>
      <w:r>
        <w:rPr>
          <w:spacing w:val="-5"/>
          <w:sz w:val="22"/>
        </w:rPr>
        <w:t> </w:t>
      </w:r>
      <w:r>
        <w:rPr>
          <w:sz w:val="22"/>
        </w:rPr>
        <w:t>TJCAN, lo cual</w:t>
      </w:r>
      <w:r>
        <w:rPr>
          <w:spacing w:val="-4"/>
          <w:sz w:val="22"/>
        </w:rPr>
        <w:t> </w:t>
      </w:r>
      <w:r>
        <w:rPr>
          <w:sz w:val="22"/>
        </w:rPr>
        <w:t>constituye</w:t>
      </w:r>
      <w:r>
        <w:rPr>
          <w:spacing w:val="-3"/>
          <w:sz w:val="22"/>
        </w:rPr>
        <w:t> </w:t>
      </w:r>
      <w:r>
        <w:rPr>
          <w:sz w:val="22"/>
        </w:rPr>
        <w:t>el</w:t>
      </w:r>
      <w:r>
        <w:rPr>
          <w:spacing w:val="-2"/>
          <w:sz w:val="22"/>
        </w:rPr>
        <w:t> </w:t>
      </w:r>
      <w:r>
        <w:rPr>
          <w:sz w:val="22"/>
        </w:rPr>
        <w:t>estándar</w:t>
      </w:r>
      <w:r>
        <w:rPr>
          <w:spacing w:val="-2"/>
          <w:sz w:val="22"/>
        </w:rPr>
        <w:t> </w:t>
      </w:r>
      <w:r>
        <w:rPr>
          <w:sz w:val="22"/>
        </w:rPr>
        <w:t>jurídico</w:t>
      </w:r>
      <w:r>
        <w:rPr>
          <w:spacing w:val="-3"/>
          <w:sz w:val="22"/>
        </w:rPr>
        <w:t> </w:t>
      </w:r>
      <w:r>
        <w:rPr>
          <w:sz w:val="22"/>
        </w:rPr>
        <w:t>aplicable para evaluar</w:t>
      </w:r>
      <w:r>
        <w:rPr>
          <w:spacing w:val="-2"/>
          <w:sz w:val="22"/>
        </w:rPr>
        <w:t> </w:t>
      </w:r>
      <w:r>
        <w:rPr>
          <w:sz w:val="22"/>
        </w:rPr>
        <w:t>la legitimidad</w:t>
      </w:r>
      <w:r>
        <w:rPr>
          <w:spacing w:val="-5"/>
          <w:sz w:val="22"/>
        </w:rPr>
        <w:t> </w:t>
      </w:r>
      <w:r>
        <w:rPr>
          <w:sz w:val="22"/>
        </w:rPr>
        <w:t>de</w:t>
      </w:r>
      <w:r>
        <w:rPr>
          <w:spacing w:val="-1"/>
          <w:sz w:val="22"/>
        </w:rPr>
        <w:t> </w:t>
      </w:r>
      <w:r>
        <w:rPr>
          <w:sz w:val="22"/>
        </w:rPr>
        <w:t>la</w:t>
      </w:r>
      <w:r>
        <w:rPr>
          <w:spacing w:val="-3"/>
          <w:sz w:val="22"/>
        </w:rPr>
        <w:t> </w:t>
      </w:r>
      <w:r>
        <w:rPr>
          <w:sz w:val="22"/>
        </w:rPr>
        <w:t>medida objeto de análisis. Por tanto, bastaría que se incumpla uno de estos criterios, para considerar que la excepción no se encuentra fundamentada.</w:t>
      </w:r>
    </w:p>
    <w:p>
      <w:pPr>
        <w:pStyle w:val="BodyText"/>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Al respecto, corresponde señalar que la finalidad invocada para la adopción de las medidas</w:t>
      </w:r>
      <w:r>
        <w:rPr>
          <w:spacing w:val="-4"/>
          <w:sz w:val="22"/>
        </w:rPr>
        <w:t> </w:t>
      </w:r>
      <w:r>
        <w:rPr>
          <w:sz w:val="22"/>
        </w:rPr>
        <w:t>restrictivas</w:t>
      </w:r>
      <w:r>
        <w:rPr>
          <w:spacing w:val="-4"/>
          <w:sz w:val="22"/>
        </w:rPr>
        <w:t> </w:t>
      </w:r>
      <w:r>
        <w:rPr>
          <w:sz w:val="22"/>
        </w:rPr>
        <w:t>contenidas</w:t>
      </w:r>
      <w:r>
        <w:rPr>
          <w:spacing w:val="-4"/>
          <w:sz w:val="22"/>
        </w:rPr>
        <w:t> </w:t>
      </w:r>
      <w:r>
        <w:rPr>
          <w:sz w:val="22"/>
        </w:rPr>
        <w:t>en</w:t>
      </w:r>
      <w:r>
        <w:rPr>
          <w:spacing w:val="-4"/>
          <w:sz w:val="22"/>
        </w:rPr>
        <w:t> </w:t>
      </w:r>
      <w:r>
        <w:rPr>
          <w:sz w:val="22"/>
        </w:rPr>
        <w:t>el</w:t>
      </w:r>
      <w:r>
        <w:rPr>
          <w:spacing w:val="-5"/>
          <w:sz w:val="22"/>
        </w:rPr>
        <w:t> </w:t>
      </w:r>
      <w:r>
        <w:rPr>
          <w:sz w:val="22"/>
        </w:rPr>
        <w:t>artículo</w:t>
      </w:r>
      <w:r>
        <w:rPr>
          <w:spacing w:val="-4"/>
          <w:sz w:val="22"/>
        </w:rPr>
        <w:t> </w:t>
      </w:r>
      <w:r>
        <w:rPr>
          <w:sz w:val="22"/>
        </w:rPr>
        <w:t>2</w:t>
      </w:r>
      <w:r>
        <w:rPr>
          <w:spacing w:val="-4"/>
          <w:sz w:val="22"/>
        </w:rPr>
        <w:t> </w:t>
      </w:r>
      <w:r>
        <w:rPr>
          <w:sz w:val="22"/>
        </w:rPr>
        <w:t>del</w:t>
      </w:r>
      <w:r>
        <w:rPr>
          <w:spacing w:val="-5"/>
          <w:sz w:val="22"/>
        </w:rPr>
        <w:t> </w:t>
      </w:r>
      <w:r>
        <w:rPr>
          <w:sz w:val="22"/>
        </w:rPr>
        <w:t>Decreto</w:t>
      </w:r>
      <w:r>
        <w:rPr>
          <w:spacing w:val="-5"/>
          <w:sz w:val="22"/>
        </w:rPr>
        <w:t> </w:t>
      </w:r>
      <w:r>
        <w:rPr>
          <w:sz w:val="22"/>
        </w:rPr>
        <w:t>0170,</w:t>
      </w:r>
      <w:r>
        <w:rPr>
          <w:spacing w:val="-5"/>
          <w:sz w:val="22"/>
        </w:rPr>
        <w:t> </w:t>
      </w:r>
      <w:r>
        <w:rPr>
          <w:sz w:val="22"/>
        </w:rPr>
        <w:t>no</w:t>
      </w:r>
      <w:r>
        <w:rPr>
          <w:spacing w:val="-7"/>
          <w:sz w:val="22"/>
        </w:rPr>
        <w:t> </w:t>
      </w:r>
      <w:r>
        <w:rPr>
          <w:sz w:val="22"/>
        </w:rPr>
        <w:t>resulta</w:t>
      </w:r>
      <w:r>
        <w:rPr>
          <w:spacing w:val="-4"/>
          <w:sz w:val="22"/>
        </w:rPr>
        <w:t> </w:t>
      </w:r>
      <w:r>
        <w:rPr>
          <w:sz w:val="22"/>
        </w:rPr>
        <w:t>clara,</w:t>
      </w:r>
      <w:r>
        <w:rPr>
          <w:spacing w:val="-5"/>
          <w:sz w:val="22"/>
        </w:rPr>
        <w:t> </w:t>
      </w:r>
      <w:r>
        <w:rPr>
          <w:sz w:val="22"/>
        </w:rPr>
        <w:t>en</w:t>
      </w:r>
      <w:r>
        <w:rPr>
          <w:spacing w:val="-4"/>
          <w:sz w:val="22"/>
        </w:rPr>
        <w:t> </w:t>
      </w:r>
      <w:r>
        <w:rPr>
          <w:sz w:val="22"/>
        </w:rPr>
        <w:t>la medida en que no se advierte una vinculación directa y objetiva conforme con lo estipulado en el literal b) del artículo 73. Por el contrario, de los argumentos expuestos se</w:t>
      </w:r>
      <w:r>
        <w:rPr>
          <w:spacing w:val="-10"/>
          <w:sz w:val="22"/>
        </w:rPr>
        <w:t> </w:t>
      </w:r>
      <w:r>
        <w:rPr>
          <w:sz w:val="22"/>
        </w:rPr>
        <w:t>desprende</w:t>
      </w:r>
      <w:r>
        <w:rPr>
          <w:spacing w:val="-13"/>
          <w:sz w:val="22"/>
        </w:rPr>
        <w:t> </w:t>
      </w:r>
      <w:r>
        <w:rPr>
          <w:sz w:val="22"/>
        </w:rPr>
        <w:t>que</w:t>
      </w:r>
      <w:r>
        <w:rPr>
          <w:spacing w:val="-12"/>
          <w:sz w:val="22"/>
        </w:rPr>
        <w:t> </w:t>
      </w:r>
      <w:r>
        <w:rPr>
          <w:sz w:val="22"/>
        </w:rPr>
        <w:t>dichas</w:t>
      </w:r>
      <w:r>
        <w:rPr>
          <w:spacing w:val="-14"/>
          <w:sz w:val="22"/>
        </w:rPr>
        <w:t> </w:t>
      </w:r>
      <w:r>
        <w:rPr>
          <w:sz w:val="22"/>
        </w:rPr>
        <w:t>medidas</w:t>
      </w:r>
      <w:r>
        <w:rPr>
          <w:spacing w:val="-9"/>
          <w:sz w:val="22"/>
        </w:rPr>
        <w:t> </w:t>
      </w:r>
      <w:r>
        <w:rPr>
          <w:sz w:val="22"/>
        </w:rPr>
        <w:t>se</w:t>
      </w:r>
      <w:r>
        <w:rPr>
          <w:spacing w:val="-15"/>
          <w:sz w:val="22"/>
        </w:rPr>
        <w:t> </w:t>
      </w:r>
      <w:r>
        <w:rPr>
          <w:sz w:val="22"/>
        </w:rPr>
        <w:t>relacionan</w:t>
      </w:r>
      <w:r>
        <w:rPr>
          <w:spacing w:val="-10"/>
          <w:sz w:val="22"/>
        </w:rPr>
        <w:t> </w:t>
      </w:r>
      <w:r>
        <w:rPr>
          <w:sz w:val="22"/>
        </w:rPr>
        <w:t>principalmente</w:t>
      </w:r>
      <w:r>
        <w:rPr>
          <w:spacing w:val="-12"/>
          <w:sz w:val="22"/>
        </w:rPr>
        <w:t> </w:t>
      </w:r>
      <w:r>
        <w:rPr>
          <w:sz w:val="22"/>
        </w:rPr>
        <w:t>con</w:t>
      </w:r>
      <w:r>
        <w:rPr>
          <w:spacing w:val="-13"/>
          <w:sz w:val="22"/>
        </w:rPr>
        <w:t> </w:t>
      </w:r>
      <w:r>
        <w:rPr>
          <w:sz w:val="22"/>
        </w:rPr>
        <w:t>consideraciones</w:t>
      </w:r>
      <w:r>
        <w:rPr>
          <w:spacing w:val="-10"/>
          <w:sz w:val="22"/>
        </w:rPr>
        <w:t> </w:t>
      </w:r>
      <w:r>
        <w:rPr>
          <w:sz w:val="22"/>
        </w:rPr>
        <w:t>de carácter sanitario, fitosanitario, así como con aspectos vinculados al contrabando y al comercio irregular. En ese sentido, no se constata que la finalidad de la medida haya sido</w:t>
      </w:r>
      <w:r>
        <w:rPr>
          <w:spacing w:val="-5"/>
          <w:sz w:val="22"/>
        </w:rPr>
        <w:t> </w:t>
      </w:r>
      <w:r>
        <w:rPr>
          <w:sz w:val="22"/>
        </w:rPr>
        <w:t>delimitada</w:t>
      </w:r>
      <w:r>
        <w:rPr>
          <w:spacing w:val="-5"/>
          <w:sz w:val="22"/>
        </w:rPr>
        <w:t> </w:t>
      </w:r>
      <w:r>
        <w:rPr>
          <w:sz w:val="22"/>
        </w:rPr>
        <w:t>de</w:t>
      </w:r>
      <w:r>
        <w:rPr>
          <w:spacing w:val="-10"/>
          <w:sz w:val="22"/>
        </w:rPr>
        <w:t> </w:t>
      </w:r>
      <w:r>
        <w:rPr>
          <w:sz w:val="22"/>
        </w:rPr>
        <w:t>manera</w:t>
      </w:r>
      <w:r>
        <w:rPr>
          <w:spacing w:val="-5"/>
          <w:sz w:val="22"/>
        </w:rPr>
        <w:t> </w:t>
      </w:r>
      <w:r>
        <w:rPr>
          <w:sz w:val="22"/>
        </w:rPr>
        <w:t>específica</w:t>
      </w:r>
      <w:r>
        <w:rPr>
          <w:spacing w:val="-7"/>
          <w:sz w:val="22"/>
        </w:rPr>
        <w:t> </w:t>
      </w:r>
      <w:r>
        <w:rPr>
          <w:sz w:val="22"/>
        </w:rPr>
        <w:t>ni</w:t>
      </w:r>
      <w:r>
        <w:rPr>
          <w:spacing w:val="-6"/>
          <w:sz w:val="22"/>
        </w:rPr>
        <w:t> </w:t>
      </w:r>
      <w:r>
        <w:rPr>
          <w:sz w:val="22"/>
        </w:rPr>
        <w:t>desarrollada</w:t>
      </w:r>
      <w:r>
        <w:rPr>
          <w:spacing w:val="-3"/>
          <w:sz w:val="22"/>
        </w:rPr>
        <w:t> </w:t>
      </w:r>
      <w:r>
        <w:rPr>
          <w:sz w:val="22"/>
        </w:rPr>
        <w:t>de</w:t>
      </w:r>
      <w:r>
        <w:rPr>
          <w:spacing w:val="-8"/>
          <w:sz w:val="22"/>
        </w:rPr>
        <w:t> </w:t>
      </w:r>
      <w:r>
        <w:rPr>
          <w:sz w:val="22"/>
        </w:rPr>
        <w:t>acuerdo</w:t>
      </w:r>
      <w:r>
        <w:rPr>
          <w:spacing w:val="-7"/>
          <w:sz w:val="22"/>
        </w:rPr>
        <w:t> </w:t>
      </w:r>
      <w:r>
        <w:rPr>
          <w:sz w:val="22"/>
        </w:rPr>
        <w:t>con</w:t>
      </w:r>
      <w:r>
        <w:rPr>
          <w:spacing w:val="-8"/>
          <w:sz w:val="22"/>
        </w:rPr>
        <w:t> </w:t>
      </w:r>
      <w:r>
        <w:rPr>
          <w:sz w:val="22"/>
        </w:rPr>
        <w:t>una</w:t>
      </w:r>
      <w:r>
        <w:rPr>
          <w:spacing w:val="-7"/>
          <w:sz w:val="22"/>
        </w:rPr>
        <w:t> </w:t>
      </w:r>
      <w:r>
        <w:rPr>
          <w:sz w:val="22"/>
        </w:rPr>
        <w:t>interpretación</w:t>
      </w:r>
    </w:p>
    <w:p>
      <w:pPr>
        <w:pStyle w:val="BodyText"/>
        <w:tabs>
          <w:tab w:pos="1134" w:val="left" w:leader="none"/>
        </w:tabs>
        <w:spacing w:line="253" w:lineRule="exact"/>
        <w:ind w:left="160"/>
        <w:jc w:val="both"/>
      </w:pPr>
      <w:r>
        <w:rPr>
          <w:u w:val="single"/>
        </w:rPr>
        <w:tab/>
        <w:t>restrictiva</w:t>
      </w:r>
      <w:r>
        <w:rPr>
          <w:spacing w:val="24"/>
          <w:u w:val="single"/>
        </w:rPr>
        <w:t> </w:t>
      </w:r>
      <w:r>
        <w:rPr>
          <w:u w:val="single"/>
        </w:rPr>
        <w:t>de</w:t>
      </w:r>
      <w:r>
        <w:rPr>
          <w:spacing w:val="25"/>
          <w:u w:val="single"/>
        </w:rPr>
        <w:t> </w:t>
      </w:r>
      <w:r>
        <w:rPr>
          <w:u w:val="single"/>
        </w:rPr>
        <w:t>las</w:t>
      </w:r>
      <w:r>
        <w:rPr>
          <w:spacing w:val="26"/>
          <w:u w:val="single"/>
        </w:rPr>
        <w:t> </w:t>
      </w:r>
      <w:r>
        <w:rPr>
          <w:u w:val="single"/>
        </w:rPr>
        <w:t>excepciones</w:t>
      </w:r>
      <w:r>
        <w:rPr>
          <w:spacing w:val="27"/>
          <w:u w:val="single"/>
        </w:rPr>
        <w:t> </w:t>
      </w:r>
      <w:r>
        <w:rPr>
          <w:u w:val="single"/>
        </w:rPr>
        <w:t>previstas</w:t>
      </w:r>
      <w:r>
        <w:rPr>
          <w:spacing w:val="28"/>
          <w:u w:val="single"/>
        </w:rPr>
        <w:t> </w:t>
      </w:r>
      <w:r>
        <w:rPr>
          <w:u w:val="single"/>
        </w:rPr>
        <w:t>en</w:t>
      </w:r>
      <w:r>
        <w:rPr>
          <w:spacing w:val="24"/>
          <w:u w:val="single"/>
        </w:rPr>
        <w:t> </w:t>
      </w:r>
      <w:r>
        <w:rPr>
          <w:u w:val="single"/>
        </w:rPr>
        <w:t>el</w:t>
      </w:r>
      <w:r>
        <w:rPr>
          <w:spacing w:val="26"/>
          <w:u w:val="single"/>
        </w:rPr>
        <w:t> </w:t>
      </w:r>
      <w:r>
        <w:rPr>
          <w:u w:val="single"/>
        </w:rPr>
        <w:t>artículo</w:t>
      </w:r>
      <w:r>
        <w:rPr>
          <w:spacing w:val="27"/>
          <w:u w:val="single"/>
        </w:rPr>
        <w:t> </w:t>
      </w:r>
      <w:r>
        <w:rPr>
          <w:u w:val="single"/>
        </w:rPr>
        <w:t>73</w:t>
      </w:r>
      <w:r>
        <w:rPr>
          <w:spacing w:val="24"/>
          <w:u w:val="single"/>
        </w:rPr>
        <w:t> </w:t>
      </w:r>
      <w:r>
        <w:rPr>
          <w:u w:val="single"/>
        </w:rPr>
        <w:t>del</w:t>
      </w:r>
      <w:r>
        <w:rPr>
          <w:spacing w:val="27"/>
          <w:u w:val="single"/>
        </w:rPr>
        <w:t> </w:t>
      </w:r>
      <w:r>
        <w:rPr>
          <w:u w:val="single"/>
        </w:rPr>
        <w:t>Acuerdo</w:t>
      </w:r>
      <w:r>
        <w:rPr>
          <w:spacing w:val="25"/>
          <w:u w:val="single"/>
        </w:rPr>
        <w:t> </w:t>
      </w:r>
      <w:r>
        <w:rPr>
          <w:u w:val="single"/>
        </w:rPr>
        <w:t>de</w:t>
      </w:r>
      <w:r>
        <w:rPr>
          <w:spacing w:val="25"/>
          <w:u w:val="single"/>
        </w:rPr>
        <w:t> </w:t>
      </w:r>
      <w:r>
        <w:rPr>
          <w:spacing w:val="-2"/>
          <w:u w:val="single"/>
        </w:rPr>
        <w:t>Cartagena,</w:t>
      </w:r>
      <w:r>
        <w:rPr>
          <w:spacing w:val="80"/>
          <w:w w:val="150"/>
          <w:u w:val="single"/>
        </w:rPr>
        <w:t> </w:t>
      </w:r>
    </w:p>
    <w:p>
      <w:pPr>
        <w:pStyle w:val="BodyText"/>
        <w:spacing w:after="0" w:line="253" w:lineRule="exact"/>
        <w:jc w:val="both"/>
        <w:sectPr>
          <w:pgSz w:w="11900" w:h="16850"/>
          <w:pgMar w:header="370" w:footer="597" w:top="1380" w:bottom="780" w:left="992" w:right="283"/>
        </w:sectPr>
      </w:pPr>
    </w:p>
    <w:p>
      <w:pPr>
        <w:pStyle w:val="BodyText"/>
        <w:spacing w:before="176"/>
      </w:pPr>
    </w:p>
    <w:p>
      <w:pPr>
        <w:pStyle w:val="BodyText"/>
        <w:ind w:left="1134" w:right="955"/>
      </w:pPr>
      <w:r>
        <w:rPr/>
        <w:t>conforme</w:t>
      </w:r>
      <w:r>
        <w:rPr>
          <w:spacing w:val="40"/>
        </w:rPr>
        <w:t> </w:t>
      </w:r>
      <w:r>
        <w:rPr/>
        <w:t>a</w:t>
      </w:r>
      <w:r>
        <w:rPr>
          <w:spacing w:val="69"/>
        </w:rPr>
        <w:t> </w:t>
      </w:r>
      <w:r>
        <w:rPr/>
        <w:t>la</w:t>
      </w:r>
      <w:r>
        <w:rPr>
          <w:spacing w:val="40"/>
        </w:rPr>
        <w:t> </w:t>
      </w:r>
      <w:r>
        <w:rPr/>
        <w:t>jurisprudencia</w:t>
      </w:r>
      <w:r>
        <w:rPr>
          <w:spacing w:val="69"/>
        </w:rPr>
        <w:t> </w:t>
      </w:r>
      <w:r>
        <w:rPr/>
        <w:t>del</w:t>
      </w:r>
      <w:r>
        <w:rPr>
          <w:spacing w:val="40"/>
        </w:rPr>
        <w:t> </w:t>
      </w:r>
      <w:r>
        <w:rPr/>
        <w:t>TJCAN.</w:t>
      </w:r>
      <w:r>
        <w:rPr>
          <w:spacing w:val="40"/>
        </w:rPr>
        <w:t> </w:t>
      </w:r>
      <w:r>
        <w:rPr/>
        <w:t>En</w:t>
      </w:r>
      <w:r>
        <w:rPr>
          <w:spacing w:val="40"/>
        </w:rPr>
        <w:t> </w:t>
      </w:r>
      <w:r>
        <w:rPr/>
        <w:t>consecuencia,</w:t>
      </w:r>
      <w:r>
        <w:rPr>
          <w:spacing w:val="40"/>
        </w:rPr>
        <w:t> </w:t>
      </w:r>
      <w:r>
        <w:rPr/>
        <w:t>este</w:t>
      </w:r>
      <w:r>
        <w:rPr>
          <w:spacing w:val="40"/>
        </w:rPr>
        <w:t> </w:t>
      </w:r>
      <w:r>
        <w:rPr/>
        <w:t>requisito</w:t>
      </w:r>
      <w:r>
        <w:rPr>
          <w:spacing w:val="69"/>
        </w:rPr>
        <w:t> </w:t>
      </w:r>
      <w:r>
        <w:rPr/>
        <w:t>no</w:t>
      </w:r>
      <w:r>
        <w:rPr>
          <w:spacing w:val="69"/>
        </w:rPr>
        <w:t> </w:t>
      </w:r>
      <w:r>
        <w:rPr/>
        <w:t>se encuentra cumplido.</w:t>
      </w:r>
    </w:p>
    <w:p>
      <w:pPr>
        <w:pStyle w:val="BodyText"/>
      </w:pPr>
    </w:p>
    <w:p>
      <w:pPr>
        <w:pStyle w:val="ListParagraph"/>
        <w:numPr>
          <w:ilvl w:val="0"/>
          <w:numId w:val="50"/>
        </w:numPr>
        <w:tabs>
          <w:tab w:pos="1130" w:val="left" w:leader="none"/>
          <w:tab w:pos="1134" w:val="left" w:leader="none"/>
        </w:tabs>
        <w:spacing w:line="240" w:lineRule="auto" w:before="0" w:after="0"/>
        <w:ind w:left="1134" w:right="982" w:hanging="567"/>
        <w:jc w:val="both"/>
        <w:rPr>
          <w:sz w:val="22"/>
        </w:rPr>
      </w:pPr>
      <w:r>
        <w:rPr>
          <w:sz w:val="22"/>
        </w:rPr>
        <w:t>Conforme</w:t>
      </w:r>
      <w:r>
        <w:rPr>
          <w:spacing w:val="-16"/>
          <w:sz w:val="22"/>
        </w:rPr>
        <w:t> </w:t>
      </w:r>
      <w:r>
        <w:rPr>
          <w:sz w:val="22"/>
        </w:rPr>
        <w:t>a</w:t>
      </w:r>
      <w:r>
        <w:rPr>
          <w:spacing w:val="-15"/>
          <w:sz w:val="22"/>
        </w:rPr>
        <w:t> </w:t>
      </w:r>
      <w:r>
        <w:rPr>
          <w:sz w:val="22"/>
        </w:rPr>
        <w:t>la</w:t>
      </w:r>
      <w:r>
        <w:rPr>
          <w:spacing w:val="-15"/>
          <w:sz w:val="22"/>
        </w:rPr>
        <w:t> </w:t>
      </w:r>
      <w:r>
        <w:rPr>
          <w:sz w:val="22"/>
        </w:rPr>
        <w:t>jurisprudencia</w:t>
      </w:r>
      <w:r>
        <w:rPr>
          <w:spacing w:val="-16"/>
          <w:sz w:val="22"/>
        </w:rPr>
        <w:t> </w:t>
      </w:r>
      <w:r>
        <w:rPr>
          <w:sz w:val="22"/>
        </w:rPr>
        <w:t>del</w:t>
      </w:r>
      <w:r>
        <w:rPr>
          <w:spacing w:val="-15"/>
          <w:sz w:val="22"/>
        </w:rPr>
        <w:t> </w:t>
      </w:r>
      <w:r>
        <w:rPr>
          <w:sz w:val="22"/>
        </w:rPr>
        <w:t>TJCAN,</w:t>
      </w:r>
      <w:r>
        <w:rPr>
          <w:spacing w:val="-15"/>
          <w:sz w:val="22"/>
        </w:rPr>
        <w:t> </w:t>
      </w:r>
      <w:r>
        <w:rPr>
          <w:sz w:val="22"/>
        </w:rPr>
        <w:t>bastaría</w:t>
      </w:r>
      <w:r>
        <w:rPr>
          <w:spacing w:val="-15"/>
          <w:sz w:val="22"/>
        </w:rPr>
        <w:t> </w:t>
      </w:r>
      <w:r>
        <w:rPr>
          <w:sz w:val="22"/>
        </w:rPr>
        <w:t>que</w:t>
      </w:r>
      <w:r>
        <w:rPr>
          <w:spacing w:val="-14"/>
          <w:sz w:val="22"/>
        </w:rPr>
        <w:t> </w:t>
      </w:r>
      <w:r>
        <w:rPr>
          <w:sz w:val="22"/>
        </w:rPr>
        <w:t>se</w:t>
      </w:r>
      <w:r>
        <w:rPr>
          <w:spacing w:val="-15"/>
          <w:sz w:val="22"/>
        </w:rPr>
        <w:t> </w:t>
      </w:r>
      <w:r>
        <w:rPr>
          <w:sz w:val="22"/>
        </w:rPr>
        <w:t>incumpla</w:t>
      </w:r>
      <w:r>
        <w:rPr>
          <w:spacing w:val="-16"/>
          <w:sz w:val="22"/>
        </w:rPr>
        <w:t> </w:t>
      </w:r>
      <w:r>
        <w:rPr>
          <w:sz w:val="22"/>
        </w:rPr>
        <w:t>uno</w:t>
      </w:r>
      <w:r>
        <w:rPr>
          <w:spacing w:val="-15"/>
          <w:sz w:val="22"/>
        </w:rPr>
        <w:t> </w:t>
      </w:r>
      <w:r>
        <w:rPr>
          <w:sz w:val="22"/>
        </w:rPr>
        <w:t>de</w:t>
      </w:r>
      <w:r>
        <w:rPr>
          <w:spacing w:val="-15"/>
          <w:sz w:val="22"/>
        </w:rPr>
        <w:t> </w:t>
      </w:r>
      <w:r>
        <w:rPr>
          <w:sz w:val="22"/>
        </w:rPr>
        <w:t>estos</w:t>
      </w:r>
      <w:r>
        <w:rPr>
          <w:spacing w:val="-16"/>
          <w:sz w:val="22"/>
        </w:rPr>
        <w:t> </w:t>
      </w:r>
      <w:r>
        <w:rPr>
          <w:sz w:val="22"/>
        </w:rPr>
        <w:t>criterios para considerar que la excepción no se encuentra fundamentada. Sin perjuicio de ello, este órgano comunitario, en el marco de sus competencias, y para mayor claridad, ha determinado efectuar el análisis de manera completa.</w:t>
      </w:r>
    </w:p>
    <w:p>
      <w:pPr>
        <w:pStyle w:val="ListParagraph"/>
        <w:numPr>
          <w:ilvl w:val="1"/>
          <w:numId w:val="122"/>
        </w:numPr>
        <w:tabs>
          <w:tab w:pos="1701" w:val="left" w:leader="none"/>
        </w:tabs>
        <w:spacing w:line="240" w:lineRule="auto" w:before="253" w:after="0"/>
        <w:ind w:left="1701" w:right="0" w:hanging="567"/>
        <w:jc w:val="left"/>
        <w:rPr>
          <w:rFonts w:ascii="Arial"/>
          <w:i/>
          <w:sz w:val="22"/>
        </w:rPr>
      </w:pPr>
      <w:r>
        <w:rPr>
          <w:rFonts w:ascii="Arial"/>
          <w:i/>
          <w:sz w:val="22"/>
          <w:u w:val="single"/>
        </w:rPr>
        <w:t>Sobre</w:t>
      </w:r>
      <w:r>
        <w:rPr>
          <w:rFonts w:ascii="Arial"/>
          <w:i/>
          <w:spacing w:val="-4"/>
          <w:sz w:val="22"/>
          <w:u w:val="single"/>
        </w:rPr>
        <w:t> </w:t>
      </w:r>
      <w:r>
        <w:rPr>
          <w:rFonts w:ascii="Arial"/>
          <w:i/>
          <w:sz w:val="22"/>
          <w:u w:val="single"/>
        </w:rPr>
        <w:t>la</w:t>
      </w:r>
      <w:r>
        <w:rPr>
          <w:rFonts w:ascii="Arial"/>
          <w:i/>
          <w:spacing w:val="-3"/>
          <w:sz w:val="22"/>
          <w:u w:val="single"/>
        </w:rPr>
        <w:t> </w:t>
      </w:r>
      <w:r>
        <w:rPr>
          <w:rFonts w:ascii="Arial"/>
          <w:i/>
          <w:sz w:val="22"/>
          <w:u w:val="single"/>
        </w:rPr>
        <w:t>idoneidad</w:t>
      </w:r>
      <w:r>
        <w:rPr>
          <w:rFonts w:ascii="Arial"/>
          <w:i/>
          <w:spacing w:val="-4"/>
          <w:sz w:val="22"/>
          <w:u w:val="single"/>
        </w:rPr>
        <w:t> </w:t>
      </w:r>
      <w:r>
        <w:rPr>
          <w:rFonts w:ascii="Arial"/>
          <w:i/>
          <w:sz w:val="22"/>
          <w:u w:val="single"/>
        </w:rPr>
        <w:t>de</w:t>
      </w:r>
      <w:r>
        <w:rPr>
          <w:rFonts w:ascii="Arial"/>
          <w:i/>
          <w:spacing w:val="-5"/>
          <w:sz w:val="22"/>
          <w:u w:val="single"/>
        </w:rPr>
        <w:t> </w:t>
      </w:r>
      <w:r>
        <w:rPr>
          <w:rFonts w:ascii="Arial"/>
          <w:i/>
          <w:sz w:val="22"/>
          <w:u w:val="single"/>
        </w:rPr>
        <w:t>la</w:t>
      </w:r>
      <w:r>
        <w:rPr>
          <w:rFonts w:ascii="Arial"/>
          <w:i/>
          <w:spacing w:val="-5"/>
          <w:sz w:val="22"/>
          <w:u w:val="single"/>
        </w:rPr>
        <w:t> </w:t>
      </w:r>
      <w:r>
        <w:rPr>
          <w:rFonts w:ascii="Arial"/>
          <w:i/>
          <w:spacing w:val="-2"/>
          <w:sz w:val="22"/>
          <w:u w:val="single"/>
        </w:rPr>
        <w:t>medida</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Sobre</w:t>
      </w:r>
      <w:r>
        <w:rPr>
          <w:spacing w:val="-16"/>
          <w:sz w:val="22"/>
        </w:rPr>
        <w:t> </w:t>
      </w:r>
      <w:r>
        <w:rPr>
          <w:sz w:val="22"/>
        </w:rPr>
        <w:t>la</w:t>
      </w:r>
      <w:r>
        <w:rPr>
          <w:spacing w:val="-15"/>
          <w:sz w:val="22"/>
        </w:rPr>
        <w:t> </w:t>
      </w:r>
      <w:r>
        <w:rPr>
          <w:sz w:val="22"/>
        </w:rPr>
        <w:t>idoneidad</w:t>
      </w:r>
      <w:r>
        <w:rPr>
          <w:spacing w:val="-15"/>
          <w:sz w:val="22"/>
        </w:rPr>
        <w:t> </w:t>
      </w:r>
      <w:r>
        <w:rPr>
          <w:sz w:val="22"/>
        </w:rPr>
        <w:t>de</w:t>
      </w:r>
      <w:r>
        <w:rPr>
          <w:spacing w:val="-16"/>
          <w:sz w:val="22"/>
        </w:rPr>
        <w:t> </w:t>
      </w:r>
      <w:r>
        <w:rPr>
          <w:sz w:val="22"/>
        </w:rPr>
        <w:t>la</w:t>
      </w:r>
      <w:r>
        <w:rPr>
          <w:spacing w:val="-15"/>
          <w:sz w:val="22"/>
        </w:rPr>
        <w:t> </w:t>
      </w:r>
      <w:r>
        <w:rPr>
          <w:sz w:val="22"/>
        </w:rPr>
        <w:t>medida,</w:t>
      </w:r>
      <w:r>
        <w:rPr>
          <w:spacing w:val="-15"/>
          <w:sz w:val="22"/>
        </w:rPr>
        <w:t> </w:t>
      </w:r>
      <w:r>
        <w:rPr>
          <w:sz w:val="22"/>
        </w:rPr>
        <w:t>la</w:t>
      </w:r>
      <w:r>
        <w:rPr>
          <w:spacing w:val="-15"/>
          <w:sz w:val="22"/>
        </w:rPr>
        <w:t> </w:t>
      </w:r>
      <w:r>
        <w:rPr>
          <w:sz w:val="22"/>
        </w:rPr>
        <w:t>República</w:t>
      </w:r>
      <w:r>
        <w:rPr>
          <w:spacing w:val="-16"/>
          <w:sz w:val="22"/>
        </w:rPr>
        <w:t> </w:t>
      </w:r>
      <w:r>
        <w:rPr>
          <w:sz w:val="22"/>
        </w:rPr>
        <w:t>de</w:t>
      </w:r>
      <w:r>
        <w:rPr>
          <w:spacing w:val="-15"/>
          <w:sz w:val="22"/>
        </w:rPr>
        <w:t> </w:t>
      </w:r>
      <w:r>
        <w:rPr>
          <w:sz w:val="22"/>
        </w:rPr>
        <w:t>Colombia</w:t>
      </w:r>
      <w:r>
        <w:rPr>
          <w:spacing w:val="-15"/>
          <w:sz w:val="22"/>
        </w:rPr>
        <w:t> </w:t>
      </w:r>
      <w:r>
        <w:rPr>
          <w:sz w:val="22"/>
        </w:rPr>
        <w:t>en</w:t>
      </w:r>
      <w:r>
        <w:rPr>
          <w:spacing w:val="-16"/>
          <w:sz w:val="22"/>
        </w:rPr>
        <w:t> </w:t>
      </w:r>
      <w:r>
        <w:rPr>
          <w:sz w:val="22"/>
        </w:rPr>
        <w:t>su</w:t>
      </w:r>
      <w:r>
        <w:rPr>
          <w:spacing w:val="-15"/>
          <w:sz w:val="22"/>
        </w:rPr>
        <w:t> </w:t>
      </w:r>
      <w:r>
        <w:rPr>
          <w:sz w:val="22"/>
        </w:rPr>
        <w:t>escrito</w:t>
      </w:r>
      <w:r>
        <w:rPr>
          <w:spacing w:val="-15"/>
          <w:sz w:val="22"/>
        </w:rPr>
        <w:t> </w:t>
      </w:r>
      <w:r>
        <w:rPr>
          <w:sz w:val="22"/>
        </w:rPr>
        <w:t>de</w:t>
      </w:r>
      <w:r>
        <w:rPr>
          <w:spacing w:val="-15"/>
          <w:sz w:val="22"/>
        </w:rPr>
        <w:t> </w:t>
      </w:r>
      <w:r>
        <w:rPr>
          <w:sz w:val="22"/>
        </w:rPr>
        <w:t>contestación señala lo siguiente:</w:t>
      </w:r>
    </w:p>
    <w:p>
      <w:pPr>
        <w:pStyle w:val="BodyText"/>
        <w:spacing w:before="2"/>
      </w:pPr>
    </w:p>
    <w:p>
      <w:pPr>
        <w:spacing w:before="1"/>
        <w:ind w:left="1288" w:right="981" w:firstLine="0"/>
        <w:jc w:val="both"/>
        <w:rPr>
          <w:sz w:val="22"/>
        </w:rPr>
      </w:pPr>
      <w:r>
        <w:rPr>
          <w:rFonts w:ascii="Arial" w:hAnsi="Arial"/>
          <w:i/>
          <w:sz w:val="22"/>
        </w:rPr>
        <w:t>“La canalización establecida en el artículo 2 del Decreto 170 de 2026 satisface plenamente</w:t>
      </w:r>
      <w:r>
        <w:rPr>
          <w:rFonts w:ascii="Arial" w:hAnsi="Arial"/>
          <w:i/>
          <w:spacing w:val="-12"/>
          <w:sz w:val="22"/>
        </w:rPr>
        <w:t> </w:t>
      </w:r>
      <w:r>
        <w:rPr>
          <w:rFonts w:ascii="Arial" w:hAnsi="Arial"/>
          <w:i/>
          <w:sz w:val="22"/>
        </w:rPr>
        <w:t>el</w:t>
      </w:r>
      <w:r>
        <w:rPr>
          <w:rFonts w:ascii="Arial" w:hAnsi="Arial"/>
          <w:i/>
          <w:spacing w:val="-16"/>
          <w:sz w:val="22"/>
        </w:rPr>
        <w:t> </w:t>
      </w:r>
      <w:r>
        <w:rPr>
          <w:rFonts w:ascii="Arial" w:hAnsi="Arial"/>
          <w:i/>
          <w:sz w:val="22"/>
        </w:rPr>
        <w:t>test</w:t>
      </w:r>
      <w:r>
        <w:rPr>
          <w:rFonts w:ascii="Arial" w:hAnsi="Arial"/>
          <w:i/>
          <w:spacing w:val="-10"/>
          <w:sz w:val="22"/>
        </w:rPr>
        <w:t> </w:t>
      </w:r>
      <w:r>
        <w:rPr>
          <w:rFonts w:ascii="Arial" w:hAnsi="Arial"/>
          <w:i/>
          <w:sz w:val="22"/>
        </w:rPr>
        <w:t>exigido</w:t>
      </w:r>
      <w:r>
        <w:rPr>
          <w:rFonts w:ascii="Arial" w:hAnsi="Arial"/>
          <w:i/>
          <w:spacing w:val="-12"/>
          <w:sz w:val="22"/>
        </w:rPr>
        <w:t> </w:t>
      </w:r>
      <w:r>
        <w:rPr>
          <w:rFonts w:ascii="Arial" w:hAnsi="Arial"/>
          <w:i/>
          <w:sz w:val="22"/>
        </w:rPr>
        <w:t>por</w:t>
      </w:r>
      <w:r>
        <w:rPr>
          <w:rFonts w:ascii="Arial" w:hAnsi="Arial"/>
          <w:i/>
          <w:spacing w:val="-11"/>
          <w:sz w:val="22"/>
        </w:rPr>
        <w:t> </w:t>
      </w:r>
      <w:r>
        <w:rPr>
          <w:rFonts w:ascii="Arial" w:hAnsi="Arial"/>
          <w:i/>
          <w:sz w:val="22"/>
        </w:rPr>
        <w:t>la</w:t>
      </w:r>
      <w:r>
        <w:rPr>
          <w:rFonts w:ascii="Arial" w:hAnsi="Arial"/>
          <w:i/>
          <w:spacing w:val="-15"/>
          <w:sz w:val="22"/>
        </w:rPr>
        <w:t> </w:t>
      </w:r>
      <w:r>
        <w:rPr>
          <w:rFonts w:ascii="Arial" w:hAnsi="Arial"/>
          <w:i/>
          <w:sz w:val="22"/>
        </w:rPr>
        <w:t>jurisprudencia</w:t>
      </w:r>
      <w:r>
        <w:rPr>
          <w:rFonts w:ascii="Arial" w:hAnsi="Arial"/>
          <w:i/>
          <w:spacing w:val="-12"/>
          <w:sz w:val="22"/>
        </w:rPr>
        <w:t> </w:t>
      </w:r>
      <w:r>
        <w:rPr>
          <w:rFonts w:ascii="Arial" w:hAnsi="Arial"/>
          <w:i/>
          <w:sz w:val="22"/>
        </w:rPr>
        <w:t>del</w:t>
      </w:r>
      <w:r>
        <w:rPr>
          <w:rFonts w:ascii="Arial" w:hAnsi="Arial"/>
          <w:i/>
          <w:spacing w:val="-13"/>
          <w:sz w:val="22"/>
        </w:rPr>
        <w:t> </w:t>
      </w:r>
      <w:r>
        <w:rPr>
          <w:rFonts w:ascii="Arial" w:hAnsi="Arial"/>
          <w:i/>
          <w:sz w:val="22"/>
        </w:rPr>
        <w:t>TJCA</w:t>
      </w:r>
      <w:r>
        <w:rPr>
          <w:rFonts w:ascii="Arial" w:hAnsi="Arial"/>
          <w:i/>
          <w:spacing w:val="-13"/>
          <w:sz w:val="22"/>
        </w:rPr>
        <w:t> </w:t>
      </w:r>
      <w:r>
        <w:rPr>
          <w:rFonts w:ascii="Arial" w:hAnsi="Arial"/>
          <w:i/>
          <w:sz w:val="22"/>
        </w:rPr>
        <w:t>para</w:t>
      </w:r>
      <w:r>
        <w:rPr>
          <w:rFonts w:ascii="Arial" w:hAnsi="Arial"/>
          <w:i/>
          <w:spacing w:val="-12"/>
          <w:sz w:val="22"/>
        </w:rPr>
        <w:t> </w:t>
      </w:r>
      <w:r>
        <w:rPr>
          <w:rFonts w:ascii="Arial" w:hAnsi="Arial"/>
          <w:i/>
          <w:sz w:val="22"/>
        </w:rPr>
        <w:t>la</w:t>
      </w:r>
      <w:r>
        <w:rPr>
          <w:rFonts w:ascii="Arial" w:hAnsi="Arial"/>
          <w:i/>
          <w:spacing w:val="-12"/>
          <w:sz w:val="22"/>
        </w:rPr>
        <w:t> </w:t>
      </w:r>
      <w:r>
        <w:rPr>
          <w:rFonts w:ascii="Arial" w:hAnsi="Arial"/>
          <w:i/>
          <w:sz w:val="22"/>
        </w:rPr>
        <w:t>aplicación</w:t>
      </w:r>
      <w:r>
        <w:rPr>
          <w:rFonts w:ascii="Arial" w:hAnsi="Arial"/>
          <w:i/>
          <w:spacing w:val="-13"/>
          <w:sz w:val="22"/>
        </w:rPr>
        <w:t> </w:t>
      </w:r>
      <w:r>
        <w:rPr>
          <w:rFonts w:ascii="Arial" w:hAnsi="Arial"/>
          <w:i/>
          <w:sz w:val="22"/>
        </w:rPr>
        <w:t>del</w:t>
      </w:r>
      <w:r>
        <w:rPr>
          <w:rFonts w:ascii="Arial" w:hAnsi="Arial"/>
          <w:i/>
          <w:spacing w:val="-13"/>
          <w:sz w:val="22"/>
        </w:rPr>
        <w:t> </w:t>
      </w:r>
      <w:r>
        <w:rPr>
          <w:rFonts w:ascii="Arial" w:hAnsi="Arial"/>
          <w:i/>
          <w:sz w:val="22"/>
        </w:rPr>
        <w:t>artículo 73 del AC, en tanto: (i) es idónea, pues existe relación funcional directa entre el redireccionamiento hacia puntos con infraestructura consolidada de inspección fitosanitaria, sanitaria, verificación documental y cadena de frío, y la finalidad de garantizar la inspección física y documental, verificar origen y condiciones de producción, asegurar la trazabilidad y reducir el ingreso de mercancías sin cumplimiento de requisitos sanitarios;</w:t>
      </w:r>
      <w:r>
        <w:rPr>
          <w:sz w:val="22"/>
        </w:rPr>
        <w:t>”</w:t>
      </w:r>
      <w:hyperlink w:history="true" w:anchor="_bookmark191">
        <w:r>
          <w:rPr>
            <w:sz w:val="22"/>
            <w:vertAlign w:val="superscript"/>
          </w:rPr>
          <w:t>124</w:t>
        </w:r>
        <w:r>
          <w:rPr>
            <w:sz w:val="22"/>
            <w:vertAlign w:val="baseline"/>
          </w:rPr>
          <w:t>.</w:t>
        </w:r>
      </w:hyperlink>
    </w:p>
    <w:p>
      <w:pPr>
        <w:pStyle w:val="ListParagraph"/>
        <w:numPr>
          <w:ilvl w:val="0"/>
          <w:numId w:val="50"/>
        </w:numPr>
        <w:tabs>
          <w:tab w:pos="1130" w:val="left" w:leader="none"/>
          <w:tab w:pos="1134" w:val="left" w:leader="none"/>
        </w:tabs>
        <w:spacing w:line="240" w:lineRule="auto" w:before="251" w:after="0"/>
        <w:ind w:left="1134" w:right="981" w:hanging="567"/>
        <w:jc w:val="both"/>
        <w:rPr>
          <w:sz w:val="22"/>
        </w:rPr>
      </w:pPr>
      <w:r>
        <w:rPr>
          <w:sz w:val="22"/>
        </w:rPr>
        <w:t>En cuanto al criterio de idoneidad, si bien la República de Colombia sostiene que el redireccionamiento de las importaciones hacia puntos de control dotados de infraestructura adecuada permitiría un mejor ejercicio de las funciones de inspección fitosanitaria y sanitaria, del análisis del informe técnico presentado, así como de la información complementaria remitida, se pudo constatar que las medidas sanitarias y fitosanitarias adoptadas no cumplen con los procedimientos ni con los requisitos exigidos por la normativa comunitaria andina en esta materia.</w:t>
      </w:r>
    </w:p>
    <w:p>
      <w:pPr>
        <w:pStyle w:val="ListParagraph"/>
        <w:numPr>
          <w:ilvl w:val="0"/>
          <w:numId w:val="50"/>
        </w:numPr>
        <w:tabs>
          <w:tab w:pos="1130" w:val="left" w:leader="none"/>
          <w:tab w:pos="1134" w:val="left" w:leader="none"/>
        </w:tabs>
        <w:spacing w:line="240" w:lineRule="auto" w:before="253" w:after="0"/>
        <w:ind w:left="1134" w:right="975" w:hanging="567"/>
        <w:jc w:val="both"/>
        <w:rPr>
          <w:sz w:val="22"/>
        </w:rPr>
      </w:pPr>
      <w:r>
        <w:rPr>
          <w:sz w:val="22"/>
        </w:rPr>
        <w:t>En</w:t>
      </w:r>
      <w:r>
        <w:rPr>
          <w:spacing w:val="-16"/>
          <w:sz w:val="22"/>
        </w:rPr>
        <w:t> </w:t>
      </w:r>
      <w:r>
        <w:rPr>
          <w:sz w:val="22"/>
        </w:rPr>
        <w:t>efecto,</w:t>
      </w:r>
      <w:r>
        <w:rPr>
          <w:spacing w:val="-15"/>
          <w:sz w:val="22"/>
        </w:rPr>
        <w:t> </w:t>
      </w:r>
      <w:r>
        <w:rPr>
          <w:sz w:val="22"/>
        </w:rPr>
        <w:t>de</w:t>
      </w:r>
      <w:r>
        <w:rPr>
          <w:spacing w:val="-15"/>
          <w:sz w:val="22"/>
        </w:rPr>
        <w:t> </w:t>
      </w:r>
      <w:r>
        <w:rPr>
          <w:sz w:val="22"/>
        </w:rPr>
        <w:t>conformidad</w:t>
      </w:r>
      <w:r>
        <w:rPr>
          <w:spacing w:val="-16"/>
          <w:sz w:val="22"/>
        </w:rPr>
        <w:t> </w:t>
      </w:r>
      <w:r>
        <w:rPr>
          <w:sz w:val="22"/>
        </w:rPr>
        <w:t>con</w:t>
      </w:r>
      <w:r>
        <w:rPr>
          <w:spacing w:val="-15"/>
          <w:sz w:val="22"/>
        </w:rPr>
        <w:t> </w:t>
      </w:r>
      <w:r>
        <w:rPr>
          <w:sz w:val="22"/>
        </w:rPr>
        <w:t>el</w:t>
      </w:r>
      <w:r>
        <w:rPr>
          <w:spacing w:val="-15"/>
          <w:sz w:val="22"/>
        </w:rPr>
        <w:t> </w:t>
      </w:r>
      <w:r>
        <w:rPr>
          <w:sz w:val="22"/>
        </w:rPr>
        <w:t>análisis</w:t>
      </w:r>
      <w:r>
        <w:rPr>
          <w:spacing w:val="-15"/>
          <w:sz w:val="22"/>
        </w:rPr>
        <w:t> </w:t>
      </w:r>
      <w:r>
        <w:rPr>
          <w:sz w:val="22"/>
        </w:rPr>
        <w:t>realizado</w:t>
      </w:r>
      <w:r>
        <w:rPr>
          <w:spacing w:val="-16"/>
          <w:sz w:val="22"/>
        </w:rPr>
        <w:t> </w:t>
      </w:r>
      <w:r>
        <w:rPr>
          <w:sz w:val="22"/>
        </w:rPr>
        <w:t>por</w:t>
      </w:r>
      <w:r>
        <w:rPr>
          <w:spacing w:val="-15"/>
          <w:sz w:val="22"/>
        </w:rPr>
        <w:t> </w:t>
      </w:r>
      <w:r>
        <w:rPr>
          <w:sz w:val="22"/>
        </w:rPr>
        <w:t>este</w:t>
      </w:r>
      <w:r>
        <w:rPr>
          <w:spacing w:val="-15"/>
          <w:sz w:val="22"/>
        </w:rPr>
        <w:t> </w:t>
      </w:r>
      <w:r>
        <w:rPr>
          <w:sz w:val="22"/>
        </w:rPr>
        <w:t>órgano</w:t>
      </w:r>
      <w:r>
        <w:rPr>
          <w:spacing w:val="-16"/>
          <w:sz w:val="22"/>
        </w:rPr>
        <w:t> </w:t>
      </w:r>
      <w:r>
        <w:rPr>
          <w:sz w:val="22"/>
        </w:rPr>
        <w:t>comunitario</w:t>
      </w:r>
      <w:r>
        <w:rPr>
          <w:spacing w:val="-15"/>
          <w:sz w:val="22"/>
        </w:rPr>
        <w:t> </w:t>
      </w:r>
      <w:r>
        <w:rPr>
          <w:sz w:val="22"/>
        </w:rPr>
        <w:t>respecto de</w:t>
      </w:r>
      <w:r>
        <w:rPr>
          <w:spacing w:val="-10"/>
          <w:sz w:val="22"/>
        </w:rPr>
        <w:t> </w:t>
      </w:r>
      <w:r>
        <w:rPr>
          <w:sz w:val="22"/>
        </w:rPr>
        <w:t>la</w:t>
      </w:r>
      <w:r>
        <w:rPr>
          <w:spacing w:val="-12"/>
          <w:sz w:val="22"/>
        </w:rPr>
        <w:t> </w:t>
      </w:r>
      <w:r>
        <w:rPr>
          <w:sz w:val="22"/>
        </w:rPr>
        <w:t>totalidad</w:t>
      </w:r>
      <w:r>
        <w:rPr>
          <w:spacing w:val="-10"/>
          <w:sz w:val="22"/>
        </w:rPr>
        <w:t> </w:t>
      </w:r>
      <w:r>
        <w:rPr>
          <w:sz w:val="22"/>
        </w:rPr>
        <w:t>de</w:t>
      </w:r>
      <w:r>
        <w:rPr>
          <w:spacing w:val="-11"/>
          <w:sz w:val="22"/>
        </w:rPr>
        <w:t> </w:t>
      </w:r>
      <w:r>
        <w:rPr>
          <w:sz w:val="22"/>
        </w:rPr>
        <w:t>las</w:t>
      </w:r>
      <w:r>
        <w:rPr>
          <w:spacing w:val="-10"/>
          <w:sz w:val="22"/>
        </w:rPr>
        <w:t> </w:t>
      </w:r>
      <w:r>
        <w:rPr>
          <w:sz w:val="22"/>
        </w:rPr>
        <w:t>subpartidas</w:t>
      </w:r>
      <w:r>
        <w:rPr>
          <w:spacing w:val="-12"/>
          <w:sz w:val="22"/>
        </w:rPr>
        <w:t> </w:t>
      </w:r>
      <w:r>
        <w:rPr>
          <w:sz w:val="22"/>
        </w:rPr>
        <w:t>arancelarias</w:t>
      </w:r>
      <w:r>
        <w:rPr>
          <w:spacing w:val="-9"/>
          <w:sz w:val="22"/>
        </w:rPr>
        <w:t> </w:t>
      </w:r>
      <w:r>
        <w:rPr>
          <w:sz w:val="22"/>
        </w:rPr>
        <w:t>comprendidas</w:t>
      </w:r>
      <w:r>
        <w:rPr>
          <w:spacing w:val="-12"/>
          <w:sz w:val="22"/>
        </w:rPr>
        <w:t> </w:t>
      </w:r>
      <w:r>
        <w:rPr>
          <w:sz w:val="22"/>
        </w:rPr>
        <w:t>en</w:t>
      </w:r>
      <w:r>
        <w:rPr>
          <w:spacing w:val="-13"/>
          <w:sz w:val="22"/>
        </w:rPr>
        <w:t> </w:t>
      </w:r>
      <w:r>
        <w:rPr>
          <w:sz w:val="22"/>
        </w:rPr>
        <w:t>el</w:t>
      </w:r>
      <w:r>
        <w:rPr>
          <w:spacing w:val="-11"/>
          <w:sz w:val="22"/>
        </w:rPr>
        <w:t> </w:t>
      </w:r>
      <w:r>
        <w:rPr>
          <w:sz w:val="22"/>
        </w:rPr>
        <w:t>artículo</w:t>
      </w:r>
      <w:r>
        <w:rPr>
          <w:spacing w:val="-12"/>
          <w:sz w:val="22"/>
        </w:rPr>
        <w:t> </w:t>
      </w:r>
      <w:r>
        <w:rPr>
          <w:sz w:val="22"/>
        </w:rPr>
        <w:t>2</w:t>
      </w:r>
      <w:r>
        <w:rPr>
          <w:spacing w:val="-12"/>
          <w:sz w:val="22"/>
        </w:rPr>
        <w:t> </w:t>
      </w:r>
      <w:r>
        <w:rPr>
          <w:sz w:val="22"/>
        </w:rPr>
        <w:t>del</w:t>
      </w:r>
      <w:r>
        <w:rPr>
          <w:spacing w:val="-11"/>
          <w:sz w:val="22"/>
        </w:rPr>
        <w:t> </w:t>
      </w:r>
      <w:r>
        <w:rPr>
          <w:sz w:val="22"/>
        </w:rPr>
        <w:t>Decreto 0170, se evidenció que la República de Colombia no efectuó un Análisis de Riesgo de Plagas (ARP) específico para los productos agrícolas frescos ni para los productos pesqueros, conforme a lo dispuesto en la Decisión 515 y en la Resolución 025. La ausencia</w:t>
      </w:r>
      <w:r>
        <w:rPr>
          <w:spacing w:val="-16"/>
          <w:sz w:val="22"/>
        </w:rPr>
        <w:t> </w:t>
      </w:r>
      <w:r>
        <w:rPr>
          <w:sz w:val="22"/>
        </w:rPr>
        <w:t>de</w:t>
      </w:r>
      <w:r>
        <w:rPr>
          <w:spacing w:val="-15"/>
          <w:sz w:val="22"/>
        </w:rPr>
        <w:t> </w:t>
      </w:r>
      <w:r>
        <w:rPr>
          <w:sz w:val="22"/>
        </w:rPr>
        <w:t>un</w:t>
      </w:r>
      <w:r>
        <w:rPr>
          <w:spacing w:val="-15"/>
          <w:sz w:val="22"/>
        </w:rPr>
        <w:t> </w:t>
      </w:r>
      <w:r>
        <w:rPr>
          <w:sz w:val="22"/>
        </w:rPr>
        <w:t>ARP</w:t>
      </w:r>
      <w:r>
        <w:rPr>
          <w:spacing w:val="-16"/>
          <w:sz w:val="22"/>
        </w:rPr>
        <w:t> </w:t>
      </w:r>
      <w:r>
        <w:rPr>
          <w:sz w:val="22"/>
        </w:rPr>
        <w:t>individualizado,</w:t>
      </w:r>
      <w:r>
        <w:rPr>
          <w:spacing w:val="-15"/>
          <w:sz w:val="22"/>
        </w:rPr>
        <w:t> </w:t>
      </w:r>
      <w:r>
        <w:rPr>
          <w:sz w:val="22"/>
        </w:rPr>
        <w:t>sumada</w:t>
      </w:r>
      <w:r>
        <w:rPr>
          <w:spacing w:val="-15"/>
          <w:sz w:val="22"/>
        </w:rPr>
        <w:t> </w:t>
      </w:r>
      <w:r>
        <w:rPr>
          <w:sz w:val="22"/>
        </w:rPr>
        <w:t>a</w:t>
      </w:r>
      <w:r>
        <w:rPr>
          <w:spacing w:val="-15"/>
          <w:sz w:val="22"/>
        </w:rPr>
        <w:t> </w:t>
      </w:r>
      <w:r>
        <w:rPr>
          <w:sz w:val="22"/>
        </w:rPr>
        <w:t>la</w:t>
      </w:r>
      <w:r>
        <w:rPr>
          <w:spacing w:val="-16"/>
          <w:sz w:val="22"/>
        </w:rPr>
        <w:t> </w:t>
      </w:r>
      <w:r>
        <w:rPr>
          <w:sz w:val="22"/>
        </w:rPr>
        <w:t>no</w:t>
      </w:r>
      <w:r>
        <w:rPr>
          <w:spacing w:val="-15"/>
          <w:sz w:val="22"/>
        </w:rPr>
        <w:t> </w:t>
      </w:r>
      <w:r>
        <w:rPr>
          <w:sz w:val="22"/>
        </w:rPr>
        <w:t>incorporación</w:t>
      </w:r>
      <w:r>
        <w:rPr>
          <w:spacing w:val="-15"/>
          <w:sz w:val="22"/>
        </w:rPr>
        <w:t> </w:t>
      </w:r>
      <w:r>
        <w:rPr>
          <w:sz w:val="22"/>
        </w:rPr>
        <w:t>del</w:t>
      </w:r>
      <w:r>
        <w:rPr>
          <w:spacing w:val="-16"/>
          <w:sz w:val="22"/>
        </w:rPr>
        <w:t> </w:t>
      </w:r>
      <w:r>
        <w:rPr>
          <w:sz w:val="22"/>
        </w:rPr>
        <w:t>puesto</w:t>
      </w:r>
      <w:r>
        <w:rPr>
          <w:spacing w:val="-15"/>
          <w:sz w:val="22"/>
        </w:rPr>
        <w:t> </w:t>
      </w:r>
      <w:r>
        <w:rPr>
          <w:sz w:val="22"/>
        </w:rPr>
        <w:t>de</w:t>
      </w:r>
      <w:r>
        <w:rPr>
          <w:spacing w:val="-15"/>
          <w:sz w:val="22"/>
        </w:rPr>
        <w:t> </w:t>
      </w:r>
      <w:r>
        <w:rPr>
          <w:sz w:val="22"/>
        </w:rPr>
        <w:t>ingreso como</w:t>
      </w:r>
      <w:r>
        <w:rPr>
          <w:spacing w:val="-9"/>
          <w:sz w:val="22"/>
        </w:rPr>
        <w:t> </w:t>
      </w:r>
      <w:r>
        <w:rPr>
          <w:sz w:val="22"/>
        </w:rPr>
        <w:t>requisito</w:t>
      </w:r>
      <w:r>
        <w:rPr>
          <w:spacing w:val="-9"/>
          <w:sz w:val="22"/>
        </w:rPr>
        <w:t> </w:t>
      </w:r>
      <w:r>
        <w:rPr>
          <w:sz w:val="22"/>
        </w:rPr>
        <w:t>fitosanitario</w:t>
      </w:r>
      <w:r>
        <w:rPr>
          <w:spacing w:val="-6"/>
          <w:sz w:val="22"/>
        </w:rPr>
        <w:t> </w:t>
      </w:r>
      <w:r>
        <w:rPr>
          <w:sz w:val="22"/>
        </w:rPr>
        <w:t>exigible,</w:t>
      </w:r>
      <w:r>
        <w:rPr>
          <w:spacing w:val="-7"/>
          <w:sz w:val="22"/>
        </w:rPr>
        <w:t> </w:t>
      </w:r>
      <w:r>
        <w:rPr>
          <w:sz w:val="22"/>
        </w:rPr>
        <w:t>así</w:t>
      </w:r>
      <w:r>
        <w:rPr>
          <w:spacing w:val="-9"/>
          <w:sz w:val="22"/>
        </w:rPr>
        <w:t> </w:t>
      </w:r>
      <w:r>
        <w:rPr>
          <w:sz w:val="22"/>
        </w:rPr>
        <w:t>como</w:t>
      </w:r>
      <w:r>
        <w:rPr>
          <w:spacing w:val="-9"/>
          <w:sz w:val="22"/>
        </w:rPr>
        <w:t> </w:t>
      </w:r>
      <w:r>
        <w:rPr>
          <w:sz w:val="22"/>
        </w:rPr>
        <w:t>al</w:t>
      </w:r>
      <w:r>
        <w:rPr>
          <w:spacing w:val="-8"/>
          <w:sz w:val="22"/>
        </w:rPr>
        <w:t> </w:t>
      </w:r>
      <w:r>
        <w:rPr>
          <w:sz w:val="22"/>
        </w:rPr>
        <w:t>efecto</w:t>
      </w:r>
      <w:r>
        <w:rPr>
          <w:spacing w:val="-7"/>
          <w:sz w:val="22"/>
        </w:rPr>
        <w:t> </w:t>
      </w:r>
      <w:r>
        <w:rPr>
          <w:sz w:val="22"/>
        </w:rPr>
        <w:t>práctico</w:t>
      </w:r>
      <w:r>
        <w:rPr>
          <w:spacing w:val="-7"/>
          <w:sz w:val="22"/>
        </w:rPr>
        <w:t> </w:t>
      </w:r>
      <w:r>
        <w:rPr>
          <w:sz w:val="22"/>
        </w:rPr>
        <w:t>de</w:t>
      </w:r>
      <w:r>
        <w:rPr>
          <w:spacing w:val="-9"/>
          <w:sz w:val="22"/>
        </w:rPr>
        <w:t> </w:t>
      </w:r>
      <w:r>
        <w:rPr>
          <w:sz w:val="22"/>
        </w:rPr>
        <w:t>desviar</w:t>
      </w:r>
      <w:r>
        <w:rPr>
          <w:spacing w:val="-10"/>
          <w:sz w:val="22"/>
        </w:rPr>
        <w:t> </w:t>
      </w:r>
      <w:r>
        <w:rPr>
          <w:sz w:val="22"/>
        </w:rPr>
        <w:t>o</w:t>
      </w:r>
      <w:r>
        <w:rPr>
          <w:spacing w:val="-7"/>
          <w:sz w:val="22"/>
        </w:rPr>
        <w:t> </w:t>
      </w:r>
      <w:r>
        <w:rPr>
          <w:sz w:val="22"/>
        </w:rPr>
        <w:t>bloquear</w:t>
      </w:r>
      <w:r>
        <w:rPr>
          <w:spacing w:val="-9"/>
          <w:sz w:val="22"/>
        </w:rPr>
        <w:t> </w:t>
      </w:r>
      <w:r>
        <w:rPr>
          <w:sz w:val="22"/>
        </w:rPr>
        <w:t>el comercio por vía terrestre, permite concluir que la medida no opera como un control fitosanitario legítimo, sino que configura una restricción al comercio intracomunitario andino, incompatible con el ordenamiento jurídico comunitario.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En tal sentido, la relación entre la medida adoptada y la finalidad invocada no se encuentra debidamente acreditada en el expediente, lo cual impide evaluar su idoneidad, conforme a los criterios establecidos por la jurisprudencia del TJCAN. En consecuencia, este requisito no se encuentra cumplido.</w:t>
      </w:r>
    </w:p>
    <w:p>
      <w:pPr>
        <w:pStyle w:val="BodyText"/>
      </w:pPr>
    </w:p>
    <w:p>
      <w:pPr>
        <w:pStyle w:val="ListParagraph"/>
        <w:numPr>
          <w:ilvl w:val="1"/>
          <w:numId w:val="122"/>
        </w:numPr>
        <w:tabs>
          <w:tab w:pos="1701" w:val="left" w:leader="none"/>
        </w:tabs>
        <w:spacing w:line="240" w:lineRule="auto" w:before="0" w:after="0"/>
        <w:ind w:left="1701" w:right="0" w:hanging="567"/>
        <w:jc w:val="left"/>
        <w:rPr>
          <w:rFonts w:ascii="Arial"/>
          <w:i/>
          <w:sz w:val="22"/>
        </w:rPr>
      </w:pPr>
      <w:r>
        <w:rPr>
          <w:rFonts w:ascii="Arial"/>
          <w:i/>
          <w:sz w:val="22"/>
          <w:u w:val="single"/>
        </w:rPr>
        <w:t>Sobre</w:t>
      </w:r>
      <w:r>
        <w:rPr>
          <w:rFonts w:ascii="Arial"/>
          <w:i/>
          <w:spacing w:val="-4"/>
          <w:sz w:val="22"/>
          <w:u w:val="single"/>
        </w:rPr>
        <w:t> </w:t>
      </w:r>
      <w:r>
        <w:rPr>
          <w:rFonts w:ascii="Arial"/>
          <w:i/>
          <w:sz w:val="22"/>
          <w:u w:val="single"/>
        </w:rPr>
        <w:t>la</w:t>
      </w:r>
      <w:r>
        <w:rPr>
          <w:rFonts w:ascii="Arial"/>
          <w:i/>
          <w:spacing w:val="-3"/>
          <w:sz w:val="22"/>
          <w:u w:val="single"/>
        </w:rPr>
        <w:t> </w:t>
      </w:r>
      <w:r>
        <w:rPr>
          <w:rFonts w:ascii="Arial"/>
          <w:i/>
          <w:sz w:val="22"/>
          <w:u w:val="single"/>
        </w:rPr>
        <w:t>necesidad</w:t>
      </w:r>
      <w:r>
        <w:rPr>
          <w:rFonts w:ascii="Arial"/>
          <w:i/>
          <w:spacing w:val="-5"/>
          <w:sz w:val="22"/>
          <w:u w:val="single"/>
        </w:rPr>
        <w:t> </w:t>
      </w:r>
      <w:r>
        <w:rPr>
          <w:rFonts w:ascii="Arial"/>
          <w:i/>
          <w:sz w:val="22"/>
          <w:u w:val="single"/>
        </w:rPr>
        <w:t>de</w:t>
      </w:r>
      <w:r>
        <w:rPr>
          <w:rFonts w:ascii="Arial"/>
          <w:i/>
          <w:spacing w:val="-3"/>
          <w:sz w:val="22"/>
          <w:u w:val="single"/>
        </w:rPr>
        <w:t> </w:t>
      </w:r>
      <w:r>
        <w:rPr>
          <w:rFonts w:ascii="Arial"/>
          <w:i/>
          <w:sz w:val="22"/>
          <w:u w:val="single"/>
        </w:rPr>
        <w:t>la</w:t>
      </w:r>
      <w:r>
        <w:rPr>
          <w:rFonts w:ascii="Arial"/>
          <w:i/>
          <w:spacing w:val="-5"/>
          <w:sz w:val="22"/>
          <w:u w:val="single"/>
        </w:rPr>
        <w:t> </w:t>
      </w:r>
      <w:r>
        <w:rPr>
          <w:rFonts w:ascii="Arial"/>
          <w:i/>
          <w:spacing w:val="-2"/>
          <w:sz w:val="22"/>
          <w:u w:val="single"/>
        </w:rPr>
        <w:t>medida</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80" w:hanging="567"/>
        <w:jc w:val="left"/>
        <w:rPr>
          <w:sz w:val="22"/>
        </w:rPr>
      </w:pPr>
      <w:r>
        <w:rPr>
          <w:sz w:val="22"/>
        </w:rPr>
        <w:t>Respecto</w:t>
      </w:r>
      <w:r>
        <w:rPr>
          <w:spacing w:val="40"/>
          <w:sz w:val="22"/>
        </w:rPr>
        <w:t> </w:t>
      </w:r>
      <w:r>
        <w:rPr>
          <w:sz w:val="22"/>
        </w:rPr>
        <w:t>del</w:t>
      </w:r>
      <w:r>
        <w:rPr>
          <w:spacing w:val="40"/>
          <w:sz w:val="22"/>
        </w:rPr>
        <w:t> </w:t>
      </w:r>
      <w:r>
        <w:rPr>
          <w:sz w:val="22"/>
        </w:rPr>
        <w:t>criterio</w:t>
      </w:r>
      <w:r>
        <w:rPr>
          <w:spacing w:val="40"/>
          <w:sz w:val="22"/>
        </w:rPr>
        <w:t> </w:t>
      </w:r>
      <w:r>
        <w:rPr>
          <w:sz w:val="22"/>
        </w:rPr>
        <w:t>de</w:t>
      </w:r>
      <w:r>
        <w:rPr>
          <w:spacing w:val="40"/>
          <w:sz w:val="22"/>
        </w:rPr>
        <w:t> </w:t>
      </w:r>
      <w:r>
        <w:rPr>
          <w:sz w:val="22"/>
        </w:rPr>
        <w:t>necesidad</w:t>
      </w:r>
      <w:r>
        <w:rPr>
          <w:spacing w:val="40"/>
          <w:sz w:val="22"/>
        </w:rPr>
        <w:t> </w:t>
      </w:r>
      <w:r>
        <w:rPr>
          <w:sz w:val="22"/>
        </w:rPr>
        <w:t>que</w:t>
      </w:r>
      <w:r>
        <w:rPr>
          <w:spacing w:val="40"/>
          <w:sz w:val="22"/>
        </w:rPr>
        <w:t> </w:t>
      </w:r>
      <w:r>
        <w:rPr>
          <w:sz w:val="22"/>
        </w:rPr>
        <w:t>debe</w:t>
      </w:r>
      <w:r>
        <w:rPr>
          <w:spacing w:val="40"/>
          <w:sz w:val="22"/>
        </w:rPr>
        <w:t> </w:t>
      </w:r>
      <w:r>
        <w:rPr>
          <w:sz w:val="22"/>
        </w:rPr>
        <w:t>cumplir</w:t>
      </w:r>
      <w:r>
        <w:rPr>
          <w:spacing w:val="40"/>
          <w:sz w:val="22"/>
        </w:rPr>
        <w:t> </w:t>
      </w:r>
      <w:r>
        <w:rPr>
          <w:sz w:val="22"/>
        </w:rPr>
        <w:t>la</w:t>
      </w:r>
      <w:r>
        <w:rPr>
          <w:spacing w:val="40"/>
          <w:sz w:val="22"/>
        </w:rPr>
        <w:t> </w:t>
      </w:r>
      <w:r>
        <w:rPr>
          <w:sz w:val="22"/>
        </w:rPr>
        <w:t>medida,</w:t>
      </w:r>
      <w:r>
        <w:rPr>
          <w:spacing w:val="40"/>
          <w:sz w:val="22"/>
        </w:rPr>
        <w:t> </w:t>
      </w:r>
      <w:r>
        <w:rPr>
          <w:sz w:val="22"/>
        </w:rPr>
        <w:t>la</w:t>
      </w:r>
      <w:r>
        <w:rPr>
          <w:spacing w:val="40"/>
          <w:sz w:val="22"/>
        </w:rPr>
        <w:t> </w:t>
      </w:r>
      <w:r>
        <w:rPr>
          <w:sz w:val="22"/>
        </w:rPr>
        <w:t>República</w:t>
      </w:r>
      <w:r>
        <w:rPr>
          <w:spacing w:val="40"/>
          <w:sz w:val="22"/>
        </w:rPr>
        <w:t> </w:t>
      </w:r>
      <w:r>
        <w:rPr>
          <w:sz w:val="22"/>
        </w:rPr>
        <w:t>de Colombia sostiene lo siguiente:</w:t>
      </w:r>
    </w:p>
    <w:p>
      <w:pPr>
        <w:spacing w:before="252"/>
        <w:ind w:left="1288" w:right="983" w:firstLine="0"/>
        <w:jc w:val="both"/>
        <w:rPr>
          <w:rFonts w:ascii="Arial" w:hAnsi="Arial"/>
          <w:i/>
          <w:sz w:val="22"/>
        </w:rPr>
      </w:pPr>
      <w:r>
        <w:rPr>
          <w:rFonts w:ascii="Arial" w:hAnsi="Arial"/>
          <w:i/>
          <w:sz w:val="22"/>
        </w:rPr>
        <w:t>“es necesaria, pues las alternativas menos restrictivas examinadas, tales como la inspección reforzada sin canalización en los pasos de Ipiales y Puerto Asís, puestos móviles</w:t>
      </w:r>
      <w:r>
        <w:rPr>
          <w:rFonts w:ascii="Arial" w:hAnsi="Arial"/>
          <w:i/>
          <w:spacing w:val="40"/>
          <w:sz w:val="22"/>
        </w:rPr>
        <w:t> </w:t>
      </w:r>
      <w:r>
        <w:rPr>
          <w:rFonts w:ascii="Arial" w:hAnsi="Arial"/>
          <w:i/>
          <w:sz w:val="22"/>
        </w:rPr>
        <w:t>de</w:t>
      </w:r>
      <w:r>
        <w:rPr>
          <w:rFonts w:ascii="Arial" w:hAnsi="Arial"/>
          <w:i/>
          <w:spacing w:val="40"/>
          <w:sz w:val="22"/>
        </w:rPr>
        <w:t> </w:t>
      </w:r>
      <w:r>
        <w:rPr>
          <w:rFonts w:ascii="Arial" w:hAnsi="Arial"/>
          <w:i/>
          <w:sz w:val="22"/>
        </w:rPr>
        <w:t>inspección,</w:t>
      </w:r>
      <w:r>
        <w:rPr>
          <w:rFonts w:ascii="Arial" w:hAnsi="Arial"/>
          <w:i/>
          <w:spacing w:val="40"/>
          <w:sz w:val="22"/>
        </w:rPr>
        <w:t> </w:t>
      </w:r>
      <w:r>
        <w:rPr>
          <w:rFonts w:ascii="Arial" w:hAnsi="Arial"/>
          <w:i/>
          <w:sz w:val="22"/>
        </w:rPr>
        <w:t>exigencia</w:t>
      </w:r>
      <w:r>
        <w:rPr>
          <w:rFonts w:ascii="Arial" w:hAnsi="Arial"/>
          <w:i/>
          <w:spacing w:val="40"/>
          <w:sz w:val="22"/>
        </w:rPr>
        <w:t> </w:t>
      </w:r>
      <w:r>
        <w:rPr>
          <w:rFonts w:ascii="Arial" w:hAnsi="Arial"/>
          <w:i/>
          <w:sz w:val="22"/>
        </w:rPr>
        <w:t>de</w:t>
      </w:r>
      <w:r>
        <w:rPr>
          <w:rFonts w:ascii="Arial" w:hAnsi="Arial"/>
          <w:i/>
          <w:spacing w:val="40"/>
          <w:sz w:val="22"/>
        </w:rPr>
        <w:t> </w:t>
      </w:r>
      <w:r>
        <w:rPr>
          <w:rFonts w:ascii="Arial" w:hAnsi="Arial"/>
          <w:i/>
          <w:sz w:val="22"/>
        </w:rPr>
        <w:t>certificación</w:t>
      </w:r>
      <w:r>
        <w:rPr>
          <w:rFonts w:ascii="Arial" w:hAnsi="Arial"/>
          <w:i/>
          <w:spacing w:val="40"/>
          <w:sz w:val="22"/>
        </w:rPr>
        <w:t> </w:t>
      </w:r>
      <w:r>
        <w:rPr>
          <w:rFonts w:ascii="Arial" w:hAnsi="Arial"/>
          <w:i/>
          <w:sz w:val="22"/>
        </w:rPr>
        <w:t>fitosanitaria</w:t>
      </w:r>
      <w:r>
        <w:rPr>
          <w:rFonts w:ascii="Arial" w:hAnsi="Arial"/>
          <w:i/>
          <w:spacing w:val="40"/>
          <w:sz w:val="22"/>
        </w:rPr>
        <w:t> </w:t>
      </w:r>
      <w:r>
        <w:rPr>
          <w:rFonts w:ascii="Arial" w:hAnsi="Arial"/>
          <w:i/>
          <w:sz w:val="22"/>
        </w:rPr>
        <w:t>previa</w:t>
      </w:r>
      <w:r>
        <w:rPr>
          <w:rFonts w:ascii="Arial" w:hAnsi="Arial"/>
          <w:i/>
          <w:spacing w:val="40"/>
          <w:sz w:val="22"/>
        </w:rPr>
        <w:t> </w:t>
      </w:r>
      <w:r>
        <w:rPr>
          <w:rFonts w:ascii="Arial" w:hAnsi="Arial"/>
          <w:i/>
          <w:sz w:val="22"/>
        </w:rPr>
        <w:t>adicional,</w:t>
      </w:r>
      <w:r>
        <w:rPr>
          <w:rFonts w:ascii="Arial" w:hAnsi="Arial"/>
          <w:i/>
          <w:spacing w:val="65"/>
          <w:sz w:val="22"/>
        </w:rPr>
        <w:t> </w:t>
      </w:r>
      <w:r>
        <w:rPr>
          <w:rFonts w:ascii="Arial" w:hAnsi="Arial"/>
          <w:i/>
          <w:sz w:val="22"/>
        </w:rPr>
        <w:t>y</w:t>
      </w:r>
    </w:p>
    <w:p>
      <w:pPr>
        <w:pStyle w:val="BodyText"/>
        <w:spacing w:before="1"/>
        <w:rPr>
          <w:rFonts w:ascii="Arial"/>
          <w:i/>
          <w:sz w:val="12"/>
        </w:rPr>
      </w:pPr>
      <w:r>
        <w:rPr>
          <w:rFonts w:ascii="Arial"/>
          <w:i/>
          <w:sz w:val="12"/>
        </w:rPr>
        <mc:AlternateContent>
          <mc:Choice Requires="wps">
            <w:drawing>
              <wp:anchor distT="0" distB="0" distL="0" distR="0" allowOverlap="1" layoutInCell="1" locked="0" behindDoc="1" simplePos="0" relativeHeight="487670272">
                <wp:simplePos x="0" y="0"/>
                <wp:positionH relativeFrom="page">
                  <wp:posOffset>990904</wp:posOffset>
                </wp:positionH>
                <wp:positionV relativeFrom="paragraph">
                  <wp:posOffset>103882</wp:posOffset>
                </wp:positionV>
                <wp:extent cx="1829435" cy="7620"/>
                <wp:effectExtent l="0" t="0" r="0" b="0"/>
                <wp:wrapTopAndBottom/>
                <wp:docPr id="678" name="Graphic 678"/>
                <wp:cNvGraphicFramePr>
                  <a:graphicFrameLocks/>
                </wp:cNvGraphicFramePr>
                <a:graphic>
                  <a:graphicData uri="http://schemas.microsoft.com/office/word/2010/wordprocessingShape">
                    <wps:wsp>
                      <wps:cNvPr id="678" name="Graphic 678"/>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8.179745pt;width:144.020pt;height:.60004pt;mso-position-horizontal-relative:page;mso-position-vertical-relative:paragraph;z-index:-15646208;mso-wrap-distance-left:0;mso-wrap-distance-right:0" id="docshape456" filled="true" fillcolor="#000000" stroked="false">
                <v:fill type="solid"/>
                <w10:wrap type="topAndBottom"/>
              </v:rect>
            </w:pict>
          </mc:Fallback>
        </mc:AlternateContent>
      </w:r>
    </w:p>
    <w:p>
      <w:pPr>
        <w:spacing w:before="92"/>
        <w:ind w:left="568" w:right="0" w:firstLine="0"/>
        <w:jc w:val="left"/>
        <w:rPr>
          <w:sz w:val="16"/>
        </w:rPr>
      </w:pPr>
      <w:bookmarkStart w:name="_bookmark191" w:id="192"/>
      <w:bookmarkEnd w:id="192"/>
      <w:r>
        <w:rPr/>
      </w:r>
      <w:r>
        <w:rPr>
          <w:sz w:val="16"/>
          <w:vertAlign w:val="superscript"/>
        </w:rPr>
        <w:t>124</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000374.</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679" name="Group 679"/>
                <wp:cNvGraphicFramePr>
                  <a:graphicFrameLocks/>
                </wp:cNvGraphicFramePr>
                <a:graphic>
                  <a:graphicData uri="http://schemas.microsoft.com/office/word/2010/wordprocessingGroup">
                    <wpg:wgp>
                      <wpg:cNvPr id="679" name="Group 679"/>
                      <wpg:cNvGrpSpPr/>
                      <wpg:grpSpPr>
                        <a:xfrm>
                          <a:off x="0" y="0"/>
                          <a:ext cx="6131560" cy="9525"/>
                          <a:chExt cx="6131560" cy="9525"/>
                        </a:xfrm>
                      </wpg:grpSpPr>
                      <wps:wsp>
                        <wps:cNvPr id="680" name="Graphic 680"/>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457"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597" w:top="1380" w:bottom="780" w:left="992" w:right="283"/>
        </w:sectPr>
      </w:pPr>
    </w:p>
    <w:p>
      <w:pPr>
        <w:pStyle w:val="BodyText"/>
        <w:spacing w:before="176"/>
      </w:pPr>
    </w:p>
    <w:p>
      <w:pPr>
        <w:spacing w:before="0"/>
        <w:ind w:left="1288" w:right="982" w:firstLine="0"/>
        <w:jc w:val="both"/>
        <w:rPr>
          <w:rFonts w:ascii="Arial" w:hAnsi="Arial"/>
          <w:i/>
          <w:sz w:val="22"/>
        </w:rPr>
      </w:pPr>
      <w:r>
        <w:rPr>
          <w:rFonts w:ascii="Arial" w:hAnsi="Arial"/>
          <w:i/>
          <w:sz w:val="22"/>
        </w:rPr>
        <w:t>cuarentena postfrontera en el lugar de destino, resultan, consideradas individual o acumulativamente,</w:t>
      </w:r>
      <w:r>
        <w:rPr>
          <w:rFonts w:ascii="Arial" w:hAnsi="Arial"/>
          <w:i/>
          <w:spacing w:val="-16"/>
          <w:sz w:val="22"/>
        </w:rPr>
        <w:t> </w:t>
      </w:r>
      <w:r>
        <w:rPr>
          <w:rFonts w:ascii="Arial" w:hAnsi="Arial"/>
          <w:i/>
          <w:sz w:val="22"/>
        </w:rPr>
        <w:t>insuficientes</w:t>
      </w:r>
      <w:r>
        <w:rPr>
          <w:rFonts w:ascii="Arial" w:hAnsi="Arial"/>
          <w:i/>
          <w:spacing w:val="-15"/>
          <w:sz w:val="22"/>
        </w:rPr>
        <w:t> </w:t>
      </w:r>
      <w:r>
        <w:rPr>
          <w:rFonts w:ascii="Arial" w:hAnsi="Arial"/>
          <w:i/>
          <w:sz w:val="22"/>
        </w:rPr>
        <w:t>o</w:t>
      </w:r>
      <w:r>
        <w:rPr>
          <w:rFonts w:ascii="Arial" w:hAnsi="Arial"/>
          <w:i/>
          <w:spacing w:val="-15"/>
          <w:sz w:val="22"/>
        </w:rPr>
        <w:t> </w:t>
      </w:r>
      <w:r>
        <w:rPr>
          <w:rFonts w:ascii="Arial" w:hAnsi="Arial"/>
          <w:i/>
          <w:sz w:val="22"/>
        </w:rPr>
        <w:t>inviables</w:t>
      </w:r>
      <w:r>
        <w:rPr>
          <w:rFonts w:ascii="Arial" w:hAnsi="Arial"/>
          <w:i/>
          <w:spacing w:val="-16"/>
          <w:sz w:val="22"/>
        </w:rPr>
        <w:t> </w:t>
      </w:r>
      <w:r>
        <w:rPr>
          <w:rFonts w:ascii="Arial" w:hAnsi="Arial"/>
          <w:i/>
          <w:sz w:val="22"/>
        </w:rPr>
        <w:t>para</w:t>
      </w:r>
      <w:r>
        <w:rPr>
          <w:rFonts w:ascii="Arial" w:hAnsi="Arial"/>
          <w:i/>
          <w:spacing w:val="-15"/>
          <w:sz w:val="22"/>
        </w:rPr>
        <w:t> </w:t>
      </w:r>
      <w:r>
        <w:rPr>
          <w:rFonts w:ascii="Arial" w:hAnsi="Arial"/>
          <w:i/>
          <w:sz w:val="22"/>
        </w:rPr>
        <w:t>alcanzar</w:t>
      </w:r>
      <w:r>
        <w:rPr>
          <w:rFonts w:ascii="Arial" w:hAnsi="Arial"/>
          <w:i/>
          <w:spacing w:val="-15"/>
          <w:sz w:val="22"/>
        </w:rPr>
        <w:t> </w:t>
      </w:r>
      <w:r>
        <w:rPr>
          <w:rFonts w:ascii="Arial" w:hAnsi="Arial"/>
          <w:i/>
          <w:sz w:val="22"/>
        </w:rPr>
        <w:t>el</w:t>
      </w:r>
      <w:r>
        <w:rPr>
          <w:rFonts w:ascii="Arial" w:hAnsi="Arial"/>
          <w:i/>
          <w:spacing w:val="-15"/>
          <w:sz w:val="22"/>
        </w:rPr>
        <w:t> </w:t>
      </w:r>
      <w:r>
        <w:rPr>
          <w:rFonts w:ascii="Arial" w:hAnsi="Arial"/>
          <w:i/>
          <w:sz w:val="22"/>
        </w:rPr>
        <w:t>mismo</w:t>
      </w:r>
      <w:r>
        <w:rPr>
          <w:rFonts w:ascii="Arial" w:hAnsi="Arial"/>
          <w:i/>
          <w:spacing w:val="-16"/>
          <w:sz w:val="22"/>
        </w:rPr>
        <w:t> </w:t>
      </w:r>
      <w:r>
        <w:rPr>
          <w:rFonts w:ascii="Arial" w:hAnsi="Arial"/>
          <w:i/>
          <w:sz w:val="22"/>
        </w:rPr>
        <w:t>nivel</w:t>
      </w:r>
      <w:r>
        <w:rPr>
          <w:rFonts w:ascii="Arial" w:hAnsi="Arial"/>
          <w:i/>
          <w:spacing w:val="-15"/>
          <w:sz w:val="22"/>
        </w:rPr>
        <w:t> </w:t>
      </w:r>
      <w:r>
        <w:rPr>
          <w:rFonts w:ascii="Arial" w:hAnsi="Arial"/>
          <w:i/>
          <w:sz w:val="22"/>
        </w:rPr>
        <w:t>de</w:t>
      </w:r>
      <w:r>
        <w:rPr>
          <w:rFonts w:ascii="Arial" w:hAnsi="Arial"/>
          <w:i/>
          <w:spacing w:val="-15"/>
          <w:sz w:val="22"/>
        </w:rPr>
        <w:t> </w:t>
      </w:r>
      <w:r>
        <w:rPr>
          <w:rFonts w:ascii="Arial" w:hAnsi="Arial"/>
          <w:i/>
          <w:sz w:val="22"/>
        </w:rPr>
        <w:t>efectividad en la gestión del riesgo identificado”</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Al respecto, corresponde evaluar si la medida adoptada por la República de Colombia constituye</w:t>
      </w:r>
      <w:r>
        <w:rPr>
          <w:spacing w:val="-7"/>
          <w:sz w:val="22"/>
        </w:rPr>
        <w:t> </w:t>
      </w:r>
      <w:r>
        <w:rPr>
          <w:sz w:val="22"/>
        </w:rPr>
        <w:t>la</w:t>
      </w:r>
      <w:r>
        <w:rPr>
          <w:spacing w:val="-4"/>
          <w:sz w:val="22"/>
        </w:rPr>
        <w:t> </w:t>
      </w:r>
      <w:r>
        <w:rPr>
          <w:sz w:val="22"/>
        </w:rPr>
        <w:t>alternativa</w:t>
      </w:r>
      <w:r>
        <w:rPr>
          <w:spacing w:val="-9"/>
          <w:sz w:val="22"/>
        </w:rPr>
        <w:t> </w:t>
      </w:r>
      <w:r>
        <w:rPr>
          <w:sz w:val="22"/>
        </w:rPr>
        <w:t>menos</w:t>
      </w:r>
      <w:r>
        <w:rPr>
          <w:spacing w:val="-6"/>
          <w:sz w:val="22"/>
        </w:rPr>
        <w:t> </w:t>
      </w:r>
      <w:r>
        <w:rPr>
          <w:sz w:val="22"/>
        </w:rPr>
        <w:t>restrictiva</w:t>
      </w:r>
      <w:r>
        <w:rPr>
          <w:spacing w:val="-6"/>
          <w:sz w:val="22"/>
        </w:rPr>
        <w:t> </w:t>
      </w:r>
      <w:r>
        <w:rPr>
          <w:sz w:val="22"/>
        </w:rPr>
        <w:t>para</w:t>
      </w:r>
      <w:r>
        <w:rPr>
          <w:spacing w:val="-6"/>
          <w:sz w:val="22"/>
        </w:rPr>
        <w:t> </w:t>
      </w:r>
      <w:r>
        <w:rPr>
          <w:sz w:val="22"/>
        </w:rPr>
        <w:t>el</w:t>
      </w:r>
      <w:r>
        <w:rPr>
          <w:spacing w:val="-7"/>
          <w:sz w:val="22"/>
        </w:rPr>
        <w:t> </w:t>
      </w:r>
      <w:r>
        <w:rPr>
          <w:sz w:val="22"/>
        </w:rPr>
        <w:t>comercio</w:t>
      </w:r>
      <w:r>
        <w:rPr>
          <w:spacing w:val="-6"/>
          <w:sz w:val="22"/>
        </w:rPr>
        <w:t> </w:t>
      </w:r>
      <w:r>
        <w:rPr>
          <w:sz w:val="22"/>
        </w:rPr>
        <w:t>intracomunitario</w:t>
      </w:r>
      <w:r>
        <w:rPr>
          <w:spacing w:val="-4"/>
          <w:sz w:val="22"/>
        </w:rPr>
        <w:t> </w:t>
      </w:r>
      <w:r>
        <w:rPr>
          <w:sz w:val="22"/>
        </w:rPr>
        <w:t>andino</w:t>
      </w:r>
      <w:r>
        <w:rPr>
          <w:spacing w:val="-4"/>
          <w:sz w:val="22"/>
        </w:rPr>
        <w:t> </w:t>
      </w:r>
      <w:r>
        <w:rPr>
          <w:sz w:val="22"/>
        </w:rPr>
        <w:t>a</w:t>
      </w:r>
      <w:r>
        <w:rPr>
          <w:spacing w:val="-6"/>
          <w:sz w:val="22"/>
        </w:rPr>
        <w:t> </w:t>
      </w:r>
      <w:r>
        <w:rPr>
          <w:sz w:val="22"/>
        </w:rPr>
        <w:t>fin de alcanzar la finalidad invocada. De la revisión de la información obrante en el expediente, así como de la respuesta presentada por la República de Colombia, no se advierte que se haya</w:t>
      </w:r>
      <w:r>
        <w:rPr>
          <w:spacing w:val="-2"/>
          <w:sz w:val="22"/>
        </w:rPr>
        <w:t> </w:t>
      </w:r>
      <w:r>
        <w:rPr>
          <w:sz w:val="22"/>
        </w:rPr>
        <w:t>realizado un análisis comparativo de</w:t>
      </w:r>
      <w:r>
        <w:rPr>
          <w:spacing w:val="-2"/>
          <w:sz w:val="22"/>
        </w:rPr>
        <w:t> </w:t>
      </w:r>
      <w:r>
        <w:rPr>
          <w:sz w:val="22"/>
        </w:rPr>
        <w:t>medidas alternativas, ni</w:t>
      </w:r>
      <w:r>
        <w:rPr>
          <w:spacing w:val="-1"/>
          <w:sz w:val="22"/>
        </w:rPr>
        <w:t> </w:t>
      </w:r>
      <w:r>
        <w:rPr>
          <w:sz w:val="22"/>
        </w:rPr>
        <w:t>que se haya evaluado la idoneidad y eficacia de mecanismos menos lesivos para el comercio.</w:t>
      </w:r>
      <w:r>
        <w:rPr>
          <w:spacing w:val="-13"/>
          <w:sz w:val="22"/>
        </w:rPr>
        <w:t> </w:t>
      </w:r>
      <w:r>
        <w:rPr>
          <w:sz w:val="22"/>
        </w:rPr>
        <w:t>En</w:t>
      </w:r>
      <w:r>
        <w:rPr>
          <w:spacing w:val="-14"/>
          <w:sz w:val="22"/>
        </w:rPr>
        <w:t> </w:t>
      </w:r>
      <w:r>
        <w:rPr>
          <w:sz w:val="22"/>
        </w:rPr>
        <w:t>efecto,</w:t>
      </w:r>
      <w:r>
        <w:rPr>
          <w:spacing w:val="-13"/>
          <w:sz w:val="22"/>
        </w:rPr>
        <w:t> </w:t>
      </w:r>
      <w:r>
        <w:rPr>
          <w:sz w:val="22"/>
        </w:rPr>
        <w:t>el</w:t>
      </w:r>
      <w:r>
        <w:rPr>
          <w:spacing w:val="-15"/>
          <w:sz w:val="22"/>
        </w:rPr>
        <w:t> </w:t>
      </w:r>
      <w:r>
        <w:rPr>
          <w:sz w:val="22"/>
        </w:rPr>
        <w:t>Decreto</w:t>
      </w:r>
      <w:r>
        <w:rPr>
          <w:spacing w:val="-13"/>
          <w:sz w:val="22"/>
        </w:rPr>
        <w:t> </w:t>
      </w:r>
      <w:r>
        <w:rPr>
          <w:sz w:val="22"/>
        </w:rPr>
        <w:t>0170</w:t>
      </w:r>
      <w:r>
        <w:rPr>
          <w:spacing w:val="-14"/>
          <w:sz w:val="22"/>
        </w:rPr>
        <w:t> </w:t>
      </w:r>
      <w:r>
        <w:rPr>
          <w:sz w:val="22"/>
        </w:rPr>
        <w:t>establece</w:t>
      </w:r>
      <w:r>
        <w:rPr>
          <w:spacing w:val="-14"/>
          <w:sz w:val="22"/>
        </w:rPr>
        <w:t> </w:t>
      </w:r>
      <w:r>
        <w:rPr>
          <w:sz w:val="22"/>
        </w:rPr>
        <w:t>una</w:t>
      </w:r>
      <w:r>
        <w:rPr>
          <w:spacing w:val="-12"/>
          <w:sz w:val="22"/>
        </w:rPr>
        <w:t> </w:t>
      </w:r>
      <w:r>
        <w:rPr>
          <w:sz w:val="22"/>
        </w:rPr>
        <w:t>restricción</w:t>
      </w:r>
      <w:r>
        <w:rPr>
          <w:spacing w:val="-13"/>
          <w:sz w:val="22"/>
        </w:rPr>
        <w:t> </w:t>
      </w:r>
      <w:r>
        <w:rPr>
          <w:sz w:val="22"/>
        </w:rPr>
        <w:t>al</w:t>
      </w:r>
      <w:r>
        <w:rPr>
          <w:spacing w:val="-15"/>
          <w:sz w:val="22"/>
        </w:rPr>
        <w:t> </w:t>
      </w:r>
      <w:r>
        <w:rPr>
          <w:sz w:val="22"/>
        </w:rPr>
        <w:t>ingreso</w:t>
      </w:r>
      <w:r>
        <w:rPr>
          <w:spacing w:val="-14"/>
          <w:sz w:val="22"/>
        </w:rPr>
        <w:t> </w:t>
      </w:r>
      <w:r>
        <w:rPr>
          <w:sz w:val="22"/>
        </w:rPr>
        <w:t>de</w:t>
      </w:r>
      <w:r>
        <w:rPr>
          <w:spacing w:val="-14"/>
          <w:sz w:val="22"/>
        </w:rPr>
        <w:t> </w:t>
      </w:r>
      <w:r>
        <w:rPr>
          <w:sz w:val="22"/>
        </w:rPr>
        <w:t>mercancías a través de las Aduanas de Ipiales y de Puerto Asís, sin considerar otras opciones regulatorias</w:t>
      </w:r>
      <w:r>
        <w:rPr>
          <w:spacing w:val="-7"/>
          <w:sz w:val="22"/>
        </w:rPr>
        <w:t> </w:t>
      </w:r>
      <w:r>
        <w:rPr>
          <w:sz w:val="22"/>
        </w:rPr>
        <w:t>o</w:t>
      </w:r>
      <w:r>
        <w:rPr>
          <w:spacing w:val="-7"/>
          <w:sz w:val="22"/>
        </w:rPr>
        <w:t> </w:t>
      </w:r>
      <w:r>
        <w:rPr>
          <w:sz w:val="22"/>
        </w:rPr>
        <w:t>de</w:t>
      </w:r>
      <w:r>
        <w:rPr>
          <w:spacing w:val="-8"/>
          <w:sz w:val="22"/>
        </w:rPr>
        <w:t> </w:t>
      </w:r>
      <w:r>
        <w:rPr>
          <w:sz w:val="22"/>
        </w:rPr>
        <w:t>control</w:t>
      </w:r>
      <w:r>
        <w:rPr>
          <w:spacing w:val="-10"/>
          <w:sz w:val="22"/>
        </w:rPr>
        <w:t> </w:t>
      </w:r>
      <w:r>
        <w:rPr>
          <w:sz w:val="22"/>
        </w:rPr>
        <w:t>que</w:t>
      </w:r>
      <w:r>
        <w:rPr>
          <w:spacing w:val="-7"/>
          <w:sz w:val="22"/>
        </w:rPr>
        <w:t> </w:t>
      </w:r>
      <w:r>
        <w:rPr>
          <w:sz w:val="22"/>
        </w:rPr>
        <w:t>permitan</w:t>
      </w:r>
      <w:r>
        <w:rPr>
          <w:spacing w:val="-8"/>
          <w:sz w:val="22"/>
        </w:rPr>
        <w:t> </w:t>
      </w:r>
      <w:r>
        <w:rPr>
          <w:sz w:val="22"/>
        </w:rPr>
        <w:t>atender</w:t>
      </w:r>
      <w:r>
        <w:rPr>
          <w:spacing w:val="-4"/>
          <w:sz w:val="22"/>
        </w:rPr>
        <w:t> </w:t>
      </w:r>
      <w:r>
        <w:rPr>
          <w:sz w:val="22"/>
        </w:rPr>
        <w:t>la</w:t>
      </w:r>
      <w:r>
        <w:rPr>
          <w:spacing w:val="-7"/>
          <w:sz w:val="22"/>
        </w:rPr>
        <w:t> </w:t>
      </w:r>
      <w:r>
        <w:rPr>
          <w:sz w:val="22"/>
        </w:rPr>
        <w:t>problemática</w:t>
      </w:r>
      <w:r>
        <w:rPr>
          <w:spacing w:val="-7"/>
          <w:sz w:val="22"/>
        </w:rPr>
        <w:t> </w:t>
      </w:r>
      <w:r>
        <w:rPr>
          <w:sz w:val="22"/>
        </w:rPr>
        <w:t>identificada</w:t>
      </w:r>
      <w:r>
        <w:rPr>
          <w:spacing w:val="-7"/>
          <w:sz w:val="22"/>
        </w:rPr>
        <w:t> </w:t>
      </w:r>
      <w:r>
        <w:rPr>
          <w:sz w:val="22"/>
        </w:rPr>
        <w:t>sin</w:t>
      </w:r>
      <w:r>
        <w:rPr>
          <w:spacing w:val="-7"/>
          <w:sz w:val="22"/>
        </w:rPr>
        <w:t> </w:t>
      </w:r>
      <w:r>
        <w:rPr>
          <w:sz w:val="22"/>
        </w:rPr>
        <w:t>afectar</w:t>
      </w:r>
      <w:r>
        <w:rPr>
          <w:spacing w:val="-6"/>
          <w:sz w:val="22"/>
        </w:rPr>
        <w:t> </w:t>
      </w:r>
      <w:r>
        <w:rPr>
          <w:sz w:val="22"/>
        </w:rPr>
        <w:t>el ingreso de dichos productos por vía terrestre, lo cual evidencia que la medida no satisface</w:t>
      </w:r>
      <w:r>
        <w:rPr>
          <w:spacing w:val="-14"/>
          <w:sz w:val="22"/>
        </w:rPr>
        <w:t> </w:t>
      </w:r>
      <w:r>
        <w:rPr>
          <w:sz w:val="22"/>
        </w:rPr>
        <w:t>el</w:t>
      </w:r>
      <w:r>
        <w:rPr>
          <w:spacing w:val="-13"/>
          <w:sz w:val="22"/>
        </w:rPr>
        <w:t> </w:t>
      </w:r>
      <w:r>
        <w:rPr>
          <w:sz w:val="22"/>
        </w:rPr>
        <w:t>criterio</w:t>
      </w:r>
      <w:r>
        <w:rPr>
          <w:spacing w:val="-15"/>
          <w:sz w:val="22"/>
        </w:rPr>
        <w:t> </w:t>
      </w:r>
      <w:r>
        <w:rPr>
          <w:sz w:val="22"/>
        </w:rPr>
        <w:t>de</w:t>
      </w:r>
      <w:r>
        <w:rPr>
          <w:spacing w:val="-13"/>
          <w:sz w:val="22"/>
        </w:rPr>
        <w:t> </w:t>
      </w:r>
      <w:r>
        <w:rPr>
          <w:sz w:val="22"/>
        </w:rPr>
        <w:t>necesidad</w:t>
      </w:r>
      <w:r>
        <w:rPr>
          <w:spacing w:val="-12"/>
          <w:sz w:val="22"/>
        </w:rPr>
        <w:t> </w:t>
      </w:r>
      <w:r>
        <w:rPr>
          <w:sz w:val="22"/>
        </w:rPr>
        <w:t>exigido</w:t>
      </w:r>
      <w:r>
        <w:rPr>
          <w:spacing w:val="-13"/>
          <w:sz w:val="22"/>
        </w:rPr>
        <w:t> </w:t>
      </w:r>
      <w:r>
        <w:rPr>
          <w:sz w:val="22"/>
        </w:rPr>
        <w:t>por</w:t>
      </w:r>
      <w:r>
        <w:rPr>
          <w:spacing w:val="-13"/>
          <w:sz w:val="22"/>
        </w:rPr>
        <w:t> </w:t>
      </w:r>
      <w:r>
        <w:rPr>
          <w:sz w:val="22"/>
        </w:rPr>
        <w:t>la</w:t>
      </w:r>
      <w:r>
        <w:rPr>
          <w:spacing w:val="-12"/>
          <w:sz w:val="22"/>
        </w:rPr>
        <w:t> </w:t>
      </w:r>
      <w:r>
        <w:rPr>
          <w:sz w:val="22"/>
        </w:rPr>
        <w:t>normativa</w:t>
      </w:r>
      <w:r>
        <w:rPr>
          <w:spacing w:val="-12"/>
          <w:sz w:val="22"/>
        </w:rPr>
        <w:t> </w:t>
      </w:r>
      <w:r>
        <w:rPr>
          <w:sz w:val="22"/>
        </w:rPr>
        <w:t>comunitaria</w:t>
      </w:r>
      <w:r>
        <w:rPr>
          <w:spacing w:val="-12"/>
          <w:sz w:val="22"/>
        </w:rPr>
        <w:t> </w:t>
      </w:r>
      <w:r>
        <w:rPr>
          <w:sz w:val="22"/>
        </w:rPr>
        <w:t>y</w:t>
      </w:r>
      <w:r>
        <w:rPr>
          <w:spacing w:val="-12"/>
          <w:sz w:val="22"/>
        </w:rPr>
        <w:t> </w:t>
      </w:r>
      <w:r>
        <w:rPr>
          <w:sz w:val="22"/>
        </w:rPr>
        <w:t>la</w:t>
      </w:r>
      <w:r>
        <w:rPr>
          <w:spacing w:val="-15"/>
          <w:sz w:val="22"/>
        </w:rPr>
        <w:t> </w:t>
      </w:r>
      <w:r>
        <w:rPr>
          <w:sz w:val="22"/>
        </w:rPr>
        <w:t>jurisprudencia del TJCAN.</w:t>
      </w:r>
    </w:p>
    <w:p>
      <w:pPr>
        <w:pStyle w:val="BodyText"/>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En ese sentido, la Decisión 515, que establece el Sistema Andino de Sanidad Agropecuaria, dispone que los Países Miembros que pretendan adoptar medidas sanitarias</w:t>
      </w:r>
      <w:r>
        <w:rPr>
          <w:spacing w:val="-2"/>
          <w:sz w:val="22"/>
        </w:rPr>
        <w:t> </w:t>
      </w:r>
      <w:r>
        <w:rPr>
          <w:sz w:val="22"/>
        </w:rPr>
        <w:t>o</w:t>
      </w:r>
      <w:r>
        <w:rPr>
          <w:spacing w:val="-5"/>
          <w:sz w:val="22"/>
        </w:rPr>
        <w:t> </w:t>
      </w:r>
      <w:r>
        <w:rPr>
          <w:sz w:val="22"/>
        </w:rPr>
        <w:t>fitosanitarias</w:t>
      </w:r>
      <w:r>
        <w:rPr>
          <w:spacing w:val="-5"/>
          <w:sz w:val="22"/>
        </w:rPr>
        <w:t> </w:t>
      </w:r>
      <w:r>
        <w:rPr>
          <w:sz w:val="22"/>
        </w:rPr>
        <w:t>deben</w:t>
      </w:r>
      <w:r>
        <w:rPr>
          <w:spacing w:val="-3"/>
          <w:sz w:val="22"/>
        </w:rPr>
        <w:t> </w:t>
      </w:r>
      <w:r>
        <w:rPr>
          <w:sz w:val="22"/>
        </w:rPr>
        <w:t>observar</w:t>
      </w:r>
      <w:r>
        <w:rPr>
          <w:spacing w:val="-2"/>
          <w:sz w:val="22"/>
        </w:rPr>
        <w:t> </w:t>
      </w:r>
      <w:r>
        <w:rPr>
          <w:sz w:val="22"/>
        </w:rPr>
        <w:t>procedimientos</w:t>
      </w:r>
      <w:r>
        <w:rPr>
          <w:spacing w:val="-3"/>
          <w:sz w:val="22"/>
        </w:rPr>
        <w:t> </w:t>
      </w:r>
      <w:r>
        <w:rPr>
          <w:sz w:val="22"/>
        </w:rPr>
        <w:t>específicos,</w:t>
      </w:r>
      <w:r>
        <w:rPr>
          <w:spacing w:val="-2"/>
          <w:sz w:val="22"/>
        </w:rPr>
        <w:t> </w:t>
      </w:r>
      <w:r>
        <w:rPr>
          <w:sz w:val="22"/>
        </w:rPr>
        <w:t>los</w:t>
      </w:r>
      <w:r>
        <w:rPr>
          <w:spacing w:val="-5"/>
          <w:sz w:val="22"/>
        </w:rPr>
        <w:t> </w:t>
      </w:r>
      <w:r>
        <w:rPr>
          <w:sz w:val="22"/>
        </w:rPr>
        <w:t>cuales</w:t>
      </w:r>
      <w:r>
        <w:rPr>
          <w:spacing w:val="-3"/>
          <w:sz w:val="22"/>
        </w:rPr>
        <w:t> </w:t>
      </w:r>
      <w:r>
        <w:rPr>
          <w:sz w:val="22"/>
        </w:rPr>
        <w:t>varían según la naturaleza de la medida y, en particular, para situaciones de emergencia sanitaria</w:t>
      </w:r>
      <w:r>
        <w:rPr>
          <w:spacing w:val="-10"/>
          <w:sz w:val="22"/>
        </w:rPr>
        <w:t> </w:t>
      </w:r>
      <w:r>
        <w:rPr>
          <w:sz w:val="22"/>
        </w:rPr>
        <w:t>o</w:t>
      </w:r>
      <w:r>
        <w:rPr>
          <w:spacing w:val="-14"/>
          <w:sz w:val="22"/>
        </w:rPr>
        <w:t> </w:t>
      </w:r>
      <w:r>
        <w:rPr>
          <w:sz w:val="22"/>
        </w:rPr>
        <w:t>fitosanitaria.</w:t>
      </w:r>
      <w:r>
        <w:rPr>
          <w:spacing w:val="-10"/>
          <w:sz w:val="22"/>
        </w:rPr>
        <w:t> </w:t>
      </w:r>
      <w:r>
        <w:rPr>
          <w:sz w:val="22"/>
        </w:rPr>
        <w:t>No</w:t>
      </w:r>
      <w:r>
        <w:rPr>
          <w:spacing w:val="-10"/>
          <w:sz w:val="22"/>
        </w:rPr>
        <w:t> </w:t>
      </w:r>
      <w:r>
        <w:rPr>
          <w:sz w:val="22"/>
        </w:rPr>
        <w:t>obstante,</w:t>
      </w:r>
      <w:r>
        <w:rPr>
          <w:spacing w:val="-10"/>
          <w:sz w:val="22"/>
        </w:rPr>
        <w:t> </w:t>
      </w:r>
      <w:r>
        <w:rPr>
          <w:sz w:val="22"/>
        </w:rPr>
        <w:t>en</w:t>
      </w:r>
      <w:r>
        <w:rPr>
          <w:spacing w:val="-12"/>
          <w:sz w:val="22"/>
        </w:rPr>
        <w:t> </w:t>
      </w:r>
      <w:r>
        <w:rPr>
          <w:sz w:val="22"/>
        </w:rPr>
        <w:t>el</w:t>
      </w:r>
      <w:r>
        <w:rPr>
          <w:spacing w:val="-10"/>
          <w:sz w:val="22"/>
        </w:rPr>
        <w:t> </w:t>
      </w:r>
      <w:r>
        <w:rPr>
          <w:sz w:val="22"/>
        </w:rPr>
        <w:t>presente</w:t>
      </w:r>
      <w:r>
        <w:rPr>
          <w:spacing w:val="-9"/>
          <w:sz w:val="22"/>
        </w:rPr>
        <w:t> </w:t>
      </w:r>
      <w:r>
        <w:rPr>
          <w:sz w:val="22"/>
        </w:rPr>
        <w:t>caso,</w:t>
      </w:r>
      <w:r>
        <w:rPr>
          <w:spacing w:val="-10"/>
          <w:sz w:val="22"/>
        </w:rPr>
        <w:t> </w:t>
      </w:r>
      <w:r>
        <w:rPr>
          <w:sz w:val="22"/>
        </w:rPr>
        <w:t>dichos</w:t>
      </w:r>
      <w:r>
        <w:rPr>
          <w:spacing w:val="-11"/>
          <w:sz w:val="22"/>
        </w:rPr>
        <w:t> </w:t>
      </w:r>
      <w:r>
        <w:rPr>
          <w:sz w:val="22"/>
        </w:rPr>
        <w:t>procedimientos</w:t>
      </w:r>
      <w:r>
        <w:rPr>
          <w:spacing w:val="-11"/>
          <w:sz w:val="22"/>
        </w:rPr>
        <w:t> </w:t>
      </w:r>
      <w:r>
        <w:rPr>
          <w:sz w:val="22"/>
        </w:rPr>
        <w:t>no</w:t>
      </w:r>
      <w:r>
        <w:rPr>
          <w:spacing w:val="-12"/>
          <w:sz w:val="22"/>
        </w:rPr>
        <w:t> </w:t>
      </w:r>
      <w:r>
        <w:rPr>
          <w:sz w:val="22"/>
        </w:rPr>
        <w:t>han sido cumplidos por la República de Colombia, según se desprende del análisis efectuado previamente para cada producto incluido en el artículo 2 del Decreto 0170.</w:t>
      </w:r>
    </w:p>
    <w:p>
      <w:pPr>
        <w:pStyle w:val="BodyText"/>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En consecuencia, no se evidencia que la restricción al ingreso de mercancías a través de las Aduanas de Ipiales y de Puerto Asís constituya una medida insustituible, en los términos exigidos por la jurisprudencia del TJCA. Por el contrario, la existencia de procedimientos y mecanismos alternativos para la adopción de medidas sanitarias y fitosanitarias, previstos en el ordenamiento jurídico andino, demuestra que era posible alcanzar la finalidad invocada mediante medidas menos gravosas para el comercio subregional.</w:t>
      </w:r>
      <w:r>
        <w:rPr>
          <w:spacing w:val="-6"/>
          <w:sz w:val="22"/>
        </w:rPr>
        <w:t> </w:t>
      </w:r>
      <w:r>
        <w:rPr>
          <w:sz w:val="22"/>
        </w:rPr>
        <w:t>En</w:t>
      </w:r>
      <w:r>
        <w:rPr>
          <w:spacing w:val="-7"/>
          <w:sz w:val="22"/>
        </w:rPr>
        <w:t> </w:t>
      </w:r>
      <w:r>
        <w:rPr>
          <w:sz w:val="22"/>
        </w:rPr>
        <w:t>tal</w:t>
      </w:r>
      <w:r>
        <w:rPr>
          <w:spacing w:val="-8"/>
          <w:sz w:val="22"/>
        </w:rPr>
        <w:t> </w:t>
      </w:r>
      <w:r>
        <w:rPr>
          <w:sz w:val="22"/>
        </w:rPr>
        <w:t>sentido,</w:t>
      </w:r>
      <w:r>
        <w:rPr>
          <w:spacing w:val="-6"/>
          <w:sz w:val="22"/>
        </w:rPr>
        <w:t> </w:t>
      </w:r>
      <w:r>
        <w:rPr>
          <w:sz w:val="22"/>
        </w:rPr>
        <w:t>no</w:t>
      </w:r>
      <w:r>
        <w:rPr>
          <w:spacing w:val="-8"/>
          <w:sz w:val="22"/>
        </w:rPr>
        <w:t> </w:t>
      </w:r>
      <w:r>
        <w:rPr>
          <w:sz w:val="22"/>
        </w:rPr>
        <w:t>puede</w:t>
      </w:r>
      <w:r>
        <w:rPr>
          <w:spacing w:val="-7"/>
          <w:sz w:val="22"/>
        </w:rPr>
        <w:t> </w:t>
      </w:r>
      <w:r>
        <w:rPr>
          <w:sz w:val="22"/>
        </w:rPr>
        <w:t>considerarse</w:t>
      </w:r>
      <w:r>
        <w:rPr>
          <w:spacing w:val="-7"/>
          <w:sz w:val="22"/>
        </w:rPr>
        <w:t> </w:t>
      </w:r>
      <w:r>
        <w:rPr>
          <w:sz w:val="22"/>
        </w:rPr>
        <w:t>que</w:t>
      </w:r>
      <w:r>
        <w:rPr>
          <w:spacing w:val="-7"/>
          <w:sz w:val="22"/>
        </w:rPr>
        <w:t> </w:t>
      </w:r>
      <w:r>
        <w:rPr>
          <w:sz w:val="22"/>
        </w:rPr>
        <w:t>la</w:t>
      </w:r>
      <w:r>
        <w:rPr>
          <w:spacing w:val="-7"/>
          <w:sz w:val="22"/>
        </w:rPr>
        <w:t> </w:t>
      </w:r>
      <w:r>
        <w:rPr>
          <w:sz w:val="22"/>
        </w:rPr>
        <w:t>medida</w:t>
      </w:r>
      <w:r>
        <w:rPr>
          <w:spacing w:val="-8"/>
          <w:sz w:val="22"/>
        </w:rPr>
        <w:t> </w:t>
      </w:r>
      <w:r>
        <w:rPr>
          <w:sz w:val="22"/>
        </w:rPr>
        <w:t>adoptada</w:t>
      </w:r>
      <w:r>
        <w:rPr>
          <w:spacing w:val="-8"/>
          <w:sz w:val="22"/>
        </w:rPr>
        <w:t> </w:t>
      </w:r>
      <w:r>
        <w:rPr>
          <w:sz w:val="22"/>
        </w:rPr>
        <w:t>satisfaga</w:t>
      </w:r>
      <w:r>
        <w:rPr>
          <w:spacing w:val="-7"/>
          <w:sz w:val="22"/>
        </w:rPr>
        <w:t> </w:t>
      </w:r>
      <w:r>
        <w:rPr>
          <w:sz w:val="22"/>
        </w:rPr>
        <w:t>el criterio de necesidad, por lo que este requisito no se encuentra cumplido.</w:t>
      </w:r>
    </w:p>
    <w:p>
      <w:pPr>
        <w:pStyle w:val="BodyText"/>
      </w:pPr>
    </w:p>
    <w:p>
      <w:pPr>
        <w:pStyle w:val="ListParagraph"/>
        <w:numPr>
          <w:ilvl w:val="1"/>
          <w:numId w:val="122"/>
        </w:numPr>
        <w:tabs>
          <w:tab w:pos="1134" w:val="left" w:leader="none"/>
        </w:tabs>
        <w:spacing w:line="240" w:lineRule="auto" w:before="1" w:after="0"/>
        <w:ind w:left="1134" w:right="0" w:hanging="566"/>
        <w:jc w:val="left"/>
        <w:rPr>
          <w:rFonts w:ascii="Arial"/>
          <w:i/>
          <w:sz w:val="22"/>
        </w:rPr>
      </w:pPr>
      <w:r>
        <w:rPr>
          <w:rFonts w:ascii="Arial"/>
          <w:i/>
          <w:sz w:val="22"/>
          <w:u w:val="single"/>
        </w:rPr>
        <w:t>Sobre</w:t>
      </w:r>
      <w:r>
        <w:rPr>
          <w:rFonts w:ascii="Arial"/>
          <w:i/>
          <w:spacing w:val="-6"/>
          <w:sz w:val="22"/>
          <w:u w:val="single"/>
        </w:rPr>
        <w:t> </w:t>
      </w:r>
      <w:r>
        <w:rPr>
          <w:rFonts w:ascii="Arial"/>
          <w:i/>
          <w:sz w:val="22"/>
          <w:u w:val="single"/>
        </w:rPr>
        <w:t>proporcionalidad</w:t>
      </w:r>
      <w:r>
        <w:rPr>
          <w:rFonts w:ascii="Arial"/>
          <w:i/>
          <w:spacing w:val="-8"/>
          <w:sz w:val="22"/>
          <w:u w:val="single"/>
        </w:rPr>
        <w:t> </w:t>
      </w:r>
      <w:r>
        <w:rPr>
          <w:rFonts w:ascii="Arial"/>
          <w:i/>
          <w:sz w:val="22"/>
          <w:u w:val="single"/>
        </w:rPr>
        <w:t>de</w:t>
      </w:r>
      <w:r>
        <w:rPr>
          <w:rFonts w:ascii="Arial"/>
          <w:i/>
          <w:spacing w:val="-6"/>
          <w:sz w:val="22"/>
          <w:u w:val="single"/>
        </w:rPr>
        <w:t> </w:t>
      </w:r>
      <w:r>
        <w:rPr>
          <w:rFonts w:ascii="Arial"/>
          <w:i/>
          <w:sz w:val="22"/>
          <w:u w:val="single"/>
        </w:rPr>
        <w:t>la</w:t>
      </w:r>
      <w:r>
        <w:rPr>
          <w:rFonts w:ascii="Arial"/>
          <w:i/>
          <w:spacing w:val="-5"/>
          <w:sz w:val="22"/>
          <w:u w:val="single"/>
        </w:rPr>
        <w:t> </w:t>
      </w:r>
      <w:r>
        <w:rPr>
          <w:rFonts w:ascii="Arial"/>
          <w:i/>
          <w:spacing w:val="-2"/>
          <w:sz w:val="22"/>
          <w:u w:val="single"/>
        </w:rPr>
        <w:t>medida</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En</w:t>
      </w:r>
      <w:r>
        <w:rPr>
          <w:spacing w:val="-6"/>
          <w:sz w:val="22"/>
        </w:rPr>
        <w:t> </w:t>
      </w:r>
      <w:r>
        <w:rPr>
          <w:sz w:val="22"/>
        </w:rPr>
        <w:t>su</w:t>
      </w:r>
      <w:r>
        <w:rPr>
          <w:spacing w:val="-6"/>
          <w:sz w:val="22"/>
        </w:rPr>
        <w:t> </w:t>
      </w:r>
      <w:r>
        <w:rPr>
          <w:sz w:val="22"/>
        </w:rPr>
        <w:t>respuesta,</w:t>
      </w:r>
      <w:r>
        <w:rPr>
          <w:spacing w:val="-8"/>
          <w:sz w:val="22"/>
        </w:rPr>
        <w:t> </w:t>
      </w:r>
      <w:r>
        <w:rPr>
          <w:sz w:val="22"/>
        </w:rPr>
        <w:t>la</w:t>
      </w:r>
      <w:r>
        <w:rPr>
          <w:spacing w:val="-6"/>
          <w:sz w:val="22"/>
        </w:rPr>
        <w:t> </w:t>
      </w:r>
      <w:r>
        <w:rPr>
          <w:sz w:val="22"/>
        </w:rPr>
        <w:t>República</w:t>
      </w:r>
      <w:r>
        <w:rPr>
          <w:spacing w:val="-6"/>
          <w:sz w:val="22"/>
        </w:rPr>
        <w:t> </w:t>
      </w:r>
      <w:r>
        <w:rPr>
          <w:sz w:val="22"/>
        </w:rPr>
        <w:t>de</w:t>
      </w:r>
      <w:r>
        <w:rPr>
          <w:spacing w:val="-6"/>
          <w:sz w:val="22"/>
        </w:rPr>
        <w:t> </w:t>
      </w:r>
      <w:r>
        <w:rPr>
          <w:sz w:val="22"/>
        </w:rPr>
        <w:t>Colombia</w:t>
      </w:r>
      <w:r>
        <w:rPr>
          <w:spacing w:val="-6"/>
          <w:sz w:val="22"/>
        </w:rPr>
        <w:t> </w:t>
      </w:r>
      <w:r>
        <w:rPr>
          <w:sz w:val="22"/>
        </w:rPr>
        <w:t>sostiene</w:t>
      </w:r>
      <w:r>
        <w:rPr>
          <w:spacing w:val="-7"/>
          <w:sz w:val="22"/>
        </w:rPr>
        <w:t> </w:t>
      </w:r>
      <w:r>
        <w:rPr>
          <w:sz w:val="22"/>
        </w:rPr>
        <w:t>lo</w:t>
      </w:r>
      <w:r>
        <w:rPr>
          <w:spacing w:val="-6"/>
          <w:sz w:val="22"/>
        </w:rPr>
        <w:t> </w:t>
      </w:r>
      <w:r>
        <w:rPr>
          <w:sz w:val="22"/>
        </w:rPr>
        <w:t>siguiente</w:t>
      </w:r>
      <w:r>
        <w:rPr>
          <w:spacing w:val="-6"/>
          <w:sz w:val="22"/>
        </w:rPr>
        <w:t> </w:t>
      </w:r>
      <w:r>
        <w:rPr>
          <w:sz w:val="22"/>
        </w:rPr>
        <w:t>en</w:t>
      </w:r>
      <w:r>
        <w:rPr>
          <w:spacing w:val="-7"/>
          <w:sz w:val="22"/>
        </w:rPr>
        <w:t> </w:t>
      </w:r>
      <w:r>
        <w:rPr>
          <w:sz w:val="22"/>
        </w:rPr>
        <w:t>cuanto</w:t>
      </w:r>
      <w:r>
        <w:rPr>
          <w:spacing w:val="-8"/>
          <w:sz w:val="22"/>
        </w:rPr>
        <w:t> </w:t>
      </w:r>
      <w:r>
        <w:rPr>
          <w:sz w:val="22"/>
        </w:rPr>
        <w:t>al</w:t>
      </w:r>
      <w:r>
        <w:rPr>
          <w:spacing w:val="-7"/>
          <w:sz w:val="22"/>
        </w:rPr>
        <w:t> </w:t>
      </w:r>
      <w:r>
        <w:rPr>
          <w:sz w:val="22"/>
        </w:rPr>
        <w:t>criterio</w:t>
      </w:r>
      <w:r>
        <w:rPr>
          <w:spacing w:val="-7"/>
          <w:sz w:val="22"/>
        </w:rPr>
        <w:t> </w:t>
      </w:r>
      <w:r>
        <w:rPr>
          <w:sz w:val="22"/>
        </w:rPr>
        <w:t>de </w:t>
      </w:r>
      <w:r>
        <w:rPr>
          <w:spacing w:val="-2"/>
          <w:sz w:val="22"/>
        </w:rPr>
        <w:t>necesidad:</w:t>
      </w:r>
    </w:p>
    <w:p>
      <w:pPr>
        <w:pStyle w:val="BodyText"/>
      </w:pPr>
    </w:p>
    <w:p>
      <w:pPr>
        <w:spacing w:before="0"/>
        <w:ind w:left="1701" w:right="983" w:firstLine="0"/>
        <w:jc w:val="both"/>
        <w:rPr>
          <w:rFonts w:ascii="Arial" w:hAnsi="Arial"/>
          <w:i/>
          <w:sz w:val="22"/>
        </w:rPr>
      </w:pPr>
      <w:r>
        <w:rPr>
          <w:rFonts w:ascii="Arial" w:hAnsi="Arial"/>
          <w:i/>
          <w:sz w:val="22"/>
        </w:rPr>
        <w:t>“es proporcional, en tanto los beneficios de protección del estatus sanitario nacional y la inocuidad alimentaria exceden los costos comerciales del redireccionamiento logístico;”</w:t>
      </w:r>
    </w:p>
    <w:p>
      <w:pPr>
        <w:pStyle w:val="BodyText"/>
        <w:spacing w:before="1"/>
        <w:rPr>
          <w:rFonts w:ascii="Arial"/>
          <w:i/>
        </w:rPr>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En</w:t>
      </w:r>
      <w:r>
        <w:rPr>
          <w:spacing w:val="-16"/>
          <w:sz w:val="22"/>
        </w:rPr>
        <w:t> </w:t>
      </w:r>
      <w:r>
        <w:rPr>
          <w:sz w:val="22"/>
        </w:rPr>
        <w:t>ese</w:t>
      </w:r>
      <w:r>
        <w:rPr>
          <w:spacing w:val="-15"/>
          <w:sz w:val="22"/>
        </w:rPr>
        <w:t> </w:t>
      </w:r>
      <w:r>
        <w:rPr>
          <w:sz w:val="22"/>
        </w:rPr>
        <w:t>sentido,</w:t>
      </w:r>
      <w:r>
        <w:rPr>
          <w:spacing w:val="-15"/>
          <w:sz w:val="22"/>
        </w:rPr>
        <w:t> </w:t>
      </w:r>
      <w:r>
        <w:rPr>
          <w:sz w:val="22"/>
        </w:rPr>
        <w:t>el</w:t>
      </w:r>
      <w:r>
        <w:rPr>
          <w:spacing w:val="-16"/>
          <w:sz w:val="22"/>
        </w:rPr>
        <w:t> </w:t>
      </w:r>
      <w:r>
        <w:rPr>
          <w:sz w:val="22"/>
        </w:rPr>
        <w:t>TJCAN,</w:t>
      </w:r>
      <w:r>
        <w:rPr>
          <w:spacing w:val="-15"/>
          <w:sz w:val="22"/>
        </w:rPr>
        <w:t> </w:t>
      </w:r>
      <w:r>
        <w:rPr>
          <w:sz w:val="22"/>
        </w:rPr>
        <w:t>en</w:t>
      </w:r>
      <w:r>
        <w:rPr>
          <w:spacing w:val="-15"/>
          <w:sz w:val="22"/>
        </w:rPr>
        <w:t> </w:t>
      </w:r>
      <w:r>
        <w:rPr>
          <w:sz w:val="22"/>
        </w:rPr>
        <w:t>el</w:t>
      </w:r>
      <w:r>
        <w:rPr>
          <w:spacing w:val="-15"/>
          <w:sz w:val="22"/>
        </w:rPr>
        <w:t> </w:t>
      </w:r>
      <w:r>
        <w:rPr>
          <w:sz w:val="22"/>
        </w:rPr>
        <w:t>Proceso</w:t>
      </w:r>
      <w:r>
        <w:rPr>
          <w:spacing w:val="-16"/>
          <w:sz w:val="22"/>
        </w:rPr>
        <w:t> </w:t>
      </w:r>
      <w:r>
        <w:rPr>
          <w:sz w:val="22"/>
        </w:rPr>
        <w:t>01-AN-2014</w:t>
      </w:r>
      <w:r>
        <w:rPr>
          <w:spacing w:val="-15"/>
          <w:sz w:val="22"/>
        </w:rPr>
        <w:t> </w:t>
      </w:r>
      <w:r>
        <w:rPr>
          <w:sz w:val="22"/>
        </w:rPr>
        <w:t>ha</w:t>
      </w:r>
      <w:r>
        <w:rPr>
          <w:spacing w:val="-15"/>
          <w:sz w:val="22"/>
        </w:rPr>
        <w:t> </w:t>
      </w:r>
      <w:r>
        <w:rPr>
          <w:sz w:val="22"/>
        </w:rPr>
        <w:t>señalado</w:t>
      </w:r>
      <w:r>
        <w:rPr>
          <w:spacing w:val="-16"/>
          <w:sz w:val="22"/>
        </w:rPr>
        <w:t> </w:t>
      </w:r>
      <w:r>
        <w:rPr>
          <w:sz w:val="22"/>
        </w:rPr>
        <w:t>con</w:t>
      </w:r>
      <w:r>
        <w:rPr>
          <w:spacing w:val="-15"/>
          <w:sz w:val="22"/>
        </w:rPr>
        <w:t> </w:t>
      </w:r>
      <w:r>
        <w:rPr>
          <w:sz w:val="22"/>
        </w:rPr>
        <w:t>relación</w:t>
      </w:r>
      <w:r>
        <w:rPr>
          <w:spacing w:val="-15"/>
          <w:sz w:val="22"/>
        </w:rPr>
        <w:t> </w:t>
      </w:r>
      <w:r>
        <w:rPr>
          <w:sz w:val="22"/>
        </w:rPr>
        <w:t>al</w:t>
      </w:r>
      <w:r>
        <w:rPr>
          <w:spacing w:val="-15"/>
          <w:sz w:val="22"/>
        </w:rPr>
        <w:t> </w:t>
      </w:r>
      <w:r>
        <w:rPr>
          <w:sz w:val="22"/>
        </w:rPr>
        <w:t>criterio de proporcionalidad que:</w:t>
      </w:r>
    </w:p>
    <w:p>
      <w:pPr>
        <w:spacing w:before="252"/>
        <w:ind w:left="1701" w:right="983" w:firstLine="0"/>
        <w:jc w:val="both"/>
        <w:rPr>
          <w:rFonts w:ascii="Arial" w:hAnsi="Arial"/>
          <w:i/>
          <w:sz w:val="22"/>
        </w:rPr>
      </w:pPr>
      <w:r>
        <w:rPr>
          <w:rFonts w:ascii="Arial" w:hAnsi="Arial"/>
          <w:i/>
          <w:sz w:val="22"/>
        </w:rPr>
        <w:t>“La medida deber ser proporcional; esto es, que sus beneficios son superiores a sus costos, tanto a nivel cuantitativo como cualitativo”.</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De lo anterior, queda claro que, de la respuesta de la República de Colombia en el presente procedimiento, sobre la sustentación de la medida, no se verifica que los beneficios de dicha medida superen sus costos, tanto en términos cuantitativos como </w:t>
      </w:r>
      <w:r>
        <w:rPr>
          <w:spacing w:val="-2"/>
          <w:sz w:val="22"/>
        </w:rPr>
        <w:t>cualitativos.</w:t>
      </w:r>
    </w:p>
    <w:p>
      <w:pPr>
        <w:pStyle w:val="ListParagraph"/>
        <w:spacing w:after="0" w:line="240" w:lineRule="auto"/>
        <w:jc w:val="both"/>
        <w:rPr>
          <w:sz w:val="22"/>
        </w:rPr>
        <w:sectPr>
          <w:headerReference w:type="default" r:id="rId117"/>
          <w:footerReference w:type="default" r:id="rId118"/>
          <w:pgSz w:w="11900" w:h="16850"/>
          <w:pgMar w:header="370" w:footer="651" w:top="1380" w:bottom="840" w:left="992" w:right="283"/>
        </w:sectPr>
      </w:pPr>
    </w:p>
    <w:p>
      <w:pPr>
        <w:pStyle w:val="BodyText"/>
        <w:spacing w:before="176"/>
      </w:pPr>
    </w:p>
    <w:p>
      <w:pPr>
        <w:pStyle w:val="ListParagraph"/>
        <w:numPr>
          <w:ilvl w:val="0"/>
          <w:numId w:val="50"/>
        </w:numPr>
        <w:tabs>
          <w:tab w:pos="1130" w:val="left" w:leader="none"/>
          <w:tab w:pos="1134" w:val="left" w:leader="none"/>
        </w:tabs>
        <w:spacing w:line="240" w:lineRule="auto" w:before="0" w:after="0"/>
        <w:ind w:left="1134" w:right="975" w:hanging="567"/>
        <w:jc w:val="both"/>
        <w:rPr>
          <w:sz w:val="22"/>
        </w:rPr>
      </w:pPr>
      <w:r>
        <w:rPr>
          <w:sz w:val="22"/>
        </w:rPr>
        <w:t>Complementariamente,</w:t>
      </w:r>
      <w:r>
        <w:rPr>
          <w:spacing w:val="-15"/>
          <w:sz w:val="22"/>
        </w:rPr>
        <w:t> </w:t>
      </w:r>
      <w:r>
        <w:rPr>
          <w:sz w:val="22"/>
        </w:rPr>
        <w:t>el</w:t>
      </w:r>
      <w:r>
        <w:rPr>
          <w:spacing w:val="-12"/>
          <w:sz w:val="22"/>
        </w:rPr>
        <w:t> </w:t>
      </w:r>
      <w:r>
        <w:rPr>
          <w:sz w:val="22"/>
        </w:rPr>
        <w:t>TJCAN,</w:t>
      </w:r>
      <w:r>
        <w:rPr>
          <w:spacing w:val="-10"/>
          <w:sz w:val="22"/>
        </w:rPr>
        <w:t> </w:t>
      </w:r>
      <w:r>
        <w:rPr>
          <w:sz w:val="22"/>
        </w:rPr>
        <w:t>en</w:t>
      </w:r>
      <w:r>
        <w:rPr>
          <w:spacing w:val="-12"/>
          <w:sz w:val="22"/>
        </w:rPr>
        <w:t> </w:t>
      </w:r>
      <w:r>
        <w:rPr>
          <w:sz w:val="22"/>
        </w:rPr>
        <w:t>el</w:t>
      </w:r>
      <w:r>
        <w:rPr>
          <w:spacing w:val="-15"/>
          <w:sz w:val="22"/>
        </w:rPr>
        <w:t> </w:t>
      </w:r>
      <w:r>
        <w:rPr>
          <w:sz w:val="22"/>
        </w:rPr>
        <w:t>marco</w:t>
      </w:r>
      <w:r>
        <w:rPr>
          <w:spacing w:val="-11"/>
          <w:sz w:val="22"/>
        </w:rPr>
        <w:t> </w:t>
      </w:r>
      <w:r>
        <w:rPr>
          <w:sz w:val="22"/>
        </w:rPr>
        <w:t>del</w:t>
      </w:r>
      <w:r>
        <w:rPr>
          <w:spacing w:val="-12"/>
          <w:sz w:val="22"/>
        </w:rPr>
        <w:t> </w:t>
      </w:r>
      <w:r>
        <w:rPr>
          <w:sz w:val="22"/>
        </w:rPr>
        <w:t>Proceso</w:t>
      </w:r>
      <w:r>
        <w:rPr>
          <w:spacing w:val="-11"/>
          <w:sz w:val="22"/>
        </w:rPr>
        <w:t> </w:t>
      </w:r>
      <w:r>
        <w:rPr>
          <w:sz w:val="22"/>
        </w:rPr>
        <w:t>3-AI-96</w:t>
      </w:r>
      <w:hyperlink w:history="true" w:anchor="_bookmark192">
        <w:r>
          <w:rPr>
            <w:sz w:val="22"/>
            <w:vertAlign w:val="superscript"/>
          </w:rPr>
          <w:t>125</w:t>
        </w:r>
        <w:r>
          <w:rPr>
            <w:sz w:val="22"/>
            <w:vertAlign w:val="baseline"/>
          </w:rPr>
          <w:t>,</w:t>
        </w:r>
      </w:hyperlink>
      <w:r>
        <w:rPr>
          <w:spacing w:val="-10"/>
          <w:sz w:val="22"/>
          <w:vertAlign w:val="baseline"/>
        </w:rPr>
        <w:t> </w:t>
      </w:r>
      <w:r>
        <w:rPr>
          <w:sz w:val="22"/>
          <w:vertAlign w:val="baseline"/>
        </w:rPr>
        <w:t>ha</w:t>
      </w:r>
      <w:r>
        <w:rPr>
          <w:spacing w:val="-12"/>
          <w:sz w:val="22"/>
          <w:vertAlign w:val="baseline"/>
        </w:rPr>
        <w:t> </w:t>
      </w:r>
      <w:r>
        <w:rPr>
          <w:sz w:val="22"/>
          <w:vertAlign w:val="baseline"/>
        </w:rPr>
        <w:t>señalado</w:t>
      </w:r>
      <w:r>
        <w:rPr>
          <w:spacing w:val="-11"/>
          <w:sz w:val="22"/>
          <w:vertAlign w:val="baseline"/>
        </w:rPr>
        <w:t> </w:t>
      </w:r>
      <w:r>
        <w:rPr>
          <w:sz w:val="22"/>
          <w:vertAlign w:val="baseline"/>
        </w:rPr>
        <w:t>que, para que una medida restrictiva pueda considerarse justificable, debe encontrarse inspirada en el principio de proporcionalidad entre la medida adoptada y el objetivo específico que persigue, el cual debe constituir su causa directa e inmediata. En ese sentido,</w:t>
      </w:r>
      <w:r>
        <w:rPr>
          <w:spacing w:val="-10"/>
          <w:sz w:val="22"/>
          <w:vertAlign w:val="baseline"/>
        </w:rPr>
        <w:t> </w:t>
      </w:r>
      <w:r>
        <w:rPr>
          <w:sz w:val="22"/>
          <w:vertAlign w:val="baseline"/>
        </w:rPr>
        <w:t>no</w:t>
      </w:r>
      <w:r>
        <w:rPr>
          <w:spacing w:val="-14"/>
          <w:sz w:val="22"/>
          <w:vertAlign w:val="baseline"/>
        </w:rPr>
        <w:t> </w:t>
      </w:r>
      <w:r>
        <w:rPr>
          <w:sz w:val="22"/>
          <w:vertAlign w:val="baseline"/>
        </w:rPr>
        <w:t>resulta</w:t>
      </w:r>
      <w:r>
        <w:rPr>
          <w:spacing w:val="-11"/>
          <w:sz w:val="22"/>
          <w:vertAlign w:val="baseline"/>
        </w:rPr>
        <w:t> </w:t>
      </w:r>
      <w:r>
        <w:rPr>
          <w:sz w:val="22"/>
          <w:vertAlign w:val="baseline"/>
        </w:rPr>
        <w:t>suficiente</w:t>
      </w:r>
      <w:r>
        <w:rPr>
          <w:spacing w:val="-11"/>
          <w:sz w:val="22"/>
          <w:vertAlign w:val="baseline"/>
        </w:rPr>
        <w:t> </w:t>
      </w:r>
      <w:r>
        <w:rPr>
          <w:sz w:val="22"/>
          <w:vertAlign w:val="baseline"/>
        </w:rPr>
        <w:t>la</w:t>
      </w:r>
      <w:r>
        <w:rPr>
          <w:spacing w:val="-11"/>
          <w:sz w:val="22"/>
          <w:vertAlign w:val="baseline"/>
        </w:rPr>
        <w:t> </w:t>
      </w:r>
      <w:r>
        <w:rPr>
          <w:sz w:val="22"/>
          <w:vertAlign w:val="baseline"/>
        </w:rPr>
        <w:t>mera</w:t>
      </w:r>
      <w:r>
        <w:rPr>
          <w:spacing w:val="-11"/>
          <w:sz w:val="22"/>
          <w:vertAlign w:val="baseline"/>
        </w:rPr>
        <w:t> </w:t>
      </w:r>
      <w:r>
        <w:rPr>
          <w:sz w:val="22"/>
          <w:vertAlign w:val="baseline"/>
        </w:rPr>
        <w:t>invocación</w:t>
      </w:r>
      <w:r>
        <w:rPr>
          <w:spacing w:val="-14"/>
          <w:sz w:val="22"/>
          <w:vertAlign w:val="baseline"/>
        </w:rPr>
        <w:t> </w:t>
      </w:r>
      <w:r>
        <w:rPr>
          <w:sz w:val="22"/>
          <w:vertAlign w:val="baseline"/>
        </w:rPr>
        <w:t>general</w:t>
      </w:r>
      <w:r>
        <w:rPr>
          <w:spacing w:val="-12"/>
          <w:sz w:val="22"/>
          <w:vertAlign w:val="baseline"/>
        </w:rPr>
        <w:t> </w:t>
      </w:r>
      <w:r>
        <w:rPr>
          <w:sz w:val="22"/>
          <w:vertAlign w:val="baseline"/>
        </w:rPr>
        <w:t>de</w:t>
      </w:r>
      <w:r>
        <w:rPr>
          <w:spacing w:val="-12"/>
          <w:sz w:val="22"/>
          <w:vertAlign w:val="baseline"/>
        </w:rPr>
        <w:t> </w:t>
      </w:r>
      <w:r>
        <w:rPr>
          <w:sz w:val="22"/>
          <w:vertAlign w:val="baseline"/>
        </w:rPr>
        <w:t>objetivos</w:t>
      </w:r>
      <w:r>
        <w:rPr>
          <w:spacing w:val="-11"/>
          <w:sz w:val="22"/>
          <w:vertAlign w:val="baseline"/>
        </w:rPr>
        <w:t> </w:t>
      </w:r>
      <w:r>
        <w:rPr>
          <w:sz w:val="22"/>
          <w:vertAlign w:val="baseline"/>
        </w:rPr>
        <w:t>legítimos,</w:t>
      </w:r>
      <w:r>
        <w:rPr>
          <w:spacing w:val="-10"/>
          <w:sz w:val="22"/>
          <w:vertAlign w:val="baseline"/>
        </w:rPr>
        <w:t> </w:t>
      </w:r>
      <w:r>
        <w:rPr>
          <w:sz w:val="22"/>
          <w:vertAlign w:val="baseline"/>
        </w:rPr>
        <w:t>sino</w:t>
      </w:r>
      <w:r>
        <w:rPr>
          <w:spacing w:val="-12"/>
          <w:sz w:val="22"/>
          <w:vertAlign w:val="baseline"/>
        </w:rPr>
        <w:t> </w:t>
      </w:r>
      <w:r>
        <w:rPr>
          <w:sz w:val="22"/>
          <w:vertAlign w:val="baseline"/>
        </w:rPr>
        <w:t>que es necesario que exista una relación directa, objetiva, verificable y debidamente acreditada entre la medida y los efectos concretos que se pretende alcanzar.</w:t>
      </w:r>
    </w:p>
    <w:p>
      <w:pPr>
        <w:pStyle w:val="ListParagraph"/>
        <w:numPr>
          <w:ilvl w:val="0"/>
          <w:numId w:val="50"/>
        </w:numPr>
        <w:tabs>
          <w:tab w:pos="1130" w:val="left" w:leader="none"/>
          <w:tab w:pos="1134" w:val="left" w:leader="none"/>
        </w:tabs>
        <w:spacing w:line="240" w:lineRule="auto" w:before="253" w:after="0"/>
        <w:ind w:left="1134" w:right="977" w:hanging="567"/>
        <w:jc w:val="both"/>
        <w:rPr>
          <w:sz w:val="22"/>
        </w:rPr>
      </w:pPr>
      <w:r>
        <w:rPr>
          <w:sz w:val="22"/>
        </w:rPr>
        <w:t>Asimismo, la afirmación según la cual los beneficios derivados de la protección del estatus sanitario nacional y de la inocuidad alimentaria superarían los costos comerciales asociados al redireccionamiento logístico impuesto por la medida, no se encuentra debidamente sustentada en un análisis cuantitativo o cualitativo verificable. En efecto, del análisis realizado por la SGCAN se constató que un alto porcentaje del total de importaciones, durante el período comprendido entre enero 2023 y febrero de 2026,</w:t>
      </w:r>
      <w:r>
        <w:rPr>
          <w:spacing w:val="-3"/>
          <w:sz w:val="22"/>
        </w:rPr>
        <w:t> </w:t>
      </w:r>
      <w:r>
        <w:rPr>
          <w:sz w:val="22"/>
        </w:rPr>
        <w:t>ingresó</w:t>
      </w:r>
      <w:r>
        <w:rPr>
          <w:spacing w:val="-4"/>
          <w:sz w:val="22"/>
        </w:rPr>
        <w:t> </w:t>
      </w:r>
      <w:r>
        <w:rPr>
          <w:sz w:val="22"/>
        </w:rPr>
        <w:t>a</w:t>
      </w:r>
      <w:r>
        <w:rPr>
          <w:spacing w:val="-6"/>
          <w:sz w:val="22"/>
        </w:rPr>
        <w:t> </w:t>
      </w:r>
      <w:r>
        <w:rPr>
          <w:sz w:val="22"/>
        </w:rPr>
        <w:t>través</w:t>
      </w:r>
      <w:r>
        <w:rPr>
          <w:spacing w:val="-4"/>
          <w:sz w:val="22"/>
        </w:rPr>
        <w:t> </w:t>
      </w:r>
      <w:r>
        <w:rPr>
          <w:sz w:val="22"/>
        </w:rPr>
        <w:t>de</w:t>
      </w:r>
      <w:r>
        <w:rPr>
          <w:spacing w:val="-4"/>
          <w:sz w:val="22"/>
        </w:rPr>
        <w:t> </w:t>
      </w:r>
      <w:r>
        <w:rPr>
          <w:sz w:val="22"/>
        </w:rPr>
        <w:t>las</w:t>
      </w:r>
      <w:r>
        <w:rPr>
          <w:spacing w:val="-4"/>
          <w:sz w:val="22"/>
        </w:rPr>
        <w:t> </w:t>
      </w:r>
      <w:r>
        <w:rPr>
          <w:sz w:val="22"/>
        </w:rPr>
        <w:t>aduanas</w:t>
      </w:r>
      <w:r>
        <w:rPr>
          <w:spacing w:val="-4"/>
          <w:sz w:val="22"/>
        </w:rPr>
        <w:t> </w:t>
      </w:r>
      <w:r>
        <w:rPr>
          <w:sz w:val="22"/>
        </w:rPr>
        <w:t>objeto</w:t>
      </w:r>
      <w:r>
        <w:rPr>
          <w:spacing w:val="-4"/>
          <w:sz w:val="22"/>
        </w:rPr>
        <w:t> </w:t>
      </w:r>
      <w:r>
        <w:rPr>
          <w:sz w:val="22"/>
        </w:rPr>
        <w:t>de</w:t>
      </w:r>
      <w:r>
        <w:rPr>
          <w:spacing w:val="-7"/>
          <w:sz w:val="22"/>
        </w:rPr>
        <w:t> </w:t>
      </w:r>
      <w:r>
        <w:rPr>
          <w:sz w:val="22"/>
        </w:rPr>
        <w:t>restricción,</w:t>
      </w:r>
      <w:r>
        <w:rPr>
          <w:spacing w:val="-3"/>
          <w:sz w:val="22"/>
        </w:rPr>
        <w:t> </w:t>
      </w:r>
      <w:r>
        <w:rPr>
          <w:sz w:val="22"/>
        </w:rPr>
        <w:t>lo</w:t>
      </w:r>
      <w:r>
        <w:rPr>
          <w:spacing w:val="-4"/>
          <w:sz w:val="22"/>
        </w:rPr>
        <w:t> </w:t>
      </w:r>
      <w:r>
        <w:rPr>
          <w:sz w:val="22"/>
        </w:rPr>
        <w:t>que</w:t>
      </w:r>
      <w:r>
        <w:rPr>
          <w:spacing w:val="-4"/>
          <w:sz w:val="22"/>
        </w:rPr>
        <w:t> </w:t>
      </w:r>
      <w:r>
        <w:rPr>
          <w:sz w:val="22"/>
        </w:rPr>
        <w:t>permite</w:t>
      </w:r>
      <w:r>
        <w:rPr>
          <w:spacing w:val="-4"/>
          <w:sz w:val="22"/>
        </w:rPr>
        <w:t> </w:t>
      </w:r>
      <w:r>
        <w:rPr>
          <w:sz w:val="22"/>
        </w:rPr>
        <w:t>concluir</w:t>
      </w:r>
      <w:r>
        <w:rPr>
          <w:spacing w:val="-3"/>
          <w:sz w:val="22"/>
        </w:rPr>
        <w:t> </w:t>
      </w:r>
      <w:r>
        <w:rPr>
          <w:sz w:val="22"/>
        </w:rPr>
        <w:t>que la medida ha generado efectos adversos significativos sobre el comercio intracomunitario, sin que se haya acreditado una relación proporcional adecuada entre dichos efectos y la finalidad invocada. Ello queda verificado en las Tablas N.° 8, 14, 16 y 17 de la presente Resolución. En consecuencia, la medida no supera el test de proporcionalidad exigido por la jurisprudencia del TJCAN.</w:t>
      </w:r>
    </w:p>
    <w:p>
      <w:pPr>
        <w:pStyle w:val="BodyText"/>
        <w:spacing w:before="2"/>
      </w:pPr>
    </w:p>
    <w:p>
      <w:pPr>
        <w:pStyle w:val="ListParagraph"/>
        <w:numPr>
          <w:ilvl w:val="1"/>
          <w:numId w:val="122"/>
        </w:numPr>
        <w:tabs>
          <w:tab w:pos="1134" w:val="left" w:leader="none"/>
        </w:tabs>
        <w:spacing w:line="240" w:lineRule="auto" w:before="0" w:after="0"/>
        <w:ind w:left="1134" w:right="0" w:hanging="566"/>
        <w:jc w:val="left"/>
        <w:rPr>
          <w:rFonts w:ascii="Arial"/>
          <w:i/>
          <w:sz w:val="22"/>
        </w:rPr>
      </w:pPr>
      <w:r>
        <w:rPr>
          <w:rFonts w:ascii="Arial"/>
          <w:i/>
          <w:sz w:val="22"/>
          <w:u w:val="single"/>
        </w:rPr>
        <w:t>Sobre</w:t>
      </w:r>
      <w:r>
        <w:rPr>
          <w:rFonts w:ascii="Arial"/>
          <w:i/>
          <w:spacing w:val="-3"/>
          <w:sz w:val="22"/>
          <w:u w:val="single"/>
        </w:rPr>
        <w:t> </w:t>
      </w:r>
      <w:r>
        <w:rPr>
          <w:rFonts w:ascii="Arial"/>
          <w:i/>
          <w:sz w:val="22"/>
          <w:u w:val="single"/>
        </w:rPr>
        <w:t>el</w:t>
      </w:r>
      <w:r>
        <w:rPr>
          <w:rFonts w:ascii="Arial"/>
          <w:i/>
          <w:spacing w:val="-3"/>
          <w:sz w:val="22"/>
          <w:u w:val="single"/>
        </w:rPr>
        <w:t> </w:t>
      </w:r>
      <w:r>
        <w:rPr>
          <w:rFonts w:ascii="Arial"/>
          <w:i/>
          <w:sz w:val="22"/>
          <w:u w:val="single"/>
        </w:rPr>
        <w:t>trato</w:t>
      </w:r>
      <w:r>
        <w:rPr>
          <w:rFonts w:ascii="Arial"/>
          <w:i/>
          <w:spacing w:val="-3"/>
          <w:sz w:val="22"/>
          <w:u w:val="single"/>
        </w:rPr>
        <w:t> </w:t>
      </w:r>
      <w:r>
        <w:rPr>
          <w:rFonts w:ascii="Arial"/>
          <w:i/>
          <w:sz w:val="22"/>
          <w:u w:val="single"/>
        </w:rPr>
        <w:t>no</w:t>
      </w:r>
      <w:r>
        <w:rPr>
          <w:rFonts w:ascii="Arial"/>
          <w:i/>
          <w:spacing w:val="-3"/>
          <w:sz w:val="22"/>
          <w:u w:val="single"/>
        </w:rPr>
        <w:t> </w:t>
      </w:r>
      <w:r>
        <w:rPr>
          <w:rFonts w:ascii="Arial"/>
          <w:i/>
          <w:spacing w:val="-2"/>
          <w:sz w:val="22"/>
          <w:u w:val="single"/>
        </w:rPr>
        <w:t>discriminatorio</w:t>
      </w:r>
    </w:p>
    <w:p>
      <w:pPr>
        <w:pStyle w:val="BodyText"/>
        <w:rPr>
          <w:rFonts w:ascii="Arial"/>
          <w:i/>
        </w:rPr>
      </w:pPr>
    </w:p>
    <w:p>
      <w:pPr>
        <w:pStyle w:val="ListParagraph"/>
        <w:numPr>
          <w:ilvl w:val="0"/>
          <w:numId w:val="50"/>
        </w:numPr>
        <w:tabs>
          <w:tab w:pos="1130" w:val="left" w:leader="none"/>
          <w:tab w:pos="1134" w:val="left" w:leader="none"/>
        </w:tabs>
        <w:spacing w:line="240" w:lineRule="auto" w:before="0" w:after="0"/>
        <w:ind w:left="1134" w:right="980" w:hanging="567"/>
        <w:jc w:val="both"/>
        <w:rPr>
          <w:sz w:val="22"/>
        </w:rPr>
      </w:pPr>
      <w:r>
        <w:rPr>
          <w:sz w:val="22"/>
        </w:rPr>
        <w:t>En su respuesta, la República de Colombia sostiene lo siguiente en cuanto al trato no discriminatorio de la medida:</w:t>
      </w:r>
    </w:p>
    <w:p>
      <w:pPr>
        <w:pStyle w:val="BodyText"/>
      </w:pPr>
    </w:p>
    <w:p>
      <w:pPr>
        <w:spacing w:before="0"/>
        <w:ind w:left="1288" w:right="981" w:firstLine="0"/>
        <w:jc w:val="both"/>
        <w:rPr>
          <w:sz w:val="22"/>
        </w:rPr>
      </w:pPr>
      <w:r>
        <w:rPr>
          <w:rFonts w:ascii="Arial" w:hAnsi="Arial"/>
          <w:i/>
          <w:sz w:val="22"/>
        </w:rPr>
        <w:t>“…es no discriminatoria, pues el trato diferenciado se fundamenta en hechos epidemiológicos objetivos, verificables y geográficamente específicos respecto del </w:t>
      </w:r>
      <w:r>
        <w:rPr>
          <w:rFonts w:ascii="Arial" w:hAnsi="Arial"/>
          <w:i/>
          <w:spacing w:val="-2"/>
          <w:sz w:val="22"/>
        </w:rPr>
        <w:t>Ecuador.</w:t>
      </w:r>
      <w:r>
        <w:rPr>
          <w:spacing w:val="-2"/>
          <w:sz w:val="22"/>
        </w:rPr>
        <w:t>”</w:t>
      </w:r>
      <w:hyperlink w:history="true" w:anchor="_bookmark193">
        <w:r>
          <w:rPr>
            <w:spacing w:val="-2"/>
            <w:sz w:val="22"/>
            <w:vertAlign w:val="superscript"/>
          </w:rPr>
          <w:t>126</w:t>
        </w:r>
      </w:hyperlink>
    </w:p>
    <w:p>
      <w:pPr>
        <w:pStyle w:val="ListParagraph"/>
        <w:numPr>
          <w:ilvl w:val="0"/>
          <w:numId w:val="50"/>
        </w:numPr>
        <w:tabs>
          <w:tab w:pos="1130" w:val="left" w:leader="none"/>
          <w:tab w:pos="1134" w:val="left" w:leader="none"/>
        </w:tabs>
        <w:spacing w:line="240" w:lineRule="auto" w:before="252" w:after="0"/>
        <w:ind w:left="1134" w:right="981" w:hanging="567"/>
        <w:jc w:val="both"/>
        <w:rPr>
          <w:sz w:val="22"/>
        </w:rPr>
      </w:pPr>
      <w:r>
        <w:rPr>
          <w:sz w:val="22"/>
        </w:rPr>
        <w:t>El</w:t>
      </w:r>
      <w:r>
        <w:rPr>
          <w:spacing w:val="-7"/>
          <w:sz w:val="22"/>
        </w:rPr>
        <w:t> </w:t>
      </w:r>
      <w:r>
        <w:rPr>
          <w:sz w:val="22"/>
        </w:rPr>
        <w:t>Acuerdo</w:t>
      </w:r>
      <w:r>
        <w:rPr>
          <w:spacing w:val="-7"/>
          <w:sz w:val="22"/>
        </w:rPr>
        <w:t> </w:t>
      </w:r>
      <w:r>
        <w:rPr>
          <w:sz w:val="22"/>
        </w:rPr>
        <w:t>de</w:t>
      </w:r>
      <w:r>
        <w:rPr>
          <w:spacing w:val="-7"/>
          <w:sz w:val="22"/>
        </w:rPr>
        <w:t> </w:t>
      </w:r>
      <w:r>
        <w:rPr>
          <w:sz w:val="22"/>
        </w:rPr>
        <w:t>Cartagena,</w:t>
      </w:r>
      <w:r>
        <w:rPr>
          <w:spacing w:val="-5"/>
          <w:sz w:val="22"/>
        </w:rPr>
        <w:t> </w:t>
      </w:r>
      <w:r>
        <w:rPr>
          <w:sz w:val="22"/>
        </w:rPr>
        <w:t>en</w:t>
      </w:r>
      <w:r>
        <w:rPr>
          <w:spacing w:val="-7"/>
          <w:sz w:val="22"/>
        </w:rPr>
        <w:t> </w:t>
      </w:r>
      <w:r>
        <w:rPr>
          <w:sz w:val="22"/>
        </w:rPr>
        <w:t>su</w:t>
      </w:r>
      <w:r>
        <w:rPr>
          <w:spacing w:val="-9"/>
          <w:sz w:val="22"/>
        </w:rPr>
        <w:t> </w:t>
      </w:r>
      <w:r>
        <w:rPr>
          <w:sz w:val="22"/>
        </w:rPr>
        <w:t>artículo</w:t>
      </w:r>
      <w:r>
        <w:rPr>
          <w:spacing w:val="-6"/>
          <w:sz w:val="22"/>
        </w:rPr>
        <w:t> </w:t>
      </w:r>
      <w:r>
        <w:rPr>
          <w:sz w:val="22"/>
        </w:rPr>
        <w:t>139,</w:t>
      </w:r>
      <w:r>
        <w:rPr>
          <w:spacing w:val="-5"/>
          <w:sz w:val="22"/>
        </w:rPr>
        <w:t> </w:t>
      </w:r>
      <w:r>
        <w:rPr>
          <w:sz w:val="22"/>
        </w:rPr>
        <w:t>incorpora</w:t>
      </w:r>
      <w:r>
        <w:rPr>
          <w:spacing w:val="-6"/>
          <w:sz w:val="22"/>
        </w:rPr>
        <w:t> </w:t>
      </w:r>
      <w:r>
        <w:rPr>
          <w:sz w:val="22"/>
        </w:rPr>
        <w:t>el</w:t>
      </w:r>
      <w:r>
        <w:rPr>
          <w:spacing w:val="-7"/>
          <w:sz w:val="22"/>
        </w:rPr>
        <w:t> </w:t>
      </w:r>
      <w:r>
        <w:rPr>
          <w:sz w:val="22"/>
        </w:rPr>
        <w:t>principio</w:t>
      </w:r>
      <w:r>
        <w:rPr>
          <w:spacing w:val="-6"/>
          <w:sz w:val="22"/>
        </w:rPr>
        <w:t> </w:t>
      </w:r>
      <w:r>
        <w:rPr>
          <w:sz w:val="22"/>
        </w:rPr>
        <w:t>de</w:t>
      </w:r>
      <w:r>
        <w:rPr>
          <w:spacing w:val="-7"/>
          <w:sz w:val="22"/>
        </w:rPr>
        <w:t> </w:t>
      </w:r>
      <w:r>
        <w:rPr>
          <w:sz w:val="22"/>
        </w:rPr>
        <w:t>no</w:t>
      </w:r>
      <w:r>
        <w:rPr>
          <w:spacing w:val="-9"/>
          <w:sz w:val="22"/>
        </w:rPr>
        <w:t> </w:t>
      </w:r>
      <w:r>
        <w:rPr>
          <w:sz w:val="22"/>
        </w:rPr>
        <w:t>discriminación al señalar que “[c]</w:t>
      </w:r>
      <w:r>
        <w:rPr>
          <w:rFonts w:ascii="Arial" w:hAnsi="Arial"/>
          <w:i/>
          <w:sz w:val="22"/>
        </w:rPr>
        <w:t>ualquier ventaja, favor, franquicia, inmunidad o privilegio que se aplique por un País Miembro en relación con un producto originario de o destinado a cualquier otro país, será inmediata e incondicionalmente extendido al producto similar originario de o destinado al territorio de los demás Países Miembros.</w:t>
      </w:r>
      <w:r>
        <w:rPr>
          <w:sz w:val="22"/>
        </w:rPr>
        <w:t>”</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9" w:hanging="567"/>
        <w:jc w:val="both"/>
        <w:rPr>
          <w:sz w:val="22"/>
        </w:rPr>
      </w:pPr>
      <w:r>
        <w:rPr>
          <w:sz w:val="22"/>
        </w:rPr>
        <w:t>Como se indicó, conforme a lo dispuesto en el Decreto 0170, la medida objeto de investigación consiste en una restricción al ingreso de mercancías originarias de la República</w:t>
      </w:r>
      <w:r>
        <w:rPr>
          <w:spacing w:val="-10"/>
          <w:sz w:val="22"/>
        </w:rPr>
        <w:t> </w:t>
      </w:r>
      <w:r>
        <w:rPr>
          <w:sz w:val="22"/>
        </w:rPr>
        <w:t>del</w:t>
      </w:r>
      <w:r>
        <w:rPr>
          <w:spacing w:val="-10"/>
          <w:sz w:val="22"/>
        </w:rPr>
        <w:t> </w:t>
      </w:r>
      <w:r>
        <w:rPr>
          <w:sz w:val="22"/>
        </w:rPr>
        <w:t>Ecuador</w:t>
      </w:r>
      <w:r>
        <w:rPr>
          <w:spacing w:val="-10"/>
          <w:sz w:val="22"/>
        </w:rPr>
        <w:t> </w:t>
      </w:r>
      <w:r>
        <w:rPr>
          <w:sz w:val="22"/>
        </w:rPr>
        <w:t>a</w:t>
      </w:r>
      <w:r>
        <w:rPr>
          <w:spacing w:val="-14"/>
          <w:sz w:val="22"/>
        </w:rPr>
        <w:t> </w:t>
      </w:r>
      <w:r>
        <w:rPr>
          <w:sz w:val="22"/>
        </w:rPr>
        <w:t>través</w:t>
      </w:r>
      <w:r>
        <w:rPr>
          <w:spacing w:val="-11"/>
          <w:sz w:val="22"/>
        </w:rPr>
        <w:t> </w:t>
      </w:r>
      <w:r>
        <w:rPr>
          <w:sz w:val="22"/>
        </w:rPr>
        <w:t>de</w:t>
      </w:r>
      <w:r>
        <w:rPr>
          <w:spacing w:val="-12"/>
          <w:sz w:val="22"/>
        </w:rPr>
        <w:t> </w:t>
      </w:r>
      <w:r>
        <w:rPr>
          <w:sz w:val="22"/>
        </w:rPr>
        <w:t>determinadas</w:t>
      </w:r>
      <w:r>
        <w:rPr>
          <w:spacing w:val="-11"/>
          <w:sz w:val="22"/>
        </w:rPr>
        <w:t> </w:t>
      </w:r>
      <w:r>
        <w:rPr>
          <w:sz w:val="22"/>
        </w:rPr>
        <w:t>aduanas</w:t>
      </w:r>
      <w:r>
        <w:rPr>
          <w:spacing w:val="-9"/>
          <w:sz w:val="22"/>
        </w:rPr>
        <w:t> </w:t>
      </w:r>
      <w:r>
        <w:rPr>
          <w:sz w:val="22"/>
        </w:rPr>
        <w:t>de</w:t>
      </w:r>
      <w:r>
        <w:rPr>
          <w:spacing w:val="-12"/>
          <w:sz w:val="22"/>
        </w:rPr>
        <w:t> </w:t>
      </w:r>
      <w:r>
        <w:rPr>
          <w:sz w:val="22"/>
        </w:rPr>
        <w:t>la</w:t>
      </w:r>
      <w:r>
        <w:rPr>
          <w:spacing w:val="-10"/>
          <w:sz w:val="22"/>
        </w:rPr>
        <w:t> </w:t>
      </w:r>
      <w:r>
        <w:rPr>
          <w:sz w:val="22"/>
        </w:rPr>
        <w:t>República</w:t>
      </w:r>
      <w:r>
        <w:rPr>
          <w:spacing w:val="-11"/>
          <w:sz w:val="22"/>
        </w:rPr>
        <w:t> </w:t>
      </w:r>
      <w:r>
        <w:rPr>
          <w:sz w:val="22"/>
        </w:rPr>
        <w:t>de</w:t>
      </w:r>
      <w:r>
        <w:rPr>
          <w:spacing w:val="-10"/>
          <w:sz w:val="22"/>
        </w:rPr>
        <w:t> </w:t>
      </w:r>
      <w:r>
        <w:rPr>
          <w:sz w:val="22"/>
        </w:rPr>
        <w:t>Colombia. En tal sentido, el propio Decreto 0170 establece expresamente que se trata de una medida</w:t>
      </w:r>
      <w:r>
        <w:rPr>
          <w:spacing w:val="-10"/>
          <w:sz w:val="22"/>
        </w:rPr>
        <w:t> </w:t>
      </w:r>
      <w:r>
        <w:rPr>
          <w:sz w:val="22"/>
        </w:rPr>
        <w:t>aplicada</w:t>
      </w:r>
      <w:r>
        <w:rPr>
          <w:spacing w:val="-10"/>
          <w:sz w:val="22"/>
        </w:rPr>
        <w:t> </w:t>
      </w:r>
      <w:r>
        <w:rPr>
          <w:sz w:val="22"/>
        </w:rPr>
        <w:t>de</w:t>
      </w:r>
      <w:r>
        <w:rPr>
          <w:spacing w:val="-10"/>
          <w:sz w:val="22"/>
        </w:rPr>
        <w:t> </w:t>
      </w:r>
      <w:r>
        <w:rPr>
          <w:sz w:val="22"/>
        </w:rPr>
        <w:t>manera</w:t>
      </w:r>
      <w:r>
        <w:rPr>
          <w:spacing w:val="-9"/>
          <w:sz w:val="22"/>
        </w:rPr>
        <w:t> </w:t>
      </w:r>
      <w:r>
        <w:rPr>
          <w:sz w:val="22"/>
        </w:rPr>
        <w:t>exclusiva</w:t>
      </w:r>
      <w:r>
        <w:rPr>
          <w:spacing w:val="-10"/>
          <w:sz w:val="22"/>
        </w:rPr>
        <w:t> </w:t>
      </w:r>
      <w:r>
        <w:rPr>
          <w:sz w:val="22"/>
        </w:rPr>
        <w:t>a</w:t>
      </w:r>
      <w:r>
        <w:rPr>
          <w:spacing w:val="-10"/>
          <w:sz w:val="22"/>
        </w:rPr>
        <w:t> </w:t>
      </w:r>
      <w:r>
        <w:rPr>
          <w:sz w:val="22"/>
        </w:rPr>
        <w:t>las</w:t>
      </w:r>
      <w:r>
        <w:rPr>
          <w:spacing w:val="-12"/>
          <w:sz w:val="22"/>
        </w:rPr>
        <w:t> </w:t>
      </w:r>
      <w:r>
        <w:rPr>
          <w:sz w:val="22"/>
        </w:rPr>
        <w:t>importaciones</w:t>
      </w:r>
      <w:r>
        <w:rPr>
          <w:spacing w:val="-10"/>
          <w:sz w:val="22"/>
        </w:rPr>
        <w:t> </w:t>
      </w:r>
      <w:r>
        <w:rPr>
          <w:sz w:val="22"/>
        </w:rPr>
        <w:t>de</w:t>
      </w:r>
      <w:r>
        <w:rPr>
          <w:spacing w:val="-10"/>
          <w:sz w:val="22"/>
        </w:rPr>
        <w:t> </w:t>
      </w:r>
      <w:r>
        <w:rPr>
          <w:sz w:val="22"/>
        </w:rPr>
        <w:t>origen</w:t>
      </w:r>
      <w:r>
        <w:rPr>
          <w:spacing w:val="-10"/>
          <w:sz w:val="22"/>
        </w:rPr>
        <w:t> </w:t>
      </w:r>
      <w:r>
        <w:rPr>
          <w:sz w:val="22"/>
        </w:rPr>
        <w:t>ecuatoriano,</w:t>
      </w:r>
      <w:r>
        <w:rPr>
          <w:spacing w:val="-9"/>
          <w:sz w:val="22"/>
        </w:rPr>
        <w:t> </w:t>
      </w:r>
      <w:r>
        <w:rPr>
          <w:sz w:val="22"/>
        </w:rPr>
        <w:t>lo</w:t>
      </w:r>
      <w:r>
        <w:rPr>
          <w:spacing w:val="-10"/>
          <w:sz w:val="22"/>
        </w:rPr>
        <w:t> </w:t>
      </w:r>
      <w:r>
        <w:rPr>
          <w:sz w:val="22"/>
        </w:rPr>
        <w:t>cual resulta relevante a efectos de evaluar su compatibilidad con los principios de no discriminación y trato igualitario que rigen el comercio intracomunitario.</w:t>
      </w:r>
    </w:p>
    <w:p>
      <w:pPr>
        <w:pStyle w:val="BodyText"/>
      </w:pPr>
    </w:p>
    <w:p>
      <w:pPr>
        <w:pStyle w:val="ListParagraph"/>
        <w:numPr>
          <w:ilvl w:val="0"/>
          <w:numId w:val="50"/>
        </w:numPr>
        <w:tabs>
          <w:tab w:pos="1130" w:val="left" w:leader="none"/>
          <w:tab w:pos="1134" w:val="left" w:leader="none"/>
        </w:tabs>
        <w:spacing w:line="240" w:lineRule="auto" w:before="0" w:after="0"/>
        <w:ind w:left="1134" w:right="976" w:hanging="567"/>
        <w:jc w:val="both"/>
        <w:rPr>
          <w:sz w:val="22"/>
        </w:rPr>
      </w:pPr>
      <w:r>
        <w:rPr>
          <w:sz w:val="22"/>
        </w:rPr>
        <w:t>La</w:t>
      </w:r>
      <w:r>
        <w:rPr>
          <w:spacing w:val="-15"/>
          <w:sz w:val="22"/>
        </w:rPr>
        <w:t> </w:t>
      </w:r>
      <w:r>
        <w:rPr>
          <w:sz w:val="22"/>
        </w:rPr>
        <w:t>respuesta</w:t>
      </w:r>
      <w:r>
        <w:rPr>
          <w:spacing w:val="-14"/>
          <w:sz w:val="22"/>
        </w:rPr>
        <w:t> </w:t>
      </w:r>
      <w:r>
        <w:rPr>
          <w:sz w:val="22"/>
        </w:rPr>
        <w:t>presentada</w:t>
      </w:r>
      <w:r>
        <w:rPr>
          <w:spacing w:val="-16"/>
          <w:sz w:val="22"/>
        </w:rPr>
        <w:t> </w:t>
      </w:r>
      <w:r>
        <w:rPr>
          <w:sz w:val="22"/>
        </w:rPr>
        <w:t>por</w:t>
      </w:r>
      <w:r>
        <w:rPr>
          <w:spacing w:val="-12"/>
          <w:sz w:val="22"/>
        </w:rPr>
        <w:t> </w:t>
      </w:r>
      <w:r>
        <w:rPr>
          <w:sz w:val="22"/>
        </w:rPr>
        <w:t>la</w:t>
      </w:r>
      <w:r>
        <w:rPr>
          <w:spacing w:val="-16"/>
          <w:sz w:val="22"/>
        </w:rPr>
        <w:t> </w:t>
      </w:r>
      <w:r>
        <w:rPr>
          <w:sz w:val="22"/>
        </w:rPr>
        <w:t>República</w:t>
      </w:r>
      <w:r>
        <w:rPr>
          <w:spacing w:val="-13"/>
          <w:sz w:val="22"/>
        </w:rPr>
        <w:t> </w:t>
      </w:r>
      <w:r>
        <w:rPr>
          <w:sz w:val="22"/>
        </w:rPr>
        <w:t>de</w:t>
      </w:r>
      <w:r>
        <w:rPr>
          <w:spacing w:val="-14"/>
          <w:sz w:val="22"/>
        </w:rPr>
        <w:t> </w:t>
      </w:r>
      <w:r>
        <w:rPr>
          <w:sz w:val="22"/>
        </w:rPr>
        <w:t>Colombia</w:t>
      </w:r>
      <w:r>
        <w:rPr>
          <w:spacing w:val="-11"/>
          <w:sz w:val="22"/>
        </w:rPr>
        <w:t> </w:t>
      </w:r>
      <w:r>
        <w:rPr>
          <w:sz w:val="22"/>
        </w:rPr>
        <w:t>confirma</w:t>
      </w:r>
      <w:r>
        <w:rPr>
          <w:spacing w:val="-16"/>
          <w:sz w:val="22"/>
        </w:rPr>
        <w:t> </w:t>
      </w:r>
      <w:r>
        <w:rPr>
          <w:sz w:val="22"/>
        </w:rPr>
        <w:t>que</w:t>
      </w:r>
      <w:r>
        <w:rPr>
          <w:spacing w:val="-13"/>
          <w:sz w:val="22"/>
        </w:rPr>
        <w:t> </w:t>
      </w:r>
      <w:r>
        <w:rPr>
          <w:sz w:val="22"/>
        </w:rPr>
        <w:t>la</w:t>
      </w:r>
      <w:r>
        <w:rPr>
          <w:spacing w:val="-16"/>
          <w:sz w:val="22"/>
        </w:rPr>
        <w:t> </w:t>
      </w:r>
      <w:r>
        <w:rPr>
          <w:sz w:val="22"/>
        </w:rPr>
        <w:t>medida</w:t>
      </w:r>
      <w:r>
        <w:rPr>
          <w:spacing w:val="-13"/>
          <w:sz w:val="22"/>
        </w:rPr>
        <w:t> </w:t>
      </w:r>
      <w:r>
        <w:rPr>
          <w:sz w:val="22"/>
        </w:rPr>
        <w:t>se</w:t>
      </w:r>
      <w:r>
        <w:rPr>
          <w:spacing w:val="-14"/>
          <w:sz w:val="22"/>
        </w:rPr>
        <w:t> </w:t>
      </w:r>
      <w:r>
        <w:rPr>
          <w:sz w:val="22"/>
        </w:rPr>
        <w:t>aplica exclusivamente a la República del Ecuador y que, según se sostiene, se encontraría sustentada</w:t>
      </w:r>
      <w:r>
        <w:rPr>
          <w:spacing w:val="-10"/>
          <w:sz w:val="22"/>
        </w:rPr>
        <w:t> </w:t>
      </w:r>
      <w:r>
        <w:rPr>
          <w:sz w:val="22"/>
        </w:rPr>
        <w:t>en</w:t>
      </w:r>
      <w:r>
        <w:rPr>
          <w:spacing w:val="-10"/>
          <w:sz w:val="22"/>
        </w:rPr>
        <w:t> </w:t>
      </w:r>
      <w:r>
        <w:rPr>
          <w:sz w:val="22"/>
        </w:rPr>
        <w:t>hechos</w:t>
      </w:r>
      <w:r>
        <w:rPr>
          <w:spacing w:val="-8"/>
          <w:sz w:val="22"/>
        </w:rPr>
        <w:t> </w:t>
      </w:r>
      <w:r>
        <w:rPr>
          <w:sz w:val="22"/>
        </w:rPr>
        <w:t>epidemiológicos</w:t>
      </w:r>
      <w:r>
        <w:rPr>
          <w:spacing w:val="-8"/>
          <w:sz w:val="22"/>
        </w:rPr>
        <w:t> </w:t>
      </w:r>
      <w:r>
        <w:rPr>
          <w:sz w:val="22"/>
        </w:rPr>
        <w:t>objetivos</w:t>
      </w:r>
      <w:r>
        <w:rPr>
          <w:spacing w:val="-10"/>
          <w:sz w:val="22"/>
        </w:rPr>
        <w:t> </w:t>
      </w:r>
      <w:r>
        <w:rPr>
          <w:sz w:val="22"/>
        </w:rPr>
        <w:t>y</w:t>
      </w:r>
      <w:r>
        <w:rPr>
          <w:spacing w:val="-10"/>
          <w:sz w:val="22"/>
        </w:rPr>
        <w:t> </w:t>
      </w:r>
      <w:r>
        <w:rPr>
          <w:sz w:val="22"/>
        </w:rPr>
        <w:t>verificables.</w:t>
      </w:r>
      <w:r>
        <w:rPr>
          <w:spacing w:val="-10"/>
          <w:sz w:val="22"/>
        </w:rPr>
        <w:t> </w:t>
      </w:r>
      <w:r>
        <w:rPr>
          <w:sz w:val="22"/>
        </w:rPr>
        <w:t>No</w:t>
      </w:r>
      <w:r>
        <w:rPr>
          <w:spacing w:val="-8"/>
          <w:sz w:val="22"/>
        </w:rPr>
        <w:t> </w:t>
      </w:r>
      <w:r>
        <w:rPr>
          <w:sz w:val="22"/>
        </w:rPr>
        <w:t>obstante,</w:t>
      </w:r>
      <w:r>
        <w:rPr>
          <w:spacing w:val="-7"/>
          <w:sz w:val="22"/>
        </w:rPr>
        <w:t> </w:t>
      </w:r>
      <w:r>
        <w:rPr>
          <w:sz w:val="22"/>
        </w:rPr>
        <w:t>los</w:t>
      </w:r>
      <w:r>
        <w:rPr>
          <w:spacing w:val="-10"/>
          <w:sz w:val="22"/>
        </w:rPr>
        <w:t> </w:t>
      </w:r>
      <w:r>
        <w:rPr>
          <w:sz w:val="22"/>
        </w:rPr>
        <w:t>análisis sanitarios y fitosanitarios realizados por la SGCAN desvirtúan dicha aseveración, al no acreditarse</w:t>
      </w:r>
      <w:r>
        <w:rPr>
          <w:spacing w:val="-3"/>
          <w:sz w:val="22"/>
        </w:rPr>
        <w:t> </w:t>
      </w:r>
      <w:r>
        <w:rPr>
          <w:sz w:val="22"/>
        </w:rPr>
        <w:t>un</w:t>
      </w:r>
      <w:r>
        <w:rPr>
          <w:spacing w:val="-3"/>
          <w:sz w:val="22"/>
        </w:rPr>
        <w:t> </w:t>
      </w:r>
      <w:r>
        <w:rPr>
          <w:sz w:val="22"/>
        </w:rPr>
        <w:t>sustento</w:t>
      </w:r>
      <w:r>
        <w:rPr>
          <w:spacing w:val="-5"/>
          <w:sz w:val="22"/>
        </w:rPr>
        <w:t> </w:t>
      </w:r>
      <w:r>
        <w:rPr>
          <w:sz w:val="22"/>
        </w:rPr>
        <w:t>técnico</w:t>
      </w:r>
      <w:r>
        <w:rPr>
          <w:rFonts w:ascii="Cambria Math" w:hAnsi="Cambria Math"/>
          <w:sz w:val="22"/>
        </w:rPr>
        <w:t>‑</w:t>
      </w:r>
      <w:r>
        <w:rPr>
          <w:sz w:val="22"/>
        </w:rPr>
        <w:t>científico</w:t>
      </w:r>
      <w:r>
        <w:rPr>
          <w:spacing w:val="-3"/>
          <w:sz w:val="22"/>
        </w:rPr>
        <w:t> </w:t>
      </w:r>
      <w:r>
        <w:rPr>
          <w:sz w:val="22"/>
        </w:rPr>
        <w:t>individualizado</w:t>
      </w:r>
      <w:r>
        <w:rPr>
          <w:spacing w:val="-3"/>
          <w:sz w:val="22"/>
        </w:rPr>
        <w:t> </w:t>
      </w:r>
      <w:r>
        <w:rPr>
          <w:sz w:val="22"/>
        </w:rPr>
        <w:t>que</w:t>
      </w:r>
      <w:r>
        <w:rPr>
          <w:spacing w:val="-3"/>
          <w:sz w:val="22"/>
        </w:rPr>
        <w:t> </w:t>
      </w:r>
      <w:r>
        <w:rPr>
          <w:sz w:val="22"/>
        </w:rPr>
        <w:t>justifique</w:t>
      </w:r>
      <w:r>
        <w:rPr>
          <w:spacing w:val="-3"/>
          <w:sz w:val="22"/>
        </w:rPr>
        <w:t> </w:t>
      </w:r>
      <w:r>
        <w:rPr>
          <w:sz w:val="22"/>
        </w:rPr>
        <w:t>la</w:t>
      </w:r>
      <w:r>
        <w:rPr>
          <w:spacing w:val="-5"/>
          <w:sz w:val="22"/>
        </w:rPr>
        <w:t> </w:t>
      </w:r>
      <w:r>
        <w:rPr>
          <w:sz w:val="22"/>
        </w:rPr>
        <w:t>diferenciación por origen.</w:t>
      </w:r>
      <w:r>
        <w:rPr>
          <w:spacing w:val="-1"/>
          <w:sz w:val="22"/>
        </w:rPr>
        <w:t> </w:t>
      </w:r>
      <w:r>
        <w:rPr>
          <w:sz w:val="22"/>
        </w:rPr>
        <w:t>En consecuencia, la medida</w:t>
      </w:r>
      <w:r>
        <w:rPr>
          <w:spacing w:val="-1"/>
          <w:sz w:val="22"/>
        </w:rPr>
        <w:t> </w:t>
      </w:r>
      <w:r>
        <w:rPr>
          <w:sz w:val="22"/>
        </w:rPr>
        <w:t>configura</w:t>
      </w:r>
      <w:r>
        <w:rPr>
          <w:spacing w:val="-3"/>
          <w:sz w:val="22"/>
        </w:rPr>
        <w:t> </w:t>
      </w:r>
      <w:r>
        <w:rPr>
          <w:sz w:val="22"/>
        </w:rPr>
        <w:t>un</w:t>
      </w:r>
      <w:r>
        <w:rPr>
          <w:spacing w:val="-1"/>
          <w:sz w:val="22"/>
        </w:rPr>
        <w:t> </w:t>
      </w:r>
      <w:r>
        <w:rPr>
          <w:sz w:val="22"/>
        </w:rPr>
        <w:t>trato discriminatorio, incompatible</w:t>
      </w:r>
    </w:p>
    <w:p>
      <w:pPr>
        <w:pStyle w:val="BodyText"/>
        <w:rPr>
          <w:sz w:val="20"/>
        </w:rPr>
      </w:pPr>
    </w:p>
    <w:p>
      <w:pPr>
        <w:pStyle w:val="BodyText"/>
        <w:spacing w:before="134"/>
        <w:rPr>
          <w:sz w:val="20"/>
        </w:rPr>
      </w:pPr>
      <w:r>
        <w:rPr>
          <w:sz w:val="20"/>
        </w:rPr>
        <mc:AlternateContent>
          <mc:Choice Requires="wps">
            <w:drawing>
              <wp:anchor distT="0" distB="0" distL="0" distR="0" allowOverlap="1" layoutInCell="1" locked="0" behindDoc="1" simplePos="0" relativeHeight="487671296">
                <wp:simplePos x="0" y="0"/>
                <wp:positionH relativeFrom="page">
                  <wp:posOffset>990904</wp:posOffset>
                </wp:positionH>
                <wp:positionV relativeFrom="paragraph">
                  <wp:posOffset>246780</wp:posOffset>
                </wp:positionV>
                <wp:extent cx="1829435" cy="7620"/>
                <wp:effectExtent l="0" t="0" r="0" b="0"/>
                <wp:wrapTopAndBottom/>
                <wp:docPr id="696" name="Graphic 696"/>
                <wp:cNvGraphicFramePr>
                  <a:graphicFrameLocks/>
                </wp:cNvGraphicFramePr>
                <a:graphic>
                  <a:graphicData uri="http://schemas.microsoft.com/office/word/2010/wordprocessingShape">
                    <wps:wsp>
                      <wps:cNvPr id="696" name="Graphic 696"/>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19.431562pt;width:144.020pt;height:.599980pt;mso-position-horizontal-relative:page;mso-position-vertical-relative:paragraph;z-index:-15645184;mso-wrap-distance-left:0;mso-wrap-distance-right:0" id="docshape466" filled="true" fillcolor="#000000" stroked="false">
                <v:fill type="solid"/>
                <w10:wrap type="topAndBottom"/>
              </v:rect>
            </w:pict>
          </mc:Fallback>
        </mc:AlternateContent>
      </w:r>
    </w:p>
    <w:p>
      <w:pPr>
        <w:spacing w:before="92"/>
        <w:ind w:left="568" w:right="127" w:firstLine="0"/>
        <w:jc w:val="both"/>
        <w:rPr>
          <w:sz w:val="16"/>
        </w:rPr>
      </w:pPr>
      <w:bookmarkStart w:name="_bookmark192" w:id="193"/>
      <w:bookmarkEnd w:id="193"/>
      <w:r>
        <w:rPr/>
      </w:r>
      <w:r>
        <w:rPr>
          <w:sz w:val="16"/>
          <w:vertAlign w:val="superscript"/>
        </w:rPr>
        <w:t>125</w:t>
      </w:r>
      <w:r>
        <w:rPr>
          <w:sz w:val="16"/>
          <w:vertAlign w:val="baseline"/>
        </w:rPr>
        <w:t> Véase Proceso 3-AI-96: “</w:t>
      </w:r>
      <w:r>
        <w:rPr>
          <w:rFonts w:ascii="Arial" w:hAnsi="Arial"/>
          <w:i/>
          <w:sz w:val="16"/>
          <w:vertAlign w:val="baseline"/>
        </w:rPr>
        <w:t>Para que la restricción adquiera la categoría de justificatoria, según la competencia asignada a la Junta, es necesario que el acto interno del País Miembro esté inspirado en el principio de proporcionalidad entre la medida restrictiva y el objeto específico a que ella vaya dirigida, el cual deberá aparecer como causa directa e inmediata </w:t>
      </w:r>
      <w:r>
        <w:rPr>
          <w:sz w:val="16"/>
          <w:vertAlign w:val="baseline"/>
        </w:rPr>
        <w:t>(…)”.</w:t>
      </w:r>
    </w:p>
    <w:p>
      <w:pPr>
        <w:spacing w:before="0"/>
        <w:ind w:left="568" w:right="0" w:firstLine="0"/>
        <w:jc w:val="left"/>
        <w:rPr>
          <w:sz w:val="16"/>
        </w:rPr>
      </w:pPr>
      <w:bookmarkStart w:name="_bookmark193" w:id="194"/>
      <w:bookmarkEnd w:id="194"/>
      <w:r>
        <w:rPr/>
      </w:r>
      <w:r>
        <w:rPr>
          <w:sz w:val="16"/>
          <w:vertAlign w:val="superscript"/>
        </w:rPr>
        <w:t>126</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000374.</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697" name="Group 697"/>
                <wp:cNvGraphicFramePr>
                  <a:graphicFrameLocks/>
                </wp:cNvGraphicFramePr>
                <a:graphic>
                  <a:graphicData uri="http://schemas.microsoft.com/office/word/2010/wordprocessingGroup">
                    <wpg:wgp>
                      <wpg:cNvPr id="697" name="Group 697"/>
                      <wpg:cNvGrpSpPr/>
                      <wpg:grpSpPr>
                        <a:xfrm>
                          <a:off x="0" y="0"/>
                          <a:ext cx="6131560" cy="9525"/>
                          <a:chExt cx="6131560" cy="9525"/>
                        </a:xfrm>
                      </wpg:grpSpPr>
                      <wps:wsp>
                        <wps:cNvPr id="698" name="Graphic 698"/>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467"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headerReference w:type="default" r:id="rId119"/>
          <w:footerReference w:type="default" r:id="rId120"/>
          <w:pgSz w:w="11900" w:h="16850"/>
          <w:pgMar w:header="370" w:footer="636" w:top="1380" w:bottom="820" w:left="992" w:right="283"/>
        </w:sectPr>
      </w:pPr>
    </w:p>
    <w:p>
      <w:pPr>
        <w:pStyle w:val="BodyText"/>
        <w:spacing w:before="176"/>
      </w:pPr>
    </w:p>
    <w:p>
      <w:pPr>
        <w:pStyle w:val="BodyText"/>
        <w:ind w:left="1134"/>
      </w:pPr>
      <w:r>
        <w:rPr/>
        <w:t>con</w:t>
      </w:r>
      <w:r>
        <w:rPr>
          <w:spacing w:val="40"/>
        </w:rPr>
        <w:t> </w:t>
      </w:r>
      <w:r>
        <w:rPr/>
        <w:t>los</w:t>
      </w:r>
      <w:r>
        <w:rPr>
          <w:spacing w:val="40"/>
        </w:rPr>
        <w:t> </w:t>
      </w:r>
      <w:r>
        <w:rPr/>
        <w:t>principios</w:t>
      </w:r>
      <w:r>
        <w:rPr>
          <w:spacing w:val="40"/>
        </w:rPr>
        <w:t> </w:t>
      </w:r>
      <w:r>
        <w:rPr/>
        <w:t>de</w:t>
      </w:r>
      <w:r>
        <w:rPr>
          <w:spacing w:val="40"/>
        </w:rPr>
        <w:t> </w:t>
      </w:r>
      <w:r>
        <w:rPr/>
        <w:t>no</w:t>
      </w:r>
      <w:r>
        <w:rPr>
          <w:spacing w:val="40"/>
        </w:rPr>
        <w:t> </w:t>
      </w:r>
      <w:r>
        <w:rPr/>
        <w:t>discriminación</w:t>
      </w:r>
      <w:r>
        <w:rPr>
          <w:spacing w:val="40"/>
        </w:rPr>
        <w:t> </w:t>
      </w:r>
      <w:r>
        <w:rPr/>
        <w:t>y</w:t>
      </w:r>
      <w:r>
        <w:rPr>
          <w:spacing w:val="40"/>
        </w:rPr>
        <w:t> </w:t>
      </w:r>
      <w:r>
        <w:rPr/>
        <w:t>de</w:t>
      </w:r>
      <w:r>
        <w:rPr>
          <w:spacing w:val="40"/>
        </w:rPr>
        <w:t> </w:t>
      </w:r>
      <w:r>
        <w:rPr/>
        <w:t>trato</w:t>
      </w:r>
      <w:r>
        <w:rPr>
          <w:spacing w:val="40"/>
        </w:rPr>
        <w:t> </w:t>
      </w:r>
      <w:r>
        <w:rPr/>
        <w:t>igualitario</w:t>
      </w:r>
      <w:r>
        <w:rPr>
          <w:spacing w:val="40"/>
        </w:rPr>
        <w:t> </w:t>
      </w:r>
      <w:r>
        <w:rPr/>
        <w:t>que</w:t>
      </w:r>
      <w:r>
        <w:rPr>
          <w:spacing w:val="40"/>
        </w:rPr>
        <w:t> </w:t>
      </w:r>
      <w:r>
        <w:rPr/>
        <w:t>rigen</w:t>
      </w:r>
      <w:r>
        <w:rPr>
          <w:spacing w:val="40"/>
        </w:rPr>
        <w:t> </w:t>
      </w:r>
      <w:r>
        <w:rPr/>
        <w:t>el</w:t>
      </w:r>
      <w:r>
        <w:rPr>
          <w:spacing w:val="40"/>
        </w:rPr>
        <w:t> </w:t>
      </w:r>
      <w:r>
        <w:rPr/>
        <w:t>comercio </w:t>
      </w:r>
      <w:r>
        <w:rPr>
          <w:spacing w:val="-2"/>
        </w:rPr>
        <w:t>intracomunitario.</w:t>
      </w:r>
    </w:p>
    <w:p>
      <w:pPr>
        <w:pStyle w:val="BodyText"/>
      </w:pPr>
    </w:p>
    <w:p>
      <w:pPr>
        <w:pStyle w:val="ListParagraph"/>
        <w:numPr>
          <w:ilvl w:val="0"/>
          <w:numId w:val="50"/>
        </w:numPr>
        <w:tabs>
          <w:tab w:pos="1130" w:val="left" w:leader="none"/>
          <w:tab w:pos="1134" w:val="left" w:leader="none"/>
        </w:tabs>
        <w:spacing w:line="240" w:lineRule="auto" w:before="0" w:after="0"/>
        <w:ind w:left="1134" w:right="987" w:hanging="567"/>
        <w:jc w:val="both"/>
        <w:rPr>
          <w:sz w:val="22"/>
        </w:rPr>
      </w:pPr>
      <w:r>
        <w:rPr>
          <w:sz w:val="22"/>
        </w:rPr>
        <w:t>Por su</w:t>
      </w:r>
      <w:r>
        <w:rPr>
          <w:spacing w:val="-2"/>
          <w:sz w:val="22"/>
        </w:rPr>
        <w:t> </w:t>
      </w:r>
      <w:r>
        <w:rPr>
          <w:sz w:val="22"/>
        </w:rPr>
        <w:t>parte, sobre</w:t>
      </w:r>
      <w:r>
        <w:rPr>
          <w:spacing w:val="-2"/>
          <w:sz w:val="22"/>
        </w:rPr>
        <w:t> </w:t>
      </w:r>
      <w:r>
        <w:rPr>
          <w:sz w:val="22"/>
        </w:rPr>
        <w:t>la</w:t>
      </w:r>
      <w:r>
        <w:rPr>
          <w:spacing w:val="-2"/>
          <w:sz w:val="22"/>
        </w:rPr>
        <w:t> </w:t>
      </w:r>
      <w:r>
        <w:rPr>
          <w:sz w:val="22"/>
        </w:rPr>
        <w:t>medida contenida</w:t>
      </w:r>
      <w:r>
        <w:rPr>
          <w:spacing w:val="-2"/>
          <w:sz w:val="22"/>
        </w:rPr>
        <w:t> </w:t>
      </w:r>
      <w:r>
        <w:rPr>
          <w:sz w:val="22"/>
        </w:rPr>
        <w:t>en el</w:t>
      </w:r>
      <w:r>
        <w:rPr>
          <w:spacing w:val="-3"/>
          <w:sz w:val="22"/>
        </w:rPr>
        <w:t> </w:t>
      </w:r>
      <w:r>
        <w:rPr>
          <w:sz w:val="22"/>
        </w:rPr>
        <w:t>artículo 3</w:t>
      </w:r>
      <w:r>
        <w:rPr>
          <w:spacing w:val="-2"/>
          <w:sz w:val="22"/>
        </w:rPr>
        <w:t> </w:t>
      </w:r>
      <w:r>
        <w:rPr>
          <w:sz w:val="22"/>
        </w:rPr>
        <w:t>del Decreto</w:t>
      </w:r>
      <w:r>
        <w:rPr>
          <w:spacing w:val="-1"/>
          <w:sz w:val="22"/>
        </w:rPr>
        <w:t> </w:t>
      </w:r>
      <w:r>
        <w:rPr>
          <w:sz w:val="22"/>
        </w:rPr>
        <w:t>0170, la República de Colombia señala lo siguiente:</w:t>
      </w:r>
    </w:p>
    <w:p>
      <w:pPr>
        <w:pStyle w:val="BodyText"/>
        <w:spacing w:before="1"/>
      </w:pPr>
    </w:p>
    <w:p>
      <w:pPr>
        <w:spacing w:before="1"/>
        <w:ind w:left="1288" w:right="978" w:firstLine="0"/>
        <w:jc w:val="both"/>
        <w:rPr>
          <w:sz w:val="22"/>
        </w:rPr>
      </w:pPr>
      <w:r>
        <w:rPr>
          <w:rFonts w:ascii="Arial" w:hAnsi="Arial"/>
          <w:i/>
          <w:sz w:val="22"/>
        </w:rPr>
        <w:t>“La</w:t>
      </w:r>
      <w:r>
        <w:rPr>
          <w:rFonts w:ascii="Arial" w:hAnsi="Arial"/>
          <w:i/>
          <w:spacing w:val="-14"/>
          <w:sz w:val="22"/>
        </w:rPr>
        <w:t> </w:t>
      </w:r>
      <w:r>
        <w:rPr>
          <w:rFonts w:ascii="Arial" w:hAnsi="Arial"/>
          <w:i/>
          <w:sz w:val="22"/>
        </w:rPr>
        <w:t>medida</w:t>
      </w:r>
      <w:r>
        <w:rPr>
          <w:rFonts w:ascii="Arial" w:hAnsi="Arial"/>
          <w:i/>
          <w:spacing w:val="-14"/>
          <w:sz w:val="22"/>
        </w:rPr>
        <w:t> </w:t>
      </w:r>
      <w:r>
        <w:rPr>
          <w:rFonts w:ascii="Arial" w:hAnsi="Arial"/>
          <w:i/>
          <w:sz w:val="22"/>
        </w:rPr>
        <w:t>contenida</w:t>
      </w:r>
      <w:r>
        <w:rPr>
          <w:rFonts w:ascii="Arial" w:hAnsi="Arial"/>
          <w:i/>
          <w:spacing w:val="-14"/>
          <w:sz w:val="22"/>
        </w:rPr>
        <w:t> </w:t>
      </w:r>
      <w:r>
        <w:rPr>
          <w:rFonts w:ascii="Arial" w:hAnsi="Arial"/>
          <w:i/>
          <w:sz w:val="22"/>
        </w:rPr>
        <w:t>en</w:t>
      </w:r>
      <w:r>
        <w:rPr>
          <w:rFonts w:ascii="Arial" w:hAnsi="Arial"/>
          <w:i/>
          <w:spacing w:val="-16"/>
          <w:sz w:val="22"/>
        </w:rPr>
        <w:t> </w:t>
      </w:r>
      <w:r>
        <w:rPr>
          <w:rFonts w:ascii="Arial" w:hAnsi="Arial"/>
          <w:i/>
          <w:sz w:val="22"/>
        </w:rPr>
        <w:t>el</w:t>
      </w:r>
      <w:r>
        <w:rPr>
          <w:rFonts w:ascii="Arial" w:hAnsi="Arial"/>
          <w:i/>
          <w:spacing w:val="-11"/>
          <w:sz w:val="22"/>
        </w:rPr>
        <w:t> </w:t>
      </w:r>
      <w:r>
        <w:rPr>
          <w:rFonts w:ascii="Arial" w:hAnsi="Arial"/>
          <w:i/>
          <w:sz w:val="22"/>
        </w:rPr>
        <w:t>artículo</w:t>
      </w:r>
      <w:r>
        <w:rPr>
          <w:rFonts w:ascii="Arial" w:hAnsi="Arial"/>
          <w:i/>
          <w:spacing w:val="-14"/>
          <w:sz w:val="22"/>
        </w:rPr>
        <w:t> </w:t>
      </w:r>
      <w:r>
        <w:rPr>
          <w:rFonts w:ascii="Arial" w:hAnsi="Arial"/>
          <w:i/>
          <w:sz w:val="22"/>
        </w:rPr>
        <w:t>3</w:t>
      </w:r>
      <w:r>
        <w:rPr>
          <w:rFonts w:ascii="Arial" w:hAnsi="Arial"/>
          <w:i/>
          <w:spacing w:val="-14"/>
          <w:sz w:val="22"/>
        </w:rPr>
        <w:t> </w:t>
      </w:r>
      <w:r>
        <w:rPr>
          <w:rFonts w:ascii="Arial" w:hAnsi="Arial"/>
          <w:i/>
          <w:sz w:val="22"/>
        </w:rPr>
        <w:t>del</w:t>
      </w:r>
      <w:r>
        <w:rPr>
          <w:rFonts w:ascii="Arial" w:hAnsi="Arial"/>
          <w:i/>
          <w:spacing w:val="-12"/>
          <w:sz w:val="22"/>
        </w:rPr>
        <w:t> </w:t>
      </w:r>
      <w:r>
        <w:rPr>
          <w:rFonts w:ascii="Arial" w:hAnsi="Arial"/>
          <w:i/>
          <w:sz w:val="22"/>
        </w:rPr>
        <w:t>Decreto</w:t>
      </w:r>
      <w:r>
        <w:rPr>
          <w:rFonts w:ascii="Arial" w:hAnsi="Arial"/>
          <w:i/>
          <w:spacing w:val="-13"/>
          <w:sz w:val="22"/>
        </w:rPr>
        <w:t> </w:t>
      </w:r>
      <w:r>
        <w:rPr>
          <w:rFonts w:ascii="Arial" w:hAnsi="Arial"/>
          <w:i/>
          <w:sz w:val="22"/>
        </w:rPr>
        <w:t>170</w:t>
      </w:r>
      <w:r>
        <w:rPr>
          <w:rFonts w:ascii="Arial" w:hAnsi="Arial"/>
          <w:i/>
          <w:spacing w:val="-12"/>
          <w:sz w:val="22"/>
        </w:rPr>
        <w:t> </w:t>
      </w:r>
      <w:r>
        <w:rPr>
          <w:rFonts w:ascii="Arial" w:hAnsi="Arial"/>
          <w:i/>
          <w:sz w:val="22"/>
        </w:rPr>
        <w:t>de</w:t>
      </w:r>
      <w:r>
        <w:rPr>
          <w:rFonts w:ascii="Arial" w:hAnsi="Arial"/>
          <w:i/>
          <w:spacing w:val="-14"/>
          <w:sz w:val="22"/>
        </w:rPr>
        <w:t> </w:t>
      </w:r>
      <w:r>
        <w:rPr>
          <w:rFonts w:ascii="Arial" w:hAnsi="Arial"/>
          <w:i/>
          <w:sz w:val="22"/>
        </w:rPr>
        <w:t>2026</w:t>
      </w:r>
      <w:r>
        <w:rPr>
          <w:rFonts w:ascii="Arial" w:hAnsi="Arial"/>
          <w:i/>
          <w:spacing w:val="-14"/>
          <w:sz w:val="22"/>
        </w:rPr>
        <w:t> </w:t>
      </w:r>
      <w:r>
        <w:rPr>
          <w:rFonts w:ascii="Arial" w:hAnsi="Arial"/>
          <w:i/>
          <w:sz w:val="22"/>
        </w:rPr>
        <w:t>atiende</w:t>
      </w:r>
      <w:r>
        <w:rPr>
          <w:rFonts w:ascii="Arial" w:hAnsi="Arial"/>
          <w:i/>
          <w:spacing w:val="-11"/>
          <w:sz w:val="22"/>
        </w:rPr>
        <w:t> </w:t>
      </w:r>
      <w:r>
        <w:rPr>
          <w:rFonts w:ascii="Arial" w:hAnsi="Arial"/>
          <w:i/>
          <w:sz w:val="22"/>
        </w:rPr>
        <w:t>preocupaciones de política pública legítimas y se encuentra justificada bajo el artículo 73 del AC por perseguir simultáneamente los objetivos legítimos de (i) protección de la moralidad pública (ii) aplicación de leyes y reglamentos de seguridad y (iii) protección de la vida y la salud de las personas, cumpliendo con los requisitos de idoneidad, necesidad, proporcionalidad y exigencia de no discriminación.</w:t>
      </w:r>
      <w:r>
        <w:rPr>
          <w:sz w:val="22"/>
        </w:rPr>
        <w:t>”</w:t>
      </w:r>
      <w:hyperlink w:history="true" w:anchor="_bookmark194">
        <w:r>
          <w:rPr>
            <w:sz w:val="22"/>
            <w:vertAlign w:val="superscript"/>
          </w:rPr>
          <w:t>127</w:t>
        </w:r>
      </w:hyperlink>
    </w:p>
    <w:p>
      <w:pPr>
        <w:pStyle w:val="BodyText"/>
      </w:pPr>
    </w:p>
    <w:p>
      <w:pPr>
        <w:pStyle w:val="ListParagraph"/>
        <w:numPr>
          <w:ilvl w:val="0"/>
          <w:numId w:val="50"/>
        </w:numPr>
        <w:tabs>
          <w:tab w:pos="1130" w:val="left" w:leader="none"/>
          <w:tab w:pos="1134" w:val="left" w:leader="none"/>
        </w:tabs>
        <w:spacing w:line="240" w:lineRule="auto" w:before="1" w:after="0"/>
        <w:ind w:left="1134" w:right="979" w:hanging="567"/>
        <w:jc w:val="both"/>
        <w:rPr>
          <w:sz w:val="22"/>
        </w:rPr>
      </w:pPr>
      <w:r>
        <w:rPr>
          <w:sz w:val="22"/>
        </w:rPr>
        <w:t>Como se analizó en su momento, si bien la medida aplicada por la República de Colombia se enmarca en una excepción contemplada en el artículo 73 del Acuerdo de Cartagena, dicha medida no puede ser discriminatoria.</w:t>
      </w:r>
    </w:p>
    <w:p>
      <w:pPr>
        <w:pStyle w:val="ListParagraph"/>
        <w:numPr>
          <w:ilvl w:val="0"/>
          <w:numId w:val="50"/>
        </w:numPr>
        <w:tabs>
          <w:tab w:pos="1130" w:val="left" w:leader="none"/>
          <w:tab w:pos="1134" w:val="left" w:leader="none"/>
        </w:tabs>
        <w:spacing w:line="240" w:lineRule="auto" w:before="251" w:after="0"/>
        <w:ind w:left="1134" w:right="980" w:hanging="567"/>
        <w:jc w:val="both"/>
        <w:rPr>
          <w:sz w:val="22"/>
        </w:rPr>
      </w:pPr>
      <w:r>
        <w:rPr>
          <w:sz w:val="22"/>
        </w:rPr>
        <w:t>Además, se confirmó que las importaciones correspondientes a dichas subpartidas arancelarias</w:t>
      </w:r>
      <w:r>
        <w:rPr>
          <w:spacing w:val="-8"/>
          <w:sz w:val="22"/>
        </w:rPr>
        <w:t> </w:t>
      </w:r>
      <w:r>
        <w:rPr>
          <w:sz w:val="22"/>
        </w:rPr>
        <w:t>ya</w:t>
      </w:r>
      <w:r>
        <w:rPr>
          <w:spacing w:val="-11"/>
          <w:sz w:val="22"/>
        </w:rPr>
        <w:t> </w:t>
      </w:r>
      <w:r>
        <w:rPr>
          <w:sz w:val="22"/>
        </w:rPr>
        <w:t>se</w:t>
      </w:r>
      <w:r>
        <w:rPr>
          <w:spacing w:val="-9"/>
          <w:sz w:val="22"/>
        </w:rPr>
        <w:t> </w:t>
      </w:r>
      <w:r>
        <w:rPr>
          <w:sz w:val="22"/>
        </w:rPr>
        <w:t>encuentran</w:t>
      </w:r>
      <w:r>
        <w:rPr>
          <w:spacing w:val="-12"/>
          <w:sz w:val="22"/>
        </w:rPr>
        <w:t> </w:t>
      </w:r>
      <w:r>
        <w:rPr>
          <w:sz w:val="22"/>
        </w:rPr>
        <w:t>sujetas</w:t>
      </w:r>
      <w:r>
        <w:rPr>
          <w:spacing w:val="-11"/>
          <w:sz w:val="22"/>
        </w:rPr>
        <w:t> </w:t>
      </w:r>
      <w:r>
        <w:rPr>
          <w:sz w:val="22"/>
        </w:rPr>
        <w:t>a</w:t>
      </w:r>
      <w:r>
        <w:rPr>
          <w:spacing w:val="-11"/>
          <w:sz w:val="22"/>
        </w:rPr>
        <w:t> </w:t>
      </w:r>
      <w:r>
        <w:rPr>
          <w:sz w:val="22"/>
        </w:rPr>
        <w:t>medidas</w:t>
      </w:r>
      <w:r>
        <w:rPr>
          <w:spacing w:val="-11"/>
          <w:sz w:val="22"/>
        </w:rPr>
        <w:t> </w:t>
      </w:r>
      <w:r>
        <w:rPr>
          <w:sz w:val="22"/>
        </w:rPr>
        <w:t>de</w:t>
      </w:r>
      <w:r>
        <w:rPr>
          <w:spacing w:val="-9"/>
          <w:sz w:val="22"/>
        </w:rPr>
        <w:t> </w:t>
      </w:r>
      <w:r>
        <w:rPr>
          <w:sz w:val="22"/>
        </w:rPr>
        <w:t>control</w:t>
      </w:r>
      <w:r>
        <w:rPr>
          <w:spacing w:val="-10"/>
          <w:sz w:val="22"/>
        </w:rPr>
        <w:t> </w:t>
      </w:r>
      <w:r>
        <w:rPr>
          <w:sz w:val="22"/>
        </w:rPr>
        <w:t>suficientes,</w:t>
      </w:r>
      <w:r>
        <w:rPr>
          <w:spacing w:val="-10"/>
          <w:sz w:val="22"/>
        </w:rPr>
        <w:t> </w:t>
      </w:r>
      <w:r>
        <w:rPr>
          <w:sz w:val="22"/>
        </w:rPr>
        <w:t>en</w:t>
      </w:r>
      <w:r>
        <w:rPr>
          <w:spacing w:val="-12"/>
          <w:sz w:val="22"/>
        </w:rPr>
        <w:t> </w:t>
      </w:r>
      <w:r>
        <w:rPr>
          <w:sz w:val="22"/>
        </w:rPr>
        <w:t>la</w:t>
      </w:r>
      <w:r>
        <w:rPr>
          <w:spacing w:val="-9"/>
          <w:sz w:val="22"/>
        </w:rPr>
        <w:t> </w:t>
      </w:r>
      <w:r>
        <w:rPr>
          <w:sz w:val="22"/>
        </w:rPr>
        <w:t>medida</w:t>
      </w:r>
      <w:r>
        <w:rPr>
          <w:spacing w:val="-9"/>
          <w:sz w:val="22"/>
        </w:rPr>
        <w:t> </w:t>
      </w:r>
      <w:r>
        <w:rPr>
          <w:sz w:val="22"/>
        </w:rPr>
        <w:t>en que</w:t>
      </w:r>
      <w:r>
        <w:rPr>
          <w:spacing w:val="-16"/>
          <w:sz w:val="22"/>
        </w:rPr>
        <w:t> </w:t>
      </w:r>
      <w:r>
        <w:rPr>
          <w:sz w:val="22"/>
        </w:rPr>
        <w:t>requieren</w:t>
      </w:r>
      <w:r>
        <w:rPr>
          <w:spacing w:val="-15"/>
          <w:sz w:val="22"/>
        </w:rPr>
        <w:t> </w:t>
      </w:r>
      <w:r>
        <w:rPr>
          <w:sz w:val="22"/>
        </w:rPr>
        <w:t>el</w:t>
      </w:r>
      <w:r>
        <w:rPr>
          <w:spacing w:val="-15"/>
          <w:sz w:val="22"/>
        </w:rPr>
        <w:t> </w:t>
      </w:r>
      <w:r>
        <w:rPr>
          <w:sz w:val="22"/>
        </w:rPr>
        <w:t>cumplimiento</w:t>
      </w:r>
      <w:r>
        <w:rPr>
          <w:spacing w:val="-15"/>
          <w:sz w:val="22"/>
        </w:rPr>
        <w:t> </w:t>
      </w:r>
      <w:r>
        <w:rPr>
          <w:sz w:val="22"/>
        </w:rPr>
        <w:t>de</w:t>
      </w:r>
      <w:r>
        <w:rPr>
          <w:spacing w:val="-15"/>
          <w:sz w:val="22"/>
        </w:rPr>
        <w:t> </w:t>
      </w:r>
      <w:r>
        <w:rPr>
          <w:sz w:val="22"/>
        </w:rPr>
        <w:t>requisitos</w:t>
      </w:r>
      <w:r>
        <w:rPr>
          <w:spacing w:val="-13"/>
          <w:sz w:val="22"/>
        </w:rPr>
        <w:t> </w:t>
      </w:r>
      <w:r>
        <w:rPr>
          <w:sz w:val="22"/>
        </w:rPr>
        <w:t>previos</w:t>
      </w:r>
      <w:r>
        <w:rPr>
          <w:spacing w:val="-13"/>
          <w:sz w:val="22"/>
        </w:rPr>
        <w:t> </w:t>
      </w:r>
      <w:r>
        <w:rPr>
          <w:sz w:val="22"/>
        </w:rPr>
        <w:t>para</w:t>
      </w:r>
      <w:r>
        <w:rPr>
          <w:spacing w:val="-16"/>
          <w:sz w:val="22"/>
        </w:rPr>
        <w:t> </w:t>
      </w:r>
      <w:r>
        <w:rPr>
          <w:sz w:val="22"/>
        </w:rPr>
        <w:t>su</w:t>
      </w:r>
      <w:r>
        <w:rPr>
          <w:spacing w:val="-14"/>
          <w:sz w:val="22"/>
        </w:rPr>
        <w:t> </w:t>
      </w:r>
      <w:r>
        <w:rPr>
          <w:sz w:val="22"/>
        </w:rPr>
        <w:t>ingreso</w:t>
      </w:r>
      <w:r>
        <w:rPr>
          <w:spacing w:val="-16"/>
          <w:sz w:val="22"/>
        </w:rPr>
        <w:t> </w:t>
      </w:r>
      <w:r>
        <w:rPr>
          <w:sz w:val="22"/>
        </w:rPr>
        <w:t>al</w:t>
      </w:r>
      <w:r>
        <w:rPr>
          <w:spacing w:val="-15"/>
          <w:sz w:val="22"/>
        </w:rPr>
        <w:t> </w:t>
      </w:r>
      <w:r>
        <w:rPr>
          <w:sz w:val="22"/>
        </w:rPr>
        <w:t>territorio</w:t>
      </w:r>
      <w:r>
        <w:rPr>
          <w:spacing w:val="-14"/>
          <w:sz w:val="22"/>
        </w:rPr>
        <w:t> </w:t>
      </w:r>
      <w:r>
        <w:rPr>
          <w:sz w:val="22"/>
        </w:rPr>
        <w:t>nacional. No obstante, la República de Colombia no ha presentado un análisis técnico o fáctico que permita acreditar la existencia de una problemática concreta en las importaciones realizadas a través de dichas subpartidas, ni que demuestre que la canalización específica de las importaciones originarias de la República del Ecuador constituya la medida adecuada, necesaria o proporcional para atender dicha problemática.</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7" w:hanging="567"/>
        <w:jc w:val="both"/>
        <w:rPr>
          <w:sz w:val="22"/>
        </w:rPr>
      </w:pPr>
      <w:r>
        <w:rPr>
          <w:sz w:val="22"/>
        </w:rPr>
        <w:t>Por último, se debe señalar que la sola invocación de las excepciones previstas en el artículo 73 del Acuerdo de Cartagena no constituye, por sí sola, condición suficiente para</w:t>
      </w:r>
      <w:r>
        <w:rPr>
          <w:spacing w:val="-7"/>
          <w:sz w:val="22"/>
        </w:rPr>
        <w:t> </w:t>
      </w:r>
      <w:r>
        <w:rPr>
          <w:sz w:val="22"/>
        </w:rPr>
        <w:t>justificar</w:t>
      </w:r>
      <w:r>
        <w:rPr>
          <w:spacing w:val="-6"/>
          <w:sz w:val="22"/>
        </w:rPr>
        <w:t> </w:t>
      </w:r>
      <w:r>
        <w:rPr>
          <w:sz w:val="22"/>
        </w:rPr>
        <w:t>la</w:t>
      </w:r>
      <w:r>
        <w:rPr>
          <w:spacing w:val="-7"/>
          <w:sz w:val="22"/>
        </w:rPr>
        <w:t> </w:t>
      </w:r>
      <w:r>
        <w:rPr>
          <w:sz w:val="22"/>
        </w:rPr>
        <w:t>adopción</w:t>
      </w:r>
      <w:r>
        <w:rPr>
          <w:spacing w:val="-7"/>
          <w:sz w:val="22"/>
        </w:rPr>
        <w:t> </w:t>
      </w:r>
      <w:r>
        <w:rPr>
          <w:sz w:val="22"/>
        </w:rPr>
        <w:t>de</w:t>
      </w:r>
      <w:r>
        <w:rPr>
          <w:spacing w:val="-8"/>
          <w:sz w:val="22"/>
        </w:rPr>
        <w:t> </w:t>
      </w:r>
      <w:r>
        <w:rPr>
          <w:sz w:val="22"/>
        </w:rPr>
        <w:t>una</w:t>
      </w:r>
      <w:r>
        <w:rPr>
          <w:spacing w:val="-10"/>
          <w:sz w:val="22"/>
        </w:rPr>
        <w:t> </w:t>
      </w:r>
      <w:r>
        <w:rPr>
          <w:sz w:val="22"/>
        </w:rPr>
        <w:t>medida</w:t>
      </w:r>
      <w:r>
        <w:rPr>
          <w:spacing w:val="-8"/>
          <w:sz w:val="22"/>
        </w:rPr>
        <w:t> </w:t>
      </w:r>
      <w:r>
        <w:rPr>
          <w:sz w:val="22"/>
        </w:rPr>
        <w:t>de</w:t>
      </w:r>
      <w:r>
        <w:rPr>
          <w:spacing w:val="-8"/>
          <w:sz w:val="22"/>
        </w:rPr>
        <w:t> </w:t>
      </w:r>
      <w:r>
        <w:rPr>
          <w:sz w:val="22"/>
        </w:rPr>
        <w:t>excepción,</w:t>
      </w:r>
      <w:r>
        <w:rPr>
          <w:spacing w:val="-6"/>
          <w:sz w:val="22"/>
        </w:rPr>
        <w:t> </w:t>
      </w:r>
      <w:r>
        <w:rPr>
          <w:sz w:val="22"/>
        </w:rPr>
        <w:t>sino</w:t>
      </w:r>
      <w:r>
        <w:rPr>
          <w:spacing w:val="-8"/>
          <w:sz w:val="22"/>
        </w:rPr>
        <w:t> </w:t>
      </w:r>
      <w:r>
        <w:rPr>
          <w:sz w:val="22"/>
        </w:rPr>
        <w:t>que</w:t>
      </w:r>
      <w:r>
        <w:rPr>
          <w:spacing w:val="-7"/>
          <w:sz w:val="22"/>
        </w:rPr>
        <w:t> </w:t>
      </w:r>
      <w:r>
        <w:rPr>
          <w:sz w:val="22"/>
        </w:rPr>
        <w:t>dicha</w:t>
      </w:r>
      <w:r>
        <w:rPr>
          <w:spacing w:val="-8"/>
          <w:sz w:val="22"/>
        </w:rPr>
        <w:t> </w:t>
      </w:r>
      <w:r>
        <w:rPr>
          <w:sz w:val="22"/>
        </w:rPr>
        <w:t>invocación</w:t>
      </w:r>
      <w:r>
        <w:rPr>
          <w:spacing w:val="-8"/>
          <w:sz w:val="22"/>
        </w:rPr>
        <w:t> </w:t>
      </w:r>
      <w:r>
        <w:rPr>
          <w:sz w:val="22"/>
        </w:rPr>
        <w:t>debe encontrarse</w:t>
      </w:r>
      <w:r>
        <w:rPr>
          <w:spacing w:val="-16"/>
          <w:sz w:val="22"/>
        </w:rPr>
        <w:t> </w:t>
      </w:r>
      <w:r>
        <w:rPr>
          <w:sz w:val="22"/>
        </w:rPr>
        <w:t>debidamente</w:t>
      </w:r>
      <w:r>
        <w:rPr>
          <w:spacing w:val="-15"/>
          <w:sz w:val="22"/>
        </w:rPr>
        <w:t> </w:t>
      </w:r>
      <w:r>
        <w:rPr>
          <w:sz w:val="22"/>
        </w:rPr>
        <w:t>sustentada</w:t>
      </w:r>
      <w:r>
        <w:rPr>
          <w:spacing w:val="-15"/>
          <w:sz w:val="22"/>
        </w:rPr>
        <w:t> </w:t>
      </w:r>
      <w:r>
        <w:rPr>
          <w:sz w:val="22"/>
        </w:rPr>
        <w:t>en</w:t>
      </w:r>
      <w:r>
        <w:rPr>
          <w:spacing w:val="-16"/>
          <w:sz w:val="22"/>
        </w:rPr>
        <w:t> </w:t>
      </w:r>
      <w:r>
        <w:rPr>
          <w:sz w:val="22"/>
        </w:rPr>
        <w:t>información</w:t>
      </w:r>
      <w:r>
        <w:rPr>
          <w:spacing w:val="-15"/>
          <w:sz w:val="22"/>
        </w:rPr>
        <w:t> </w:t>
      </w:r>
      <w:r>
        <w:rPr>
          <w:sz w:val="22"/>
        </w:rPr>
        <w:t>objetiva,</w:t>
      </w:r>
      <w:r>
        <w:rPr>
          <w:spacing w:val="-15"/>
          <w:sz w:val="22"/>
        </w:rPr>
        <w:t> </w:t>
      </w:r>
      <w:r>
        <w:rPr>
          <w:sz w:val="22"/>
        </w:rPr>
        <w:t>verificable</w:t>
      </w:r>
      <w:r>
        <w:rPr>
          <w:spacing w:val="-15"/>
          <w:sz w:val="22"/>
        </w:rPr>
        <w:t> </w:t>
      </w:r>
      <w:r>
        <w:rPr>
          <w:sz w:val="22"/>
        </w:rPr>
        <w:t>y</w:t>
      </w:r>
      <w:r>
        <w:rPr>
          <w:spacing w:val="-16"/>
          <w:sz w:val="22"/>
        </w:rPr>
        <w:t> </w:t>
      </w:r>
      <w:r>
        <w:rPr>
          <w:sz w:val="22"/>
        </w:rPr>
        <w:t>técnicamente fundamentada,</w:t>
      </w:r>
      <w:r>
        <w:rPr>
          <w:spacing w:val="-2"/>
          <w:sz w:val="22"/>
        </w:rPr>
        <w:t> </w:t>
      </w:r>
      <w:r>
        <w:rPr>
          <w:sz w:val="22"/>
        </w:rPr>
        <w:t>conforme</w:t>
      </w:r>
      <w:r>
        <w:rPr>
          <w:spacing w:val="-3"/>
          <w:sz w:val="22"/>
        </w:rPr>
        <w:t> </w:t>
      </w:r>
      <w:r>
        <w:rPr>
          <w:sz w:val="22"/>
        </w:rPr>
        <w:t>a la interpretación</w:t>
      </w:r>
      <w:r>
        <w:rPr>
          <w:spacing w:val="-1"/>
          <w:sz w:val="22"/>
        </w:rPr>
        <w:t> </w:t>
      </w:r>
      <w:r>
        <w:rPr>
          <w:sz w:val="22"/>
        </w:rPr>
        <w:t>restrictiva establecida</w:t>
      </w:r>
      <w:r>
        <w:rPr>
          <w:spacing w:val="-1"/>
          <w:sz w:val="22"/>
        </w:rPr>
        <w:t> </w:t>
      </w:r>
      <w:r>
        <w:rPr>
          <w:sz w:val="22"/>
        </w:rPr>
        <w:t>por</w:t>
      </w:r>
      <w:r>
        <w:rPr>
          <w:spacing w:val="-2"/>
          <w:sz w:val="22"/>
        </w:rPr>
        <w:t> </w:t>
      </w:r>
      <w:r>
        <w:rPr>
          <w:sz w:val="22"/>
        </w:rPr>
        <w:t>la jurisprudencia del TJCAN.</w:t>
      </w:r>
    </w:p>
    <w:p>
      <w:pPr>
        <w:pStyle w:val="BodyText"/>
      </w:pPr>
    </w:p>
    <w:p>
      <w:pPr>
        <w:pStyle w:val="ListParagraph"/>
        <w:numPr>
          <w:ilvl w:val="0"/>
          <w:numId w:val="50"/>
        </w:numPr>
        <w:tabs>
          <w:tab w:pos="1130" w:val="left" w:leader="none"/>
          <w:tab w:pos="1134" w:val="left" w:leader="none"/>
        </w:tabs>
        <w:spacing w:line="240" w:lineRule="auto" w:before="1" w:after="0"/>
        <w:ind w:left="1134" w:right="979" w:hanging="567"/>
        <w:jc w:val="both"/>
        <w:rPr>
          <w:sz w:val="22"/>
        </w:rPr>
      </w:pPr>
      <w:r>
        <w:rPr>
          <w:sz w:val="22"/>
        </w:rPr>
        <w:t>Asimismo, el hecho de que la medida se aplique de manera exclusiva a las importaciones</w:t>
      </w:r>
      <w:r>
        <w:rPr>
          <w:spacing w:val="-5"/>
          <w:sz w:val="22"/>
        </w:rPr>
        <w:t> </w:t>
      </w:r>
      <w:r>
        <w:rPr>
          <w:sz w:val="22"/>
        </w:rPr>
        <w:t>provenientes</w:t>
      </w:r>
      <w:r>
        <w:rPr>
          <w:spacing w:val="-5"/>
          <w:sz w:val="22"/>
        </w:rPr>
        <w:t> </w:t>
      </w:r>
      <w:r>
        <w:rPr>
          <w:sz w:val="22"/>
        </w:rPr>
        <w:t>de</w:t>
      </w:r>
      <w:r>
        <w:rPr>
          <w:spacing w:val="-3"/>
          <w:sz w:val="22"/>
        </w:rPr>
        <w:t> </w:t>
      </w:r>
      <w:r>
        <w:rPr>
          <w:sz w:val="22"/>
        </w:rPr>
        <w:t>la</w:t>
      </w:r>
      <w:r>
        <w:rPr>
          <w:spacing w:val="-5"/>
          <w:sz w:val="22"/>
        </w:rPr>
        <w:t> </w:t>
      </w:r>
      <w:r>
        <w:rPr>
          <w:sz w:val="22"/>
        </w:rPr>
        <w:t>República</w:t>
      </w:r>
      <w:r>
        <w:rPr>
          <w:spacing w:val="-3"/>
          <w:sz w:val="22"/>
        </w:rPr>
        <w:t> </w:t>
      </w:r>
      <w:r>
        <w:rPr>
          <w:sz w:val="22"/>
        </w:rPr>
        <w:t>del</w:t>
      </w:r>
      <w:r>
        <w:rPr>
          <w:spacing w:val="-3"/>
          <w:sz w:val="22"/>
        </w:rPr>
        <w:t> </w:t>
      </w:r>
      <w:r>
        <w:rPr>
          <w:sz w:val="22"/>
        </w:rPr>
        <w:t>Ecuador</w:t>
      </w:r>
      <w:r>
        <w:rPr>
          <w:spacing w:val="-2"/>
          <w:sz w:val="22"/>
        </w:rPr>
        <w:t> </w:t>
      </w:r>
      <w:r>
        <w:rPr>
          <w:sz w:val="22"/>
        </w:rPr>
        <w:t>la</w:t>
      </w:r>
      <w:r>
        <w:rPr>
          <w:spacing w:val="-5"/>
          <w:sz w:val="22"/>
        </w:rPr>
        <w:t> </w:t>
      </w:r>
      <w:r>
        <w:rPr>
          <w:sz w:val="22"/>
        </w:rPr>
        <w:t>configura</w:t>
      </w:r>
      <w:r>
        <w:rPr>
          <w:spacing w:val="-5"/>
          <w:sz w:val="22"/>
        </w:rPr>
        <w:t> </w:t>
      </w:r>
      <w:r>
        <w:rPr>
          <w:sz w:val="22"/>
        </w:rPr>
        <w:t>como</w:t>
      </w:r>
      <w:r>
        <w:rPr>
          <w:spacing w:val="-3"/>
          <w:sz w:val="22"/>
        </w:rPr>
        <w:t> </w:t>
      </w:r>
      <w:r>
        <w:rPr>
          <w:sz w:val="22"/>
        </w:rPr>
        <w:t>una</w:t>
      </w:r>
      <w:r>
        <w:rPr>
          <w:spacing w:val="-5"/>
          <w:sz w:val="22"/>
        </w:rPr>
        <w:t> </w:t>
      </w:r>
      <w:r>
        <w:rPr>
          <w:sz w:val="22"/>
        </w:rPr>
        <w:t>medida de</w:t>
      </w:r>
      <w:r>
        <w:rPr>
          <w:spacing w:val="-16"/>
          <w:sz w:val="22"/>
        </w:rPr>
        <w:t> </w:t>
      </w:r>
      <w:r>
        <w:rPr>
          <w:sz w:val="22"/>
        </w:rPr>
        <w:t>carácter</w:t>
      </w:r>
      <w:r>
        <w:rPr>
          <w:spacing w:val="-15"/>
          <w:sz w:val="22"/>
        </w:rPr>
        <w:t> </w:t>
      </w:r>
      <w:r>
        <w:rPr>
          <w:sz w:val="22"/>
        </w:rPr>
        <w:t>discriminatorio</w:t>
      </w:r>
      <w:r>
        <w:rPr>
          <w:spacing w:val="-15"/>
          <w:sz w:val="22"/>
        </w:rPr>
        <w:t> </w:t>
      </w:r>
      <w:r>
        <w:rPr>
          <w:sz w:val="22"/>
        </w:rPr>
        <w:t>y,</w:t>
      </w:r>
      <w:r>
        <w:rPr>
          <w:spacing w:val="-16"/>
          <w:sz w:val="22"/>
        </w:rPr>
        <w:t> </w:t>
      </w:r>
      <w:r>
        <w:rPr>
          <w:sz w:val="22"/>
        </w:rPr>
        <w:t>por</w:t>
      </w:r>
      <w:r>
        <w:rPr>
          <w:spacing w:val="-15"/>
          <w:sz w:val="22"/>
        </w:rPr>
        <w:t> </w:t>
      </w:r>
      <w:r>
        <w:rPr>
          <w:sz w:val="22"/>
        </w:rPr>
        <w:t>ende,</w:t>
      </w:r>
      <w:r>
        <w:rPr>
          <w:spacing w:val="-15"/>
          <w:sz w:val="22"/>
        </w:rPr>
        <w:t> </w:t>
      </w:r>
      <w:r>
        <w:rPr>
          <w:sz w:val="22"/>
        </w:rPr>
        <w:t>como</w:t>
      </w:r>
      <w:r>
        <w:rPr>
          <w:spacing w:val="-15"/>
          <w:sz w:val="22"/>
        </w:rPr>
        <w:t> </w:t>
      </w:r>
      <w:r>
        <w:rPr>
          <w:sz w:val="22"/>
        </w:rPr>
        <w:t>una</w:t>
      </w:r>
      <w:r>
        <w:rPr>
          <w:spacing w:val="-16"/>
          <w:sz w:val="22"/>
        </w:rPr>
        <w:t> </w:t>
      </w:r>
      <w:r>
        <w:rPr>
          <w:sz w:val="22"/>
        </w:rPr>
        <w:t>restricción</w:t>
      </w:r>
      <w:r>
        <w:rPr>
          <w:spacing w:val="-15"/>
          <w:sz w:val="22"/>
        </w:rPr>
        <w:t> </w:t>
      </w:r>
      <w:r>
        <w:rPr>
          <w:sz w:val="22"/>
        </w:rPr>
        <w:t>de</w:t>
      </w:r>
      <w:r>
        <w:rPr>
          <w:spacing w:val="-15"/>
          <w:sz w:val="22"/>
        </w:rPr>
        <w:t> </w:t>
      </w:r>
      <w:r>
        <w:rPr>
          <w:sz w:val="22"/>
        </w:rPr>
        <w:t>todo</w:t>
      </w:r>
      <w:r>
        <w:rPr>
          <w:spacing w:val="-16"/>
          <w:sz w:val="22"/>
        </w:rPr>
        <w:t> </w:t>
      </w:r>
      <w:r>
        <w:rPr>
          <w:sz w:val="22"/>
        </w:rPr>
        <w:t>orden,</w:t>
      </w:r>
      <w:r>
        <w:rPr>
          <w:spacing w:val="-15"/>
          <w:sz w:val="22"/>
        </w:rPr>
        <w:t> </w:t>
      </w:r>
      <w:r>
        <w:rPr>
          <w:sz w:val="22"/>
        </w:rPr>
        <w:t>incompatible con</w:t>
      </w:r>
      <w:r>
        <w:rPr>
          <w:spacing w:val="-4"/>
          <w:sz w:val="22"/>
        </w:rPr>
        <w:t> </w:t>
      </w:r>
      <w:r>
        <w:rPr>
          <w:sz w:val="22"/>
        </w:rPr>
        <w:t>los</w:t>
      </w:r>
      <w:r>
        <w:rPr>
          <w:spacing w:val="-4"/>
          <w:sz w:val="22"/>
        </w:rPr>
        <w:t> </w:t>
      </w:r>
      <w:r>
        <w:rPr>
          <w:sz w:val="22"/>
        </w:rPr>
        <w:t>principios</w:t>
      </w:r>
      <w:r>
        <w:rPr>
          <w:spacing w:val="-4"/>
          <w:sz w:val="22"/>
        </w:rPr>
        <w:t> </w:t>
      </w:r>
      <w:r>
        <w:rPr>
          <w:sz w:val="22"/>
        </w:rPr>
        <w:t>de</w:t>
      </w:r>
      <w:r>
        <w:rPr>
          <w:spacing w:val="-4"/>
          <w:sz w:val="22"/>
        </w:rPr>
        <w:t> </w:t>
      </w:r>
      <w:r>
        <w:rPr>
          <w:sz w:val="22"/>
        </w:rPr>
        <w:t>no</w:t>
      </w:r>
      <w:r>
        <w:rPr>
          <w:spacing w:val="-4"/>
          <w:sz w:val="22"/>
        </w:rPr>
        <w:t> </w:t>
      </w:r>
      <w:r>
        <w:rPr>
          <w:sz w:val="22"/>
        </w:rPr>
        <w:t>discriminación</w:t>
      </w:r>
      <w:r>
        <w:rPr>
          <w:spacing w:val="-4"/>
          <w:sz w:val="22"/>
        </w:rPr>
        <w:t> </w:t>
      </w:r>
      <w:r>
        <w:rPr>
          <w:sz w:val="22"/>
        </w:rPr>
        <w:t>y</w:t>
      </w:r>
      <w:r>
        <w:rPr>
          <w:spacing w:val="-4"/>
          <w:sz w:val="22"/>
        </w:rPr>
        <w:t> </w:t>
      </w:r>
      <w:r>
        <w:rPr>
          <w:sz w:val="22"/>
        </w:rPr>
        <w:t>de</w:t>
      </w:r>
      <w:r>
        <w:rPr>
          <w:spacing w:val="-4"/>
          <w:sz w:val="22"/>
        </w:rPr>
        <w:t> </w:t>
      </w:r>
      <w:r>
        <w:rPr>
          <w:sz w:val="22"/>
        </w:rPr>
        <w:t>libre</w:t>
      </w:r>
      <w:r>
        <w:rPr>
          <w:spacing w:val="-4"/>
          <w:sz w:val="22"/>
        </w:rPr>
        <w:t> </w:t>
      </w:r>
      <w:r>
        <w:rPr>
          <w:sz w:val="22"/>
        </w:rPr>
        <w:t>circulación</w:t>
      </w:r>
      <w:r>
        <w:rPr>
          <w:spacing w:val="-4"/>
          <w:sz w:val="22"/>
        </w:rPr>
        <w:t> </w:t>
      </w:r>
      <w:r>
        <w:rPr>
          <w:sz w:val="22"/>
        </w:rPr>
        <w:t>de</w:t>
      </w:r>
      <w:r>
        <w:rPr>
          <w:spacing w:val="-4"/>
          <w:sz w:val="22"/>
        </w:rPr>
        <w:t> </w:t>
      </w:r>
      <w:r>
        <w:rPr>
          <w:sz w:val="22"/>
        </w:rPr>
        <w:t>mercancías</w:t>
      </w:r>
      <w:r>
        <w:rPr>
          <w:spacing w:val="-4"/>
          <w:sz w:val="22"/>
        </w:rPr>
        <w:t> </w:t>
      </w:r>
      <w:r>
        <w:rPr>
          <w:sz w:val="22"/>
        </w:rPr>
        <w:t>que</w:t>
      </w:r>
      <w:r>
        <w:rPr>
          <w:spacing w:val="-4"/>
          <w:sz w:val="22"/>
        </w:rPr>
        <w:t> </w:t>
      </w:r>
      <w:r>
        <w:rPr>
          <w:sz w:val="22"/>
        </w:rPr>
        <w:t>rigen</w:t>
      </w:r>
      <w:r>
        <w:rPr>
          <w:spacing w:val="-4"/>
          <w:sz w:val="22"/>
        </w:rPr>
        <w:t> </w:t>
      </w:r>
      <w:r>
        <w:rPr>
          <w:sz w:val="22"/>
        </w:rPr>
        <w:t>el comercio intracomunitario.</w:t>
      </w:r>
    </w:p>
    <w:p>
      <w:pPr>
        <w:pStyle w:val="Heading6"/>
        <w:numPr>
          <w:ilvl w:val="1"/>
          <w:numId w:val="61"/>
        </w:numPr>
        <w:tabs>
          <w:tab w:pos="1131" w:val="left" w:leader="none"/>
        </w:tabs>
        <w:spacing w:line="240" w:lineRule="auto" w:before="252" w:after="0"/>
        <w:ind w:left="1131" w:right="0" w:hanging="357"/>
        <w:jc w:val="left"/>
      </w:pPr>
      <w:r>
        <w:rPr/>
        <w:t>Sobre</w:t>
      </w:r>
      <w:r>
        <w:rPr>
          <w:spacing w:val="-2"/>
        </w:rPr>
        <w:t> </w:t>
      </w:r>
      <w:r>
        <w:rPr/>
        <w:t>el</w:t>
      </w:r>
      <w:r>
        <w:rPr>
          <w:spacing w:val="-4"/>
        </w:rPr>
        <w:t> </w:t>
      </w:r>
      <w:r>
        <w:rPr/>
        <w:t>Decreto</w:t>
      </w:r>
      <w:r>
        <w:rPr>
          <w:spacing w:val="-4"/>
        </w:rPr>
        <w:t> 0455</w:t>
      </w:r>
    </w:p>
    <w:p>
      <w:pPr>
        <w:pStyle w:val="BodyText"/>
        <w:rPr>
          <w:rFonts w:ascii="Arial"/>
          <w:b/>
        </w:rPr>
      </w:pPr>
    </w:p>
    <w:p>
      <w:pPr>
        <w:pStyle w:val="ListParagraph"/>
        <w:numPr>
          <w:ilvl w:val="0"/>
          <w:numId w:val="50"/>
        </w:numPr>
        <w:tabs>
          <w:tab w:pos="1130" w:val="left" w:leader="none"/>
          <w:tab w:pos="1134" w:val="left" w:leader="none"/>
        </w:tabs>
        <w:spacing w:line="240" w:lineRule="auto" w:before="1" w:after="0"/>
        <w:ind w:left="1134" w:right="980" w:hanging="567"/>
        <w:jc w:val="both"/>
        <w:rPr>
          <w:sz w:val="22"/>
        </w:rPr>
      </w:pPr>
      <w:r>
        <w:rPr>
          <w:sz w:val="22"/>
        </w:rPr>
        <w:t>El artículo 4 del Tratado de Creación del Tribunal de Justicia de la Comunidad Andina impone a los Países Miembros la obligación de adoptar las medidas necesarias para asegurar el cumplimiento del ordenamiento jurídico andino y de abstenerse de adoptar o emplear</w:t>
      </w:r>
      <w:r>
        <w:rPr>
          <w:spacing w:val="-2"/>
          <w:sz w:val="22"/>
        </w:rPr>
        <w:t> </w:t>
      </w:r>
      <w:r>
        <w:rPr>
          <w:sz w:val="22"/>
        </w:rPr>
        <w:t>medidas</w:t>
      </w:r>
      <w:r>
        <w:rPr>
          <w:spacing w:val="-3"/>
          <w:sz w:val="22"/>
        </w:rPr>
        <w:t> </w:t>
      </w:r>
      <w:r>
        <w:rPr>
          <w:sz w:val="22"/>
        </w:rPr>
        <w:t>contrarias a</w:t>
      </w:r>
      <w:r>
        <w:rPr>
          <w:spacing w:val="-3"/>
          <w:sz w:val="22"/>
        </w:rPr>
        <w:t> </w:t>
      </w:r>
      <w:r>
        <w:rPr>
          <w:sz w:val="22"/>
        </w:rPr>
        <w:t>dicho</w:t>
      </w:r>
      <w:r>
        <w:rPr>
          <w:spacing w:val="-3"/>
          <w:sz w:val="22"/>
        </w:rPr>
        <w:t> </w:t>
      </w:r>
      <w:r>
        <w:rPr>
          <w:sz w:val="22"/>
        </w:rPr>
        <w:t>ordenamiento o</w:t>
      </w:r>
      <w:r>
        <w:rPr>
          <w:spacing w:val="-3"/>
          <w:sz w:val="22"/>
        </w:rPr>
        <w:t> </w:t>
      </w:r>
      <w:r>
        <w:rPr>
          <w:sz w:val="22"/>
        </w:rPr>
        <w:t>que</w:t>
      </w:r>
      <w:r>
        <w:rPr>
          <w:spacing w:val="-3"/>
          <w:sz w:val="22"/>
        </w:rPr>
        <w:t> </w:t>
      </w:r>
      <w:r>
        <w:rPr>
          <w:sz w:val="22"/>
        </w:rPr>
        <w:t>de</w:t>
      </w:r>
      <w:r>
        <w:rPr>
          <w:spacing w:val="-3"/>
          <w:sz w:val="22"/>
        </w:rPr>
        <w:t> </w:t>
      </w:r>
      <w:r>
        <w:rPr>
          <w:sz w:val="22"/>
        </w:rPr>
        <w:t>algún</w:t>
      </w:r>
      <w:r>
        <w:rPr>
          <w:spacing w:val="-4"/>
          <w:sz w:val="22"/>
        </w:rPr>
        <w:t> </w:t>
      </w:r>
      <w:r>
        <w:rPr>
          <w:sz w:val="22"/>
        </w:rPr>
        <w:t>modo</w:t>
      </w:r>
      <w:r>
        <w:rPr>
          <w:spacing w:val="-3"/>
          <w:sz w:val="22"/>
        </w:rPr>
        <w:t> </w:t>
      </w:r>
      <w:r>
        <w:rPr>
          <w:sz w:val="22"/>
        </w:rPr>
        <w:t>obstaculicen su aplicación.</w:t>
      </w:r>
    </w:p>
    <w:p>
      <w:pPr>
        <w:pStyle w:val="ListParagraph"/>
        <w:numPr>
          <w:ilvl w:val="0"/>
          <w:numId w:val="50"/>
        </w:numPr>
        <w:tabs>
          <w:tab w:pos="1130" w:val="left" w:leader="none"/>
          <w:tab w:pos="1134" w:val="left" w:leader="none"/>
        </w:tabs>
        <w:spacing w:line="240" w:lineRule="auto" w:before="251" w:after="0"/>
        <w:ind w:left="1134" w:right="978" w:hanging="567"/>
        <w:jc w:val="both"/>
        <w:rPr>
          <w:sz w:val="22"/>
        </w:rPr>
      </w:pPr>
      <w:r>
        <w:rPr>
          <w:sz w:val="22"/>
        </w:rPr>
        <w:t>En</w:t>
      </w:r>
      <w:r>
        <w:rPr>
          <w:spacing w:val="-1"/>
          <w:sz w:val="22"/>
        </w:rPr>
        <w:t> </w:t>
      </w:r>
      <w:r>
        <w:rPr>
          <w:sz w:val="22"/>
        </w:rPr>
        <w:t>tal sentido, cuando este órgano comunitario califica una medida como gravamen incompatible con el </w:t>
      </w:r>
      <w:r>
        <w:rPr>
          <w:rFonts w:ascii="Arial" w:hAnsi="Arial"/>
          <w:i/>
          <w:sz w:val="22"/>
        </w:rPr>
        <w:t>Programa de Liberación</w:t>
      </w:r>
      <w:r>
        <w:rPr>
          <w:sz w:val="22"/>
        </w:rPr>
        <w:t>, la obligación de adecuación del País Miembro concernido, no se satisface únicamente con la derogación formal del acto específicamente examinado, sino que comprende también el deber de no mantener, sustituir,</w:t>
      </w:r>
      <w:r>
        <w:rPr>
          <w:spacing w:val="-8"/>
          <w:sz w:val="22"/>
        </w:rPr>
        <w:t> </w:t>
      </w:r>
      <w:r>
        <w:rPr>
          <w:sz w:val="22"/>
        </w:rPr>
        <w:t>reproducir</w:t>
      </w:r>
      <w:r>
        <w:rPr>
          <w:spacing w:val="-11"/>
          <w:sz w:val="22"/>
        </w:rPr>
        <w:t> </w:t>
      </w:r>
      <w:r>
        <w:rPr>
          <w:sz w:val="22"/>
        </w:rPr>
        <w:t>o</w:t>
      </w:r>
      <w:r>
        <w:rPr>
          <w:spacing w:val="-10"/>
          <w:sz w:val="22"/>
        </w:rPr>
        <w:t> </w:t>
      </w:r>
      <w:r>
        <w:rPr>
          <w:sz w:val="22"/>
        </w:rPr>
        <w:t>reintroducir,</w:t>
      </w:r>
      <w:r>
        <w:rPr>
          <w:spacing w:val="-11"/>
          <w:sz w:val="22"/>
        </w:rPr>
        <w:t> </w:t>
      </w:r>
      <w:r>
        <w:rPr>
          <w:sz w:val="22"/>
        </w:rPr>
        <w:t>mediante</w:t>
      </w:r>
      <w:r>
        <w:rPr>
          <w:spacing w:val="-10"/>
          <w:sz w:val="22"/>
        </w:rPr>
        <w:t> </w:t>
      </w:r>
      <w:r>
        <w:rPr>
          <w:sz w:val="22"/>
        </w:rPr>
        <w:t>actos</w:t>
      </w:r>
      <w:r>
        <w:rPr>
          <w:spacing w:val="-9"/>
          <w:sz w:val="22"/>
        </w:rPr>
        <w:t> </w:t>
      </w:r>
      <w:r>
        <w:rPr>
          <w:sz w:val="22"/>
        </w:rPr>
        <w:t>posteriores</w:t>
      </w:r>
      <w:r>
        <w:rPr>
          <w:spacing w:val="-9"/>
          <w:sz w:val="22"/>
        </w:rPr>
        <w:t> </w:t>
      </w:r>
      <w:r>
        <w:rPr>
          <w:sz w:val="22"/>
        </w:rPr>
        <w:t>una</w:t>
      </w:r>
      <w:r>
        <w:rPr>
          <w:spacing w:val="-12"/>
          <w:sz w:val="22"/>
        </w:rPr>
        <w:t> </w:t>
      </w:r>
      <w:r>
        <w:rPr>
          <w:sz w:val="22"/>
        </w:rPr>
        <w:t>medida</w:t>
      </w:r>
      <w:r>
        <w:rPr>
          <w:spacing w:val="-13"/>
          <w:sz w:val="22"/>
        </w:rPr>
        <w:t> </w:t>
      </w:r>
      <w:r>
        <w:rPr>
          <w:sz w:val="22"/>
        </w:rPr>
        <w:t>que</w:t>
      </w:r>
      <w:r>
        <w:rPr>
          <w:spacing w:val="-10"/>
          <w:sz w:val="22"/>
        </w:rPr>
        <w:t> </w:t>
      </w:r>
      <w:r>
        <w:rPr>
          <w:sz w:val="22"/>
        </w:rPr>
        <w:t>conserve los mismos elementos sustanciales y produzca los mismos efectos restrictivos o encarecedores sobre las importaciones originarias de otro País Miembro.</w:t>
      </w:r>
    </w:p>
    <w:p>
      <w:pPr>
        <w:pStyle w:val="BodyText"/>
        <w:spacing w:before="2"/>
        <w:rPr>
          <w:sz w:val="12"/>
        </w:rPr>
      </w:pPr>
      <w:r>
        <w:rPr>
          <w:sz w:val="12"/>
        </w:rPr>
        <mc:AlternateContent>
          <mc:Choice Requires="wps">
            <w:drawing>
              <wp:anchor distT="0" distB="0" distL="0" distR="0" allowOverlap="1" layoutInCell="1" locked="0" behindDoc="1" simplePos="0" relativeHeight="487672320">
                <wp:simplePos x="0" y="0"/>
                <wp:positionH relativeFrom="page">
                  <wp:posOffset>990904</wp:posOffset>
                </wp:positionH>
                <wp:positionV relativeFrom="paragraph">
                  <wp:posOffset>104531</wp:posOffset>
                </wp:positionV>
                <wp:extent cx="1829435" cy="7620"/>
                <wp:effectExtent l="0" t="0" r="0" b="0"/>
                <wp:wrapTopAndBottom/>
                <wp:docPr id="699" name="Graphic 699"/>
                <wp:cNvGraphicFramePr>
                  <a:graphicFrameLocks/>
                </wp:cNvGraphicFramePr>
                <a:graphic>
                  <a:graphicData uri="http://schemas.microsoft.com/office/word/2010/wordprocessingShape">
                    <wps:wsp>
                      <wps:cNvPr id="699" name="Graphic 699"/>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8.024002pt;margin-top:8.23082pt;width:144.020pt;height:.60004pt;mso-position-horizontal-relative:page;mso-position-vertical-relative:paragraph;z-index:-15644160;mso-wrap-distance-left:0;mso-wrap-distance-right:0" id="docshape468" filled="true" fillcolor="#000000" stroked="false">
                <v:fill type="solid"/>
                <w10:wrap type="topAndBottom"/>
              </v:rect>
            </w:pict>
          </mc:Fallback>
        </mc:AlternateContent>
      </w:r>
    </w:p>
    <w:p>
      <w:pPr>
        <w:spacing w:before="92"/>
        <w:ind w:left="568" w:right="0" w:firstLine="0"/>
        <w:jc w:val="left"/>
        <w:rPr>
          <w:sz w:val="16"/>
        </w:rPr>
      </w:pPr>
      <w:bookmarkStart w:name="_bookmark194" w:id="195"/>
      <w:bookmarkEnd w:id="195"/>
      <w:r>
        <w:rPr/>
      </w:r>
      <w:r>
        <w:rPr>
          <w:sz w:val="16"/>
          <w:vertAlign w:val="superscript"/>
        </w:rPr>
        <w:t>127</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000375.</w:t>
      </w:r>
    </w:p>
    <w:p>
      <w:pPr>
        <w:spacing w:line="20" w:lineRule="exact"/>
        <w:ind w:left="161" w:right="0" w:firstLine="0"/>
        <w:rPr>
          <w:sz w:val="2"/>
        </w:rPr>
      </w:pPr>
      <w:r>
        <w:rPr>
          <w:sz w:val="2"/>
        </w:rPr>
        <mc:AlternateContent>
          <mc:Choice Requires="wps">
            <w:drawing>
              <wp:inline distT="0" distB="0" distL="0" distR="0">
                <wp:extent cx="6131560" cy="9525"/>
                <wp:effectExtent l="9525" t="0" r="2539" b="9525"/>
                <wp:docPr id="700" name="Group 700"/>
                <wp:cNvGraphicFramePr>
                  <a:graphicFrameLocks/>
                </wp:cNvGraphicFramePr>
                <a:graphic>
                  <a:graphicData uri="http://schemas.microsoft.com/office/word/2010/wordprocessingGroup">
                    <wpg:wgp>
                      <wpg:cNvPr id="700" name="Group 700"/>
                      <wpg:cNvGrpSpPr/>
                      <wpg:grpSpPr>
                        <a:xfrm>
                          <a:off x="0" y="0"/>
                          <a:ext cx="6131560" cy="9525"/>
                          <a:chExt cx="6131560" cy="9525"/>
                        </a:xfrm>
                      </wpg:grpSpPr>
                      <wps:wsp>
                        <wps:cNvPr id="701" name="Graphic 701"/>
                        <wps:cNvSpPr/>
                        <wps:spPr>
                          <a:xfrm>
                            <a:off x="0" y="4762"/>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82.8pt;height:.75pt;mso-position-horizontal-relative:char;mso-position-vertical-relative:line" id="docshapegroup469" coordorigin="0,0" coordsize="9656,15">
                <v:line style="position:absolute" from="0,8" to="9656,8" stroked="true" strokeweight=".75pt" strokecolor="#000000">
                  <v:stroke dashstyle="solid"/>
                </v:line>
              </v:group>
            </w:pict>
          </mc:Fallback>
        </mc:AlternateContent>
      </w:r>
      <w:r>
        <w:rPr>
          <w:sz w:val="2"/>
        </w:rPr>
      </w:r>
    </w:p>
    <w:p>
      <w:pPr>
        <w:spacing w:after="0" w:line="20" w:lineRule="exact"/>
        <w:rPr>
          <w:sz w:val="2"/>
        </w:rPr>
        <w:sectPr>
          <w:pgSz w:w="11900" w:h="16850"/>
          <w:pgMar w:header="370" w:footer="636" w:top="1380" w:bottom="820" w:left="992" w:right="283"/>
        </w:sectPr>
      </w:pPr>
    </w:p>
    <w:p>
      <w:pPr>
        <w:pStyle w:val="BodyText"/>
      </w:pPr>
    </w:p>
    <w:p>
      <w:pPr>
        <w:pStyle w:val="BodyText"/>
        <w:spacing w:before="177"/>
      </w:pPr>
    </w:p>
    <w:p>
      <w:pPr>
        <w:pStyle w:val="ListParagraph"/>
        <w:numPr>
          <w:ilvl w:val="0"/>
          <w:numId w:val="50"/>
        </w:numPr>
        <w:tabs>
          <w:tab w:pos="1130" w:val="left" w:leader="none"/>
          <w:tab w:pos="1134" w:val="left" w:leader="none"/>
        </w:tabs>
        <w:spacing w:line="240" w:lineRule="auto" w:before="1" w:after="0"/>
        <w:ind w:left="1134" w:right="981" w:hanging="567"/>
        <w:jc w:val="both"/>
        <w:rPr>
          <w:sz w:val="22"/>
        </w:rPr>
      </w:pPr>
      <w:r>
        <w:rPr>
          <w:sz w:val="22"/>
        </w:rPr>
        <w:t>De esta manera, se constata que, bajo los mismos términos, supuestos y condiciones normativas,</w:t>
      </w:r>
      <w:r>
        <w:rPr>
          <w:spacing w:val="-10"/>
          <w:sz w:val="22"/>
        </w:rPr>
        <w:t> </w:t>
      </w:r>
      <w:r>
        <w:rPr>
          <w:sz w:val="22"/>
        </w:rPr>
        <w:t>tanto</w:t>
      </w:r>
      <w:r>
        <w:rPr>
          <w:spacing w:val="-9"/>
          <w:sz w:val="22"/>
        </w:rPr>
        <w:t> </w:t>
      </w:r>
      <w:r>
        <w:rPr>
          <w:sz w:val="22"/>
        </w:rPr>
        <w:t>el</w:t>
      </w:r>
      <w:r>
        <w:rPr>
          <w:spacing w:val="-10"/>
          <w:sz w:val="22"/>
        </w:rPr>
        <w:t> </w:t>
      </w:r>
      <w:r>
        <w:rPr>
          <w:sz w:val="22"/>
        </w:rPr>
        <w:t>Decreto</w:t>
      </w:r>
      <w:r>
        <w:rPr>
          <w:spacing w:val="-8"/>
          <w:sz w:val="22"/>
        </w:rPr>
        <w:t> </w:t>
      </w:r>
      <w:r>
        <w:rPr>
          <w:sz w:val="22"/>
        </w:rPr>
        <w:t>0170</w:t>
      </w:r>
      <w:r>
        <w:rPr>
          <w:spacing w:val="-12"/>
          <w:sz w:val="22"/>
        </w:rPr>
        <w:t> </w:t>
      </w:r>
      <w:r>
        <w:rPr>
          <w:sz w:val="22"/>
        </w:rPr>
        <w:t>como</w:t>
      </w:r>
      <w:r>
        <w:rPr>
          <w:spacing w:val="-11"/>
          <w:sz w:val="22"/>
        </w:rPr>
        <w:t> </w:t>
      </w:r>
      <w:r>
        <w:rPr>
          <w:sz w:val="22"/>
        </w:rPr>
        <w:t>el</w:t>
      </w:r>
      <w:r>
        <w:rPr>
          <w:spacing w:val="-10"/>
          <w:sz w:val="22"/>
        </w:rPr>
        <w:t> </w:t>
      </w:r>
      <w:r>
        <w:rPr>
          <w:sz w:val="22"/>
        </w:rPr>
        <w:t>Decreto</w:t>
      </w:r>
      <w:r>
        <w:rPr>
          <w:spacing w:val="-9"/>
          <w:sz w:val="22"/>
        </w:rPr>
        <w:t> </w:t>
      </w:r>
      <w:r>
        <w:rPr>
          <w:sz w:val="22"/>
        </w:rPr>
        <w:t>0455</w:t>
      </w:r>
      <w:r>
        <w:rPr>
          <w:spacing w:val="-9"/>
          <w:sz w:val="22"/>
        </w:rPr>
        <w:t> </w:t>
      </w:r>
      <w:r>
        <w:rPr>
          <w:sz w:val="22"/>
        </w:rPr>
        <w:t>se</w:t>
      </w:r>
      <w:r>
        <w:rPr>
          <w:spacing w:val="-11"/>
          <w:sz w:val="22"/>
        </w:rPr>
        <w:t> </w:t>
      </w:r>
      <w:r>
        <w:rPr>
          <w:sz w:val="22"/>
        </w:rPr>
        <w:t>consagran,</w:t>
      </w:r>
      <w:r>
        <w:rPr>
          <w:spacing w:val="-10"/>
          <w:sz w:val="22"/>
        </w:rPr>
        <w:t> </w:t>
      </w:r>
      <w:r>
        <w:rPr>
          <w:sz w:val="22"/>
        </w:rPr>
        <w:t>en</w:t>
      </w:r>
      <w:r>
        <w:rPr>
          <w:spacing w:val="-12"/>
          <w:sz w:val="22"/>
        </w:rPr>
        <w:t> </w:t>
      </w:r>
      <w:r>
        <w:rPr>
          <w:sz w:val="22"/>
        </w:rPr>
        <w:t>lo</w:t>
      </w:r>
      <w:r>
        <w:rPr>
          <w:spacing w:val="-9"/>
          <w:sz w:val="22"/>
        </w:rPr>
        <w:t> </w:t>
      </w:r>
      <w:r>
        <w:rPr>
          <w:sz w:val="22"/>
        </w:rPr>
        <w:t>sustancial, en</w:t>
      </w:r>
      <w:r>
        <w:rPr>
          <w:spacing w:val="-4"/>
          <w:sz w:val="22"/>
        </w:rPr>
        <w:t> </w:t>
      </w:r>
      <w:r>
        <w:rPr>
          <w:sz w:val="22"/>
        </w:rPr>
        <w:t>una</w:t>
      </w:r>
      <w:r>
        <w:rPr>
          <w:spacing w:val="-4"/>
          <w:sz w:val="22"/>
        </w:rPr>
        <w:t> </w:t>
      </w:r>
      <w:r>
        <w:rPr>
          <w:sz w:val="22"/>
        </w:rPr>
        <w:t>misma</w:t>
      </w:r>
      <w:r>
        <w:rPr>
          <w:spacing w:val="-6"/>
          <w:sz w:val="22"/>
        </w:rPr>
        <w:t> </w:t>
      </w:r>
      <w:r>
        <w:rPr>
          <w:sz w:val="22"/>
        </w:rPr>
        <w:t>medida,</w:t>
      </w:r>
      <w:r>
        <w:rPr>
          <w:spacing w:val="-5"/>
          <w:sz w:val="22"/>
        </w:rPr>
        <w:t> </w:t>
      </w:r>
      <w:r>
        <w:rPr>
          <w:sz w:val="22"/>
        </w:rPr>
        <w:t>consistente</w:t>
      </w:r>
      <w:r>
        <w:rPr>
          <w:spacing w:val="-4"/>
          <w:sz w:val="22"/>
        </w:rPr>
        <w:t> </w:t>
      </w:r>
      <w:r>
        <w:rPr>
          <w:sz w:val="22"/>
        </w:rPr>
        <w:t>en</w:t>
      </w:r>
      <w:r>
        <w:rPr>
          <w:spacing w:val="-4"/>
          <w:sz w:val="22"/>
        </w:rPr>
        <w:t> </w:t>
      </w:r>
      <w:r>
        <w:rPr>
          <w:sz w:val="22"/>
        </w:rPr>
        <w:t>la</w:t>
      </w:r>
      <w:r>
        <w:rPr>
          <w:spacing w:val="-4"/>
          <w:sz w:val="22"/>
        </w:rPr>
        <w:t> </w:t>
      </w:r>
      <w:r>
        <w:rPr>
          <w:sz w:val="22"/>
        </w:rPr>
        <w:t>imposición</w:t>
      </w:r>
      <w:r>
        <w:rPr>
          <w:spacing w:val="-4"/>
          <w:sz w:val="22"/>
        </w:rPr>
        <w:t> </w:t>
      </w:r>
      <w:r>
        <w:rPr>
          <w:sz w:val="22"/>
        </w:rPr>
        <w:t>de</w:t>
      </w:r>
      <w:r>
        <w:rPr>
          <w:spacing w:val="-4"/>
          <w:sz w:val="22"/>
        </w:rPr>
        <w:t> </w:t>
      </w:r>
      <w:r>
        <w:rPr>
          <w:sz w:val="22"/>
        </w:rPr>
        <w:t>un</w:t>
      </w:r>
      <w:r>
        <w:rPr>
          <w:spacing w:val="-4"/>
          <w:sz w:val="22"/>
        </w:rPr>
        <w:t> </w:t>
      </w:r>
      <w:r>
        <w:rPr>
          <w:sz w:val="22"/>
        </w:rPr>
        <w:t>arancel</w:t>
      </w:r>
      <w:r>
        <w:rPr>
          <w:spacing w:val="-5"/>
          <w:sz w:val="22"/>
        </w:rPr>
        <w:t> </w:t>
      </w:r>
      <w:r>
        <w:rPr>
          <w:sz w:val="22"/>
        </w:rPr>
        <w:t>recíproco</w:t>
      </w:r>
      <w:r>
        <w:rPr>
          <w:spacing w:val="-4"/>
          <w:sz w:val="22"/>
        </w:rPr>
        <w:t> </w:t>
      </w:r>
      <w:r>
        <w:rPr>
          <w:sz w:val="22"/>
        </w:rPr>
        <w:t>aplicable</w:t>
      </w:r>
      <w:r>
        <w:rPr>
          <w:spacing w:val="-4"/>
          <w:sz w:val="22"/>
        </w:rPr>
        <w:t> </w:t>
      </w:r>
      <w:r>
        <w:rPr>
          <w:sz w:val="22"/>
        </w:rPr>
        <w:t>a mercancías originarias o provenientes de la República del Ecuador, como respuesta a la denominada “tasa de seguridad”. No obstante, el Decreto 0455 no introduce una medida</w:t>
      </w:r>
      <w:r>
        <w:rPr>
          <w:spacing w:val="-4"/>
          <w:sz w:val="22"/>
        </w:rPr>
        <w:t> </w:t>
      </w:r>
      <w:r>
        <w:rPr>
          <w:sz w:val="22"/>
        </w:rPr>
        <w:t>distinta,</w:t>
      </w:r>
      <w:r>
        <w:rPr>
          <w:spacing w:val="-5"/>
          <w:sz w:val="22"/>
        </w:rPr>
        <w:t> </w:t>
      </w:r>
      <w:r>
        <w:rPr>
          <w:sz w:val="22"/>
        </w:rPr>
        <w:t>sino</w:t>
      </w:r>
      <w:r>
        <w:rPr>
          <w:spacing w:val="-5"/>
          <w:sz w:val="22"/>
        </w:rPr>
        <w:t> </w:t>
      </w:r>
      <w:r>
        <w:rPr>
          <w:sz w:val="22"/>
        </w:rPr>
        <w:t>que</w:t>
      </w:r>
      <w:r>
        <w:rPr>
          <w:spacing w:val="-6"/>
          <w:sz w:val="22"/>
        </w:rPr>
        <w:t> </w:t>
      </w:r>
      <w:r>
        <w:rPr>
          <w:sz w:val="22"/>
        </w:rPr>
        <w:t>incrementa</w:t>
      </w:r>
      <w:r>
        <w:rPr>
          <w:spacing w:val="-5"/>
          <w:sz w:val="22"/>
        </w:rPr>
        <w:t> </w:t>
      </w:r>
      <w:r>
        <w:rPr>
          <w:sz w:val="22"/>
        </w:rPr>
        <w:t>los</w:t>
      </w:r>
      <w:r>
        <w:rPr>
          <w:spacing w:val="-6"/>
          <w:sz w:val="22"/>
        </w:rPr>
        <w:t> </w:t>
      </w:r>
      <w:r>
        <w:rPr>
          <w:sz w:val="22"/>
        </w:rPr>
        <w:t>porcentajes</w:t>
      </w:r>
      <w:r>
        <w:rPr>
          <w:spacing w:val="-4"/>
          <w:sz w:val="22"/>
        </w:rPr>
        <w:t> </w:t>
      </w:r>
      <w:r>
        <w:rPr>
          <w:sz w:val="22"/>
        </w:rPr>
        <w:t>arancelarios</w:t>
      </w:r>
      <w:r>
        <w:rPr>
          <w:spacing w:val="-3"/>
          <w:sz w:val="22"/>
        </w:rPr>
        <w:t> </w:t>
      </w:r>
      <w:r>
        <w:rPr>
          <w:sz w:val="22"/>
        </w:rPr>
        <w:t>aplicables</w:t>
      </w:r>
      <w:r>
        <w:rPr>
          <w:spacing w:val="-3"/>
          <w:sz w:val="22"/>
        </w:rPr>
        <w:t> </w:t>
      </w:r>
      <w:r>
        <w:rPr>
          <w:sz w:val="22"/>
        </w:rPr>
        <w:t>del</w:t>
      </w:r>
      <w:r>
        <w:rPr>
          <w:spacing w:val="-4"/>
          <w:sz w:val="22"/>
        </w:rPr>
        <w:t> </w:t>
      </w:r>
      <w:r>
        <w:rPr>
          <w:sz w:val="22"/>
        </w:rPr>
        <w:t>30%</w:t>
      </w:r>
      <w:r>
        <w:rPr>
          <w:spacing w:val="-5"/>
          <w:sz w:val="22"/>
        </w:rPr>
        <w:t> </w:t>
      </w:r>
      <w:r>
        <w:rPr>
          <w:sz w:val="22"/>
        </w:rPr>
        <w:t>al 35%,</w:t>
      </w:r>
      <w:r>
        <w:rPr>
          <w:spacing w:val="80"/>
          <w:sz w:val="22"/>
        </w:rPr>
        <w:t> </w:t>
      </w:r>
      <w:r>
        <w:rPr>
          <w:sz w:val="22"/>
        </w:rPr>
        <w:t>50%</w:t>
      </w:r>
      <w:r>
        <w:rPr>
          <w:spacing w:val="80"/>
          <w:sz w:val="22"/>
        </w:rPr>
        <w:t> </w:t>
      </w:r>
      <w:r>
        <w:rPr>
          <w:sz w:val="22"/>
        </w:rPr>
        <w:t>y</w:t>
      </w:r>
      <w:r>
        <w:rPr>
          <w:spacing w:val="80"/>
          <w:sz w:val="22"/>
        </w:rPr>
        <w:t> </w:t>
      </w:r>
      <w:r>
        <w:rPr>
          <w:sz w:val="22"/>
        </w:rPr>
        <w:t>75%,</w:t>
      </w:r>
      <w:r>
        <w:rPr>
          <w:spacing w:val="80"/>
          <w:sz w:val="22"/>
        </w:rPr>
        <w:t> </w:t>
      </w:r>
      <w:r>
        <w:rPr>
          <w:sz w:val="22"/>
        </w:rPr>
        <w:t>y</w:t>
      </w:r>
      <w:r>
        <w:rPr>
          <w:spacing w:val="80"/>
          <w:sz w:val="22"/>
        </w:rPr>
        <w:t> </w:t>
      </w:r>
      <w:r>
        <w:rPr>
          <w:sz w:val="22"/>
        </w:rPr>
        <w:t>amplia</w:t>
      </w:r>
      <w:r>
        <w:rPr>
          <w:spacing w:val="80"/>
          <w:sz w:val="22"/>
        </w:rPr>
        <w:t> </w:t>
      </w:r>
      <w:r>
        <w:rPr>
          <w:sz w:val="22"/>
        </w:rPr>
        <w:t>su</w:t>
      </w:r>
      <w:r>
        <w:rPr>
          <w:spacing w:val="80"/>
          <w:sz w:val="22"/>
        </w:rPr>
        <w:t> </w:t>
      </w:r>
      <w:r>
        <w:rPr>
          <w:sz w:val="22"/>
        </w:rPr>
        <w:t>ámbito</w:t>
      </w:r>
      <w:r>
        <w:rPr>
          <w:spacing w:val="80"/>
          <w:sz w:val="22"/>
        </w:rPr>
        <w:t> </w:t>
      </w:r>
      <w:r>
        <w:rPr>
          <w:sz w:val="22"/>
        </w:rPr>
        <w:t>de</w:t>
      </w:r>
      <w:r>
        <w:rPr>
          <w:spacing w:val="80"/>
          <w:sz w:val="22"/>
        </w:rPr>
        <w:t> </w:t>
      </w:r>
      <w:r>
        <w:rPr>
          <w:sz w:val="22"/>
        </w:rPr>
        <w:t>aplicación,</w:t>
      </w:r>
      <w:r>
        <w:rPr>
          <w:spacing w:val="80"/>
          <w:sz w:val="22"/>
        </w:rPr>
        <w:t> </w:t>
      </w:r>
      <w:r>
        <w:rPr>
          <w:sz w:val="22"/>
        </w:rPr>
        <w:t>extendiéndolo</w:t>
      </w:r>
      <w:r>
        <w:rPr>
          <w:spacing w:val="80"/>
          <w:sz w:val="22"/>
        </w:rPr>
        <w:t> </w:t>
      </w:r>
      <w:r>
        <w:rPr>
          <w:sz w:val="22"/>
        </w:rPr>
        <w:t>de</w:t>
      </w:r>
      <w:r>
        <w:rPr>
          <w:spacing w:val="80"/>
          <w:sz w:val="22"/>
        </w:rPr>
        <w:t> </w:t>
      </w:r>
      <w:r>
        <w:rPr>
          <w:sz w:val="22"/>
        </w:rPr>
        <w:t>73</w:t>
      </w:r>
      <w:r>
        <w:rPr>
          <w:spacing w:val="80"/>
          <w:sz w:val="22"/>
        </w:rPr>
        <w:t> </w:t>
      </w:r>
      <w:r>
        <w:rPr>
          <w:sz w:val="22"/>
        </w:rPr>
        <w:t>a 191</w:t>
      </w:r>
      <w:r>
        <w:rPr>
          <w:spacing w:val="-2"/>
          <w:sz w:val="22"/>
        </w:rPr>
        <w:t> </w:t>
      </w:r>
      <w:r>
        <w:rPr>
          <w:sz w:val="22"/>
        </w:rPr>
        <w:t>subpartidas arancelarias de las mercancías originarias o provenientes de la República del Ecuador.</w:t>
      </w:r>
    </w:p>
    <w:p>
      <w:pPr>
        <w:pStyle w:val="ListParagraph"/>
        <w:numPr>
          <w:ilvl w:val="0"/>
          <w:numId w:val="50"/>
        </w:numPr>
        <w:tabs>
          <w:tab w:pos="1130" w:val="left" w:leader="none"/>
          <w:tab w:pos="1134" w:val="left" w:leader="none"/>
        </w:tabs>
        <w:spacing w:line="240" w:lineRule="auto" w:before="252" w:after="0"/>
        <w:ind w:left="1134" w:right="979" w:hanging="567"/>
        <w:jc w:val="both"/>
        <w:rPr>
          <w:sz w:val="22"/>
        </w:rPr>
      </w:pPr>
      <w:r>
        <w:rPr>
          <w:sz w:val="22"/>
        </w:rPr>
        <w:t>En</w:t>
      </w:r>
      <w:r>
        <w:rPr>
          <w:spacing w:val="-11"/>
          <w:sz w:val="22"/>
        </w:rPr>
        <w:t> </w:t>
      </w:r>
      <w:r>
        <w:rPr>
          <w:sz w:val="22"/>
        </w:rPr>
        <w:t>consecuencia,</w:t>
      </w:r>
      <w:r>
        <w:rPr>
          <w:spacing w:val="-13"/>
          <w:sz w:val="22"/>
        </w:rPr>
        <w:t> </w:t>
      </w:r>
      <w:r>
        <w:rPr>
          <w:sz w:val="22"/>
        </w:rPr>
        <w:t>el</w:t>
      </w:r>
      <w:r>
        <w:rPr>
          <w:spacing w:val="-12"/>
          <w:sz w:val="22"/>
        </w:rPr>
        <w:t> </w:t>
      </w:r>
      <w:r>
        <w:rPr>
          <w:sz w:val="22"/>
        </w:rPr>
        <w:t>Decreto</w:t>
      </w:r>
      <w:r>
        <w:rPr>
          <w:spacing w:val="-13"/>
          <w:sz w:val="22"/>
        </w:rPr>
        <w:t> </w:t>
      </w:r>
      <w:r>
        <w:rPr>
          <w:sz w:val="22"/>
        </w:rPr>
        <w:t>0455,</w:t>
      </w:r>
      <w:r>
        <w:rPr>
          <w:spacing w:val="-12"/>
          <w:sz w:val="22"/>
        </w:rPr>
        <w:t> </w:t>
      </w:r>
      <w:r>
        <w:rPr>
          <w:sz w:val="22"/>
        </w:rPr>
        <w:t>incorporado</w:t>
      </w:r>
      <w:r>
        <w:rPr>
          <w:spacing w:val="-11"/>
          <w:sz w:val="22"/>
        </w:rPr>
        <w:t> </w:t>
      </w:r>
      <w:r>
        <w:rPr>
          <w:sz w:val="22"/>
        </w:rPr>
        <w:t>al</w:t>
      </w:r>
      <w:r>
        <w:rPr>
          <w:spacing w:val="-15"/>
          <w:sz w:val="22"/>
        </w:rPr>
        <w:t> </w:t>
      </w:r>
      <w:r>
        <w:rPr>
          <w:sz w:val="22"/>
        </w:rPr>
        <w:t>expediente</w:t>
      </w:r>
      <w:r>
        <w:rPr>
          <w:spacing w:val="-14"/>
          <w:sz w:val="22"/>
        </w:rPr>
        <w:t> </w:t>
      </w:r>
      <w:r>
        <w:rPr>
          <w:sz w:val="22"/>
        </w:rPr>
        <w:t>a</w:t>
      </w:r>
      <w:r>
        <w:rPr>
          <w:spacing w:val="-11"/>
          <w:sz w:val="22"/>
        </w:rPr>
        <w:t> </w:t>
      </w:r>
      <w:r>
        <w:rPr>
          <w:sz w:val="22"/>
        </w:rPr>
        <w:t>solicitud</w:t>
      </w:r>
      <w:r>
        <w:rPr>
          <w:spacing w:val="-14"/>
          <w:sz w:val="22"/>
        </w:rPr>
        <w:t> </w:t>
      </w:r>
      <w:r>
        <w:rPr>
          <w:sz w:val="22"/>
        </w:rPr>
        <w:t>de</w:t>
      </w:r>
      <w:r>
        <w:rPr>
          <w:spacing w:val="-14"/>
          <w:sz w:val="22"/>
        </w:rPr>
        <w:t> </w:t>
      </w:r>
      <w:r>
        <w:rPr>
          <w:sz w:val="22"/>
        </w:rPr>
        <w:t>la</w:t>
      </w:r>
      <w:r>
        <w:rPr>
          <w:spacing w:val="-11"/>
          <w:sz w:val="22"/>
        </w:rPr>
        <w:t> </w:t>
      </w:r>
      <w:r>
        <w:rPr>
          <w:sz w:val="22"/>
        </w:rPr>
        <w:t>República del Ecuador, al</w:t>
      </w:r>
      <w:r>
        <w:rPr>
          <w:spacing w:val="-3"/>
          <w:sz w:val="22"/>
        </w:rPr>
        <w:t> </w:t>
      </w:r>
      <w:r>
        <w:rPr>
          <w:sz w:val="22"/>
        </w:rPr>
        <w:t>modificar</w:t>
      </w:r>
      <w:r>
        <w:rPr>
          <w:spacing w:val="-1"/>
          <w:sz w:val="22"/>
        </w:rPr>
        <w:t> </w:t>
      </w:r>
      <w:r>
        <w:rPr>
          <w:sz w:val="22"/>
        </w:rPr>
        <w:t>el</w:t>
      </w:r>
      <w:r>
        <w:rPr>
          <w:spacing w:val="-1"/>
          <w:sz w:val="22"/>
        </w:rPr>
        <w:t> </w:t>
      </w:r>
      <w:r>
        <w:rPr>
          <w:sz w:val="22"/>
        </w:rPr>
        <w:t>Decreto 0170</w:t>
      </w:r>
      <w:r>
        <w:rPr>
          <w:spacing w:val="-2"/>
          <w:sz w:val="22"/>
        </w:rPr>
        <w:t> </w:t>
      </w:r>
      <w:r>
        <w:rPr>
          <w:sz w:val="22"/>
        </w:rPr>
        <w:t>y</w:t>
      </w:r>
      <w:r>
        <w:rPr>
          <w:spacing w:val="-1"/>
          <w:sz w:val="22"/>
        </w:rPr>
        <w:t> </w:t>
      </w:r>
      <w:r>
        <w:rPr>
          <w:sz w:val="22"/>
        </w:rPr>
        <w:t>mantener la lógica motivacional</w:t>
      </w:r>
      <w:r>
        <w:rPr>
          <w:spacing w:val="-1"/>
          <w:sz w:val="22"/>
        </w:rPr>
        <w:t> </w:t>
      </w:r>
      <w:r>
        <w:rPr>
          <w:sz w:val="22"/>
        </w:rPr>
        <w:t>y el</w:t>
      </w:r>
      <w:r>
        <w:rPr>
          <w:spacing w:val="-1"/>
          <w:sz w:val="22"/>
        </w:rPr>
        <w:t> </w:t>
      </w:r>
      <w:r>
        <w:rPr>
          <w:sz w:val="22"/>
        </w:rPr>
        <w:t>mismo objeto regulatorio, consistente en la imposición de un arancel recíproco sobre mercancías</w:t>
      </w:r>
      <w:r>
        <w:rPr>
          <w:spacing w:val="-11"/>
          <w:sz w:val="22"/>
        </w:rPr>
        <w:t> </w:t>
      </w:r>
      <w:r>
        <w:rPr>
          <w:sz w:val="22"/>
        </w:rPr>
        <w:t>originarias</w:t>
      </w:r>
      <w:r>
        <w:rPr>
          <w:spacing w:val="-11"/>
          <w:sz w:val="22"/>
        </w:rPr>
        <w:t> </w:t>
      </w:r>
      <w:r>
        <w:rPr>
          <w:sz w:val="22"/>
        </w:rPr>
        <w:t>o</w:t>
      </w:r>
      <w:r>
        <w:rPr>
          <w:spacing w:val="-11"/>
          <w:sz w:val="22"/>
        </w:rPr>
        <w:t> </w:t>
      </w:r>
      <w:r>
        <w:rPr>
          <w:sz w:val="22"/>
        </w:rPr>
        <w:t>provenientes</w:t>
      </w:r>
      <w:r>
        <w:rPr>
          <w:spacing w:val="-11"/>
          <w:sz w:val="22"/>
        </w:rPr>
        <w:t> </w:t>
      </w:r>
      <w:r>
        <w:rPr>
          <w:sz w:val="22"/>
        </w:rPr>
        <w:t>de</w:t>
      </w:r>
      <w:r>
        <w:rPr>
          <w:spacing w:val="-12"/>
          <w:sz w:val="22"/>
        </w:rPr>
        <w:t> </w:t>
      </w:r>
      <w:r>
        <w:rPr>
          <w:sz w:val="22"/>
        </w:rPr>
        <w:t>la</w:t>
      </w:r>
      <w:r>
        <w:rPr>
          <w:spacing w:val="-9"/>
          <w:sz w:val="22"/>
        </w:rPr>
        <w:t> </w:t>
      </w:r>
      <w:r>
        <w:rPr>
          <w:sz w:val="22"/>
        </w:rPr>
        <w:t>República</w:t>
      </w:r>
      <w:r>
        <w:rPr>
          <w:spacing w:val="-9"/>
          <w:sz w:val="22"/>
        </w:rPr>
        <w:t> </w:t>
      </w:r>
      <w:r>
        <w:rPr>
          <w:sz w:val="22"/>
        </w:rPr>
        <w:t>del</w:t>
      </w:r>
      <w:r>
        <w:rPr>
          <w:spacing w:val="-10"/>
          <w:sz w:val="22"/>
        </w:rPr>
        <w:t> </w:t>
      </w:r>
      <w:r>
        <w:rPr>
          <w:sz w:val="22"/>
        </w:rPr>
        <w:t>Ecuador.</w:t>
      </w:r>
      <w:r>
        <w:rPr>
          <w:spacing w:val="-7"/>
          <w:sz w:val="22"/>
        </w:rPr>
        <w:t> </w:t>
      </w:r>
      <w:r>
        <w:rPr>
          <w:sz w:val="22"/>
        </w:rPr>
        <w:t>En</w:t>
      </w:r>
      <w:r>
        <w:rPr>
          <w:spacing w:val="-11"/>
          <w:sz w:val="22"/>
        </w:rPr>
        <w:t> </w:t>
      </w:r>
      <w:r>
        <w:rPr>
          <w:sz w:val="22"/>
        </w:rPr>
        <w:t>tal</w:t>
      </w:r>
      <w:r>
        <w:rPr>
          <w:spacing w:val="-15"/>
          <w:sz w:val="22"/>
        </w:rPr>
        <w:t> </w:t>
      </w:r>
      <w:r>
        <w:rPr>
          <w:sz w:val="22"/>
        </w:rPr>
        <w:t>virtud,</w:t>
      </w:r>
      <w:r>
        <w:rPr>
          <w:spacing w:val="-10"/>
          <w:sz w:val="22"/>
        </w:rPr>
        <w:t> </w:t>
      </w:r>
      <w:r>
        <w:rPr>
          <w:sz w:val="22"/>
        </w:rPr>
        <w:t>ambas disposiciones configuran una misma medida de carácter continuo y agravado, cuyos efectos directos e indirectos inciden en la libre circulación de mercancías, al dificultar, encarecer</w:t>
      </w:r>
      <w:r>
        <w:rPr>
          <w:spacing w:val="-1"/>
          <w:sz w:val="22"/>
        </w:rPr>
        <w:t> </w:t>
      </w:r>
      <w:r>
        <w:rPr>
          <w:sz w:val="22"/>
        </w:rPr>
        <w:t>o</w:t>
      </w:r>
      <w:r>
        <w:rPr>
          <w:spacing w:val="-4"/>
          <w:sz w:val="22"/>
        </w:rPr>
        <w:t> </w:t>
      </w:r>
      <w:r>
        <w:rPr>
          <w:sz w:val="22"/>
        </w:rPr>
        <w:t>tornar</w:t>
      </w:r>
      <w:r>
        <w:rPr>
          <w:spacing w:val="-1"/>
          <w:sz w:val="22"/>
        </w:rPr>
        <w:t> </w:t>
      </w:r>
      <w:r>
        <w:rPr>
          <w:sz w:val="22"/>
        </w:rPr>
        <w:t>más</w:t>
      </w:r>
      <w:r>
        <w:rPr>
          <w:spacing w:val="-1"/>
          <w:sz w:val="22"/>
        </w:rPr>
        <w:t> </w:t>
      </w:r>
      <w:r>
        <w:rPr>
          <w:sz w:val="22"/>
        </w:rPr>
        <w:t>oneroso</w:t>
      </w:r>
      <w:r>
        <w:rPr>
          <w:spacing w:val="-2"/>
          <w:sz w:val="22"/>
        </w:rPr>
        <w:t> </w:t>
      </w:r>
      <w:r>
        <w:rPr>
          <w:sz w:val="22"/>
        </w:rPr>
        <w:t>el</w:t>
      </w:r>
      <w:r>
        <w:rPr>
          <w:spacing w:val="-1"/>
          <w:sz w:val="22"/>
        </w:rPr>
        <w:t> </w:t>
      </w:r>
      <w:r>
        <w:rPr>
          <w:sz w:val="22"/>
        </w:rPr>
        <w:t>ingreso</w:t>
      </w:r>
      <w:r>
        <w:rPr>
          <w:spacing w:val="-2"/>
          <w:sz w:val="22"/>
        </w:rPr>
        <w:t> </w:t>
      </w:r>
      <w:r>
        <w:rPr>
          <w:sz w:val="22"/>
        </w:rPr>
        <w:t>de las importaciones,</w:t>
      </w:r>
      <w:r>
        <w:rPr>
          <w:spacing w:val="-1"/>
          <w:sz w:val="22"/>
        </w:rPr>
        <w:t> </w:t>
      </w:r>
      <w:r>
        <w:rPr>
          <w:sz w:val="22"/>
        </w:rPr>
        <w:t>e</w:t>
      </w:r>
      <w:r>
        <w:rPr>
          <w:spacing w:val="-2"/>
          <w:sz w:val="22"/>
        </w:rPr>
        <w:t> </w:t>
      </w:r>
      <w:r>
        <w:rPr>
          <w:sz w:val="22"/>
        </w:rPr>
        <w:t>impiden el</w:t>
      </w:r>
      <w:r>
        <w:rPr>
          <w:spacing w:val="-3"/>
          <w:sz w:val="22"/>
        </w:rPr>
        <w:t> </w:t>
      </w:r>
      <w:r>
        <w:rPr>
          <w:sz w:val="22"/>
        </w:rPr>
        <w:t>comercio intracomunitario, en contravención del </w:t>
      </w:r>
      <w:r>
        <w:rPr>
          <w:rFonts w:ascii="Arial" w:hAnsi="Arial"/>
          <w:i/>
          <w:sz w:val="22"/>
        </w:rPr>
        <w:t>Programa de Liberación </w:t>
      </w:r>
      <w:r>
        <w:rPr>
          <w:sz w:val="22"/>
        </w:rPr>
        <w:t>y de la prohibición de gravámenes que afecten el comercio intracomunitario.</w:t>
      </w:r>
    </w:p>
    <w:p>
      <w:pPr>
        <w:pStyle w:val="BodyText"/>
        <w:spacing w:before="1"/>
      </w:pPr>
    </w:p>
    <w:p>
      <w:pPr>
        <w:pStyle w:val="ListParagraph"/>
        <w:numPr>
          <w:ilvl w:val="0"/>
          <w:numId w:val="50"/>
        </w:numPr>
        <w:tabs>
          <w:tab w:pos="1130" w:val="left" w:leader="none"/>
          <w:tab w:pos="1134" w:val="left" w:leader="none"/>
        </w:tabs>
        <w:spacing w:line="240" w:lineRule="auto" w:before="0" w:after="0"/>
        <w:ind w:left="1134" w:right="978" w:hanging="567"/>
        <w:jc w:val="both"/>
        <w:rPr>
          <w:sz w:val="22"/>
        </w:rPr>
      </w:pPr>
      <w:r>
        <w:rPr>
          <w:sz w:val="22"/>
        </w:rPr>
        <w:t>Por lo tanto, la medida contenida en el Decreto 0455 constituye una continuación material del anterior Decreto 0170, con las consecuencias que de ello se derivan con relación al respeto pleno que debe observarse del ordenamiento jurídico comunitario </w:t>
      </w:r>
      <w:r>
        <w:rPr>
          <w:spacing w:val="-2"/>
          <w:sz w:val="22"/>
        </w:rPr>
        <w:t>andino.</w:t>
      </w:r>
    </w:p>
    <w:p>
      <w:pPr>
        <w:pStyle w:val="BodyText"/>
      </w:pPr>
    </w:p>
    <w:p>
      <w:pPr>
        <w:pStyle w:val="ListParagraph"/>
        <w:numPr>
          <w:ilvl w:val="0"/>
          <w:numId w:val="50"/>
        </w:numPr>
        <w:tabs>
          <w:tab w:pos="1131" w:val="left" w:leader="none"/>
        </w:tabs>
        <w:spacing w:line="240" w:lineRule="auto" w:before="0" w:after="0"/>
        <w:ind w:left="1131" w:right="0" w:hanging="563"/>
        <w:jc w:val="left"/>
        <w:rPr>
          <w:sz w:val="22"/>
        </w:rPr>
      </w:pPr>
      <w:r>
        <w:rPr>
          <w:sz w:val="22"/>
        </w:rPr>
        <w:t>Que,</w:t>
      </w:r>
      <w:r>
        <w:rPr>
          <w:spacing w:val="-9"/>
          <w:sz w:val="22"/>
        </w:rPr>
        <w:t> </w:t>
      </w:r>
      <w:r>
        <w:rPr>
          <w:sz w:val="22"/>
        </w:rPr>
        <w:t>por</w:t>
      </w:r>
      <w:r>
        <w:rPr>
          <w:spacing w:val="-7"/>
          <w:sz w:val="22"/>
        </w:rPr>
        <w:t> </w:t>
      </w:r>
      <w:r>
        <w:rPr>
          <w:sz w:val="22"/>
        </w:rPr>
        <w:t>lo</w:t>
      </w:r>
      <w:r>
        <w:rPr>
          <w:spacing w:val="-5"/>
          <w:sz w:val="22"/>
        </w:rPr>
        <w:t> </w:t>
      </w:r>
      <w:r>
        <w:rPr>
          <w:sz w:val="22"/>
        </w:rPr>
        <w:t>anteriormente</w:t>
      </w:r>
      <w:r>
        <w:rPr>
          <w:spacing w:val="-6"/>
          <w:sz w:val="22"/>
        </w:rPr>
        <w:t> </w:t>
      </w:r>
      <w:r>
        <w:rPr>
          <w:sz w:val="22"/>
        </w:rPr>
        <w:t>expuesto,</w:t>
      </w:r>
      <w:r>
        <w:rPr>
          <w:spacing w:val="-6"/>
          <w:sz w:val="22"/>
        </w:rPr>
        <w:t> </w:t>
      </w:r>
      <w:r>
        <w:rPr>
          <w:sz w:val="22"/>
        </w:rPr>
        <w:t>la</w:t>
      </w:r>
      <w:r>
        <w:rPr>
          <w:spacing w:val="-6"/>
          <w:sz w:val="22"/>
        </w:rPr>
        <w:t> </w:t>
      </w:r>
      <w:r>
        <w:rPr>
          <w:sz w:val="22"/>
        </w:rPr>
        <w:t>Secretaría</w:t>
      </w:r>
      <w:r>
        <w:rPr>
          <w:spacing w:val="-7"/>
          <w:sz w:val="22"/>
        </w:rPr>
        <w:t> </w:t>
      </w:r>
      <w:r>
        <w:rPr>
          <w:sz w:val="22"/>
        </w:rPr>
        <w:t>General</w:t>
      </w:r>
      <w:r>
        <w:rPr>
          <w:spacing w:val="-7"/>
          <w:sz w:val="22"/>
        </w:rPr>
        <w:t> </w:t>
      </w:r>
      <w:r>
        <w:rPr>
          <w:sz w:val="22"/>
        </w:rPr>
        <w:t>de</w:t>
      </w:r>
      <w:r>
        <w:rPr>
          <w:spacing w:val="-5"/>
          <w:sz w:val="22"/>
        </w:rPr>
        <w:t> </w:t>
      </w:r>
      <w:r>
        <w:rPr>
          <w:sz w:val="22"/>
        </w:rPr>
        <w:t>la</w:t>
      </w:r>
      <w:r>
        <w:rPr>
          <w:spacing w:val="-8"/>
          <w:sz w:val="22"/>
        </w:rPr>
        <w:t> </w:t>
      </w:r>
      <w:r>
        <w:rPr>
          <w:sz w:val="22"/>
        </w:rPr>
        <w:t>Comunidad</w:t>
      </w:r>
      <w:r>
        <w:rPr>
          <w:spacing w:val="-5"/>
          <w:sz w:val="22"/>
        </w:rPr>
        <w:t> </w:t>
      </w:r>
      <w:r>
        <w:rPr>
          <w:spacing w:val="-2"/>
          <w:sz w:val="22"/>
        </w:rPr>
        <w:t>Andina:</w:t>
      </w:r>
    </w:p>
    <w:p>
      <w:pPr>
        <w:pStyle w:val="BodyText"/>
        <w:spacing w:before="252"/>
      </w:pPr>
    </w:p>
    <w:p>
      <w:pPr>
        <w:pStyle w:val="Heading5"/>
        <w:spacing w:before="1"/>
        <w:ind w:left="-1" w:right="418"/>
        <w:jc w:val="center"/>
      </w:pPr>
      <w:r>
        <w:rPr>
          <w:spacing w:val="-2"/>
        </w:rPr>
        <w:t>RESUELVE:</w:t>
      </w:r>
    </w:p>
    <w:p>
      <w:pPr>
        <w:pStyle w:val="BodyText"/>
        <w:rPr>
          <w:rFonts w:ascii="Arial"/>
          <w:b/>
        </w:rPr>
      </w:pPr>
    </w:p>
    <w:p>
      <w:pPr>
        <w:pStyle w:val="BodyText"/>
        <w:ind w:left="635" w:right="975" w:firstLine="216"/>
        <w:jc w:val="both"/>
      </w:pPr>
      <w:r>
        <w:rPr>
          <w:rFonts w:ascii="Arial" w:hAnsi="Arial"/>
          <w:b/>
        </w:rPr>
        <w:t>Artículo 1.- </w:t>
      </w:r>
      <w:r>
        <w:rPr/>
        <w:t>Calificar, de</w:t>
      </w:r>
      <w:r>
        <w:rPr>
          <w:spacing w:val="-2"/>
        </w:rPr>
        <w:t> </w:t>
      </w:r>
      <w:r>
        <w:rPr/>
        <w:t>conformidad con el</w:t>
      </w:r>
      <w:r>
        <w:rPr>
          <w:spacing w:val="-1"/>
        </w:rPr>
        <w:t> </w:t>
      </w:r>
      <w:r>
        <w:rPr/>
        <w:t>artículo 73 del Acuerdo de Cartagena, que la medida denominada “arancel recíproco”, adoptada por la República de Colombia mediante Decreto</w:t>
      </w:r>
      <w:r>
        <w:rPr>
          <w:spacing w:val="-4"/>
        </w:rPr>
        <w:t> </w:t>
      </w:r>
      <w:r>
        <w:rPr/>
        <w:t>0170</w:t>
      </w:r>
      <w:r>
        <w:rPr>
          <w:spacing w:val="-4"/>
        </w:rPr>
        <w:t> </w:t>
      </w:r>
      <w:r>
        <w:rPr/>
        <w:t>de</w:t>
      </w:r>
      <w:r>
        <w:rPr>
          <w:spacing w:val="-7"/>
        </w:rPr>
        <w:t> </w:t>
      </w:r>
      <w:r>
        <w:rPr/>
        <w:t>2026,</w:t>
      </w:r>
      <w:r>
        <w:rPr>
          <w:spacing w:val="-3"/>
        </w:rPr>
        <w:t> </w:t>
      </w:r>
      <w:r>
        <w:rPr/>
        <w:t>y</w:t>
      </w:r>
      <w:r>
        <w:rPr>
          <w:spacing w:val="-6"/>
        </w:rPr>
        <w:t> </w:t>
      </w:r>
      <w:r>
        <w:rPr/>
        <w:t>posteriormente</w:t>
      </w:r>
      <w:r>
        <w:rPr>
          <w:spacing w:val="-4"/>
        </w:rPr>
        <w:t> </w:t>
      </w:r>
      <w:r>
        <w:rPr/>
        <w:t>modificado</w:t>
      </w:r>
      <w:r>
        <w:rPr>
          <w:spacing w:val="-4"/>
        </w:rPr>
        <w:t> </w:t>
      </w:r>
      <w:r>
        <w:rPr/>
        <w:t>por</w:t>
      </w:r>
      <w:r>
        <w:rPr>
          <w:spacing w:val="-3"/>
        </w:rPr>
        <w:t> </w:t>
      </w:r>
      <w:r>
        <w:rPr/>
        <w:t>el</w:t>
      </w:r>
      <w:r>
        <w:rPr>
          <w:spacing w:val="-5"/>
        </w:rPr>
        <w:t> </w:t>
      </w:r>
      <w:r>
        <w:rPr/>
        <w:t>Decreto</w:t>
      </w:r>
      <w:r>
        <w:rPr>
          <w:spacing w:val="-4"/>
        </w:rPr>
        <w:t> </w:t>
      </w:r>
      <w:r>
        <w:rPr/>
        <w:t>0455</w:t>
      </w:r>
      <w:r>
        <w:rPr>
          <w:spacing w:val="-4"/>
        </w:rPr>
        <w:t> </w:t>
      </w:r>
      <w:r>
        <w:rPr/>
        <w:t>de</w:t>
      </w:r>
      <w:r>
        <w:rPr>
          <w:spacing w:val="-4"/>
        </w:rPr>
        <w:t> </w:t>
      </w:r>
      <w:r>
        <w:rPr/>
        <w:t>2026,</w:t>
      </w:r>
      <w:r>
        <w:rPr>
          <w:spacing w:val="-3"/>
        </w:rPr>
        <w:t> </w:t>
      </w:r>
      <w:r>
        <w:rPr/>
        <w:t>constituye un gravamen a la importación de productos provenientes y originarios de la República del Ecuador; y, por lo tanto, vulnera el </w:t>
      </w:r>
      <w:r>
        <w:rPr>
          <w:rFonts w:ascii="Arial" w:hAnsi="Arial"/>
          <w:i/>
        </w:rPr>
        <w:t>Programa de Liberación </w:t>
      </w:r>
      <w:r>
        <w:rPr/>
        <w:t>de la Comunidad Andina consagrado en el Acuerdo de Cartagena.</w:t>
      </w:r>
    </w:p>
    <w:p>
      <w:pPr>
        <w:pStyle w:val="BodyText"/>
      </w:pPr>
    </w:p>
    <w:p>
      <w:pPr>
        <w:pStyle w:val="BodyText"/>
        <w:ind w:left="635" w:right="977" w:firstLine="216"/>
        <w:jc w:val="both"/>
      </w:pPr>
      <w:r>
        <w:rPr>
          <w:rFonts w:ascii="Arial" w:hAnsi="Arial"/>
          <w:b/>
        </w:rPr>
        <w:t>Artículo</w:t>
      </w:r>
      <w:r>
        <w:rPr>
          <w:rFonts w:ascii="Arial" w:hAnsi="Arial"/>
          <w:b/>
          <w:spacing w:val="-6"/>
        </w:rPr>
        <w:t> </w:t>
      </w:r>
      <w:r>
        <w:rPr>
          <w:rFonts w:ascii="Arial" w:hAnsi="Arial"/>
          <w:b/>
        </w:rPr>
        <w:t>2.-</w:t>
      </w:r>
      <w:r>
        <w:rPr>
          <w:rFonts w:ascii="Arial" w:hAnsi="Arial"/>
          <w:b/>
          <w:spacing w:val="-5"/>
        </w:rPr>
        <w:t> </w:t>
      </w:r>
      <w:r>
        <w:rPr/>
        <w:t>Calificar,</w:t>
      </w:r>
      <w:r>
        <w:rPr>
          <w:spacing w:val="-4"/>
        </w:rPr>
        <w:t> </w:t>
      </w:r>
      <w:r>
        <w:rPr/>
        <w:t>de</w:t>
      </w:r>
      <w:r>
        <w:rPr>
          <w:spacing w:val="-12"/>
        </w:rPr>
        <w:t> </w:t>
      </w:r>
      <w:r>
        <w:rPr/>
        <w:t>conformidad</w:t>
      </w:r>
      <w:r>
        <w:rPr>
          <w:spacing w:val="-6"/>
        </w:rPr>
        <w:t> </w:t>
      </w:r>
      <w:r>
        <w:rPr/>
        <w:t>con</w:t>
      </w:r>
      <w:r>
        <w:rPr>
          <w:spacing w:val="-6"/>
        </w:rPr>
        <w:t> </w:t>
      </w:r>
      <w:r>
        <w:rPr/>
        <w:t>el</w:t>
      </w:r>
      <w:r>
        <w:rPr>
          <w:spacing w:val="-7"/>
        </w:rPr>
        <w:t> </w:t>
      </w:r>
      <w:r>
        <w:rPr/>
        <w:t>artículo</w:t>
      </w:r>
      <w:r>
        <w:rPr>
          <w:spacing w:val="-6"/>
        </w:rPr>
        <w:t> </w:t>
      </w:r>
      <w:r>
        <w:rPr/>
        <w:t>73</w:t>
      </w:r>
      <w:r>
        <w:rPr>
          <w:spacing w:val="-7"/>
        </w:rPr>
        <w:t> </w:t>
      </w:r>
      <w:r>
        <w:rPr/>
        <w:t>del</w:t>
      </w:r>
      <w:r>
        <w:rPr>
          <w:spacing w:val="-7"/>
        </w:rPr>
        <w:t> </w:t>
      </w:r>
      <w:r>
        <w:rPr/>
        <w:t>Acuerdo</w:t>
      </w:r>
      <w:r>
        <w:rPr>
          <w:spacing w:val="-7"/>
        </w:rPr>
        <w:t> </w:t>
      </w:r>
      <w:r>
        <w:rPr/>
        <w:t>de</w:t>
      </w:r>
      <w:r>
        <w:rPr>
          <w:spacing w:val="-7"/>
        </w:rPr>
        <w:t> </w:t>
      </w:r>
      <w:r>
        <w:rPr/>
        <w:t>Cartagena,</w:t>
      </w:r>
      <w:r>
        <w:rPr>
          <w:spacing w:val="-5"/>
        </w:rPr>
        <w:t> </w:t>
      </w:r>
      <w:r>
        <w:rPr/>
        <w:t>que</w:t>
      </w:r>
      <w:r>
        <w:rPr>
          <w:spacing w:val="-6"/>
        </w:rPr>
        <w:t> </w:t>
      </w:r>
      <w:r>
        <w:rPr/>
        <w:t>las medidas denominadas como “restricción al ingreso de mercancías por las Direcciones Distritales</w:t>
      </w:r>
      <w:r>
        <w:rPr>
          <w:spacing w:val="-2"/>
        </w:rPr>
        <w:t> </w:t>
      </w:r>
      <w:r>
        <w:rPr/>
        <w:t>Seccionales de</w:t>
      </w:r>
      <w:r>
        <w:rPr>
          <w:spacing w:val="-2"/>
        </w:rPr>
        <w:t> </w:t>
      </w:r>
      <w:r>
        <w:rPr/>
        <w:t>Impuestos</w:t>
      </w:r>
      <w:r>
        <w:rPr>
          <w:spacing w:val="-2"/>
        </w:rPr>
        <w:t> </w:t>
      </w:r>
      <w:r>
        <w:rPr/>
        <w:t>y</w:t>
      </w:r>
      <w:r>
        <w:rPr>
          <w:spacing w:val="-2"/>
        </w:rPr>
        <w:t> </w:t>
      </w:r>
      <w:r>
        <w:rPr/>
        <w:t>Aduanas</w:t>
      </w:r>
      <w:r>
        <w:rPr>
          <w:spacing w:val="-4"/>
        </w:rPr>
        <w:t> </w:t>
      </w:r>
      <w:r>
        <w:rPr/>
        <w:t>de</w:t>
      </w:r>
      <w:r>
        <w:rPr>
          <w:spacing w:val="-2"/>
        </w:rPr>
        <w:t> </w:t>
      </w:r>
      <w:r>
        <w:rPr/>
        <w:t>Ipiales y</w:t>
      </w:r>
      <w:r>
        <w:rPr>
          <w:spacing w:val="-2"/>
        </w:rPr>
        <w:t> </w:t>
      </w:r>
      <w:r>
        <w:rPr/>
        <w:t>de</w:t>
      </w:r>
      <w:r>
        <w:rPr>
          <w:spacing w:val="-2"/>
        </w:rPr>
        <w:t> </w:t>
      </w:r>
      <w:r>
        <w:rPr/>
        <w:t>Puerto</w:t>
      </w:r>
      <w:r>
        <w:rPr>
          <w:spacing w:val="-2"/>
        </w:rPr>
        <w:t> </w:t>
      </w:r>
      <w:r>
        <w:rPr/>
        <w:t>Asís”</w:t>
      </w:r>
      <w:r>
        <w:rPr>
          <w:spacing w:val="-1"/>
        </w:rPr>
        <w:t> </w:t>
      </w:r>
      <w:r>
        <w:rPr/>
        <w:t>y</w:t>
      </w:r>
      <w:r>
        <w:rPr>
          <w:spacing w:val="-4"/>
        </w:rPr>
        <w:t> </w:t>
      </w:r>
      <w:r>
        <w:rPr/>
        <w:t>“restricción</w:t>
      </w:r>
      <w:r>
        <w:rPr>
          <w:spacing w:val="-2"/>
        </w:rPr>
        <w:t> </w:t>
      </w:r>
      <w:r>
        <w:rPr/>
        <w:t>al ingreso</w:t>
      </w:r>
      <w:r>
        <w:rPr>
          <w:spacing w:val="-13"/>
        </w:rPr>
        <w:t> </w:t>
      </w:r>
      <w:r>
        <w:rPr/>
        <w:t>de</w:t>
      </w:r>
      <w:r>
        <w:rPr>
          <w:spacing w:val="-13"/>
        </w:rPr>
        <w:t> </w:t>
      </w:r>
      <w:r>
        <w:rPr/>
        <w:t>mercancías</w:t>
      </w:r>
      <w:r>
        <w:rPr>
          <w:spacing w:val="-12"/>
        </w:rPr>
        <w:t> </w:t>
      </w:r>
      <w:r>
        <w:rPr/>
        <w:t>utilizadas</w:t>
      </w:r>
      <w:r>
        <w:rPr>
          <w:spacing w:val="-12"/>
        </w:rPr>
        <w:t> </w:t>
      </w:r>
      <w:r>
        <w:rPr/>
        <w:t>en</w:t>
      </w:r>
      <w:r>
        <w:rPr>
          <w:spacing w:val="-13"/>
        </w:rPr>
        <w:t> </w:t>
      </w:r>
      <w:r>
        <w:rPr/>
        <w:t>la</w:t>
      </w:r>
      <w:r>
        <w:rPr>
          <w:spacing w:val="-12"/>
        </w:rPr>
        <w:t> </w:t>
      </w:r>
      <w:r>
        <w:rPr/>
        <w:t>producción</w:t>
      </w:r>
      <w:r>
        <w:rPr>
          <w:spacing w:val="-13"/>
        </w:rPr>
        <w:t> </w:t>
      </w:r>
      <w:r>
        <w:rPr/>
        <w:t>de</w:t>
      </w:r>
      <w:r>
        <w:rPr>
          <w:spacing w:val="-13"/>
        </w:rPr>
        <w:t> </w:t>
      </w:r>
      <w:r>
        <w:rPr/>
        <w:t>Fentanilo</w:t>
      </w:r>
      <w:r>
        <w:rPr>
          <w:spacing w:val="-12"/>
        </w:rPr>
        <w:t> </w:t>
      </w:r>
      <w:r>
        <w:rPr/>
        <w:t>por</w:t>
      </w:r>
      <w:r>
        <w:rPr>
          <w:spacing w:val="-11"/>
        </w:rPr>
        <w:t> </w:t>
      </w:r>
      <w:r>
        <w:rPr/>
        <w:t>las</w:t>
      </w:r>
      <w:r>
        <w:rPr>
          <w:spacing w:val="-12"/>
        </w:rPr>
        <w:t> </w:t>
      </w:r>
      <w:r>
        <w:rPr/>
        <w:t>Direcciones</w:t>
      </w:r>
      <w:r>
        <w:rPr>
          <w:spacing w:val="-12"/>
        </w:rPr>
        <w:t> </w:t>
      </w:r>
      <w:r>
        <w:rPr/>
        <w:t>Distritales Seccionales de Impuestos y Aduanas de Ipiales y de Puerto Asís”, adoptadas por la República de Colombia mediante Decreto 0170 de 2026, constituyen una restricción al comercio subregional andino.</w:t>
      </w:r>
    </w:p>
    <w:p>
      <w:pPr>
        <w:pStyle w:val="BodyText"/>
      </w:pPr>
    </w:p>
    <w:p>
      <w:pPr>
        <w:pStyle w:val="BodyText"/>
        <w:ind w:left="635" w:right="975" w:firstLine="216"/>
        <w:jc w:val="both"/>
      </w:pPr>
      <w:r>
        <w:rPr>
          <w:rFonts w:ascii="Arial" w:hAnsi="Arial"/>
          <w:b/>
        </w:rPr>
        <w:t>Artículo</w:t>
      </w:r>
      <w:r>
        <w:rPr>
          <w:rFonts w:ascii="Arial" w:hAnsi="Arial"/>
          <w:b/>
          <w:spacing w:val="-8"/>
        </w:rPr>
        <w:t> </w:t>
      </w:r>
      <w:r>
        <w:rPr>
          <w:rFonts w:ascii="Arial" w:hAnsi="Arial"/>
          <w:b/>
        </w:rPr>
        <w:t>3.-</w:t>
      </w:r>
      <w:r>
        <w:rPr>
          <w:rFonts w:ascii="Arial" w:hAnsi="Arial"/>
          <w:b/>
          <w:spacing w:val="-10"/>
        </w:rPr>
        <w:t> </w:t>
      </w:r>
      <w:r>
        <w:rPr/>
        <w:t>De</w:t>
      </w:r>
      <w:r>
        <w:rPr>
          <w:spacing w:val="-9"/>
        </w:rPr>
        <w:t> </w:t>
      </w:r>
      <w:r>
        <w:rPr/>
        <w:t>conformidad</w:t>
      </w:r>
      <w:r>
        <w:rPr>
          <w:spacing w:val="-9"/>
        </w:rPr>
        <w:t> </w:t>
      </w:r>
      <w:r>
        <w:rPr/>
        <w:t>con</w:t>
      </w:r>
      <w:r>
        <w:rPr>
          <w:spacing w:val="-9"/>
        </w:rPr>
        <w:t> </w:t>
      </w:r>
      <w:r>
        <w:rPr/>
        <w:t>el</w:t>
      </w:r>
      <w:r>
        <w:rPr>
          <w:spacing w:val="-10"/>
        </w:rPr>
        <w:t> </w:t>
      </w:r>
      <w:r>
        <w:rPr/>
        <w:t>literal</w:t>
      </w:r>
      <w:r>
        <w:rPr>
          <w:spacing w:val="-10"/>
        </w:rPr>
        <w:t> </w:t>
      </w:r>
      <w:r>
        <w:rPr/>
        <w:t>e)</w:t>
      </w:r>
      <w:r>
        <w:rPr>
          <w:spacing w:val="-10"/>
        </w:rPr>
        <w:t> </w:t>
      </w:r>
      <w:r>
        <w:rPr/>
        <w:t>del</w:t>
      </w:r>
      <w:r>
        <w:rPr>
          <w:spacing w:val="-10"/>
        </w:rPr>
        <w:t> </w:t>
      </w:r>
      <w:r>
        <w:rPr/>
        <w:t>artículo</w:t>
      </w:r>
      <w:r>
        <w:rPr>
          <w:spacing w:val="-9"/>
        </w:rPr>
        <w:t> </w:t>
      </w:r>
      <w:r>
        <w:rPr/>
        <w:t>55</w:t>
      </w:r>
      <w:r>
        <w:rPr>
          <w:spacing w:val="-12"/>
        </w:rPr>
        <w:t> </w:t>
      </w:r>
      <w:r>
        <w:rPr/>
        <w:t>de</w:t>
      </w:r>
      <w:r>
        <w:rPr>
          <w:spacing w:val="-9"/>
        </w:rPr>
        <w:t> </w:t>
      </w:r>
      <w:r>
        <w:rPr/>
        <w:t>la</w:t>
      </w:r>
      <w:r>
        <w:rPr>
          <w:spacing w:val="-11"/>
        </w:rPr>
        <w:t> </w:t>
      </w:r>
      <w:r>
        <w:rPr/>
        <w:t>Decisión</w:t>
      </w:r>
      <w:r>
        <w:rPr>
          <w:spacing w:val="-9"/>
        </w:rPr>
        <w:t> </w:t>
      </w:r>
      <w:r>
        <w:rPr/>
        <w:t>425,</w:t>
      </w:r>
      <w:r>
        <w:rPr>
          <w:spacing w:val="-7"/>
        </w:rPr>
        <w:t> </w:t>
      </w:r>
      <w:r>
        <w:rPr/>
        <w:t>la</w:t>
      </w:r>
      <w:r>
        <w:rPr>
          <w:spacing w:val="-9"/>
        </w:rPr>
        <w:t> </w:t>
      </w:r>
      <w:r>
        <w:rPr/>
        <w:t>República de Colombia deberá retirar el gravamen y las restricciones establecidas mediante Decreto 0170</w:t>
      </w:r>
      <w:r>
        <w:rPr>
          <w:spacing w:val="-9"/>
        </w:rPr>
        <w:t> </w:t>
      </w:r>
      <w:r>
        <w:rPr/>
        <w:t>de</w:t>
      </w:r>
      <w:r>
        <w:rPr>
          <w:spacing w:val="-9"/>
        </w:rPr>
        <w:t> </w:t>
      </w:r>
      <w:r>
        <w:rPr/>
        <w:t>2026</w:t>
      </w:r>
      <w:r>
        <w:rPr>
          <w:spacing w:val="-12"/>
        </w:rPr>
        <w:t> </w:t>
      </w:r>
      <w:r>
        <w:rPr/>
        <w:t>y</w:t>
      </w:r>
      <w:r>
        <w:rPr>
          <w:spacing w:val="-8"/>
        </w:rPr>
        <w:t> </w:t>
      </w:r>
      <w:r>
        <w:rPr/>
        <w:t>posteriormente</w:t>
      </w:r>
      <w:r>
        <w:rPr>
          <w:spacing w:val="-11"/>
        </w:rPr>
        <w:t> </w:t>
      </w:r>
      <w:r>
        <w:rPr/>
        <w:t>modificado</w:t>
      </w:r>
      <w:r>
        <w:rPr>
          <w:spacing w:val="-11"/>
        </w:rPr>
        <w:t> </w:t>
      </w:r>
      <w:r>
        <w:rPr/>
        <w:t>por</w:t>
      </w:r>
      <w:r>
        <w:rPr>
          <w:spacing w:val="-10"/>
        </w:rPr>
        <w:t> </w:t>
      </w:r>
      <w:r>
        <w:rPr/>
        <w:t>el</w:t>
      </w:r>
      <w:r>
        <w:rPr>
          <w:spacing w:val="-12"/>
        </w:rPr>
        <w:t> </w:t>
      </w:r>
      <w:r>
        <w:rPr/>
        <w:t>Decreto</w:t>
      </w:r>
      <w:r>
        <w:rPr>
          <w:spacing w:val="-9"/>
        </w:rPr>
        <w:t> </w:t>
      </w:r>
      <w:r>
        <w:rPr/>
        <w:t>0455</w:t>
      </w:r>
      <w:r>
        <w:rPr>
          <w:spacing w:val="-9"/>
        </w:rPr>
        <w:t> </w:t>
      </w:r>
      <w:r>
        <w:rPr/>
        <w:t>de</w:t>
      </w:r>
      <w:r>
        <w:rPr>
          <w:spacing w:val="-9"/>
        </w:rPr>
        <w:t> </w:t>
      </w:r>
      <w:r>
        <w:rPr/>
        <w:t>2026,</w:t>
      </w:r>
      <w:r>
        <w:rPr>
          <w:spacing w:val="-10"/>
        </w:rPr>
        <w:t> </w:t>
      </w:r>
      <w:r>
        <w:rPr/>
        <w:t>en</w:t>
      </w:r>
      <w:r>
        <w:rPr>
          <w:spacing w:val="-9"/>
        </w:rPr>
        <w:t> </w:t>
      </w:r>
      <w:r>
        <w:rPr/>
        <w:t>un</w:t>
      </w:r>
      <w:r>
        <w:rPr>
          <w:spacing w:val="-9"/>
        </w:rPr>
        <w:t> </w:t>
      </w:r>
      <w:r>
        <w:rPr/>
        <w:t>plazo</w:t>
      </w:r>
      <w:r>
        <w:rPr>
          <w:spacing w:val="-12"/>
        </w:rPr>
        <w:t> </w:t>
      </w:r>
      <w:r>
        <w:rPr/>
        <w:t>máximo de diez (10) días hábiles contados a partir del día siguiente de la publicación de la presente Resolución en la Gaceta Oficial del Acuerdo de Cartagena, debiendo informar del cumplimiento del presente artículo en el referido plazo.</w:t>
      </w:r>
    </w:p>
    <w:p>
      <w:pPr>
        <w:pStyle w:val="BodyText"/>
        <w:spacing w:after="0"/>
        <w:jc w:val="both"/>
        <w:sectPr>
          <w:headerReference w:type="default" r:id="rId121"/>
          <w:footerReference w:type="default" r:id="rId122"/>
          <w:pgSz w:w="11900" w:h="16850"/>
          <w:pgMar w:header="370" w:footer="651" w:top="1380" w:bottom="840" w:left="992" w:right="283"/>
        </w:sectPr>
      </w:pPr>
    </w:p>
    <w:p>
      <w:pPr>
        <w:pStyle w:val="BodyText"/>
        <w:spacing w:before="176"/>
      </w:pPr>
    </w:p>
    <w:p>
      <w:pPr>
        <w:pStyle w:val="BodyText"/>
        <w:ind w:left="635" w:right="955" w:firstLine="216"/>
      </w:pPr>
      <w:r>
        <w:rPr/>
        <w:t>Comuníquese</w:t>
      </w:r>
      <w:r>
        <w:rPr>
          <w:spacing w:val="-7"/>
        </w:rPr>
        <w:t> </w:t>
      </w:r>
      <w:r>
        <w:rPr/>
        <w:t>a</w:t>
      </w:r>
      <w:r>
        <w:rPr>
          <w:spacing w:val="-6"/>
        </w:rPr>
        <w:t> </w:t>
      </w:r>
      <w:r>
        <w:rPr/>
        <w:t>los</w:t>
      </w:r>
      <w:r>
        <w:rPr>
          <w:spacing w:val="-6"/>
        </w:rPr>
        <w:t> </w:t>
      </w:r>
      <w:r>
        <w:rPr/>
        <w:t>Países</w:t>
      </w:r>
      <w:r>
        <w:rPr>
          <w:spacing w:val="-6"/>
        </w:rPr>
        <w:t> </w:t>
      </w:r>
      <w:r>
        <w:rPr/>
        <w:t>Miembros</w:t>
      </w:r>
      <w:r>
        <w:rPr>
          <w:spacing w:val="-5"/>
        </w:rPr>
        <w:t> </w:t>
      </w:r>
      <w:r>
        <w:rPr/>
        <w:t>la</w:t>
      </w:r>
      <w:r>
        <w:rPr>
          <w:spacing w:val="-5"/>
        </w:rPr>
        <w:t> </w:t>
      </w:r>
      <w:r>
        <w:rPr/>
        <w:t>presente</w:t>
      </w:r>
      <w:r>
        <w:rPr>
          <w:spacing w:val="-6"/>
        </w:rPr>
        <w:t> </w:t>
      </w:r>
      <w:r>
        <w:rPr/>
        <w:t>Resolución,</w:t>
      </w:r>
      <w:r>
        <w:rPr>
          <w:spacing w:val="-5"/>
        </w:rPr>
        <w:t> </w:t>
      </w:r>
      <w:r>
        <w:rPr/>
        <w:t>la</w:t>
      </w:r>
      <w:r>
        <w:rPr>
          <w:spacing w:val="-5"/>
        </w:rPr>
        <w:t> </w:t>
      </w:r>
      <w:r>
        <w:rPr/>
        <w:t>cual</w:t>
      </w:r>
      <w:r>
        <w:rPr>
          <w:spacing w:val="-7"/>
        </w:rPr>
        <w:t> </w:t>
      </w:r>
      <w:r>
        <w:rPr/>
        <w:t>entrará</w:t>
      </w:r>
      <w:r>
        <w:rPr>
          <w:spacing w:val="-5"/>
        </w:rPr>
        <w:t> </w:t>
      </w:r>
      <w:r>
        <w:rPr/>
        <w:t>en</w:t>
      </w:r>
      <w:r>
        <w:rPr>
          <w:spacing w:val="-7"/>
        </w:rPr>
        <w:t> </w:t>
      </w:r>
      <w:r>
        <w:rPr/>
        <w:t>vigencia</w:t>
      </w:r>
      <w:r>
        <w:rPr>
          <w:spacing w:val="-6"/>
        </w:rPr>
        <w:t> </w:t>
      </w:r>
      <w:r>
        <w:rPr/>
        <w:t>a partir de su publicación en la Gaceta Oficial del Acuerdo de Cartagena.</w:t>
      </w:r>
    </w:p>
    <w:p>
      <w:pPr>
        <w:pStyle w:val="BodyText"/>
      </w:pPr>
    </w:p>
    <w:p>
      <w:pPr>
        <w:pStyle w:val="BodyText"/>
        <w:ind w:left="635" w:right="955" w:firstLine="216"/>
      </w:pPr>
      <w:r>
        <w:rPr/>
        <w:t>Dada</w:t>
      </w:r>
      <w:r>
        <w:rPr>
          <w:spacing w:val="40"/>
        </w:rPr>
        <w:t> </w:t>
      </w:r>
      <w:r>
        <w:rPr/>
        <w:t>en</w:t>
      </w:r>
      <w:r>
        <w:rPr>
          <w:spacing w:val="37"/>
        </w:rPr>
        <w:t> </w:t>
      </w:r>
      <w:r>
        <w:rPr/>
        <w:t>la</w:t>
      </w:r>
      <w:r>
        <w:rPr>
          <w:spacing w:val="40"/>
        </w:rPr>
        <w:t> </w:t>
      </w:r>
      <w:r>
        <w:rPr/>
        <w:t>ciudad</w:t>
      </w:r>
      <w:r>
        <w:rPr>
          <w:spacing w:val="37"/>
        </w:rPr>
        <w:t> </w:t>
      </w:r>
      <w:r>
        <w:rPr/>
        <w:t>de</w:t>
      </w:r>
      <w:r>
        <w:rPr>
          <w:spacing w:val="35"/>
        </w:rPr>
        <w:t> </w:t>
      </w:r>
      <w:r>
        <w:rPr/>
        <w:t>Lima,</w:t>
      </w:r>
      <w:r>
        <w:rPr>
          <w:spacing w:val="38"/>
        </w:rPr>
        <w:t> </w:t>
      </w:r>
      <w:r>
        <w:rPr/>
        <w:t>Perú,</w:t>
      </w:r>
      <w:r>
        <w:rPr>
          <w:spacing w:val="39"/>
        </w:rPr>
        <w:t> </w:t>
      </w:r>
      <w:r>
        <w:rPr/>
        <w:t>a</w:t>
      </w:r>
      <w:r>
        <w:rPr>
          <w:spacing w:val="37"/>
        </w:rPr>
        <w:t> </w:t>
      </w:r>
      <w:r>
        <w:rPr/>
        <w:t>los</w:t>
      </w:r>
      <w:r>
        <w:rPr>
          <w:spacing w:val="40"/>
        </w:rPr>
        <w:t> </w:t>
      </w:r>
      <w:r>
        <w:rPr/>
        <w:t>siete</w:t>
      </w:r>
      <w:r>
        <w:rPr>
          <w:spacing w:val="35"/>
        </w:rPr>
        <w:t> </w:t>
      </w:r>
      <w:r>
        <w:rPr/>
        <w:t>días</w:t>
      </w:r>
      <w:r>
        <w:rPr>
          <w:spacing w:val="38"/>
        </w:rPr>
        <w:t> </w:t>
      </w:r>
      <w:r>
        <w:rPr/>
        <w:t>del</w:t>
      </w:r>
      <w:r>
        <w:rPr>
          <w:spacing w:val="37"/>
        </w:rPr>
        <w:t> </w:t>
      </w:r>
      <w:r>
        <w:rPr/>
        <w:t>mes</w:t>
      </w:r>
      <w:r>
        <w:rPr>
          <w:spacing w:val="37"/>
        </w:rPr>
        <w:t> </w:t>
      </w:r>
      <w:r>
        <w:rPr/>
        <w:t>de</w:t>
      </w:r>
      <w:r>
        <w:rPr>
          <w:spacing w:val="35"/>
        </w:rPr>
        <w:t> </w:t>
      </w:r>
      <w:r>
        <w:rPr/>
        <w:t>mayo</w:t>
      </w:r>
      <w:r>
        <w:rPr>
          <w:spacing w:val="35"/>
        </w:rPr>
        <w:t> </w:t>
      </w:r>
      <w:r>
        <w:rPr/>
        <w:t>del</w:t>
      </w:r>
      <w:r>
        <w:rPr>
          <w:spacing w:val="39"/>
        </w:rPr>
        <w:t> </w:t>
      </w:r>
      <w:r>
        <w:rPr/>
        <w:t>año</w:t>
      </w:r>
      <w:r>
        <w:rPr>
          <w:spacing w:val="37"/>
        </w:rPr>
        <w:t> </w:t>
      </w:r>
      <w:r>
        <w:rPr/>
        <w:t>dos</w:t>
      </w:r>
      <w:r>
        <w:rPr>
          <w:spacing w:val="38"/>
        </w:rPr>
        <w:t> </w:t>
      </w:r>
      <w:r>
        <w:rPr/>
        <w:t>mil </w:t>
      </w:r>
      <w:r>
        <w:rPr>
          <w:spacing w:val="-2"/>
        </w:rPr>
        <w:t>veintiséis.</w:t>
      </w:r>
    </w:p>
    <w:p>
      <w:pPr>
        <w:pStyle w:val="BodyText"/>
      </w:pPr>
    </w:p>
    <w:p>
      <w:pPr>
        <w:pStyle w:val="BodyText"/>
        <w:spacing w:before="116"/>
      </w:pPr>
    </w:p>
    <w:p>
      <w:pPr>
        <w:pStyle w:val="BodyText"/>
        <w:ind w:left="3383" w:right="3797"/>
        <w:jc w:val="center"/>
      </w:pPr>
      <w:r>
        <w:rPr/>
        <w:t>Gonzalo</w:t>
      </w:r>
      <w:r>
        <w:rPr>
          <w:spacing w:val="-16"/>
        </w:rPr>
        <w:t> </w:t>
      </w:r>
      <w:r>
        <w:rPr/>
        <w:t>Gutiérrez</w:t>
      </w:r>
      <w:r>
        <w:rPr>
          <w:spacing w:val="-15"/>
        </w:rPr>
        <w:t> </w:t>
      </w:r>
      <w:r>
        <w:rPr/>
        <w:t>Reinel </w:t>
      </w:r>
      <w:r>
        <w:rPr>
          <w:spacing w:val="-2"/>
        </w:rPr>
        <w:t>Embajador</w:t>
      </w:r>
    </w:p>
    <w:p>
      <w:pPr>
        <w:pStyle w:val="BodyText"/>
        <w:ind w:left="-1" w:right="411"/>
        <w:jc w:val="center"/>
      </w:pPr>
      <w:r>
        <w:rPr/>
        <w:t>Secretario</w:t>
      </w:r>
      <w:r>
        <w:rPr>
          <w:spacing w:val="-6"/>
        </w:rPr>
        <w:t> </w:t>
      </w:r>
      <w:r>
        <w:rPr>
          <w:spacing w:val="-2"/>
        </w:rPr>
        <w:t>General</w:t>
      </w:r>
    </w:p>
    <w:p>
      <w:pPr>
        <w:pStyle w:val="BodyText"/>
        <w:spacing w:before="181"/>
        <w:rPr>
          <w:sz w:val="20"/>
        </w:rPr>
      </w:pPr>
      <w:r>
        <w:rPr>
          <w:sz w:val="20"/>
        </w:rPr>
        <mc:AlternateContent>
          <mc:Choice Requires="wps">
            <w:drawing>
              <wp:anchor distT="0" distB="0" distL="0" distR="0" allowOverlap="1" layoutInCell="1" locked="0" behindDoc="1" simplePos="0" relativeHeight="487673344">
                <wp:simplePos x="0" y="0"/>
                <wp:positionH relativeFrom="page">
                  <wp:posOffset>966469</wp:posOffset>
                </wp:positionH>
                <wp:positionV relativeFrom="paragraph">
                  <wp:posOffset>276565</wp:posOffset>
                </wp:positionV>
                <wp:extent cx="5788025" cy="1270"/>
                <wp:effectExtent l="0" t="0" r="0" b="0"/>
                <wp:wrapTopAndBottom/>
                <wp:docPr id="710" name="Graphic 710"/>
                <wp:cNvGraphicFramePr>
                  <a:graphicFrameLocks/>
                </wp:cNvGraphicFramePr>
                <a:graphic>
                  <a:graphicData uri="http://schemas.microsoft.com/office/word/2010/wordprocessingShape">
                    <wps:wsp>
                      <wps:cNvPr id="710" name="Graphic 710"/>
                      <wps:cNvSpPr/>
                      <wps:spPr>
                        <a:xfrm>
                          <a:off x="0" y="0"/>
                          <a:ext cx="5788025" cy="1270"/>
                        </a:xfrm>
                        <a:custGeom>
                          <a:avLst/>
                          <a:gdLst/>
                          <a:ahLst/>
                          <a:cxnLst/>
                          <a:rect l="l" t="t" r="r" b="b"/>
                          <a:pathLst>
                            <a:path w="5788025" h="0">
                              <a:moveTo>
                                <a:pt x="0" y="0"/>
                              </a:moveTo>
                              <a:lnTo>
                                <a:pt x="5788025"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6.099998pt;margin-top:21.776817pt;width:455.75pt;height:.1pt;mso-position-horizontal-relative:page;mso-position-vertical-relative:paragraph;z-index:-15643136;mso-wrap-distance-left:0;mso-wrap-distance-right:0" id="docshape474" coordorigin="1522,436" coordsize="9115,0" path="m1522,436l10637,436e" filled="false" stroked="true" strokeweight=".5pt" strokecolor="#000000">
                <v:path arrowok="t"/>
                <v:stroke dashstyle="solid"/>
                <w10:wrap type="topAndBottom"/>
              </v:shape>
            </w:pict>
          </mc:Fallback>
        </mc:AlternateContent>
      </w:r>
    </w:p>
    <w:p>
      <w:pPr>
        <w:pStyle w:val="BodyText"/>
        <w:spacing w:before="43"/>
      </w:pPr>
    </w:p>
    <w:p>
      <w:pPr>
        <w:spacing w:before="0"/>
        <w:ind w:left="-1" w:right="411" w:firstLine="0"/>
        <w:jc w:val="center"/>
        <w:rPr>
          <w:rFonts w:ascii="Arial" w:hAnsi="Arial"/>
          <w:b/>
          <w:sz w:val="22"/>
        </w:rPr>
      </w:pPr>
      <w:r>
        <w:rPr>
          <w:rFonts w:ascii="Arial" w:hAnsi="Arial"/>
          <w:b/>
          <w:sz w:val="22"/>
        </w:rPr>
        <w:t>RESOLUCIÓN</w:t>
      </w:r>
      <w:r>
        <w:rPr>
          <w:rFonts w:ascii="Arial" w:hAnsi="Arial"/>
          <w:b/>
          <w:spacing w:val="-8"/>
          <w:sz w:val="22"/>
        </w:rPr>
        <w:t> </w:t>
      </w:r>
      <w:r>
        <w:rPr>
          <w:rFonts w:ascii="Arial" w:hAnsi="Arial"/>
          <w:b/>
          <w:sz w:val="22"/>
        </w:rPr>
        <w:t>N°</w:t>
      </w:r>
      <w:r>
        <w:rPr>
          <w:rFonts w:ascii="Arial" w:hAnsi="Arial"/>
          <w:b/>
          <w:spacing w:val="-6"/>
          <w:sz w:val="22"/>
        </w:rPr>
        <w:t> </w:t>
      </w:r>
      <w:r>
        <w:rPr>
          <w:rFonts w:ascii="Arial" w:hAnsi="Arial"/>
          <w:b/>
          <w:spacing w:val="-4"/>
          <w:sz w:val="22"/>
        </w:rPr>
        <w:t>2584</w:t>
      </w:r>
    </w:p>
    <w:p>
      <w:pPr>
        <w:pStyle w:val="Heading6"/>
        <w:spacing w:before="114"/>
        <w:ind w:left="837" w:right="1251"/>
        <w:jc w:val="center"/>
      </w:pPr>
      <w:r>
        <w:rPr/>
        <w:t>Precios</w:t>
      </w:r>
      <w:r>
        <w:rPr>
          <w:spacing w:val="-2"/>
        </w:rPr>
        <w:t> </w:t>
      </w:r>
      <w:r>
        <w:rPr/>
        <w:t>de</w:t>
      </w:r>
      <w:r>
        <w:rPr>
          <w:spacing w:val="-5"/>
        </w:rPr>
        <w:t> </w:t>
      </w:r>
      <w:r>
        <w:rPr/>
        <w:t>Referencia</w:t>
      </w:r>
      <w:r>
        <w:rPr>
          <w:spacing w:val="-6"/>
        </w:rPr>
        <w:t> </w:t>
      </w:r>
      <w:r>
        <w:rPr/>
        <w:t>del Sistema</w:t>
      </w:r>
      <w:r>
        <w:rPr>
          <w:spacing w:val="-6"/>
        </w:rPr>
        <w:t> </w:t>
      </w:r>
      <w:r>
        <w:rPr/>
        <w:t>Andino</w:t>
      </w:r>
      <w:r>
        <w:rPr>
          <w:spacing w:val="-5"/>
        </w:rPr>
        <w:t> </w:t>
      </w:r>
      <w:r>
        <w:rPr/>
        <w:t>de</w:t>
      </w:r>
      <w:r>
        <w:rPr>
          <w:spacing w:val="-4"/>
        </w:rPr>
        <w:t> </w:t>
      </w:r>
      <w:r>
        <w:rPr/>
        <w:t>Franjas</w:t>
      </w:r>
      <w:r>
        <w:rPr>
          <w:spacing w:val="-2"/>
        </w:rPr>
        <w:t> </w:t>
      </w:r>
      <w:r>
        <w:rPr/>
        <w:t>de</w:t>
      </w:r>
      <w:r>
        <w:rPr>
          <w:spacing w:val="-5"/>
        </w:rPr>
        <w:t> </w:t>
      </w:r>
      <w:r>
        <w:rPr/>
        <w:t>Precios</w:t>
      </w:r>
      <w:r>
        <w:rPr>
          <w:spacing w:val="-2"/>
        </w:rPr>
        <w:t> </w:t>
      </w:r>
      <w:r>
        <w:rPr/>
        <w:t>para</w:t>
      </w:r>
      <w:r>
        <w:rPr>
          <w:spacing w:val="-2"/>
        </w:rPr>
        <w:t> </w:t>
      </w:r>
      <w:r>
        <w:rPr/>
        <w:t>la</w:t>
      </w:r>
      <w:r>
        <w:rPr>
          <w:spacing w:val="40"/>
        </w:rPr>
        <w:t> </w:t>
      </w:r>
      <w:r>
        <w:rPr/>
        <w:t>segunda quincena de mayo de 2026</w:t>
      </w:r>
    </w:p>
    <w:p>
      <w:pPr>
        <w:pStyle w:val="BodyText"/>
        <w:spacing w:before="1"/>
        <w:rPr>
          <w:rFonts w:ascii="Arial"/>
          <w:b/>
          <w:sz w:val="20"/>
        </w:rPr>
      </w:pPr>
      <w:r>
        <w:rPr>
          <w:rFonts w:ascii="Arial"/>
          <w:b/>
          <w:sz w:val="20"/>
        </w:rPr>
        <mc:AlternateContent>
          <mc:Choice Requires="wps">
            <w:drawing>
              <wp:anchor distT="0" distB="0" distL="0" distR="0" allowOverlap="1" layoutInCell="1" locked="0" behindDoc="1" simplePos="0" relativeHeight="487673856">
                <wp:simplePos x="0" y="0"/>
                <wp:positionH relativeFrom="page">
                  <wp:posOffset>972616</wp:posOffset>
                </wp:positionH>
                <wp:positionV relativeFrom="paragraph">
                  <wp:posOffset>162233</wp:posOffset>
                </wp:positionV>
                <wp:extent cx="5798820" cy="6350"/>
                <wp:effectExtent l="0" t="0" r="0" b="0"/>
                <wp:wrapTopAndBottom/>
                <wp:docPr id="711" name="Graphic 711"/>
                <wp:cNvGraphicFramePr>
                  <a:graphicFrameLocks/>
                </wp:cNvGraphicFramePr>
                <a:graphic>
                  <a:graphicData uri="http://schemas.microsoft.com/office/word/2010/wordprocessingShape">
                    <wps:wsp>
                      <wps:cNvPr id="711" name="Graphic 711"/>
                      <wps:cNvSpPr/>
                      <wps:spPr>
                        <a:xfrm>
                          <a:off x="0" y="0"/>
                          <a:ext cx="5798820" cy="6350"/>
                        </a:xfrm>
                        <a:custGeom>
                          <a:avLst/>
                          <a:gdLst/>
                          <a:ahLst/>
                          <a:cxnLst/>
                          <a:rect l="l" t="t" r="r" b="b"/>
                          <a:pathLst>
                            <a:path w="5798820" h="6350">
                              <a:moveTo>
                                <a:pt x="5798566" y="0"/>
                              </a:moveTo>
                              <a:lnTo>
                                <a:pt x="0" y="0"/>
                              </a:lnTo>
                              <a:lnTo>
                                <a:pt x="0" y="6096"/>
                              </a:lnTo>
                              <a:lnTo>
                                <a:pt x="5798566" y="6096"/>
                              </a:lnTo>
                              <a:lnTo>
                                <a:pt x="579856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6.584pt;margin-top:12.774287pt;width:456.58pt;height:.48001pt;mso-position-horizontal-relative:page;mso-position-vertical-relative:paragraph;z-index:-15642624;mso-wrap-distance-left:0;mso-wrap-distance-right:0" id="docshape475" filled="true" fillcolor="#000000" stroked="false">
                <v:fill type="solid"/>
                <w10:wrap type="topAndBottom"/>
              </v:rect>
            </w:pict>
          </mc:Fallback>
        </mc:AlternateContent>
      </w:r>
    </w:p>
    <w:p>
      <w:pPr>
        <w:pStyle w:val="Heading5"/>
        <w:spacing w:before="230"/>
        <w:ind w:left="851"/>
      </w:pPr>
      <w:r>
        <w:rPr/>
        <w:t>LA</w:t>
      </w:r>
      <w:r>
        <w:rPr>
          <w:spacing w:val="-7"/>
        </w:rPr>
        <w:t> </w:t>
      </w:r>
      <w:r>
        <w:rPr/>
        <w:t>SECRETARÍA</w:t>
      </w:r>
      <w:r>
        <w:rPr>
          <w:spacing w:val="-8"/>
        </w:rPr>
        <w:t> </w:t>
      </w:r>
      <w:r>
        <w:rPr/>
        <w:t>GENERAL</w:t>
      </w:r>
      <w:r>
        <w:rPr>
          <w:spacing w:val="-5"/>
        </w:rPr>
        <w:t> </w:t>
      </w:r>
      <w:r>
        <w:rPr/>
        <w:t>DE</w:t>
      </w:r>
      <w:r>
        <w:rPr>
          <w:spacing w:val="-7"/>
        </w:rPr>
        <w:t> </w:t>
      </w:r>
      <w:r>
        <w:rPr/>
        <w:t>LA</w:t>
      </w:r>
      <w:r>
        <w:rPr>
          <w:spacing w:val="-3"/>
        </w:rPr>
        <w:t> </w:t>
      </w:r>
      <w:r>
        <w:rPr/>
        <w:t>COMUNIDAD</w:t>
      </w:r>
      <w:r>
        <w:rPr>
          <w:spacing w:val="-8"/>
        </w:rPr>
        <w:t> </w:t>
      </w:r>
      <w:r>
        <w:rPr>
          <w:spacing w:val="-2"/>
        </w:rPr>
        <w:t>ANDINA,</w:t>
      </w:r>
    </w:p>
    <w:p>
      <w:pPr>
        <w:pStyle w:val="BodyText"/>
        <w:rPr>
          <w:rFonts w:ascii="Arial"/>
          <w:b/>
        </w:rPr>
      </w:pPr>
    </w:p>
    <w:p>
      <w:pPr>
        <w:pStyle w:val="BodyText"/>
        <w:spacing w:line="252" w:lineRule="exact" w:before="1"/>
        <w:ind w:right="981"/>
        <w:jc w:val="right"/>
      </w:pPr>
      <w:r>
        <w:rPr>
          <w:rFonts w:ascii="Arial" w:hAnsi="Arial"/>
          <w:b/>
        </w:rPr>
        <w:t>VISTOS:</w:t>
      </w:r>
      <w:r>
        <w:rPr>
          <w:rFonts w:ascii="Arial" w:hAnsi="Arial"/>
          <w:b/>
          <w:spacing w:val="-8"/>
        </w:rPr>
        <w:t> </w:t>
      </w:r>
      <w:r>
        <w:rPr/>
        <w:t>El</w:t>
      </w:r>
      <w:r>
        <w:rPr>
          <w:spacing w:val="-9"/>
        </w:rPr>
        <w:t> </w:t>
      </w:r>
      <w:r>
        <w:rPr/>
        <w:t>artículo</w:t>
      </w:r>
      <w:r>
        <w:rPr>
          <w:spacing w:val="-9"/>
        </w:rPr>
        <w:t> </w:t>
      </w:r>
      <w:r>
        <w:rPr/>
        <w:t>29</w:t>
      </w:r>
      <w:r>
        <w:rPr>
          <w:spacing w:val="-9"/>
        </w:rPr>
        <w:t> </w:t>
      </w:r>
      <w:r>
        <w:rPr/>
        <w:t>del</w:t>
      </w:r>
      <w:r>
        <w:rPr>
          <w:spacing w:val="-9"/>
        </w:rPr>
        <w:t> </w:t>
      </w:r>
      <w:r>
        <w:rPr/>
        <w:t>Acuerdo</w:t>
      </w:r>
      <w:r>
        <w:rPr>
          <w:spacing w:val="-9"/>
        </w:rPr>
        <w:t> </w:t>
      </w:r>
      <w:r>
        <w:rPr/>
        <w:t>de</w:t>
      </w:r>
      <w:r>
        <w:rPr>
          <w:spacing w:val="-10"/>
        </w:rPr>
        <w:t> </w:t>
      </w:r>
      <w:r>
        <w:rPr/>
        <w:t>Cartagena,</w:t>
      </w:r>
      <w:r>
        <w:rPr>
          <w:spacing w:val="-7"/>
        </w:rPr>
        <w:t> </w:t>
      </w:r>
      <w:r>
        <w:rPr/>
        <w:t>las</w:t>
      </w:r>
      <w:r>
        <w:rPr>
          <w:spacing w:val="-8"/>
        </w:rPr>
        <w:t> </w:t>
      </w:r>
      <w:r>
        <w:rPr/>
        <w:t>Decisiones</w:t>
      </w:r>
      <w:r>
        <w:rPr>
          <w:spacing w:val="-9"/>
        </w:rPr>
        <w:t> </w:t>
      </w:r>
      <w:r>
        <w:rPr/>
        <w:t>371,</w:t>
      </w:r>
      <w:r>
        <w:rPr>
          <w:spacing w:val="-7"/>
        </w:rPr>
        <w:t> </w:t>
      </w:r>
      <w:r>
        <w:rPr/>
        <w:t>384,</w:t>
      </w:r>
      <w:r>
        <w:rPr>
          <w:spacing w:val="-8"/>
        </w:rPr>
        <w:t> </w:t>
      </w:r>
      <w:r>
        <w:rPr/>
        <w:t>402,</w:t>
      </w:r>
      <w:r>
        <w:rPr>
          <w:spacing w:val="-7"/>
        </w:rPr>
        <w:t> </w:t>
      </w:r>
      <w:r>
        <w:rPr/>
        <w:t>403,</w:t>
      </w:r>
      <w:r>
        <w:rPr>
          <w:spacing w:val="-7"/>
        </w:rPr>
        <w:t> </w:t>
      </w:r>
      <w:r>
        <w:rPr>
          <w:spacing w:val="-4"/>
        </w:rPr>
        <w:t>410,</w:t>
      </w:r>
    </w:p>
    <w:p>
      <w:pPr>
        <w:pStyle w:val="BodyText"/>
        <w:spacing w:line="252" w:lineRule="exact"/>
        <w:ind w:right="975"/>
        <w:jc w:val="right"/>
      </w:pPr>
      <w:r>
        <w:rPr/>
        <w:t>411,</w:t>
      </w:r>
      <w:r>
        <w:rPr>
          <w:spacing w:val="-8"/>
        </w:rPr>
        <w:t> </w:t>
      </w:r>
      <w:r>
        <w:rPr/>
        <w:t>413,</w:t>
      </w:r>
      <w:r>
        <w:rPr>
          <w:spacing w:val="-9"/>
        </w:rPr>
        <w:t> </w:t>
      </w:r>
      <w:r>
        <w:rPr/>
        <w:t>430,</w:t>
      </w:r>
      <w:r>
        <w:rPr>
          <w:spacing w:val="-7"/>
        </w:rPr>
        <w:t> </w:t>
      </w:r>
      <w:r>
        <w:rPr/>
        <w:t>453,</w:t>
      </w:r>
      <w:r>
        <w:rPr>
          <w:spacing w:val="-9"/>
        </w:rPr>
        <w:t> </w:t>
      </w:r>
      <w:r>
        <w:rPr/>
        <w:t>469,</w:t>
      </w:r>
      <w:r>
        <w:rPr>
          <w:spacing w:val="-11"/>
        </w:rPr>
        <w:t> </w:t>
      </w:r>
      <w:r>
        <w:rPr/>
        <w:t>470,</w:t>
      </w:r>
      <w:r>
        <w:rPr>
          <w:spacing w:val="-7"/>
        </w:rPr>
        <w:t> </w:t>
      </w:r>
      <w:r>
        <w:rPr/>
        <w:t>482,</w:t>
      </w:r>
      <w:r>
        <w:rPr>
          <w:spacing w:val="-9"/>
        </w:rPr>
        <w:t> </w:t>
      </w:r>
      <w:r>
        <w:rPr/>
        <w:t>496,</w:t>
      </w:r>
      <w:r>
        <w:rPr>
          <w:spacing w:val="-8"/>
        </w:rPr>
        <w:t> </w:t>
      </w:r>
      <w:r>
        <w:rPr/>
        <w:t>497,</w:t>
      </w:r>
      <w:r>
        <w:rPr>
          <w:spacing w:val="-8"/>
        </w:rPr>
        <w:t> </w:t>
      </w:r>
      <w:r>
        <w:rPr/>
        <w:t>512,</w:t>
      </w:r>
      <w:r>
        <w:rPr>
          <w:spacing w:val="-9"/>
        </w:rPr>
        <w:t> </w:t>
      </w:r>
      <w:r>
        <w:rPr/>
        <w:t>518,</w:t>
      </w:r>
      <w:r>
        <w:rPr>
          <w:spacing w:val="-8"/>
        </w:rPr>
        <w:t> </w:t>
      </w:r>
      <w:r>
        <w:rPr/>
        <w:t>520,</w:t>
      </w:r>
      <w:r>
        <w:rPr>
          <w:spacing w:val="-9"/>
        </w:rPr>
        <w:t> </w:t>
      </w:r>
      <w:r>
        <w:rPr/>
        <w:t>579,</w:t>
      </w:r>
      <w:r>
        <w:rPr>
          <w:spacing w:val="-7"/>
        </w:rPr>
        <w:t> </w:t>
      </w:r>
      <w:r>
        <w:rPr/>
        <w:t>651,</w:t>
      </w:r>
      <w:r>
        <w:rPr>
          <w:spacing w:val="-9"/>
        </w:rPr>
        <w:t> </w:t>
      </w:r>
      <w:r>
        <w:rPr/>
        <w:t>652,</w:t>
      </w:r>
      <w:r>
        <w:rPr>
          <w:spacing w:val="-11"/>
        </w:rPr>
        <w:t> </w:t>
      </w:r>
      <w:r>
        <w:rPr/>
        <w:t>796,</w:t>
      </w:r>
      <w:r>
        <w:rPr>
          <w:spacing w:val="-7"/>
        </w:rPr>
        <w:t> </w:t>
      </w:r>
      <w:r>
        <w:rPr/>
        <w:t>805,</w:t>
      </w:r>
      <w:r>
        <w:rPr>
          <w:spacing w:val="-9"/>
        </w:rPr>
        <w:t> </w:t>
      </w:r>
      <w:r>
        <w:rPr/>
        <w:t>807,</w:t>
      </w:r>
      <w:r>
        <w:rPr>
          <w:spacing w:val="-7"/>
        </w:rPr>
        <w:t> </w:t>
      </w:r>
      <w:r>
        <w:rPr>
          <w:spacing w:val="-5"/>
        </w:rPr>
        <w:t>885</w:t>
      </w:r>
    </w:p>
    <w:p>
      <w:pPr>
        <w:pStyle w:val="BodyText"/>
        <w:spacing w:before="1"/>
        <w:ind w:left="568" w:right="955"/>
      </w:pPr>
      <w:r>
        <w:rPr/>
        <w:t>y</w:t>
      </w:r>
      <w:r>
        <w:rPr>
          <w:spacing w:val="-8"/>
        </w:rPr>
        <w:t> </w:t>
      </w:r>
      <w:r>
        <w:rPr/>
        <w:t>906</w:t>
      </w:r>
      <w:r>
        <w:rPr>
          <w:spacing w:val="-9"/>
        </w:rPr>
        <w:t> </w:t>
      </w:r>
      <w:r>
        <w:rPr/>
        <w:t>de</w:t>
      </w:r>
      <w:r>
        <w:rPr>
          <w:spacing w:val="-9"/>
        </w:rPr>
        <w:t> </w:t>
      </w:r>
      <w:r>
        <w:rPr/>
        <w:t>la</w:t>
      </w:r>
      <w:r>
        <w:rPr>
          <w:spacing w:val="-9"/>
        </w:rPr>
        <w:t> </w:t>
      </w:r>
      <w:r>
        <w:rPr/>
        <w:t>Comisión</w:t>
      </w:r>
      <w:r>
        <w:rPr>
          <w:spacing w:val="-8"/>
        </w:rPr>
        <w:t> </w:t>
      </w:r>
      <w:r>
        <w:rPr/>
        <w:t>de</w:t>
      </w:r>
      <w:r>
        <w:rPr>
          <w:spacing w:val="-9"/>
        </w:rPr>
        <w:t> </w:t>
      </w:r>
      <w:r>
        <w:rPr/>
        <w:t>la</w:t>
      </w:r>
      <w:r>
        <w:rPr>
          <w:spacing w:val="-9"/>
        </w:rPr>
        <w:t> </w:t>
      </w:r>
      <w:r>
        <w:rPr/>
        <w:t>Comunidad</w:t>
      </w:r>
      <w:r>
        <w:rPr>
          <w:spacing w:val="-9"/>
        </w:rPr>
        <w:t> </w:t>
      </w:r>
      <w:r>
        <w:rPr/>
        <w:t>Andina</w:t>
      </w:r>
      <w:r>
        <w:rPr>
          <w:spacing w:val="-8"/>
        </w:rPr>
        <w:t> </w:t>
      </w:r>
      <w:r>
        <w:rPr/>
        <w:t>sobre</w:t>
      </w:r>
      <w:r>
        <w:rPr>
          <w:spacing w:val="-9"/>
        </w:rPr>
        <w:t> </w:t>
      </w:r>
      <w:r>
        <w:rPr/>
        <w:t>el</w:t>
      </w:r>
      <w:r>
        <w:rPr>
          <w:spacing w:val="-10"/>
        </w:rPr>
        <w:t> </w:t>
      </w:r>
      <w:r>
        <w:rPr/>
        <w:t>Sistema</w:t>
      </w:r>
      <w:r>
        <w:rPr>
          <w:spacing w:val="-8"/>
        </w:rPr>
        <w:t> </w:t>
      </w:r>
      <w:r>
        <w:rPr/>
        <w:t>Andino</w:t>
      </w:r>
      <w:r>
        <w:rPr>
          <w:spacing w:val="-9"/>
        </w:rPr>
        <w:t> </w:t>
      </w:r>
      <w:r>
        <w:rPr/>
        <w:t>de</w:t>
      </w:r>
      <w:r>
        <w:rPr>
          <w:spacing w:val="-12"/>
        </w:rPr>
        <w:t> </w:t>
      </w:r>
      <w:r>
        <w:rPr/>
        <w:t>Franjas</w:t>
      </w:r>
      <w:r>
        <w:rPr>
          <w:spacing w:val="-9"/>
        </w:rPr>
        <w:t> </w:t>
      </w:r>
      <w:r>
        <w:rPr/>
        <w:t>de</w:t>
      </w:r>
      <w:r>
        <w:rPr>
          <w:spacing w:val="-12"/>
        </w:rPr>
        <w:t> </w:t>
      </w:r>
      <w:r>
        <w:rPr/>
        <w:t>Precios y la Resolución 2546 de la Secretaría General de la Comunidad Andina; y,</w:t>
      </w:r>
    </w:p>
    <w:p>
      <w:pPr>
        <w:pStyle w:val="BodyText"/>
      </w:pPr>
    </w:p>
    <w:p>
      <w:pPr>
        <w:pStyle w:val="BodyText"/>
        <w:ind w:left="568" w:right="978" w:firstLine="283"/>
        <w:jc w:val="both"/>
      </w:pPr>
      <w:r>
        <w:rPr>
          <w:rFonts w:ascii="Arial" w:hAnsi="Arial"/>
          <w:b/>
        </w:rPr>
        <w:t>CONSIDERANDO:</w:t>
      </w:r>
      <w:r>
        <w:rPr>
          <w:rFonts w:ascii="Arial" w:hAnsi="Arial"/>
          <w:b/>
          <w:spacing w:val="-7"/>
        </w:rPr>
        <w:t> </w:t>
      </w:r>
      <w:r>
        <w:rPr/>
        <w:t>Que,</w:t>
      </w:r>
      <w:r>
        <w:rPr>
          <w:spacing w:val="-8"/>
        </w:rPr>
        <w:t> </w:t>
      </w:r>
      <w:r>
        <w:rPr/>
        <w:t>en</w:t>
      </w:r>
      <w:r>
        <w:rPr>
          <w:spacing w:val="-10"/>
        </w:rPr>
        <w:t> </w:t>
      </w:r>
      <w:r>
        <w:rPr/>
        <w:t>cumplimiento</w:t>
      </w:r>
      <w:r>
        <w:rPr>
          <w:spacing w:val="-10"/>
        </w:rPr>
        <w:t> </w:t>
      </w:r>
      <w:r>
        <w:rPr/>
        <w:t>de</w:t>
      </w:r>
      <w:r>
        <w:rPr>
          <w:spacing w:val="-10"/>
        </w:rPr>
        <w:t> </w:t>
      </w:r>
      <w:r>
        <w:rPr/>
        <w:t>lo</w:t>
      </w:r>
      <w:r>
        <w:rPr>
          <w:spacing w:val="-10"/>
        </w:rPr>
        <w:t> </w:t>
      </w:r>
      <w:r>
        <w:rPr/>
        <w:t>establecido</w:t>
      </w:r>
      <w:r>
        <w:rPr>
          <w:spacing w:val="-8"/>
        </w:rPr>
        <w:t> </w:t>
      </w:r>
      <w:r>
        <w:rPr/>
        <w:t>en</w:t>
      </w:r>
      <w:r>
        <w:rPr>
          <w:spacing w:val="-10"/>
        </w:rPr>
        <w:t> </w:t>
      </w:r>
      <w:r>
        <w:rPr/>
        <w:t>el</w:t>
      </w:r>
      <w:r>
        <w:rPr>
          <w:spacing w:val="-11"/>
        </w:rPr>
        <w:t> </w:t>
      </w:r>
      <w:r>
        <w:rPr/>
        <w:t>artículo</w:t>
      </w:r>
      <w:r>
        <w:rPr>
          <w:spacing w:val="-8"/>
        </w:rPr>
        <w:t> </w:t>
      </w:r>
      <w:r>
        <w:rPr/>
        <w:t>22</w:t>
      </w:r>
      <w:r>
        <w:rPr>
          <w:spacing w:val="-8"/>
        </w:rPr>
        <w:t> </w:t>
      </w:r>
      <w:r>
        <w:rPr/>
        <w:t>de</w:t>
      </w:r>
      <w:r>
        <w:rPr>
          <w:spacing w:val="-10"/>
        </w:rPr>
        <w:t> </w:t>
      </w:r>
      <w:r>
        <w:rPr/>
        <w:t>la</w:t>
      </w:r>
      <w:r>
        <w:rPr>
          <w:spacing w:val="-10"/>
        </w:rPr>
        <w:t> </w:t>
      </w:r>
      <w:r>
        <w:rPr/>
        <w:t>Decisión 371</w:t>
      </w:r>
      <w:r>
        <w:rPr>
          <w:spacing w:val="-6"/>
        </w:rPr>
        <w:t> </w:t>
      </w:r>
      <w:r>
        <w:rPr/>
        <w:t>y</w:t>
      </w:r>
      <w:r>
        <w:rPr>
          <w:spacing w:val="-6"/>
        </w:rPr>
        <w:t> </w:t>
      </w:r>
      <w:r>
        <w:rPr/>
        <w:t>el</w:t>
      </w:r>
      <w:r>
        <w:rPr>
          <w:spacing w:val="-7"/>
        </w:rPr>
        <w:t> </w:t>
      </w:r>
      <w:r>
        <w:rPr/>
        <w:t>artículo</w:t>
      </w:r>
      <w:r>
        <w:rPr>
          <w:spacing w:val="40"/>
        </w:rPr>
        <w:t> </w:t>
      </w:r>
      <w:r>
        <w:rPr/>
        <w:t>2</w:t>
      </w:r>
      <w:r>
        <w:rPr>
          <w:spacing w:val="-6"/>
        </w:rPr>
        <w:t> </w:t>
      </w:r>
      <w:r>
        <w:rPr/>
        <w:t>de</w:t>
      </w:r>
      <w:r>
        <w:rPr>
          <w:spacing w:val="-7"/>
        </w:rPr>
        <w:t> </w:t>
      </w:r>
      <w:r>
        <w:rPr/>
        <w:t>la</w:t>
      </w:r>
      <w:r>
        <w:rPr>
          <w:spacing w:val="-11"/>
        </w:rPr>
        <w:t> </w:t>
      </w:r>
      <w:r>
        <w:rPr/>
        <w:t>Decisión</w:t>
      </w:r>
      <w:r>
        <w:rPr>
          <w:spacing w:val="-7"/>
        </w:rPr>
        <w:t> </w:t>
      </w:r>
      <w:r>
        <w:rPr/>
        <w:t>805</w:t>
      </w:r>
      <w:r>
        <w:rPr>
          <w:spacing w:val="-6"/>
        </w:rPr>
        <w:t> </w:t>
      </w:r>
      <w:r>
        <w:rPr/>
        <w:t>de</w:t>
      </w:r>
      <w:r>
        <w:rPr>
          <w:spacing w:val="-7"/>
        </w:rPr>
        <w:t> </w:t>
      </w:r>
      <w:r>
        <w:rPr/>
        <w:t>la</w:t>
      </w:r>
      <w:r>
        <w:rPr>
          <w:spacing w:val="-6"/>
        </w:rPr>
        <w:t> </w:t>
      </w:r>
      <w:r>
        <w:rPr/>
        <w:t>Comisión</w:t>
      </w:r>
      <w:r>
        <w:rPr>
          <w:spacing w:val="-7"/>
        </w:rPr>
        <w:t> </w:t>
      </w:r>
      <w:r>
        <w:rPr/>
        <w:t>de</w:t>
      </w:r>
      <w:r>
        <w:rPr>
          <w:spacing w:val="-7"/>
        </w:rPr>
        <w:t> </w:t>
      </w:r>
      <w:r>
        <w:rPr/>
        <w:t>la</w:t>
      </w:r>
      <w:r>
        <w:rPr>
          <w:spacing w:val="-6"/>
        </w:rPr>
        <w:t> </w:t>
      </w:r>
      <w:r>
        <w:rPr/>
        <w:t>Comunidad</w:t>
      </w:r>
      <w:r>
        <w:rPr>
          <w:spacing w:val="-6"/>
        </w:rPr>
        <w:t> </w:t>
      </w:r>
      <w:r>
        <w:rPr/>
        <w:t>Andina,</w:t>
      </w:r>
      <w:r>
        <w:rPr>
          <w:spacing w:val="-5"/>
        </w:rPr>
        <w:t> </w:t>
      </w:r>
      <w:r>
        <w:rPr/>
        <w:t>y</w:t>
      </w:r>
      <w:r>
        <w:rPr>
          <w:spacing w:val="-6"/>
        </w:rPr>
        <w:t> </w:t>
      </w:r>
      <w:r>
        <w:rPr/>
        <w:t>para</w:t>
      </w:r>
      <w:r>
        <w:rPr>
          <w:spacing w:val="-6"/>
        </w:rPr>
        <w:t> </w:t>
      </w:r>
      <w:r>
        <w:rPr/>
        <w:t>efectos de la aplicación de las Tablas Aduaneras publicadas en la Resolución 2546 de la Secretaría General</w:t>
      </w:r>
      <w:r>
        <w:rPr>
          <w:spacing w:val="-2"/>
        </w:rPr>
        <w:t> </w:t>
      </w:r>
      <w:r>
        <w:rPr/>
        <w:t>de</w:t>
      </w:r>
      <w:r>
        <w:rPr>
          <w:spacing w:val="-2"/>
        </w:rPr>
        <w:t> </w:t>
      </w:r>
      <w:r>
        <w:rPr/>
        <w:t>la Comunidad Andina, o</w:t>
      </w:r>
      <w:r>
        <w:rPr>
          <w:spacing w:val="-2"/>
        </w:rPr>
        <w:t> </w:t>
      </w:r>
      <w:r>
        <w:rPr/>
        <w:t>de</w:t>
      </w:r>
      <w:r>
        <w:rPr>
          <w:spacing w:val="-2"/>
        </w:rPr>
        <w:t> </w:t>
      </w:r>
      <w:r>
        <w:rPr/>
        <w:t>efectuar</w:t>
      </w:r>
      <w:r>
        <w:rPr>
          <w:spacing w:val="-1"/>
        </w:rPr>
        <w:t> </w:t>
      </w:r>
      <w:r>
        <w:rPr/>
        <w:t>los cálculos</w:t>
      </w:r>
      <w:r>
        <w:rPr>
          <w:spacing w:val="-2"/>
        </w:rPr>
        <w:t> </w:t>
      </w:r>
      <w:r>
        <w:rPr/>
        <w:t>establecidos</w:t>
      </w:r>
      <w:r>
        <w:rPr>
          <w:spacing w:val="-4"/>
        </w:rPr>
        <w:t> </w:t>
      </w:r>
      <w:r>
        <w:rPr/>
        <w:t>en los</w:t>
      </w:r>
      <w:r>
        <w:rPr>
          <w:spacing w:val="-2"/>
        </w:rPr>
        <w:t> </w:t>
      </w:r>
      <w:r>
        <w:rPr/>
        <w:t>artículos</w:t>
      </w:r>
      <w:r>
        <w:rPr>
          <w:spacing w:val="-2"/>
        </w:rPr>
        <w:t> </w:t>
      </w:r>
      <w:r>
        <w:rPr/>
        <w:t>11, 12,</w:t>
      </w:r>
      <w:r>
        <w:rPr>
          <w:spacing w:val="-16"/>
        </w:rPr>
        <w:t> </w:t>
      </w:r>
      <w:r>
        <w:rPr/>
        <w:t>13</w:t>
      </w:r>
      <w:r>
        <w:rPr>
          <w:spacing w:val="-15"/>
        </w:rPr>
        <w:t> </w:t>
      </w:r>
      <w:r>
        <w:rPr/>
        <w:t>y</w:t>
      </w:r>
      <w:r>
        <w:rPr>
          <w:spacing w:val="-15"/>
        </w:rPr>
        <w:t> </w:t>
      </w:r>
      <w:r>
        <w:rPr/>
        <w:t>14</w:t>
      </w:r>
      <w:r>
        <w:rPr>
          <w:spacing w:val="-16"/>
        </w:rPr>
        <w:t> </w:t>
      </w:r>
      <w:r>
        <w:rPr/>
        <w:t>de</w:t>
      </w:r>
      <w:r>
        <w:rPr>
          <w:spacing w:val="-14"/>
        </w:rPr>
        <w:t> </w:t>
      </w:r>
      <w:r>
        <w:rPr/>
        <w:t>la</w:t>
      </w:r>
      <w:r>
        <w:rPr>
          <w:spacing w:val="-16"/>
        </w:rPr>
        <w:t> </w:t>
      </w:r>
      <w:r>
        <w:rPr/>
        <w:t>Decisión</w:t>
      </w:r>
      <w:r>
        <w:rPr>
          <w:spacing w:val="-13"/>
        </w:rPr>
        <w:t> </w:t>
      </w:r>
      <w:r>
        <w:rPr/>
        <w:t>371,</w:t>
      </w:r>
      <w:r>
        <w:rPr>
          <w:spacing w:val="-15"/>
        </w:rPr>
        <w:t> </w:t>
      </w:r>
      <w:r>
        <w:rPr/>
        <w:t>la</w:t>
      </w:r>
      <w:r>
        <w:rPr>
          <w:spacing w:val="-14"/>
        </w:rPr>
        <w:t> </w:t>
      </w:r>
      <w:r>
        <w:rPr/>
        <w:t>Secretaría</w:t>
      </w:r>
      <w:r>
        <w:rPr>
          <w:spacing w:val="-16"/>
        </w:rPr>
        <w:t> </w:t>
      </w:r>
      <w:r>
        <w:rPr/>
        <w:t>General</w:t>
      </w:r>
      <w:r>
        <w:rPr>
          <w:spacing w:val="-12"/>
        </w:rPr>
        <w:t> </w:t>
      </w:r>
      <w:r>
        <w:rPr/>
        <w:t>de</w:t>
      </w:r>
      <w:r>
        <w:rPr>
          <w:spacing w:val="-16"/>
        </w:rPr>
        <w:t> </w:t>
      </w:r>
      <w:r>
        <w:rPr/>
        <w:t>la</w:t>
      </w:r>
      <w:r>
        <w:rPr>
          <w:spacing w:val="-13"/>
        </w:rPr>
        <w:t> </w:t>
      </w:r>
      <w:r>
        <w:rPr/>
        <w:t>Comunidad</w:t>
      </w:r>
      <w:r>
        <w:rPr>
          <w:spacing w:val="-16"/>
        </w:rPr>
        <w:t> </w:t>
      </w:r>
      <w:r>
        <w:rPr/>
        <w:t>Andina</w:t>
      </w:r>
      <w:r>
        <w:rPr>
          <w:spacing w:val="-12"/>
        </w:rPr>
        <w:t> </w:t>
      </w:r>
      <w:r>
        <w:rPr/>
        <w:t>debe</w:t>
      </w:r>
      <w:r>
        <w:rPr>
          <w:spacing w:val="-14"/>
        </w:rPr>
        <w:t> </w:t>
      </w:r>
      <w:r>
        <w:rPr/>
        <w:t>comunicar quincenalmente a los Países Miembros los Precios de Referencia del Sistema Andino de Franjas de Precios;</w:t>
      </w:r>
    </w:p>
    <w:p>
      <w:pPr>
        <w:pStyle w:val="Heading5"/>
        <w:spacing w:before="207"/>
        <w:ind w:left="-1" w:right="418"/>
        <w:jc w:val="center"/>
      </w:pPr>
      <w:r>
        <w:rPr>
          <w:spacing w:val="-2"/>
        </w:rPr>
        <w:t>RESUELVE:</w:t>
      </w:r>
    </w:p>
    <w:p>
      <w:pPr>
        <w:pStyle w:val="BodyText"/>
        <w:spacing w:before="207"/>
        <w:ind w:left="568" w:right="955" w:firstLine="283"/>
      </w:pPr>
      <w:r>
        <w:rPr>
          <w:rFonts w:ascii="Arial" w:hAnsi="Arial"/>
          <w:b/>
        </w:rPr>
        <w:t>Artículo 1.- </w:t>
      </w:r>
      <w:r>
        <w:rPr/>
        <w:t>Se fijan los siguientes Precios de Referencia del Sistema Andino de Franjas de Precios correspondientes a la segunda quincena de mayo de 2026:</w:t>
      </w:r>
    </w:p>
    <w:p>
      <w:pPr>
        <w:pStyle w:val="BodyText"/>
        <w:spacing w:before="107"/>
        <w:rPr>
          <w:sz w:val="20"/>
        </w:rPr>
      </w:pP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99"/>
        <w:gridCol w:w="2159"/>
        <w:gridCol w:w="892"/>
        <w:gridCol w:w="5450"/>
      </w:tblGrid>
      <w:tr>
        <w:trPr>
          <w:trHeight w:val="527" w:hRule="atLeast"/>
        </w:trPr>
        <w:tc>
          <w:tcPr>
            <w:tcW w:w="1199" w:type="dxa"/>
          </w:tcPr>
          <w:p>
            <w:pPr>
              <w:pStyle w:val="TableParagraph"/>
              <w:spacing w:before="148"/>
              <w:ind w:left="33"/>
              <w:rPr>
                <w:rFonts w:ascii="Arial"/>
                <w:b/>
                <w:sz w:val="21"/>
              </w:rPr>
            </w:pPr>
            <w:r>
              <w:rPr>
                <w:rFonts w:ascii="Arial"/>
                <w:b/>
                <w:spacing w:val="-2"/>
                <w:sz w:val="21"/>
              </w:rPr>
              <w:t>NANDINA</w:t>
            </w:r>
          </w:p>
        </w:tc>
        <w:tc>
          <w:tcPr>
            <w:tcW w:w="2159" w:type="dxa"/>
          </w:tcPr>
          <w:p>
            <w:pPr>
              <w:pStyle w:val="TableParagraph"/>
              <w:spacing w:before="14"/>
              <w:ind w:left="465"/>
              <w:rPr>
                <w:rFonts w:ascii="Arial"/>
                <w:b/>
                <w:sz w:val="21"/>
              </w:rPr>
            </w:pPr>
            <w:r>
              <w:rPr>
                <w:rFonts w:ascii="Arial"/>
                <w:b/>
                <w:spacing w:val="-2"/>
                <w:sz w:val="21"/>
              </w:rPr>
              <w:t>PRODUCTO</w:t>
            </w:r>
          </w:p>
          <w:p>
            <w:pPr>
              <w:pStyle w:val="TableParagraph"/>
              <w:spacing w:line="225" w:lineRule="exact" w:before="27"/>
              <w:ind w:left="465"/>
              <w:rPr>
                <w:rFonts w:ascii="Arial"/>
                <w:b/>
                <w:sz w:val="21"/>
              </w:rPr>
            </w:pPr>
            <w:r>
              <w:rPr>
                <w:rFonts w:ascii="Arial"/>
                <w:b/>
                <w:spacing w:val="-2"/>
                <w:sz w:val="21"/>
              </w:rPr>
              <w:t>MARCADOR</w:t>
            </w:r>
          </w:p>
        </w:tc>
        <w:tc>
          <w:tcPr>
            <w:tcW w:w="6342" w:type="dxa"/>
            <w:gridSpan w:val="2"/>
          </w:tcPr>
          <w:p>
            <w:pPr>
              <w:pStyle w:val="TableParagraph"/>
              <w:spacing w:before="139"/>
              <w:ind w:left="1492"/>
              <w:rPr>
                <w:rFonts w:ascii="Arial"/>
                <w:b/>
                <w:sz w:val="21"/>
              </w:rPr>
            </w:pPr>
            <w:r>
              <w:rPr>
                <w:rFonts w:ascii="Arial"/>
                <w:b/>
                <w:sz w:val="21"/>
              </w:rPr>
              <w:t>PRECIO</w:t>
            </w:r>
            <w:r>
              <w:rPr>
                <w:rFonts w:ascii="Arial"/>
                <w:b/>
                <w:spacing w:val="-10"/>
                <w:sz w:val="21"/>
              </w:rPr>
              <w:t> </w:t>
            </w:r>
            <w:r>
              <w:rPr>
                <w:rFonts w:ascii="Arial"/>
                <w:b/>
                <w:sz w:val="21"/>
              </w:rPr>
              <w:t>DE</w:t>
            </w:r>
            <w:r>
              <w:rPr>
                <w:rFonts w:ascii="Arial"/>
                <w:b/>
                <w:spacing w:val="-5"/>
                <w:sz w:val="21"/>
              </w:rPr>
              <w:t> </w:t>
            </w:r>
            <w:r>
              <w:rPr>
                <w:rFonts w:ascii="Arial"/>
                <w:b/>
                <w:sz w:val="21"/>
              </w:rPr>
              <w:t>REFERENCIA</w:t>
            </w:r>
            <w:r>
              <w:rPr>
                <w:rFonts w:ascii="Arial"/>
                <w:b/>
                <w:spacing w:val="-14"/>
                <w:sz w:val="21"/>
              </w:rPr>
              <w:t> </w:t>
            </w:r>
            <w:r>
              <w:rPr>
                <w:rFonts w:ascii="Arial"/>
                <w:b/>
                <w:spacing w:val="-2"/>
                <w:sz w:val="21"/>
              </w:rPr>
              <w:t>(USD/t)</w:t>
            </w:r>
          </w:p>
        </w:tc>
      </w:tr>
      <w:tr>
        <w:trPr>
          <w:trHeight w:val="258" w:hRule="atLeast"/>
        </w:trPr>
        <w:tc>
          <w:tcPr>
            <w:tcW w:w="1199" w:type="dxa"/>
          </w:tcPr>
          <w:p>
            <w:pPr>
              <w:pStyle w:val="TableParagraph"/>
              <w:spacing w:line="225" w:lineRule="exact" w:before="14"/>
              <w:ind w:left="33"/>
              <w:rPr>
                <w:sz w:val="21"/>
              </w:rPr>
            </w:pPr>
            <w:r>
              <w:rPr>
                <w:spacing w:val="-2"/>
                <w:sz w:val="21"/>
              </w:rPr>
              <w:t>0203.29.90</w:t>
            </w:r>
          </w:p>
        </w:tc>
        <w:tc>
          <w:tcPr>
            <w:tcW w:w="2159" w:type="dxa"/>
          </w:tcPr>
          <w:p>
            <w:pPr>
              <w:pStyle w:val="TableParagraph"/>
              <w:spacing w:line="225" w:lineRule="exact" w:before="14"/>
              <w:ind w:left="34"/>
              <w:rPr>
                <w:sz w:val="21"/>
              </w:rPr>
            </w:pPr>
            <w:r>
              <w:rPr>
                <w:spacing w:val="-2"/>
                <w:sz w:val="21"/>
              </w:rPr>
              <w:t>Carne</w:t>
            </w:r>
            <w:r>
              <w:rPr>
                <w:spacing w:val="-11"/>
                <w:sz w:val="21"/>
              </w:rPr>
              <w:t> </w:t>
            </w:r>
            <w:r>
              <w:rPr>
                <w:spacing w:val="-2"/>
                <w:sz w:val="21"/>
              </w:rPr>
              <w:t>de</w:t>
            </w:r>
            <w:r>
              <w:rPr>
                <w:spacing w:val="-8"/>
                <w:sz w:val="21"/>
              </w:rPr>
              <w:t> </w:t>
            </w:r>
            <w:r>
              <w:rPr>
                <w:spacing w:val="-2"/>
                <w:sz w:val="21"/>
              </w:rPr>
              <w:t>cerdo</w:t>
            </w:r>
          </w:p>
        </w:tc>
        <w:tc>
          <w:tcPr>
            <w:tcW w:w="892" w:type="dxa"/>
          </w:tcPr>
          <w:p>
            <w:pPr>
              <w:pStyle w:val="TableParagraph"/>
              <w:spacing w:line="225" w:lineRule="exact" w:before="14"/>
              <w:ind w:right="19"/>
              <w:jc w:val="right"/>
              <w:rPr>
                <w:sz w:val="21"/>
              </w:rPr>
            </w:pPr>
            <w:r>
              <w:rPr>
                <w:spacing w:val="-2"/>
                <w:sz w:val="21"/>
              </w:rPr>
              <w:t>2,887.00</w:t>
            </w:r>
          </w:p>
        </w:tc>
        <w:tc>
          <w:tcPr>
            <w:tcW w:w="5450" w:type="dxa"/>
          </w:tcPr>
          <w:p>
            <w:pPr>
              <w:pStyle w:val="TableParagraph"/>
              <w:spacing w:line="225" w:lineRule="exact" w:before="14"/>
              <w:ind w:right="27"/>
              <w:jc w:val="right"/>
              <w:rPr>
                <w:sz w:val="21"/>
              </w:rPr>
            </w:pPr>
            <w:r>
              <w:rPr>
                <w:sz w:val="21"/>
              </w:rPr>
              <w:t>DOS</w:t>
            </w:r>
            <w:r>
              <w:rPr>
                <w:spacing w:val="2"/>
                <w:sz w:val="21"/>
              </w:rPr>
              <w:t> </w:t>
            </w:r>
            <w:r>
              <w:rPr>
                <w:sz w:val="21"/>
              </w:rPr>
              <w:t>MIL</w:t>
            </w:r>
            <w:r>
              <w:rPr>
                <w:spacing w:val="-2"/>
                <w:sz w:val="21"/>
              </w:rPr>
              <w:t> </w:t>
            </w:r>
            <w:r>
              <w:rPr>
                <w:sz w:val="21"/>
              </w:rPr>
              <w:t>OCHOCIENTOS</w:t>
            </w:r>
            <w:r>
              <w:rPr>
                <w:spacing w:val="2"/>
                <w:sz w:val="21"/>
              </w:rPr>
              <w:t> </w:t>
            </w:r>
            <w:r>
              <w:rPr>
                <w:sz w:val="21"/>
              </w:rPr>
              <w:t>OCHENTA</w:t>
            </w:r>
            <w:r>
              <w:rPr>
                <w:spacing w:val="3"/>
                <w:sz w:val="21"/>
              </w:rPr>
              <w:t> </w:t>
            </w:r>
            <w:r>
              <w:rPr>
                <w:sz w:val="21"/>
              </w:rPr>
              <w:t>Y</w:t>
            </w:r>
            <w:r>
              <w:rPr>
                <w:spacing w:val="-7"/>
                <w:sz w:val="21"/>
              </w:rPr>
              <w:t> </w:t>
            </w:r>
            <w:r>
              <w:rPr>
                <w:sz w:val="21"/>
              </w:rPr>
              <w:t>SIETE</w:t>
            </w:r>
            <w:r>
              <w:rPr>
                <w:spacing w:val="3"/>
                <w:sz w:val="21"/>
              </w:rPr>
              <w:t> </w:t>
            </w:r>
            <w:r>
              <w:rPr>
                <w:spacing w:val="-2"/>
                <w:sz w:val="21"/>
              </w:rPr>
              <w:t>00/100</w:t>
            </w:r>
          </w:p>
        </w:tc>
      </w:tr>
      <w:tr>
        <w:trPr>
          <w:trHeight w:val="258" w:hRule="atLeast"/>
        </w:trPr>
        <w:tc>
          <w:tcPr>
            <w:tcW w:w="1199" w:type="dxa"/>
          </w:tcPr>
          <w:p>
            <w:pPr>
              <w:pStyle w:val="TableParagraph"/>
              <w:spacing w:line="225" w:lineRule="exact" w:before="14"/>
              <w:ind w:left="33"/>
              <w:rPr>
                <w:sz w:val="21"/>
              </w:rPr>
            </w:pPr>
            <w:r>
              <w:rPr>
                <w:spacing w:val="-2"/>
                <w:sz w:val="21"/>
              </w:rPr>
              <w:t>0207.14.00</w:t>
            </w:r>
          </w:p>
        </w:tc>
        <w:tc>
          <w:tcPr>
            <w:tcW w:w="2159" w:type="dxa"/>
          </w:tcPr>
          <w:p>
            <w:pPr>
              <w:pStyle w:val="TableParagraph"/>
              <w:spacing w:line="225" w:lineRule="exact" w:before="14"/>
              <w:ind w:left="34"/>
              <w:rPr>
                <w:sz w:val="21"/>
              </w:rPr>
            </w:pPr>
            <w:r>
              <w:rPr>
                <w:sz w:val="21"/>
              </w:rPr>
              <w:t>Trozos</w:t>
            </w:r>
            <w:r>
              <w:rPr>
                <w:spacing w:val="2"/>
                <w:sz w:val="21"/>
              </w:rPr>
              <w:t> </w:t>
            </w:r>
            <w:r>
              <w:rPr>
                <w:sz w:val="21"/>
              </w:rPr>
              <w:t>de </w:t>
            </w:r>
            <w:r>
              <w:rPr>
                <w:spacing w:val="-2"/>
                <w:sz w:val="21"/>
              </w:rPr>
              <w:t>pollo</w:t>
            </w:r>
          </w:p>
        </w:tc>
        <w:tc>
          <w:tcPr>
            <w:tcW w:w="892" w:type="dxa"/>
          </w:tcPr>
          <w:p>
            <w:pPr>
              <w:pStyle w:val="TableParagraph"/>
              <w:spacing w:line="225" w:lineRule="exact" w:before="14"/>
              <w:ind w:right="19"/>
              <w:jc w:val="right"/>
              <w:rPr>
                <w:sz w:val="21"/>
              </w:rPr>
            </w:pPr>
            <w:r>
              <w:rPr>
                <w:spacing w:val="-2"/>
                <w:sz w:val="21"/>
              </w:rPr>
              <w:t>1,370.00</w:t>
            </w:r>
          </w:p>
        </w:tc>
        <w:tc>
          <w:tcPr>
            <w:tcW w:w="5450" w:type="dxa"/>
          </w:tcPr>
          <w:p>
            <w:pPr>
              <w:pStyle w:val="TableParagraph"/>
              <w:spacing w:line="225" w:lineRule="exact" w:before="14"/>
              <w:ind w:right="26"/>
              <w:jc w:val="right"/>
              <w:rPr>
                <w:sz w:val="21"/>
              </w:rPr>
            </w:pPr>
            <w:r>
              <w:rPr>
                <w:sz w:val="21"/>
              </w:rPr>
              <w:t>UN</w:t>
            </w:r>
            <w:r>
              <w:rPr>
                <w:spacing w:val="5"/>
                <w:sz w:val="21"/>
              </w:rPr>
              <w:t> </w:t>
            </w:r>
            <w:r>
              <w:rPr>
                <w:sz w:val="21"/>
              </w:rPr>
              <w:t>MIL</w:t>
            </w:r>
            <w:r>
              <w:rPr>
                <w:spacing w:val="3"/>
                <w:sz w:val="21"/>
              </w:rPr>
              <w:t> </w:t>
            </w:r>
            <w:r>
              <w:rPr>
                <w:sz w:val="21"/>
              </w:rPr>
              <w:t>TRESCIENTOS</w:t>
            </w:r>
            <w:r>
              <w:rPr>
                <w:spacing w:val="8"/>
                <w:sz w:val="21"/>
              </w:rPr>
              <w:t> </w:t>
            </w:r>
            <w:r>
              <w:rPr>
                <w:sz w:val="21"/>
              </w:rPr>
              <w:t>SETENTA</w:t>
            </w:r>
            <w:r>
              <w:rPr>
                <w:spacing w:val="8"/>
                <w:sz w:val="21"/>
              </w:rPr>
              <w:t> </w:t>
            </w:r>
            <w:r>
              <w:rPr>
                <w:spacing w:val="-2"/>
                <w:sz w:val="21"/>
              </w:rPr>
              <w:t>00/100</w:t>
            </w:r>
          </w:p>
        </w:tc>
      </w:tr>
      <w:tr>
        <w:trPr>
          <w:trHeight w:val="259" w:hRule="atLeast"/>
        </w:trPr>
        <w:tc>
          <w:tcPr>
            <w:tcW w:w="1199" w:type="dxa"/>
          </w:tcPr>
          <w:p>
            <w:pPr>
              <w:pStyle w:val="TableParagraph"/>
              <w:spacing w:line="225" w:lineRule="exact" w:before="14"/>
              <w:ind w:left="33"/>
              <w:rPr>
                <w:sz w:val="21"/>
              </w:rPr>
            </w:pPr>
            <w:r>
              <w:rPr>
                <w:spacing w:val="-2"/>
                <w:sz w:val="21"/>
              </w:rPr>
              <w:t>0402.21.19</w:t>
            </w:r>
          </w:p>
        </w:tc>
        <w:tc>
          <w:tcPr>
            <w:tcW w:w="2159" w:type="dxa"/>
          </w:tcPr>
          <w:p>
            <w:pPr>
              <w:pStyle w:val="TableParagraph"/>
              <w:spacing w:line="225" w:lineRule="exact" w:before="14"/>
              <w:ind w:left="34"/>
              <w:rPr>
                <w:sz w:val="21"/>
              </w:rPr>
            </w:pPr>
            <w:r>
              <w:rPr>
                <w:spacing w:val="-4"/>
                <w:sz w:val="21"/>
              </w:rPr>
              <w:t>Leche</w:t>
            </w:r>
            <w:r>
              <w:rPr>
                <w:spacing w:val="-6"/>
                <w:sz w:val="21"/>
              </w:rPr>
              <w:t> </w:t>
            </w:r>
            <w:r>
              <w:rPr>
                <w:spacing w:val="-2"/>
                <w:sz w:val="21"/>
              </w:rPr>
              <w:t>entera</w:t>
            </w:r>
          </w:p>
        </w:tc>
        <w:tc>
          <w:tcPr>
            <w:tcW w:w="892" w:type="dxa"/>
          </w:tcPr>
          <w:p>
            <w:pPr>
              <w:pStyle w:val="TableParagraph"/>
              <w:spacing w:line="225" w:lineRule="exact" w:before="14"/>
              <w:ind w:right="19"/>
              <w:jc w:val="right"/>
              <w:rPr>
                <w:sz w:val="21"/>
              </w:rPr>
            </w:pPr>
            <w:r>
              <w:rPr>
                <w:spacing w:val="-2"/>
                <w:sz w:val="21"/>
              </w:rPr>
              <w:t>3,589.00</w:t>
            </w:r>
          </w:p>
        </w:tc>
        <w:tc>
          <w:tcPr>
            <w:tcW w:w="5450" w:type="dxa"/>
          </w:tcPr>
          <w:p>
            <w:pPr>
              <w:pStyle w:val="TableParagraph"/>
              <w:spacing w:line="225" w:lineRule="exact" w:before="14"/>
              <w:ind w:right="27"/>
              <w:jc w:val="right"/>
              <w:rPr>
                <w:sz w:val="21"/>
              </w:rPr>
            </w:pPr>
            <w:r>
              <w:rPr>
                <w:sz w:val="21"/>
              </w:rPr>
              <w:t>TRES</w:t>
            </w:r>
            <w:r>
              <w:rPr>
                <w:spacing w:val="3"/>
                <w:sz w:val="21"/>
              </w:rPr>
              <w:t> </w:t>
            </w:r>
            <w:r>
              <w:rPr>
                <w:sz w:val="21"/>
              </w:rPr>
              <w:t>MIL</w:t>
            </w:r>
            <w:r>
              <w:rPr>
                <w:spacing w:val="-2"/>
                <w:sz w:val="21"/>
              </w:rPr>
              <w:t> </w:t>
            </w:r>
            <w:r>
              <w:rPr>
                <w:sz w:val="21"/>
              </w:rPr>
              <w:t>QUINIENTOS</w:t>
            </w:r>
            <w:r>
              <w:rPr>
                <w:spacing w:val="4"/>
                <w:sz w:val="21"/>
              </w:rPr>
              <w:t> </w:t>
            </w:r>
            <w:r>
              <w:rPr>
                <w:sz w:val="21"/>
              </w:rPr>
              <w:t>OCHENTA</w:t>
            </w:r>
            <w:r>
              <w:rPr>
                <w:spacing w:val="4"/>
                <w:sz w:val="21"/>
              </w:rPr>
              <w:t> </w:t>
            </w:r>
            <w:r>
              <w:rPr>
                <w:sz w:val="21"/>
              </w:rPr>
              <w:t>Y</w:t>
            </w:r>
            <w:r>
              <w:rPr>
                <w:spacing w:val="-6"/>
                <w:sz w:val="21"/>
              </w:rPr>
              <w:t> </w:t>
            </w:r>
            <w:r>
              <w:rPr>
                <w:sz w:val="21"/>
              </w:rPr>
              <w:t>NUEVE</w:t>
            </w:r>
            <w:r>
              <w:rPr>
                <w:spacing w:val="4"/>
                <w:sz w:val="21"/>
              </w:rPr>
              <w:t> </w:t>
            </w:r>
            <w:r>
              <w:rPr>
                <w:spacing w:val="-2"/>
                <w:sz w:val="21"/>
              </w:rPr>
              <w:t>00/100</w:t>
            </w:r>
          </w:p>
        </w:tc>
      </w:tr>
      <w:tr>
        <w:trPr>
          <w:trHeight w:val="258" w:hRule="atLeast"/>
        </w:trPr>
        <w:tc>
          <w:tcPr>
            <w:tcW w:w="1199" w:type="dxa"/>
          </w:tcPr>
          <w:p>
            <w:pPr>
              <w:pStyle w:val="TableParagraph"/>
              <w:spacing w:line="225" w:lineRule="exact" w:before="14"/>
              <w:ind w:left="33"/>
              <w:rPr>
                <w:sz w:val="21"/>
              </w:rPr>
            </w:pPr>
            <w:r>
              <w:rPr>
                <w:spacing w:val="-2"/>
                <w:sz w:val="21"/>
              </w:rPr>
              <w:t>1001.19.00</w:t>
            </w:r>
          </w:p>
        </w:tc>
        <w:tc>
          <w:tcPr>
            <w:tcW w:w="2159" w:type="dxa"/>
          </w:tcPr>
          <w:p>
            <w:pPr>
              <w:pStyle w:val="TableParagraph"/>
              <w:spacing w:line="225" w:lineRule="exact" w:before="14"/>
              <w:ind w:left="34"/>
              <w:rPr>
                <w:sz w:val="21"/>
              </w:rPr>
            </w:pPr>
            <w:r>
              <w:rPr>
                <w:spacing w:val="-2"/>
                <w:sz w:val="21"/>
              </w:rPr>
              <w:t>Trigo</w:t>
            </w:r>
          </w:p>
        </w:tc>
        <w:tc>
          <w:tcPr>
            <w:tcW w:w="892" w:type="dxa"/>
          </w:tcPr>
          <w:p>
            <w:pPr>
              <w:pStyle w:val="TableParagraph"/>
              <w:spacing w:line="225" w:lineRule="exact" w:before="14"/>
              <w:ind w:right="19"/>
              <w:jc w:val="right"/>
              <w:rPr>
                <w:sz w:val="21"/>
              </w:rPr>
            </w:pPr>
            <w:r>
              <w:rPr>
                <w:spacing w:val="-2"/>
                <w:sz w:val="21"/>
              </w:rPr>
              <w:t>314.00</w:t>
            </w:r>
          </w:p>
        </w:tc>
        <w:tc>
          <w:tcPr>
            <w:tcW w:w="5450" w:type="dxa"/>
          </w:tcPr>
          <w:p>
            <w:pPr>
              <w:pStyle w:val="TableParagraph"/>
              <w:spacing w:line="225" w:lineRule="exact" w:before="14"/>
              <w:ind w:right="24"/>
              <w:jc w:val="right"/>
              <w:rPr>
                <w:sz w:val="21"/>
              </w:rPr>
            </w:pPr>
            <w:r>
              <w:rPr>
                <w:sz w:val="21"/>
              </w:rPr>
              <w:t>TRESCIENTOS</w:t>
            </w:r>
            <w:r>
              <w:rPr>
                <w:spacing w:val="8"/>
                <w:sz w:val="21"/>
              </w:rPr>
              <w:t> </w:t>
            </w:r>
            <w:r>
              <w:rPr>
                <w:sz w:val="21"/>
              </w:rPr>
              <w:t>CATORCE</w:t>
            </w:r>
            <w:r>
              <w:rPr>
                <w:spacing w:val="8"/>
                <w:sz w:val="21"/>
              </w:rPr>
              <w:t> </w:t>
            </w:r>
            <w:r>
              <w:rPr>
                <w:spacing w:val="-2"/>
                <w:sz w:val="21"/>
              </w:rPr>
              <w:t>00/100</w:t>
            </w:r>
          </w:p>
        </w:tc>
      </w:tr>
      <w:tr>
        <w:trPr>
          <w:trHeight w:val="258" w:hRule="atLeast"/>
        </w:trPr>
        <w:tc>
          <w:tcPr>
            <w:tcW w:w="1199" w:type="dxa"/>
          </w:tcPr>
          <w:p>
            <w:pPr>
              <w:pStyle w:val="TableParagraph"/>
              <w:spacing w:line="225" w:lineRule="exact" w:before="14"/>
              <w:ind w:left="33"/>
              <w:rPr>
                <w:sz w:val="21"/>
              </w:rPr>
            </w:pPr>
            <w:r>
              <w:rPr>
                <w:spacing w:val="-2"/>
                <w:sz w:val="21"/>
              </w:rPr>
              <w:t>1003.90.00</w:t>
            </w:r>
          </w:p>
        </w:tc>
        <w:tc>
          <w:tcPr>
            <w:tcW w:w="2159" w:type="dxa"/>
          </w:tcPr>
          <w:p>
            <w:pPr>
              <w:pStyle w:val="TableParagraph"/>
              <w:spacing w:line="225" w:lineRule="exact" w:before="14"/>
              <w:ind w:left="34"/>
              <w:rPr>
                <w:sz w:val="21"/>
              </w:rPr>
            </w:pPr>
            <w:r>
              <w:rPr>
                <w:spacing w:val="-2"/>
                <w:sz w:val="21"/>
              </w:rPr>
              <w:t>Cebada</w:t>
            </w:r>
          </w:p>
        </w:tc>
        <w:tc>
          <w:tcPr>
            <w:tcW w:w="892" w:type="dxa"/>
          </w:tcPr>
          <w:p>
            <w:pPr>
              <w:pStyle w:val="TableParagraph"/>
              <w:spacing w:line="225" w:lineRule="exact" w:before="14"/>
              <w:ind w:right="19"/>
              <w:jc w:val="right"/>
              <w:rPr>
                <w:sz w:val="21"/>
              </w:rPr>
            </w:pPr>
            <w:r>
              <w:rPr>
                <w:spacing w:val="-2"/>
                <w:sz w:val="21"/>
              </w:rPr>
              <w:t>277.00</w:t>
            </w:r>
          </w:p>
        </w:tc>
        <w:tc>
          <w:tcPr>
            <w:tcW w:w="5450" w:type="dxa"/>
          </w:tcPr>
          <w:p>
            <w:pPr>
              <w:pStyle w:val="TableParagraph"/>
              <w:spacing w:line="225" w:lineRule="exact" w:before="14"/>
              <w:ind w:right="26"/>
              <w:jc w:val="right"/>
              <w:rPr>
                <w:sz w:val="21"/>
              </w:rPr>
            </w:pPr>
            <w:r>
              <w:rPr>
                <w:sz w:val="21"/>
              </w:rPr>
              <w:t>DOSCIENTOS</w:t>
            </w:r>
            <w:r>
              <w:rPr>
                <w:spacing w:val="6"/>
                <w:sz w:val="21"/>
              </w:rPr>
              <w:t> </w:t>
            </w:r>
            <w:r>
              <w:rPr>
                <w:sz w:val="21"/>
              </w:rPr>
              <w:t>SETENTA</w:t>
            </w:r>
            <w:r>
              <w:rPr>
                <w:spacing w:val="7"/>
                <w:sz w:val="21"/>
              </w:rPr>
              <w:t> </w:t>
            </w:r>
            <w:r>
              <w:rPr>
                <w:sz w:val="21"/>
              </w:rPr>
              <w:t>Y</w:t>
            </w:r>
            <w:r>
              <w:rPr>
                <w:spacing w:val="-3"/>
                <w:sz w:val="21"/>
              </w:rPr>
              <w:t> </w:t>
            </w:r>
            <w:r>
              <w:rPr>
                <w:sz w:val="21"/>
              </w:rPr>
              <w:t>SIETE</w:t>
            </w:r>
            <w:r>
              <w:rPr>
                <w:spacing w:val="7"/>
                <w:sz w:val="21"/>
              </w:rPr>
              <w:t> </w:t>
            </w:r>
            <w:r>
              <w:rPr>
                <w:spacing w:val="-2"/>
                <w:sz w:val="21"/>
              </w:rPr>
              <w:t>00/100</w:t>
            </w:r>
          </w:p>
        </w:tc>
      </w:tr>
      <w:tr>
        <w:trPr>
          <w:trHeight w:val="258" w:hRule="atLeast"/>
        </w:trPr>
        <w:tc>
          <w:tcPr>
            <w:tcW w:w="1199" w:type="dxa"/>
          </w:tcPr>
          <w:p>
            <w:pPr>
              <w:pStyle w:val="TableParagraph"/>
              <w:spacing w:line="225" w:lineRule="exact" w:before="14"/>
              <w:ind w:left="33"/>
              <w:rPr>
                <w:sz w:val="21"/>
              </w:rPr>
            </w:pPr>
            <w:r>
              <w:rPr>
                <w:spacing w:val="-2"/>
                <w:sz w:val="21"/>
              </w:rPr>
              <w:t>1005.90.11</w:t>
            </w:r>
          </w:p>
        </w:tc>
        <w:tc>
          <w:tcPr>
            <w:tcW w:w="2159" w:type="dxa"/>
          </w:tcPr>
          <w:p>
            <w:pPr>
              <w:pStyle w:val="TableParagraph"/>
              <w:spacing w:line="225" w:lineRule="exact" w:before="14"/>
              <w:ind w:left="34"/>
              <w:rPr>
                <w:sz w:val="21"/>
              </w:rPr>
            </w:pPr>
            <w:r>
              <w:rPr>
                <w:sz w:val="21"/>
              </w:rPr>
              <w:t>Maíz</w:t>
            </w:r>
            <w:r>
              <w:rPr>
                <w:spacing w:val="-4"/>
                <w:sz w:val="21"/>
              </w:rPr>
              <w:t> </w:t>
            </w:r>
            <w:r>
              <w:rPr>
                <w:spacing w:val="-2"/>
                <w:sz w:val="21"/>
              </w:rPr>
              <w:t>amarillo</w:t>
            </w:r>
          </w:p>
        </w:tc>
        <w:tc>
          <w:tcPr>
            <w:tcW w:w="892" w:type="dxa"/>
          </w:tcPr>
          <w:p>
            <w:pPr>
              <w:pStyle w:val="TableParagraph"/>
              <w:spacing w:line="225" w:lineRule="exact" w:before="14"/>
              <w:ind w:right="19"/>
              <w:jc w:val="right"/>
              <w:rPr>
                <w:sz w:val="21"/>
              </w:rPr>
            </w:pPr>
            <w:r>
              <w:rPr>
                <w:spacing w:val="-2"/>
                <w:sz w:val="21"/>
              </w:rPr>
              <w:t>242.00</w:t>
            </w:r>
          </w:p>
        </w:tc>
        <w:tc>
          <w:tcPr>
            <w:tcW w:w="5450" w:type="dxa"/>
          </w:tcPr>
          <w:p>
            <w:pPr>
              <w:pStyle w:val="TableParagraph"/>
              <w:spacing w:line="225" w:lineRule="exact" w:before="14"/>
              <w:ind w:right="25"/>
              <w:jc w:val="right"/>
              <w:rPr>
                <w:sz w:val="21"/>
              </w:rPr>
            </w:pPr>
            <w:r>
              <w:rPr>
                <w:sz w:val="21"/>
              </w:rPr>
              <w:t>DOSCIENTOS</w:t>
            </w:r>
            <w:r>
              <w:rPr>
                <w:spacing w:val="3"/>
                <w:sz w:val="21"/>
              </w:rPr>
              <w:t> </w:t>
            </w:r>
            <w:r>
              <w:rPr>
                <w:sz w:val="21"/>
              </w:rPr>
              <w:t>CUARENTA</w:t>
            </w:r>
            <w:r>
              <w:rPr>
                <w:spacing w:val="3"/>
                <w:sz w:val="21"/>
              </w:rPr>
              <w:t> </w:t>
            </w:r>
            <w:r>
              <w:rPr>
                <w:sz w:val="21"/>
              </w:rPr>
              <w:t>Y</w:t>
            </w:r>
            <w:r>
              <w:rPr>
                <w:spacing w:val="-7"/>
                <w:sz w:val="21"/>
              </w:rPr>
              <w:t> </w:t>
            </w:r>
            <w:r>
              <w:rPr>
                <w:sz w:val="21"/>
              </w:rPr>
              <w:t>DOS</w:t>
            </w:r>
            <w:r>
              <w:rPr>
                <w:spacing w:val="4"/>
                <w:sz w:val="21"/>
              </w:rPr>
              <w:t> </w:t>
            </w:r>
            <w:r>
              <w:rPr>
                <w:spacing w:val="-2"/>
                <w:sz w:val="21"/>
              </w:rPr>
              <w:t>00/100</w:t>
            </w:r>
          </w:p>
        </w:tc>
      </w:tr>
      <w:tr>
        <w:trPr>
          <w:trHeight w:val="258" w:hRule="atLeast"/>
        </w:trPr>
        <w:tc>
          <w:tcPr>
            <w:tcW w:w="1199" w:type="dxa"/>
          </w:tcPr>
          <w:p>
            <w:pPr>
              <w:pStyle w:val="TableParagraph"/>
              <w:spacing w:line="225" w:lineRule="exact" w:before="14"/>
              <w:ind w:left="33"/>
              <w:rPr>
                <w:sz w:val="21"/>
              </w:rPr>
            </w:pPr>
            <w:r>
              <w:rPr>
                <w:spacing w:val="-2"/>
                <w:sz w:val="21"/>
              </w:rPr>
              <w:t>1005.90.12</w:t>
            </w:r>
          </w:p>
        </w:tc>
        <w:tc>
          <w:tcPr>
            <w:tcW w:w="2159" w:type="dxa"/>
          </w:tcPr>
          <w:p>
            <w:pPr>
              <w:pStyle w:val="TableParagraph"/>
              <w:spacing w:line="225" w:lineRule="exact" w:before="14"/>
              <w:ind w:left="34"/>
              <w:rPr>
                <w:sz w:val="21"/>
              </w:rPr>
            </w:pPr>
            <w:r>
              <w:rPr>
                <w:sz w:val="21"/>
              </w:rPr>
              <w:t>Maíz</w:t>
            </w:r>
            <w:r>
              <w:rPr>
                <w:spacing w:val="-4"/>
                <w:sz w:val="21"/>
              </w:rPr>
              <w:t> </w:t>
            </w:r>
            <w:r>
              <w:rPr>
                <w:spacing w:val="-2"/>
                <w:sz w:val="21"/>
              </w:rPr>
              <w:t>blanco</w:t>
            </w:r>
          </w:p>
        </w:tc>
        <w:tc>
          <w:tcPr>
            <w:tcW w:w="892" w:type="dxa"/>
          </w:tcPr>
          <w:p>
            <w:pPr>
              <w:pStyle w:val="TableParagraph"/>
              <w:spacing w:line="225" w:lineRule="exact" w:before="14"/>
              <w:ind w:right="19"/>
              <w:jc w:val="right"/>
              <w:rPr>
                <w:sz w:val="21"/>
              </w:rPr>
            </w:pPr>
            <w:r>
              <w:rPr>
                <w:spacing w:val="-2"/>
                <w:sz w:val="21"/>
              </w:rPr>
              <w:t>261.00</w:t>
            </w:r>
          </w:p>
        </w:tc>
        <w:tc>
          <w:tcPr>
            <w:tcW w:w="5450" w:type="dxa"/>
          </w:tcPr>
          <w:p>
            <w:pPr>
              <w:pStyle w:val="TableParagraph"/>
              <w:spacing w:line="225" w:lineRule="exact" w:before="14"/>
              <w:ind w:right="25"/>
              <w:jc w:val="right"/>
              <w:rPr>
                <w:sz w:val="21"/>
              </w:rPr>
            </w:pPr>
            <w:r>
              <w:rPr>
                <w:sz w:val="21"/>
              </w:rPr>
              <w:t>DOSCIENTOS</w:t>
            </w:r>
            <w:r>
              <w:rPr>
                <w:spacing w:val="4"/>
                <w:sz w:val="21"/>
              </w:rPr>
              <w:t> </w:t>
            </w:r>
            <w:r>
              <w:rPr>
                <w:sz w:val="21"/>
              </w:rPr>
              <w:t>SESENTA</w:t>
            </w:r>
            <w:r>
              <w:rPr>
                <w:spacing w:val="5"/>
                <w:sz w:val="21"/>
              </w:rPr>
              <w:t> </w:t>
            </w:r>
            <w:r>
              <w:rPr>
                <w:sz w:val="21"/>
              </w:rPr>
              <w:t>Y</w:t>
            </w:r>
            <w:r>
              <w:rPr>
                <w:spacing w:val="-5"/>
                <w:sz w:val="21"/>
              </w:rPr>
              <w:t> </w:t>
            </w:r>
            <w:r>
              <w:rPr>
                <w:sz w:val="21"/>
              </w:rPr>
              <w:t>UN</w:t>
            </w:r>
            <w:r>
              <w:rPr>
                <w:spacing w:val="3"/>
                <w:sz w:val="21"/>
              </w:rPr>
              <w:t> </w:t>
            </w:r>
            <w:r>
              <w:rPr>
                <w:spacing w:val="-2"/>
                <w:sz w:val="21"/>
              </w:rPr>
              <w:t>00/100</w:t>
            </w:r>
          </w:p>
        </w:tc>
      </w:tr>
      <w:tr>
        <w:trPr>
          <w:trHeight w:val="258" w:hRule="atLeast"/>
        </w:trPr>
        <w:tc>
          <w:tcPr>
            <w:tcW w:w="1199" w:type="dxa"/>
          </w:tcPr>
          <w:p>
            <w:pPr>
              <w:pStyle w:val="TableParagraph"/>
              <w:spacing w:line="225" w:lineRule="exact" w:before="14"/>
              <w:ind w:left="33"/>
              <w:rPr>
                <w:sz w:val="21"/>
              </w:rPr>
            </w:pPr>
            <w:r>
              <w:rPr>
                <w:spacing w:val="-2"/>
                <w:sz w:val="21"/>
              </w:rPr>
              <w:t>1006.30.00</w:t>
            </w:r>
          </w:p>
        </w:tc>
        <w:tc>
          <w:tcPr>
            <w:tcW w:w="2159" w:type="dxa"/>
          </w:tcPr>
          <w:p>
            <w:pPr>
              <w:pStyle w:val="TableParagraph"/>
              <w:spacing w:line="225" w:lineRule="exact" w:before="14"/>
              <w:ind w:left="34"/>
              <w:rPr>
                <w:sz w:val="21"/>
              </w:rPr>
            </w:pPr>
            <w:r>
              <w:rPr>
                <w:sz w:val="21"/>
              </w:rPr>
              <w:t>Arroz</w:t>
            </w:r>
            <w:r>
              <w:rPr>
                <w:spacing w:val="-4"/>
                <w:sz w:val="21"/>
              </w:rPr>
              <w:t> </w:t>
            </w:r>
            <w:r>
              <w:rPr>
                <w:spacing w:val="-2"/>
                <w:sz w:val="21"/>
              </w:rPr>
              <w:t>blanco</w:t>
            </w:r>
          </w:p>
        </w:tc>
        <w:tc>
          <w:tcPr>
            <w:tcW w:w="892" w:type="dxa"/>
          </w:tcPr>
          <w:p>
            <w:pPr>
              <w:pStyle w:val="TableParagraph"/>
              <w:spacing w:line="225" w:lineRule="exact" w:before="14"/>
              <w:ind w:right="19"/>
              <w:jc w:val="right"/>
              <w:rPr>
                <w:sz w:val="21"/>
              </w:rPr>
            </w:pPr>
            <w:r>
              <w:rPr>
                <w:spacing w:val="-2"/>
                <w:sz w:val="21"/>
              </w:rPr>
              <w:t>445.00</w:t>
            </w:r>
          </w:p>
        </w:tc>
        <w:tc>
          <w:tcPr>
            <w:tcW w:w="5450" w:type="dxa"/>
          </w:tcPr>
          <w:p>
            <w:pPr>
              <w:pStyle w:val="TableParagraph"/>
              <w:spacing w:line="225" w:lineRule="exact" w:before="14"/>
              <w:ind w:right="26"/>
              <w:jc w:val="right"/>
              <w:rPr>
                <w:sz w:val="21"/>
              </w:rPr>
            </w:pPr>
            <w:r>
              <w:rPr>
                <w:sz w:val="21"/>
              </w:rPr>
              <w:t>CUATROCIENTOS</w:t>
            </w:r>
            <w:r>
              <w:rPr>
                <w:spacing w:val="4"/>
                <w:sz w:val="21"/>
              </w:rPr>
              <w:t> </w:t>
            </w:r>
            <w:r>
              <w:rPr>
                <w:sz w:val="21"/>
              </w:rPr>
              <w:t>CUARENTA</w:t>
            </w:r>
            <w:r>
              <w:rPr>
                <w:spacing w:val="4"/>
                <w:sz w:val="21"/>
              </w:rPr>
              <w:t> </w:t>
            </w:r>
            <w:r>
              <w:rPr>
                <w:sz w:val="21"/>
              </w:rPr>
              <w:t>Y</w:t>
            </w:r>
            <w:r>
              <w:rPr>
                <w:spacing w:val="-5"/>
                <w:sz w:val="21"/>
              </w:rPr>
              <w:t> </w:t>
            </w:r>
            <w:r>
              <w:rPr>
                <w:sz w:val="21"/>
              </w:rPr>
              <w:t>CINCO </w:t>
            </w:r>
            <w:r>
              <w:rPr>
                <w:spacing w:val="-2"/>
                <w:sz w:val="21"/>
              </w:rPr>
              <w:t>00/100</w:t>
            </w:r>
          </w:p>
        </w:tc>
      </w:tr>
      <w:tr>
        <w:trPr>
          <w:trHeight w:val="258" w:hRule="atLeast"/>
        </w:trPr>
        <w:tc>
          <w:tcPr>
            <w:tcW w:w="1199" w:type="dxa"/>
          </w:tcPr>
          <w:p>
            <w:pPr>
              <w:pStyle w:val="TableParagraph"/>
              <w:spacing w:line="225" w:lineRule="exact" w:before="14"/>
              <w:ind w:left="33"/>
              <w:rPr>
                <w:sz w:val="21"/>
              </w:rPr>
            </w:pPr>
            <w:r>
              <w:rPr>
                <w:spacing w:val="-2"/>
                <w:sz w:val="21"/>
              </w:rPr>
              <w:t>1201.90.00</w:t>
            </w:r>
          </w:p>
        </w:tc>
        <w:tc>
          <w:tcPr>
            <w:tcW w:w="2159" w:type="dxa"/>
          </w:tcPr>
          <w:p>
            <w:pPr>
              <w:pStyle w:val="TableParagraph"/>
              <w:spacing w:line="225" w:lineRule="exact" w:before="14"/>
              <w:ind w:left="34"/>
              <w:rPr>
                <w:sz w:val="21"/>
              </w:rPr>
            </w:pPr>
            <w:r>
              <w:rPr>
                <w:sz w:val="21"/>
              </w:rPr>
              <w:t>Soya</w:t>
            </w:r>
            <w:r>
              <w:rPr>
                <w:spacing w:val="-2"/>
                <w:sz w:val="21"/>
              </w:rPr>
              <w:t> </w:t>
            </w:r>
            <w:r>
              <w:rPr>
                <w:sz w:val="21"/>
              </w:rPr>
              <w:t>en</w:t>
            </w:r>
            <w:r>
              <w:rPr>
                <w:spacing w:val="-11"/>
                <w:sz w:val="21"/>
              </w:rPr>
              <w:t> </w:t>
            </w:r>
            <w:r>
              <w:rPr>
                <w:spacing w:val="-2"/>
                <w:sz w:val="21"/>
              </w:rPr>
              <w:t>grano</w:t>
            </w:r>
          </w:p>
        </w:tc>
        <w:tc>
          <w:tcPr>
            <w:tcW w:w="892" w:type="dxa"/>
          </w:tcPr>
          <w:p>
            <w:pPr>
              <w:pStyle w:val="TableParagraph"/>
              <w:spacing w:line="225" w:lineRule="exact" w:before="14"/>
              <w:ind w:right="19"/>
              <w:jc w:val="right"/>
              <w:rPr>
                <w:sz w:val="21"/>
              </w:rPr>
            </w:pPr>
            <w:r>
              <w:rPr>
                <w:spacing w:val="-2"/>
                <w:sz w:val="21"/>
              </w:rPr>
              <w:t>491.00</w:t>
            </w:r>
          </w:p>
        </w:tc>
        <w:tc>
          <w:tcPr>
            <w:tcW w:w="5450" w:type="dxa"/>
          </w:tcPr>
          <w:p>
            <w:pPr>
              <w:pStyle w:val="TableParagraph"/>
              <w:spacing w:line="225" w:lineRule="exact" w:before="14"/>
              <w:ind w:right="26"/>
              <w:jc w:val="right"/>
              <w:rPr>
                <w:sz w:val="21"/>
              </w:rPr>
            </w:pPr>
            <w:r>
              <w:rPr>
                <w:sz w:val="21"/>
              </w:rPr>
              <w:t>CUATROCIENTOS</w:t>
            </w:r>
            <w:r>
              <w:rPr>
                <w:spacing w:val="4"/>
                <w:sz w:val="21"/>
              </w:rPr>
              <w:t> </w:t>
            </w:r>
            <w:r>
              <w:rPr>
                <w:sz w:val="21"/>
              </w:rPr>
              <w:t>NOVENTA</w:t>
            </w:r>
            <w:r>
              <w:rPr>
                <w:spacing w:val="4"/>
                <w:sz w:val="21"/>
              </w:rPr>
              <w:t> </w:t>
            </w:r>
            <w:r>
              <w:rPr>
                <w:sz w:val="21"/>
              </w:rPr>
              <w:t>Y</w:t>
            </w:r>
            <w:r>
              <w:rPr>
                <w:spacing w:val="-6"/>
                <w:sz w:val="21"/>
              </w:rPr>
              <w:t> </w:t>
            </w:r>
            <w:r>
              <w:rPr>
                <w:sz w:val="21"/>
              </w:rPr>
              <w:t>UN</w:t>
            </w:r>
            <w:r>
              <w:rPr>
                <w:spacing w:val="3"/>
                <w:sz w:val="21"/>
              </w:rPr>
              <w:t> </w:t>
            </w:r>
            <w:r>
              <w:rPr>
                <w:spacing w:val="-2"/>
                <w:sz w:val="21"/>
              </w:rPr>
              <w:t>00/100</w:t>
            </w:r>
          </w:p>
        </w:tc>
      </w:tr>
      <w:tr>
        <w:trPr>
          <w:trHeight w:val="258" w:hRule="atLeast"/>
        </w:trPr>
        <w:tc>
          <w:tcPr>
            <w:tcW w:w="1199" w:type="dxa"/>
          </w:tcPr>
          <w:p>
            <w:pPr>
              <w:pStyle w:val="TableParagraph"/>
              <w:spacing w:line="225" w:lineRule="exact" w:before="14"/>
              <w:ind w:left="33"/>
              <w:rPr>
                <w:sz w:val="21"/>
              </w:rPr>
            </w:pPr>
            <w:r>
              <w:rPr>
                <w:spacing w:val="-2"/>
                <w:sz w:val="21"/>
              </w:rPr>
              <w:t>1507.10.00</w:t>
            </w:r>
          </w:p>
        </w:tc>
        <w:tc>
          <w:tcPr>
            <w:tcW w:w="2159" w:type="dxa"/>
          </w:tcPr>
          <w:p>
            <w:pPr>
              <w:pStyle w:val="TableParagraph"/>
              <w:spacing w:line="225" w:lineRule="exact" w:before="14"/>
              <w:ind w:left="34"/>
              <w:rPr>
                <w:sz w:val="21"/>
              </w:rPr>
            </w:pPr>
            <w:r>
              <w:rPr>
                <w:sz w:val="21"/>
              </w:rPr>
              <w:t>Aceite</w:t>
            </w:r>
            <w:r>
              <w:rPr>
                <w:spacing w:val="-15"/>
                <w:sz w:val="21"/>
              </w:rPr>
              <w:t> </w:t>
            </w:r>
            <w:r>
              <w:rPr>
                <w:sz w:val="21"/>
              </w:rPr>
              <w:t>crudo</w:t>
            </w:r>
            <w:r>
              <w:rPr>
                <w:spacing w:val="-4"/>
                <w:sz w:val="21"/>
              </w:rPr>
              <w:t> </w:t>
            </w:r>
            <w:r>
              <w:rPr>
                <w:sz w:val="21"/>
              </w:rPr>
              <w:t>de</w:t>
            </w:r>
            <w:r>
              <w:rPr>
                <w:spacing w:val="-12"/>
                <w:sz w:val="21"/>
              </w:rPr>
              <w:t> </w:t>
            </w:r>
            <w:r>
              <w:rPr>
                <w:spacing w:val="-4"/>
                <w:sz w:val="21"/>
              </w:rPr>
              <w:t>soya</w:t>
            </w:r>
          </w:p>
        </w:tc>
        <w:tc>
          <w:tcPr>
            <w:tcW w:w="892" w:type="dxa"/>
          </w:tcPr>
          <w:p>
            <w:pPr>
              <w:pStyle w:val="TableParagraph"/>
              <w:spacing w:line="225" w:lineRule="exact" w:before="14"/>
              <w:ind w:right="19"/>
              <w:jc w:val="right"/>
              <w:rPr>
                <w:sz w:val="21"/>
              </w:rPr>
            </w:pPr>
            <w:r>
              <w:rPr>
                <w:spacing w:val="-2"/>
                <w:sz w:val="21"/>
              </w:rPr>
              <w:t>1,240.00</w:t>
            </w:r>
          </w:p>
        </w:tc>
        <w:tc>
          <w:tcPr>
            <w:tcW w:w="5450" w:type="dxa"/>
          </w:tcPr>
          <w:p>
            <w:pPr>
              <w:pStyle w:val="TableParagraph"/>
              <w:spacing w:line="225" w:lineRule="exact" w:before="14"/>
              <w:ind w:right="25"/>
              <w:jc w:val="right"/>
              <w:rPr>
                <w:sz w:val="21"/>
              </w:rPr>
            </w:pPr>
            <w:r>
              <w:rPr>
                <w:sz w:val="21"/>
              </w:rPr>
              <w:t>UN</w:t>
            </w:r>
            <w:r>
              <w:rPr>
                <w:spacing w:val="2"/>
                <w:sz w:val="21"/>
              </w:rPr>
              <w:t> </w:t>
            </w:r>
            <w:r>
              <w:rPr>
                <w:sz w:val="21"/>
              </w:rPr>
              <w:t>MIL</w:t>
            </w:r>
            <w:r>
              <w:rPr>
                <w:spacing w:val="-1"/>
                <w:sz w:val="21"/>
              </w:rPr>
              <w:t> </w:t>
            </w:r>
            <w:r>
              <w:rPr>
                <w:sz w:val="21"/>
              </w:rPr>
              <w:t>DOSCIENTOS</w:t>
            </w:r>
            <w:r>
              <w:rPr>
                <w:spacing w:val="4"/>
                <w:sz w:val="21"/>
              </w:rPr>
              <w:t> </w:t>
            </w:r>
            <w:r>
              <w:rPr>
                <w:sz w:val="21"/>
              </w:rPr>
              <w:t>CUARENTA</w:t>
            </w:r>
            <w:r>
              <w:rPr>
                <w:spacing w:val="5"/>
                <w:sz w:val="21"/>
              </w:rPr>
              <w:t> </w:t>
            </w:r>
            <w:r>
              <w:rPr>
                <w:spacing w:val="-2"/>
                <w:sz w:val="21"/>
              </w:rPr>
              <w:t>00/100</w:t>
            </w:r>
          </w:p>
        </w:tc>
      </w:tr>
      <w:tr>
        <w:trPr>
          <w:trHeight w:val="258" w:hRule="atLeast"/>
        </w:trPr>
        <w:tc>
          <w:tcPr>
            <w:tcW w:w="1199" w:type="dxa"/>
          </w:tcPr>
          <w:p>
            <w:pPr>
              <w:pStyle w:val="TableParagraph"/>
              <w:spacing w:line="225" w:lineRule="exact" w:before="14"/>
              <w:ind w:left="33"/>
              <w:rPr>
                <w:sz w:val="21"/>
              </w:rPr>
            </w:pPr>
            <w:r>
              <w:rPr>
                <w:spacing w:val="-2"/>
                <w:sz w:val="21"/>
              </w:rPr>
              <w:t>1511.10.00</w:t>
            </w:r>
          </w:p>
        </w:tc>
        <w:tc>
          <w:tcPr>
            <w:tcW w:w="2159" w:type="dxa"/>
          </w:tcPr>
          <w:p>
            <w:pPr>
              <w:pStyle w:val="TableParagraph"/>
              <w:spacing w:line="225" w:lineRule="exact" w:before="14"/>
              <w:ind w:left="34"/>
              <w:rPr>
                <w:sz w:val="21"/>
              </w:rPr>
            </w:pPr>
            <w:r>
              <w:rPr>
                <w:sz w:val="21"/>
              </w:rPr>
              <w:t>Aceite</w:t>
            </w:r>
            <w:r>
              <w:rPr>
                <w:spacing w:val="-15"/>
                <w:sz w:val="21"/>
              </w:rPr>
              <w:t> </w:t>
            </w:r>
            <w:r>
              <w:rPr>
                <w:sz w:val="21"/>
              </w:rPr>
              <w:t>crudo</w:t>
            </w:r>
            <w:r>
              <w:rPr>
                <w:spacing w:val="-4"/>
                <w:sz w:val="21"/>
              </w:rPr>
              <w:t> </w:t>
            </w:r>
            <w:r>
              <w:rPr>
                <w:sz w:val="21"/>
              </w:rPr>
              <w:t>de</w:t>
            </w:r>
            <w:r>
              <w:rPr>
                <w:spacing w:val="-12"/>
                <w:sz w:val="21"/>
              </w:rPr>
              <w:t> </w:t>
            </w:r>
            <w:r>
              <w:rPr>
                <w:spacing w:val="-4"/>
                <w:sz w:val="21"/>
              </w:rPr>
              <w:t>palma</w:t>
            </w:r>
          </w:p>
        </w:tc>
        <w:tc>
          <w:tcPr>
            <w:tcW w:w="892" w:type="dxa"/>
          </w:tcPr>
          <w:p>
            <w:pPr>
              <w:pStyle w:val="TableParagraph"/>
              <w:spacing w:line="225" w:lineRule="exact" w:before="14"/>
              <w:ind w:right="19"/>
              <w:jc w:val="right"/>
              <w:rPr>
                <w:sz w:val="21"/>
              </w:rPr>
            </w:pPr>
            <w:r>
              <w:rPr>
                <w:spacing w:val="-2"/>
                <w:sz w:val="21"/>
              </w:rPr>
              <w:t>1,626.00</w:t>
            </w:r>
          </w:p>
        </w:tc>
        <w:tc>
          <w:tcPr>
            <w:tcW w:w="5450" w:type="dxa"/>
          </w:tcPr>
          <w:p>
            <w:pPr>
              <w:pStyle w:val="TableParagraph"/>
              <w:spacing w:line="225" w:lineRule="exact" w:before="14"/>
              <w:ind w:right="26"/>
              <w:jc w:val="right"/>
              <w:rPr>
                <w:sz w:val="21"/>
              </w:rPr>
            </w:pPr>
            <w:r>
              <w:rPr>
                <w:sz w:val="21"/>
              </w:rPr>
              <w:t>UN</w:t>
            </w:r>
            <w:r>
              <w:rPr>
                <w:spacing w:val="2"/>
                <w:sz w:val="21"/>
              </w:rPr>
              <w:t> </w:t>
            </w:r>
            <w:r>
              <w:rPr>
                <w:sz w:val="21"/>
              </w:rPr>
              <w:t>MIL SEISCIENTOS</w:t>
            </w:r>
            <w:r>
              <w:rPr>
                <w:spacing w:val="5"/>
                <w:sz w:val="21"/>
              </w:rPr>
              <w:t> </w:t>
            </w:r>
            <w:r>
              <w:rPr>
                <w:sz w:val="21"/>
              </w:rPr>
              <w:t>VEINTISEIS</w:t>
            </w:r>
            <w:r>
              <w:rPr>
                <w:spacing w:val="5"/>
                <w:sz w:val="21"/>
              </w:rPr>
              <w:t> </w:t>
            </w:r>
            <w:r>
              <w:rPr>
                <w:spacing w:val="-2"/>
                <w:sz w:val="21"/>
              </w:rPr>
              <w:t>00/100</w:t>
            </w:r>
          </w:p>
        </w:tc>
      </w:tr>
      <w:tr>
        <w:trPr>
          <w:trHeight w:val="258" w:hRule="atLeast"/>
        </w:trPr>
        <w:tc>
          <w:tcPr>
            <w:tcW w:w="1199" w:type="dxa"/>
          </w:tcPr>
          <w:p>
            <w:pPr>
              <w:pStyle w:val="TableParagraph"/>
              <w:spacing w:line="225" w:lineRule="exact" w:before="14"/>
              <w:ind w:left="33"/>
              <w:rPr>
                <w:sz w:val="21"/>
              </w:rPr>
            </w:pPr>
            <w:r>
              <w:rPr>
                <w:spacing w:val="-2"/>
                <w:sz w:val="21"/>
              </w:rPr>
              <w:t>1701.14.00</w:t>
            </w:r>
          </w:p>
        </w:tc>
        <w:tc>
          <w:tcPr>
            <w:tcW w:w="2159" w:type="dxa"/>
          </w:tcPr>
          <w:p>
            <w:pPr>
              <w:pStyle w:val="TableParagraph"/>
              <w:spacing w:line="225" w:lineRule="exact" w:before="14"/>
              <w:ind w:left="34"/>
              <w:rPr>
                <w:sz w:val="21"/>
              </w:rPr>
            </w:pPr>
            <w:r>
              <w:rPr>
                <w:sz w:val="21"/>
              </w:rPr>
              <w:t>Azúcar</w:t>
            </w:r>
            <w:r>
              <w:rPr>
                <w:spacing w:val="-13"/>
                <w:sz w:val="21"/>
              </w:rPr>
              <w:t> </w:t>
            </w:r>
            <w:r>
              <w:rPr>
                <w:spacing w:val="-2"/>
                <w:sz w:val="21"/>
              </w:rPr>
              <w:t>crudo</w:t>
            </w:r>
          </w:p>
        </w:tc>
        <w:tc>
          <w:tcPr>
            <w:tcW w:w="892" w:type="dxa"/>
          </w:tcPr>
          <w:p>
            <w:pPr>
              <w:pStyle w:val="TableParagraph"/>
              <w:spacing w:line="225" w:lineRule="exact" w:before="14"/>
              <w:ind w:right="19"/>
              <w:jc w:val="right"/>
              <w:rPr>
                <w:sz w:val="21"/>
              </w:rPr>
            </w:pPr>
            <w:r>
              <w:rPr>
                <w:spacing w:val="-2"/>
                <w:sz w:val="21"/>
              </w:rPr>
              <w:t>332.00</w:t>
            </w:r>
          </w:p>
        </w:tc>
        <w:tc>
          <w:tcPr>
            <w:tcW w:w="5450" w:type="dxa"/>
          </w:tcPr>
          <w:p>
            <w:pPr>
              <w:pStyle w:val="TableParagraph"/>
              <w:spacing w:line="225" w:lineRule="exact" w:before="14"/>
              <w:ind w:right="25"/>
              <w:jc w:val="right"/>
              <w:rPr>
                <w:sz w:val="21"/>
              </w:rPr>
            </w:pPr>
            <w:r>
              <w:rPr>
                <w:sz w:val="21"/>
              </w:rPr>
              <w:t>TRESCIENTOS</w:t>
            </w:r>
            <w:r>
              <w:rPr>
                <w:spacing w:val="5"/>
                <w:sz w:val="21"/>
              </w:rPr>
              <w:t> </w:t>
            </w:r>
            <w:r>
              <w:rPr>
                <w:sz w:val="21"/>
              </w:rPr>
              <w:t>TREINTA</w:t>
            </w:r>
            <w:r>
              <w:rPr>
                <w:spacing w:val="5"/>
                <w:sz w:val="21"/>
              </w:rPr>
              <w:t> </w:t>
            </w:r>
            <w:r>
              <w:rPr>
                <w:sz w:val="21"/>
              </w:rPr>
              <w:t>Y</w:t>
            </w:r>
            <w:r>
              <w:rPr>
                <w:spacing w:val="-5"/>
                <w:sz w:val="21"/>
              </w:rPr>
              <w:t> </w:t>
            </w:r>
            <w:r>
              <w:rPr>
                <w:sz w:val="21"/>
              </w:rPr>
              <w:t>DOS</w:t>
            </w:r>
            <w:r>
              <w:rPr>
                <w:spacing w:val="6"/>
                <w:sz w:val="21"/>
              </w:rPr>
              <w:t> </w:t>
            </w:r>
            <w:r>
              <w:rPr>
                <w:spacing w:val="-2"/>
                <w:sz w:val="21"/>
              </w:rPr>
              <w:t>00/100</w:t>
            </w:r>
          </w:p>
        </w:tc>
      </w:tr>
      <w:tr>
        <w:trPr>
          <w:trHeight w:val="259" w:hRule="atLeast"/>
        </w:trPr>
        <w:tc>
          <w:tcPr>
            <w:tcW w:w="1199" w:type="dxa"/>
          </w:tcPr>
          <w:p>
            <w:pPr>
              <w:pStyle w:val="TableParagraph"/>
              <w:spacing w:line="225" w:lineRule="exact" w:before="14"/>
              <w:ind w:left="33"/>
              <w:rPr>
                <w:sz w:val="21"/>
              </w:rPr>
            </w:pPr>
            <w:r>
              <w:rPr>
                <w:spacing w:val="-2"/>
                <w:sz w:val="21"/>
              </w:rPr>
              <w:t>1701.99.90</w:t>
            </w:r>
          </w:p>
        </w:tc>
        <w:tc>
          <w:tcPr>
            <w:tcW w:w="2159" w:type="dxa"/>
          </w:tcPr>
          <w:p>
            <w:pPr>
              <w:pStyle w:val="TableParagraph"/>
              <w:spacing w:line="225" w:lineRule="exact" w:before="14"/>
              <w:ind w:left="34"/>
              <w:rPr>
                <w:sz w:val="21"/>
              </w:rPr>
            </w:pPr>
            <w:r>
              <w:rPr>
                <w:sz w:val="21"/>
              </w:rPr>
              <w:t>Azúcar</w:t>
            </w:r>
            <w:r>
              <w:rPr>
                <w:spacing w:val="-13"/>
                <w:sz w:val="21"/>
              </w:rPr>
              <w:t> </w:t>
            </w:r>
            <w:r>
              <w:rPr>
                <w:spacing w:val="-2"/>
                <w:sz w:val="21"/>
              </w:rPr>
              <w:t>blanco</w:t>
            </w:r>
          </w:p>
        </w:tc>
        <w:tc>
          <w:tcPr>
            <w:tcW w:w="892" w:type="dxa"/>
          </w:tcPr>
          <w:p>
            <w:pPr>
              <w:pStyle w:val="TableParagraph"/>
              <w:spacing w:line="225" w:lineRule="exact" w:before="14"/>
              <w:ind w:right="19"/>
              <w:jc w:val="right"/>
              <w:rPr>
                <w:sz w:val="21"/>
              </w:rPr>
            </w:pPr>
            <w:r>
              <w:rPr>
                <w:spacing w:val="-2"/>
                <w:sz w:val="21"/>
              </w:rPr>
              <w:t>454.00</w:t>
            </w:r>
          </w:p>
        </w:tc>
        <w:tc>
          <w:tcPr>
            <w:tcW w:w="5450" w:type="dxa"/>
          </w:tcPr>
          <w:p>
            <w:pPr>
              <w:pStyle w:val="TableParagraph"/>
              <w:spacing w:line="225" w:lineRule="exact" w:before="14"/>
              <w:ind w:right="27"/>
              <w:jc w:val="right"/>
              <w:rPr>
                <w:sz w:val="21"/>
              </w:rPr>
            </w:pPr>
            <w:r>
              <w:rPr>
                <w:sz w:val="21"/>
              </w:rPr>
              <w:t>CUATROCIENTOS</w:t>
            </w:r>
            <w:r>
              <w:rPr>
                <w:spacing w:val="3"/>
                <w:sz w:val="21"/>
              </w:rPr>
              <w:t> </w:t>
            </w:r>
            <w:r>
              <w:rPr>
                <w:sz w:val="21"/>
              </w:rPr>
              <w:t>CINCUENTA</w:t>
            </w:r>
            <w:r>
              <w:rPr>
                <w:spacing w:val="5"/>
                <w:sz w:val="21"/>
              </w:rPr>
              <w:t> </w:t>
            </w:r>
            <w:r>
              <w:rPr>
                <w:sz w:val="21"/>
              </w:rPr>
              <w:t>Y</w:t>
            </w:r>
            <w:r>
              <w:rPr>
                <w:spacing w:val="-4"/>
                <w:sz w:val="21"/>
              </w:rPr>
              <w:t> </w:t>
            </w:r>
            <w:r>
              <w:rPr>
                <w:sz w:val="21"/>
              </w:rPr>
              <w:t>CUATRO</w:t>
            </w:r>
            <w:r>
              <w:rPr>
                <w:spacing w:val="1"/>
                <w:sz w:val="21"/>
              </w:rPr>
              <w:t> </w:t>
            </w:r>
            <w:r>
              <w:rPr>
                <w:spacing w:val="-2"/>
                <w:sz w:val="21"/>
              </w:rPr>
              <w:t>00/100</w:t>
            </w:r>
          </w:p>
        </w:tc>
      </w:tr>
    </w:tbl>
    <w:p>
      <w:pPr>
        <w:pStyle w:val="TableParagraph"/>
        <w:spacing w:after="0" w:line="225" w:lineRule="exact"/>
        <w:jc w:val="right"/>
        <w:rPr>
          <w:sz w:val="21"/>
        </w:rPr>
        <w:sectPr>
          <w:pgSz w:w="11900" w:h="16850"/>
          <w:pgMar w:header="370" w:footer="651" w:top="1380" w:bottom="840" w:left="992" w:right="283"/>
        </w:sectPr>
      </w:pPr>
    </w:p>
    <w:p>
      <w:pPr>
        <w:pStyle w:val="BodyText"/>
      </w:pPr>
    </w:p>
    <w:p>
      <w:pPr>
        <w:pStyle w:val="BodyText"/>
      </w:pPr>
    </w:p>
    <w:p>
      <w:pPr>
        <w:pStyle w:val="BodyText"/>
        <w:spacing w:before="177"/>
      </w:pPr>
    </w:p>
    <w:p>
      <w:pPr>
        <w:pStyle w:val="BodyText"/>
        <w:ind w:left="568" w:right="977" w:firstLine="283"/>
        <w:jc w:val="both"/>
      </w:pPr>
      <w:r>
        <w:rPr>
          <w:rFonts w:ascii="Arial" w:hAnsi="Arial"/>
          <w:b/>
        </w:rPr>
        <w:t>Artículo 2.- </w:t>
      </w:r>
      <w:r>
        <w:rPr/>
        <w:t>Los Precios</w:t>
      </w:r>
      <w:r>
        <w:rPr>
          <w:spacing w:val="-2"/>
        </w:rPr>
        <w:t> </w:t>
      </w:r>
      <w:r>
        <w:rPr/>
        <w:t>de Referencia indicados</w:t>
      </w:r>
      <w:r>
        <w:rPr>
          <w:spacing w:val="-2"/>
        </w:rPr>
        <w:t> </w:t>
      </w:r>
      <w:r>
        <w:rPr/>
        <w:t>en el</w:t>
      </w:r>
      <w:r>
        <w:rPr>
          <w:spacing w:val="-1"/>
        </w:rPr>
        <w:t> </w:t>
      </w:r>
      <w:r>
        <w:rPr/>
        <w:t>artículo anterior, se</w:t>
      </w:r>
      <w:r>
        <w:rPr>
          <w:spacing w:val="-2"/>
        </w:rPr>
        <w:t> </w:t>
      </w:r>
      <w:r>
        <w:rPr/>
        <w:t>aplicarán a las importaciones</w:t>
      </w:r>
      <w:r>
        <w:rPr>
          <w:spacing w:val="-9"/>
        </w:rPr>
        <w:t> </w:t>
      </w:r>
      <w:r>
        <w:rPr/>
        <w:t>que</w:t>
      </w:r>
      <w:r>
        <w:rPr>
          <w:spacing w:val="-6"/>
        </w:rPr>
        <w:t> </w:t>
      </w:r>
      <w:r>
        <w:rPr/>
        <w:t>arriben</w:t>
      </w:r>
      <w:r>
        <w:rPr>
          <w:spacing w:val="-6"/>
        </w:rPr>
        <w:t> </w:t>
      </w:r>
      <w:r>
        <w:rPr/>
        <w:t>a</w:t>
      </w:r>
      <w:r>
        <w:rPr>
          <w:spacing w:val="-6"/>
        </w:rPr>
        <w:t> </w:t>
      </w:r>
      <w:r>
        <w:rPr/>
        <w:t>puertos</w:t>
      </w:r>
      <w:r>
        <w:rPr>
          <w:spacing w:val="-6"/>
        </w:rPr>
        <w:t> </w:t>
      </w:r>
      <w:r>
        <w:rPr/>
        <w:t>de</w:t>
      </w:r>
      <w:r>
        <w:rPr>
          <w:spacing w:val="-7"/>
        </w:rPr>
        <w:t> </w:t>
      </w:r>
      <w:r>
        <w:rPr/>
        <w:t>la</w:t>
      </w:r>
      <w:r>
        <w:rPr>
          <w:spacing w:val="-6"/>
        </w:rPr>
        <w:t> </w:t>
      </w:r>
      <w:r>
        <w:rPr/>
        <w:t>Comunidad</w:t>
      </w:r>
      <w:r>
        <w:rPr>
          <w:spacing w:val="-6"/>
        </w:rPr>
        <w:t> </w:t>
      </w:r>
      <w:r>
        <w:rPr/>
        <w:t>Andina</w:t>
      </w:r>
      <w:r>
        <w:rPr>
          <w:spacing w:val="-7"/>
        </w:rPr>
        <w:t> </w:t>
      </w:r>
      <w:r>
        <w:rPr/>
        <w:t>entre</w:t>
      </w:r>
      <w:r>
        <w:rPr>
          <w:spacing w:val="-6"/>
        </w:rPr>
        <w:t> </w:t>
      </w:r>
      <w:r>
        <w:rPr/>
        <w:t>el</w:t>
      </w:r>
      <w:r>
        <w:rPr>
          <w:spacing w:val="-7"/>
        </w:rPr>
        <w:t> </w:t>
      </w:r>
      <w:r>
        <w:rPr/>
        <w:t>dieciséis</w:t>
      </w:r>
      <w:r>
        <w:rPr>
          <w:spacing w:val="-6"/>
        </w:rPr>
        <w:t> </w:t>
      </w:r>
      <w:r>
        <w:rPr/>
        <w:t>y</w:t>
      </w:r>
      <w:r>
        <w:rPr>
          <w:spacing w:val="-6"/>
        </w:rPr>
        <w:t> </w:t>
      </w:r>
      <w:r>
        <w:rPr/>
        <w:t>treinta</w:t>
      </w:r>
      <w:r>
        <w:rPr>
          <w:spacing w:val="-6"/>
        </w:rPr>
        <w:t> </w:t>
      </w:r>
      <w:r>
        <w:rPr/>
        <w:t>y</w:t>
      </w:r>
      <w:r>
        <w:rPr>
          <w:spacing w:val="-8"/>
        </w:rPr>
        <w:t> </w:t>
      </w:r>
      <w:r>
        <w:rPr/>
        <w:t>uno de mayo del año dos mil veintiséis.</w:t>
      </w:r>
    </w:p>
    <w:p>
      <w:pPr>
        <w:pStyle w:val="BodyText"/>
      </w:pPr>
    </w:p>
    <w:p>
      <w:pPr>
        <w:pStyle w:val="BodyText"/>
        <w:spacing w:before="1"/>
        <w:ind w:left="568" w:right="978" w:firstLine="283"/>
        <w:jc w:val="right"/>
      </w:pPr>
      <w:r>
        <w:rPr>
          <w:rFonts w:ascii="Arial" w:hAnsi="Arial"/>
          <w:b/>
        </w:rPr>
        <w:t>Artículo 3.- </w:t>
      </w:r>
      <w:r>
        <w:rPr/>
        <w:t>Los Países Miembros que apliquen el Sistema Andino de Franjas de Precios de</w:t>
      </w:r>
      <w:r>
        <w:rPr>
          <w:spacing w:val="14"/>
        </w:rPr>
        <w:t> </w:t>
      </w:r>
      <w:r>
        <w:rPr/>
        <w:t>conformidad</w:t>
      </w:r>
      <w:r>
        <w:rPr>
          <w:spacing w:val="15"/>
        </w:rPr>
        <w:t> </w:t>
      </w:r>
      <w:r>
        <w:rPr/>
        <w:t>con</w:t>
      </w:r>
      <w:r>
        <w:rPr>
          <w:spacing w:val="13"/>
        </w:rPr>
        <w:t> </w:t>
      </w:r>
      <w:r>
        <w:rPr/>
        <w:t>las</w:t>
      </w:r>
      <w:r>
        <w:rPr>
          <w:spacing w:val="11"/>
        </w:rPr>
        <w:t> </w:t>
      </w:r>
      <w:r>
        <w:rPr/>
        <w:t>Decisiones</w:t>
      </w:r>
      <w:r>
        <w:rPr>
          <w:spacing w:val="17"/>
        </w:rPr>
        <w:t> </w:t>
      </w:r>
      <w:r>
        <w:rPr/>
        <w:t>371,</w:t>
      </w:r>
      <w:r>
        <w:rPr>
          <w:spacing w:val="13"/>
        </w:rPr>
        <w:t> </w:t>
      </w:r>
      <w:r>
        <w:rPr/>
        <w:t>384,</w:t>
      </w:r>
      <w:r>
        <w:rPr>
          <w:spacing w:val="14"/>
        </w:rPr>
        <w:t> </w:t>
      </w:r>
      <w:r>
        <w:rPr/>
        <w:t>402,</w:t>
      </w:r>
      <w:r>
        <w:rPr>
          <w:spacing w:val="17"/>
        </w:rPr>
        <w:t> </w:t>
      </w:r>
      <w:r>
        <w:rPr/>
        <w:t>403,</w:t>
      </w:r>
      <w:r>
        <w:rPr>
          <w:spacing w:val="15"/>
        </w:rPr>
        <w:t> </w:t>
      </w:r>
      <w:r>
        <w:rPr/>
        <w:t>410,</w:t>
      </w:r>
      <w:r>
        <w:rPr>
          <w:spacing w:val="14"/>
        </w:rPr>
        <w:t> </w:t>
      </w:r>
      <w:r>
        <w:rPr/>
        <w:t>411,</w:t>
      </w:r>
      <w:r>
        <w:rPr>
          <w:spacing w:val="14"/>
        </w:rPr>
        <w:t> </w:t>
      </w:r>
      <w:r>
        <w:rPr/>
        <w:t>413,</w:t>
      </w:r>
      <w:r>
        <w:rPr>
          <w:spacing w:val="14"/>
        </w:rPr>
        <w:t> </w:t>
      </w:r>
      <w:r>
        <w:rPr/>
        <w:t>430,</w:t>
      </w:r>
      <w:r>
        <w:rPr>
          <w:spacing w:val="18"/>
        </w:rPr>
        <w:t> </w:t>
      </w:r>
      <w:r>
        <w:rPr/>
        <w:t>453,</w:t>
      </w:r>
      <w:r>
        <w:rPr>
          <w:spacing w:val="15"/>
        </w:rPr>
        <w:t> </w:t>
      </w:r>
      <w:r>
        <w:rPr/>
        <w:t>469,</w:t>
      </w:r>
      <w:r>
        <w:rPr>
          <w:spacing w:val="14"/>
        </w:rPr>
        <w:t> </w:t>
      </w:r>
      <w:r>
        <w:rPr>
          <w:spacing w:val="-4"/>
        </w:rPr>
        <w:t>470,</w:t>
      </w:r>
    </w:p>
    <w:p>
      <w:pPr>
        <w:pStyle w:val="BodyText"/>
        <w:spacing w:line="251" w:lineRule="exact"/>
        <w:ind w:right="978"/>
        <w:jc w:val="right"/>
      </w:pPr>
      <w:r>
        <w:rPr/>
        <w:t>482,</w:t>
      </w:r>
      <w:r>
        <w:rPr>
          <w:spacing w:val="5"/>
        </w:rPr>
        <w:t> </w:t>
      </w:r>
      <w:r>
        <w:rPr/>
        <w:t>496,</w:t>
      </w:r>
      <w:r>
        <w:rPr>
          <w:spacing w:val="8"/>
        </w:rPr>
        <w:t> </w:t>
      </w:r>
      <w:r>
        <w:rPr/>
        <w:t>497,</w:t>
      </w:r>
      <w:r>
        <w:rPr>
          <w:spacing w:val="6"/>
        </w:rPr>
        <w:t> </w:t>
      </w:r>
      <w:r>
        <w:rPr/>
        <w:t>512,</w:t>
      </w:r>
      <w:r>
        <w:rPr>
          <w:spacing w:val="4"/>
        </w:rPr>
        <w:t> </w:t>
      </w:r>
      <w:r>
        <w:rPr/>
        <w:t>518,</w:t>
      </w:r>
      <w:r>
        <w:rPr>
          <w:spacing w:val="5"/>
        </w:rPr>
        <w:t> </w:t>
      </w:r>
      <w:r>
        <w:rPr/>
        <w:t>520,</w:t>
      </w:r>
      <w:r>
        <w:rPr>
          <w:spacing w:val="5"/>
        </w:rPr>
        <w:t> </w:t>
      </w:r>
      <w:r>
        <w:rPr/>
        <w:t>579,</w:t>
      </w:r>
      <w:r>
        <w:rPr>
          <w:spacing w:val="5"/>
        </w:rPr>
        <w:t> </w:t>
      </w:r>
      <w:r>
        <w:rPr/>
        <w:t>651,</w:t>
      </w:r>
      <w:r>
        <w:rPr>
          <w:spacing w:val="7"/>
        </w:rPr>
        <w:t> </w:t>
      </w:r>
      <w:r>
        <w:rPr/>
        <w:t>652,</w:t>
      </w:r>
      <w:r>
        <w:rPr>
          <w:spacing w:val="8"/>
        </w:rPr>
        <w:t> </w:t>
      </w:r>
      <w:r>
        <w:rPr/>
        <w:t>796,</w:t>
      </w:r>
      <w:r>
        <w:rPr>
          <w:spacing w:val="8"/>
        </w:rPr>
        <w:t> </w:t>
      </w:r>
      <w:r>
        <w:rPr/>
        <w:t>805,</w:t>
      </w:r>
      <w:r>
        <w:rPr>
          <w:spacing w:val="7"/>
        </w:rPr>
        <w:t> </w:t>
      </w:r>
      <w:r>
        <w:rPr/>
        <w:t>807,</w:t>
      </w:r>
      <w:r>
        <w:rPr>
          <w:spacing w:val="8"/>
        </w:rPr>
        <w:t> </w:t>
      </w:r>
      <w:r>
        <w:rPr/>
        <w:t>885</w:t>
      </w:r>
      <w:r>
        <w:rPr>
          <w:spacing w:val="7"/>
        </w:rPr>
        <w:t> </w:t>
      </w:r>
      <w:r>
        <w:rPr/>
        <w:t>y</w:t>
      </w:r>
      <w:r>
        <w:rPr>
          <w:spacing w:val="5"/>
        </w:rPr>
        <w:t> </w:t>
      </w:r>
      <w:r>
        <w:rPr/>
        <w:t>906</w:t>
      </w:r>
      <w:r>
        <w:rPr>
          <w:spacing w:val="5"/>
        </w:rPr>
        <w:t> </w:t>
      </w:r>
      <w:r>
        <w:rPr/>
        <w:t>de</w:t>
      </w:r>
      <w:r>
        <w:rPr>
          <w:spacing w:val="4"/>
        </w:rPr>
        <w:t> </w:t>
      </w:r>
      <w:r>
        <w:rPr/>
        <w:t>la</w:t>
      </w:r>
      <w:r>
        <w:rPr>
          <w:spacing w:val="7"/>
        </w:rPr>
        <w:t> </w:t>
      </w:r>
      <w:r>
        <w:rPr/>
        <w:t>Comisión</w:t>
      </w:r>
      <w:r>
        <w:rPr>
          <w:spacing w:val="6"/>
        </w:rPr>
        <w:t> </w:t>
      </w:r>
      <w:r>
        <w:rPr/>
        <w:t>de</w:t>
      </w:r>
      <w:r>
        <w:rPr>
          <w:spacing w:val="4"/>
        </w:rPr>
        <w:t> </w:t>
      </w:r>
      <w:r>
        <w:rPr>
          <w:spacing w:val="-5"/>
        </w:rPr>
        <w:t>la</w:t>
      </w:r>
    </w:p>
    <w:p>
      <w:pPr>
        <w:pStyle w:val="BodyText"/>
        <w:spacing w:before="1"/>
        <w:ind w:left="568" w:right="976"/>
        <w:jc w:val="both"/>
      </w:pPr>
      <w:r>
        <w:rPr/>
        <w:t>Comunidad Andina podrán utilizar, para la determinación de los derechos variables adicionales</w:t>
      </w:r>
      <w:r>
        <w:rPr>
          <w:spacing w:val="-16"/>
        </w:rPr>
        <w:t> </w:t>
      </w:r>
      <w:r>
        <w:rPr/>
        <w:t>o</w:t>
      </w:r>
      <w:r>
        <w:rPr>
          <w:spacing w:val="-15"/>
        </w:rPr>
        <w:t> </w:t>
      </w:r>
      <w:r>
        <w:rPr/>
        <w:t>las</w:t>
      </w:r>
      <w:r>
        <w:rPr>
          <w:spacing w:val="-15"/>
        </w:rPr>
        <w:t> </w:t>
      </w:r>
      <w:r>
        <w:rPr/>
        <w:t>rebajas</w:t>
      </w:r>
      <w:r>
        <w:rPr>
          <w:spacing w:val="-16"/>
        </w:rPr>
        <w:t> </w:t>
      </w:r>
      <w:r>
        <w:rPr/>
        <w:t>arancelarias</w:t>
      </w:r>
      <w:r>
        <w:rPr>
          <w:spacing w:val="-15"/>
        </w:rPr>
        <w:t> </w:t>
      </w:r>
      <w:r>
        <w:rPr/>
        <w:t>que</w:t>
      </w:r>
      <w:r>
        <w:rPr>
          <w:spacing w:val="-15"/>
        </w:rPr>
        <w:t> </w:t>
      </w:r>
      <w:r>
        <w:rPr/>
        <w:t>correspondan</w:t>
      </w:r>
      <w:r>
        <w:rPr>
          <w:spacing w:val="-15"/>
        </w:rPr>
        <w:t> </w:t>
      </w:r>
      <w:r>
        <w:rPr/>
        <w:t>a</w:t>
      </w:r>
      <w:r>
        <w:rPr>
          <w:spacing w:val="-16"/>
        </w:rPr>
        <w:t> </w:t>
      </w:r>
      <w:r>
        <w:rPr/>
        <w:t>los</w:t>
      </w:r>
      <w:r>
        <w:rPr>
          <w:spacing w:val="-15"/>
        </w:rPr>
        <w:t> </w:t>
      </w:r>
      <w:r>
        <w:rPr/>
        <w:t>Precios</w:t>
      </w:r>
      <w:r>
        <w:rPr>
          <w:spacing w:val="-15"/>
        </w:rPr>
        <w:t> </w:t>
      </w:r>
      <w:r>
        <w:rPr/>
        <w:t>de</w:t>
      </w:r>
      <w:r>
        <w:rPr>
          <w:spacing w:val="-16"/>
        </w:rPr>
        <w:t> </w:t>
      </w:r>
      <w:r>
        <w:rPr/>
        <w:t>Referencia</w:t>
      </w:r>
      <w:r>
        <w:rPr>
          <w:spacing w:val="-15"/>
        </w:rPr>
        <w:t> </w:t>
      </w:r>
      <w:r>
        <w:rPr/>
        <w:t>indicados en el artículo 1, las Tablas Aduaneras publicadas en la Resolución 2546 de la Secretaría General de la Comunidad Andina, o podrán efectuar los cálculos que se establecen en los artículos 11, 12, 13 y 14 de la Decisión 371.</w:t>
      </w:r>
    </w:p>
    <w:p>
      <w:pPr>
        <w:pStyle w:val="BodyText"/>
        <w:spacing w:before="253"/>
        <w:ind w:left="568" w:right="978" w:firstLine="283"/>
        <w:jc w:val="both"/>
      </w:pPr>
      <w:r>
        <w:rPr>
          <w:rFonts w:ascii="Arial" w:hAnsi="Arial"/>
          <w:b/>
        </w:rPr>
        <w:t>Artículo 4.- </w:t>
      </w:r>
      <w:r>
        <w:rPr/>
        <w:t>Comuníquese a los Países Miembros la presente Resolución, la cual entrará en vigor a partir de su fecha de publicación en la Gaceta Oficial del Acuerdo de Cartagena.</w:t>
      </w:r>
    </w:p>
    <w:p>
      <w:pPr>
        <w:pStyle w:val="BodyText"/>
        <w:spacing w:before="1"/>
      </w:pPr>
    </w:p>
    <w:p>
      <w:pPr>
        <w:pStyle w:val="BodyText"/>
        <w:ind w:left="568" w:right="979" w:firstLine="283"/>
        <w:jc w:val="both"/>
      </w:pPr>
      <w:r>
        <w:rPr/>
        <w:t>Dada en la ciudad de Lima, Perú, a los siete días del mes de mayo del año dos mil </w:t>
      </w:r>
      <w:r>
        <w:rPr>
          <w:spacing w:val="-2"/>
        </w:rPr>
        <w:t>veintiséis.</w:t>
      </w:r>
    </w:p>
    <w:p>
      <w:pPr>
        <w:pStyle w:val="BodyText"/>
      </w:pPr>
    </w:p>
    <w:p>
      <w:pPr>
        <w:pStyle w:val="BodyText"/>
      </w:pPr>
    </w:p>
    <w:p>
      <w:pPr>
        <w:pStyle w:val="BodyText"/>
        <w:spacing w:before="245"/>
      </w:pPr>
    </w:p>
    <w:p>
      <w:pPr>
        <w:pStyle w:val="BodyText"/>
        <w:spacing w:line="244" w:lineRule="auto"/>
        <w:ind w:left="3383" w:right="3797"/>
        <w:jc w:val="center"/>
      </w:pPr>
      <w:r>
        <w:rPr>
          <w:color w:val="212121"/>
        </w:rPr>
        <w:t>Gonzalo</w:t>
      </w:r>
      <w:r>
        <w:rPr>
          <w:color w:val="212121"/>
          <w:spacing w:val="-16"/>
        </w:rPr>
        <w:t> </w:t>
      </w:r>
      <w:r>
        <w:rPr>
          <w:color w:val="212121"/>
        </w:rPr>
        <w:t>Gutiérrez</w:t>
      </w:r>
      <w:r>
        <w:rPr>
          <w:color w:val="212121"/>
          <w:spacing w:val="-15"/>
        </w:rPr>
        <w:t> </w:t>
      </w:r>
      <w:r>
        <w:rPr>
          <w:color w:val="212121"/>
        </w:rPr>
        <w:t>Reinel </w:t>
      </w:r>
      <w:r>
        <w:rPr>
          <w:color w:val="212121"/>
          <w:spacing w:val="-2"/>
        </w:rPr>
        <w:t>Embajador</w:t>
      </w:r>
    </w:p>
    <w:p>
      <w:pPr>
        <w:pStyle w:val="BodyText"/>
        <w:spacing w:line="249" w:lineRule="exact"/>
        <w:ind w:left="-1" w:right="411"/>
        <w:jc w:val="center"/>
      </w:pPr>
      <w:r>
        <w:rPr>
          <w:color w:val="212121"/>
        </w:rPr>
        <w:t>Secretario</w:t>
      </w:r>
      <w:r>
        <w:rPr>
          <w:color w:val="212121"/>
          <w:spacing w:val="-6"/>
        </w:rPr>
        <w:t> </w:t>
      </w:r>
      <w:r>
        <w:rPr>
          <w:color w:val="212121"/>
          <w:spacing w:val="-2"/>
        </w:rPr>
        <w:t>General</w:t>
      </w:r>
    </w:p>
    <w:p>
      <w:pPr>
        <w:pStyle w:val="BodyText"/>
        <w:rPr>
          <w:sz w:val="20"/>
        </w:rPr>
      </w:pPr>
    </w:p>
    <w:p>
      <w:pPr>
        <w:pStyle w:val="BodyText"/>
        <w:rPr>
          <w:sz w:val="20"/>
        </w:rPr>
      </w:pPr>
    </w:p>
    <w:p>
      <w:pPr>
        <w:pStyle w:val="BodyText"/>
        <w:spacing w:before="115"/>
        <w:rPr>
          <w:sz w:val="20"/>
        </w:rPr>
      </w:pPr>
      <w:r>
        <w:rPr>
          <w:sz w:val="20"/>
        </w:rPr>
        <mc:AlternateContent>
          <mc:Choice Requires="wps">
            <w:drawing>
              <wp:anchor distT="0" distB="0" distL="0" distR="0" allowOverlap="1" layoutInCell="1" locked="0" behindDoc="1" simplePos="0" relativeHeight="487674368">
                <wp:simplePos x="0" y="0"/>
                <wp:positionH relativeFrom="page">
                  <wp:posOffset>723900</wp:posOffset>
                </wp:positionH>
                <wp:positionV relativeFrom="paragraph">
                  <wp:posOffset>239402</wp:posOffset>
                </wp:positionV>
                <wp:extent cx="6139815" cy="4090035"/>
                <wp:effectExtent l="0" t="0" r="0" b="0"/>
                <wp:wrapTopAndBottom/>
                <wp:docPr id="719" name="Graphic 719"/>
                <wp:cNvGraphicFramePr>
                  <a:graphicFrameLocks/>
                </wp:cNvGraphicFramePr>
                <a:graphic>
                  <a:graphicData uri="http://schemas.microsoft.com/office/word/2010/wordprocessingShape">
                    <wps:wsp>
                      <wps:cNvPr id="719" name="Graphic 719"/>
                      <wps:cNvSpPr/>
                      <wps:spPr>
                        <a:xfrm>
                          <a:off x="0" y="0"/>
                          <a:ext cx="6139815" cy="4090035"/>
                        </a:xfrm>
                        <a:custGeom>
                          <a:avLst/>
                          <a:gdLst/>
                          <a:ahLst/>
                          <a:cxnLst/>
                          <a:rect l="l" t="t" r="r" b="b"/>
                          <a:pathLst>
                            <a:path w="6139815" h="4090035">
                              <a:moveTo>
                                <a:pt x="8254" y="4089933"/>
                              </a:moveTo>
                              <a:lnTo>
                                <a:pt x="6139815" y="4089933"/>
                              </a:lnTo>
                            </a:path>
                            <a:path w="6139815" h="4090035">
                              <a:moveTo>
                                <a:pt x="0" y="0"/>
                              </a:moveTo>
                              <a:lnTo>
                                <a:pt x="5977890" y="0"/>
                              </a:lnTo>
                            </a:path>
                            <a:path w="6139815" h="4090035">
                              <a:moveTo>
                                <a:pt x="5977890" y="0"/>
                              </a:moveTo>
                              <a:lnTo>
                                <a:pt x="0" y="4080471"/>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7pt;margin-top:18.850557pt;width:483.45pt;height:322.05pt;mso-position-horizontal-relative:page;mso-position-vertical-relative:paragraph;z-index:-15642112;mso-wrap-distance-left:0;mso-wrap-distance-right:0" id="docshape480" coordorigin="1140,377" coordsize="9669,6441" path="m1153,6818l10809,6818m1140,377l10554,377m10554,377l1140,6803e" filled="false" stroked="true" strokeweight=".75pt" strokecolor="#000000">
                <v:path arrowok="t"/>
                <v:stroke dashstyle="solid"/>
                <w10:wrap type="topAndBottom"/>
              </v:shape>
            </w:pict>
          </mc:Fallback>
        </mc:AlternateContent>
      </w:r>
    </w:p>
    <w:sectPr>
      <w:headerReference w:type="default" r:id="rId123"/>
      <w:footerReference w:type="default" r:id="rId124"/>
      <w:pgSz w:w="11900" w:h="16850"/>
      <w:pgMar w:header="370" w:footer="597" w:top="1380" w:bottom="780" w:left="992"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rebuchet MS">
    <w:altName w:val="Trebuchet MS"/>
    <w:charset w:val="1"/>
    <w:family w:val="swiss"/>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 w:name="Cambria Math">
    <w:altName w:val="Cambria Math"/>
    <w:charset w:val="1"/>
    <w:family w:val="roman"/>
    <w:pitch w:val="variable"/>
  </w:font>
  <w:font w:name="Courier New">
    <w:altName w:val="Courier New"/>
    <w:charset w:val="1"/>
    <w:family w:val="modern"/>
    <w:pitch w:val="default"/>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280960">
              <wp:simplePos x="0" y="0"/>
              <wp:positionH relativeFrom="page">
                <wp:posOffset>732155</wp:posOffset>
              </wp:positionH>
              <wp:positionV relativeFrom="page">
                <wp:posOffset>10141863</wp:posOffset>
              </wp:positionV>
              <wp:extent cx="6131560" cy="1270"/>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3552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81472">
              <wp:simplePos x="0" y="0"/>
              <wp:positionH relativeFrom="page">
                <wp:posOffset>731316</wp:posOffset>
              </wp:positionH>
              <wp:positionV relativeFrom="page">
                <wp:posOffset>10258288</wp:posOffset>
              </wp:positionV>
              <wp:extent cx="6164580" cy="12446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1035008" type="#_x0000_t202" id="docshape10"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284544">
              <wp:simplePos x="0" y="0"/>
              <wp:positionH relativeFrom="page">
                <wp:posOffset>732155</wp:posOffset>
              </wp:positionH>
              <wp:positionV relativeFrom="page">
                <wp:posOffset>10141863</wp:posOffset>
              </wp:positionV>
              <wp:extent cx="6131560" cy="1270"/>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3193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85056">
              <wp:simplePos x="0" y="0"/>
              <wp:positionH relativeFrom="page">
                <wp:posOffset>732155</wp:posOffset>
              </wp:positionH>
              <wp:positionV relativeFrom="page">
                <wp:posOffset>10107573</wp:posOffset>
              </wp:positionV>
              <wp:extent cx="6131560" cy="1270"/>
              <wp:effectExtent l="0" t="0" r="0" b="0"/>
              <wp:wrapNone/>
              <wp:docPr id="23" name="Graphic 23"/>
              <wp:cNvGraphicFramePr>
                <a:graphicFrameLocks/>
              </wp:cNvGraphicFramePr>
              <a:graphic>
                <a:graphicData uri="http://schemas.microsoft.com/office/word/2010/wordprocessingShape">
                  <wps:wsp>
                    <wps:cNvPr id="23" name="Graphic 2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3142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85568">
              <wp:simplePos x="0" y="0"/>
              <wp:positionH relativeFrom="page">
                <wp:posOffset>731316</wp:posOffset>
              </wp:positionH>
              <wp:positionV relativeFrom="page">
                <wp:posOffset>10258288</wp:posOffset>
              </wp:positionV>
              <wp:extent cx="6164580" cy="124460"/>
              <wp:effectExtent l="0" t="0" r="0" b="0"/>
              <wp:wrapNone/>
              <wp:docPr id="24" name="Textbox 24"/>
              <wp:cNvGraphicFramePr>
                <a:graphicFrameLocks/>
              </wp:cNvGraphicFramePr>
              <a:graphic>
                <a:graphicData uri="http://schemas.microsoft.com/office/word/2010/wordprocessingShape">
                  <wps:wsp>
                    <wps:cNvPr id="24" name="Textbox 24"/>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1030912" type="#_x0000_t202" id="docshape16"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288640">
              <wp:simplePos x="0" y="0"/>
              <wp:positionH relativeFrom="page">
                <wp:posOffset>732155</wp:posOffset>
              </wp:positionH>
              <wp:positionV relativeFrom="page">
                <wp:posOffset>10141863</wp:posOffset>
              </wp:positionV>
              <wp:extent cx="6131560" cy="1270"/>
              <wp:effectExtent l="0" t="0" r="0" b="0"/>
              <wp:wrapNone/>
              <wp:docPr id="30" name="Graphic 30"/>
              <wp:cNvGraphicFramePr>
                <a:graphicFrameLocks/>
              </wp:cNvGraphicFramePr>
              <a:graphic>
                <a:graphicData uri="http://schemas.microsoft.com/office/word/2010/wordprocessingShape">
                  <wps:wsp>
                    <wps:cNvPr id="30" name="Graphic 3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2784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89152">
              <wp:simplePos x="0" y="0"/>
              <wp:positionH relativeFrom="page">
                <wp:posOffset>731316</wp:posOffset>
              </wp:positionH>
              <wp:positionV relativeFrom="page">
                <wp:posOffset>10258288</wp:posOffset>
              </wp:positionV>
              <wp:extent cx="6164580" cy="124460"/>
              <wp:effectExtent l="0" t="0" r="0" b="0"/>
              <wp:wrapNone/>
              <wp:docPr id="31" name="Textbox 31"/>
              <wp:cNvGraphicFramePr>
                <a:graphicFrameLocks/>
              </wp:cNvGraphicFramePr>
              <a:graphic>
                <a:graphicData uri="http://schemas.microsoft.com/office/word/2010/wordprocessingShape">
                  <wps:wsp>
                    <wps:cNvPr id="31" name="Textbox 31"/>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1027328" type="#_x0000_t202" id="docshape20"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292224">
              <wp:simplePos x="0" y="0"/>
              <wp:positionH relativeFrom="page">
                <wp:posOffset>732155</wp:posOffset>
              </wp:positionH>
              <wp:positionV relativeFrom="page">
                <wp:posOffset>10141863</wp:posOffset>
              </wp:positionV>
              <wp:extent cx="6131560" cy="1270"/>
              <wp:effectExtent l="0" t="0" r="0" b="0"/>
              <wp:wrapNone/>
              <wp:docPr id="50" name="Graphic 50"/>
              <wp:cNvGraphicFramePr>
                <a:graphicFrameLocks/>
              </wp:cNvGraphicFramePr>
              <a:graphic>
                <a:graphicData uri="http://schemas.microsoft.com/office/word/2010/wordprocessingShape">
                  <wps:wsp>
                    <wps:cNvPr id="50" name="Graphic 5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2425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92736">
              <wp:simplePos x="0" y="0"/>
              <wp:positionH relativeFrom="page">
                <wp:posOffset>732155</wp:posOffset>
              </wp:positionH>
              <wp:positionV relativeFrom="page">
                <wp:posOffset>10107573</wp:posOffset>
              </wp:positionV>
              <wp:extent cx="6131560" cy="1270"/>
              <wp:effectExtent l="0" t="0" r="0" b="0"/>
              <wp:wrapNone/>
              <wp:docPr id="51" name="Graphic 51"/>
              <wp:cNvGraphicFramePr>
                <a:graphicFrameLocks/>
              </wp:cNvGraphicFramePr>
              <a:graphic>
                <a:graphicData uri="http://schemas.microsoft.com/office/word/2010/wordprocessingShape">
                  <wps:wsp>
                    <wps:cNvPr id="51" name="Graphic 51"/>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2374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93248">
              <wp:simplePos x="0" y="0"/>
              <wp:positionH relativeFrom="page">
                <wp:posOffset>731316</wp:posOffset>
              </wp:positionH>
              <wp:positionV relativeFrom="page">
                <wp:posOffset>10258288</wp:posOffset>
              </wp:positionV>
              <wp:extent cx="6164580" cy="124460"/>
              <wp:effectExtent l="0" t="0" r="0" b="0"/>
              <wp:wrapNone/>
              <wp:docPr id="52" name="Textbox 52"/>
              <wp:cNvGraphicFramePr>
                <a:graphicFrameLocks/>
              </wp:cNvGraphicFramePr>
              <a:graphic>
                <a:graphicData uri="http://schemas.microsoft.com/office/word/2010/wordprocessingShape">
                  <wps:wsp>
                    <wps:cNvPr id="52" name="Textbox 52"/>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1023232" type="#_x0000_t202" id="docshape33"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296320">
              <wp:simplePos x="0" y="0"/>
              <wp:positionH relativeFrom="page">
                <wp:posOffset>732155</wp:posOffset>
              </wp:positionH>
              <wp:positionV relativeFrom="page">
                <wp:posOffset>10141863</wp:posOffset>
              </wp:positionV>
              <wp:extent cx="6131560" cy="1270"/>
              <wp:effectExtent l="0" t="0" r="0" b="0"/>
              <wp:wrapNone/>
              <wp:docPr id="58" name="Graphic 58"/>
              <wp:cNvGraphicFramePr>
                <a:graphicFrameLocks/>
              </wp:cNvGraphicFramePr>
              <a:graphic>
                <a:graphicData uri="http://schemas.microsoft.com/office/word/2010/wordprocessingShape">
                  <wps:wsp>
                    <wps:cNvPr id="58" name="Graphic 58"/>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2016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96832">
              <wp:simplePos x="0" y="0"/>
              <wp:positionH relativeFrom="page">
                <wp:posOffset>731316</wp:posOffset>
              </wp:positionH>
              <wp:positionV relativeFrom="page">
                <wp:posOffset>10258288</wp:posOffset>
              </wp:positionV>
              <wp:extent cx="6164580" cy="124460"/>
              <wp:effectExtent l="0" t="0" r="0" b="0"/>
              <wp:wrapNone/>
              <wp:docPr id="59" name="Textbox 59"/>
              <wp:cNvGraphicFramePr>
                <a:graphicFrameLocks/>
              </wp:cNvGraphicFramePr>
              <a:graphic>
                <a:graphicData uri="http://schemas.microsoft.com/office/word/2010/wordprocessingShape">
                  <wps:wsp>
                    <wps:cNvPr id="59" name="Textbox 59"/>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1019648" type="#_x0000_t202" id="docshape3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299904">
              <wp:simplePos x="0" y="0"/>
              <wp:positionH relativeFrom="page">
                <wp:posOffset>732155</wp:posOffset>
              </wp:positionH>
              <wp:positionV relativeFrom="page">
                <wp:posOffset>10141863</wp:posOffset>
              </wp:positionV>
              <wp:extent cx="6131560" cy="1270"/>
              <wp:effectExtent l="0" t="0" r="0" b="0"/>
              <wp:wrapNone/>
              <wp:docPr id="66" name="Graphic 66"/>
              <wp:cNvGraphicFramePr>
                <a:graphicFrameLocks/>
              </wp:cNvGraphicFramePr>
              <a:graphic>
                <a:graphicData uri="http://schemas.microsoft.com/office/word/2010/wordprocessingShape">
                  <wps:wsp>
                    <wps:cNvPr id="66" name="Graphic 66"/>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1657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00416">
              <wp:simplePos x="0" y="0"/>
              <wp:positionH relativeFrom="page">
                <wp:posOffset>732155</wp:posOffset>
              </wp:positionH>
              <wp:positionV relativeFrom="page">
                <wp:posOffset>10107573</wp:posOffset>
              </wp:positionV>
              <wp:extent cx="6131560" cy="1270"/>
              <wp:effectExtent l="0" t="0" r="0" b="0"/>
              <wp:wrapNone/>
              <wp:docPr id="67" name="Graphic 67"/>
              <wp:cNvGraphicFramePr>
                <a:graphicFrameLocks/>
              </wp:cNvGraphicFramePr>
              <a:graphic>
                <a:graphicData uri="http://schemas.microsoft.com/office/word/2010/wordprocessingShape">
                  <wps:wsp>
                    <wps:cNvPr id="67" name="Graphic 67"/>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1606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00928">
              <wp:simplePos x="0" y="0"/>
              <wp:positionH relativeFrom="page">
                <wp:posOffset>731316</wp:posOffset>
              </wp:positionH>
              <wp:positionV relativeFrom="page">
                <wp:posOffset>10258288</wp:posOffset>
              </wp:positionV>
              <wp:extent cx="6164580" cy="124460"/>
              <wp:effectExtent l="0" t="0" r="0" b="0"/>
              <wp:wrapNone/>
              <wp:docPr id="68" name="Textbox 68"/>
              <wp:cNvGraphicFramePr>
                <a:graphicFrameLocks/>
              </wp:cNvGraphicFramePr>
              <a:graphic>
                <a:graphicData uri="http://schemas.microsoft.com/office/word/2010/wordprocessingShape">
                  <wps:wsp>
                    <wps:cNvPr id="68" name="Textbox 68"/>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1015552" type="#_x0000_t202" id="docshape42"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04000">
              <wp:simplePos x="0" y="0"/>
              <wp:positionH relativeFrom="page">
                <wp:posOffset>732155</wp:posOffset>
              </wp:positionH>
              <wp:positionV relativeFrom="page">
                <wp:posOffset>10141863</wp:posOffset>
              </wp:positionV>
              <wp:extent cx="6131560" cy="1270"/>
              <wp:effectExtent l="0" t="0" r="0" b="0"/>
              <wp:wrapNone/>
              <wp:docPr id="75" name="Graphic 75"/>
              <wp:cNvGraphicFramePr>
                <a:graphicFrameLocks/>
              </wp:cNvGraphicFramePr>
              <a:graphic>
                <a:graphicData uri="http://schemas.microsoft.com/office/word/2010/wordprocessingShape">
                  <wps:wsp>
                    <wps:cNvPr id="75" name="Graphic 75"/>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1248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04512">
              <wp:simplePos x="0" y="0"/>
              <wp:positionH relativeFrom="page">
                <wp:posOffset>731316</wp:posOffset>
              </wp:positionH>
              <wp:positionV relativeFrom="page">
                <wp:posOffset>10258288</wp:posOffset>
              </wp:positionV>
              <wp:extent cx="6164580" cy="124460"/>
              <wp:effectExtent l="0" t="0" r="0" b="0"/>
              <wp:wrapNone/>
              <wp:docPr id="76" name="Textbox 76"/>
              <wp:cNvGraphicFramePr>
                <a:graphicFrameLocks/>
              </wp:cNvGraphicFramePr>
              <a:graphic>
                <a:graphicData uri="http://schemas.microsoft.com/office/word/2010/wordprocessingShape">
                  <wps:wsp>
                    <wps:cNvPr id="76" name="Textbox 76"/>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1011968" type="#_x0000_t202" id="docshape4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07584">
              <wp:simplePos x="0" y="0"/>
              <wp:positionH relativeFrom="page">
                <wp:posOffset>732155</wp:posOffset>
              </wp:positionH>
              <wp:positionV relativeFrom="page">
                <wp:posOffset>10141863</wp:posOffset>
              </wp:positionV>
              <wp:extent cx="6131560" cy="1270"/>
              <wp:effectExtent l="0" t="0" r="0" b="0"/>
              <wp:wrapNone/>
              <wp:docPr id="85" name="Graphic 85"/>
              <wp:cNvGraphicFramePr>
                <a:graphicFrameLocks/>
              </wp:cNvGraphicFramePr>
              <a:graphic>
                <a:graphicData uri="http://schemas.microsoft.com/office/word/2010/wordprocessingShape">
                  <wps:wsp>
                    <wps:cNvPr id="85" name="Graphic 85"/>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0889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08096">
              <wp:simplePos x="0" y="0"/>
              <wp:positionH relativeFrom="page">
                <wp:posOffset>732155</wp:posOffset>
              </wp:positionH>
              <wp:positionV relativeFrom="page">
                <wp:posOffset>10107573</wp:posOffset>
              </wp:positionV>
              <wp:extent cx="6131560" cy="1270"/>
              <wp:effectExtent l="0" t="0" r="0" b="0"/>
              <wp:wrapNone/>
              <wp:docPr id="86" name="Graphic 86"/>
              <wp:cNvGraphicFramePr>
                <a:graphicFrameLocks/>
              </wp:cNvGraphicFramePr>
              <a:graphic>
                <a:graphicData uri="http://schemas.microsoft.com/office/word/2010/wordprocessingShape">
                  <wps:wsp>
                    <wps:cNvPr id="86" name="Graphic 86"/>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0838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08608">
              <wp:simplePos x="0" y="0"/>
              <wp:positionH relativeFrom="page">
                <wp:posOffset>731316</wp:posOffset>
              </wp:positionH>
              <wp:positionV relativeFrom="page">
                <wp:posOffset>10258288</wp:posOffset>
              </wp:positionV>
              <wp:extent cx="6164580" cy="124460"/>
              <wp:effectExtent l="0" t="0" r="0" b="0"/>
              <wp:wrapNone/>
              <wp:docPr id="87" name="Textbox 87"/>
              <wp:cNvGraphicFramePr>
                <a:graphicFrameLocks/>
              </wp:cNvGraphicFramePr>
              <a:graphic>
                <a:graphicData uri="http://schemas.microsoft.com/office/word/2010/wordprocessingShape">
                  <wps:wsp>
                    <wps:cNvPr id="87" name="Textbox 87"/>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1007872" type="#_x0000_t202" id="docshape53"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11680">
              <wp:simplePos x="0" y="0"/>
              <wp:positionH relativeFrom="page">
                <wp:posOffset>732155</wp:posOffset>
              </wp:positionH>
              <wp:positionV relativeFrom="page">
                <wp:posOffset>10141863</wp:posOffset>
              </wp:positionV>
              <wp:extent cx="6131560" cy="1270"/>
              <wp:effectExtent l="0" t="0" r="0" b="0"/>
              <wp:wrapNone/>
              <wp:docPr id="94" name="Graphic 94"/>
              <wp:cNvGraphicFramePr>
                <a:graphicFrameLocks/>
              </wp:cNvGraphicFramePr>
              <a:graphic>
                <a:graphicData uri="http://schemas.microsoft.com/office/word/2010/wordprocessingShape">
                  <wps:wsp>
                    <wps:cNvPr id="94" name="Graphic 94"/>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0480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12192">
              <wp:simplePos x="0" y="0"/>
              <wp:positionH relativeFrom="page">
                <wp:posOffset>731316</wp:posOffset>
              </wp:positionH>
              <wp:positionV relativeFrom="page">
                <wp:posOffset>10258288</wp:posOffset>
              </wp:positionV>
              <wp:extent cx="6164580" cy="124460"/>
              <wp:effectExtent l="0" t="0" r="0" b="0"/>
              <wp:wrapNone/>
              <wp:docPr id="95" name="Textbox 95"/>
              <wp:cNvGraphicFramePr>
                <a:graphicFrameLocks/>
              </wp:cNvGraphicFramePr>
              <a:graphic>
                <a:graphicData uri="http://schemas.microsoft.com/office/word/2010/wordprocessingShape">
                  <wps:wsp>
                    <wps:cNvPr id="95" name="Textbox 95"/>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1004288" type="#_x0000_t202" id="docshape58"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15264">
              <wp:simplePos x="0" y="0"/>
              <wp:positionH relativeFrom="page">
                <wp:posOffset>732155</wp:posOffset>
              </wp:positionH>
              <wp:positionV relativeFrom="page">
                <wp:posOffset>10141863</wp:posOffset>
              </wp:positionV>
              <wp:extent cx="6131560" cy="1270"/>
              <wp:effectExtent l="0" t="0" r="0" b="0"/>
              <wp:wrapNone/>
              <wp:docPr id="109" name="Graphic 109"/>
              <wp:cNvGraphicFramePr>
                <a:graphicFrameLocks/>
              </wp:cNvGraphicFramePr>
              <a:graphic>
                <a:graphicData uri="http://schemas.microsoft.com/office/word/2010/wordprocessingShape">
                  <wps:wsp>
                    <wps:cNvPr id="109" name="Graphic 109"/>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0121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15776">
              <wp:simplePos x="0" y="0"/>
              <wp:positionH relativeFrom="page">
                <wp:posOffset>732155</wp:posOffset>
              </wp:positionH>
              <wp:positionV relativeFrom="page">
                <wp:posOffset>10107573</wp:posOffset>
              </wp:positionV>
              <wp:extent cx="6131560" cy="1270"/>
              <wp:effectExtent l="0" t="0" r="0" b="0"/>
              <wp:wrapNone/>
              <wp:docPr id="110" name="Graphic 110"/>
              <wp:cNvGraphicFramePr>
                <a:graphicFrameLocks/>
              </wp:cNvGraphicFramePr>
              <a:graphic>
                <a:graphicData uri="http://schemas.microsoft.com/office/word/2010/wordprocessingShape">
                  <wps:wsp>
                    <wps:cNvPr id="110" name="Graphic 11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0070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16288">
              <wp:simplePos x="0" y="0"/>
              <wp:positionH relativeFrom="page">
                <wp:posOffset>731316</wp:posOffset>
              </wp:positionH>
              <wp:positionV relativeFrom="page">
                <wp:posOffset>10258288</wp:posOffset>
              </wp:positionV>
              <wp:extent cx="6164580" cy="124460"/>
              <wp:effectExtent l="0" t="0" r="0" b="0"/>
              <wp:wrapNone/>
              <wp:docPr id="111" name="Textbox 111"/>
              <wp:cNvGraphicFramePr>
                <a:graphicFrameLocks/>
              </wp:cNvGraphicFramePr>
              <a:graphic>
                <a:graphicData uri="http://schemas.microsoft.com/office/word/2010/wordprocessingShape">
                  <wps:wsp>
                    <wps:cNvPr id="111" name="Textbox 111"/>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1000192" type="#_x0000_t202" id="docshape69"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19360">
              <wp:simplePos x="0" y="0"/>
              <wp:positionH relativeFrom="page">
                <wp:posOffset>732155</wp:posOffset>
              </wp:positionH>
              <wp:positionV relativeFrom="page">
                <wp:posOffset>10141863</wp:posOffset>
              </wp:positionV>
              <wp:extent cx="6131560" cy="1270"/>
              <wp:effectExtent l="0" t="0" r="0" b="0"/>
              <wp:wrapNone/>
              <wp:docPr id="175" name="Graphic 175"/>
              <wp:cNvGraphicFramePr>
                <a:graphicFrameLocks/>
              </wp:cNvGraphicFramePr>
              <a:graphic>
                <a:graphicData uri="http://schemas.microsoft.com/office/word/2010/wordprocessingShape">
                  <wps:wsp>
                    <wps:cNvPr id="175" name="Graphic 175"/>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9712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19872">
              <wp:simplePos x="0" y="0"/>
              <wp:positionH relativeFrom="page">
                <wp:posOffset>731316</wp:posOffset>
              </wp:positionH>
              <wp:positionV relativeFrom="page">
                <wp:posOffset>10258288</wp:posOffset>
              </wp:positionV>
              <wp:extent cx="6164580" cy="124460"/>
              <wp:effectExtent l="0" t="0" r="0" b="0"/>
              <wp:wrapNone/>
              <wp:docPr id="176" name="Textbox 176"/>
              <wp:cNvGraphicFramePr>
                <a:graphicFrameLocks/>
              </wp:cNvGraphicFramePr>
              <a:graphic>
                <a:graphicData uri="http://schemas.microsoft.com/office/word/2010/wordprocessingShape">
                  <wps:wsp>
                    <wps:cNvPr id="176" name="Textbox 176"/>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96608" type="#_x0000_t202" id="docshape130"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1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22944">
              <wp:simplePos x="0" y="0"/>
              <wp:positionH relativeFrom="page">
                <wp:posOffset>732155</wp:posOffset>
              </wp:positionH>
              <wp:positionV relativeFrom="page">
                <wp:posOffset>10141863</wp:posOffset>
              </wp:positionV>
              <wp:extent cx="6131560" cy="1270"/>
              <wp:effectExtent l="0" t="0" r="0" b="0"/>
              <wp:wrapNone/>
              <wp:docPr id="232" name="Graphic 232"/>
              <wp:cNvGraphicFramePr>
                <a:graphicFrameLocks/>
              </wp:cNvGraphicFramePr>
              <a:graphic>
                <a:graphicData uri="http://schemas.microsoft.com/office/word/2010/wordprocessingShape">
                  <wps:wsp>
                    <wps:cNvPr id="232" name="Graphic 232"/>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9353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23456">
              <wp:simplePos x="0" y="0"/>
              <wp:positionH relativeFrom="page">
                <wp:posOffset>732155</wp:posOffset>
              </wp:positionH>
              <wp:positionV relativeFrom="page">
                <wp:posOffset>10107573</wp:posOffset>
              </wp:positionV>
              <wp:extent cx="6131560" cy="1270"/>
              <wp:effectExtent l="0" t="0" r="0" b="0"/>
              <wp:wrapNone/>
              <wp:docPr id="233" name="Graphic 233"/>
              <wp:cNvGraphicFramePr>
                <a:graphicFrameLocks/>
              </wp:cNvGraphicFramePr>
              <a:graphic>
                <a:graphicData uri="http://schemas.microsoft.com/office/word/2010/wordprocessingShape">
                  <wps:wsp>
                    <wps:cNvPr id="233" name="Graphic 23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9302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23968">
              <wp:simplePos x="0" y="0"/>
              <wp:positionH relativeFrom="page">
                <wp:posOffset>731316</wp:posOffset>
              </wp:positionH>
              <wp:positionV relativeFrom="page">
                <wp:posOffset>10258288</wp:posOffset>
              </wp:positionV>
              <wp:extent cx="6164580" cy="124460"/>
              <wp:effectExtent l="0" t="0" r="0" b="0"/>
              <wp:wrapNone/>
              <wp:docPr id="234" name="Textbox 234"/>
              <wp:cNvGraphicFramePr>
                <a:graphicFrameLocks/>
              </wp:cNvGraphicFramePr>
              <a:graphic>
                <a:graphicData uri="http://schemas.microsoft.com/office/word/2010/wordprocessingShape">
                  <wps:wsp>
                    <wps:cNvPr id="234" name="Textbox 234"/>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92512" type="#_x0000_t202" id="docshape181"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1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27040">
              <wp:simplePos x="0" y="0"/>
              <wp:positionH relativeFrom="page">
                <wp:posOffset>732155</wp:posOffset>
              </wp:positionH>
              <wp:positionV relativeFrom="page">
                <wp:posOffset>10141863</wp:posOffset>
              </wp:positionV>
              <wp:extent cx="6131560" cy="1270"/>
              <wp:effectExtent l="0" t="0" r="0" b="0"/>
              <wp:wrapNone/>
              <wp:docPr id="240" name="Graphic 240"/>
              <wp:cNvGraphicFramePr>
                <a:graphicFrameLocks/>
              </wp:cNvGraphicFramePr>
              <a:graphic>
                <a:graphicData uri="http://schemas.microsoft.com/office/word/2010/wordprocessingShape">
                  <wps:wsp>
                    <wps:cNvPr id="240" name="Graphic 24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8944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27552">
              <wp:simplePos x="0" y="0"/>
              <wp:positionH relativeFrom="page">
                <wp:posOffset>731316</wp:posOffset>
              </wp:positionH>
              <wp:positionV relativeFrom="page">
                <wp:posOffset>10258288</wp:posOffset>
              </wp:positionV>
              <wp:extent cx="6164580" cy="124460"/>
              <wp:effectExtent l="0" t="0" r="0" b="0"/>
              <wp:wrapNone/>
              <wp:docPr id="241" name="Textbox 241"/>
              <wp:cNvGraphicFramePr>
                <a:graphicFrameLocks/>
              </wp:cNvGraphicFramePr>
              <a:graphic>
                <a:graphicData uri="http://schemas.microsoft.com/office/word/2010/wordprocessingShape">
                  <wps:wsp>
                    <wps:cNvPr id="241" name="Textbox 241"/>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88928" type="#_x0000_t202" id="docshape185"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1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30624">
              <wp:simplePos x="0" y="0"/>
              <wp:positionH relativeFrom="page">
                <wp:posOffset>732155</wp:posOffset>
              </wp:positionH>
              <wp:positionV relativeFrom="page">
                <wp:posOffset>10141863</wp:posOffset>
              </wp:positionV>
              <wp:extent cx="6131560" cy="1270"/>
              <wp:effectExtent l="0" t="0" r="0" b="0"/>
              <wp:wrapNone/>
              <wp:docPr id="253" name="Graphic 253"/>
              <wp:cNvGraphicFramePr>
                <a:graphicFrameLocks/>
              </wp:cNvGraphicFramePr>
              <a:graphic>
                <a:graphicData uri="http://schemas.microsoft.com/office/word/2010/wordprocessingShape">
                  <wps:wsp>
                    <wps:cNvPr id="253" name="Graphic 25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8585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31136">
              <wp:simplePos x="0" y="0"/>
              <wp:positionH relativeFrom="page">
                <wp:posOffset>732155</wp:posOffset>
              </wp:positionH>
              <wp:positionV relativeFrom="page">
                <wp:posOffset>10107573</wp:posOffset>
              </wp:positionV>
              <wp:extent cx="6131560" cy="1270"/>
              <wp:effectExtent l="0" t="0" r="0" b="0"/>
              <wp:wrapNone/>
              <wp:docPr id="254" name="Graphic 254"/>
              <wp:cNvGraphicFramePr>
                <a:graphicFrameLocks/>
              </wp:cNvGraphicFramePr>
              <a:graphic>
                <a:graphicData uri="http://schemas.microsoft.com/office/word/2010/wordprocessingShape">
                  <wps:wsp>
                    <wps:cNvPr id="254" name="Graphic 254"/>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8534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31648">
              <wp:simplePos x="0" y="0"/>
              <wp:positionH relativeFrom="page">
                <wp:posOffset>731316</wp:posOffset>
              </wp:positionH>
              <wp:positionV relativeFrom="page">
                <wp:posOffset>10258288</wp:posOffset>
              </wp:positionV>
              <wp:extent cx="6164580" cy="124460"/>
              <wp:effectExtent l="0" t="0" r="0" b="0"/>
              <wp:wrapNone/>
              <wp:docPr id="255" name="Textbox 255"/>
              <wp:cNvGraphicFramePr>
                <a:graphicFrameLocks/>
              </wp:cNvGraphicFramePr>
              <a:graphic>
                <a:graphicData uri="http://schemas.microsoft.com/office/word/2010/wordprocessingShape">
                  <wps:wsp>
                    <wps:cNvPr id="255" name="Textbox 255"/>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84832" type="#_x0000_t202" id="docshape193"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1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34720">
              <wp:simplePos x="0" y="0"/>
              <wp:positionH relativeFrom="page">
                <wp:posOffset>732155</wp:posOffset>
              </wp:positionH>
              <wp:positionV relativeFrom="page">
                <wp:posOffset>10141863</wp:posOffset>
              </wp:positionV>
              <wp:extent cx="6131560" cy="1270"/>
              <wp:effectExtent l="0" t="0" r="0" b="0"/>
              <wp:wrapNone/>
              <wp:docPr id="261" name="Graphic 261"/>
              <wp:cNvGraphicFramePr>
                <a:graphicFrameLocks/>
              </wp:cNvGraphicFramePr>
              <a:graphic>
                <a:graphicData uri="http://schemas.microsoft.com/office/word/2010/wordprocessingShape">
                  <wps:wsp>
                    <wps:cNvPr id="261" name="Graphic 261"/>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8176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35232">
              <wp:simplePos x="0" y="0"/>
              <wp:positionH relativeFrom="page">
                <wp:posOffset>731316</wp:posOffset>
              </wp:positionH>
              <wp:positionV relativeFrom="page">
                <wp:posOffset>10258288</wp:posOffset>
              </wp:positionV>
              <wp:extent cx="6164580" cy="124460"/>
              <wp:effectExtent l="0" t="0" r="0" b="0"/>
              <wp:wrapNone/>
              <wp:docPr id="262" name="Textbox 262"/>
              <wp:cNvGraphicFramePr>
                <a:graphicFrameLocks/>
              </wp:cNvGraphicFramePr>
              <a:graphic>
                <a:graphicData uri="http://schemas.microsoft.com/office/word/2010/wordprocessingShape">
                  <wps:wsp>
                    <wps:cNvPr id="262" name="Textbox 262"/>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81248" type="#_x0000_t202" id="docshape19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1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38304">
              <wp:simplePos x="0" y="0"/>
              <wp:positionH relativeFrom="page">
                <wp:posOffset>732155</wp:posOffset>
              </wp:positionH>
              <wp:positionV relativeFrom="page">
                <wp:posOffset>10141863</wp:posOffset>
              </wp:positionV>
              <wp:extent cx="6131560" cy="1270"/>
              <wp:effectExtent l="0" t="0" r="0" b="0"/>
              <wp:wrapNone/>
              <wp:docPr id="272" name="Graphic 272"/>
              <wp:cNvGraphicFramePr>
                <a:graphicFrameLocks/>
              </wp:cNvGraphicFramePr>
              <a:graphic>
                <a:graphicData uri="http://schemas.microsoft.com/office/word/2010/wordprocessingShape">
                  <wps:wsp>
                    <wps:cNvPr id="272" name="Graphic 272"/>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7817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38816">
              <wp:simplePos x="0" y="0"/>
              <wp:positionH relativeFrom="page">
                <wp:posOffset>732155</wp:posOffset>
              </wp:positionH>
              <wp:positionV relativeFrom="page">
                <wp:posOffset>10107573</wp:posOffset>
              </wp:positionV>
              <wp:extent cx="6131560" cy="1270"/>
              <wp:effectExtent l="0" t="0" r="0" b="0"/>
              <wp:wrapNone/>
              <wp:docPr id="273" name="Graphic 273"/>
              <wp:cNvGraphicFramePr>
                <a:graphicFrameLocks/>
              </wp:cNvGraphicFramePr>
              <a:graphic>
                <a:graphicData uri="http://schemas.microsoft.com/office/word/2010/wordprocessingShape">
                  <wps:wsp>
                    <wps:cNvPr id="273" name="Graphic 27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7766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39328">
              <wp:simplePos x="0" y="0"/>
              <wp:positionH relativeFrom="page">
                <wp:posOffset>731316</wp:posOffset>
              </wp:positionH>
              <wp:positionV relativeFrom="page">
                <wp:posOffset>10258288</wp:posOffset>
              </wp:positionV>
              <wp:extent cx="6164580" cy="124460"/>
              <wp:effectExtent l="0" t="0" r="0" b="0"/>
              <wp:wrapNone/>
              <wp:docPr id="274" name="Textbox 274"/>
              <wp:cNvGraphicFramePr>
                <a:graphicFrameLocks/>
              </wp:cNvGraphicFramePr>
              <a:graphic>
                <a:graphicData uri="http://schemas.microsoft.com/office/word/2010/wordprocessingShape">
                  <wps:wsp>
                    <wps:cNvPr id="274" name="Textbox 274"/>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77152" type="#_x0000_t202" id="docshape204"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1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42400">
              <wp:simplePos x="0" y="0"/>
              <wp:positionH relativeFrom="page">
                <wp:posOffset>732155</wp:posOffset>
              </wp:positionH>
              <wp:positionV relativeFrom="page">
                <wp:posOffset>10141863</wp:posOffset>
              </wp:positionV>
              <wp:extent cx="6131560" cy="1270"/>
              <wp:effectExtent l="0" t="0" r="0" b="0"/>
              <wp:wrapNone/>
              <wp:docPr id="280" name="Graphic 280"/>
              <wp:cNvGraphicFramePr>
                <a:graphicFrameLocks/>
              </wp:cNvGraphicFramePr>
              <a:graphic>
                <a:graphicData uri="http://schemas.microsoft.com/office/word/2010/wordprocessingShape">
                  <wps:wsp>
                    <wps:cNvPr id="280" name="Graphic 28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7408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42912">
              <wp:simplePos x="0" y="0"/>
              <wp:positionH relativeFrom="page">
                <wp:posOffset>731316</wp:posOffset>
              </wp:positionH>
              <wp:positionV relativeFrom="page">
                <wp:posOffset>10258288</wp:posOffset>
              </wp:positionV>
              <wp:extent cx="6164580" cy="124460"/>
              <wp:effectExtent l="0" t="0" r="0" b="0"/>
              <wp:wrapNone/>
              <wp:docPr id="281" name="Textbox 281"/>
              <wp:cNvGraphicFramePr>
                <a:graphicFrameLocks/>
              </wp:cNvGraphicFramePr>
              <a:graphic>
                <a:graphicData uri="http://schemas.microsoft.com/office/word/2010/wordprocessingShape">
                  <wps:wsp>
                    <wps:cNvPr id="281" name="Textbox 281"/>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73568" type="#_x0000_t202" id="docshape208"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1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45984">
              <wp:simplePos x="0" y="0"/>
              <wp:positionH relativeFrom="page">
                <wp:posOffset>732155</wp:posOffset>
              </wp:positionH>
              <wp:positionV relativeFrom="page">
                <wp:posOffset>10141863</wp:posOffset>
              </wp:positionV>
              <wp:extent cx="6131560" cy="1270"/>
              <wp:effectExtent l="0" t="0" r="0" b="0"/>
              <wp:wrapNone/>
              <wp:docPr id="296" name="Graphic 296"/>
              <wp:cNvGraphicFramePr>
                <a:graphicFrameLocks/>
              </wp:cNvGraphicFramePr>
              <a:graphic>
                <a:graphicData uri="http://schemas.microsoft.com/office/word/2010/wordprocessingShape">
                  <wps:wsp>
                    <wps:cNvPr id="296" name="Graphic 296"/>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7049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46496">
              <wp:simplePos x="0" y="0"/>
              <wp:positionH relativeFrom="page">
                <wp:posOffset>732155</wp:posOffset>
              </wp:positionH>
              <wp:positionV relativeFrom="page">
                <wp:posOffset>10107573</wp:posOffset>
              </wp:positionV>
              <wp:extent cx="6131560" cy="1270"/>
              <wp:effectExtent l="0" t="0" r="0" b="0"/>
              <wp:wrapNone/>
              <wp:docPr id="297" name="Graphic 297"/>
              <wp:cNvGraphicFramePr>
                <a:graphicFrameLocks/>
              </wp:cNvGraphicFramePr>
              <a:graphic>
                <a:graphicData uri="http://schemas.microsoft.com/office/word/2010/wordprocessingShape">
                  <wps:wsp>
                    <wps:cNvPr id="297" name="Graphic 297"/>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6998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47008">
              <wp:simplePos x="0" y="0"/>
              <wp:positionH relativeFrom="page">
                <wp:posOffset>731316</wp:posOffset>
              </wp:positionH>
              <wp:positionV relativeFrom="page">
                <wp:posOffset>10258288</wp:posOffset>
              </wp:positionV>
              <wp:extent cx="6164580" cy="124460"/>
              <wp:effectExtent l="0" t="0" r="0" b="0"/>
              <wp:wrapNone/>
              <wp:docPr id="298" name="Textbox 298"/>
              <wp:cNvGraphicFramePr>
                <a:graphicFrameLocks/>
              </wp:cNvGraphicFramePr>
              <a:graphic>
                <a:graphicData uri="http://schemas.microsoft.com/office/word/2010/wordprocessingShape">
                  <wps:wsp>
                    <wps:cNvPr id="298" name="Textbox 298"/>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69472" type="#_x0000_t202" id="docshape220"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1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50080">
              <wp:simplePos x="0" y="0"/>
              <wp:positionH relativeFrom="page">
                <wp:posOffset>732155</wp:posOffset>
              </wp:positionH>
              <wp:positionV relativeFrom="page">
                <wp:posOffset>10141863</wp:posOffset>
              </wp:positionV>
              <wp:extent cx="6131560" cy="1270"/>
              <wp:effectExtent l="0" t="0" r="0" b="0"/>
              <wp:wrapNone/>
              <wp:docPr id="304" name="Graphic 304"/>
              <wp:cNvGraphicFramePr>
                <a:graphicFrameLocks/>
              </wp:cNvGraphicFramePr>
              <a:graphic>
                <a:graphicData uri="http://schemas.microsoft.com/office/word/2010/wordprocessingShape">
                  <wps:wsp>
                    <wps:cNvPr id="304" name="Graphic 304"/>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6640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50592">
              <wp:simplePos x="0" y="0"/>
              <wp:positionH relativeFrom="page">
                <wp:posOffset>731316</wp:posOffset>
              </wp:positionH>
              <wp:positionV relativeFrom="page">
                <wp:posOffset>10258288</wp:posOffset>
              </wp:positionV>
              <wp:extent cx="6164580" cy="124460"/>
              <wp:effectExtent l="0" t="0" r="0" b="0"/>
              <wp:wrapNone/>
              <wp:docPr id="305" name="Textbox 305"/>
              <wp:cNvGraphicFramePr>
                <a:graphicFrameLocks/>
              </wp:cNvGraphicFramePr>
              <a:graphic>
                <a:graphicData uri="http://schemas.microsoft.com/office/word/2010/wordprocessingShape">
                  <wps:wsp>
                    <wps:cNvPr id="305" name="Textbox 305"/>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65888" type="#_x0000_t202" id="docshape224"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53664">
              <wp:simplePos x="0" y="0"/>
              <wp:positionH relativeFrom="page">
                <wp:posOffset>732155</wp:posOffset>
              </wp:positionH>
              <wp:positionV relativeFrom="page">
                <wp:posOffset>10141863</wp:posOffset>
              </wp:positionV>
              <wp:extent cx="6131560" cy="1270"/>
              <wp:effectExtent l="0" t="0" r="0" b="0"/>
              <wp:wrapNone/>
              <wp:docPr id="323" name="Graphic 323"/>
              <wp:cNvGraphicFramePr>
                <a:graphicFrameLocks/>
              </wp:cNvGraphicFramePr>
              <a:graphic>
                <a:graphicData uri="http://schemas.microsoft.com/office/word/2010/wordprocessingShape">
                  <wps:wsp>
                    <wps:cNvPr id="323" name="Graphic 32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6281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54176">
              <wp:simplePos x="0" y="0"/>
              <wp:positionH relativeFrom="page">
                <wp:posOffset>732155</wp:posOffset>
              </wp:positionH>
              <wp:positionV relativeFrom="page">
                <wp:posOffset>10107573</wp:posOffset>
              </wp:positionV>
              <wp:extent cx="6131560" cy="1270"/>
              <wp:effectExtent l="0" t="0" r="0" b="0"/>
              <wp:wrapNone/>
              <wp:docPr id="324" name="Graphic 324"/>
              <wp:cNvGraphicFramePr>
                <a:graphicFrameLocks/>
              </wp:cNvGraphicFramePr>
              <a:graphic>
                <a:graphicData uri="http://schemas.microsoft.com/office/word/2010/wordprocessingShape">
                  <wps:wsp>
                    <wps:cNvPr id="324" name="Graphic 324"/>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6230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54688">
              <wp:simplePos x="0" y="0"/>
              <wp:positionH relativeFrom="page">
                <wp:posOffset>731316</wp:posOffset>
              </wp:positionH>
              <wp:positionV relativeFrom="page">
                <wp:posOffset>10258288</wp:posOffset>
              </wp:positionV>
              <wp:extent cx="6164580" cy="124460"/>
              <wp:effectExtent l="0" t="0" r="0" b="0"/>
              <wp:wrapNone/>
              <wp:docPr id="325" name="Textbox 325"/>
              <wp:cNvGraphicFramePr>
                <a:graphicFrameLocks/>
              </wp:cNvGraphicFramePr>
              <a:graphic>
                <a:graphicData uri="http://schemas.microsoft.com/office/word/2010/wordprocessingShape">
                  <wps:wsp>
                    <wps:cNvPr id="325" name="Textbox 325"/>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61792" type="#_x0000_t202" id="docshape239"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57760">
              <wp:simplePos x="0" y="0"/>
              <wp:positionH relativeFrom="page">
                <wp:posOffset>732155</wp:posOffset>
              </wp:positionH>
              <wp:positionV relativeFrom="page">
                <wp:posOffset>10141863</wp:posOffset>
              </wp:positionV>
              <wp:extent cx="6131560" cy="1270"/>
              <wp:effectExtent l="0" t="0" r="0" b="0"/>
              <wp:wrapNone/>
              <wp:docPr id="333" name="Graphic 333"/>
              <wp:cNvGraphicFramePr>
                <a:graphicFrameLocks/>
              </wp:cNvGraphicFramePr>
              <a:graphic>
                <a:graphicData uri="http://schemas.microsoft.com/office/word/2010/wordprocessingShape">
                  <wps:wsp>
                    <wps:cNvPr id="333" name="Graphic 33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5872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58272">
              <wp:simplePos x="0" y="0"/>
              <wp:positionH relativeFrom="page">
                <wp:posOffset>731316</wp:posOffset>
              </wp:positionH>
              <wp:positionV relativeFrom="page">
                <wp:posOffset>10258288</wp:posOffset>
              </wp:positionV>
              <wp:extent cx="6164580" cy="124460"/>
              <wp:effectExtent l="0" t="0" r="0" b="0"/>
              <wp:wrapNone/>
              <wp:docPr id="334" name="Textbox 334"/>
              <wp:cNvGraphicFramePr>
                <a:graphicFrameLocks/>
              </wp:cNvGraphicFramePr>
              <a:graphic>
                <a:graphicData uri="http://schemas.microsoft.com/office/word/2010/wordprocessingShape">
                  <wps:wsp>
                    <wps:cNvPr id="334" name="Textbox 334"/>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58208" type="#_x0000_t202" id="docshape245"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61344">
              <wp:simplePos x="0" y="0"/>
              <wp:positionH relativeFrom="page">
                <wp:posOffset>732155</wp:posOffset>
              </wp:positionH>
              <wp:positionV relativeFrom="page">
                <wp:posOffset>10141863</wp:posOffset>
              </wp:positionV>
              <wp:extent cx="6131560" cy="1270"/>
              <wp:effectExtent l="0" t="0" r="0" b="0"/>
              <wp:wrapNone/>
              <wp:docPr id="343" name="Graphic 343"/>
              <wp:cNvGraphicFramePr>
                <a:graphicFrameLocks/>
              </wp:cNvGraphicFramePr>
              <a:graphic>
                <a:graphicData uri="http://schemas.microsoft.com/office/word/2010/wordprocessingShape">
                  <wps:wsp>
                    <wps:cNvPr id="343" name="Graphic 34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5513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61856">
              <wp:simplePos x="0" y="0"/>
              <wp:positionH relativeFrom="page">
                <wp:posOffset>732155</wp:posOffset>
              </wp:positionH>
              <wp:positionV relativeFrom="page">
                <wp:posOffset>10107573</wp:posOffset>
              </wp:positionV>
              <wp:extent cx="6131560" cy="1270"/>
              <wp:effectExtent l="0" t="0" r="0" b="0"/>
              <wp:wrapNone/>
              <wp:docPr id="344" name="Graphic 344"/>
              <wp:cNvGraphicFramePr>
                <a:graphicFrameLocks/>
              </wp:cNvGraphicFramePr>
              <a:graphic>
                <a:graphicData uri="http://schemas.microsoft.com/office/word/2010/wordprocessingShape">
                  <wps:wsp>
                    <wps:cNvPr id="344" name="Graphic 344"/>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5462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62368">
              <wp:simplePos x="0" y="0"/>
              <wp:positionH relativeFrom="page">
                <wp:posOffset>731316</wp:posOffset>
              </wp:positionH>
              <wp:positionV relativeFrom="page">
                <wp:posOffset>10258288</wp:posOffset>
              </wp:positionV>
              <wp:extent cx="6164580" cy="124460"/>
              <wp:effectExtent l="0" t="0" r="0" b="0"/>
              <wp:wrapNone/>
              <wp:docPr id="345" name="Textbox 345"/>
              <wp:cNvGraphicFramePr>
                <a:graphicFrameLocks/>
              </wp:cNvGraphicFramePr>
              <a:graphic>
                <a:graphicData uri="http://schemas.microsoft.com/office/word/2010/wordprocessingShape">
                  <wps:wsp>
                    <wps:cNvPr id="345" name="Textbox 345"/>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54112" type="#_x0000_t202" id="docshape252"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65440">
              <wp:simplePos x="0" y="0"/>
              <wp:positionH relativeFrom="page">
                <wp:posOffset>732155</wp:posOffset>
              </wp:positionH>
              <wp:positionV relativeFrom="page">
                <wp:posOffset>10141863</wp:posOffset>
              </wp:positionV>
              <wp:extent cx="6131560" cy="1270"/>
              <wp:effectExtent l="0" t="0" r="0" b="0"/>
              <wp:wrapNone/>
              <wp:docPr id="352" name="Graphic 352"/>
              <wp:cNvGraphicFramePr>
                <a:graphicFrameLocks/>
              </wp:cNvGraphicFramePr>
              <a:graphic>
                <a:graphicData uri="http://schemas.microsoft.com/office/word/2010/wordprocessingShape">
                  <wps:wsp>
                    <wps:cNvPr id="352" name="Graphic 352"/>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5104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65952">
              <wp:simplePos x="0" y="0"/>
              <wp:positionH relativeFrom="page">
                <wp:posOffset>731316</wp:posOffset>
              </wp:positionH>
              <wp:positionV relativeFrom="page">
                <wp:posOffset>10258288</wp:posOffset>
              </wp:positionV>
              <wp:extent cx="6164580" cy="124460"/>
              <wp:effectExtent l="0" t="0" r="0" b="0"/>
              <wp:wrapNone/>
              <wp:docPr id="353" name="Textbox 353"/>
              <wp:cNvGraphicFramePr>
                <a:graphicFrameLocks/>
              </wp:cNvGraphicFramePr>
              <a:graphic>
                <a:graphicData uri="http://schemas.microsoft.com/office/word/2010/wordprocessingShape">
                  <wps:wsp>
                    <wps:cNvPr id="353" name="Textbox 353"/>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50528" type="#_x0000_t202" id="docshape25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69024">
              <wp:simplePos x="0" y="0"/>
              <wp:positionH relativeFrom="page">
                <wp:posOffset>732155</wp:posOffset>
              </wp:positionH>
              <wp:positionV relativeFrom="page">
                <wp:posOffset>10141863</wp:posOffset>
              </wp:positionV>
              <wp:extent cx="6131560" cy="1270"/>
              <wp:effectExtent l="0" t="0" r="0" b="0"/>
              <wp:wrapNone/>
              <wp:docPr id="362" name="Graphic 362"/>
              <wp:cNvGraphicFramePr>
                <a:graphicFrameLocks/>
              </wp:cNvGraphicFramePr>
              <a:graphic>
                <a:graphicData uri="http://schemas.microsoft.com/office/word/2010/wordprocessingShape">
                  <wps:wsp>
                    <wps:cNvPr id="362" name="Graphic 362"/>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4745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69536">
              <wp:simplePos x="0" y="0"/>
              <wp:positionH relativeFrom="page">
                <wp:posOffset>732155</wp:posOffset>
              </wp:positionH>
              <wp:positionV relativeFrom="page">
                <wp:posOffset>10107573</wp:posOffset>
              </wp:positionV>
              <wp:extent cx="6131560" cy="1270"/>
              <wp:effectExtent l="0" t="0" r="0" b="0"/>
              <wp:wrapNone/>
              <wp:docPr id="363" name="Graphic 363"/>
              <wp:cNvGraphicFramePr>
                <a:graphicFrameLocks/>
              </wp:cNvGraphicFramePr>
              <a:graphic>
                <a:graphicData uri="http://schemas.microsoft.com/office/word/2010/wordprocessingShape">
                  <wps:wsp>
                    <wps:cNvPr id="363" name="Graphic 36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4694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70048">
              <wp:simplePos x="0" y="0"/>
              <wp:positionH relativeFrom="page">
                <wp:posOffset>731316</wp:posOffset>
              </wp:positionH>
              <wp:positionV relativeFrom="page">
                <wp:posOffset>10258288</wp:posOffset>
              </wp:positionV>
              <wp:extent cx="6164580" cy="124460"/>
              <wp:effectExtent l="0" t="0" r="0" b="0"/>
              <wp:wrapNone/>
              <wp:docPr id="364" name="Textbox 364"/>
              <wp:cNvGraphicFramePr>
                <a:graphicFrameLocks/>
              </wp:cNvGraphicFramePr>
              <a:graphic>
                <a:graphicData uri="http://schemas.microsoft.com/office/word/2010/wordprocessingShape">
                  <wps:wsp>
                    <wps:cNvPr id="364" name="Textbox 364"/>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46432" type="#_x0000_t202" id="docshape263"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73120">
              <wp:simplePos x="0" y="0"/>
              <wp:positionH relativeFrom="page">
                <wp:posOffset>732155</wp:posOffset>
              </wp:positionH>
              <wp:positionV relativeFrom="page">
                <wp:posOffset>10141863</wp:posOffset>
              </wp:positionV>
              <wp:extent cx="6131560" cy="1270"/>
              <wp:effectExtent l="0" t="0" r="0" b="0"/>
              <wp:wrapNone/>
              <wp:docPr id="370" name="Graphic 370"/>
              <wp:cNvGraphicFramePr>
                <a:graphicFrameLocks/>
              </wp:cNvGraphicFramePr>
              <a:graphic>
                <a:graphicData uri="http://schemas.microsoft.com/office/word/2010/wordprocessingShape">
                  <wps:wsp>
                    <wps:cNvPr id="370" name="Graphic 37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4336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73632">
              <wp:simplePos x="0" y="0"/>
              <wp:positionH relativeFrom="page">
                <wp:posOffset>731316</wp:posOffset>
              </wp:positionH>
              <wp:positionV relativeFrom="page">
                <wp:posOffset>10258288</wp:posOffset>
              </wp:positionV>
              <wp:extent cx="6164580" cy="124460"/>
              <wp:effectExtent l="0" t="0" r="0" b="0"/>
              <wp:wrapNone/>
              <wp:docPr id="371" name="Textbox 371"/>
              <wp:cNvGraphicFramePr>
                <a:graphicFrameLocks/>
              </wp:cNvGraphicFramePr>
              <a:graphic>
                <a:graphicData uri="http://schemas.microsoft.com/office/word/2010/wordprocessingShape">
                  <wps:wsp>
                    <wps:cNvPr id="371" name="Textbox 371"/>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42848" type="#_x0000_t202" id="docshape26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76704">
              <wp:simplePos x="0" y="0"/>
              <wp:positionH relativeFrom="page">
                <wp:posOffset>732155</wp:posOffset>
              </wp:positionH>
              <wp:positionV relativeFrom="page">
                <wp:posOffset>10141863</wp:posOffset>
              </wp:positionV>
              <wp:extent cx="6131560" cy="1270"/>
              <wp:effectExtent l="0" t="0" r="0" b="0"/>
              <wp:wrapNone/>
              <wp:docPr id="378" name="Graphic 378"/>
              <wp:cNvGraphicFramePr>
                <a:graphicFrameLocks/>
              </wp:cNvGraphicFramePr>
              <a:graphic>
                <a:graphicData uri="http://schemas.microsoft.com/office/word/2010/wordprocessingShape">
                  <wps:wsp>
                    <wps:cNvPr id="378" name="Graphic 378"/>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3977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77216">
              <wp:simplePos x="0" y="0"/>
              <wp:positionH relativeFrom="page">
                <wp:posOffset>732155</wp:posOffset>
              </wp:positionH>
              <wp:positionV relativeFrom="page">
                <wp:posOffset>10107573</wp:posOffset>
              </wp:positionV>
              <wp:extent cx="6131560" cy="1270"/>
              <wp:effectExtent l="0" t="0" r="0" b="0"/>
              <wp:wrapNone/>
              <wp:docPr id="379" name="Graphic 379"/>
              <wp:cNvGraphicFramePr>
                <a:graphicFrameLocks/>
              </wp:cNvGraphicFramePr>
              <a:graphic>
                <a:graphicData uri="http://schemas.microsoft.com/office/word/2010/wordprocessingShape">
                  <wps:wsp>
                    <wps:cNvPr id="379" name="Graphic 379"/>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3926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77728">
              <wp:simplePos x="0" y="0"/>
              <wp:positionH relativeFrom="page">
                <wp:posOffset>731316</wp:posOffset>
              </wp:positionH>
              <wp:positionV relativeFrom="page">
                <wp:posOffset>10258288</wp:posOffset>
              </wp:positionV>
              <wp:extent cx="6164580" cy="124460"/>
              <wp:effectExtent l="0" t="0" r="0" b="0"/>
              <wp:wrapNone/>
              <wp:docPr id="380" name="Textbox 380"/>
              <wp:cNvGraphicFramePr>
                <a:graphicFrameLocks/>
              </wp:cNvGraphicFramePr>
              <a:graphic>
                <a:graphicData uri="http://schemas.microsoft.com/office/word/2010/wordprocessingShape">
                  <wps:wsp>
                    <wps:cNvPr id="380" name="Textbox 380"/>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38752" type="#_x0000_t202" id="docshape272"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80800">
              <wp:simplePos x="0" y="0"/>
              <wp:positionH relativeFrom="page">
                <wp:posOffset>732155</wp:posOffset>
              </wp:positionH>
              <wp:positionV relativeFrom="page">
                <wp:posOffset>10141863</wp:posOffset>
              </wp:positionV>
              <wp:extent cx="6131560" cy="1270"/>
              <wp:effectExtent l="0" t="0" r="0" b="0"/>
              <wp:wrapNone/>
              <wp:docPr id="389" name="Graphic 389"/>
              <wp:cNvGraphicFramePr>
                <a:graphicFrameLocks/>
              </wp:cNvGraphicFramePr>
              <a:graphic>
                <a:graphicData uri="http://schemas.microsoft.com/office/word/2010/wordprocessingShape">
                  <wps:wsp>
                    <wps:cNvPr id="389" name="Graphic 389"/>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3568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81312">
              <wp:simplePos x="0" y="0"/>
              <wp:positionH relativeFrom="page">
                <wp:posOffset>732155</wp:posOffset>
              </wp:positionH>
              <wp:positionV relativeFrom="page">
                <wp:posOffset>10107573</wp:posOffset>
              </wp:positionV>
              <wp:extent cx="6131560" cy="1270"/>
              <wp:effectExtent l="0" t="0" r="0" b="0"/>
              <wp:wrapNone/>
              <wp:docPr id="390" name="Graphic 390"/>
              <wp:cNvGraphicFramePr>
                <a:graphicFrameLocks/>
              </wp:cNvGraphicFramePr>
              <a:graphic>
                <a:graphicData uri="http://schemas.microsoft.com/office/word/2010/wordprocessingShape">
                  <wps:wsp>
                    <wps:cNvPr id="390" name="Graphic 39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35168"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81824">
              <wp:simplePos x="0" y="0"/>
              <wp:positionH relativeFrom="page">
                <wp:posOffset>978204</wp:posOffset>
              </wp:positionH>
              <wp:positionV relativeFrom="page">
                <wp:posOffset>9981658</wp:posOffset>
              </wp:positionV>
              <wp:extent cx="2726690" cy="143510"/>
              <wp:effectExtent l="0" t="0" r="0" b="0"/>
              <wp:wrapNone/>
              <wp:docPr id="391" name="Textbox 391"/>
              <wp:cNvGraphicFramePr>
                <a:graphicFrameLocks/>
              </wp:cNvGraphicFramePr>
              <a:graphic>
                <a:graphicData uri="http://schemas.microsoft.com/office/word/2010/wordprocessingShape">
                  <wps:wsp>
                    <wps:cNvPr id="391" name="Textbox 391"/>
                    <wps:cNvSpPr txBox="1"/>
                    <wps:spPr>
                      <a:xfrm>
                        <a:off x="0" y="0"/>
                        <a:ext cx="2726690" cy="143510"/>
                      </a:xfrm>
                      <a:prstGeom prst="rect">
                        <a:avLst/>
                      </a:prstGeom>
                    </wps:spPr>
                    <wps:txbx>
                      <w:txbxContent>
                        <w:p>
                          <w:pPr>
                            <w:spacing w:before="21"/>
                            <w:ind w:left="20" w:right="0" w:firstLine="0"/>
                            <w:jc w:val="left"/>
                            <w:rPr>
                              <w:sz w:val="16"/>
                            </w:rPr>
                          </w:pPr>
                          <w:r>
                            <w:rPr>
                              <w:sz w:val="16"/>
                              <w:vertAlign w:val="superscript"/>
                            </w:rPr>
                            <w:t>4</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000208.</w:t>
                          </w:r>
                        </w:p>
                      </w:txbxContent>
                    </wps:txbx>
                    <wps:bodyPr wrap="square" lIns="0" tIns="0" rIns="0" bIns="0" rtlCol="0">
                      <a:noAutofit/>
                    </wps:bodyPr>
                  </wps:wsp>
                </a:graphicData>
              </a:graphic>
            </wp:anchor>
          </w:drawing>
        </mc:Choice>
        <mc:Fallback>
          <w:pict>
            <v:shape style="position:absolute;margin-left:77.024002pt;margin-top:785.957397pt;width:214.7pt;height:11.3pt;mso-position-horizontal-relative:page;mso-position-vertical-relative:page;z-index:-20934656" type="#_x0000_t202" id="docshape278" filled="false" stroked="false">
              <v:textbox inset="0,0,0,0">
                <w:txbxContent>
                  <w:p>
                    <w:pPr>
                      <w:spacing w:before="21"/>
                      <w:ind w:left="20" w:right="0" w:firstLine="0"/>
                      <w:jc w:val="left"/>
                      <w:rPr>
                        <w:sz w:val="16"/>
                      </w:rPr>
                    </w:pPr>
                    <w:r>
                      <w:rPr>
                        <w:sz w:val="16"/>
                        <w:vertAlign w:val="superscript"/>
                      </w:rPr>
                      <w:t>4</w:t>
                    </w:r>
                    <w:r>
                      <w:rPr>
                        <w:spacing w:val="-8"/>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9"/>
                        <w:sz w:val="16"/>
                        <w:vertAlign w:val="baseline"/>
                      </w:rPr>
                      <w:t> </w:t>
                    </w:r>
                    <w:r>
                      <w:rPr>
                        <w:sz w:val="16"/>
                        <w:vertAlign w:val="baseline"/>
                      </w:rPr>
                      <w:t>folio</w:t>
                    </w:r>
                    <w:r>
                      <w:rPr>
                        <w:spacing w:val="-10"/>
                        <w:sz w:val="16"/>
                        <w:vertAlign w:val="baseline"/>
                      </w:rPr>
                      <w:t> </w:t>
                    </w:r>
                    <w:r>
                      <w:rPr>
                        <w:spacing w:val="-2"/>
                        <w:sz w:val="16"/>
                        <w:vertAlign w:val="baseline"/>
                      </w:rPr>
                      <w:t>000208.</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82336">
              <wp:simplePos x="0" y="0"/>
              <wp:positionH relativeFrom="page">
                <wp:posOffset>731316</wp:posOffset>
              </wp:positionH>
              <wp:positionV relativeFrom="page">
                <wp:posOffset>10258288</wp:posOffset>
              </wp:positionV>
              <wp:extent cx="6164580" cy="124460"/>
              <wp:effectExtent l="0" t="0" r="0" b="0"/>
              <wp:wrapNone/>
              <wp:docPr id="392" name="Textbox 392"/>
              <wp:cNvGraphicFramePr>
                <a:graphicFrameLocks/>
              </wp:cNvGraphicFramePr>
              <a:graphic>
                <a:graphicData uri="http://schemas.microsoft.com/office/word/2010/wordprocessingShape">
                  <wps:wsp>
                    <wps:cNvPr id="392" name="Textbox 392"/>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34144" type="#_x0000_t202" id="docshape279"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85408">
              <wp:simplePos x="0" y="0"/>
              <wp:positionH relativeFrom="page">
                <wp:posOffset>732155</wp:posOffset>
              </wp:positionH>
              <wp:positionV relativeFrom="page">
                <wp:posOffset>10141863</wp:posOffset>
              </wp:positionV>
              <wp:extent cx="6131560" cy="1270"/>
              <wp:effectExtent l="0" t="0" r="0" b="0"/>
              <wp:wrapNone/>
              <wp:docPr id="399" name="Graphic 399"/>
              <wp:cNvGraphicFramePr>
                <a:graphicFrameLocks/>
              </wp:cNvGraphicFramePr>
              <a:graphic>
                <a:graphicData uri="http://schemas.microsoft.com/office/word/2010/wordprocessingShape">
                  <wps:wsp>
                    <wps:cNvPr id="399" name="Graphic 399"/>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31072"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85920">
              <wp:simplePos x="0" y="0"/>
              <wp:positionH relativeFrom="page">
                <wp:posOffset>731316</wp:posOffset>
              </wp:positionH>
              <wp:positionV relativeFrom="page">
                <wp:posOffset>10258288</wp:posOffset>
              </wp:positionV>
              <wp:extent cx="6164580" cy="124460"/>
              <wp:effectExtent l="0" t="0" r="0" b="0"/>
              <wp:wrapNone/>
              <wp:docPr id="400" name="Textbox 400"/>
              <wp:cNvGraphicFramePr>
                <a:graphicFrameLocks/>
              </wp:cNvGraphicFramePr>
              <a:graphic>
                <a:graphicData uri="http://schemas.microsoft.com/office/word/2010/wordprocessingShape">
                  <wps:wsp>
                    <wps:cNvPr id="400" name="Textbox 400"/>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30560" type="#_x0000_t202" id="docshape284"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2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88992">
              <wp:simplePos x="0" y="0"/>
              <wp:positionH relativeFrom="page">
                <wp:posOffset>732155</wp:posOffset>
              </wp:positionH>
              <wp:positionV relativeFrom="page">
                <wp:posOffset>10141863</wp:posOffset>
              </wp:positionV>
              <wp:extent cx="6131560" cy="1270"/>
              <wp:effectExtent l="0" t="0" r="0" b="0"/>
              <wp:wrapNone/>
              <wp:docPr id="419" name="Graphic 419"/>
              <wp:cNvGraphicFramePr>
                <a:graphicFrameLocks/>
              </wp:cNvGraphicFramePr>
              <a:graphic>
                <a:graphicData uri="http://schemas.microsoft.com/office/word/2010/wordprocessingShape">
                  <wps:wsp>
                    <wps:cNvPr id="419" name="Graphic 419"/>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27488"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89504">
              <wp:simplePos x="0" y="0"/>
              <wp:positionH relativeFrom="page">
                <wp:posOffset>732155</wp:posOffset>
              </wp:positionH>
              <wp:positionV relativeFrom="page">
                <wp:posOffset>10107573</wp:posOffset>
              </wp:positionV>
              <wp:extent cx="6131560" cy="1270"/>
              <wp:effectExtent l="0" t="0" r="0" b="0"/>
              <wp:wrapNone/>
              <wp:docPr id="420" name="Graphic 420"/>
              <wp:cNvGraphicFramePr>
                <a:graphicFrameLocks/>
              </wp:cNvGraphicFramePr>
              <a:graphic>
                <a:graphicData uri="http://schemas.microsoft.com/office/word/2010/wordprocessingShape">
                  <wps:wsp>
                    <wps:cNvPr id="420" name="Graphic 42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26976"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90016">
              <wp:simplePos x="0" y="0"/>
              <wp:positionH relativeFrom="page">
                <wp:posOffset>731316</wp:posOffset>
              </wp:positionH>
              <wp:positionV relativeFrom="page">
                <wp:posOffset>10258288</wp:posOffset>
              </wp:positionV>
              <wp:extent cx="6164580" cy="124460"/>
              <wp:effectExtent l="0" t="0" r="0" b="0"/>
              <wp:wrapNone/>
              <wp:docPr id="421" name="Textbox 421"/>
              <wp:cNvGraphicFramePr>
                <a:graphicFrameLocks/>
              </wp:cNvGraphicFramePr>
              <a:graphic>
                <a:graphicData uri="http://schemas.microsoft.com/office/word/2010/wordprocessingShape">
                  <wps:wsp>
                    <wps:cNvPr id="421" name="Textbox 421"/>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26464" type="#_x0000_t202" id="docshape29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93088">
              <wp:simplePos x="0" y="0"/>
              <wp:positionH relativeFrom="page">
                <wp:posOffset>732155</wp:posOffset>
              </wp:positionH>
              <wp:positionV relativeFrom="page">
                <wp:posOffset>10141863</wp:posOffset>
              </wp:positionV>
              <wp:extent cx="6131560" cy="1270"/>
              <wp:effectExtent l="0" t="0" r="0" b="0"/>
              <wp:wrapNone/>
              <wp:docPr id="427" name="Graphic 427"/>
              <wp:cNvGraphicFramePr>
                <a:graphicFrameLocks/>
              </wp:cNvGraphicFramePr>
              <a:graphic>
                <a:graphicData uri="http://schemas.microsoft.com/office/word/2010/wordprocessingShape">
                  <wps:wsp>
                    <wps:cNvPr id="427" name="Graphic 427"/>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23392"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93600">
              <wp:simplePos x="0" y="0"/>
              <wp:positionH relativeFrom="page">
                <wp:posOffset>731316</wp:posOffset>
              </wp:positionH>
              <wp:positionV relativeFrom="page">
                <wp:posOffset>10258288</wp:posOffset>
              </wp:positionV>
              <wp:extent cx="6164580" cy="124460"/>
              <wp:effectExtent l="0" t="0" r="0" b="0"/>
              <wp:wrapNone/>
              <wp:docPr id="428" name="Textbox 428"/>
              <wp:cNvGraphicFramePr>
                <a:graphicFrameLocks/>
              </wp:cNvGraphicFramePr>
              <a:graphic>
                <a:graphicData uri="http://schemas.microsoft.com/office/word/2010/wordprocessingShape">
                  <wps:wsp>
                    <wps:cNvPr id="428" name="Textbox 428"/>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22880" type="#_x0000_t202" id="docshape301"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396672">
              <wp:simplePos x="0" y="0"/>
              <wp:positionH relativeFrom="page">
                <wp:posOffset>732155</wp:posOffset>
              </wp:positionH>
              <wp:positionV relativeFrom="page">
                <wp:posOffset>10141863</wp:posOffset>
              </wp:positionV>
              <wp:extent cx="6131560" cy="1270"/>
              <wp:effectExtent l="0" t="0" r="0" b="0"/>
              <wp:wrapNone/>
              <wp:docPr id="441" name="Graphic 441"/>
              <wp:cNvGraphicFramePr>
                <a:graphicFrameLocks/>
              </wp:cNvGraphicFramePr>
              <a:graphic>
                <a:graphicData uri="http://schemas.microsoft.com/office/word/2010/wordprocessingShape">
                  <wps:wsp>
                    <wps:cNvPr id="441" name="Graphic 441"/>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19808"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97184">
              <wp:simplePos x="0" y="0"/>
              <wp:positionH relativeFrom="page">
                <wp:posOffset>732155</wp:posOffset>
              </wp:positionH>
              <wp:positionV relativeFrom="page">
                <wp:posOffset>10107573</wp:posOffset>
              </wp:positionV>
              <wp:extent cx="6131560" cy="1270"/>
              <wp:effectExtent l="0" t="0" r="0" b="0"/>
              <wp:wrapNone/>
              <wp:docPr id="442" name="Graphic 442"/>
              <wp:cNvGraphicFramePr>
                <a:graphicFrameLocks/>
              </wp:cNvGraphicFramePr>
              <a:graphic>
                <a:graphicData uri="http://schemas.microsoft.com/office/word/2010/wordprocessingShape">
                  <wps:wsp>
                    <wps:cNvPr id="442" name="Graphic 442"/>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19296"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97696">
              <wp:simplePos x="0" y="0"/>
              <wp:positionH relativeFrom="page">
                <wp:posOffset>731316</wp:posOffset>
              </wp:positionH>
              <wp:positionV relativeFrom="page">
                <wp:posOffset>10258288</wp:posOffset>
              </wp:positionV>
              <wp:extent cx="6164580" cy="124460"/>
              <wp:effectExtent l="0" t="0" r="0" b="0"/>
              <wp:wrapNone/>
              <wp:docPr id="443" name="Textbox 443"/>
              <wp:cNvGraphicFramePr>
                <a:graphicFrameLocks/>
              </wp:cNvGraphicFramePr>
              <a:graphic>
                <a:graphicData uri="http://schemas.microsoft.com/office/word/2010/wordprocessingShape">
                  <wps:wsp>
                    <wps:cNvPr id="443" name="Textbox 443"/>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18784" type="#_x0000_t202" id="docshape310"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00768">
              <wp:simplePos x="0" y="0"/>
              <wp:positionH relativeFrom="page">
                <wp:posOffset>732155</wp:posOffset>
              </wp:positionH>
              <wp:positionV relativeFrom="page">
                <wp:posOffset>10141863</wp:posOffset>
              </wp:positionV>
              <wp:extent cx="6131560" cy="1270"/>
              <wp:effectExtent l="0" t="0" r="0" b="0"/>
              <wp:wrapNone/>
              <wp:docPr id="449" name="Graphic 449"/>
              <wp:cNvGraphicFramePr>
                <a:graphicFrameLocks/>
              </wp:cNvGraphicFramePr>
              <a:graphic>
                <a:graphicData uri="http://schemas.microsoft.com/office/word/2010/wordprocessingShape">
                  <wps:wsp>
                    <wps:cNvPr id="449" name="Graphic 449"/>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15712"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01280">
              <wp:simplePos x="0" y="0"/>
              <wp:positionH relativeFrom="page">
                <wp:posOffset>731316</wp:posOffset>
              </wp:positionH>
              <wp:positionV relativeFrom="page">
                <wp:posOffset>10258288</wp:posOffset>
              </wp:positionV>
              <wp:extent cx="6164580" cy="124460"/>
              <wp:effectExtent l="0" t="0" r="0" b="0"/>
              <wp:wrapNone/>
              <wp:docPr id="450" name="Textbox 450"/>
              <wp:cNvGraphicFramePr>
                <a:graphicFrameLocks/>
              </wp:cNvGraphicFramePr>
              <a:graphic>
                <a:graphicData uri="http://schemas.microsoft.com/office/word/2010/wordprocessingShape">
                  <wps:wsp>
                    <wps:cNvPr id="450" name="Textbox 450"/>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15200" type="#_x0000_t202" id="docshape314"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04352">
              <wp:simplePos x="0" y="0"/>
              <wp:positionH relativeFrom="page">
                <wp:posOffset>732155</wp:posOffset>
              </wp:positionH>
              <wp:positionV relativeFrom="page">
                <wp:posOffset>10141863</wp:posOffset>
              </wp:positionV>
              <wp:extent cx="6131560" cy="1270"/>
              <wp:effectExtent l="0" t="0" r="0" b="0"/>
              <wp:wrapNone/>
              <wp:docPr id="460" name="Graphic 460"/>
              <wp:cNvGraphicFramePr>
                <a:graphicFrameLocks/>
              </wp:cNvGraphicFramePr>
              <a:graphic>
                <a:graphicData uri="http://schemas.microsoft.com/office/word/2010/wordprocessingShape">
                  <wps:wsp>
                    <wps:cNvPr id="460" name="Graphic 46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12128"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04864">
              <wp:simplePos x="0" y="0"/>
              <wp:positionH relativeFrom="page">
                <wp:posOffset>732155</wp:posOffset>
              </wp:positionH>
              <wp:positionV relativeFrom="page">
                <wp:posOffset>10107573</wp:posOffset>
              </wp:positionV>
              <wp:extent cx="6131560" cy="1270"/>
              <wp:effectExtent l="0" t="0" r="0" b="0"/>
              <wp:wrapNone/>
              <wp:docPr id="461" name="Graphic 461"/>
              <wp:cNvGraphicFramePr>
                <a:graphicFrameLocks/>
              </wp:cNvGraphicFramePr>
              <a:graphic>
                <a:graphicData uri="http://schemas.microsoft.com/office/word/2010/wordprocessingShape">
                  <wps:wsp>
                    <wps:cNvPr id="461" name="Graphic 461"/>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11616"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05376">
              <wp:simplePos x="0" y="0"/>
              <wp:positionH relativeFrom="page">
                <wp:posOffset>731316</wp:posOffset>
              </wp:positionH>
              <wp:positionV relativeFrom="page">
                <wp:posOffset>10258288</wp:posOffset>
              </wp:positionV>
              <wp:extent cx="6164580" cy="124460"/>
              <wp:effectExtent l="0" t="0" r="0" b="0"/>
              <wp:wrapNone/>
              <wp:docPr id="462" name="Textbox 462"/>
              <wp:cNvGraphicFramePr>
                <a:graphicFrameLocks/>
              </wp:cNvGraphicFramePr>
              <a:graphic>
                <a:graphicData uri="http://schemas.microsoft.com/office/word/2010/wordprocessingShape">
                  <wps:wsp>
                    <wps:cNvPr id="462" name="Textbox 462"/>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11104" type="#_x0000_t202" id="docshape322"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08448">
              <wp:simplePos x="0" y="0"/>
              <wp:positionH relativeFrom="page">
                <wp:posOffset>732155</wp:posOffset>
              </wp:positionH>
              <wp:positionV relativeFrom="page">
                <wp:posOffset>10141863</wp:posOffset>
              </wp:positionV>
              <wp:extent cx="6131560" cy="1270"/>
              <wp:effectExtent l="0" t="0" r="0" b="0"/>
              <wp:wrapNone/>
              <wp:docPr id="468" name="Graphic 468"/>
              <wp:cNvGraphicFramePr>
                <a:graphicFrameLocks/>
              </wp:cNvGraphicFramePr>
              <a:graphic>
                <a:graphicData uri="http://schemas.microsoft.com/office/word/2010/wordprocessingShape">
                  <wps:wsp>
                    <wps:cNvPr id="468" name="Graphic 468"/>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08032"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08960">
              <wp:simplePos x="0" y="0"/>
              <wp:positionH relativeFrom="page">
                <wp:posOffset>731316</wp:posOffset>
              </wp:positionH>
              <wp:positionV relativeFrom="page">
                <wp:posOffset>10258288</wp:posOffset>
              </wp:positionV>
              <wp:extent cx="6164580" cy="124460"/>
              <wp:effectExtent l="0" t="0" r="0" b="0"/>
              <wp:wrapNone/>
              <wp:docPr id="469" name="Textbox 469"/>
              <wp:cNvGraphicFramePr>
                <a:graphicFrameLocks/>
              </wp:cNvGraphicFramePr>
              <a:graphic>
                <a:graphicData uri="http://schemas.microsoft.com/office/word/2010/wordprocessingShape">
                  <wps:wsp>
                    <wps:cNvPr id="469" name="Textbox 469"/>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07520" type="#_x0000_t202" id="docshape326"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12032">
              <wp:simplePos x="0" y="0"/>
              <wp:positionH relativeFrom="page">
                <wp:posOffset>732155</wp:posOffset>
              </wp:positionH>
              <wp:positionV relativeFrom="page">
                <wp:posOffset>10141863</wp:posOffset>
              </wp:positionV>
              <wp:extent cx="6131560" cy="1270"/>
              <wp:effectExtent l="0" t="0" r="0" b="0"/>
              <wp:wrapNone/>
              <wp:docPr id="479" name="Graphic 479"/>
              <wp:cNvGraphicFramePr>
                <a:graphicFrameLocks/>
              </wp:cNvGraphicFramePr>
              <a:graphic>
                <a:graphicData uri="http://schemas.microsoft.com/office/word/2010/wordprocessingShape">
                  <wps:wsp>
                    <wps:cNvPr id="479" name="Graphic 479"/>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04448"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12544">
              <wp:simplePos x="0" y="0"/>
              <wp:positionH relativeFrom="page">
                <wp:posOffset>732155</wp:posOffset>
              </wp:positionH>
              <wp:positionV relativeFrom="page">
                <wp:posOffset>10107573</wp:posOffset>
              </wp:positionV>
              <wp:extent cx="6131560" cy="1270"/>
              <wp:effectExtent l="0" t="0" r="0" b="0"/>
              <wp:wrapNone/>
              <wp:docPr id="480" name="Graphic 480"/>
              <wp:cNvGraphicFramePr>
                <a:graphicFrameLocks/>
              </wp:cNvGraphicFramePr>
              <a:graphic>
                <a:graphicData uri="http://schemas.microsoft.com/office/word/2010/wordprocessingShape">
                  <wps:wsp>
                    <wps:cNvPr id="480" name="Graphic 48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03936"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13056">
              <wp:simplePos x="0" y="0"/>
              <wp:positionH relativeFrom="page">
                <wp:posOffset>731316</wp:posOffset>
              </wp:positionH>
              <wp:positionV relativeFrom="page">
                <wp:posOffset>10258288</wp:posOffset>
              </wp:positionV>
              <wp:extent cx="6164580" cy="124460"/>
              <wp:effectExtent l="0" t="0" r="0" b="0"/>
              <wp:wrapNone/>
              <wp:docPr id="481" name="Textbox 481"/>
              <wp:cNvGraphicFramePr>
                <a:graphicFrameLocks/>
              </wp:cNvGraphicFramePr>
              <a:graphic>
                <a:graphicData uri="http://schemas.microsoft.com/office/word/2010/wordprocessingShape">
                  <wps:wsp>
                    <wps:cNvPr id="481" name="Textbox 481"/>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903424" type="#_x0000_t202" id="docshape333"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16128">
              <wp:simplePos x="0" y="0"/>
              <wp:positionH relativeFrom="page">
                <wp:posOffset>732155</wp:posOffset>
              </wp:positionH>
              <wp:positionV relativeFrom="page">
                <wp:posOffset>10141863</wp:posOffset>
              </wp:positionV>
              <wp:extent cx="6131560" cy="1270"/>
              <wp:effectExtent l="0" t="0" r="0" b="0"/>
              <wp:wrapNone/>
              <wp:docPr id="487" name="Graphic 487"/>
              <wp:cNvGraphicFramePr>
                <a:graphicFrameLocks/>
              </wp:cNvGraphicFramePr>
              <a:graphic>
                <a:graphicData uri="http://schemas.microsoft.com/office/word/2010/wordprocessingShape">
                  <wps:wsp>
                    <wps:cNvPr id="487" name="Graphic 487"/>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00352"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16640">
              <wp:simplePos x="0" y="0"/>
              <wp:positionH relativeFrom="page">
                <wp:posOffset>731316</wp:posOffset>
              </wp:positionH>
              <wp:positionV relativeFrom="page">
                <wp:posOffset>10258288</wp:posOffset>
              </wp:positionV>
              <wp:extent cx="6164580" cy="124460"/>
              <wp:effectExtent l="0" t="0" r="0" b="0"/>
              <wp:wrapNone/>
              <wp:docPr id="488" name="Textbox 488"/>
              <wp:cNvGraphicFramePr>
                <a:graphicFrameLocks/>
              </wp:cNvGraphicFramePr>
              <a:graphic>
                <a:graphicData uri="http://schemas.microsoft.com/office/word/2010/wordprocessingShape">
                  <wps:wsp>
                    <wps:cNvPr id="488" name="Textbox 488"/>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99840" type="#_x0000_t202" id="docshape33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19712">
              <wp:simplePos x="0" y="0"/>
              <wp:positionH relativeFrom="page">
                <wp:posOffset>732155</wp:posOffset>
              </wp:positionH>
              <wp:positionV relativeFrom="page">
                <wp:posOffset>10141863</wp:posOffset>
              </wp:positionV>
              <wp:extent cx="6131560" cy="1270"/>
              <wp:effectExtent l="0" t="0" r="0" b="0"/>
              <wp:wrapNone/>
              <wp:docPr id="501" name="Graphic 501"/>
              <wp:cNvGraphicFramePr>
                <a:graphicFrameLocks/>
              </wp:cNvGraphicFramePr>
              <a:graphic>
                <a:graphicData uri="http://schemas.microsoft.com/office/word/2010/wordprocessingShape">
                  <wps:wsp>
                    <wps:cNvPr id="501" name="Graphic 501"/>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96768"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20224">
              <wp:simplePos x="0" y="0"/>
              <wp:positionH relativeFrom="page">
                <wp:posOffset>732155</wp:posOffset>
              </wp:positionH>
              <wp:positionV relativeFrom="page">
                <wp:posOffset>10107573</wp:posOffset>
              </wp:positionV>
              <wp:extent cx="6131560" cy="1270"/>
              <wp:effectExtent l="0" t="0" r="0" b="0"/>
              <wp:wrapNone/>
              <wp:docPr id="502" name="Graphic 502"/>
              <wp:cNvGraphicFramePr>
                <a:graphicFrameLocks/>
              </wp:cNvGraphicFramePr>
              <a:graphic>
                <a:graphicData uri="http://schemas.microsoft.com/office/word/2010/wordprocessingShape">
                  <wps:wsp>
                    <wps:cNvPr id="502" name="Graphic 502"/>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96256"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20736">
              <wp:simplePos x="0" y="0"/>
              <wp:positionH relativeFrom="page">
                <wp:posOffset>978204</wp:posOffset>
              </wp:positionH>
              <wp:positionV relativeFrom="page">
                <wp:posOffset>9981658</wp:posOffset>
              </wp:positionV>
              <wp:extent cx="3569335" cy="143510"/>
              <wp:effectExtent l="0" t="0" r="0" b="0"/>
              <wp:wrapNone/>
              <wp:docPr id="503" name="Textbox 503"/>
              <wp:cNvGraphicFramePr>
                <a:graphicFrameLocks/>
              </wp:cNvGraphicFramePr>
              <a:graphic>
                <a:graphicData uri="http://schemas.microsoft.com/office/word/2010/wordprocessingShape">
                  <wps:wsp>
                    <wps:cNvPr id="503" name="Textbox 503"/>
                    <wps:cNvSpPr txBox="1"/>
                    <wps:spPr>
                      <a:xfrm>
                        <a:off x="0" y="0"/>
                        <a:ext cx="3569335" cy="143510"/>
                      </a:xfrm>
                      <a:prstGeom prst="rect">
                        <a:avLst/>
                      </a:prstGeom>
                    </wps:spPr>
                    <wps:txbx>
                      <w:txbxContent>
                        <w:p>
                          <w:pPr>
                            <w:spacing w:before="21"/>
                            <w:ind w:left="20" w:right="0" w:firstLine="0"/>
                            <w:jc w:val="left"/>
                            <w:rPr>
                              <w:sz w:val="16"/>
                            </w:rPr>
                          </w:pPr>
                          <w:r>
                            <w:rPr>
                              <w:sz w:val="16"/>
                              <w:vertAlign w:val="superscript"/>
                            </w:rPr>
                            <w:t>49</w:t>
                          </w:r>
                          <w:r>
                            <w:rPr>
                              <w:spacing w:val="-7"/>
                              <w:sz w:val="16"/>
                              <w:vertAlign w:val="baseline"/>
                            </w:rPr>
                            <w:t> </w:t>
                          </w:r>
                          <w:r>
                            <w:rPr>
                              <w:sz w:val="16"/>
                              <w:vertAlign w:val="baseline"/>
                            </w:rPr>
                            <w:t>Expediente</w:t>
                          </w:r>
                          <w:r>
                            <w:rPr>
                              <w:spacing w:val="-6"/>
                              <w:sz w:val="16"/>
                              <w:vertAlign w:val="baseline"/>
                            </w:rPr>
                            <w:t> </w:t>
                          </w:r>
                          <w:r>
                            <w:rPr>
                              <w:sz w:val="16"/>
                              <w:vertAlign w:val="baseline"/>
                            </w:rPr>
                            <w:t>DGCOM/GRAV-REST/002/2026,</w:t>
                          </w:r>
                          <w:r>
                            <w:rPr>
                              <w:spacing w:val="-7"/>
                              <w:sz w:val="16"/>
                              <w:vertAlign w:val="baseline"/>
                            </w:rPr>
                            <w:t> </w:t>
                          </w:r>
                          <w:r>
                            <w:rPr>
                              <w:sz w:val="16"/>
                              <w:vertAlign w:val="baseline"/>
                            </w:rPr>
                            <w:t>Acta</w:t>
                          </w:r>
                          <w:r>
                            <w:rPr>
                              <w:spacing w:val="-9"/>
                              <w:sz w:val="16"/>
                              <w:vertAlign w:val="baseline"/>
                            </w:rPr>
                            <w:t> </w:t>
                          </w:r>
                          <w:r>
                            <w:rPr>
                              <w:sz w:val="16"/>
                              <w:vertAlign w:val="baseline"/>
                            </w:rPr>
                            <w:t>de</w:t>
                          </w:r>
                          <w:r>
                            <w:rPr>
                              <w:spacing w:val="-6"/>
                              <w:sz w:val="16"/>
                              <w:vertAlign w:val="baseline"/>
                            </w:rPr>
                            <w:t> </w:t>
                          </w:r>
                          <w:r>
                            <w:rPr>
                              <w:sz w:val="16"/>
                              <w:vertAlign w:val="baseline"/>
                            </w:rPr>
                            <w:t>Reunión,</w:t>
                          </w:r>
                          <w:r>
                            <w:rPr>
                              <w:spacing w:val="-7"/>
                              <w:sz w:val="16"/>
                              <w:vertAlign w:val="baseline"/>
                            </w:rPr>
                            <w:t> </w:t>
                          </w:r>
                          <w:r>
                            <w:rPr>
                              <w:sz w:val="16"/>
                              <w:vertAlign w:val="baseline"/>
                            </w:rPr>
                            <w:t>folio</w:t>
                          </w:r>
                          <w:r>
                            <w:rPr>
                              <w:spacing w:val="-6"/>
                              <w:sz w:val="16"/>
                              <w:vertAlign w:val="baseline"/>
                            </w:rPr>
                            <w:t> </w:t>
                          </w:r>
                          <w:r>
                            <w:rPr>
                              <w:spacing w:val="-2"/>
                              <w:sz w:val="16"/>
                              <w:vertAlign w:val="baseline"/>
                            </w:rPr>
                            <w:t>000232.</w:t>
                          </w:r>
                        </w:p>
                      </w:txbxContent>
                    </wps:txbx>
                    <wps:bodyPr wrap="square" lIns="0" tIns="0" rIns="0" bIns="0" rtlCol="0">
                      <a:noAutofit/>
                    </wps:bodyPr>
                  </wps:wsp>
                </a:graphicData>
              </a:graphic>
            </wp:anchor>
          </w:drawing>
        </mc:Choice>
        <mc:Fallback>
          <w:pict>
            <v:shape style="position:absolute;margin-left:77.024002pt;margin-top:785.957397pt;width:281.05pt;height:11.3pt;mso-position-horizontal-relative:page;mso-position-vertical-relative:page;z-index:-20895744" type="#_x0000_t202" id="docshape346" filled="false" stroked="false">
              <v:textbox inset="0,0,0,0">
                <w:txbxContent>
                  <w:p>
                    <w:pPr>
                      <w:spacing w:before="21"/>
                      <w:ind w:left="20" w:right="0" w:firstLine="0"/>
                      <w:jc w:val="left"/>
                      <w:rPr>
                        <w:sz w:val="16"/>
                      </w:rPr>
                    </w:pPr>
                    <w:r>
                      <w:rPr>
                        <w:sz w:val="16"/>
                        <w:vertAlign w:val="superscript"/>
                      </w:rPr>
                      <w:t>49</w:t>
                    </w:r>
                    <w:r>
                      <w:rPr>
                        <w:spacing w:val="-7"/>
                        <w:sz w:val="16"/>
                        <w:vertAlign w:val="baseline"/>
                      </w:rPr>
                      <w:t> </w:t>
                    </w:r>
                    <w:r>
                      <w:rPr>
                        <w:sz w:val="16"/>
                        <w:vertAlign w:val="baseline"/>
                      </w:rPr>
                      <w:t>Expediente</w:t>
                    </w:r>
                    <w:r>
                      <w:rPr>
                        <w:spacing w:val="-6"/>
                        <w:sz w:val="16"/>
                        <w:vertAlign w:val="baseline"/>
                      </w:rPr>
                      <w:t> </w:t>
                    </w:r>
                    <w:r>
                      <w:rPr>
                        <w:sz w:val="16"/>
                        <w:vertAlign w:val="baseline"/>
                      </w:rPr>
                      <w:t>DGCOM/GRAV-REST/002/2026,</w:t>
                    </w:r>
                    <w:r>
                      <w:rPr>
                        <w:spacing w:val="-7"/>
                        <w:sz w:val="16"/>
                        <w:vertAlign w:val="baseline"/>
                      </w:rPr>
                      <w:t> </w:t>
                    </w:r>
                    <w:r>
                      <w:rPr>
                        <w:sz w:val="16"/>
                        <w:vertAlign w:val="baseline"/>
                      </w:rPr>
                      <w:t>Acta</w:t>
                    </w:r>
                    <w:r>
                      <w:rPr>
                        <w:spacing w:val="-9"/>
                        <w:sz w:val="16"/>
                        <w:vertAlign w:val="baseline"/>
                      </w:rPr>
                      <w:t> </w:t>
                    </w:r>
                    <w:r>
                      <w:rPr>
                        <w:sz w:val="16"/>
                        <w:vertAlign w:val="baseline"/>
                      </w:rPr>
                      <w:t>de</w:t>
                    </w:r>
                    <w:r>
                      <w:rPr>
                        <w:spacing w:val="-6"/>
                        <w:sz w:val="16"/>
                        <w:vertAlign w:val="baseline"/>
                      </w:rPr>
                      <w:t> </w:t>
                    </w:r>
                    <w:r>
                      <w:rPr>
                        <w:sz w:val="16"/>
                        <w:vertAlign w:val="baseline"/>
                      </w:rPr>
                      <w:t>Reunión,</w:t>
                    </w:r>
                    <w:r>
                      <w:rPr>
                        <w:spacing w:val="-7"/>
                        <w:sz w:val="16"/>
                        <w:vertAlign w:val="baseline"/>
                      </w:rPr>
                      <w:t> </w:t>
                    </w:r>
                    <w:r>
                      <w:rPr>
                        <w:sz w:val="16"/>
                        <w:vertAlign w:val="baseline"/>
                      </w:rPr>
                      <w:t>folio</w:t>
                    </w:r>
                    <w:r>
                      <w:rPr>
                        <w:spacing w:val="-6"/>
                        <w:sz w:val="16"/>
                        <w:vertAlign w:val="baseline"/>
                      </w:rPr>
                      <w:t> </w:t>
                    </w:r>
                    <w:r>
                      <w:rPr>
                        <w:spacing w:val="-2"/>
                        <w:sz w:val="16"/>
                        <w:vertAlign w:val="baseline"/>
                      </w:rPr>
                      <w:t>000232.</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21248">
              <wp:simplePos x="0" y="0"/>
              <wp:positionH relativeFrom="page">
                <wp:posOffset>731316</wp:posOffset>
              </wp:positionH>
              <wp:positionV relativeFrom="page">
                <wp:posOffset>10258288</wp:posOffset>
              </wp:positionV>
              <wp:extent cx="6164580" cy="124460"/>
              <wp:effectExtent l="0" t="0" r="0" b="0"/>
              <wp:wrapNone/>
              <wp:docPr id="504" name="Textbox 504"/>
              <wp:cNvGraphicFramePr>
                <a:graphicFrameLocks/>
              </wp:cNvGraphicFramePr>
              <a:graphic>
                <a:graphicData uri="http://schemas.microsoft.com/office/word/2010/wordprocessingShape">
                  <wps:wsp>
                    <wps:cNvPr id="504" name="Textbox 504"/>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95232" type="#_x0000_t202" id="docshape34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24320">
              <wp:simplePos x="0" y="0"/>
              <wp:positionH relativeFrom="page">
                <wp:posOffset>732155</wp:posOffset>
              </wp:positionH>
              <wp:positionV relativeFrom="page">
                <wp:posOffset>10141863</wp:posOffset>
              </wp:positionV>
              <wp:extent cx="6131560" cy="1270"/>
              <wp:effectExtent l="0" t="0" r="0" b="0"/>
              <wp:wrapNone/>
              <wp:docPr id="511" name="Graphic 511"/>
              <wp:cNvGraphicFramePr>
                <a:graphicFrameLocks/>
              </wp:cNvGraphicFramePr>
              <a:graphic>
                <a:graphicData uri="http://schemas.microsoft.com/office/word/2010/wordprocessingShape">
                  <wps:wsp>
                    <wps:cNvPr id="511" name="Graphic 511"/>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9216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24832">
              <wp:simplePos x="0" y="0"/>
              <wp:positionH relativeFrom="page">
                <wp:posOffset>731316</wp:posOffset>
              </wp:positionH>
              <wp:positionV relativeFrom="page">
                <wp:posOffset>10258288</wp:posOffset>
              </wp:positionV>
              <wp:extent cx="6164580" cy="124460"/>
              <wp:effectExtent l="0" t="0" r="0" b="0"/>
              <wp:wrapNone/>
              <wp:docPr id="512" name="Textbox 512"/>
              <wp:cNvGraphicFramePr>
                <a:graphicFrameLocks/>
              </wp:cNvGraphicFramePr>
              <a:graphic>
                <a:graphicData uri="http://schemas.microsoft.com/office/word/2010/wordprocessingShape">
                  <wps:wsp>
                    <wps:cNvPr id="512" name="Textbox 512"/>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91648" type="#_x0000_t202" id="docshape352"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3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27904">
              <wp:simplePos x="0" y="0"/>
              <wp:positionH relativeFrom="page">
                <wp:posOffset>732155</wp:posOffset>
              </wp:positionH>
              <wp:positionV relativeFrom="page">
                <wp:posOffset>10141863</wp:posOffset>
              </wp:positionV>
              <wp:extent cx="6131560" cy="1270"/>
              <wp:effectExtent l="0" t="0" r="0" b="0"/>
              <wp:wrapNone/>
              <wp:docPr id="575" name="Graphic 575"/>
              <wp:cNvGraphicFramePr>
                <a:graphicFrameLocks/>
              </wp:cNvGraphicFramePr>
              <a:graphic>
                <a:graphicData uri="http://schemas.microsoft.com/office/word/2010/wordprocessingShape">
                  <wps:wsp>
                    <wps:cNvPr id="575" name="Graphic 575"/>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8857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28416">
              <wp:simplePos x="0" y="0"/>
              <wp:positionH relativeFrom="page">
                <wp:posOffset>732155</wp:posOffset>
              </wp:positionH>
              <wp:positionV relativeFrom="page">
                <wp:posOffset>10107573</wp:posOffset>
              </wp:positionV>
              <wp:extent cx="6131560" cy="1270"/>
              <wp:effectExtent l="0" t="0" r="0" b="0"/>
              <wp:wrapNone/>
              <wp:docPr id="576" name="Graphic 576"/>
              <wp:cNvGraphicFramePr>
                <a:graphicFrameLocks/>
              </wp:cNvGraphicFramePr>
              <a:graphic>
                <a:graphicData uri="http://schemas.microsoft.com/office/word/2010/wordprocessingShape">
                  <wps:wsp>
                    <wps:cNvPr id="576" name="Graphic 576"/>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8806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28928">
              <wp:simplePos x="0" y="0"/>
              <wp:positionH relativeFrom="page">
                <wp:posOffset>731316</wp:posOffset>
              </wp:positionH>
              <wp:positionV relativeFrom="page">
                <wp:posOffset>10258288</wp:posOffset>
              </wp:positionV>
              <wp:extent cx="6164580" cy="124460"/>
              <wp:effectExtent l="0" t="0" r="0" b="0"/>
              <wp:wrapNone/>
              <wp:docPr id="577" name="Textbox 577"/>
              <wp:cNvGraphicFramePr>
                <a:graphicFrameLocks/>
              </wp:cNvGraphicFramePr>
              <a:graphic>
                <a:graphicData uri="http://schemas.microsoft.com/office/word/2010/wordprocessingShape">
                  <wps:wsp>
                    <wps:cNvPr id="577" name="Textbox 577"/>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87552" type="#_x0000_t202" id="docshape39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32000">
              <wp:simplePos x="0" y="0"/>
              <wp:positionH relativeFrom="page">
                <wp:posOffset>732155</wp:posOffset>
              </wp:positionH>
              <wp:positionV relativeFrom="page">
                <wp:posOffset>10141863</wp:posOffset>
              </wp:positionV>
              <wp:extent cx="6131560" cy="1270"/>
              <wp:effectExtent l="0" t="0" r="0" b="0"/>
              <wp:wrapNone/>
              <wp:docPr id="583" name="Graphic 583"/>
              <wp:cNvGraphicFramePr>
                <a:graphicFrameLocks/>
              </wp:cNvGraphicFramePr>
              <a:graphic>
                <a:graphicData uri="http://schemas.microsoft.com/office/word/2010/wordprocessingShape">
                  <wps:wsp>
                    <wps:cNvPr id="583" name="Graphic 58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8448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32512">
              <wp:simplePos x="0" y="0"/>
              <wp:positionH relativeFrom="page">
                <wp:posOffset>731316</wp:posOffset>
              </wp:positionH>
              <wp:positionV relativeFrom="page">
                <wp:posOffset>10258288</wp:posOffset>
              </wp:positionV>
              <wp:extent cx="6164580" cy="124460"/>
              <wp:effectExtent l="0" t="0" r="0" b="0"/>
              <wp:wrapNone/>
              <wp:docPr id="584" name="Textbox 584"/>
              <wp:cNvGraphicFramePr>
                <a:graphicFrameLocks/>
              </wp:cNvGraphicFramePr>
              <a:graphic>
                <a:graphicData uri="http://schemas.microsoft.com/office/word/2010/wordprocessingShape">
                  <wps:wsp>
                    <wps:cNvPr id="584" name="Textbox 584"/>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83968" type="#_x0000_t202" id="docshape401"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35584">
              <wp:simplePos x="0" y="0"/>
              <wp:positionH relativeFrom="page">
                <wp:posOffset>732155</wp:posOffset>
              </wp:positionH>
              <wp:positionV relativeFrom="page">
                <wp:posOffset>10141863</wp:posOffset>
              </wp:positionV>
              <wp:extent cx="6131560" cy="1270"/>
              <wp:effectExtent l="0" t="0" r="0" b="0"/>
              <wp:wrapNone/>
              <wp:docPr id="593" name="Graphic 593"/>
              <wp:cNvGraphicFramePr>
                <a:graphicFrameLocks/>
              </wp:cNvGraphicFramePr>
              <a:graphic>
                <a:graphicData uri="http://schemas.microsoft.com/office/word/2010/wordprocessingShape">
                  <wps:wsp>
                    <wps:cNvPr id="593" name="Graphic 59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8089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36096">
              <wp:simplePos x="0" y="0"/>
              <wp:positionH relativeFrom="page">
                <wp:posOffset>732155</wp:posOffset>
              </wp:positionH>
              <wp:positionV relativeFrom="page">
                <wp:posOffset>10107573</wp:posOffset>
              </wp:positionV>
              <wp:extent cx="6131560" cy="1270"/>
              <wp:effectExtent l="0" t="0" r="0" b="0"/>
              <wp:wrapNone/>
              <wp:docPr id="594" name="Graphic 594"/>
              <wp:cNvGraphicFramePr>
                <a:graphicFrameLocks/>
              </wp:cNvGraphicFramePr>
              <a:graphic>
                <a:graphicData uri="http://schemas.microsoft.com/office/word/2010/wordprocessingShape">
                  <wps:wsp>
                    <wps:cNvPr id="594" name="Graphic 594"/>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8038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36608">
              <wp:simplePos x="0" y="0"/>
              <wp:positionH relativeFrom="page">
                <wp:posOffset>731316</wp:posOffset>
              </wp:positionH>
              <wp:positionV relativeFrom="page">
                <wp:posOffset>10258288</wp:posOffset>
              </wp:positionV>
              <wp:extent cx="6164580" cy="124460"/>
              <wp:effectExtent l="0" t="0" r="0" b="0"/>
              <wp:wrapNone/>
              <wp:docPr id="595" name="Textbox 595"/>
              <wp:cNvGraphicFramePr>
                <a:graphicFrameLocks/>
              </wp:cNvGraphicFramePr>
              <a:graphic>
                <a:graphicData uri="http://schemas.microsoft.com/office/word/2010/wordprocessingShape">
                  <wps:wsp>
                    <wps:cNvPr id="595" name="Textbox 595"/>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79872" type="#_x0000_t202" id="docshape40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39680">
              <wp:simplePos x="0" y="0"/>
              <wp:positionH relativeFrom="page">
                <wp:posOffset>732155</wp:posOffset>
              </wp:positionH>
              <wp:positionV relativeFrom="page">
                <wp:posOffset>10141863</wp:posOffset>
              </wp:positionV>
              <wp:extent cx="6131560" cy="1270"/>
              <wp:effectExtent l="0" t="0" r="0" b="0"/>
              <wp:wrapNone/>
              <wp:docPr id="601" name="Graphic 601"/>
              <wp:cNvGraphicFramePr>
                <a:graphicFrameLocks/>
              </wp:cNvGraphicFramePr>
              <a:graphic>
                <a:graphicData uri="http://schemas.microsoft.com/office/word/2010/wordprocessingShape">
                  <wps:wsp>
                    <wps:cNvPr id="601" name="Graphic 601"/>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7680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40192">
              <wp:simplePos x="0" y="0"/>
              <wp:positionH relativeFrom="page">
                <wp:posOffset>731316</wp:posOffset>
              </wp:positionH>
              <wp:positionV relativeFrom="page">
                <wp:posOffset>10258288</wp:posOffset>
              </wp:positionV>
              <wp:extent cx="6164580" cy="124460"/>
              <wp:effectExtent l="0" t="0" r="0" b="0"/>
              <wp:wrapNone/>
              <wp:docPr id="602" name="Textbox 602"/>
              <wp:cNvGraphicFramePr>
                <a:graphicFrameLocks/>
              </wp:cNvGraphicFramePr>
              <a:graphic>
                <a:graphicData uri="http://schemas.microsoft.com/office/word/2010/wordprocessingShape">
                  <wps:wsp>
                    <wps:cNvPr id="602" name="Textbox 602"/>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76288" type="#_x0000_t202" id="docshape411"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43264">
              <wp:simplePos x="0" y="0"/>
              <wp:positionH relativeFrom="page">
                <wp:posOffset>732155</wp:posOffset>
              </wp:positionH>
              <wp:positionV relativeFrom="page">
                <wp:posOffset>10141863</wp:posOffset>
              </wp:positionV>
              <wp:extent cx="6131560" cy="1270"/>
              <wp:effectExtent l="0" t="0" r="0" b="0"/>
              <wp:wrapNone/>
              <wp:docPr id="611" name="Graphic 611"/>
              <wp:cNvGraphicFramePr>
                <a:graphicFrameLocks/>
              </wp:cNvGraphicFramePr>
              <a:graphic>
                <a:graphicData uri="http://schemas.microsoft.com/office/word/2010/wordprocessingShape">
                  <wps:wsp>
                    <wps:cNvPr id="611" name="Graphic 611"/>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73216"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43776">
              <wp:simplePos x="0" y="0"/>
              <wp:positionH relativeFrom="page">
                <wp:posOffset>732155</wp:posOffset>
              </wp:positionH>
              <wp:positionV relativeFrom="page">
                <wp:posOffset>10107573</wp:posOffset>
              </wp:positionV>
              <wp:extent cx="6131560" cy="1270"/>
              <wp:effectExtent l="0" t="0" r="0" b="0"/>
              <wp:wrapNone/>
              <wp:docPr id="612" name="Graphic 612"/>
              <wp:cNvGraphicFramePr>
                <a:graphicFrameLocks/>
              </wp:cNvGraphicFramePr>
              <a:graphic>
                <a:graphicData uri="http://schemas.microsoft.com/office/word/2010/wordprocessingShape">
                  <wps:wsp>
                    <wps:cNvPr id="612" name="Graphic 612"/>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72704"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44288">
              <wp:simplePos x="0" y="0"/>
              <wp:positionH relativeFrom="page">
                <wp:posOffset>731316</wp:posOffset>
              </wp:positionH>
              <wp:positionV relativeFrom="page">
                <wp:posOffset>10258288</wp:posOffset>
              </wp:positionV>
              <wp:extent cx="6164580" cy="124460"/>
              <wp:effectExtent l="0" t="0" r="0" b="0"/>
              <wp:wrapNone/>
              <wp:docPr id="613" name="Textbox 613"/>
              <wp:cNvGraphicFramePr>
                <a:graphicFrameLocks/>
              </wp:cNvGraphicFramePr>
              <a:graphic>
                <a:graphicData uri="http://schemas.microsoft.com/office/word/2010/wordprocessingShape">
                  <wps:wsp>
                    <wps:cNvPr id="613" name="Textbox 613"/>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72192" type="#_x0000_t202" id="docshape41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47360">
              <wp:simplePos x="0" y="0"/>
              <wp:positionH relativeFrom="page">
                <wp:posOffset>732155</wp:posOffset>
              </wp:positionH>
              <wp:positionV relativeFrom="page">
                <wp:posOffset>10141863</wp:posOffset>
              </wp:positionV>
              <wp:extent cx="6131560" cy="1270"/>
              <wp:effectExtent l="0" t="0" r="0" b="0"/>
              <wp:wrapNone/>
              <wp:docPr id="619" name="Graphic 619"/>
              <wp:cNvGraphicFramePr>
                <a:graphicFrameLocks/>
              </wp:cNvGraphicFramePr>
              <a:graphic>
                <a:graphicData uri="http://schemas.microsoft.com/office/word/2010/wordprocessingShape">
                  <wps:wsp>
                    <wps:cNvPr id="619" name="Graphic 619"/>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69120"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47872">
              <wp:simplePos x="0" y="0"/>
              <wp:positionH relativeFrom="page">
                <wp:posOffset>732155</wp:posOffset>
              </wp:positionH>
              <wp:positionV relativeFrom="page">
                <wp:posOffset>10107573</wp:posOffset>
              </wp:positionV>
              <wp:extent cx="6131560" cy="1270"/>
              <wp:effectExtent l="0" t="0" r="0" b="0"/>
              <wp:wrapNone/>
              <wp:docPr id="620" name="Graphic 620"/>
              <wp:cNvGraphicFramePr>
                <a:graphicFrameLocks/>
              </wp:cNvGraphicFramePr>
              <a:graphic>
                <a:graphicData uri="http://schemas.microsoft.com/office/word/2010/wordprocessingShape">
                  <wps:wsp>
                    <wps:cNvPr id="620" name="Graphic 62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68608"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48384">
              <wp:simplePos x="0" y="0"/>
              <wp:positionH relativeFrom="page">
                <wp:posOffset>978204</wp:posOffset>
              </wp:positionH>
              <wp:positionV relativeFrom="page">
                <wp:posOffset>9981658</wp:posOffset>
              </wp:positionV>
              <wp:extent cx="2797810" cy="143510"/>
              <wp:effectExtent l="0" t="0" r="0" b="0"/>
              <wp:wrapNone/>
              <wp:docPr id="621" name="Textbox 621"/>
              <wp:cNvGraphicFramePr>
                <a:graphicFrameLocks/>
              </wp:cNvGraphicFramePr>
              <a:graphic>
                <a:graphicData uri="http://schemas.microsoft.com/office/word/2010/wordprocessingShape">
                  <wps:wsp>
                    <wps:cNvPr id="621" name="Textbox 621"/>
                    <wps:cNvSpPr txBox="1"/>
                    <wps:spPr>
                      <a:xfrm>
                        <a:off x="0" y="0"/>
                        <a:ext cx="2797810" cy="143510"/>
                      </a:xfrm>
                      <a:prstGeom prst="rect">
                        <a:avLst/>
                      </a:prstGeom>
                    </wps:spPr>
                    <wps:txbx>
                      <w:txbxContent>
                        <w:p>
                          <w:pPr>
                            <w:spacing w:before="21"/>
                            <w:ind w:left="20" w:right="0" w:firstLine="0"/>
                            <w:jc w:val="left"/>
                            <w:rPr>
                              <w:sz w:val="16"/>
                            </w:rPr>
                          </w:pPr>
                          <w:r>
                            <w:rPr>
                              <w:sz w:val="16"/>
                              <w:vertAlign w:val="superscript"/>
                            </w:rPr>
                            <w:t>111</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000363.</w:t>
                          </w:r>
                        </w:p>
                      </w:txbxContent>
                    </wps:txbx>
                    <wps:bodyPr wrap="square" lIns="0" tIns="0" rIns="0" bIns="0" rtlCol="0">
                      <a:noAutofit/>
                    </wps:bodyPr>
                  </wps:wsp>
                </a:graphicData>
              </a:graphic>
            </wp:anchor>
          </w:drawing>
        </mc:Choice>
        <mc:Fallback>
          <w:pict>
            <v:shape style="position:absolute;margin-left:77.024002pt;margin-top:785.957397pt;width:220.3pt;height:11.3pt;mso-position-horizontal-relative:page;mso-position-vertical-relative:page;z-index:-20868096" type="#_x0000_t202" id="docshape421" filled="false" stroked="false">
              <v:textbox inset="0,0,0,0">
                <w:txbxContent>
                  <w:p>
                    <w:pPr>
                      <w:spacing w:before="21"/>
                      <w:ind w:left="20" w:right="0" w:firstLine="0"/>
                      <w:jc w:val="left"/>
                      <w:rPr>
                        <w:sz w:val="16"/>
                      </w:rPr>
                    </w:pPr>
                    <w:r>
                      <w:rPr>
                        <w:sz w:val="16"/>
                        <w:vertAlign w:val="superscript"/>
                      </w:rPr>
                      <w:t>111</w:t>
                    </w:r>
                    <w:r>
                      <w:rPr>
                        <w:spacing w:val="-9"/>
                        <w:sz w:val="16"/>
                        <w:vertAlign w:val="baseline"/>
                      </w:rPr>
                      <w:t> </w:t>
                    </w:r>
                    <w:r>
                      <w:rPr>
                        <w:sz w:val="16"/>
                        <w:vertAlign w:val="baseline"/>
                      </w:rPr>
                      <w:t>Expediente</w:t>
                    </w:r>
                    <w:r>
                      <w:rPr>
                        <w:spacing w:val="-8"/>
                        <w:sz w:val="16"/>
                        <w:vertAlign w:val="baseline"/>
                      </w:rPr>
                      <w:t> </w:t>
                    </w:r>
                    <w:r>
                      <w:rPr>
                        <w:sz w:val="16"/>
                        <w:vertAlign w:val="baseline"/>
                      </w:rPr>
                      <w:t>DGCOM/GRAV-REST/002/2026,</w:t>
                    </w:r>
                    <w:r>
                      <w:rPr>
                        <w:spacing w:val="-8"/>
                        <w:sz w:val="16"/>
                        <w:vertAlign w:val="baseline"/>
                      </w:rPr>
                      <w:t> </w:t>
                    </w:r>
                    <w:r>
                      <w:rPr>
                        <w:sz w:val="16"/>
                        <w:vertAlign w:val="baseline"/>
                      </w:rPr>
                      <w:t>folio</w:t>
                    </w:r>
                    <w:r>
                      <w:rPr>
                        <w:spacing w:val="-11"/>
                        <w:sz w:val="16"/>
                        <w:vertAlign w:val="baseline"/>
                      </w:rPr>
                      <w:t> </w:t>
                    </w:r>
                    <w:r>
                      <w:rPr>
                        <w:spacing w:val="-2"/>
                        <w:sz w:val="16"/>
                        <w:vertAlign w:val="baseline"/>
                      </w:rPr>
                      <w:t>000363.</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48896">
              <wp:simplePos x="0" y="0"/>
              <wp:positionH relativeFrom="page">
                <wp:posOffset>731316</wp:posOffset>
              </wp:positionH>
              <wp:positionV relativeFrom="page">
                <wp:posOffset>10258288</wp:posOffset>
              </wp:positionV>
              <wp:extent cx="6164580" cy="124460"/>
              <wp:effectExtent l="0" t="0" r="0" b="0"/>
              <wp:wrapNone/>
              <wp:docPr id="622" name="Textbox 622"/>
              <wp:cNvGraphicFramePr>
                <a:graphicFrameLocks/>
              </wp:cNvGraphicFramePr>
              <a:graphic>
                <a:graphicData uri="http://schemas.microsoft.com/office/word/2010/wordprocessingShape">
                  <wps:wsp>
                    <wps:cNvPr id="622" name="Textbox 622"/>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67584" type="#_x0000_t202" id="docshape422"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51968">
              <wp:simplePos x="0" y="0"/>
              <wp:positionH relativeFrom="page">
                <wp:posOffset>732155</wp:posOffset>
              </wp:positionH>
              <wp:positionV relativeFrom="page">
                <wp:posOffset>10141863</wp:posOffset>
              </wp:positionV>
              <wp:extent cx="6131560" cy="1270"/>
              <wp:effectExtent l="0" t="0" r="0" b="0"/>
              <wp:wrapNone/>
              <wp:docPr id="629" name="Graphic 629"/>
              <wp:cNvGraphicFramePr>
                <a:graphicFrameLocks/>
              </wp:cNvGraphicFramePr>
              <a:graphic>
                <a:graphicData uri="http://schemas.microsoft.com/office/word/2010/wordprocessingShape">
                  <wps:wsp>
                    <wps:cNvPr id="629" name="Graphic 629"/>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64512"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52480">
              <wp:simplePos x="0" y="0"/>
              <wp:positionH relativeFrom="page">
                <wp:posOffset>731316</wp:posOffset>
              </wp:positionH>
              <wp:positionV relativeFrom="page">
                <wp:posOffset>10258288</wp:posOffset>
              </wp:positionV>
              <wp:extent cx="6164580" cy="124460"/>
              <wp:effectExtent l="0" t="0" r="0" b="0"/>
              <wp:wrapNone/>
              <wp:docPr id="630" name="Textbox 630"/>
              <wp:cNvGraphicFramePr>
                <a:graphicFrameLocks/>
              </wp:cNvGraphicFramePr>
              <a:graphic>
                <a:graphicData uri="http://schemas.microsoft.com/office/word/2010/wordprocessingShape">
                  <wps:wsp>
                    <wps:cNvPr id="630" name="Textbox 630"/>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64000" type="#_x0000_t202" id="docshape42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55552">
              <wp:simplePos x="0" y="0"/>
              <wp:positionH relativeFrom="page">
                <wp:posOffset>732155</wp:posOffset>
              </wp:positionH>
              <wp:positionV relativeFrom="page">
                <wp:posOffset>10141863</wp:posOffset>
              </wp:positionV>
              <wp:extent cx="6131560" cy="1270"/>
              <wp:effectExtent l="0" t="0" r="0" b="0"/>
              <wp:wrapNone/>
              <wp:docPr id="639" name="Graphic 639"/>
              <wp:cNvGraphicFramePr>
                <a:graphicFrameLocks/>
              </wp:cNvGraphicFramePr>
              <a:graphic>
                <a:graphicData uri="http://schemas.microsoft.com/office/word/2010/wordprocessingShape">
                  <wps:wsp>
                    <wps:cNvPr id="639" name="Graphic 639"/>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60928"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56064">
              <wp:simplePos x="0" y="0"/>
              <wp:positionH relativeFrom="page">
                <wp:posOffset>732155</wp:posOffset>
              </wp:positionH>
              <wp:positionV relativeFrom="page">
                <wp:posOffset>10107573</wp:posOffset>
              </wp:positionV>
              <wp:extent cx="6131560" cy="1270"/>
              <wp:effectExtent l="0" t="0" r="0" b="0"/>
              <wp:wrapNone/>
              <wp:docPr id="640" name="Graphic 640"/>
              <wp:cNvGraphicFramePr>
                <a:graphicFrameLocks/>
              </wp:cNvGraphicFramePr>
              <a:graphic>
                <a:graphicData uri="http://schemas.microsoft.com/office/word/2010/wordprocessingShape">
                  <wps:wsp>
                    <wps:cNvPr id="640" name="Graphic 640"/>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60416"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56576">
              <wp:simplePos x="0" y="0"/>
              <wp:positionH relativeFrom="page">
                <wp:posOffset>731316</wp:posOffset>
              </wp:positionH>
              <wp:positionV relativeFrom="page">
                <wp:posOffset>10258288</wp:posOffset>
              </wp:positionV>
              <wp:extent cx="6164580" cy="124460"/>
              <wp:effectExtent l="0" t="0" r="0" b="0"/>
              <wp:wrapNone/>
              <wp:docPr id="641" name="Textbox 641"/>
              <wp:cNvGraphicFramePr>
                <a:graphicFrameLocks/>
              </wp:cNvGraphicFramePr>
              <a:graphic>
                <a:graphicData uri="http://schemas.microsoft.com/office/word/2010/wordprocessingShape">
                  <wps:wsp>
                    <wps:cNvPr id="641" name="Textbox 641"/>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59904" type="#_x0000_t202" id="docshape433"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59648">
              <wp:simplePos x="0" y="0"/>
              <wp:positionH relativeFrom="page">
                <wp:posOffset>732155</wp:posOffset>
              </wp:positionH>
              <wp:positionV relativeFrom="page">
                <wp:posOffset>10141863</wp:posOffset>
              </wp:positionV>
              <wp:extent cx="6131560" cy="1270"/>
              <wp:effectExtent l="0" t="0" r="0" b="0"/>
              <wp:wrapNone/>
              <wp:docPr id="647" name="Graphic 647"/>
              <wp:cNvGraphicFramePr>
                <a:graphicFrameLocks/>
              </wp:cNvGraphicFramePr>
              <a:graphic>
                <a:graphicData uri="http://schemas.microsoft.com/office/word/2010/wordprocessingShape">
                  <wps:wsp>
                    <wps:cNvPr id="647" name="Graphic 647"/>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56832"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60160">
              <wp:simplePos x="0" y="0"/>
              <wp:positionH relativeFrom="page">
                <wp:posOffset>731316</wp:posOffset>
              </wp:positionH>
              <wp:positionV relativeFrom="page">
                <wp:posOffset>10258288</wp:posOffset>
              </wp:positionV>
              <wp:extent cx="6164580" cy="124460"/>
              <wp:effectExtent l="0" t="0" r="0" b="0"/>
              <wp:wrapNone/>
              <wp:docPr id="648" name="Textbox 648"/>
              <wp:cNvGraphicFramePr>
                <a:graphicFrameLocks/>
              </wp:cNvGraphicFramePr>
              <a:graphic>
                <a:graphicData uri="http://schemas.microsoft.com/office/word/2010/wordprocessingShape">
                  <wps:wsp>
                    <wps:cNvPr id="648" name="Textbox 648"/>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56320" type="#_x0000_t202" id="docshape437"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63232">
              <wp:simplePos x="0" y="0"/>
              <wp:positionH relativeFrom="page">
                <wp:posOffset>732155</wp:posOffset>
              </wp:positionH>
              <wp:positionV relativeFrom="page">
                <wp:posOffset>10141863</wp:posOffset>
              </wp:positionV>
              <wp:extent cx="6131560" cy="1270"/>
              <wp:effectExtent l="0" t="0" r="0" b="0"/>
              <wp:wrapNone/>
              <wp:docPr id="665" name="Graphic 665"/>
              <wp:cNvGraphicFramePr>
                <a:graphicFrameLocks/>
              </wp:cNvGraphicFramePr>
              <a:graphic>
                <a:graphicData uri="http://schemas.microsoft.com/office/word/2010/wordprocessingShape">
                  <wps:wsp>
                    <wps:cNvPr id="665" name="Graphic 665"/>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53248"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63744">
              <wp:simplePos x="0" y="0"/>
              <wp:positionH relativeFrom="page">
                <wp:posOffset>732155</wp:posOffset>
              </wp:positionH>
              <wp:positionV relativeFrom="page">
                <wp:posOffset>10107573</wp:posOffset>
              </wp:positionV>
              <wp:extent cx="6131560" cy="1270"/>
              <wp:effectExtent l="0" t="0" r="0" b="0"/>
              <wp:wrapNone/>
              <wp:docPr id="666" name="Graphic 666"/>
              <wp:cNvGraphicFramePr>
                <a:graphicFrameLocks/>
              </wp:cNvGraphicFramePr>
              <a:graphic>
                <a:graphicData uri="http://schemas.microsoft.com/office/word/2010/wordprocessingShape">
                  <wps:wsp>
                    <wps:cNvPr id="666" name="Graphic 666"/>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52736"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64256">
              <wp:simplePos x="0" y="0"/>
              <wp:positionH relativeFrom="page">
                <wp:posOffset>731316</wp:posOffset>
              </wp:positionH>
              <wp:positionV relativeFrom="page">
                <wp:posOffset>10258288</wp:posOffset>
              </wp:positionV>
              <wp:extent cx="6164580" cy="124460"/>
              <wp:effectExtent l="0" t="0" r="0" b="0"/>
              <wp:wrapNone/>
              <wp:docPr id="667" name="Textbox 667"/>
              <wp:cNvGraphicFramePr>
                <a:graphicFrameLocks/>
              </wp:cNvGraphicFramePr>
              <a:graphic>
                <a:graphicData uri="http://schemas.microsoft.com/office/word/2010/wordprocessingShape">
                  <wps:wsp>
                    <wps:cNvPr id="667" name="Textbox 667"/>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52224" type="#_x0000_t202" id="docshape449"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4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67328">
              <wp:simplePos x="0" y="0"/>
              <wp:positionH relativeFrom="page">
                <wp:posOffset>732155</wp:posOffset>
              </wp:positionH>
              <wp:positionV relativeFrom="page">
                <wp:posOffset>10141863</wp:posOffset>
              </wp:positionV>
              <wp:extent cx="6131560" cy="1270"/>
              <wp:effectExtent l="0" t="0" r="0" b="0"/>
              <wp:wrapNone/>
              <wp:docPr id="673" name="Graphic 673"/>
              <wp:cNvGraphicFramePr>
                <a:graphicFrameLocks/>
              </wp:cNvGraphicFramePr>
              <a:graphic>
                <a:graphicData uri="http://schemas.microsoft.com/office/word/2010/wordprocessingShape">
                  <wps:wsp>
                    <wps:cNvPr id="673" name="Graphic 673"/>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49152"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67840">
              <wp:simplePos x="0" y="0"/>
              <wp:positionH relativeFrom="page">
                <wp:posOffset>731316</wp:posOffset>
              </wp:positionH>
              <wp:positionV relativeFrom="page">
                <wp:posOffset>10258288</wp:posOffset>
              </wp:positionV>
              <wp:extent cx="6164580" cy="124460"/>
              <wp:effectExtent l="0" t="0" r="0" b="0"/>
              <wp:wrapNone/>
              <wp:docPr id="674" name="Textbox 674"/>
              <wp:cNvGraphicFramePr>
                <a:graphicFrameLocks/>
              </wp:cNvGraphicFramePr>
              <a:graphic>
                <a:graphicData uri="http://schemas.microsoft.com/office/word/2010/wordprocessingShape">
                  <wps:wsp>
                    <wps:cNvPr id="674" name="Textbox 674"/>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48640" type="#_x0000_t202" id="docshape453"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5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70912">
              <wp:simplePos x="0" y="0"/>
              <wp:positionH relativeFrom="page">
                <wp:posOffset>732155</wp:posOffset>
              </wp:positionH>
              <wp:positionV relativeFrom="page">
                <wp:posOffset>10141863</wp:posOffset>
              </wp:positionV>
              <wp:extent cx="6131560" cy="1270"/>
              <wp:effectExtent l="0" t="0" r="0" b="0"/>
              <wp:wrapNone/>
              <wp:docPr id="686" name="Graphic 686"/>
              <wp:cNvGraphicFramePr>
                <a:graphicFrameLocks/>
              </wp:cNvGraphicFramePr>
              <a:graphic>
                <a:graphicData uri="http://schemas.microsoft.com/office/word/2010/wordprocessingShape">
                  <wps:wsp>
                    <wps:cNvPr id="686" name="Graphic 686"/>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45568"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71424">
              <wp:simplePos x="0" y="0"/>
              <wp:positionH relativeFrom="page">
                <wp:posOffset>732155</wp:posOffset>
              </wp:positionH>
              <wp:positionV relativeFrom="page">
                <wp:posOffset>10107573</wp:posOffset>
              </wp:positionV>
              <wp:extent cx="6131560" cy="1270"/>
              <wp:effectExtent l="0" t="0" r="0" b="0"/>
              <wp:wrapNone/>
              <wp:docPr id="687" name="Graphic 687"/>
              <wp:cNvGraphicFramePr>
                <a:graphicFrameLocks/>
              </wp:cNvGraphicFramePr>
              <a:graphic>
                <a:graphicData uri="http://schemas.microsoft.com/office/word/2010/wordprocessingShape">
                  <wps:wsp>
                    <wps:cNvPr id="687" name="Graphic 687"/>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45056"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71936">
              <wp:simplePos x="0" y="0"/>
              <wp:positionH relativeFrom="page">
                <wp:posOffset>731316</wp:posOffset>
              </wp:positionH>
              <wp:positionV relativeFrom="page">
                <wp:posOffset>10258288</wp:posOffset>
              </wp:positionV>
              <wp:extent cx="6164580" cy="124460"/>
              <wp:effectExtent l="0" t="0" r="0" b="0"/>
              <wp:wrapNone/>
              <wp:docPr id="688" name="Textbox 688"/>
              <wp:cNvGraphicFramePr>
                <a:graphicFrameLocks/>
              </wp:cNvGraphicFramePr>
              <a:graphic>
                <a:graphicData uri="http://schemas.microsoft.com/office/word/2010/wordprocessingShape">
                  <wps:wsp>
                    <wps:cNvPr id="688" name="Textbox 688"/>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44544" type="#_x0000_t202" id="docshape461"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5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75008">
              <wp:simplePos x="0" y="0"/>
              <wp:positionH relativeFrom="page">
                <wp:posOffset>732155</wp:posOffset>
              </wp:positionH>
              <wp:positionV relativeFrom="page">
                <wp:posOffset>10141863</wp:posOffset>
              </wp:positionV>
              <wp:extent cx="6131560" cy="1270"/>
              <wp:effectExtent l="0" t="0" r="0" b="0"/>
              <wp:wrapNone/>
              <wp:docPr id="694" name="Graphic 694"/>
              <wp:cNvGraphicFramePr>
                <a:graphicFrameLocks/>
              </wp:cNvGraphicFramePr>
              <a:graphic>
                <a:graphicData uri="http://schemas.microsoft.com/office/word/2010/wordprocessingShape">
                  <wps:wsp>
                    <wps:cNvPr id="694" name="Graphic 694"/>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41472"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75520">
              <wp:simplePos x="0" y="0"/>
              <wp:positionH relativeFrom="page">
                <wp:posOffset>731316</wp:posOffset>
              </wp:positionH>
              <wp:positionV relativeFrom="page">
                <wp:posOffset>10258288</wp:posOffset>
              </wp:positionV>
              <wp:extent cx="6164580" cy="124460"/>
              <wp:effectExtent l="0" t="0" r="0" b="0"/>
              <wp:wrapNone/>
              <wp:docPr id="695" name="Textbox 695"/>
              <wp:cNvGraphicFramePr>
                <a:graphicFrameLocks/>
              </wp:cNvGraphicFramePr>
              <a:graphic>
                <a:graphicData uri="http://schemas.microsoft.com/office/word/2010/wordprocessingShape">
                  <wps:wsp>
                    <wps:cNvPr id="695" name="Textbox 695"/>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40960" type="#_x0000_t202" id="docshape465"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5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78592">
              <wp:simplePos x="0" y="0"/>
              <wp:positionH relativeFrom="page">
                <wp:posOffset>732155</wp:posOffset>
              </wp:positionH>
              <wp:positionV relativeFrom="page">
                <wp:posOffset>10141863</wp:posOffset>
              </wp:positionV>
              <wp:extent cx="6131560" cy="1270"/>
              <wp:effectExtent l="0" t="0" r="0" b="0"/>
              <wp:wrapNone/>
              <wp:docPr id="707" name="Graphic 707"/>
              <wp:cNvGraphicFramePr>
                <a:graphicFrameLocks/>
              </wp:cNvGraphicFramePr>
              <a:graphic>
                <a:graphicData uri="http://schemas.microsoft.com/office/word/2010/wordprocessingShape">
                  <wps:wsp>
                    <wps:cNvPr id="707" name="Graphic 707"/>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37888"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79104">
              <wp:simplePos x="0" y="0"/>
              <wp:positionH relativeFrom="page">
                <wp:posOffset>732155</wp:posOffset>
              </wp:positionH>
              <wp:positionV relativeFrom="page">
                <wp:posOffset>10107573</wp:posOffset>
              </wp:positionV>
              <wp:extent cx="6131560" cy="1270"/>
              <wp:effectExtent l="0" t="0" r="0" b="0"/>
              <wp:wrapNone/>
              <wp:docPr id="708" name="Graphic 708"/>
              <wp:cNvGraphicFramePr>
                <a:graphicFrameLocks/>
              </wp:cNvGraphicFramePr>
              <a:graphic>
                <a:graphicData uri="http://schemas.microsoft.com/office/word/2010/wordprocessingShape">
                  <wps:wsp>
                    <wps:cNvPr id="708" name="Graphic 708"/>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37376" from="57.650002pt,795.871948pt" to="540.450002pt,795.871948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79616">
              <wp:simplePos x="0" y="0"/>
              <wp:positionH relativeFrom="page">
                <wp:posOffset>731316</wp:posOffset>
              </wp:positionH>
              <wp:positionV relativeFrom="page">
                <wp:posOffset>10258288</wp:posOffset>
              </wp:positionV>
              <wp:extent cx="6164580" cy="124460"/>
              <wp:effectExtent l="0" t="0" r="0" b="0"/>
              <wp:wrapNone/>
              <wp:docPr id="709" name="Textbox 709"/>
              <wp:cNvGraphicFramePr>
                <a:graphicFrameLocks/>
              </wp:cNvGraphicFramePr>
              <a:graphic>
                <a:graphicData uri="http://schemas.microsoft.com/office/word/2010/wordprocessingShape">
                  <wps:wsp>
                    <wps:cNvPr id="709" name="Textbox 709"/>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36864" type="#_x0000_t202" id="docshape473"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footer5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482688">
              <wp:simplePos x="0" y="0"/>
              <wp:positionH relativeFrom="page">
                <wp:posOffset>732155</wp:posOffset>
              </wp:positionH>
              <wp:positionV relativeFrom="page">
                <wp:posOffset>10141863</wp:posOffset>
              </wp:positionV>
              <wp:extent cx="6131560" cy="1270"/>
              <wp:effectExtent l="0" t="0" r="0" b="0"/>
              <wp:wrapNone/>
              <wp:docPr id="717" name="Graphic 717"/>
              <wp:cNvGraphicFramePr>
                <a:graphicFrameLocks/>
              </wp:cNvGraphicFramePr>
              <a:graphic>
                <a:graphicData uri="http://schemas.microsoft.com/office/word/2010/wordprocessingShape">
                  <wps:wsp>
                    <wps:cNvPr id="717" name="Graphic 717"/>
                    <wps:cNvSpPr/>
                    <wps:spPr>
                      <a:xfrm>
                        <a:off x="0" y="0"/>
                        <a:ext cx="6131560" cy="1270"/>
                      </a:xfrm>
                      <a:custGeom>
                        <a:avLst/>
                        <a:gdLst/>
                        <a:ahLst/>
                        <a:cxnLst/>
                        <a:rect l="l" t="t" r="r" b="b"/>
                        <a:pathLst>
                          <a:path w="6131560" h="0">
                            <a:moveTo>
                              <a:pt x="0" y="0"/>
                            </a:moveTo>
                            <a:lnTo>
                              <a:pt x="613156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33792" from="57.650002pt,798.57196pt" to="540.450002pt,798.57196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83200">
              <wp:simplePos x="0" y="0"/>
              <wp:positionH relativeFrom="page">
                <wp:posOffset>731316</wp:posOffset>
              </wp:positionH>
              <wp:positionV relativeFrom="page">
                <wp:posOffset>10258288</wp:posOffset>
              </wp:positionV>
              <wp:extent cx="6164580" cy="124460"/>
              <wp:effectExtent l="0" t="0" r="0" b="0"/>
              <wp:wrapNone/>
              <wp:docPr id="718" name="Textbox 718"/>
              <wp:cNvGraphicFramePr>
                <a:graphicFrameLocks/>
              </wp:cNvGraphicFramePr>
              <a:graphic>
                <a:graphicData uri="http://schemas.microsoft.com/office/word/2010/wordprocessingShape">
                  <wps:wsp>
                    <wps:cNvPr id="718" name="Textbox 718"/>
                    <wps:cNvSpPr txBox="1"/>
                    <wps:spPr>
                      <a:xfrm>
                        <a:off x="0" y="0"/>
                        <a:ext cx="6164580" cy="124460"/>
                      </a:xfrm>
                      <a:prstGeom prst="rect">
                        <a:avLst/>
                      </a:prstGeom>
                    </wps:spPr>
                    <wps:txbx>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wps:txbx>
                    <wps:bodyPr wrap="square" lIns="0" tIns="0" rIns="0" bIns="0" rtlCol="0">
                      <a:noAutofit/>
                    </wps:bodyPr>
                  </wps:wsp>
                </a:graphicData>
              </a:graphic>
            </wp:anchor>
          </w:drawing>
        </mc:Choice>
        <mc:Fallback>
          <w:pict>
            <v:shape style="position:absolute;margin-left:57.584pt;margin-top:807.739258pt;width:485.4pt;height:9.8pt;mso-position-horizontal-relative:page;mso-position-vertical-relative:page;z-index:-20833280" type="#_x0000_t202" id="docshape479" filled="false" stroked="false">
              <v:textbox inset="0,0,0,0">
                <w:txbxContent>
                  <w:p>
                    <w:pPr>
                      <w:spacing w:before="14"/>
                      <w:ind w:left="20" w:right="0" w:firstLine="0"/>
                      <w:jc w:val="left"/>
                      <w:rPr>
                        <w:rFonts w:ascii="Arial" w:hAnsi="Arial"/>
                        <w:b/>
                        <w:sz w:val="14"/>
                      </w:rPr>
                    </w:pPr>
                    <w:r>
                      <w:rPr>
                        <w:rFonts w:ascii="Arial" w:hAnsi="Arial"/>
                        <w:b/>
                        <w:sz w:val="14"/>
                      </w:rPr>
                      <w:t>Editada</w:t>
                    </w:r>
                    <w:r>
                      <w:rPr>
                        <w:rFonts w:ascii="Arial" w:hAnsi="Arial"/>
                        <w:b/>
                        <w:spacing w:val="-3"/>
                        <w:sz w:val="14"/>
                      </w:rPr>
                      <w:t> </w:t>
                    </w:r>
                    <w:r>
                      <w:rPr>
                        <w:rFonts w:ascii="Arial" w:hAnsi="Arial"/>
                        <w:b/>
                        <w:sz w:val="14"/>
                      </w:rPr>
                      <w:t>por</w:t>
                    </w:r>
                    <w:r>
                      <w:rPr>
                        <w:rFonts w:ascii="Arial" w:hAnsi="Arial"/>
                        <w:b/>
                        <w:spacing w:val="-2"/>
                        <w:sz w:val="14"/>
                      </w:rPr>
                      <w:t> </w:t>
                    </w:r>
                    <w:r>
                      <w:rPr>
                        <w:rFonts w:ascii="Arial" w:hAnsi="Arial"/>
                        <w:b/>
                        <w:sz w:val="14"/>
                      </w:rPr>
                      <w:t>la</w:t>
                    </w:r>
                    <w:r>
                      <w:rPr>
                        <w:rFonts w:ascii="Arial" w:hAnsi="Arial"/>
                        <w:b/>
                        <w:spacing w:val="-6"/>
                        <w:sz w:val="14"/>
                      </w:rPr>
                      <w:t> </w:t>
                    </w:r>
                    <w:r>
                      <w:rPr>
                        <w:rFonts w:ascii="Arial" w:hAnsi="Arial"/>
                        <w:b/>
                        <w:sz w:val="14"/>
                      </w:rPr>
                      <w:t>Secretaría</w:t>
                    </w:r>
                    <w:r>
                      <w:rPr>
                        <w:rFonts w:ascii="Arial" w:hAnsi="Arial"/>
                        <w:b/>
                        <w:spacing w:val="-3"/>
                        <w:sz w:val="14"/>
                      </w:rPr>
                      <w:t> </w:t>
                    </w:r>
                    <w:r>
                      <w:rPr>
                        <w:rFonts w:ascii="Arial" w:hAnsi="Arial"/>
                        <w:b/>
                        <w:sz w:val="14"/>
                      </w:rPr>
                      <w:t>General</w:t>
                    </w:r>
                    <w:r>
                      <w:rPr>
                        <w:rFonts w:ascii="Arial" w:hAnsi="Arial"/>
                        <w:b/>
                        <w:spacing w:val="-3"/>
                        <w:sz w:val="14"/>
                      </w:rPr>
                      <w:t> </w:t>
                    </w:r>
                    <w:r>
                      <w:rPr>
                        <w:rFonts w:ascii="Arial" w:hAnsi="Arial"/>
                        <w:b/>
                        <w:sz w:val="14"/>
                      </w:rPr>
                      <w:t>de</w:t>
                    </w:r>
                    <w:r>
                      <w:rPr>
                        <w:rFonts w:ascii="Arial" w:hAnsi="Arial"/>
                        <w:b/>
                        <w:spacing w:val="-2"/>
                        <w:sz w:val="14"/>
                      </w:rPr>
                      <w:t> </w:t>
                    </w:r>
                    <w:r>
                      <w:rPr>
                        <w:rFonts w:ascii="Arial" w:hAnsi="Arial"/>
                        <w:b/>
                        <w:sz w:val="14"/>
                      </w:rPr>
                      <w:t>la</w:t>
                    </w:r>
                    <w:r>
                      <w:rPr>
                        <w:rFonts w:ascii="Arial" w:hAnsi="Arial"/>
                        <w:b/>
                        <w:spacing w:val="-5"/>
                        <w:sz w:val="14"/>
                      </w:rPr>
                      <w:t> </w:t>
                    </w:r>
                    <w:r>
                      <w:rPr>
                        <w:rFonts w:ascii="Arial" w:hAnsi="Arial"/>
                        <w:b/>
                        <w:sz w:val="14"/>
                      </w:rPr>
                      <w:t>Comunidad</w:t>
                    </w:r>
                    <w:r>
                      <w:rPr>
                        <w:rFonts w:ascii="Arial" w:hAnsi="Arial"/>
                        <w:b/>
                        <w:spacing w:val="-6"/>
                        <w:sz w:val="14"/>
                      </w:rPr>
                      <w:t> </w:t>
                    </w:r>
                    <w:r>
                      <w:rPr>
                        <w:rFonts w:ascii="Arial" w:hAnsi="Arial"/>
                        <w:b/>
                        <w:sz w:val="14"/>
                      </w:rPr>
                      <w:t>Andina</w:t>
                    </w:r>
                    <w:r>
                      <w:rPr>
                        <w:rFonts w:ascii="Arial" w:hAnsi="Arial"/>
                        <w:b/>
                        <w:spacing w:val="-2"/>
                        <w:sz w:val="14"/>
                      </w:rPr>
                      <w:t> </w:t>
                    </w:r>
                    <w:r>
                      <w:rPr>
                        <w:rFonts w:ascii="Arial" w:hAnsi="Arial"/>
                        <w:b/>
                        <w:sz w:val="14"/>
                      </w:rPr>
                      <w:t>–</w:t>
                    </w:r>
                    <w:r>
                      <w:rPr>
                        <w:rFonts w:ascii="Arial" w:hAnsi="Arial"/>
                        <w:b/>
                        <w:spacing w:val="-2"/>
                        <w:sz w:val="14"/>
                      </w:rPr>
                      <w:t> </w:t>
                    </w:r>
                    <w:r>
                      <w:rPr>
                        <w:rFonts w:ascii="Arial" w:hAnsi="Arial"/>
                        <w:b/>
                        <w:sz w:val="14"/>
                      </w:rPr>
                      <w:t>Paseo</w:t>
                    </w:r>
                    <w:r>
                      <w:rPr>
                        <w:rFonts w:ascii="Arial" w:hAnsi="Arial"/>
                        <w:b/>
                        <w:spacing w:val="-6"/>
                        <w:sz w:val="14"/>
                      </w:rPr>
                      <w:t> </w:t>
                    </w:r>
                    <w:r>
                      <w:rPr>
                        <w:rFonts w:ascii="Arial" w:hAnsi="Arial"/>
                        <w:b/>
                        <w:sz w:val="14"/>
                      </w:rPr>
                      <w:t>de</w:t>
                    </w:r>
                    <w:r>
                      <w:rPr>
                        <w:rFonts w:ascii="Arial" w:hAnsi="Arial"/>
                        <w:b/>
                        <w:spacing w:val="-5"/>
                        <w:sz w:val="14"/>
                      </w:rPr>
                      <w:t> </w:t>
                    </w:r>
                    <w:r>
                      <w:rPr>
                        <w:rFonts w:ascii="Arial" w:hAnsi="Arial"/>
                        <w:b/>
                        <w:sz w:val="14"/>
                      </w:rPr>
                      <w:t>la</w:t>
                    </w:r>
                    <w:r>
                      <w:rPr>
                        <w:rFonts w:ascii="Arial" w:hAnsi="Arial"/>
                        <w:b/>
                        <w:spacing w:val="-2"/>
                        <w:sz w:val="14"/>
                      </w:rPr>
                      <w:t> </w:t>
                    </w:r>
                    <w:r>
                      <w:rPr>
                        <w:rFonts w:ascii="Arial" w:hAnsi="Arial"/>
                        <w:b/>
                        <w:sz w:val="14"/>
                      </w:rPr>
                      <w:t>República</w:t>
                    </w:r>
                    <w:r>
                      <w:rPr>
                        <w:rFonts w:ascii="Arial" w:hAnsi="Arial"/>
                        <w:b/>
                        <w:spacing w:val="-5"/>
                        <w:sz w:val="14"/>
                      </w:rPr>
                      <w:t> </w:t>
                    </w:r>
                    <w:r>
                      <w:rPr>
                        <w:rFonts w:ascii="Arial" w:hAnsi="Arial"/>
                        <w:b/>
                        <w:sz w:val="14"/>
                      </w:rPr>
                      <w:t>3895</w:t>
                    </w:r>
                    <w:r>
                      <w:rPr>
                        <w:rFonts w:ascii="Arial" w:hAnsi="Arial"/>
                        <w:b/>
                        <w:spacing w:val="-4"/>
                        <w:sz w:val="14"/>
                      </w:rPr>
                      <w:t> </w:t>
                    </w:r>
                    <w:r>
                      <w:rPr>
                        <w:rFonts w:ascii="Arial" w:hAnsi="Arial"/>
                        <w:b/>
                        <w:sz w:val="14"/>
                      </w:rPr>
                      <w:t>–</w:t>
                    </w:r>
                    <w:r>
                      <w:rPr>
                        <w:rFonts w:ascii="Arial" w:hAnsi="Arial"/>
                        <w:b/>
                        <w:spacing w:val="-3"/>
                        <w:sz w:val="14"/>
                      </w:rPr>
                      <w:t> </w:t>
                    </w:r>
                    <w:r>
                      <w:rPr>
                        <w:rFonts w:ascii="Arial" w:hAnsi="Arial"/>
                        <w:b/>
                        <w:sz w:val="14"/>
                      </w:rPr>
                      <w:t>Teléf.</w:t>
                    </w:r>
                    <w:r>
                      <w:rPr>
                        <w:rFonts w:ascii="Arial" w:hAnsi="Arial"/>
                        <w:b/>
                        <w:spacing w:val="-3"/>
                        <w:sz w:val="14"/>
                      </w:rPr>
                      <w:t> </w:t>
                    </w:r>
                    <w:r>
                      <w:rPr>
                        <w:rFonts w:ascii="Arial" w:hAnsi="Arial"/>
                        <w:b/>
                        <w:sz w:val="14"/>
                      </w:rPr>
                      <w:t>(51-1)</w:t>
                    </w:r>
                    <w:r>
                      <w:rPr>
                        <w:rFonts w:ascii="Arial" w:hAnsi="Arial"/>
                        <w:b/>
                        <w:spacing w:val="-4"/>
                        <w:sz w:val="14"/>
                      </w:rPr>
                      <w:t> </w:t>
                    </w:r>
                    <w:r>
                      <w:rPr>
                        <w:rFonts w:ascii="Arial" w:hAnsi="Arial"/>
                        <w:b/>
                        <w:sz w:val="14"/>
                      </w:rPr>
                      <w:t>710-6400</w:t>
                    </w:r>
                    <w:r>
                      <w:rPr>
                        <w:rFonts w:ascii="Arial" w:hAnsi="Arial"/>
                        <w:b/>
                        <w:spacing w:val="-3"/>
                        <w:sz w:val="14"/>
                      </w:rPr>
                      <w:t> </w:t>
                    </w:r>
                    <w:r>
                      <w:rPr>
                        <w:rFonts w:ascii="Arial" w:hAnsi="Arial"/>
                        <w:b/>
                        <w:sz w:val="14"/>
                      </w:rPr>
                      <w:t>–</w:t>
                    </w:r>
                    <w:r>
                      <w:rPr>
                        <w:rFonts w:ascii="Arial" w:hAnsi="Arial"/>
                        <w:b/>
                        <w:spacing w:val="-6"/>
                        <w:sz w:val="14"/>
                      </w:rPr>
                      <w:t> </w:t>
                    </w:r>
                    <w:r>
                      <w:rPr>
                        <w:rFonts w:ascii="Arial" w:hAnsi="Arial"/>
                        <w:b/>
                        <w:sz w:val="14"/>
                      </w:rPr>
                      <w:t>Casilla</w:t>
                    </w:r>
                    <w:r>
                      <w:rPr>
                        <w:rFonts w:ascii="Arial" w:hAnsi="Arial"/>
                        <w:b/>
                        <w:spacing w:val="-4"/>
                        <w:sz w:val="14"/>
                      </w:rPr>
                      <w:t> </w:t>
                    </w:r>
                    <w:r>
                      <w:rPr>
                        <w:rFonts w:ascii="Arial" w:hAnsi="Arial"/>
                        <w:b/>
                        <w:sz w:val="14"/>
                      </w:rPr>
                      <w:t>18-1177</w:t>
                    </w:r>
                    <w:r>
                      <w:rPr>
                        <w:rFonts w:ascii="Arial" w:hAnsi="Arial"/>
                        <w:b/>
                        <w:spacing w:val="-3"/>
                        <w:sz w:val="14"/>
                      </w:rPr>
                      <w:t> </w:t>
                    </w:r>
                    <w:r>
                      <w:rPr>
                        <w:rFonts w:ascii="Arial" w:hAnsi="Arial"/>
                        <w:b/>
                        <w:sz w:val="14"/>
                      </w:rPr>
                      <w:t>–</w:t>
                    </w:r>
                    <w:r>
                      <w:rPr>
                        <w:rFonts w:ascii="Arial" w:hAnsi="Arial"/>
                        <w:b/>
                        <w:spacing w:val="-3"/>
                        <w:sz w:val="14"/>
                      </w:rPr>
                      <w:t> </w:t>
                    </w:r>
                    <w:r>
                      <w:rPr>
                        <w:rFonts w:ascii="Arial" w:hAnsi="Arial"/>
                        <w:b/>
                        <w:sz w:val="14"/>
                      </w:rPr>
                      <w:t>Lima</w:t>
                    </w:r>
                    <w:r>
                      <w:rPr>
                        <w:rFonts w:ascii="Arial" w:hAnsi="Arial"/>
                        <w:b/>
                        <w:spacing w:val="-3"/>
                        <w:sz w:val="14"/>
                      </w:rPr>
                      <w:t> </w:t>
                    </w:r>
                    <w:r>
                      <w:rPr>
                        <w:rFonts w:ascii="Arial" w:hAnsi="Arial"/>
                        <w:b/>
                        <w:sz w:val="14"/>
                      </w:rPr>
                      <w:t>18-</w:t>
                    </w:r>
                    <w:r>
                      <w:rPr>
                        <w:rFonts w:ascii="Arial" w:hAnsi="Arial"/>
                        <w:b/>
                        <w:spacing w:val="-5"/>
                        <w:sz w:val="14"/>
                      </w:rPr>
                      <w:t> </w:t>
                    </w:r>
                    <w:r>
                      <w:rPr>
                        <w:rFonts w:ascii="Arial" w:hAnsi="Arial"/>
                        <w:b/>
                        <w:spacing w:val="-4"/>
                        <w:sz w:val="14"/>
                      </w:rPr>
                      <w:t>Perú</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278400">
          <wp:simplePos x="0" y="0"/>
          <wp:positionH relativeFrom="page">
            <wp:posOffset>3458552</wp:posOffset>
          </wp:positionH>
          <wp:positionV relativeFrom="page">
            <wp:posOffset>235083</wp:posOffset>
          </wp:positionV>
          <wp:extent cx="606473" cy="389823"/>
          <wp:effectExtent l="0" t="0" r="0" b="0"/>
          <wp:wrapNone/>
          <wp:docPr id="8" name="Image 8"/>
          <wp:cNvGraphicFramePr>
            <a:graphicFrameLocks/>
          </wp:cNvGraphicFramePr>
          <a:graphic>
            <a:graphicData uri="http://schemas.openxmlformats.org/drawingml/2006/picture">
              <pic:pic>
                <pic:nvPicPr>
                  <pic:cNvPr id="8" name="Image 8"/>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278912">
              <wp:simplePos x="0" y="0"/>
              <wp:positionH relativeFrom="page">
                <wp:posOffset>535305</wp:posOffset>
              </wp:positionH>
              <wp:positionV relativeFrom="page">
                <wp:posOffset>871854</wp:posOffset>
              </wp:positionV>
              <wp:extent cx="6393180" cy="1270"/>
              <wp:effectExtent l="0" t="0" r="0" b="0"/>
              <wp:wrapNone/>
              <wp:docPr id="9" name="Graphic 9"/>
              <wp:cNvGraphicFramePr>
                <a:graphicFrameLocks/>
              </wp:cNvGraphicFramePr>
              <a:graphic>
                <a:graphicData uri="http://schemas.microsoft.com/office/word/2010/wordprocessingShape">
                  <wps:wsp>
                    <wps:cNvPr id="9" name="Graphic 9"/>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3756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79424">
              <wp:simplePos x="0" y="0"/>
              <wp:positionH relativeFrom="page">
                <wp:posOffset>1426210</wp:posOffset>
              </wp:positionH>
              <wp:positionV relativeFrom="page">
                <wp:posOffset>451316</wp:posOffset>
              </wp:positionV>
              <wp:extent cx="1322705" cy="196215"/>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1037056" type="#_x0000_t202" id="docshape7"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79936">
              <wp:simplePos x="0" y="0"/>
              <wp:positionH relativeFrom="page">
                <wp:posOffset>5117972</wp:posOffset>
              </wp:positionH>
              <wp:positionV relativeFrom="page">
                <wp:posOffset>451316</wp:posOffset>
              </wp:positionV>
              <wp:extent cx="790575" cy="196215"/>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402.98999pt;margin-top:35.536697pt;width:62.25pt;height:15.45pt;mso-position-horizontal-relative:page;mso-position-vertical-relative:page;z-index:-21036544" type="#_x0000_t202" id="docshape8"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80448">
              <wp:simplePos x="0" y="0"/>
              <wp:positionH relativeFrom="page">
                <wp:posOffset>6025641</wp:posOffset>
              </wp:positionH>
              <wp:positionV relativeFrom="page">
                <wp:posOffset>451316</wp:posOffset>
              </wp:positionV>
              <wp:extent cx="652145" cy="196215"/>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652145"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w:t>
                          </w:r>
                          <w:r>
                            <w:rPr>
                              <w:rFonts w:ascii="Arial"/>
                              <w:b/>
                              <w:sz w:val="24"/>
                            </w:rPr>
                            <w:fldChar w:fldCharType="end"/>
                          </w:r>
                          <w:r>
                            <w:rPr>
                              <w:rFonts w:ascii="Arial"/>
                              <w:b/>
                              <w:sz w:val="24"/>
                            </w:rPr>
                            <w:t> 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4.459991pt;margin-top:35.536697pt;width:51.35pt;height:15.45pt;mso-position-horizontal-relative:page;mso-position-vertical-relative:page;z-index:-21036032" type="#_x0000_t202" id="docshape9"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w:t>
                    </w:r>
                    <w:r>
                      <w:rPr>
                        <w:rFonts w:ascii="Arial"/>
                        <w:b/>
                        <w:sz w:val="24"/>
                      </w:rPr>
                      <w:fldChar w:fldCharType="end"/>
                    </w:r>
                    <w:r>
                      <w:rPr>
                        <w:rFonts w:ascii="Arial"/>
                        <w:b/>
                        <w:sz w:val="24"/>
                      </w:rPr>
                      <w:t> 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281984">
          <wp:simplePos x="0" y="0"/>
          <wp:positionH relativeFrom="page">
            <wp:posOffset>3458552</wp:posOffset>
          </wp:positionH>
          <wp:positionV relativeFrom="page">
            <wp:posOffset>235083</wp:posOffset>
          </wp:positionV>
          <wp:extent cx="606473" cy="389823"/>
          <wp:effectExtent l="0" t="0" r="0" b="0"/>
          <wp:wrapNone/>
          <wp:docPr id="17" name="Image 17"/>
          <wp:cNvGraphicFramePr>
            <a:graphicFrameLocks/>
          </wp:cNvGraphicFramePr>
          <a:graphic>
            <a:graphicData uri="http://schemas.openxmlformats.org/drawingml/2006/picture">
              <pic:pic>
                <pic:nvPicPr>
                  <pic:cNvPr id="17" name="Image 17"/>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282496">
              <wp:simplePos x="0" y="0"/>
              <wp:positionH relativeFrom="page">
                <wp:posOffset>535305</wp:posOffset>
              </wp:positionH>
              <wp:positionV relativeFrom="page">
                <wp:posOffset>871854</wp:posOffset>
              </wp:positionV>
              <wp:extent cx="6393180" cy="127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3398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83008">
              <wp:simplePos x="0" y="0"/>
              <wp:positionH relativeFrom="page">
                <wp:posOffset>1426210</wp:posOffset>
              </wp:positionH>
              <wp:positionV relativeFrom="page">
                <wp:posOffset>451316</wp:posOffset>
              </wp:positionV>
              <wp:extent cx="1322705" cy="196215"/>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1033472" type="#_x0000_t202" id="docshape13"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83520">
              <wp:simplePos x="0" y="0"/>
              <wp:positionH relativeFrom="page">
                <wp:posOffset>5117972</wp:posOffset>
              </wp:positionH>
              <wp:positionV relativeFrom="page">
                <wp:posOffset>451316</wp:posOffset>
              </wp:positionV>
              <wp:extent cx="790575" cy="196215"/>
              <wp:effectExtent l="0" t="0" r="0" b="0"/>
              <wp:wrapNone/>
              <wp:docPr id="20" name="Textbox 20"/>
              <wp:cNvGraphicFramePr>
                <a:graphicFrameLocks/>
              </wp:cNvGraphicFramePr>
              <a:graphic>
                <a:graphicData uri="http://schemas.microsoft.com/office/word/2010/wordprocessingShape">
                  <wps:wsp>
                    <wps:cNvPr id="20" name="Textbox 20"/>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402.98999pt;margin-top:35.536697pt;width:62.25pt;height:15.45pt;mso-position-horizontal-relative:page;mso-position-vertical-relative:page;z-index:-21032960" type="#_x0000_t202" id="docshape14"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84032">
              <wp:simplePos x="0" y="0"/>
              <wp:positionH relativeFrom="page">
                <wp:posOffset>6025641</wp:posOffset>
              </wp:positionH>
              <wp:positionV relativeFrom="page">
                <wp:posOffset>451316</wp:posOffset>
              </wp:positionV>
              <wp:extent cx="652145" cy="196215"/>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652145"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4</w:t>
                          </w:r>
                          <w:r>
                            <w:rPr>
                              <w:rFonts w:ascii="Arial"/>
                              <w:b/>
                              <w:sz w:val="24"/>
                            </w:rPr>
                            <w:fldChar w:fldCharType="end"/>
                          </w:r>
                          <w:r>
                            <w:rPr>
                              <w:rFonts w:ascii="Arial"/>
                              <w:b/>
                              <w:sz w:val="24"/>
                            </w:rPr>
                            <w:t> 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4.459991pt;margin-top:35.536697pt;width:51.35pt;height:15.45pt;mso-position-horizontal-relative:page;mso-position-vertical-relative:page;z-index:-21032448" type="#_x0000_t202" id="docshape15"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4</w:t>
                    </w:r>
                    <w:r>
                      <w:rPr>
                        <w:rFonts w:ascii="Arial"/>
                        <w:b/>
                        <w:sz w:val="24"/>
                      </w:rPr>
                      <w:fldChar w:fldCharType="end"/>
                    </w:r>
                    <w:r>
                      <w:rPr>
                        <w:rFonts w:ascii="Arial"/>
                        <w:b/>
                        <w:sz w:val="24"/>
                      </w:rPr>
                      <w:t> 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286080">
          <wp:simplePos x="0" y="0"/>
          <wp:positionH relativeFrom="page">
            <wp:posOffset>3458552</wp:posOffset>
          </wp:positionH>
          <wp:positionV relativeFrom="page">
            <wp:posOffset>235083</wp:posOffset>
          </wp:positionV>
          <wp:extent cx="606473" cy="389823"/>
          <wp:effectExtent l="0" t="0" r="0" b="0"/>
          <wp:wrapNone/>
          <wp:docPr id="25" name="Image 25"/>
          <wp:cNvGraphicFramePr>
            <a:graphicFrameLocks/>
          </wp:cNvGraphicFramePr>
          <a:graphic>
            <a:graphicData uri="http://schemas.openxmlformats.org/drawingml/2006/picture">
              <pic:pic>
                <pic:nvPicPr>
                  <pic:cNvPr id="25" name="Image 25"/>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286592">
              <wp:simplePos x="0" y="0"/>
              <wp:positionH relativeFrom="page">
                <wp:posOffset>535305</wp:posOffset>
              </wp:positionH>
              <wp:positionV relativeFrom="page">
                <wp:posOffset>871854</wp:posOffset>
              </wp:positionV>
              <wp:extent cx="6393180" cy="1270"/>
              <wp:effectExtent l="0" t="0" r="0" b="0"/>
              <wp:wrapNone/>
              <wp:docPr id="26" name="Graphic 26"/>
              <wp:cNvGraphicFramePr>
                <a:graphicFrameLocks/>
              </wp:cNvGraphicFramePr>
              <a:graphic>
                <a:graphicData uri="http://schemas.microsoft.com/office/word/2010/wordprocessingShape">
                  <wps:wsp>
                    <wps:cNvPr id="26" name="Graphic 26"/>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2988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87104">
              <wp:simplePos x="0" y="0"/>
              <wp:positionH relativeFrom="page">
                <wp:posOffset>1426210</wp:posOffset>
              </wp:positionH>
              <wp:positionV relativeFrom="page">
                <wp:posOffset>451316</wp:posOffset>
              </wp:positionV>
              <wp:extent cx="1322705" cy="196215"/>
              <wp:effectExtent l="0" t="0" r="0" b="0"/>
              <wp:wrapNone/>
              <wp:docPr id="27" name="Textbox 27"/>
              <wp:cNvGraphicFramePr>
                <a:graphicFrameLocks/>
              </wp:cNvGraphicFramePr>
              <a:graphic>
                <a:graphicData uri="http://schemas.microsoft.com/office/word/2010/wordprocessingShape">
                  <wps:wsp>
                    <wps:cNvPr id="27" name="Textbox 27"/>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1029376" type="#_x0000_t202" id="docshape17"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87616">
              <wp:simplePos x="0" y="0"/>
              <wp:positionH relativeFrom="page">
                <wp:posOffset>5117972</wp:posOffset>
              </wp:positionH>
              <wp:positionV relativeFrom="page">
                <wp:posOffset>451316</wp:posOffset>
              </wp:positionV>
              <wp:extent cx="790575" cy="196215"/>
              <wp:effectExtent l="0" t="0" r="0" b="0"/>
              <wp:wrapNone/>
              <wp:docPr id="28" name="Textbox 28"/>
              <wp:cNvGraphicFramePr>
                <a:graphicFrameLocks/>
              </wp:cNvGraphicFramePr>
              <a:graphic>
                <a:graphicData uri="http://schemas.microsoft.com/office/word/2010/wordprocessingShape">
                  <wps:wsp>
                    <wps:cNvPr id="28" name="Textbox 28"/>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402.98999pt;margin-top:35.536697pt;width:62.25pt;height:15.45pt;mso-position-horizontal-relative:page;mso-position-vertical-relative:page;z-index:-21028864" type="#_x0000_t202" id="docshape18"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88128">
              <wp:simplePos x="0" y="0"/>
              <wp:positionH relativeFrom="page">
                <wp:posOffset>6025641</wp:posOffset>
              </wp:positionH>
              <wp:positionV relativeFrom="page">
                <wp:posOffset>451316</wp:posOffset>
              </wp:positionV>
              <wp:extent cx="652145" cy="196215"/>
              <wp:effectExtent l="0" t="0" r="0" b="0"/>
              <wp:wrapNone/>
              <wp:docPr id="29" name="Textbox 29"/>
              <wp:cNvGraphicFramePr>
                <a:graphicFrameLocks/>
              </wp:cNvGraphicFramePr>
              <a:graphic>
                <a:graphicData uri="http://schemas.microsoft.com/office/word/2010/wordprocessingShape">
                  <wps:wsp>
                    <wps:cNvPr id="29" name="Textbox 29"/>
                    <wps:cNvSpPr txBox="1"/>
                    <wps:spPr>
                      <a:xfrm>
                        <a:off x="0" y="0"/>
                        <a:ext cx="652145"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5</w:t>
                          </w:r>
                          <w:r>
                            <w:rPr>
                              <w:rFonts w:ascii="Arial"/>
                              <w:b/>
                              <w:sz w:val="24"/>
                            </w:rPr>
                            <w:fldChar w:fldCharType="end"/>
                          </w:r>
                          <w:r>
                            <w:rPr>
                              <w:rFonts w:ascii="Arial"/>
                              <w:b/>
                              <w:sz w:val="24"/>
                            </w:rPr>
                            <w:t> 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4.459991pt;margin-top:35.536697pt;width:51.35pt;height:15.45pt;mso-position-horizontal-relative:page;mso-position-vertical-relative:page;z-index:-21028352" type="#_x0000_t202" id="docshape19"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5</w:t>
                    </w:r>
                    <w:r>
                      <w:rPr>
                        <w:rFonts w:ascii="Arial"/>
                        <w:b/>
                        <w:sz w:val="24"/>
                      </w:rPr>
                      <w:fldChar w:fldCharType="end"/>
                    </w:r>
                    <w:r>
                      <w:rPr>
                        <w:rFonts w:ascii="Arial"/>
                        <w:b/>
                        <w:sz w:val="24"/>
                      </w:rPr>
                      <w:t> 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289664">
          <wp:simplePos x="0" y="0"/>
          <wp:positionH relativeFrom="page">
            <wp:posOffset>3458552</wp:posOffset>
          </wp:positionH>
          <wp:positionV relativeFrom="page">
            <wp:posOffset>235083</wp:posOffset>
          </wp:positionV>
          <wp:extent cx="606473" cy="389823"/>
          <wp:effectExtent l="0" t="0" r="0" b="0"/>
          <wp:wrapNone/>
          <wp:docPr id="45" name="Image 45"/>
          <wp:cNvGraphicFramePr>
            <a:graphicFrameLocks/>
          </wp:cNvGraphicFramePr>
          <a:graphic>
            <a:graphicData uri="http://schemas.openxmlformats.org/drawingml/2006/picture">
              <pic:pic>
                <pic:nvPicPr>
                  <pic:cNvPr id="45" name="Image 45"/>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290176">
              <wp:simplePos x="0" y="0"/>
              <wp:positionH relativeFrom="page">
                <wp:posOffset>535305</wp:posOffset>
              </wp:positionH>
              <wp:positionV relativeFrom="page">
                <wp:posOffset>871854</wp:posOffset>
              </wp:positionV>
              <wp:extent cx="6393180" cy="1270"/>
              <wp:effectExtent l="0" t="0" r="0" b="0"/>
              <wp:wrapNone/>
              <wp:docPr id="46" name="Graphic 46"/>
              <wp:cNvGraphicFramePr>
                <a:graphicFrameLocks/>
              </wp:cNvGraphicFramePr>
              <a:graphic>
                <a:graphicData uri="http://schemas.microsoft.com/office/word/2010/wordprocessingShape">
                  <wps:wsp>
                    <wps:cNvPr id="46" name="Graphic 46"/>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2630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90688">
              <wp:simplePos x="0" y="0"/>
              <wp:positionH relativeFrom="page">
                <wp:posOffset>1426210</wp:posOffset>
              </wp:positionH>
              <wp:positionV relativeFrom="page">
                <wp:posOffset>451316</wp:posOffset>
              </wp:positionV>
              <wp:extent cx="1322705" cy="196215"/>
              <wp:effectExtent l="0" t="0" r="0" b="0"/>
              <wp:wrapNone/>
              <wp:docPr id="47" name="Textbox 47"/>
              <wp:cNvGraphicFramePr>
                <a:graphicFrameLocks/>
              </wp:cNvGraphicFramePr>
              <a:graphic>
                <a:graphicData uri="http://schemas.microsoft.com/office/word/2010/wordprocessingShape">
                  <wps:wsp>
                    <wps:cNvPr id="47" name="Textbox 47"/>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1025792" type="#_x0000_t202" id="docshape30"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91200">
              <wp:simplePos x="0" y="0"/>
              <wp:positionH relativeFrom="page">
                <wp:posOffset>5117972</wp:posOffset>
              </wp:positionH>
              <wp:positionV relativeFrom="page">
                <wp:posOffset>451316</wp:posOffset>
              </wp:positionV>
              <wp:extent cx="790575" cy="196215"/>
              <wp:effectExtent l="0" t="0" r="0" b="0"/>
              <wp:wrapNone/>
              <wp:docPr id="48" name="Textbox 48"/>
              <wp:cNvGraphicFramePr>
                <a:graphicFrameLocks/>
              </wp:cNvGraphicFramePr>
              <a:graphic>
                <a:graphicData uri="http://schemas.microsoft.com/office/word/2010/wordprocessingShape">
                  <wps:wsp>
                    <wps:cNvPr id="48" name="Textbox 48"/>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402.98999pt;margin-top:35.536697pt;width:62.25pt;height:15.45pt;mso-position-horizontal-relative:page;mso-position-vertical-relative:page;z-index:-21025280" type="#_x0000_t202" id="docshape31"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91712">
              <wp:simplePos x="0" y="0"/>
              <wp:positionH relativeFrom="page">
                <wp:posOffset>6025641</wp:posOffset>
              </wp:positionH>
              <wp:positionV relativeFrom="page">
                <wp:posOffset>451316</wp:posOffset>
              </wp:positionV>
              <wp:extent cx="652145" cy="196215"/>
              <wp:effectExtent l="0" t="0" r="0" b="0"/>
              <wp:wrapNone/>
              <wp:docPr id="49" name="Textbox 49"/>
              <wp:cNvGraphicFramePr>
                <a:graphicFrameLocks/>
              </wp:cNvGraphicFramePr>
              <a:graphic>
                <a:graphicData uri="http://schemas.microsoft.com/office/word/2010/wordprocessingShape">
                  <wps:wsp>
                    <wps:cNvPr id="49" name="Textbox 49"/>
                    <wps:cNvSpPr txBox="1"/>
                    <wps:spPr>
                      <a:xfrm>
                        <a:off x="0" y="0"/>
                        <a:ext cx="652145"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9</w:t>
                          </w:r>
                          <w:r>
                            <w:rPr>
                              <w:rFonts w:ascii="Arial"/>
                              <w:b/>
                              <w:sz w:val="24"/>
                            </w:rPr>
                            <w:fldChar w:fldCharType="end"/>
                          </w:r>
                          <w:r>
                            <w:rPr>
                              <w:rFonts w:ascii="Arial"/>
                              <w:b/>
                              <w:sz w:val="24"/>
                            </w:rPr>
                            <w:t> 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4.459991pt;margin-top:35.536697pt;width:51.35pt;height:15.45pt;mso-position-horizontal-relative:page;mso-position-vertical-relative:page;z-index:-21024768" type="#_x0000_t202" id="docshape32"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9</w:t>
                    </w:r>
                    <w:r>
                      <w:rPr>
                        <w:rFonts w:ascii="Arial"/>
                        <w:b/>
                        <w:sz w:val="24"/>
                      </w:rPr>
                      <w:fldChar w:fldCharType="end"/>
                    </w:r>
                    <w:r>
                      <w:rPr>
                        <w:rFonts w:ascii="Arial"/>
                        <w:b/>
                        <w:sz w:val="24"/>
                      </w:rPr>
                      <w:t> 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293760">
          <wp:simplePos x="0" y="0"/>
          <wp:positionH relativeFrom="page">
            <wp:posOffset>3458552</wp:posOffset>
          </wp:positionH>
          <wp:positionV relativeFrom="page">
            <wp:posOffset>235083</wp:posOffset>
          </wp:positionV>
          <wp:extent cx="606473" cy="389823"/>
          <wp:effectExtent l="0" t="0" r="0" b="0"/>
          <wp:wrapNone/>
          <wp:docPr id="53" name="Image 53"/>
          <wp:cNvGraphicFramePr>
            <a:graphicFrameLocks/>
          </wp:cNvGraphicFramePr>
          <a:graphic>
            <a:graphicData uri="http://schemas.openxmlformats.org/drawingml/2006/picture">
              <pic:pic>
                <pic:nvPicPr>
                  <pic:cNvPr id="53" name="Image 53"/>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294272">
              <wp:simplePos x="0" y="0"/>
              <wp:positionH relativeFrom="page">
                <wp:posOffset>535305</wp:posOffset>
              </wp:positionH>
              <wp:positionV relativeFrom="page">
                <wp:posOffset>871854</wp:posOffset>
              </wp:positionV>
              <wp:extent cx="6393180" cy="1270"/>
              <wp:effectExtent l="0" t="0" r="0" b="0"/>
              <wp:wrapNone/>
              <wp:docPr id="54" name="Graphic 54"/>
              <wp:cNvGraphicFramePr>
                <a:graphicFrameLocks/>
              </wp:cNvGraphicFramePr>
              <a:graphic>
                <a:graphicData uri="http://schemas.microsoft.com/office/word/2010/wordprocessingShape">
                  <wps:wsp>
                    <wps:cNvPr id="54" name="Graphic 54"/>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2220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94784">
              <wp:simplePos x="0" y="0"/>
              <wp:positionH relativeFrom="page">
                <wp:posOffset>1426210</wp:posOffset>
              </wp:positionH>
              <wp:positionV relativeFrom="page">
                <wp:posOffset>451316</wp:posOffset>
              </wp:positionV>
              <wp:extent cx="1322705" cy="196215"/>
              <wp:effectExtent l="0" t="0" r="0" b="0"/>
              <wp:wrapNone/>
              <wp:docPr id="55" name="Textbox 55"/>
              <wp:cNvGraphicFramePr>
                <a:graphicFrameLocks/>
              </wp:cNvGraphicFramePr>
              <a:graphic>
                <a:graphicData uri="http://schemas.microsoft.com/office/word/2010/wordprocessingShape">
                  <wps:wsp>
                    <wps:cNvPr id="55" name="Textbox 55"/>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1021696" type="#_x0000_t202" id="docshape3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95296">
              <wp:simplePos x="0" y="0"/>
              <wp:positionH relativeFrom="page">
                <wp:posOffset>5075301</wp:posOffset>
              </wp:positionH>
              <wp:positionV relativeFrom="page">
                <wp:posOffset>451316</wp:posOffset>
              </wp:positionV>
              <wp:extent cx="790575" cy="196215"/>
              <wp:effectExtent l="0" t="0" r="0" b="0"/>
              <wp:wrapNone/>
              <wp:docPr id="56" name="Textbox 56"/>
              <wp:cNvGraphicFramePr>
                <a:graphicFrameLocks/>
              </wp:cNvGraphicFramePr>
              <a:graphic>
                <a:graphicData uri="http://schemas.microsoft.com/office/word/2010/wordprocessingShape">
                  <wps:wsp>
                    <wps:cNvPr id="56" name="Textbox 56"/>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1021184" type="#_x0000_t202" id="docshape3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95808">
              <wp:simplePos x="0" y="0"/>
              <wp:positionH relativeFrom="page">
                <wp:posOffset>5982970</wp:posOffset>
              </wp:positionH>
              <wp:positionV relativeFrom="page">
                <wp:posOffset>451316</wp:posOffset>
              </wp:positionV>
              <wp:extent cx="735330" cy="196215"/>
              <wp:effectExtent l="0" t="0" r="0" b="0"/>
              <wp:wrapNone/>
              <wp:docPr id="57" name="Textbox 57"/>
              <wp:cNvGraphicFramePr>
                <a:graphicFrameLocks/>
              </wp:cNvGraphicFramePr>
              <a:graphic>
                <a:graphicData uri="http://schemas.microsoft.com/office/word/2010/wordprocessingShape">
                  <wps:wsp>
                    <wps:cNvPr id="57" name="Textbox 57"/>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10</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1020672" type="#_x0000_t202" id="docshape3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10</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297344">
          <wp:simplePos x="0" y="0"/>
          <wp:positionH relativeFrom="page">
            <wp:posOffset>3458552</wp:posOffset>
          </wp:positionH>
          <wp:positionV relativeFrom="page">
            <wp:posOffset>235083</wp:posOffset>
          </wp:positionV>
          <wp:extent cx="606473" cy="389823"/>
          <wp:effectExtent l="0" t="0" r="0" b="0"/>
          <wp:wrapNone/>
          <wp:docPr id="61" name="Image 61"/>
          <wp:cNvGraphicFramePr>
            <a:graphicFrameLocks/>
          </wp:cNvGraphicFramePr>
          <a:graphic>
            <a:graphicData uri="http://schemas.openxmlformats.org/drawingml/2006/picture">
              <pic:pic>
                <pic:nvPicPr>
                  <pic:cNvPr id="61" name="Image 61"/>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297856">
              <wp:simplePos x="0" y="0"/>
              <wp:positionH relativeFrom="page">
                <wp:posOffset>535305</wp:posOffset>
              </wp:positionH>
              <wp:positionV relativeFrom="page">
                <wp:posOffset>871854</wp:posOffset>
              </wp:positionV>
              <wp:extent cx="6393180" cy="1270"/>
              <wp:effectExtent l="0" t="0" r="0" b="0"/>
              <wp:wrapNone/>
              <wp:docPr id="62" name="Graphic 62"/>
              <wp:cNvGraphicFramePr>
                <a:graphicFrameLocks/>
              </wp:cNvGraphicFramePr>
              <a:graphic>
                <a:graphicData uri="http://schemas.microsoft.com/office/word/2010/wordprocessingShape">
                  <wps:wsp>
                    <wps:cNvPr id="62" name="Graphic 62"/>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1862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298368">
              <wp:simplePos x="0" y="0"/>
              <wp:positionH relativeFrom="page">
                <wp:posOffset>1426210</wp:posOffset>
              </wp:positionH>
              <wp:positionV relativeFrom="page">
                <wp:posOffset>451316</wp:posOffset>
              </wp:positionV>
              <wp:extent cx="1322705" cy="196215"/>
              <wp:effectExtent l="0" t="0" r="0" b="0"/>
              <wp:wrapNone/>
              <wp:docPr id="63" name="Textbox 63"/>
              <wp:cNvGraphicFramePr>
                <a:graphicFrameLocks/>
              </wp:cNvGraphicFramePr>
              <a:graphic>
                <a:graphicData uri="http://schemas.microsoft.com/office/word/2010/wordprocessingShape">
                  <wps:wsp>
                    <wps:cNvPr id="63" name="Textbox 63"/>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1018112" type="#_x0000_t202" id="docshape39"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98880">
              <wp:simplePos x="0" y="0"/>
              <wp:positionH relativeFrom="page">
                <wp:posOffset>5075301</wp:posOffset>
              </wp:positionH>
              <wp:positionV relativeFrom="page">
                <wp:posOffset>451316</wp:posOffset>
              </wp:positionV>
              <wp:extent cx="790575" cy="196215"/>
              <wp:effectExtent l="0" t="0" r="0" b="0"/>
              <wp:wrapNone/>
              <wp:docPr id="64" name="Textbox 64"/>
              <wp:cNvGraphicFramePr>
                <a:graphicFrameLocks/>
              </wp:cNvGraphicFramePr>
              <a:graphic>
                <a:graphicData uri="http://schemas.microsoft.com/office/word/2010/wordprocessingShape">
                  <wps:wsp>
                    <wps:cNvPr id="64" name="Textbox 64"/>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1017600" type="#_x0000_t202" id="docshape40"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299392">
              <wp:simplePos x="0" y="0"/>
              <wp:positionH relativeFrom="page">
                <wp:posOffset>5982970</wp:posOffset>
              </wp:positionH>
              <wp:positionV relativeFrom="page">
                <wp:posOffset>451316</wp:posOffset>
              </wp:positionV>
              <wp:extent cx="735330" cy="196215"/>
              <wp:effectExtent l="0" t="0" r="0" b="0"/>
              <wp:wrapNone/>
              <wp:docPr id="65" name="Textbox 65"/>
              <wp:cNvGraphicFramePr>
                <a:graphicFrameLocks/>
              </wp:cNvGraphicFramePr>
              <a:graphic>
                <a:graphicData uri="http://schemas.microsoft.com/office/word/2010/wordprocessingShape">
                  <wps:wsp>
                    <wps:cNvPr id="65" name="Textbox 65"/>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11</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1017088" type="#_x0000_t202" id="docshape41"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11</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01440">
          <wp:simplePos x="0" y="0"/>
          <wp:positionH relativeFrom="page">
            <wp:posOffset>3458552</wp:posOffset>
          </wp:positionH>
          <wp:positionV relativeFrom="page">
            <wp:posOffset>235083</wp:posOffset>
          </wp:positionV>
          <wp:extent cx="606473" cy="389823"/>
          <wp:effectExtent l="0" t="0" r="0" b="0"/>
          <wp:wrapNone/>
          <wp:docPr id="70" name="Image 70"/>
          <wp:cNvGraphicFramePr>
            <a:graphicFrameLocks/>
          </wp:cNvGraphicFramePr>
          <a:graphic>
            <a:graphicData uri="http://schemas.openxmlformats.org/drawingml/2006/picture">
              <pic:pic>
                <pic:nvPicPr>
                  <pic:cNvPr id="70" name="Image 70"/>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01952">
              <wp:simplePos x="0" y="0"/>
              <wp:positionH relativeFrom="page">
                <wp:posOffset>535305</wp:posOffset>
              </wp:positionH>
              <wp:positionV relativeFrom="page">
                <wp:posOffset>871854</wp:posOffset>
              </wp:positionV>
              <wp:extent cx="6393180" cy="1270"/>
              <wp:effectExtent l="0" t="0" r="0" b="0"/>
              <wp:wrapNone/>
              <wp:docPr id="71" name="Graphic 71"/>
              <wp:cNvGraphicFramePr>
                <a:graphicFrameLocks/>
              </wp:cNvGraphicFramePr>
              <a:graphic>
                <a:graphicData uri="http://schemas.microsoft.com/office/word/2010/wordprocessingShape">
                  <wps:wsp>
                    <wps:cNvPr id="71" name="Graphic 71"/>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1452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02464">
              <wp:simplePos x="0" y="0"/>
              <wp:positionH relativeFrom="page">
                <wp:posOffset>1426210</wp:posOffset>
              </wp:positionH>
              <wp:positionV relativeFrom="page">
                <wp:posOffset>451316</wp:posOffset>
              </wp:positionV>
              <wp:extent cx="1322705" cy="196215"/>
              <wp:effectExtent l="0" t="0" r="0" b="0"/>
              <wp:wrapNone/>
              <wp:docPr id="72" name="Textbox 72"/>
              <wp:cNvGraphicFramePr>
                <a:graphicFrameLocks/>
              </wp:cNvGraphicFramePr>
              <a:graphic>
                <a:graphicData uri="http://schemas.microsoft.com/office/word/2010/wordprocessingShape">
                  <wps:wsp>
                    <wps:cNvPr id="72" name="Textbox 72"/>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1014016" type="#_x0000_t202" id="docshape4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02976">
              <wp:simplePos x="0" y="0"/>
              <wp:positionH relativeFrom="page">
                <wp:posOffset>5075301</wp:posOffset>
              </wp:positionH>
              <wp:positionV relativeFrom="page">
                <wp:posOffset>451316</wp:posOffset>
              </wp:positionV>
              <wp:extent cx="790575" cy="196215"/>
              <wp:effectExtent l="0" t="0" r="0" b="0"/>
              <wp:wrapNone/>
              <wp:docPr id="73" name="Textbox 73"/>
              <wp:cNvGraphicFramePr>
                <a:graphicFrameLocks/>
              </wp:cNvGraphicFramePr>
              <a:graphic>
                <a:graphicData uri="http://schemas.microsoft.com/office/word/2010/wordprocessingShape">
                  <wps:wsp>
                    <wps:cNvPr id="73" name="Textbox 73"/>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1013504" type="#_x0000_t202" id="docshape4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03488">
              <wp:simplePos x="0" y="0"/>
              <wp:positionH relativeFrom="page">
                <wp:posOffset>5982970</wp:posOffset>
              </wp:positionH>
              <wp:positionV relativeFrom="page">
                <wp:posOffset>451316</wp:posOffset>
              </wp:positionV>
              <wp:extent cx="735330" cy="196215"/>
              <wp:effectExtent l="0" t="0" r="0" b="0"/>
              <wp:wrapNone/>
              <wp:docPr id="74" name="Textbox 74"/>
              <wp:cNvGraphicFramePr>
                <a:graphicFrameLocks/>
              </wp:cNvGraphicFramePr>
              <a:graphic>
                <a:graphicData uri="http://schemas.microsoft.com/office/word/2010/wordprocessingShape">
                  <wps:wsp>
                    <wps:cNvPr id="74" name="Textbox 74"/>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13</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1012992" type="#_x0000_t202" id="docshape4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13</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05024">
          <wp:simplePos x="0" y="0"/>
          <wp:positionH relativeFrom="page">
            <wp:posOffset>3458552</wp:posOffset>
          </wp:positionH>
          <wp:positionV relativeFrom="page">
            <wp:posOffset>235083</wp:posOffset>
          </wp:positionV>
          <wp:extent cx="606473" cy="389823"/>
          <wp:effectExtent l="0" t="0" r="0" b="0"/>
          <wp:wrapNone/>
          <wp:docPr id="80" name="Image 80"/>
          <wp:cNvGraphicFramePr>
            <a:graphicFrameLocks/>
          </wp:cNvGraphicFramePr>
          <a:graphic>
            <a:graphicData uri="http://schemas.openxmlformats.org/drawingml/2006/picture">
              <pic:pic>
                <pic:nvPicPr>
                  <pic:cNvPr id="80" name="Image 80"/>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05536">
              <wp:simplePos x="0" y="0"/>
              <wp:positionH relativeFrom="page">
                <wp:posOffset>535305</wp:posOffset>
              </wp:positionH>
              <wp:positionV relativeFrom="page">
                <wp:posOffset>871854</wp:posOffset>
              </wp:positionV>
              <wp:extent cx="6393180" cy="1270"/>
              <wp:effectExtent l="0" t="0" r="0" b="0"/>
              <wp:wrapNone/>
              <wp:docPr id="81" name="Graphic 81"/>
              <wp:cNvGraphicFramePr>
                <a:graphicFrameLocks/>
              </wp:cNvGraphicFramePr>
              <a:graphic>
                <a:graphicData uri="http://schemas.microsoft.com/office/word/2010/wordprocessingShape">
                  <wps:wsp>
                    <wps:cNvPr id="81" name="Graphic 81"/>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1094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06048">
              <wp:simplePos x="0" y="0"/>
              <wp:positionH relativeFrom="page">
                <wp:posOffset>1426210</wp:posOffset>
              </wp:positionH>
              <wp:positionV relativeFrom="page">
                <wp:posOffset>451316</wp:posOffset>
              </wp:positionV>
              <wp:extent cx="1322705" cy="196215"/>
              <wp:effectExtent l="0" t="0" r="0" b="0"/>
              <wp:wrapNone/>
              <wp:docPr id="82" name="Textbox 82"/>
              <wp:cNvGraphicFramePr>
                <a:graphicFrameLocks/>
              </wp:cNvGraphicFramePr>
              <a:graphic>
                <a:graphicData uri="http://schemas.microsoft.com/office/word/2010/wordprocessingShape">
                  <wps:wsp>
                    <wps:cNvPr id="82" name="Textbox 82"/>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1010432" type="#_x0000_t202" id="docshape50"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06560">
              <wp:simplePos x="0" y="0"/>
              <wp:positionH relativeFrom="page">
                <wp:posOffset>5075301</wp:posOffset>
              </wp:positionH>
              <wp:positionV relativeFrom="page">
                <wp:posOffset>451316</wp:posOffset>
              </wp:positionV>
              <wp:extent cx="790575" cy="196215"/>
              <wp:effectExtent l="0" t="0" r="0" b="0"/>
              <wp:wrapNone/>
              <wp:docPr id="83" name="Textbox 83"/>
              <wp:cNvGraphicFramePr>
                <a:graphicFrameLocks/>
              </wp:cNvGraphicFramePr>
              <a:graphic>
                <a:graphicData uri="http://schemas.microsoft.com/office/word/2010/wordprocessingShape">
                  <wps:wsp>
                    <wps:cNvPr id="83" name="Textbox 83"/>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1009920" type="#_x0000_t202" id="docshape51"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07072">
              <wp:simplePos x="0" y="0"/>
              <wp:positionH relativeFrom="page">
                <wp:posOffset>5982970</wp:posOffset>
              </wp:positionH>
              <wp:positionV relativeFrom="page">
                <wp:posOffset>451316</wp:posOffset>
              </wp:positionV>
              <wp:extent cx="735330" cy="196215"/>
              <wp:effectExtent l="0" t="0" r="0" b="0"/>
              <wp:wrapNone/>
              <wp:docPr id="84" name="Textbox 84"/>
              <wp:cNvGraphicFramePr>
                <a:graphicFrameLocks/>
              </wp:cNvGraphicFramePr>
              <a:graphic>
                <a:graphicData uri="http://schemas.microsoft.com/office/word/2010/wordprocessingShape">
                  <wps:wsp>
                    <wps:cNvPr id="84" name="Textbox 84"/>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14</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1009408" type="#_x0000_t202" id="docshape52"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14</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09120">
          <wp:simplePos x="0" y="0"/>
          <wp:positionH relativeFrom="page">
            <wp:posOffset>3458552</wp:posOffset>
          </wp:positionH>
          <wp:positionV relativeFrom="page">
            <wp:posOffset>235083</wp:posOffset>
          </wp:positionV>
          <wp:extent cx="606473" cy="389823"/>
          <wp:effectExtent l="0" t="0" r="0" b="0"/>
          <wp:wrapNone/>
          <wp:docPr id="89" name="Image 89"/>
          <wp:cNvGraphicFramePr>
            <a:graphicFrameLocks/>
          </wp:cNvGraphicFramePr>
          <a:graphic>
            <a:graphicData uri="http://schemas.openxmlformats.org/drawingml/2006/picture">
              <pic:pic>
                <pic:nvPicPr>
                  <pic:cNvPr id="89" name="Image 89"/>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09632">
              <wp:simplePos x="0" y="0"/>
              <wp:positionH relativeFrom="page">
                <wp:posOffset>535305</wp:posOffset>
              </wp:positionH>
              <wp:positionV relativeFrom="page">
                <wp:posOffset>871854</wp:posOffset>
              </wp:positionV>
              <wp:extent cx="6393180" cy="1270"/>
              <wp:effectExtent l="0" t="0" r="0" b="0"/>
              <wp:wrapNone/>
              <wp:docPr id="90" name="Graphic 90"/>
              <wp:cNvGraphicFramePr>
                <a:graphicFrameLocks/>
              </wp:cNvGraphicFramePr>
              <a:graphic>
                <a:graphicData uri="http://schemas.microsoft.com/office/word/2010/wordprocessingShape">
                  <wps:wsp>
                    <wps:cNvPr id="90" name="Graphic 90"/>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0684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10144">
              <wp:simplePos x="0" y="0"/>
              <wp:positionH relativeFrom="page">
                <wp:posOffset>1426210</wp:posOffset>
              </wp:positionH>
              <wp:positionV relativeFrom="page">
                <wp:posOffset>451316</wp:posOffset>
              </wp:positionV>
              <wp:extent cx="1322705" cy="196215"/>
              <wp:effectExtent l="0" t="0" r="0" b="0"/>
              <wp:wrapNone/>
              <wp:docPr id="91" name="Textbox 91"/>
              <wp:cNvGraphicFramePr>
                <a:graphicFrameLocks/>
              </wp:cNvGraphicFramePr>
              <a:graphic>
                <a:graphicData uri="http://schemas.microsoft.com/office/word/2010/wordprocessingShape">
                  <wps:wsp>
                    <wps:cNvPr id="91" name="Textbox 91"/>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1006336" type="#_x0000_t202" id="docshape55"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10656">
              <wp:simplePos x="0" y="0"/>
              <wp:positionH relativeFrom="page">
                <wp:posOffset>5075301</wp:posOffset>
              </wp:positionH>
              <wp:positionV relativeFrom="page">
                <wp:posOffset>451316</wp:posOffset>
              </wp:positionV>
              <wp:extent cx="790575" cy="196215"/>
              <wp:effectExtent l="0" t="0" r="0" b="0"/>
              <wp:wrapNone/>
              <wp:docPr id="92" name="Textbox 92"/>
              <wp:cNvGraphicFramePr>
                <a:graphicFrameLocks/>
              </wp:cNvGraphicFramePr>
              <a:graphic>
                <a:graphicData uri="http://schemas.microsoft.com/office/word/2010/wordprocessingShape">
                  <wps:wsp>
                    <wps:cNvPr id="92" name="Textbox 92"/>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1005824" type="#_x0000_t202" id="docshape56"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11168">
              <wp:simplePos x="0" y="0"/>
              <wp:positionH relativeFrom="page">
                <wp:posOffset>5982970</wp:posOffset>
              </wp:positionH>
              <wp:positionV relativeFrom="page">
                <wp:posOffset>451316</wp:posOffset>
              </wp:positionV>
              <wp:extent cx="735330" cy="196215"/>
              <wp:effectExtent l="0" t="0" r="0" b="0"/>
              <wp:wrapNone/>
              <wp:docPr id="93" name="Textbox 93"/>
              <wp:cNvGraphicFramePr>
                <a:graphicFrameLocks/>
              </wp:cNvGraphicFramePr>
              <a:graphic>
                <a:graphicData uri="http://schemas.microsoft.com/office/word/2010/wordprocessingShape">
                  <wps:wsp>
                    <wps:cNvPr id="93" name="Textbox 93"/>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16</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1005312" type="#_x0000_t202" id="docshape57"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16</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1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12704">
          <wp:simplePos x="0" y="0"/>
          <wp:positionH relativeFrom="page">
            <wp:posOffset>3458552</wp:posOffset>
          </wp:positionH>
          <wp:positionV relativeFrom="page">
            <wp:posOffset>235083</wp:posOffset>
          </wp:positionV>
          <wp:extent cx="606473" cy="389823"/>
          <wp:effectExtent l="0" t="0" r="0" b="0"/>
          <wp:wrapNone/>
          <wp:docPr id="104" name="Image 104"/>
          <wp:cNvGraphicFramePr>
            <a:graphicFrameLocks/>
          </wp:cNvGraphicFramePr>
          <a:graphic>
            <a:graphicData uri="http://schemas.openxmlformats.org/drawingml/2006/picture">
              <pic:pic>
                <pic:nvPicPr>
                  <pic:cNvPr id="104" name="Image 104"/>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13216">
              <wp:simplePos x="0" y="0"/>
              <wp:positionH relativeFrom="page">
                <wp:posOffset>535305</wp:posOffset>
              </wp:positionH>
              <wp:positionV relativeFrom="page">
                <wp:posOffset>871854</wp:posOffset>
              </wp:positionV>
              <wp:extent cx="6393180" cy="1270"/>
              <wp:effectExtent l="0" t="0" r="0" b="0"/>
              <wp:wrapNone/>
              <wp:docPr id="105" name="Graphic 105"/>
              <wp:cNvGraphicFramePr>
                <a:graphicFrameLocks/>
              </wp:cNvGraphicFramePr>
              <a:graphic>
                <a:graphicData uri="http://schemas.microsoft.com/office/word/2010/wordprocessingShape">
                  <wps:wsp>
                    <wps:cNvPr id="105" name="Graphic 105"/>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100326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13728">
              <wp:simplePos x="0" y="0"/>
              <wp:positionH relativeFrom="page">
                <wp:posOffset>1426210</wp:posOffset>
              </wp:positionH>
              <wp:positionV relativeFrom="page">
                <wp:posOffset>451316</wp:posOffset>
              </wp:positionV>
              <wp:extent cx="1322705" cy="196215"/>
              <wp:effectExtent l="0" t="0" r="0" b="0"/>
              <wp:wrapNone/>
              <wp:docPr id="106" name="Textbox 106"/>
              <wp:cNvGraphicFramePr>
                <a:graphicFrameLocks/>
              </wp:cNvGraphicFramePr>
              <a:graphic>
                <a:graphicData uri="http://schemas.microsoft.com/office/word/2010/wordprocessingShape">
                  <wps:wsp>
                    <wps:cNvPr id="106" name="Textbox 106"/>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1002752" type="#_x0000_t202" id="docshape66"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14240">
              <wp:simplePos x="0" y="0"/>
              <wp:positionH relativeFrom="page">
                <wp:posOffset>5075301</wp:posOffset>
              </wp:positionH>
              <wp:positionV relativeFrom="page">
                <wp:posOffset>451316</wp:posOffset>
              </wp:positionV>
              <wp:extent cx="790575" cy="196215"/>
              <wp:effectExtent l="0" t="0" r="0" b="0"/>
              <wp:wrapNone/>
              <wp:docPr id="107" name="Textbox 107"/>
              <wp:cNvGraphicFramePr>
                <a:graphicFrameLocks/>
              </wp:cNvGraphicFramePr>
              <a:graphic>
                <a:graphicData uri="http://schemas.microsoft.com/office/word/2010/wordprocessingShape">
                  <wps:wsp>
                    <wps:cNvPr id="107" name="Textbox 107"/>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1002240" type="#_x0000_t202" id="docshape67"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14752">
              <wp:simplePos x="0" y="0"/>
              <wp:positionH relativeFrom="page">
                <wp:posOffset>5982970</wp:posOffset>
              </wp:positionH>
              <wp:positionV relativeFrom="page">
                <wp:posOffset>451316</wp:posOffset>
              </wp:positionV>
              <wp:extent cx="735330" cy="196215"/>
              <wp:effectExtent l="0" t="0" r="0" b="0"/>
              <wp:wrapNone/>
              <wp:docPr id="108" name="Textbox 108"/>
              <wp:cNvGraphicFramePr>
                <a:graphicFrameLocks/>
              </wp:cNvGraphicFramePr>
              <a:graphic>
                <a:graphicData uri="http://schemas.microsoft.com/office/word/2010/wordprocessingShape">
                  <wps:wsp>
                    <wps:cNvPr id="108" name="Textbox 108"/>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18</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1001728" type="#_x0000_t202" id="docshape68"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18</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1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16800">
          <wp:simplePos x="0" y="0"/>
          <wp:positionH relativeFrom="page">
            <wp:posOffset>3458552</wp:posOffset>
          </wp:positionH>
          <wp:positionV relativeFrom="page">
            <wp:posOffset>235083</wp:posOffset>
          </wp:positionV>
          <wp:extent cx="606473" cy="389823"/>
          <wp:effectExtent l="0" t="0" r="0" b="0"/>
          <wp:wrapNone/>
          <wp:docPr id="170" name="Image 170"/>
          <wp:cNvGraphicFramePr>
            <a:graphicFrameLocks/>
          </wp:cNvGraphicFramePr>
          <a:graphic>
            <a:graphicData uri="http://schemas.openxmlformats.org/drawingml/2006/picture">
              <pic:pic>
                <pic:nvPicPr>
                  <pic:cNvPr id="170" name="Image 170"/>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17312">
              <wp:simplePos x="0" y="0"/>
              <wp:positionH relativeFrom="page">
                <wp:posOffset>535305</wp:posOffset>
              </wp:positionH>
              <wp:positionV relativeFrom="page">
                <wp:posOffset>871854</wp:posOffset>
              </wp:positionV>
              <wp:extent cx="6393180" cy="1270"/>
              <wp:effectExtent l="0" t="0" r="0" b="0"/>
              <wp:wrapNone/>
              <wp:docPr id="171" name="Graphic 171"/>
              <wp:cNvGraphicFramePr>
                <a:graphicFrameLocks/>
              </wp:cNvGraphicFramePr>
              <a:graphic>
                <a:graphicData uri="http://schemas.microsoft.com/office/word/2010/wordprocessingShape">
                  <wps:wsp>
                    <wps:cNvPr id="171" name="Graphic 171"/>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9916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17824">
              <wp:simplePos x="0" y="0"/>
              <wp:positionH relativeFrom="page">
                <wp:posOffset>1426210</wp:posOffset>
              </wp:positionH>
              <wp:positionV relativeFrom="page">
                <wp:posOffset>451316</wp:posOffset>
              </wp:positionV>
              <wp:extent cx="1322705" cy="196215"/>
              <wp:effectExtent l="0" t="0" r="0" b="0"/>
              <wp:wrapNone/>
              <wp:docPr id="172" name="Textbox 172"/>
              <wp:cNvGraphicFramePr>
                <a:graphicFrameLocks/>
              </wp:cNvGraphicFramePr>
              <a:graphic>
                <a:graphicData uri="http://schemas.microsoft.com/office/word/2010/wordprocessingShape">
                  <wps:wsp>
                    <wps:cNvPr id="172" name="Textbox 172"/>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98656" type="#_x0000_t202" id="docshape127"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18336">
              <wp:simplePos x="0" y="0"/>
              <wp:positionH relativeFrom="page">
                <wp:posOffset>5075301</wp:posOffset>
              </wp:positionH>
              <wp:positionV relativeFrom="page">
                <wp:posOffset>451316</wp:posOffset>
              </wp:positionV>
              <wp:extent cx="790575" cy="196215"/>
              <wp:effectExtent l="0" t="0" r="0" b="0"/>
              <wp:wrapNone/>
              <wp:docPr id="173" name="Textbox 173"/>
              <wp:cNvGraphicFramePr>
                <a:graphicFrameLocks/>
              </wp:cNvGraphicFramePr>
              <a:graphic>
                <a:graphicData uri="http://schemas.microsoft.com/office/word/2010/wordprocessingShape">
                  <wps:wsp>
                    <wps:cNvPr id="173" name="Textbox 173"/>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98144" type="#_x0000_t202" id="docshape128"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18848">
              <wp:simplePos x="0" y="0"/>
              <wp:positionH relativeFrom="page">
                <wp:posOffset>5982970</wp:posOffset>
              </wp:positionH>
              <wp:positionV relativeFrom="page">
                <wp:posOffset>451316</wp:posOffset>
              </wp:positionV>
              <wp:extent cx="735330" cy="196215"/>
              <wp:effectExtent l="0" t="0" r="0" b="0"/>
              <wp:wrapNone/>
              <wp:docPr id="174" name="Textbox 174"/>
              <wp:cNvGraphicFramePr>
                <a:graphicFrameLocks/>
              </wp:cNvGraphicFramePr>
              <a:graphic>
                <a:graphicData uri="http://schemas.microsoft.com/office/word/2010/wordprocessingShape">
                  <wps:wsp>
                    <wps:cNvPr id="174" name="Textbox 174"/>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20</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97632" type="#_x0000_t202" id="docshape129"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20</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1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20384">
          <wp:simplePos x="0" y="0"/>
          <wp:positionH relativeFrom="page">
            <wp:posOffset>3458552</wp:posOffset>
          </wp:positionH>
          <wp:positionV relativeFrom="page">
            <wp:posOffset>235083</wp:posOffset>
          </wp:positionV>
          <wp:extent cx="606473" cy="389823"/>
          <wp:effectExtent l="0" t="0" r="0" b="0"/>
          <wp:wrapNone/>
          <wp:docPr id="227" name="Image 227"/>
          <wp:cNvGraphicFramePr>
            <a:graphicFrameLocks/>
          </wp:cNvGraphicFramePr>
          <a:graphic>
            <a:graphicData uri="http://schemas.openxmlformats.org/drawingml/2006/picture">
              <pic:pic>
                <pic:nvPicPr>
                  <pic:cNvPr id="227" name="Image 227"/>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20896">
              <wp:simplePos x="0" y="0"/>
              <wp:positionH relativeFrom="page">
                <wp:posOffset>535305</wp:posOffset>
              </wp:positionH>
              <wp:positionV relativeFrom="page">
                <wp:posOffset>871854</wp:posOffset>
              </wp:positionV>
              <wp:extent cx="6393180" cy="1270"/>
              <wp:effectExtent l="0" t="0" r="0" b="0"/>
              <wp:wrapNone/>
              <wp:docPr id="228" name="Graphic 228"/>
              <wp:cNvGraphicFramePr>
                <a:graphicFrameLocks/>
              </wp:cNvGraphicFramePr>
              <a:graphic>
                <a:graphicData uri="http://schemas.microsoft.com/office/word/2010/wordprocessingShape">
                  <wps:wsp>
                    <wps:cNvPr id="228" name="Graphic 228"/>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9558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21408">
              <wp:simplePos x="0" y="0"/>
              <wp:positionH relativeFrom="page">
                <wp:posOffset>1426210</wp:posOffset>
              </wp:positionH>
              <wp:positionV relativeFrom="page">
                <wp:posOffset>451316</wp:posOffset>
              </wp:positionV>
              <wp:extent cx="1322705" cy="196215"/>
              <wp:effectExtent l="0" t="0" r="0" b="0"/>
              <wp:wrapNone/>
              <wp:docPr id="229" name="Textbox 229"/>
              <wp:cNvGraphicFramePr>
                <a:graphicFrameLocks/>
              </wp:cNvGraphicFramePr>
              <a:graphic>
                <a:graphicData uri="http://schemas.microsoft.com/office/word/2010/wordprocessingShape">
                  <wps:wsp>
                    <wps:cNvPr id="229" name="Textbox 229"/>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95072" type="#_x0000_t202" id="docshape178"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21920">
              <wp:simplePos x="0" y="0"/>
              <wp:positionH relativeFrom="page">
                <wp:posOffset>5075301</wp:posOffset>
              </wp:positionH>
              <wp:positionV relativeFrom="page">
                <wp:posOffset>451316</wp:posOffset>
              </wp:positionV>
              <wp:extent cx="790575" cy="196215"/>
              <wp:effectExtent l="0" t="0" r="0" b="0"/>
              <wp:wrapNone/>
              <wp:docPr id="230" name="Textbox 230"/>
              <wp:cNvGraphicFramePr>
                <a:graphicFrameLocks/>
              </wp:cNvGraphicFramePr>
              <a:graphic>
                <a:graphicData uri="http://schemas.microsoft.com/office/word/2010/wordprocessingShape">
                  <wps:wsp>
                    <wps:cNvPr id="230" name="Textbox 230"/>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94560" type="#_x0000_t202" id="docshape179"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22432">
              <wp:simplePos x="0" y="0"/>
              <wp:positionH relativeFrom="page">
                <wp:posOffset>5982970</wp:posOffset>
              </wp:positionH>
              <wp:positionV relativeFrom="page">
                <wp:posOffset>451316</wp:posOffset>
              </wp:positionV>
              <wp:extent cx="735330" cy="196215"/>
              <wp:effectExtent l="0" t="0" r="0" b="0"/>
              <wp:wrapNone/>
              <wp:docPr id="231" name="Textbox 231"/>
              <wp:cNvGraphicFramePr>
                <a:graphicFrameLocks/>
              </wp:cNvGraphicFramePr>
              <a:graphic>
                <a:graphicData uri="http://schemas.microsoft.com/office/word/2010/wordprocessingShape">
                  <wps:wsp>
                    <wps:cNvPr id="231" name="Textbox 231"/>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23</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94048" type="#_x0000_t202" id="docshape180"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23</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1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24480">
          <wp:simplePos x="0" y="0"/>
          <wp:positionH relativeFrom="page">
            <wp:posOffset>3458552</wp:posOffset>
          </wp:positionH>
          <wp:positionV relativeFrom="page">
            <wp:posOffset>235083</wp:posOffset>
          </wp:positionV>
          <wp:extent cx="606473" cy="389823"/>
          <wp:effectExtent l="0" t="0" r="0" b="0"/>
          <wp:wrapNone/>
          <wp:docPr id="235" name="Image 235"/>
          <wp:cNvGraphicFramePr>
            <a:graphicFrameLocks/>
          </wp:cNvGraphicFramePr>
          <a:graphic>
            <a:graphicData uri="http://schemas.openxmlformats.org/drawingml/2006/picture">
              <pic:pic>
                <pic:nvPicPr>
                  <pic:cNvPr id="235" name="Image 235"/>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24992">
              <wp:simplePos x="0" y="0"/>
              <wp:positionH relativeFrom="page">
                <wp:posOffset>535305</wp:posOffset>
              </wp:positionH>
              <wp:positionV relativeFrom="page">
                <wp:posOffset>871854</wp:posOffset>
              </wp:positionV>
              <wp:extent cx="6393180" cy="1270"/>
              <wp:effectExtent l="0" t="0" r="0" b="0"/>
              <wp:wrapNone/>
              <wp:docPr id="236" name="Graphic 236"/>
              <wp:cNvGraphicFramePr>
                <a:graphicFrameLocks/>
              </wp:cNvGraphicFramePr>
              <a:graphic>
                <a:graphicData uri="http://schemas.microsoft.com/office/word/2010/wordprocessingShape">
                  <wps:wsp>
                    <wps:cNvPr id="236" name="Graphic 236"/>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9148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25504">
              <wp:simplePos x="0" y="0"/>
              <wp:positionH relativeFrom="page">
                <wp:posOffset>1426210</wp:posOffset>
              </wp:positionH>
              <wp:positionV relativeFrom="page">
                <wp:posOffset>451316</wp:posOffset>
              </wp:positionV>
              <wp:extent cx="1322705" cy="196215"/>
              <wp:effectExtent l="0" t="0" r="0" b="0"/>
              <wp:wrapNone/>
              <wp:docPr id="237" name="Textbox 237"/>
              <wp:cNvGraphicFramePr>
                <a:graphicFrameLocks/>
              </wp:cNvGraphicFramePr>
              <a:graphic>
                <a:graphicData uri="http://schemas.microsoft.com/office/word/2010/wordprocessingShape">
                  <wps:wsp>
                    <wps:cNvPr id="237" name="Textbox 237"/>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90976" type="#_x0000_t202" id="docshape182"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26016">
              <wp:simplePos x="0" y="0"/>
              <wp:positionH relativeFrom="page">
                <wp:posOffset>5075301</wp:posOffset>
              </wp:positionH>
              <wp:positionV relativeFrom="page">
                <wp:posOffset>451316</wp:posOffset>
              </wp:positionV>
              <wp:extent cx="790575" cy="196215"/>
              <wp:effectExtent l="0" t="0" r="0" b="0"/>
              <wp:wrapNone/>
              <wp:docPr id="238" name="Textbox 238"/>
              <wp:cNvGraphicFramePr>
                <a:graphicFrameLocks/>
              </wp:cNvGraphicFramePr>
              <a:graphic>
                <a:graphicData uri="http://schemas.microsoft.com/office/word/2010/wordprocessingShape">
                  <wps:wsp>
                    <wps:cNvPr id="238" name="Textbox 238"/>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90464" type="#_x0000_t202" id="docshape183"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26528">
              <wp:simplePos x="0" y="0"/>
              <wp:positionH relativeFrom="page">
                <wp:posOffset>5982970</wp:posOffset>
              </wp:positionH>
              <wp:positionV relativeFrom="page">
                <wp:posOffset>451316</wp:posOffset>
              </wp:positionV>
              <wp:extent cx="735330" cy="196215"/>
              <wp:effectExtent l="0" t="0" r="0" b="0"/>
              <wp:wrapNone/>
              <wp:docPr id="239" name="Textbox 239"/>
              <wp:cNvGraphicFramePr>
                <a:graphicFrameLocks/>
              </wp:cNvGraphicFramePr>
              <a:graphic>
                <a:graphicData uri="http://schemas.microsoft.com/office/word/2010/wordprocessingShape">
                  <wps:wsp>
                    <wps:cNvPr id="239" name="Textbox 239"/>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24</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89952" type="#_x0000_t202" id="docshape184"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24</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1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28064">
          <wp:simplePos x="0" y="0"/>
          <wp:positionH relativeFrom="page">
            <wp:posOffset>3458552</wp:posOffset>
          </wp:positionH>
          <wp:positionV relativeFrom="page">
            <wp:posOffset>235083</wp:posOffset>
          </wp:positionV>
          <wp:extent cx="606473" cy="389823"/>
          <wp:effectExtent l="0" t="0" r="0" b="0"/>
          <wp:wrapNone/>
          <wp:docPr id="248" name="Image 248"/>
          <wp:cNvGraphicFramePr>
            <a:graphicFrameLocks/>
          </wp:cNvGraphicFramePr>
          <a:graphic>
            <a:graphicData uri="http://schemas.openxmlformats.org/drawingml/2006/picture">
              <pic:pic>
                <pic:nvPicPr>
                  <pic:cNvPr id="248" name="Image 248"/>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28576">
              <wp:simplePos x="0" y="0"/>
              <wp:positionH relativeFrom="page">
                <wp:posOffset>535305</wp:posOffset>
              </wp:positionH>
              <wp:positionV relativeFrom="page">
                <wp:posOffset>871854</wp:posOffset>
              </wp:positionV>
              <wp:extent cx="6393180" cy="1270"/>
              <wp:effectExtent l="0" t="0" r="0" b="0"/>
              <wp:wrapNone/>
              <wp:docPr id="249" name="Graphic 249"/>
              <wp:cNvGraphicFramePr>
                <a:graphicFrameLocks/>
              </wp:cNvGraphicFramePr>
              <a:graphic>
                <a:graphicData uri="http://schemas.microsoft.com/office/word/2010/wordprocessingShape">
                  <wps:wsp>
                    <wps:cNvPr id="249" name="Graphic 249"/>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8790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29088">
              <wp:simplePos x="0" y="0"/>
              <wp:positionH relativeFrom="page">
                <wp:posOffset>1426210</wp:posOffset>
              </wp:positionH>
              <wp:positionV relativeFrom="page">
                <wp:posOffset>451316</wp:posOffset>
              </wp:positionV>
              <wp:extent cx="1322705" cy="196215"/>
              <wp:effectExtent l="0" t="0" r="0" b="0"/>
              <wp:wrapNone/>
              <wp:docPr id="250" name="Textbox 250"/>
              <wp:cNvGraphicFramePr>
                <a:graphicFrameLocks/>
              </wp:cNvGraphicFramePr>
              <a:graphic>
                <a:graphicData uri="http://schemas.microsoft.com/office/word/2010/wordprocessingShape">
                  <wps:wsp>
                    <wps:cNvPr id="250" name="Textbox 250"/>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87392" type="#_x0000_t202" id="docshape190"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29600">
              <wp:simplePos x="0" y="0"/>
              <wp:positionH relativeFrom="page">
                <wp:posOffset>5075301</wp:posOffset>
              </wp:positionH>
              <wp:positionV relativeFrom="page">
                <wp:posOffset>451316</wp:posOffset>
              </wp:positionV>
              <wp:extent cx="790575" cy="196215"/>
              <wp:effectExtent l="0" t="0" r="0" b="0"/>
              <wp:wrapNone/>
              <wp:docPr id="251" name="Textbox 251"/>
              <wp:cNvGraphicFramePr>
                <a:graphicFrameLocks/>
              </wp:cNvGraphicFramePr>
              <a:graphic>
                <a:graphicData uri="http://schemas.microsoft.com/office/word/2010/wordprocessingShape">
                  <wps:wsp>
                    <wps:cNvPr id="251" name="Textbox 251"/>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86880" type="#_x0000_t202" id="docshape191"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30112">
              <wp:simplePos x="0" y="0"/>
              <wp:positionH relativeFrom="page">
                <wp:posOffset>5982970</wp:posOffset>
              </wp:positionH>
              <wp:positionV relativeFrom="page">
                <wp:posOffset>451316</wp:posOffset>
              </wp:positionV>
              <wp:extent cx="735330" cy="196215"/>
              <wp:effectExtent l="0" t="0" r="0" b="0"/>
              <wp:wrapNone/>
              <wp:docPr id="252" name="Textbox 252"/>
              <wp:cNvGraphicFramePr>
                <a:graphicFrameLocks/>
              </wp:cNvGraphicFramePr>
              <a:graphic>
                <a:graphicData uri="http://schemas.microsoft.com/office/word/2010/wordprocessingShape">
                  <wps:wsp>
                    <wps:cNvPr id="252" name="Textbox 252"/>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26</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86368" type="#_x0000_t202" id="docshape192"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26</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1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32160">
          <wp:simplePos x="0" y="0"/>
          <wp:positionH relativeFrom="page">
            <wp:posOffset>3458552</wp:posOffset>
          </wp:positionH>
          <wp:positionV relativeFrom="page">
            <wp:posOffset>235083</wp:posOffset>
          </wp:positionV>
          <wp:extent cx="606473" cy="389823"/>
          <wp:effectExtent l="0" t="0" r="0" b="0"/>
          <wp:wrapNone/>
          <wp:docPr id="256" name="Image 256"/>
          <wp:cNvGraphicFramePr>
            <a:graphicFrameLocks/>
          </wp:cNvGraphicFramePr>
          <a:graphic>
            <a:graphicData uri="http://schemas.openxmlformats.org/drawingml/2006/picture">
              <pic:pic>
                <pic:nvPicPr>
                  <pic:cNvPr id="256" name="Image 256"/>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32672">
              <wp:simplePos x="0" y="0"/>
              <wp:positionH relativeFrom="page">
                <wp:posOffset>535305</wp:posOffset>
              </wp:positionH>
              <wp:positionV relativeFrom="page">
                <wp:posOffset>871854</wp:posOffset>
              </wp:positionV>
              <wp:extent cx="6393180" cy="1270"/>
              <wp:effectExtent l="0" t="0" r="0" b="0"/>
              <wp:wrapNone/>
              <wp:docPr id="257" name="Graphic 257"/>
              <wp:cNvGraphicFramePr>
                <a:graphicFrameLocks/>
              </wp:cNvGraphicFramePr>
              <a:graphic>
                <a:graphicData uri="http://schemas.microsoft.com/office/word/2010/wordprocessingShape">
                  <wps:wsp>
                    <wps:cNvPr id="257" name="Graphic 257"/>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8380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33184">
              <wp:simplePos x="0" y="0"/>
              <wp:positionH relativeFrom="page">
                <wp:posOffset>1426210</wp:posOffset>
              </wp:positionH>
              <wp:positionV relativeFrom="page">
                <wp:posOffset>451316</wp:posOffset>
              </wp:positionV>
              <wp:extent cx="1322705" cy="196215"/>
              <wp:effectExtent l="0" t="0" r="0" b="0"/>
              <wp:wrapNone/>
              <wp:docPr id="258" name="Textbox 258"/>
              <wp:cNvGraphicFramePr>
                <a:graphicFrameLocks/>
              </wp:cNvGraphicFramePr>
              <a:graphic>
                <a:graphicData uri="http://schemas.microsoft.com/office/word/2010/wordprocessingShape">
                  <wps:wsp>
                    <wps:cNvPr id="258" name="Textbox 258"/>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83296" type="#_x0000_t202" id="docshape19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33696">
              <wp:simplePos x="0" y="0"/>
              <wp:positionH relativeFrom="page">
                <wp:posOffset>5075301</wp:posOffset>
              </wp:positionH>
              <wp:positionV relativeFrom="page">
                <wp:posOffset>451316</wp:posOffset>
              </wp:positionV>
              <wp:extent cx="790575" cy="196215"/>
              <wp:effectExtent l="0" t="0" r="0" b="0"/>
              <wp:wrapNone/>
              <wp:docPr id="259" name="Textbox 259"/>
              <wp:cNvGraphicFramePr>
                <a:graphicFrameLocks/>
              </wp:cNvGraphicFramePr>
              <a:graphic>
                <a:graphicData uri="http://schemas.microsoft.com/office/word/2010/wordprocessingShape">
                  <wps:wsp>
                    <wps:cNvPr id="259" name="Textbox 259"/>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82784" type="#_x0000_t202" id="docshape19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34208">
              <wp:simplePos x="0" y="0"/>
              <wp:positionH relativeFrom="page">
                <wp:posOffset>5982970</wp:posOffset>
              </wp:positionH>
              <wp:positionV relativeFrom="page">
                <wp:posOffset>451316</wp:posOffset>
              </wp:positionV>
              <wp:extent cx="735330" cy="196215"/>
              <wp:effectExtent l="0" t="0" r="0" b="0"/>
              <wp:wrapNone/>
              <wp:docPr id="260" name="Textbox 260"/>
              <wp:cNvGraphicFramePr>
                <a:graphicFrameLocks/>
              </wp:cNvGraphicFramePr>
              <a:graphic>
                <a:graphicData uri="http://schemas.microsoft.com/office/word/2010/wordprocessingShape">
                  <wps:wsp>
                    <wps:cNvPr id="260" name="Textbox 260"/>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27</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82272" type="#_x0000_t202" id="docshape19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27</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1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35744">
          <wp:simplePos x="0" y="0"/>
          <wp:positionH relativeFrom="page">
            <wp:posOffset>3458552</wp:posOffset>
          </wp:positionH>
          <wp:positionV relativeFrom="page">
            <wp:posOffset>235083</wp:posOffset>
          </wp:positionV>
          <wp:extent cx="606473" cy="389823"/>
          <wp:effectExtent l="0" t="0" r="0" b="0"/>
          <wp:wrapNone/>
          <wp:docPr id="267" name="Image 267"/>
          <wp:cNvGraphicFramePr>
            <a:graphicFrameLocks/>
          </wp:cNvGraphicFramePr>
          <a:graphic>
            <a:graphicData uri="http://schemas.openxmlformats.org/drawingml/2006/picture">
              <pic:pic>
                <pic:nvPicPr>
                  <pic:cNvPr id="267" name="Image 267"/>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36256">
              <wp:simplePos x="0" y="0"/>
              <wp:positionH relativeFrom="page">
                <wp:posOffset>535305</wp:posOffset>
              </wp:positionH>
              <wp:positionV relativeFrom="page">
                <wp:posOffset>871854</wp:posOffset>
              </wp:positionV>
              <wp:extent cx="6393180" cy="1270"/>
              <wp:effectExtent l="0" t="0" r="0" b="0"/>
              <wp:wrapNone/>
              <wp:docPr id="268" name="Graphic 268"/>
              <wp:cNvGraphicFramePr>
                <a:graphicFrameLocks/>
              </wp:cNvGraphicFramePr>
              <a:graphic>
                <a:graphicData uri="http://schemas.microsoft.com/office/word/2010/wordprocessingShape">
                  <wps:wsp>
                    <wps:cNvPr id="268" name="Graphic 268"/>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8022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36768">
              <wp:simplePos x="0" y="0"/>
              <wp:positionH relativeFrom="page">
                <wp:posOffset>1426210</wp:posOffset>
              </wp:positionH>
              <wp:positionV relativeFrom="page">
                <wp:posOffset>451316</wp:posOffset>
              </wp:positionV>
              <wp:extent cx="1322705" cy="196215"/>
              <wp:effectExtent l="0" t="0" r="0" b="0"/>
              <wp:wrapNone/>
              <wp:docPr id="269" name="Textbox 269"/>
              <wp:cNvGraphicFramePr>
                <a:graphicFrameLocks/>
              </wp:cNvGraphicFramePr>
              <a:graphic>
                <a:graphicData uri="http://schemas.microsoft.com/office/word/2010/wordprocessingShape">
                  <wps:wsp>
                    <wps:cNvPr id="269" name="Textbox 269"/>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79712" type="#_x0000_t202" id="docshape201"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37280">
              <wp:simplePos x="0" y="0"/>
              <wp:positionH relativeFrom="page">
                <wp:posOffset>5075301</wp:posOffset>
              </wp:positionH>
              <wp:positionV relativeFrom="page">
                <wp:posOffset>451316</wp:posOffset>
              </wp:positionV>
              <wp:extent cx="790575" cy="196215"/>
              <wp:effectExtent l="0" t="0" r="0" b="0"/>
              <wp:wrapNone/>
              <wp:docPr id="270" name="Textbox 270"/>
              <wp:cNvGraphicFramePr>
                <a:graphicFrameLocks/>
              </wp:cNvGraphicFramePr>
              <a:graphic>
                <a:graphicData uri="http://schemas.microsoft.com/office/word/2010/wordprocessingShape">
                  <wps:wsp>
                    <wps:cNvPr id="270" name="Textbox 270"/>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79200" type="#_x0000_t202" id="docshape202"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37792">
              <wp:simplePos x="0" y="0"/>
              <wp:positionH relativeFrom="page">
                <wp:posOffset>5982970</wp:posOffset>
              </wp:positionH>
              <wp:positionV relativeFrom="page">
                <wp:posOffset>451316</wp:posOffset>
              </wp:positionV>
              <wp:extent cx="735330" cy="196215"/>
              <wp:effectExtent l="0" t="0" r="0" b="0"/>
              <wp:wrapNone/>
              <wp:docPr id="271" name="Textbox 271"/>
              <wp:cNvGraphicFramePr>
                <a:graphicFrameLocks/>
              </wp:cNvGraphicFramePr>
              <a:graphic>
                <a:graphicData uri="http://schemas.microsoft.com/office/word/2010/wordprocessingShape">
                  <wps:wsp>
                    <wps:cNvPr id="271" name="Textbox 271"/>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29</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78688" type="#_x0000_t202" id="docshape203"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29</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1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39840">
          <wp:simplePos x="0" y="0"/>
          <wp:positionH relativeFrom="page">
            <wp:posOffset>3458552</wp:posOffset>
          </wp:positionH>
          <wp:positionV relativeFrom="page">
            <wp:posOffset>235083</wp:posOffset>
          </wp:positionV>
          <wp:extent cx="606473" cy="389823"/>
          <wp:effectExtent l="0" t="0" r="0" b="0"/>
          <wp:wrapNone/>
          <wp:docPr id="275" name="Image 275"/>
          <wp:cNvGraphicFramePr>
            <a:graphicFrameLocks/>
          </wp:cNvGraphicFramePr>
          <a:graphic>
            <a:graphicData uri="http://schemas.openxmlformats.org/drawingml/2006/picture">
              <pic:pic>
                <pic:nvPicPr>
                  <pic:cNvPr id="275" name="Image 275"/>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40352">
              <wp:simplePos x="0" y="0"/>
              <wp:positionH relativeFrom="page">
                <wp:posOffset>535305</wp:posOffset>
              </wp:positionH>
              <wp:positionV relativeFrom="page">
                <wp:posOffset>871854</wp:posOffset>
              </wp:positionV>
              <wp:extent cx="6393180" cy="1270"/>
              <wp:effectExtent l="0" t="0" r="0" b="0"/>
              <wp:wrapNone/>
              <wp:docPr id="276" name="Graphic 276"/>
              <wp:cNvGraphicFramePr>
                <a:graphicFrameLocks/>
              </wp:cNvGraphicFramePr>
              <a:graphic>
                <a:graphicData uri="http://schemas.microsoft.com/office/word/2010/wordprocessingShape">
                  <wps:wsp>
                    <wps:cNvPr id="276" name="Graphic 276"/>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7612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40864">
              <wp:simplePos x="0" y="0"/>
              <wp:positionH relativeFrom="page">
                <wp:posOffset>1426210</wp:posOffset>
              </wp:positionH>
              <wp:positionV relativeFrom="page">
                <wp:posOffset>451316</wp:posOffset>
              </wp:positionV>
              <wp:extent cx="1322705" cy="196215"/>
              <wp:effectExtent l="0" t="0" r="0" b="0"/>
              <wp:wrapNone/>
              <wp:docPr id="277" name="Textbox 277"/>
              <wp:cNvGraphicFramePr>
                <a:graphicFrameLocks/>
              </wp:cNvGraphicFramePr>
              <a:graphic>
                <a:graphicData uri="http://schemas.microsoft.com/office/word/2010/wordprocessingShape">
                  <wps:wsp>
                    <wps:cNvPr id="277" name="Textbox 277"/>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75616" type="#_x0000_t202" id="docshape205"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41376">
              <wp:simplePos x="0" y="0"/>
              <wp:positionH relativeFrom="page">
                <wp:posOffset>5075301</wp:posOffset>
              </wp:positionH>
              <wp:positionV relativeFrom="page">
                <wp:posOffset>451316</wp:posOffset>
              </wp:positionV>
              <wp:extent cx="790575" cy="196215"/>
              <wp:effectExtent l="0" t="0" r="0" b="0"/>
              <wp:wrapNone/>
              <wp:docPr id="278" name="Textbox 278"/>
              <wp:cNvGraphicFramePr>
                <a:graphicFrameLocks/>
              </wp:cNvGraphicFramePr>
              <a:graphic>
                <a:graphicData uri="http://schemas.microsoft.com/office/word/2010/wordprocessingShape">
                  <wps:wsp>
                    <wps:cNvPr id="278" name="Textbox 278"/>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75104" type="#_x0000_t202" id="docshape206"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41888">
              <wp:simplePos x="0" y="0"/>
              <wp:positionH relativeFrom="page">
                <wp:posOffset>5982970</wp:posOffset>
              </wp:positionH>
              <wp:positionV relativeFrom="page">
                <wp:posOffset>451316</wp:posOffset>
              </wp:positionV>
              <wp:extent cx="735330" cy="196215"/>
              <wp:effectExtent l="0" t="0" r="0" b="0"/>
              <wp:wrapNone/>
              <wp:docPr id="279" name="Textbox 279"/>
              <wp:cNvGraphicFramePr>
                <a:graphicFrameLocks/>
              </wp:cNvGraphicFramePr>
              <a:graphic>
                <a:graphicData uri="http://schemas.microsoft.com/office/word/2010/wordprocessingShape">
                  <wps:wsp>
                    <wps:cNvPr id="279" name="Textbox 279"/>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31</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74592" type="#_x0000_t202" id="docshape207"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31</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1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43424">
          <wp:simplePos x="0" y="0"/>
          <wp:positionH relativeFrom="page">
            <wp:posOffset>3458552</wp:posOffset>
          </wp:positionH>
          <wp:positionV relativeFrom="page">
            <wp:posOffset>235083</wp:posOffset>
          </wp:positionV>
          <wp:extent cx="606473" cy="389823"/>
          <wp:effectExtent l="0" t="0" r="0" b="0"/>
          <wp:wrapNone/>
          <wp:docPr id="291" name="Image 291"/>
          <wp:cNvGraphicFramePr>
            <a:graphicFrameLocks/>
          </wp:cNvGraphicFramePr>
          <a:graphic>
            <a:graphicData uri="http://schemas.openxmlformats.org/drawingml/2006/picture">
              <pic:pic>
                <pic:nvPicPr>
                  <pic:cNvPr id="291" name="Image 291"/>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43936">
              <wp:simplePos x="0" y="0"/>
              <wp:positionH relativeFrom="page">
                <wp:posOffset>535305</wp:posOffset>
              </wp:positionH>
              <wp:positionV relativeFrom="page">
                <wp:posOffset>871854</wp:posOffset>
              </wp:positionV>
              <wp:extent cx="6393180" cy="1270"/>
              <wp:effectExtent l="0" t="0" r="0" b="0"/>
              <wp:wrapNone/>
              <wp:docPr id="292" name="Graphic 292"/>
              <wp:cNvGraphicFramePr>
                <a:graphicFrameLocks/>
              </wp:cNvGraphicFramePr>
              <a:graphic>
                <a:graphicData uri="http://schemas.microsoft.com/office/word/2010/wordprocessingShape">
                  <wps:wsp>
                    <wps:cNvPr id="292" name="Graphic 292"/>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7254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44448">
              <wp:simplePos x="0" y="0"/>
              <wp:positionH relativeFrom="page">
                <wp:posOffset>1426210</wp:posOffset>
              </wp:positionH>
              <wp:positionV relativeFrom="page">
                <wp:posOffset>451316</wp:posOffset>
              </wp:positionV>
              <wp:extent cx="1322705" cy="196215"/>
              <wp:effectExtent l="0" t="0" r="0" b="0"/>
              <wp:wrapNone/>
              <wp:docPr id="293" name="Textbox 293"/>
              <wp:cNvGraphicFramePr>
                <a:graphicFrameLocks/>
              </wp:cNvGraphicFramePr>
              <a:graphic>
                <a:graphicData uri="http://schemas.microsoft.com/office/word/2010/wordprocessingShape">
                  <wps:wsp>
                    <wps:cNvPr id="293" name="Textbox 293"/>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72032" type="#_x0000_t202" id="docshape217"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44960">
              <wp:simplePos x="0" y="0"/>
              <wp:positionH relativeFrom="page">
                <wp:posOffset>5075301</wp:posOffset>
              </wp:positionH>
              <wp:positionV relativeFrom="page">
                <wp:posOffset>451316</wp:posOffset>
              </wp:positionV>
              <wp:extent cx="790575" cy="196215"/>
              <wp:effectExtent l="0" t="0" r="0" b="0"/>
              <wp:wrapNone/>
              <wp:docPr id="294" name="Textbox 294"/>
              <wp:cNvGraphicFramePr>
                <a:graphicFrameLocks/>
              </wp:cNvGraphicFramePr>
              <a:graphic>
                <a:graphicData uri="http://schemas.microsoft.com/office/word/2010/wordprocessingShape">
                  <wps:wsp>
                    <wps:cNvPr id="294" name="Textbox 294"/>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71520" type="#_x0000_t202" id="docshape218"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45472">
              <wp:simplePos x="0" y="0"/>
              <wp:positionH relativeFrom="page">
                <wp:posOffset>5982970</wp:posOffset>
              </wp:positionH>
              <wp:positionV relativeFrom="page">
                <wp:posOffset>451316</wp:posOffset>
              </wp:positionV>
              <wp:extent cx="735330" cy="196215"/>
              <wp:effectExtent l="0" t="0" r="0" b="0"/>
              <wp:wrapNone/>
              <wp:docPr id="295" name="Textbox 295"/>
              <wp:cNvGraphicFramePr>
                <a:graphicFrameLocks/>
              </wp:cNvGraphicFramePr>
              <a:graphic>
                <a:graphicData uri="http://schemas.microsoft.com/office/word/2010/wordprocessingShape">
                  <wps:wsp>
                    <wps:cNvPr id="295" name="Textbox 295"/>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36</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71008" type="#_x0000_t202" id="docshape219"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36</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1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47520">
          <wp:simplePos x="0" y="0"/>
          <wp:positionH relativeFrom="page">
            <wp:posOffset>3458552</wp:posOffset>
          </wp:positionH>
          <wp:positionV relativeFrom="page">
            <wp:posOffset>235083</wp:posOffset>
          </wp:positionV>
          <wp:extent cx="606473" cy="389823"/>
          <wp:effectExtent l="0" t="0" r="0" b="0"/>
          <wp:wrapNone/>
          <wp:docPr id="299" name="Image 299"/>
          <wp:cNvGraphicFramePr>
            <a:graphicFrameLocks/>
          </wp:cNvGraphicFramePr>
          <a:graphic>
            <a:graphicData uri="http://schemas.openxmlformats.org/drawingml/2006/picture">
              <pic:pic>
                <pic:nvPicPr>
                  <pic:cNvPr id="299" name="Image 299"/>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48032">
              <wp:simplePos x="0" y="0"/>
              <wp:positionH relativeFrom="page">
                <wp:posOffset>535305</wp:posOffset>
              </wp:positionH>
              <wp:positionV relativeFrom="page">
                <wp:posOffset>871854</wp:posOffset>
              </wp:positionV>
              <wp:extent cx="6393180" cy="1270"/>
              <wp:effectExtent l="0" t="0" r="0" b="0"/>
              <wp:wrapNone/>
              <wp:docPr id="300" name="Graphic 300"/>
              <wp:cNvGraphicFramePr>
                <a:graphicFrameLocks/>
              </wp:cNvGraphicFramePr>
              <a:graphic>
                <a:graphicData uri="http://schemas.microsoft.com/office/word/2010/wordprocessingShape">
                  <wps:wsp>
                    <wps:cNvPr id="300" name="Graphic 300"/>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6844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48544">
              <wp:simplePos x="0" y="0"/>
              <wp:positionH relativeFrom="page">
                <wp:posOffset>1426210</wp:posOffset>
              </wp:positionH>
              <wp:positionV relativeFrom="page">
                <wp:posOffset>451316</wp:posOffset>
              </wp:positionV>
              <wp:extent cx="1322705" cy="196215"/>
              <wp:effectExtent l="0" t="0" r="0" b="0"/>
              <wp:wrapNone/>
              <wp:docPr id="301" name="Textbox 301"/>
              <wp:cNvGraphicFramePr>
                <a:graphicFrameLocks/>
              </wp:cNvGraphicFramePr>
              <a:graphic>
                <a:graphicData uri="http://schemas.microsoft.com/office/word/2010/wordprocessingShape">
                  <wps:wsp>
                    <wps:cNvPr id="301" name="Textbox 301"/>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67936" type="#_x0000_t202" id="docshape221"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49056">
              <wp:simplePos x="0" y="0"/>
              <wp:positionH relativeFrom="page">
                <wp:posOffset>5075301</wp:posOffset>
              </wp:positionH>
              <wp:positionV relativeFrom="page">
                <wp:posOffset>451316</wp:posOffset>
              </wp:positionV>
              <wp:extent cx="790575" cy="196215"/>
              <wp:effectExtent l="0" t="0" r="0" b="0"/>
              <wp:wrapNone/>
              <wp:docPr id="302" name="Textbox 302"/>
              <wp:cNvGraphicFramePr>
                <a:graphicFrameLocks/>
              </wp:cNvGraphicFramePr>
              <a:graphic>
                <a:graphicData uri="http://schemas.microsoft.com/office/word/2010/wordprocessingShape">
                  <wps:wsp>
                    <wps:cNvPr id="302" name="Textbox 302"/>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67424" type="#_x0000_t202" id="docshape222"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49568">
              <wp:simplePos x="0" y="0"/>
              <wp:positionH relativeFrom="page">
                <wp:posOffset>5982970</wp:posOffset>
              </wp:positionH>
              <wp:positionV relativeFrom="page">
                <wp:posOffset>451316</wp:posOffset>
              </wp:positionV>
              <wp:extent cx="735330" cy="196215"/>
              <wp:effectExtent l="0" t="0" r="0" b="0"/>
              <wp:wrapNone/>
              <wp:docPr id="303" name="Textbox 303"/>
              <wp:cNvGraphicFramePr>
                <a:graphicFrameLocks/>
              </wp:cNvGraphicFramePr>
              <a:graphic>
                <a:graphicData uri="http://schemas.microsoft.com/office/word/2010/wordprocessingShape">
                  <wps:wsp>
                    <wps:cNvPr id="303" name="Textbox 303"/>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37</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66912" type="#_x0000_t202" id="docshape223"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37</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51104">
          <wp:simplePos x="0" y="0"/>
          <wp:positionH relativeFrom="page">
            <wp:posOffset>3458552</wp:posOffset>
          </wp:positionH>
          <wp:positionV relativeFrom="page">
            <wp:posOffset>235083</wp:posOffset>
          </wp:positionV>
          <wp:extent cx="606473" cy="389823"/>
          <wp:effectExtent l="0" t="0" r="0" b="0"/>
          <wp:wrapNone/>
          <wp:docPr id="318" name="Image 318"/>
          <wp:cNvGraphicFramePr>
            <a:graphicFrameLocks/>
          </wp:cNvGraphicFramePr>
          <a:graphic>
            <a:graphicData uri="http://schemas.openxmlformats.org/drawingml/2006/picture">
              <pic:pic>
                <pic:nvPicPr>
                  <pic:cNvPr id="318" name="Image 318"/>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51616">
              <wp:simplePos x="0" y="0"/>
              <wp:positionH relativeFrom="page">
                <wp:posOffset>535305</wp:posOffset>
              </wp:positionH>
              <wp:positionV relativeFrom="page">
                <wp:posOffset>871854</wp:posOffset>
              </wp:positionV>
              <wp:extent cx="6393180" cy="1270"/>
              <wp:effectExtent l="0" t="0" r="0" b="0"/>
              <wp:wrapNone/>
              <wp:docPr id="319" name="Graphic 319"/>
              <wp:cNvGraphicFramePr>
                <a:graphicFrameLocks/>
              </wp:cNvGraphicFramePr>
              <a:graphic>
                <a:graphicData uri="http://schemas.microsoft.com/office/word/2010/wordprocessingShape">
                  <wps:wsp>
                    <wps:cNvPr id="319" name="Graphic 319"/>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6486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52128">
              <wp:simplePos x="0" y="0"/>
              <wp:positionH relativeFrom="page">
                <wp:posOffset>1426210</wp:posOffset>
              </wp:positionH>
              <wp:positionV relativeFrom="page">
                <wp:posOffset>451316</wp:posOffset>
              </wp:positionV>
              <wp:extent cx="1322705" cy="196215"/>
              <wp:effectExtent l="0" t="0" r="0" b="0"/>
              <wp:wrapNone/>
              <wp:docPr id="320" name="Textbox 320"/>
              <wp:cNvGraphicFramePr>
                <a:graphicFrameLocks/>
              </wp:cNvGraphicFramePr>
              <a:graphic>
                <a:graphicData uri="http://schemas.microsoft.com/office/word/2010/wordprocessingShape">
                  <wps:wsp>
                    <wps:cNvPr id="320" name="Textbox 320"/>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64352" type="#_x0000_t202" id="docshape236"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52640">
              <wp:simplePos x="0" y="0"/>
              <wp:positionH relativeFrom="page">
                <wp:posOffset>5075301</wp:posOffset>
              </wp:positionH>
              <wp:positionV relativeFrom="page">
                <wp:posOffset>451316</wp:posOffset>
              </wp:positionV>
              <wp:extent cx="790575" cy="196215"/>
              <wp:effectExtent l="0" t="0" r="0" b="0"/>
              <wp:wrapNone/>
              <wp:docPr id="321" name="Textbox 321"/>
              <wp:cNvGraphicFramePr>
                <a:graphicFrameLocks/>
              </wp:cNvGraphicFramePr>
              <a:graphic>
                <a:graphicData uri="http://schemas.microsoft.com/office/word/2010/wordprocessingShape">
                  <wps:wsp>
                    <wps:cNvPr id="321" name="Textbox 321"/>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63840" type="#_x0000_t202" id="docshape237"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53152">
              <wp:simplePos x="0" y="0"/>
              <wp:positionH relativeFrom="page">
                <wp:posOffset>5982970</wp:posOffset>
              </wp:positionH>
              <wp:positionV relativeFrom="page">
                <wp:posOffset>451316</wp:posOffset>
              </wp:positionV>
              <wp:extent cx="735330" cy="196215"/>
              <wp:effectExtent l="0" t="0" r="0" b="0"/>
              <wp:wrapNone/>
              <wp:docPr id="322" name="Textbox 322"/>
              <wp:cNvGraphicFramePr>
                <a:graphicFrameLocks/>
              </wp:cNvGraphicFramePr>
              <a:graphic>
                <a:graphicData uri="http://schemas.microsoft.com/office/word/2010/wordprocessingShape">
                  <wps:wsp>
                    <wps:cNvPr id="322" name="Textbox 322"/>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45</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63328" type="#_x0000_t202" id="docshape238"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45</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55200">
          <wp:simplePos x="0" y="0"/>
          <wp:positionH relativeFrom="page">
            <wp:posOffset>3458552</wp:posOffset>
          </wp:positionH>
          <wp:positionV relativeFrom="page">
            <wp:posOffset>235083</wp:posOffset>
          </wp:positionV>
          <wp:extent cx="606473" cy="389823"/>
          <wp:effectExtent l="0" t="0" r="0" b="0"/>
          <wp:wrapNone/>
          <wp:docPr id="328" name="Image 328"/>
          <wp:cNvGraphicFramePr>
            <a:graphicFrameLocks/>
          </wp:cNvGraphicFramePr>
          <a:graphic>
            <a:graphicData uri="http://schemas.openxmlformats.org/drawingml/2006/picture">
              <pic:pic>
                <pic:nvPicPr>
                  <pic:cNvPr id="328" name="Image 328"/>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55712">
              <wp:simplePos x="0" y="0"/>
              <wp:positionH relativeFrom="page">
                <wp:posOffset>535305</wp:posOffset>
              </wp:positionH>
              <wp:positionV relativeFrom="page">
                <wp:posOffset>871854</wp:posOffset>
              </wp:positionV>
              <wp:extent cx="6393180" cy="1270"/>
              <wp:effectExtent l="0" t="0" r="0" b="0"/>
              <wp:wrapNone/>
              <wp:docPr id="329" name="Graphic 329"/>
              <wp:cNvGraphicFramePr>
                <a:graphicFrameLocks/>
              </wp:cNvGraphicFramePr>
              <a:graphic>
                <a:graphicData uri="http://schemas.microsoft.com/office/word/2010/wordprocessingShape">
                  <wps:wsp>
                    <wps:cNvPr id="329" name="Graphic 329"/>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6076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56224">
              <wp:simplePos x="0" y="0"/>
              <wp:positionH relativeFrom="page">
                <wp:posOffset>1426210</wp:posOffset>
              </wp:positionH>
              <wp:positionV relativeFrom="page">
                <wp:posOffset>451316</wp:posOffset>
              </wp:positionV>
              <wp:extent cx="1322705" cy="196215"/>
              <wp:effectExtent l="0" t="0" r="0" b="0"/>
              <wp:wrapNone/>
              <wp:docPr id="330" name="Textbox 330"/>
              <wp:cNvGraphicFramePr>
                <a:graphicFrameLocks/>
              </wp:cNvGraphicFramePr>
              <a:graphic>
                <a:graphicData uri="http://schemas.microsoft.com/office/word/2010/wordprocessingShape">
                  <wps:wsp>
                    <wps:cNvPr id="330" name="Textbox 330"/>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60256" type="#_x0000_t202" id="docshape242"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56736">
              <wp:simplePos x="0" y="0"/>
              <wp:positionH relativeFrom="page">
                <wp:posOffset>5075301</wp:posOffset>
              </wp:positionH>
              <wp:positionV relativeFrom="page">
                <wp:posOffset>451316</wp:posOffset>
              </wp:positionV>
              <wp:extent cx="790575" cy="196215"/>
              <wp:effectExtent l="0" t="0" r="0" b="0"/>
              <wp:wrapNone/>
              <wp:docPr id="331" name="Textbox 331"/>
              <wp:cNvGraphicFramePr>
                <a:graphicFrameLocks/>
              </wp:cNvGraphicFramePr>
              <a:graphic>
                <a:graphicData uri="http://schemas.microsoft.com/office/word/2010/wordprocessingShape">
                  <wps:wsp>
                    <wps:cNvPr id="331" name="Textbox 331"/>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59744" type="#_x0000_t202" id="docshape243"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57248">
              <wp:simplePos x="0" y="0"/>
              <wp:positionH relativeFrom="page">
                <wp:posOffset>5982970</wp:posOffset>
              </wp:positionH>
              <wp:positionV relativeFrom="page">
                <wp:posOffset>451316</wp:posOffset>
              </wp:positionV>
              <wp:extent cx="735330" cy="196215"/>
              <wp:effectExtent l="0" t="0" r="0" b="0"/>
              <wp:wrapNone/>
              <wp:docPr id="332" name="Textbox 332"/>
              <wp:cNvGraphicFramePr>
                <a:graphicFrameLocks/>
              </wp:cNvGraphicFramePr>
              <a:graphic>
                <a:graphicData uri="http://schemas.microsoft.com/office/word/2010/wordprocessingShape">
                  <wps:wsp>
                    <wps:cNvPr id="332" name="Textbox 332"/>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49</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59232" type="#_x0000_t202" id="docshape244"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49</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58784">
          <wp:simplePos x="0" y="0"/>
          <wp:positionH relativeFrom="page">
            <wp:posOffset>3458552</wp:posOffset>
          </wp:positionH>
          <wp:positionV relativeFrom="page">
            <wp:posOffset>235083</wp:posOffset>
          </wp:positionV>
          <wp:extent cx="606473" cy="389823"/>
          <wp:effectExtent l="0" t="0" r="0" b="0"/>
          <wp:wrapNone/>
          <wp:docPr id="338" name="Image 338"/>
          <wp:cNvGraphicFramePr>
            <a:graphicFrameLocks/>
          </wp:cNvGraphicFramePr>
          <a:graphic>
            <a:graphicData uri="http://schemas.openxmlformats.org/drawingml/2006/picture">
              <pic:pic>
                <pic:nvPicPr>
                  <pic:cNvPr id="338" name="Image 338"/>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59296">
              <wp:simplePos x="0" y="0"/>
              <wp:positionH relativeFrom="page">
                <wp:posOffset>535305</wp:posOffset>
              </wp:positionH>
              <wp:positionV relativeFrom="page">
                <wp:posOffset>871854</wp:posOffset>
              </wp:positionV>
              <wp:extent cx="6393180" cy="1270"/>
              <wp:effectExtent l="0" t="0" r="0" b="0"/>
              <wp:wrapNone/>
              <wp:docPr id="339" name="Graphic 339"/>
              <wp:cNvGraphicFramePr>
                <a:graphicFrameLocks/>
              </wp:cNvGraphicFramePr>
              <a:graphic>
                <a:graphicData uri="http://schemas.microsoft.com/office/word/2010/wordprocessingShape">
                  <wps:wsp>
                    <wps:cNvPr id="339" name="Graphic 339"/>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5718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59808">
              <wp:simplePos x="0" y="0"/>
              <wp:positionH relativeFrom="page">
                <wp:posOffset>1426210</wp:posOffset>
              </wp:positionH>
              <wp:positionV relativeFrom="page">
                <wp:posOffset>451316</wp:posOffset>
              </wp:positionV>
              <wp:extent cx="1322705" cy="196215"/>
              <wp:effectExtent l="0" t="0" r="0" b="0"/>
              <wp:wrapNone/>
              <wp:docPr id="340" name="Textbox 340"/>
              <wp:cNvGraphicFramePr>
                <a:graphicFrameLocks/>
              </wp:cNvGraphicFramePr>
              <a:graphic>
                <a:graphicData uri="http://schemas.microsoft.com/office/word/2010/wordprocessingShape">
                  <wps:wsp>
                    <wps:cNvPr id="340" name="Textbox 340"/>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56672" type="#_x0000_t202" id="docshape249"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60320">
              <wp:simplePos x="0" y="0"/>
              <wp:positionH relativeFrom="page">
                <wp:posOffset>5075301</wp:posOffset>
              </wp:positionH>
              <wp:positionV relativeFrom="page">
                <wp:posOffset>451316</wp:posOffset>
              </wp:positionV>
              <wp:extent cx="790575" cy="196215"/>
              <wp:effectExtent l="0" t="0" r="0" b="0"/>
              <wp:wrapNone/>
              <wp:docPr id="341" name="Textbox 341"/>
              <wp:cNvGraphicFramePr>
                <a:graphicFrameLocks/>
              </wp:cNvGraphicFramePr>
              <a:graphic>
                <a:graphicData uri="http://schemas.microsoft.com/office/word/2010/wordprocessingShape">
                  <wps:wsp>
                    <wps:cNvPr id="341" name="Textbox 341"/>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56160" type="#_x0000_t202" id="docshape250"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60832">
              <wp:simplePos x="0" y="0"/>
              <wp:positionH relativeFrom="page">
                <wp:posOffset>5982970</wp:posOffset>
              </wp:positionH>
              <wp:positionV relativeFrom="page">
                <wp:posOffset>451316</wp:posOffset>
              </wp:positionV>
              <wp:extent cx="735330" cy="196215"/>
              <wp:effectExtent l="0" t="0" r="0" b="0"/>
              <wp:wrapNone/>
              <wp:docPr id="342" name="Textbox 342"/>
              <wp:cNvGraphicFramePr>
                <a:graphicFrameLocks/>
              </wp:cNvGraphicFramePr>
              <a:graphic>
                <a:graphicData uri="http://schemas.microsoft.com/office/word/2010/wordprocessingShape">
                  <wps:wsp>
                    <wps:cNvPr id="342" name="Textbox 342"/>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52</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55648" type="#_x0000_t202" id="docshape251"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52</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62880">
          <wp:simplePos x="0" y="0"/>
          <wp:positionH relativeFrom="page">
            <wp:posOffset>3458552</wp:posOffset>
          </wp:positionH>
          <wp:positionV relativeFrom="page">
            <wp:posOffset>235083</wp:posOffset>
          </wp:positionV>
          <wp:extent cx="606473" cy="389823"/>
          <wp:effectExtent l="0" t="0" r="0" b="0"/>
          <wp:wrapNone/>
          <wp:docPr id="347" name="Image 347"/>
          <wp:cNvGraphicFramePr>
            <a:graphicFrameLocks/>
          </wp:cNvGraphicFramePr>
          <a:graphic>
            <a:graphicData uri="http://schemas.openxmlformats.org/drawingml/2006/picture">
              <pic:pic>
                <pic:nvPicPr>
                  <pic:cNvPr id="347" name="Image 347"/>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63392">
              <wp:simplePos x="0" y="0"/>
              <wp:positionH relativeFrom="page">
                <wp:posOffset>535305</wp:posOffset>
              </wp:positionH>
              <wp:positionV relativeFrom="page">
                <wp:posOffset>871854</wp:posOffset>
              </wp:positionV>
              <wp:extent cx="6393180" cy="1270"/>
              <wp:effectExtent l="0" t="0" r="0" b="0"/>
              <wp:wrapNone/>
              <wp:docPr id="348" name="Graphic 348"/>
              <wp:cNvGraphicFramePr>
                <a:graphicFrameLocks/>
              </wp:cNvGraphicFramePr>
              <a:graphic>
                <a:graphicData uri="http://schemas.microsoft.com/office/word/2010/wordprocessingShape">
                  <wps:wsp>
                    <wps:cNvPr id="348" name="Graphic 348"/>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5308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63904">
              <wp:simplePos x="0" y="0"/>
              <wp:positionH relativeFrom="page">
                <wp:posOffset>1426210</wp:posOffset>
              </wp:positionH>
              <wp:positionV relativeFrom="page">
                <wp:posOffset>451316</wp:posOffset>
              </wp:positionV>
              <wp:extent cx="1322705" cy="196215"/>
              <wp:effectExtent l="0" t="0" r="0" b="0"/>
              <wp:wrapNone/>
              <wp:docPr id="349" name="Textbox 349"/>
              <wp:cNvGraphicFramePr>
                <a:graphicFrameLocks/>
              </wp:cNvGraphicFramePr>
              <a:graphic>
                <a:graphicData uri="http://schemas.microsoft.com/office/word/2010/wordprocessingShape">
                  <wps:wsp>
                    <wps:cNvPr id="349" name="Textbox 349"/>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52576" type="#_x0000_t202" id="docshape25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64416">
              <wp:simplePos x="0" y="0"/>
              <wp:positionH relativeFrom="page">
                <wp:posOffset>5075301</wp:posOffset>
              </wp:positionH>
              <wp:positionV relativeFrom="page">
                <wp:posOffset>451316</wp:posOffset>
              </wp:positionV>
              <wp:extent cx="790575" cy="196215"/>
              <wp:effectExtent l="0" t="0" r="0" b="0"/>
              <wp:wrapNone/>
              <wp:docPr id="350" name="Textbox 350"/>
              <wp:cNvGraphicFramePr>
                <a:graphicFrameLocks/>
              </wp:cNvGraphicFramePr>
              <a:graphic>
                <a:graphicData uri="http://schemas.microsoft.com/office/word/2010/wordprocessingShape">
                  <wps:wsp>
                    <wps:cNvPr id="350" name="Textbox 350"/>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52064" type="#_x0000_t202" id="docshape25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64928">
              <wp:simplePos x="0" y="0"/>
              <wp:positionH relativeFrom="page">
                <wp:posOffset>5982970</wp:posOffset>
              </wp:positionH>
              <wp:positionV relativeFrom="page">
                <wp:posOffset>451316</wp:posOffset>
              </wp:positionV>
              <wp:extent cx="735330" cy="196215"/>
              <wp:effectExtent l="0" t="0" r="0" b="0"/>
              <wp:wrapNone/>
              <wp:docPr id="351" name="Textbox 351"/>
              <wp:cNvGraphicFramePr>
                <a:graphicFrameLocks/>
              </wp:cNvGraphicFramePr>
              <a:graphic>
                <a:graphicData uri="http://schemas.microsoft.com/office/word/2010/wordprocessingShape">
                  <wps:wsp>
                    <wps:cNvPr id="351" name="Textbox 351"/>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56</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51552" type="#_x0000_t202" id="docshape25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56</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66464">
          <wp:simplePos x="0" y="0"/>
          <wp:positionH relativeFrom="page">
            <wp:posOffset>3458552</wp:posOffset>
          </wp:positionH>
          <wp:positionV relativeFrom="page">
            <wp:posOffset>235083</wp:posOffset>
          </wp:positionV>
          <wp:extent cx="606473" cy="389823"/>
          <wp:effectExtent l="0" t="0" r="0" b="0"/>
          <wp:wrapNone/>
          <wp:docPr id="357" name="Image 357"/>
          <wp:cNvGraphicFramePr>
            <a:graphicFrameLocks/>
          </wp:cNvGraphicFramePr>
          <a:graphic>
            <a:graphicData uri="http://schemas.openxmlformats.org/drawingml/2006/picture">
              <pic:pic>
                <pic:nvPicPr>
                  <pic:cNvPr id="357" name="Image 357"/>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66976">
              <wp:simplePos x="0" y="0"/>
              <wp:positionH relativeFrom="page">
                <wp:posOffset>535305</wp:posOffset>
              </wp:positionH>
              <wp:positionV relativeFrom="page">
                <wp:posOffset>871854</wp:posOffset>
              </wp:positionV>
              <wp:extent cx="6393180" cy="1270"/>
              <wp:effectExtent l="0" t="0" r="0" b="0"/>
              <wp:wrapNone/>
              <wp:docPr id="358" name="Graphic 358"/>
              <wp:cNvGraphicFramePr>
                <a:graphicFrameLocks/>
              </wp:cNvGraphicFramePr>
              <a:graphic>
                <a:graphicData uri="http://schemas.microsoft.com/office/word/2010/wordprocessingShape">
                  <wps:wsp>
                    <wps:cNvPr id="358" name="Graphic 358"/>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4950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67488">
              <wp:simplePos x="0" y="0"/>
              <wp:positionH relativeFrom="page">
                <wp:posOffset>1426210</wp:posOffset>
              </wp:positionH>
              <wp:positionV relativeFrom="page">
                <wp:posOffset>451316</wp:posOffset>
              </wp:positionV>
              <wp:extent cx="1322705" cy="196215"/>
              <wp:effectExtent l="0" t="0" r="0" b="0"/>
              <wp:wrapNone/>
              <wp:docPr id="359" name="Textbox 359"/>
              <wp:cNvGraphicFramePr>
                <a:graphicFrameLocks/>
              </wp:cNvGraphicFramePr>
              <a:graphic>
                <a:graphicData uri="http://schemas.microsoft.com/office/word/2010/wordprocessingShape">
                  <wps:wsp>
                    <wps:cNvPr id="359" name="Textbox 359"/>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48992" type="#_x0000_t202" id="docshape260"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68000">
              <wp:simplePos x="0" y="0"/>
              <wp:positionH relativeFrom="page">
                <wp:posOffset>5075301</wp:posOffset>
              </wp:positionH>
              <wp:positionV relativeFrom="page">
                <wp:posOffset>451316</wp:posOffset>
              </wp:positionV>
              <wp:extent cx="790575" cy="196215"/>
              <wp:effectExtent l="0" t="0" r="0" b="0"/>
              <wp:wrapNone/>
              <wp:docPr id="360" name="Textbox 360"/>
              <wp:cNvGraphicFramePr>
                <a:graphicFrameLocks/>
              </wp:cNvGraphicFramePr>
              <a:graphic>
                <a:graphicData uri="http://schemas.microsoft.com/office/word/2010/wordprocessingShape">
                  <wps:wsp>
                    <wps:cNvPr id="360" name="Textbox 360"/>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48480" type="#_x0000_t202" id="docshape261"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68512">
              <wp:simplePos x="0" y="0"/>
              <wp:positionH relativeFrom="page">
                <wp:posOffset>5982970</wp:posOffset>
              </wp:positionH>
              <wp:positionV relativeFrom="page">
                <wp:posOffset>451316</wp:posOffset>
              </wp:positionV>
              <wp:extent cx="735330" cy="196215"/>
              <wp:effectExtent l="0" t="0" r="0" b="0"/>
              <wp:wrapNone/>
              <wp:docPr id="361" name="Textbox 361"/>
              <wp:cNvGraphicFramePr>
                <a:graphicFrameLocks/>
              </wp:cNvGraphicFramePr>
              <a:graphic>
                <a:graphicData uri="http://schemas.microsoft.com/office/word/2010/wordprocessingShape">
                  <wps:wsp>
                    <wps:cNvPr id="361" name="Textbox 361"/>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57</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47968" type="#_x0000_t202" id="docshape262"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57</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70560">
          <wp:simplePos x="0" y="0"/>
          <wp:positionH relativeFrom="page">
            <wp:posOffset>3458552</wp:posOffset>
          </wp:positionH>
          <wp:positionV relativeFrom="page">
            <wp:posOffset>235083</wp:posOffset>
          </wp:positionV>
          <wp:extent cx="606473" cy="389823"/>
          <wp:effectExtent l="0" t="0" r="0" b="0"/>
          <wp:wrapNone/>
          <wp:docPr id="365" name="Image 365"/>
          <wp:cNvGraphicFramePr>
            <a:graphicFrameLocks/>
          </wp:cNvGraphicFramePr>
          <a:graphic>
            <a:graphicData uri="http://schemas.openxmlformats.org/drawingml/2006/picture">
              <pic:pic>
                <pic:nvPicPr>
                  <pic:cNvPr id="365" name="Image 365"/>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71072">
              <wp:simplePos x="0" y="0"/>
              <wp:positionH relativeFrom="page">
                <wp:posOffset>535305</wp:posOffset>
              </wp:positionH>
              <wp:positionV relativeFrom="page">
                <wp:posOffset>871854</wp:posOffset>
              </wp:positionV>
              <wp:extent cx="6393180" cy="1270"/>
              <wp:effectExtent l="0" t="0" r="0" b="0"/>
              <wp:wrapNone/>
              <wp:docPr id="366" name="Graphic 366"/>
              <wp:cNvGraphicFramePr>
                <a:graphicFrameLocks/>
              </wp:cNvGraphicFramePr>
              <a:graphic>
                <a:graphicData uri="http://schemas.microsoft.com/office/word/2010/wordprocessingShape">
                  <wps:wsp>
                    <wps:cNvPr id="366" name="Graphic 366"/>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4540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71584">
              <wp:simplePos x="0" y="0"/>
              <wp:positionH relativeFrom="page">
                <wp:posOffset>1426210</wp:posOffset>
              </wp:positionH>
              <wp:positionV relativeFrom="page">
                <wp:posOffset>451316</wp:posOffset>
              </wp:positionV>
              <wp:extent cx="1322705" cy="196215"/>
              <wp:effectExtent l="0" t="0" r="0" b="0"/>
              <wp:wrapNone/>
              <wp:docPr id="367" name="Textbox 367"/>
              <wp:cNvGraphicFramePr>
                <a:graphicFrameLocks/>
              </wp:cNvGraphicFramePr>
              <a:graphic>
                <a:graphicData uri="http://schemas.microsoft.com/office/word/2010/wordprocessingShape">
                  <wps:wsp>
                    <wps:cNvPr id="367" name="Textbox 367"/>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44896" type="#_x0000_t202" id="docshape26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72096">
              <wp:simplePos x="0" y="0"/>
              <wp:positionH relativeFrom="page">
                <wp:posOffset>5075301</wp:posOffset>
              </wp:positionH>
              <wp:positionV relativeFrom="page">
                <wp:posOffset>451316</wp:posOffset>
              </wp:positionV>
              <wp:extent cx="790575" cy="196215"/>
              <wp:effectExtent l="0" t="0" r="0" b="0"/>
              <wp:wrapNone/>
              <wp:docPr id="368" name="Textbox 368"/>
              <wp:cNvGraphicFramePr>
                <a:graphicFrameLocks/>
              </wp:cNvGraphicFramePr>
              <a:graphic>
                <a:graphicData uri="http://schemas.microsoft.com/office/word/2010/wordprocessingShape">
                  <wps:wsp>
                    <wps:cNvPr id="368" name="Textbox 368"/>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44384" type="#_x0000_t202" id="docshape26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72608">
              <wp:simplePos x="0" y="0"/>
              <wp:positionH relativeFrom="page">
                <wp:posOffset>5982970</wp:posOffset>
              </wp:positionH>
              <wp:positionV relativeFrom="page">
                <wp:posOffset>451316</wp:posOffset>
              </wp:positionV>
              <wp:extent cx="735330" cy="196215"/>
              <wp:effectExtent l="0" t="0" r="0" b="0"/>
              <wp:wrapNone/>
              <wp:docPr id="369" name="Textbox 369"/>
              <wp:cNvGraphicFramePr>
                <a:graphicFrameLocks/>
              </wp:cNvGraphicFramePr>
              <a:graphic>
                <a:graphicData uri="http://schemas.microsoft.com/office/word/2010/wordprocessingShape">
                  <wps:wsp>
                    <wps:cNvPr id="369" name="Textbox 369"/>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69</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43872" type="#_x0000_t202" id="docshape26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69</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74144">
          <wp:simplePos x="0" y="0"/>
          <wp:positionH relativeFrom="page">
            <wp:posOffset>3458552</wp:posOffset>
          </wp:positionH>
          <wp:positionV relativeFrom="page">
            <wp:posOffset>235083</wp:posOffset>
          </wp:positionV>
          <wp:extent cx="606473" cy="389823"/>
          <wp:effectExtent l="0" t="0" r="0" b="0"/>
          <wp:wrapNone/>
          <wp:docPr id="373" name="Image 373"/>
          <wp:cNvGraphicFramePr>
            <a:graphicFrameLocks/>
          </wp:cNvGraphicFramePr>
          <a:graphic>
            <a:graphicData uri="http://schemas.openxmlformats.org/drawingml/2006/picture">
              <pic:pic>
                <pic:nvPicPr>
                  <pic:cNvPr id="373" name="Image 373"/>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74656">
              <wp:simplePos x="0" y="0"/>
              <wp:positionH relativeFrom="page">
                <wp:posOffset>535305</wp:posOffset>
              </wp:positionH>
              <wp:positionV relativeFrom="page">
                <wp:posOffset>871854</wp:posOffset>
              </wp:positionV>
              <wp:extent cx="6393180" cy="1270"/>
              <wp:effectExtent l="0" t="0" r="0" b="0"/>
              <wp:wrapNone/>
              <wp:docPr id="374" name="Graphic 374"/>
              <wp:cNvGraphicFramePr>
                <a:graphicFrameLocks/>
              </wp:cNvGraphicFramePr>
              <a:graphic>
                <a:graphicData uri="http://schemas.microsoft.com/office/word/2010/wordprocessingShape">
                  <wps:wsp>
                    <wps:cNvPr id="374" name="Graphic 374"/>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4182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75168">
              <wp:simplePos x="0" y="0"/>
              <wp:positionH relativeFrom="page">
                <wp:posOffset>1426210</wp:posOffset>
              </wp:positionH>
              <wp:positionV relativeFrom="page">
                <wp:posOffset>451316</wp:posOffset>
              </wp:positionV>
              <wp:extent cx="1322705" cy="196215"/>
              <wp:effectExtent l="0" t="0" r="0" b="0"/>
              <wp:wrapNone/>
              <wp:docPr id="375" name="Textbox 375"/>
              <wp:cNvGraphicFramePr>
                <a:graphicFrameLocks/>
              </wp:cNvGraphicFramePr>
              <a:graphic>
                <a:graphicData uri="http://schemas.microsoft.com/office/word/2010/wordprocessingShape">
                  <wps:wsp>
                    <wps:cNvPr id="375" name="Textbox 375"/>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41312" type="#_x0000_t202" id="docshape269"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75680">
              <wp:simplePos x="0" y="0"/>
              <wp:positionH relativeFrom="page">
                <wp:posOffset>5075301</wp:posOffset>
              </wp:positionH>
              <wp:positionV relativeFrom="page">
                <wp:posOffset>451316</wp:posOffset>
              </wp:positionV>
              <wp:extent cx="790575" cy="196215"/>
              <wp:effectExtent l="0" t="0" r="0" b="0"/>
              <wp:wrapNone/>
              <wp:docPr id="376" name="Textbox 376"/>
              <wp:cNvGraphicFramePr>
                <a:graphicFrameLocks/>
              </wp:cNvGraphicFramePr>
              <a:graphic>
                <a:graphicData uri="http://schemas.microsoft.com/office/word/2010/wordprocessingShape">
                  <wps:wsp>
                    <wps:cNvPr id="376" name="Textbox 376"/>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40800" type="#_x0000_t202" id="docshape270"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76192">
              <wp:simplePos x="0" y="0"/>
              <wp:positionH relativeFrom="page">
                <wp:posOffset>5982970</wp:posOffset>
              </wp:positionH>
              <wp:positionV relativeFrom="page">
                <wp:posOffset>451316</wp:posOffset>
              </wp:positionV>
              <wp:extent cx="735330" cy="196215"/>
              <wp:effectExtent l="0" t="0" r="0" b="0"/>
              <wp:wrapNone/>
              <wp:docPr id="377" name="Textbox 377"/>
              <wp:cNvGraphicFramePr>
                <a:graphicFrameLocks/>
              </wp:cNvGraphicFramePr>
              <a:graphic>
                <a:graphicData uri="http://schemas.microsoft.com/office/word/2010/wordprocessingShape">
                  <wps:wsp>
                    <wps:cNvPr id="377" name="Textbox 377"/>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70</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40288" type="#_x0000_t202" id="docshape271"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70</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78240">
          <wp:simplePos x="0" y="0"/>
          <wp:positionH relativeFrom="page">
            <wp:posOffset>3458552</wp:posOffset>
          </wp:positionH>
          <wp:positionV relativeFrom="page">
            <wp:posOffset>235083</wp:posOffset>
          </wp:positionV>
          <wp:extent cx="606473" cy="389823"/>
          <wp:effectExtent l="0" t="0" r="0" b="0"/>
          <wp:wrapNone/>
          <wp:docPr id="384" name="Image 384"/>
          <wp:cNvGraphicFramePr>
            <a:graphicFrameLocks/>
          </wp:cNvGraphicFramePr>
          <a:graphic>
            <a:graphicData uri="http://schemas.openxmlformats.org/drawingml/2006/picture">
              <pic:pic>
                <pic:nvPicPr>
                  <pic:cNvPr id="384" name="Image 384"/>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78752">
              <wp:simplePos x="0" y="0"/>
              <wp:positionH relativeFrom="page">
                <wp:posOffset>535305</wp:posOffset>
              </wp:positionH>
              <wp:positionV relativeFrom="page">
                <wp:posOffset>871854</wp:posOffset>
              </wp:positionV>
              <wp:extent cx="6393180" cy="1270"/>
              <wp:effectExtent l="0" t="0" r="0" b="0"/>
              <wp:wrapNone/>
              <wp:docPr id="385" name="Graphic 385"/>
              <wp:cNvGraphicFramePr>
                <a:graphicFrameLocks/>
              </wp:cNvGraphicFramePr>
              <a:graphic>
                <a:graphicData uri="http://schemas.microsoft.com/office/word/2010/wordprocessingShape">
                  <wps:wsp>
                    <wps:cNvPr id="385" name="Graphic 385"/>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3772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79264">
              <wp:simplePos x="0" y="0"/>
              <wp:positionH relativeFrom="page">
                <wp:posOffset>1426210</wp:posOffset>
              </wp:positionH>
              <wp:positionV relativeFrom="page">
                <wp:posOffset>451316</wp:posOffset>
              </wp:positionV>
              <wp:extent cx="1322705" cy="196215"/>
              <wp:effectExtent l="0" t="0" r="0" b="0"/>
              <wp:wrapNone/>
              <wp:docPr id="386" name="Textbox 386"/>
              <wp:cNvGraphicFramePr>
                <a:graphicFrameLocks/>
              </wp:cNvGraphicFramePr>
              <a:graphic>
                <a:graphicData uri="http://schemas.microsoft.com/office/word/2010/wordprocessingShape">
                  <wps:wsp>
                    <wps:cNvPr id="386" name="Textbox 386"/>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37216" type="#_x0000_t202" id="docshape275"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79776">
              <wp:simplePos x="0" y="0"/>
              <wp:positionH relativeFrom="page">
                <wp:posOffset>5075301</wp:posOffset>
              </wp:positionH>
              <wp:positionV relativeFrom="page">
                <wp:posOffset>451316</wp:posOffset>
              </wp:positionV>
              <wp:extent cx="790575" cy="196215"/>
              <wp:effectExtent l="0" t="0" r="0" b="0"/>
              <wp:wrapNone/>
              <wp:docPr id="387" name="Textbox 387"/>
              <wp:cNvGraphicFramePr>
                <a:graphicFrameLocks/>
              </wp:cNvGraphicFramePr>
              <a:graphic>
                <a:graphicData uri="http://schemas.microsoft.com/office/word/2010/wordprocessingShape">
                  <wps:wsp>
                    <wps:cNvPr id="387" name="Textbox 387"/>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36704" type="#_x0000_t202" id="docshape276"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80288">
              <wp:simplePos x="0" y="0"/>
              <wp:positionH relativeFrom="page">
                <wp:posOffset>5982970</wp:posOffset>
              </wp:positionH>
              <wp:positionV relativeFrom="page">
                <wp:posOffset>451316</wp:posOffset>
              </wp:positionV>
              <wp:extent cx="735330" cy="196215"/>
              <wp:effectExtent l="0" t="0" r="0" b="0"/>
              <wp:wrapNone/>
              <wp:docPr id="388" name="Textbox 388"/>
              <wp:cNvGraphicFramePr>
                <a:graphicFrameLocks/>
              </wp:cNvGraphicFramePr>
              <a:graphic>
                <a:graphicData uri="http://schemas.microsoft.com/office/word/2010/wordprocessingShape">
                  <wps:wsp>
                    <wps:cNvPr id="388" name="Textbox 388"/>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74</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36192" type="#_x0000_t202" id="docshape277"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74</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82848">
          <wp:simplePos x="0" y="0"/>
          <wp:positionH relativeFrom="page">
            <wp:posOffset>3458552</wp:posOffset>
          </wp:positionH>
          <wp:positionV relativeFrom="page">
            <wp:posOffset>235083</wp:posOffset>
          </wp:positionV>
          <wp:extent cx="606473" cy="389823"/>
          <wp:effectExtent l="0" t="0" r="0" b="0"/>
          <wp:wrapNone/>
          <wp:docPr id="394" name="Image 394"/>
          <wp:cNvGraphicFramePr>
            <a:graphicFrameLocks/>
          </wp:cNvGraphicFramePr>
          <a:graphic>
            <a:graphicData uri="http://schemas.openxmlformats.org/drawingml/2006/picture">
              <pic:pic>
                <pic:nvPicPr>
                  <pic:cNvPr id="394" name="Image 394"/>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83360">
              <wp:simplePos x="0" y="0"/>
              <wp:positionH relativeFrom="page">
                <wp:posOffset>535305</wp:posOffset>
              </wp:positionH>
              <wp:positionV relativeFrom="page">
                <wp:posOffset>871854</wp:posOffset>
              </wp:positionV>
              <wp:extent cx="6393180" cy="1270"/>
              <wp:effectExtent l="0" t="0" r="0" b="0"/>
              <wp:wrapNone/>
              <wp:docPr id="395" name="Graphic 395"/>
              <wp:cNvGraphicFramePr>
                <a:graphicFrameLocks/>
              </wp:cNvGraphicFramePr>
              <a:graphic>
                <a:graphicData uri="http://schemas.microsoft.com/office/word/2010/wordprocessingShape">
                  <wps:wsp>
                    <wps:cNvPr id="395" name="Graphic 395"/>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33120"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83872">
              <wp:simplePos x="0" y="0"/>
              <wp:positionH relativeFrom="page">
                <wp:posOffset>1426210</wp:posOffset>
              </wp:positionH>
              <wp:positionV relativeFrom="page">
                <wp:posOffset>451316</wp:posOffset>
              </wp:positionV>
              <wp:extent cx="1322705" cy="196215"/>
              <wp:effectExtent l="0" t="0" r="0" b="0"/>
              <wp:wrapNone/>
              <wp:docPr id="396" name="Textbox 396"/>
              <wp:cNvGraphicFramePr>
                <a:graphicFrameLocks/>
              </wp:cNvGraphicFramePr>
              <a:graphic>
                <a:graphicData uri="http://schemas.microsoft.com/office/word/2010/wordprocessingShape">
                  <wps:wsp>
                    <wps:cNvPr id="396" name="Textbox 396"/>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32608" type="#_x0000_t202" id="docshape281"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84384">
              <wp:simplePos x="0" y="0"/>
              <wp:positionH relativeFrom="page">
                <wp:posOffset>5075301</wp:posOffset>
              </wp:positionH>
              <wp:positionV relativeFrom="page">
                <wp:posOffset>451316</wp:posOffset>
              </wp:positionV>
              <wp:extent cx="790575" cy="196215"/>
              <wp:effectExtent l="0" t="0" r="0" b="0"/>
              <wp:wrapNone/>
              <wp:docPr id="397" name="Textbox 397"/>
              <wp:cNvGraphicFramePr>
                <a:graphicFrameLocks/>
              </wp:cNvGraphicFramePr>
              <a:graphic>
                <a:graphicData uri="http://schemas.microsoft.com/office/word/2010/wordprocessingShape">
                  <wps:wsp>
                    <wps:cNvPr id="397" name="Textbox 397"/>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32096" type="#_x0000_t202" id="docshape282"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84896">
              <wp:simplePos x="0" y="0"/>
              <wp:positionH relativeFrom="page">
                <wp:posOffset>5982970</wp:posOffset>
              </wp:positionH>
              <wp:positionV relativeFrom="page">
                <wp:posOffset>451316</wp:posOffset>
              </wp:positionV>
              <wp:extent cx="735330" cy="196215"/>
              <wp:effectExtent l="0" t="0" r="0" b="0"/>
              <wp:wrapNone/>
              <wp:docPr id="398" name="Textbox 398"/>
              <wp:cNvGraphicFramePr>
                <a:graphicFrameLocks/>
              </wp:cNvGraphicFramePr>
              <a:graphic>
                <a:graphicData uri="http://schemas.microsoft.com/office/word/2010/wordprocessingShape">
                  <wps:wsp>
                    <wps:cNvPr id="398" name="Textbox 398"/>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75</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31584" type="#_x0000_t202" id="docshape283"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75</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2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86432">
          <wp:simplePos x="0" y="0"/>
          <wp:positionH relativeFrom="page">
            <wp:posOffset>3458552</wp:posOffset>
          </wp:positionH>
          <wp:positionV relativeFrom="page">
            <wp:posOffset>235083</wp:posOffset>
          </wp:positionV>
          <wp:extent cx="606473" cy="389823"/>
          <wp:effectExtent l="0" t="0" r="0" b="0"/>
          <wp:wrapNone/>
          <wp:docPr id="414" name="Image 414"/>
          <wp:cNvGraphicFramePr>
            <a:graphicFrameLocks/>
          </wp:cNvGraphicFramePr>
          <a:graphic>
            <a:graphicData uri="http://schemas.openxmlformats.org/drawingml/2006/picture">
              <pic:pic>
                <pic:nvPicPr>
                  <pic:cNvPr id="414" name="Image 414"/>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86944">
              <wp:simplePos x="0" y="0"/>
              <wp:positionH relativeFrom="page">
                <wp:posOffset>535305</wp:posOffset>
              </wp:positionH>
              <wp:positionV relativeFrom="page">
                <wp:posOffset>871854</wp:posOffset>
              </wp:positionV>
              <wp:extent cx="6393180" cy="1270"/>
              <wp:effectExtent l="0" t="0" r="0" b="0"/>
              <wp:wrapNone/>
              <wp:docPr id="415" name="Graphic 415"/>
              <wp:cNvGraphicFramePr>
                <a:graphicFrameLocks/>
              </wp:cNvGraphicFramePr>
              <a:graphic>
                <a:graphicData uri="http://schemas.microsoft.com/office/word/2010/wordprocessingShape">
                  <wps:wsp>
                    <wps:cNvPr id="415" name="Graphic 415"/>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29536"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87456">
              <wp:simplePos x="0" y="0"/>
              <wp:positionH relativeFrom="page">
                <wp:posOffset>1426210</wp:posOffset>
              </wp:positionH>
              <wp:positionV relativeFrom="page">
                <wp:posOffset>451316</wp:posOffset>
              </wp:positionV>
              <wp:extent cx="1322705" cy="196215"/>
              <wp:effectExtent l="0" t="0" r="0" b="0"/>
              <wp:wrapNone/>
              <wp:docPr id="416" name="Textbox 416"/>
              <wp:cNvGraphicFramePr>
                <a:graphicFrameLocks/>
              </wp:cNvGraphicFramePr>
              <a:graphic>
                <a:graphicData uri="http://schemas.microsoft.com/office/word/2010/wordprocessingShape">
                  <wps:wsp>
                    <wps:cNvPr id="416" name="Textbox 416"/>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29024" type="#_x0000_t202" id="docshape29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87968">
              <wp:simplePos x="0" y="0"/>
              <wp:positionH relativeFrom="page">
                <wp:posOffset>5075301</wp:posOffset>
              </wp:positionH>
              <wp:positionV relativeFrom="page">
                <wp:posOffset>451316</wp:posOffset>
              </wp:positionV>
              <wp:extent cx="790575" cy="196215"/>
              <wp:effectExtent l="0" t="0" r="0" b="0"/>
              <wp:wrapNone/>
              <wp:docPr id="417" name="Textbox 417"/>
              <wp:cNvGraphicFramePr>
                <a:graphicFrameLocks/>
              </wp:cNvGraphicFramePr>
              <a:graphic>
                <a:graphicData uri="http://schemas.microsoft.com/office/word/2010/wordprocessingShape">
                  <wps:wsp>
                    <wps:cNvPr id="417" name="Textbox 417"/>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28512" type="#_x0000_t202" id="docshape29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88480">
              <wp:simplePos x="0" y="0"/>
              <wp:positionH relativeFrom="page">
                <wp:posOffset>5982970</wp:posOffset>
              </wp:positionH>
              <wp:positionV relativeFrom="page">
                <wp:posOffset>451316</wp:posOffset>
              </wp:positionV>
              <wp:extent cx="735330" cy="196215"/>
              <wp:effectExtent l="0" t="0" r="0" b="0"/>
              <wp:wrapNone/>
              <wp:docPr id="418" name="Textbox 418"/>
              <wp:cNvGraphicFramePr>
                <a:graphicFrameLocks/>
              </wp:cNvGraphicFramePr>
              <a:graphic>
                <a:graphicData uri="http://schemas.microsoft.com/office/word/2010/wordprocessingShape">
                  <wps:wsp>
                    <wps:cNvPr id="418" name="Textbox 418"/>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80</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28000" type="#_x0000_t202" id="docshape29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80</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90528">
          <wp:simplePos x="0" y="0"/>
          <wp:positionH relativeFrom="page">
            <wp:posOffset>3458552</wp:posOffset>
          </wp:positionH>
          <wp:positionV relativeFrom="page">
            <wp:posOffset>235083</wp:posOffset>
          </wp:positionV>
          <wp:extent cx="606473" cy="389823"/>
          <wp:effectExtent l="0" t="0" r="0" b="0"/>
          <wp:wrapNone/>
          <wp:docPr id="422" name="Image 422"/>
          <wp:cNvGraphicFramePr>
            <a:graphicFrameLocks/>
          </wp:cNvGraphicFramePr>
          <a:graphic>
            <a:graphicData uri="http://schemas.openxmlformats.org/drawingml/2006/picture">
              <pic:pic>
                <pic:nvPicPr>
                  <pic:cNvPr id="422" name="Image 422"/>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91040">
              <wp:simplePos x="0" y="0"/>
              <wp:positionH relativeFrom="page">
                <wp:posOffset>535305</wp:posOffset>
              </wp:positionH>
              <wp:positionV relativeFrom="page">
                <wp:posOffset>871854</wp:posOffset>
              </wp:positionV>
              <wp:extent cx="6393180" cy="1270"/>
              <wp:effectExtent l="0" t="0" r="0" b="0"/>
              <wp:wrapNone/>
              <wp:docPr id="423" name="Graphic 423"/>
              <wp:cNvGraphicFramePr>
                <a:graphicFrameLocks/>
              </wp:cNvGraphicFramePr>
              <a:graphic>
                <a:graphicData uri="http://schemas.microsoft.com/office/word/2010/wordprocessingShape">
                  <wps:wsp>
                    <wps:cNvPr id="423" name="Graphic 423"/>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25440"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91552">
              <wp:simplePos x="0" y="0"/>
              <wp:positionH relativeFrom="page">
                <wp:posOffset>1426210</wp:posOffset>
              </wp:positionH>
              <wp:positionV relativeFrom="page">
                <wp:posOffset>451316</wp:posOffset>
              </wp:positionV>
              <wp:extent cx="1322705" cy="196215"/>
              <wp:effectExtent l="0" t="0" r="0" b="0"/>
              <wp:wrapNone/>
              <wp:docPr id="424" name="Textbox 424"/>
              <wp:cNvGraphicFramePr>
                <a:graphicFrameLocks/>
              </wp:cNvGraphicFramePr>
              <a:graphic>
                <a:graphicData uri="http://schemas.microsoft.com/office/word/2010/wordprocessingShape">
                  <wps:wsp>
                    <wps:cNvPr id="424" name="Textbox 424"/>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24928" type="#_x0000_t202" id="docshape298"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92064">
              <wp:simplePos x="0" y="0"/>
              <wp:positionH relativeFrom="page">
                <wp:posOffset>5075301</wp:posOffset>
              </wp:positionH>
              <wp:positionV relativeFrom="page">
                <wp:posOffset>451316</wp:posOffset>
              </wp:positionV>
              <wp:extent cx="790575" cy="196215"/>
              <wp:effectExtent l="0" t="0" r="0" b="0"/>
              <wp:wrapNone/>
              <wp:docPr id="425" name="Textbox 425"/>
              <wp:cNvGraphicFramePr>
                <a:graphicFrameLocks/>
              </wp:cNvGraphicFramePr>
              <a:graphic>
                <a:graphicData uri="http://schemas.microsoft.com/office/word/2010/wordprocessingShape">
                  <wps:wsp>
                    <wps:cNvPr id="425" name="Textbox 425"/>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24416" type="#_x0000_t202" id="docshape299"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92576">
              <wp:simplePos x="0" y="0"/>
              <wp:positionH relativeFrom="page">
                <wp:posOffset>5982970</wp:posOffset>
              </wp:positionH>
              <wp:positionV relativeFrom="page">
                <wp:posOffset>451316</wp:posOffset>
              </wp:positionV>
              <wp:extent cx="735330" cy="196215"/>
              <wp:effectExtent l="0" t="0" r="0" b="0"/>
              <wp:wrapNone/>
              <wp:docPr id="426" name="Textbox 426"/>
              <wp:cNvGraphicFramePr>
                <a:graphicFrameLocks/>
              </wp:cNvGraphicFramePr>
              <a:graphic>
                <a:graphicData uri="http://schemas.microsoft.com/office/word/2010/wordprocessingShape">
                  <wps:wsp>
                    <wps:cNvPr id="426" name="Textbox 426"/>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81</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23904" type="#_x0000_t202" id="docshape300"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81</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94112">
          <wp:simplePos x="0" y="0"/>
          <wp:positionH relativeFrom="page">
            <wp:posOffset>3458552</wp:posOffset>
          </wp:positionH>
          <wp:positionV relativeFrom="page">
            <wp:posOffset>235083</wp:posOffset>
          </wp:positionV>
          <wp:extent cx="606473" cy="389823"/>
          <wp:effectExtent l="0" t="0" r="0" b="0"/>
          <wp:wrapNone/>
          <wp:docPr id="436" name="Image 436"/>
          <wp:cNvGraphicFramePr>
            <a:graphicFrameLocks/>
          </wp:cNvGraphicFramePr>
          <a:graphic>
            <a:graphicData uri="http://schemas.openxmlformats.org/drawingml/2006/picture">
              <pic:pic>
                <pic:nvPicPr>
                  <pic:cNvPr id="436" name="Image 436"/>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94624">
              <wp:simplePos x="0" y="0"/>
              <wp:positionH relativeFrom="page">
                <wp:posOffset>535305</wp:posOffset>
              </wp:positionH>
              <wp:positionV relativeFrom="page">
                <wp:posOffset>871854</wp:posOffset>
              </wp:positionV>
              <wp:extent cx="6393180" cy="1270"/>
              <wp:effectExtent l="0" t="0" r="0" b="0"/>
              <wp:wrapNone/>
              <wp:docPr id="437" name="Graphic 437"/>
              <wp:cNvGraphicFramePr>
                <a:graphicFrameLocks/>
              </wp:cNvGraphicFramePr>
              <a:graphic>
                <a:graphicData uri="http://schemas.microsoft.com/office/word/2010/wordprocessingShape">
                  <wps:wsp>
                    <wps:cNvPr id="437" name="Graphic 437"/>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21856"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95136">
              <wp:simplePos x="0" y="0"/>
              <wp:positionH relativeFrom="page">
                <wp:posOffset>1426210</wp:posOffset>
              </wp:positionH>
              <wp:positionV relativeFrom="page">
                <wp:posOffset>451316</wp:posOffset>
              </wp:positionV>
              <wp:extent cx="1322705" cy="196215"/>
              <wp:effectExtent l="0" t="0" r="0" b="0"/>
              <wp:wrapNone/>
              <wp:docPr id="438" name="Textbox 438"/>
              <wp:cNvGraphicFramePr>
                <a:graphicFrameLocks/>
              </wp:cNvGraphicFramePr>
              <a:graphic>
                <a:graphicData uri="http://schemas.microsoft.com/office/word/2010/wordprocessingShape">
                  <wps:wsp>
                    <wps:cNvPr id="438" name="Textbox 438"/>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21344" type="#_x0000_t202" id="docshape307"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95648">
              <wp:simplePos x="0" y="0"/>
              <wp:positionH relativeFrom="page">
                <wp:posOffset>5075301</wp:posOffset>
              </wp:positionH>
              <wp:positionV relativeFrom="page">
                <wp:posOffset>451316</wp:posOffset>
              </wp:positionV>
              <wp:extent cx="790575" cy="196215"/>
              <wp:effectExtent l="0" t="0" r="0" b="0"/>
              <wp:wrapNone/>
              <wp:docPr id="439" name="Textbox 439"/>
              <wp:cNvGraphicFramePr>
                <a:graphicFrameLocks/>
              </wp:cNvGraphicFramePr>
              <a:graphic>
                <a:graphicData uri="http://schemas.microsoft.com/office/word/2010/wordprocessingShape">
                  <wps:wsp>
                    <wps:cNvPr id="439" name="Textbox 439"/>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20832" type="#_x0000_t202" id="docshape308"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96160">
              <wp:simplePos x="0" y="0"/>
              <wp:positionH relativeFrom="page">
                <wp:posOffset>5982970</wp:posOffset>
              </wp:positionH>
              <wp:positionV relativeFrom="page">
                <wp:posOffset>451316</wp:posOffset>
              </wp:positionV>
              <wp:extent cx="735330" cy="196215"/>
              <wp:effectExtent l="0" t="0" r="0" b="0"/>
              <wp:wrapNone/>
              <wp:docPr id="440" name="Textbox 440"/>
              <wp:cNvGraphicFramePr>
                <a:graphicFrameLocks/>
              </wp:cNvGraphicFramePr>
              <a:graphic>
                <a:graphicData uri="http://schemas.microsoft.com/office/word/2010/wordprocessingShape">
                  <wps:wsp>
                    <wps:cNvPr id="440" name="Textbox 440"/>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84</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20320" type="#_x0000_t202" id="docshape309"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84</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398208">
          <wp:simplePos x="0" y="0"/>
          <wp:positionH relativeFrom="page">
            <wp:posOffset>3458552</wp:posOffset>
          </wp:positionH>
          <wp:positionV relativeFrom="page">
            <wp:posOffset>235083</wp:posOffset>
          </wp:positionV>
          <wp:extent cx="606473" cy="389823"/>
          <wp:effectExtent l="0" t="0" r="0" b="0"/>
          <wp:wrapNone/>
          <wp:docPr id="444" name="Image 444"/>
          <wp:cNvGraphicFramePr>
            <a:graphicFrameLocks/>
          </wp:cNvGraphicFramePr>
          <a:graphic>
            <a:graphicData uri="http://schemas.openxmlformats.org/drawingml/2006/picture">
              <pic:pic>
                <pic:nvPicPr>
                  <pic:cNvPr id="444" name="Image 444"/>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398720">
              <wp:simplePos x="0" y="0"/>
              <wp:positionH relativeFrom="page">
                <wp:posOffset>535305</wp:posOffset>
              </wp:positionH>
              <wp:positionV relativeFrom="page">
                <wp:posOffset>871854</wp:posOffset>
              </wp:positionV>
              <wp:extent cx="6393180" cy="1270"/>
              <wp:effectExtent l="0" t="0" r="0" b="0"/>
              <wp:wrapNone/>
              <wp:docPr id="445" name="Graphic 445"/>
              <wp:cNvGraphicFramePr>
                <a:graphicFrameLocks/>
              </wp:cNvGraphicFramePr>
              <a:graphic>
                <a:graphicData uri="http://schemas.microsoft.com/office/word/2010/wordprocessingShape">
                  <wps:wsp>
                    <wps:cNvPr id="445" name="Graphic 445"/>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17760"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399232">
              <wp:simplePos x="0" y="0"/>
              <wp:positionH relativeFrom="page">
                <wp:posOffset>1426210</wp:posOffset>
              </wp:positionH>
              <wp:positionV relativeFrom="page">
                <wp:posOffset>451316</wp:posOffset>
              </wp:positionV>
              <wp:extent cx="1322705" cy="196215"/>
              <wp:effectExtent l="0" t="0" r="0" b="0"/>
              <wp:wrapNone/>
              <wp:docPr id="446" name="Textbox 446"/>
              <wp:cNvGraphicFramePr>
                <a:graphicFrameLocks/>
              </wp:cNvGraphicFramePr>
              <a:graphic>
                <a:graphicData uri="http://schemas.microsoft.com/office/word/2010/wordprocessingShape">
                  <wps:wsp>
                    <wps:cNvPr id="446" name="Textbox 446"/>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17248" type="#_x0000_t202" id="docshape311"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399744">
              <wp:simplePos x="0" y="0"/>
              <wp:positionH relativeFrom="page">
                <wp:posOffset>5075301</wp:posOffset>
              </wp:positionH>
              <wp:positionV relativeFrom="page">
                <wp:posOffset>451316</wp:posOffset>
              </wp:positionV>
              <wp:extent cx="790575" cy="196215"/>
              <wp:effectExtent l="0" t="0" r="0" b="0"/>
              <wp:wrapNone/>
              <wp:docPr id="447" name="Textbox 447"/>
              <wp:cNvGraphicFramePr>
                <a:graphicFrameLocks/>
              </wp:cNvGraphicFramePr>
              <a:graphic>
                <a:graphicData uri="http://schemas.microsoft.com/office/word/2010/wordprocessingShape">
                  <wps:wsp>
                    <wps:cNvPr id="447" name="Textbox 447"/>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16736" type="#_x0000_t202" id="docshape312"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00256">
              <wp:simplePos x="0" y="0"/>
              <wp:positionH relativeFrom="page">
                <wp:posOffset>5982970</wp:posOffset>
              </wp:positionH>
              <wp:positionV relativeFrom="page">
                <wp:posOffset>451316</wp:posOffset>
              </wp:positionV>
              <wp:extent cx="735330" cy="196215"/>
              <wp:effectExtent l="0" t="0" r="0" b="0"/>
              <wp:wrapNone/>
              <wp:docPr id="448" name="Textbox 448"/>
              <wp:cNvGraphicFramePr>
                <a:graphicFrameLocks/>
              </wp:cNvGraphicFramePr>
              <a:graphic>
                <a:graphicData uri="http://schemas.microsoft.com/office/word/2010/wordprocessingShape">
                  <wps:wsp>
                    <wps:cNvPr id="448" name="Textbox 448"/>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85</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16224" type="#_x0000_t202" id="docshape313"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85</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01792">
          <wp:simplePos x="0" y="0"/>
          <wp:positionH relativeFrom="page">
            <wp:posOffset>3458552</wp:posOffset>
          </wp:positionH>
          <wp:positionV relativeFrom="page">
            <wp:posOffset>235083</wp:posOffset>
          </wp:positionV>
          <wp:extent cx="606473" cy="389823"/>
          <wp:effectExtent l="0" t="0" r="0" b="0"/>
          <wp:wrapNone/>
          <wp:docPr id="455" name="Image 455"/>
          <wp:cNvGraphicFramePr>
            <a:graphicFrameLocks/>
          </wp:cNvGraphicFramePr>
          <a:graphic>
            <a:graphicData uri="http://schemas.openxmlformats.org/drawingml/2006/picture">
              <pic:pic>
                <pic:nvPicPr>
                  <pic:cNvPr id="455" name="Image 455"/>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02304">
              <wp:simplePos x="0" y="0"/>
              <wp:positionH relativeFrom="page">
                <wp:posOffset>535305</wp:posOffset>
              </wp:positionH>
              <wp:positionV relativeFrom="page">
                <wp:posOffset>871854</wp:posOffset>
              </wp:positionV>
              <wp:extent cx="6393180" cy="1270"/>
              <wp:effectExtent l="0" t="0" r="0" b="0"/>
              <wp:wrapNone/>
              <wp:docPr id="456" name="Graphic 456"/>
              <wp:cNvGraphicFramePr>
                <a:graphicFrameLocks/>
              </wp:cNvGraphicFramePr>
              <a:graphic>
                <a:graphicData uri="http://schemas.microsoft.com/office/word/2010/wordprocessingShape">
                  <wps:wsp>
                    <wps:cNvPr id="456" name="Graphic 456"/>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14176"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02816">
              <wp:simplePos x="0" y="0"/>
              <wp:positionH relativeFrom="page">
                <wp:posOffset>1426210</wp:posOffset>
              </wp:positionH>
              <wp:positionV relativeFrom="page">
                <wp:posOffset>451316</wp:posOffset>
              </wp:positionV>
              <wp:extent cx="1322705" cy="196215"/>
              <wp:effectExtent l="0" t="0" r="0" b="0"/>
              <wp:wrapNone/>
              <wp:docPr id="457" name="Textbox 457"/>
              <wp:cNvGraphicFramePr>
                <a:graphicFrameLocks/>
              </wp:cNvGraphicFramePr>
              <a:graphic>
                <a:graphicData uri="http://schemas.microsoft.com/office/word/2010/wordprocessingShape">
                  <wps:wsp>
                    <wps:cNvPr id="457" name="Textbox 457"/>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13664" type="#_x0000_t202" id="docshape319"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03328">
              <wp:simplePos x="0" y="0"/>
              <wp:positionH relativeFrom="page">
                <wp:posOffset>5075301</wp:posOffset>
              </wp:positionH>
              <wp:positionV relativeFrom="page">
                <wp:posOffset>451316</wp:posOffset>
              </wp:positionV>
              <wp:extent cx="790575" cy="196215"/>
              <wp:effectExtent l="0" t="0" r="0" b="0"/>
              <wp:wrapNone/>
              <wp:docPr id="458" name="Textbox 458"/>
              <wp:cNvGraphicFramePr>
                <a:graphicFrameLocks/>
              </wp:cNvGraphicFramePr>
              <a:graphic>
                <a:graphicData uri="http://schemas.microsoft.com/office/word/2010/wordprocessingShape">
                  <wps:wsp>
                    <wps:cNvPr id="458" name="Textbox 458"/>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13152" type="#_x0000_t202" id="docshape320"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03840">
              <wp:simplePos x="0" y="0"/>
              <wp:positionH relativeFrom="page">
                <wp:posOffset>5982970</wp:posOffset>
              </wp:positionH>
              <wp:positionV relativeFrom="page">
                <wp:posOffset>451316</wp:posOffset>
              </wp:positionV>
              <wp:extent cx="735330" cy="196215"/>
              <wp:effectExtent l="0" t="0" r="0" b="0"/>
              <wp:wrapNone/>
              <wp:docPr id="459" name="Textbox 459"/>
              <wp:cNvGraphicFramePr>
                <a:graphicFrameLocks/>
              </wp:cNvGraphicFramePr>
              <a:graphic>
                <a:graphicData uri="http://schemas.microsoft.com/office/word/2010/wordprocessingShape">
                  <wps:wsp>
                    <wps:cNvPr id="459" name="Textbox 459"/>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89</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12640" type="#_x0000_t202" id="docshape321"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89</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05888">
          <wp:simplePos x="0" y="0"/>
          <wp:positionH relativeFrom="page">
            <wp:posOffset>3458552</wp:posOffset>
          </wp:positionH>
          <wp:positionV relativeFrom="page">
            <wp:posOffset>235083</wp:posOffset>
          </wp:positionV>
          <wp:extent cx="606473" cy="389823"/>
          <wp:effectExtent l="0" t="0" r="0" b="0"/>
          <wp:wrapNone/>
          <wp:docPr id="463" name="Image 463"/>
          <wp:cNvGraphicFramePr>
            <a:graphicFrameLocks/>
          </wp:cNvGraphicFramePr>
          <a:graphic>
            <a:graphicData uri="http://schemas.openxmlformats.org/drawingml/2006/picture">
              <pic:pic>
                <pic:nvPicPr>
                  <pic:cNvPr id="463" name="Image 463"/>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06400">
              <wp:simplePos x="0" y="0"/>
              <wp:positionH relativeFrom="page">
                <wp:posOffset>535305</wp:posOffset>
              </wp:positionH>
              <wp:positionV relativeFrom="page">
                <wp:posOffset>871854</wp:posOffset>
              </wp:positionV>
              <wp:extent cx="6393180" cy="1270"/>
              <wp:effectExtent l="0" t="0" r="0" b="0"/>
              <wp:wrapNone/>
              <wp:docPr id="464" name="Graphic 464"/>
              <wp:cNvGraphicFramePr>
                <a:graphicFrameLocks/>
              </wp:cNvGraphicFramePr>
              <a:graphic>
                <a:graphicData uri="http://schemas.microsoft.com/office/word/2010/wordprocessingShape">
                  <wps:wsp>
                    <wps:cNvPr id="464" name="Graphic 464"/>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10080"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06912">
              <wp:simplePos x="0" y="0"/>
              <wp:positionH relativeFrom="page">
                <wp:posOffset>1426210</wp:posOffset>
              </wp:positionH>
              <wp:positionV relativeFrom="page">
                <wp:posOffset>451316</wp:posOffset>
              </wp:positionV>
              <wp:extent cx="1322705" cy="196215"/>
              <wp:effectExtent l="0" t="0" r="0" b="0"/>
              <wp:wrapNone/>
              <wp:docPr id="465" name="Textbox 465"/>
              <wp:cNvGraphicFramePr>
                <a:graphicFrameLocks/>
              </wp:cNvGraphicFramePr>
              <a:graphic>
                <a:graphicData uri="http://schemas.microsoft.com/office/word/2010/wordprocessingShape">
                  <wps:wsp>
                    <wps:cNvPr id="465" name="Textbox 465"/>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09568" type="#_x0000_t202" id="docshape323"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07424">
              <wp:simplePos x="0" y="0"/>
              <wp:positionH relativeFrom="page">
                <wp:posOffset>5075301</wp:posOffset>
              </wp:positionH>
              <wp:positionV relativeFrom="page">
                <wp:posOffset>451316</wp:posOffset>
              </wp:positionV>
              <wp:extent cx="790575" cy="196215"/>
              <wp:effectExtent l="0" t="0" r="0" b="0"/>
              <wp:wrapNone/>
              <wp:docPr id="466" name="Textbox 466"/>
              <wp:cNvGraphicFramePr>
                <a:graphicFrameLocks/>
              </wp:cNvGraphicFramePr>
              <a:graphic>
                <a:graphicData uri="http://schemas.microsoft.com/office/word/2010/wordprocessingShape">
                  <wps:wsp>
                    <wps:cNvPr id="466" name="Textbox 466"/>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09056" type="#_x0000_t202" id="docshape324"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07936">
              <wp:simplePos x="0" y="0"/>
              <wp:positionH relativeFrom="page">
                <wp:posOffset>5982970</wp:posOffset>
              </wp:positionH>
              <wp:positionV relativeFrom="page">
                <wp:posOffset>451316</wp:posOffset>
              </wp:positionV>
              <wp:extent cx="735330" cy="196215"/>
              <wp:effectExtent l="0" t="0" r="0" b="0"/>
              <wp:wrapNone/>
              <wp:docPr id="467" name="Textbox 467"/>
              <wp:cNvGraphicFramePr>
                <a:graphicFrameLocks/>
              </wp:cNvGraphicFramePr>
              <a:graphic>
                <a:graphicData uri="http://schemas.microsoft.com/office/word/2010/wordprocessingShape">
                  <wps:wsp>
                    <wps:cNvPr id="467" name="Textbox 467"/>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90</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08544" type="#_x0000_t202" id="docshape325"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90</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09472">
          <wp:simplePos x="0" y="0"/>
          <wp:positionH relativeFrom="page">
            <wp:posOffset>3458552</wp:posOffset>
          </wp:positionH>
          <wp:positionV relativeFrom="page">
            <wp:posOffset>235083</wp:posOffset>
          </wp:positionV>
          <wp:extent cx="606473" cy="389823"/>
          <wp:effectExtent l="0" t="0" r="0" b="0"/>
          <wp:wrapNone/>
          <wp:docPr id="474" name="Image 474"/>
          <wp:cNvGraphicFramePr>
            <a:graphicFrameLocks/>
          </wp:cNvGraphicFramePr>
          <a:graphic>
            <a:graphicData uri="http://schemas.openxmlformats.org/drawingml/2006/picture">
              <pic:pic>
                <pic:nvPicPr>
                  <pic:cNvPr id="474" name="Image 474"/>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09984">
              <wp:simplePos x="0" y="0"/>
              <wp:positionH relativeFrom="page">
                <wp:posOffset>535305</wp:posOffset>
              </wp:positionH>
              <wp:positionV relativeFrom="page">
                <wp:posOffset>871854</wp:posOffset>
              </wp:positionV>
              <wp:extent cx="6393180" cy="1270"/>
              <wp:effectExtent l="0" t="0" r="0" b="0"/>
              <wp:wrapNone/>
              <wp:docPr id="475" name="Graphic 475"/>
              <wp:cNvGraphicFramePr>
                <a:graphicFrameLocks/>
              </wp:cNvGraphicFramePr>
              <a:graphic>
                <a:graphicData uri="http://schemas.microsoft.com/office/word/2010/wordprocessingShape">
                  <wps:wsp>
                    <wps:cNvPr id="475" name="Graphic 475"/>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06496"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10496">
              <wp:simplePos x="0" y="0"/>
              <wp:positionH relativeFrom="page">
                <wp:posOffset>1426210</wp:posOffset>
              </wp:positionH>
              <wp:positionV relativeFrom="page">
                <wp:posOffset>451316</wp:posOffset>
              </wp:positionV>
              <wp:extent cx="1322705" cy="196215"/>
              <wp:effectExtent l="0" t="0" r="0" b="0"/>
              <wp:wrapNone/>
              <wp:docPr id="476" name="Textbox 476"/>
              <wp:cNvGraphicFramePr>
                <a:graphicFrameLocks/>
              </wp:cNvGraphicFramePr>
              <a:graphic>
                <a:graphicData uri="http://schemas.microsoft.com/office/word/2010/wordprocessingShape">
                  <wps:wsp>
                    <wps:cNvPr id="476" name="Textbox 476"/>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05984" type="#_x0000_t202" id="docshape330"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11008">
              <wp:simplePos x="0" y="0"/>
              <wp:positionH relativeFrom="page">
                <wp:posOffset>5075301</wp:posOffset>
              </wp:positionH>
              <wp:positionV relativeFrom="page">
                <wp:posOffset>451316</wp:posOffset>
              </wp:positionV>
              <wp:extent cx="790575" cy="196215"/>
              <wp:effectExtent l="0" t="0" r="0" b="0"/>
              <wp:wrapNone/>
              <wp:docPr id="477" name="Textbox 477"/>
              <wp:cNvGraphicFramePr>
                <a:graphicFrameLocks/>
              </wp:cNvGraphicFramePr>
              <a:graphic>
                <a:graphicData uri="http://schemas.microsoft.com/office/word/2010/wordprocessingShape">
                  <wps:wsp>
                    <wps:cNvPr id="477" name="Textbox 477"/>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05472" type="#_x0000_t202" id="docshape331"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11520">
              <wp:simplePos x="0" y="0"/>
              <wp:positionH relativeFrom="page">
                <wp:posOffset>5982970</wp:posOffset>
              </wp:positionH>
              <wp:positionV relativeFrom="page">
                <wp:posOffset>451316</wp:posOffset>
              </wp:positionV>
              <wp:extent cx="735330" cy="196215"/>
              <wp:effectExtent l="0" t="0" r="0" b="0"/>
              <wp:wrapNone/>
              <wp:docPr id="478" name="Textbox 478"/>
              <wp:cNvGraphicFramePr>
                <a:graphicFrameLocks/>
              </wp:cNvGraphicFramePr>
              <a:graphic>
                <a:graphicData uri="http://schemas.microsoft.com/office/word/2010/wordprocessingShape">
                  <wps:wsp>
                    <wps:cNvPr id="478" name="Textbox 478"/>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92</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04960" type="#_x0000_t202" id="docshape332"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92</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13568">
          <wp:simplePos x="0" y="0"/>
          <wp:positionH relativeFrom="page">
            <wp:posOffset>3458552</wp:posOffset>
          </wp:positionH>
          <wp:positionV relativeFrom="page">
            <wp:posOffset>235083</wp:posOffset>
          </wp:positionV>
          <wp:extent cx="606473" cy="389823"/>
          <wp:effectExtent l="0" t="0" r="0" b="0"/>
          <wp:wrapNone/>
          <wp:docPr id="482" name="Image 482"/>
          <wp:cNvGraphicFramePr>
            <a:graphicFrameLocks/>
          </wp:cNvGraphicFramePr>
          <a:graphic>
            <a:graphicData uri="http://schemas.openxmlformats.org/drawingml/2006/picture">
              <pic:pic>
                <pic:nvPicPr>
                  <pic:cNvPr id="482" name="Image 482"/>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14080">
              <wp:simplePos x="0" y="0"/>
              <wp:positionH relativeFrom="page">
                <wp:posOffset>535305</wp:posOffset>
              </wp:positionH>
              <wp:positionV relativeFrom="page">
                <wp:posOffset>871854</wp:posOffset>
              </wp:positionV>
              <wp:extent cx="6393180" cy="1270"/>
              <wp:effectExtent l="0" t="0" r="0" b="0"/>
              <wp:wrapNone/>
              <wp:docPr id="483" name="Graphic 483"/>
              <wp:cNvGraphicFramePr>
                <a:graphicFrameLocks/>
              </wp:cNvGraphicFramePr>
              <a:graphic>
                <a:graphicData uri="http://schemas.microsoft.com/office/word/2010/wordprocessingShape">
                  <wps:wsp>
                    <wps:cNvPr id="483" name="Graphic 483"/>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902400"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14592">
              <wp:simplePos x="0" y="0"/>
              <wp:positionH relativeFrom="page">
                <wp:posOffset>1426210</wp:posOffset>
              </wp:positionH>
              <wp:positionV relativeFrom="page">
                <wp:posOffset>451316</wp:posOffset>
              </wp:positionV>
              <wp:extent cx="1322705" cy="196215"/>
              <wp:effectExtent l="0" t="0" r="0" b="0"/>
              <wp:wrapNone/>
              <wp:docPr id="484" name="Textbox 484"/>
              <wp:cNvGraphicFramePr>
                <a:graphicFrameLocks/>
              </wp:cNvGraphicFramePr>
              <a:graphic>
                <a:graphicData uri="http://schemas.microsoft.com/office/word/2010/wordprocessingShape">
                  <wps:wsp>
                    <wps:cNvPr id="484" name="Textbox 484"/>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901888" type="#_x0000_t202" id="docshape33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15104">
              <wp:simplePos x="0" y="0"/>
              <wp:positionH relativeFrom="page">
                <wp:posOffset>5075301</wp:posOffset>
              </wp:positionH>
              <wp:positionV relativeFrom="page">
                <wp:posOffset>451316</wp:posOffset>
              </wp:positionV>
              <wp:extent cx="790575" cy="196215"/>
              <wp:effectExtent l="0" t="0" r="0" b="0"/>
              <wp:wrapNone/>
              <wp:docPr id="485" name="Textbox 485"/>
              <wp:cNvGraphicFramePr>
                <a:graphicFrameLocks/>
              </wp:cNvGraphicFramePr>
              <a:graphic>
                <a:graphicData uri="http://schemas.microsoft.com/office/word/2010/wordprocessingShape">
                  <wps:wsp>
                    <wps:cNvPr id="485" name="Textbox 485"/>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901376" type="#_x0000_t202" id="docshape33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15616">
              <wp:simplePos x="0" y="0"/>
              <wp:positionH relativeFrom="page">
                <wp:posOffset>5982970</wp:posOffset>
              </wp:positionH>
              <wp:positionV relativeFrom="page">
                <wp:posOffset>451316</wp:posOffset>
              </wp:positionV>
              <wp:extent cx="735330" cy="196215"/>
              <wp:effectExtent l="0" t="0" r="0" b="0"/>
              <wp:wrapNone/>
              <wp:docPr id="486" name="Textbox 486"/>
              <wp:cNvGraphicFramePr>
                <a:graphicFrameLocks/>
              </wp:cNvGraphicFramePr>
              <a:graphic>
                <a:graphicData uri="http://schemas.microsoft.com/office/word/2010/wordprocessingShape">
                  <wps:wsp>
                    <wps:cNvPr id="486" name="Textbox 486"/>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93</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900864" type="#_x0000_t202" id="docshape33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93</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17152">
          <wp:simplePos x="0" y="0"/>
          <wp:positionH relativeFrom="page">
            <wp:posOffset>3458552</wp:posOffset>
          </wp:positionH>
          <wp:positionV relativeFrom="page">
            <wp:posOffset>235083</wp:posOffset>
          </wp:positionV>
          <wp:extent cx="606473" cy="389823"/>
          <wp:effectExtent l="0" t="0" r="0" b="0"/>
          <wp:wrapNone/>
          <wp:docPr id="496" name="Image 496"/>
          <wp:cNvGraphicFramePr>
            <a:graphicFrameLocks/>
          </wp:cNvGraphicFramePr>
          <a:graphic>
            <a:graphicData uri="http://schemas.openxmlformats.org/drawingml/2006/picture">
              <pic:pic>
                <pic:nvPicPr>
                  <pic:cNvPr id="496" name="Image 496"/>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17664">
              <wp:simplePos x="0" y="0"/>
              <wp:positionH relativeFrom="page">
                <wp:posOffset>535305</wp:posOffset>
              </wp:positionH>
              <wp:positionV relativeFrom="page">
                <wp:posOffset>871854</wp:posOffset>
              </wp:positionV>
              <wp:extent cx="6393180" cy="1270"/>
              <wp:effectExtent l="0" t="0" r="0" b="0"/>
              <wp:wrapNone/>
              <wp:docPr id="497" name="Graphic 497"/>
              <wp:cNvGraphicFramePr>
                <a:graphicFrameLocks/>
              </wp:cNvGraphicFramePr>
              <a:graphic>
                <a:graphicData uri="http://schemas.microsoft.com/office/word/2010/wordprocessingShape">
                  <wps:wsp>
                    <wps:cNvPr id="497" name="Graphic 497"/>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98816"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18176">
              <wp:simplePos x="0" y="0"/>
              <wp:positionH relativeFrom="page">
                <wp:posOffset>1426210</wp:posOffset>
              </wp:positionH>
              <wp:positionV relativeFrom="page">
                <wp:posOffset>451316</wp:posOffset>
              </wp:positionV>
              <wp:extent cx="1322705" cy="196215"/>
              <wp:effectExtent l="0" t="0" r="0" b="0"/>
              <wp:wrapNone/>
              <wp:docPr id="498" name="Textbox 498"/>
              <wp:cNvGraphicFramePr>
                <a:graphicFrameLocks/>
              </wp:cNvGraphicFramePr>
              <a:graphic>
                <a:graphicData uri="http://schemas.microsoft.com/office/word/2010/wordprocessingShape">
                  <wps:wsp>
                    <wps:cNvPr id="498" name="Textbox 498"/>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98304" type="#_x0000_t202" id="docshape343"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18688">
              <wp:simplePos x="0" y="0"/>
              <wp:positionH relativeFrom="page">
                <wp:posOffset>5075301</wp:posOffset>
              </wp:positionH>
              <wp:positionV relativeFrom="page">
                <wp:posOffset>451316</wp:posOffset>
              </wp:positionV>
              <wp:extent cx="790575" cy="196215"/>
              <wp:effectExtent l="0" t="0" r="0" b="0"/>
              <wp:wrapNone/>
              <wp:docPr id="499" name="Textbox 499"/>
              <wp:cNvGraphicFramePr>
                <a:graphicFrameLocks/>
              </wp:cNvGraphicFramePr>
              <a:graphic>
                <a:graphicData uri="http://schemas.microsoft.com/office/word/2010/wordprocessingShape">
                  <wps:wsp>
                    <wps:cNvPr id="499" name="Textbox 499"/>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9.630005pt;margin-top:35.536697pt;width:62.25pt;height:15.45pt;mso-position-horizontal-relative:page;mso-position-vertical-relative:page;z-index:-20897792" type="#_x0000_t202" id="docshape344"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19200">
              <wp:simplePos x="0" y="0"/>
              <wp:positionH relativeFrom="page">
                <wp:posOffset>5982970</wp:posOffset>
              </wp:positionH>
              <wp:positionV relativeFrom="page">
                <wp:posOffset>451316</wp:posOffset>
              </wp:positionV>
              <wp:extent cx="735330" cy="196215"/>
              <wp:effectExtent l="0" t="0" r="0" b="0"/>
              <wp:wrapNone/>
              <wp:docPr id="500" name="Textbox 500"/>
              <wp:cNvGraphicFramePr>
                <a:graphicFrameLocks/>
              </wp:cNvGraphicFramePr>
              <a:graphic>
                <a:graphicData uri="http://schemas.microsoft.com/office/word/2010/wordprocessingShape">
                  <wps:wsp>
                    <wps:cNvPr id="500" name="Textbox 500"/>
                    <wps:cNvSpPr txBox="1"/>
                    <wps:spPr>
                      <a:xfrm>
                        <a:off x="0" y="0"/>
                        <a:ext cx="73533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96</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71.100006pt;margin-top:35.536697pt;width:57.9pt;height:15.45pt;mso-position-horizontal-relative:page;mso-position-vertical-relative:page;z-index:-20897280" type="#_x0000_t202" id="docshape345"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96</w:t>
                    </w:r>
                    <w:r>
                      <w:rPr>
                        <w:rFonts w:ascii="Arial"/>
                        <w:b/>
                        <w:sz w:val="24"/>
                      </w:rPr>
                      <w:fldChar w:fldCharType="end"/>
                    </w:r>
                    <w:r>
                      <w:rPr>
                        <w:rFonts w:ascii="Arial"/>
                        <w:b/>
                        <w:spacing w:val="-3"/>
                        <w:sz w:val="24"/>
                      </w:rPr>
                      <w:t> </w:t>
                    </w:r>
                    <w:r>
                      <w:rPr>
                        <w:rFonts w:ascii="Arial"/>
                        <w:b/>
                        <w:sz w:val="24"/>
                      </w:rPr>
                      <w:t>de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21760">
          <wp:simplePos x="0" y="0"/>
          <wp:positionH relativeFrom="page">
            <wp:posOffset>3458552</wp:posOffset>
          </wp:positionH>
          <wp:positionV relativeFrom="page">
            <wp:posOffset>235083</wp:posOffset>
          </wp:positionV>
          <wp:extent cx="606473" cy="389823"/>
          <wp:effectExtent l="0" t="0" r="0" b="0"/>
          <wp:wrapNone/>
          <wp:docPr id="506" name="Image 506"/>
          <wp:cNvGraphicFramePr>
            <a:graphicFrameLocks/>
          </wp:cNvGraphicFramePr>
          <a:graphic>
            <a:graphicData uri="http://schemas.openxmlformats.org/drawingml/2006/picture">
              <pic:pic>
                <pic:nvPicPr>
                  <pic:cNvPr id="506" name="Image 506"/>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22272">
              <wp:simplePos x="0" y="0"/>
              <wp:positionH relativeFrom="page">
                <wp:posOffset>535305</wp:posOffset>
              </wp:positionH>
              <wp:positionV relativeFrom="page">
                <wp:posOffset>871854</wp:posOffset>
              </wp:positionV>
              <wp:extent cx="6393180" cy="1270"/>
              <wp:effectExtent l="0" t="0" r="0" b="0"/>
              <wp:wrapNone/>
              <wp:docPr id="507" name="Graphic 507"/>
              <wp:cNvGraphicFramePr>
                <a:graphicFrameLocks/>
              </wp:cNvGraphicFramePr>
              <a:graphic>
                <a:graphicData uri="http://schemas.microsoft.com/office/word/2010/wordprocessingShape">
                  <wps:wsp>
                    <wps:cNvPr id="507" name="Graphic 507"/>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9420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22784">
              <wp:simplePos x="0" y="0"/>
              <wp:positionH relativeFrom="page">
                <wp:posOffset>1426210</wp:posOffset>
              </wp:positionH>
              <wp:positionV relativeFrom="page">
                <wp:posOffset>451316</wp:posOffset>
              </wp:positionV>
              <wp:extent cx="1322705" cy="196215"/>
              <wp:effectExtent l="0" t="0" r="0" b="0"/>
              <wp:wrapNone/>
              <wp:docPr id="508" name="Textbox 508"/>
              <wp:cNvGraphicFramePr>
                <a:graphicFrameLocks/>
              </wp:cNvGraphicFramePr>
              <a:graphic>
                <a:graphicData uri="http://schemas.microsoft.com/office/word/2010/wordprocessingShape">
                  <wps:wsp>
                    <wps:cNvPr id="508" name="Textbox 508"/>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93696" type="#_x0000_t202" id="docshape349"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23296">
              <wp:simplePos x="0" y="0"/>
              <wp:positionH relativeFrom="page">
                <wp:posOffset>5034153</wp:posOffset>
              </wp:positionH>
              <wp:positionV relativeFrom="page">
                <wp:posOffset>451316</wp:posOffset>
              </wp:positionV>
              <wp:extent cx="790575" cy="196215"/>
              <wp:effectExtent l="0" t="0" r="0" b="0"/>
              <wp:wrapNone/>
              <wp:docPr id="509" name="Textbox 509"/>
              <wp:cNvGraphicFramePr>
                <a:graphicFrameLocks/>
              </wp:cNvGraphicFramePr>
              <a:graphic>
                <a:graphicData uri="http://schemas.microsoft.com/office/word/2010/wordprocessingShape">
                  <wps:wsp>
                    <wps:cNvPr id="509" name="Textbox 509"/>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93184" type="#_x0000_t202" id="docshape350"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23808">
              <wp:simplePos x="0" y="0"/>
              <wp:positionH relativeFrom="page">
                <wp:posOffset>5967221</wp:posOffset>
              </wp:positionH>
              <wp:positionV relativeFrom="page">
                <wp:posOffset>451316</wp:posOffset>
              </wp:positionV>
              <wp:extent cx="796290" cy="196215"/>
              <wp:effectExtent l="0" t="0" r="0" b="0"/>
              <wp:wrapNone/>
              <wp:docPr id="510" name="Textbox 510"/>
              <wp:cNvGraphicFramePr>
                <a:graphicFrameLocks/>
              </wp:cNvGraphicFramePr>
              <a:graphic>
                <a:graphicData uri="http://schemas.microsoft.com/office/word/2010/wordprocessingShape">
                  <wps:wsp>
                    <wps:cNvPr id="510" name="Textbox 510"/>
                    <wps:cNvSpPr txBox="1"/>
                    <wps:spPr>
                      <a:xfrm>
                        <a:off x="0" y="0"/>
                        <a:ext cx="796290" cy="196215"/>
                      </a:xfrm>
                      <a:prstGeom prst="rect">
                        <a:avLst/>
                      </a:prstGeom>
                    </wps:spPr>
                    <wps:txbx>
                      <w:txbxContent>
                        <w:p>
                          <w:pPr>
                            <w:spacing w:before="12"/>
                            <w:ind w:left="2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100</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9.859985pt;margin-top:35.536697pt;width:62.7pt;height:15.45pt;mso-position-horizontal-relative:page;mso-position-vertical-relative:page;z-index:-20892672" type="#_x0000_t202" id="docshape351" filled="false" stroked="false">
              <v:textbox inset="0,0,0,0">
                <w:txbxContent>
                  <w:p>
                    <w:pPr>
                      <w:spacing w:before="12"/>
                      <w:ind w:left="2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100</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3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25344">
          <wp:simplePos x="0" y="0"/>
          <wp:positionH relativeFrom="page">
            <wp:posOffset>3458552</wp:posOffset>
          </wp:positionH>
          <wp:positionV relativeFrom="page">
            <wp:posOffset>235083</wp:posOffset>
          </wp:positionV>
          <wp:extent cx="606473" cy="389823"/>
          <wp:effectExtent l="0" t="0" r="0" b="0"/>
          <wp:wrapNone/>
          <wp:docPr id="570" name="Image 570"/>
          <wp:cNvGraphicFramePr>
            <a:graphicFrameLocks/>
          </wp:cNvGraphicFramePr>
          <a:graphic>
            <a:graphicData uri="http://schemas.openxmlformats.org/drawingml/2006/picture">
              <pic:pic>
                <pic:nvPicPr>
                  <pic:cNvPr id="570" name="Image 570"/>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25856">
              <wp:simplePos x="0" y="0"/>
              <wp:positionH relativeFrom="page">
                <wp:posOffset>535305</wp:posOffset>
              </wp:positionH>
              <wp:positionV relativeFrom="page">
                <wp:posOffset>871854</wp:posOffset>
              </wp:positionV>
              <wp:extent cx="6393180" cy="1270"/>
              <wp:effectExtent l="0" t="0" r="0" b="0"/>
              <wp:wrapNone/>
              <wp:docPr id="571" name="Graphic 571"/>
              <wp:cNvGraphicFramePr>
                <a:graphicFrameLocks/>
              </wp:cNvGraphicFramePr>
              <a:graphic>
                <a:graphicData uri="http://schemas.microsoft.com/office/word/2010/wordprocessingShape">
                  <wps:wsp>
                    <wps:cNvPr id="571" name="Graphic 571"/>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9062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26368">
              <wp:simplePos x="0" y="0"/>
              <wp:positionH relativeFrom="page">
                <wp:posOffset>1426210</wp:posOffset>
              </wp:positionH>
              <wp:positionV relativeFrom="page">
                <wp:posOffset>451316</wp:posOffset>
              </wp:positionV>
              <wp:extent cx="1322705" cy="196215"/>
              <wp:effectExtent l="0" t="0" r="0" b="0"/>
              <wp:wrapNone/>
              <wp:docPr id="572" name="Textbox 572"/>
              <wp:cNvGraphicFramePr>
                <a:graphicFrameLocks/>
              </wp:cNvGraphicFramePr>
              <a:graphic>
                <a:graphicData uri="http://schemas.microsoft.com/office/word/2010/wordprocessingShape">
                  <wps:wsp>
                    <wps:cNvPr id="572" name="Textbox 572"/>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90112" type="#_x0000_t202" id="docshape39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26880">
              <wp:simplePos x="0" y="0"/>
              <wp:positionH relativeFrom="page">
                <wp:posOffset>5034153</wp:posOffset>
              </wp:positionH>
              <wp:positionV relativeFrom="page">
                <wp:posOffset>451316</wp:posOffset>
              </wp:positionV>
              <wp:extent cx="790575" cy="196215"/>
              <wp:effectExtent l="0" t="0" r="0" b="0"/>
              <wp:wrapNone/>
              <wp:docPr id="573" name="Textbox 573"/>
              <wp:cNvGraphicFramePr>
                <a:graphicFrameLocks/>
              </wp:cNvGraphicFramePr>
              <a:graphic>
                <a:graphicData uri="http://schemas.microsoft.com/office/word/2010/wordprocessingShape">
                  <wps:wsp>
                    <wps:cNvPr id="573" name="Textbox 573"/>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89600" type="#_x0000_t202" id="docshape39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27392">
              <wp:simplePos x="0" y="0"/>
              <wp:positionH relativeFrom="page">
                <wp:posOffset>5941821</wp:posOffset>
              </wp:positionH>
              <wp:positionV relativeFrom="page">
                <wp:posOffset>451316</wp:posOffset>
              </wp:positionV>
              <wp:extent cx="821690" cy="196215"/>
              <wp:effectExtent l="0" t="0" r="0" b="0"/>
              <wp:wrapNone/>
              <wp:docPr id="574" name="Textbox 574"/>
              <wp:cNvGraphicFramePr>
                <a:graphicFrameLocks/>
              </wp:cNvGraphicFramePr>
              <a:graphic>
                <a:graphicData uri="http://schemas.microsoft.com/office/word/2010/wordprocessingShape">
                  <wps:wsp>
                    <wps:cNvPr id="574" name="Textbox 574"/>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120</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89088" type="#_x0000_t202" id="docshape39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120</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29440">
          <wp:simplePos x="0" y="0"/>
          <wp:positionH relativeFrom="page">
            <wp:posOffset>3458552</wp:posOffset>
          </wp:positionH>
          <wp:positionV relativeFrom="page">
            <wp:posOffset>235083</wp:posOffset>
          </wp:positionV>
          <wp:extent cx="606473" cy="389823"/>
          <wp:effectExtent l="0" t="0" r="0" b="0"/>
          <wp:wrapNone/>
          <wp:docPr id="578" name="Image 578"/>
          <wp:cNvGraphicFramePr>
            <a:graphicFrameLocks/>
          </wp:cNvGraphicFramePr>
          <a:graphic>
            <a:graphicData uri="http://schemas.openxmlformats.org/drawingml/2006/picture">
              <pic:pic>
                <pic:nvPicPr>
                  <pic:cNvPr id="578" name="Image 578"/>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29952">
              <wp:simplePos x="0" y="0"/>
              <wp:positionH relativeFrom="page">
                <wp:posOffset>535305</wp:posOffset>
              </wp:positionH>
              <wp:positionV relativeFrom="page">
                <wp:posOffset>871854</wp:posOffset>
              </wp:positionV>
              <wp:extent cx="6393180" cy="1270"/>
              <wp:effectExtent l="0" t="0" r="0" b="0"/>
              <wp:wrapNone/>
              <wp:docPr id="579" name="Graphic 579"/>
              <wp:cNvGraphicFramePr>
                <a:graphicFrameLocks/>
              </wp:cNvGraphicFramePr>
              <a:graphic>
                <a:graphicData uri="http://schemas.microsoft.com/office/word/2010/wordprocessingShape">
                  <wps:wsp>
                    <wps:cNvPr id="579" name="Graphic 579"/>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8652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30464">
              <wp:simplePos x="0" y="0"/>
              <wp:positionH relativeFrom="page">
                <wp:posOffset>1426210</wp:posOffset>
              </wp:positionH>
              <wp:positionV relativeFrom="page">
                <wp:posOffset>451316</wp:posOffset>
              </wp:positionV>
              <wp:extent cx="1322705" cy="196215"/>
              <wp:effectExtent l="0" t="0" r="0" b="0"/>
              <wp:wrapNone/>
              <wp:docPr id="580" name="Textbox 580"/>
              <wp:cNvGraphicFramePr>
                <a:graphicFrameLocks/>
              </wp:cNvGraphicFramePr>
              <a:graphic>
                <a:graphicData uri="http://schemas.microsoft.com/office/word/2010/wordprocessingShape">
                  <wps:wsp>
                    <wps:cNvPr id="580" name="Textbox 580"/>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86016" type="#_x0000_t202" id="docshape398"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30976">
              <wp:simplePos x="0" y="0"/>
              <wp:positionH relativeFrom="page">
                <wp:posOffset>5034153</wp:posOffset>
              </wp:positionH>
              <wp:positionV relativeFrom="page">
                <wp:posOffset>451316</wp:posOffset>
              </wp:positionV>
              <wp:extent cx="790575" cy="196215"/>
              <wp:effectExtent l="0" t="0" r="0" b="0"/>
              <wp:wrapNone/>
              <wp:docPr id="581" name="Textbox 581"/>
              <wp:cNvGraphicFramePr>
                <a:graphicFrameLocks/>
              </wp:cNvGraphicFramePr>
              <a:graphic>
                <a:graphicData uri="http://schemas.microsoft.com/office/word/2010/wordprocessingShape">
                  <wps:wsp>
                    <wps:cNvPr id="581" name="Textbox 581"/>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85504" type="#_x0000_t202" id="docshape399"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31488">
              <wp:simplePos x="0" y="0"/>
              <wp:positionH relativeFrom="page">
                <wp:posOffset>5941821</wp:posOffset>
              </wp:positionH>
              <wp:positionV relativeFrom="page">
                <wp:posOffset>451316</wp:posOffset>
              </wp:positionV>
              <wp:extent cx="821690" cy="196215"/>
              <wp:effectExtent l="0" t="0" r="0" b="0"/>
              <wp:wrapNone/>
              <wp:docPr id="582" name="Textbox 582"/>
              <wp:cNvGraphicFramePr>
                <a:graphicFrameLocks/>
              </wp:cNvGraphicFramePr>
              <a:graphic>
                <a:graphicData uri="http://schemas.microsoft.com/office/word/2010/wordprocessingShape">
                  <wps:wsp>
                    <wps:cNvPr id="582" name="Textbox 582"/>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122</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84992" type="#_x0000_t202" id="docshape400"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122</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33024">
          <wp:simplePos x="0" y="0"/>
          <wp:positionH relativeFrom="page">
            <wp:posOffset>3458552</wp:posOffset>
          </wp:positionH>
          <wp:positionV relativeFrom="page">
            <wp:posOffset>235083</wp:posOffset>
          </wp:positionV>
          <wp:extent cx="606473" cy="389823"/>
          <wp:effectExtent l="0" t="0" r="0" b="0"/>
          <wp:wrapNone/>
          <wp:docPr id="588" name="Image 588"/>
          <wp:cNvGraphicFramePr>
            <a:graphicFrameLocks/>
          </wp:cNvGraphicFramePr>
          <a:graphic>
            <a:graphicData uri="http://schemas.openxmlformats.org/drawingml/2006/picture">
              <pic:pic>
                <pic:nvPicPr>
                  <pic:cNvPr id="588" name="Image 588"/>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33536">
              <wp:simplePos x="0" y="0"/>
              <wp:positionH relativeFrom="page">
                <wp:posOffset>535305</wp:posOffset>
              </wp:positionH>
              <wp:positionV relativeFrom="page">
                <wp:posOffset>871854</wp:posOffset>
              </wp:positionV>
              <wp:extent cx="6393180" cy="1270"/>
              <wp:effectExtent l="0" t="0" r="0" b="0"/>
              <wp:wrapNone/>
              <wp:docPr id="589" name="Graphic 589"/>
              <wp:cNvGraphicFramePr>
                <a:graphicFrameLocks/>
              </wp:cNvGraphicFramePr>
              <a:graphic>
                <a:graphicData uri="http://schemas.microsoft.com/office/word/2010/wordprocessingShape">
                  <wps:wsp>
                    <wps:cNvPr id="589" name="Graphic 589"/>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8294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34048">
              <wp:simplePos x="0" y="0"/>
              <wp:positionH relativeFrom="page">
                <wp:posOffset>1426210</wp:posOffset>
              </wp:positionH>
              <wp:positionV relativeFrom="page">
                <wp:posOffset>451316</wp:posOffset>
              </wp:positionV>
              <wp:extent cx="1322705" cy="196215"/>
              <wp:effectExtent l="0" t="0" r="0" b="0"/>
              <wp:wrapNone/>
              <wp:docPr id="590" name="Textbox 590"/>
              <wp:cNvGraphicFramePr>
                <a:graphicFrameLocks/>
              </wp:cNvGraphicFramePr>
              <a:graphic>
                <a:graphicData uri="http://schemas.microsoft.com/office/word/2010/wordprocessingShape">
                  <wps:wsp>
                    <wps:cNvPr id="590" name="Textbox 590"/>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82432" type="#_x0000_t202" id="docshape40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34560">
              <wp:simplePos x="0" y="0"/>
              <wp:positionH relativeFrom="page">
                <wp:posOffset>5034153</wp:posOffset>
              </wp:positionH>
              <wp:positionV relativeFrom="page">
                <wp:posOffset>451316</wp:posOffset>
              </wp:positionV>
              <wp:extent cx="790575" cy="196215"/>
              <wp:effectExtent l="0" t="0" r="0" b="0"/>
              <wp:wrapNone/>
              <wp:docPr id="591" name="Textbox 591"/>
              <wp:cNvGraphicFramePr>
                <a:graphicFrameLocks/>
              </wp:cNvGraphicFramePr>
              <a:graphic>
                <a:graphicData uri="http://schemas.microsoft.com/office/word/2010/wordprocessingShape">
                  <wps:wsp>
                    <wps:cNvPr id="591" name="Textbox 591"/>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81920" type="#_x0000_t202" id="docshape40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35072">
              <wp:simplePos x="0" y="0"/>
              <wp:positionH relativeFrom="page">
                <wp:posOffset>5941821</wp:posOffset>
              </wp:positionH>
              <wp:positionV relativeFrom="page">
                <wp:posOffset>451316</wp:posOffset>
              </wp:positionV>
              <wp:extent cx="821690" cy="196215"/>
              <wp:effectExtent l="0" t="0" r="0" b="0"/>
              <wp:wrapNone/>
              <wp:docPr id="592" name="Textbox 592"/>
              <wp:cNvGraphicFramePr>
                <a:graphicFrameLocks/>
              </wp:cNvGraphicFramePr>
              <a:graphic>
                <a:graphicData uri="http://schemas.microsoft.com/office/word/2010/wordprocessingShape">
                  <wps:wsp>
                    <wps:cNvPr id="592" name="Textbox 592"/>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123</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81408" type="#_x0000_t202" id="docshape40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123</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37120">
          <wp:simplePos x="0" y="0"/>
          <wp:positionH relativeFrom="page">
            <wp:posOffset>3458552</wp:posOffset>
          </wp:positionH>
          <wp:positionV relativeFrom="page">
            <wp:posOffset>235083</wp:posOffset>
          </wp:positionV>
          <wp:extent cx="606473" cy="389823"/>
          <wp:effectExtent l="0" t="0" r="0" b="0"/>
          <wp:wrapNone/>
          <wp:docPr id="596" name="Image 596"/>
          <wp:cNvGraphicFramePr>
            <a:graphicFrameLocks/>
          </wp:cNvGraphicFramePr>
          <a:graphic>
            <a:graphicData uri="http://schemas.openxmlformats.org/drawingml/2006/picture">
              <pic:pic>
                <pic:nvPicPr>
                  <pic:cNvPr id="596" name="Image 596"/>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37632">
              <wp:simplePos x="0" y="0"/>
              <wp:positionH relativeFrom="page">
                <wp:posOffset>535305</wp:posOffset>
              </wp:positionH>
              <wp:positionV relativeFrom="page">
                <wp:posOffset>871854</wp:posOffset>
              </wp:positionV>
              <wp:extent cx="6393180" cy="1270"/>
              <wp:effectExtent l="0" t="0" r="0" b="0"/>
              <wp:wrapNone/>
              <wp:docPr id="597" name="Graphic 597"/>
              <wp:cNvGraphicFramePr>
                <a:graphicFrameLocks/>
              </wp:cNvGraphicFramePr>
              <a:graphic>
                <a:graphicData uri="http://schemas.microsoft.com/office/word/2010/wordprocessingShape">
                  <wps:wsp>
                    <wps:cNvPr id="597" name="Graphic 597"/>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7884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38144">
              <wp:simplePos x="0" y="0"/>
              <wp:positionH relativeFrom="page">
                <wp:posOffset>1426210</wp:posOffset>
              </wp:positionH>
              <wp:positionV relativeFrom="page">
                <wp:posOffset>451316</wp:posOffset>
              </wp:positionV>
              <wp:extent cx="1322705" cy="196215"/>
              <wp:effectExtent l="0" t="0" r="0" b="0"/>
              <wp:wrapNone/>
              <wp:docPr id="598" name="Textbox 598"/>
              <wp:cNvGraphicFramePr>
                <a:graphicFrameLocks/>
              </wp:cNvGraphicFramePr>
              <a:graphic>
                <a:graphicData uri="http://schemas.microsoft.com/office/word/2010/wordprocessingShape">
                  <wps:wsp>
                    <wps:cNvPr id="598" name="Textbox 598"/>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78336" type="#_x0000_t202" id="docshape408"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38656">
              <wp:simplePos x="0" y="0"/>
              <wp:positionH relativeFrom="page">
                <wp:posOffset>5034153</wp:posOffset>
              </wp:positionH>
              <wp:positionV relativeFrom="page">
                <wp:posOffset>451316</wp:posOffset>
              </wp:positionV>
              <wp:extent cx="790575" cy="196215"/>
              <wp:effectExtent l="0" t="0" r="0" b="0"/>
              <wp:wrapNone/>
              <wp:docPr id="599" name="Textbox 599"/>
              <wp:cNvGraphicFramePr>
                <a:graphicFrameLocks/>
              </wp:cNvGraphicFramePr>
              <a:graphic>
                <a:graphicData uri="http://schemas.microsoft.com/office/word/2010/wordprocessingShape">
                  <wps:wsp>
                    <wps:cNvPr id="599" name="Textbox 599"/>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77824" type="#_x0000_t202" id="docshape409"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39168">
              <wp:simplePos x="0" y="0"/>
              <wp:positionH relativeFrom="page">
                <wp:posOffset>5941821</wp:posOffset>
              </wp:positionH>
              <wp:positionV relativeFrom="page">
                <wp:posOffset>451316</wp:posOffset>
              </wp:positionV>
              <wp:extent cx="821690" cy="196215"/>
              <wp:effectExtent l="0" t="0" r="0" b="0"/>
              <wp:wrapNone/>
              <wp:docPr id="600" name="Textbox 600"/>
              <wp:cNvGraphicFramePr>
                <a:graphicFrameLocks/>
              </wp:cNvGraphicFramePr>
              <a:graphic>
                <a:graphicData uri="http://schemas.microsoft.com/office/word/2010/wordprocessingShape">
                  <wps:wsp>
                    <wps:cNvPr id="600" name="Textbox 600"/>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125</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77312" type="#_x0000_t202" id="docshape410"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125</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40704">
          <wp:simplePos x="0" y="0"/>
          <wp:positionH relativeFrom="page">
            <wp:posOffset>3458552</wp:posOffset>
          </wp:positionH>
          <wp:positionV relativeFrom="page">
            <wp:posOffset>235083</wp:posOffset>
          </wp:positionV>
          <wp:extent cx="606473" cy="389823"/>
          <wp:effectExtent l="0" t="0" r="0" b="0"/>
          <wp:wrapNone/>
          <wp:docPr id="606" name="Image 606"/>
          <wp:cNvGraphicFramePr>
            <a:graphicFrameLocks/>
          </wp:cNvGraphicFramePr>
          <a:graphic>
            <a:graphicData uri="http://schemas.openxmlformats.org/drawingml/2006/picture">
              <pic:pic>
                <pic:nvPicPr>
                  <pic:cNvPr id="606" name="Image 606"/>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41216">
              <wp:simplePos x="0" y="0"/>
              <wp:positionH relativeFrom="page">
                <wp:posOffset>535305</wp:posOffset>
              </wp:positionH>
              <wp:positionV relativeFrom="page">
                <wp:posOffset>871854</wp:posOffset>
              </wp:positionV>
              <wp:extent cx="6393180" cy="1270"/>
              <wp:effectExtent l="0" t="0" r="0" b="0"/>
              <wp:wrapNone/>
              <wp:docPr id="607" name="Graphic 607"/>
              <wp:cNvGraphicFramePr>
                <a:graphicFrameLocks/>
              </wp:cNvGraphicFramePr>
              <a:graphic>
                <a:graphicData uri="http://schemas.microsoft.com/office/word/2010/wordprocessingShape">
                  <wps:wsp>
                    <wps:cNvPr id="607" name="Graphic 607"/>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75264"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41728">
              <wp:simplePos x="0" y="0"/>
              <wp:positionH relativeFrom="page">
                <wp:posOffset>1426210</wp:posOffset>
              </wp:positionH>
              <wp:positionV relativeFrom="page">
                <wp:posOffset>451316</wp:posOffset>
              </wp:positionV>
              <wp:extent cx="1322705" cy="196215"/>
              <wp:effectExtent l="0" t="0" r="0" b="0"/>
              <wp:wrapNone/>
              <wp:docPr id="608" name="Textbox 608"/>
              <wp:cNvGraphicFramePr>
                <a:graphicFrameLocks/>
              </wp:cNvGraphicFramePr>
              <a:graphic>
                <a:graphicData uri="http://schemas.microsoft.com/office/word/2010/wordprocessingShape">
                  <wps:wsp>
                    <wps:cNvPr id="608" name="Textbox 608"/>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74752" type="#_x0000_t202" id="docshape41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42240">
              <wp:simplePos x="0" y="0"/>
              <wp:positionH relativeFrom="page">
                <wp:posOffset>5034153</wp:posOffset>
              </wp:positionH>
              <wp:positionV relativeFrom="page">
                <wp:posOffset>451316</wp:posOffset>
              </wp:positionV>
              <wp:extent cx="790575" cy="196215"/>
              <wp:effectExtent l="0" t="0" r="0" b="0"/>
              <wp:wrapNone/>
              <wp:docPr id="609" name="Textbox 609"/>
              <wp:cNvGraphicFramePr>
                <a:graphicFrameLocks/>
              </wp:cNvGraphicFramePr>
              <a:graphic>
                <a:graphicData uri="http://schemas.microsoft.com/office/word/2010/wordprocessingShape">
                  <wps:wsp>
                    <wps:cNvPr id="609" name="Textbox 609"/>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74240" type="#_x0000_t202" id="docshape41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42752">
              <wp:simplePos x="0" y="0"/>
              <wp:positionH relativeFrom="page">
                <wp:posOffset>5941821</wp:posOffset>
              </wp:positionH>
              <wp:positionV relativeFrom="page">
                <wp:posOffset>451316</wp:posOffset>
              </wp:positionV>
              <wp:extent cx="821690" cy="196215"/>
              <wp:effectExtent l="0" t="0" r="0" b="0"/>
              <wp:wrapNone/>
              <wp:docPr id="610" name="Textbox 610"/>
              <wp:cNvGraphicFramePr>
                <a:graphicFrameLocks/>
              </wp:cNvGraphicFramePr>
              <a:graphic>
                <a:graphicData uri="http://schemas.microsoft.com/office/word/2010/wordprocessingShape">
                  <wps:wsp>
                    <wps:cNvPr id="610" name="Textbox 610"/>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126</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73728" type="#_x0000_t202" id="docshape41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126</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44800">
          <wp:simplePos x="0" y="0"/>
          <wp:positionH relativeFrom="page">
            <wp:posOffset>3458552</wp:posOffset>
          </wp:positionH>
          <wp:positionV relativeFrom="page">
            <wp:posOffset>235083</wp:posOffset>
          </wp:positionV>
          <wp:extent cx="606473" cy="389823"/>
          <wp:effectExtent l="0" t="0" r="0" b="0"/>
          <wp:wrapNone/>
          <wp:docPr id="614" name="Image 614"/>
          <wp:cNvGraphicFramePr>
            <a:graphicFrameLocks/>
          </wp:cNvGraphicFramePr>
          <a:graphic>
            <a:graphicData uri="http://schemas.openxmlformats.org/drawingml/2006/picture">
              <pic:pic>
                <pic:nvPicPr>
                  <pic:cNvPr id="614" name="Image 614"/>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45312">
              <wp:simplePos x="0" y="0"/>
              <wp:positionH relativeFrom="page">
                <wp:posOffset>535305</wp:posOffset>
              </wp:positionH>
              <wp:positionV relativeFrom="page">
                <wp:posOffset>871854</wp:posOffset>
              </wp:positionV>
              <wp:extent cx="6393180" cy="1270"/>
              <wp:effectExtent l="0" t="0" r="0" b="0"/>
              <wp:wrapNone/>
              <wp:docPr id="615" name="Graphic 615"/>
              <wp:cNvGraphicFramePr>
                <a:graphicFrameLocks/>
              </wp:cNvGraphicFramePr>
              <a:graphic>
                <a:graphicData uri="http://schemas.microsoft.com/office/word/2010/wordprocessingShape">
                  <wps:wsp>
                    <wps:cNvPr id="615" name="Graphic 615"/>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71168"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45824">
              <wp:simplePos x="0" y="0"/>
              <wp:positionH relativeFrom="page">
                <wp:posOffset>1426210</wp:posOffset>
              </wp:positionH>
              <wp:positionV relativeFrom="page">
                <wp:posOffset>451316</wp:posOffset>
              </wp:positionV>
              <wp:extent cx="1322705" cy="196215"/>
              <wp:effectExtent l="0" t="0" r="0" b="0"/>
              <wp:wrapNone/>
              <wp:docPr id="616" name="Textbox 616"/>
              <wp:cNvGraphicFramePr>
                <a:graphicFrameLocks/>
              </wp:cNvGraphicFramePr>
              <a:graphic>
                <a:graphicData uri="http://schemas.microsoft.com/office/word/2010/wordprocessingShape">
                  <wps:wsp>
                    <wps:cNvPr id="616" name="Textbox 616"/>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70656" type="#_x0000_t202" id="docshape418"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46336">
              <wp:simplePos x="0" y="0"/>
              <wp:positionH relativeFrom="page">
                <wp:posOffset>5034153</wp:posOffset>
              </wp:positionH>
              <wp:positionV relativeFrom="page">
                <wp:posOffset>451316</wp:posOffset>
              </wp:positionV>
              <wp:extent cx="790575" cy="196215"/>
              <wp:effectExtent l="0" t="0" r="0" b="0"/>
              <wp:wrapNone/>
              <wp:docPr id="617" name="Textbox 617"/>
              <wp:cNvGraphicFramePr>
                <a:graphicFrameLocks/>
              </wp:cNvGraphicFramePr>
              <a:graphic>
                <a:graphicData uri="http://schemas.microsoft.com/office/word/2010/wordprocessingShape">
                  <wps:wsp>
                    <wps:cNvPr id="617" name="Textbox 617"/>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70144" type="#_x0000_t202" id="docshape419"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46848">
              <wp:simplePos x="0" y="0"/>
              <wp:positionH relativeFrom="page">
                <wp:posOffset>5941821</wp:posOffset>
              </wp:positionH>
              <wp:positionV relativeFrom="page">
                <wp:posOffset>451316</wp:posOffset>
              </wp:positionV>
              <wp:extent cx="821690" cy="196215"/>
              <wp:effectExtent l="0" t="0" r="0" b="0"/>
              <wp:wrapNone/>
              <wp:docPr id="618" name="Textbox 618"/>
              <wp:cNvGraphicFramePr>
                <a:graphicFrameLocks/>
              </wp:cNvGraphicFramePr>
              <a:graphic>
                <a:graphicData uri="http://schemas.microsoft.com/office/word/2010/wordprocessingShape">
                  <wps:wsp>
                    <wps:cNvPr id="618" name="Textbox 618"/>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128</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69632" type="#_x0000_t202" id="docshape420"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128</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49408">
          <wp:simplePos x="0" y="0"/>
          <wp:positionH relativeFrom="page">
            <wp:posOffset>3458552</wp:posOffset>
          </wp:positionH>
          <wp:positionV relativeFrom="page">
            <wp:posOffset>235083</wp:posOffset>
          </wp:positionV>
          <wp:extent cx="606473" cy="389823"/>
          <wp:effectExtent l="0" t="0" r="0" b="0"/>
          <wp:wrapNone/>
          <wp:docPr id="624" name="Image 624"/>
          <wp:cNvGraphicFramePr>
            <a:graphicFrameLocks/>
          </wp:cNvGraphicFramePr>
          <a:graphic>
            <a:graphicData uri="http://schemas.openxmlformats.org/drawingml/2006/picture">
              <pic:pic>
                <pic:nvPicPr>
                  <pic:cNvPr id="624" name="Image 624"/>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49920">
              <wp:simplePos x="0" y="0"/>
              <wp:positionH relativeFrom="page">
                <wp:posOffset>535305</wp:posOffset>
              </wp:positionH>
              <wp:positionV relativeFrom="page">
                <wp:posOffset>871854</wp:posOffset>
              </wp:positionV>
              <wp:extent cx="6393180" cy="1270"/>
              <wp:effectExtent l="0" t="0" r="0" b="0"/>
              <wp:wrapNone/>
              <wp:docPr id="625" name="Graphic 625"/>
              <wp:cNvGraphicFramePr>
                <a:graphicFrameLocks/>
              </wp:cNvGraphicFramePr>
              <a:graphic>
                <a:graphicData uri="http://schemas.microsoft.com/office/word/2010/wordprocessingShape">
                  <wps:wsp>
                    <wps:cNvPr id="625" name="Graphic 625"/>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66560"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50432">
              <wp:simplePos x="0" y="0"/>
              <wp:positionH relativeFrom="page">
                <wp:posOffset>1426210</wp:posOffset>
              </wp:positionH>
              <wp:positionV relativeFrom="page">
                <wp:posOffset>451316</wp:posOffset>
              </wp:positionV>
              <wp:extent cx="1322705" cy="196215"/>
              <wp:effectExtent l="0" t="0" r="0" b="0"/>
              <wp:wrapNone/>
              <wp:docPr id="626" name="Textbox 626"/>
              <wp:cNvGraphicFramePr>
                <a:graphicFrameLocks/>
              </wp:cNvGraphicFramePr>
              <a:graphic>
                <a:graphicData uri="http://schemas.microsoft.com/office/word/2010/wordprocessingShape">
                  <wps:wsp>
                    <wps:cNvPr id="626" name="Textbox 626"/>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66048" type="#_x0000_t202" id="docshape42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50944">
              <wp:simplePos x="0" y="0"/>
              <wp:positionH relativeFrom="page">
                <wp:posOffset>5034153</wp:posOffset>
              </wp:positionH>
              <wp:positionV relativeFrom="page">
                <wp:posOffset>451316</wp:posOffset>
              </wp:positionV>
              <wp:extent cx="790575" cy="196215"/>
              <wp:effectExtent l="0" t="0" r="0" b="0"/>
              <wp:wrapNone/>
              <wp:docPr id="627" name="Textbox 627"/>
              <wp:cNvGraphicFramePr>
                <a:graphicFrameLocks/>
              </wp:cNvGraphicFramePr>
              <a:graphic>
                <a:graphicData uri="http://schemas.microsoft.com/office/word/2010/wordprocessingShape">
                  <wps:wsp>
                    <wps:cNvPr id="627" name="Textbox 627"/>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65536" type="#_x0000_t202" id="docshape42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51456">
              <wp:simplePos x="0" y="0"/>
              <wp:positionH relativeFrom="page">
                <wp:posOffset>5941821</wp:posOffset>
              </wp:positionH>
              <wp:positionV relativeFrom="page">
                <wp:posOffset>451316</wp:posOffset>
              </wp:positionV>
              <wp:extent cx="821690" cy="196215"/>
              <wp:effectExtent l="0" t="0" r="0" b="0"/>
              <wp:wrapNone/>
              <wp:docPr id="628" name="Textbox 628"/>
              <wp:cNvGraphicFramePr>
                <a:graphicFrameLocks/>
              </wp:cNvGraphicFramePr>
              <a:graphic>
                <a:graphicData uri="http://schemas.microsoft.com/office/word/2010/wordprocessingShape">
                  <wps:wsp>
                    <wps:cNvPr id="628" name="Textbox 628"/>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129</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65024" type="#_x0000_t202" id="docshape42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129</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52992">
          <wp:simplePos x="0" y="0"/>
          <wp:positionH relativeFrom="page">
            <wp:posOffset>3458552</wp:posOffset>
          </wp:positionH>
          <wp:positionV relativeFrom="page">
            <wp:posOffset>235083</wp:posOffset>
          </wp:positionV>
          <wp:extent cx="606473" cy="389823"/>
          <wp:effectExtent l="0" t="0" r="0" b="0"/>
          <wp:wrapNone/>
          <wp:docPr id="634" name="Image 634"/>
          <wp:cNvGraphicFramePr>
            <a:graphicFrameLocks/>
          </wp:cNvGraphicFramePr>
          <a:graphic>
            <a:graphicData uri="http://schemas.openxmlformats.org/drawingml/2006/picture">
              <pic:pic>
                <pic:nvPicPr>
                  <pic:cNvPr id="634" name="Image 634"/>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53504">
              <wp:simplePos x="0" y="0"/>
              <wp:positionH relativeFrom="page">
                <wp:posOffset>535305</wp:posOffset>
              </wp:positionH>
              <wp:positionV relativeFrom="page">
                <wp:posOffset>871854</wp:posOffset>
              </wp:positionV>
              <wp:extent cx="6393180" cy="1270"/>
              <wp:effectExtent l="0" t="0" r="0" b="0"/>
              <wp:wrapNone/>
              <wp:docPr id="635" name="Graphic 635"/>
              <wp:cNvGraphicFramePr>
                <a:graphicFrameLocks/>
              </wp:cNvGraphicFramePr>
              <a:graphic>
                <a:graphicData uri="http://schemas.microsoft.com/office/word/2010/wordprocessingShape">
                  <wps:wsp>
                    <wps:cNvPr id="635" name="Graphic 635"/>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62976"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54016">
              <wp:simplePos x="0" y="0"/>
              <wp:positionH relativeFrom="page">
                <wp:posOffset>1426210</wp:posOffset>
              </wp:positionH>
              <wp:positionV relativeFrom="page">
                <wp:posOffset>451316</wp:posOffset>
              </wp:positionV>
              <wp:extent cx="1322705" cy="196215"/>
              <wp:effectExtent l="0" t="0" r="0" b="0"/>
              <wp:wrapNone/>
              <wp:docPr id="636" name="Textbox 636"/>
              <wp:cNvGraphicFramePr>
                <a:graphicFrameLocks/>
              </wp:cNvGraphicFramePr>
              <a:graphic>
                <a:graphicData uri="http://schemas.microsoft.com/office/word/2010/wordprocessingShape">
                  <wps:wsp>
                    <wps:cNvPr id="636" name="Textbox 636"/>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62464" type="#_x0000_t202" id="docshape430"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54528">
              <wp:simplePos x="0" y="0"/>
              <wp:positionH relativeFrom="page">
                <wp:posOffset>5034153</wp:posOffset>
              </wp:positionH>
              <wp:positionV relativeFrom="page">
                <wp:posOffset>451316</wp:posOffset>
              </wp:positionV>
              <wp:extent cx="790575" cy="196215"/>
              <wp:effectExtent l="0" t="0" r="0" b="0"/>
              <wp:wrapNone/>
              <wp:docPr id="637" name="Textbox 637"/>
              <wp:cNvGraphicFramePr>
                <a:graphicFrameLocks/>
              </wp:cNvGraphicFramePr>
              <a:graphic>
                <a:graphicData uri="http://schemas.microsoft.com/office/word/2010/wordprocessingShape">
                  <wps:wsp>
                    <wps:cNvPr id="637" name="Textbox 637"/>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61952" type="#_x0000_t202" id="docshape431"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55040">
              <wp:simplePos x="0" y="0"/>
              <wp:positionH relativeFrom="page">
                <wp:posOffset>5941821</wp:posOffset>
              </wp:positionH>
              <wp:positionV relativeFrom="page">
                <wp:posOffset>451316</wp:posOffset>
              </wp:positionV>
              <wp:extent cx="821690" cy="196215"/>
              <wp:effectExtent l="0" t="0" r="0" b="0"/>
              <wp:wrapNone/>
              <wp:docPr id="638" name="Textbox 638"/>
              <wp:cNvGraphicFramePr>
                <a:graphicFrameLocks/>
              </wp:cNvGraphicFramePr>
              <a:graphic>
                <a:graphicData uri="http://schemas.microsoft.com/office/word/2010/wordprocessingShape">
                  <wps:wsp>
                    <wps:cNvPr id="638" name="Textbox 638"/>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130</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61440" type="#_x0000_t202" id="docshape432"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130</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57088">
          <wp:simplePos x="0" y="0"/>
          <wp:positionH relativeFrom="page">
            <wp:posOffset>3458552</wp:posOffset>
          </wp:positionH>
          <wp:positionV relativeFrom="page">
            <wp:posOffset>235083</wp:posOffset>
          </wp:positionV>
          <wp:extent cx="606473" cy="389823"/>
          <wp:effectExtent l="0" t="0" r="0" b="0"/>
          <wp:wrapNone/>
          <wp:docPr id="642" name="Image 642"/>
          <wp:cNvGraphicFramePr>
            <a:graphicFrameLocks/>
          </wp:cNvGraphicFramePr>
          <a:graphic>
            <a:graphicData uri="http://schemas.openxmlformats.org/drawingml/2006/picture">
              <pic:pic>
                <pic:nvPicPr>
                  <pic:cNvPr id="642" name="Image 642"/>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57600">
              <wp:simplePos x="0" y="0"/>
              <wp:positionH relativeFrom="page">
                <wp:posOffset>535305</wp:posOffset>
              </wp:positionH>
              <wp:positionV relativeFrom="page">
                <wp:posOffset>871854</wp:posOffset>
              </wp:positionV>
              <wp:extent cx="6393180" cy="1270"/>
              <wp:effectExtent l="0" t="0" r="0" b="0"/>
              <wp:wrapNone/>
              <wp:docPr id="643" name="Graphic 643"/>
              <wp:cNvGraphicFramePr>
                <a:graphicFrameLocks/>
              </wp:cNvGraphicFramePr>
              <a:graphic>
                <a:graphicData uri="http://schemas.microsoft.com/office/word/2010/wordprocessingShape">
                  <wps:wsp>
                    <wps:cNvPr id="643" name="Graphic 643"/>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58880"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58112">
              <wp:simplePos x="0" y="0"/>
              <wp:positionH relativeFrom="page">
                <wp:posOffset>1426210</wp:posOffset>
              </wp:positionH>
              <wp:positionV relativeFrom="page">
                <wp:posOffset>451316</wp:posOffset>
              </wp:positionV>
              <wp:extent cx="1322705" cy="196215"/>
              <wp:effectExtent l="0" t="0" r="0" b="0"/>
              <wp:wrapNone/>
              <wp:docPr id="644" name="Textbox 644"/>
              <wp:cNvGraphicFramePr>
                <a:graphicFrameLocks/>
              </wp:cNvGraphicFramePr>
              <a:graphic>
                <a:graphicData uri="http://schemas.microsoft.com/office/word/2010/wordprocessingShape">
                  <wps:wsp>
                    <wps:cNvPr id="644" name="Textbox 644"/>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58368" type="#_x0000_t202" id="docshape434"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58624">
              <wp:simplePos x="0" y="0"/>
              <wp:positionH relativeFrom="page">
                <wp:posOffset>5034153</wp:posOffset>
              </wp:positionH>
              <wp:positionV relativeFrom="page">
                <wp:posOffset>451316</wp:posOffset>
              </wp:positionV>
              <wp:extent cx="790575" cy="196215"/>
              <wp:effectExtent l="0" t="0" r="0" b="0"/>
              <wp:wrapNone/>
              <wp:docPr id="645" name="Textbox 645"/>
              <wp:cNvGraphicFramePr>
                <a:graphicFrameLocks/>
              </wp:cNvGraphicFramePr>
              <a:graphic>
                <a:graphicData uri="http://schemas.microsoft.com/office/word/2010/wordprocessingShape">
                  <wps:wsp>
                    <wps:cNvPr id="645" name="Textbox 645"/>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57856" type="#_x0000_t202" id="docshape435"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59136">
              <wp:simplePos x="0" y="0"/>
              <wp:positionH relativeFrom="page">
                <wp:posOffset>5941821</wp:posOffset>
              </wp:positionH>
              <wp:positionV relativeFrom="page">
                <wp:posOffset>451316</wp:posOffset>
              </wp:positionV>
              <wp:extent cx="821690" cy="196215"/>
              <wp:effectExtent l="0" t="0" r="0" b="0"/>
              <wp:wrapNone/>
              <wp:docPr id="646" name="Textbox 646"/>
              <wp:cNvGraphicFramePr>
                <a:graphicFrameLocks/>
              </wp:cNvGraphicFramePr>
              <a:graphic>
                <a:graphicData uri="http://schemas.microsoft.com/office/word/2010/wordprocessingShape">
                  <wps:wsp>
                    <wps:cNvPr id="646" name="Textbox 646"/>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134</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57344" type="#_x0000_t202" id="docshape436"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134</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60672">
          <wp:simplePos x="0" y="0"/>
          <wp:positionH relativeFrom="page">
            <wp:posOffset>3458552</wp:posOffset>
          </wp:positionH>
          <wp:positionV relativeFrom="page">
            <wp:posOffset>235083</wp:posOffset>
          </wp:positionV>
          <wp:extent cx="606473" cy="389823"/>
          <wp:effectExtent l="0" t="0" r="0" b="0"/>
          <wp:wrapNone/>
          <wp:docPr id="660" name="Image 660"/>
          <wp:cNvGraphicFramePr>
            <a:graphicFrameLocks/>
          </wp:cNvGraphicFramePr>
          <a:graphic>
            <a:graphicData uri="http://schemas.openxmlformats.org/drawingml/2006/picture">
              <pic:pic>
                <pic:nvPicPr>
                  <pic:cNvPr id="660" name="Image 660"/>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61184">
              <wp:simplePos x="0" y="0"/>
              <wp:positionH relativeFrom="page">
                <wp:posOffset>535305</wp:posOffset>
              </wp:positionH>
              <wp:positionV relativeFrom="page">
                <wp:posOffset>871854</wp:posOffset>
              </wp:positionV>
              <wp:extent cx="6393180" cy="1270"/>
              <wp:effectExtent l="0" t="0" r="0" b="0"/>
              <wp:wrapNone/>
              <wp:docPr id="661" name="Graphic 661"/>
              <wp:cNvGraphicFramePr>
                <a:graphicFrameLocks/>
              </wp:cNvGraphicFramePr>
              <a:graphic>
                <a:graphicData uri="http://schemas.microsoft.com/office/word/2010/wordprocessingShape">
                  <wps:wsp>
                    <wps:cNvPr id="661" name="Graphic 661"/>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55296"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61696">
              <wp:simplePos x="0" y="0"/>
              <wp:positionH relativeFrom="page">
                <wp:posOffset>1426210</wp:posOffset>
              </wp:positionH>
              <wp:positionV relativeFrom="page">
                <wp:posOffset>451316</wp:posOffset>
              </wp:positionV>
              <wp:extent cx="1322705" cy="196215"/>
              <wp:effectExtent l="0" t="0" r="0" b="0"/>
              <wp:wrapNone/>
              <wp:docPr id="662" name="Textbox 662"/>
              <wp:cNvGraphicFramePr>
                <a:graphicFrameLocks/>
              </wp:cNvGraphicFramePr>
              <a:graphic>
                <a:graphicData uri="http://schemas.microsoft.com/office/word/2010/wordprocessingShape">
                  <wps:wsp>
                    <wps:cNvPr id="662" name="Textbox 662"/>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54784" type="#_x0000_t202" id="docshape446"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62208">
              <wp:simplePos x="0" y="0"/>
              <wp:positionH relativeFrom="page">
                <wp:posOffset>5034153</wp:posOffset>
              </wp:positionH>
              <wp:positionV relativeFrom="page">
                <wp:posOffset>451316</wp:posOffset>
              </wp:positionV>
              <wp:extent cx="790575" cy="196215"/>
              <wp:effectExtent l="0" t="0" r="0" b="0"/>
              <wp:wrapNone/>
              <wp:docPr id="663" name="Textbox 663"/>
              <wp:cNvGraphicFramePr>
                <a:graphicFrameLocks/>
              </wp:cNvGraphicFramePr>
              <a:graphic>
                <a:graphicData uri="http://schemas.microsoft.com/office/word/2010/wordprocessingShape">
                  <wps:wsp>
                    <wps:cNvPr id="663" name="Textbox 663"/>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54272" type="#_x0000_t202" id="docshape447"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62720">
              <wp:simplePos x="0" y="0"/>
              <wp:positionH relativeFrom="page">
                <wp:posOffset>5941821</wp:posOffset>
              </wp:positionH>
              <wp:positionV relativeFrom="page">
                <wp:posOffset>451316</wp:posOffset>
              </wp:positionV>
              <wp:extent cx="821690" cy="196215"/>
              <wp:effectExtent l="0" t="0" r="0" b="0"/>
              <wp:wrapNone/>
              <wp:docPr id="664" name="Textbox 664"/>
              <wp:cNvGraphicFramePr>
                <a:graphicFrameLocks/>
              </wp:cNvGraphicFramePr>
              <a:graphic>
                <a:graphicData uri="http://schemas.microsoft.com/office/word/2010/wordprocessingShape">
                  <wps:wsp>
                    <wps:cNvPr id="664" name="Textbox 664"/>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137</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53760" type="#_x0000_t202" id="docshape448"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137</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4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64768">
          <wp:simplePos x="0" y="0"/>
          <wp:positionH relativeFrom="page">
            <wp:posOffset>3458552</wp:posOffset>
          </wp:positionH>
          <wp:positionV relativeFrom="page">
            <wp:posOffset>235083</wp:posOffset>
          </wp:positionV>
          <wp:extent cx="606473" cy="389823"/>
          <wp:effectExtent l="0" t="0" r="0" b="0"/>
          <wp:wrapNone/>
          <wp:docPr id="668" name="Image 668"/>
          <wp:cNvGraphicFramePr>
            <a:graphicFrameLocks/>
          </wp:cNvGraphicFramePr>
          <a:graphic>
            <a:graphicData uri="http://schemas.openxmlformats.org/drawingml/2006/picture">
              <pic:pic>
                <pic:nvPicPr>
                  <pic:cNvPr id="668" name="Image 668"/>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65280">
              <wp:simplePos x="0" y="0"/>
              <wp:positionH relativeFrom="page">
                <wp:posOffset>535305</wp:posOffset>
              </wp:positionH>
              <wp:positionV relativeFrom="page">
                <wp:posOffset>871854</wp:posOffset>
              </wp:positionV>
              <wp:extent cx="6393180" cy="1270"/>
              <wp:effectExtent l="0" t="0" r="0" b="0"/>
              <wp:wrapNone/>
              <wp:docPr id="669" name="Graphic 669"/>
              <wp:cNvGraphicFramePr>
                <a:graphicFrameLocks/>
              </wp:cNvGraphicFramePr>
              <a:graphic>
                <a:graphicData uri="http://schemas.microsoft.com/office/word/2010/wordprocessingShape">
                  <wps:wsp>
                    <wps:cNvPr id="669" name="Graphic 669"/>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51200"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65792">
              <wp:simplePos x="0" y="0"/>
              <wp:positionH relativeFrom="page">
                <wp:posOffset>1426210</wp:posOffset>
              </wp:positionH>
              <wp:positionV relativeFrom="page">
                <wp:posOffset>451316</wp:posOffset>
              </wp:positionV>
              <wp:extent cx="1322705" cy="196215"/>
              <wp:effectExtent l="0" t="0" r="0" b="0"/>
              <wp:wrapNone/>
              <wp:docPr id="670" name="Textbox 670"/>
              <wp:cNvGraphicFramePr>
                <a:graphicFrameLocks/>
              </wp:cNvGraphicFramePr>
              <a:graphic>
                <a:graphicData uri="http://schemas.microsoft.com/office/word/2010/wordprocessingShape">
                  <wps:wsp>
                    <wps:cNvPr id="670" name="Textbox 670"/>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50688" type="#_x0000_t202" id="docshape450"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66304">
              <wp:simplePos x="0" y="0"/>
              <wp:positionH relativeFrom="page">
                <wp:posOffset>5034153</wp:posOffset>
              </wp:positionH>
              <wp:positionV relativeFrom="page">
                <wp:posOffset>451316</wp:posOffset>
              </wp:positionV>
              <wp:extent cx="790575" cy="196215"/>
              <wp:effectExtent l="0" t="0" r="0" b="0"/>
              <wp:wrapNone/>
              <wp:docPr id="671" name="Textbox 671"/>
              <wp:cNvGraphicFramePr>
                <a:graphicFrameLocks/>
              </wp:cNvGraphicFramePr>
              <a:graphic>
                <a:graphicData uri="http://schemas.microsoft.com/office/word/2010/wordprocessingShape">
                  <wps:wsp>
                    <wps:cNvPr id="671" name="Textbox 671"/>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50176" type="#_x0000_t202" id="docshape451"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66816">
              <wp:simplePos x="0" y="0"/>
              <wp:positionH relativeFrom="page">
                <wp:posOffset>5941821</wp:posOffset>
              </wp:positionH>
              <wp:positionV relativeFrom="page">
                <wp:posOffset>451316</wp:posOffset>
              </wp:positionV>
              <wp:extent cx="821690" cy="196215"/>
              <wp:effectExtent l="0" t="0" r="0" b="0"/>
              <wp:wrapNone/>
              <wp:docPr id="672" name="Textbox 672"/>
              <wp:cNvGraphicFramePr>
                <a:graphicFrameLocks/>
              </wp:cNvGraphicFramePr>
              <a:graphic>
                <a:graphicData uri="http://schemas.microsoft.com/office/word/2010/wordprocessingShape">
                  <wps:wsp>
                    <wps:cNvPr id="672" name="Textbox 672"/>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139</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49664" type="#_x0000_t202" id="docshape452"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139</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5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68352">
          <wp:simplePos x="0" y="0"/>
          <wp:positionH relativeFrom="page">
            <wp:posOffset>3458552</wp:posOffset>
          </wp:positionH>
          <wp:positionV relativeFrom="page">
            <wp:posOffset>235083</wp:posOffset>
          </wp:positionV>
          <wp:extent cx="606473" cy="389823"/>
          <wp:effectExtent l="0" t="0" r="0" b="0"/>
          <wp:wrapNone/>
          <wp:docPr id="681" name="Image 681"/>
          <wp:cNvGraphicFramePr>
            <a:graphicFrameLocks/>
          </wp:cNvGraphicFramePr>
          <a:graphic>
            <a:graphicData uri="http://schemas.openxmlformats.org/drawingml/2006/picture">
              <pic:pic>
                <pic:nvPicPr>
                  <pic:cNvPr id="681" name="Image 681"/>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68864">
              <wp:simplePos x="0" y="0"/>
              <wp:positionH relativeFrom="page">
                <wp:posOffset>535305</wp:posOffset>
              </wp:positionH>
              <wp:positionV relativeFrom="page">
                <wp:posOffset>871854</wp:posOffset>
              </wp:positionV>
              <wp:extent cx="6393180" cy="1270"/>
              <wp:effectExtent l="0" t="0" r="0" b="0"/>
              <wp:wrapNone/>
              <wp:docPr id="682" name="Graphic 682"/>
              <wp:cNvGraphicFramePr>
                <a:graphicFrameLocks/>
              </wp:cNvGraphicFramePr>
              <a:graphic>
                <a:graphicData uri="http://schemas.microsoft.com/office/word/2010/wordprocessingShape">
                  <wps:wsp>
                    <wps:cNvPr id="682" name="Graphic 682"/>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47616"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69376">
              <wp:simplePos x="0" y="0"/>
              <wp:positionH relativeFrom="page">
                <wp:posOffset>1426210</wp:posOffset>
              </wp:positionH>
              <wp:positionV relativeFrom="page">
                <wp:posOffset>451316</wp:posOffset>
              </wp:positionV>
              <wp:extent cx="1322705" cy="196215"/>
              <wp:effectExtent l="0" t="0" r="0" b="0"/>
              <wp:wrapNone/>
              <wp:docPr id="683" name="Textbox 683"/>
              <wp:cNvGraphicFramePr>
                <a:graphicFrameLocks/>
              </wp:cNvGraphicFramePr>
              <a:graphic>
                <a:graphicData uri="http://schemas.microsoft.com/office/word/2010/wordprocessingShape">
                  <wps:wsp>
                    <wps:cNvPr id="683" name="Textbox 683"/>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47104" type="#_x0000_t202" id="docshape458"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69888">
              <wp:simplePos x="0" y="0"/>
              <wp:positionH relativeFrom="page">
                <wp:posOffset>5034153</wp:posOffset>
              </wp:positionH>
              <wp:positionV relativeFrom="page">
                <wp:posOffset>451316</wp:posOffset>
              </wp:positionV>
              <wp:extent cx="790575" cy="196215"/>
              <wp:effectExtent l="0" t="0" r="0" b="0"/>
              <wp:wrapNone/>
              <wp:docPr id="684" name="Textbox 684"/>
              <wp:cNvGraphicFramePr>
                <a:graphicFrameLocks/>
              </wp:cNvGraphicFramePr>
              <a:graphic>
                <a:graphicData uri="http://schemas.microsoft.com/office/word/2010/wordprocessingShape">
                  <wps:wsp>
                    <wps:cNvPr id="684" name="Textbox 684"/>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46592" type="#_x0000_t202" id="docshape459"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70400">
              <wp:simplePos x="0" y="0"/>
              <wp:positionH relativeFrom="page">
                <wp:posOffset>5941821</wp:posOffset>
              </wp:positionH>
              <wp:positionV relativeFrom="page">
                <wp:posOffset>451316</wp:posOffset>
              </wp:positionV>
              <wp:extent cx="821690" cy="196215"/>
              <wp:effectExtent l="0" t="0" r="0" b="0"/>
              <wp:wrapNone/>
              <wp:docPr id="685" name="Textbox 685"/>
              <wp:cNvGraphicFramePr>
                <a:graphicFrameLocks/>
              </wp:cNvGraphicFramePr>
              <a:graphic>
                <a:graphicData uri="http://schemas.microsoft.com/office/word/2010/wordprocessingShape">
                  <wps:wsp>
                    <wps:cNvPr id="685" name="Textbox 685"/>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142</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46080" type="#_x0000_t202" id="docshape460"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142</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5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72448">
          <wp:simplePos x="0" y="0"/>
          <wp:positionH relativeFrom="page">
            <wp:posOffset>3458552</wp:posOffset>
          </wp:positionH>
          <wp:positionV relativeFrom="page">
            <wp:posOffset>235083</wp:posOffset>
          </wp:positionV>
          <wp:extent cx="606473" cy="389823"/>
          <wp:effectExtent l="0" t="0" r="0" b="0"/>
          <wp:wrapNone/>
          <wp:docPr id="689" name="Image 689"/>
          <wp:cNvGraphicFramePr>
            <a:graphicFrameLocks/>
          </wp:cNvGraphicFramePr>
          <a:graphic>
            <a:graphicData uri="http://schemas.openxmlformats.org/drawingml/2006/picture">
              <pic:pic>
                <pic:nvPicPr>
                  <pic:cNvPr id="689" name="Image 689"/>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72960">
              <wp:simplePos x="0" y="0"/>
              <wp:positionH relativeFrom="page">
                <wp:posOffset>535305</wp:posOffset>
              </wp:positionH>
              <wp:positionV relativeFrom="page">
                <wp:posOffset>871854</wp:posOffset>
              </wp:positionV>
              <wp:extent cx="6393180" cy="1270"/>
              <wp:effectExtent l="0" t="0" r="0" b="0"/>
              <wp:wrapNone/>
              <wp:docPr id="690" name="Graphic 690"/>
              <wp:cNvGraphicFramePr>
                <a:graphicFrameLocks/>
              </wp:cNvGraphicFramePr>
              <a:graphic>
                <a:graphicData uri="http://schemas.microsoft.com/office/word/2010/wordprocessingShape">
                  <wps:wsp>
                    <wps:cNvPr id="690" name="Graphic 690"/>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43520"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73472">
              <wp:simplePos x="0" y="0"/>
              <wp:positionH relativeFrom="page">
                <wp:posOffset>1426210</wp:posOffset>
              </wp:positionH>
              <wp:positionV relativeFrom="page">
                <wp:posOffset>451316</wp:posOffset>
              </wp:positionV>
              <wp:extent cx="1322705" cy="196215"/>
              <wp:effectExtent l="0" t="0" r="0" b="0"/>
              <wp:wrapNone/>
              <wp:docPr id="691" name="Textbox 691"/>
              <wp:cNvGraphicFramePr>
                <a:graphicFrameLocks/>
              </wp:cNvGraphicFramePr>
              <a:graphic>
                <a:graphicData uri="http://schemas.microsoft.com/office/word/2010/wordprocessingShape">
                  <wps:wsp>
                    <wps:cNvPr id="691" name="Textbox 691"/>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43008" type="#_x0000_t202" id="docshape462"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73984">
              <wp:simplePos x="0" y="0"/>
              <wp:positionH relativeFrom="page">
                <wp:posOffset>5034153</wp:posOffset>
              </wp:positionH>
              <wp:positionV relativeFrom="page">
                <wp:posOffset>451316</wp:posOffset>
              </wp:positionV>
              <wp:extent cx="790575" cy="196215"/>
              <wp:effectExtent l="0" t="0" r="0" b="0"/>
              <wp:wrapNone/>
              <wp:docPr id="692" name="Textbox 692"/>
              <wp:cNvGraphicFramePr>
                <a:graphicFrameLocks/>
              </wp:cNvGraphicFramePr>
              <a:graphic>
                <a:graphicData uri="http://schemas.microsoft.com/office/word/2010/wordprocessingShape">
                  <wps:wsp>
                    <wps:cNvPr id="692" name="Textbox 692"/>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42496" type="#_x0000_t202" id="docshape463"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74496">
              <wp:simplePos x="0" y="0"/>
              <wp:positionH relativeFrom="page">
                <wp:posOffset>5941821</wp:posOffset>
              </wp:positionH>
              <wp:positionV relativeFrom="page">
                <wp:posOffset>451316</wp:posOffset>
              </wp:positionV>
              <wp:extent cx="821690" cy="196215"/>
              <wp:effectExtent l="0" t="0" r="0" b="0"/>
              <wp:wrapNone/>
              <wp:docPr id="693" name="Textbox 693"/>
              <wp:cNvGraphicFramePr>
                <a:graphicFrameLocks/>
              </wp:cNvGraphicFramePr>
              <a:graphic>
                <a:graphicData uri="http://schemas.microsoft.com/office/word/2010/wordprocessingShape">
                  <wps:wsp>
                    <wps:cNvPr id="693" name="Textbox 693"/>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143</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41984" type="#_x0000_t202" id="docshape464"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143</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5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76032">
          <wp:simplePos x="0" y="0"/>
          <wp:positionH relativeFrom="page">
            <wp:posOffset>3458552</wp:posOffset>
          </wp:positionH>
          <wp:positionV relativeFrom="page">
            <wp:posOffset>235083</wp:posOffset>
          </wp:positionV>
          <wp:extent cx="606473" cy="389823"/>
          <wp:effectExtent l="0" t="0" r="0" b="0"/>
          <wp:wrapNone/>
          <wp:docPr id="702" name="Image 702"/>
          <wp:cNvGraphicFramePr>
            <a:graphicFrameLocks/>
          </wp:cNvGraphicFramePr>
          <a:graphic>
            <a:graphicData uri="http://schemas.openxmlformats.org/drawingml/2006/picture">
              <pic:pic>
                <pic:nvPicPr>
                  <pic:cNvPr id="702" name="Image 702"/>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76544">
              <wp:simplePos x="0" y="0"/>
              <wp:positionH relativeFrom="page">
                <wp:posOffset>535305</wp:posOffset>
              </wp:positionH>
              <wp:positionV relativeFrom="page">
                <wp:posOffset>871854</wp:posOffset>
              </wp:positionV>
              <wp:extent cx="6393180" cy="1270"/>
              <wp:effectExtent l="0" t="0" r="0" b="0"/>
              <wp:wrapNone/>
              <wp:docPr id="703" name="Graphic 703"/>
              <wp:cNvGraphicFramePr>
                <a:graphicFrameLocks/>
              </wp:cNvGraphicFramePr>
              <a:graphic>
                <a:graphicData uri="http://schemas.microsoft.com/office/word/2010/wordprocessingShape">
                  <wps:wsp>
                    <wps:cNvPr id="703" name="Graphic 703"/>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39936"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77056">
              <wp:simplePos x="0" y="0"/>
              <wp:positionH relativeFrom="page">
                <wp:posOffset>1426210</wp:posOffset>
              </wp:positionH>
              <wp:positionV relativeFrom="page">
                <wp:posOffset>451316</wp:posOffset>
              </wp:positionV>
              <wp:extent cx="1322705" cy="196215"/>
              <wp:effectExtent l="0" t="0" r="0" b="0"/>
              <wp:wrapNone/>
              <wp:docPr id="704" name="Textbox 704"/>
              <wp:cNvGraphicFramePr>
                <a:graphicFrameLocks/>
              </wp:cNvGraphicFramePr>
              <a:graphic>
                <a:graphicData uri="http://schemas.microsoft.com/office/word/2010/wordprocessingShape">
                  <wps:wsp>
                    <wps:cNvPr id="704" name="Textbox 704"/>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39424" type="#_x0000_t202" id="docshape470"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77568">
              <wp:simplePos x="0" y="0"/>
              <wp:positionH relativeFrom="page">
                <wp:posOffset>5034153</wp:posOffset>
              </wp:positionH>
              <wp:positionV relativeFrom="page">
                <wp:posOffset>451316</wp:posOffset>
              </wp:positionV>
              <wp:extent cx="790575" cy="196215"/>
              <wp:effectExtent l="0" t="0" r="0" b="0"/>
              <wp:wrapNone/>
              <wp:docPr id="705" name="Textbox 705"/>
              <wp:cNvGraphicFramePr>
                <a:graphicFrameLocks/>
              </wp:cNvGraphicFramePr>
              <a:graphic>
                <a:graphicData uri="http://schemas.microsoft.com/office/word/2010/wordprocessingShape">
                  <wps:wsp>
                    <wps:cNvPr id="705" name="Textbox 705"/>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38912" type="#_x0000_t202" id="docshape471"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78080">
              <wp:simplePos x="0" y="0"/>
              <wp:positionH relativeFrom="page">
                <wp:posOffset>5941821</wp:posOffset>
              </wp:positionH>
              <wp:positionV relativeFrom="page">
                <wp:posOffset>451316</wp:posOffset>
              </wp:positionV>
              <wp:extent cx="821690" cy="196215"/>
              <wp:effectExtent l="0" t="0" r="0" b="0"/>
              <wp:wrapNone/>
              <wp:docPr id="706" name="Textbox 706"/>
              <wp:cNvGraphicFramePr>
                <a:graphicFrameLocks/>
              </wp:cNvGraphicFramePr>
              <a:graphic>
                <a:graphicData uri="http://schemas.microsoft.com/office/word/2010/wordprocessingShape">
                  <wps:wsp>
                    <wps:cNvPr id="706" name="Textbox 706"/>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145</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38400" type="#_x0000_t202" id="docshape472"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145</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header5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2480128">
          <wp:simplePos x="0" y="0"/>
          <wp:positionH relativeFrom="page">
            <wp:posOffset>3458552</wp:posOffset>
          </wp:positionH>
          <wp:positionV relativeFrom="page">
            <wp:posOffset>235083</wp:posOffset>
          </wp:positionV>
          <wp:extent cx="606473" cy="389823"/>
          <wp:effectExtent l="0" t="0" r="0" b="0"/>
          <wp:wrapNone/>
          <wp:docPr id="712" name="Image 712"/>
          <wp:cNvGraphicFramePr>
            <a:graphicFrameLocks/>
          </wp:cNvGraphicFramePr>
          <a:graphic>
            <a:graphicData uri="http://schemas.openxmlformats.org/drawingml/2006/picture">
              <pic:pic>
                <pic:nvPicPr>
                  <pic:cNvPr id="712" name="Image 712"/>
                  <pic:cNvPicPr/>
                </pic:nvPicPr>
                <pic:blipFill>
                  <a:blip r:embed="rId1" cstate="print"/>
                  <a:stretch>
                    <a:fillRect/>
                  </a:stretch>
                </pic:blipFill>
                <pic:spPr>
                  <a:xfrm>
                    <a:off x="0" y="0"/>
                    <a:ext cx="606473" cy="3898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2480640">
              <wp:simplePos x="0" y="0"/>
              <wp:positionH relativeFrom="page">
                <wp:posOffset>535305</wp:posOffset>
              </wp:positionH>
              <wp:positionV relativeFrom="page">
                <wp:posOffset>871854</wp:posOffset>
              </wp:positionV>
              <wp:extent cx="6393180" cy="1270"/>
              <wp:effectExtent l="0" t="0" r="0" b="0"/>
              <wp:wrapNone/>
              <wp:docPr id="713" name="Graphic 713"/>
              <wp:cNvGraphicFramePr>
                <a:graphicFrameLocks/>
              </wp:cNvGraphicFramePr>
              <a:graphic>
                <a:graphicData uri="http://schemas.microsoft.com/office/word/2010/wordprocessingShape">
                  <wps:wsp>
                    <wps:cNvPr id="713" name="Graphic 713"/>
                    <wps:cNvSpPr/>
                    <wps:spPr>
                      <a:xfrm>
                        <a:off x="0" y="0"/>
                        <a:ext cx="6393180" cy="1270"/>
                      </a:xfrm>
                      <a:custGeom>
                        <a:avLst/>
                        <a:gdLst/>
                        <a:ahLst/>
                        <a:cxnLst/>
                        <a:rect l="l" t="t" r="r" b="b"/>
                        <a:pathLst>
                          <a:path w="6393180" h="0">
                            <a:moveTo>
                              <a:pt x="0" y="0"/>
                            </a:moveTo>
                            <a:lnTo>
                              <a:pt x="63931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20835840" from="42.150002pt,68.649979pt" to="545.550002pt,68.649979pt" stroked="true" strokeweight=".75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2481152">
              <wp:simplePos x="0" y="0"/>
              <wp:positionH relativeFrom="page">
                <wp:posOffset>1426210</wp:posOffset>
              </wp:positionH>
              <wp:positionV relativeFrom="page">
                <wp:posOffset>451316</wp:posOffset>
              </wp:positionV>
              <wp:extent cx="1322705" cy="196215"/>
              <wp:effectExtent l="0" t="0" r="0" b="0"/>
              <wp:wrapNone/>
              <wp:docPr id="714" name="Textbox 714"/>
              <wp:cNvGraphicFramePr>
                <a:graphicFrameLocks/>
              </wp:cNvGraphicFramePr>
              <a:graphic>
                <a:graphicData uri="http://schemas.microsoft.com/office/word/2010/wordprocessingShape">
                  <wps:wsp>
                    <wps:cNvPr id="714" name="Textbox 714"/>
                    <wps:cNvSpPr txBox="1"/>
                    <wps:spPr>
                      <a:xfrm>
                        <a:off x="0" y="0"/>
                        <a:ext cx="1322705" cy="196215"/>
                      </a:xfrm>
                      <a:prstGeom prst="rect">
                        <a:avLst/>
                      </a:prstGeom>
                    </wps:spPr>
                    <wps:txbx>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wps:txbx>
                    <wps:bodyPr wrap="square" lIns="0" tIns="0" rIns="0" bIns="0" rtlCol="0">
                      <a:noAutofit/>
                    </wps:bodyPr>
                  </wps:wsp>
                </a:graphicData>
              </a:graphic>
            </wp:anchor>
          </w:drawing>
        </mc:Choice>
        <mc:Fallback>
          <w:pict>
            <v:shape style="position:absolute;margin-left:112.300003pt;margin-top:35.536697pt;width:104.15pt;height:15.45pt;mso-position-horizontal-relative:page;mso-position-vertical-relative:page;z-index:-20835328" type="#_x0000_t202" id="docshape476" filled="false" stroked="false">
              <v:textbox inset="0,0,0,0">
                <w:txbxContent>
                  <w:p>
                    <w:pPr>
                      <w:spacing w:before="12"/>
                      <w:ind w:left="20" w:right="0" w:firstLine="0"/>
                      <w:jc w:val="left"/>
                      <w:rPr>
                        <w:rFonts w:ascii="Arial"/>
                        <w:b/>
                        <w:sz w:val="24"/>
                      </w:rPr>
                    </w:pPr>
                    <w:r>
                      <w:rPr>
                        <w:rFonts w:ascii="Arial"/>
                        <w:b/>
                        <w:sz w:val="24"/>
                      </w:rPr>
                      <w:t>GACETA</w:t>
                    </w:r>
                    <w:r>
                      <w:rPr>
                        <w:rFonts w:ascii="Arial"/>
                        <w:b/>
                        <w:spacing w:val="2"/>
                        <w:sz w:val="24"/>
                      </w:rPr>
                      <w:t> </w:t>
                    </w:r>
                    <w:r>
                      <w:rPr>
                        <w:rFonts w:ascii="Arial"/>
                        <w:b/>
                        <w:spacing w:val="-2"/>
                        <w:sz w:val="24"/>
                      </w:rPr>
                      <w:t>OFICIAL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81664">
              <wp:simplePos x="0" y="0"/>
              <wp:positionH relativeFrom="page">
                <wp:posOffset>5034153</wp:posOffset>
              </wp:positionH>
              <wp:positionV relativeFrom="page">
                <wp:posOffset>451316</wp:posOffset>
              </wp:positionV>
              <wp:extent cx="790575" cy="196215"/>
              <wp:effectExtent l="0" t="0" r="0" b="0"/>
              <wp:wrapNone/>
              <wp:docPr id="715" name="Textbox 715"/>
              <wp:cNvGraphicFramePr>
                <a:graphicFrameLocks/>
              </wp:cNvGraphicFramePr>
              <a:graphic>
                <a:graphicData uri="http://schemas.microsoft.com/office/word/2010/wordprocessingShape">
                  <wps:wsp>
                    <wps:cNvPr id="715" name="Textbox 715"/>
                    <wps:cNvSpPr txBox="1"/>
                    <wps:spPr>
                      <a:xfrm>
                        <a:off x="0" y="0"/>
                        <a:ext cx="790575" cy="196215"/>
                      </a:xfrm>
                      <a:prstGeom prst="rect">
                        <a:avLst/>
                      </a:prstGeom>
                    </wps:spPr>
                    <wps:txbx>
                      <w:txbxContent>
                        <w:p>
                          <w:pPr>
                            <w:spacing w:before="12"/>
                            <w:ind w:left="20" w:right="0" w:firstLine="0"/>
                            <w:jc w:val="left"/>
                            <w:rPr>
                              <w:rFonts w:ascii="Arial"/>
                              <w:b/>
                              <w:sz w:val="24"/>
                            </w:rPr>
                          </w:pPr>
                          <w:r>
                            <w:rPr>
                              <w:rFonts w:ascii="Arial"/>
                              <w:b/>
                              <w:spacing w:val="-2"/>
                              <w:sz w:val="24"/>
                            </w:rPr>
                            <w:t>07/05/2026</w:t>
                          </w:r>
                        </w:p>
                      </w:txbxContent>
                    </wps:txbx>
                    <wps:bodyPr wrap="square" lIns="0" tIns="0" rIns="0" bIns="0" rtlCol="0">
                      <a:noAutofit/>
                    </wps:bodyPr>
                  </wps:wsp>
                </a:graphicData>
              </a:graphic>
            </wp:anchor>
          </w:drawing>
        </mc:Choice>
        <mc:Fallback>
          <w:pict>
            <v:shape style="position:absolute;margin-left:396.390015pt;margin-top:35.536697pt;width:62.25pt;height:15.45pt;mso-position-horizontal-relative:page;mso-position-vertical-relative:page;z-index:-20834816" type="#_x0000_t202" id="docshape477" filled="false" stroked="false">
              <v:textbox inset="0,0,0,0">
                <w:txbxContent>
                  <w:p>
                    <w:pPr>
                      <w:spacing w:before="12"/>
                      <w:ind w:left="20" w:right="0" w:firstLine="0"/>
                      <w:jc w:val="left"/>
                      <w:rPr>
                        <w:rFonts w:ascii="Arial"/>
                        <w:b/>
                        <w:sz w:val="24"/>
                      </w:rPr>
                    </w:pPr>
                    <w:r>
                      <w:rPr>
                        <w:rFonts w:ascii="Arial"/>
                        <w:b/>
                        <w:spacing w:val="-2"/>
                        <w:sz w:val="24"/>
                      </w:rPr>
                      <w:t>07/05/2026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2482176">
              <wp:simplePos x="0" y="0"/>
              <wp:positionH relativeFrom="page">
                <wp:posOffset>5941821</wp:posOffset>
              </wp:positionH>
              <wp:positionV relativeFrom="page">
                <wp:posOffset>451316</wp:posOffset>
              </wp:positionV>
              <wp:extent cx="821690" cy="196215"/>
              <wp:effectExtent l="0" t="0" r="0" b="0"/>
              <wp:wrapNone/>
              <wp:docPr id="716" name="Textbox 716"/>
              <wp:cNvGraphicFramePr>
                <a:graphicFrameLocks/>
              </wp:cNvGraphicFramePr>
              <a:graphic>
                <a:graphicData uri="http://schemas.microsoft.com/office/word/2010/wordprocessingShape">
                  <wps:wsp>
                    <wps:cNvPr id="716" name="Textbox 716"/>
                    <wps:cNvSpPr txBox="1"/>
                    <wps:spPr>
                      <a:xfrm>
                        <a:off x="0" y="0"/>
                        <a:ext cx="821690" cy="196215"/>
                      </a:xfrm>
                      <a:prstGeom prst="rect">
                        <a:avLst/>
                      </a:prstGeom>
                    </wps:spPr>
                    <wps:txbx>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147</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wps:txbx>
                    <wps:bodyPr wrap="square" lIns="0" tIns="0" rIns="0" bIns="0" rtlCol="0">
                      <a:noAutofit/>
                    </wps:bodyPr>
                  </wps:wsp>
                </a:graphicData>
              </a:graphic>
            </wp:anchor>
          </w:drawing>
        </mc:Choice>
        <mc:Fallback>
          <w:pict>
            <v:shape style="position:absolute;margin-left:467.859985pt;margin-top:35.536697pt;width:64.7pt;height:15.45pt;mso-position-horizontal-relative:page;mso-position-vertical-relative:page;z-index:-20834304" type="#_x0000_t202" id="docshape478" filled="false" stroked="false">
              <v:textbox inset="0,0,0,0">
                <w:txbxContent>
                  <w:p>
                    <w:pPr>
                      <w:spacing w:before="12"/>
                      <w:ind w:left="60" w:right="0" w:firstLine="0"/>
                      <w:jc w:val="left"/>
                      <w:rPr>
                        <w:rFonts w:ascii="Arial"/>
                        <w:b/>
                        <w:sz w:val="24"/>
                      </w:rPr>
                    </w:pPr>
                    <w:r>
                      <w:rPr>
                        <w:rFonts w:ascii="Arial"/>
                        <w:b/>
                        <w:sz w:val="24"/>
                      </w:rPr>
                      <w:fldChar w:fldCharType="begin"/>
                    </w:r>
                    <w:r>
                      <w:rPr>
                        <w:rFonts w:ascii="Arial"/>
                        <w:b/>
                        <w:sz w:val="24"/>
                      </w:rPr>
                      <w:instrText> PAGE </w:instrText>
                    </w:r>
                    <w:r>
                      <w:rPr>
                        <w:rFonts w:ascii="Arial"/>
                        <w:b/>
                        <w:sz w:val="24"/>
                      </w:rPr>
                      <w:fldChar w:fldCharType="separate"/>
                    </w:r>
                    <w:r>
                      <w:rPr>
                        <w:rFonts w:ascii="Arial"/>
                        <w:b/>
                        <w:sz w:val="24"/>
                      </w:rPr>
                      <w:t>147</w:t>
                    </w:r>
                    <w:r>
                      <w:rPr>
                        <w:rFonts w:ascii="Arial"/>
                        <w:b/>
                        <w:sz w:val="24"/>
                      </w:rPr>
                      <w:fldChar w:fldCharType="end"/>
                    </w:r>
                    <w:r>
                      <w:rPr>
                        <w:rFonts w:ascii="Arial"/>
                        <w:b/>
                        <w:spacing w:val="-2"/>
                        <w:sz w:val="24"/>
                      </w:rPr>
                      <w:t> </w:t>
                    </w:r>
                    <w:r>
                      <w:rPr>
                        <w:rFonts w:ascii="Arial"/>
                        <w:b/>
                        <w:sz w:val="24"/>
                      </w:rPr>
                      <w:t>de</w:t>
                    </w:r>
                    <w:r>
                      <w:rPr>
                        <w:rFonts w:ascii="Arial"/>
                        <w:b/>
                        <w:spacing w:val="-2"/>
                        <w:sz w:val="24"/>
                      </w:rPr>
                      <w:t> </w:t>
                    </w:r>
                    <w:r>
                      <w:rPr>
                        <w:rFonts w:ascii="Arial"/>
                        <w:b/>
                        <w:spacing w:val="-5"/>
                        <w:sz w:val="24"/>
                      </w:rPr>
                      <w:fldChar w:fldCharType="begin"/>
                    </w:r>
                    <w:r>
                      <w:rPr>
                        <w:rFonts w:ascii="Arial"/>
                        <w:b/>
                        <w:spacing w:val="-5"/>
                        <w:sz w:val="24"/>
                      </w:rPr>
                      <w:instrText> NUMPAGES </w:instrText>
                    </w:r>
                    <w:r>
                      <w:rPr>
                        <w:rFonts w:ascii="Arial"/>
                        <w:b/>
                        <w:spacing w:val="-5"/>
                        <w:sz w:val="24"/>
                      </w:rPr>
                      <w:fldChar w:fldCharType="separate"/>
                    </w:r>
                    <w:r>
                      <w:rPr>
                        <w:rFonts w:ascii="Arial"/>
                        <w:b/>
                        <w:spacing w:val="-5"/>
                        <w:sz w:val="24"/>
                      </w:rPr>
                      <w:t>147</w:t>
                    </w:r>
                    <w:r>
                      <w:rPr>
                        <w:rFonts w:ascii="Arial"/>
                        <w:b/>
                        <w:spacing w:val="-5"/>
                        <w:sz w:val="24"/>
                      </w:rPr>
                      <w:fldChar w:fldCharType="end"/>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1">
    <w:multiLevelType w:val="hybridMultilevel"/>
    <w:lvl w:ilvl="0">
      <w:start w:val="0"/>
      <w:numFmt w:val="bullet"/>
      <w:lvlText w:val=""/>
      <w:lvlJc w:val="left"/>
      <w:pPr>
        <w:ind w:left="1134" w:hanging="360"/>
      </w:pPr>
      <w:rPr>
        <w:rFonts w:hint="default" w:ascii="Symbol" w:hAnsi="Symbol" w:eastAsia="Symbol" w:cs="Symbol"/>
        <w:b w:val="0"/>
        <w:bCs w:val="0"/>
        <w:i w:val="0"/>
        <w:iCs w:val="0"/>
        <w:spacing w:val="0"/>
        <w:w w:val="100"/>
        <w:sz w:val="22"/>
        <w:szCs w:val="22"/>
        <w:lang w:val="es-ES" w:eastAsia="en-US" w:bidi="ar-SA"/>
      </w:rPr>
    </w:lvl>
    <w:lvl w:ilvl="1">
      <w:start w:val="1"/>
      <w:numFmt w:val="lowerRoman"/>
      <w:lvlText w:val="(%2)"/>
      <w:lvlJc w:val="left"/>
      <w:pPr>
        <w:ind w:left="1701" w:hanging="567"/>
        <w:jc w:val="right"/>
      </w:pPr>
      <w:rPr>
        <w:rFonts w:hint="default" w:ascii="Arial" w:hAnsi="Arial" w:eastAsia="Arial" w:cs="Arial"/>
        <w:b w:val="0"/>
        <w:bCs w:val="0"/>
        <w:i/>
        <w:iCs/>
        <w:spacing w:val="-2"/>
        <w:w w:val="100"/>
        <w:sz w:val="22"/>
        <w:szCs w:val="22"/>
        <w:lang w:val="es-ES" w:eastAsia="en-US" w:bidi="ar-SA"/>
      </w:rPr>
    </w:lvl>
    <w:lvl w:ilvl="2">
      <w:start w:val="0"/>
      <w:numFmt w:val="bullet"/>
      <w:lvlText w:val="•"/>
      <w:lvlJc w:val="left"/>
      <w:pPr>
        <w:ind w:left="2691" w:hanging="567"/>
      </w:pPr>
      <w:rPr>
        <w:rFonts w:hint="default"/>
        <w:lang w:val="es-ES" w:eastAsia="en-US" w:bidi="ar-SA"/>
      </w:rPr>
    </w:lvl>
    <w:lvl w:ilvl="3">
      <w:start w:val="0"/>
      <w:numFmt w:val="bullet"/>
      <w:lvlText w:val="•"/>
      <w:lvlJc w:val="left"/>
      <w:pPr>
        <w:ind w:left="3683" w:hanging="567"/>
      </w:pPr>
      <w:rPr>
        <w:rFonts w:hint="default"/>
        <w:lang w:val="es-ES" w:eastAsia="en-US" w:bidi="ar-SA"/>
      </w:rPr>
    </w:lvl>
    <w:lvl w:ilvl="4">
      <w:start w:val="0"/>
      <w:numFmt w:val="bullet"/>
      <w:lvlText w:val="•"/>
      <w:lvlJc w:val="left"/>
      <w:pPr>
        <w:ind w:left="4674" w:hanging="567"/>
      </w:pPr>
      <w:rPr>
        <w:rFonts w:hint="default"/>
        <w:lang w:val="es-ES" w:eastAsia="en-US" w:bidi="ar-SA"/>
      </w:rPr>
    </w:lvl>
    <w:lvl w:ilvl="5">
      <w:start w:val="0"/>
      <w:numFmt w:val="bullet"/>
      <w:lvlText w:val="•"/>
      <w:lvlJc w:val="left"/>
      <w:pPr>
        <w:ind w:left="5666" w:hanging="567"/>
      </w:pPr>
      <w:rPr>
        <w:rFonts w:hint="default"/>
        <w:lang w:val="es-ES" w:eastAsia="en-US" w:bidi="ar-SA"/>
      </w:rPr>
    </w:lvl>
    <w:lvl w:ilvl="6">
      <w:start w:val="0"/>
      <w:numFmt w:val="bullet"/>
      <w:lvlText w:val="•"/>
      <w:lvlJc w:val="left"/>
      <w:pPr>
        <w:ind w:left="6657" w:hanging="567"/>
      </w:pPr>
      <w:rPr>
        <w:rFonts w:hint="default"/>
        <w:lang w:val="es-ES" w:eastAsia="en-US" w:bidi="ar-SA"/>
      </w:rPr>
    </w:lvl>
    <w:lvl w:ilvl="7">
      <w:start w:val="0"/>
      <w:numFmt w:val="bullet"/>
      <w:lvlText w:val="•"/>
      <w:lvlJc w:val="left"/>
      <w:pPr>
        <w:ind w:left="7649" w:hanging="567"/>
      </w:pPr>
      <w:rPr>
        <w:rFonts w:hint="default"/>
        <w:lang w:val="es-ES" w:eastAsia="en-US" w:bidi="ar-SA"/>
      </w:rPr>
    </w:lvl>
    <w:lvl w:ilvl="8">
      <w:start w:val="0"/>
      <w:numFmt w:val="bullet"/>
      <w:lvlText w:val="•"/>
      <w:lvlJc w:val="left"/>
      <w:pPr>
        <w:ind w:left="8641" w:hanging="567"/>
      </w:pPr>
      <w:rPr>
        <w:rFonts w:hint="default"/>
        <w:lang w:val="es-ES" w:eastAsia="en-US" w:bidi="ar-SA"/>
      </w:rPr>
    </w:lvl>
  </w:abstractNum>
  <w:abstractNum w:abstractNumId="120">
    <w:multiLevelType w:val="hybridMultilevel"/>
    <w:lvl w:ilvl="0">
      <w:start w:val="6"/>
      <w:numFmt w:val="lowerRoman"/>
      <w:lvlText w:val="(%1)"/>
      <w:lvlJc w:val="left"/>
      <w:pPr>
        <w:ind w:left="1701" w:hanging="425"/>
        <w:jc w:val="left"/>
      </w:pPr>
      <w:rPr>
        <w:rFonts w:hint="default" w:ascii="Arial MT" w:hAnsi="Arial MT" w:eastAsia="Arial MT" w:cs="Arial MT"/>
        <w:b w:val="0"/>
        <w:bCs w:val="0"/>
        <w:i w:val="0"/>
        <w:iCs w:val="0"/>
        <w:spacing w:val="-2"/>
        <w:w w:val="100"/>
        <w:sz w:val="22"/>
        <w:szCs w:val="22"/>
        <w:lang w:val="es-ES" w:eastAsia="en-US" w:bidi="ar-SA"/>
      </w:rPr>
    </w:lvl>
    <w:lvl w:ilvl="1">
      <w:start w:val="0"/>
      <w:numFmt w:val="bullet"/>
      <w:lvlText w:val="•"/>
      <w:lvlJc w:val="left"/>
      <w:pPr>
        <w:ind w:left="2592" w:hanging="425"/>
      </w:pPr>
      <w:rPr>
        <w:rFonts w:hint="default"/>
        <w:lang w:val="es-ES" w:eastAsia="en-US" w:bidi="ar-SA"/>
      </w:rPr>
    </w:lvl>
    <w:lvl w:ilvl="2">
      <w:start w:val="0"/>
      <w:numFmt w:val="bullet"/>
      <w:lvlText w:val="•"/>
      <w:lvlJc w:val="left"/>
      <w:pPr>
        <w:ind w:left="3484" w:hanging="425"/>
      </w:pPr>
      <w:rPr>
        <w:rFonts w:hint="default"/>
        <w:lang w:val="es-ES" w:eastAsia="en-US" w:bidi="ar-SA"/>
      </w:rPr>
    </w:lvl>
    <w:lvl w:ilvl="3">
      <w:start w:val="0"/>
      <w:numFmt w:val="bullet"/>
      <w:lvlText w:val="•"/>
      <w:lvlJc w:val="left"/>
      <w:pPr>
        <w:ind w:left="4377" w:hanging="425"/>
      </w:pPr>
      <w:rPr>
        <w:rFonts w:hint="default"/>
        <w:lang w:val="es-ES" w:eastAsia="en-US" w:bidi="ar-SA"/>
      </w:rPr>
    </w:lvl>
    <w:lvl w:ilvl="4">
      <w:start w:val="0"/>
      <w:numFmt w:val="bullet"/>
      <w:lvlText w:val="•"/>
      <w:lvlJc w:val="left"/>
      <w:pPr>
        <w:ind w:left="5269" w:hanging="425"/>
      </w:pPr>
      <w:rPr>
        <w:rFonts w:hint="default"/>
        <w:lang w:val="es-ES" w:eastAsia="en-US" w:bidi="ar-SA"/>
      </w:rPr>
    </w:lvl>
    <w:lvl w:ilvl="5">
      <w:start w:val="0"/>
      <w:numFmt w:val="bullet"/>
      <w:lvlText w:val="•"/>
      <w:lvlJc w:val="left"/>
      <w:pPr>
        <w:ind w:left="6162" w:hanging="425"/>
      </w:pPr>
      <w:rPr>
        <w:rFonts w:hint="default"/>
        <w:lang w:val="es-ES" w:eastAsia="en-US" w:bidi="ar-SA"/>
      </w:rPr>
    </w:lvl>
    <w:lvl w:ilvl="6">
      <w:start w:val="0"/>
      <w:numFmt w:val="bullet"/>
      <w:lvlText w:val="•"/>
      <w:lvlJc w:val="left"/>
      <w:pPr>
        <w:ind w:left="7054" w:hanging="425"/>
      </w:pPr>
      <w:rPr>
        <w:rFonts w:hint="default"/>
        <w:lang w:val="es-ES" w:eastAsia="en-US" w:bidi="ar-SA"/>
      </w:rPr>
    </w:lvl>
    <w:lvl w:ilvl="7">
      <w:start w:val="0"/>
      <w:numFmt w:val="bullet"/>
      <w:lvlText w:val="•"/>
      <w:lvlJc w:val="left"/>
      <w:pPr>
        <w:ind w:left="7946" w:hanging="425"/>
      </w:pPr>
      <w:rPr>
        <w:rFonts w:hint="default"/>
        <w:lang w:val="es-ES" w:eastAsia="en-US" w:bidi="ar-SA"/>
      </w:rPr>
    </w:lvl>
    <w:lvl w:ilvl="8">
      <w:start w:val="0"/>
      <w:numFmt w:val="bullet"/>
      <w:lvlText w:val="•"/>
      <w:lvlJc w:val="left"/>
      <w:pPr>
        <w:ind w:left="8839" w:hanging="425"/>
      </w:pPr>
      <w:rPr>
        <w:rFonts w:hint="default"/>
        <w:lang w:val="es-ES" w:eastAsia="en-US" w:bidi="ar-SA"/>
      </w:rPr>
    </w:lvl>
  </w:abstractNum>
  <w:abstractNum w:abstractNumId="119">
    <w:multiLevelType w:val="hybridMultilevel"/>
    <w:lvl w:ilvl="0">
      <w:start w:val="0"/>
      <w:numFmt w:val="bullet"/>
      <w:lvlText w:val=""/>
      <w:lvlJc w:val="left"/>
      <w:pPr>
        <w:ind w:left="113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088" w:hanging="360"/>
      </w:pPr>
      <w:rPr>
        <w:rFonts w:hint="default"/>
        <w:lang w:val="es-ES" w:eastAsia="en-US" w:bidi="ar-SA"/>
      </w:rPr>
    </w:lvl>
    <w:lvl w:ilvl="2">
      <w:start w:val="0"/>
      <w:numFmt w:val="bullet"/>
      <w:lvlText w:val="•"/>
      <w:lvlJc w:val="left"/>
      <w:pPr>
        <w:ind w:left="3036" w:hanging="360"/>
      </w:pPr>
      <w:rPr>
        <w:rFonts w:hint="default"/>
        <w:lang w:val="es-ES" w:eastAsia="en-US" w:bidi="ar-SA"/>
      </w:rPr>
    </w:lvl>
    <w:lvl w:ilvl="3">
      <w:start w:val="0"/>
      <w:numFmt w:val="bullet"/>
      <w:lvlText w:val="•"/>
      <w:lvlJc w:val="left"/>
      <w:pPr>
        <w:ind w:left="3985" w:hanging="360"/>
      </w:pPr>
      <w:rPr>
        <w:rFonts w:hint="default"/>
        <w:lang w:val="es-ES" w:eastAsia="en-US" w:bidi="ar-SA"/>
      </w:rPr>
    </w:lvl>
    <w:lvl w:ilvl="4">
      <w:start w:val="0"/>
      <w:numFmt w:val="bullet"/>
      <w:lvlText w:val="•"/>
      <w:lvlJc w:val="left"/>
      <w:pPr>
        <w:ind w:left="4933" w:hanging="360"/>
      </w:pPr>
      <w:rPr>
        <w:rFonts w:hint="default"/>
        <w:lang w:val="es-ES" w:eastAsia="en-US" w:bidi="ar-SA"/>
      </w:rPr>
    </w:lvl>
    <w:lvl w:ilvl="5">
      <w:start w:val="0"/>
      <w:numFmt w:val="bullet"/>
      <w:lvlText w:val="•"/>
      <w:lvlJc w:val="left"/>
      <w:pPr>
        <w:ind w:left="5882" w:hanging="360"/>
      </w:pPr>
      <w:rPr>
        <w:rFonts w:hint="default"/>
        <w:lang w:val="es-ES" w:eastAsia="en-US" w:bidi="ar-SA"/>
      </w:rPr>
    </w:lvl>
    <w:lvl w:ilvl="6">
      <w:start w:val="0"/>
      <w:numFmt w:val="bullet"/>
      <w:lvlText w:val="•"/>
      <w:lvlJc w:val="left"/>
      <w:pPr>
        <w:ind w:left="6830" w:hanging="360"/>
      </w:pPr>
      <w:rPr>
        <w:rFonts w:hint="default"/>
        <w:lang w:val="es-ES" w:eastAsia="en-US" w:bidi="ar-SA"/>
      </w:rPr>
    </w:lvl>
    <w:lvl w:ilvl="7">
      <w:start w:val="0"/>
      <w:numFmt w:val="bullet"/>
      <w:lvlText w:val="•"/>
      <w:lvlJc w:val="left"/>
      <w:pPr>
        <w:ind w:left="7778" w:hanging="360"/>
      </w:pPr>
      <w:rPr>
        <w:rFonts w:hint="default"/>
        <w:lang w:val="es-ES" w:eastAsia="en-US" w:bidi="ar-SA"/>
      </w:rPr>
    </w:lvl>
    <w:lvl w:ilvl="8">
      <w:start w:val="0"/>
      <w:numFmt w:val="bullet"/>
      <w:lvlText w:val="•"/>
      <w:lvlJc w:val="left"/>
      <w:pPr>
        <w:ind w:left="8727" w:hanging="360"/>
      </w:pPr>
      <w:rPr>
        <w:rFonts w:hint="default"/>
        <w:lang w:val="es-ES" w:eastAsia="en-US" w:bidi="ar-SA"/>
      </w:rPr>
    </w:lvl>
  </w:abstractNum>
  <w:abstractNum w:abstractNumId="118">
    <w:multiLevelType w:val="hybridMultilevel"/>
    <w:lvl w:ilvl="0">
      <w:start w:val="1"/>
      <w:numFmt w:val="lowerLetter"/>
      <w:lvlText w:val="%1)"/>
      <w:lvlJc w:val="left"/>
      <w:pPr>
        <w:ind w:left="1701" w:hanging="360"/>
        <w:jc w:val="left"/>
      </w:pPr>
      <w:rPr>
        <w:rFonts w:hint="default" w:ascii="Arial" w:hAnsi="Arial" w:eastAsia="Arial" w:cs="Arial"/>
        <w:b w:val="0"/>
        <w:bCs w:val="0"/>
        <w:i/>
        <w:iCs/>
        <w:spacing w:val="-1"/>
        <w:w w:val="100"/>
        <w:sz w:val="22"/>
        <w:szCs w:val="22"/>
        <w:lang w:val="es-ES" w:eastAsia="en-US" w:bidi="ar-SA"/>
      </w:rPr>
    </w:lvl>
    <w:lvl w:ilvl="1">
      <w:start w:val="0"/>
      <w:numFmt w:val="bullet"/>
      <w:lvlText w:val="•"/>
      <w:lvlJc w:val="left"/>
      <w:pPr>
        <w:ind w:left="2592" w:hanging="360"/>
      </w:pPr>
      <w:rPr>
        <w:rFonts w:hint="default"/>
        <w:lang w:val="es-ES" w:eastAsia="en-US" w:bidi="ar-SA"/>
      </w:rPr>
    </w:lvl>
    <w:lvl w:ilvl="2">
      <w:start w:val="0"/>
      <w:numFmt w:val="bullet"/>
      <w:lvlText w:val="•"/>
      <w:lvlJc w:val="left"/>
      <w:pPr>
        <w:ind w:left="3484" w:hanging="360"/>
      </w:pPr>
      <w:rPr>
        <w:rFonts w:hint="default"/>
        <w:lang w:val="es-ES" w:eastAsia="en-US" w:bidi="ar-SA"/>
      </w:rPr>
    </w:lvl>
    <w:lvl w:ilvl="3">
      <w:start w:val="0"/>
      <w:numFmt w:val="bullet"/>
      <w:lvlText w:val="•"/>
      <w:lvlJc w:val="left"/>
      <w:pPr>
        <w:ind w:left="4377" w:hanging="360"/>
      </w:pPr>
      <w:rPr>
        <w:rFonts w:hint="default"/>
        <w:lang w:val="es-ES" w:eastAsia="en-US" w:bidi="ar-SA"/>
      </w:rPr>
    </w:lvl>
    <w:lvl w:ilvl="4">
      <w:start w:val="0"/>
      <w:numFmt w:val="bullet"/>
      <w:lvlText w:val="•"/>
      <w:lvlJc w:val="left"/>
      <w:pPr>
        <w:ind w:left="5269" w:hanging="360"/>
      </w:pPr>
      <w:rPr>
        <w:rFonts w:hint="default"/>
        <w:lang w:val="es-ES" w:eastAsia="en-US" w:bidi="ar-SA"/>
      </w:rPr>
    </w:lvl>
    <w:lvl w:ilvl="5">
      <w:start w:val="0"/>
      <w:numFmt w:val="bullet"/>
      <w:lvlText w:val="•"/>
      <w:lvlJc w:val="left"/>
      <w:pPr>
        <w:ind w:left="6162" w:hanging="360"/>
      </w:pPr>
      <w:rPr>
        <w:rFonts w:hint="default"/>
        <w:lang w:val="es-ES" w:eastAsia="en-US" w:bidi="ar-SA"/>
      </w:rPr>
    </w:lvl>
    <w:lvl w:ilvl="6">
      <w:start w:val="0"/>
      <w:numFmt w:val="bullet"/>
      <w:lvlText w:val="•"/>
      <w:lvlJc w:val="left"/>
      <w:pPr>
        <w:ind w:left="7054" w:hanging="360"/>
      </w:pPr>
      <w:rPr>
        <w:rFonts w:hint="default"/>
        <w:lang w:val="es-ES" w:eastAsia="en-US" w:bidi="ar-SA"/>
      </w:rPr>
    </w:lvl>
    <w:lvl w:ilvl="7">
      <w:start w:val="0"/>
      <w:numFmt w:val="bullet"/>
      <w:lvlText w:val="•"/>
      <w:lvlJc w:val="left"/>
      <w:pPr>
        <w:ind w:left="7946" w:hanging="360"/>
      </w:pPr>
      <w:rPr>
        <w:rFonts w:hint="default"/>
        <w:lang w:val="es-ES" w:eastAsia="en-US" w:bidi="ar-SA"/>
      </w:rPr>
    </w:lvl>
    <w:lvl w:ilvl="8">
      <w:start w:val="0"/>
      <w:numFmt w:val="bullet"/>
      <w:lvlText w:val="•"/>
      <w:lvlJc w:val="left"/>
      <w:pPr>
        <w:ind w:left="8839" w:hanging="360"/>
      </w:pPr>
      <w:rPr>
        <w:rFonts w:hint="default"/>
        <w:lang w:val="es-ES" w:eastAsia="en-US" w:bidi="ar-SA"/>
      </w:rPr>
    </w:lvl>
  </w:abstractNum>
  <w:abstractNum w:abstractNumId="117">
    <w:multiLevelType w:val="hybridMultilevel"/>
    <w:lvl w:ilvl="0">
      <w:start w:val="1"/>
      <w:numFmt w:val="lowerRoman"/>
      <w:lvlText w:val="(%1)"/>
      <w:lvlJc w:val="left"/>
      <w:pPr>
        <w:ind w:left="1276" w:hanging="348"/>
        <w:jc w:val="left"/>
      </w:pPr>
      <w:rPr>
        <w:rFonts w:hint="default" w:ascii="Arial" w:hAnsi="Arial" w:eastAsia="Arial" w:cs="Arial"/>
        <w:b w:val="0"/>
        <w:bCs w:val="0"/>
        <w:i/>
        <w:iCs/>
        <w:spacing w:val="-2"/>
        <w:w w:val="100"/>
        <w:sz w:val="22"/>
        <w:szCs w:val="22"/>
        <w:lang w:val="es-ES" w:eastAsia="en-US" w:bidi="ar-SA"/>
      </w:rPr>
    </w:lvl>
    <w:lvl w:ilvl="1">
      <w:start w:val="0"/>
      <w:numFmt w:val="bullet"/>
      <w:lvlText w:val="•"/>
      <w:lvlJc w:val="left"/>
      <w:pPr>
        <w:ind w:left="2214" w:hanging="348"/>
      </w:pPr>
      <w:rPr>
        <w:rFonts w:hint="default"/>
        <w:lang w:val="es-ES" w:eastAsia="en-US" w:bidi="ar-SA"/>
      </w:rPr>
    </w:lvl>
    <w:lvl w:ilvl="2">
      <w:start w:val="0"/>
      <w:numFmt w:val="bullet"/>
      <w:lvlText w:val="•"/>
      <w:lvlJc w:val="left"/>
      <w:pPr>
        <w:ind w:left="3148" w:hanging="348"/>
      </w:pPr>
      <w:rPr>
        <w:rFonts w:hint="default"/>
        <w:lang w:val="es-ES" w:eastAsia="en-US" w:bidi="ar-SA"/>
      </w:rPr>
    </w:lvl>
    <w:lvl w:ilvl="3">
      <w:start w:val="0"/>
      <w:numFmt w:val="bullet"/>
      <w:lvlText w:val="•"/>
      <w:lvlJc w:val="left"/>
      <w:pPr>
        <w:ind w:left="4083" w:hanging="348"/>
      </w:pPr>
      <w:rPr>
        <w:rFonts w:hint="default"/>
        <w:lang w:val="es-ES" w:eastAsia="en-US" w:bidi="ar-SA"/>
      </w:rPr>
    </w:lvl>
    <w:lvl w:ilvl="4">
      <w:start w:val="0"/>
      <w:numFmt w:val="bullet"/>
      <w:lvlText w:val="•"/>
      <w:lvlJc w:val="left"/>
      <w:pPr>
        <w:ind w:left="5017" w:hanging="348"/>
      </w:pPr>
      <w:rPr>
        <w:rFonts w:hint="default"/>
        <w:lang w:val="es-ES" w:eastAsia="en-US" w:bidi="ar-SA"/>
      </w:rPr>
    </w:lvl>
    <w:lvl w:ilvl="5">
      <w:start w:val="0"/>
      <w:numFmt w:val="bullet"/>
      <w:lvlText w:val="•"/>
      <w:lvlJc w:val="left"/>
      <w:pPr>
        <w:ind w:left="5952" w:hanging="348"/>
      </w:pPr>
      <w:rPr>
        <w:rFonts w:hint="default"/>
        <w:lang w:val="es-ES" w:eastAsia="en-US" w:bidi="ar-SA"/>
      </w:rPr>
    </w:lvl>
    <w:lvl w:ilvl="6">
      <w:start w:val="0"/>
      <w:numFmt w:val="bullet"/>
      <w:lvlText w:val="•"/>
      <w:lvlJc w:val="left"/>
      <w:pPr>
        <w:ind w:left="6886" w:hanging="348"/>
      </w:pPr>
      <w:rPr>
        <w:rFonts w:hint="default"/>
        <w:lang w:val="es-ES" w:eastAsia="en-US" w:bidi="ar-SA"/>
      </w:rPr>
    </w:lvl>
    <w:lvl w:ilvl="7">
      <w:start w:val="0"/>
      <w:numFmt w:val="bullet"/>
      <w:lvlText w:val="•"/>
      <w:lvlJc w:val="left"/>
      <w:pPr>
        <w:ind w:left="7820" w:hanging="348"/>
      </w:pPr>
      <w:rPr>
        <w:rFonts w:hint="default"/>
        <w:lang w:val="es-ES" w:eastAsia="en-US" w:bidi="ar-SA"/>
      </w:rPr>
    </w:lvl>
    <w:lvl w:ilvl="8">
      <w:start w:val="0"/>
      <w:numFmt w:val="bullet"/>
      <w:lvlText w:val="•"/>
      <w:lvlJc w:val="left"/>
      <w:pPr>
        <w:ind w:left="8755" w:hanging="348"/>
      </w:pPr>
      <w:rPr>
        <w:rFonts w:hint="default"/>
        <w:lang w:val="es-ES" w:eastAsia="en-US" w:bidi="ar-SA"/>
      </w:rPr>
    </w:lvl>
  </w:abstractNum>
  <w:abstractNum w:abstractNumId="116">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115">
    <w:multiLevelType w:val="hybridMultilevel"/>
    <w:lvl w:ilvl="0">
      <w:start w:val="0"/>
      <w:numFmt w:val="bullet"/>
      <w:lvlText w:val=""/>
      <w:lvlJc w:val="left"/>
      <w:pPr>
        <w:ind w:left="1986" w:hanging="567"/>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844" w:hanging="567"/>
      </w:pPr>
      <w:rPr>
        <w:rFonts w:hint="default"/>
        <w:lang w:val="es-ES" w:eastAsia="en-US" w:bidi="ar-SA"/>
      </w:rPr>
    </w:lvl>
    <w:lvl w:ilvl="2">
      <w:start w:val="0"/>
      <w:numFmt w:val="bullet"/>
      <w:lvlText w:val="•"/>
      <w:lvlJc w:val="left"/>
      <w:pPr>
        <w:ind w:left="3708" w:hanging="567"/>
      </w:pPr>
      <w:rPr>
        <w:rFonts w:hint="default"/>
        <w:lang w:val="es-ES" w:eastAsia="en-US" w:bidi="ar-SA"/>
      </w:rPr>
    </w:lvl>
    <w:lvl w:ilvl="3">
      <w:start w:val="0"/>
      <w:numFmt w:val="bullet"/>
      <w:lvlText w:val="•"/>
      <w:lvlJc w:val="left"/>
      <w:pPr>
        <w:ind w:left="4573" w:hanging="567"/>
      </w:pPr>
      <w:rPr>
        <w:rFonts w:hint="default"/>
        <w:lang w:val="es-ES" w:eastAsia="en-US" w:bidi="ar-SA"/>
      </w:rPr>
    </w:lvl>
    <w:lvl w:ilvl="4">
      <w:start w:val="0"/>
      <w:numFmt w:val="bullet"/>
      <w:lvlText w:val="•"/>
      <w:lvlJc w:val="left"/>
      <w:pPr>
        <w:ind w:left="5437" w:hanging="567"/>
      </w:pPr>
      <w:rPr>
        <w:rFonts w:hint="default"/>
        <w:lang w:val="es-ES" w:eastAsia="en-US" w:bidi="ar-SA"/>
      </w:rPr>
    </w:lvl>
    <w:lvl w:ilvl="5">
      <w:start w:val="0"/>
      <w:numFmt w:val="bullet"/>
      <w:lvlText w:val="•"/>
      <w:lvlJc w:val="left"/>
      <w:pPr>
        <w:ind w:left="6302" w:hanging="567"/>
      </w:pPr>
      <w:rPr>
        <w:rFonts w:hint="default"/>
        <w:lang w:val="es-ES" w:eastAsia="en-US" w:bidi="ar-SA"/>
      </w:rPr>
    </w:lvl>
    <w:lvl w:ilvl="6">
      <w:start w:val="0"/>
      <w:numFmt w:val="bullet"/>
      <w:lvlText w:val="•"/>
      <w:lvlJc w:val="left"/>
      <w:pPr>
        <w:ind w:left="7166" w:hanging="567"/>
      </w:pPr>
      <w:rPr>
        <w:rFonts w:hint="default"/>
        <w:lang w:val="es-ES" w:eastAsia="en-US" w:bidi="ar-SA"/>
      </w:rPr>
    </w:lvl>
    <w:lvl w:ilvl="7">
      <w:start w:val="0"/>
      <w:numFmt w:val="bullet"/>
      <w:lvlText w:val="•"/>
      <w:lvlJc w:val="left"/>
      <w:pPr>
        <w:ind w:left="8030" w:hanging="567"/>
      </w:pPr>
      <w:rPr>
        <w:rFonts w:hint="default"/>
        <w:lang w:val="es-ES" w:eastAsia="en-US" w:bidi="ar-SA"/>
      </w:rPr>
    </w:lvl>
    <w:lvl w:ilvl="8">
      <w:start w:val="0"/>
      <w:numFmt w:val="bullet"/>
      <w:lvlText w:val="•"/>
      <w:lvlJc w:val="left"/>
      <w:pPr>
        <w:ind w:left="8895" w:hanging="567"/>
      </w:pPr>
      <w:rPr>
        <w:rFonts w:hint="default"/>
        <w:lang w:val="es-ES" w:eastAsia="en-US" w:bidi="ar-SA"/>
      </w:rPr>
    </w:lvl>
  </w:abstractNum>
  <w:abstractNum w:abstractNumId="114">
    <w:multiLevelType w:val="hybridMultilevel"/>
    <w:lvl w:ilvl="0">
      <w:start w:val="0"/>
      <w:numFmt w:val="bullet"/>
      <w:lvlText w:val=""/>
      <w:lvlJc w:val="left"/>
      <w:pPr>
        <w:ind w:left="1986" w:hanging="502"/>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844" w:hanging="502"/>
      </w:pPr>
      <w:rPr>
        <w:rFonts w:hint="default"/>
        <w:lang w:val="es-ES" w:eastAsia="en-US" w:bidi="ar-SA"/>
      </w:rPr>
    </w:lvl>
    <w:lvl w:ilvl="2">
      <w:start w:val="0"/>
      <w:numFmt w:val="bullet"/>
      <w:lvlText w:val="•"/>
      <w:lvlJc w:val="left"/>
      <w:pPr>
        <w:ind w:left="3708" w:hanging="502"/>
      </w:pPr>
      <w:rPr>
        <w:rFonts w:hint="default"/>
        <w:lang w:val="es-ES" w:eastAsia="en-US" w:bidi="ar-SA"/>
      </w:rPr>
    </w:lvl>
    <w:lvl w:ilvl="3">
      <w:start w:val="0"/>
      <w:numFmt w:val="bullet"/>
      <w:lvlText w:val="•"/>
      <w:lvlJc w:val="left"/>
      <w:pPr>
        <w:ind w:left="4573" w:hanging="502"/>
      </w:pPr>
      <w:rPr>
        <w:rFonts w:hint="default"/>
        <w:lang w:val="es-ES" w:eastAsia="en-US" w:bidi="ar-SA"/>
      </w:rPr>
    </w:lvl>
    <w:lvl w:ilvl="4">
      <w:start w:val="0"/>
      <w:numFmt w:val="bullet"/>
      <w:lvlText w:val="•"/>
      <w:lvlJc w:val="left"/>
      <w:pPr>
        <w:ind w:left="5437" w:hanging="502"/>
      </w:pPr>
      <w:rPr>
        <w:rFonts w:hint="default"/>
        <w:lang w:val="es-ES" w:eastAsia="en-US" w:bidi="ar-SA"/>
      </w:rPr>
    </w:lvl>
    <w:lvl w:ilvl="5">
      <w:start w:val="0"/>
      <w:numFmt w:val="bullet"/>
      <w:lvlText w:val="•"/>
      <w:lvlJc w:val="left"/>
      <w:pPr>
        <w:ind w:left="6302" w:hanging="502"/>
      </w:pPr>
      <w:rPr>
        <w:rFonts w:hint="default"/>
        <w:lang w:val="es-ES" w:eastAsia="en-US" w:bidi="ar-SA"/>
      </w:rPr>
    </w:lvl>
    <w:lvl w:ilvl="6">
      <w:start w:val="0"/>
      <w:numFmt w:val="bullet"/>
      <w:lvlText w:val="•"/>
      <w:lvlJc w:val="left"/>
      <w:pPr>
        <w:ind w:left="7166" w:hanging="502"/>
      </w:pPr>
      <w:rPr>
        <w:rFonts w:hint="default"/>
        <w:lang w:val="es-ES" w:eastAsia="en-US" w:bidi="ar-SA"/>
      </w:rPr>
    </w:lvl>
    <w:lvl w:ilvl="7">
      <w:start w:val="0"/>
      <w:numFmt w:val="bullet"/>
      <w:lvlText w:val="•"/>
      <w:lvlJc w:val="left"/>
      <w:pPr>
        <w:ind w:left="8030" w:hanging="502"/>
      </w:pPr>
      <w:rPr>
        <w:rFonts w:hint="default"/>
        <w:lang w:val="es-ES" w:eastAsia="en-US" w:bidi="ar-SA"/>
      </w:rPr>
    </w:lvl>
    <w:lvl w:ilvl="8">
      <w:start w:val="0"/>
      <w:numFmt w:val="bullet"/>
      <w:lvlText w:val="•"/>
      <w:lvlJc w:val="left"/>
      <w:pPr>
        <w:ind w:left="8895" w:hanging="502"/>
      </w:pPr>
      <w:rPr>
        <w:rFonts w:hint="default"/>
        <w:lang w:val="es-ES" w:eastAsia="en-US" w:bidi="ar-SA"/>
      </w:rPr>
    </w:lvl>
  </w:abstractNum>
  <w:abstractNum w:abstractNumId="113">
    <w:multiLevelType w:val="hybridMultilevel"/>
    <w:lvl w:ilvl="0">
      <w:start w:val="0"/>
      <w:numFmt w:val="bullet"/>
      <w:lvlText w:val=""/>
      <w:lvlJc w:val="left"/>
      <w:pPr>
        <w:ind w:left="1420"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340" w:hanging="360"/>
      </w:pPr>
      <w:rPr>
        <w:rFonts w:hint="default"/>
        <w:lang w:val="es-ES" w:eastAsia="en-US" w:bidi="ar-SA"/>
      </w:rPr>
    </w:lvl>
    <w:lvl w:ilvl="2">
      <w:start w:val="0"/>
      <w:numFmt w:val="bullet"/>
      <w:lvlText w:val="•"/>
      <w:lvlJc w:val="left"/>
      <w:pPr>
        <w:ind w:left="3260" w:hanging="360"/>
      </w:pPr>
      <w:rPr>
        <w:rFonts w:hint="default"/>
        <w:lang w:val="es-ES" w:eastAsia="en-US" w:bidi="ar-SA"/>
      </w:rPr>
    </w:lvl>
    <w:lvl w:ilvl="3">
      <w:start w:val="0"/>
      <w:numFmt w:val="bullet"/>
      <w:lvlText w:val="•"/>
      <w:lvlJc w:val="left"/>
      <w:pPr>
        <w:ind w:left="4181" w:hanging="360"/>
      </w:pPr>
      <w:rPr>
        <w:rFonts w:hint="default"/>
        <w:lang w:val="es-ES" w:eastAsia="en-US" w:bidi="ar-SA"/>
      </w:rPr>
    </w:lvl>
    <w:lvl w:ilvl="4">
      <w:start w:val="0"/>
      <w:numFmt w:val="bullet"/>
      <w:lvlText w:val="•"/>
      <w:lvlJc w:val="left"/>
      <w:pPr>
        <w:ind w:left="5101" w:hanging="360"/>
      </w:pPr>
      <w:rPr>
        <w:rFonts w:hint="default"/>
        <w:lang w:val="es-ES" w:eastAsia="en-US" w:bidi="ar-SA"/>
      </w:rPr>
    </w:lvl>
    <w:lvl w:ilvl="5">
      <w:start w:val="0"/>
      <w:numFmt w:val="bullet"/>
      <w:lvlText w:val="•"/>
      <w:lvlJc w:val="left"/>
      <w:pPr>
        <w:ind w:left="6022" w:hanging="360"/>
      </w:pPr>
      <w:rPr>
        <w:rFonts w:hint="default"/>
        <w:lang w:val="es-ES" w:eastAsia="en-US" w:bidi="ar-SA"/>
      </w:rPr>
    </w:lvl>
    <w:lvl w:ilvl="6">
      <w:start w:val="0"/>
      <w:numFmt w:val="bullet"/>
      <w:lvlText w:val="•"/>
      <w:lvlJc w:val="left"/>
      <w:pPr>
        <w:ind w:left="6942" w:hanging="360"/>
      </w:pPr>
      <w:rPr>
        <w:rFonts w:hint="default"/>
        <w:lang w:val="es-ES" w:eastAsia="en-US" w:bidi="ar-SA"/>
      </w:rPr>
    </w:lvl>
    <w:lvl w:ilvl="7">
      <w:start w:val="0"/>
      <w:numFmt w:val="bullet"/>
      <w:lvlText w:val="•"/>
      <w:lvlJc w:val="left"/>
      <w:pPr>
        <w:ind w:left="7862" w:hanging="360"/>
      </w:pPr>
      <w:rPr>
        <w:rFonts w:hint="default"/>
        <w:lang w:val="es-ES" w:eastAsia="en-US" w:bidi="ar-SA"/>
      </w:rPr>
    </w:lvl>
    <w:lvl w:ilvl="8">
      <w:start w:val="0"/>
      <w:numFmt w:val="bullet"/>
      <w:lvlText w:val="•"/>
      <w:lvlJc w:val="left"/>
      <w:pPr>
        <w:ind w:left="8783" w:hanging="360"/>
      </w:pPr>
      <w:rPr>
        <w:rFonts w:hint="default"/>
        <w:lang w:val="es-ES" w:eastAsia="en-US" w:bidi="ar-SA"/>
      </w:rPr>
    </w:lvl>
  </w:abstractNum>
  <w:abstractNum w:abstractNumId="112">
    <w:multiLevelType w:val="hybridMultilevel"/>
    <w:lvl w:ilvl="0">
      <w:start w:val="1"/>
      <w:numFmt w:val="lowerLetter"/>
      <w:lvlText w:val="%1)"/>
      <w:lvlJc w:val="left"/>
      <w:pPr>
        <w:ind w:left="1562" w:hanging="286"/>
        <w:jc w:val="left"/>
      </w:pPr>
      <w:rPr>
        <w:rFonts w:hint="default" w:ascii="Arial" w:hAnsi="Arial" w:eastAsia="Arial" w:cs="Arial"/>
        <w:b w:val="0"/>
        <w:bCs w:val="0"/>
        <w:i/>
        <w:iCs/>
        <w:spacing w:val="-1"/>
        <w:w w:val="100"/>
        <w:sz w:val="22"/>
        <w:szCs w:val="22"/>
        <w:lang w:val="es-ES" w:eastAsia="en-US" w:bidi="ar-SA"/>
      </w:rPr>
    </w:lvl>
    <w:lvl w:ilvl="1">
      <w:start w:val="0"/>
      <w:numFmt w:val="bullet"/>
      <w:lvlText w:val="•"/>
      <w:lvlJc w:val="left"/>
      <w:pPr>
        <w:ind w:left="2466" w:hanging="286"/>
      </w:pPr>
      <w:rPr>
        <w:rFonts w:hint="default"/>
        <w:lang w:val="es-ES" w:eastAsia="en-US" w:bidi="ar-SA"/>
      </w:rPr>
    </w:lvl>
    <w:lvl w:ilvl="2">
      <w:start w:val="0"/>
      <w:numFmt w:val="bullet"/>
      <w:lvlText w:val="•"/>
      <w:lvlJc w:val="left"/>
      <w:pPr>
        <w:ind w:left="3372" w:hanging="286"/>
      </w:pPr>
      <w:rPr>
        <w:rFonts w:hint="default"/>
        <w:lang w:val="es-ES" w:eastAsia="en-US" w:bidi="ar-SA"/>
      </w:rPr>
    </w:lvl>
    <w:lvl w:ilvl="3">
      <w:start w:val="0"/>
      <w:numFmt w:val="bullet"/>
      <w:lvlText w:val="•"/>
      <w:lvlJc w:val="left"/>
      <w:pPr>
        <w:ind w:left="4279" w:hanging="286"/>
      </w:pPr>
      <w:rPr>
        <w:rFonts w:hint="default"/>
        <w:lang w:val="es-ES" w:eastAsia="en-US" w:bidi="ar-SA"/>
      </w:rPr>
    </w:lvl>
    <w:lvl w:ilvl="4">
      <w:start w:val="0"/>
      <w:numFmt w:val="bullet"/>
      <w:lvlText w:val="•"/>
      <w:lvlJc w:val="left"/>
      <w:pPr>
        <w:ind w:left="5185" w:hanging="286"/>
      </w:pPr>
      <w:rPr>
        <w:rFonts w:hint="default"/>
        <w:lang w:val="es-ES" w:eastAsia="en-US" w:bidi="ar-SA"/>
      </w:rPr>
    </w:lvl>
    <w:lvl w:ilvl="5">
      <w:start w:val="0"/>
      <w:numFmt w:val="bullet"/>
      <w:lvlText w:val="•"/>
      <w:lvlJc w:val="left"/>
      <w:pPr>
        <w:ind w:left="6092" w:hanging="286"/>
      </w:pPr>
      <w:rPr>
        <w:rFonts w:hint="default"/>
        <w:lang w:val="es-ES" w:eastAsia="en-US" w:bidi="ar-SA"/>
      </w:rPr>
    </w:lvl>
    <w:lvl w:ilvl="6">
      <w:start w:val="0"/>
      <w:numFmt w:val="bullet"/>
      <w:lvlText w:val="•"/>
      <w:lvlJc w:val="left"/>
      <w:pPr>
        <w:ind w:left="6998" w:hanging="286"/>
      </w:pPr>
      <w:rPr>
        <w:rFonts w:hint="default"/>
        <w:lang w:val="es-ES" w:eastAsia="en-US" w:bidi="ar-SA"/>
      </w:rPr>
    </w:lvl>
    <w:lvl w:ilvl="7">
      <w:start w:val="0"/>
      <w:numFmt w:val="bullet"/>
      <w:lvlText w:val="•"/>
      <w:lvlJc w:val="left"/>
      <w:pPr>
        <w:ind w:left="7904" w:hanging="286"/>
      </w:pPr>
      <w:rPr>
        <w:rFonts w:hint="default"/>
        <w:lang w:val="es-ES" w:eastAsia="en-US" w:bidi="ar-SA"/>
      </w:rPr>
    </w:lvl>
    <w:lvl w:ilvl="8">
      <w:start w:val="0"/>
      <w:numFmt w:val="bullet"/>
      <w:lvlText w:val="•"/>
      <w:lvlJc w:val="left"/>
      <w:pPr>
        <w:ind w:left="8811" w:hanging="286"/>
      </w:pPr>
      <w:rPr>
        <w:rFonts w:hint="default"/>
        <w:lang w:val="es-ES" w:eastAsia="en-US" w:bidi="ar-SA"/>
      </w:rPr>
    </w:lvl>
  </w:abstractNum>
  <w:abstractNum w:abstractNumId="111">
    <w:multiLevelType w:val="hybridMultilevel"/>
    <w:lvl w:ilvl="0">
      <w:start w:val="1"/>
      <w:numFmt w:val="lowerRoman"/>
      <w:lvlText w:val="(%1)"/>
      <w:lvlJc w:val="left"/>
      <w:pPr>
        <w:ind w:left="1276" w:hanging="348"/>
        <w:jc w:val="right"/>
      </w:pPr>
      <w:rPr>
        <w:rFonts w:hint="default" w:ascii="Arial" w:hAnsi="Arial" w:eastAsia="Arial" w:cs="Arial"/>
        <w:b w:val="0"/>
        <w:bCs w:val="0"/>
        <w:i/>
        <w:iCs/>
        <w:spacing w:val="-2"/>
        <w:w w:val="100"/>
        <w:sz w:val="22"/>
        <w:szCs w:val="22"/>
        <w:lang w:val="es-ES" w:eastAsia="en-US" w:bidi="ar-SA"/>
      </w:rPr>
    </w:lvl>
    <w:lvl w:ilvl="1">
      <w:start w:val="0"/>
      <w:numFmt w:val="bullet"/>
      <w:lvlText w:val="•"/>
      <w:lvlJc w:val="left"/>
      <w:pPr>
        <w:ind w:left="2214" w:hanging="348"/>
      </w:pPr>
      <w:rPr>
        <w:rFonts w:hint="default"/>
        <w:lang w:val="es-ES" w:eastAsia="en-US" w:bidi="ar-SA"/>
      </w:rPr>
    </w:lvl>
    <w:lvl w:ilvl="2">
      <w:start w:val="0"/>
      <w:numFmt w:val="bullet"/>
      <w:lvlText w:val="•"/>
      <w:lvlJc w:val="left"/>
      <w:pPr>
        <w:ind w:left="3148" w:hanging="348"/>
      </w:pPr>
      <w:rPr>
        <w:rFonts w:hint="default"/>
        <w:lang w:val="es-ES" w:eastAsia="en-US" w:bidi="ar-SA"/>
      </w:rPr>
    </w:lvl>
    <w:lvl w:ilvl="3">
      <w:start w:val="0"/>
      <w:numFmt w:val="bullet"/>
      <w:lvlText w:val="•"/>
      <w:lvlJc w:val="left"/>
      <w:pPr>
        <w:ind w:left="4083" w:hanging="348"/>
      </w:pPr>
      <w:rPr>
        <w:rFonts w:hint="default"/>
        <w:lang w:val="es-ES" w:eastAsia="en-US" w:bidi="ar-SA"/>
      </w:rPr>
    </w:lvl>
    <w:lvl w:ilvl="4">
      <w:start w:val="0"/>
      <w:numFmt w:val="bullet"/>
      <w:lvlText w:val="•"/>
      <w:lvlJc w:val="left"/>
      <w:pPr>
        <w:ind w:left="5017" w:hanging="348"/>
      </w:pPr>
      <w:rPr>
        <w:rFonts w:hint="default"/>
        <w:lang w:val="es-ES" w:eastAsia="en-US" w:bidi="ar-SA"/>
      </w:rPr>
    </w:lvl>
    <w:lvl w:ilvl="5">
      <w:start w:val="0"/>
      <w:numFmt w:val="bullet"/>
      <w:lvlText w:val="•"/>
      <w:lvlJc w:val="left"/>
      <w:pPr>
        <w:ind w:left="5952" w:hanging="348"/>
      </w:pPr>
      <w:rPr>
        <w:rFonts w:hint="default"/>
        <w:lang w:val="es-ES" w:eastAsia="en-US" w:bidi="ar-SA"/>
      </w:rPr>
    </w:lvl>
    <w:lvl w:ilvl="6">
      <w:start w:val="0"/>
      <w:numFmt w:val="bullet"/>
      <w:lvlText w:val="•"/>
      <w:lvlJc w:val="left"/>
      <w:pPr>
        <w:ind w:left="6886" w:hanging="348"/>
      </w:pPr>
      <w:rPr>
        <w:rFonts w:hint="default"/>
        <w:lang w:val="es-ES" w:eastAsia="en-US" w:bidi="ar-SA"/>
      </w:rPr>
    </w:lvl>
    <w:lvl w:ilvl="7">
      <w:start w:val="0"/>
      <w:numFmt w:val="bullet"/>
      <w:lvlText w:val="•"/>
      <w:lvlJc w:val="left"/>
      <w:pPr>
        <w:ind w:left="7820" w:hanging="348"/>
      </w:pPr>
      <w:rPr>
        <w:rFonts w:hint="default"/>
        <w:lang w:val="es-ES" w:eastAsia="en-US" w:bidi="ar-SA"/>
      </w:rPr>
    </w:lvl>
    <w:lvl w:ilvl="8">
      <w:start w:val="0"/>
      <w:numFmt w:val="bullet"/>
      <w:lvlText w:val="•"/>
      <w:lvlJc w:val="left"/>
      <w:pPr>
        <w:ind w:left="8755" w:hanging="348"/>
      </w:pPr>
      <w:rPr>
        <w:rFonts w:hint="default"/>
        <w:lang w:val="es-ES" w:eastAsia="en-US" w:bidi="ar-SA"/>
      </w:rPr>
    </w:lvl>
  </w:abstractNum>
  <w:abstractNum w:abstractNumId="110">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109">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108">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107">
    <w:multiLevelType w:val="hybridMultilevel"/>
    <w:lvl w:ilvl="0">
      <w:start w:val="0"/>
      <w:numFmt w:val="bullet"/>
      <w:lvlText w:val=""/>
      <w:lvlJc w:val="left"/>
      <w:pPr>
        <w:ind w:left="1420"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340" w:hanging="360"/>
      </w:pPr>
      <w:rPr>
        <w:rFonts w:hint="default"/>
        <w:lang w:val="es-ES" w:eastAsia="en-US" w:bidi="ar-SA"/>
      </w:rPr>
    </w:lvl>
    <w:lvl w:ilvl="2">
      <w:start w:val="0"/>
      <w:numFmt w:val="bullet"/>
      <w:lvlText w:val="•"/>
      <w:lvlJc w:val="left"/>
      <w:pPr>
        <w:ind w:left="3260" w:hanging="360"/>
      </w:pPr>
      <w:rPr>
        <w:rFonts w:hint="default"/>
        <w:lang w:val="es-ES" w:eastAsia="en-US" w:bidi="ar-SA"/>
      </w:rPr>
    </w:lvl>
    <w:lvl w:ilvl="3">
      <w:start w:val="0"/>
      <w:numFmt w:val="bullet"/>
      <w:lvlText w:val="•"/>
      <w:lvlJc w:val="left"/>
      <w:pPr>
        <w:ind w:left="4181" w:hanging="360"/>
      </w:pPr>
      <w:rPr>
        <w:rFonts w:hint="default"/>
        <w:lang w:val="es-ES" w:eastAsia="en-US" w:bidi="ar-SA"/>
      </w:rPr>
    </w:lvl>
    <w:lvl w:ilvl="4">
      <w:start w:val="0"/>
      <w:numFmt w:val="bullet"/>
      <w:lvlText w:val="•"/>
      <w:lvlJc w:val="left"/>
      <w:pPr>
        <w:ind w:left="5101" w:hanging="360"/>
      </w:pPr>
      <w:rPr>
        <w:rFonts w:hint="default"/>
        <w:lang w:val="es-ES" w:eastAsia="en-US" w:bidi="ar-SA"/>
      </w:rPr>
    </w:lvl>
    <w:lvl w:ilvl="5">
      <w:start w:val="0"/>
      <w:numFmt w:val="bullet"/>
      <w:lvlText w:val="•"/>
      <w:lvlJc w:val="left"/>
      <w:pPr>
        <w:ind w:left="6022" w:hanging="360"/>
      </w:pPr>
      <w:rPr>
        <w:rFonts w:hint="default"/>
        <w:lang w:val="es-ES" w:eastAsia="en-US" w:bidi="ar-SA"/>
      </w:rPr>
    </w:lvl>
    <w:lvl w:ilvl="6">
      <w:start w:val="0"/>
      <w:numFmt w:val="bullet"/>
      <w:lvlText w:val="•"/>
      <w:lvlJc w:val="left"/>
      <w:pPr>
        <w:ind w:left="6942" w:hanging="360"/>
      </w:pPr>
      <w:rPr>
        <w:rFonts w:hint="default"/>
        <w:lang w:val="es-ES" w:eastAsia="en-US" w:bidi="ar-SA"/>
      </w:rPr>
    </w:lvl>
    <w:lvl w:ilvl="7">
      <w:start w:val="0"/>
      <w:numFmt w:val="bullet"/>
      <w:lvlText w:val="•"/>
      <w:lvlJc w:val="left"/>
      <w:pPr>
        <w:ind w:left="7862" w:hanging="360"/>
      </w:pPr>
      <w:rPr>
        <w:rFonts w:hint="default"/>
        <w:lang w:val="es-ES" w:eastAsia="en-US" w:bidi="ar-SA"/>
      </w:rPr>
    </w:lvl>
    <w:lvl w:ilvl="8">
      <w:start w:val="0"/>
      <w:numFmt w:val="bullet"/>
      <w:lvlText w:val="•"/>
      <w:lvlJc w:val="left"/>
      <w:pPr>
        <w:ind w:left="8783" w:hanging="360"/>
      </w:pPr>
      <w:rPr>
        <w:rFonts w:hint="default"/>
        <w:lang w:val="es-ES" w:eastAsia="en-US" w:bidi="ar-SA"/>
      </w:rPr>
    </w:lvl>
  </w:abstractNum>
  <w:abstractNum w:abstractNumId="106">
    <w:multiLevelType w:val="hybridMultilevel"/>
    <w:lvl w:ilvl="0">
      <w:start w:val="9"/>
      <w:numFmt w:val="lowerLetter"/>
      <w:lvlText w:val="%1."/>
      <w:lvlJc w:val="left"/>
      <w:pPr>
        <w:ind w:left="2008" w:hanging="360"/>
        <w:jc w:val="left"/>
      </w:pPr>
      <w:rPr>
        <w:rFonts w:hint="default" w:ascii="Arial" w:hAnsi="Arial" w:eastAsia="Arial" w:cs="Arial"/>
        <w:b w:val="0"/>
        <w:bCs w:val="0"/>
        <w:i/>
        <w:iCs/>
        <w:spacing w:val="-1"/>
        <w:w w:val="100"/>
        <w:sz w:val="22"/>
        <w:szCs w:val="22"/>
        <w:lang w:val="es-ES" w:eastAsia="en-US" w:bidi="ar-SA"/>
      </w:rPr>
    </w:lvl>
    <w:lvl w:ilvl="1">
      <w:start w:val="0"/>
      <w:numFmt w:val="bullet"/>
      <w:lvlText w:val="•"/>
      <w:lvlJc w:val="left"/>
      <w:pPr>
        <w:ind w:left="2862" w:hanging="360"/>
      </w:pPr>
      <w:rPr>
        <w:rFonts w:hint="default"/>
        <w:lang w:val="es-ES" w:eastAsia="en-US" w:bidi="ar-SA"/>
      </w:rPr>
    </w:lvl>
    <w:lvl w:ilvl="2">
      <w:start w:val="0"/>
      <w:numFmt w:val="bullet"/>
      <w:lvlText w:val="•"/>
      <w:lvlJc w:val="left"/>
      <w:pPr>
        <w:ind w:left="3724" w:hanging="360"/>
      </w:pPr>
      <w:rPr>
        <w:rFonts w:hint="default"/>
        <w:lang w:val="es-ES" w:eastAsia="en-US" w:bidi="ar-SA"/>
      </w:rPr>
    </w:lvl>
    <w:lvl w:ilvl="3">
      <w:start w:val="0"/>
      <w:numFmt w:val="bullet"/>
      <w:lvlText w:val="•"/>
      <w:lvlJc w:val="left"/>
      <w:pPr>
        <w:ind w:left="4587" w:hanging="360"/>
      </w:pPr>
      <w:rPr>
        <w:rFonts w:hint="default"/>
        <w:lang w:val="es-ES" w:eastAsia="en-US" w:bidi="ar-SA"/>
      </w:rPr>
    </w:lvl>
    <w:lvl w:ilvl="4">
      <w:start w:val="0"/>
      <w:numFmt w:val="bullet"/>
      <w:lvlText w:val="•"/>
      <w:lvlJc w:val="left"/>
      <w:pPr>
        <w:ind w:left="5449" w:hanging="360"/>
      </w:pPr>
      <w:rPr>
        <w:rFonts w:hint="default"/>
        <w:lang w:val="es-ES" w:eastAsia="en-US" w:bidi="ar-SA"/>
      </w:rPr>
    </w:lvl>
    <w:lvl w:ilvl="5">
      <w:start w:val="0"/>
      <w:numFmt w:val="bullet"/>
      <w:lvlText w:val="•"/>
      <w:lvlJc w:val="left"/>
      <w:pPr>
        <w:ind w:left="6312" w:hanging="360"/>
      </w:pPr>
      <w:rPr>
        <w:rFonts w:hint="default"/>
        <w:lang w:val="es-ES" w:eastAsia="en-US" w:bidi="ar-SA"/>
      </w:rPr>
    </w:lvl>
    <w:lvl w:ilvl="6">
      <w:start w:val="0"/>
      <w:numFmt w:val="bullet"/>
      <w:lvlText w:val="•"/>
      <w:lvlJc w:val="left"/>
      <w:pPr>
        <w:ind w:left="7174" w:hanging="360"/>
      </w:pPr>
      <w:rPr>
        <w:rFonts w:hint="default"/>
        <w:lang w:val="es-ES" w:eastAsia="en-US" w:bidi="ar-SA"/>
      </w:rPr>
    </w:lvl>
    <w:lvl w:ilvl="7">
      <w:start w:val="0"/>
      <w:numFmt w:val="bullet"/>
      <w:lvlText w:val="•"/>
      <w:lvlJc w:val="left"/>
      <w:pPr>
        <w:ind w:left="8036" w:hanging="360"/>
      </w:pPr>
      <w:rPr>
        <w:rFonts w:hint="default"/>
        <w:lang w:val="es-ES" w:eastAsia="en-US" w:bidi="ar-SA"/>
      </w:rPr>
    </w:lvl>
    <w:lvl w:ilvl="8">
      <w:start w:val="0"/>
      <w:numFmt w:val="bullet"/>
      <w:lvlText w:val="•"/>
      <w:lvlJc w:val="left"/>
      <w:pPr>
        <w:ind w:left="8899" w:hanging="360"/>
      </w:pPr>
      <w:rPr>
        <w:rFonts w:hint="default"/>
        <w:lang w:val="es-ES" w:eastAsia="en-US" w:bidi="ar-SA"/>
      </w:rPr>
    </w:lvl>
  </w:abstractNum>
  <w:abstractNum w:abstractNumId="105">
    <w:multiLevelType w:val="hybridMultilevel"/>
    <w:lvl w:ilvl="0">
      <w:start w:val="1"/>
      <w:numFmt w:val="lowerLetter"/>
      <w:lvlText w:val="%1."/>
      <w:lvlJc w:val="left"/>
      <w:pPr>
        <w:ind w:left="2070" w:hanging="423"/>
        <w:jc w:val="left"/>
      </w:pPr>
      <w:rPr>
        <w:rFonts w:hint="default"/>
        <w:spacing w:val="-1"/>
        <w:w w:val="100"/>
        <w:lang w:val="es-ES" w:eastAsia="en-US" w:bidi="ar-SA"/>
      </w:rPr>
    </w:lvl>
    <w:lvl w:ilvl="1">
      <w:start w:val="0"/>
      <w:numFmt w:val="bullet"/>
      <w:lvlText w:val="•"/>
      <w:lvlJc w:val="left"/>
      <w:pPr>
        <w:ind w:left="2934" w:hanging="423"/>
      </w:pPr>
      <w:rPr>
        <w:rFonts w:hint="default"/>
        <w:lang w:val="es-ES" w:eastAsia="en-US" w:bidi="ar-SA"/>
      </w:rPr>
    </w:lvl>
    <w:lvl w:ilvl="2">
      <w:start w:val="0"/>
      <w:numFmt w:val="bullet"/>
      <w:lvlText w:val="•"/>
      <w:lvlJc w:val="left"/>
      <w:pPr>
        <w:ind w:left="3788" w:hanging="423"/>
      </w:pPr>
      <w:rPr>
        <w:rFonts w:hint="default"/>
        <w:lang w:val="es-ES" w:eastAsia="en-US" w:bidi="ar-SA"/>
      </w:rPr>
    </w:lvl>
    <w:lvl w:ilvl="3">
      <w:start w:val="0"/>
      <w:numFmt w:val="bullet"/>
      <w:lvlText w:val="•"/>
      <w:lvlJc w:val="left"/>
      <w:pPr>
        <w:ind w:left="4643" w:hanging="423"/>
      </w:pPr>
      <w:rPr>
        <w:rFonts w:hint="default"/>
        <w:lang w:val="es-ES" w:eastAsia="en-US" w:bidi="ar-SA"/>
      </w:rPr>
    </w:lvl>
    <w:lvl w:ilvl="4">
      <w:start w:val="0"/>
      <w:numFmt w:val="bullet"/>
      <w:lvlText w:val="•"/>
      <w:lvlJc w:val="left"/>
      <w:pPr>
        <w:ind w:left="5497" w:hanging="423"/>
      </w:pPr>
      <w:rPr>
        <w:rFonts w:hint="default"/>
        <w:lang w:val="es-ES" w:eastAsia="en-US" w:bidi="ar-SA"/>
      </w:rPr>
    </w:lvl>
    <w:lvl w:ilvl="5">
      <w:start w:val="0"/>
      <w:numFmt w:val="bullet"/>
      <w:lvlText w:val="•"/>
      <w:lvlJc w:val="left"/>
      <w:pPr>
        <w:ind w:left="6352" w:hanging="423"/>
      </w:pPr>
      <w:rPr>
        <w:rFonts w:hint="default"/>
        <w:lang w:val="es-ES" w:eastAsia="en-US" w:bidi="ar-SA"/>
      </w:rPr>
    </w:lvl>
    <w:lvl w:ilvl="6">
      <w:start w:val="0"/>
      <w:numFmt w:val="bullet"/>
      <w:lvlText w:val="•"/>
      <w:lvlJc w:val="left"/>
      <w:pPr>
        <w:ind w:left="7206" w:hanging="423"/>
      </w:pPr>
      <w:rPr>
        <w:rFonts w:hint="default"/>
        <w:lang w:val="es-ES" w:eastAsia="en-US" w:bidi="ar-SA"/>
      </w:rPr>
    </w:lvl>
    <w:lvl w:ilvl="7">
      <w:start w:val="0"/>
      <w:numFmt w:val="bullet"/>
      <w:lvlText w:val="•"/>
      <w:lvlJc w:val="left"/>
      <w:pPr>
        <w:ind w:left="8060" w:hanging="423"/>
      </w:pPr>
      <w:rPr>
        <w:rFonts w:hint="default"/>
        <w:lang w:val="es-ES" w:eastAsia="en-US" w:bidi="ar-SA"/>
      </w:rPr>
    </w:lvl>
    <w:lvl w:ilvl="8">
      <w:start w:val="0"/>
      <w:numFmt w:val="bullet"/>
      <w:lvlText w:val="•"/>
      <w:lvlJc w:val="left"/>
      <w:pPr>
        <w:ind w:left="8915" w:hanging="423"/>
      </w:pPr>
      <w:rPr>
        <w:rFonts w:hint="default"/>
        <w:lang w:val="es-ES" w:eastAsia="en-US" w:bidi="ar-SA"/>
      </w:rPr>
    </w:lvl>
  </w:abstractNum>
  <w:abstractNum w:abstractNumId="104">
    <w:multiLevelType w:val="hybridMultilevel"/>
    <w:lvl w:ilvl="0">
      <w:start w:val="1"/>
      <w:numFmt w:val="lowerLetter"/>
      <w:lvlText w:val="%1)"/>
      <w:lvlJc w:val="left"/>
      <w:pPr>
        <w:ind w:left="1701" w:hanging="576"/>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592" w:hanging="576"/>
      </w:pPr>
      <w:rPr>
        <w:rFonts w:hint="default"/>
        <w:lang w:val="es-ES" w:eastAsia="en-US" w:bidi="ar-SA"/>
      </w:rPr>
    </w:lvl>
    <w:lvl w:ilvl="2">
      <w:start w:val="0"/>
      <w:numFmt w:val="bullet"/>
      <w:lvlText w:val="•"/>
      <w:lvlJc w:val="left"/>
      <w:pPr>
        <w:ind w:left="3484" w:hanging="576"/>
      </w:pPr>
      <w:rPr>
        <w:rFonts w:hint="default"/>
        <w:lang w:val="es-ES" w:eastAsia="en-US" w:bidi="ar-SA"/>
      </w:rPr>
    </w:lvl>
    <w:lvl w:ilvl="3">
      <w:start w:val="0"/>
      <w:numFmt w:val="bullet"/>
      <w:lvlText w:val="•"/>
      <w:lvlJc w:val="left"/>
      <w:pPr>
        <w:ind w:left="4377" w:hanging="576"/>
      </w:pPr>
      <w:rPr>
        <w:rFonts w:hint="default"/>
        <w:lang w:val="es-ES" w:eastAsia="en-US" w:bidi="ar-SA"/>
      </w:rPr>
    </w:lvl>
    <w:lvl w:ilvl="4">
      <w:start w:val="0"/>
      <w:numFmt w:val="bullet"/>
      <w:lvlText w:val="•"/>
      <w:lvlJc w:val="left"/>
      <w:pPr>
        <w:ind w:left="5269" w:hanging="576"/>
      </w:pPr>
      <w:rPr>
        <w:rFonts w:hint="default"/>
        <w:lang w:val="es-ES" w:eastAsia="en-US" w:bidi="ar-SA"/>
      </w:rPr>
    </w:lvl>
    <w:lvl w:ilvl="5">
      <w:start w:val="0"/>
      <w:numFmt w:val="bullet"/>
      <w:lvlText w:val="•"/>
      <w:lvlJc w:val="left"/>
      <w:pPr>
        <w:ind w:left="6162" w:hanging="576"/>
      </w:pPr>
      <w:rPr>
        <w:rFonts w:hint="default"/>
        <w:lang w:val="es-ES" w:eastAsia="en-US" w:bidi="ar-SA"/>
      </w:rPr>
    </w:lvl>
    <w:lvl w:ilvl="6">
      <w:start w:val="0"/>
      <w:numFmt w:val="bullet"/>
      <w:lvlText w:val="•"/>
      <w:lvlJc w:val="left"/>
      <w:pPr>
        <w:ind w:left="7054" w:hanging="576"/>
      </w:pPr>
      <w:rPr>
        <w:rFonts w:hint="default"/>
        <w:lang w:val="es-ES" w:eastAsia="en-US" w:bidi="ar-SA"/>
      </w:rPr>
    </w:lvl>
    <w:lvl w:ilvl="7">
      <w:start w:val="0"/>
      <w:numFmt w:val="bullet"/>
      <w:lvlText w:val="•"/>
      <w:lvlJc w:val="left"/>
      <w:pPr>
        <w:ind w:left="7946" w:hanging="576"/>
      </w:pPr>
      <w:rPr>
        <w:rFonts w:hint="default"/>
        <w:lang w:val="es-ES" w:eastAsia="en-US" w:bidi="ar-SA"/>
      </w:rPr>
    </w:lvl>
    <w:lvl w:ilvl="8">
      <w:start w:val="0"/>
      <w:numFmt w:val="bullet"/>
      <w:lvlText w:val="•"/>
      <w:lvlJc w:val="left"/>
      <w:pPr>
        <w:ind w:left="8839" w:hanging="576"/>
      </w:pPr>
      <w:rPr>
        <w:rFonts w:hint="default"/>
        <w:lang w:val="es-ES" w:eastAsia="en-US" w:bidi="ar-SA"/>
      </w:rPr>
    </w:lvl>
  </w:abstractNum>
  <w:abstractNum w:abstractNumId="103">
    <w:multiLevelType w:val="hybridMultilevel"/>
    <w:lvl w:ilvl="0">
      <w:start w:val="1"/>
      <w:numFmt w:val="lowerRoman"/>
      <w:lvlText w:val="(%1)"/>
      <w:lvlJc w:val="left"/>
      <w:pPr>
        <w:ind w:left="1276" w:hanging="348"/>
        <w:jc w:val="left"/>
      </w:pPr>
      <w:rPr>
        <w:rFonts w:hint="default" w:ascii="Arial" w:hAnsi="Arial" w:eastAsia="Arial" w:cs="Arial"/>
        <w:b w:val="0"/>
        <w:bCs w:val="0"/>
        <w:i/>
        <w:iCs/>
        <w:spacing w:val="-2"/>
        <w:w w:val="100"/>
        <w:sz w:val="22"/>
        <w:szCs w:val="22"/>
        <w:lang w:val="es-ES" w:eastAsia="en-US" w:bidi="ar-SA"/>
      </w:rPr>
    </w:lvl>
    <w:lvl w:ilvl="1">
      <w:start w:val="0"/>
      <w:numFmt w:val="bullet"/>
      <w:lvlText w:val="•"/>
      <w:lvlJc w:val="left"/>
      <w:pPr>
        <w:ind w:left="2214" w:hanging="348"/>
      </w:pPr>
      <w:rPr>
        <w:rFonts w:hint="default"/>
        <w:lang w:val="es-ES" w:eastAsia="en-US" w:bidi="ar-SA"/>
      </w:rPr>
    </w:lvl>
    <w:lvl w:ilvl="2">
      <w:start w:val="0"/>
      <w:numFmt w:val="bullet"/>
      <w:lvlText w:val="•"/>
      <w:lvlJc w:val="left"/>
      <w:pPr>
        <w:ind w:left="3148" w:hanging="348"/>
      </w:pPr>
      <w:rPr>
        <w:rFonts w:hint="default"/>
        <w:lang w:val="es-ES" w:eastAsia="en-US" w:bidi="ar-SA"/>
      </w:rPr>
    </w:lvl>
    <w:lvl w:ilvl="3">
      <w:start w:val="0"/>
      <w:numFmt w:val="bullet"/>
      <w:lvlText w:val="•"/>
      <w:lvlJc w:val="left"/>
      <w:pPr>
        <w:ind w:left="4083" w:hanging="348"/>
      </w:pPr>
      <w:rPr>
        <w:rFonts w:hint="default"/>
        <w:lang w:val="es-ES" w:eastAsia="en-US" w:bidi="ar-SA"/>
      </w:rPr>
    </w:lvl>
    <w:lvl w:ilvl="4">
      <w:start w:val="0"/>
      <w:numFmt w:val="bullet"/>
      <w:lvlText w:val="•"/>
      <w:lvlJc w:val="left"/>
      <w:pPr>
        <w:ind w:left="5017" w:hanging="348"/>
      </w:pPr>
      <w:rPr>
        <w:rFonts w:hint="default"/>
        <w:lang w:val="es-ES" w:eastAsia="en-US" w:bidi="ar-SA"/>
      </w:rPr>
    </w:lvl>
    <w:lvl w:ilvl="5">
      <w:start w:val="0"/>
      <w:numFmt w:val="bullet"/>
      <w:lvlText w:val="•"/>
      <w:lvlJc w:val="left"/>
      <w:pPr>
        <w:ind w:left="5952" w:hanging="348"/>
      </w:pPr>
      <w:rPr>
        <w:rFonts w:hint="default"/>
        <w:lang w:val="es-ES" w:eastAsia="en-US" w:bidi="ar-SA"/>
      </w:rPr>
    </w:lvl>
    <w:lvl w:ilvl="6">
      <w:start w:val="0"/>
      <w:numFmt w:val="bullet"/>
      <w:lvlText w:val="•"/>
      <w:lvlJc w:val="left"/>
      <w:pPr>
        <w:ind w:left="6886" w:hanging="348"/>
      </w:pPr>
      <w:rPr>
        <w:rFonts w:hint="default"/>
        <w:lang w:val="es-ES" w:eastAsia="en-US" w:bidi="ar-SA"/>
      </w:rPr>
    </w:lvl>
    <w:lvl w:ilvl="7">
      <w:start w:val="0"/>
      <w:numFmt w:val="bullet"/>
      <w:lvlText w:val="•"/>
      <w:lvlJc w:val="left"/>
      <w:pPr>
        <w:ind w:left="7820" w:hanging="348"/>
      </w:pPr>
      <w:rPr>
        <w:rFonts w:hint="default"/>
        <w:lang w:val="es-ES" w:eastAsia="en-US" w:bidi="ar-SA"/>
      </w:rPr>
    </w:lvl>
    <w:lvl w:ilvl="8">
      <w:start w:val="0"/>
      <w:numFmt w:val="bullet"/>
      <w:lvlText w:val="•"/>
      <w:lvlJc w:val="left"/>
      <w:pPr>
        <w:ind w:left="8755" w:hanging="348"/>
      </w:pPr>
      <w:rPr>
        <w:rFonts w:hint="default"/>
        <w:lang w:val="es-ES" w:eastAsia="en-US" w:bidi="ar-SA"/>
      </w:rPr>
    </w:lvl>
  </w:abstractNum>
  <w:abstractNum w:abstractNumId="102">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101">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100">
    <w:multiLevelType w:val="hybridMultilevel"/>
    <w:lvl w:ilvl="0">
      <w:start w:val="1"/>
      <w:numFmt w:val="lowerLetter"/>
      <w:lvlText w:val="%1."/>
      <w:lvlJc w:val="left"/>
      <w:pPr>
        <w:ind w:left="1562" w:hanging="360"/>
        <w:jc w:val="left"/>
      </w:pPr>
      <w:rPr>
        <w:rFonts w:hint="default"/>
        <w:spacing w:val="-1"/>
        <w:w w:val="100"/>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99">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98">
    <w:multiLevelType w:val="hybridMultilevel"/>
    <w:lvl w:ilvl="0">
      <w:start w:val="0"/>
      <w:numFmt w:val="bullet"/>
      <w:lvlText w:val=""/>
      <w:lvlJc w:val="left"/>
      <w:pPr>
        <w:ind w:left="1420"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340" w:hanging="360"/>
      </w:pPr>
      <w:rPr>
        <w:rFonts w:hint="default"/>
        <w:lang w:val="es-ES" w:eastAsia="en-US" w:bidi="ar-SA"/>
      </w:rPr>
    </w:lvl>
    <w:lvl w:ilvl="2">
      <w:start w:val="0"/>
      <w:numFmt w:val="bullet"/>
      <w:lvlText w:val="•"/>
      <w:lvlJc w:val="left"/>
      <w:pPr>
        <w:ind w:left="3260" w:hanging="360"/>
      </w:pPr>
      <w:rPr>
        <w:rFonts w:hint="default"/>
        <w:lang w:val="es-ES" w:eastAsia="en-US" w:bidi="ar-SA"/>
      </w:rPr>
    </w:lvl>
    <w:lvl w:ilvl="3">
      <w:start w:val="0"/>
      <w:numFmt w:val="bullet"/>
      <w:lvlText w:val="•"/>
      <w:lvlJc w:val="left"/>
      <w:pPr>
        <w:ind w:left="4181" w:hanging="360"/>
      </w:pPr>
      <w:rPr>
        <w:rFonts w:hint="default"/>
        <w:lang w:val="es-ES" w:eastAsia="en-US" w:bidi="ar-SA"/>
      </w:rPr>
    </w:lvl>
    <w:lvl w:ilvl="4">
      <w:start w:val="0"/>
      <w:numFmt w:val="bullet"/>
      <w:lvlText w:val="•"/>
      <w:lvlJc w:val="left"/>
      <w:pPr>
        <w:ind w:left="5101" w:hanging="360"/>
      </w:pPr>
      <w:rPr>
        <w:rFonts w:hint="default"/>
        <w:lang w:val="es-ES" w:eastAsia="en-US" w:bidi="ar-SA"/>
      </w:rPr>
    </w:lvl>
    <w:lvl w:ilvl="5">
      <w:start w:val="0"/>
      <w:numFmt w:val="bullet"/>
      <w:lvlText w:val="•"/>
      <w:lvlJc w:val="left"/>
      <w:pPr>
        <w:ind w:left="6022" w:hanging="360"/>
      </w:pPr>
      <w:rPr>
        <w:rFonts w:hint="default"/>
        <w:lang w:val="es-ES" w:eastAsia="en-US" w:bidi="ar-SA"/>
      </w:rPr>
    </w:lvl>
    <w:lvl w:ilvl="6">
      <w:start w:val="0"/>
      <w:numFmt w:val="bullet"/>
      <w:lvlText w:val="•"/>
      <w:lvlJc w:val="left"/>
      <w:pPr>
        <w:ind w:left="6942" w:hanging="360"/>
      </w:pPr>
      <w:rPr>
        <w:rFonts w:hint="default"/>
        <w:lang w:val="es-ES" w:eastAsia="en-US" w:bidi="ar-SA"/>
      </w:rPr>
    </w:lvl>
    <w:lvl w:ilvl="7">
      <w:start w:val="0"/>
      <w:numFmt w:val="bullet"/>
      <w:lvlText w:val="•"/>
      <w:lvlJc w:val="left"/>
      <w:pPr>
        <w:ind w:left="7862" w:hanging="360"/>
      </w:pPr>
      <w:rPr>
        <w:rFonts w:hint="default"/>
        <w:lang w:val="es-ES" w:eastAsia="en-US" w:bidi="ar-SA"/>
      </w:rPr>
    </w:lvl>
    <w:lvl w:ilvl="8">
      <w:start w:val="0"/>
      <w:numFmt w:val="bullet"/>
      <w:lvlText w:val="•"/>
      <w:lvlJc w:val="left"/>
      <w:pPr>
        <w:ind w:left="8783" w:hanging="360"/>
      </w:pPr>
      <w:rPr>
        <w:rFonts w:hint="default"/>
        <w:lang w:val="es-ES" w:eastAsia="en-US" w:bidi="ar-SA"/>
      </w:rPr>
    </w:lvl>
  </w:abstractNum>
  <w:abstractNum w:abstractNumId="97">
    <w:multiLevelType w:val="hybridMultilevel"/>
    <w:lvl w:ilvl="0">
      <w:start w:val="1"/>
      <w:numFmt w:val="lowerRoman"/>
      <w:lvlText w:val="(%1)"/>
      <w:lvlJc w:val="left"/>
      <w:pPr>
        <w:ind w:left="1134" w:hanging="567"/>
        <w:jc w:val="left"/>
      </w:pPr>
      <w:rPr>
        <w:rFonts w:hint="default" w:ascii="Arial" w:hAnsi="Arial" w:eastAsia="Arial" w:cs="Arial"/>
        <w:b w:val="0"/>
        <w:bCs w:val="0"/>
        <w:i/>
        <w:iCs/>
        <w:spacing w:val="-2"/>
        <w:w w:val="100"/>
        <w:sz w:val="22"/>
        <w:szCs w:val="22"/>
        <w:lang w:val="es-ES" w:eastAsia="en-US" w:bidi="ar-SA"/>
      </w:rPr>
    </w:lvl>
    <w:lvl w:ilvl="1">
      <w:start w:val="0"/>
      <w:numFmt w:val="bullet"/>
      <w:lvlText w:val="•"/>
      <w:lvlJc w:val="left"/>
      <w:pPr>
        <w:ind w:left="2088" w:hanging="567"/>
      </w:pPr>
      <w:rPr>
        <w:rFonts w:hint="default"/>
        <w:lang w:val="es-ES" w:eastAsia="en-US" w:bidi="ar-SA"/>
      </w:rPr>
    </w:lvl>
    <w:lvl w:ilvl="2">
      <w:start w:val="0"/>
      <w:numFmt w:val="bullet"/>
      <w:lvlText w:val="•"/>
      <w:lvlJc w:val="left"/>
      <w:pPr>
        <w:ind w:left="3036" w:hanging="567"/>
      </w:pPr>
      <w:rPr>
        <w:rFonts w:hint="default"/>
        <w:lang w:val="es-ES" w:eastAsia="en-US" w:bidi="ar-SA"/>
      </w:rPr>
    </w:lvl>
    <w:lvl w:ilvl="3">
      <w:start w:val="0"/>
      <w:numFmt w:val="bullet"/>
      <w:lvlText w:val="•"/>
      <w:lvlJc w:val="left"/>
      <w:pPr>
        <w:ind w:left="3985" w:hanging="567"/>
      </w:pPr>
      <w:rPr>
        <w:rFonts w:hint="default"/>
        <w:lang w:val="es-ES" w:eastAsia="en-US" w:bidi="ar-SA"/>
      </w:rPr>
    </w:lvl>
    <w:lvl w:ilvl="4">
      <w:start w:val="0"/>
      <w:numFmt w:val="bullet"/>
      <w:lvlText w:val="•"/>
      <w:lvlJc w:val="left"/>
      <w:pPr>
        <w:ind w:left="4933" w:hanging="567"/>
      </w:pPr>
      <w:rPr>
        <w:rFonts w:hint="default"/>
        <w:lang w:val="es-ES" w:eastAsia="en-US" w:bidi="ar-SA"/>
      </w:rPr>
    </w:lvl>
    <w:lvl w:ilvl="5">
      <w:start w:val="0"/>
      <w:numFmt w:val="bullet"/>
      <w:lvlText w:val="•"/>
      <w:lvlJc w:val="left"/>
      <w:pPr>
        <w:ind w:left="5882" w:hanging="567"/>
      </w:pPr>
      <w:rPr>
        <w:rFonts w:hint="default"/>
        <w:lang w:val="es-ES" w:eastAsia="en-US" w:bidi="ar-SA"/>
      </w:rPr>
    </w:lvl>
    <w:lvl w:ilvl="6">
      <w:start w:val="0"/>
      <w:numFmt w:val="bullet"/>
      <w:lvlText w:val="•"/>
      <w:lvlJc w:val="left"/>
      <w:pPr>
        <w:ind w:left="6830" w:hanging="567"/>
      </w:pPr>
      <w:rPr>
        <w:rFonts w:hint="default"/>
        <w:lang w:val="es-ES" w:eastAsia="en-US" w:bidi="ar-SA"/>
      </w:rPr>
    </w:lvl>
    <w:lvl w:ilvl="7">
      <w:start w:val="0"/>
      <w:numFmt w:val="bullet"/>
      <w:lvlText w:val="•"/>
      <w:lvlJc w:val="left"/>
      <w:pPr>
        <w:ind w:left="7778" w:hanging="567"/>
      </w:pPr>
      <w:rPr>
        <w:rFonts w:hint="default"/>
        <w:lang w:val="es-ES" w:eastAsia="en-US" w:bidi="ar-SA"/>
      </w:rPr>
    </w:lvl>
    <w:lvl w:ilvl="8">
      <w:start w:val="0"/>
      <w:numFmt w:val="bullet"/>
      <w:lvlText w:val="•"/>
      <w:lvlJc w:val="left"/>
      <w:pPr>
        <w:ind w:left="8727" w:hanging="567"/>
      </w:pPr>
      <w:rPr>
        <w:rFonts w:hint="default"/>
        <w:lang w:val="es-ES" w:eastAsia="en-US" w:bidi="ar-SA"/>
      </w:rPr>
    </w:lvl>
  </w:abstractNum>
  <w:abstractNum w:abstractNumId="96">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95">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94">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93">
    <w:multiLevelType w:val="hybridMultilevel"/>
    <w:lvl w:ilvl="0">
      <w:start w:val="0"/>
      <w:numFmt w:val="bullet"/>
      <w:lvlText w:val=""/>
      <w:lvlJc w:val="left"/>
      <w:pPr>
        <w:ind w:left="1420" w:hanging="360"/>
      </w:pPr>
      <w:rPr>
        <w:rFonts w:hint="default" w:ascii="Symbol" w:hAnsi="Symbol" w:eastAsia="Symbol" w:cs="Symbol"/>
        <w:b w:val="0"/>
        <w:bCs w:val="0"/>
        <w:i w:val="0"/>
        <w:iCs w:val="0"/>
        <w:spacing w:val="0"/>
        <w:w w:val="99"/>
        <w:sz w:val="20"/>
        <w:szCs w:val="20"/>
        <w:lang w:val="es-ES" w:eastAsia="en-US" w:bidi="ar-SA"/>
      </w:rPr>
    </w:lvl>
    <w:lvl w:ilvl="1">
      <w:start w:val="0"/>
      <w:numFmt w:val="bullet"/>
      <w:lvlText w:val="•"/>
      <w:lvlJc w:val="left"/>
      <w:pPr>
        <w:ind w:left="2340" w:hanging="360"/>
      </w:pPr>
      <w:rPr>
        <w:rFonts w:hint="default"/>
        <w:lang w:val="es-ES" w:eastAsia="en-US" w:bidi="ar-SA"/>
      </w:rPr>
    </w:lvl>
    <w:lvl w:ilvl="2">
      <w:start w:val="0"/>
      <w:numFmt w:val="bullet"/>
      <w:lvlText w:val="•"/>
      <w:lvlJc w:val="left"/>
      <w:pPr>
        <w:ind w:left="3260" w:hanging="360"/>
      </w:pPr>
      <w:rPr>
        <w:rFonts w:hint="default"/>
        <w:lang w:val="es-ES" w:eastAsia="en-US" w:bidi="ar-SA"/>
      </w:rPr>
    </w:lvl>
    <w:lvl w:ilvl="3">
      <w:start w:val="0"/>
      <w:numFmt w:val="bullet"/>
      <w:lvlText w:val="•"/>
      <w:lvlJc w:val="left"/>
      <w:pPr>
        <w:ind w:left="4181" w:hanging="360"/>
      </w:pPr>
      <w:rPr>
        <w:rFonts w:hint="default"/>
        <w:lang w:val="es-ES" w:eastAsia="en-US" w:bidi="ar-SA"/>
      </w:rPr>
    </w:lvl>
    <w:lvl w:ilvl="4">
      <w:start w:val="0"/>
      <w:numFmt w:val="bullet"/>
      <w:lvlText w:val="•"/>
      <w:lvlJc w:val="left"/>
      <w:pPr>
        <w:ind w:left="5101" w:hanging="360"/>
      </w:pPr>
      <w:rPr>
        <w:rFonts w:hint="default"/>
        <w:lang w:val="es-ES" w:eastAsia="en-US" w:bidi="ar-SA"/>
      </w:rPr>
    </w:lvl>
    <w:lvl w:ilvl="5">
      <w:start w:val="0"/>
      <w:numFmt w:val="bullet"/>
      <w:lvlText w:val="•"/>
      <w:lvlJc w:val="left"/>
      <w:pPr>
        <w:ind w:left="6022" w:hanging="360"/>
      </w:pPr>
      <w:rPr>
        <w:rFonts w:hint="default"/>
        <w:lang w:val="es-ES" w:eastAsia="en-US" w:bidi="ar-SA"/>
      </w:rPr>
    </w:lvl>
    <w:lvl w:ilvl="6">
      <w:start w:val="0"/>
      <w:numFmt w:val="bullet"/>
      <w:lvlText w:val="•"/>
      <w:lvlJc w:val="left"/>
      <w:pPr>
        <w:ind w:left="6942" w:hanging="360"/>
      </w:pPr>
      <w:rPr>
        <w:rFonts w:hint="default"/>
        <w:lang w:val="es-ES" w:eastAsia="en-US" w:bidi="ar-SA"/>
      </w:rPr>
    </w:lvl>
    <w:lvl w:ilvl="7">
      <w:start w:val="0"/>
      <w:numFmt w:val="bullet"/>
      <w:lvlText w:val="•"/>
      <w:lvlJc w:val="left"/>
      <w:pPr>
        <w:ind w:left="7862" w:hanging="360"/>
      </w:pPr>
      <w:rPr>
        <w:rFonts w:hint="default"/>
        <w:lang w:val="es-ES" w:eastAsia="en-US" w:bidi="ar-SA"/>
      </w:rPr>
    </w:lvl>
    <w:lvl w:ilvl="8">
      <w:start w:val="0"/>
      <w:numFmt w:val="bullet"/>
      <w:lvlText w:val="•"/>
      <w:lvlJc w:val="left"/>
      <w:pPr>
        <w:ind w:left="8783" w:hanging="360"/>
      </w:pPr>
      <w:rPr>
        <w:rFonts w:hint="default"/>
        <w:lang w:val="es-ES" w:eastAsia="en-US" w:bidi="ar-SA"/>
      </w:rPr>
    </w:lvl>
  </w:abstractNum>
  <w:abstractNum w:abstractNumId="92">
    <w:multiLevelType w:val="hybridMultilevel"/>
    <w:lvl w:ilvl="0">
      <w:start w:val="0"/>
      <w:numFmt w:val="bullet"/>
      <w:lvlText w:val=""/>
      <w:lvlJc w:val="left"/>
      <w:pPr>
        <w:ind w:left="1420"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340" w:hanging="360"/>
      </w:pPr>
      <w:rPr>
        <w:rFonts w:hint="default"/>
        <w:lang w:val="es-ES" w:eastAsia="en-US" w:bidi="ar-SA"/>
      </w:rPr>
    </w:lvl>
    <w:lvl w:ilvl="2">
      <w:start w:val="0"/>
      <w:numFmt w:val="bullet"/>
      <w:lvlText w:val="•"/>
      <w:lvlJc w:val="left"/>
      <w:pPr>
        <w:ind w:left="3260" w:hanging="360"/>
      </w:pPr>
      <w:rPr>
        <w:rFonts w:hint="default"/>
        <w:lang w:val="es-ES" w:eastAsia="en-US" w:bidi="ar-SA"/>
      </w:rPr>
    </w:lvl>
    <w:lvl w:ilvl="3">
      <w:start w:val="0"/>
      <w:numFmt w:val="bullet"/>
      <w:lvlText w:val="•"/>
      <w:lvlJc w:val="left"/>
      <w:pPr>
        <w:ind w:left="4181" w:hanging="360"/>
      </w:pPr>
      <w:rPr>
        <w:rFonts w:hint="default"/>
        <w:lang w:val="es-ES" w:eastAsia="en-US" w:bidi="ar-SA"/>
      </w:rPr>
    </w:lvl>
    <w:lvl w:ilvl="4">
      <w:start w:val="0"/>
      <w:numFmt w:val="bullet"/>
      <w:lvlText w:val="•"/>
      <w:lvlJc w:val="left"/>
      <w:pPr>
        <w:ind w:left="5101" w:hanging="360"/>
      </w:pPr>
      <w:rPr>
        <w:rFonts w:hint="default"/>
        <w:lang w:val="es-ES" w:eastAsia="en-US" w:bidi="ar-SA"/>
      </w:rPr>
    </w:lvl>
    <w:lvl w:ilvl="5">
      <w:start w:val="0"/>
      <w:numFmt w:val="bullet"/>
      <w:lvlText w:val="•"/>
      <w:lvlJc w:val="left"/>
      <w:pPr>
        <w:ind w:left="6022" w:hanging="360"/>
      </w:pPr>
      <w:rPr>
        <w:rFonts w:hint="default"/>
        <w:lang w:val="es-ES" w:eastAsia="en-US" w:bidi="ar-SA"/>
      </w:rPr>
    </w:lvl>
    <w:lvl w:ilvl="6">
      <w:start w:val="0"/>
      <w:numFmt w:val="bullet"/>
      <w:lvlText w:val="•"/>
      <w:lvlJc w:val="left"/>
      <w:pPr>
        <w:ind w:left="6942" w:hanging="360"/>
      </w:pPr>
      <w:rPr>
        <w:rFonts w:hint="default"/>
        <w:lang w:val="es-ES" w:eastAsia="en-US" w:bidi="ar-SA"/>
      </w:rPr>
    </w:lvl>
    <w:lvl w:ilvl="7">
      <w:start w:val="0"/>
      <w:numFmt w:val="bullet"/>
      <w:lvlText w:val="•"/>
      <w:lvlJc w:val="left"/>
      <w:pPr>
        <w:ind w:left="7862" w:hanging="360"/>
      </w:pPr>
      <w:rPr>
        <w:rFonts w:hint="default"/>
        <w:lang w:val="es-ES" w:eastAsia="en-US" w:bidi="ar-SA"/>
      </w:rPr>
    </w:lvl>
    <w:lvl w:ilvl="8">
      <w:start w:val="0"/>
      <w:numFmt w:val="bullet"/>
      <w:lvlText w:val="•"/>
      <w:lvlJc w:val="left"/>
      <w:pPr>
        <w:ind w:left="8783" w:hanging="360"/>
      </w:pPr>
      <w:rPr>
        <w:rFonts w:hint="default"/>
        <w:lang w:val="es-ES" w:eastAsia="en-US" w:bidi="ar-SA"/>
      </w:rPr>
    </w:lvl>
  </w:abstractNum>
  <w:abstractNum w:abstractNumId="91">
    <w:multiLevelType w:val="hybridMultilevel"/>
    <w:lvl w:ilvl="0">
      <w:start w:val="1"/>
      <w:numFmt w:val="lowerLetter"/>
      <w:lvlText w:val="%1."/>
      <w:lvlJc w:val="left"/>
      <w:pPr>
        <w:ind w:left="1845" w:hanging="284"/>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270" w:hanging="284"/>
      </w:pPr>
      <w:rPr>
        <w:rFonts w:hint="default" w:ascii="Symbol" w:hAnsi="Symbol" w:eastAsia="Symbol" w:cs="Symbol"/>
        <w:b w:val="0"/>
        <w:bCs w:val="0"/>
        <w:i w:val="0"/>
        <w:iCs w:val="0"/>
        <w:spacing w:val="0"/>
        <w:w w:val="100"/>
        <w:sz w:val="22"/>
        <w:szCs w:val="22"/>
        <w:lang w:val="es-ES" w:eastAsia="en-US" w:bidi="ar-SA"/>
      </w:rPr>
    </w:lvl>
    <w:lvl w:ilvl="2">
      <w:start w:val="0"/>
      <w:numFmt w:val="bullet"/>
      <w:lvlText w:val="•"/>
      <w:lvlJc w:val="left"/>
      <w:pPr>
        <w:ind w:left="3207" w:hanging="284"/>
      </w:pPr>
      <w:rPr>
        <w:rFonts w:hint="default"/>
        <w:lang w:val="es-ES" w:eastAsia="en-US" w:bidi="ar-SA"/>
      </w:rPr>
    </w:lvl>
    <w:lvl w:ilvl="3">
      <w:start w:val="0"/>
      <w:numFmt w:val="bullet"/>
      <w:lvlText w:val="•"/>
      <w:lvlJc w:val="left"/>
      <w:pPr>
        <w:ind w:left="4134" w:hanging="284"/>
      </w:pPr>
      <w:rPr>
        <w:rFonts w:hint="default"/>
        <w:lang w:val="es-ES" w:eastAsia="en-US" w:bidi="ar-SA"/>
      </w:rPr>
    </w:lvl>
    <w:lvl w:ilvl="4">
      <w:start w:val="0"/>
      <w:numFmt w:val="bullet"/>
      <w:lvlText w:val="•"/>
      <w:lvlJc w:val="left"/>
      <w:pPr>
        <w:ind w:left="5061" w:hanging="284"/>
      </w:pPr>
      <w:rPr>
        <w:rFonts w:hint="default"/>
        <w:lang w:val="es-ES" w:eastAsia="en-US" w:bidi="ar-SA"/>
      </w:rPr>
    </w:lvl>
    <w:lvl w:ilvl="5">
      <w:start w:val="0"/>
      <w:numFmt w:val="bullet"/>
      <w:lvlText w:val="•"/>
      <w:lvlJc w:val="left"/>
      <w:pPr>
        <w:ind w:left="5988" w:hanging="284"/>
      </w:pPr>
      <w:rPr>
        <w:rFonts w:hint="default"/>
        <w:lang w:val="es-ES" w:eastAsia="en-US" w:bidi="ar-SA"/>
      </w:rPr>
    </w:lvl>
    <w:lvl w:ilvl="6">
      <w:start w:val="0"/>
      <w:numFmt w:val="bullet"/>
      <w:lvlText w:val="•"/>
      <w:lvlJc w:val="left"/>
      <w:pPr>
        <w:ind w:left="6915" w:hanging="284"/>
      </w:pPr>
      <w:rPr>
        <w:rFonts w:hint="default"/>
        <w:lang w:val="es-ES" w:eastAsia="en-US" w:bidi="ar-SA"/>
      </w:rPr>
    </w:lvl>
    <w:lvl w:ilvl="7">
      <w:start w:val="0"/>
      <w:numFmt w:val="bullet"/>
      <w:lvlText w:val="•"/>
      <w:lvlJc w:val="left"/>
      <w:pPr>
        <w:ind w:left="7842" w:hanging="284"/>
      </w:pPr>
      <w:rPr>
        <w:rFonts w:hint="default"/>
        <w:lang w:val="es-ES" w:eastAsia="en-US" w:bidi="ar-SA"/>
      </w:rPr>
    </w:lvl>
    <w:lvl w:ilvl="8">
      <w:start w:val="0"/>
      <w:numFmt w:val="bullet"/>
      <w:lvlText w:val="•"/>
      <w:lvlJc w:val="left"/>
      <w:pPr>
        <w:ind w:left="8769" w:hanging="284"/>
      </w:pPr>
      <w:rPr>
        <w:rFonts w:hint="default"/>
        <w:lang w:val="es-ES" w:eastAsia="en-US" w:bidi="ar-SA"/>
      </w:rPr>
    </w:lvl>
  </w:abstractNum>
  <w:abstractNum w:abstractNumId="90">
    <w:multiLevelType w:val="hybridMultilevel"/>
    <w:lvl w:ilvl="0">
      <w:start w:val="0"/>
      <w:numFmt w:val="bullet"/>
      <w:lvlText w:val=""/>
      <w:lvlJc w:val="left"/>
      <w:pPr>
        <w:ind w:left="1134" w:hanging="567"/>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088" w:hanging="567"/>
      </w:pPr>
      <w:rPr>
        <w:rFonts w:hint="default"/>
        <w:lang w:val="es-ES" w:eastAsia="en-US" w:bidi="ar-SA"/>
      </w:rPr>
    </w:lvl>
    <w:lvl w:ilvl="2">
      <w:start w:val="0"/>
      <w:numFmt w:val="bullet"/>
      <w:lvlText w:val="•"/>
      <w:lvlJc w:val="left"/>
      <w:pPr>
        <w:ind w:left="3036" w:hanging="567"/>
      </w:pPr>
      <w:rPr>
        <w:rFonts w:hint="default"/>
        <w:lang w:val="es-ES" w:eastAsia="en-US" w:bidi="ar-SA"/>
      </w:rPr>
    </w:lvl>
    <w:lvl w:ilvl="3">
      <w:start w:val="0"/>
      <w:numFmt w:val="bullet"/>
      <w:lvlText w:val="•"/>
      <w:lvlJc w:val="left"/>
      <w:pPr>
        <w:ind w:left="3985" w:hanging="567"/>
      </w:pPr>
      <w:rPr>
        <w:rFonts w:hint="default"/>
        <w:lang w:val="es-ES" w:eastAsia="en-US" w:bidi="ar-SA"/>
      </w:rPr>
    </w:lvl>
    <w:lvl w:ilvl="4">
      <w:start w:val="0"/>
      <w:numFmt w:val="bullet"/>
      <w:lvlText w:val="•"/>
      <w:lvlJc w:val="left"/>
      <w:pPr>
        <w:ind w:left="4933" w:hanging="567"/>
      </w:pPr>
      <w:rPr>
        <w:rFonts w:hint="default"/>
        <w:lang w:val="es-ES" w:eastAsia="en-US" w:bidi="ar-SA"/>
      </w:rPr>
    </w:lvl>
    <w:lvl w:ilvl="5">
      <w:start w:val="0"/>
      <w:numFmt w:val="bullet"/>
      <w:lvlText w:val="•"/>
      <w:lvlJc w:val="left"/>
      <w:pPr>
        <w:ind w:left="5882" w:hanging="567"/>
      </w:pPr>
      <w:rPr>
        <w:rFonts w:hint="default"/>
        <w:lang w:val="es-ES" w:eastAsia="en-US" w:bidi="ar-SA"/>
      </w:rPr>
    </w:lvl>
    <w:lvl w:ilvl="6">
      <w:start w:val="0"/>
      <w:numFmt w:val="bullet"/>
      <w:lvlText w:val="•"/>
      <w:lvlJc w:val="left"/>
      <w:pPr>
        <w:ind w:left="6830" w:hanging="567"/>
      </w:pPr>
      <w:rPr>
        <w:rFonts w:hint="default"/>
        <w:lang w:val="es-ES" w:eastAsia="en-US" w:bidi="ar-SA"/>
      </w:rPr>
    </w:lvl>
    <w:lvl w:ilvl="7">
      <w:start w:val="0"/>
      <w:numFmt w:val="bullet"/>
      <w:lvlText w:val="•"/>
      <w:lvlJc w:val="left"/>
      <w:pPr>
        <w:ind w:left="7778" w:hanging="567"/>
      </w:pPr>
      <w:rPr>
        <w:rFonts w:hint="default"/>
        <w:lang w:val="es-ES" w:eastAsia="en-US" w:bidi="ar-SA"/>
      </w:rPr>
    </w:lvl>
    <w:lvl w:ilvl="8">
      <w:start w:val="0"/>
      <w:numFmt w:val="bullet"/>
      <w:lvlText w:val="•"/>
      <w:lvlJc w:val="left"/>
      <w:pPr>
        <w:ind w:left="8727" w:hanging="567"/>
      </w:pPr>
      <w:rPr>
        <w:rFonts w:hint="default"/>
        <w:lang w:val="es-ES" w:eastAsia="en-US" w:bidi="ar-SA"/>
      </w:rPr>
    </w:lvl>
  </w:abstractNum>
  <w:abstractNum w:abstractNumId="89">
    <w:multiLevelType w:val="hybridMultilevel"/>
    <w:lvl w:ilvl="0">
      <w:start w:val="1"/>
      <w:numFmt w:val="lowerLetter"/>
      <w:lvlText w:val="%1."/>
      <w:lvlJc w:val="left"/>
      <w:pPr>
        <w:ind w:left="1562" w:hanging="360"/>
        <w:jc w:val="left"/>
      </w:pPr>
      <w:rPr>
        <w:rFonts w:hint="default" w:ascii="Arial" w:hAnsi="Arial" w:eastAsia="Arial" w:cs="Arial"/>
        <w:b w:val="0"/>
        <w:bCs w:val="0"/>
        <w:i/>
        <w:iCs/>
        <w:spacing w:val="-1"/>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88">
    <w:multiLevelType w:val="hybridMultilevel"/>
    <w:lvl w:ilvl="0">
      <w:start w:val="1"/>
      <w:numFmt w:val="lowerLetter"/>
      <w:lvlText w:val="%1)"/>
      <w:lvlJc w:val="left"/>
      <w:pPr>
        <w:ind w:left="1845" w:hanging="284"/>
        <w:jc w:val="left"/>
      </w:pPr>
      <w:rPr>
        <w:rFonts w:hint="default" w:ascii="Arial" w:hAnsi="Arial" w:eastAsia="Arial" w:cs="Arial"/>
        <w:b w:val="0"/>
        <w:bCs w:val="0"/>
        <w:i/>
        <w:iCs/>
        <w:spacing w:val="-1"/>
        <w:w w:val="100"/>
        <w:sz w:val="22"/>
        <w:szCs w:val="22"/>
        <w:lang w:val="es-ES" w:eastAsia="en-US" w:bidi="ar-SA"/>
      </w:rPr>
    </w:lvl>
    <w:lvl w:ilvl="1">
      <w:start w:val="0"/>
      <w:numFmt w:val="bullet"/>
      <w:lvlText w:val="•"/>
      <w:lvlJc w:val="left"/>
      <w:pPr>
        <w:ind w:left="2718" w:hanging="284"/>
      </w:pPr>
      <w:rPr>
        <w:rFonts w:hint="default"/>
        <w:lang w:val="es-ES" w:eastAsia="en-US" w:bidi="ar-SA"/>
      </w:rPr>
    </w:lvl>
    <w:lvl w:ilvl="2">
      <w:start w:val="0"/>
      <w:numFmt w:val="bullet"/>
      <w:lvlText w:val="•"/>
      <w:lvlJc w:val="left"/>
      <w:pPr>
        <w:ind w:left="3596" w:hanging="284"/>
      </w:pPr>
      <w:rPr>
        <w:rFonts w:hint="default"/>
        <w:lang w:val="es-ES" w:eastAsia="en-US" w:bidi="ar-SA"/>
      </w:rPr>
    </w:lvl>
    <w:lvl w:ilvl="3">
      <w:start w:val="0"/>
      <w:numFmt w:val="bullet"/>
      <w:lvlText w:val="•"/>
      <w:lvlJc w:val="left"/>
      <w:pPr>
        <w:ind w:left="4475" w:hanging="284"/>
      </w:pPr>
      <w:rPr>
        <w:rFonts w:hint="default"/>
        <w:lang w:val="es-ES" w:eastAsia="en-US" w:bidi="ar-SA"/>
      </w:rPr>
    </w:lvl>
    <w:lvl w:ilvl="4">
      <w:start w:val="0"/>
      <w:numFmt w:val="bullet"/>
      <w:lvlText w:val="•"/>
      <w:lvlJc w:val="left"/>
      <w:pPr>
        <w:ind w:left="5353" w:hanging="284"/>
      </w:pPr>
      <w:rPr>
        <w:rFonts w:hint="default"/>
        <w:lang w:val="es-ES" w:eastAsia="en-US" w:bidi="ar-SA"/>
      </w:rPr>
    </w:lvl>
    <w:lvl w:ilvl="5">
      <w:start w:val="0"/>
      <w:numFmt w:val="bullet"/>
      <w:lvlText w:val="•"/>
      <w:lvlJc w:val="left"/>
      <w:pPr>
        <w:ind w:left="6232" w:hanging="284"/>
      </w:pPr>
      <w:rPr>
        <w:rFonts w:hint="default"/>
        <w:lang w:val="es-ES" w:eastAsia="en-US" w:bidi="ar-SA"/>
      </w:rPr>
    </w:lvl>
    <w:lvl w:ilvl="6">
      <w:start w:val="0"/>
      <w:numFmt w:val="bullet"/>
      <w:lvlText w:val="•"/>
      <w:lvlJc w:val="left"/>
      <w:pPr>
        <w:ind w:left="7110" w:hanging="284"/>
      </w:pPr>
      <w:rPr>
        <w:rFonts w:hint="default"/>
        <w:lang w:val="es-ES" w:eastAsia="en-US" w:bidi="ar-SA"/>
      </w:rPr>
    </w:lvl>
    <w:lvl w:ilvl="7">
      <w:start w:val="0"/>
      <w:numFmt w:val="bullet"/>
      <w:lvlText w:val="•"/>
      <w:lvlJc w:val="left"/>
      <w:pPr>
        <w:ind w:left="7988" w:hanging="284"/>
      </w:pPr>
      <w:rPr>
        <w:rFonts w:hint="default"/>
        <w:lang w:val="es-ES" w:eastAsia="en-US" w:bidi="ar-SA"/>
      </w:rPr>
    </w:lvl>
    <w:lvl w:ilvl="8">
      <w:start w:val="0"/>
      <w:numFmt w:val="bullet"/>
      <w:lvlText w:val="•"/>
      <w:lvlJc w:val="left"/>
      <w:pPr>
        <w:ind w:left="8867" w:hanging="284"/>
      </w:pPr>
      <w:rPr>
        <w:rFonts w:hint="default"/>
        <w:lang w:val="es-ES" w:eastAsia="en-US" w:bidi="ar-SA"/>
      </w:rPr>
    </w:lvl>
  </w:abstractNum>
  <w:abstractNum w:abstractNumId="87">
    <w:multiLevelType w:val="hybridMultilevel"/>
    <w:lvl w:ilvl="0">
      <w:start w:val="0"/>
      <w:numFmt w:val="bullet"/>
      <w:lvlText w:val=""/>
      <w:lvlJc w:val="left"/>
      <w:pPr>
        <w:ind w:left="1197" w:hanging="629"/>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142" w:hanging="629"/>
      </w:pPr>
      <w:rPr>
        <w:rFonts w:hint="default"/>
        <w:lang w:val="es-ES" w:eastAsia="en-US" w:bidi="ar-SA"/>
      </w:rPr>
    </w:lvl>
    <w:lvl w:ilvl="2">
      <w:start w:val="0"/>
      <w:numFmt w:val="bullet"/>
      <w:lvlText w:val="•"/>
      <w:lvlJc w:val="left"/>
      <w:pPr>
        <w:ind w:left="3084" w:hanging="629"/>
      </w:pPr>
      <w:rPr>
        <w:rFonts w:hint="default"/>
        <w:lang w:val="es-ES" w:eastAsia="en-US" w:bidi="ar-SA"/>
      </w:rPr>
    </w:lvl>
    <w:lvl w:ilvl="3">
      <w:start w:val="0"/>
      <w:numFmt w:val="bullet"/>
      <w:lvlText w:val="•"/>
      <w:lvlJc w:val="left"/>
      <w:pPr>
        <w:ind w:left="4027" w:hanging="629"/>
      </w:pPr>
      <w:rPr>
        <w:rFonts w:hint="default"/>
        <w:lang w:val="es-ES" w:eastAsia="en-US" w:bidi="ar-SA"/>
      </w:rPr>
    </w:lvl>
    <w:lvl w:ilvl="4">
      <w:start w:val="0"/>
      <w:numFmt w:val="bullet"/>
      <w:lvlText w:val="•"/>
      <w:lvlJc w:val="left"/>
      <w:pPr>
        <w:ind w:left="4969" w:hanging="629"/>
      </w:pPr>
      <w:rPr>
        <w:rFonts w:hint="default"/>
        <w:lang w:val="es-ES" w:eastAsia="en-US" w:bidi="ar-SA"/>
      </w:rPr>
    </w:lvl>
    <w:lvl w:ilvl="5">
      <w:start w:val="0"/>
      <w:numFmt w:val="bullet"/>
      <w:lvlText w:val="•"/>
      <w:lvlJc w:val="left"/>
      <w:pPr>
        <w:ind w:left="5912" w:hanging="629"/>
      </w:pPr>
      <w:rPr>
        <w:rFonts w:hint="default"/>
        <w:lang w:val="es-ES" w:eastAsia="en-US" w:bidi="ar-SA"/>
      </w:rPr>
    </w:lvl>
    <w:lvl w:ilvl="6">
      <w:start w:val="0"/>
      <w:numFmt w:val="bullet"/>
      <w:lvlText w:val="•"/>
      <w:lvlJc w:val="left"/>
      <w:pPr>
        <w:ind w:left="6854" w:hanging="629"/>
      </w:pPr>
      <w:rPr>
        <w:rFonts w:hint="default"/>
        <w:lang w:val="es-ES" w:eastAsia="en-US" w:bidi="ar-SA"/>
      </w:rPr>
    </w:lvl>
    <w:lvl w:ilvl="7">
      <w:start w:val="0"/>
      <w:numFmt w:val="bullet"/>
      <w:lvlText w:val="•"/>
      <w:lvlJc w:val="left"/>
      <w:pPr>
        <w:ind w:left="7796" w:hanging="629"/>
      </w:pPr>
      <w:rPr>
        <w:rFonts w:hint="default"/>
        <w:lang w:val="es-ES" w:eastAsia="en-US" w:bidi="ar-SA"/>
      </w:rPr>
    </w:lvl>
    <w:lvl w:ilvl="8">
      <w:start w:val="0"/>
      <w:numFmt w:val="bullet"/>
      <w:lvlText w:val="•"/>
      <w:lvlJc w:val="left"/>
      <w:pPr>
        <w:ind w:left="8739" w:hanging="629"/>
      </w:pPr>
      <w:rPr>
        <w:rFonts w:hint="default"/>
        <w:lang w:val="es-ES" w:eastAsia="en-US" w:bidi="ar-SA"/>
      </w:rPr>
    </w:lvl>
  </w:abstractNum>
  <w:abstractNum w:abstractNumId="86">
    <w:multiLevelType w:val="hybridMultilevel"/>
    <w:lvl w:ilvl="0">
      <w:start w:val="0"/>
      <w:numFmt w:val="bullet"/>
      <w:lvlText w:val=""/>
      <w:lvlJc w:val="left"/>
      <w:pPr>
        <w:ind w:left="113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088" w:hanging="360"/>
      </w:pPr>
      <w:rPr>
        <w:rFonts w:hint="default"/>
        <w:lang w:val="es-ES" w:eastAsia="en-US" w:bidi="ar-SA"/>
      </w:rPr>
    </w:lvl>
    <w:lvl w:ilvl="2">
      <w:start w:val="0"/>
      <w:numFmt w:val="bullet"/>
      <w:lvlText w:val="•"/>
      <w:lvlJc w:val="left"/>
      <w:pPr>
        <w:ind w:left="3036" w:hanging="360"/>
      </w:pPr>
      <w:rPr>
        <w:rFonts w:hint="default"/>
        <w:lang w:val="es-ES" w:eastAsia="en-US" w:bidi="ar-SA"/>
      </w:rPr>
    </w:lvl>
    <w:lvl w:ilvl="3">
      <w:start w:val="0"/>
      <w:numFmt w:val="bullet"/>
      <w:lvlText w:val="•"/>
      <w:lvlJc w:val="left"/>
      <w:pPr>
        <w:ind w:left="3985" w:hanging="360"/>
      </w:pPr>
      <w:rPr>
        <w:rFonts w:hint="default"/>
        <w:lang w:val="es-ES" w:eastAsia="en-US" w:bidi="ar-SA"/>
      </w:rPr>
    </w:lvl>
    <w:lvl w:ilvl="4">
      <w:start w:val="0"/>
      <w:numFmt w:val="bullet"/>
      <w:lvlText w:val="•"/>
      <w:lvlJc w:val="left"/>
      <w:pPr>
        <w:ind w:left="4933" w:hanging="360"/>
      </w:pPr>
      <w:rPr>
        <w:rFonts w:hint="default"/>
        <w:lang w:val="es-ES" w:eastAsia="en-US" w:bidi="ar-SA"/>
      </w:rPr>
    </w:lvl>
    <w:lvl w:ilvl="5">
      <w:start w:val="0"/>
      <w:numFmt w:val="bullet"/>
      <w:lvlText w:val="•"/>
      <w:lvlJc w:val="left"/>
      <w:pPr>
        <w:ind w:left="5882" w:hanging="360"/>
      </w:pPr>
      <w:rPr>
        <w:rFonts w:hint="default"/>
        <w:lang w:val="es-ES" w:eastAsia="en-US" w:bidi="ar-SA"/>
      </w:rPr>
    </w:lvl>
    <w:lvl w:ilvl="6">
      <w:start w:val="0"/>
      <w:numFmt w:val="bullet"/>
      <w:lvlText w:val="•"/>
      <w:lvlJc w:val="left"/>
      <w:pPr>
        <w:ind w:left="6830" w:hanging="360"/>
      </w:pPr>
      <w:rPr>
        <w:rFonts w:hint="default"/>
        <w:lang w:val="es-ES" w:eastAsia="en-US" w:bidi="ar-SA"/>
      </w:rPr>
    </w:lvl>
    <w:lvl w:ilvl="7">
      <w:start w:val="0"/>
      <w:numFmt w:val="bullet"/>
      <w:lvlText w:val="•"/>
      <w:lvlJc w:val="left"/>
      <w:pPr>
        <w:ind w:left="7778" w:hanging="360"/>
      </w:pPr>
      <w:rPr>
        <w:rFonts w:hint="default"/>
        <w:lang w:val="es-ES" w:eastAsia="en-US" w:bidi="ar-SA"/>
      </w:rPr>
    </w:lvl>
    <w:lvl w:ilvl="8">
      <w:start w:val="0"/>
      <w:numFmt w:val="bullet"/>
      <w:lvlText w:val="•"/>
      <w:lvlJc w:val="left"/>
      <w:pPr>
        <w:ind w:left="8727" w:hanging="360"/>
      </w:pPr>
      <w:rPr>
        <w:rFonts w:hint="default"/>
        <w:lang w:val="es-ES" w:eastAsia="en-US" w:bidi="ar-SA"/>
      </w:rPr>
    </w:lvl>
  </w:abstractNum>
  <w:abstractNum w:abstractNumId="85">
    <w:multiLevelType w:val="hybridMultilevel"/>
    <w:lvl w:ilvl="0">
      <w:start w:val="0"/>
      <w:numFmt w:val="bullet"/>
      <w:lvlText w:val=""/>
      <w:lvlJc w:val="left"/>
      <w:pPr>
        <w:ind w:left="113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088" w:hanging="360"/>
      </w:pPr>
      <w:rPr>
        <w:rFonts w:hint="default"/>
        <w:lang w:val="es-ES" w:eastAsia="en-US" w:bidi="ar-SA"/>
      </w:rPr>
    </w:lvl>
    <w:lvl w:ilvl="2">
      <w:start w:val="0"/>
      <w:numFmt w:val="bullet"/>
      <w:lvlText w:val="•"/>
      <w:lvlJc w:val="left"/>
      <w:pPr>
        <w:ind w:left="3036" w:hanging="360"/>
      </w:pPr>
      <w:rPr>
        <w:rFonts w:hint="default"/>
        <w:lang w:val="es-ES" w:eastAsia="en-US" w:bidi="ar-SA"/>
      </w:rPr>
    </w:lvl>
    <w:lvl w:ilvl="3">
      <w:start w:val="0"/>
      <w:numFmt w:val="bullet"/>
      <w:lvlText w:val="•"/>
      <w:lvlJc w:val="left"/>
      <w:pPr>
        <w:ind w:left="3985" w:hanging="360"/>
      </w:pPr>
      <w:rPr>
        <w:rFonts w:hint="default"/>
        <w:lang w:val="es-ES" w:eastAsia="en-US" w:bidi="ar-SA"/>
      </w:rPr>
    </w:lvl>
    <w:lvl w:ilvl="4">
      <w:start w:val="0"/>
      <w:numFmt w:val="bullet"/>
      <w:lvlText w:val="•"/>
      <w:lvlJc w:val="left"/>
      <w:pPr>
        <w:ind w:left="4933" w:hanging="360"/>
      </w:pPr>
      <w:rPr>
        <w:rFonts w:hint="default"/>
        <w:lang w:val="es-ES" w:eastAsia="en-US" w:bidi="ar-SA"/>
      </w:rPr>
    </w:lvl>
    <w:lvl w:ilvl="5">
      <w:start w:val="0"/>
      <w:numFmt w:val="bullet"/>
      <w:lvlText w:val="•"/>
      <w:lvlJc w:val="left"/>
      <w:pPr>
        <w:ind w:left="5882" w:hanging="360"/>
      </w:pPr>
      <w:rPr>
        <w:rFonts w:hint="default"/>
        <w:lang w:val="es-ES" w:eastAsia="en-US" w:bidi="ar-SA"/>
      </w:rPr>
    </w:lvl>
    <w:lvl w:ilvl="6">
      <w:start w:val="0"/>
      <w:numFmt w:val="bullet"/>
      <w:lvlText w:val="•"/>
      <w:lvlJc w:val="left"/>
      <w:pPr>
        <w:ind w:left="6830" w:hanging="360"/>
      </w:pPr>
      <w:rPr>
        <w:rFonts w:hint="default"/>
        <w:lang w:val="es-ES" w:eastAsia="en-US" w:bidi="ar-SA"/>
      </w:rPr>
    </w:lvl>
    <w:lvl w:ilvl="7">
      <w:start w:val="0"/>
      <w:numFmt w:val="bullet"/>
      <w:lvlText w:val="•"/>
      <w:lvlJc w:val="left"/>
      <w:pPr>
        <w:ind w:left="7778" w:hanging="360"/>
      </w:pPr>
      <w:rPr>
        <w:rFonts w:hint="default"/>
        <w:lang w:val="es-ES" w:eastAsia="en-US" w:bidi="ar-SA"/>
      </w:rPr>
    </w:lvl>
    <w:lvl w:ilvl="8">
      <w:start w:val="0"/>
      <w:numFmt w:val="bullet"/>
      <w:lvlText w:val="•"/>
      <w:lvlJc w:val="left"/>
      <w:pPr>
        <w:ind w:left="8727" w:hanging="360"/>
      </w:pPr>
      <w:rPr>
        <w:rFonts w:hint="default"/>
        <w:lang w:val="es-ES" w:eastAsia="en-US" w:bidi="ar-SA"/>
      </w:rPr>
    </w:lvl>
  </w:abstractNum>
  <w:abstractNum w:abstractNumId="84">
    <w:multiLevelType w:val="hybridMultilevel"/>
    <w:lvl w:ilvl="0">
      <w:start w:val="1"/>
      <w:numFmt w:val="lowerLetter"/>
      <w:lvlText w:val="%1."/>
      <w:lvlJc w:val="left"/>
      <w:pPr>
        <w:ind w:left="1562" w:hanging="428"/>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466" w:hanging="428"/>
      </w:pPr>
      <w:rPr>
        <w:rFonts w:hint="default"/>
        <w:lang w:val="es-ES" w:eastAsia="en-US" w:bidi="ar-SA"/>
      </w:rPr>
    </w:lvl>
    <w:lvl w:ilvl="2">
      <w:start w:val="0"/>
      <w:numFmt w:val="bullet"/>
      <w:lvlText w:val="•"/>
      <w:lvlJc w:val="left"/>
      <w:pPr>
        <w:ind w:left="3372" w:hanging="428"/>
      </w:pPr>
      <w:rPr>
        <w:rFonts w:hint="default"/>
        <w:lang w:val="es-ES" w:eastAsia="en-US" w:bidi="ar-SA"/>
      </w:rPr>
    </w:lvl>
    <w:lvl w:ilvl="3">
      <w:start w:val="0"/>
      <w:numFmt w:val="bullet"/>
      <w:lvlText w:val="•"/>
      <w:lvlJc w:val="left"/>
      <w:pPr>
        <w:ind w:left="4279" w:hanging="428"/>
      </w:pPr>
      <w:rPr>
        <w:rFonts w:hint="default"/>
        <w:lang w:val="es-ES" w:eastAsia="en-US" w:bidi="ar-SA"/>
      </w:rPr>
    </w:lvl>
    <w:lvl w:ilvl="4">
      <w:start w:val="0"/>
      <w:numFmt w:val="bullet"/>
      <w:lvlText w:val="•"/>
      <w:lvlJc w:val="left"/>
      <w:pPr>
        <w:ind w:left="5185" w:hanging="428"/>
      </w:pPr>
      <w:rPr>
        <w:rFonts w:hint="default"/>
        <w:lang w:val="es-ES" w:eastAsia="en-US" w:bidi="ar-SA"/>
      </w:rPr>
    </w:lvl>
    <w:lvl w:ilvl="5">
      <w:start w:val="0"/>
      <w:numFmt w:val="bullet"/>
      <w:lvlText w:val="•"/>
      <w:lvlJc w:val="left"/>
      <w:pPr>
        <w:ind w:left="6092" w:hanging="428"/>
      </w:pPr>
      <w:rPr>
        <w:rFonts w:hint="default"/>
        <w:lang w:val="es-ES" w:eastAsia="en-US" w:bidi="ar-SA"/>
      </w:rPr>
    </w:lvl>
    <w:lvl w:ilvl="6">
      <w:start w:val="0"/>
      <w:numFmt w:val="bullet"/>
      <w:lvlText w:val="•"/>
      <w:lvlJc w:val="left"/>
      <w:pPr>
        <w:ind w:left="6998" w:hanging="428"/>
      </w:pPr>
      <w:rPr>
        <w:rFonts w:hint="default"/>
        <w:lang w:val="es-ES" w:eastAsia="en-US" w:bidi="ar-SA"/>
      </w:rPr>
    </w:lvl>
    <w:lvl w:ilvl="7">
      <w:start w:val="0"/>
      <w:numFmt w:val="bullet"/>
      <w:lvlText w:val="•"/>
      <w:lvlJc w:val="left"/>
      <w:pPr>
        <w:ind w:left="7904" w:hanging="428"/>
      </w:pPr>
      <w:rPr>
        <w:rFonts w:hint="default"/>
        <w:lang w:val="es-ES" w:eastAsia="en-US" w:bidi="ar-SA"/>
      </w:rPr>
    </w:lvl>
    <w:lvl w:ilvl="8">
      <w:start w:val="0"/>
      <w:numFmt w:val="bullet"/>
      <w:lvlText w:val="•"/>
      <w:lvlJc w:val="left"/>
      <w:pPr>
        <w:ind w:left="8811" w:hanging="428"/>
      </w:pPr>
      <w:rPr>
        <w:rFonts w:hint="default"/>
        <w:lang w:val="es-ES" w:eastAsia="en-US" w:bidi="ar-SA"/>
      </w:rPr>
    </w:lvl>
  </w:abstractNum>
  <w:abstractNum w:abstractNumId="83">
    <w:multiLevelType w:val="hybridMultilevel"/>
    <w:lvl w:ilvl="0">
      <w:start w:val="1"/>
      <w:numFmt w:val="lowerLetter"/>
      <w:lvlText w:val="%1."/>
      <w:lvlJc w:val="left"/>
      <w:pPr>
        <w:ind w:left="1562" w:hanging="360"/>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82">
    <w:multiLevelType w:val="hybridMultilevel"/>
    <w:lvl w:ilvl="0">
      <w:start w:val="0"/>
      <w:numFmt w:val="bullet"/>
      <w:lvlText w:val=""/>
      <w:lvlJc w:val="left"/>
      <w:pPr>
        <w:ind w:left="995" w:hanging="18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1962" w:hanging="180"/>
      </w:pPr>
      <w:rPr>
        <w:rFonts w:hint="default"/>
        <w:lang w:val="es-ES" w:eastAsia="en-US" w:bidi="ar-SA"/>
      </w:rPr>
    </w:lvl>
    <w:lvl w:ilvl="2">
      <w:start w:val="0"/>
      <w:numFmt w:val="bullet"/>
      <w:lvlText w:val="•"/>
      <w:lvlJc w:val="left"/>
      <w:pPr>
        <w:ind w:left="2924" w:hanging="180"/>
      </w:pPr>
      <w:rPr>
        <w:rFonts w:hint="default"/>
        <w:lang w:val="es-ES" w:eastAsia="en-US" w:bidi="ar-SA"/>
      </w:rPr>
    </w:lvl>
    <w:lvl w:ilvl="3">
      <w:start w:val="0"/>
      <w:numFmt w:val="bullet"/>
      <w:lvlText w:val="•"/>
      <w:lvlJc w:val="left"/>
      <w:pPr>
        <w:ind w:left="3887" w:hanging="180"/>
      </w:pPr>
      <w:rPr>
        <w:rFonts w:hint="default"/>
        <w:lang w:val="es-ES" w:eastAsia="en-US" w:bidi="ar-SA"/>
      </w:rPr>
    </w:lvl>
    <w:lvl w:ilvl="4">
      <w:start w:val="0"/>
      <w:numFmt w:val="bullet"/>
      <w:lvlText w:val="•"/>
      <w:lvlJc w:val="left"/>
      <w:pPr>
        <w:ind w:left="4849" w:hanging="180"/>
      </w:pPr>
      <w:rPr>
        <w:rFonts w:hint="default"/>
        <w:lang w:val="es-ES" w:eastAsia="en-US" w:bidi="ar-SA"/>
      </w:rPr>
    </w:lvl>
    <w:lvl w:ilvl="5">
      <w:start w:val="0"/>
      <w:numFmt w:val="bullet"/>
      <w:lvlText w:val="•"/>
      <w:lvlJc w:val="left"/>
      <w:pPr>
        <w:ind w:left="5812" w:hanging="180"/>
      </w:pPr>
      <w:rPr>
        <w:rFonts w:hint="default"/>
        <w:lang w:val="es-ES" w:eastAsia="en-US" w:bidi="ar-SA"/>
      </w:rPr>
    </w:lvl>
    <w:lvl w:ilvl="6">
      <w:start w:val="0"/>
      <w:numFmt w:val="bullet"/>
      <w:lvlText w:val="•"/>
      <w:lvlJc w:val="left"/>
      <w:pPr>
        <w:ind w:left="6774" w:hanging="180"/>
      </w:pPr>
      <w:rPr>
        <w:rFonts w:hint="default"/>
        <w:lang w:val="es-ES" w:eastAsia="en-US" w:bidi="ar-SA"/>
      </w:rPr>
    </w:lvl>
    <w:lvl w:ilvl="7">
      <w:start w:val="0"/>
      <w:numFmt w:val="bullet"/>
      <w:lvlText w:val="•"/>
      <w:lvlJc w:val="left"/>
      <w:pPr>
        <w:ind w:left="7736" w:hanging="180"/>
      </w:pPr>
      <w:rPr>
        <w:rFonts w:hint="default"/>
        <w:lang w:val="es-ES" w:eastAsia="en-US" w:bidi="ar-SA"/>
      </w:rPr>
    </w:lvl>
    <w:lvl w:ilvl="8">
      <w:start w:val="0"/>
      <w:numFmt w:val="bullet"/>
      <w:lvlText w:val="•"/>
      <w:lvlJc w:val="left"/>
      <w:pPr>
        <w:ind w:left="8699" w:hanging="180"/>
      </w:pPr>
      <w:rPr>
        <w:rFonts w:hint="default"/>
        <w:lang w:val="es-ES" w:eastAsia="en-US" w:bidi="ar-SA"/>
      </w:rPr>
    </w:lvl>
  </w:abstractNum>
  <w:abstractNum w:abstractNumId="81">
    <w:multiLevelType w:val="hybridMultilevel"/>
    <w:lvl w:ilvl="0">
      <w:start w:val="1"/>
      <w:numFmt w:val="lowerRoman"/>
      <w:lvlText w:val="%1."/>
      <w:lvlJc w:val="left"/>
      <w:pPr>
        <w:ind w:left="1276" w:hanging="252"/>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214" w:hanging="252"/>
      </w:pPr>
      <w:rPr>
        <w:rFonts w:hint="default"/>
        <w:lang w:val="es-ES" w:eastAsia="en-US" w:bidi="ar-SA"/>
      </w:rPr>
    </w:lvl>
    <w:lvl w:ilvl="2">
      <w:start w:val="0"/>
      <w:numFmt w:val="bullet"/>
      <w:lvlText w:val="•"/>
      <w:lvlJc w:val="left"/>
      <w:pPr>
        <w:ind w:left="3148" w:hanging="252"/>
      </w:pPr>
      <w:rPr>
        <w:rFonts w:hint="default"/>
        <w:lang w:val="es-ES" w:eastAsia="en-US" w:bidi="ar-SA"/>
      </w:rPr>
    </w:lvl>
    <w:lvl w:ilvl="3">
      <w:start w:val="0"/>
      <w:numFmt w:val="bullet"/>
      <w:lvlText w:val="•"/>
      <w:lvlJc w:val="left"/>
      <w:pPr>
        <w:ind w:left="4083" w:hanging="252"/>
      </w:pPr>
      <w:rPr>
        <w:rFonts w:hint="default"/>
        <w:lang w:val="es-ES" w:eastAsia="en-US" w:bidi="ar-SA"/>
      </w:rPr>
    </w:lvl>
    <w:lvl w:ilvl="4">
      <w:start w:val="0"/>
      <w:numFmt w:val="bullet"/>
      <w:lvlText w:val="•"/>
      <w:lvlJc w:val="left"/>
      <w:pPr>
        <w:ind w:left="5017" w:hanging="252"/>
      </w:pPr>
      <w:rPr>
        <w:rFonts w:hint="default"/>
        <w:lang w:val="es-ES" w:eastAsia="en-US" w:bidi="ar-SA"/>
      </w:rPr>
    </w:lvl>
    <w:lvl w:ilvl="5">
      <w:start w:val="0"/>
      <w:numFmt w:val="bullet"/>
      <w:lvlText w:val="•"/>
      <w:lvlJc w:val="left"/>
      <w:pPr>
        <w:ind w:left="5952" w:hanging="252"/>
      </w:pPr>
      <w:rPr>
        <w:rFonts w:hint="default"/>
        <w:lang w:val="es-ES" w:eastAsia="en-US" w:bidi="ar-SA"/>
      </w:rPr>
    </w:lvl>
    <w:lvl w:ilvl="6">
      <w:start w:val="0"/>
      <w:numFmt w:val="bullet"/>
      <w:lvlText w:val="•"/>
      <w:lvlJc w:val="left"/>
      <w:pPr>
        <w:ind w:left="6886" w:hanging="252"/>
      </w:pPr>
      <w:rPr>
        <w:rFonts w:hint="default"/>
        <w:lang w:val="es-ES" w:eastAsia="en-US" w:bidi="ar-SA"/>
      </w:rPr>
    </w:lvl>
    <w:lvl w:ilvl="7">
      <w:start w:val="0"/>
      <w:numFmt w:val="bullet"/>
      <w:lvlText w:val="•"/>
      <w:lvlJc w:val="left"/>
      <w:pPr>
        <w:ind w:left="7820" w:hanging="252"/>
      </w:pPr>
      <w:rPr>
        <w:rFonts w:hint="default"/>
        <w:lang w:val="es-ES" w:eastAsia="en-US" w:bidi="ar-SA"/>
      </w:rPr>
    </w:lvl>
    <w:lvl w:ilvl="8">
      <w:start w:val="0"/>
      <w:numFmt w:val="bullet"/>
      <w:lvlText w:val="•"/>
      <w:lvlJc w:val="left"/>
      <w:pPr>
        <w:ind w:left="8755" w:hanging="252"/>
      </w:pPr>
      <w:rPr>
        <w:rFonts w:hint="default"/>
        <w:lang w:val="es-ES" w:eastAsia="en-US" w:bidi="ar-SA"/>
      </w:rPr>
    </w:lvl>
  </w:abstractNum>
  <w:abstractNum w:abstractNumId="80">
    <w:multiLevelType w:val="hybridMultilevel"/>
    <w:lvl w:ilvl="0">
      <w:start w:val="1"/>
      <w:numFmt w:val="lowerLetter"/>
      <w:lvlText w:val="%1)"/>
      <w:lvlJc w:val="left"/>
      <w:pPr>
        <w:ind w:left="1986" w:hanging="286"/>
        <w:jc w:val="left"/>
      </w:pPr>
      <w:rPr>
        <w:rFonts w:hint="default" w:ascii="Arial" w:hAnsi="Arial" w:eastAsia="Arial" w:cs="Arial"/>
        <w:b w:val="0"/>
        <w:bCs w:val="0"/>
        <w:i/>
        <w:iCs/>
        <w:spacing w:val="-1"/>
        <w:w w:val="100"/>
        <w:sz w:val="22"/>
        <w:szCs w:val="22"/>
        <w:lang w:val="es-ES" w:eastAsia="en-US" w:bidi="ar-SA"/>
      </w:rPr>
    </w:lvl>
    <w:lvl w:ilvl="1">
      <w:start w:val="0"/>
      <w:numFmt w:val="bullet"/>
      <w:lvlText w:val="•"/>
      <w:lvlJc w:val="left"/>
      <w:pPr>
        <w:ind w:left="2844" w:hanging="286"/>
      </w:pPr>
      <w:rPr>
        <w:rFonts w:hint="default"/>
        <w:lang w:val="es-ES" w:eastAsia="en-US" w:bidi="ar-SA"/>
      </w:rPr>
    </w:lvl>
    <w:lvl w:ilvl="2">
      <w:start w:val="0"/>
      <w:numFmt w:val="bullet"/>
      <w:lvlText w:val="•"/>
      <w:lvlJc w:val="left"/>
      <w:pPr>
        <w:ind w:left="3708" w:hanging="286"/>
      </w:pPr>
      <w:rPr>
        <w:rFonts w:hint="default"/>
        <w:lang w:val="es-ES" w:eastAsia="en-US" w:bidi="ar-SA"/>
      </w:rPr>
    </w:lvl>
    <w:lvl w:ilvl="3">
      <w:start w:val="0"/>
      <w:numFmt w:val="bullet"/>
      <w:lvlText w:val="•"/>
      <w:lvlJc w:val="left"/>
      <w:pPr>
        <w:ind w:left="4573" w:hanging="286"/>
      </w:pPr>
      <w:rPr>
        <w:rFonts w:hint="default"/>
        <w:lang w:val="es-ES" w:eastAsia="en-US" w:bidi="ar-SA"/>
      </w:rPr>
    </w:lvl>
    <w:lvl w:ilvl="4">
      <w:start w:val="0"/>
      <w:numFmt w:val="bullet"/>
      <w:lvlText w:val="•"/>
      <w:lvlJc w:val="left"/>
      <w:pPr>
        <w:ind w:left="5437" w:hanging="286"/>
      </w:pPr>
      <w:rPr>
        <w:rFonts w:hint="default"/>
        <w:lang w:val="es-ES" w:eastAsia="en-US" w:bidi="ar-SA"/>
      </w:rPr>
    </w:lvl>
    <w:lvl w:ilvl="5">
      <w:start w:val="0"/>
      <w:numFmt w:val="bullet"/>
      <w:lvlText w:val="•"/>
      <w:lvlJc w:val="left"/>
      <w:pPr>
        <w:ind w:left="6302" w:hanging="286"/>
      </w:pPr>
      <w:rPr>
        <w:rFonts w:hint="default"/>
        <w:lang w:val="es-ES" w:eastAsia="en-US" w:bidi="ar-SA"/>
      </w:rPr>
    </w:lvl>
    <w:lvl w:ilvl="6">
      <w:start w:val="0"/>
      <w:numFmt w:val="bullet"/>
      <w:lvlText w:val="•"/>
      <w:lvlJc w:val="left"/>
      <w:pPr>
        <w:ind w:left="7166" w:hanging="286"/>
      </w:pPr>
      <w:rPr>
        <w:rFonts w:hint="default"/>
        <w:lang w:val="es-ES" w:eastAsia="en-US" w:bidi="ar-SA"/>
      </w:rPr>
    </w:lvl>
    <w:lvl w:ilvl="7">
      <w:start w:val="0"/>
      <w:numFmt w:val="bullet"/>
      <w:lvlText w:val="•"/>
      <w:lvlJc w:val="left"/>
      <w:pPr>
        <w:ind w:left="8030" w:hanging="286"/>
      </w:pPr>
      <w:rPr>
        <w:rFonts w:hint="default"/>
        <w:lang w:val="es-ES" w:eastAsia="en-US" w:bidi="ar-SA"/>
      </w:rPr>
    </w:lvl>
    <w:lvl w:ilvl="8">
      <w:start w:val="0"/>
      <w:numFmt w:val="bullet"/>
      <w:lvlText w:val="•"/>
      <w:lvlJc w:val="left"/>
      <w:pPr>
        <w:ind w:left="8895" w:hanging="286"/>
      </w:pPr>
      <w:rPr>
        <w:rFonts w:hint="default"/>
        <w:lang w:val="es-ES" w:eastAsia="en-US" w:bidi="ar-SA"/>
      </w:rPr>
    </w:lvl>
  </w:abstractNum>
  <w:abstractNum w:abstractNumId="79">
    <w:multiLevelType w:val="hybridMultilevel"/>
    <w:lvl w:ilvl="0">
      <w:start w:val="0"/>
      <w:numFmt w:val="bullet"/>
      <w:lvlText w:val=""/>
      <w:lvlJc w:val="left"/>
      <w:pPr>
        <w:ind w:left="1420" w:hanging="228"/>
      </w:pPr>
      <w:rPr>
        <w:rFonts w:hint="default" w:ascii="Symbol" w:hAnsi="Symbol" w:eastAsia="Symbol" w:cs="Symbol"/>
        <w:b w:val="0"/>
        <w:bCs w:val="0"/>
        <w:i w:val="0"/>
        <w:iCs w:val="0"/>
        <w:spacing w:val="0"/>
        <w:w w:val="99"/>
        <w:sz w:val="20"/>
        <w:szCs w:val="20"/>
        <w:lang w:val="es-ES" w:eastAsia="en-US" w:bidi="ar-SA"/>
      </w:rPr>
    </w:lvl>
    <w:lvl w:ilvl="1">
      <w:start w:val="0"/>
      <w:numFmt w:val="bullet"/>
      <w:lvlText w:val="•"/>
      <w:lvlJc w:val="left"/>
      <w:pPr>
        <w:ind w:left="2340" w:hanging="228"/>
      </w:pPr>
      <w:rPr>
        <w:rFonts w:hint="default"/>
        <w:lang w:val="es-ES" w:eastAsia="en-US" w:bidi="ar-SA"/>
      </w:rPr>
    </w:lvl>
    <w:lvl w:ilvl="2">
      <w:start w:val="0"/>
      <w:numFmt w:val="bullet"/>
      <w:lvlText w:val="•"/>
      <w:lvlJc w:val="left"/>
      <w:pPr>
        <w:ind w:left="3260" w:hanging="228"/>
      </w:pPr>
      <w:rPr>
        <w:rFonts w:hint="default"/>
        <w:lang w:val="es-ES" w:eastAsia="en-US" w:bidi="ar-SA"/>
      </w:rPr>
    </w:lvl>
    <w:lvl w:ilvl="3">
      <w:start w:val="0"/>
      <w:numFmt w:val="bullet"/>
      <w:lvlText w:val="•"/>
      <w:lvlJc w:val="left"/>
      <w:pPr>
        <w:ind w:left="4181" w:hanging="228"/>
      </w:pPr>
      <w:rPr>
        <w:rFonts w:hint="default"/>
        <w:lang w:val="es-ES" w:eastAsia="en-US" w:bidi="ar-SA"/>
      </w:rPr>
    </w:lvl>
    <w:lvl w:ilvl="4">
      <w:start w:val="0"/>
      <w:numFmt w:val="bullet"/>
      <w:lvlText w:val="•"/>
      <w:lvlJc w:val="left"/>
      <w:pPr>
        <w:ind w:left="5101" w:hanging="228"/>
      </w:pPr>
      <w:rPr>
        <w:rFonts w:hint="default"/>
        <w:lang w:val="es-ES" w:eastAsia="en-US" w:bidi="ar-SA"/>
      </w:rPr>
    </w:lvl>
    <w:lvl w:ilvl="5">
      <w:start w:val="0"/>
      <w:numFmt w:val="bullet"/>
      <w:lvlText w:val="•"/>
      <w:lvlJc w:val="left"/>
      <w:pPr>
        <w:ind w:left="6022" w:hanging="228"/>
      </w:pPr>
      <w:rPr>
        <w:rFonts w:hint="default"/>
        <w:lang w:val="es-ES" w:eastAsia="en-US" w:bidi="ar-SA"/>
      </w:rPr>
    </w:lvl>
    <w:lvl w:ilvl="6">
      <w:start w:val="0"/>
      <w:numFmt w:val="bullet"/>
      <w:lvlText w:val="•"/>
      <w:lvlJc w:val="left"/>
      <w:pPr>
        <w:ind w:left="6942" w:hanging="228"/>
      </w:pPr>
      <w:rPr>
        <w:rFonts w:hint="default"/>
        <w:lang w:val="es-ES" w:eastAsia="en-US" w:bidi="ar-SA"/>
      </w:rPr>
    </w:lvl>
    <w:lvl w:ilvl="7">
      <w:start w:val="0"/>
      <w:numFmt w:val="bullet"/>
      <w:lvlText w:val="•"/>
      <w:lvlJc w:val="left"/>
      <w:pPr>
        <w:ind w:left="7862" w:hanging="228"/>
      </w:pPr>
      <w:rPr>
        <w:rFonts w:hint="default"/>
        <w:lang w:val="es-ES" w:eastAsia="en-US" w:bidi="ar-SA"/>
      </w:rPr>
    </w:lvl>
    <w:lvl w:ilvl="8">
      <w:start w:val="0"/>
      <w:numFmt w:val="bullet"/>
      <w:lvlText w:val="•"/>
      <w:lvlJc w:val="left"/>
      <w:pPr>
        <w:ind w:left="8783" w:hanging="228"/>
      </w:pPr>
      <w:rPr>
        <w:rFonts w:hint="default"/>
        <w:lang w:val="es-ES" w:eastAsia="en-US" w:bidi="ar-SA"/>
      </w:rPr>
    </w:lvl>
  </w:abstractNum>
  <w:abstractNum w:abstractNumId="78">
    <w:multiLevelType w:val="hybridMultilevel"/>
    <w:lvl w:ilvl="0">
      <w:start w:val="1"/>
      <w:numFmt w:val="lowerLetter"/>
      <w:lvlText w:val="%1."/>
      <w:lvlJc w:val="left"/>
      <w:pPr>
        <w:ind w:left="1562" w:hanging="428"/>
        <w:jc w:val="left"/>
      </w:pPr>
      <w:rPr>
        <w:rFonts w:hint="default"/>
        <w:spacing w:val="-1"/>
        <w:w w:val="100"/>
        <w:lang w:val="es-ES" w:eastAsia="en-US" w:bidi="ar-SA"/>
      </w:rPr>
    </w:lvl>
    <w:lvl w:ilvl="1">
      <w:start w:val="0"/>
      <w:numFmt w:val="bullet"/>
      <w:lvlText w:val="•"/>
      <w:lvlJc w:val="left"/>
      <w:pPr>
        <w:ind w:left="2466" w:hanging="428"/>
      </w:pPr>
      <w:rPr>
        <w:rFonts w:hint="default"/>
        <w:lang w:val="es-ES" w:eastAsia="en-US" w:bidi="ar-SA"/>
      </w:rPr>
    </w:lvl>
    <w:lvl w:ilvl="2">
      <w:start w:val="0"/>
      <w:numFmt w:val="bullet"/>
      <w:lvlText w:val="•"/>
      <w:lvlJc w:val="left"/>
      <w:pPr>
        <w:ind w:left="3372" w:hanging="428"/>
      </w:pPr>
      <w:rPr>
        <w:rFonts w:hint="default"/>
        <w:lang w:val="es-ES" w:eastAsia="en-US" w:bidi="ar-SA"/>
      </w:rPr>
    </w:lvl>
    <w:lvl w:ilvl="3">
      <w:start w:val="0"/>
      <w:numFmt w:val="bullet"/>
      <w:lvlText w:val="•"/>
      <w:lvlJc w:val="left"/>
      <w:pPr>
        <w:ind w:left="4279" w:hanging="428"/>
      </w:pPr>
      <w:rPr>
        <w:rFonts w:hint="default"/>
        <w:lang w:val="es-ES" w:eastAsia="en-US" w:bidi="ar-SA"/>
      </w:rPr>
    </w:lvl>
    <w:lvl w:ilvl="4">
      <w:start w:val="0"/>
      <w:numFmt w:val="bullet"/>
      <w:lvlText w:val="•"/>
      <w:lvlJc w:val="left"/>
      <w:pPr>
        <w:ind w:left="5185" w:hanging="428"/>
      </w:pPr>
      <w:rPr>
        <w:rFonts w:hint="default"/>
        <w:lang w:val="es-ES" w:eastAsia="en-US" w:bidi="ar-SA"/>
      </w:rPr>
    </w:lvl>
    <w:lvl w:ilvl="5">
      <w:start w:val="0"/>
      <w:numFmt w:val="bullet"/>
      <w:lvlText w:val="•"/>
      <w:lvlJc w:val="left"/>
      <w:pPr>
        <w:ind w:left="6092" w:hanging="428"/>
      </w:pPr>
      <w:rPr>
        <w:rFonts w:hint="default"/>
        <w:lang w:val="es-ES" w:eastAsia="en-US" w:bidi="ar-SA"/>
      </w:rPr>
    </w:lvl>
    <w:lvl w:ilvl="6">
      <w:start w:val="0"/>
      <w:numFmt w:val="bullet"/>
      <w:lvlText w:val="•"/>
      <w:lvlJc w:val="left"/>
      <w:pPr>
        <w:ind w:left="6998" w:hanging="428"/>
      </w:pPr>
      <w:rPr>
        <w:rFonts w:hint="default"/>
        <w:lang w:val="es-ES" w:eastAsia="en-US" w:bidi="ar-SA"/>
      </w:rPr>
    </w:lvl>
    <w:lvl w:ilvl="7">
      <w:start w:val="0"/>
      <w:numFmt w:val="bullet"/>
      <w:lvlText w:val="•"/>
      <w:lvlJc w:val="left"/>
      <w:pPr>
        <w:ind w:left="7904" w:hanging="428"/>
      </w:pPr>
      <w:rPr>
        <w:rFonts w:hint="default"/>
        <w:lang w:val="es-ES" w:eastAsia="en-US" w:bidi="ar-SA"/>
      </w:rPr>
    </w:lvl>
    <w:lvl w:ilvl="8">
      <w:start w:val="0"/>
      <w:numFmt w:val="bullet"/>
      <w:lvlText w:val="•"/>
      <w:lvlJc w:val="left"/>
      <w:pPr>
        <w:ind w:left="8811" w:hanging="428"/>
      </w:pPr>
      <w:rPr>
        <w:rFonts w:hint="default"/>
        <w:lang w:val="es-ES" w:eastAsia="en-US" w:bidi="ar-SA"/>
      </w:rPr>
    </w:lvl>
  </w:abstractNum>
  <w:abstractNum w:abstractNumId="77">
    <w:multiLevelType w:val="hybridMultilevel"/>
    <w:lvl w:ilvl="0">
      <w:start w:val="0"/>
      <w:numFmt w:val="bullet"/>
      <w:lvlText w:val=""/>
      <w:lvlJc w:val="left"/>
      <w:pPr>
        <w:ind w:left="1276"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76">
    <w:multiLevelType w:val="hybridMultilevel"/>
    <w:lvl w:ilvl="0">
      <w:start w:val="1"/>
      <w:numFmt w:val="lowerLetter"/>
      <w:lvlText w:val="%1."/>
      <w:lvlJc w:val="left"/>
      <w:pPr>
        <w:ind w:left="1562" w:hanging="428"/>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466" w:hanging="428"/>
      </w:pPr>
      <w:rPr>
        <w:rFonts w:hint="default"/>
        <w:lang w:val="es-ES" w:eastAsia="en-US" w:bidi="ar-SA"/>
      </w:rPr>
    </w:lvl>
    <w:lvl w:ilvl="2">
      <w:start w:val="0"/>
      <w:numFmt w:val="bullet"/>
      <w:lvlText w:val="•"/>
      <w:lvlJc w:val="left"/>
      <w:pPr>
        <w:ind w:left="3372" w:hanging="428"/>
      </w:pPr>
      <w:rPr>
        <w:rFonts w:hint="default"/>
        <w:lang w:val="es-ES" w:eastAsia="en-US" w:bidi="ar-SA"/>
      </w:rPr>
    </w:lvl>
    <w:lvl w:ilvl="3">
      <w:start w:val="0"/>
      <w:numFmt w:val="bullet"/>
      <w:lvlText w:val="•"/>
      <w:lvlJc w:val="left"/>
      <w:pPr>
        <w:ind w:left="4279" w:hanging="428"/>
      </w:pPr>
      <w:rPr>
        <w:rFonts w:hint="default"/>
        <w:lang w:val="es-ES" w:eastAsia="en-US" w:bidi="ar-SA"/>
      </w:rPr>
    </w:lvl>
    <w:lvl w:ilvl="4">
      <w:start w:val="0"/>
      <w:numFmt w:val="bullet"/>
      <w:lvlText w:val="•"/>
      <w:lvlJc w:val="left"/>
      <w:pPr>
        <w:ind w:left="5185" w:hanging="428"/>
      </w:pPr>
      <w:rPr>
        <w:rFonts w:hint="default"/>
        <w:lang w:val="es-ES" w:eastAsia="en-US" w:bidi="ar-SA"/>
      </w:rPr>
    </w:lvl>
    <w:lvl w:ilvl="5">
      <w:start w:val="0"/>
      <w:numFmt w:val="bullet"/>
      <w:lvlText w:val="•"/>
      <w:lvlJc w:val="left"/>
      <w:pPr>
        <w:ind w:left="6092" w:hanging="428"/>
      </w:pPr>
      <w:rPr>
        <w:rFonts w:hint="default"/>
        <w:lang w:val="es-ES" w:eastAsia="en-US" w:bidi="ar-SA"/>
      </w:rPr>
    </w:lvl>
    <w:lvl w:ilvl="6">
      <w:start w:val="0"/>
      <w:numFmt w:val="bullet"/>
      <w:lvlText w:val="•"/>
      <w:lvlJc w:val="left"/>
      <w:pPr>
        <w:ind w:left="6998" w:hanging="428"/>
      </w:pPr>
      <w:rPr>
        <w:rFonts w:hint="default"/>
        <w:lang w:val="es-ES" w:eastAsia="en-US" w:bidi="ar-SA"/>
      </w:rPr>
    </w:lvl>
    <w:lvl w:ilvl="7">
      <w:start w:val="0"/>
      <w:numFmt w:val="bullet"/>
      <w:lvlText w:val="•"/>
      <w:lvlJc w:val="left"/>
      <w:pPr>
        <w:ind w:left="7904" w:hanging="428"/>
      </w:pPr>
      <w:rPr>
        <w:rFonts w:hint="default"/>
        <w:lang w:val="es-ES" w:eastAsia="en-US" w:bidi="ar-SA"/>
      </w:rPr>
    </w:lvl>
    <w:lvl w:ilvl="8">
      <w:start w:val="0"/>
      <w:numFmt w:val="bullet"/>
      <w:lvlText w:val="•"/>
      <w:lvlJc w:val="left"/>
      <w:pPr>
        <w:ind w:left="8811" w:hanging="428"/>
      </w:pPr>
      <w:rPr>
        <w:rFonts w:hint="default"/>
        <w:lang w:val="es-ES" w:eastAsia="en-US" w:bidi="ar-SA"/>
      </w:rPr>
    </w:lvl>
  </w:abstractNum>
  <w:abstractNum w:abstractNumId="75">
    <w:multiLevelType w:val="hybridMultilevel"/>
    <w:lvl w:ilvl="0">
      <w:start w:val="0"/>
      <w:numFmt w:val="bullet"/>
      <w:lvlText w:val=""/>
      <w:lvlJc w:val="left"/>
      <w:pPr>
        <w:ind w:left="1276"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74">
    <w:multiLevelType w:val="hybridMultilevel"/>
    <w:lvl w:ilvl="0">
      <w:start w:val="1"/>
      <w:numFmt w:val="lowerLetter"/>
      <w:lvlText w:val="%1."/>
      <w:lvlJc w:val="left"/>
      <w:pPr>
        <w:ind w:left="1701" w:hanging="567"/>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592" w:hanging="567"/>
      </w:pPr>
      <w:rPr>
        <w:rFonts w:hint="default"/>
        <w:lang w:val="es-ES" w:eastAsia="en-US" w:bidi="ar-SA"/>
      </w:rPr>
    </w:lvl>
    <w:lvl w:ilvl="2">
      <w:start w:val="0"/>
      <w:numFmt w:val="bullet"/>
      <w:lvlText w:val="•"/>
      <w:lvlJc w:val="left"/>
      <w:pPr>
        <w:ind w:left="3484" w:hanging="567"/>
      </w:pPr>
      <w:rPr>
        <w:rFonts w:hint="default"/>
        <w:lang w:val="es-ES" w:eastAsia="en-US" w:bidi="ar-SA"/>
      </w:rPr>
    </w:lvl>
    <w:lvl w:ilvl="3">
      <w:start w:val="0"/>
      <w:numFmt w:val="bullet"/>
      <w:lvlText w:val="•"/>
      <w:lvlJc w:val="left"/>
      <w:pPr>
        <w:ind w:left="4377" w:hanging="567"/>
      </w:pPr>
      <w:rPr>
        <w:rFonts w:hint="default"/>
        <w:lang w:val="es-ES" w:eastAsia="en-US" w:bidi="ar-SA"/>
      </w:rPr>
    </w:lvl>
    <w:lvl w:ilvl="4">
      <w:start w:val="0"/>
      <w:numFmt w:val="bullet"/>
      <w:lvlText w:val="•"/>
      <w:lvlJc w:val="left"/>
      <w:pPr>
        <w:ind w:left="5269" w:hanging="567"/>
      </w:pPr>
      <w:rPr>
        <w:rFonts w:hint="default"/>
        <w:lang w:val="es-ES" w:eastAsia="en-US" w:bidi="ar-SA"/>
      </w:rPr>
    </w:lvl>
    <w:lvl w:ilvl="5">
      <w:start w:val="0"/>
      <w:numFmt w:val="bullet"/>
      <w:lvlText w:val="•"/>
      <w:lvlJc w:val="left"/>
      <w:pPr>
        <w:ind w:left="6162" w:hanging="567"/>
      </w:pPr>
      <w:rPr>
        <w:rFonts w:hint="default"/>
        <w:lang w:val="es-ES" w:eastAsia="en-US" w:bidi="ar-SA"/>
      </w:rPr>
    </w:lvl>
    <w:lvl w:ilvl="6">
      <w:start w:val="0"/>
      <w:numFmt w:val="bullet"/>
      <w:lvlText w:val="•"/>
      <w:lvlJc w:val="left"/>
      <w:pPr>
        <w:ind w:left="7054" w:hanging="567"/>
      </w:pPr>
      <w:rPr>
        <w:rFonts w:hint="default"/>
        <w:lang w:val="es-ES" w:eastAsia="en-US" w:bidi="ar-SA"/>
      </w:rPr>
    </w:lvl>
    <w:lvl w:ilvl="7">
      <w:start w:val="0"/>
      <w:numFmt w:val="bullet"/>
      <w:lvlText w:val="•"/>
      <w:lvlJc w:val="left"/>
      <w:pPr>
        <w:ind w:left="7946" w:hanging="567"/>
      </w:pPr>
      <w:rPr>
        <w:rFonts w:hint="default"/>
        <w:lang w:val="es-ES" w:eastAsia="en-US" w:bidi="ar-SA"/>
      </w:rPr>
    </w:lvl>
    <w:lvl w:ilvl="8">
      <w:start w:val="0"/>
      <w:numFmt w:val="bullet"/>
      <w:lvlText w:val="•"/>
      <w:lvlJc w:val="left"/>
      <w:pPr>
        <w:ind w:left="8839" w:hanging="567"/>
      </w:pPr>
      <w:rPr>
        <w:rFonts w:hint="default"/>
        <w:lang w:val="es-ES" w:eastAsia="en-US" w:bidi="ar-SA"/>
      </w:rPr>
    </w:lvl>
  </w:abstractNum>
  <w:abstractNum w:abstractNumId="73">
    <w:multiLevelType w:val="hybridMultilevel"/>
    <w:lvl w:ilvl="0">
      <w:start w:val="0"/>
      <w:numFmt w:val="bullet"/>
      <w:lvlText w:val=""/>
      <w:lvlJc w:val="left"/>
      <w:pPr>
        <w:ind w:left="1276"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72">
    <w:multiLevelType w:val="hybridMultilevel"/>
    <w:lvl w:ilvl="0">
      <w:start w:val="1"/>
      <w:numFmt w:val="lowerLetter"/>
      <w:lvlText w:val="%1."/>
      <w:lvlJc w:val="left"/>
      <w:pPr>
        <w:ind w:left="1562" w:hanging="360"/>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71">
    <w:multiLevelType w:val="hybridMultilevel"/>
    <w:lvl w:ilvl="0">
      <w:start w:val="0"/>
      <w:numFmt w:val="bullet"/>
      <w:lvlText w:val=""/>
      <w:lvlJc w:val="left"/>
      <w:pPr>
        <w:ind w:left="1276"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70">
    <w:multiLevelType w:val="hybridMultilevel"/>
    <w:lvl w:ilvl="0">
      <w:start w:val="1"/>
      <w:numFmt w:val="lowerLetter"/>
      <w:lvlText w:val="%1."/>
      <w:lvlJc w:val="left"/>
      <w:pPr>
        <w:ind w:left="1562" w:hanging="428"/>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1986" w:hanging="219"/>
      </w:pPr>
      <w:rPr>
        <w:rFonts w:hint="default" w:ascii="Symbol" w:hAnsi="Symbol" w:eastAsia="Symbol" w:cs="Symbol"/>
        <w:b w:val="0"/>
        <w:bCs w:val="0"/>
        <w:i w:val="0"/>
        <w:iCs w:val="0"/>
        <w:spacing w:val="0"/>
        <w:w w:val="100"/>
        <w:sz w:val="22"/>
        <w:szCs w:val="22"/>
        <w:lang w:val="es-ES" w:eastAsia="en-US" w:bidi="ar-SA"/>
      </w:rPr>
    </w:lvl>
    <w:lvl w:ilvl="2">
      <w:start w:val="0"/>
      <w:numFmt w:val="bullet"/>
      <w:lvlText w:val="•"/>
      <w:lvlJc w:val="left"/>
      <w:pPr>
        <w:ind w:left="2940" w:hanging="219"/>
      </w:pPr>
      <w:rPr>
        <w:rFonts w:hint="default"/>
        <w:lang w:val="es-ES" w:eastAsia="en-US" w:bidi="ar-SA"/>
      </w:rPr>
    </w:lvl>
    <w:lvl w:ilvl="3">
      <w:start w:val="0"/>
      <w:numFmt w:val="bullet"/>
      <w:lvlText w:val="•"/>
      <w:lvlJc w:val="left"/>
      <w:pPr>
        <w:ind w:left="3900" w:hanging="219"/>
      </w:pPr>
      <w:rPr>
        <w:rFonts w:hint="default"/>
        <w:lang w:val="es-ES" w:eastAsia="en-US" w:bidi="ar-SA"/>
      </w:rPr>
    </w:lvl>
    <w:lvl w:ilvl="4">
      <w:start w:val="0"/>
      <w:numFmt w:val="bullet"/>
      <w:lvlText w:val="•"/>
      <w:lvlJc w:val="left"/>
      <w:pPr>
        <w:ind w:left="4861" w:hanging="219"/>
      </w:pPr>
      <w:rPr>
        <w:rFonts w:hint="default"/>
        <w:lang w:val="es-ES" w:eastAsia="en-US" w:bidi="ar-SA"/>
      </w:rPr>
    </w:lvl>
    <w:lvl w:ilvl="5">
      <w:start w:val="0"/>
      <w:numFmt w:val="bullet"/>
      <w:lvlText w:val="•"/>
      <w:lvlJc w:val="left"/>
      <w:pPr>
        <w:ind w:left="5821" w:hanging="219"/>
      </w:pPr>
      <w:rPr>
        <w:rFonts w:hint="default"/>
        <w:lang w:val="es-ES" w:eastAsia="en-US" w:bidi="ar-SA"/>
      </w:rPr>
    </w:lvl>
    <w:lvl w:ilvl="6">
      <w:start w:val="0"/>
      <w:numFmt w:val="bullet"/>
      <w:lvlText w:val="•"/>
      <w:lvlJc w:val="left"/>
      <w:pPr>
        <w:ind w:left="6782" w:hanging="219"/>
      </w:pPr>
      <w:rPr>
        <w:rFonts w:hint="default"/>
        <w:lang w:val="es-ES" w:eastAsia="en-US" w:bidi="ar-SA"/>
      </w:rPr>
    </w:lvl>
    <w:lvl w:ilvl="7">
      <w:start w:val="0"/>
      <w:numFmt w:val="bullet"/>
      <w:lvlText w:val="•"/>
      <w:lvlJc w:val="left"/>
      <w:pPr>
        <w:ind w:left="7742" w:hanging="219"/>
      </w:pPr>
      <w:rPr>
        <w:rFonts w:hint="default"/>
        <w:lang w:val="es-ES" w:eastAsia="en-US" w:bidi="ar-SA"/>
      </w:rPr>
    </w:lvl>
    <w:lvl w:ilvl="8">
      <w:start w:val="0"/>
      <w:numFmt w:val="bullet"/>
      <w:lvlText w:val="•"/>
      <w:lvlJc w:val="left"/>
      <w:pPr>
        <w:ind w:left="8703" w:hanging="219"/>
      </w:pPr>
      <w:rPr>
        <w:rFonts w:hint="default"/>
        <w:lang w:val="es-ES" w:eastAsia="en-US" w:bidi="ar-SA"/>
      </w:rPr>
    </w:lvl>
  </w:abstractNum>
  <w:abstractNum w:abstractNumId="69">
    <w:multiLevelType w:val="hybridMultilevel"/>
    <w:lvl w:ilvl="0">
      <w:start w:val="0"/>
      <w:numFmt w:val="bullet"/>
      <w:lvlText w:val=""/>
      <w:lvlJc w:val="left"/>
      <w:pPr>
        <w:ind w:left="1276"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68">
    <w:multiLevelType w:val="hybridMultilevel"/>
    <w:lvl w:ilvl="0">
      <w:start w:val="1"/>
      <w:numFmt w:val="lowerLetter"/>
      <w:lvlText w:val="%1."/>
      <w:lvlJc w:val="left"/>
      <w:pPr>
        <w:ind w:left="1562" w:hanging="428"/>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466" w:hanging="428"/>
      </w:pPr>
      <w:rPr>
        <w:rFonts w:hint="default"/>
        <w:lang w:val="es-ES" w:eastAsia="en-US" w:bidi="ar-SA"/>
      </w:rPr>
    </w:lvl>
    <w:lvl w:ilvl="2">
      <w:start w:val="0"/>
      <w:numFmt w:val="bullet"/>
      <w:lvlText w:val="•"/>
      <w:lvlJc w:val="left"/>
      <w:pPr>
        <w:ind w:left="3372" w:hanging="428"/>
      </w:pPr>
      <w:rPr>
        <w:rFonts w:hint="default"/>
        <w:lang w:val="es-ES" w:eastAsia="en-US" w:bidi="ar-SA"/>
      </w:rPr>
    </w:lvl>
    <w:lvl w:ilvl="3">
      <w:start w:val="0"/>
      <w:numFmt w:val="bullet"/>
      <w:lvlText w:val="•"/>
      <w:lvlJc w:val="left"/>
      <w:pPr>
        <w:ind w:left="4279" w:hanging="428"/>
      </w:pPr>
      <w:rPr>
        <w:rFonts w:hint="default"/>
        <w:lang w:val="es-ES" w:eastAsia="en-US" w:bidi="ar-SA"/>
      </w:rPr>
    </w:lvl>
    <w:lvl w:ilvl="4">
      <w:start w:val="0"/>
      <w:numFmt w:val="bullet"/>
      <w:lvlText w:val="•"/>
      <w:lvlJc w:val="left"/>
      <w:pPr>
        <w:ind w:left="5185" w:hanging="428"/>
      </w:pPr>
      <w:rPr>
        <w:rFonts w:hint="default"/>
        <w:lang w:val="es-ES" w:eastAsia="en-US" w:bidi="ar-SA"/>
      </w:rPr>
    </w:lvl>
    <w:lvl w:ilvl="5">
      <w:start w:val="0"/>
      <w:numFmt w:val="bullet"/>
      <w:lvlText w:val="•"/>
      <w:lvlJc w:val="left"/>
      <w:pPr>
        <w:ind w:left="6092" w:hanging="428"/>
      </w:pPr>
      <w:rPr>
        <w:rFonts w:hint="default"/>
        <w:lang w:val="es-ES" w:eastAsia="en-US" w:bidi="ar-SA"/>
      </w:rPr>
    </w:lvl>
    <w:lvl w:ilvl="6">
      <w:start w:val="0"/>
      <w:numFmt w:val="bullet"/>
      <w:lvlText w:val="•"/>
      <w:lvlJc w:val="left"/>
      <w:pPr>
        <w:ind w:left="6998" w:hanging="428"/>
      </w:pPr>
      <w:rPr>
        <w:rFonts w:hint="default"/>
        <w:lang w:val="es-ES" w:eastAsia="en-US" w:bidi="ar-SA"/>
      </w:rPr>
    </w:lvl>
    <w:lvl w:ilvl="7">
      <w:start w:val="0"/>
      <w:numFmt w:val="bullet"/>
      <w:lvlText w:val="•"/>
      <w:lvlJc w:val="left"/>
      <w:pPr>
        <w:ind w:left="7904" w:hanging="428"/>
      </w:pPr>
      <w:rPr>
        <w:rFonts w:hint="default"/>
        <w:lang w:val="es-ES" w:eastAsia="en-US" w:bidi="ar-SA"/>
      </w:rPr>
    </w:lvl>
    <w:lvl w:ilvl="8">
      <w:start w:val="0"/>
      <w:numFmt w:val="bullet"/>
      <w:lvlText w:val="•"/>
      <w:lvlJc w:val="left"/>
      <w:pPr>
        <w:ind w:left="8811" w:hanging="428"/>
      </w:pPr>
      <w:rPr>
        <w:rFonts w:hint="default"/>
        <w:lang w:val="es-ES" w:eastAsia="en-US" w:bidi="ar-SA"/>
      </w:rPr>
    </w:lvl>
  </w:abstractNum>
  <w:abstractNum w:abstractNumId="67">
    <w:multiLevelType w:val="hybridMultilevel"/>
    <w:lvl w:ilvl="0">
      <w:start w:val="0"/>
      <w:numFmt w:val="bullet"/>
      <w:lvlText w:val=""/>
      <w:lvlJc w:val="left"/>
      <w:pPr>
        <w:ind w:left="1276"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66">
    <w:multiLevelType w:val="hybridMultilevel"/>
    <w:lvl w:ilvl="0">
      <w:start w:val="0"/>
      <w:numFmt w:val="bullet"/>
      <w:lvlText w:val=""/>
      <w:lvlJc w:val="left"/>
      <w:pPr>
        <w:ind w:left="1276"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65">
    <w:multiLevelType w:val="hybridMultilevel"/>
    <w:lvl w:ilvl="0">
      <w:start w:val="0"/>
      <w:numFmt w:val="bullet"/>
      <w:lvlText w:val=""/>
      <w:lvlJc w:val="left"/>
      <w:pPr>
        <w:ind w:left="1276"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64">
    <w:multiLevelType w:val="hybridMultilevel"/>
    <w:lvl w:ilvl="0">
      <w:start w:val="0"/>
      <w:numFmt w:val="bullet"/>
      <w:lvlText w:val=""/>
      <w:lvlJc w:val="left"/>
      <w:pPr>
        <w:ind w:left="1276"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63">
    <w:multiLevelType w:val="hybridMultilevel"/>
    <w:lvl w:ilvl="0">
      <w:start w:val="0"/>
      <w:numFmt w:val="bullet"/>
      <w:lvlText w:val=""/>
      <w:lvlJc w:val="left"/>
      <w:pPr>
        <w:ind w:left="1276"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62">
    <w:multiLevelType w:val="hybridMultilevel"/>
    <w:lvl w:ilvl="0">
      <w:start w:val="0"/>
      <w:numFmt w:val="bullet"/>
      <w:lvlText w:val=""/>
      <w:lvlJc w:val="left"/>
      <w:pPr>
        <w:ind w:left="1562"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61">
    <w:multiLevelType w:val="hybridMultilevel"/>
    <w:lvl w:ilvl="0">
      <w:start w:val="1"/>
      <w:numFmt w:val="lowerLetter"/>
      <w:lvlText w:val="%1."/>
      <w:lvlJc w:val="left"/>
      <w:pPr>
        <w:ind w:left="1562" w:hanging="428"/>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466" w:hanging="428"/>
      </w:pPr>
      <w:rPr>
        <w:rFonts w:hint="default"/>
        <w:lang w:val="es-ES" w:eastAsia="en-US" w:bidi="ar-SA"/>
      </w:rPr>
    </w:lvl>
    <w:lvl w:ilvl="2">
      <w:start w:val="0"/>
      <w:numFmt w:val="bullet"/>
      <w:lvlText w:val="•"/>
      <w:lvlJc w:val="left"/>
      <w:pPr>
        <w:ind w:left="3372" w:hanging="428"/>
      </w:pPr>
      <w:rPr>
        <w:rFonts w:hint="default"/>
        <w:lang w:val="es-ES" w:eastAsia="en-US" w:bidi="ar-SA"/>
      </w:rPr>
    </w:lvl>
    <w:lvl w:ilvl="3">
      <w:start w:val="0"/>
      <w:numFmt w:val="bullet"/>
      <w:lvlText w:val="•"/>
      <w:lvlJc w:val="left"/>
      <w:pPr>
        <w:ind w:left="4279" w:hanging="428"/>
      </w:pPr>
      <w:rPr>
        <w:rFonts w:hint="default"/>
        <w:lang w:val="es-ES" w:eastAsia="en-US" w:bidi="ar-SA"/>
      </w:rPr>
    </w:lvl>
    <w:lvl w:ilvl="4">
      <w:start w:val="0"/>
      <w:numFmt w:val="bullet"/>
      <w:lvlText w:val="•"/>
      <w:lvlJc w:val="left"/>
      <w:pPr>
        <w:ind w:left="5185" w:hanging="428"/>
      </w:pPr>
      <w:rPr>
        <w:rFonts w:hint="default"/>
        <w:lang w:val="es-ES" w:eastAsia="en-US" w:bidi="ar-SA"/>
      </w:rPr>
    </w:lvl>
    <w:lvl w:ilvl="5">
      <w:start w:val="0"/>
      <w:numFmt w:val="bullet"/>
      <w:lvlText w:val="•"/>
      <w:lvlJc w:val="left"/>
      <w:pPr>
        <w:ind w:left="6092" w:hanging="428"/>
      </w:pPr>
      <w:rPr>
        <w:rFonts w:hint="default"/>
        <w:lang w:val="es-ES" w:eastAsia="en-US" w:bidi="ar-SA"/>
      </w:rPr>
    </w:lvl>
    <w:lvl w:ilvl="6">
      <w:start w:val="0"/>
      <w:numFmt w:val="bullet"/>
      <w:lvlText w:val="•"/>
      <w:lvlJc w:val="left"/>
      <w:pPr>
        <w:ind w:left="6998" w:hanging="428"/>
      </w:pPr>
      <w:rPr>
        <w:rFonts w:hint="default"/>
        <w:lang w:val="es-ES" w:eastAsia="en-US" w:bidi="ar-SA"/>
      </w:rPr>
    </w:lvl>
    <w:lvl w:ilvl="7">
      <w:start w:val="0"/>
      <w:numFmt w:val="bullet"/>
      <w:lvlText w:val="•"/>
      <w:lvlJc w:val="left"/>
      <w:pPr>
        <w:ind w:left="7904" w:hanging="428"/>
      </w:pPr>
      <w:rPr>
        <w:rFonts w:hint="default"/>
        <w:lang w:val="es-ES" w:eastAsia="en-US" w:bidi="ar-SA"/>
      </w:rPr>
    </w:lvl>
    <w:lvl w:ilvl="8">
      <w:start w:val="0"/>
      <w:numFmt w:val="bullet"/>
      <w:lvlText w:val="•"/>
      <w:lvlJc w:val="left"/>
      <w:pPr>
        <w:ind w:left="8811" w:hanging="428"/>
      </w:pPr>
      <w:rPr>
        <w:rFonts w:hint="default"/>
        <w:lang w:val="es-ES" w:eastAsia="en-US" w:bidi="ar-SA"/>
      </w:rPr>
    </w:lvl>
  </w:abstractNum>
  <w:abstractNum w:abstractNumId="60">
    <w:multiLevelType w:val="hybridMultilevel"/>
    <w:lvl w:ilvl="0">
      <w:start w:val="8"/>
      <w:numFmt w:val="decimal"/>
      <w:lvlText w:val="%1"/>
      <w:lvlJc w:val="left"/>
      <w:pPr>
        <w:ind w:left="1058" w:hanging="423"/>
        <w:jc w:val="left"/>
      </w:pPr>
      <w:rPr>
        <w:rFonts w:hint="default"/>
        <w:lang w:val="es-ES" w:eastAsia="en-US" w:bidi="ar-SA"/>
      </w:rPr>
    </w:lvl>
    <w:lvl w:ilvl="1">
      <w:start w:val="1"/>
      <w:numFmt w:val="decimal"/>
      <w:lvlText w:val="%1.%2"/>
      <w:lvlJc w:val="left"/>
      <w:pPr>
        <w:ind w:left="1058" w:hanging="423"/>
        <w:jc w:val="right"/>
      </w:pPr>
      <w:rPr>
        <w:rFonts w:hint="default"/>
        <w:spacing w:val="-1"/>
        <w:w w:val="100"/>
        <w:lang w:val="es-ES" w:eastAsia="en-US" w:bidi="ar-SA"/>
      </w:rPr>
    </w:lvl>
    <w:lvl w:ilvl="2">
      <w:start w:val="0"/>
      <w:numFmt w:val="bullet"/>
      <w:lvlText w:val="•"/>
      <w:lvlJc w:val="left"/>
      <w:pPr>
        <w:ind w:left="2972" w:hanging="423"/>
      </w:pPr>
      <w:rPr>
        <w:rFonts w:hint="default"/>
        <w:lang w:val="es-ES" w:eastAsia="en-US" w:bidi="ar-SA"/>
      </w:rPr>
    </w:lvl>
    <w:lvl w:ilvl="3">
      <w:start w:val="0"/>
      <w:numFmt w:val="bullet"/>
      <w:lvlText w:val="•"/>
      <w:lvlJc w:val="left"/>
      <w:pPr>
        <w:ind w:left="3929" w:hanging="423"/>
      </w:pPr>
      <w:rPr>
        <w:rFonts w:hint="default"/>
        <w:lang w:val="es-ES" w:eastAsia="en-US" w:bidi="ar-SA"/>
      </w:rPr>
    </w:lvl>
    <w:lvl w:ilvl="4">
      <w:start w:val="0"/>
      <w:numFmt w:val="bullet"/>
      <w:lvlText w:val="•"/>
      <w:lvlJc w:val="left"/>
      <w:pPr>
        <w:ind w:left="4885" w:hanging="423"/>
      </w:pPr>
      <w:rPr>
        <w:rFonts w:hint="default"/>
        <w:lang w:val="es-ES" w:eastAsia="en-US" w:bidi="ar-SA"/>
      </w:rPr>
    </w:lvl>
    <w:lvl w:ilvl="5">
      <w:start w:val="0"/>
      <w:numFmt w:val="bullet"/>
      <w:lvlText w:val="•"/>
      <w:lvlJc w:val="left"/>
      <w:pPr>
        <w:ind w:left="5842" w:hanging="423"/>
      </w:pPr>
      <w:rPr>
        <w:rFonts w:hint="default"/>
        <w:lang w:val="es-ES" w:eastAsia="en-US" w:bidi="ar-SA"/>
      </w:rPr>
    </w:lvl>
    <w:lvl w:ilvl="6">
      <w:start w:val="0"/>
      <w:numFmt w:val="bullet"/>
      <w:lvlText w:val="•"/>
      <w:lvlJc w:val="left"/>
      <w:pPr>
        <w:ind w:left="6798" w:hanging="423"/>
      </w:pPr>
      <w:rPr>
        <w:rFonts w:hint="default"/>
        <w:lang w:val="es-ES" w:eastAsia="en-US" w:bidi="ar-SA"/>
      </w:rPr>
    </w:lvl>
    <w:lvl w:ilvl="7">
      <w:start w:val="0"/>
      <w:numFmt w:val="bullet"/>
      <w:lvlText w:val="•"/>
      <w:lvlJc w:val="left"/>
      <w:pPr>
        <w:ind w:left="7754" w:hanging="423"/>
      </w:pPr>
      <w:rPr>
        <w:rFonts w:hint="default"/>
        <w:lang w:val="es-ES" w:eastAsia="en-US" w:bidi="ar-SA"/>
      </w:rPr>
    </w:lvl>
    <w:lvl w:ilvl="8">
      <w:start w:val="0"/>
      <w:numFmt w:val="bullet"/>
      <w:lvlText w:val="•"/>
      <w:lvlJc w:val="left"/>
      <w:pPr>
        <w:ind w:left="8711" w:hanging="423"/>
      </w:pPr>
      <w:rPr>
        <w:rFonts w:hint="default"/>
        <w:lang w:val="es-ES" w:eastAsia="en-US" w:bidi="ar-SA"/>
      </w:rPr>
    </w:lvl>
  </w:abstractNum>
  <w:abstractNum w:abstractNumId="59">
    <w:multiLevelType w:val="hybridMultilevel"/>
    <w:lvl w:ilvl="0">
      <w:start w:val="1"/>
      <w:numFmt w:val="lowerLetter"/>
      <w:lvlText w:val="%1)"/>
      <w:lvlJc w:val="left"/>
      <w:pPr>
        <w:ind w:left="1701" w:hanging="425"/>
        <w:jc w:val="left"/>
      </w:pPr>
      <w:rPr>
        <w:rFonts w:hint="default" w:ascii="Arial" w:hAnsi="Arial" w:eastAsia="Arial" w:cs="Arial"/>
        <w:b w:val="0"/>
        <w:bCs w:val="0"/>
        <w:i/>
        <w:iCs/>
        <w:spacing w:val="-1"/>
        <w:w w:val="100"/>
        <w:sz w:val="22"/>
        <w:szCs w:val="22"/>
        <w:lang w:val="es-ES" w:eastAsia="en-US" w:bidi="ar-SA"/>
      </w:rPr>
    </w:lvl>
    <w:lvl w:ilvl="1">
      <w:start w:val="0"/>
      <w:numFmt w:val="bullet"/>
      <w:lvlText w:val="•"/>
      <w:lvlJc w:val="left"/>
      <w:pPr>
        <w:ind w:left="2592" w:hanging="425"/>
      </w:pPr>
      <w:rPr>
        <w:rFonts w:hint="default"/>
        <w:lang w:val="es-ES" w:eastAsia="en-US" w:bidi="ar-SA"/>
      </w:rPr>
    </w:lvl>
    <w:lvl w:ilvl="2">
      <w:start w:val="0"/>
      <w:numFmt w:val="bullet"/>
      <w:lvlText w:val="•"/>
      <w:lvlJc w:val="left"/>
      <w:pPr>
        <w:ind w:left="3484" w:hanging="425"/>
      </w:pPr>
      <w:rPr>
        <w:rFonts w:hint="default"/>
        <w:lang w:val="es-ES" w:eastAsia="en-US" w:bidi="ar-SA"/>
      </w:rPr>
    </w:lvl>
    <w:lvl w:ilvl="3">
      <w:start w:val="0"/>
      <w:numFmt w:val="bullet"/>
      <w:lvlText w:val="•"/>
      <w:lvlJc w:val="left"/>
      <w:pPr>
        <w:ind w:left="4377" w:hanging="425"/>
      </w:pPr>
      <w:rPr>
        <w:rFonts w:hint="default"/>
        <w:lang w:val="es-ES" w:eastAsia="en-US" w:bidi="ar-SA"/>
      </w:rPr>
    </w:lvl>
    <w:lvl w:ilvl="4">
      <w:start w:val="0"/>
      <w:numFmt w:val="bullet"/>
      <w:lvlText w:val="•"/>
      <w:lvlJc w:val="left"/>
      <w:pPr>
        <w:ind w:left="5269" w:hanging="425"/>
      </w:pPr>
      <w:rPr>
        <w:rFonts w:hint="default"/>
        <w:lang w:val="es-ES" w:eastAsia="en-US" w:bidi="ar-SA"/>
      </w:rPr>
    </w:lvl>
    <w:lvl w:ilvl="5">
      <w:start w:val="0"/>
      <w:numFmt w:val="bullet"/>
      <w:lvlText w:val="•"/>
      <w:lvlJc w:val="left"/>
      <w:pPr>
        <w:ind w:left="6162" w:hanging="425"/>
      </w:pPr>
      <w:rPr>
        <w:rFonts w:hint="default"/>
        <w:lang w:val="es-ES" w:eastAsia="en-US" w:bidi="ar-SA"/>
      </w:rPr>
    </w:lvl>
    <w:lvl w:ilvl="6">
      <w:start w:val="0"/>
      <w:numFmt w:val="bullet"/>
      <w:lvlText w:val="•"/>
      <w:lvlJc w:val="left"/>
      <w:pPr>
        <w:ind w:left="7054" w:hanging="425"/>
      </w:pPr>
      <w:rPr>
        <w:rFonts w:hint="default"/>
        <w:lang w:val="es-ES" w:eastAsia="en-US" w:bidi="ar-SA"/>
      </w:rPr>
    </w:lvl>
    <w:lvl w:ilvl="7">
      <w:start w:val="0"/>
      <w:numFmt w:val="bullet"/>
      <w:lvlText w:val="•"/>
      <w:lvlJc w:val="left"/>
      <w:pPr>
        <w:ind w:left="7946" w:hanging="425"/>
      </w:pPr>
      <w:rPr>
        <w:rFonts w:hint="default"/>
        <w:lang w:val="es-ES" w:eastAsia="en-US" w:bidi="ar-SA"/>
      </w:rPr>
    </w:lvl>
    <w:lvl w:ilvl="8">
      <w:start w:val="0"/>
      <w:numFmt w:val="bullet"/>
      <w:lvlText w:val="•"/>
      <w:lvlJc w:val="left"/>
      <w:pPr>
        <w:ind w:left="8839" w:hanging="425"/>
      </w:pPr>
      <w:rPr>
        <w:rFonts w:hint="default"/>
        <w:lang w:val="es-ES" w:eastAsia="en-US" w:bidi="ar-SA"/>
      </w:rPr>
    </w:lvl>
  </w:abstractNum>
  <w:abstractNum w:abstractNumId="58">
    <w:multiLevelType w:val="hybridMultilevel"/>
    <w:lvl w:ilvl="0">
      <w:start w:val="1"/>
      <w:numFmt w:val="lowerLetter"/>
      <w:lvlText w:val="%1."/>
      <w:lvlJc w:val="left"/>
      <w:pPr>
        <w:ind w:left="1562" w:hanging="360"/>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57">
    <w:multiLevelType w:val="hybridMultilevel"/>
    <w:lvl w:ilvl="0">
      <w:start w:val="1"/>
      <w:numFmt w:val="lowerLetter"/>
      <w:lvlText w:val="%1)"/>
      <w:lvlJc w:val="left"/>
      <w:pPr>
        <w:ind w:left="1845" w:hanging="284"/>
        <w:jc w:val="right"/>
      </w:pPr>
      <w:rPr>
        <w:rFonts w:hint="default" w:ascii="Arial" w:hAnsi="Arial" w:eastAsia="Arial" w:cs="Arial"/>
        <w:b w:val="0"/>
        <w:bCs w:val="0"/>
        <w:i/>
        <w:iCs/>
        <w:spacing w:val="-1"/>
        <w:w w:val="100"/>
        <w:sz w:val="22"/>
        <w:szCs w:val="22"/>
        <w:lang w:val="es-ES" w:eastAsia="en-US" w:bidi="ar-SA"/>
      </w:rPr>
    </w:lvl>
    <w:lvl w:ilvl="1">
      <w:start w:val="0"/>
      <w:numFmt w:val="bullet"/>
      <w:lvlText w:val="•"/>
      <w:lvlJc w:val="left"/>
      <w:pPr>
        <w:ind w:left="2718" w:hanging="284"/>
      </w:pPr>
      <w:rPr>
        <w:rFonts w:hint="default"/>
        <w:lang w:val="es-ES" w:eastAsia="en-US" w:bidi="ar-SA"/>
      </w:rPr>
    </w:lvl>
    <w:lvl w:ilvl="2">
      <w:start w:val="0"/>
      <w:numFmt w:val="bullet"/>
      <w:lvlText w:val="•"/>
      <w:lvlJc w:val="left"/>
      <w:pPr>
        <w:ind w:left="3596" w:hanging="284"/>
      </w:pPr>
      <w:rPr>
        <w:rFonts w:hint="default"/>
        <w:lang w:val="es-ES" w:eastAsia="en-US" w:bidi="ar-SA"/>
      </w:rPr>
    </w:lvl>
    <w:lvl w:ilvl="3">
      <w:start w:val="0"/>
      <w:numFmt w:val="bullet"/>
      <w:lvlText w:val="•"/>
      <w:lvlJc w:val="left"/>
      <w:pPr>
        <w:ind w:left="4475" w:hanging="284"/>
      </w:pPr>
      <w:rPr>
        <w:rFonts w:hint="default"/>
        <w:lang w:val="es-ES" w:eastAsia="en-US" w:bidi="ar-SA"/>
      </w:rPr>
    </w:lvl>
    <w:lvl w:ilvl="4">
      <w:start w:val="0"/>
      <w:numFmt w:val="bullet"/>
      <w:lvlText w:val="•"/>
      <w:lvlJc w:val="left"/>
      <w:pPr>
        <w:ind w:left="5353" w:hanging="284"/>
      </w:pPr>
      <w:rPr>
        <w:rFonts w:hint="default"/>
        <w:lang w:val="es-ES" w:eastAsia="en-US" w:bidi="ar-SA"/>
      </w:rPr>
    </w:lvl>
    <w:lvl w:ilvl="5">
      <w:start w:val="0"/>
      <w:numFmt w:val="bullet"/>
      <w:lvlText w:val="•"/>
      <w:lvlJc w:val="left"/>
      <w:pPr>
        <w:ind w:left="6232" w:hanging="284"/>
      </w:pPr>
      <w:rPr>
        <w:rFonts w:hint="default"/>
        <w:lang w:val="es-ES" w:eastAsia="en-US" w:bidi="ar-SA"/>
      </w:rPr>
    </w:lvl>
    <w:lvl w:ilvl="6">
      <w:start w:val="0"/>
      <w:numFmt w:val="bullet"/>
      <w:lvlText w:val="•"/>
      <w:lvlJc w:val="left"/>
      <w:pPr>
        <w:ind w:left="7110" w:hanging="284"/>
      </w:pPr>
      <w:rPr>
        <w:rFonts w:hint="default"/>
        <w:lang w:val="es-ES" w:eastAsia="en-US" w:bidi="ar-SA"/>
      </w:rPr>
    </w:lvl>
    <w:lvl w:ilvl="7">
      <w:start w:val="0"/>
      <w:numFmt w:val="bullet"/>
      <w:lvlText w:val="•"/>
      <w:lvlJc w:val="left"/>
      <w:pPr>
        <w:ind w:left="7988" w:hanging="284"/>
      </w:pPr>
      <w:rPr>
        <w:rFonts w:hint="default"/>
        <w:lang w:val="es-ES" w:eastAsia="en-US" w:bidi="ar-SA"/>
      </w:rPr>
    </w:lvl>
    <w:lvl w:ilvl="8">
      <w:start w:val="0"/>
      <w:numFmt w:val="bullet"/>
      <w:lvlText w:val="•"/>
      <w:lvlJc w:val="left"/>
      <w:pPr>
        <w:ind w:left="8867" w:hanging="284"/>
      </w:pPr>
      <w:rPr>
        <w:rFonts w:hint="default"/>
        <w:lang w:val="es-ES" w:eastAsia="en-US" w:bidi="ar-SA"/>
      </w:rPr>
    </w:lvl>
  </w:abstractNum>
  <w:abstractNum w:abstractNumId="56">
    <w:multiLevelType w:val="hybridMultilevel"/>
    <w:lvl w:ilvl="0">
      <w:start w:val="1"/>
      <w:numFmt w:val="lowerLetter"/>
      <w:lvlText w:val="%1."/>
      <w:lvlJc w:val="left"/>
      <w:pPr>
        <w:ind w:left="1562" w:hanging="360"/>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466" w:hanging="360"/>
      </w:pPr>
      <w:rPr>
        <w:rFonts w:hint="default"/>
        <w:lang w:val="es-ES" w:eastAsia="en-US" w:bidi="ar-SA"/>
      </w:rPr>
    </w:lvl>
    <w:lvl w:ilvl="2">
      <w:start w:val="0"/>
      <w:numFmt w:val="bullet"/>
      <w:lvlText w:val="•"/>
      <w:lvlJc w:val="left"/>
      <w:pPr>
        <w:ind w:left="3372" w:hanging="360"/>
      </w:pPr>
      <w:rPr>
        <w:rFonts w:hint="default"/>
        <w:lang w:val="es-ES" w:eastAsia="en-US" w:bidi="ar-SA"/>
      </w:rPr>
    </w:lvl>
    <w:lvl w:ilvl="3">
      <w:start w:val="0"/>
      <w:numFmt w:val="bullet"/>
      <w:lvlText w:val="•"/>
      <w:lvlJc w:val="left"/>
      <w:pPr>
        <w:ind w:left="4279" w:hanging="360"/>
      </w:pPr>
      <w:rPr>
        <w:rFonts w:hint="default"/>
        <w:lang w:val="es-ES" w:eastAsia="en-US" w:bidi="ar-SA"/>
      </w:rPr>
    </w:lvl>
    <w:lvl w:ilvl="4">
      <w:start w:val="0"/>
      <w:numFmt w:val="bullet"/>
      <w:lvlText w:val="•"/>
      <w:lvlJc w:val="left"/>
      <w:pPr>
        <w:ind w:left="5185" w:hanging="360"/>
      </w:pPr>
      <w:rPr>
        <w:rFonts w:hint="default"/>
        <w:lang w:val="es-ES" w:eastAsia="en-US" w:bidi="ar-SA"/>
      </w:rPr>
    </w:lvl>
    <w:lvl w:ilvl="5">
      <w:start w:val="0"/>
      <w:numFmt w:val="bullet"/>
      <w:lvlText w:val="•"/>
      <w:lvlJc w:val="left"/>
      <w:pPr>
        <w:ind w:left="6092" w:hanging="360"/>
      </w:pPr>
      <w:rPr>
        <w:rFonts w:hint="default"/>
        <w:lang w:val="es-ES" w:eastAsia="en-US" w:bidi="ar-SA"/>
      </w:rPr>
    </w:lvl>
    <w:lvl w:ilvl="6">
      <w:start w:val="0"/>
      <w:numFmt w:val="bullet"/>
      <w:lvlText w:val="•"/>
      <w:lvlJc w:val="left"/>
      <w:pPr>
        <w:ind w:left="6998" w:hanging="360"/>
      </w:pPr>
      <w:rPr>
        <w:rFonts w:hint="default"/>
        <w:lang w:val="es-ES" w:eastAsia="en-US" w:bidi="ar-SA"/>
      </w:rPr>
    </w:lvl>
    <w:lvl w:ilvl="7">
      <w:start w:val="0"/>
      <w:numFmt w:val="bullet"/>
      <w:lvlText w:val="•"/>
      <w:lvlJc w:val="left"/>
      <w:pPr>
        <w:ind w:left="7904" w:hanging="360"/>
      </w:pPr>
      <w:rPr>
        <w:rFonts w:hint="default"/>
        <w:lang w:val="es-ES" w:eastAsia="en-US" w:bidi="ar-SA"/>
      </w:rPr>
    </w:lvl>
    <w:lvl w:ilvl="8">
      <w:start w:val="0"/>
      <w:numFmt w:val="bullet"/>
      <w:lvlText w:val="•"/>
      <w:lvlJc w:val="left"/>
      <w:pPr>
        <w:ind w:left="8811" w:hanging="360"/>
      </w:pPr>
      <w:rPr>
        <w:rFonts w:hint="default"/>
        <w:lang w:val="es-ES" w:eastAsia="en-US" w:bidi="ar-SA"/>
      </w:rPr>
    </w:lvl>
  </w:abstractNum>
  <w:abstractNum w:abstractNumId="55">
    <w:multiLevelType w:val="hybridMultilevel"/>
    <w:lvl w:ilvl="0">
      <w:start w:val="1"/>
      <w:numFmt w:val="lowerRoman"/>
      <w:lvlText w:val="%1."/>
      <w:lvlJc w:val="left"/>
      <w:pPr>
        <w:ind w:left="1562" w:hanging="384"/>
        <w:jc w:val="righ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466" w:hanging="384"/>
      </w:pPr>
      <w:rPr>
        <w:rFonts w:hint="default"/>
        <w:lang w:val="es-ES" w:eastAsia="en-US" w:bidi="ar-SA"/>
      </w:rPr>
    </w:lvl>
    <w:lvl w:ilvl="2">
      <w:start w:val="0"/>
      <w:numFmt w:val="bullet"/>
      <w:lvlText w:val="•"/>
      <w:lvlJc w:val="left"/>
      <w:pPr>
        <w:ind w:left="3372" w:hanging="384"/>
      </w:pPr>
      <w:rPr>
        <w:rFonts w:hint="default"/>
        <w:lang w:val="es-ES" w:eastAsia="en-US" w:bidi="ar-SA"/>
      </w:rPr>
    </w:lvl>
    <w:lvl w:ilvl="3">
      <w:start w:val="0"/>
      <w:numFmt w:val="bullet"/>
      <w:lvlText w:val="•"/>
      <w:lvlJc w:val="left"/>
      <w:pPr>
        <w:ind w:left="4279" w:hanging="384"/>
      </w:pPr>
      <w:rPr>
        <w:rFonts w:hint="default"/>
        <w:lang w:val="es-ES" w:eastAsia="en-US" w:bidi="ar-SA"/>
      </w:rPr>
    </w:lvl>
    <w:lvl w:ilvl="4">
      <w:start w:val="0"/>
      <w:numFmt w:val="bullet"/>
      <w:lvlText w:val="•"/>
      <w:lvlJc w:val="left"/>
      <w:pPr>
        <w:ind w:left="5185" w:hanging="384"/>
      </w:pPr>
      <w:rPr>
        <w:rFonts w:hint="default"/>
        <w:lang w:val="es-ES" w:eastAsia="en-US" w:bidi="ar-SA"/>
      </w:rPr>
    </w:lvl>
    <w:lvl w:ilvl="5">
      <w:start w:val="0"/>
      <w:numFmt w:val="bullet"/>
      <w:lvlText w:val="•"/>
      <w:lvlJc w:val="left"/>
      <w:pPr>
        <w:ind w:left="6092" w:hanging="384"/>
      </w:pPr>
      <w:rPr>
        <w:rFonts w:hint="default"/>
        <w:lang w:val="es-ES" w:eastAsia="en-US" w:bidi="ar-SA"/>
      </w:rPr>
    </w:lvl>
    <w:lvl w:ilvl="6">
      <w:start w:val="0"/>
      <w:numFmt w:val="bullet"/>
      <w:lvlText w:val="•"/>
      <w:lvlJc w:val="left"/>
      <w:pPr>
        <w:ind w:left="6998" w:hanging="384"/>
      </w:pPr>
      <w:rPr>
        <w:rFonts w:hint="default"/>
        <w:lang w:val="es-ES" w:eastAsia="en-US" w:bidi="ar-SA"/>
      </w:rPr>
    </w:lvl>
    <w:lvl w:ilvl="7">
      <w:start w:val="0"/>
      <w:numFmt w:val="bullet"/>
      <w:lvlText w:val="•"/>
      <w:lvlJc w:val="left"/>
      <w:pPr>
        <w:ind w:left="7904" w:hanging="384"/>
      </w:pPr>
      <w:rPr>
        <w:rFonts w:hint="default"/>
        <w:lang w:val="es-ES" w:eastAsia="en-US" w:bidi="ar-SA"/>
      </w:rPr>
    </w:lvl>
    <w:lvl w:ilvl="8">
      <w:start w:val="0"/>
      <w:numFmt w:val="bullet"/>
      <w:lvlText w:val="•"/>
      <w:lvlJc w:val="left"/>
      <w:pPr>
        <w:ind w:left="8811" w:hanging="384"/>
      </w:pPr>
      <w:rPr>
        <w:rFonts w:hint="default"/>
        <w:lang w:val="es-ES" w:eastAsia="en-US" w:bidi="ar-SA"/>
      </w:rPr>
    </w:lvl>
  </w:abstractNum>
  <w:abstractNum w:abstractNumId="54">
    <w:multiLevelType w:val="hybridMultilevel"/>
    <w:lvl w:ilvl="0">
      <w:start w:val="0"/>
      <w:numFmt w:val="bullet"/>
      <w:lvlText w:val=""/>
      <w:lvlJc w:val="left"/>
      <w:pPr>
        <w:ind w:left="1355" w:hanging="360"/>
      </w:pPr>
      <w:rPr>
        <w:rFonts w:hint="default" w:ascii="Symbol" w:hAnsi="Symbol" w:eastAsia="Symbol" w:cs="Symbol"/>
        <w:b w:val="0"/>
        <w:bCs w:val="0"/>
        <w:i w:val="0"/>
        <w:iCs w:val="0"/>
        <w:spacing w:val="0"/>
        <w:w w:val="99"/>
        <w:sz w:val="20"/>
        <w:szCs w:val="20"/>
        <w:lang w:val="es-ES" w:eastAsia="en-US" w:bidi="ar-SA"/>
      </w:rPr>
    </w:lvl>
    <w:lvl w:ilvl="1">
      <w:start w:val="0"/>
      <w:numFmt w:val="bullet"/>
      <w:lvlText w:val="•"/>
      <w:lvlJc w:val="left"/>
      <w:pPr>
        <w:ind w:left="2286" w:hanging="360"/>
      </w:pPr>
      <w:rPr>
        <w:rFonts w:hint="default"/>
        <w:lang w:val="es-ES" w:eastAsia="en-US" w:bidi="ar-SA"/>
      </w:rPr>
    </w:lvl>
    <w:lvl w:ilvl="2">
      <w:start w:val="0"/>
      <w:numFmt w:val="bullet"/>
      <w:lvlText w:val="•"/>
      <w:lvlJc w:val="left"/>
      <w:pPr>
        <w:ind w:left="3212" w:hanging="360"/>
      </w:pPr>
      <w:rPr>
        <w:rFonts w:hint="default"/>
        <w:lang w:val="es-ES" w:eastAsia="en-US" w:bidi="ar-SA"/>
      </w:rPr>
    </w:lvl>
    <w:lvl w:ilvl="3">
      <w:start w:val="0"/>
      <w:numFmt w:val="bullet"/>
      <w:lvlText w:val="•"/>
      <w:lvlJc w:val="left"/>
      <w:pPr>
        <w:ind w:left="4139" w:hanging="360"/>
      </w:pPr>
      <w:rPr>
        <w:rFonts w:hint="default"/>
        <w:lang w:val="es-ES" w:eastAsia="en-US" w:bidi="ar-SA"/>
      </w:rPr>
    </w:lvl>
    <w:lvl w:ilvl="4">
      <w:start w:val="0"/>
      <w:numFmt w:val="bullet"/>
      <w:lvlText w:val="•"/>
      <w:lvlJc w:val="left"/>
      <w:pPr>
        <w:ind w:left="5065" w:hanging="360"/>
      </w:pPr>
      <w:rPr>
        <w:rFonts w:hint="default"/>
        <w:lang w:val="es-ES" w:eastAsia="en-US" w:bidi="ar-SA"/>
      </w:rPr>
    </w:lvl>
    <w:lvl w:ilvl="5">
      <w:start w:val="0"/>
      <w:numFmt w:val="bullet"/>
      <w:lvlText w:val="•"/>
      <w:lvlJc w:val="left"/>
      <w:pPr>
        <w:ind w:left="5992" w:hanging="360"/>
      </w:pPr>
      <w:rPr>
        <w:rFonts w:hint="default"/>
        <w:lang w:val="es-ES" w:eastAsia="en-US" w:bidi="ar-SA"/>
      </w:rPr>
    </w:lvl>
    <w:lvl w:ilvl="6">
      <w:start w:val="0"/>
      <w:numFmt w:val="bullet"/>
      <w:lvlText w:val="•"/>
      <w:lvlJc w:val="left"/>
      <w:pPr>
        <w:ind w:left="6918" w:hanging="360"/>
      </w:pPr>
      <w:rPr>
        <w:rFonts w:hint="default"/>
        <w:lang w:val="es-ES" w:eastAsia="en-US" w:bidi="ar-SA"/>
      </w:rPr>
    </w:lvl>
    <w:lvl w:ilvl="7">
      <w:start w:val="0"/>
      <w:numFmt w:val="bullet"/>
      <w:lvlText w:val="•"/>
      <w:lvlJc w:val="left"/>
      <w:pPr>
        <w:ind w:left="7844" w:hanging="360"/>
      </w:pPr>
      <w:rPr>
        <w:rFonts w:hint="default"/>
        <w:lang w:val="es-ES" w:eastAsia="en-US" w:bidi="ar-SA"/>
      </w:rPr>
    </w:lvl>
    <w:lvl w:ilvl="8">
      <w:start w:val="0"/>
      <w:numFmt w:val="bullet"/>
      <w:lvlText w:val="•"/>
      <w:lvlJc w:val="left"/>
      <w:pPr>
        <w:ind w:left="8771" w:hanging="360"/>
      </w:pPr>
      <w:rPr>
        <w:rFonts w:hint="default"/>
        <w:lang w:val="es-ES" w:eastAsia="en-US" w:bidi="ar-SA"/>
      </w:rPr>
    </w:lvl>
  </w:abstractNum>
  <w:abstractNum w:abstractNumId="53">
    <w:multiLevelType w:val="hybridMultilevel"/>
    <w:lvl w:ilvl="0">
      <w:start w:val="0"/>
      <w:numFmt w:val="bullet"/>
      <w:lvlText w:val=""/>
      <w:lvlJc w:val="left"/>
      <w:pPr>
        <w:ind w:left="1701" w:hanging="567"/>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592" w:hanging="567"/>
      </w:pPr>
      <w:rPr>
        <w:rFonts w:hint="default"/>
        <w:lang w:val="es-ES" w:eastAsia="en-US" w:bidi="ar-SA"/>
      </w:rPr>
    </w:lvl>
    <w:lvl w:ilvl="2">
      <w:start w:val="0"/>
      <w:numFmt w:val="bullet"/>
      <w:lvlText w:val="•"/>
      <w:lvlJc w:val="left"/>
      <w:pPr>
        <w:ind w:left="3484" w:hanging="567"/>
      </w:pPr>
      <w:rPr>
        <w:rFonts w:hint="default"/>
        <w:lang w:val="es-ES" w:eastAsia="en-US" w:bidi="ar-SA"/>
      </w:rPr>
    </w:lvl>
    <w:lvl w:ilvl="3">
      <w:start w:val="0"/>
      <w:numFmt w:val="bullet"/>
      <w:lvlText w:val="•"/>
      <w:lvlJc w:val="left"/>
      <w:pPr>
        <w:ind w:left="4377" w:hanging="567"/>
      </w:pPr>
      <w:rPr>
        <w:rFonts w:hint="default"/>
        <w:lang w:val="es-ES" w:eastAsia="en-US" w:bidi="ar-SA"/>
      </w:rPr>
    </w:lvl>
    <w:lvl w:ilvl="4">
      <w:start w:val="0"/>
      <w:numFmt w:val="bullet"/>
      <w:lvlText w:val="•"/>
      <w:lvlJc w:val="left"/>
      <w:pPr>
        <w:ind w:left="5269" w:hanging="567"/>
      </w:pPr>
      <w:rPr>
        <w:rFonts w:hint="default"/>
        <w:lang w:val="es-ES" w:eastAsia="en-US" w:bidi="ar-SA"/>
      </w:rPr>
    </w:lvl>
    <w:lvl w:ilvl="5">
      <w:start w:val="0"/>
      <w:numFmt w:val="bullet"/>
      <w:lvlText w:val="•"/>
      <w:lvlJc w:val="left"/>
      <w:pPr>
        <w:ind w:left="6162" w:hanging="567"/>
      </w:pPr>
      <w:rPr>
        <w:rFonts w:hint="default"/>
        <w:lang w:val="es-ES" w:eastAsia="en-US" w:bidi="ar-SA"/>
      </w:rPr>
    </w:lvl>
    <w:lvl w:ilvl="6">
      <w:start w:val="0"/>
      <w:numFmt w:val="bullet"/>
      <w:lvlText w:val="•"/>
      <w:lvlJc w:val="left"/>
      <w:pPr>
        <w:ind w:left="7054" w:hanging="567"/>
      </w:pPr>
      <w:rPr>
        <w:rFonts w:hint="default"/>
        <w:lang w:val="es-ES" w:eastAsia="en-US" w:bidi="ar-SA"/>
      </w:rPr>
    </w:lvl>
    <w:lvl w:ilvl="7">
      <w:start w:val="0"/>
      <w:numFmt w:val="bullet"/>
      <w:lvlText w:val="•"/>
      <w:lvlJc w:val="left"/>
      <w:pPr>
        <w:ind w:left="7946" w:hanging="567"/>
      </w:pPr>
      <w:rPr>
        <w:rFonts w:hint="default"/>
        <w:lang w:val="es-ES" w:eastAsia="en-US" w:bidi="ar-SA"/>
      </w:rPr>
    </w:lvl>
    <w:lvl w:ilvl="8">
      <w:start w:val="0"/>
      <w:numFmt w:val="bullet"/>
      <w:lvlText w:val="•"/>
      <w:lvlJc w:val="left"/>
      <w:pPr>
        <w:ind w:left="8839" w:hanging="567"/>
      </w:pPr>
      <w:rPr>
        <w:rFonts w:hint="default"/>
        <w:lang w:val="es-ES" w:eastAsia="en-US" w:bidi="ar-SA"/>
      </w:rPr>
    </w:lvl>
  </w:abstractNum>
  <w:abstractNum w:abstractNumId="52">
    <w:multiLevelType w:val="hybridMultilevel"/>
    <w:lvl w:ilvl="0">
      <w:start w:val="1"/>
      <w:numFmt w:val="lowerRoman"/>
      <w:lvlText w:val="(%1)"/>
      <w:lvlJc w:val="left"/>
      <w:pPr>
        <w:ind w:left="1701" w:hanging="567"/>
        <w:jc w:val="left"/>
      </w:pPr>
      <w:rPr>
        <w:rFonts w:hint="default" w:ascii="Arial MT" w:hAnsi="Arial MT" w:eastAsia="Arial MT" w:cs="Arial MT"/>
        <w:b w:val="0"/>
        <w:bCs w:val="0"/>
        <w:i w:val="0"/>
        <w:iCs w:val="0"/>
        <w:spacing w:val="-2"/>
        <w:w w:val="100"/>
        <w:sz w:val="22"/>
        <w:szCs w:val="22"/>
        <w:lang w:val="es-ES" w:eastAsia="en-US" w:bidi="ar-SA"/>
      </w:rPr>
    </w:lvl>
    <w:lvl w:ilvl="1">
      <w:start w:val="0"/>
      <w:numFmt w:val="bullet"/>
      <w:lvlText w:val="•"/>
      <w:lvlJc w:val="left"/>
      <w:pPr>
        <w:ind w:left="2592" w:hanging="567"/>
      </w:pPr>
      <w:rPr>
        <w:rFonts w:hint="default"/>
        <w:lang w:val="es-ES" w:eastAsia="en-US" w:bidi="ar-SA"/>
      </w:rPr>
    </w:lvl>
    <w:lvl w:ilvl="2">
      <w:start w:val="0"/>
      <w:numFmt w:val="bullet"/>
      <w:lvlText w:val="•"/>
      <w:lvlJc w:val="left"/>
      <w:pPr>
        <w:ind w:left="3484" w:hanging="567"/>
      </w:pPr>
      <w:rPr>
        <w:rFonts w:hint="default"/>
        <w:lang w:val="es-ES" w:eastAsia="en-US" w:bidi="ar-SA"/>
      </w:rPr>
    </w:lvl>
    <w:lvl w:ilvl="3">
      <w:start w:val="0"/>
      <w:numFmt w:val="bullet"/>
      <w:lvlText w:val="•"/>
      <w:lvlJc w:val="left"/>
      <w:pPr>
        <w:ind w:left="4377" w:hanging="567"/>
      </w:pPr>
      <w:rPr>
        <w:rFonts w:hint="default"/>
        <w:lang w:val="es-ES" w:eastAsia="en-US" w:bidi="ar-SA"/>
      </w:rPr>
    </w:lvl>
    <w:lvl w:ilvl="4">
      <w:start w:val="0"/>
      <w:numFmt w:val="bullet"/>
      <w:lvlText w:val="•"/>
      <w:lvlJc w:val="left"/>
      <w:pPr>
        <w:ind w:left="5269" w:hanging="567"/>
      </w:pPr>
      <w:rPr>
        <w:rFonts w:hint="default"/>
        <w:lang w:val="es-ES" w:eastAsia="en-US" w:bidi="ar-SA"/>
      </w:rPr>
    </w:lvl>
    <w:lvl w:ilvl="5">
      <w:start w:val="0"/>
      <w:numFmt w:val="bullet"/>
      <w:lvlText w:val="•"/>
      <w:lvlJc w:val="left"/>
      <w:pPr>
        <w:ind w:left="6162" w:hanging="567"/>
      </w:pPr>
      <w:rPr>
        <w:rFonts w:hint="default"/>
        <w:lang w:val="es-ES" w:eastAsia="en-US" w:bidi="ar-SA"/>
      </w:rPr>
    </w:lvl>
    <w:lvl w:ilvl="6">
      <w:start w:val="0"/>
      <w:numFmt w:val="bullet"/>
      <w:lvlText w:val="•"/>
      <w:lvlJc w:val="left"/>
      <w:pPr>
        <w:ind w:left="7054" w:hanging="567"/>
      </w:pPr>
      <w:rPr>
        <w:rFonts w:hint="default"/>
        <w:lang w:val="es-ES" w:eastAsia="en-US" w:bidi="ar-SA"/>
      </w:rPr>
    </w:lvl>
    <w:lvl w:ilvl="7">
      <w:start w:val="0"/>
      <w:numFmt w:val="bullet"/>
      <w:lvlText w:val="•"/>
      <w:lvlJc w:val="left"/>
      <w:pPr>
        <w:ind w:left="7946" w:hanging="567"/>
      </w:pPr>
      <w:rPr>
        <w:rFonts w:hint="default"/>
        <w:lang w:val="es-ES" w:eastAsia="en-US" w:bidi="ar-SA"/>
      </w:rPr>
    </w:lvl>
    <w:lvl w:ilvl="8">
      <w:start w:val="0"/>
      <w:numFmt w:val="bullet"/>
      <w:lvlText w:val="•"/>
      <w:lvlJc w:val="left"/>
      <w:pPr>
        <w:ind w:left="8839" w:hanging="567"/>
      </w:pPr>
      <w:rPr>
        <w:rFonts w:hint="default"/>
        <w:lang w:val="es-ES" w:eastAsia="en-US" w:bidi="ar-SA"/>
      </w:rPr>
    </w:lvl>
  </w:abstractNum>
  <w:abstractNum w:abstractNumId="51">
    <w:multiLevelType w:val="hybridMultilevel"/>
    <w:lvl w:ilvl="0">
      <w:start w:val="0"/>
      <w:numFmt w:val="bullet"/>
      <w:lvlText w:val=""/>
      <w:lvlJc w:val="left"/>
      <w:pPr>
        <w:ind w:left="1701" w:hanging="567"/>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592" w:hanging="567"/>
      </w:pPr>
      <w:rPr>
        <w:rFonts w:hint="default"/>
        <w:lang w:val="es-ES" w:eastAsia="en-US" w:bidi="ar-SA"/>
      </w:rPr>
    </w:lvl>
    <w:lvl w:ilvl="2">
      <w:start w:val="0"/>
      <w:numFmt w:val="bullet"/>
      <w:lvlText w:val="•"/>
      <w:lvlJc w:val="left"/>
      <w:pPr>
        <w:ind w:left="3484" w:hanging="567"/>
      </w:pPr>
      <w:rPr>
        <w:rFonts w:hint="default"/>
        <w:lang w:val="es-ES" w:eastAsia="en-US" w:bidi="ar-SA"/>
      </w:rPr>
    </w:lvl>
    <w:lvl w:ilvl="3">
      <w:start w:val="0"/>
      <w:numFmt w:val="bullet"/>
      <w:lvlText w:val="•"/>
      <w:lvlJc w:val="left"/>
      <w:pPr>
        <w:ind w:left="4377" w:hanging="567"/>
      </w:pPr>
      <w:rPr>
        <w:rFonts w:hint="default"/>
        <w:lang w:val="es-ES" w:eastAsia="en-US" w:bidi="ar-SA"/>
      </w:rPr>
    </w:lvl>
    <w:lvl w:ilvl="4">
      <w:start w:val="0"/>
      <w:numFmt w:val="bullet"/>
      <w:lvlText w:val="•"/>
      <w:lvlJc w:val="left"/>
      <w:pPr>
        <w:ind w:left="5269" w:hanging="567"/>
      </w:pPr>
      <w:rPr>
        <w:rFonts w:hint="default"/>
        <w:lang w:val="es-ES" w:eastAsia="en-US" w:bidi="ar-SA"/>
      </w:rPr>
    </w:lvl>
    <w:lvl w:ilvl="5">
      <w:start w:val="0"/>
      <w:numFmt w:val="bullet"/>
      <w:lvlText w:val="•"/>
      <w:lvlJc w:val="left"/>
      <w:pPr>
        <w:ind w:left="6162" w:hanging="567"/>
      </w:pPr>
      <w:rPr>
        <w:rFonts w:hint="default"/>
        <w:lang w:val="es-ES" w:eastAsia="en-US" w:bidi="ar-SA"/>
      </w:rPr>
    </w:lvl>
    <w:lvl w:ilvl="6">
      <w:start w:val="0"/>
      <w:numFmt w:val="bullet"/>
      <w:lvlText w:val="•"/>
      <w:lvlJc w:val="left"/>
      <w:pPr>
        <w:ind w:left="7054" w:hanging="567"/>
      </w:pPr>
      <w:rPr>
        <w:rFonts w:hint="default"/>
        <w:lang w:val="es-ES" w:eastAsia="en-US" w:bidi="ar-SA"/>
      </w:rPr>
    </w:lvl>
    <w:lvl w:ilvl="7">
      <w:start w:val="0"/>
      <w:numFmt w:val="bullet"/>
      <w:lvlText w:val="•"/>
      <w:lvlJc w:val="left"/>
      <w:pPr>
        <w:ind w:left="7946" w:hanging="567"/>
      </w:pPr>
      <w:rPr>
        <w:rFonts w:hint="default"/>
        <w:lang w:val="es-ES" w:eastAsia="en-US" w:bidi="ar-SA"/>
      </w:rPr>
    </w:lvl>
    <w:lvl w:ilvl="8">
      <w:start w:val="0"/>
      <w:numFmt w:val="bullet"/>
      <w:lvlText w:val="•"/>
      <w:lvlJc w:val="left"/>
      <w:pPr>
        <w:ind w:left="8839" w:hanging="567"/>
      </w:pPr>
      <w:rPr>
        <w:rFonts w:hint="default"/>
        <w:lang w:val="es-ES" w:eastAsia="en-US" w:bidi="ar-SA"/>
      </w:rPr>
    </w:lvl>
  </w:abstractNum>
  <w:abstractNum w:abstractNumId="50">
    <w:multiLevelType w:val="hybridMultilevel"/>
    <w:lvl w:ilvl="0">
      <w:start w:val="1"/>
      <w:numFmt w:val="decimal"/>
      <w:lvlText w:val="%1."/>
      <w:lvlJc w:val="left"/>
      <w:pPr>
        <w:ind w:left="1288" w:hanging="360"/>
        <w:jc w:val="left"/>
      </w:pPr>
      <w:rPr>
        <w:rFonts w:hint="default" w:ascii="Arial MT" w:hAnsi="Arial MT" w:eastAsia="Arial MT" w:cs="Arial MT"/>
        <w:b w:val="0"/>
        <w:bCs w:val="0"/>
        <w:i w:val="0"/>
        <w:iCs w:val="0"/>
        <w:spacing w:val="0"/>
        <w:w w:val="100"/>
        <w:sz w:val="18"/>
        <w:szCs w:val="18"/>
        <w:lang w:val="es-ES" w:eastAsia="en-US" w:bidi="ar-SA"/>
      </w:rPr>
    </w:lvl>
    <w:lvl w:ilvl="1">
      <w:start w:val="0"/>
      <w:numFmt w:val="bullet"/>
      <w:lvlText w:val="•"/>
      <w:lvlJc w:val="left"/>
      <w:pPr>
        <w:ind w:left="2214" w:hanging="360"/>
      </w:pPr>
      <w:rPr>
        <w:rFonts w:hint="default"/>
        <w:lang w:val="es-ES" w:eastAsia="en-US" w:bidi="ar-SA"/>
      </w:rPr>
    </w:lvl>
    <w:lvl w:ilvl="2">
      <w:start w:val="0"/>
      <w:numFmt w:val="bullet"/>
      <w:lvlText w:val="•"/>
      <w:lvlJc w:val="left"/>
      <w:pPr>
        <w:ind w:left="3148" w:hanging="360"/>
      </w:pPr>
      <w:rPr>
        <w:rFonts w:hint="default"/>
        <w:lang w:val="es-ES" w:eastAsia="en-US" w:bidi="ar-SA"/>
      </w:rPr>
    </w:lvl>
    <w:lvl w:ilvl="3">
      <w:start w:val="0"/>
      <w:numFmt w:val="bullet"/>
      <w:lvlText w:val="•"/>
      <w:lvlJc w:val="left"/>
      <w:pPr>
        <w:ind w:left="4083" w:hanging="360"/>
      </w:pPr>
      <w:rPr>
        <w:rFonts w:hint="default"/>
        <w:lang w:val="es-ES" w:eastAsia="en-US" w:bidi="ar-SA"/>
      </w:rPr>
    </w:lvl>
    <w:lvl w:ilvl="4">
      <w:start w:val="0"/>
      <w:numFmt w:val="bullet"/>
      <w:lvlText w:val="•"/>
      <w:lvlJc w:val="left"/>
      <w:pPr>
        <w:ind w:left="5017" w:hanging="360"/>
      </w:pPr>
      <w:rPr>
        <w:rFonts w:hint="default"/>
        <w:lang w:val="es-ES" w:eastAsia="en-US" w:bidi="ar-SA"/>
      </w:rPr>
    </w:lvl>
    <w:lvl w:ilvl="5">
      <w:start w:val="0"/>
      <w:numFmt w:val="bullet"/>
      <w:lvlText w:val="•"/>
      <w:lvlJc w:val="left"/>
      <w:pPr>
        <w:ind w:left="5952" w:hanging="360"/>
      </w:pPr>
      <w:rPr>
        <w:rFonts w:hint="default"/>
        <w:lang w:val="es-ES" w:eastAsia="en-US" w:bidi="ar-SA"/>
      </w:rPr>
    </w:lvl>
    <w:lvl w:ilvl="6">
      <w:start w:val="0"/>
      <w:numFmt w:val="bullet"/>
      <w:lvlText w:val="•"/>
      <w:lvlJc w:val="left"/>
      <w:pPr>
        <w:ind w:left="6886" w:hanging="360"/>
      </w:pPr>
      <w:rPr>
        <w:rFonts w:hint="default"/>
        <w:lang w:val="es-ES" w:eastAsia="en-US" w:bidi="ar-SA"/>
      </w:rPr>
    </w:lvl>
    <w:lvl w:ilvl="7">
      <w:start w:val="0"/>
      <w:numFmt w:val="bullet"/>
      <w:lvlText w:val="•"/>
      <w:lvlJc w:val="left"/>
      <w:pPr>
        <w:ind w:left="7820" w:hanging="360"/>
      </w:pPr>
      <w:rPr>
        <w:rFonts w:hint="default"/>
        <w:lang w:val="es-ES" w:eastAsia="en-US" w:bidi="ar-SA"/>
      </w:rPr>
    </w:lvl>
    <w:lvl w:ilvl="8">
      <w:start w:val="0"/>
      <w:numFmt w:val="bullet"/>
      <w:lvlText w:val="•"/>
      <w:lvlJc w:val="left"/>
      <w:pPr>
        <w:ind w:left="8755" w:hanging="360"/>
      </w:pPr>
      <w:rPr>
        <w:rFonts w:hint="default"/>
        <w:lang w:val="es-ES" w:eastAsia="en-US" w:bidi="ar-SA"/>
      </w:rPr>
    </w:lvl>
  </w:abstractNum>
  <w:abstractNum w:abstractNumId="49">
    <w:multiLevelType w:val="hybridMultilevel"/>
    <w:lvl w:ilvl="0">
      <w:start w:val="1"/>
      <w:numFmt w:val="decimal"/>
      <w:lvlText w:val="[%1]"/>
      <w:lvlJc w:val="left"/>
      <w:pPr>
        <w:ind w:left="1134" w:hanging="567"/>
        <w:jc w:val="left"/>
      </w:pPr>
      <w:rPr>
        <w:rFonts w:hint="default" w:ascii="Arial MT" w:hAnsi="Arial MT" w:eastAsia="Arial MT" w:cs="Arial MT"/>
        <w:b w:val="0"/>
        <w:bCs w:val="0"/>
        <w:i w:val="0"/>
        <w:iCs w:val="0"/>
        <w:spacing w:val="-1"/>
        <w:w w:val="100"/>
        <w:sz w:val="18"/>
        <w:szCs w:val="18"/>
        <w:lang w:val="es-ES" w:eastAsia="en-US" w:bidi="ar-SA"/>
      </w:rPr>
    </w:lvl>
    <w:lvl w:ilvl="1">
      <w:start w:val="1"/>
      <w:numFmt w:val="decimal"/>
      <w:lvlText w:val="%2."/>
      <w:lvlJc w:val="left"/>
      <w:pPr>
        <w:ind w:left="1381" w:hanging="248"/>
        <w:jc w:val="left"/>
      </w:pPr>
      <w:rPr>
        <w:rFonts w:hint="default"/>
        <w:spacing w:val="0"/>
        <w:w w:val="100"/>
        <w:lang w:val="es-ES" w:eastAsia="en-US" w:bidi="ar-SA"/>
      </w:rPr>
    </w:lvl>
    <w:lvl w:ilvl="2">
      <w:start w:val="0"/>
      <w:numFmt w:val="bullet"/>
      <w:lvlText w:val="•"/>
      <w:lvlJc w:val="left"/>
      <w:pPr>
        <w:ind w:left="1380" w:hanging="248"/>
      </w:pPr>
      <w:rPr>
        <w:rFonts w:hint="default"/>
        <w:lang w:val="es-ES" w:eastAsia="en-US" w:bidi="ar-SA"/>
      </w:rPr>
    </w:lvl>
    <w:lvl w:ilvl="3">
      <w:start w:val="0"/>
      <w:numFmt w:val="bullet"/>
      <w:lvlText w:val="•"/>
      <w:lvlJc w:val="left"/>
      <w:pPr>
        <w:ind w:left="2535" w:hanging="248"/>
      </w:pPr>
      <w:rPr>
        <w:rFonts w:hint="default"/>
        <w:lang w:val="es-ES" w:eastAsia="en-US" w:bidi="ar-SA"/>
      </w:rPr>
    </w:lvl>
    <w:lvl w:ilvl="4">
      <w:start w:val="0"/>
      <w:numFmt w:val="bullet"/>
      <w:lvlText w:val="•"/>
      <w:lvlJc w:val="left"/>
      <w:pPr>
        <w:ind w:left="3691" w:hanging="248"/>
      </w:pPr>
      <w:rPr>
        <w:rFonts w:hint="default"/>
        <w:lang w:val="es-ES" w:eastAsia="en-US" w:bidi="ar-SA"/>
      </w:rPr>
    </w:lvl>
    <w:lvl w:ilvl="5">
      <w:start w:val="0"/>
      <w:numFmt w:val="bullet"/>
      <w:lvlText w:val="•"/>
      <w:lvlJc w:val="left"/>
      <w:pPr>
        <w:ind w:left="4846" w:hanging="248"/>
      </w:pPr>
      <w:rPr>
        <w:rFonts w:hint="default"/>
        <w:lang w:val="es-ES" w:eastAsia="en-US" w:bidi="ar-SA"/>
      </w:rPr>
    </w:lvl>
    <w:lvl w:ilvl="6">
      <w:start w:val="0"/>
      <w:numFmt w:val="bullet"/>
      <w:lvlText w:val="•"/>
      <w:lvlJc w:val="left"/>
      <w:pPr>
        <w:ind w:left="6002" w:hanging="248"/>
      </w:pPr>
      <w:rPr>
        <w:rFonts w:hint="default"/>
        <w:lang w:val="es-ES" w:eastAsia="en-US" w:bidi="ar-SA"/>
      </w:rPr>
    </w:lvl>
    <w:lvl w:ilvl="7">
      <w:start w:val="0"/>
      <w:numFmt w:val="bullet"/>
      <w:lvlText w:val="•"/>
      <w:lvlJc w:val="left"/>
      <w:pPr>
        <w:ind w:left="7157" w:hanging="248"/>
      </w:pPr>
      <w:rPr>
        <w:rFonts w:hint="default"/>
        <w:lang w:val="es-ES" w:eastAsia="en-US" w:bidi="ar-SA"/>
      </w:rPr>
    </w:lvl>
    <w:lvl w:ilvl="8">
      <w:start w:val="0"/>
      <w:numFmt w:val="bullet"/>
      <w:lvlText w:val="•"/>
      <w:lvlJc w:val="left"/>
      <w:pPr>
        <w:ind w:left="8313" w:hanging="248"/>
      </w:pPr>
      <w:rPr>
        <w:rFonts w:hint="default"/>
        <w:lang w:val="es-ES" w:eastAsia="en-US" w:bidi="ar-SA"/>
      </w:rPr>
    </w:lvl>
  </w:abstractNum>
  <w:abstractNum w:abstractNumId="48">
    <w:multiLevelType w:val="hybridMultilevel"/>
    <w:lvl w:ilvl="0">
      <w:start w:val="1"/>
      <w:numFmt w:val="decimal"/>
      <w:lvlText w:val="%1."/>
      <w:lvlJc w:val="left"/>
      <w:pPr>
        <w:ind w:left="851" w:hanging="284"/>
        <w:jc w:val="left"/>
      </w:pPr>
      <w:rPr>
        <w:rFonts w:hint="default"/>
        <w:spacing w:val="-1"/>
        <w:w w:val="100"/>
        <w:lang w:val="es-ES" w:eastAsia="en-US" w:bidi="ar-SA"/>
      </w:rPr>
    </w:lvl>
    <w:lvl w:ilvl="1">
      <w:start w:val="1"/>
      <w:numFmt w:val="decimal"/>
      <w:lvlText w:val="%1.%2."/>
      <w:lvlJc w:val="left"/>
      <w:pPr>
        <w:ind w:left="1276" w:hanging="708"/>
        <w:jc w:val="left"/>
      </w:pPr>
      <w:rPr>
        <w:rFonts w:hint="default"/>
        <w:spacing w:val="0"/>
        <w:w w:val="100"/>
        <w:lang w:val="es-ES" w:eastAsia="en-US" w:bidi="ar-SA"/>
      </w:rPr>
    </w:lvl>
    <w:lvl w:ilvl="2">
      <w:start w:val="0"/>
      <w:numFmt w:val="bullet"/>
      <w:lvlText w:val="•"/>
      <w:lvlJc w:val="left"/>
      <w:pPr>
        <w:ind w:left="1280" w:hanging="708"/>
      </w:pPr>
      <w:rPr>
        <w:rFonts w:hint="default"/>
        <w:lang w:val="es-ES" w:eastAsia="en-US" w:bidi="ar-SA"/>
      </w:rPr>
    </w:lvl>
    <w:lvl w:ilvl="3">
      <w:start w:val="0"/>
      <w:numFmt w:val="bullet"/>
      <w:lvlText w:val="•"/>
      <w:lvlJc w:val="left"/>
      <w:pPr>
        <w:ind w:left="1420" w:hanging="708"/>
      </w:pPr>
      <w:rPr>
        <w:rFonts w:hint="default"/>
        <w:lang w:val="es-ES" w:eastAsia="en-US" w:bidi="ar-SA"/>
      </w:rPr>
    </w:lvl>
    <w:lvl w:ilvl="4">
      <w:start w:val="0"/>
      <w:numFmt w:val="bullet"/>
      <w:lvlText w:val="•"/>
      <w:lvlJc w:val="left"/>
      <w:pPr>
        <w:ind w:left="2734" w:hanging="708"/>
      </w:pPr>
      <w:rPr>
        <w:rFonts w:hint="default"/>
        <w:lang w:val="es-ES" w:eastAsia="en-US" w:bidi="ar-SA"/>
      </w:rPr>
    </w:lvl>
    <w:lvl w:ilvl="5">
      <w:start w:val="0"/>
      <w:numFmt w:val="bullet"/>
      <w:lvlText w:val="•"/>
      <w:lvlJc w:val="left"/>
      <w:pPr>
        <w:ind w:left="4049" w:hanging="708"/>
      </w:pPr>
      <w:rPr>
        <w:rFonts w:hint="default"/>
        <w:lang w:val="es-ES" w:eastAsia="en-US" w:bidi="ar-SA"/>
      </w:rPr>
    </w:lvl>
    <w:lvl w:ilvl="6">
      <w:start w:val="0"/>
      <w:numFmt w:val="bullet"/>
      <w:lvlText w:val="•"/>
      <w:lvlJc w:val="left"/>
      <w:pPr>
        <w:ind w:left="5364" w:hanging="708"/>
      </w:pPr>
      <w:rPr>
        <w:rFonts w:hint="default"/>
        <w:lang w:val="es-ES" w:eastAsia="en-US" w:bidi="ar-SA"/>
      </w:rPr>
    </w:lvl>
    <w:lvl w:ilvl="7">
      <w:start w:val="0"/>
      <w:numFmt w:val="bullet"/>
      <w:lvlText w:val="•"/>
      <w:lvlJc w:val="left"/>
      <w:pPr>
        <w:ind w:left="6679" w:hanging="708"/>
      </w:pPr>
      <w:rPr>
        <w:rFonts w:hint="default"/>
        <w:lang w:val="es-ES" w:eastAsia="en-US" w:bidi="ar-SA"/>
      </w:rPr>
    </w:lvl>
    <w:lvl w:ilvl="8">
      <w:start w:val="0"/>
      <w:numFmt w:val="bullet"/>
      <w:lvlText w:val="•"/>
      <w:lvlJc w:val="left"/>
      <w:pPr>
        <w:ind w:left="7994" w:hanging="708"/>
      </w:pPr>
      <w:rPr>
        <w:rFonts w:hint="default"/>
        <w:lang w:val="es-ES" w:eastAsia="en-US" w:bidi="ar-SA"/>
      </w:rPr>
    </w:lvl>
  </w:abstractNum>
  <w:abstractNum w:abstractNumId="47">
    <w:multiLevelType w:val="hybridMultilevel"/>
    <w:lvl w:ilvl="0">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46">
    <w:multiLevelType w:val="hybridMultilevel"/>
    <w:lvl w:ilvl="0">
      <w:start w:val="0"/>
      <w:numFmt w:val="bullet"/>
      <w:lvlText w:val=""/>
      <w:lvlJc w:val="left"/>
      <w:pPr>
        <w:ind w:left="1912" w:hanging="360"/>
      </w:pPr>
      <w:rPr>
        <w:rFonts w:hint="default" w:ascii="Symbol" w:hAnsi="Symbol" w:eastAsia="Symbol" w:cs="Symbol"/>
        <w:b w:val="0"/>
        <w:bCs w:val="0"/>
        <w:i w:val="0"/>
        <w:iCs w:val="0"/>
        <w:spacing w:val="0"/>
        <w:w w:val="100"/>
        <w:sz w:val="24"/>
        <w:szCs w:val="24"/>
        <w:lang w:val="es-ES" w:eastAsia="en-US" w:bidi="ar-SA"/>
      </w:rPr>
    </w:lvl>
    <w:lvl w:ilvl="1">
      <w:start w:val="0"/>
      <w:numFmt w:val="bullet"/>
      <w:lvlText w:val="•"/>
      <w:lvlJc w:val="left"/>
      <w:pPr>
        <w:ind w:left="2790" w:hanging="360"/>
      </w:pPr>
      <w:rPr>
        <w:rFonts w:hint="default"/>
        <w:lang w:val="es-ES" w:eastAsia="en-US" w:bidi="ar-SA"/>
      </w:rPr>
    </w:lvl>
    <w:lvl w:ilvl="2">
      <w:start w:val="0"/>
      <w:numFmt w:val="bullet"/>
      <w:lvlText w:val="•"/>
      <w:lvlJc w:val="left"/>
      <w:pPr>
        <w:ind w:left="3660" w:hanging="360"/>
      </w:pPr>
      <w:rPr>
        <w:rFonts w:hint="default"/>
        <w:lang w:val="es-ES" w:eastAsia="en-US" w:bidi="ar-SA"/>
      </w:rPr>
    </w:lvl>
    <w:lvl w:ilvl="3">
      <w:start w:val="0"/>
      <w:numFmt w:val="bullet"/>
      <w:lvlText w:val="•"/>
      <w:lvlJc w:val="left"/>
      <w:pPr>
        <w:ind w:left="4531" w:hanging="360"/>
      </w:pPr>
      <w:rPr>
        <w:rFonts w:hint="default"/>
        <w:lang w:val="es-ES" w:eastAsia="en-US" w:bidi="ar-SA"/>
      </w:rPr>
    </w:lvl>
    <w:lvl w:ilvl="4">
      <w:start w:val="0"/>
      <w:numFmt w:val="bullet"/>
      <w:lvlText w:val="•"/>
      <w:lvlJc w:val="left"/>
      <w:pPr>
        <w:ind w:left="5401" w:hanging="360"/>
      </w:pPr>
      <w:rPr>
        <w:rFonts w:hint="default"/>
        <w:lang w:val="es-ES" w:eastAsia="en-US" w:bidi="ar-SA"/>
      </w:rPr>
    </w:lvl>
    <w:lvl w:ilvl="5">
      <w:start w:val="0"/>
      <w:numFmt w:val="bullet"/>
      <w:lvlText w:val="•"/>
      <w:lvlJc w:val="left"/>
      <w:pPr>
        <w:ind w:left="6272" w:hanging="360"/>
      </w:pPr>
      <w:rPr>
        <w:rFonts w:hint="default"/>
        <w:lang w:val="es-ES" w:eastAsia="en-US" w:bidi="ar-SA"/>
      </w:rPr>
    </w:lvl>
    <w:lvl w:ilvl="6">
      <w:start w:val="0"/>
      <w:numFmt w:val="bullet"/>
      <w:lvlText w:val="•"/>
      <w:lvlJc w:val="left"/>
      <w:pPr>
        <w:ind w:left="7142" w:hanging="360"/>
      </w:pPr>
      <w:rPr>
        <w:rFonts w:hint="default"/>
        <w:lang w:val="es-ES" w:eastAsia="en-US" w:bidi="ar-SA"/>
      </w:rPr>
    </w:lvl>
    <w:lvl w:ilvl="7">
      <w:start w:val="0"/>
      <w:numFmt w:val="bullet"/>
      <w:lvlText w:val="•"/>
      <w:lvlJc w:val="left"/>
      <w:pPr>
        <w:ind w:left="8012" w:hanging="360"/>
      </w:pPr>
      <w:rPr>
        <w:rFonts w:hint="default"/>
        <w:lang w:val="es-ES" w:eastAsia="en-US" w:bidi="ar-SA"/>
      </w:rPr>
    </w:lvl>
    <w:lvl w:ilvl="8">
      <w:start w:val="0"/>
      <w:numFmt w:val="bullet"/>
      <w:lvlText w:val="•"/>
      <w:lvlJc w:val="left"/>
      <w:pPr>
        <w:ind w:left="8883" w:hanging="360"/>
      </w:pPr>
      <w:rPr>
        <w:rFonts w:hint="default"/>
        <w:lang w:val="es-ES" w:eastAsia="en-US" w:bidi="ar-SA"/>
      </w:rPr>
    </w:lvl>
  </w:abstractNum>
  <w:abstractNum w:abstractNumId="45">
    <w:multiLevelType w:val="hybridMultilevel"/>
    <w:lvl w:ilvl="0">
      <w:start w:val="0"/>
      <w:numFmt w:val="bullet"/>
      <w:lvlText w:val=""/>
      <w:lvlJc w:val="left"/>
      <w:pPr>
        <w:ind w:left="1912" w:hanging="360"/>
      </w:pPr>
      <w:rPr>
        <w:rFonts w:hint="default" w:ascii="Symbol" w:hAnsi="Symbol" w:eastAsia="Symbol" w:cs="Symbol"/>
        <w:b w:val="0"/>
        <w:bCs w:val="0"/>
        <w:i w:val="0"/>
        <w:iCs w:val="0"/>
        <w:spacing w:val="0"/>
        <w:w w:val="100"/>
        <w:sz w:val="24"/>
        <w:szCs w:val="24"/>
        <w:lang w:val="es-ES" w:eastAsia="en-US" w:bidi="ar-SA"/>
      </w:rPr>
    </w:lvl>
    <w:lvl w:ilvl="1">
      <w:start w:val="0"/>
      <w:numFmt w:val="bullet"/>
      <w:lvlText w:val="•"/>
      <w:lvlJc w:val="left"/>
      <w:pPr>
        <w:ind w:left="2790" w:hanging="360"/>
      </w:pPr>
      <w:rPr>
        <w:rFonts w:hint="default"/>
        <w:lang w:val="es-ES" w:eastAsia="en-US" w:bidi="ar-SA"/>
      </w:rPr>
    </w:lvl>
    <w:lvl w:ilvl="2">
      <w:start w:val="0"/>
      <w:numFmt w:val="bullet"/>
      <w:lvlText w:val="•"/>
      <w:lvlJc w:val="left"/>
      <w:pPr>
        <w:ind w:left="3660" w:hanging="360"/>
      </w:pPr>
      <w:rPr>
        <w:rFonts w:hint="default"/>
        <w:lang w:val="es-ES" w:eastAsia="en-US" w:bidi="ar-SA"/>
      </w:rPr>
    </w:lvl>
    <w:lvl w:ilvl="3">
      <w:start w:val="0"/>
      <w:numFmt w:val="bullet"/>
      <w:lvlText w:val="•"/>
      <w:lvlJc w:val="left"/>
      <w:pPr>
        <w:ind w:left="4531" w:hanging="360"/>
      </w:pPr>
      <w:rPr>
        <w:rFonts w:hint="default"/>
        <w:lang w:val="es-ES" w:eastAsia="en-US" w:bidi="ar-SA"/>
      </w:rPr>
    </w:lvl>
    <w:lvl w:ilvl="4">
      <w:start w:val="0"/>
      <w:numFmt w:val="bullet"/>
      <w:lvlText w:val="•"/>
      <w:lvlJc w:val="left"/>
      <w:pPr>
        <w:ind w:left="5401" w:hanging="360"/>
      </w:pPr>
      <w:rPr>
        <w:rFonts w:hint="default"/>
        <w:lang w:val="es-ES" w:eastAsia="en-US" w:bidi="ar-SA"/>
      </w:rPr>
    </w:lvl>
    <w:lvl w:ilvl="5">
      <w:start w:val="0"/>
      <w:numFmt w:val="bullet"/>
      <w:lvlText w:val="•"/>
      <w:lvlJc w:val="left"/>
      <w:pPr>
        <w:ind w:left="6272" w:hanging="360"/>
      </w:pPr>
      <w:rPr>
        <w:rFonts w:hint="default"/>
        <w:lang w:val="es-ES" w:eastAsia="en-US" w:bidi="ar-SA"/>
      </w:rPr>
    </w:lvl>
    <w:lvl w:ilvl="6">
      <w:start w:val="0"/>
      <w:numFmt w:val="bullet"/>
      <w:lvlText w:val="•"/>
      <w:lvlJc w:val="left"/>
      <w:pPr>
        <w:ind w:left="7142" w:hanging="360"/>
      </w:pPr>
      <w:rPr>
        <w:rFonts w:hint="default"/>
        <w:lang w:val="es-ES" w:eastAsia="en-US" w:bidi="ar-SA"/>
      </w:rPr>
    </w:lvl>
    <w:lvl w:ilvl="7">
      <w:start w:val="0"/>
      <w:numFmt w:val="bullet"/>
      <w:lvlText w:val="•"/>
      <w:lvlJc w:val="left"/>
      <w:pPr>
        <w:ind w:left="8012" w:hanging="360"/>
      </w:pPr>
      <w:rPr>
        <w:rFonts w:hint="default"/>
        <w:lang w:val="es-ES" w:eastAsia="en-US" w:bidi="ar-SA"/>
      </w:rPr>
    </w:lvl>
    <w:lvl w:ilvl="8">
      <w:start w:val="0"/>
      <w:numFmt w:val="bullet"/>
      <w:lvlText w:val="•"/>
      <w:lvlJc w:val="left"/>
      <w:pPr>
        <w:ind w:left="8883" w:hanging="360"/>
      </w:pPr>
      <w:rPr>
        <w:rFonts w:hint="default"/>
        <w:lang w:val="es-ES" w:eastAsia="en-US" w:bidi="ar-SA"/>
      </w:rPr>
    </w:lvl>
  </w:abstractNum>
  <w:abstractNum w:abstractNumId="44">
    <w:multiLevelType w:val="hybridMultilevel"/>
    <w:lvl w:ilvl="0">
      <w:start w:val="0"/>
      <w:numFmt w:val="bullet"/>
      <w:lvlText w:val=""/>
      <w:lvlJc w:val="left"/>
      <w:pPr>
        <w:ind w:left="2553"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3366" w:hanging="361"/>
      </w:pPr>
      <w:rPr>
        <w:rFonts w:hint="default"/>
        <w:lang w:val="es-ES" w:eastAsia="en-US" w:bidi="ar-SA"/>
      </w:rPr>
    </w:lvl>
    <w:lvl w:ilvl="2">
      <w:start w:val="0"/>
      <w:numFmt w:val="bullet"/>
      <w:lvlText w:val="•"/>
      <w:lvlJc w:val="left"/>
      <w:pPr>
        <w:ind w:left="4172" w:hanging="361"/>
      </w:pPr>
      <w:rPr>
        <w:rFonts w:hint="default"/>
        <w:lang w:val="es-ES" w:eastAsia="en-US" w:bidi="ar-SA"/>
      </w:rPr>
    </w:lvl>
    <w:lvl w:ilvl="3">
      <w:start w:val="0"/>
      <w:numFmt w:val="bullet"/>
      <w:lvlText w:val="•"/>
      <w:lvlJc w:val="left"/>
      <w:pPr>
        <w:ind w:left="4979" w:hanging="361"/>
      </w:pPr>
      <w:rPr>
        <w:rFonts w:hint="default"/>
        <w:lang w:val="es-ES" w:eastAsia="en-US" w:bidi="ar-SA"/>
      </w:rPr>
    </w:lvl>
    <w:lvl w:ilvl="4">
      <w:start w:val="0"/>
      <w:numFmt w:val="bullet"/>
      <w:lvlText w:val="•"/>
      <w:lvlJc w:val="left"/>
      <w:pPr>
        <w:ind w:left="5785" w:hanging="361"/>
      </w:pPr>
      <w:rPr>
        <w:rFonts w:hint="default"/>
        <w:lang w:val="es-ES" w:eastAsia="en-US" w:bidi="ar-SA"/>
      </w:rPr>
    </w:lvl>
    <w:lvl w:ilvl="5">
      <w:start w:val="0"/>
      <w:numFmt w:val="bullet"/>
      <w:lvlText w:val="•"/>
      <w:lvlJc w:val="left"/>
      <w:pPr>
        <w:ind w:left="6592" w:hanging="361"/>
      </w:pPr>
      <w:rPr>
        <w:rFonts w:hint="default"/>
        <w:lang w:val="es-ES" w:eastAsia="en-US" w:bidi="ar-SA"/>
      </w:rPr>
    </w:lvl>
    <w:lvl w:ilvl="6">
      <w:start w:val="0"/>
      <w:numFmt w:val="bullet"/>
      <w:lvlText w:val="•"/>
      <w:lvlJc w:val="left"/>
      <w:pPr>
        <w:ind w:left="7398" w:hanging="361"/>
      </w:pPr>
      <w:rPr>
        <w:rFonts w:hint="default"/>
        <w:lang w:val="es-ES" w:eastAsia="en-US" w:bidi="ar-SA"/>
      </w:rPr>
    </w:lvl>
    <w:lvl w:ilvl="7">
      <w:start w:val="0"/>
      <w:numFmt w:val="bullet"/>
      <w:lvlText w:val="•"/>
      <w:lvlJc w:val="left"/>
      <w:pPr>
        <w:ind w:left="8204" w:hanging="361"/>
      </w:pPr>
      <w:rPr>
        <w:rFonts w:hint="default"/>
        <w:lang w:val="es-ES" w:eastAsia="en-US" w:bidi="ar-SA"/>
      </w:rPr>
    </w:lvl>
    <w:lvl w:ilvl="8">
      <w:start w:val="0"/>
      <w:numFmt w:val="bullet"/>
      <w:lvlText w:val="•"/>
      <w:lvlJc w:val="left"/>
      <w:pPr>
        <w:ind w:left="9011" w:hanging="361"/>
      </w:pPr>
      <w:rPr>
        <w:rFonts w:hint="default"/>
        <w:lang w:val="es-ES" w:eastAsia="en-US" w:bidi="ar-SA"/>
      </w:rPr>
    </w:lvl>
  </w:abstractNum>
  <w:abstractNum w:abstractNumId="43">
    <w:multiLevelType w:val="hybridMultilevel"/>
    <w:lvl w:ilvl="0">
      <w:start w:val="0"/>
      <w:numFmt w:val="bullet"/>
      <w:lvlText w:val=""/>
      <w:lvlJc w:val="left"/>
      <w:pPr>
        <w:ind w:left="2553"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3366" w:hanging="361"/>
      </w:pPr>
      <w:rPr>
        <w:rFonts w:hint="default"/>
        <w:lang w:val="es-ES" w:eastAsia="en-US" w:bidi="ar-SA"/>
      </w:rPr>
    </w:lvl>
    <w:lvl w:ilvl="2">
      <w:start w:val="0"/>
      <w:numFmt w:val="bullet"/>
      <w:lvlText w:val="•"/>
      <w:lvlJc w:val="left"/>
      <w:pPr>
        <w:ind w:left="4172" w:hanging="361"/>
      </w:pPr>
      <w:rPr>
        <w:rFonts w:hint="default"/>
        <w:lang w:val="es-ES" w:eastAsia="en-US" w:bidi="ar-SA"/>
      </w:rPr>
    </w:lvl>
    <w:lvl w:ilvl="3">
      <w:start w:val="0"/>
      <w:numFmt w:val="bullet"/>
      <w:lvlText w:val="•"/>
      <w:lvlJc w:val="left"/>
      <w:pPr>
        <w:ind w:left="4979" w:hanging="361"/>
      </w:pPr>
      <w:rPr>
        <w:rFonts w:hint="default"/>
        <w:lang w:val="es-ES" w:eastAsia="en-US" w:bidi="ar-SA"/>
      </w:rPr>
    </w:lvl>
    <w:lvl w:ilvl="4">
      <w:start w:val="0"/>
      <w:numFmt w:val="bullet"/>
      <w:lvlText w:val="•"/>
      <w:lvlJc w:val="left"/>
      <w:pPr>
        <w:ind w:left="5785" w:hanging="361"/>
      </w:pPr>
      <w:rPr>
        <w:rFonts w:hint="default"/>
        <w:lang w:val="es-ES" w:eastAsia="en-US" w:bidi="ar-SA"/>
      </w:rPr>
    </w:lvl>
    <w:lvl w:ilvl="5">
      <w:start w:val="0"/>
      <w:numFmt w:val="bullet"/>
      <w:lvlText w:val="•"/>
      <w:lvlJc w:val="left"/>
      <w:pPr>
        <w:ind w:left="6592" w:hanging="361"/>
      </w:pPr>
      <w:rPr>
        <w:rFonts w:hint="default"/>
        <w:lang w:val="es-ES" w:eastAsia="en-US" w:bidi="ar-SA"/>
      </w:rPr>
    </w:lvl>
    <w:lvl w:ilvl="6">
      <w:start w:val="0"/>
      <w:numFmt w:val="bullet"/>
      <w:lvlText w:val="•"/>
      <w:lvlJc w:val="left"/>
      <w:pPr>
        <w:ind w:left="7398" w:hanging="361"/>
      </w:pPr>
      <w:rPr>
        <w:rFonts w:hint="default"/>
        <w:lang w:val="es-ES" w:eastAsia="en-US" w:bidi="ar-SA"/>
      </w:rPr>
    </w:lvl>
    <w:lvl w:ilvl="7">
      <w:start w:val="0"/>
      <w:numFmt w:val="bullet"/>
      <w:lvlText w:val="•"/>
      <w:lvlJc w:val="left"/>
      <w:pPr>
        <w:ind w:left="8204" w:hanging="361"/>
      </w:pPr>
      <w:rPr>
        <w:rFonts w:hint="default"/>
        <w:lang w:val="es-ES" w:eastAsia="en-US" w:bidi="ar-SA"/>
      </w:rPr>
    </w:lvl>
    <w:lvl w:ilvl="8">
      <w:start w:val="0"/>
      <w:numFmt w:val="bullet"/>
      <w:lvlText w:val="•"/>
      <w:lvlJc w:val="left"/>
      <w:pPr>
        <w:ind w:left="9011" w:hanging="361"/>
      </w:pPr>
      <w:rPr>
        <w:rFonts w:hint="default"/>
        <w:lang w:val="es-ES" w:eastAsia="en-US" w:bidi="ar-SA"/>
      </w:rPr>
    </w:lvl>
  </w:abstractNum>
  <w:abstractNum w:abstractNumId="42">
    <w:multiLevelType w:val="hybridMultilevel"/>
    <w:lvl w:ilvl="0">
      <w:start w:val="1"/>
      <w:numFmt w:val="lowerRoman"/>
      <w:lvlText w:val="%1."/>
      <w:lvlJc w:val="left"/>
      <w:pPr>
        <w:ind w:left="2553" w:hanging="471"/>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3366" w:hanging="471"/>
      </w:pPr>
      <w:rPr>
        <w:rFonts w:hint="default"/>
        <w:lang w:val="es-ES" w:eastAsia="en-US" w:bidi="ar-SA"/>
      </w:rPr>
    </w:lvl>
    <w:lvl w:ilvl="2">
      <w:start w:val="0"/>
      <w:numFmt w:val="bullet"/>
      <w:lvlText w:val="•"/>
      <w:lvlJc w:val="left"/>
      <w:pPr>
        <w:ind w:left="4172" w:hanging="471"/>
      </w:pPr>
      <w:rPr>
        <w:rFonts w:hint="default"/>
        <w:lang w:val="es-ES" w:eastAsia="en-US" w:bidi="ar-SA"/>
      </w:rPr>
    </w:lvl>
    <w:lvl w:ilvl="3">
      <w:start w:val="0"/>
      <w:numFmt w:val="bullet"/>
      <w:lvlText w:val="•"/>
      <w:lvlJc w:val="left"/>
      <w:pPr>
        <w:ind w:left="4979" w:hanging="471"/>
      </w:pPr>
      <w:rPr>
        <w:rFonts w:hint="default"/>
        <w:lang w:val="es-ES" w:eastAsia="en-US" w:bidi="ar-SA"/>
      </w:rPr>
    </w:lvl>
    <w:lvl w:ilvl="4">
      <w:start w:val="0"/>
      <w:numFmt w:val="bullet"/>
      <w:lvlText w:val="•"/>
      <w:lvlJc w:val="left"/>
      <w:pPr>
        <w:ind w:left="5785" w:hanging="471"/>
      </w:pPr>
      <w:rPr>
        <w:rFonts w:hint="default"/>
        <w:lang w:val="es-ES" w:eastAsia="en-US" w:bidi="ar-SA"/>
      </w:rPr>
    </w:lvl>
    <w:lvl w:ilvl="5">
      <w:start w:val="0"/>
      <w:numFmt w:val="bullet"/>
      <w:lvlText w:val="•"/>
      <w:lvlJc w:val="left"/>
      <w:pPr>
        <w:ind w:left="6592" w:hanging="471"/>
      </w:pPr>
      <w:rPr>
        <w:rFonts w:hint="default"/>
        <w:lang w:val="es-ES" w:eastAsia="en-US" w:bidi="ar-SA"/>
      </w:rPr>
    </w:lvl>
    <w:lvl w:ilvl="6">
      <w:start w:val="0"/>
      <w:numFmt w:val="bullet"/>
      <w:lvlText w:val="•"/>
      <w:lvlJc w:val="left"/>
      <w:pPr>
        <w:ind w:left="7398" w:hanging="471"/>
      </w:pPr>
      <w:rPr>
        <w:rFonts w:hint="default"/>
        <w:lang w:val="es-ES" w:eastAsia="en-US" w:bidi="ar-SA"/>
      </w:rPr>
    </w:lvl>
    <w:lvl w:ilvl="7">
      <w:start w:val="0"/>
      <w:numFmt w:val="bullet"/>
      <w:lvlText w:val="•"/>
      <w:lvlJc w:val="left"/>
      <w:pPr>
        <w:ind w:left="8204" w:hanging="471"/>
      </w:pPr>
      <w:rPr>
        <w:rFonts w:hint="default"/>
        <w:lang w:val="es-ES" w:eastAsia="en-US" w:bidi="ar-SA"/>
      </w:rPr>
    </w:lvl>
    <w:lvl w:ilvl="8">
      <w:start w:val="0"/>
      <w:numFmt w:val="bullet"/>
      <w:lvlText w:val="•"/>
      <w:lvlJc w:val="left"/>
      <w:pPr>
        <w:ind w:left="9011" w:hanging="471"/>
      </w:pPr>
      <w:rPr>
        <w:rFonts w:hint="default"/>
        <w:lang w:val="es-ES" w:eastAsia="en-US" w:bidi="ar-SA"/>
      </w:rPr>
    </w:lvl>
  </w:abstractNum>
  <w:abstractNum w:abstractNumId="41">
    <w:multiLevelType w:val="hybridMultilevel"/>
    <w:lvl w:ilvl="0">
      <w:start w:val="0"/>
      <w:numFmt w:val="bullet"/>
      <w:lvlText w:val=""/>
      <w:lvlJc w:val="left"/>
      <w:pPr>
        <w:ind w:left="1636" w:hanging="360"/>
      </w:pPr>
      <w:rPr>
        <w:rFonts w:hint="default" w:ascii="Symbol" w:hAnsi="Symbol" w:eastAsia="Symbol" w:cs="Symbol"/>
        <w:b w:val="0"/>
        <w:bCs w:val="0"/>
        <w:i w:val="0"/>
        <w:iCs w:val="0"/>
        <w:spacing w:val="0"/>
        <w:w w:val="100"/>
        <w:sz w:val="22"/>
        <w:szCs w:val="22"/>
        <w:lang w:val="es-ES" w:eastAsia="en-US" w:bidi="ar-SA"/>
      </w:rPr>
    </w:lvl>
    <w:lvl w:ilvl="1">
      <w:start w:val="1"/>
      <w:numFmt w:val="lowerRoman"/>
      <w:lvlText w:val="%2."/>
      <w:lvlJc w:val="left"/>
      <w:pPr>
        <w:ind w:left="2909" w:hanging="471"/>
        <w:jc w:val="right"/>
      </w:pPr>
      <w:rPr>
        <w:rFonts w:hint="default" w:ascii="Arial MT" w:hAnsi="Arial MT" w:eastAsia="Arial MT" w:cs="Arial MT"/>
        <w:b w:val="0"/>
        <w:bCs w:val="0"/>
        <w:i w:val="0"/>
        <w:iCs w:val="0"/>
        <w:spacing w:val="-1"/>
        <w:w w:val="100"/>
        <w:sz w:val="22"/>
        <w:szCs w:val="22"/>
        <w:lang w:val="es-ES" w:eastAsia="en-US" w:bidi="ar-SA"/>
      </w:rPr>
    </w:lvl>
    <w:lvl w:ilvl="2">
      <w:start w:val="0"/>
      <w:numFmt w:val="bullet"/>
      <w:lvlText w:val="•"/>
      <w:lvlJc w:val="left"/>
      <w:pPr>
        <w:ind w:left="3758" w:hanging="471"/>
      </w:pPr>
      <w:rPr>
        <w:rFonts w:hint="default"/>
        <w:lang w:val="es-ES" w:eastAsia="en-US" w:bidi="ar-SA"/>
      </w:rPr>
    </w:lvl>
    <w:lvl w:ilvl="3">
      <w:start w:val="0"/>
      <w:numFmt w:val="bullet"/>
      <w:lvlText w:val="•"/>
      <w:lvlJc w:val="left"/>
      <w:pPr>
        <w:ind w:left="4616" w:hanging="471"/>
      </w:pPr>
      <w:rPr>
        <w:rFonts w:hint="default"/>
        <w:lang w:val="es-ES" w:eastAsia="en-US" w:bidi="ar-SA"/>
      </w:rPr>
    </w:lvl>
    <w:lvl w:ilvl="4">
      <w:start w:val="0"/>
      <w:numFmt w:val="bullet"/>
      <w:lvlText w:val="•"/>
      <w:lvlJc w:val="left"/>
      <w:pPr>
        <w:ind w:left="5474" w:hanging="471"/>
      </w:pPr>
      <w:rPr>
        <w:rFonts w:hint="default"/>
        <w:lang w:val="es-ES" w:eastAsia="en-US" w:bidi="ar-SA"/>
      </w:rPr>
    </w:lvl>
    <w:lvl w:ilvl="5">
      <w:start w:val="0"/>
      <w:numFmt w:val="bullet"/>
      <w:lvlText w:val="•"/>
      <w:lvlJc w:val="left"/>
      <w:pPr>
        <w:ind w:left="6332" w:hanging="471"/>
      </w:pPr>
      <w:rPr>
        <w:rFonts w:hint="default"/>
        <w:lang w:val="es-ES" w:eastAsia="en-US" w:bidi="ar-SA"/>
      </w:rPr>
    </w:lvl>
    <w:lvl w:ilvl="6">
      <w:start w:val="0"/>
      <w:numFmt w:val="bullet"/>
      <w:lvlText w:val="•"/>
      <w:lvlJc w:val="left"/>
      <w:pPr>
        <w:ind w:left="7191" w:hanging="471"/>
      </w:pPr>
      <w:rPr>
        <w:rFonts w:hint="default"/>
        <w:lang w:val="es-ES" w:eastAsia="en-US" w:bidi="ar-SA"/>
      </w:rPr>
    </w:lvl>
    <w:lvl w:ilvl="7">
      <w:start w:val="0"/>
      <w:numFmt w:val="bullet"/>
      <w:lvlText w:val="•"/>
      <w:lvlJc w:val="left"/>
      <w:pPr>
        <w:ind w:left="8049" w:hanging="471"/>
      </w:pPr>
      <w:rPr>
        <w:rFonts w:hint="default"/>
        <w:lang w:val="es-ES" w:eastAsia="en-US" w:bidi="ar-SA"/>
      </w:rPr>
    </w:lvl>
    <w:lvl w:ilvl="8">
      <w:start w:val="0"/>
      <w:numFmt w:val="bullet"/>
      <w:lvlText w:val="•"/>
      <w:lvlJc w:val="left"/>
      <w:pPr>
        <w:ind w:left="8907" w:hanging="471"/>
      </w:pPr>
      <w:rPr>
        <w:rFonts w:hint="default"/>
        <w:lang w:val="es-ES" w:eastAsia="en-US" w:bidi="ar-SA"/>
      </w:rPr>
    </w:lvl>
  </w:abstractNum>
  <w:abstractNum w:abstractNumId="40">
    <w:multiLevelType w:val="hybridMultilevel"/>
    <w:lvl w:ilvl="0">
      <w:start w:val="0"/>
      <w:numFmt w:val="bullet"/>
      <w:lvlText w:val=""/>
      <w:lvlJc w:val="left"/>
      <w:pPr>
        <w:ind w:left="1648" w:hanging="360"/>
      </w:pPr>
      <w:rPr>
        <w:rFonts w:hint="default" w:ascii="Symbol" w:hAnsi="Symbol" w:eastAsia="Symbol" w:cs="Symbol"/>
        <w:b w:val="0"/>
        <w:bCs w:val="0"/>
        <w:i w:val="0"/>
        <w:iCs w:val="0"/>
        <w:spacing w:val="0"/>
        <w:w w:val="100"/>
        <w:sz w:val="24"/>
        <w:szCs w:val="24"/>
        <w:lang w:val="es-ES" w:eastAsia="en-US" w:bidi="ar-SA"/>
      </w:rPr>
    </w:lvl>
    <w:lvl w:ilvl="1">
      <w:start w:val="0"/>
      <w:numFmt w:val="bullet"/>
      <w:lvlText w:val="•"/>
      <w:lvlJc w:val="left"/>
      <w:pPr>
        <w:ind w:left="2538" w:hanging="360"/>
      </w:pPr>
      <w:rPr>
        <w:rFonts w:hint="default"/>
        <w:lang w:val="es-ES" w:eastAsia="en-US" w:bidi="ar-SA"/>
      </w:rPr>
    </w:lvl>
    <w:lvl w:ilvl="2">
      <w:start w:val="0"/>
      <w:numFmt w:val="bullet"/>
      <w:lvlText w:val="•"/>
      <w:lvlJc w:val="left"/>
      <w:pPr>
        <w:ind w:left="3436" w:hanging="360"/>
      </w:pPr>
      <w:rPr>
        <w:rFonts w:hint="default"/>
        <w:lang w:val="es-ES" w:eastAsia="en-US" w:bidi="ar-SA"/>
      </w:rPr>
    </w:lvl>
    <w:lvl w:ilvl="3">
      <w:start w:val="0"/>
      <w:numFmt w:val="bullet"/>
      <w:lvlText w:val="•"/>
      <w:lvlJc w:val="left"/>
      <w:pPr>
        <w:ind w:left="4335" w:hanging="360"/>
      </w:pPr>
      <w:rPr>
        <w:rFonts w:hint="default"/>
        <w:lang w:val="es-ES" w:eastAsia="en-US" w:bidi="ar-SA"/>
      </w:rPr>
    </w:lvl>
    <w:lvl w:ilvl="4">
      <w:start w:val="0"/>
      <w:numFmt w:val="bullet"/>
      <w:lvlText w:val="•"/>
      <w:lvlJc w:val="left"/>
      <w:pPr>
        <w:ind w:left="5233" w:hanging="360"/>
      </w:pPr>
      <w:rPr>
        <w:rFonts w:hint="default"/>
        <w:lang w:val="es-ES" w:eastAsia="en-US" w:bidi="ar-SA"/>
      </w:rPr>
    </w:lvl>
    <w:lvl w:ilvl="5">
      <w:start w:val="0"/>
      <w:numFmt w:val="bullet"/>
      <w:lvlText w:val="•"/>
      <w:lvlJc w:val="left"/>
      <w:pPr>
        <w:ind w:left="6132" w:hanging="360"/>
      </w:pPr>
      <w:rPr>
        <w:rFonts w:hint="default"/>
        <w:lang w:val="es-ES" w:eastAsia="en-US" w:bidi="ar-SA"/>
      </w:rPr>
    </w:lvl>
    <w:lvl w:ilvl="6">
      <w:start w:val="0"/>
      <w:numFmt w:val="bullet"/>
      <w:lvlText w:val="•"/>
      <w:lvlJc w:val="left"/>
      <w:pPr>
        <w:ind w:left="7030" w:hanging="360"/>
      </w:pPr>
      <w:rPr>
        <w:rFonts w:hint="default"/>
        <w:lang w:val="es-ES" w:eastAsia="en-US" w:bidi="ar-SA"/>
      </w:rPr>
    </w:lvl>
    <w:lvl w:ilvl="7">
      <w:start w:val="0"/>
      <w:numFmt w:val="bullet"/>
      <w:lvlText w:val="•"/>
      <w:lvlJc w:val="left"/>
      <w:pPr>
        <w:ind w:left="7928" w:hanging="360"/>
      </w:pPr>
      <w:rPr>
        <w:rFonts w:hint="default"/>
        <w:lang w:val="es-ES" w:eastAsia="en-US" w:bidi="ar-SA"/>
      </w:rPr>
    </w:lvl>
    <w:lvl w:ilvl="8">
      <w:start w:val="0"/>
      <w:numFmt w:val="bullet"/>
      <w:lvlText w:val="•"/>
      <w:lvlJc w:val="left"/>
      <w:pPr>
        <w:ind w:left="8827" w:hanging="360"/>
      </w:pPr>
      <w:rPr>
        <w:rFonts w:hint="default"/>
        <w:lang w:val="es-ES" w:eastAsia="en-US" w:bidi="ar-SA"/>
      </w:rPr>
    </w:lvl>
  </w:abstractNum>
  <w:abstractNum w:abstractNumId="39">
    <w:multiLevelType w:val="hybridMultilevel"/>
    <w:lvl w:ilvl="0">
      <w:start w:val="0"/>
      <w:numFmt w:val="bullet"/>
      <w:lvlText w:val=""/>
      <w:lvlJc w:val="left"/>
      <w:pPr>
        <w:ind w:left="2553"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3366" w:hanging="361"/>
      </w:pPr>
      <w:rPr>
        <w:rFonts w:hint="default"/>
        <w:lang w:val="es-ES" w:eastAsia="en-US" w:bidi="ar-SA"/>
      </w:rPr>
    </w:lvl>
    <w:lvl w:ilvl="2">
      <w:start w:val="0"/>
      <w:numFmt w:val="bullet"/>
      <w:lvlText w:val="•"/>
      <w:lvlJc w:val="left"/>
      <w:pPr>
        <w:ind w:left="4172" w:hanging="361"/>
      </w:pPr>
      <w:rPr>
        <w:rFonts w:hint="default"/>
        <w:lang w:val="es-ES" w:eastAsia="en-US" w:bidi="ar-SA"/>
      </w:rPr>
    </w:lvl>
    <w:lvl w:ilvl="3">
      <w:start w:val="0"/>
      <w:numFmt w:val="bullet"/>
      <w:lvlText w:val="•"/>
      <w:lvlJc w:val="left"/>
      <w:pPr>
        <w:ind w:left="4979" w:hanging="361"/>
      </w:pPr>
      <w:rPr>
        <w:rFonts w:hint="default"/>
        <w:lang w:val="es-ES" w:eastAsia="en-US" w:bidi="ar-SA"/>
      </w:rPr>
    </w:lvl>
    <w:lvl w:ilvl="4">
      <w:start w:val="0"/>
      <w:numFmt w:val="bullet"/>
      <w:lvlText w:val="•"/>
      <w:lvlJc w:val="left"/>
      <w:pPr>
        <w:ind w:left="5785" w:hanging="361"/>
      </w:pPr>
      <w:rPr>
        <w:rFonts w:hint="default"/>
        <w:lang w:val="es-ES" w:eastAsia="en-US" w:bidi="ar-SA"/>
      </w:rPr>
    </w:lvl>
    <w:lvl w:ilvl="5">
      <w:start w:val="0"/>
      <w:numFmt w:val="bullet"/>
      <w:lvlText w:val="•"/>
      <w:lvlJc w:val="left"/>
      <w:pPr>
        <w:ind w:left="6592" w:hanging="361"/>
      </w:pPr>
      <w:rPr>
        <w:rFonts w:hint="default"/>
        <w:lang w:val="es-ES" w:eastAsia="en-US" w:bidi="ar-SA"/>
      </w:rPr>
    </w:lvl>
    <w:lvl w:ilvl="6">
      <w:start w:val="0"/>
      <w:numFmt w:val="bullet"/>
      <w:lvlText w:val="•"/>
      <w:lvlJc w:val="left"/>
      <w:pPr>
        <w:ind w:left="7398" w:hanging="361"/>
      </w:pPr>
      <w:rPr>
        <w:rFonts w:hint="default"/>
        <w:lang w:val="es-ES" w:eastAsia="en-US" w:bidi="ar-SA"/>
      </w:rPr>
    </w:lvl>
    <w:lvl w:ilvl="7">
      <w:start w:val="0"/>
      <w:numFmt w:val="bullet"/>
      <w:lvlText w:val="•"/>
      <w:lvlJc w:val="left"/>
      <w:pPr>
        <w:ind w:left="8204" w:hanging="361"/>
      </w:pPr>
      <w:rPr>
        <w:rFonts w:hint="default"/>
        <w:lang w:val="es-ES" w:eastAsia="en-US" w:bidi="ar-SA"/>
      </w:rPr>
    </w:lvl>
    <w:lvl w:ilvl="8">
      <w:start w:val="0"/>
      <w:numFmt w:val="bullet"/>
      <w:lvlText w:val="•"/>
      <w:lvlJc w:val="left"/>
      <w:pPr>
        <w:ind w:left="9011" w:hanging="361"/>
      </w:pPr>
      <w:rPr>
        <w:rFonts w:hint="default"/>
        <w:lang w:val="es-ES" w:eastAsia="en-US" w:bidi="ar-SA"/>
      </w:rPr>
    </w:lvl>
  </w:abstractNum>
  <w:abstractNum w:abstractNumId="38">
    <w:multiLevelType w:val="hybridMultilevel"/>
    <w:lvl w:ilvl="0">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37">
    <w:multiLevelType w:val="hybridMultilevel"/>
    <w:lvl w:ilvl="0">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36">
    <w:multiLevelType w:val="hybridMultilevel"/>
    <w:lvl w:ilvl="0">
      <w:start w:val="1"/>
      <w:numFmt w:val="decimal"/>
      <w:lvlText w:val="%1."/>
      <w:lvlJc w:val="left"/>
      <w:pPr>
        <w:ind w:left="1854" w:hanging="360"/>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35">
    <w:multiLevelType w:val="hybridMultilevel"/>
    <w:lvl w:ilvl="0">
      <w:start w:val="1"/>
      <w:numFmt w:val="decimal"/>
      <w:lvlText w:val="%1."/>
      <w:lvlJc w:val="left"/>
      <w:pPr>
        <w:ind w:left="1854" w:hanging="360"/>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2575" w:hanging="361"/>
      </w:pPr>
      <w:rPr>
        <w:rFonts w:hint="default" w:ascii="Calibri" w:hAnsi="Calibri" w:eastAsia="Calibri" w:cs="Calibri"/>
        <w:b w:val="0"/>
        <w:bCs w:val="0"/>
        <w:i w:val="0"/>
        <w:iCs w:val="0"/>
        <w:spacing w:val="0"/>
        <w:w w:val="100"/>
        <w:sz w:val="22"/>
        <w:szCs w:val="22"/>
        <w:lang w:val="es-ES" w:eastAsia="en-US" w:bidi="ar-SA"/>
      </w:rPr>
    </w:lvl>
    <w:lvl w:ilvl="2">
      <w:start w:val="0"/>
      <w:numFmt w:val="bullet"/>
      <w:lvlText w:val="•"/>
      <w:lvlJc w:val="left"/>
      <w:pPr>
        <w:ind w:left="3473" w:hanging="361"/>
      </w:pPr>
      <w:rPr>
        <w:rFonts w:hint="default"/>
        <w:lang w:val="es-ES" w:eastAsia="en-US" w:bidi="ar-SA"/>
      </w:rPr>
    </w:lvl>
    <w:lvl w:ilvl="3">
      <w:start w:val="0"/>
      <w:numFmt w:val="bullet"/>
      <w:lvlText w:val="•"/>
      <w:lvlJc w:val="left"/>
      <w:pPr>
        <w:ind w:left="4367" w:hanging="361"/>
      </w:pPr>
      <w:rPr>
        <w:rFonts w:hint="default"/>
        <w:lang w:val="es-ES" w:eastAsia="en-US" w:bidi="ar-SA"/>
      </w:rPr>
    </w:lvl>
    <w:lvl w:ilvl="4">
      <w:start w:val="0"/>
      <w:numFmt w:val="bullet"/>
      <w:lvlText w:val="•"/>
      <w:lvlJc w:val="left"/>
      <w:pPr>
        <w:ind w:left="5261" w:hanging="361"/>
      </w:pPr>
      <w:rPr>
        <w:rFonts w:hint="default"/>
        <w:lang w:val="es-ES" w:eastAsia="en-US" w:bidi="ar-SA"/>
      </w:rPr>
    </w:lvl>
    <w:lvl w:ilvl="5">
      <w:start w:val="0"/>
      <w:numFmt w:val="bullet"/>
      <w:lvlText w:val="•"/>
      <w:lvlJc w:val="left"/>
      <w:pPr>
        <w:ind w:left="6155" w:hanging="361"/>
      </w:pPr>
      <w:rPr>
        <w:rFonts w:hint="default"/>
        <w:lang w:val="es-ES" w:eastAsia="en-US" w:bidi="ar-SA"/>
      </w:rPr>
    </w:lvl>
    <w:lvl w:ilvl="6">
      <w:start w:val="0"/>
      <w:numFmt w:val="bullet"/>
      <w:lvlText w:val="•"/>
      <w:lvlJc w:val="left"/>
      <w:pPr>
        <w:ind w:left="7049" w:hanging="361"/>
      </w:pPr>
      <w:rPr>
        <w:rFonts w:hint="default"/>
        <w:lang w:val="es-ES" w:eastAsia="en-US" w:bidi="ar-SA"/>
      </w:rPr>
    </w:lvl>
    <w:lvl w:ilvl="7">
      <w:start w:val="0"/>
      <w:numFmt w:val="bullet"/>
      <w:lvlText w:val="•"/>
      <w:lvlJc w:val="left"/>
      <w:pPr>
        <w:ind w:left="7942" w:hanging="361"/>
      </w:pPr>
      <w:rPr>
        <w:rFonts w:hint="default"/>
        <w:lang w:val="es-ES" w:eastAsia="en-US" w:bidi="ar-SA"/>
      </w:rPr>
    </w:lvl>
    <w:lvl w:ilvl="8">
      <w:start w:val="0"/>
      <w:numFmt w:val="bullet"/>
      <w:lvlText w:val="•"/>
      <w:lvlJc w:val="left"/>
      <w:pPr>
        <w:ind w:left="8836" w:hanging="361"/>
      </w:pPr>
      <w:rPr>
        <w:rFonts w:hint="default"/>
        <w:lang w:val="es-ES" w:eastAsia="en-US" w:bidi="ar-SA"/>
      </w:rPr>
    </w:lvl>
  </w:abstractNum>
  <w:abstractNum w:abstractNumId="34">
    <w:multiLevelType w:val="hybridMultilevel"/>
    <w:lvl w:ilvl="0">
      <w:start w:val="0"/>
      <w:numFmt w:val="bullet"/>
      <w:lvlText w:val=""/>
      <w:lvlJc w:val="left"/>
      <w:pPr>
        <w:ind w:left="2553"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o"/>
      <w:lvlJc w:val="left"/>
      <w:pPr>
        <w:ind w:left="3120" w:hanging="360"/>
      </w:pPr>
      <w:rPr>
        <w:rFonts w:hint="default" w:ascii="Courier New" w:hAnsi="Courier New" w:eastAsia="Courier New" w:cs="Courier New"/>
        <w:b w:val="0"/>
        <w:bCs w:val="0"/>
        <w:i w:val="0"/>
        <w:iCs w:val="0"/>
        <w:spacing w:val="0"/>
        <w:w w:val="100"/>
        <w:sz w:val="22"/>
        <w:szCs w:val="22"/>
        <w:lang w:val="es-ES" w:eastAsia="en-US" w:bidi="ar-SA"/>
      </w:rPr>
    </w:lvl>
    <w:lvl w:ilvl="2">
      <w:start w:val="0"/>
      <w:numFmt w:val="bullet"/>
      <w:lvlText w:val="•"/>
      <w:lvlJc w:val="left"/>
      <w:pPr>
        <w:ind w:left="3953" w:hanging="360"/>
      </w:pPr>
      <w:rPr>
        <w:rFonts w:hint="default"/>
        <w:lang w:val="es-ES" w:eastAsia="en-US" w:bidi="ar-SA"/>
      </w:rPr>
    </w:lvl>
    <w:lvl w:ilvl="3">
      <w:start w:val="0"/>
      <w:numFmt w:val="bullet"/>
      <w:lvlText w:val="•"/>
      <w:lvlJc w:val="left"/>
      <w:pPr>
        <w:ind w:left="4787" w:hanging="360"/>
      </w:pPr>
      <w:rPr>
        <w:rFonts w:hint="default"/>
        <w:lang w:val="es-ES" w:eastAsia="en-US" w:bidi="ar-SA"/>
      </w:rPr>
    </w:lvl>
    <w:lvl w:ilvl="4">
      <w:start w:val="0"/>
      <w:numFmt w:val="bullet"/>
      <w:lvlText w:val="•"/>
      <w:lvlJc w:val="left"/>
      <w:pPr>
        <w:ind w:left="5621" w:hanging="360"/>
      </w:pPr>
      <w:rPr>
        <w:rFonts w:hint="default"/>
        <w:lang w:val="es-ES" w:eastAsia="en-US" w:bidi="ar-SA"/>
      </w:rPr>
    </w:lvl>
    <w:lvl w:ilvl="5">
      <w:start w:val="0"/>
      <w:numFmt w:val="bullet"/>
      <w:lvlText w:val="•"/>
      <w:lvlJc w:val="left"/>
      <w:pPr>
        <w:ind w:left="6455" w:hanging="360"/>
      </w:pPr>
      <w:rPr>
        <w:rFonts w:hint="default"/>
        <w:lang w:val="es-ES" w:eastAsia="en-US" w:bidi="ar-SA"/>
      </w:rPr>
    </w:lvl>
    <w:lvl w:ilvl="6">
      <w:start w:val="0"/>
      <w:numFmt w:val="bullet"/>
      <w:lvlText w:val="•"/>
      <w:lvlJc w:val="left"/>
      <w:pPr>
        <w:ind w:left="7289" w:hanging="360"/>
      </w:pPr>
      <w:rPr>
        <w:rFonts w:hint="default"/>
        <w:lang w:val="es-ES" w:eastAsia="en-US" w:bidi="ar-SA"/>
      </w:rPr>
    </w:lvl>
    <w:lvl w:ilvl="7">
      <w:start w:val="0"/>
      <w:numFmt w:val="bullet"/>
      <w:lvlText w:val="•"/>
      <w:lvlJc w:val="left"/>
      <w:pPr>
        <w:ind w:left="8122" w:hanging="360"/>
      </w:pPr>
      <w:rPr>
        <w:rFonts w:hint="default"/>
        <w:lang w:val="es-ES" w:eastAsia="en-US" w:bidi="ar-SA"/>
      </w:rPr>
    </w:lvl>
    <w:lvl w:ilvl="8">
      <w:start w:val="0"/>
      <w:numFmt w:val="bullet"/>
      <w:lvlText w:val="•"/>
      <w:lvlJc w:val="left"/>
      <w:pPr>
        <w:ind w:left="8956" w:hanging="360"/>
      </w:pPr>
      <w:rPr>
        <w:rFonts w:hint="default"/>
        <w:lang w:val="es-ES" w:eastAsia="en-US" w:bidi="ar-SA"/>
      </w:rPr>
    </w:lvl>
  </w:abstractNum>
  <w:abstractNum w:abstractNumId="33">
    <w:multiLevelType w:val="hybridMultilevel"/>
    <w:lvl w:ilvl="0">
      <w:start w:val="1"/>
      <w:numFmt w:val="lowerLetter"/>
      <w:lvlText w:val="%1)"/>
      <w:lvlJc w:val="left"/>
      <w:pPr>
        <w:ind w:left="1494" w:hanging="360"/>
        <w:jc w:val="left"/>
      </w:pPr>
      <w:rPr>
        <w:rFonts w:hint="default" w:ascii="Arial" w:hAnsi="Arial" w:eastAsia="Arial" w:cs="Arial"/>
        <w:b/>
        <w:bCs/>
        <w:i w:val="0"/>
        <w:iCs w:val="0"/>
        <w:spacing w:val="-1"/>
        <w:w w:val="100"/>
        <w:sz w:val="22"/>
        <w:szCs w:val="22"/>
        <w:lang w:val="es-ES" w:eastAsia="en-US" w:bidi="ar-SA"/>
      </w:rPr>
    </w:lvl>
    <w:lvl w:ilvl="1">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2">
      <w:start w:val="0"/>
      <w:numFmt w:val="bullet"/>
      <w:lvlText w:val="o"/>
      <w:lvlJc w:val="left"/>
      <w:pPr>
        <w:ind w:left="2575" w:hanging="361"/>
      </w:pPr>
      <w:rPr>
        <w:rFonts w:hint="default" w:ascii="Courier New" w:hAnsi="Courier New" w:eastAsia="Courier New" w:cs="Courier New"/>
        <w:b w:val="0"/>
        <w:bCs w:val="0"/>
        <w:i w:val="0"/>
        <w:iCs w:val="0"/>
        <w:spacing w:val="0"/>
        <w:w w:val="100"/>
        <w:sz w:val="22"/>
        <w:szCs w:val="22"/>
        <w:lang w:val="es-ES" w:eastAsia="en-US" w:bidi="ar-SA"/>
      </w:rPr>
    </w:lvl>
    <w:lvl w:ilvl="3">
      <w:start w:val="0"/>
      <w:numFmt w:val="bullet"/>
      <w:lvlText w:val="•"/>
      <w:lvlJc w:val="left"/>
      <w:pPr>
        <w:ind w:left="3585" w:hanging="361"/>
      </w:pPr>
      <w:rPr>
        <w:rFonts w:hint="default"/>
        <w:lang w:val="es-ES" w:eastAsia="en-US" w:bidi="ar-SA"/>
      </w:rPr>
    </w:lvl>
    <w:lvl w:ilvl="4">
      <w:start w:val="0"/>
      <w:numFmt w:val="bullet"/>
      <w:lvlText w:val="•"/>
      <w:lvlJc w:val="left"/>
      <w:pPr>
        <w:ind w:left="4591" w:hanging="361"/>
      </w:pPr>
      <w:rPr>
        <w:rFonts w:hint="default"/>
        <w:lang w:val="es-ES" w:eastAsia="en-US" w:bidi="ar-SA"/>
      </w:rPr>
    </w:lvl>
    <w:lvl w:ilvl="5">
      <w:start w:val="0"/>
      <w:numFmt w:val="bullet"/>
      <w:lvlText w:val="•"/>
      <w:lvlJc w:val="left"/>
      <w:pPr>
        <w:ind w:left="5596" w:hanging="361"/>
      </w:pPr>
      <w:rPr>
        <w:rFonts w:hint="default"/>
        <w:lang w:val="es-ES" w:eastAsia="en-US" w:bidi="ar-SA"/>
      </w:rPr>
    </w:lvl>
    <w:lvl w:ilvl="6">
      <w:start w:val="0"/>
      <w:numFmt w:val="bullet"/>
      <w:lvlText w:val="•"/>
      <w:lvlJc w:val="left"/>
      <w:pPr>
        <w:ind w:left="6602" w:hanging="361"/>
      </w:pPr>
      <w:rPr>
        <w:rFonts w:hint="default"/>
        <w:lang w:val="es-ES" w:eastAsia="en-US" w:bidi="ar-SA"/>
      </w:rPr>
    </w:lvl>
    <w:lvl w:ilvl="7">
      <w:start w:val="0"/>
      <w:numFmt w:val="bullet"/>
      <w:lvlText w:val="•"/>
      <w:lvlJc w:val="left"/>
      <w:pPr>
        <w:ind w:left="7607" w:hanging="361"/>
      </w:pPr>
      <w:rPr>
        <w:rFonts w:hint="default"/>
        <w:lang w:val="es-ES" w:eastAsia="en-US" w:bidi="ar-SA"/>
      </w:rPr>
    </w:lvl>
    <w:lvl w:ilvl="8">
      <w:start w:val="0"/>
      <w:numFmt w:val="bullet"/>
      <w:lvlText w:val="•"/>
      <w:lvlJc w:val="left"/>
      <w:pPr>
        <w:ind w:left="8613" w:hanging="361"/>
      </w:pPr>
      <w:rPr>
        <w:rFonts w:hint="default"/>
        <w:lang w:val="es-ES" w:eastAsia="en-US" w:bidi="ar-SA"/>
      </w:rPr>
    </w:lvl>
  </w:abstractNum>
  <w:abstractNum w:abstractNumId="32">
    <w:multiLevelType w:val="hybridMultilevel"/>
    <w:lvl w:ilvl="0">
      <w:start w:val="1"/>
      <w:numFmt w:val="decimal"/>
      <w:lvlText w:val="%1."/>
      <w:lvlJc w:val="left"/>
      <w:pPr>
        <w:ind w:left="1854" w:hanging="360"/>
        <w:jc w:val="right"/>
      </w:pPr>
      <w:rPr>
        <w:rFonts w:hint="default" w:ascii="Arial" w:hAnsi="Arial" w:eastAsia="Arial" w:cs="Arial"/>
        <w:b/>
        <w:bCs/>
        <w:i w:val="0"/>
        <w:iCs w:val="0"/>
        <w:spacing w:val="-1"/>
        <w:w w:val="100"/>
        <w:sz w:val="22"/>
        <w:szCs w:val="22"/>
        <w:lang w:val="es-ES" w:eastAsia="en-US" w:bidi="ar-SA"/>
      </w:rPr>
    </w:lvl>
    <w:lvl w:ilvl="1">
      <w:start w:val="1"/>
      <w:numFmt w:val="lowerLetter"/>
      <w:lvlText w:val="%2)"/>
      <w:lvlJc w:val="left"/>
      <w:pPr>
        <w:ind w:left="1494" w:hanging="360"/>
        <w:jc w:val="left"/>
      </w:pPr>
      <w:rPr>
        <w:rFonts w:hint="default" w:ascii="Arial" w:hAnsi="Arial" w:eastAsia="Arial" w:cs="Arial"/>
        <w:b/>
        <w:bCs/>
        <w:i w:val="0"/>
        <w:iCs w:val="0"/>
        <w:spacing w:val="-1"/>
        <w:w w:val="100"/>
        <w:sz w:val="22"/>
        <w:szCs w:val="22"/>
        <w:lang w:val="es-ES" w:eastAsia="en-US" w:bidi="ar-SA"/>
      </w:rPr>
    </w:lvl>
    <w:lvl w:ilvl="2">
      <w:start w:val="0"/>
      <w:numFmt w:val="bullet"/>
      <w:lvlText w:val="•"/>
      <w:lvlJc w:val="left"/>
      <w:pPr>
        <w:ind w:left="2833" w:hanging="360"/>
      </w:pPr>
      <w:rPr>
        <w:rFonts w:hint="default"/>
        <w:lang w:val="es-ES" w:eastAsia="en-US" w:bidi="ar-SA"/>
      </w:rPr>
    </w:lvl>
    <w:lvl w:ilvl="3">
      <w:start w:val="0"/>
      <w:numFmt w:val="bullet"/>
      <w:lvlText w:val="•"/>
      <w:lvlJc w:val="left"/>
      <w:pPr>
        <w:ind w:left="3807" w:hanging="360"/>
      </w:pPr>
      <w:rPr>
        <w:rFonts w:hint="default"/>
        <w:lang w:val="es-ES" w:eastAsia="en-US" w:bidi="ar-SA"/>
      </w:rPr>
    </w:lvl>
    <w:lvl w:ilvl="4">
      <w:start w:val="0"/>
      <w:numFmt w:val="bullet"/>
      <w:lvlText w:val="•"/>
      <w:lvlJc w:val="left"/>
      <w:pPr>
        <w:ind w:left="4781" w:hanging="360"/>
      </w:pPr>
      <w:rPr>
        <w:rFonts w:hint="default"/>
        <w:lang w:val="es-ES" w:eastAsia="en-US" w:bidi="ar-SA"/>
      </w:rPr>
    </w:lvl>
    <w:lvl w:ilvl="5">
      <w:start w:val="0"/>
      <w:numFmt w:val="bullet"/>
      <w:lvlText w:val="•"/>
      <w:lvlJc w:val="left"/>
      <w:pPr>
        <w:ind w:left="5755" w:hanging="360"/>
      </w:pPr>
      <w:rPr>
        <w:rFonts w:hint="default"/>
        <w:lang w:val="es-ES" w:eastAsia="en-US" w:bidi="ar-SA"/>
      </w:rPr>
    </w:lvl>
    <w:lvl w:ilvl="6">
      <w:start w:val="0"/>
      <w:numFmt w:val="bullet"/>
      <w:lvlText w:val="•"/>
      <w:lvlJc w:val="left"/>
      <w:pPr>
        <w:ind w:left="6729" w:hanging="360"/>
      </w:pPr>
      <w:rPr>
        <w:rFonts w:hint="default"/>
        <w:lang w:val="es-ES" w:eastAsia="en-US" w:bidi="ar-SA"/>
      </w:rPr>
    </w:lvl>
    <w:lvl w:ilvl="7">
      <w:start w:val="0"/>
      <w:numFmt w:val="bullet"/>
      <w:lvlText w:val="•"/>
      <w:lvlJc w:val="left"/>
      <w:pPr>
        <w:ind w:left="7702" w:hanging="360"/>
      </w:pPr>
      <w:rPr>
        <w:rFonts w:hint="default"/>
        <w:lang w:val="es-ES" w:eastAsia="en-US" w:bidi="ar-SA"/>
      </w:rPr>
    </w:lvl>
    <w:lvl w:ilvl="8">
      <w:start w:val="0"/>
      <w:numFmt w:val="bullet"/>
      <w:lvlText w:val="•"/>
      <w:lvlJc w:val="left"/>
      <w:pPr>
        <w:ind w:left="8676" w:hanging="360"/>
      </w:pPr>
      <w:rPr>
        <w:rFonts w:hint="default"/>
        <w:lang w:val="es-ES" w:eastAsia="en-US" w:bidi="ar-SA"/>
      </w:rPr>
    </w:lvl>
  </w:abstractNum>
  <w:abstractNum w:abstractNumId="31">
    <w:multiLevelType w:val="hybridMultilevel"/>
    <w:lvl w:ilvl="0">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30">
    <w:multiLevelType w:val="hybridMultilevel"/>
    <w:lvl w:ilvl="0">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29">
    <w:multiLevelType w:val="hybridMultilevel"/>
    <w:lvl w:ilvl="0">
      <w:start w:val="0"/>
      <w:numFmt w:val="bullet"/>
      <w:lvlText w:val=""/>
      <w:lvlJc w:val="left"/>
      <w:pPr>
        <w:ind w:left="2695"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3492" w:hanging="361"/>
      </w:pPr>
      <w:rPr>
        <w:rFonts w:hint="default"/>
        <w:lang w:val="es-ES" w:eastAsia="en-US" w:bidi="ar-SA"/>
      </w:rPr>
    </w:lvl>
    <w:lvl w:ilvl="2">
      <w:start w:val="0"/>
      <w:numFmt w:val="bullet"/>
      <w:lvlText w:val="•"/>
      <w:lvlJc w:val="left"/>
      <w:pPr>
        <w:ind w:left="4284" w:hanging="361"/>
      </w:pPr>
      <w:rPr>
        <w:rFonts w:hint="default"/>
        <w:lang w:val="es-ES" w:eastAsia="en-US" w:bidi="ar-SA"/>
      </w:rPr>
    </w:lvl>
    <w:lvl w:ilvl="3">
      <w:start w:val="0"/>
      <w:numFmt w:val="bullet"/>
      <w:lvlText w:val="•"/>
      <w:lvlJc w:val="left"/>
      <w:pPr>
        <w:ind w:left="5077" w:hanging="361"/>
      </w:pPr>
      <w:rPr>
        <w:rFonts w:hint="default"/>
        <w:lang w:val="es-ES" w:eastAsia="en-US" w:bidi="ar-SA"/>
      </w:rPr>
    </w:lvl>
    <w:lvl w:ilvl="4">
      <w:start w:val="0"/>
      <w:numFmt w:val="bullet"/>
      <w:lvlText w:val="•"/>
      <w:lvlJc w:val="left"/>
      <w:pPr>
        <w:ind w:left="5869" w:hanging="361"/>
      </w:pPr>
      <w:rPr>
        <w:rFonts w:hint="default"/>
        <w:lang w:val="es-ES" w:eastAsia="en-US" w:bidi="ar-SA"/>
      </w:rPr>
    </w:lvl>
    <w:lvl w:ilvl="5">
      <w:start w:val="0"/>
      <w:numFmt w:val="bullet"/>
      <w:lvlText w:val="•"/>
      <w:lvlJc w:val="left"/>
      <w:pPr>
        <w:ind w:left="6662" w:hanging="361"/>
      </w:pPr>
      <w:rPr>
        <w:rFonts w:hint="default"/>
        <w:lang w:val="es-ES" w:eastAsia="en-US" w:bidi="ar-SA"/>
      </w:rPr>
    </w:lvl>
    <w:lvl w:ilvl="6">
      <w:start w:val="0"/>
      <w:numFmt w:val="bullet"/>
      <w:lvlText w:val="•"/>
      <w:lvlJc w:val="left"/>
      <w:pPr>
        <w:ind w:left="7454" w:hanging="361"/>
      </w:pPr>
      <w:rPr>
        <w:rFonts w:hint="default"/>
        <w:lang w:val="es-ES" w:eastAsia="en-US" w:bidi="ar-SA"/>
      </w:rPr>
    </w:lvl>
    <w:lvl w:ilvl="7">
      <w:start w:val="0"/>
      <w:numFmt w:val="bullet"/>
      <w:lvlText w:val="•"/>
      <w:lvlJc w:val="left"/>
      <w:pPr>
        <w:ind w:left="8246" w:hanging="361"/>
      </w:pPr>
      <w:rPr>
        <w:rFonts w:hint="default"/>
        <w:lang w:val="es-ES" w:eastAsia="en-US" w:bidi="ar-SA"/>
      </w:rPr>
    </w:lvl>
    <w:lvl w:ilvl="8">
      <w:start w:val="0"/>
      <w:numFmt w:val="bullet"/>
      <w:lvlText w:val="•"/>
      <w:lvlJc w:val="left"/>
      <w:pPr>
        <w:ind w:left="9039" w:hanging="361"/>
      </w:pPr>
      <w:rPr>
        <w:rFonts w:hint="default"/>
        <w:lang w:val="es-ES" w:eastAsia="en-US" w:bidi="ar-SA"/>
      </w:rPr>
    </w:lvl>
  </w:abstractNum>
  <w:abstractNum w:abstractNumId="28">
    <w:multiLevelType w:val="hybridMultilevel"/>
    <w:lvl w:ilvl="0">
      <w:start w:val="0"/>
      <w:numFmt w:val="bullet"/>
      <w:lvlText w:val=""/>
      <w:lvlJc w:val="left"/>
      <w:pPr>
        <w:ind w:left="2553"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3366" w:hanging="361"/>
      </w:pPr>
      <w:rPr>
        <w:rFonts w:hint="default"/>
        <w:lang w:val="es-ES" w:eastAsia="en-US" w:bidi="ar-SA"/>
      </w:rPr>
    </w:lvl>
    <w:lvl w:ilvl="2">
      <w:start w:val="0"/>
      <w:numFmt w:val="bullet"/>
      <w:lvlText w:val="•"/>
      <w:lvlJc w:val="left"/>
      <w:pPr>
        <w:ind w:left="4172" w:hanging="361"/>
      </w:pPr>
      <w:rPr>
        <w:rFonts w:hint="default"/>
        <w:lang w:val="es-ES" w:eastAsia="en-US" w:bidi="ar-SA"/>
      </w:rPr>
    </w:lvl>
    <w:lvl w:ilvl="3">
      <w:start w:val="0"/>
      <w:numFmt w:val="bullet"/>
      <w:lvlText w:val="•"/>
      <w:lvlJc w:val="left"/>
      <w:pPr>
        <w:ind w:left="4979" w:hanging="361"/>
      </w:pPr>
      <w:rPr>
        <w:rFonts w:hint="default"/>
        <w:lang w:val="es-ES" w:eastAsia="en-US" w:bidi="ar-SA"/>
      </w:rPr>
    </w:lvl>
    <w:lvl w:ilvl="4">
      <w:start w:val="0"/>
      <w:numFmt w:val="bullet"/>
      <w:lvlText w:val="•"/>
      <w:lvlJc w:val="left"/>
      <w:pPr>
        <w:ind w:left="5785" w:hanging="361"/>
      </w:pPr>
      <w:rPr>
        <w:rFonts w:hint="default"/>
        <w:lang w:val="es-ES" w:eastAsia="en-US" w:bidi="ar-SA"/>
      </w:rPr>
    </w:lvl>
    <w:lvl w:ilvl="5">
      <w:start w:val="0"/>
      <w:numFmt w:val="bullet"/>
      <w:lvlText w:val="•"/>
      <w:lvlJc w:val="left"/>
      <w:pPr>
        <w:ind w:left="6592" w:hanging="361"/>
      </w:pPr>
      <w:rPr>
        <w:rFonts w:hint="default"/>
        <w:lang w:val="es-ES" w:eastAsia="en-US" w:bidi="ar-SA"/>
      </w:rPr>
    </w:lvl>
    <w:lvl w:ilvl="6">
      <w:start w:val="0"/>
      <w:numFmt w:val="bullet"/>
      <w:lvlText w:val="•"/>
      <w:lvlJc w:val="left"/>
      <w:pPr>
        <w:ind w:left="7398" w:hanging="361"/>
      </w:pPr>
      <w:rPr>
        <w:rFonts w:hint="default"/>
        <w:lang w:val="es-ES" w:eastAsia="en-US" w:bidi="ar-SA"/>
      </w:rPr>
    </w:lvl>
    <w:lvl w:ilvl="7">
      <w:start w:val="0"/>
      <w:numFmt w:val="bullet"/>
      <w:lvlText w:val="•"/>
      <w:lvlJc w:val="left"/>
      <w:pPr>
        <w:ind w:left="8204" w:hanging="361"/>
      </w:pPr>
      <w:rPr>
        <w:rFonts w:hint="default"/>
        <w:lang w:val="es-ES" w:eastAsia="en-US" w:bidi="ar-SA"/>
      </w:rPr>
    </w:lvl>
    <w:lvl w:ilvl="8">
      <w:start w:val="0"/>
      <w:numFmt w:val="bullet"/>
      <w:lvlText w:val="•"/>
      <w:lvlJc w:val="left"/>
      <w:pPr>
        <w:ind w:left="9011" w:hanging="361"/>
      </w:pPr>
      <w:rPr>
        <w:rFonts w:hint="default"/>
        <w:lang w:val="es-ES" w:eastAsia="en-US" w:bidi="ar-SA"/>
      </w:rPr>
    </w:lvl>
  </w:abstractNum>
  <w:abstractNum w:abstractNumId="27">
    <w:multiLevelType w:val="hybridMultilevel"/>
    <w:lvl w:ilvl="0">
      <w:start w:val="0"/>
      <w:numFmt w:val="bullet"/>
      <w:lvlText w:val=""/>
      <w:lvlJc w:val="left"/>
      <w:pPr>
        <w:ind w:left="2553"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3366" w:hanging="361"/>
      </w:pPr>
      <w:rPr>
        <w:rFonts w:hint="default"/>
        <w:lang w:val="es-ES" w:eastAsia="en-US" w:bidi="ar-SA"/>
      </w:rPr>
    </w:lvl>
    <w:lvl w:ilvl="2">
      <w:start w:val="0"/>
      <w:numFmt w:val="bullet"/>
      <w:lvlText w:val="•"/>
      <w:lvlJc w:val="left"/>
      <w:pPr>
        <w:ind w:left="4172" w:hanging="361"/>
      </w:pPr>
      <w:rPr>
        <w:rFonts w:hint="default"/>
        <w:lang w:val="es-ES" w:eastAsia="en-US" w:bidi="ar-SA"/>
      </w:rPr>
    </w:lvl>
    <w:lvl w:ilvl="3">
      <w:start w:val="0"/>
      <w:numFmt w:val="bullet"/>
      <w:lvlText w:val="•"/>
      <w:lvlJc w:val="left"/>
      <w:pPr>
        <w:ind w:left="4979" w:hanging="361"/>
      </w:pPr>
      <w:rPr>
        <w:rFonts w:hint="default"/>
        <w:lang w:val="es-ES" w:eastAsia="en-US" w:bidi="ar-SA"/>
      </w:rPr>
    </w:lvl>
    <w:lvl w:ilvl="4">
      <w:start w:val="0"/>
      <w:numFmt w:val="bullet"/>
      <w:lvlText w:val="•"/>
      <w:lvlJc w:val="left"/>
      <w:pPr>
        <w:ind w:left="5785" w:hanging="361"/>
      </w:pPr>
      <w:rPr>
        <w:rFonts w:hint="default"/>
        <w:lang w:val="es-ES" w:eastAsia="en-US" w:bidi="ar-SA"/>
      </w:rPr>
    </w:lvl>
    <w:lvl w:ilvl="5">
      <w:start w:val="0"/>
      <w:numFmt w:val="bullet"/>
      <w:lvlText w:val="•"/>
      <w:lvlJc w:val="left"/>
      <w:pPr>
        <w:ind w:left="6592" w:hanging="361"/>
      </w:pPr>
      <w:rPr>
        <w:rFonts w:hint="default"/>
        <w:lang w:val="es-ES" w:eastAsia="en-US" w:bidi="ar-SA"/>
      </w:rPr>
    </w:lvl>
    <w:lvl w:ilvl="6">
      <w:start w:val="0"/>
      <w:numFmt w:val="bullet"/>
      <w:lvlText w:val="•"/>
      <w:lvlJc w:val="left"/>
      <w:pPr>
        <w:ind w:left="7398" w:hanging="361"/>
      </w:pPr>
      <w:rPr>
        <w:rFonts w:hint="default"/>
        <w:lang w:val="es-ES" w:eastAsia="en-US" w:bidi="ar-SA"/>
      </w:rPr>
    </w:lvl>
    <w:lvl w:ilvl="7">
      <w:start w:val="0"/>
      <w:numFmt w:val="bullet"/>
      <w:lvlText w:val="•"/>
      <w:lvlJc w:val="left"/>
      <w:pPr>
        <w:ind w:left="8204" w:hanging="361"/>
      </w:pPr>
      <w:rPr>
        <w:rFonts w:hint="default"/>
        <w:lang w:val="es-ES" w:eastAsia="en-US" w:bidi="ar-SA"/>
      </w:rPr>
    </w:lvl>
    <w:lvl w:ilvl="8">
      <w:start w:val="0"/>
      <w:numFmt w:val="bullet"/>
      <w:lvlText w:val="•"/>
      <w:lvlJc w:val="left"/>
      <w:pPr>
        <w:ind w:left="9011" w:hanging="361"/>
      </w:pPr>
      <w:rPr>
        <w:rFonts w:hint="default"/>
        <w:lang w:val="es-ES" w:eastAsia="en-US" w:bidi="ar-SA"/>
      </w:rPr>
    </w:lvl>
  </w:abstractNum>
  <w:abstractNum w:abstractNumId="26">
    <w:multiLevelType w:val="hybridMultilevel"/>
    <w:lvl w:ilvl="0">
      <w:start w:val="0"/>
      <w:numFmt w:val="bullet"/>
      <w:lvlText w:val=""/>
      <w:lvlJc w:val="left"/>
      <w:pPr>
        <w:ind w:left="2553"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3366" w:hanging="361"/>
      </w:pPr>
      <w:rPr>
        <w:rFonts w:hint="default"/>
        <w:lang w:val="es-ES" w:eastAsia="en-US" w:bidi="ar-SA"/>
      </w:rPr>
    </w:lvl>
    <w:lvl w:ilvl="2">
      <w:start w:val="0"/>
      <w:numFmt w:val="bullet"/>
      <w:lvlText w:val="•"/>
      <w:lvlJc w:val="left"/>
      <w:pPr>
        <w:ind w:left="4172" w:hanging="361"/>
      </w:pPr>
      <w:rPr>
        <w:rFonts w:hint="default"/>
        <w:lang w:val="es-ES" w:eastAsia="en-US" w:bidi="ar-SA"/>
      </w:rPr>
    </w:lvl>
    <w:lvl w:ilvl="3">
      <w:start w:val="0"/>
      <w:numFmt w:val="bullet"/>
      <w:lvlText w:val="•"/>
      <w:lvlJc w:val="left"/>
      <w:pPr>
        <w:ind w:left="4979" w:hanging="361"/>
      </w:pPr>
      <w:rPr>
        <w:rFonts w:hint="default"/>
        <w:lang w:val="es-ES" w:eastAsia="en-US" w:bidi="ar-SA"/>
      </w:rPr>
    </w:lvl>
    <w:lvl w:ilvl="4">
      <w:start w:val="0"/>
      <w:numFmt w:val="bullet"/>
      <w:lvlText w:val="•"/>
      <w:lvlJc w:val="left"/>
      <w:pPr>
        <w:ind w:left="5785" w:hanging="361"/>
      </w:pPr>
      <w:rPr>
        <w:rFonts w:hint="default"/>
        <w:lang w:val="es-ES" w:eastAsia="en-US" w:bidi="ar-SA"/>
      </w:rPr>
    </w:lvl>
    <w:lvl w:ilvl="5">
      <w:start w:val="0"/>
      <w:numFmt w:val="bullet"/>
      <w:lvlText w:val="•"/>
      <w:lvlJc w:val="left"/>
      <w:pPr>
        <w:ind w:left="6592" w:hanging="361"/>
      </w:pPr>
      <w:rPr>
        <w:rFonts w:hint="default"/>
        <w:lang w:val="es-ES" w:eastAsia="en-US" w:bidi="ar-SA"/>
      </w:rPr>
    </w:lvl>
    <w:lvl w:ilvl="6">
      <w:start w:val="0"/>
      <w:numFmt w:val="bullet"/>
      <w:lvlText w:val="•"/>
      <w:lvlJc w:val="left"/>
      <w:pPr>
        <w:ind w:left="7398" w:hanging="361"/>
      </w:pPr>
      <w:rPr>
        <w:rFonts w:hint="default"/>
        <w:lang w:val="es-ES" w:eastAsia="en-US" w:bidi="ar-SA"/>
      </w:rPr>
    </w:lvl>
    <w:lvl w:ilvl="7">
      <w:start w:val="0"/>
      <w:numFmt w:val="bullet"/>
      <w:lvlText w:val="•"/>
      <w:lvlJc w:val="left"/>
      <w:pPr>
        <w:ind w:left="8204" w:hanging="361"/>
      </w:pPr>
      <w:rPr>
        <w:rFonts w:hint="default"/>
        <w:lang w:val="es-ES" w:eastAsia="en-US" w:bidi="ar-SA"/>
      </w:rPr>
    </w:lvl>
    <w:lvl w:ilvl="8">
      <w:start w:val="0"/>
      <w:numFmt w:val="bullet"/>
      <w:lvlText w:val="•"/>
      <w:lvlJc w:val="left"/>
      <w:pPr>
        <w:ind w:left="9011" w:hanging="361"/>
      </w:pPr>
      <w:rPr>
        <w:rFonts w:hint="default"/>
        <w:lang w:val="es-ES" w:eastAsia="en-US" w:bidi="ar-SA"/>
      </w:rPr>
    </w:lvl>
  </w:abstractNum>
  <w:abstractNum w:abstractNumId="25">
    <w:multiLevelType w:val="hybridMultilevel"/>
    <w:lvl w:ilvl="0">
      <w:start w:val="0"/>
      <w:numFmt w:val="bullet"/>
      <w:lvlText w:val=""/>
      <w:lvlJc w:val="left"/>
      <w:pPr>
        <w:ind w:left="2553"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3366" w:hanging="361"/>
      </w:pPr>
      <w:rPr>
        <w:rFonts w:hint="default"/>
        <w:lang w:val="es-ES" w:eastAsia="en-US" w:bidi="ar-SA"/>
      </w:rPr>
    </w:lvl>
    <w:lvl w:ilvl="2">
      <w:start w:val="0"/>
      <w:numFmt w:val="bullet"/>
      <w:lvlText w:val="•"/>
      <w:lvlJc w:val="left"/>
      <w:pPr>
        <w:ind w:left="4172" w:hanging="361"/>
      </w:pPr>
      <w:rPr>
        <w:rFonts w:hint="default"/>
        <w:lang w:val="es-ES" w:eastAsia="en-US" w:bidi="ar-SA"/>
      </w:rPr>
    </w:lvl>
    <w:lvl w:ilvl="3">
      <w:start w:val="0"/>
      <w:numFmt w:val="bullet"/>
      <w:lvlText w:val="•"/>
      <w:lvlJc w:val="left"/>
      <w:pPr>
        <w:ind w:left="4979" w:hanging="361"/>
      </w:pPr>
      <w:rPr>
        <w:rFonts w:hint="default"/>
        <w:lang w:val="es-ES" w:eastAsia="en-US" w:bidi="ar-SA"/>
      </w:rPr>
    </w:lvl>
    <w:lvl w:ilvl="4">
      <w:start w:val="0"/>
      <w:numFmt w:val="bullet"/>
      <w:lvlText w:val="•"/>
      <w:lvlJc w:val="left"/>
      <w:pPr>
        <w:ind w:left="5785" w:hanging="361"/>
      </w:pPr>
      <w:rPr>
        <w:rFonts w:hint="default"/>
        <w:lang w:val="es-ES" w:eastAsia="en-US" w:bidi="ar-SA"/>
      </w:rPr>
    </w:lvl>
    <w:lvl w:ilvl="5">
      <w:start w:val="0"/>
      <w:numFmt w:val="bullet"/>
      <w:lvlText w:val="•"/>
      <w:lvlJc w:val="left"/>
      <w:pPr>
        <w:ind w:left="6592" w:hanging="361"/>
      </w:pPr>
      <w:rPr>
        <w:rFonts w:hint="default"/>
        <w:lang w:val="es-ES" w:eastAsia="en-US" w:bidi="ar-SA"/>
      </w:rPr>
    </w:lvl>
    <w:lvl w:ilvl="6">
      <w:start w:val="0"/>
      <w:numFmt w:val="bullet"/>
      <w:lvlText w:val="•"/>
      <w:lvlJc w:val="left"/>
      <w:pPr>
        <w:ind w:left="7398" w:hanging="361"/>
      </w:pPr>
      <w:rPr>
        <w:rFonts w:hint="default"/>
        <w:lang w:val="es-ES" w:eastAsia="en-US" w:bidi="ar-SA"/>
      </w:rPr>
    </w:lvl>
    <w:lvl w:ilvl="7">
      <w:start w:val="0"/>
      <w:numFmt w:val="bullet"/>
      <w:lvlText w:val="•"/>
      <w:lvlJc w:val="left"/>
      <w:pPr>
        <w:ind w:left="8204" w:hanging="361"/>
      </w:pPr>
      <w:rPr>
        <w:rFonts w:hint="default"/>
        <w:lang w:val="es-ES" w:eastAsia="en-US" w:bidi="ar-SA"/>
      </w:rPr>
    </w:lvl>
    <w:lvl w:ilvl="8">
      <w:start w:val="0"/>
      <w:numFmt w:val="bullet"/>
      <w:lvlText w:val="•"/>
      <w:lvlJc w:val="left"/>
      <w:pPr>
        <w:ind w:left="9011" w:hanging="361"/>
      </w:pPr>
      <w:rPr>
        <w:rFonts w:hint="default"/>
        <w:lang w:val="es-ES" w:eastAsia="en-US" w:bidi="ar-SA"/>
      </w:rPr>
    </w:lvl>
  </w:abstractNum>
  <w:abstractNum w:abstractNumId="24">
    <w:multiLevelType w:val="hybridMultilevel"/>
    <w:lvl w:ilvl="0">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23">
    <w:multiLevelType w:val="hybridMultilevel"/>
    <w:lvl w:ilvl="0">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22">
    <w:multiLevelType w:val="hybridMultilevel"/>
    <w:lvl w:ilvl="0">
      <w:start w:val="0"/>
      <w:numFmt w:val="bullet"/>
      <w:lvlText w:val=""/>
      <w:lvlJc w:val="left"/>
      <w:pPr>
        <w:ind w:left="2553"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3366" w:hanging="361"/>
      </w:pPr>
      <w:rPr>
        <w:rFonts w:hint="default"/>
        <w:lang w:val="es-ES" w:eastAsia="en-US" w:bidi="ar-SA"/>
      </w:rPr>
    </w:lvl>
    <w:lvl w:ilvl="2">
      <w:start w:val="0"/>
      <w:numFmt w:val="bullet"/>
      <w:lvlText w:val="•"/>
      <w:lvlJc w:val="left"/>
      <w:pPr>
        <w:ind w:left="4172" w:hanging="361"/>
      </w:pPr>
      <w:rPr>
        <w:rFonts w:hint="default"/>
        <w:lang w:val="es-ES" w:eastAsia="en-US" w:bidi="ar-SA"/>
      </w:rPr>
    </w:lvl>
    <w:lvl w:ilvl="3">
      <w:start w:val="0"/>
      <w:numFmt w:val="bullet"/>
      <w:lvlText w:val="•"/>
      <w:lvlJc w:val="left"/>
      <w:pPr>
        <w:ind w:left="4979" w:hanging="361"/>
      </w:pPr>
      <w:rPr>
        <w:rFonts w:hint="default"/>
        <w:lang w:val="es-ES" w:eastAsia="en-US" w:bidi="ar-SA"/>
      </w:rPr>
    </w:lvl>
    <w:lvl w:ilvl="4">
      <w:start w:val="0"/>
      <w:numFmt w:val="bullet"/>
      <w:lvlText w:val="•"/>
      <w:lvlJc w:val="left"/>
      <w:pPr>
        <w:ind w:left="5785" w:hanging="361"/>
      </w:pPr>
      <w:rPr>
        <w:rFonts w:hint="default"/>
        <w:lang w:val="es-ES" w:eastAsia="en-US" w:bidi="ar-SA"/>
      </w:rPr>
    </w:lvl>
    <w:lvl w:ilvl="5">
      <w:start w:val="0"/>
      <w:numFmt w:val="bullet"/>
      <w:lvlText w:val="•"/>
      <w:lvlJc w:val="left"/>
      <w:pPr>
        <w:ind w:left="6592" w:hanging="361"/>
      </w:pPr>
      <w:rPr>
        <w:rFonts w:hint="default"/>
        <w:lang w:val="es-ES" w:eastAsia="en-US" w:bidi="ar-SA"/>
      </w:rPr>
    </w:lvl>
    <w:lvl w:ilvl="6">
      <w:start w:val="0"/>
      <w:numFmt w:val="bullet"/>
      <w:lvlText w:val="•"/>
      <w:lvlJc w:val="left"/>
      <w:pPr>
        <w:ind w:left="7398" w:hanging="361"/>
      </w:pPr>
      <w:rPr>
        <w:rFonts w:hint="default"/>
        <w:lang w:val="es-ES" w:eastAsia="en-US" w:bidi="ar-SA"/>
      </w:rPr>
    </w:lvl>
    <w:lvl w:ilvl="7">
      <w:start w:val="0"/>
      <w:numFmt w:val="bullet"/>
      <w:lvlText w:val="•"/>
      <w:lvlJc w:val="left"/>
      <w:pPr>
        <w:ind w:left="8204" w:hanging="361"/>
      </w:pPr>
      <w:rPr>
        <w:rFonts w:hint="default"/>
        <w:lang w:val="es-ES" w:eastAsia="en-US" w:bidi="ar-SA"/>
      </w:rPr>
    </w:lvl>
    <w:lvl w:ilvl="8">
      <w:start w:val="0"/>
      <w:numFmt w:val="bullet"/>
      <w:lvlText w:val="•"/>
      <w:lvlJc w:val="left"/>
      <w:pPr>
        <w:ind w:left="9011" w:hanging="361"/>
      </w:pPr>
      <w:rPr>
        <w:rFonts w:hint="default"/>
        <w:lang w:val="es-ES" w:eastAsia="en-US" w:bidi="ar-SA"/>
      </w:rPr>
    </w:lvl>
  </w:abstractNum>
  <w:abstractNum w:abstractNumId="21">
    <w:multiLevelType w:val="hybridMultilevel"/>
    <w:lvl w:ilvl="0">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20">
    <w:multiLevelType w:val="hybridMultilevel"/>
    <w:lvl w:ilvl="0">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19">
    <w:multiLevelType w:val="hybridMultilevel"/>
    <w:lvl w:ilvl="0">
      <w:start w:val="0"/>
      <w:numFmt w:val="bullet"/>
      <w:lvlText w:val=""/>
      <w:lvlJc w:val="left"/>
      <w:pPr>
        <w:ind w:left="1854" w:hanging="360"/>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2736" w:hanging="360"/>
      </w:pPr>
      <w:rPr>
        <w:rFonts w:hint="default"/>
        <w:lang w:val="es-ES" w:eastAsia="en-US" w:bidi="ar-SA"/>
      </w:rPr>
    </w:lvl>
    <w:lvl w:ilvl="2">
      <w:start w:val="0"/>
      <w:numFmt w:val="bullet"/>
      <w:lvlText w:val="•"/>
      <w:lvlJc w:val="left"/>
      <w:pPr>
        <w:ind w:left="3612" w:hanging="360"/>
      </w:pPr>
      <w:rPr>
        <w:rFonts w:hint="default"/>
        <w:lang w:val="es-ES" w:eastAsia="en-US" w:bidi="ar-SA"/>
      </w:rPr>
    </w:lvl>
    <w:lvl w:ilvl="3">
      <w:start w:val="0"/>
      <w:numFmt w:val="bullet"/>
      <w:lvlText w:val="•"/>
      <w:lvlJc w:val="left"/>
      <w:pPr>
        <w:ind w:left="4489" w:hanging="360"/>
      </w:pPr>
      <w:rPr>
        <w:rFonts w:hint="default"/>
        <w:lang w:val="es-ES" w:eastAsia="en-US" w:bidi="ar-SA"/>
      </w:rPr>
    </w:lvl>
    <w:lvl w:ilvl="4">
      <w:start w:val="0"/>
      <w:numFmt w:val="bullet"/>
      <w:lvlText w:val="•"/>
      <w:lvlJc w:val="left"/>
      <w:pPr>
        <w:ind w:left="5365" w:hanging="360"/>
      </w:pPr>
      <w:rPr>
        <w:rFonts w:hint="default"/>
        <w:lang w:val="es-ES" w:eastAsia="en-US" w:bidi="ar-SA"/>
      </w:rPr>
    </w:lvl>
    <w:lvl w:ilvl="5">
      <w:start w:val="0"/>
      <w:numFmt w:val="bullet"/>
      <w:lvlText w:val="•"/>
      <w:lvlJc w:val="left"/>
      <w:pPr>
        <w:ind w:left="6242" w:hanging="360"/>
      </w:pPr>
      <w:rPr>
        <w:rFonts w:hint="default"/>
        <w:lang w:val="es-ES" w:eastAsia="en-US" w:bidi="ar-SA"/>
      </w:rPr>
    </w:lvl>
    <w:lvl w:ilvl="6">
      <w:start w:val="0"/>
      <w:numFmt w:val="bullet"/>
      <w:lvlText w:val="•"/>
      <w:lvlJc w:val="left"/>
      <w:pPr>
        <w:ind w:left="7118" w:hanging="360"/>
      </w:pPr>
      <w:rPr>
        <w:rFonts w:hint="default"/>
        <w:lang w:val="es-ES" w:eastAsia="en-US" w:bidi="ar-SA"/>
      </w:rPr>
    </w:lvl>
    <w:lvl w:ilvl="7">
      <w:start w:val="0"/>
      <w:numFmt w:val="bullet"/>
      <w:lvlText w:val="•"/>
      <w:lvlJc w:val="left"/>
      <w:pPr>
        <w:ind w:left="7994" w:hanging="360"/>
      </w:pPr>
      <w:rPr>
        <w:rFonts w:hint="default"/>
        <w:lang w:val="es-ES" w:eastAsia="en-US" w:bidi="ar-SA"/>
      </w:rPr>
    </w:lvl>
    <w:lvl w:ilvl="8">
      <w:start w:val="0"/>
      <w:numFmt w:val="bullet"/>
      <w:lvlText w:val="•"/>
      <w:lvlJc w:val="left"/>
      <w:pPr>
        <w:ind w:left="8871" w:hanging="360"/>
      </w:pPr>
      <w:rPr>
        <w:rFonts w:hint="default"/>
        <w:lang w:val="es-ES" w:eastAsia="en-US" w:bidi="ar-SA"/>
      </w:rPr>
    </w:lvl>
  </w:abstractNum>
  <w:abstractNum w:abstractNumId="18">
    <w:multiLevelType w:val="hybridMultilevel"/>
    <w:lvl w:ilvl="0">
      <w:start w:val="0"/>
      <w:numFmt w:val="bullet"/>
      <w:lvlText w:val=""/>
      <w:lvlJc w:val="left"/>
      <w:pPr>
        <w:ind w:left="2553" w:hanging="361"/>
      </w:pPr>
      <w:rPr>
        <w:rFonts w:hint="default" w:ascii="Symbol" w:hAnsi="Symbol" w:eastAsia="Symbol" w:cs="Symbol"/>
        <w:b w:val="0"/>
        <w:bCs w:val="0"/>
        <w:i w:val="0"/>
        <w:iCs w:val="0"/>
        <w:spacing w:val="0"/>
        <w:w w:val="100"/>
        <w:sz w:val="22"/>
        <w:szCs w:val="22"/>
        <w:lang w:val="es-ES" w:eastAsia="en-US" w:bidi="ar-SA"/>
      </w:rPr>
    </w:lvl>
    <w:lvl w:ilvl="1">
      <w:start w:val="0"/>
      <w:numFmt w:val="bullet"/>
      <w:lvlText w:val="•"/>
      <w:lvlJc w:val="left"/>
      <w:pPr>
        <w:ind w:left="3366" w:hanging="361"/>
      </w:pPr>
      <w:rPr>
        <w:rFonts w:hint="default"/>
        <w:lang w:val="es-ES" w:eastAsia="en-US" w:bidi="ar-SA"/>
      </w:rPr>
    </w:lvl>
    <w:lvl w:ilvl="2">
      <w:start w:val="0"/>
      <w:numFmt w:val="bullet"/>
      <w:lvlText w:val="•"/>
      <w:lvlJc w:val="left"/>
      <w:pPr>
        <w:ind w:left="4172" w:hanging="361"/>
      </w:pPr>
      <w:rPr>
        <w:rFonts w:hint="default"/>
        <w:lang w:val="es-ES" w:eastAsia="en-US" w:bidi="ar-SA"/>
      </w:rPr>
    </w:lvl>
    <w:lvl w:ilvl="3">
      <w:start w:val="0"/>
      <w:numFmt w:val="bullet"/>
      <w:lvlText w:val="•"/>
      <w:lvlJc w:val="left"/>
      <w:pPr>
        <w:ind w:left="4979" w:hanging="361"/>
      </w:pPr>
      <w:rPr>
        <w:rFonts w:hint="default"/>
        <w:lang w:val="es-ES" w:eastAsia="en-US" w:bidi="ar-SA"/>
      </w:rPr>
    </w:lvl>
    <w:lvl w:ilvl="4">
      <w:start w:val="0"/>
      <w:numFmt w:val="bullet"/>
      <w:lvlText w:val="•"/>
      <w:lvlJc w:val="left"/>
      <w:pPr>
        <w:ind w:left="5785" w:hanging="361"/>
      </w:pPr>
      <w:rPr>
        <w:rFonts w:hint="default"/>
        <w:lang w:val="es-ES" w:eastAsia="en-US" w:bidi="ar-SA"/>
      </w:rPr>
    </w:lvl>
    <w:lvl w:ilvl="5">
      <w:start w:val="0"/>
      <w:numFmt w:val="bullet"/>
      <w:lvlText w:val="•"/>
      <w:lvlJc w:val="left"/>
      <w:pPr>
        <w:ind w:left="6592" w:hanging="361"/>
      </w:pPr>
      <w:rPr>
        <w:rFonts w:hint="default"/>
        <w:lang w:val="es-ES" w:eastAsia="en-US" w:bidi="ar-SA"/>
      </w:rPr>
    </w:lvl>
    <w:lvl w:ilvl="6">
      <w:start w:val="0"/>
      <w:numFmt w:val="bullet"/>
      <w:lvlText w:val="•"/>
      <w:lvlJc w:val="left"/>
      <w:pPr>
        <w:ind w:left="7398" w:hanging="361"/>
      </w:pPr>
      <w:rPr>
        <w:rFonts w:hint="default"/>
        <w:lang w:val="es-ES" w:eastAsia="en-US" w:bidi="ar-SA"/>
      </w:rPr>
    </w:lvl>
    <w:lvl w:ilvl="7">
      <w:start w:val="0"/>
      <w:numFmt w:val="bullet"/>
      <w:lvlText w:val="•"/>
      <w:lvlJc w:val="left"/>
      <w:pPr>
        <w:ind w:left="8204" w:hanging="361"/>
      </w:pPr>
      <w:rPr>
        <w:rFonts w:hint="default"/>
        <w:lang w:val="es-ES" w:eastAsia="en-US" w:bidi="ar-SA"/>
      </w:rPr>
    </w:lvl>
    <w:lvl w:ilvl="8">
      <w:start w:val="0"/>
      <w:numFmt w:val="bullet"/>
      <w:lvlText w:val="•"/>
      <w:lvlJc w:val="left"/>
      <w:pPr>
        <w:ind w:left="9011" w:hanging="361"/>
      </w:pPr>
      <w:rPr>
        <w:rFonts w:hint="default"/>
        <w:lang w:val="es-ES" w:eastAsia="en-US" w:bidi="ar-SA"/>
      </w:rPr>
    </w:lvl>
  </w:abstractNum>
  <w:abstractNum w:abstractNumId="17">
    <w:multiLevelType w:val="hybridMultilevel"/>
    <w:lvl w:ilvl="0">
      <w:start w:val="0"/>
      <w:numFmt w:val="bullet"/>
      <w:lvlText w:val="-"/>
      <w:lvlJc w:val="left"/>
      <w:pPr>
        <w:ind w:left="1134" w:hanging="284"/>
      </w:pPr>
      <w:rPr>
        <w:rFonts w:hint="default" w:ascii="Times New Roman" w:hAnsi="Times New Roman" w:eastAsia="Times New Roman" w:cs="Times New Roman"/>
        <w:b w:val="0"/>
        <w:bCs w:val="0"/>
        <w:i w:val="0"/>
        <w:iCs w:val="0"/>
        <w:spacing w:val="0"/>
        <w:w w:val="100"/>
        <w:sz w:val="16"/>
        <w:szCs w:val="16"/>
        <w:lang w:val="es-ES" w:eastAsia="en-US" w:bidi="ar-SA"/>
      </w:rPr>
    </w:lvl>
    <w:lvl w:ilvl="1">
      <w:start w:val="0"/>
      <w:numFmt w:val="bullet"/>
      <w:lvlText w:val="•"/>
      <w:lvlJc w:val="left"/>
      <w:pPr>
        <w:ind w:left="2088" w:hanging="284"/>
      </w:pPr>
      <w:rPr>
        <w:rFonts w:hint="default"/>
        <w:lang w:val="es-ES" w:eastAsia="en-US" w:bidi="ar-SA"/>
      </w:rPr>
    </w:lvl>
    <w:lvl w:ilvl="2">
      <w:start w:val="0"/>
      <w:numFmt w:val="bullet"/>
      <w:lvlText w:val="•"/>
      <w:lvlJc w:val="left"/>
      <w:pPr>
        <w:ind w:left="3036" w:hanging="284"/>
      </w:pPr>
      <w:rPr>
        <w:rFonts w:hint="default"/>
        <w:lang w:val="es-ES" w:eastAsia="en-US" w:bidi="ar-SA"/>
      </w:rPr>
    </w:lvl>
    <w:lvl w:ilvl="3">
      <w:start w:val="0"/>
      <w:numFmt w:val="bullet"/>
      <w:lvlText w:val="•"/>
      <w:lvlJc w:val="left"/>
      <w:pPr>
        <w:ind w:left="3985" w:hanging="284"/>
      </w:pPr>
      <w:rPr>
        <w:rFonts w:hint="default"/>
        <w:lang w:val="es-ES" w:eastAsia="en-US" w:bidi="ar-SA"/>
      </w:rPr>
    </w:lvl>
    <w:lvl w:ilvl="4">
      <w:start w:val="0"/>
      <w:numFmt w:val="bullet"/>
      <w:lvlText w:val="•"/>
      <w:lvlJc w:val="left"/>
      <w:pPr>
        <w:ind w:left="4933" w:hanging="284"/>
      </w:pPr>
      <w:rPr>
        <w:rFonts w:hint="default"/>
        <w:lang w:val="es-ES" w:eastAsia="en-US" w:bidi="ar-SA"/>
      </w:rPr>
    </w:lvl>
    <w:lvl w:ilvl="5">
      <w:start w:val="0"/>
      <w:numFmt w:val="bullet"/>
      <w:lvlText w:val="•"/>
      <w:lvlJc w:val="left"/>
      <w:pPr>
        <w:ind w:left="5882" w:hanging="284"/>
      </w:pPr>
      <w:rPr>
        <w:rFonts w:hint="default"/>
        <w:lang w:val="es-ES" w:eastAsia="en-US" w:bidi="ar-SA"/>
      </w:rPr>
    </w:lvl>
    <w:lvl w:ilvl="6">
      <w:start w:val="0"/>
      <w:numFmt w:val="bullet"/>
      <w:lvlText w:val="•"/>
      <w:lvlJc w:val="left"/>
      <w:pPr>
        <w:ind w:left="6830" w:hanging="284"/>
      </w:pPr>
      <w:rPr>
        <w:rFonts w:hint="default"/>
        <w:lang w:val="es-ES" w:eastAsia="en-US" w:bidi="ar-SA"/>
      </w:rPr>
    </w:lvl>
    <w:lvl w:ilvl="7">
      <w:start w:val="0"/>
      <w:numFmt w:val="bullet"/>
      <w:lvlText w:val="•"/>
      <w:lvlJc w:val="left"/>
      <w:pPr>
        <w:ind w:left="7778" w:hanging="284"/>
      </w:pPr>
      <w:rPr>
        <w:rFonts w:hint="default"/>
        <w:lang w:val="es-ES" w:eastAsia="en-US" w:bidi="ar-SA"/>
      </w:rPr>
    </w:lvl>
    <w:lvl w:ilvl="8">
      <w:start w:val="0"/>
      <w:numFmt w:val="bullet"/>
      <w:lvlText w:val="•"/>
      <w:lvlJc w:val="left"/>
      <w:pPr>
        <w:ind w:left="8727" w:hanging="284"/>
      </w:pPr>
      <w:rPr>
        <w:rFonts w:hint="default"/>
        <w:lang w:val="es-ES" w:eastAsia="en-US" w:bidi="ar-SA"/>
      </w:rPr>
    </w:lvl>
  </w:abstractNum>
  <w:abstractNum w:abstractNumId="16">
    <w:multiLevelType w:val="hybridMultilevel"/>
    <w:lvl w:ilvl="0">
      <w:start w:val="0"/>
      <w:numFmt w:val="bullet"/>
      <w:lvlText w:val="-"/>
      <w:lvlJc w:val="left"/>
      <w:pPr>
        <w:ind w:left="2553" w:hanging="361"/>
      </w:pPr>
      <w:rPr>
        <w:rFonts w:hint="default" w:ascii="Arial MT" w:hAnsi="Arial MT" w:eastAsia="Arial MT" w:cs="Arial MT"/>
        <w:b w:val="0"/>
        <w:bCs w:val="0"/>
        <w:i w:val="0"/>
        <w:iCs w:val="0"/>
        <w:spacing w:val="0"/>
        <w:w w:val="100"/>
        <w:sz w:val="22"/>
        <w:szCs w:val="22"/>
        <w:lang w:val="es-ES" w:eastAsia="en-US" w:bidi="ar-SA"/>
      </w:rPr>
    </w:lvl>
    <w:lvl w:ilvl="1">
      <w:start w:val="0"/>
      <w:numFmt w:val="bullet"/>
      <w:lvlText w:val="•"/>
      <w:lvlJc w:val="left"/>
      <w:pPr>
        <w:ind w:left="3366" w:hanging="361"/>
      </w:pPr>
      <w:rPr>
        <w:rFonts w:hint="default"/>
        <w:lang w:val="es-ES" w:eastAsia="en-US" w:bidi="ar-SA"/>
      </w:rPr>
    </w:lvl>
    <w:lvl w:ilvl="2">
      <w:start w:val="0"/>
      <w:numFmt w:val="bullet"/>
      <w:lvlText w:val="•"/>
      <w:lvlJc w:val="left"/>
      <w:pPr>
        <w:ind w:left="4172" w:hanging="361"/>
      </w:pPr>
      <w:rPr>
        <w:rFonts w:hint="default"/>
        <w:lang w:val="es-ES" w:eastAsia="en-US" w:bidi="ar-SA"/>
      </w:rPr>
    </w:lvl>
    <w:lvl w:ilvl="3">
      <w:start w:val="0"/>
      <w:numFmt w:val="bullet"/>
      <w:lvlText w:val="•"/>
      <w:lvlJc w:val="left"/>
      <w:pPr>
        <w:ind w:left="4979" w:hanging="361"/>
      </w:pPr>
      <w:rPr>
        <w:rFonts w:hint="default"/>
        <w:lang w:val="es-ES" w:eastAsia="en-US" w:bidi="ar-SA"/>
      </w:rPr>
    </w:lvl>
    <w:lvl w:ilvl="4">
      <w:start w:val="0"/>
      <w:numFmt w:val="bullet"/>
      <w:lvlText w:val="•"/>
      <w:lvlJc w:val="left"/>
      <w:pPr>
        <w:ind w:left="5785" w:hanging="361"/>
      </w:pPr>
      <w:rPr>
        <w:rFonts w:hint="default"/>
        <w:lang w:val="es-ES" w:eastAsia="en-US" w:bidi="ar-SA"/>
      </w:rPr>
    </w:lvl>
    <w:lvl w:ilvl="5">
      <w:start w:val="0"/>
      <w:numFmt w:val="bullet"/>
      <w:lvlText w:val="•"/>
      <w:lvlJc w:val="left"/>
      <w:pPr>
        <w:ind w:left="6592" w:hanging="361"/>
      </w:pPr>
      <w:rPr>
        <w:rFonts w:hint="default"/>
        <w:lang w:val="es-ES" w:eastAsia="en-US" w:bidi="ar-SA"/>
      </w:rPr>
    </w:lvl>
    <w:lvl w:ilvl="6">
      <w:start w:val="0"/>
      <w:numFmt w:val="bullet"/>
      <w:lvlText w:val="•"/>
      <w:lvlJc w:val="left"/>
      <w:pPr>
        <w:ind w:left="7398" w:hanging="361"/>
      </w:pPr>
      <w:rPr>
        <w:rFonts w:hint="default"/>
        <w:lang w:val="es-ES" w:eastAsia="en-US" w:bidi="ar-SA"/>
      </w:rPr>
    </w:lvl>
    <w:lvl w:ilvl="7">
      <w:start w:val="0"/>
      <w:numFmt w:val="bullet"/>
      <w:lvlText w:val="•"/>
      <w:lvlJc w:val="left"/>
      <w:pPr>
        <w:ind w:left="8204" w:hanging="361"/>
      </w:pPr>
      <w:rPr>
        <w:rFonts w:hint="default"/>
        <w:lang w:val="es-ES" w:eastAsia="en-US" w:bidi="ar-SA"/>
      </w:rPr>
    </w:lvl>
    <w:lvl w:ilvl="8">
      <w:start w:val="0"/>
      <w:numFmt w:val="bullet"/>
      <w:lvlText w:val="•"/>
      <w:lvlJc w:val="left"/>
      <w:pPr>
        <w:ind w:left="9011" w:hanging="361"/>
      </w:pPr>
      <w:rPr>
        <w:rFonts w:hint="default"/>
        <w:lang w:val="es-ES" w:eastAsia="en-US" w:bidi="ar-SA"/>
      </w:rPr>
    </w:lvl>
  </w:abstractNum>
  <w:abstractNum w:abstractNumId="15">
    <w:multiLevelType w:val="hybridMultilevel"/>
    <w:lvl w:ilvl="0">
      <w:start w:val="1"/>
      <w:numFmt w:val="lowerRoman"/>
      <w:lvlText w:val="%1."/>
      <w:lvlJc w:val="left"/>
      <w:pPr>
        <w:ind w:left="2729" w:hanging="291"/>
        <w:jc w:val="lef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3449" w:hanging="360"/>
      </w:pPr>
      <w:rPr>
        <w:rFonts w:hint="default" w:ascii="Symbol" w:hAnsi="Symbol" w:eastAsia="Symbol" w:cs="Symbol"/>
        <w:b w:val="0"/>
        <w:bCs w:val="0"/>
        <w:i w:val="0"/>
        <w:iCs w:val="0"/>
        <w:spacing w:val="0"/>
        <w:w w:val="100"/>
        <w:sz w:val="22"/>
        <w:szCs w:val="22"/>
        <w:lang w:val="es-ES" w:eastAsia="en-US" w:bidi="ar-SA"/>
      </w:rPr>
    </w:lvl>
    <w:lvl w:ilvl="2">
      <w:start w:val="0"/>
      <w:numFmt w:val="bullet"/>
      <w:lvlText w:val="•"/>
      <w:lvlJc w:val="left"/>
      <w:pPr>
        <w:ind w:left="4238" w:hanging="360"/>
      </w:pPr>
      <w:rPr>
        <w:rFonts w:hint="default"/>
        <w:lang w:val="es-ES" w:eastAsia="en-US" w:bidi="ar-SA"/>
      </w:rPr>
    </w:lvl>
    <w:lvl w:ilvl="3">
      <w:start w:val="0"/>
      <w:numFmt w:val="bullet"/>
      <w:lvlText w:val="•"/>
      <w:lvlJc w:val="left"/>
      <w:pPr>
        <w:ind w:left="5036" w:hanging="360"/>
      </w:pPr>
      <w:rPr>
        <w:rFonts w:hint="default"/>
        <w:lang w:val="es-ES" w:eastAsia="en-US" w:bidi="ar-SA"/>
      </w:rPr>
    </w:lvl>
    <w:lvl w:ilvl="4">
      <w:start w:val="0"/>
      <w:numFmt w:val="bullet"/>
      <w:lvlText w:val="•"/>
      <w:lvlJc w:val="left"/>
      <w:pPr>
        <w:ind w:left="5834" w:hanging="360"/>
      </w:pPr>
      <w:rPr>
        <w:rFonts w:hint="default"/>
        <w:lang w:val="es-ES" w:eastAsia="en-US" w:bidi="ar-SA"/>
      </w:rPr>
    </w:lvl>
    <w:lvl w:ilvl="5">
      <w:start w:val="0"/>
      <w:numFmt w:val="bullet"/>
      <w:lvlText w:val="•"/>
      <w:lvlJc w:val="left"/>
      <w:pPr>
        <w:ind w:left="6632" w:hanging="360"/>
      </w:pPr>
      <w:rPr>
        <w:rFonts w:hint="default"/>
        <w:lang w:val="es-ES" w:eastAsia="en-US" w:bidi="ar-SA"/>
      </w:rPr>
    </w:lvl>
    <w:lvl w:ilvl="6">
      <w:start w:val="0"/>
      <w:numFmt w:val="bullet"/>
      <w:lvlText w:val="•"/>
      <w:lvlJc w:val="left"/>
      <w:pPr>
        <w:ind w:left="7431" w:hanging="360"/>
      </w:pPr>
      <w:rPr>
        <w:rFonts w:hint="default"/>
        <w:lang w:val="es-ES" w:eastAsia="en-US" w:bidi="ar-SA"/>
      </w:rPr>
    </w:lvl>
    <w:lvl w:ilvl="7">
      <w:start w:val="0"/>
      <w:numFmt w:val="bullet"/>
      <w:lvlText w:val="•"/>
      <w:lvlJc w:val="left"/>
      <w:pPr>
        <w:ind w:left="8229" w:hanging="360"/>
      </w:pPr>
      <w:rPr>
        <w:rFonts w:hint="default"/>
        <w:lang w:val="es-ES" w:eastAsia="en-US" w:bidi="ar-SA"/>
      </w:rPr>
    </w:lvl>
    <w:lvl w:ilvl="8">
      <w:start w:val="0"/>
      <w:numFmt w:val="bullet"/>
      <w:lvlText w:val="•"/>
      <w:lvlJc w:val="left"/>
      <w:pPr>
        <w:ind w:left="9027" w:hanging="360"/>
      </w:pPr>
      <w:rPr>
        <w:rFonts w:hint="default"/>
        <w:lang w:val="es-ES" w:eastAsia="en-US" w:bidi="ar-SA"/>
      </w:rPr>
    </w:lvl>
  </w:abstractNum>
  <w:abstractNum w:abstractNumId="14">
    <w:multiLevelType w:val="hybridMultilevel"/>
    <w:lvl w:ilvl="0">
      <w:start w:val="1"/>
      <w:numFmt w:val="lowerLetter"/>
      <w:lvlText w:val="%1)"/>
      <w:lvlJc w:val="left"/>
      <w:pPr>
        <w:ind w:left="3449" w:hanging="360"/>
        <w:jc w:val="right"/>
      </w:pPr>
      <w:rPr>
        <w:rFonts w:hint="default"/>
        <w:spacing w:val="-1"/>
        <w:w w:val="100"/>
        <w:lang w:val="es-ES" w:eastAsia="en-US" w:bidi="ar-SA"/>
      </w:rPr>
    </w:lvl>
    <w:lvl w:ilvl="1">
      <w:start w:val="0"/>
      <w:numFmt w:val="bullet"/>
      <w:lvlText w:val="•"/>
      <w:lvlJc w:val="left"/>
      <w:pPr>
        <w:ind w:left="4158" w:hanging="360"/>
      </w:pPr>
      <w:rPr>
        <w:rFonts w:hint="default"/>
        <w:lang w:val="es-ES" w:eastAsia="en-US" w:bidi="ar-SA"/>
      </w:rPr>
    </w:lvl>
    <w:lvl w:ilvl="2">
      <w:start w:val="0"/>
      <w:numFmt w:val="bullet"/>
      <w:lvlText w:val="•"/>
      <w:lvlJc w:val="left"/>
      <w:pPr>
        <w:ind w:left="4876" w:hanging="360"/>
      </w:pPr>
      <w:rPr>
        <w:rFonts w:hint="default"/>
        <w:lang w:val="es-ES" w:eastAsia="en-US" w:bidi="ar-SA"/>
      </w:rPr>
    </w:lvl>
    <w:lvl w:ilvl="3">
      <w:start w:val="0"/>
      <w:numFmt w:val="bullet"/>
      <w:lvlText w:val="•"/>
      <w:lvlJc w:val="left"/>
      <w:pPr>
        <w:ind w:left="5595" w:hanging="360"/>
      </w:pPr>
      <w:rPr>
        <w:rFonts w:hint="default"/>
        <w:lang w:val="es-ES" w:eastAsia="en-US" w:bidi="ar-SA"/>
      </w:rPr>
    </w:lvl>
    <w:lvl w:ilvl="4">
      <w:start w:val="0"/>
      <w:numFmt w:val="bullet"/>
      <w:lvlText w:val="•"/>
      <w:lvlJc w:val="left"/>
      <w:pPr>
        <w:ind w:left="6313" w:hanging="360"/>
      </w:pPr>
      <w:rPr>
        <w:rFonts w:hint="default"/>
        <w:lang w:val="es-ES" w:eastAsia="en-US" w:bidi="ar-SA"/>
      </w:rPr>
    </w:lvl>
    <w:lvl w:ilvl="5">
      <w:start w:val="0"/>
      <w:numFmt w:val="bullet"/>
      <w:lvlText w:val="•"/>
      <w:lvlJc w:val="left"/>
      <w:pPr>
        <w:ind w:left="7032" w:hanging="360"/>
      </w:pPr>
      <w:rPr>
        <w:rFonts w:hint="default"/>
        <w:lang w:val="es-ES" w:eastAsia="en-US" w:bidi="ar-SA"/>
      </w:rPr>
    </w:lvl>
    <w:lvl w:ilvl="6">
      <w:start w:val="0"/>
      <w:numFmt w:val="bullet"/>
      <w:lvlText w:val="•"/>
      <w:lvlJc w:val="left"/>
      <w:pPr>
        <w:ind w:left="7750" w:hanging="360"/>
      </w:pPr>
      <w:rPr>
        <w:rFonts w:hint="default"/>
        <w:lang w:val="es-ES" w:eastAsia="en-US" w:bidi="ar-SA"/>
      </w:rPr>
    </w:lvl>
    <w:lvl w:ilvl="7">
      <w:start w:val="0"/>
      <w:numFmt w:val="bullet"/>
      <w:lvlText w:val="•"/>
      <w:lvlJc w:val="left"/>
      <w:pPr>
        <w:ind w:left="8468" w:hanging="360"/>
      </w:pPr>
      <w:rPr>
        <w:rFonts w:hint="default"/>
        <w:lang w:val="es-ES" w:eastAsia="en-US" w:bidi="ar-SA"/>
      </w:rPr>
    </w:lvl>
    <w:lvl w:ilvl="8">
      <w:start w:val="0"/>
      <w:numFmt w:val="bullet"/>
      <w:lvlText w:val="•"/>
      <w:lvlJc w:val="left"/>
      <w:pPr>
        <w:ind w:left="9187" w:hanging="360"/>
      </w:pPr>
      <w:rPr>
        <w:rFonts w:hint="default"/>
        <w:lang w:val="es-ES" w:eastAsia="en-US" w:bidi="ar-SA"/>
      </w:rPr>
    </w:lvl>
  </w:abstractNum>
  <w:abstractNum w:abstractNumId="13">
    <w:multiLevelType w:val="hybridMultilevel"/>
    <w:lvl w:ilvl="0">
      <w:start w:val="6"/>
      <w:numFmt w:val="lowerRoman"/>
      <w:lvlText w:val="%1)"/>
      <w:lvlJc w:val="left"/>
      <w:pPr>
        <w:ind w:left="995" w:hanging="286"/>
        <w:jc w:val="left"/>
      </w:pPr>
      <w:rPr>
        <w:rFonts w:hint="default" w:ascii="Arial MT" w:hAnsi="Arial MT" w:eastAsia="Arial MT" w:cs="Arial MT"/>
        <w:b w:val="0"/>
        <w:bCs w:val="0"/>
        <w:i w:val="0"/>
        <w:iCs w:val="0"/>
        <w:spacing w:val="0"/>
        <w:w w:val="100"/>
        <w:sz w:val="16"/>
        <w:szCs w:val="16"/>
        <w:lang w:val="es-ES" w:eastAsia="en-US" w:bidi="ar-SA"/>
      </w:rPr>
    </w:lvl>
    <w:lvl w:ilvl="1">
      <w:start w:val="1"/>
      <w:numFmt w:val="lowerRoman"/>
      <w:lvlText w:val="%2."/>
      <w:lvlJc w:val="left"/>
      <w:pPr>
        <w:ind w:left="2729" w:hanging="303"/>
        <w:jc w:val="right"/>
      </w:pPr>
      <w:rPr>
        <w:rFonts w:hint="default"/>
        <w:spacing w:val="0"/>
        <w:w w:val="100"/>
        <w:lang w:val="es-ES" w:eastAsia="en-US" w:bidi="ar-SA"/>
      </w:rPr>
    </w:lvl>
    <w:lvl w:ilvl="2">
      <w:start w:val="0"/>
      <w:numFmt w:val="bullet"/>
      <w:lvlText w:val=""/>
      <w:lvlJc w:val="left"/>
      <w:pPr>
        <w:ind w:left="3449" w:hanging="360"/>
      </w:pPr>
      <w:rPr>
        <w:rFonts w:hint="default" w:ascii="Symbol" w:hAnsi="Symbol" w:eastAsia="Symbol" w:cs="Symbol"/>
        <w:b w:val="0"/>
        <w:bCs w:val="0"/>
        <w:i w:val="0"/>
        <w:iCs w:val="0"/>
        <w:spacing w:val="0"/>
        <w:w w:val="100"/>
        <w:sz w:val="22"/>
        <w:szCs w:val="22"/>
        <w:lang w:val="es-ES" w:eastAsia="en-US" w:bidi="ar-SA"/>
      </w:rPr>
    </w:lvl>
    <w:lvl w:ilvl="3">
      <w:start w:val="0"/>
      <w:numFmt w:val="bullet"/>
      <w:lvlText w:val="•"/>
      <w:lvlJc w:val="left"/>
      <w:pPr>
        <w:ind w:left="4338" w:hanging="360"/>
      </w:pPr>
      <w:rPr>
        <w:rFonts w:hint="default"/>
        <w:lang w:val="es-ES" w:eastAsia="en-US" w:bidi="ar-SA"/>
      </w:rPr>
    </w:lvl>
    <w:lvl w:ilvl="4">
      <w:start w:val="0"/>
      <w:numFmt w:val="bullet"/>
      <w:lvlText w:val="•"/>
      <w:lvlJc w:val="left"/>
      <w:pPr>
        <w:ind w:left="5236" w:hanging="360"/>
      </w:pPr>
      <w:rPr>
        <w:rFonts w:hint="default"/>
        <w:lang w:val="es-ES" w:eastAsia="en-US" w:bidi="ar-SA"/>
      </w:rPr>
    </w:lvl>
    <w:lvl w:ilvl="5">
      <w:start w:val="0"/>
      <w:numFmt w:val="bullet"/>
      <w:lvlText w:val="•"/>
      <w:lvlJc w:val="left"/>
      <w:pPr>
        <w:ind w:left="6134" w:hanging="360"/>
      </w:pPr>
      <w:rPr>
        <w:rFonts w:hint="default"/>
        <w:lang w:val="es-ES" w:eastAsia="en-US" w:bidi="ar-SA"/>
      </w:rPr>
    </w:lvl>
    <w:lvl w:ilvl="6">
      <w:start w:val="0"/>
      <w:numFmt w:val="bullet"/>
      <w:lvlText w:val="•"/>
      <w:lvlJc w:val="left"/>
      <w:pPr>
        <w:ind w:left="7032" w:hanging="360"/>
      </w:pPr>
      <w:rPr>
        <w:rFonts w:hint="default"/>
        <w:lang w:val="es-ES" w:eastAsia="en-US" w:bidi="ar-SA"/>
      </w:rPr>
    </w:lvl>
    <w:lvl w:ilvl="7">
      <w:start w:val="0"/>
      <w:numFmt w:val="bullet"/>
      <w:lvlText w:val="•"/>
      <w:lvlJc w:val="left"/>
      <w:pPr>
        <w:ind w:left="7930" w:hanging="360"/>
      </w:pPr>
      <w:rPr>
        <w:rFonts w:hint="default"/>
        <w:lang w:val="es-ES" w:eastAsia="en-US" w:bidi="ar-SA"/>
      </w:rPr>
    </w:lvl>
    <w:lvl w:ilvl="8">
      <w:start w:val="0"/>
      <w:numFmt w:val="bullet"/>
      <w:lvlText w:val="•"/>
      <w:lvlJc w:val="left"/>
      <w:pPr>
        <w:ind w:left="8828" w:hanging="360"/>
      </w:pPr>
      <w:rPr>
        <w:rFonts w:hint="default"/>
        <w:lang w:val="es-ES" w:eastAsia="en-US" w:bidi="ar-SA"/>
      </w:rPr>
    </w:lvl>
  </w:abstractNum>
  <w:abstractNum w:abstractNumId="12">
    <w:multiLevelType w:val="hybridMultilevel"/>
    <w:lvl w:ilvl="0">
      <w:start w:val="1"/>
      <w:numFmt w:val="lowerRoman"/>
      <w:lvlText w:val="%1."/>
      <w:lvlJc w:val="left"/>
      <w:pPr>
        <w:ind w:left="2729" w:hanging="291"/>
        <w:jc w:val="right"/>
      </w:pPr>
      <w:rPr>
        <w:rFonts w:hint="default" w:ascii="Arial MT" w:hAnsi="Arial MT" w:eastAsia="Arial MT" w:cs="Arial MT"/>
        <w:b w:val="0"/>
        <w:bCs w:val="0"/>
        <w:i w:val="0"/>
        <w:iCs w:val="0"/>
        <w:spacing w:val="-1"/>
        <w:w w:val="100"/>
        <w:sz w:val="22"/>
        <w:szCs w:val="22"/>
        <w:lang w:val="es-ES" w:eastAsia="en-US" w:bidi="ar-SA"/>
      </w:rPr>
    </w:lvl>
    <w:lvl w:ilvl="1">
      <w:start w:val="0"/>
      <w:numFmt w:val="bullet"/>
      <w:lvlText w:val="•"/>
      <w:lvlJc w:val="left"/>
      <w:pPr>
        <w:ind w:left="3510" w:hanging="291"/>
      </w:pPr>
      <w:rPr>
        <w:rFonts w:hint="default"/>
        <w:lang w:val="es-ES" w:eastAsia="en-US" w:bidi="ar-SA"/>
      </w:rPr>
    </w:lvl>
    <w:lvl w:ilvl="2">
      <w:start w:val="0"/>
      <w:numFmt w:val="bullet"/>
      <w:lvlText w:val="•"/>
      <w:lvlJc w:val="left"/>
      <w:pPr>
        <w:ind w:left="4300" w:hanging="291"/>
      </w:pPr>
      <w:rPr>
        <w:rFonts w:hint="default"/>
        <w:lang w:val="es-ES" w:eastAsia="en-US" w:bidi="ar-SA"/>
      </w:rPr>
    </w:lvl>
    <w:lvl w:ilvl="3">
      <w:start w:val="0"/>
      <w:numFmt w:val="bullet"/>
      <w:lvlText w:val="•"/>
      <w:lvlJc w:val="left"/>
      <w:pPr>
        <w:ind w:left="5091" w:hanging="291"/>
      </w:pPr>
      <w:rPr>
        <w:rFonts w:hint="default"/>
        <w:lang w:val="es-ES" w:eastAsia="en-US" w:bidi="ar-SA"/>
      </w:rPr>
    </w:lvl>
    <w:lvl w:ilvl="4">
      <w:start w:val="0"/>
      <w:numFmt w:val="bullet"/>
      <w:lvlText w:val="•"/>
      <w:lvlJc w:val="left"/>
      <w:pPr>
        <w:ind w:left="5881" w:hanging="291"/>
      </w:pPr>
      <w:rPr>
        <w:rFonts w:hint="default"/>
        <w:lang w:val="es-ES" w:eastAsia="en-US" w:bidi="ar-SA"/>
      </w:rPr>
    </w:lvl>
    <w:lvl w:ilvl="5">
      <w:start w:val="0"/>
      <w:numFmt w:val="bullet"/>
      <w:lvlText w:val="•"/>
      <w:lvlJc w:val="left"/>
      <w:pPr>
        <w:ind w:left="6672" w:hanging="291"/>
      </w:pPr>
      <w:rPr>
        <w:rFonts w:hint="default"/>
        <w:lang w:val="es-ES" w:eastAsia="en-US" w:bidi="ar-SA"/>
      </w:rPr>
    </w:lvl>
    <w:lvl w:ilvl="6">
      <w:start w:val="0"/>
      <w:numFmt w:val="bullet"/>
      <w:lvlText w:val="•"/>
      <w:lvlJc w:val="left"/>
      <w:pPr>
        <w:ind w:left="7462" w:hanging="291"/>
      </w:pPr>
      <w:rPr>
        <w:rFonts w:hint="default"/>
        <w:lang w:val="es-ES" w:eastAsia="en-US" w:bidi="ar-SA"/>
      </w:rPr>
    </w:lvl>
    <w:lvl w:ilvl="7">
      <w:start w:val="0"/>
      <w:numFmt w:val="bullet"/>
      <w:lvlText w:val="•"/>
      <w:lvlJc w:val="left"/>
      <w:pPr>
        <w:ind w:left="8252" w:hanging="291"/>
      </w:pPr>
      <w:rPr>
        <w:rFonts w:hint="default"/>
        <w:lang w:val="es-ES" w:eastAsia="en-US" w:bidi="ar-SA"/>
      </w:rPr>
    </w:lvl>
    <w:lvl w:ilvl="8">
      <w:start w:val="0"/>
      <w:numFmt w:val="bullet"/>
      <w:lvlText w:val="•"/>
      <w:lvlJc w:val="left"/>
      <w:pPr>
        <w:ind w:left="9043" w:hanging="291"/>
      </w:pPr>
      <w:rPr>
        <w:rFonts w:hint="default"/>
        <w:lang w:val="es-ES" w:eastAsia="en-US" w:bidi="ar-SA"/>
      </w:rPr>
    </w:lvl>
  </w:abstractNum>
  <w:abstractNum w:abstractNumId="11">
    <w:multiLevelType w:val="hybridMultilevel"/>
    <w:lvl w:ilvl="0">
      <w:start w:val="6"/>
      <w:numFmt w:val="lowerRoman"/>
      <w:lvlText w:val="%1)"/>
      <w:lvlJc w:val="left"/>
      <w:pPr>
        <w:ind w:left="995" w:hanging="286"/>
        <w:jc w:val="left"/>
      </w:pPr>
      <w:rPr>
        <w:rFonts w:hint="default" w:ascii="Arial MT" w:hAnsi="Arial MT" w:eastAsia="Arial MT" w:cs="Arial MT"/>
        <w:b w:val="0"/>
        <w:bCs w:val="0"/>
        <w:i w:val="0"/>
        <w:iCs w:val="0"/>
        <w:spacing w:val="0"/>
        <w:w w:val="100"/>
        <w:sz w:val="16"/>
        <w:szCs w:val="16"/>
        <w:lang w:val="es-ES" w:eastAsia="en-US" w:bidi="ar-SA"/>
      </w:rPr>
    </w:lvl>
    <w:lvl w:ilvl="1">
      <w:start w:val="0"/>
      <w:numFmt w:val="bullet"/>
      <w:lvlText w:val="•"/>
      <w:lvlJc w:val="left"/>
      <w:pPr>
        <w:ind w:left="1962" w:hanging="286"/>
      </w:pPr>
      <w:rPr>
        <w:rFonts w:hint="default"/>
        <w:lang w:val="es-ES" w:eastAsia="en-US" w:bidi="ar-SA"/>
      </w:rPr>
    </w:lvl>
    <w:lvl w:ilvl="2">
      <w:start w:val="0"/>
      <w:numFmt w:val="bullet"/>
      <w:lvlText w:val="•"/>
      <w:lvlJc w:val="left"/>
      <w:pPr>
        <w:ind w:left="2924" w:hanging="286"/>
      </w:pPr>
      <w:rPr>
        <w:rFonts w:hint="default"/>
        <w:lang w:val="es-ES" w:eastAsia="en-US" w:bidi="ar-SA"/>
      </w:rPr>
    </w:lvl>
    <w:lvl w:ilvl="3">
      <w:start w:val="0"/>
      <w:numFmt w:val="bullet"/>
      <w:lvlText w:val="•"/>
      <w:lvlJc w:val="left"/>
      <w:pPr>
        <w:ind w:left="3887" w:hanging="286"/>
      </w:pPr>
      <w:rPr>
        <w:rFonts w:hint="default"/>
        <w:lang w:val="es-ES" w:eastAsia="en-US" w:bidi="ar-SA"/>
      </w:rPr>
    </w:lvl>
    <w:lvl w:ilvl="4">
      <w:start w:val="0"/>
      <w:numFmt w:val="bullet"/>
      <w:lvlText w:val="•"/>
      <w:lvlJc w:val="left"/>
      <w:pPr>
        <w:ind w:left="4849" w:hanging="286"/>
      </w:pPr>
      <w:rPr>
        <w:rFonts w:hint="default"/>
        <w:lang w:val="es-ES" w:eastAsia="en-US" w:bidi="ar-SA"/>
      </w:rPr>
    </w:lvl>
    <w:lvl w:ilvl="5">
      <w:start w:val="0"/>
      <w:numFmt w:val="bullet"/>
      <w:lvlText w:val="•"/>
      <w:lvlJc w:val="left"/>
      <w:pPr>
        <w:ind w:left="5812" w:hanging="286"/>
      </w:pPr>
      <w:rPr>
        <w:rFonts w:hint="default"/>
        <w:lang w:val="es-ES" w:eastAsia="en-US" w:bidi="ar-SA"/>
      </w:rPr>
    </w:lvl>
    <w:lvl w:ilvl="6">
      <w:start w:val="0"/>
      <w:numFmt w:val="bullet"/>
      <w:lvlText w:val="•"/>
      <w:lvlJc w:val="left"/>
      <w:pPr>
        <w:ind w:left="6774" w:hanging="286"/>
      </w:pPr>
      <w:rPr>
        <w:rFonts w:hint="default"/>
        <w:lang w:val="es-ES" w:eastAsia="en-US" w:bidi="ar-SA"/>
      </w:rPr>
    </w:lvl>
    <w:lvl w:ilvl="7">
      <w:start w:val="0"/>
      <w:numFmt w:val="bullet"/>
      <w:lvlText w:val="•"/>
      <w:lvlJc w:val="left"/>
      <w:pPr>
        <w:ind w:left="7736" w:hanging="286"/>
      </w:pPr>
      <w:rPr>
        <w:rFonts w:hint="default"/>
        <w:lang w:val="es-ES" w:eastAsia="en-US" w:bidi="ar-SA"/>
      </w:rPr>
    </w:lvl>
    <w:lvl w:ilvl="8">
      <w:start w:val="0"/>
      <w:numFmt w:val="bullet"/>
      <w:lvlText w:val="•"/>
      <w:lvlJc w:val="left"/>
      <w:pPr>
        <w:ind w:left="8699" w:hanging="286"/>
      </w:pPr>
      <w:rPr>
        <w:rFonts w:hint="default"/>
        <w:lang w:val="es-ES" w:eastAsia="en-US" w:bidi="ar-SA"/>
      </w:rPr>
    </w:lvl>
  </w:abstractNum>
  <w:abstractNum w:abstractNumId="10">
    <w:multiLevelType w:val="hybridMultilevel"/>
    <w:lvl w:ilvl="0">
      <w:start w:val="1"/>
      <w:numFmt w:val="decimal"/>
      <w:lvlText w:val="[%1]"/>
      <w:lvlJc w:val="left"/>
      <w:pPr>
        <w:ind w:left="1288" w:hanging="360"/>
        <w:jc w:val="right"/>
      </w:pPr>
      <w:rPr>
        <w:rFonts w:hint="default" w:ascii="Arial MT" w:hAnsi="Arial MT" w:eastAsia="Arial MT" w:cs="Arial MT"/>
        <w:b w:val="0"/>
        <w:bCs w:val="0"/>
        <w:i w:val="0"/>
        <w:iCs w:val="0"/>
        <w:spacing w:val="-1"/>
        <w:w w:val="100"/>
        <w:sz w:val="18"/>
        <w:szCs w:val="18"/>
        <w:lang w:val="es-ES" w:eastAsia="en-US" w:bidi="ar-SA"/>
      </w:rPr>
    </w:lvl>
    <w:lvl w:ilvl="1">
      <w:start w:val="1"/>
      <w:numFmt w:val="lowerRoman"/>
      <w:lvlText w:val="%2)"/>
      <w:lvlJc w:val="left"/>
      <w:pPr>
        <w:ind w:left="1134" w:hanging="202"/>
        <w:jc w:val="left"/>
      </w:pPr>
      <w:rPr>
        <w:rFonts w:hint="default"/>
        <w:spacing w:val="-2"/>
        <w:w w:val="100"/>
        <w:lang w:val="es-ES" w:eastAsia="en-US" w:bidi="ar-SA"/>
      </w:rPr>
    </w:lvl>
    <w:lvl w:ilvl="2">
      <w:start w:val="0"/>
      <w:numFmt w:val="bullet"/>
      <w:lvlText w:val="•"/>
      <w:lvlJc w:val="left"/>
      <w:pPr>
        <w:ind w:left="1280" w:hanging="202"/>
      </w:pPr>
      <w:rPr>
        <w:rFonts w:hint="default"/>
        <w:lang w:val="es-ES" w:eastAsia="en-US" w:bidi="ar-SA"/>
      </w:rPr>
    </w:lvl>
    <w:lvl w:ilvl="3">
      <w:start w:val="0"/>
      <w:numFmt w:val="bullet"/>
      <w:lvlText w:val="•"/>
      <w:lvlJc w:val="left"/>
      <w:pPr>
        <w:ind w:left="2448" w:hanging="202"/>
      </w:pPr>
      <w:rPr>
        <w:rFonts w:hint="default"/>
        <w:lang w:val="es-ES" w:eastAsia="en-US" w:bidi="ar-SA"/>
      </w:rPr>
    </w:lvl>
    <w:lvl w:ilvl="4">
      <w:start w:val="0"/>
      <w:numFmt w:val="bullet"/>
      <w:lvlText w:val="•"/>
      <w:lvlJc w:val="left"/>
      <w:pPr>
        <w:ind w:left="3616" w:hanging="202"/>
      </w:pPr>
      <w:rPr>
        <w:rFonts w:hint="default"/>
        <w:lang w:val="es-ES" w:eastAsia="en-US" w:bidi="ar-SA"/>
      </w:rPr>
    </w:lvl>
    <w:lvl w:ilvl="5">
      <w:start w:val="0"/>
      <w:numFmt w:val="bullet"/>
      <w:lvlText w:val="•"/>
      <w:lvlJc w:val="left"/>
      <w:pPr>
        <w:ind w:left="4784" w:hanging="202"/>
      </w:pPr>
      <w:rPr>
        <w:rFonts w:hint="default"/>
        <w:lang w:val="es-ES" w:eastAsia="en-US" w:bidi="ar-SA"/>
      </w:rPr>
    </w:lvl>
    <w:lvl w:ilvl="6">
      <w:start w:val="0"/>
      <w:numFmt w:val="bullet"/>
      <w:lvlText w:val="•"/>
      <w:lvlJc w:val="left"/>
      <w:pPr>
        <w:ind w:left="5952" w:hanging="202"/>
      </w:pPr>
      <w:rPr>
        <w:rFonts w:hint="default"/>
        <w:lang w:val="es-ES" w:eastAsia="en-US" w:bidi="ar-SA"/>
      </w:rPr>
    </w:lvl>
    <w:lvl w:ilvl="7">
      <w:start w:val="0"/>
      <w:numFmt w:val="bullet"/>
      <w:lvlText w:val="•"/>
      <w:lvlJc w:val="left"/>
      <w:pPr>
        <w:ind w:left="7120" w:hanging="202"/>
      </w:pPr>
      <w:rPr>
        <w:rFonts w:hint="default"/>
        <w:lang w:val="es-ES" w:eastAsia="en-US" w:bidi="ar-SA"/>
      </w:rPr>
    </w:lvl>
    <w:lvl w:ilvl="8">
      <w:start w:val="0"/>
      <w:numFmt w:val="bullet"/>
      <w:lvlText w:val="•"/>
      <w:lvlJc w:val="left"/>
      <w:pPr>
        <w:ind w:left="8288" w:hanging="202"/>
      </w:pPr>
      <w:rPr>
        <w:rFonts w:hint="default"/>
        <w:lang w:val="es-ES" w:eastAsia="en-US" w:bidi="ar-SA"/>
      </w:rPr>
    </w:lvl>
  </w:abstractNum>
  <w:abstractNum w:abstractNumId="9">
    <w:multiLevelType w:val="hybridMultilevel"/>
    <w:lvl w:ilvl="0">
      <w:start w:val="1"/>
      <w:numFmt w:val="decimal"/>
      <w:lvlText w:val="%1."/>
      <w:lvlJc w:val="left"/>
      <w:pPr>
        <w:ind w:left="851" w:hanging="284"/>
        <w:jc w:val="left"/>
      </w:pPr>
      <w:rPr>
        <w:rFonts w:hint="default"/>
        <w:spacing w:val="-1"/>
        <w:w w:val="100"/>
        <w:lang w:val="es-ES" w:eastAsia="en-US" w:bidi="ar-SA"/>
      </w:rPr>
    </w:lvl>
    <w:lvl w:ilvl="1">
      <w:start w:val="1"/>
      <w:numFmt w:val="decimal"/>
      <w:lvlText w:val="%1.%2."/>
      <w:lvlJc w:val="left"/>
      <w:pPr>
        <w:ind w:left="1134" w:hanging="567"/>
        <w:jc w:val="right"/>
      </w:pPr>
      <w:rPr>
        <w:rFonts w:hint="default"/>
        <w:spacing w:val="0"/>
        <w:w w:val="100"/>
        <w:lang w:val="es-ES" w:eastAsia="en-US" w:bidi="ar-SA"/>
      </w:rPr>
    </w:lvl>
    <w:lvl w:ilvl="2">
      <w:start w:val="1"/>
      <w:numFmt w:val="decimal"/>
      <w:lvlText w:val="%1.%2.%3."/>
      <w:lvlJc w:val="left"/>
      <w:pPr>
        <w:ind w:left="1986" w:hanging="699"/>
        <w:jc w:val="left"/>
      </w:pPr>
      <w:rPr>
        <w:rFonts w:hint="default"/>
        <w:spacing w:val="-2"/>
        <w:w w:val="100"/>
        <w:lang w:val="es-ES" w:eastAsia="en-US" w:bidi="ar-SA"/>
      </w:rPr>
    </w:lvl>
    <w:lvl w:ilvl="3">
      <w:start w:val="0"/>
      <w:numFmt w:val="bullet"/>
      <w:lvlText w:val="•"/>
      <w:lvlJc w:val="left"/>
      <w:pPr>
        <w:ind w:left="1980" w:hanging="699"/>
      </w:pPr>
      <w:rPr>
        <w:rFonts w:hint="default"/>
        <w:lang w:val="es-ES" w:eastAsia="en-US" w:bidi="ar-SA"/>
      </w:rPr>
    </w:lvl>
    <w:lvl w:ilvl="4">
      <w:start w:val="0"/>
      <w:numFmt w:val="bullet"/>
      <w:lvlText w:val="•"/>
      <w:lvlJc w:val="left"/>
      <w:pPr>
        <w:ind w:left="3214" w:hanging="699"/>
      </w:pPr>
      <w:rPr>
        <w:rFonts w:hint="default"/>
        <w:lang w:val="es-ES" w:eastAsia="en-US" w:bidi="ar-SA"/>
      </w:rPr>
    </w:lvl>
    <w:lvl w:ilvl="5">
      <w:start w:val="0"/>
      <w:numFmt w:val="bullet"/>
      <w:lvlText w:val="•"/>
      <w:lvlJc w:val="left"/>
      <w:pPr>
        <w:ind w:left="4449" w:hanging="699"/>
      </w:pPr>
      <w:rPr>
        <w:rFonts w:hint="default"/>
        <w:lang w:val="es-ES" w:eastAsia="en-US" w:bidi="ar-SA"/>
      </w:rPr>
    </w:lvl>
    <w:lvl w:ilvl="6">
      <w:start w:val="0"/>
      <w:numFmt w:val="bullet"/>
      <w:lvlText w:val="•"/>
      <w:lvlJc w:val="left"/>
      <w:pPr>
        <w:ind w:left="5684" w:hanging="699"/>
      </w:pPr>
      <w:rPr>
        <w:rFonts w:hint="default"/>
        <w:lang w:val="es-ES" w:eastAsia="en-US" w:bidi="ar-SA"/>
      </w:rPr>
    </w:lvl>
    <w:lvl w:ilvl="7">
      <w:start w:val="0"/>
      <w:numFmt w:val="bullet"/>
      <w:lvlText w:val="•"/>
      <w:lvlJc w:val="left"/>
      <w:pPr>
        <w:ind w:left="6919" w:hanging="699"/>
      </w:pPr>
      <w:rPr>
        <w:rFonts w:hint="default"/>
        <w:lang w:val="es-ES" w:eastAsia="en-US" w:bidi="ar-SA"/>
      </w:rPr>
    </w:lvl>
    <w:lvl w:ilvl="8">
      <w:start w:val="0"/>
      <w:numFmt w:val="bullet"/>
      <w:lvlText w:val="•"/>
      <w:lvlJc w:val="left"/>
      <w:pPr>
        <w:ind w:left="8154" w:hanging="699"/>
      </w:pPr>
      <w:rPr>
        <w:rFonts w:hint="default"/>
        <w:lang w:val="es-ES" w:eastAsia="en-US" w:bidi="ar-SA"/>
      </w:rPr>
    </w:lvl>
  </w:abstractNum>
  <w:abstractNum w:abstractNumId="8">
    <w:multiLevelType w:val="hybridMultilevel"/>
    <w:lvl w:ilvl="0">
      <w:start w:val="1"/>
      <w:numFmt w:val="lowerLetter"/>
      <w:lvlText w:val="%1)"/>
      <w:lvlJc w:val="left"/>
      <w:pPr>
        <w:ind w:left="3403" w:hanging="360"/>
        <w:jc w:val="left"/>
      </w:pPr>
      <w:rPr>
        <w:rFonts w:hint="default"/>
        <w:spacing w:val="-1"/>
        <w:w w:val="100"/>
        <w:lang w:val="es-ES" w:eastAsia="en-US" w:bidi="ar-SA"/>
      </w:rPr>
    </w:lvl>
    <w:lvl w:ilvl="1">
      <w:start w:val="0"/>
      <w:numFmt w:val="bullet"/>
      <w:lvlText w:val="•"/>
      <w:lvlJc w:val="left"/>
      <w:pPr>
        <w:ind w:left="4122" w:hanging="360"/>
      </w:pPr>
      <w:rPr>
        <w:rFonts w:hint="default"/>
        <w:lang w:val="es-ES" w:eastAsia="en-US" w:bidi="ar-SA"/>
      </w:rPr>
    </w:lvl>
    <w:lvl w:ilvl="2">
      <w:start w:val="0"/>
      <w:numFmt w:val="bullet"/>
      <w:lvlText w:val="•"/>
      <w:lvlJc w:val="left"/>
      <w:pPr>
        <w:ind w:left="4844" w:hanging="360"/>
      </w:pPr>
      <w:rPr>
        <w:rFonts w:hint="default"/>
        <w:lang w:val="es-ES" w:eastAsia="en-US" w:bidi="ar-SA"/>
      </w:rPr>
    </w:lvl>
    <w:lvl w:ilvl="3">
      <w:start w:val="0"/>
      <w:numFmt w:val="bullet"/>
      <w:lvlText w:val="•"/>
      <w:lvlJc w:val="left"/>
      <w:pPr>
        <w:ind w:left="5567" w:hanging="360"/>
      </w:pPr>
      <w:rPr>
        <w:rFonts w:hint="default"/>
        <w:lang w:val="es-ES" w:eastAsia="en-US" w:bidi="ar-SA"/>
      </w:rPr>
    </w:lvl>
    <w:lvl w:ilvl="4">
      <w:start w:val="0"/>
      <w:numFmt w:val="bullet"/>
      <w:lvlText w:val="•"/>
      <w:lvlJc w:val="left"/>
      <w:pPr>
        <w:ind w:left="6289" w:hanging="360"/>
      </w:pPr>
      <w:rPr>
        <w:rFonts w:hint="default"/>
        <w:lang w:val="es-ES" w:eastAsia="en-US" w:bidi="ar-SA"/>
      </w:rPr>
    </w:lvl>
    <w:lvl w:ilvl="5">
      <w:start w:val="0"/>
      <w:numFmt w:val="bullet"/>
      <w:lvlText w:val="•"/>
      <w:lvlJc w:val="left"/>
      <w:pPr>
        <w:ind w:left="7012" w:hanging="360"/>
      </w:pPr>
      <w:rPr>
        <w:rFonts w:hint="default"/>
        <w:lang w:val="es-ES" w:eastAsia="en-US" w:bidi="ar-SA"/>
      </w:rPr>
    </w:lvl>
    <w:lvl w:ilvl="6">
      <w:start w:val="0"/>
      <w:numFmt w:val="bullet"/>
      <w:lvlText w:val="•"/>
      <w:lvlJc w:val="left"/>
      <w:pPr>
        <w:ind w:left="7734" w:hanging="360"/>
      </w:pPr>
      <w:rPr>
        <w:rFonts w:hint="default"/>
        <w:lang w:val="es-ES" w:eastAsia="en-US" w:bidi="ar-SA"/>
      </w:rPr>
    </w:lvl>
    <w:lvl w:ilvl="7">
      <w:start w:val="0"/>
      <w:numFmt w:val="bullet"/>
      <w:lvlText w:val="•"/>
      <w:lvlJc w:val="left"/>
      <w:pPr>
        <w:ind w:left="8456" w:hanging="360"/>
      </w:pPr>
      <w:rPr>
        <w:rFonts w:hint="default"/>
        <w:lang w:val="es-ES" w:eastAsia="en-US" w:bidi="ar-SA"/>
      </w:rPr>
    </w:lvl>
    <w:lvl w:ilvl="8">
      <w:start w:val="0"/>
      <w:numFmt w:val="bullet"/>
      <w:lvlText w:val="•"/>
      <w:lvlJc w:val="left"/>
      <w:pPr>
        <w:ind w:left="9179" w:hanging="360"/>
      </w:pPr>
      <w:rPr>
        <w:rFonts w:hint="default"/>
        <w:lang w:val="es-ES" w:eastAsia="en-US" w:bidi="ar-SA"/>
      </w:rPr>
    </w:lvl>
  </w:abstractNum>
  <w:abstractNum w:abstractNumId="7">
    <w:multiLevelType w:val="hybridMultilevel"/>
    <w:lvl w:ilvl="0">
      <w:start w:val="1"/>
      <w:numFmt w:val="lowerLetter"/>
      <w:lvlText w:val="%1)"/>
      <w:lvlJc w:val="left"/>
      <w:pPr>
        <w:ind w:left="3403" w:hanging="360"/>
        <w:jc w:val="left"/>
      </w:pPr>
      <w:rPr>
        <w:rFonts w:hint="default"/>
        <w:spacing w:val="-1"/>
        <w:w w:val="100"/>
        <w:lang w:val="es-ES" w:eastAsia="en-US" w:bidi="ar-SA"/>
      </w:rPr>
    </w:lvl>
    <w:lvl w:ilvl="1">
      <w:start w:val="0"/>
      <w:numFmt w:val="bullet"/>
      <w:lvlText w:val="•"/>
      <w:lvlJc w:val="left"/>
      <w:pPr>
        <w:ind w:left="4122" w:hanging="360"/>
      </w:pPr>
      <w:rPr>
        <w:rFonts w:hint="default"/>
        <w:lang w:val="es-ES" w:eastAsia="en-US" w:bidi="ar-SA"/>
      </w:rPr>
    </w:lvl>
    <w:lvl w:ilvl="2">
      <w:start w:val="0"/>
      <w:numFmt w:val="bullet"/>
      <w:lvlText w:val="•"/>
      <w:lvlJc w:val="left"/>
      <w:pPr>
        <w:ind w:left="4844" w:hanging="360"/>
      </w:pPr>
      <w:rPr>
        <w:rFonts w:hint="default"/>
        <w:lang w:val="es-ES" w:eastAsia="en-US" w:bidi="ar-SA"/>
      </w:rPr>
    </w:lvl>
    <w:lvl w:ilvl="3">
      <w:start w:val="0"/>
      <w:numFmt w:val="bullet"/>
      <w:lvlText w:val="•"/>
      <w:lvlJc w:val="left"/>
      <w:pPr>
        <w:ind w:left="5567" w:hanging="360"/>
      </w:pPr>
      <w:rPr>
        <w:rFonts w:hint="default"/>
        <w:lang w:val="es-ES" w:eastAsia="en-US" w:bidi="ar-SA"/>
      </w:rPr>
    </w:lvl>
    <w:lvl w:ilvl="4">
      <w:start w:val="0"/>
      <w:numFmt w:val="bullet"/>
      <w:lvlText w:val="•"/>
      <w:lvlJc w:val="left"/>
      <w:pPr>
        <w:ind w:left="6289" w:hanging="360"/>
      </w:pPr>
      <w:rPr>
        <w:rFonts w:hint="default"/>
        <w:lang w:val="es-ES" w:eastAsia="en-US" w:bidi="ar-SA"/>
      </w:rPr>
    </w:lvl>
    <w:lvl w:ilvl="5">
      <w:start w:val="0"/>
      <w:numFmt w:val="bullet"/>
      <w:lvlText w:val="•"/>
      <w:lvlJc w:val="left"/>
      <w:pPr>
        <w:ind w:left="7012" w:hanging="360"/>
      </w:pPr>
      <w:rPr>
        <w:rFonts w:hint="default"/>
        <w:lang w:val="es-ES" w:eastAsia="en-US" w:bidi="ar-SA"/>
      </w:rPr>
    </w:lvl>
    <w:lvl w:ilvl="6">
      <w:start w:val="0"/>
      <w:numFmt w:val="bullet"/>
      <w:lvlText w:val="•"/>
      <w:lvlJc w:val="left"/>
      <w:pPr>
        <w:ind w:left="7734" w:hanging="360"/>
      </w:pPr>
      <w:rPr>
        <w:rFonts w:hint="default"/>
        <w:lang w:val="es-ES" w:eastAsia="en-US" w:bidi="ar-SA"/>
      </w:rPr>
    </w:lvl>
    <w:lvl w:ilvl="7">
      <w:start w:val="0"/>
      <w:numFmt w:val="bullet"/>
      <w:lvlText w:val="•"/>
      <w:lvlJc w:val="left"/>
      <w:pPr>
        <w:ind w:left="8456" w:hanging="360"/>
      </w:pPr>
      <w:rPr>
        <w:rFonts w:hint="default"/>
        <w:lang w:val="es-ES" w:eastAsia="en-US" w:bidi="ar-SA"/>
      </w:rPr>
    </w:lvl>
    <w:lvl w:ilvl="8">
      <w:start w:val="0"/>
      <w:numFmt w:val="bullet"/>
      <w:lvlText w:val="•"/>
      <w:lvlJc w:val="left"/>
      <w:pPr>
        <w:ind w:left="9179" w:hanging="360"/>
      </w:pPr>
      <w:rPr>
        <w:rFonts w:hint="default"/>
        <w:lang w:val="es-ES" w:eastAsia="en-US" w:bidi="ar-SA"/>
      </w:rPr>
    </w:lvl>
  </w:abstractNum>
  <w:abstractNum w:abstractNumId="6">
    <w:multiLevelType w:val="hybridMultilevel"/>
    <w:lvl w:ilvl="0">
      <w:start w:val="1"/>
      <w:numFmt w:val="lowerRoman"/>
      <w:lvlText w:val="(%1)"/>
      <w:lvlJc w:val="left"/>
      <w:pPr>
        <w:ind w:left="2837" w:hanging="426"/>
        <w:jc w:val="left"/>
      </w:pPr>
      <w:rPr>
        <w:rFonts w:hint="default" w:ascii="Arial MT" w:hAnsi="Arial MT" w:eastAsia="Arial MT" w:cs="Arial MT"/>
        <w:b w:val="0"/>
        <w:bCs w:val="0"/>
        <w:i w:val="0"/>
        <w:iCs w:val="0"/>
        <w:spacing w:val="-2"/>
        <w:w w:val="100"/>
        <w:sz w:val="22"/>
        <w:szCs w:val="22"/>
        <w:lang w:val="es-ES" w:eastAsia="en-US" w:bidi="ar-SA"/>
      </w:rPr>
    </w:lvl>
    <w:lvl w:ilvl="1">
      <w:start w:val="0"/>
      <w:numFmt w:val="bullet"/>
      <w:lvlText w:val="•"/>
      <w:lvlJc w:val="left"/>
      <w:pPr>
        <w:ind w:left="3618" w:hanging="426"/>
      </w:pPr>
      <w:rPr>
        <w:rFonts w:hint="default"/>
        <w:lang w:val="es-ES" w:eastAsia="en-US" w:bidi="ar-SA"/>
      </w:rPr>
    </w:lvl>
    <w:lvl w:ilvl="2">
      <w:start w:val="0"/>
      <w:numFmt w:val="bullet"/>
      <w:lvlText w:val="•"/>
      <w:lvlJc w:val="left"/>
      <w:pPr>
        <w:ind w:left="4396" w:hanging="426"/>
      </w:pPr>
      <w:rPr>
        <w:rFonts w:hint="default"/>
        <w:lang w:val="es-ES" w:eastAsia="en-US" w:bidi="ar-SA"/>
      </w:rPr>
    </w:lvl>
    <w:lvl w:ilvl="3">
      <w:start w:val="0"/>
      <w:numFmt w:val="bullet"/>
      <w:lvlText w:val="•"/>
      <w:lvlJc w:val="left"/>
      <w:pPr>
        <w:ind w:left="5175" w:hanging="426"/>
      </w:pPr>
      <w:rPr>
        <w:rFonts w:hint="default"/>
        <w:lang w:val="es-ES" w:eastAsia="en-US" w:bidi="ar-SA"/>
      </w:rPr>
    </w:lvl>
    <w:lvl w:ilvl="4">
      <w:start w:val="0"/>
      <w:numFmt w:val="bullet"/>
      <w:lvlText w:val="•"/>
      <w:lvlJc w:val="left"/>
      <w:pPr>
        <w:ind w:left="5953" w:hanging="426"/>
      </w:pPr>
      <w:rPr>
        <w:rFonts w:hint="default"/>
        <w:lang w:val="es-ES" w:eastAsia="en-US" w:bidi="ar-SA"/>
      </w:rPr>
    </w:lvl>
    <w:lvl w:ilvl="5">
      <w:start w:val="0"/>
      <w:numFmt w:val="bullet"/>
      <w:lvlText w:val="•"/>
      <w:lvlJc w:val="left"/>
      <w:pPr>
        <w:ind w:left="6732" w:hanging="426"/>
      </w:pPr>
      <w:rPr>
        <w:rFonts w:hint="default"/>
        <w:lang w:val="es-ES" w:eastAsia="en-US" w:bidi="ar-SA"/>
      </w:rPr>
    </w:lvl>
    <w:lvl w:ilvl="6">
      <w:start w:val="0"/>
      <w:numFmt w:val="bullet"/>
      <w:lvlText w:val="•"/>
      <w:lvlJc w:val="left"/>
      <w:pPr>
        <w:ind w:left="7510" w:hanging="426"/>
      </w:pPr>
      <w:rPr>
        <w:rFonts w:hint="default"/>
        <w:lang w:val="es-ES" w:eastAsia="en-US" w:bidi="ar-SA"/>
      </w:rPr>
    </w:lvl>
    <w:lvl w:ilvl="7">
      <w:start w:val="0"/>
      <w:numFmt w:val="bullet"/>
      <w:lvlText w:val="•"/>
      <w:lvlJc w:val="left"/>
      <w:pPr>
        <w:ind w:left="8288" w:hanging="426"/>
      </w:pPr>
      <w:rPr>
        <w:rFonts w:hint="default"/>
        <w:lang w:val="es-ES" w:eastAsia="en-US" w:bidi="ar-SA"/>
      </w:rPr>
    </w:lvl>
    <w:lvl w:ilvl="8">
      <w:start w:val="0"/>
      <w:numFmt w:val="bullet"/>
      <w:lvlText w:val="•"/>
      <w:lvlJc w:val="left"/>
      <w:pPr>
        <w:ind w:left="9067" w:hanging="426"/>
      </w:pPr>
      <w:rPr>
        <w:rFonts w:hint="default"/>
        <w:lang w:val="es-ES" w:eastAsia="en-US" w:bidi="ar-SA"/>
      </w:rPr>
    </w:lvl>
  </w:abstractNum>
  <w:abstractNum w:abstractNumId="5">
    <w:multiLevelType w:val="hybridMultilevel"/>
    <w:lvl w:ilvl="0">
      <w:start w:val="1"/>
      <w:numFmt w:val="lowerRoman"/>
      <w:lvlText w:val="(%1)"/>
      <w:lvlJc w:val="left"/>
      <w:pPr>
        <w:ind w:left="2837" w:hanging="426"/>
        <w:jc w:val="left"/>
      </w:pPr>
      <w:rPr>
        <w:rFonts w:hint="default" w:ascii="Arial MT" w:hAnsi="Arial MT" w:eastAsia="Arial MT" w:cs="Arial MT"/>
        <w:b w:val="0"/>
        <w:bCs w:val="0"/>
        <w:i w:val="0"/>
        <w:iCs w:val="0"/>
        <w:spacing w:val="-2"/>
        <w:w w:val="100"/>
        <w:sz w:val="22"/>
        <w:szCs w:val="22"/>
        <w:lang w:val="es-ES" w:eastAsia="en-US" w:bidi="ar-SA"/>
      </w:rPr>
    </w:lvl>
    <w:lvl w:ilvl="1">
      <w:start w:val="0"/>
      <w:numFmt w:val="bullet"/>
      <w:lvlText w:val="•"/>
      <w:lvlJc w:val="left"/>
      <w:pPr>
        <w:ind w:left="3618" w:hanging="426"/>
      </w:pPr>
      <w:rPr>
        <w:rFonts w:hint="default"/>
        <w:lang w:val="es-ES" w:eastAsia="en-US" w:bidi="ar-SA"/>
      </w:rPr>
    </w:lvl>
    <w:lvl w:ilvl="2">
      <w:start w:val="0"/>
      <w:numFmt w:val="bullet"/>
      <w:lvlText w:val="•"/>
      <w:lvlJc w:val="left"/>
      <w:pPr>
        <w:ind w:left="4396" w:hanging="426"/>
      </w:pPr>
      <w:rPr>
        <w:rFonts w:hint="default"/>
        <w:lang w:val="es-ES" w:eastAsia="en-US" w:bidi="ar-SA"/>
      </w:rPr>
    </w:lvl>
    <w:lvl w:ilvl="3">
      <w:start w:val="0"/>
      <w:numFmt w:val="bullet"/>
      <w:lvlText w:val="•"/>
      <w:lvlJc w:val="left"/>
      <w:pPr>
        <w:ind w:left="5175" w:hanging="426"/>
      </w:pPr>
      <w:rPr>
        <w:rFonts w:hint="default"/>
        <w:lang w:val="es-ES" w:eastAsia="en-US" w:bidi="ar-SA"/>
      </w:rPr>
    </w:lvl>
    <w:lvl w:ilvl="4">
      <w:start w:val="0"/>
      <w:numFmt w:val="bullet"/>
      <w:lvlText w:val="•"/>
      <w:lvlJc w:val="left"/>
      <w:pPr>
        <w:ind w:left="5953" w:hanging="426"/>
      </w:pPr>
      <w:rPr>
        <w:rFonts w:hint="default"/>
        <w:lang w:val="es-ES" w:eastAsia="en-US" w:bidi="ar-SA"/>
      </w:rPr>
    </w:lvl>
    <w:lvl w:ilvl="5">
      <w:start w:val="0"/>
      <w:numFmt w:val="bullet"/>
      <w:lvlText w:val="•"/>
      <w:lvlJc w:val="left"/>
      <w:pPr>
        <w:ind w:left="6732" w:hanging="426"/>
      </w:pPr>
      <w:rPr>
        <w:rFonts w:hint="default"/>
        <w:lang w:val="es-ES" w:eastAsia="en-US" w:bidi="ar-SA"/>
      </w:rPr>
    </w:lvl>
    <w:lvl w:ilvl="6">
      <w:start w:val="0"/>
      <w:numFmt w:val="bullet"/>
      <w:lvlText w:val="•"/>
      <w:lvlJc w:val="left"/>
      <w:pPr>
        <w:ind w:left="7510" w:hanging="426"/>
      </w:pPr>
      <w:rPr>
        <w:rFonts w:hint="default"/>
        <w:lang w:val="es-ES" w:eastAsia="en-US" w:bidi="ar-SA"/>
      </w:rPr>
    </w:lvl>
    <w:lvl w:ilvl="7">
      <w:start w:val="0"/>
      <w:numFmt w:val="bullet"/>
      <w:lvlText w:val="•"/>
      <w:lvlJc w:val="left"/>
      <w:pPr>
        <w:ind w:left="8288" w:hanging="426"/>
      </w:pPr>
      <w:rPr>
        <w:rFonts w:hint="default"/>
        <w:lang w:val="es-ES" w:eastAsia="en-US" w:bidi="ar-SA"/>
      </w:rPr>
    </w:lvl>
    <w:lvl w:ilvl="8">
      <w:start w:val="0"/>
      <w:numFmt w:val="bullet"/>
      <w:lvlText w:val="•"/>
      <w:lvlJc w:val="left"/>
      <w:pPr>
        <w:ind w:left="9067" w:hanging="426"/>
      </w:pPr>
      <w:rPr>
        <w:rFonts w:hint="default"/>
        <w:lang w:val="es-ES" w:eastAsia="en-US" w:bidi="ar-SA"/>
      </w:rPr>
    </w:lvl>
  </w:abstractNum>
  <w:abstractNum w:abstractNumId="4">
    <w:multiLevelType w:val="hybridMultilevel"/>
    <w:lvl w:ilvl="0">
      <w:start w:val="1"/>
      <w:numFmt w:val="lowerLetter"/>
      <w:lvlText w:val="%1)"/>
      <w:lvlJc w:val="left"/>
      <w:pPr>
        <w:ind w:left="3403" w:hanging="360"/>
        <w:jc w:val="left"/>
      </w:pPr>
      <w:rPr>
        <w:rFonts w:hint="default" w:ascii="Arial" w:hAnsi="Arial" w:eastAsia="Arial" w:cs="Arial"/>
        <w:b w:val="0"/>
        <w:bCs w:val="0"/>
        <w:i/>
        <w:iCs/>
        <w:spacing w:val="-1"/>
        <w:w w:val="100"/>
        <w:sz w:val="22"/>
        <w:szCs w:val="22"/>
        <w:lang w:val="es-ES" w:eastAsia="en-US" w:bidi="ar-SA"/>
      </w:rPr>
    </w:lvl>
    <w:lvl w:ilvl="1">
      <w:start w:val="0"/>
      <w:numFmt w:val="bullet"/>
      <w:lvlText w:val="•"/>
      <w:lvlJc w:val="left"/>
      <w:pPr>
        <w:ind w:left="4122" w:hanging="360"/>
      </w:pPr>
      <w:rPr>
        <w:rFonts w:hint="default"/>
        <w:lang w:val="es-ES" w:eastAsia="en-US" w:bidi="ar-SA"/>
      </w:rPr>
    </w:lvl>
    <w:lvl w:ilvl="2">
      <w:start w:val="0"/>
      <w:numFmt w:val="bullet"/>
      <w:lvlText w:val="•"/>
      <w:lvlJc w:val="left"/>
      <w:pPr>
        <w:ind w:left="4844" w:hanging="360"/>
      </w:pPr>
      <w:rPr>
        <w:rFonts w:hint="default"/>
        <w:lang w:val="es-ES" w:eastAsia="en-US" w:bidi="ar-SA"/>
      </w:rPr>
    </w:lvl>
    <w:lvl w:ilvl="3">
      <w:start w:val="0"/>
      <w:numFmt w:val="bullet"/>
      <w:lvlText w:val="•"/>
      <w:lvlJc w:val="left"/>
      <w:pPr>
        <w:ind w:left="5567" w:hanging="360"/>
      </w:pPr>
      <w:rPr>
        <w:rFonts w:hint="default"/>
        <w:lang w:val="es-ES" w:eastAsia="en-US" w:bidi="ar-SA"/>
      </w:rPr>
    </w:lvl>
    <w:lvl w:ilvl="4">
      <w:start w:val="0"/>
      <w:numFmt w:val="bullet"/>
      <w:lvlText w:val="•"/>
      <w:lvlJc w:val="left"/>
      <w:pPr>
        <w:ind w:left="6289" w:hanging="360"/>
      </w:pPr>
      <w:rPr>
        <w:rFonts w:hint="default"/>
        <w:lang w:val="es-ES" w:eastAsia="en-US" w:bidi="ar-SA"/>
      </w:rPr>
    </w:lvl>
    <w:lvl w:ilvl="5">
      <w:start w:val="0"/>
      <w:numFmt w:val="bullet"/>
      <w:lvlText w:val="•"/>
      <w:lvlJc w:val="left"/>
      <w:pPr>
        <w:ind w:left="7012" w:hanging="360"/>
      </w:pPr>
      <w:rPr>
        <w:rFonts w:hint="default"/>
        <w:lang w:val="es-ES" w:eastAsia="en-US" w:bidi="ar-SA"/>
      </w:rPr>
    </w:lvl>
    <w:lvl w:ilvl="6">
      <w:start w:val="0"/>
      <w:numFmt w:val="bullet"/>
      <w:lvlText w:val="•"/>
      <w:lvlJc w:val="left"/>
      <w:pPr>
        <w:ind w:left="7734" w:hanging="360"/>
      </w:pPr>
      <w:rPr>
        <w:rFonts w:hint="default"/>
        <w:lang w:val="es-ES" w:eastAsia="en-US" w:bidi="ar-SA"/>
      </w:rPr>
    </w:lvl>
    <w:lvl w:ilvl="7">
      <w:start w:val="0"/>
      <w:numFmt w:val="bullet"/>
      <w:lvlText w:val="•"/>
      <w:lvlJc w:val="left"/>
      <w:pPr>
        <w:ind w:left="8456" w:hanging="360"/>
      </w:pPr>
      <w:rPr>
        <w:rFonts w:hint="default"/>
        <w:lang w:val="es-ES" w:eastAsia="en-US" w:bidi="ar-SA"/>
      </w:rPr>
    </w:lvl>
    <w:lvl w:ilvl="8">
      <w:start w:val="0"/>
      <w:numFmt w:val="bullet"/>
      <w:lvlText w:val="•"/>
      <w:lvlJc w:val="left"/>
      <w:pPr>
        <w:ind w:left="9179" w:hanging="360"/>
      </w:pPr>
      <w:rPr>
        <w:rFonts w:hint="default"/>
        <w:lang w:val="es-ES" w:eastAsia="en-US" w:bidi="ar-SA"/>
      </w:rPr>
    </w:lvl>
  </w:abstractNum>
  <w:abstractNum w:abstractNumId="3">
    <w:multiLevelType w:val="hybridMultilevel"/>
    <w:lvl w:ilvl="0">
      <w:start w:val="1"/>
      <w:numFmt w:val="lowerRoman"/>
      <w:lvlText w:val="(%1)"/>
      <w:lvlJc w:val="left"/>
      <w:pPr>
        <w:ind w:left="2837" w:hanging="361"/>
        <w:jc w:val="left"/>
      </w:pPr>
      <w:rPr>
        <w:rFonts w:hint="default" w:ascii="Arial MT" w:hAnsi="Arial MT" w:eastAsia="Arial MT" w:cs="Arial MT"/>
        <w:b w:val="0"/>
        <w:bCs w:val="0"/>
        <w:i w:val="0"/>
        <w:iCs w:val="0"/>
        <w:spacing w:val="-2"/>
        <w:w w:val="100"/>
        <w:sz w:val="22"/>
        <w:szCs w:val="22"/>
        <w:lang w:val="es-ES" w:eastAsia="en-US" w:bidi="ar-SA"/>
      </w:rPr>
    </w:lvl>
    <w:lvl w:ilvl="1">
      <w:start w:val="0"/>
      <w:numFmt w:val="bullet"/>
      <w:lvlText w:val="•"/>
      <w:lvlJc w:val="left"/>
      <w:pPr>
        <w:ind w:left="3618" w:hanging="361"/>
      </w:pPr>
      <w:rPr>
        <w:rFonts w:hint="default"/>
        <w:lang w:val="es-ES" w:eastAsia="en-US" w:bidi="ar-SA"/>
      </w:rPr>
    </w:lvl>
    <w:lvl w:ilvl="2">
      <w:start w:val="0"/>
      <w:numFmt w:val="bullet"/>
      <w:lvlText w:val="•"/>
      <w:lvlJc w:val="left"/>
      <w:pPr>
        <w:ind w:left="4396" w:hanging="361"/>
      </w:pPr>
      <w:rPr>
        <w:rFonts w:hint="default"/>
        <w:lang w:val="es-ES" w:eastAsia="en-US" w:bidi="ar-SA"/>
      </w:rPr>
    </w:lvl>
    <w:lvl w:ilvl="3">
      <w:start w:val="0"/>
      <w:numFmt w:val="bullet"/>
      <w:lvlText w:val="•"/>
      <w:lvlJc w:val="left"/>
      <w:pPr>
        <w:ind w:left="5175" w:hanging="361"/>
      </w:pPr>
      <w:rPr>
        <w:rFonts w:hint="default"/>
        <w:lang w:val="es-ES" w:eastAsia="en-US" w:bidi="ar-SA"/>
      </w:rPr>
    </w:lvl>
    <w:lvl w:ilvl="4">
      <w:start w:val="0"/>
      <w:numFmt w:val="bullet"/>
      <w:lvlText w:val="•"/>
      <w:lvlJc w:val="left"/>
      <w:pPr>
        <w:ind w:left="5953" w:hanging="361"/>
      </w:pPr>
      <w:rPr>
        <w:rFonts w:hint="default"/>
        <w:lang w:val="es-ES" w:eastAsia="en-US" w:bidi="ar-SA"/>
      </w:rPr>
    </w:lvl>
    <w:lvl w:ilvl="5">
      <w:start w:val="0"/>
      <w:numFmt w:val="bullet"/>
      <w:lvlText w:val="•"/>
      <w:lvlJc w:val="left"/>
      <w:pPr>
        <w:ind w:left="6732" w:hanging="361"/>
      </w:pPr>
      <w:rPr>
        <w:rFonts w:hint="default"/>
        <w:lang w:val="es-ES" w:eastAsia="en-US" w:bidi="ar-SA"/>
      </w:rPr>
    </w:lvl>
    <w:lvl w:ilvl="6">
      <w:start w:val="0"/>
      <w:numFmt w:val="bullet"/>
      <w:lvlText w:val="•"/>
      <w:lvlJc w:val="left"/>
      <w:pPr>
        <w:ind w:left="7510" w:hanging="361"/>
      </w:pPr>
      <w:rPr>
        <w:rFonts w:hint="default"/>
        <w:lang w:val="es-ES" w:eastAsia="en-US" w:bidi="ar-SA"/>
      </w:rPr>
    </w:lvl>
    <w:lvl w:ilvl="7">
      <w:start w:val="0"/>
      <w:numFmt w:val="bullet"/>
      <w:lvlText w:val="•"/>
      <w:lvlJc w:val="left"/>
      <w:pPr>
        <w:ind w:left="8288" w:hanging="361"/>
      </w:pPr>
      <w:rPr>
        <w:rFonts w:hint="default"/>
        <w:lang w:val="es-ES" w:eastAsia="en-US" w:bidi="ar-SA"/>
      </w:rPr>
    </w:lvl>
    <w:lvl w:ilvl="8">
      <w:start w:val="0"/>
      <w:numFmt w:val="bullet"/>
      <w:lvlText w:val="•"/>
      <w:lvlJc w:val="left"/>
      <w:pPr>
        <w:ind w:left="9067" w:hanging="361"/>
      </w:pPr>
      <w:rPr>
        <w:rFonts w:hint="default"/>
        <w:lang w:val="es-ES" w:eastAsia="en-US" w:bidi="ar-SA"/>
      </w:rPr>
    </w:lvl>
  </w:abstractNum>
  <w:abstractNum w:abstractNumId="2">
    <w:multiLevelType w:val="hybridMultilevel"/>
    <w:lvl w:ilvl="0">
      <w:start w:val="1"/>
      <w:numFmt w:val="lowerRoman"/>
      <w:lvlText w:val="(%1)"/>
      <w:lvlJc w:val="left"/>
      <w:pPr>
        <w:ind w:left="2837" w:hanging="361"/>
        <w:jc w:val="left"/>
      </w:pPr>
      <w:rPr>
        <w:rFonts w:hint="default" w:ascii="Arial MT" w:hAnsi="Arial MT" w:eastAsia="Arial MT" w:cs="Arial MT"/>
        <w:b w:val="0"/>
        <w:bCs w:val="0"/>
        <w:i w:val="0"/>
        <w:iCs w:val="0"/>
        <w:spacing w:val="-2"/>
        <w:w w:val="100"/>
        <w:sz w:val="22"/>
        <w:szCs w:val="22"/>
        <w:lang w:val="es-ES" w:eastAsia="en-US" w:bidi="ar-SA"/>
      </w:rPr>
    </w:lvl>
    <w:lvl w:ilvl="1">
      <w:start w:val="0"/>
      <w:numFmt w:val="bullet"/>
      <w:lvlText w:val="•"/>
      <w:lvlJc w:val="left"/>
      <w:pPr>
        <w:ind w:left="3618" w:hanging="361"/>
      </w:pPr>
      <w:rPr>
        <w:rFonts w:hint="default"/>
        <w:lang w:val="es-ES" w:eastAsia="en-US" w:bidi="ar-SA"/>
      </w:rPr>
    </w:lvl>
    <w:lvl w:ilvl="2">
      <w:start w:val="0"/>
      <w:numFmt w:val="bullet"/>
      <w:lvlText w:val="•"/>
      <w:lvlJc w:val="left"/>
      <w:pPr>
        <w:ind w:left="4396" w:hanging="361"/>
      </w:pPr>
      <w:rPr>
        <w:rFonts w:hint="default"/>
        <w:lang w:val="es-ES" w:eastAsia="en-US" w:bidi="ar-SA"/>
      </w:rPr>
    </w:lvl>
    <w:lvl w:ilvl="3">
      <w:start w:val="0"/>
      <w:numFmt w:val="bullet"/>
      <w:lvlText w:val="•"/>
      <w:lvlJc w:val="left"/>
      <w:pPr>
        <w:ind w:left="5175" w:hanging="361"/>
      </w:pPr>
      <w:rPr>
        <w:rFonts w:hint="default"/>
        <w:lang w:val="es-ES" w:eastAsia="en-US" w:bidi="ar-SA"/>
      </w:rPr>
    </w:lvl>
    <w:lvl w:ilvl="4">
      <w:start w:val="0"/>
      <w:numFmt w:val="bullet"/>
      <w:lvlText w:val="•"/>
      <w:lvlJc w:val="left"/>
      <w:pPr>
        <w:ind w:left="5953" w:hanging="361"/>
      </w:pPr>
      <w:rPr>
        <w:rFonts w:hint="default"/>
        <w:lang w:val="es-ES" w:eastAsia="en-US" w:bidi="ar-SA"/>
      </w:rPr>
    </w:lvl>
    <w:lvl w:ilvl="5">
      <w:start w:val="0"/>
      <w:numFmt w:val="bullet"/>
      <w:lvlText w:val="•"/>
      <w:lvlJc w:val="left"/>
      <w:pPr>
        <w:ind w:left="6732" w:hanging="361"/>
      </w:pPr>
      <w:rPr>
        <w:rFonts w:hint="default"/>
        <w:lang w:val="es-ES" w:eastAsia="en-US" w:bidi="ar-SA"/>
      </w:rPr>
    </w:lvl>
    <w:lvl w:ilvl="6">
      <w:start w:val="0"/>
      <w:numFmt w:val="bullet"/>
      <w:lvlText w:val="•"/>
      <w:lvlJc w:val="left"/>
      <w:pPr>
        <w:ind w:left="7510" w:hanging="361"/>
      </w:pPr>
      <w:rPr>
        <w:rFonts w:hint="default"/>
        <w:lang w:val="es-ES" w:eastAsia="en-US" w:bidi="ar-SA"/>
      </w:rPr>
    </w:lvl>
    <w:lvl w:ilvl="7">
      <w:start w:val="0"/>
      <w:numFmt w:val="bullet"/>
      <w:lvlText w:val="•"/>
      <w:lvlJc w:val="left"/>
      <w:pPr>
        <w:ind w:left="8288" w:hanging="361"/>
      </w:pPr>
      <w:rPr>
        <w:rFonts w:hint="default"/>
        <w:lang w:val="es-ES" w:eastAsia="en-US" w:bidi="ar-SA"/>
      </w:rPr>
    </w:lvl>
    <w:lvl w:ilvl="8">
      <w:start w:val="0"/>
      <w:numFmt w:val="bullet"/>
      <w:lvlText w:val="•"/>
      <w:lvlJc w:val="left"/>
      <w:pPr>
        <w:ind w:left="9067" w:hanging="361"/>
      </w:pPr>
      <w:rPr>
        <w:rFonts w:hint="default"/>
        <w:lang w:val="es-ES" w:eastAsia="en-US" w:bidi="ar-SA"/>
      </w:rPr>
    </w:lvl>
  </w:abstractNum>
  <w:abstractNum w:abstractNumId="1">
    <w:multiLevelType w:val="hybridMultilevel"/>
    <w:lvl w:ilvl="0">
      <w:start w:val="1"/>
      <w:numFmt w:val="decimal"/>
      <w:lvlText w:val="[%1]"/>
      <w:lvlJc w:val="left"/>
      <w:pPr>
        <w:ind w:left="1420" w:hanging="852"/>
        <w:jc w:val="left"/>
      </w:pPr>
      <w:rPr>
        <w:rFonts w:hint="default" w:ascii="Arial MT" w:hAnsi="Arial MT" w:eastAsia="Arial MT" w:cs="Arial MT"/>
        <w:b w:val="0"/>
        <w:bCs w:val="0"/>
        <w:i w:val="0"/>
        <w:iCs w:val="0"/>
        <w:spacing w:val="-1"/>
        <w:w w:val="100"/>
        <w:sz w:val="18"/>
        <w:szCs w:val="18"/>
        <w:lang w:val="es-ES" w:eastAsia="en-US" w:bidi="ar-SA"/>
      </w:rPr>
    </w:lvl>
    <w:lvl w:ilvl="1">
      <w:start w:val="0"/>
      <w:numFmt w:val="bullet"/>
      <w:lvlText w:val="-"/>
      <w:lvlJc w:val="left"/>
      <w:pPr>
        <w:ind w:left="1134" w:hanging="226"/>
      </w:pPr>
      <w:rPr>
        <w:rFonts w:hint="default" w:ascii="Times New Roman" w:hAnsi="Times New Roman" w:eastAsia="Times New Roman" w:cs="Times New Roman"/>
        <w:spacing w:val="0"/>
        <w:w w:val="100"/>
        <w:lang w:val="es-ES" w:eastAsia="en-US" w:bidi="ar-SA"/>
      </w:rPr>
    </w:lvl>
    <w:lvl w:ilvl="2">
      <w:start w:val="0"/>
      <w:numFmt w:val="bullet"/>
      <w:lvlText w:val="•"/>
      <w:lvlJc w:val="left"/>
      <w:pPr>
        <w:ind w:left="2000" w:hanging="226"/>
      </w:pPr>
      <w:rPr>
        <w:rFonts w:hint="default"/>
        <w:lang w:val="es-ES" w:eastAsia="en-US" w:bidi="ar-SA"/>
      </w:rPr>
    </w:lvl>
    <w:lvl w:ilvl="3">
      <w:start w:val="0"/>
      <w:numFmt w:val="bullet"/>
      <w:lvlText w:val="•"/>
      <w:lvlJc w:val="left"/>
      <w:pPr>
        <w:ind w:left="2840" w:hanging="226"/>
      </w:pPr>
      <w:rPr>
        <w:rFonts w:hint="default"/>
        <w:lang w:val="es-ES" w:eastAsia="en-US" w:bidi="ar-SA"/>
      </w:rPr>
    </w:lvl>
    <w:lvl w:ilvl="4">
      <w:start w:val="0"/>
      <w:numFmt w:val="bullet"/>
      <w:lvlText w:val="•"/>
      <w:lvlJc w:val="left"/>
      <w:pPr>
        <w:ind w:left="3952" w:hanging="226"/>
      </w:pPr>
      <w:rPr>
        <w:rFonts w:hint="default"/>
        <w:lang w:val="es-ES" w:eastAsia="en-US" w:bidi="ar-SA"/>
      </w:rPr>
    </w:lvl>
    <w:lvl w:ilvl="5">
      <w:start w:val="0"/>
      <w:numFmt w:val="bullet"/>
      <w:lvlText w:val="•"/>
      <w:lvlJc w:val="left"/>
      <w:pPr>
        <w:ind w:left="5064" w:hanging="226"/>
      </w:pPr>
      <w:rPr>
        <w:rFonts w:hint="default"/>
        <w:lang w:val="es-ES" w:eastAsia="en-US" w:bidi="ar-SA"/>
      </w:rPr>
    </w:lvl>
    <w:lvl w:ilvl="6">
      <w:start w:val="0"/>
      <w:numFmt w:val="bullet"/>
      <w:lvlText w:val="•"/>
      <w:lvlJc w:val="left"/>
      <w:pPr>
        <w:ind w:left="6176" w:hanging="226"/>
      </w:pPr>
      <w:rPr>
        <w:rFonts w:hint="default"/>
        <w:lang w:val="es-ES" w:eastAsia="en-US" w:bidi="ar-SA"/>
      </w:rPr>
    </w:lvl>
    <w:lvl w:ilvl="7">
      <w:start w:val="0"/>
      <w:numFmt w:val="bullet"/>
      <w:lvlText w:val="•"/>
      <w:lvlJc w:val="left"/>
      <w:pPr>
        <w:ind w:left="7288" w:hanging="226"/>
      </w:pPr>
      <w:rPr>
        <w:rFonts w:hint="default"/>
        <w:lang w:val="es-ES" w:eastAsia="en-US" w:bidi="ar-SA"/>
      </w:rPr>
    </w:lvl>
    <w:lvl w:ilvl="8">
      <w:start w:val="0"/>
      <w:numFmt w:val="bullet"/>
      <w:lvlText w:val="•"/>
      <w:lvlJc w:val="left"/>
      <w:pPr>
        <w:ind w:left="8400" w:hanging="226"/>
      </w:pPr>
      <w:rPr>
        <w:rFonts w:hint="default"/>
        <w:lang w:val="es-ES" w:eastAsia="en-US" w:bidi="ar-SA"/>
      </w:rPr>
    </w:lvl>
  </w:abstractNum>
  <w:abstractNum w:abstractNumId="0">
    <w:multiLevelType w:val="hybridMultilevel"/>
    <w:lvl w:ilvl="0">
      <w:start w:val="1"/>
      <w:numFmt w:val="decimal"/>
      <w:lvlText w:val="%1."/>
      <w:lvlJc w:val="left"/>
      <w:pPr>
        <w:ind w:left="1139" w:hanging="360"/>
        <w:jc w:val="left"/>
      </w:pPr>
      <w:rPr>
        <w:rFonts w:hint="default" w:ascii="Arial" w:hAnsi="Arial" w:eastAsia="Arial" w:cs="Arial"/>
        <w:b/>
        <w:bCs/>
        <w:i w:val="0"/>
        <w:iCs w:val="0"/>
        <w:spacing w:val="-1"/>
        <w:w w:val="100"/>
        <w:sz w:val="22"/>
        <w:szCs w:val="22"/>
        <w:lang w:val="es-ES" w:eastAsia="en-US" w:bidi="ar-SA"/>
      </w:rPr>
    </w:lvl>
    <w:lvl w:ilvl="1">
      <w:start w:val="1"/>
      <w:numFmt w:val="decimal"/>
      <w:lvlText w:val="%1.%2."/>
      <w:lvlJc w:val="left"/>
      <w:pPr>
        <w:ind w:left="1276" w:hanging="708"/>
        <w:jc w:val="left"/>
      </w:pPr>
      <w:rPr>
        <w:rFonts w:hint="default" w:ascii="Arial" w:hAnsi="Arial" w:eastAsia="Arial" w:cs="Arial"/>
        <w:b/>
        <w:bCs/>
        <w:i w:val="0"/>
        <w:iCs w:val="0"/>
        <w:spacing w:val="0"/>
        <w:w w:val="100"/>
        <w:sz w:val="22"/>
        <w:szCs w:val="22"/>
        <w:lang w:val="es-ES" w:eastAsia="en-US" w:bidi="ar-SA"/>
      </w:rPr>
    </w:lvl>
    <w:lvl w:ilvl="2">
      <w:start w:val="1"/>
      <w:numFmt w:val="decimal"/>
      <w:lvlText w:val="%1.%2.%3."/>
      <w:lvlJc w:val="left"/>
      <w:pPr>
        <w:ind w:left="1276" w:hanging="641"/>
        <w:jc w:val="right"/>
      </w:pPr>
      <w:rPr>
        <w:rFonts w:hint="default" w:ascii="Arial" w:hAnsi="Arial" w:eastAsia="Arial" w:cs="Arial"/>
        <w:b/>
        <w:bCs/>
        <w:i w:val="0"/>
        <w:iCs w:val="0"/>
        <w:spacing w:val="-3"/>
        <w:w w:val="100"/>
        <w:sz w:val="22"/>
        <w:szCs w:val="22"/>
        <w:lang w:val="es-ES" w:eastAsia="en-US" w:bidi="ar-SA"/>
      </w:rPr>
    </w:lvl>
    <w:lvl w:ilvl="3">
      <w:start w:val="0"/>
      <w:numFmt w:val="bullet"/>
      <w:lvlText w:val="•"/>
      <w:lvlJc w:val="left"/>
      <w:pPr>
        <w:ind w:left="3356" w:hanging="641"/>
      </w:pPr>
      <w:rPr>
        <w:rFonts w:hint="default"/>
        <w:lang w:val="es-ES" w:eastAsia="en-US" w:bidi="ar-SA"/>
      </w:rPr>
    </w:lvl>
    <w:lvl w:ilvl="4">
      <w:start w:val="0"/>
      <w:numFmt w:val="bullet"/>
      <w:lvlText w:val="•"/>
      <w:lvlJc w:val="left"/>
      <w:pPr>
        <w:ind w:left="4394" w:hanging="641"/>
      </w:pPr>
      <w:rPr>
        <w:rFonts w:hint="default"/>
        <w:lang w:val="es-ES" w:eastAsia="en-US" w:bidi="ar-SA"/>
      </w:rPr>
    </w:lvl>
    <w:lvl w:ilvl="5">
      <w:start w:val="0"/>
      <w:numFmt w:val="bullet"/>
      <w:lvlText w:val="•"/>
      <w:lvlJc w:val="left"/>
      <w:pPr>
        <w:ind w:left="5432" w:hanging="641"/>
      </w:pPr>
      <w:rPr>
        <w:rFonts w:hint="default"/>
        <w:lang w:val="es-ES" w:eastAsia="en-US" w:bidi="ar-SA"/>
      </w:rPr>
    </w:lvl>
    <w:lvl w:ilvl="6">
      <w:start w:val="0"/>
      <w:numFmt w:val="bullet"/>
      <w:lvlText w:val="•"/>
      <w:lvlJc w:val="left"/>
      <w:pPr>
        <w:ind w:left="6471" w:hanging="641"/>
      </w:pPr>
      <w:rPr>
        <w:rFonts w:hint="default"/>
        <w:lang w:val="es-ES" w:eastAsia="en-US" w:bidi="ar-SA"/>
      </w:rPr>
    </w:lvl>
    <w:lvl w:ilvl="7">
      <w:start w:val="0"/>
      <w:numFmt w:val="bullet"/>
      <w:lvlText w:val="•"/>
      <w:lvlJc w:val="left"/>
      <w:pPr>
        <w:ind w:left="7509" w:hanging="641"/>
      </w:pPr>
      <w:rPr>
        <w:rFonts w:hint="default"/>
        <w:lang w:val="es-ES" w:eastAsia="en-US" w:bidi="ar-SA"/>
      </w:rPr>
    </w:lvl>
    <w:lvl w:ilvl="8">
      <w:start w:val="0"/>
      <w:numFmt w:val="bullet"/>
      <w:lvlText w:val="•"/>
      <w:lvlJc w:val="left"/>
      <w:pPr>
        <w:ind w:left="8547" w:hanging="641"/>
      </w:pPr>
      <w:rPr>
        <w:rFonts w:hint="default"/>
        <w:lang w:val="es-ES" w:eastAsia="en-US" w:bidi="ar-SA"/>
      </w:rPr>
    </w:lvl>
  </w:abstract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22"/>
      <w:szCs w:val="22"/>
      <w:lang w:val="es-ES" w:eastAsia="en-US" w:bidi="ar-SA"/>
    </w:rPr>
  </w:style>
  <w:style w:styleId="Heading1" w:type="paragraph">
    <w:name w:val="Heading 1"/>
    <w:basedOn w:val="Normal"/>
    <w:uiPriority w:val="1"/>
    <w:qFormat/>
    <w:pPr>
      <w:spacing w:before="12"/>
      <w:ind w:left="20"/>
      <w:outlineLvl w:val="1"/>
    </w:pPr>
    <w:rPr>
      <w:rFonts w:ascii="Arial" w:hAnsi="Arial" w:eastAsia="Arial" w:cs="Arial"/>
      <w:b/>
      <w:bCs/>
      <w:sz w:val="24"/>
      <w:szCs w:val="24"/>
      <w:lang w:val="es-ES" w:eastAsia="en-US" w:bidi="ar-SA"/>
    </w:rPr>
  </w:style>
  <w:style w:styleId="Heading2" w:type="paragraph">
    <w:name w:val="Heading 2"/>
    <w:basedOn w:val="Normal"/>
    <w:uiPriority w:val="1"/>
    <w:qFormat/>
    <w:pPr>
      <w:spacing w:before="12"/>
      <w:ind w:left="20"/>
      <w:outlineLvl w:val="2"/>
    </w:pPr>
    <w:rPr>
      <w:rFonts w:ascii="Arial" w:hAnsi="Arial" w:eastAsia="Arial" w:cs="Arial"/>
      <w:b/>
      <w:bCs/>
      <w:sz w:val="24"/>
      <w:szCs w:val="24"/>
      <w:lang w:val="es-ES" w:eastAsia="en-US" w:bidi="ar-SA"/>
    </w:rPr>
  </w:style>
  <w:style w:styleId="Heading3" w:type="paragraph">
    <w:name w:val="Heading 3"/>
    <w:basedOn w:val="Normal"/>
    <w:uiPriority w:val="1"/>
    <w:qFormat/>
    <w:pPr>
      <w:ind w:left="1134" w:right="980" w:hanging="567"/>
      <w:jc w:val="both"/>
      <w:outlineLvl w:val="3"/>
    </w:pPr>
    <w:rPr>
      <w:rFonts w:ascii="Arial MT" w:hAnsi="Arial MT" w:eastAsia="Arial MT" w:cs="Arial MT"/>
      <w:sz w:val="24"/>
      <w:szCs w:val="24"/>
      <w:lang w:val="es-ES" w:eastAsia="en-US" w:bidi="ar-SA"/>
    </w:rPr>
  </w:style>
  <w:style w:styleId="Heading4" w:type="paragraph">
    <w:name w:val="Heading 4"/>
    <w:basedOn w:val="Normal"/>
    <w:uiPriority w:val="1"/>
    <w:qFormat/>
    <w:pPr>
      <w:ind w:left="1701" w:right="982"/>
      <w:jc w:val="both"/>
      <w:outlineLvl w:val="4"/>
    </w:pPr>
    <w:rPr>
      <w:rFonts w:ascii="Times New Roman" w:hAnsi="Times New Roman" w:eastAsia="Times New Roman" w:cs="Times New Roman"/>
      <w:i/>
      <w:iCs/>
      <w:sz w:val="24"/>
      <w:szCs w:val="24"/>
      <w:lang w:val="es-ES" w:eastAsia="en-US" w:bidi="ar-SA"/>
    </w:rPr>
  </w:style>
  <w:style w:styleId="Heading5" w:type="paragraph">
    <w:name w:val="Heading 5"/>
    <w:basedOn w:val="Normal"/>
    <w:uiPriority w:val="1"/>
    <w:qFormat/>
    <w:pPr>
      <w:ind w:left="850"/>
      <w:outlineLvl w:val="5"/>
    </w:pPr>
    <w:rPr>
      <w:rFonts w:ascii="Arial" w:hAnsi="Arial" w:eastAsia="Arial" w:cs="Arial"/>
      <w:b/>
      <w:bCs/>
      <w:sz w:val="22"/>
      <w:szCs w:val="22"/>
      <w:lang w:val="es-ES" w:eastAsia="en-US" w:bidi="ar-SA"/>
    </w:rPr>
  </w:style>
  <w:style w:styleId="Heading6" w:type="paragraph">
    <w:name w:val="Heading 6"/>
    <w:basedOn w:val="Normal"/>
    <w:uiPriority w:val="1"/>
    <w:qFormat/>
    <w:pPr>
      <w:ind w:left="-1"/>
      <w:outlineLvl w:val="6"/>
    </w:pPr>
    <w:rPr>
      <w:rFonts w:ascii="Arial" w:hAnsi="Arial" w:eastAsia="Arial" w:cs="Arial"/>
      <w:b/>
      <w:bCs/>
      <w:sz w:val="22"/>
      <w:szCs w:val="22"/>
      <w:lang w:val="es-ES" w:eastAsia="en-US" w:bidi="ar-SA"/>
    </w:rPr>
  </w:style>
  <w:style w:styleId="Heading7" w:type="paragraph">
    <w:name w:val="Heading 7"/>
    <w:basedOn w:val="Normal"/>
    <w:uiPriority w:val="1"/>
    <w:qFormat/>
    <w:pPr>
      <w:ind w:left="1420"/>
      <w:jc w:val="both"/>
      <w:outlineLvl w:val="7"/>
    </w:pPr>
    <w:rPr>
      <w:rFonts w:ascii="Arial" w:hAnsi="Arial" w:eastAsia="Arial" w:cs="Arial"/>
      <w:b/>
      <w:bCs/>
      <w:i/>
      <w:iCs/>
      <w:sz w:val="22"/>
      <w:szCs w:val="22"/>
      <w:u w:val="single" w:color="000000"/>
      <w:lang w:val="es-ES" w:eastAsia="en-US" w:bidi="ar-SA"/>
    </w:rPr>
  </w:style>
  <w:style w:styleId="ListParagraph" w:type="paragraph">
    <w:name w:val="List Paragraph"/>
    <w:basedOn w:val="Normal"/>
    <w:uiPriority w:val="1"/>
    <w:qFormat/>
    <w:pPr>
      <w:ind w:left="1134" w:hanging="567"/>
      <w:jc w:val="both"/>
    </w:pPr>
    <w:rPr>
      <w:rFonts w:ascii="Arial MT" w:hAnsi="Arial MT" w:eastAsia="Arial MT" w:cs="Arial MT"/>
      <w:lang w:val="es-ES" w:eastAsia="en-US" w:bidi="ar-SA"/>
    </w:rPr>
  </w:style>
  <w:style w:styleId="TableParagraph" w:type="paragraph">
    <w:name w:val="Table Paragraph"/>
    <w:basedOn w:val="Normal"/>
    <w:uiPriority w:val="1"/>
    <w:qFormat/>
    <w:pPr/>
    <w:rPr>
      <w:rFonts w:ascii="Arial MT" w:hAnsi="Arial MT" w:eastAsia="Arial MT" w:cs="Arial MT"/>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header" Target="header3.xml"/><Relationship Id="rId11" Type="http://schemas.openxmlformats.org/officeDocument/2006/relationships/footer" Target="footer3.xml"/><Relationship Id="rId12" Type="http://schemas.openxmlformats.org/officeDocument/2006/relationships/header" Target="header4.xml"/><Relationship Id="rId13" Type="http://schemas.openxmlformats.org/officeDocument/2006/relationships/footer" Target="footer4.xml"/><Relationship Id="rId14" Type="http://schemas.openxmlformats.org/officeDocument/2006/relationships/header" Target="header5.xml"/><Relationship Id="rId15" Type="http://schemas.openxmlformats.org/officeDocument/2006/relationships/footer" Target="footer5.xml"/><Relationship Id="rId16" Type="http://schemas.openxmlformats.org/officeDocument/2006/relationships/header" Target="header6.xml"/><Relationship Id="rId17" Type="http://schemas.openxmlformats.org/officeDocument/2006/relationships/footer" Target="footer6.xml"/><Relationship Id="rId18" Type="http://schemas.openxmlformats.org/officeDocument/2006/relationships/header" Target="header7.xml"/><Relationship Id="rId19" Type="http://schemas.openxmlformats.org/officeDocument/2006/relationships/footer" Target="footer7.xml"/><Relationship Id="rId20" Type="http://schemas.openxmlformats.org/officeDocument/2006/relationships/header" Target="header8.xml"/><Relationship Id="rId21" Type="http://schemas.openxmlformats.org/officeDocument/2006/relationships/footer" Target="footer8.xml"/><Relationship Id="rId22" Type="http://schemas.openxmlformats.org/officeDocument/2006/relationships/header" Target="header9.xml"/><Relationship Id="rId23" Type="http://schemas.openxmlformats.org/officeDocument/2006/relationships/footer" Target="footer9.xml"/><Relationship Id="rId24" Type="http://schemas.openxmlformats.org/officeDocument/2006/relationships/hyperlink" Target="https://www.dian.gov.co/aduanas/Paginas/Pasos-de-Frontera.aspx" TargetMode="External"/><Relationship Id="rId25" Type="http://schemas.openxmlformats.org/officeDocument/2006/relationships/header" Target="header10.xml"/><Relationship Id="rId26" Type="http://schemas.openxmlformats.org/officeDocument/2006/relationships/footer" Target="footer10.xml"/><Relationship Id="rId27" Type="http://schemas.openxmlformats.org/officeDocument/2006/relationships/header" Target="header11.xml"/><Relationship Id="rId28" Type="http://schemas.openxmlformats.org/officeDocument/2006/relationships/footer" Target="footer11.xml"/><Relationship Id="rId29" Type="http://schemas.openxmlformats.org/officeDocument/2006/relationships/hyperlink" Target="https://x.com/DanielNoboaOk/status/2014006136785994093?s=20" TargetMode="External"/><Relationship Id="rId30" Type="http://schemas.openxmlformats.org/officeDocument/2006/relationships/header" Target="header12.xml"/><Relationship Id="rId31" Type="http://schemas.openxmlformats.org/officeDocument/2006/relationships/footer" Target="footer12.xml"/><Relationship Id="rId32" Type="http://schemas.openxmlformats.org/officeDocument/2006/relationships/header" Target="header13.xml"/><Relationship Id="rId33" Type="http://schemas.openxmlformats.org/officeDocument/2006/relationships/footer" Target="footer13.xml"/><Relationship Id="rId34" Type="http://schemas.openxmlformats.org/officeDocument/2006/relationships/header" Target="header14.xml"/><Relationship Id="rId35" Type="http://schemas.openxmlformats.org/officeDocument/2006/relationships/footer" Target="footer14.xml"/><Relationship Id="rId36" Type="http://schemas.openxmlformats.org/officeDocument/2006/relationships/header" Target="header15.xml"/><Relationship Id="rId37" Type="http://schemas.openxmlformats.org/officeDocument/2006/relationships/footer" Target="footer15.xml"/><Relationship Id="rId38" Type="http://schemas.openxmlformats.org/officeDocument/2006/relationships/header" Target="header16.xml"/><Relationship Id="rId39" Type="http://schemas.openxmlformats.org/officeDocument/2006/relationships/footer" Target="footer16.xml"/><Relationship Id="rId40" Type="http://schemas.openxmlformats.org/officeDocument/2006/relationships/header" Target="header17.xml"/><Relationship Id="rId41" Type="http://schemas.openxmlformats.org/officeDocument/2006/relationships/footer" Target="footer17.xml"/><Relationship Id="rId42" Type="http://schemas.openxmlformats.org/officeDocument/2006/relationships/header" Target="header18.xml"/><Relationship Id="rId43" Type="http://schemas.openxmlformats.org/officeDocument/2006/relationships/footer" Target="footer18.xml"/><Relationship Id="rId44" Type="http://schemas.openxmlformats.org/officeDocument/2006/relationships/header" Target="header19.xml"/><Relationship Id="rId45" Type="http://schemas.openxmlformats.org/officeDocument/2006/relationships/footer" Target="footer19.xml"/><Relationship Id="rId46" Type="http://schemas.openxmlformats.org/officeDocument/2006/relationships/hyperlink" Target="https://www.comunidadandina.org/DocOficialesFiles/Gacetas/gace520.pdf" TargetMode="External"/><Relationship Id="rId47" Type="http://schemas.openxmlformats.org/officeDocument/2006/relationships/header" Target="header20.xml"/><Relationship Id="rId48" Type="http://schemas.openxmlformats.org/officeDocument/2006/relationships/footer" Target="footer20.xml"/><Relationship Id="rId49" Type="http://schemas.openxmlformats.org/officeDocument/2006/relationships/header" Target="header21.xml"/><Relationship Id="rId50" Type="http://schemas.openxmlformats.org/officeDocument/2006/relationships/footer" Target="footer21.xml"/><Relationship Id="rId51" Type="http://schemas.openxmlformats.org/officeDocument/2006/relationships/header" Target="header22.xml"/><Relationship Id="rId52" Type="http://schemas.openxmlformats.org/officeDocument/2006/relationships/footer" Target="footer22.xml"/><Relationship Id="rId53" Type="http://schemas.openxmlformats.org/officeDocument/2006/relationships/header" Target="header23.xml"/><Relationship Id="rId54" Type="http://schemas.openxmlformats.org/officeDocument/2006/relationships/footer" Target="footer23.xml"/><Relationship Id="rId55" Type="http://schemas.openxmlformats.org/officeDocument/2006/relationships/header" Target="header24.xml"/><Relationship Id="rId56" Type="http://schemas.openxmlformats.org/officeDocument/2006/relationships/footer" Target="footer24.xml"/><Relationship Id="rId57" Type="http://schemas.openxmlformats.org/officeDocument/2006/relationships/header" Target="header25.xml"/><Relationship Id="rId58" Type="http://schemas.openxmlformats.org/officeDocument/2006/relationships/footer" Target="footer25.xml"/><Relationship Id="rId59" Type="http://schemas.openxmlformats.org/officeDocument/2006/relationships/header" Target="header26.xml"/><Relationship Id="rId60" Type="http://schemas.openxmlformats.org/officeDocument/2006/relationships/footer" Target="footer26.xml"/><Relationship Id="rId61" Type="http://schemas.openxmlformats.org/officeDocument/2006/relationships/image" Target="media/image3.png"/><Relationship Id="rId62" Type="http://schemas.openxmlformats.org/officeDocument/2006/relationships/header" Target="header27.xml"/><Relationship Id="rId63" Type="http://schemas.openxmlformats.org/officeDocument/2006/relationships/footer" Target="footer27.xml"/><Relationship Id="rId64" Type="http://schemas.openxmlformats.org/officeDocument/2006/relationships/header" Target="header28.xml"/><Relationship Id="rId65" Type="http://schemas.openxmlformats.org/officeDocument/2006/relationships/footer" Target="footer28.xml"/><Relationship Id="rId66" Type="http://schemas.openxmlformats.org/officeDocument/2006/relationships/header" Target="header29.xml"/><Relationship Id="rId67" Type="http://schemas.openxmlformats.org/officeDocument/2006/relationships/footer" Target="footer29.xml"/><Relationship Id="rId68" Type="http://schemas.openxmlformats.org/officeDocument/2006/relationships/header" Target="header30.xml"/><Relationship Id="rId69" Type="http://schemas.openxmlformats.org/officeDocument/2006/relationships/footer" Target="footer30.xml"/><Relationship Id="rId70" Type="http://schemas.openxmlformats.org/officeDocument/2006/relationships/header" Target="header31.xml"/><Relationship Id="rId71" Type="http://schemas.openxmlformats.org/officeDocument/2006/relationships/footer" Target="footer31.xml"/><Relationship Id="rId72" Type="http://schemas.openxmlformats.org/officeDocument/2006/relationships/header" Target="header32.xml"/><Relationship Id="rId73" Type="http://schemas.openxmlformats.org/officeDocument/2006/relationships/footer" Target="footer32.xml"/><Relationship Id="rId74" Type="http://schemas.openxmlformats.org/officeDocument/2006/relationships/header" Target="header33.xml"/><Relationship Id="rId75" Type="http://schemas.openxmlformats.org/officeDocument/2006/relationships/footer" Target="footer33.xml"/><Relationship Id="rId76" Type="http://schemas.openxmlformats.org/officeDocument/2006/relationships/header" Target="header34.xml"/><Relationship Id="rId77" Type="http://schemas.openxmlformats.org/officeDocument/2006/relationships/footer" Target="footer34.xml"/><Relationship Id="rId78" Type="http://schemas.openxmlformats.org/officeDocument/2006/relationships/header" Target="header35.xml"/><Relationship Id="rId79" Type="http://schemas.openxmlformats.org/officeDocument/2006/relationships/footer" Target="footer35.xml"/><Relationship Id="rId80" Type="http://schemas.openxmlformats.org/officeDocument/2006/relationships/header" Target="header36.xml"/><Relationship Id="rId81" Type="http://schemas.openxmlformats.org/officeDocument/2006/relationships/footer" Target="footer36.xml"/><Relationship Id="rId82" Type="http://schemas.openxmlformats.org/officeDocument/2006/relationships/header" Target="header37.xml"/><Relationship Id="rId83" Type="http://schemas.openxmlformats.org/officeDocument/2006/relationships/footer" Target="footer37.xml"/><Relationship Id="rId84" Type="http://schemas.openxmlformats.org/officeDocument/2006/relationships/header" Target="header38.xml"/><Relationship Id="rId85" Type="http://schemas.openxmlformats.org/officeDocument/2006/relationships/footer" Target="footer38.xml"/><Relationship Id="rId86" Type="http://schemas.openxmlformats.org/officeDocument/2006/relationships/hyperlink" Target="https://www.dian.gov.co/tramitesservicios/tramites-y-servicios/Paginas/tramites-aduaneros.aspx" TargetMode="External"/><Relationship Id="rId87" Type="http://schemas.openxmlformats.org/officeDocument/2006/relationships/hyperlink" Target="https://www.wto.org/spanish/tratop_s/tariffs_s/tariffs_s.htm" TargetMode="External"/><Relationship Id="rId88" Type="http://schemas.openxmlformats.org/officeDocument/2006/relationships/hyperlink" Target="https://www.wto.org/spanish/res_s/webcas_s/ltt_s/ltt2_s.htm" TargetMode="External"/><Relationship Id="rId89" Type="http://schemas.openxmlformats.org/officeDocument/2006/relationships/image" Target="media/image4.jpeg"/><Relationship Id="rId90" Type="http://schemas.openxmlformats.org/officeDocument/2006/relationships/hyperlink" Target="https://afrodita.ica.gov.co/VW_CONSULTAS_REQ_AGRICOLAS/ShowVW_CONSULTAS_REQ_AGRICOLASTable.aspx" TargetMode="External"/><Relationship Id="rId91" Type="http://schemas.openxmlformats.org/officeDocument/2006/relationships/header" Target="header39.xml"/><Relationship Id="rId92" Type="http://schemas.openxmlformats.org/officeDocument/2006/relationships/footer" Target="footer39.xml"/><Relationship Id="rId93" Type="http://schemas.openxmlformats.org/officeDocument/2006/relationships/header" Target="header40.xml"/><Relationship Id="rId94" Type="http://schemas.openxmlformats.org/officeDocument/2006/relationships/footer" Target="footer40.xml"/><Relationship Id="rId95" Type="http://schemas.openxmlformats.org/officeDocument/2006/relationships/header" Target="header41.xml"/><Relationship Id="rId96" Type="http://schemas.openxmlformats.org/officeDocument/2006/relationships/footer" Target="footer41.xml"/><Relationship Id="rId97" Type="http://schemas.openxmlformats.org/officeDocument/2006/relationships/header" Target="header42.xml"/><Relationship Id="rId98" Type="http://schemas.openxmlformats.org/officeDocument/2006/relationships/footer" Target="footer42.xml"/><Relationship Id="rId99" Type="http://schemas.openxmlformats.org/officeDocument/2006/relationships/header" Target="header43.xml"/><Relationship Id="rId100" Type="http://schemas.openxmlformats.org/officeDocument/2006/relationships/footer" Target="footer43.xml"/><Relationship Id="rId101" Type="http://schemas.openxmlformats.org/officeDocument/2006/relationships/header" Target="header44.xml"/><Relationship Id="rId102" Type="http://schemas.openxmlformats.org/officeDocument/2006/relationships/footer" Target="footer44.xml"/><Relationship Id="rId103" Type="http://schemas.openxmlformats.org/officeDocument/2006/relationships/header" Target="header45.xml"/><Relationship Id="rId104" Type="http://schemas.openxmlformats.org/officeDocument/2006/relationships/footer" Target="footer45.xml"/><Relationship Id="rId105" Type="http://schemas.openxmlformats.org/officeDocument/2006/relationships/header" Target="header46.xml"/><Relationship Id="rId106" Type="http://schemas.openxmlformats.org/officeDocument/2006/relationships/footer" Target="footer46.xml"/><Relationship Id="rId107" Type="http://schemas.openxmlformats.org/officeDocument/2006/relationships/header" Target="header47.xml"/><Relationship Id="rId108" Type="http://schemas.openxmlformats.org/officeDocument/2006/relationships/footer" Target="footer47.xml"/><Relationship Id="rId109" Type="http://schemas.openxmlformats.org/officeDocument/2006/relationships/hyperlink" Target="https://muisca.dian.gov.co/WebArancel/DefConsultaNomenclaturaPorCodigo.faces" TargetMode="External"/><Relationship Id="rId110" Type="http://schemas.openxmlformats.org/officeDocument/2006/relationships/image" Target="media/image5.jpeg"/><Relationship Id="rId111" Type="http://schemas.openxmlformats.org/officeDocument/2006/relationships/image" Target="media/image6.jpeg"/><Relationship Id="rId112" Type="http://schemas.openxmlformats.org/officeDocument/2006/relationships/image" Target="media/image7.jpeg"/><Relationship Id="rId113" Type="http://schemas.openxmlformats.org/officeDocument/2006/relationships/header" Target="header48.xml"/><Relationship Id="rId114" Type="http://schemas.openxmlformats.org/officeDocument/2006/relationships/footer" Target="footer48.xml"/><Relationship Id="rId115" Type="http://schemas.openxmlformats.org/officeDocument/2006/relationships/header" Target="header49.xml"/><Relationship Id="rId116" Type="http://schemas.openxmlformats.org/officeDocument/2006/relationships/footer" Target="footer49.xml"/><Relationship Id="rId117" Type="http://schemas.openxmlformats.org/officeDocument/2006/relationships/header" Target="header50.xml"/><Relationship Id="rId118" Type="http://schemas.openxmlformats.org/officeDocument/2006/relationships/footer" Target="footer50.xml"/><Relationship Id="rId119" Type="http://schemas.openxmlformats.org/officeDocument/2006/relationships/header" Target="header51.xml"/><Relationship Id="rId120" Type="http://schemas.openxmlformats.org/officeDocument/2006/relationships/footer" Target="footer51.xml"/><Relationship Id="rId121" Type="http://schemas.openxmlformats.org/officeDocument/2006/relationships/header" Target="header52.xml"/><Relationship Id="rId122" Type="http://schemas.openxmlformats.org/officeDocument/2006/relationships/footer" Target="footer52.xml"/><Relationship Id="rId123" Type="http://schemas.openxmlformats.org/officeDocument/2006/relationships/header" Target="header53.xml"/><Relationship Id="rId124" Type="http://schemas.openxmlformats.org/officeDocument/2006/relationships/footer" Target="footer53.xml"/><Relationship Id="rId125"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_rels/header9.xml.rels><?xml version="1.0" encoding="UTF-8" standalone="yes"?>
<Relationships xmlns="http://schemas.openxmlformats.org/package/2006/relationships"><Relationship Id="rId1" Type="http://schemas.openxmlformats.org/officeDocument/2006/relationships/image" Target="media/image2.png"/></Relationships>

</file>

<file path=word/_rels/header10.xml.rels><?xml version="1.0" encoding="UTF-8" standalone="yes"?>
<Relationships xmlns="http://schemas.openxmlformats.org/package/2006/relationships"><Relationship Id="rId1" Type="http://schemas.openxmlformats.org/officeDocument/2006/relationships/image" Target="media/image2.png"/></Relationships>

</file>

<file path=word/_rels/header11.xml.rels><?xml version="1.0" encoding="UTF-8" standalone="yes"?>
<Relationships xmlns="http://schemas.openxmlformats.org/package/2006/relationships"><Relationship Id="rId1" Type="http://schemas.openxmlformats.org/officeDocument/2006/relationships/image" Target="media/image2.png"/></Relationships>

</file>

<file path=word/_rels/header12.xml.rels><?xml version="1.0" encoding="UTF-8" standalone="yes"?>
<Relationships xmlns="http://schemas.openxmlformats.org/package/2006/relationships"><Relationship Id="rId1" Type="http://schemas.openxmlformats.org/officeDocument/2006/relationships/image" Target="media/image2.png"/></Relationships>

</file>

<file path=word/_rels/header13.xml.rels><?xml version="1.0" encoding="UTF-8" standalone="yes"?>
<Relationships xmlns="http://schemas.openxmlformats.org/package/2006/relationships"><Relationship Id="rId1" Type="http://schemas.openxmlformats.org/officeDocument/2006/relationships/image" Target="media/image2.png"/></Relationships>

</file>

<file path=word/_rels/header14.xml.rels><?xml version="1.0" encoding="UTF-8" standalone="yes"?>
<Relationships xmlns="http://schemas.openxmlformats.org/package/2006/relationships"><Relationship Id="rId1" Type="http://schemas.openxmlformats.org/officeDocument/2006/relationships/image" Target="media/image2.png"/></Relationships>

</file>

<file path=word/_rels/header15.xml.rels><?xml version="1.0" encoding="UTF-8" standalone="yes"?>
<Relationships xmlns="http://schemas.openxmlformats.org/package/2006/relationships"><Relationship Id="rId1" Type="http://schemas.openxmlformats.org/officeDocument/2006/relationships/image" Target="media/image2.png"/></Relationships>

</file>

<file path=word/_rels/header16.xml.rels><?xml version="1.0" encoding="UTF-8" standalone="yes"?>
<Relationships xmlns="http://schemas.openxmlformats.org/package/2006/relationships"><Relationship Id="rId1" Type="http://schemas.openxmlformats.org/officeDocument/2006/relationships/image" Target="media/image2.png"/></Relationships>

</file>

<file path=word/_rels/header17.xml.rels><?xml version="1.0" encoding="UTF-8" standalone="yes"?>
<Relationships xmlns="http://schemas.openxmlformats.org/package/2006/relationships"><Relationship Id="rId1" Type="http://schemas.openxmlformats.org/officeDocument/2006/relationships/image" Target="media/image2.png"/></Relationships>

</file>

<file path=word/_rels/header18.xml.rels><?xml version="1.0" encoding="UTF-8" standalone="yes"?>
<Relationships xmlns="http://schemas.openxmlformats.org/package/2006/relationships"><Relationship Id="rId1" Type="http://schemas.openxmlformats.org/officeDocument/2006/relationships/image" Target="media/image2.png"/></Relationships>

</file>

<file path=word/_rels/header19.xml.rels><?xml version="1.0" encoding="UTF-8" standalone="yes"?>
<Relationships xmlns="http://schemas.openxmlformats.org/package/2006/relationships"><Relationship Id="rId1" Type="http://schemas.openxmlformats.org/officeDocument/2006/relationships/image" Target="media/image2.png"/></Relationships>

</file>

<file path=word/_rels/header20.xml.rels><?xml version="1.0" encoding="UTF-8" standalone="yes"?>
<Relationships xmlns="http://schemas.openxmlformats.org/package/2006/relationships"><Relationship Id="rId1" Type="http://schemas.openxmlformats.org/officeDocument/2006/relationships/image" Target="media/image2.png"/></Relationships>

</file>

<file path=word/_rels/header21.xml.rels><?xml version="1.0" encoding="UTF-8" standalone="yes"?>
<Relationships xmlns="http://schemas.openxmlformats.org/package/2006/relationships"><Relationship Id="rId1" Type="http://schemas.openxmlformats.org/officeDocument/2006/relationships/image" Target="media/image2.png"/></Relationships>

</file>

<file path=word/_rels/header22.xml.rels><?xml version="1.0" encoding="UTF-8" standalone="yes"?>
<Relationships xmlns="http://schemas.openxmlformats.org/package/2006/relationships"><Relationship Id="rId1" Type="http://schemas.openxmlformats.org/officeDocument/2006/relationships/image" Target="media/image2.png"/></Relationships>

</file>

<file path=word/_rels/header23.xml.rels><?xml version="1.0" encoding="UTF-8" standalone="yes"?>
<Relationships xmlns="http://schemas.openxmlformats.org/package/2006/relationships"><Relationship Id="rId1" Type="http://schemas.openxmlformats.org/officeDocument/2006/relationships/image" Target="media/image2.png"/></Relationships>

</file>

<file path=word/_rels/header24.xml.rels><?xml version="1.0" encoding="UTF-8" standalone="yes"?>
<Relationships xmlns="http://schemas.openxmlformats.org/package/2006/relationships"><Relationship Id="rId1" Type="http://schemas.openxmlformats.org/officeDocument/2006/relationships/image" Target="media/image2.png"/></Relationships>

</file>

<file path=word/_rels/header25.xml.rels><?xml version="1.0" encoding="UTF-8" standalone="yes"?>
<Relationships xmlns="http://schemas.openxmlformats.org/package/2006/relationships"><Relationship Id="rId1" Type="http://schemas.openxmlformats.org/officeDocument/2006/relationships/image" Target="media/image2.png"/></Relationships>

</file>

<file path=word/_rels/header26.xml.rels><?xml version="1.0" encoding="UTF-8" standalone="yes"?>
<Relationships xmlns="http://schemas.openxmlformats.org/package/2006/relationships"><Relationship Id="rId1" Type="http://schemas.openxmlformats.org/officeDocument/2006/relationships/image" Target="media/image2.png"/></Relationships>

</file>

<file path=word/_rels/header27.xml.rels><?xml version="1.0" encoding="UTF-8" standalone="yes"?>
<Relationships xmlns="http://schemas.openxmlformats.org/package/2006/relationships"><Relationship Id="rId1" Type="http://schemas.openxmlformats.org/officeDocument/2006/relationships/image" Target="media/image2.png"/></Relationships>

</file>

<file path=word/_rels/header28.xml.rels><?xml version="1.0" encoding="UTF-8" standalone="yes"?>
<Relationships xmlns="http://schemas.openxmlformats.org/package/2006/relationships"><Relationship Id="rId1" Type="http://schemas.openxmlformats.org/officeDocument/2006/relationships/image" Target="media/image2.png"/></Relationships>

</file>

<file path=word/_rels/header29.xml.rels><?xml version="1.0" encoding="UTF-8" standalone="yes"?>
<Relationships xmlns="http://schemas.openxmlformats.org/package/2006/relationships"><Relationship Id="rId1" Type="http://schemas.openxmlformats.org/officeDocument/2006/relationships/image" Target="media/image2.png"/></Relationships>

</file>

<file path=word/_rels/header30.xml.rels><?xml version="1.0" encoding="UTF-8" standalone="yes"?>
<Relationships xmlns="http://schemas.openxmlformats.org/package/2006/relationships"><Relationship Id="rId1" Type="http://schemas.openxmlformats.org/officeDocument/2006/relationships/image" Target="media/image2.png"/></Relationships>

</file>

<file path=word/_rels/header31.xml.rels><?xml version="1.0" encoding="UTF-8" standalone="yes"?>
<Relationships xmlns="http://schemas.openxmlformats.org/package/2006/relationships"><Relationship Id="rId1" Type="http://schemas.openxmlformats.org/officeDocument/2006/relationships/image" Target="media/image2.png"/></Relationships>

</file>

<file path=word/_rels/header32.xml.rels><?xml version="1.0" encoding="UTF-8" standalone="yes"?>
<Relationships xmlns="http://schemas.openxmlformats.org/package/2006/relationships"><Relationship Id="rId1" Type="http://schemas.openxmlformats.org/officeDocument/2006/relationships/image" Target="media/image2.png"/></Relationships>

</file>

<file path=word/_rels/header33.xml.rels><?xml version="1.0" encoding="UTF-8" standalone="yes"?>
<Relationships xmlns="http://schemas.openxmlformats.org/package/2006/relationships"><Relationship Id="rId1" Type="http://schemas.openxmlformats.org/officeDocument/2006/relationships/image" Target="media/image2.png"/></Relationships>

</file>

<file path=word/_rels/header34.xml.rels><?xml version="1.0" encoding="UTF-8" standalone="yes"?>
<Relationships xmlns="http://schemas.openxmlformats.org/package/2006/relationships"><Relationship Id="rId1" Type="http://schemas.openxmlformats.org/officeDocument/2006/relationships/image" Target="media/image2.png"/></Relationships>

</file>

<file path=word/_rels/header35.xml.rels><?xml version="1.0" encoding="UTF-8" standalone="yes"?>
<Relationships xmlns="http://schemas.openxmlformats.org/package/2006/relationships"><Relationship Id="rId1" Type="http://schemas.openxmlformats.org/officeDocument/2006/relationships/image" Target="media/image2.png"/></Relationships>

</file>

<file path=word/_rels/header36.xml.rels><?xml version="1.0" encoding="UTF-8" standalone="yes"?>
<Relationships xmlns="http://schemas.openxmlformats.org/package/2006/relationships"><Relationship Id="rId1" Type="http://schemas.openxmlformats.org/officeDocument/2006/relationships/image" Target="media/image2.png"/></Relationships>

</file>

<file path=word/_rels/header37.xml.rels><?xml version="1.0" encoding="UTF-8" standalone="yes"?>
<Relationships xmlns="http://schemas.openxmlformats.org/package/2006/relationships"><Relationship Id="rId1" Type="http://schemas.openxmlformats.org/officeDocument/2006/relationships/image" Target="media/image2.png"/></Relationships>

</file>

<file path=word/_rels/header38.xml.rels><?xml version="1.0" encoding="UTF-8" standalone="yes"?>
<Relationships xmlns="http://schemas.openxmlformats.org/package/2006/relationships"><Relationship Id="rId1" Type="http://schemas.openxmlformats.org/officeDocument/2006/relationships/image" Target="media/image2.png"/></Relationships>

</file>

<file path=word/_rels/header39.xml.rels><?xml version="1.0" encoding="UTF-8" standalone="yes"?>
<Relationships xmlns="http://schemas.openxmlformats.org/package/2006/relationships"><Relationship Id="rId1" Type="http://schemas.openxmlformats.org/officeDocument/2006/relationships/image" Target="media/image2.png"/></Relationships>

</file>

<file path=word/_rels/header40.xml.rels><?xml version="1.0" encoding="UTF-8" standalone="yes"?>
<Relationships xmlns="http://schemas.openxmlformats.org/package/2006/relationships"><Relationship Id="rId1" Type="http://schemas.openxmlformats.org/officeDocument/2006/relationships/image" Target="media/image2.png"/></Relationships>

</file>

<file path=word/_rels/header41.xml.rels><?xml version="1.0" encoding="UTF-8" standalone="yes"?>
<Relationships xmlns="http://schemas.openxmlformats.org/package/2006/relationships"><Relationship Id="rId1" Type="http://schemas.openxmlformats.org/officeDocument/2006/relationships/image" Target="media/image2.png"/></Relationships>

</file>

<file path=word/_rels/header42.xml.rels><?xml version="1.0" encoding="UTF-8" standalone="yes"?>
<Relationships xmlns="http://schemas.openxmlformats.org/package/2006/relationships"><Relationship Id="rId1" Type="http://schemas.openxmlformats.org/officeDocument/2006/relationships/image" Target="media/image2.png"/></Relationships>

</file>

<file path=word/_rels/header43.xml.rels><?xml version="1.0" encoding="UTF-8" standalone="yes"?>
<Relationships xmlns="http://schemas.openxmlformats.org/package/2006/relationships"><Relationship Id="rId1" Type="http://schemas.openxmlformats.org/officeDocument/2006/relationships/image" Target="media/image2.png"/></Relationships>

</file>

<file path=word/_rels/header44.xml.rels><?xml version="1.0" encoding="UTF-8" standalone="yes"?>
<Relationships xmlns="http://schemas.openxmlformats.org/package/2006/relationships"><Relationship Id="rId1" Type="http://schemas.openxmlformats.org/officeDocument/2006/relationships/image" Target="media/image2.png"/></Relationships>

</file>

<file path=word/_rels/header45.xml.rels><?xml version="1.0" encoding="UTF-8" standalone="yes"?>
<Relationships xmlns="http://schemas.openxmlformats.org/package/2006/relationships"><Relationship Id="rId1" Type="http://schemas.openxmlformats.org/officeDocument/2006/relationships/image" Target="media/image2.png"/></Relationships>

</file>

<file path=word/_rels/header46.xml.rels><?xml version="1.0" encoding="UTF-8" standalone="yes"?>
<Relationships xmlns="http://schemas.openxmlformats.org/package/2006/relationships"><Relationship Id="rId1" Type="http://schemas.openxmlformats.org/officeDocument/2006/relationships/image" Target="media/image2.png"/></Relationships>

</file>

<file path=word/_rels/header47.xml.rels><?xml version="1.0" encoding="UTF-8" standalone="yes"?>
<Relationships xmlns="http://schemas.openxmlformats.org/package/2006/relationships"><Relationship Id="rId1" Type="http://schemas.openxmlformats.org/officeDocument/2006/relationships/image" Target="media/image2.png"/></Relationships>

</file>

<file path=word/_rels/header48.xml.rels><?xml version="1.0" encoding="UTF-8" standalone="yes"?>
<Relationships xmlns="http://schemas.openxmlformats.org/package/2006/relationships"><Relationship Id="rId1" Type="http://schemas.openxmlformats.org/officeDocument/2006/relationships/image" Target="media/image2.png"/></Relationships>

</file>

<file path=word/_rels/header49.xml.rels><?xml version="1.0" encoding="UTF-8" standalone="yes"?>
<Relationships xmlns="http://schemas.openxmlformats.org/package/2006/relationships"><Relationship Id="rId1" Type="http://schemas.openxmlformats.org/officeDocument/2006/relationships/image" Target="media/image2.png"/></Relationships>

</file>

<file path=word/_rels/header50.xml.rels><?xml version="1.0" encoding="UTF-8" standalone="yes"?>
<Relationships xmlns="http://schemas.openxmlformats.org/package/2006/relationships"><Relationship Id="rId1" Type="http://schemas.openxmlformats.org/officeDocument/2006/relationships/image" Target="media/image2.png"/></Relationships>

</file>

<file path=word/_rels/header51.xml.rels><?xml version="1.0" encoding="UTF-8" standalone="yes"?>
<Relationships xmlns="http://schemas.openxmlformats.org/package/2006/relationships"><Relationship Id="rId1" Type="http://schemas.openxmlformats.org/officeDocument/2006/relationships/image" Target="media/image2.png"/></Relationships>

</file>

<file path=word/_rels/header52.xml.rels><?xml version="1.0" encoding="UTF-8" standalone="yes"?>
<Relationships xmlns="http://schemas.openxmlformats.org/package/2006/relationships"><Relationship Id="rId1" Type="http://schemas.openxmlformats.org/officeDocument/2006/relationships/image" Target="media/image2.png"/></Relationships>

</file>

<file path=word/_rels/header5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Equipo Movil</dc:creator>
  <dcterms:created xsi:type="dcterms:W3CDTF">2026-05-14T15:41:52Z</dcterms:created>
  <dcterms:modified xsi:type="dcterms:W3CDTF">2026-05-14T15:41:52Z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2026-05-07T00:00:00Z</vt:filetime>
  </property>
  <property fmtid="{D5CDD505-2E9C-101B-9397-08002B2CF9AE}" pid="3" name="Creator">
    <vt:lpwstr>Microsoft® Word para Microsoft 365</vt:lpwstr>
  </property>
  <property fmtid="{D5CDD505-2E9C-101B-9397-08002B2CF9AE}" pid="4" name="LastSaved">
    <vt:filetime>2026-05-14T00:00:00Z</vt:filetime>
  </property>
  <property fmtid="{D5CDD505-2E9C-101B-9397-08002B2CF9AE}" pid="5" name="Producer">
    <vt:lpwstr>Microsoft® Word para Microsoft 365</vt:lpwstr>
  </property>
</Properties>
</file>